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0"/>
        <w:ind w:left="0"/>
        <w:rPr>
          <w:rFonts w:ascii="Times New Roman"/>
          <w:sz w:val="37"/>
        </w:rPr>
      </w:pPr>
    </w:p>
    <w:p>
      <w:pPr>
        <w:spacing w:before="0"/>
        <w:ind w:left="212" w:right="0" w:firstLine="0"/>
        <w:jc w:val="left"/>
        <w:rPr>
          <w:sz w:val="32"/>
        </w:rPr>
      </w:pPr>
      <w:r>
        <w:rPr>
          <w:spacing w:val="-15"/>
          <w:w w:val="95"/>
          <w:sz w:val="32"/>
        </w:rPr>
        <w:t>附件 </w:t>
      </w:r>
      <w:r>
        <w:rPr>
          <w:spacing w:val="-10"/>
          <w:w w:val="95"/>
          <w:sz w:val="32"/>
        </w:rPr>
        <w:t>2</w:t>
      </w:r>
    </w:p>
    <w:p>
      <w:pPr>
        <w:spacing w:line="240" w:lineRule="auto" w:before="0"/>
        <w:rPr>
          <w:sz w:val="32"/>
        </w:rPr>
      </w:pPr>
      <w:r>
        <w:rPr/>
        <w:br w:type="column"/>
      </w:r>
      <w:r>
        <w:rPr>
          <w:sz w:val="32"/>
        </w:rPr>
      </w:r>
    </w:p>
    <w:p>
      <w:pPr>
        <w:pStyle w:val="BodyText"/>
        <w:spacing w:before="2"/>
        <w:ind w:left="0"/>
        <w:rPr>
          <w:sz w:val="24"/>
        </w:rPr>
      </w:pPr>
    </w:p>
    <w:p>
      <w:pPr>
        <w:spacing w:before="0"/>
        <w:ind w:left="212" w:right="0" w:firstLine="0"/>
        <w:jc w:val="left"/>
        <w:rPr>
          <w:rFonts w:ascii="Microsoft JhengHei" w:eastAsia="Microsoft JhengHei"/>
          <w:b/>
          <w:sz w:val="32"/>
        </w:rPr>
      </w:pPr>
      <w:r>
        <w:rPr>
          <w:rFonts w:ascii="Microsoft JhengHei" w:eastAsia="Microsoft JhengHei"/>
          <w:b/>
          <w:w w:val="95"/>
          <w:sz w:val="32"/>
        </w:rPr>
        <w:t>中</w:t>
      </w:r>
      <w:r>
        <w:rPr>
          <w:rFonts w:ascii="Microsoft JhengHei" w:eastAsia="Microsoft JhengHei"/>
          <w:b/>
          <w:w w:val="95"/>
          <w:sz w:val="32"/>
        </w:rPr>
        <w:t>韩</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有</w:t>
      </w:r>
      <w:r>
        <w:rPr>
          <w:rFonts w:ascii="Microsoft JhengHei" w:eastAsia="Microsoft JhengHei"/>
          <w:b/>
          <w:w w:val="95"/>
          <w:sz w:val="32"/>
        </w:rPr>
        <w:t>限</w:t>
      </w:r>
      <w:r>
        <w:rPr>
          <w:rFonts w:ascii="Microsoft JhengHei" w:eastAsia="Microsoft JhengHei"/>
          <w:b/>
          <w:w w:val="95"/>
          <w:sz w:val="32"/>
        </w:rPr>
        <w:t>公</w:t>
      </w:r>
      <w:r>
        <w:rPr>
          <w:rFonts w:ascii="Microsoft JhengHei" w:eastAsia="Microsoft JhengHei"/>
          <w:b/>
          <w:spacing w:val="-10"/>
          <w:w w:val="95"/>
          <w:sz w:val="32"/>
        </w:rPr>
        <w:t>司</w:t>
      </w:r>
    </w:p>
    <w:p>
      <w:pPr>
        <w:pStyle w:val="BodyText"/>
        <w:spacing w:before="54"/>
        <w:ind w:left="212"/>
      </w:pPr>
      <w:r>
        <w:rPr/>
        <w:br w:type="column"/>
      </w:r>
      <w:r>
        <w:rPr>
          <w:spacing w:val="-2"/>
        </w:rPr>
        <w:t>中韩人寿〔2020</w:t>
      </w:r>
      <w:r>
        <w:rPr>
          <w:spacing w:val="-10"/>
        </w:rPr>
        <w:t>〕疾病保险 </w:t>
      </w:r>
      <w:r>
        <w:rPr>
          <w:spacing w:val="-2"/>
        </w:rPr>
        <w:t>025</w:t>
      </w:r>
      <w:r>
        <w:rPr>
          <w:spacing w:val="-28"/>
        </w:rPr>
        <w:t> 号</w:t>
      </w:r>
    </w:p>
    <w:p>
      <w:pPr>
        <w:spacing w:after="0"/>
        <w:sectPr>
          <w:type w:val="continuous"/>
          <w:pgSz w:w="11910" w:h="16840"/>
          <w:pgMar w:top="680" w:bottom="280" w:left="920" w:right="440"/>
          <w:cols w:num="3" w:equalWidth="0">
            <w:col w:w="1136" w:space="2076"/>
            <w:col w:w="3463" w:space="399"/>
            <w:col w:w="3476"/>
          </w:cols>
        </w:sectPr>
      </w:pPr>
    </w:p>
    <w:p>
      <w:pPr>
        <w:spacing w:line="567" w:lineRule="exact" w:before="35"/>
        <w:ind w:left="2015" w:right="32" w:firstLine="0"/>
        <w:jc w:val="center"/>
        <w:rPr>
          <w:rFonts w:ascii="Microsoft JhengHei" w:eastAsia="Microsoft JhengHei"/>
          <w:b/>
          <w:sz w:val="32"/>
        </w:rPr>
      </w:pPr>
      <w:r>
        <w:rPr>
          <w:rFonts w:ascii="Microsoft JhengHei" w:eastAsia="Microsoft JhengHei"/>
          <w:b/>
          <w:w w:val="95"/>
          <w:sz w:val="32"/>
        </w:rPr>
        <w:t>中韩</w:t>
      </w:r>
      <w:r>
        <w:rPr>
          <w:rFonts w:ascii="Microsoft JhengHei" w:eastAsia="Microsoft JhengHei"/>
          <w:b/>
          <w:w w:val="95"/>
          <w:sz w:val="32"/>
        </w:rPr>
        <w:t>臻</w:t>
      </w:r>
      <w:r>
        <w:rPr>
          <w:rFonts w:ascii="Microsoft JhengHei" w:eastAsia="Microsoft JhengHei"/>
          <w:b/>
          <w:w w:val="95"/>
          <w:sz w:val="32"/>
        </w:rPr>
        <w:t>爱</w:t>
      </w:r>
      <w:r>
        <w:rPr>
          <w:rFonts w:ascii="Microsoft JhengHei" w:eastAsia="Microsoft JhengHei"/>
          <w:b/>
          <w:w w:val="95"/>
          <w:sz w:val="32"/>
        </w:rPr>
        <w:t>保</w:t>
      </w:r>
      <w:r>
        <w:rPr>
          <w:rFonts w:ascii="Microsoft JhengHei" w:eastAsia="Microsoft JhengHei"/>
          <w:b/>
          <w:spacing w:val="59"/>
          <w:sz w:val="32"/>
        </w:rPr>
        <w:t> </w:t>
      </w:r>
      <w:r>
        <w:rPr>
          <w:rFonts w:ascii="Microsoft JhengHei" w:eastAsia="Microsoft JhengHei"/>
          <w:b/>
          <w:w w:val="95"/>
          <w:sz w:val="32"/>
        </w:rPr>
        <w:t>2021</w:t>
      </w:r>
      <w:r>
        <w:rPr>
          <w:rFonts w:ascii="Microsoft JhengHei" w:eastAsia="Microsoft JhengHei"/>
          <w:b/>
          <w:spacing w:val="59"/>
          <w:sz w:val="32"/>
        </w:rPr>
        <w:t> </w:t>
      </w:r>
      <w:r>
        <w:rPr>
          <w:rFonts w:ascii="Microsoft JhengHei" w:eastAsia="Microsoft JhengHei"/>
          <w:b/>
          <w:w w:val="95"/>
          <w:sz w:val="32"/>
        </w:rPr>
        <w:t>终</w:t>
      </w:r>
      <w:r>
        <w:rPr>
          <w:rFonts w:ascii="Microsoft JhengHei" w:eastAsia="Microsoft JhengHei"/>
          <w:b/>
          <w:w w:val="95"/>
          <w:sz w:val="32"/>
        </w:rPr>
        <w:t>身</w:t>
      </w:r>
      <w:r>
        <w:rPr>
          <w:rFonts w:ascii="Microsoft JhengHei" w:eastAsia="Microsoft JhengHei"/>
          <w:b/>
          <w:w w:val="95"/>
          <w:sz w:val="32"/>
        </w:rPr>
        <w:t>重</w:t>
      </w:r>
      <w:r>
        <w:rPr>
          <w:rFonts w:ascii="Microsoft JhengHei" w:eastAsia="Microsoft JhengHei"/>
          <w:b/>
          <w:w w:val="95"/>
          <w:sz w:val="32"/>
        </w:rPr>
        <w:t>大</w:t>
      </w:r>
      <w:r>
        <w:rPr>
          <w:rFonts w:ascii="Microsoft JhengHei" w:eastAsia="Microsoft JhengHei"/>
          <w:b/>
          <w:w w:val="95"/>
          <w:sz w:val="32"/>
        </w:rPr>
        <w:t>疾</w:t>
      </w:r>
      <w:r>
        <w:rPr>
          <w:rFonts w:ascii="Microsoft JhengHei" w:eastAsia="Microsoft JhengHei"/>
          <w:b/>
          <w:w w:val="95"/>
          <w:sz w:val="32"/>
        </w:rPr>
        <w:t>病</w:t>
      </w:r>
      <w:r>
        <w:rPr>
          <w:rFonts w:ascii="Microsoft JhengHei" w:eastAsia="Microsoft JhengHei"/>
          <w:b/>
          <w:w w:val="95"/>
          <w:sz w:val="32"/>
        </w:rPr>
        <w:t>保险</w:t>
      </w:r>
      <w:r>
        <w:rPr>
          <w:rFonts w:ascii="Microsoft JhengHei" w:eastAsia="Microsoft JhengHei"/>
          <w:b/>
          <w:w w:val="95"/>
          <w:sz w:val="32"/>
        </w:rPr>
        <w:t>条</w:t>
      </w:r>
      <w:r>
        <w:rPr>
          <w:rFonts w:ascii="Microsoft JhengHei" w:eastAsia="Microsoft JhengHei"/>
          <w:b/>
          <w:spacing w:val="-10"/>
          <w:w w:val="95"/>
          <w:sz w:val="32"/>
        </w:rPr>
        <w:t>款</w:t>
      </w:r>
    </w:p>
    <w:p>
      <w:pPr>
        <w:spacing w:line="407" w:lineRule="exact" w:before="0"/>
        <w:ind w:left="2016" w:right="32" w:firstLine="0"/>
        <w:jc w:val="center"/>
        <w:rPr>
          <w:rFonts w:ascii="Microsoft JhengHei" w:eastAsia="Microsoft JhengHei"/>
          <w:b/>
          <w:sz w:val="24"/>
        </w:rPr>
      </w:pPr>
      <w:r>
        <w:rPr>
          <w:rFonts w:ascii="Microsoft JhengHei" w:eastAsia="Microsoft JhengHei"/>
          <w:b/>
          <w:spacing w:val="24"/>
          <w:sz w:val="24"/>
        </w:rPr>
        <w:t>阅 读 指 引</w:t>
      </w:r>
    </w:p>
    <w:p>
      <w:pPr>
        <w:pStyle w:val="BodyText"/>
        <w:spacing w:line="201" w:lineRule="auto" w:before="7"/>
        <w:ind w:left="2016"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1"/>
        <w:spacing w:line="410" w:lineRule="exact"/>
        <w:ind w:left="212" w:firstLine="0"/>
      </w:pPr>
      <w:r>
        <w:rPr>
          <w:rFonts w:ascii="Wingdings 2" w:hAnsi="Wingdings 2" w:eastAsia="Wingdings 2"/>
          <w:b w:val="0"/>
          <w:position w:val="-11"/>
          <w:sz w:val="52"/>
        </w:rPr>
        <w:t></w:t>
      </w:r>
      <w:r>
        <w:rPr>
          <w:rFonts w:ascii="Times New Roman" w:hAnsi="Times New Roman" w:eastAsia="Times New Roman"/>
          <w:b w:val="0"/>
          <w:spacing w:val="44"/>
          <w:w w:val="150"/>
          <w:position w:val="-11"/>
          <w:sz w:val="52"/>
        </w:rPr>
        <w:t> </w:t>
      </w:r>
      <w:r>
        <w:rPr>
          <w:spacing w:val="-2"/>
        </w:rPr>
        <w:t>您拥有的重要权益</w:t>
      </w:r>
    </w:p>
    <w:p>
      <w:pPr>
        <w:spacing w:line="240" w:lineRule="auto" w:before="0"/>
        <w:rPr>
          <w:rFonts w:ascii="微软雅黑"/>
          <w:b/>
          <w:sz w:val="20"/>
        </w:rPr>
      </w:pPr>
      <w:r>
        <w:rPr/>
        <w:br w:type="column"/>
      </w:r>
      <w:r>
        <w:rPr>
          <w:rFonts w:ascii="微软雅黑"/>
          <w:b/>
          <w:sz w:val="20"/>
        </w:rPr>
      </w:r>
    </w:p>
    <w:p>
      <w:pPr>
        <w:pStyle w:val="BodyText"/>
        <w:spacing w:before="10"/>
        <w:ind w:left="0"/>
        <w:rPr>
          <w:rFonts w:ascii="微软雅黑"/>
          <w:b/>
          <w:sz w:val="13"/>
        </w:rPr>
      </w:pPr>
    </w:p>
    <w:p>
      <w:pPr>
        <w:pStyle w:val="BodyText"/>
        <w:ind w:left="60"/>
      </w:pPr>
      <w:r>
        <w:rPr/>
        <w:drawing>
          <wp:anchor distT="0" distB="0" distL="0" distR="0" allowOverlap="1" layoutInCell="1" locked="0" behindDoc="0" simplePos="0" relativeHeight="15728640">
            <wp:simplePos x="0" y="0"/>
            <wp:positionH relativeFrom="page">
              <wp:posOffset>5981700</wp:posOffset>
            </wp:positionH>
            <wp:positionV relativeFrom="paragraph">
              <wp:posOffset>-939800</wp:posOffset>
            </wp:positionV>
            <wp:extent cx="847344" cy="858012"/>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847344" cy="858012"/>
                    </a:xfrm>
                    <a:prstGeom prst="rect">
                      <a:avLst/>
                    </a:prstGeom>
                  </pic:spPr>
                </pic:pic>
              </a:graphicData>
            </a:graphic>
          </wp:anchor>
        </w:drawing>
      </w:r>
      <w:r>
        <w:rPr>
          <w:spacing w:val="-3"/>
        </w:rPr>
        <w:t>请扫描以查询验证条款</w:t>
      </w:r>
    </w:p>
    <w:p>
      <w:pPr>
        <w:spacing w:after="0"/>
        <w:sectPr>
          <w:type w:val="continuous"/>
          <w:pgSz w:w="11910" w:h="16840"/>
          <w:pgMar w:top="680" w:bottom="280" w:left="920" w:right="440"/>
          <w:cols w:num="2" w:equalWidth="0">
            <w:col w:w="8083" w:space="40"/>
            <w:col w:w="2427"/>
          </w:cols>
        </w:sectPr>
      </w:pPr>
    </w:p>
    <w:p>
      <w:pPr>
        <w:pStyle w:val="ListParagraph"/>
        <w:numPr>
          <w:ilvl w:val="0"/>
          <w:numId w:val="1"/>
        </w:numPr>
        <w:tabs>
          <w:tab w:pos="949" w:val="left" w:leader="none"/>
          <w:tab w:pos="951" w:val="left" w:leader="none"/>
          <w:tab w:pos="9855" w:val="right" w:leader="dot"/>
        </w:tabs>
        <w:spacing w:line="250" w:lineRule="exact" w:before="0" w:after="0"/>
        <w:ind w:left="950" w:right="0" w:hanging="455"/>
        <w:jc w:val="left"/>
        <w:rPr>
          <w:sz w:val="21"/>
        </w:rPr>
      </w:pPr>
      <w:r>
        <w:rPr>
          <w:spacing w:val="-6"/>
          <w:sz w:val="21"/>
        </w:rPr>
        <w:t>签</w:t>
      </w:r>
      <w:r>
        <w:rPr>
          <w:spacing w:val="-6"/>
          <w:sz w:val="21"/>
        </w:rPr>
        <w:t>收</w:t>
      </w:r>
      <w:r>
        <w:rPr>
          <w:spacing w:val="-6"/>
          <w:sz w:val="21"/>
        </w:rPr>
        <w:t>本合同之日起</w:t>
      </w:r>
      <w:r>
        <w:rPr>
          <w:spacing w:val="-47"/>
          <w:sz w:val="21"/>
        </w:rPr>
        <w:t> </w:t>
      </w:r>
      <w:r>
        <w:rPr>
          <w:spacing w:val="-6"/>
          <w:sz w:val="21"/>
        </w:rPr>
        <w:t>15</w:t>
      </w:r>
      <w:r>
        <w:rPr>
          <w:spacing w:val="-44"/>
          <w:sz w:val="21"/>
        </w:rPr>
        <w:t> </w:t>
      </w:r>
      <w:r>
        <w:rPr>
          <w:spacing w:val="-6"/>
          <w:sz w:val="21"/>
        </w:rPr>
        <w:t>日（</w:t>
      </w:r>
      <w:r>
        <w:rPr>
          <w:spacing w:val="-6"/>
          <w:sz w:val="21"/>
        </w:rPr>
        <w:t>即</w:t>
      </w:r>
      <w:r>
        <w:rPr>
          <w:spacing w:val="-6"/>
          <w:sz w:val="21"/>
        </w:rPr>
        <w:t>犹</w:t>
      </w:r>
      <w:r>
        <w:rPr>
          <w:spacing w:val="-6"/>
          <w:sz w:val="21"/>
        </w:rPr>
        <w:t>豫期）内</w:t>
      </w:r>
      <w:r>
        <w:rPr>
          <w:spacing w:val="-6"/>
          <w:sz w:val="21"/>
        </w:rPr>
        <w:t>您</w:t>
      </w:r>
      <w:r>
        <w:rPr>
          <w:spacing w:val="-6"/>
          <w:sz w:val="21"/>
        </w:rPr>
        <w:t>若</w:t>
      </w:r>
      <w:r>
        <w:rPr>
          <w:spacing w:val="-6"/>
          <w:sz w:val="21"/>
        </w:rPr>
        <w:t>要求退保，我们退还</w:t>
      </w:r>
      <w:r>
        <w:rPr>
          <w:spacing w:val="-6"/>
          <w:sz w:val="21"/>
        </w:rPr>
        <w:t>保</w:t>
      </w:r>
      <w:r>
        <w:rPr>
          <w:spacing w:val="-6"/>
          <w:sz w:val="21"/>
        </w:rPr>
        <w:t>险</w:t>
      </w:r>
      <w:r>
        <w:rPr>
          <w:spacing w:val="-10"/>
          <w:sz w:val="21"/>
        </w:rPr>
        <w:t>费</w:t>
      </w:r>
      <w:r>
        <w:rPr>
          <w:rFonts w:ascii="Times New Roman" w:hAnsi="Times New Roman" w:eastAsia="Times New Roman"/>
          <w:sz w:val="21"/>
        </w:rPr>
        <w:tab/>
      </w:r>
      <w:r>
        <w:rPr>
          <w:spacing w:val="-5"/>
          <w:sz w:val="21"/>
        </w:rPr>
        <w:t>1.5</w:t>
      </w:r>
    </w:p>
    <w:p>
      <w:pPr>
        <w:pStyle w:val="ListParagraph"/>
        <w:numPr>
          <w:ilvl w:val="0"/>
          <w:numId w:val="1"/>
        </w:numPr>
        <w:tabs>
          <w:tab w:pos="949" w:val="left" w:leader="none"/>
          <w:tab w:pos="951" w:val="left" w:leader="none"/>
          <w:tab w:pos="9855" w:val="right" w:leader="dot"/>
        </w:tabs>
        <w:spacing w:line="240" w:lineRule="auto" w:before="43" w:after="0"/>
        <w:ind w:left="950" w:right="0" w:hanging="455"/>
        <w:jc w:val="left"/>
        <w:rPr>
          <w:sz w:val="21"/>
        </w:rPr>
      </w:pPr>
      <w:r>
        <w:rPr>
          <w:sz w:val="21"/>
        </w:rPr>
        <w:t>本</w:t>
      </w:r>
      <w:r>
        <w:rPr>
          <w:sz w:val="21"/>
        </w:rPr>
        <w:t>合同提供</w:t>
      </w:r>
      <w:r>
        <w:rPr>
          <w:sz w:val="21"/>
        </w:rPr>
        <w:t>的保障</w:t>
      </w:r>
      <w:r>
        <w:rPr>
          <w:sz w:val="21"/>
        </w:rPr>
        <w:t>在保险责</w:t>
      </w:r>
      <w:r>
        <w:rPr>
          <w:sz w:val="21"/>
        </w:rPr>
        <w:t>任条款中</w:t>
      </w:r>
      <w:r>
        <w:rPr>
          <w:sz w:val="21"/>
        </w:rPr>
        <w:t>列</w:t>
      </w:r>
      <w:r>
        <w:rPr>
          <w:spacing w:val="-10"/>
          <w:sz w:val="21"/>
        </w:rPr>
        <w:t>明</w:t>
      </w:r>
      <w:r>
        <w:rPr>
          <w:rFonts w:ascii="Times New Roman" w:hAnsi="Times New Roman" w:eastAsia="Times New Roman"/>
          <w:sz w:val="21"/>
        </w:rPr>
        <w:tab/>
      </w:r>
      <w:r>
        <w:rPr>
          <w:spacing w:val="-5"/>
          <w:w w:val="95"/>
          <w:sz w:val="21"/>
        </w:rPr>
        <w:t>2.5</w:t>
      </w:r>
    </w:p>
    <w:p>
      <w:pPr>
        <w:pStyle w:val="ListParagraph"/>
        <w:numPr>
          <w:ilvl w:val="0"/>
          <w:numId w:val="1"/>
        </w:numPr>
        <w:tabs>
          <w:tab w:pos="949" w:val="left" w:leader="none"/>
          <w:tab w:pos="951" w:val="left" w:leader="none"/>
          <w:tab w:pos="9855" w:val="right" w:leader="dot"/>
        </w:tabs>
        <w:spacing w:line="240" w:lineRule="auto" w:before="43" w:after="0"/>
        <w:ind w:left="950" w:right="0" w:hanging="455"/>
        <w:jc w:val="left"/>
        <w:rPr>
          <w:sz w:val="21"/>
        </w:rPr>
      </w:pPr>
      <w:r>
        <w:rPr>
          <w:sz w:val="21"/>
        </w:rPr>
        <w:t>您</w:t>
      </w:r>
      <w:r>
        <w:rPr>
          <w:sz w:val="21"/>
        </w:rPr>
        <w:t>有按本合</w:t>
      </w:r>
      <w:r>
        <w:rPr>
          <w:sz w:val="21"/>
        </w:rPr>
        <w:t>同约定</w:t>
      </w:r>
      <w:r>
        <w:rPr>
          <w:sz w:val="21"/>
        </w:rPr>
        <w:t>申请保单</w:t>
      </w:r>
      <w:r>
        <w:rPr>
          <w:sz w:val="21"/>
        </w:rPr>
        <w:t>贷款的权</w:t>
      </w:r>
      <w:r>
        <w:rPr>
          <w:spacing w:val="-10"/>
          <w:sz w:val="21"/>
        </w:rPr>
        <w:t>利</w:t>
      </w:r>
      <w:r>
        <w:rPr>
          <w:rFonts w:ascii="Times New Roman" w:hAnsi="Times New Roman" w:eastAsia="Times New Roman"/>
          <w:sz w:val="21"/>
        </w:rPr>
        <w:tab/>
      </w:r>
      <w:r>
        <w:rPr>
          <w:spacing w:val="-5"/>
          <w:w w:val="95"/>
          <w:sz w:val="21"/>
        </w:rPr>
        <w:t>5.2</w:t>
      </w:r>
    </w:p>
    <w:p>
      <w:pPr>
        <w:pStyle w:val="ListParagraph"/>
        <w:numPr>
          <w:ilvl w:val="0"/>
          <w:numId w:val="1"/>
        </w:numPr>
        <w:tabs>
          <w:tab w:pos="949" w:val="left" w:leader="none"/>
          <w:tab w:pos="951" w:val="left" w:leader="none"/>
          <w:tab w:pos="9857" w:val="right" w:leader="dot"/>
        </w:tabs>
        <w:spacing w:line="255" w:lineRule="exact" w:before="43" w:after="0"/>
        <w:ind w:left="950" w:right="0" w:hanging="455"/>
        <w:jc w:val="left"/>
        <w:rPr>
          <w:sz w:val="21"/>
        </w:rPr>
      </w:pPr>
      <w:r>
        <w:rPr>
          <w:sz w:val="21"/>
        </w:rPr>
        <w:t>您</w:t>
      </w:r>
      <w:r>
        <w:rPr>
          <w:sz w:val="21"/>
        </w:rPr>
        <w:t>有退保的</w:t>
      </w:r>
      <w:r>
        <w:rPr>
          <w:sz w:val="21"/>
        </w:rPr>
        <w:t>权</w:t>
      </w:r>
      <w:r>
        <w:rPr>
          <w:spacing w:val="-10"/>
          <w:sz w:val="21"/>
        </w:rPr>
        <w:t>利</w:t>
      </w:r>
      <w:r>
        <w:rPr>
          <w:rFonts w:ascii="Times New Roman" w:hAnsi="Times New Roman" w:eastAsia="Times New Roman"/>
          <w:sz w:val="21"/>
        </w:rPr>
        <w:tab/>
      </w:r>
      <w:r>
        <w:rPr>
          <w:spacing w:val="-5"/>
          <w:sz w:val="21"/>
        </w:rPr>
        <w:t>7.1</w:t>
      </w:r>
    </w:p>
    <w:p>
      <w:pPr>
        <w:pStyle w:val="Heading1"/>
        <w:spacing w:line="466" w:lineRule="exact"/>
        <w:ind w:left="212" w:firstLine="0"/>
      </w:pPr>
      <w:r>
        <w:rPr>
          <w:rFonts w:ascii="Wingdings 2" w:hAnsi="Wingdings 2" w:eastAsia="Wingdings 2"/>
          <w:b w:val="0"/>
          <w:position w:val="-11"/>
          <w:sz w:val="52"/>
        </w:rPr>
        <w:t></w:t>
      </w:r>
      <w:r>
        <w:rPr>
          <w:rFonts w:ascii="Times New Roman" w:hAnsi="Times New Roman" w:eastAsia="Times New Roman"/>
          <w:b w:val="0"/>
          <w:spacing w:val="106"/>
          <w:position w:val="-11"/>
          <w:sz w:val="52"/>
        </w:rPr>
        <w:t> </w:t>
      </w:r>
      <w:r>
        <w:rPr>
          <w:spacing w:val="-1"/>
        </w:rPr>
        <w:t>您应当特别注意的事项</w:t>
      </w:r>
    </w:p>
    <w:p>
      <w:pPr>
        <w:pStyle w:val="ListParagraph"/>
        <w:numPr>
          <w:ilvl w:val="0"/>
          <w:numId w:val="1"/>
        </w:numPr>
        <w:tabs>
          <w:tab w:pos="949" w:val="left" w:leader="none"/>
          <w:tab w:pos="951" w:val="left" w:leader="none"/>
          <w:tab w:pos="9123" w:val="left" w:leader="dot"/>
        </w:tabs>
        <w:spacing w:line="201" w:lineRule="exact" w:before="0" w:after="0"/>
        <w:ind w:left="950" w:right="0" w:hanging="455"/>
        <w:jc w:val="left"/>
        <w:rPr>
          <w:sz w:val="21"/>
        </w:rPr>
      </w:pPr>
      <w:r>
        <w:rPr>
          <w:spacing w:val="-4"/>
          <w:sz w:val="21"/>
        </w:rPr>
        <w:t>本</w:t>
      </w:r>
      <w:r>
        <w:rPr>
          <w:spacing w:val="-4"/>
          <w:sz w:val="21"/>
        </w:rPr>
        <w:t>合</w:t>
      </w:r>
      <w:r>
        <w:rPr>
          <w:spacing w:val="-4"/>
          <w:sz w:val="21"/>
        </w:rPr>
        <w:t>同有责任免除条款，</w:t>
      </w:r>
      <w:r>
        <w:rPr>
          <w:spacing w:val="-4"/>
          <w:sz w:val="21"/>
        </w:rPr>
        <w:t>请</w:t>
      </w:r>
      <w:r>
        <w:rPr>
          <w:spacing w:val="-4"/>
          <w:sz w:val="21"/>
        </w:rPr>
        <w:t>您</w:t>
      </w:r>
      <w:r>
        <w:rPr>
          <w:spacing w:val="-4"/>
          <w:sz w:val="21"/>
        </w:rPr>
        <w:t>注</w:t>
      </w:r>
      <w:r>
        <w:rPr>
          <w:spacing w:val="-10"/>
          <w:sz w:val="21"/>
        </w:rPr>
        <w:t>意</w:t>
      </w:r>
      <w:r>
        <w:rPr>
          <w:rFonts w:ascii="Times New Roman" w:hAnsi="Times New Roman" w:eastAsia="Times New Roman"/>
          <w:sz w:val="21"/>
        </w:rPr>
        <w:tab/>
      </w:r>
      <w:r>
        <w:rPr>
          <w:spacing w:val="-2"/>
          <w:sz w:val="21"/>
        </w:rPr>
        <w:t>2.6/2.7</w:t>
      </w:r>
    </w:p>
    <w:p>
      <w:pPr>
        <w:pStyle w:val="ListParagraph"/>
        <w:numPr>
          <w:ilvl w:val="0"/>
          <w:numId w:val="1"/>
        </w:numPr>
        <w:tabs>
          <w:tab w:pos="949" w:val="left" w:leader="none"/>
          <w:tab w:pos="951" w:val="left" w:leader="none"/>
          <w:tab w:pos="9857" w:val="right" w:leader="dot"/>
        </w:tabs>
        <w:spacing w:line="240" w:lineRule="auto" w:before="42" w:after="0"/>
        <w:ind w:left="950" w:right="0" w:hanging="455"/>
        <w:jc w:val="left"/>
        <w:rPr>
          <w:sz w:val="21"/>
        </w:rPr>
      </w:pPr>
      <w:r>
        <w:rPr>
          <w:spacing w:val="-4"/>
          <w:sz w:val="21"/>
        </w:rPr>
        <w:t>保</w:t>
      </w:r>
      <w:r>
        <w:rPr>
          <w:spacing w:val="-4"/>
          <w:sz w:val="21"/>
        </w:rPr>
        <w:t>险</w:t>
      </w:r>
      <w:r>
        <w:rPr>
          <w:spacing w:val="-4"/>
          <w:sz w:val="21"/>
        </w:rPr>
        <w:t>事故发生后，请及时</w:t>
      </w:r>
      <w:r>
        <w:rPr>
          <w:spacing w:val="-4"/>
          <w:sz w:val="21"/>
        </w:rPr>
        <w:t>通</w:t>
      </w:r>
      <w:r>
        <w:rPr>
          <w:spacing w:val="-4"/>
          <w:sz w:val="21"/>
        </w:rPr>
        <w:t>知</w:t>
      </w:r>
      <w:r>
        <w:rPr>
          <w:spacing w:val="-4"/>
          <w:sz w:val="21"/>
        </w:rPr>
        <w:t>我</w:t>
      </w:r>
      <w:r>
        <w:rPr>
          <w:spacing w:val="-4"/>
          <w:sz w:val="21"/>
        </w:rPr>
        <w:t>们</w:t>
      </w:r>
      <w:r>
        <w:rPr>
          <w:spacing w:val="-10"/>
          <w:sz w:val="21"/>
        </w:rPr>
        <w:t>…</w:t>
      </w:r>
      <w:r>
        <w:rPr>
          <w:rFonts w:ascii="Times New Roman" w:hAnsi="Times New Roman" w:eastAsia="Times New Roman"/>
          <w:sz w:val="21"/>
        </w:rPr>
        <w:tab/>
      </w:r>
      <w:r>
        <w:rPr>
          <w:spacing w:val="-5"/>
          <w:w w:val="95"/>
          <w:sz w:val="21"/>
        </w:rPr>
        <w:t>3.2</w:t>
      </w:r>
    </w:p>
    <w:p>
      <w:pPr>
        <w:pStyle w:val="ListParagraph"/>
        <w:numPr>
          <w:ilvl w:val="0"/>
          <w:numId w:val="1"/>
        </w:numPr>
        <w:tabs>
          <w:tab w:pos="949" w:val="left" w:leader="none"/>
          <w:tab w:pos="951" w:val="left" w:leader="none"/>
          <w:tab w:pos="9855" w:val="right" w:leader="dot"/>
        </w:tabs>
        <w:spacing w:line="240" w:lineRule="auto" w:before="43" w:after="0"/>
        <w:ind w:left="950" w:right="0" w:hanging="455"/>
        <w:jc w:val="left"/>
        <w:rPr>
          <w:sz w:val="21"/>
        </w:rPr>
      </w:pPr>
      <w:r>
        <w:rPr>
          <w:sz w:val="21"/>
        </w:rPr>
        <w:t>您</w:t>
      </w:r>
      <w:r>
        <w:rPr>
          <w:sz w:val="21"/>
        </w:rPr>
        <w:t>应当按时</w:t>
      </w:r>
      <w:r>
        <w:rPr>
          <w:sz w:val="21"/>
        </w:rPr>
        <w:t>支付保</w:t>
      </w:r>
      <w:r>
        <w:rPr>
          <w:sz w:val="21"/>
        </w:rPr>
        <w:t>险</w:t>
      </w:r>
      <w:r>
        <w:rPr>
          <w:spacing w:val="-10"/>
          <w:sz w:val="21"/>
        </w:rPr>
        <w:t>费</w:t>
      </w:r>
      <w:r>
        <w:rPr>
          <w:rFonts w:ascii="Times New Roman" w:hAnsi="Times New Roman" w:eastAsia="Times New Roman"/>
          <w:sz w:val="21"/>
        </w:rPr>
        <w:tab/>
      </w:r>
      <w:r>
        <w:rPr>
          <w:spacing w:val="-5"/>
          <w:w w:val="95"/>
          <w:sz w:val="21"/>
        </w:rPr>
        <w:t>4.1</w:t>
      </w:r>
    </w:p>
    <w:p>
      <w:pPr>
        <w:pStyle w:val="ListParagraph"/>
        <w:numPr>
          <w:ilvl w:val="0"/>
          <w:numId w:val="1"/>
        </w:numPr>
        <w:tabs>
          <w:tab w:pos="949" w:val="left" w:leader="none"/>
          <w:tab w:pos="951" w:val="left" w:leader="none"/>
          <w:tab w:pos="9857" w:val="right" w:leader="dot"/>
        </w:tabs>
        <w:spacing w:line="240" w:lineRule="auto" w:before="43" w:after="0"/>
        <w:ind w:left="950" w:right="0" w:hanging="455"/>
        <w:jc w:val="left"/>
        <w:rPr>
          <w:sz w:val="21"/>
        </w:rPr>
      </w:pPr>
      <w:r>
        <w:rPr>
          <w:spacing w:val="-4"/>
          <w:sz w:val="21"/>
        </w:rPr>
        <w:t>在</w:t>
      </w:r>
      <w:r>
        <w:rPr>
          <w:spacing w:val="-4"/>
          <w:sz w:val="21"/>
        </w:rPr>
        <w:t>本</w:t>
      </w:r>
      <w:r>
        <w:rPr>
          <w:spacing w:val="-4"/>
          <w:sz w:val="21"/>
        </w:rPr>
        <w:t>合同效力中止期间，</w:t>
      </w:r>
      <w:r>
        <w:rPr>
          <w:spacing w:val="-4"/>
          <w:sz w:val="21"/>
        </w:rPr>
        <w:t>我</w:t>
      </w:r>
      <w:r>
        <w:rPr>
          <w:spacing w:val="-4"/>
          <w:sz w:val="21"/>
        </w:rPr>
        <w:t>们</w:t>
      </w:r>
      <w:r>
        <w:rPr>
          <w:spacing w:val="-4"/>
          <w:sz w:val="21"/>
        </w:rPr>
        <w:t>不承担保险</w:t>
      </w:r>
      <w:r>
        <w:rPr>
          <w:spacing w:val="-4"/>
          <w:sz w:val="21"/>
        </w:rPr>
        <w:t>责</w:t>
      </w:r>
      <w:r>
        <w:rPr>
          <w:spacing w:val="-10"/>
          <w:sz w:val="21"/>
        </w:rPr>
        <w:t>任</w:t>
      </w:r>
      <w:r>
        <w:rPr>
          <w:rFonts w:ascii="Times New Roman" w:hAnsi="Times New Roman" w:eastAsia="Times New Roman"/>
          <w:sz w:val="21"/>
        </w:rPr>
        <w:tab/>
      </w:r>
      <w:r>
        <w:rPr>
          <w:spacing w:val="-5"/>
          <w:w w:val="95"/>
          <w:sz w:val="21"/>
        </w:rPr>
        <w:t>6.1</w:t>
      </w:r>
    </w:p>
    <w:p>
      <w:pPr>
        <w:pStyle w:val="ListParagraph"/>
        <w:numPr>
          <w:ilvl w:val="0"/>
          <w:numId w:val="1"/>
        </w:numPr>
        <w:tabs>
          <w:tab w:pos="949" w:val="left" w:leader="none"/>
          <w:tab w:pos="951" w:val="left" w:leader="none"/>
          <w:tab w:pos="9855" w:val="right" w:leader="dot"/>
        </w:tabs>
        <w:spacing w:line="240" w:lineRule="auto" w:before="43" w:after="0"/>
        <w:ind w:left="950" w:right="0" w:hanging="455"/>
        <w:jc w:val="left"/>
        <w:rPr>
          <w:sz w:val="21"/>
        </w:rPr>
      </w:pPr>
      <w:r>
        <w:rPr>
          <w:spacing w:val="-4"/>
          <w:sz w:val="21"/>
        </w:rPr>
        <w:t>退</w:t>
      </w:r>
      <w:r>
        <w:rPr>
          <w:spacing w:val="-4"/>
          <w:sz w:val="21"/>
        </w:rPr>
        <w:t>保</w:t>
      </w:r>
      <w:r>
        <w:rPr>
          <w:spacing w:val="-4"/>
          <w:sz w:val="21"/>
        </w:rPr>
        <w:t>会给您造成一定的损失，请您慎重决</w:t>
      </w:r>
      <w:r>
        <w:rPr>
          <w:spacing w:val="-4"/>
          <w:sz w:val="21"/>
        </w:rPr>
        <w:t>策</w:t>
      </w:r>
      <w:r>
        <w:rPr>
          <w:spacing w:val="-10"/>
          <w:sz w:val="21"/>
        </w:rPr>
        <w:t>…</w:t>
      </w:r>
      <w:r>
        <w:rPr>
          <w:rFonts w:ascii="Times New Roman" w:hAnsi="Times New Roman" w:eastAsia="Times New Roman"/>
          <w:sz w:val="21"/>
        </w:rPr>
        <w:tab/>
      </w:r>
      <w:r>
        <w:rPr>
          <w:spacing w:val="-5"/>
          <w:sz w:val="21"/>
        </w:rPr>
        <w:t>7.1</w:t>
      </w:r>
    </w:p>
    <w:p>
      <w:pPr>
        <w:pStyle w:val="ListParagraph"/>
        <w:numPr>
          <w:ilvl w:val="0"/>
          <w:numId w:val="1"/>
        </w:numPr>
        <w:tabs>
          <w:tab w:pos="949" w:val="left" w:leader="none"/>
          <w:tab w:pos="951" w:val="left" w:leader="none"/>
          <w:tab w:pos="9855" w:val="right" w:leader="dot"/>
        </w:tabs>
        <w:spacing w:line="255" w:lineRule="exact" w:before="43" w:after="0"/>
        <w:ind w:left="950" w:right="0" w:hanging="455"/>
        <w:jc w:val="left"/>
        <w:rPr>
          <w:sz w:val="21"/>
        </w:rPr>
      </w:pPr>
      <w:r>
        <w:rPr>
          <w:sz w:val="21"/>
        </w:rPr>
        <w:t>您</w:t>
      </w:r>
      <w:r>
        <w:rPr>
          <w:sz w:val="21"/>
        </w:rPr>
        <w:t>有如实告</w:t>
      </w:r>
      <w:r>
        <w:rPr>
          <w:sz w:val="21"/>
        </w:rPr>
        <w:t>知的义</w:t>
      </w:r>
      <w:r>
        <w:rPr>
          <w:spacing w:val="-10"/>
          <w:sz w:val="21"/>
        </w:rPr>
        <w:t>务</w:t>
      </w:r>
      <w:r>
        <w:rPr>
          <w:rFonts w:ascii="Times New Roman" w:hAnsi="Times New Roman" w:eastAsia="Times New Roman"/>
          <w:sz w:val="21"/>
        </w:rPr>
        <w:tab/>
      </w:r>
      <w:r>
        <w:rPr>
          <w:spacing w:val="-5"/>
          <w:w w:val="95"/>
          <w:sz w:val="21"/>
        </w:rPr>
        <w:t>8.1</w:t>
      </w:r>
    </w:p>
    <w:p>
      <w:pPr>
        <w:pStyle w:val="Heading1"/>
        <w:spacing w:line="430" w:lineRule="exact"/>
        <w:ind w:left="212" w:firstLine="0"/>
      </w:pPr>
      <w:r>
        <w:rPr>
          <w:rFonts w:ascii="Wingdings 2" w:hAnsi="Wingdings 2" w:eastAsia="Wingdings 2"/>
          <w:b w:val="0"/>
          <w:position w:val="-11"/>
          <w:sz w:val="52"/>
        </w:rPr>
        <w:t></w:t>
      </w:r>
      <w:r>
        <w:rPr>
          <w:rFonts w:ascii="Times New Roman" w:hAnsi="Times New Roman" w:eastAsia="Times New Roman"/>
          <w:b w:val="0"/>
          <w:spacing w:val="95"/>
          <w:position w:val="-11"/>
          <w:sz w:val="52"/>
        </w:rPr>
        <w:t> </w:t>
      </w:r>
      <w:r>
        <w:rPr>
          <w:spacing w:val="-1"/>
        </w:rPr>
        <w:t>保险条款是保险合同的重要内容，为充分保障您的权益，请您仔细阅读本保险条款。</w:t>
      </w:r>
    </w:p>
    <w:p>
      <w:pPr>
        <w:spacing w:line="359" w:lineRule="exact" w:before="0"/>
        <w:ind w:left="212" w:right="0" w:firstLine="0"/>
        <w:jc w:val="left"/>
        <w:rPr>
          <w:rFonts w:ascii="微软雅黑" w:hAnsi="微软雅黑" w:eastAsia="微软雅黑"/>
          <w:b/>
          <w:sz w:val="21"/>
        </w:rPr>
      </w:pPr>
      <w:r>
        <w:rPr>
          <w:rFonts w:ascii="Wingdings 2" w:hAnsi="Wingdings 2" w:eastAsia="Wingdings 2"/>
          <w:position w:val="-11"/>
          <w:sz w:val="52"/>
        </w:rPr>
        <w:t></w:t>
      </w:r>
      <w:r>
        <w:rPr>
          <w:rFonts w:ascii="Times New Roman" w:hAnsi="Times New Roman" w:eastAsia="Times New Roman"/>
          <w:spacing w:val="44"/>
          <w:w w:val="150"/>
          <w:position w:val="-11"/>
          <w:sz w:val="52"/>
        </w:rPr>
        <w:t> </w:t>
      </w:r>
      <w:r>
        <w:rPr>
          <w:rFonts w:ascii="微软雅黑" w:hAnsi="微软雅黑" w:eastAsia="微软雅黑"/>
          <w:b/>
          <w:spacing w:val="-3"/>
          <w:sz w:val="21"/>
        </w:rPr>
        <w:t>条款目录</w:t>
      </w:r>
    </w:p>
    <w:p>
      <w:pPr>
        <w:spacing w:after="0" w:line="359" w:lineRule="exact"/>
        <w:jc w:val="left"/>
        <w:rPr>
          <w:rFonts w:ascii="微软雅黑" w:hAnsi="微软雅黑" w:eastAsia="微软雅黑"/>
          <w:sz w:val="21"/>
        </w:rPr>
        <w:sectPr>
          <w:type w:val="continuous"/>
          <w:pgSz w:w="11910" w:h="16840"/>
          <w:pgMar w:top="680" w:bottom="280" w:left="920" w:right="440"/>
        </w:sectPr>
      </w:pPr>
    </w:p>
    <w:p>
      <w:pPr>
        <w:pStyle w:val="ListParagraph"/>
        <w:numPr>
          <w:ilvl w:val="0"/>
          <w:numId w:val="2"/>
        </w:numPr>
        <w:tabs>
          <w:tab w:pos="815" w:val="left" w:leader="none"/>
          <w:tab w:pos="3475" w:val="left" w:leader="none"/>
        </w:tabs>
        <w:spacing w:line="241" w:lineRule="exact" w:before="0" w:after="0"/>
        <w:ind w:left="814" w:right="0" w:hanging="319"/>
        <w:jc w:val="left"/>
        <w:rPr>
          <w:sz w:val="21"/>
        </w:rPr>
      </w:pPr>
      <w:r>
        <w:rPr>
          <w:spacing w:val="-2"/>
          <w:sz w:val="21"/>
          <w:u w:val="single"/>
        </w:rPr>
        <w:t>您与我们订立的合</w:t>
      </w:r>
      <w:r>
        <w:rPr>
          <w:spacing w:val="-10"/>
          <w:sz w:val="21"/>
          <w:u w:val="single"/>
        </w:rPr>
        <w:t>同</w:t>
      </w:r>
      <w:r>
        <w:rPr>
          <w:sz w:val="21"/>
          <w:u w:val="single"/>
        </w:rPr>
        <w:tab/>
      </w:r>
    </w:p>
    <w:p>
      <w:pPr>
        <w:pStyle w:val="ListParagraph"/>
        <w:numPr>
          <w:ilvl w:val="1"/>
          <w:numId w:val="2"/>
        </w:numPr>
        <w:tabs>
          <w:tab w:pos="919" w:val="left" w:leader="none"/>
        </w:tabs>
        <w:spacing w:line="240" w:lineRule="auto" w:before="50" w:after="0"/>
        <w:ind w:left="918" w:right="0" w:hanging="423"/>
        <w:jc w:val="left"/>
        <w:rPr>
          <w:sz w:val="21"/>
        </w:rPr>
      </w:pPr>
      <w:r>
        <w:rPr>
          <w:spacing w:val="-4"/>
          <w:sz w:val="21"/>
        </w:rPr>
        <w:t>合同构成</w:t>
      </w:r>
    </w:p>
    <w:p>
      <w:pPr>
        <w:pStyle w:val="ListParagraph"/>
        <w:numPr>
          <w:ilvl w:val="1"/>
          <w:numId w:val="2"/>
        </w:numPr>
        <w:tabs>
          <w:tab w:pos="919" w:val="left" w:leader="none"/>
        </w:tabs>
        <w:spacing w:line="240" w:lineRule="auto" w:before="52" w:after="0"/>
        <w:ind w:left="918" w:right="0" w:hanging="423"/>
        <w:jc w:val="left"/>
        <w:rPr>
          <w:sz w:val="21"/>
        </w:rPr>
      </w:pPr>
      <w:r>
        <w:rPr>
          <w:spacing w:val="-4"/>
          <w:sz w:val="21"/>
        </w:rPr>
        <w:t>合同成立与生效</w:t>
      </w:r>
    </w:p>
    <w:p>
      <w:pPr>
        <w:pStyle w:val="ListParagraph"/>
        <w:numPr>
          <w:ilvl w:val="1"/>
          <w:numId w:val="2"/>
        </w:numPr>
        <w:tabs>
          <w:tab w:pos="919" w:val="left" w:leader="none"/>
        </w:tabs>
        <w:spacing w:line="240" w:lineRule="auto" w:before="51" w:after="0"/>
        <w:ind w:left="918" w:right="0" w:hanging="423"/>
        <w:jc w:val="left"/>
        <w:rPr>
          <w:sz w:val="21"/>
        </w:rPr>
      </w:pPr>
      <w:r>
        <w:rPr>
          <w:spacing w:val="-4"/>
          <w:sz w:val="21"/>
        </w:rPr>
        <w:t>合同终止</w:t>
      </w:r>
    </w:p>
    <w:p>
      <w:pPr>
        <w:pStyle w:val="ListParagraph"/>
        <w:numPr>
          <w:ilvl w:val="1"/>
          <w:numId w:val="2"/>
        </w:numPr>
        <w:tabs>
          <w:tab w:pos="919" w:val="left" w:leader="none"/>
        </w:tabs>
        <w:spacing w:line="240" w:lineRule="auto" w:before="50" w:after="0"/>
        <w:ind w:left="918" w:right="0" w:hanging="423"/>
        <w:jc w:val="left"/>
        <w:rPr>
          <w:sz w:val="21"/>
        </w:rPr>
      </w:pPr>
      <w:r>
        <w:rPr>
          <w:spacing w:val="-4"/>
          <w:sz w:val="21"/>
        </w:rPr>
        <w:t>投保年龄</w:t>
      </w:r>
    </w:p>
    <w:p>
      <w:pPr>
        <w:pStyle w:val="ListParagraph"/>
        <w:numPr>
          <w:ilvl w:val="1"/>
          <w:numId w:val="2"/>
        </w:numPr>
        <w:tabs>
          <w:tab w:pos="919" w:val="left" w:leader="none"/>
        </w:tabs>
        <w:spacing w:line="240" w:lineRule="auto" w:before="53" w:after="0"/>
        <w:ind w:left="918" w:right="0" w:hanging="423"/>
        <w:jc w:val="left"/>
        <w:rPr>
          <w:sz w:val="21"/>
        </w:rPr>
      </w:pPr>
      <w:r>
        <w:rPr>
          <w:spacing w:val="-5"/>
          <w:sz w:val="21"/>
        </w:rPr>
        <w:t>犹豫期</w:t>
      </w:r>
    </w:p>
    <w:p>
      <w:pPr>
        <w:pStyle w:val="ListParagraph"/>
        <w:numPr>
          <w:ilvl w:val="0"/>
          <w:numId w:val="2"/>
        </w:numPr>
        <w:tabs>
          <w:tab w:pos="815" w:val="left" w:leader="none"/>
          <w:tab w:pos="3475" w:val="left" w:leader="none"/>
        </w:tabs>
        <w:spacing w:line="240" w:lineRule="auto" w:before="50" w:after="0"/>
        <w:ind w:left="814" w:right="0" w:hanging="319"/>
        <w:jc w:val="left"/>
        <w:rPr>
          <w:sz w:val="21"/>
        </w:rPr>
      </w:pPr>
      <w:r>
        <w:rPr>
          <w:spacing w:val="-2"/>
          <w:sz w:val="21"/>
          <w:u w:val="single"/>
        </w:rPr>
        <w:t>我们提供的保</w:t>
      </w:r>
      <w:r>
        <w:rPr>
          <w:spacing w:val="-10"/>
          <w:sz w:val="21"/>
          <w:u w:val="single"/>
        </w:rPr>
        <w:t>障</w:t>
      </w:r>
      <w:r>
        <w:rPr>
          <w:sz w:val="21"/>
          <w:u w:val="single"/>
        </w:rPr>
        <w:tab/>
      </w:r>
    </w:p>
    <w:p>
      <w:pPr>
        <w:pStyle w:val="ListParagraph"/>
        <w:numPr>
          <w:ilvl w:val="1"/>
          <w:numId w:val="2"/>
        </w:numPr>
        <w:tabs>
          <w:tab w:pos="919" w:val="left" w:leader="none"/>
        </w:tabs>
        <w:spacing w:line="240" w:lineRule="auto" w:before="50" w:after="0"/>
        <w:ind w:left="918" w:right="0" w:hanging="423"/>
        <w:jc w:val="left"/>
        <w:rPr>
          <w:sz w:val="21"/>
        </w:rPr>
      </w:pPr>
      <w:r>
        <w:rPr>
          <w:spacing w:val="-4"/>
          <w:sz w:val="21"/>
        </w:rPr>
        <w:t>基本保险金额</w:t>
      </w:r>
    </w:p>
    <w:p>
      <w:pPr>
        <w:pStyle w:val="ListParagraph"/>
        <w:numPr>
          <w:ilvl w:val="1"/>
          <w:numId w:val="2"/>
        </w:numPr>
        <w:tabs>
          <w:tab w:pos="919" w:val="left" w:leader="none"/>
        </w:tabs>
        <w:spacing w:line="240" w:lineRule="auto" w:before="52" w:after="0"/>
        <w:ind w:left="918" w:right="0" w:hanging="423"/>
        <w:jc w:val="left"/>
        <w:rPr>
          <w:sz w:val="21"/>
        </w:rPr>
      </w:pPr>
      <w:r>
        <w:rPr>
          <w:spacing w:val="-3"/>
          <w:sz w:val="21"/>
        </w:rPr>
        <w:t>未成年人身故保险金限制</w:t>
      </w:r>
    </w:p>
    <w:p>
      <w:pPr>
        <w:pStyle w:val="ListParagraph"/>
        <w:numPr>
          <w:ilvl w:val="1"/>
          <w:numId w:val="2"/>
        </w:numPr>
        <w:tabs>
          <w:tab w:pos="919" w:val="left" w:leader="none"/>
        </w:tabs>
        <w:spacing w:line="240" w:lineRule="auto" w:before="51" w:after="0"/>
        <w:ind w:left="918" w:right="0" w:hanging="423"/>
        <w:jc w:val="left"/>
        <w:rPr>
          <w:sz w:val="21"/>
        </w:rPr>
      </w:pPr>
      <w:r>
        <w:rPr>
          <w:spacing w:val="-4"/>
          <w:sz w:val="21"/>
        </w:rPr>
        <w:t>保险期间</w:t>
      </w:r>
    </w:p>
    <w:p>
      <w:pPr>
        <w:pStyle w:val="ListParagraph"/>
        <w:numPr>
          <w:ilvl w:val="1"/>
          <w:numId w:val="3"/>
        </w:numPr>
        <w:tabs>
          <w:tab w:pos="669" w:val="left" w:leader="none"/>
        </w:tabs>
        <w:spacing w:line="241" w:lineRule="exact" w:before="0" w:after="0"/>
        <w:ind w:left="668" w:right="0" w:hanging="424"/>
        <w:jc w:val="left"/>
        <w:rPr>
          <w:sz w:val="21"/>
        </w:rPr>
      </w:pPr>
      <w:r>
        <w:rPr>
          <w:spacing w:val="-3"/>
          <w:sz w:val="21"/>
        </w:rPr>
        <w:br w:type="column"/>
      </w:r>
      <w:r>
        <w:rPr>
          <w:spacing w:val="-4"/>
          <w:sz w:val="21"/>
        </w:rPr>
        <w:t>保险金给付</w:t>
      </w:r>
    </w:p>
    <w:p>
      <w:pPr>
        <w:pStyle w:val="ListParagraph"/>
        <w:numPr>
          <w:ilvl w:val="1"/>
          <w:numId w:val="3"/>
        </w:numPr>
        <w:tabs>
          <w:tab w:pos="669" w:val="left" w:leader="none"/>
        </w:tabs>
        <w:spacing w:line="240" w:lineRule="auto" w:before="50" w:after="0"/>
        <w:ind w:left="668" w:right="0" w:hanging="424"/>
        <w:jc w:val="left"/>
        <w:rPr>
          <w:sz w:val="21"/>
        </w:rPr>
      </w:pPr>
      <w:r>
        <w:rPr>
          <w:spacing w:val="-4"/>
          <w:sz w:val="21"/>
        </w:rPr>
        <w:t>宣告死亡处理</w:t>
      </w:r>
    </w:p>
    <w:p>
      <w:pPr>
        <w:pStyle w:val="ListParagraph"/>
        <w:numPr>
          <w:ilvl w:val="1"/>
          <w:numId w:val="3"/>
        </w:numPr>
        <w:tabs>
          <w:tab w:pos="669" w:val="left" w:leader="none"/>
        </w:tabs>
        <w:spacing w:line="240" w:lineRule="auto" w:before="52" w:after="0"/>
        <w:ind w:left="668" w:right="0" w:hanging="424"/>
        <w:jc w:val="left"/>
        <w:rPr>
          <w:sz w:val="21"/>
        </w:rPr>
      </w:pPr>
      <w:r>
        <w:rPr>
          <w:spacing w:val="-4"/>
          <w:sz w:val="21"/>
        </w:rPr>
        <w:t>诉讼时效</w:t>
      </w:r>
    </w:p>
    <w:p>
      <w:pPr>
        <w:pStyle w:val="ListParagraph"/>
        <w:numPr>
          <w:ilvl w:val="0"/>
          <w:numId w:val="4"/>
        </w:numPr>
        <w:tabs>
          <w:tab w:pos="563" w:val="left" w:leader="none"/>
          <w:tab w:pos="3224" w:val="left" w:leader="none"/>
        </w:tabs>
        <w:spacing w:line="240" w:lineRule="auto" w:before="51" w:after="0"/>
        <w:ind w:left="562" w:right="0" w:hanging="318"/>
        <w:jc w:val="left"/>
        <w:rPr>
          <w:sz w:val="21"/>
        </w:rPr>
      </w:pPr>
      <w:r>
        <w:rPr>
          <w:spacing w:val="-2"/>
          <w:sz w:val="21"/>
          <w:u w:val="single"/>
        </w:rPr>
        <w:t>保险费的支</w:t>
      </w:r>
      <w:r>
        <w:rPr>
          <w:spacing w:val="-10"/>
          <w:sz w:val="21"/>
          <w:u w:val="single"/>
        </w:rPr>
        <w:t>付</w:t>
      </w:r>
      <w:r>
        <w:rPr>
          <w:sz w:val="21"/>
          <w:u w:val="single"/>
        </w:rPr>
        <w:tab/>
      </w:r>
    </w:p>
    <w:p>
      <w:pPr>
        <w:pStyle w:val="ListParagraph"/>
        <w:numPr>
          <w:ilvl w:val="1"/>
          <w:numId w:val="4"/>
        </w:numPr>
        <w:tabs>
          <w:tab w:pos="669" w:val="left" w:leader="none"/>
        </w:tabs>
        <w:spacing w:line="240" w:lineRule="auto" w:before="50" w:after="0"/>
        <w:ind w:left="668" w:right="0" w:hanging="424"/>
        <w:jc w:val="left"/>
        <w:rPr>
          <w:sz w:val="21"/>
        </w:rPr>
      </w:pPr>
      <w:r>
        <w:rPr>
          <w:spacing w:val="-4"/>
          <w:sz w:val="21"/>
        </w:rPr>
        <w:t>保险费的支付</w:t>
      </w:r>
    </w:p>
    <w:p>
      <w:pPr>
        <w:pStyle w:val="ListParagraph"/>
        <w:numPr>
          <w:ilvl w:val="1"/>
          <w:numId w:val="4"/>
        </w:numPr>
        <w:tabs>
          <w:tab w:pos="669" w:val="left" w:leader="none"/>
        </w:tabs>
        <w:spacing w:line="240" w:lineRule="auto" w:before="53" w:after="0"/>
        <w:ind w:left="668" w:right="0" w:hanging="424"/>
        <w:jc w:val="left"/>
        <w:rPr>
          <w:sz w:val="21"/>
        </w:rPr>
      </w:pPr>
      <w:r>
        <w:rPr>
          <w:spacing w:val="-5"/>
          <w:sz w:val="21"/>
        </w:rPr>
        <w:t>宽限期</w:t>
      </w:r>
    </w:p>
    <w:p>
      <w:pPr>
        <w:pStyle w:val="ListParagraph"/>
        <w:numPr>
          <w:ilvl w:val="0"/>
          <w:numId w:val="4"/>
        </w:numPr>
        <w:tabs>
          <w:tab w:pos="564" w:val="left" w:leader="none"/>
          <w:tab w:pos="3224" w:val="left" w:leader="none"/>
        </w:tabs>
        <w:spacing w:line="240" w:lineRule="auto" w:before="50" w:after="0"/>
        <w:ind w:left="563" w:right="0" w:hanging="319"/>
        <w:jc w:val="left"/>
        <w:rPr>
          <w:sz w:val="21"/>
        </w:rPr>
      </w:pPr>
      <w:r>
        <w:rPr>
          <w:spacing w:val="-2"/>
          <w:sz w:val="21"/>
          <w:u w:val="single"/>
        </w:rPr>
        <w:t>现金价值权</w:t>
      </w:r>
      <w:r>
        <w:rPr>
          <w:spacing w:val="-10"/>
          <w:sz w:val="21"/>
          <w:u w:val="single"/>
        </w:rPr>
        <w:t>益</w:t>
      </w:r>
      <w:r>
        <w:rPr>
          <w:sz w:val="21"/>
          <w:u w:val="single"/>
        </w:rPr>
        <w:tab/>
      </w:r>
    </w:p>
    <w:p>
      <w:pPr>
        <w:pStyle w:val="ListParagraph"/>
        <w:numPr>
          <w:ilvl w:val="1"/>
          <w:numId w:val="4"/>
        </w:numPr>
        <w:tabs>
          <w:tab w:pos="669" w:val="left" w:leader="none"/>
        </w:tabs>
        <w:spacing w:line="240" w:lineRule="auto" w:before="50" w:after="0"/>
        <w:ind w:left="668" w:right="0" w:hanging="424"/>
        <w:jc w:val="left"/>
        <w:rPr>
          <w:sz w:val="21"/>
        </w:rPr>
      </w:pPr>
      <w:r>
        <w:rPr>
          <w:spacing w:val="-4"/>
          <w:sz w:val="21"/>
        </w:rPr>
        <w:t>现金价值</w:t>
      </w:r>
    </w:p>
    <w:p>
      <w:pPr>
        <w:pStyle w:val="ListParagraph"/>
        <w:numPr>
          <w:ilvl w:val="1"/>
          <w:numId w:val="4"/>
        </w:numPr>
        <w:tabs>
          <w:tab w:pos="669" w:val="left" w:leader="none"/>
        </w:tabs>
        <w:spacing w:line="240" w:lineRule="auto" w:before="52" w:after="0"/>
        <w:ind w:left="668" w:right="0" w:hanging="424"/>
        <w:jc w:val="left"/>
        <w:rPr>
          <w:sz w:val="21"/>
        </w:rPr>
      </w:pPr>
      <w:r>
        <w:rPr>
          <w:spacing w:val="-4"/>
          <w:sz w:val="21"/>
        </w:rPr>
        <w:t>保单贷款</w:t>
      </w:r>
    </w:p>
    <w:p>
      <w:pPr>
        <w:pStyle w:val="ListParagraph"/>
        <w:numPr>
          <w:ilvl w:val="1"/>
          <w:numId w:val="4"/>
        </w:numPr>
        <w:tabs>
          <w:tab w:pos="671" w:val="left" w:leader="none"/>
        </w:tabs>
        <w:spacing w:line="240" w:lineRule="auto" w:before="51" w:after="0"/>
        <w:ind w:left="670" w:right="0" w:hanging="423"/>
        <w:jc w:val="left"/>
        <w:rPr>
          <w:sz w:val="21"/>
        </w:rPr>
      </w:pPr>
      <w:r>
        <w:rPr>
          <w:spacing w:val="-4"/>
          <w:sz w:val="21"/>
        </w:rPr>
        <w:t>保险费自动垫交</w:t>
      </w:r>
    </w:p>
    <w:p>
      <w:pPr>
        <w:pStyle w:val="ListParagraph"/>
        <w:numPr>
          <w:ilvl w:val="0"/>
          <w:numId w:val="5"/>
        </w:numPr>
        <w:tabs>
          <w:tab w:pos="564" w:val="left" w:leader="none"/>
          <w:tab w:pos="3221" w:val="left" w:leader="none"/>
        </w:tabs>
        <w:spacing w:line="241" w:lineRule="exact" w:before="0" w:after="0"/>
        <w:ind w:left="563" w:right="0" w:hanging="319"/>
        <w:jc w:val="left"/>
        <w:rPr>
          <w:sz w:val="21"/>
        </w:rPr>
      </w:pPr>
      <w:r>
        <w:rPr>
          <w:spacing w:val="-3"/>
          <w:sz w:val="21"/>
          <w:u w:val="single"/>
        </w:rPr>
        <w:br w:type="column"/>
      </w:r>
      <w:r>
        <w:rPr>
          <w:spacing w:val="-2"/>
          <w:sz w:val="21"/>
          <w:u w:val="single"/>
        </w:rPr>
        <w:t>其他需要关注的事</w:t>
      </w:r>
      <w:r>
        <w:rPr>
          <w:spacing w:val="-10"/>
          <w:sz w:val="21"/>
          <w:u w:val="single"/>
        </w:rPr>
        <w:t>项</w:t>
      </w:r>
      <w:r>
        <w:rPr>
          <w:sz w:val="21"/>
          <w:u w:val="single"/>
        </w:rPr>
        <w:tab/>
      </w:r>
    </w:p>
    <w:p>
      <w:pPr>
        <w:pStyle w:val="ListParagraph"/>
        <w:numPr>
          <w:ilvl w:val="1"/>
          <w:numId w:val="5"/>
        </w:numPr>
        <w:tabs>
          <w:tab w:pos="668" w:val="left" w:leader="none"/>
        </w:tabs>
        <w:spacing w:line="240" w:lineRule="auto" w:before="50" w:after="0"/>
        <w:ind w:left="668" w:right="0" w:hanging="423"/>
        <w:jc w:val="left"/>
        <w:rPr>
          <w:sz w:val="21"/>
        </w:rPr>
      </w:pPr>
      <w:r>
        <w:rPr>
          <w:spacing w:val="-4"/>
          <w:sz w:val="21"/>
        </w:rPr>
        <w:t>年龄性别错误</w:t>
      </w:r>
    </w:p>
    <w:p>
      <w:pPr>
        <w:pStyle w:val="ListParagraph"/>
        <w:numPr>
          <w:ilvl w:val="1"/>
          <w:numId w:val="5"/>
        </w:numPr>
        <w:tabs>
          <w:tab w:pos="668" w:val="left" w:leader="none"/>
        </w:tabs>
        <w:spacing w:line="240" w:lineRule="auto" w:before="52" w:after="0"/>
        <w:ind w:left="668" w:right="0" w:hanging="423"/>
        <w:jc w:val="left"/>
        <w:rPr>
          <w:sz w:val="21"/>
        </w:rPr>
      </w:pPr>
      <w:r>
        <w:rPr>
          <w:spacing w:val="-4"/>
          <w:sz w:val="21"/>
        </w:rPr>
        <w:t>未还款项</w:t>
      </w:r>
    </w:p>
    <w:p>
      <w:pPr>
        <w:pStyle w:val="ListParagraph"/>
        <w:numPr>
          <w:ilvl w:val="1"/>
          <w:numId w:val="5"/>
        </w:numPr>
        <w:tabs>
          <w:tab w:pos="668" w:val="left" w:leader="none"/>
        </w:tabs>
        <w:spacing w:line="240" w:lineRule="auto" w:before="51" w:after="0"/>
        <w:ind w:left="668" w:right="0" w:hanging="423"/>
        <w:jc w:val="left"/>
        <w:rPr>
          <w:sz w:val="21"/>
        </w:rPr>
      </w:pPr>
      <w:r>
        <w:rPr>
          <w:spacing w:val="-4"/>
          <w:sz w:val="21"/>
        </w:rPr>
        <w:t>合同内容变更</w:t>
      </w:r>
    </w:p>
    <w:p>
      <w:pPr>
        <w:pStyle w:val="ListParagraph"/>
        <w:numPr>
          <w:ilvl w:val="1"/>
          <w:numId w:val="5"/>
        </w:numPr>
        <w:tabs>
          <w:tab w:pos="668" w:val="left" w:leader="none"/>
        </w:tabs>
        <w:spacing w:line="240" w:lineRule="auto" w:before="50" w:after="0"/>
        <w:ind w:left="668" w:right="0" w:hanging="423"/>
        <w:jc w:val="left"/>
        <w:rPr>
          <w:sz w:val="21"/>
        </w:rPr>
      </w:pPr>
      <w:r>
        <w:rPr>
          <w:spacing w:val="-4"/>
          <w:sz w:val="21"/>
        </w:rPr>
        <w:t>联系方式变更</w:t>
      </w:r>
    </w:p>
    <w:p>
      <w:pPr>
        <w:pStyle w:val="ListParagraph"/>
        <w:numPr>
          <w:ilvl w:val="1"/>
          <w:numId w:val="5"/>
        </w:numPr>
        <w:tabs>
          <w:tab w:pos="668" w:val="left" w:leader="none"/>
        </w:tabs>
        <w:spacing w:line="240" w:lineRule="auto" w:before="53" w:after="0"/>
        <w:ind w:left="668" w:right="0" w:hanging="423"/>
        <w:jc w:val="left"/>
        <w:rPr>
          <w:sz w:val="21"/>
        </w:rPr>
      </w:pPr>
      <w:r>
        <w:rPr>
          <w:spacing w:val="-4"/>
          <w:sz w:val="21"/>
        </w:rPr>
        <w:t>争议处理</w:t>
      </w:r>
    </w:p>
    <w:p>
      <w:pPr>
        <w:pStyle w:val="ListParagraph"/>
        <w:numPr>
          <w:ilvl w:val="0"/>
          <w:numId w:val="5"/>
        </w:numPr>
        <w:tabs>
          <w:tab w:pos="669" w:val="left" w:leader="none"/>
          <w:tab w:pos="3221" w:val="left" w:leader="none"/>
        </w:tabs>
        <w:spacing w:line="240" w:lineRule="auto" w:before="50" w:after="0"/>
        <w:ind w:left="669" w:right="0" w:hanging="424"/>
        <w:jc w:val="left"/>
        <w:rPr>
          <w:sz w:val="21"/>
        </w:rPr>
      </w:pPr>
      <w:r>
        <w:rPr>
          <w:spacing w:val="-2"/>
          <w:sz w:val="21"/>
          <w:u w:val="single"/>
        </w:rPr>
        <w:t>重大疾病的定</w:t>
      </w:r>
      <w:r>
        <w:rPr>
          <w:spacing w:val="-10"/>
          <w:sz w:val="21"/>
          <w:u w:val="single"/>
        </w:rPr>
        <w:t>义</w:t>
      </w:r>
      <w:r>
        <w:rPr>
          <w:sz w:val="21"/>
          <w:u w:val="single"/>
        </w:rPr>
        <w:tab/>
      </w:r>
    </w:p>
    <w:p>
      <w:pPr>
        <w:pStyle w:val="ListParagraph"/>
        <w:numPr>
          <w:ilvl w:val="1"/>
          <w:numId w:val="5"/>
        </w:numPr>
        <w:tabs>
          <w:tab w:pos="772" w:val="left" w:leader="none"/>
        </w:tabs>
        <w:spacing w:line="240" w:lineRule="auto" w:before="50" w:after="0"/>
        <w:ind w:left="771" w:right="0" w:hanging="527"/>
        <w:jc w:val="left"/>
        <w:rPr>
          <w:sz w:val="21"/>
        </w:rPr>
      </w:pPr>
      <w:r>
        <w:rPr>
          <w:spacing w:val="-4"/>
          <w:sz w:val="21"/>
        </w:rPr>
        <w:t>重大疾病的定义</w:t>
      </w:r>
    </w:p>
    <w:p>
      <w:pPr>
        <w:pStyle w:val="ListParagraph"/>
        <w:numPr>
          <w:ilvl w:val="0"/>
          <w:numId w:val="5"/>
        </w:numPr>
        <w:tabs>
          <w:tab w:pos="669" w:val="left" w:leader="none"/>
          <w:tab w:pos="3221" w:val="left" w:leader="none"/>
        </w:tabs>
        <w:spacing w:line="240" w:lineRule="auto" w:before="52" w:after="0"/>
        <w:ind w:left="669" w:right="0" w:hanging="424"/>
        <w:jc w:val="left"/>
        <w:rPr>
          <w:sz w:val="21"/>
        </w:rPr>
      </w:pPr>
      <w:r>
        <w:rPr>
          <w:spacing w:val="-2"/>
          <w:sz w:val="21"/>
          <w:u w:val="single"/>
        </w:rPr>
        <w:t>中症疾病的定</w:t>
      </w:r>
      <w:r>
        <w:rPr>
          <w:spacing w:val="-10"/>
          <w:sz w:val="21"/>
          <w:u w:val="single"/>
        </w:rPr>
        <w:t>义</w:t>
      </w:r>
      <w:r>
        <w:rPr>
          <w:sz w:val="21"/>
          <w:u w:val="single"/>
        </w:rPr>
        <w:tab/>
      </w:r>
    </w:p>
    <w:p>
      <w:pPr>
        <w:pStyle w:val="ListParagraph"/>
        <w:numPr>
          <w:ilvl w:val="1"/>
          <w:numId w:val="5"/>
        </w:numPr>
        <w:tabs>
          <w:tab w:pos="772" w:val="left" w:leader="none"/>
        </w:tabs>
        <w:spacing w:line="240" w:lineRule="auto" w:before="51" w:after="0"/>
        <w:ind w:left="771" w:right="0" w:hanging="527"/>
        <w:jc w:val="left"/>
        <w:rPr>
          <w:sz w:val="21"/>
        </w:rPr>
      </w:pPr>
      <w:r>
        <w:rPr>
          <w:spacing w:val="-4"/>
          <w:sz w:val="21"/>
        </w:rPr>
        <w:t>中症疾病的定义</w:t>
      </w:r>
    </w:p>
    <w:p>
      <w:pPr>
        <w:spacing w:after="0" w:line="240" w:lineRule="auto"/>
        <w:jc w:val="left"/>
        <w:rPr>
          <w:sz w:val="21"/>
        </w:rPr>
        <w:sectPr>
          <w:type w:val="continuous"/>
          <w:pgSz w:w="11910" w:h="16840"/>
          <w:pgMar w:top="680" w:bottom="280" w:left="920" w:right="440"/>
          <w:cols w:num="3" w:equalWidth="0">
            <w:col w:w="3476" w:space="40"/>
            <w:col w:w="3225" w:space="39"/>
            <w:col w:w="3770"/>
          </w:cols>
        </w:sectPr>
      </w:pPr>
    </w:p>
    <w:p>
      <w:pPr>
        <w:pStyle w:val="BodyText"/>
        <w:spacing w:before="1"/>
        <w:ind w:left="0"/>
        <w:rPr>
          <w:sz w:val="6"/>
        </w:rPr>
      </w:pPr>
    </w:p>
    <w:tbl>
      <w:tblPr>
        <w:tblW w:w="0" w:type="auto"/>
        <w:jc w:val="left"/>
        <w:tblInd w:w="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105"/>
        <w:gridCol w:w="3911"/>
        <w:gridCol w:w="3169"/>
      </w:tblGrid>
      <w:tr>
        <w:trPr>
          <w:trHeight w:val="266" w:hRule="atLeast"/>
        </w:trPr>
        <w:tc>
          <w:tcPr>
            <w:tcW w:w="420" w:type="dxa"/>
          </w:tcPr>
          <w:p>
            <w:pPr>
              <w:pStyle w:val="TableParagraph"/>
              <w:spacing w:line="241" w:lineRule="exact"/>
              <w:ind w:right="51"/>
              <w:jc w:val="right"/>
              <w:rPr>
                <w:sz w:val="21"/>
              </w:rPr>
            </w:pPr>
            <w:r>
              <w:rPr>
                <w:spacing w:val="-5"/>
                <w:sz w:val="21"/>
              </w:rPr>
              <w:t>2.4</w:t>
            </w:r>
          </w:p>
        </w:tc>
        <w:tc>
          <w:tcPr>
            <w:tcW w:w="2105" w:type="dxa"/>
          </w:tcPr>
          <w:p>
            <w:pPr>
              <w:pStyle w:val="TableParagraph"/>
              <w:spacing w:line="241" w:lineRule="exact"/>
              <w:ind w:left="52"/>
              <w:rPr>
                <w:sz w:val="21"/>
              </w:rPr>
            </w:pPr>
            <w:r>
              <w:rPr>
                <w:spacing w:val="-5"/>
                <w:sz w:val="21"/>
              </w:rPr>
              <w:t>等待期</w:t>
            </w:r>
          </w:p>
        </w:tc>
        <w:tc>
          <w:tcPr>
            <w:tcW w:w="3911" w:type="dxa"/>
          </w:tcPr>
          <w:p>
            <w:pPr>
              <w:pStyle w:val="TableParagraph"/>
              <w:tabs>
                <w:tab w:pos="3768" w:val="left" w:leader="none"/>
              </w:tabs>
              <w:spacing w:line="241" w:lineRule="exact"/>
              <w:ind w:left="791"/>
              <w:rPr>
                <w:sz w:val="21"/>
              </w:rPr>
            </w:pPr>
            <w:r>
              <w:rPr>
                <w:spacing w:val="-2"/>
                <w:sz w:val="21"/>
                <w:u w:val="single"/>
              </w:rPr>
              <w:t>6．合同效力的中止及恢</w:t>
            </w:r>
            <w:r>
              <w:rPr>
                <w:spacing w:val="-10"/>
                <w:sz w:val="21"/>
                <w:u w:val="single"/>
              </w:rPr>
              <w:t>复</w:t>
            </w:r>
            <w:r>
              <w:rPr>
                <w:sz w:val="21"/>
                <w:u w:val="single"/>
              </w:rPr>
              <w:tab/>
            </w:r>
          </w:p>
        </w:tc>
        <w:tc>
          <w:tcPr>
            <w:tcW w:w="3169" w:type="dxa"/>
          </w:tcPr>
          <w:p>
            <w:pPr>
              <w:pStyle w:val="TableParagraph"/>
              <w:tabs>
                <w:tab w:pos="3119" w:val="left" w:leader="none"/>
              </w:tabs>
              <w:spacing w:line="241" w:lineRule="exact"/>
              <w:ind w:left="142"/>
              <w:rPr>
                <w:sz w:val="21"/>
              </w:rPr>
            </w:pPr>
            <w:r>
              <w:rPr>
                <w:spacing w:val="-2"/>
                <w:sz w:val="21"/>
                <w:u w:val="single"/>
              </w:rPr>
              <w:t>12．轻症疾病的定</w:t>
            </w:r>
            <w:r>
              <w:rPr>
                <w:spacing w:val="-10"/>
                <w:sz w:val="21"/>
                <w:u w:val="single"/>
              </w:rPr>
              <w:t>义</w:t>
            </w:r>
            <w:r>
              <w:rPr>
                <w:sz w:val="21"/>
                <w:u w:val="single"/>
              </w:rPr>
              <w:tab/>
            </w:r>
          </w:p>
        </w:tc>
      </w:tr>
      <w:tr>
        <w:trPr>
          <w:trHeight w:val="320" w:hRule="atLeast"/>
        </w:trPr>
        <w:tc>
          <w:tcPr>
            <w:tcW w:w="420" w:type="dxa"/>
          </w:tcPr>
          <w:p>
            <w:pPr>
              <w:pStyle w:val="TableParagraph"/>
              <w:spacing w:before="26"/>
              <w:ind w:right="51"/>
              <w:jc w:val="right"/>
              <w:rPr>
                <w:sz w:val="21"/>
              </w:rPr>
            </w:pPr>
            <w:r>
              <w:rPr>
                <w:spacing w:val="-5"/>
                <w:sz w:val="21"/>
              </w:rPr>
              <w:t>2.5</w:t>
            </w:r>
          </w:p>
        </w:tc>
        <w:tc>
          <w:tcPr>
            <w:tcW w:w="2105" w:type="dxa"/>
          </w:tcPr>
          <w:p>
            <w:pPr>
              <w:pStyle w:val="TableParagraph"/>
              <w:spacing w:before="26"/>
              <w:ind w:left="52"/>
              <w:rPr>
                <w:sz w:val="21"/>
              </w:rPr>
            </w:pPr>
            <w:r>
              <w:rPr>
                <w:spacing w:val="-4"/>
                <w:sz w:val="21"/>
              </w:rPr>
              <w:t>保险责任</w:t>
            </w:r>
          </w:p>
        </w:tc>
        <w:tc>
          <w:tcPr>
            <w:tcW w:w="3911" w:type="dxa"/>
          </w:tcPr>
          <w:p>
            <w:pPr>
              <w:pStyle w:val="TableParagraph"/>
              <w:spacing w:before="26"/>
              <w:ind w:left="791"/>
              <w:rPr>
                <w:sz w:val="21"/>
              </w:rPr>
            </w:pPr>
            <w:r>
              <w:rPr>
                <w:sz w:val="21"/>
              </w:rPr>
              <w:t>6.1</w:t>
            </w:r>
            <w:r>
              <w:rPr>
                <w:spacing w:val="-4"/>
                <w:sz w:val="21"/>
              </w:rPr>
              <w:t> 效力中止</w:t>
            </w:r>
          </w:p>
        </w:tc>
        <w:tc>
          <w:tcPr>
            <w:tcW w:w="3169" w:type="dxa"/>
          </w:tcPr>
          <w:p>
            <w:pPr>
              <w:pStyle w:val="TableParagraph"/>
              <w:spacing w:before="26"/>
              <w:ind w:left="142"/>
              <w:rPr>
                <w:sz w:val="21"/>
              </w:rPr>
            </w:pPr>
            <w:r>
              <w:rPr>
                <w:sz w:val="21"/>
              </w:rPr>
              <w:t>12.1</w:t>
            </w:r>
            <w:r>
              <w:rPr>
                <w:spacing w:val="-4"/>
                <w:sz w:val="21"/>
              </w:rPr>
              <w:t> 轻症疾病的定义</w:t>
            </w:r>
          </w:p>
        </w:tc>
      </w:tr>
      <w:tr>
        <w:trPr>
          <w:trHeight w:val="319" w:hRule="atLeast"/>
        </w:trPr>
        <w:tc>
          <w:tcPr>
            <w:tcW w:w="420" w:type="dxa"/>
          </w:tcPr>
          <w:p>
            <w:pPr>
              <w:pStyle w:val="TableParagraph"/>
              <w:spacing w:before="25"/>
              <w:ind w:right="51"/>
              <w:jc w:val="right"/>
              <w:rPr>
                <w:sz w:val="21"/>
              </w:rPr>
            </w:pPr>
            <w:r>
              <w:rPr>
                <w:spacing w:val="-5"/>
                <w:sz w:val="21"/>
              </w:rPr>
              <w:t>2.6</w:t>
            </w:r>
          </w:p>
        </w:tc>
        <w:tc>
          <w:tcPr>
            <w:tcW w:w="2105" w:type="dxa"/>
          </w:tcPr>
          <w:p>
            <w:pPr>
              <w:pStyle w:val="TableParagraph"/>
              <w:spacing w:before="25"/>
              <w:ind w:left="52"/>
              <w:rPr>
                <w:sz w:val="21"/>
              </w:rPr>
            </w:pPr>
            <w:r>
              <w:rPr>
                <w:spacing w:val="-4"/>
                <w:sz w:val="21"/>
              </w:rPr>
              <w:t>责任免除</w:t>
            </w:r>
          </w:p>
        </w:tc>
        <w:tc>
          <w:tcPr>
            <w:tcW w:w="3911" w:type="dxa"/>
          </w:tcPr>
          <w:p>
            <w:pPr>
              <w:pStyle w:val="TableParagraph"/>
              <w:spacing w:before="25"/>
              <w:ind w:left="791"/>
              <w:rPr>
                <w:sz w:val="21"/>
              </w:rPr>
            </w:pPr>
            <w:r>
              <w:rPr>
                <w:sz w:val="21"/>
              </w:rPr>
              <w:t>6.2</w:t>
            </w:r>
            <w:r>
              <w:rPr>
                <w:spacing w:val="-4"/>
                <w:sz w:val="21"/>
              </w:rPr>
              <w:t> 效力恢复</w:t>
            </w:r>
          </w:p>
        </w:tc>
        <w:tc>
          <w:tcPr>
            <w:tcW w:w="3169" w:type="dxa"/>
          </w:tcPr>
          <w:p>
            <w:pPr>
              <w:pStyle w:val="TableParagraph"/>
              <w:tabs>
                <w:tab w:pos="3119" w:val="left" w:leader="none"/>
              </w:tabs>
              <w:spacing w:before="25"/>
              <w:ind w:left="142"/>
              <w:rPr>
                <w:sz w:val="21"/>
              </w:rPr>
            </w:pPr>
            <w:r>
              <w:rPr>
                <w:spacing w:val="-2"/>
                <w:sz w:val="21"/>
                <w:u w:val="single"/>
              </w:rPr>
              <w:t>13．特定重大疾病的定</w:t>
            </w:r>
            <w:r>
              <w:rPr>
                <w:spacing w:val="-10"/>
                <w:sz w:val="21"/>
                <w:u w:val="single"/>
              </w:rPr>
              <w:t>义</w:t>
            </w:r>
            <w:r>
              <w:rPr>
                <w:sz w:val="21"/>
                <w:u w:val="single"/>
              </w:rPr>
              <w:tab/>
            </w:r>
          </w:p>
        </w:tc>
      </w:tr>
      <w:tr>
        <w:trPr>
          <w:trHeight w:val="265" w:hRule="atLeast"/>
        </w:trPr>
        <w:tc>
          <w:tcPr>
            <w:tcW w:w="420" w:type="dxa"/>
          </w:tcPr>
          <w:p>
            <w:pPr>
              <w:pStyle w:val="TableParagraph"/>
              <w:spacing w:line="220" w:lineRule="exact" w:before="25"/>
              <w:ind w:right="51"/>
              <w:jc w:val="right"/>
              <w:rPr>
                <w:sz w:val="21"/>
              </w:rPr>
            </w:pPr>
            <w:r>
              <w:rPr>
                <w:spacing w:val="-5"/>
                <w:sz w:val="21"/>
              </w:rPr>
              <w:t>2.7</w:t>
            </w:r>
          </w:p>
        </w:tc>
        <w:tc>
          <w:tcPr>
            <w:tcW w:w="2105" w:type="dxa"/>
          </w:tcPr>
          <w:p>
            <w:pPr>
              <w:pStyle w:val="TableParagraph"/>
              <w:spacing w:line="220" w:lineRule="exact" w:before="25"/>
              <w:ind w:left="52"/>
              <w:rPr>
                <w:sz w:val="21"/>
              </w:rPr>
            </w:pPr>
            <w:r>
              <w:rPr>
                <w:spacing w:val="-4"/>
                <w:sz w:val="21"/>
              </w:rPr>
              <w:t>其他责任免除</w:t>
            </w:r>
          </w:p>
        </w:tc>
        <w:tc>
          <w:tcPr>
            <w:tcW w:w="3911" w:type="dxa"/>
          </w:tcPr>
          <w:p>
            <w:pPr>
              <w:pStyle w:val="TableParagraph"/>
              <w:tabs>
                <w:tab w:pos="3732" w:val="left" w:leader="none"/>
              </w:tabs>
              <w:spacing w:line="220" w:lineRule="exact" w:before="25"/>
              <w:ind w:left="791"/>
              <w:rPr>
                <w:sz w:val="21"/>
              </w:rPr>
            </w:pPr>
            <w:r>
              <w:rPr>
                <w:spacing w:val="-2"/>
                <w:sz w:val="21"/>
                <w:u w:val="single"/>
              </w:rPr>
              <w:t>7．合同解</w:t>
            </w:r>
            <w:r>
              <w:rPr>
                <w:spacing w:val="-10"/>
                <w:sz w:val="21"/>
                <w:u w:val="single"/>
              </w:rPr>
              <w:t>除</w:t>
            </w:r>
            <w:r>
              <w:rPr>
                <w:sz w:val="21"/>
                <w:u w:val="single"/>
              </w:rPr>
              <w:tab/>
            </w:r>
          </w:p>
        </w:tc>
        <w:tc>
          <w:tcPr>
            <w:tcW w:w="3169" w:type="dxa"/>
          </w:tcPr>
          <w:p>
            <w:pPr>
              <w:pStyle w:val="TableParagraph"/>
              <w:spacing w:line="220" w:lineRule="exact" w:before="25"/>
              <w:ind w:left="142"/>
              <w:rPr>
                <w:sz w:val="21"/>
              </w:rPr>
            </w:pPr>
            <w:r>
              <w:rPr>
                <w:sz w:val="21"/>
              </w:rPr>
              <w:t>13.1</w:t>
            </w:r>
            <w:r>
              <w:rPr>
                <w:spacing w:val="-5"/>
                <w:sz w:val="21"/>
              </w:rPr>
              <w:t> 特定重大疾病的定义</w:t>
            </w:r>
          </w:p>
        </w:tc>
      </w:tr>
    </w:tbl>
    <w:p>
      <w:pPr>
        <w:pStyle w:val="BodyText"/>
        <w:spacing w:before="5"/>
        <w:ind w:left="0"/>
        <w:rPr>
          <w:sz w:val="5"/>
        </w:rPr>
      </w:pPr>
    </w:p>
    <w:p>
      <w:pPr>
        <w:spacing w:after="0"/>
        <w:rPr>
          <w:sz w:val="5"/>
        </w:rPr>
        <w:sectPr>
          <w:type w:val="continuous"/>
          <w:pgSz w:w="11910" w:h="16840"/>
          <w:pgMar w:top="680" w:bottom="280" w:left="920" w:right="440"/>
        </w:sectPr>
      </w:pPr>
    </w:p>
    <w:p>
      <w:pPr>
        <w:pStyle w:val="ListParagraph"/>
        <w:numPr>
          <w:ilvl w:val="0"/>
          <w:numId w:val="6"/>
        </w:numPr>
        <w:tabs>
          <w:tab w:pos="815" w:val="left" w:leader="none"/>
          <w:tab w:pos="3475" w:val="left" w:leader="none"/>
        </w:tabs>
        <w:spacing w:line="240" w:lineRule="auto" w:before="14" w:after="0"/>
        <w:ind w:left="814" w:right="0" w:hanging="319"/>
        <w:jc w:val="left"/>
        <w:rPr>
          <w:sz w:val="21"/>
        </w:rPr>
      </w:pPr>
      <w:r>
        <w:rPr>
          <w:spacing w:val="-2"/>
          <w:sz w:val="21"/>
          <w:u w:val="single"/>
        </w:rPr>
        <w:t>保险金的申</w:t>
      </w:r>
      <w:r>
        <w:rPr>
          <w:spacing w:val="-10"/>
          <w:sz w:val="21"/>
          <w:u w:val="single"/>
        </w:rPr>
        <w:t>请</w:t>
      </w:r>
      <w:r>
        <w:rPr>
          <w:sz w:val="21"/>
          <w:u w:val="single"/>
        </w:rPr>
        <w:tab/>
      </w:r>
    </w:p>
    <w:p>
      <w:pPr>
        <w:pStyle w:val="ListParagraph"/>
        <w:numPr>
          <w:ilvl w:val="1"/>
          <w:numId w:val="6"/>
        </w:numPr>
        <w:tabs>
          <w:tab w:pos="919" w:val="left" w:leader="none"/>
        </w:tabs>
        <w:spacing w:line="240" w:lineRule="auto" w:before="51" w:after="0"/>
        <w:ind w:left="918" w:right="0" w:hanging="423"/>
        <w:jc w:val="left"/>
        <w:rPr>
          <w:sz w:val="21"/>
        </w:rPr>
      </w:pPr>
      <w:r>
        <w:rPr>
          <w:spacing w:val="-5"/>
          <w:sz w:val="21"/>
        </w:rPr>
        <w:t>受益人</w:t>
      </w:r>
    </w:p>
    <w:p>
      <w:pPr>
        <w:pStyle w:val="ListParagraph"/>
        <w:numPr>
          <w:ilvl w:val="1"/>
          <w:numId w:val="6"/>
        </w:numPr>
        <w:tabs>
          <w:tab w:pos="919" w:val="left" w:leader="none"/>
        </w:tabs>
        <w:spacing w:line="240" w:lineRule="auto" w:before="50" w:after="0"/>
        <w:ind w:left="918" w:right="0" w:hanging="423"/>
        <w:jc w:val="left"/>
        <w:rPr>
          <w:sz w:val="21"/>
        </w:rPr>
      </w:pPr>
      <w:r>
        <w:rPr>
          <w:spacing w:val="-4"/>
          <w:sz w:val="21"/>
        </w:rPr>
        <w:t>保险事故通知</w:t>
      </w:r>
    </w:p>
    <w:p>
      <w:pPr>
        <w:pStyle w:val="ListParagraph"/>
        <w:numPr>
          <w:ilvl w:val="1"/>
          <w:numId w:val="6"/>
        </w:numPr>
        <w:tabs>
          <w:tab w:pos="919" w:val="left" w:leader="none"/>
        </w:tabs>
        <w:spacing w:line="240" w:lineRule="auto" w:before="53" w:after="0"/>
        <w:ind w:left="918" w:right="0" w:hanging="423"/>
        <w:jc w:val="left"/>
        <w:rPr>
          <w:sz w:val="21"/>
        </w:rPr>
      </w:pPr>
      <w:r>
        <w:rPr>
          <w:spacing w:val="-4"/>
          <w:sz w:val="21"/>
        </w:rPr>
        <w:t>保险金申请</w:t>
      </w:r>
    </w:p>
    <w:p>
      <w:pPr>
        <w:pStyle w:val="BodyText"/>
        <w:spacing w:before="14"/>
        <w:ind w:left="248"/>
      </w:pPr>
      <w:r>
        <w:rPr/>
        <w:br w:type="column"/>
      </w:r>
      <w:r>
        <w:rPr/>
        <w:t>7.1</w:t>
      </w:r>
      <w:r>
        <w:rPr>
          <w:spacing w:val="-5"/>
        </w:rPr>
        <w:t> 您解除合同的手续及风险</w:t>
      </w:r>
    </w:p>
    <w:p>
      <w:pPr>
        <w:pStyle w:val="ListParagraph"/>
        <w:numPr>
          <w:ilvl w:val="0"/>
          <w:numId w:val="7"/>
        </w:numPr>
        <w:tabs>
          <w:tab w:pos="566" w:val="left" w:leader="none"/>
          <w:tab w:pos="3224" w:val="left" w:leader="none"/>
        </w:tabs>
        <w:spacing w:line="240" w:lineRule="auto" w:before="51" w:after="0"/>
        <w:ind w:left="565" w:right="0" w:hanging="318"/>
        <w:jc w:val="left"/>
        <w:rPr>
          <w:sz w:val="21"/>
        </w:rPr>
      </w:pPr>
      <w:r>
        <w:rPr>
          <w:spacing w:val="-2"/>
          <w:sz w:val="21"/>
          <w:u w:val="single"/>
        </w:rPr>
        <w:t>说明、告知与解除权限</w:t>
      </w:r>
      <w:r>
        <w:rPr>
          <w:spacing w:val="-10"/>
          <w:sz w:val="21"/>
          <w:u w:val="single"/>
        </w:rPr>
        <w:t>制</w:t>
      </w:r>
      <w:r>
        <w:rPr>
          <w:sz w:val="21"/>
          <w:u w:val="single"/>
        </w:rPr>
        <w:tab/>
      </w:r>
    </w:p>
    <w:p>
      <w:pPr>
        <w:pStyle w:val="ListParagraph"/>
        <w:numPr>
          <w:ilvl w:val="1"/>
          <w:numId w:val="7"/>
        </w:numPr>
        <w:tabs>
          <w:tab w:pos="671" w:val="left" w:leader="none"/>
        </w:tabs>
        <w:spacing w:line="240" w:lineRule="auto" w:before="50" w:after="0"/>
        <w:ind w:left="670" w:right="0" w:hanging="423"/>
        <w:jc w:val="left"/>
        <w:rPr>
          <w:sz w:val="21"/>
        </w:rPr>
      </w:pPr>
      <w:r>
        <w:rPr>
          <w:spacing w:val="-3"/>
          <w:sz w:val="21"/>
        </w:rPr>
        <w:t>明确说明与如实告知</w:t>
      </w:r>
    </w:p>
    <w:p>
      <w:pPr>
        <w:pStyle w:val="ListParagraph"/>
        <w:numPr>
          <w:ilvl w:val="1"/>
          <w:numId w:val="7"/>
        </w:numPr>
        <w:tabs>
          <w:tab w:pos="671" w:val="left" w:leader="none"/>
        </w:tabs>
        <w:spacing w:line="240" w:lineRule="auto" w:before="53" w:after="0"/>
        <w:ind w:left="670" w:right="0" w:hanging="423"/>
        <w:jc w:val="left"/>
        <w:rPr>
          <w:sz w:val="21"/>
        </w:rPr>
      </w:pPr>
      <w:r>
        <w:rPr>
          <w:spacing w:val="-3"/>
          <w:sz w:val="21"/>
        </w:rPr>
        <w:t>我们合同解除权的限制</w:t>
      </w:r>
    </w:p>
    <w:p>
      <w:pPr>
        <w:pStyle w:val="ListParagraph"/>
        <w:numPr>
          <w:ilvl w:val="0"/>
          <w:numId w:val="8"/>
        </w:numPr>
        <w:tabs>
          <w:tab w:pos="669" w:val="left" w:leader="none"/>
          <w:tab w:pos="3221" w:val="left" w:leader="none"/>
        </w:tabs>
        <w:spacing w:line="240" w:lineRule="auto" w:before="14" w:after="0"/>
        <w:ind w:left="669" w:right="0" w:hanging="424"/>
        <w:jc w:val="left"/>
        <w:rPr>
          <w:sz w:val="21"/>
        </w:rPr>
      </w:pPr>
      <w:r>
        <w:rPr>
          <w:spacing w:val="-3"/>
          <w:sz w:val="21"/>
          <w:u w:val="single"/>
        </w:rPr>
        <w:br w:type="column"/>
      </w:r>
      <w:r>
        <w:rPr>
          <w:spacing w:val="-2"/>
          <w:sz w:val="21"/>
          <w:u w:val="single"/>
        </w:rPr>
        <w:t>疾病定义来源及术</w:t>
      </w:r>
      <w:r>
        <w:rPr>
          <w:spacing w:val="-10"/>
          <w:sz w:val="21"/>
          <w:u w:val="single"/>
        </w:rPr>
        <w:t>语</w:t>
      </w:r>
      <w:r>
        <w:rPr>
          <w:sz w:val="21"/>
          <w:u w:val="single"/>
        </w:rPr>
        <w:tab/>
      </w:r>
    </w:p>
    <w:p>
      <w:pPr>
        <w:pStyle w:val="ListParagraph"/>
        <w:numPr>
          <w:ilvl w:val="1"/>
          <w:numId w:val="8"/>
        </w:numPr>
        <w:tabs>
          <w:tab w:pos="772" w:val="left" w:leader="none"/>
        </w:tabs>
        <w:spacing w:line="240" w:lineRule="auto" w:before="51" w:after="0"/>
        <w:ind w:left="771" w:right="0" w:hanging="527"/>
        <w:jc w:val="left"/>
        <w:rPr>
          <w:sz w:val="21"/>
        </w:rPr>
      </w:pPr>
      <w:r>
        <w:rPr>
          <w:spacing w:val="-4"/>
          <w:sz w:val="21"/>
        </w:rPr>
        <w:t>定义来源</w:t>
      </w:r>
    </w:p>
    <w:p>
      <w:pPr>
        <w:pStyle w:val="ListParagraph"/>
        <w:numPr>
          <w:ilvl w:val="1"/>
          <w:numId w:val="8"/>
        </w:numPr>
        <w:tabs>
          <w:tab w:pos="774" w:val="left" w:leader="none"/>
        </w:tabs>
        <w:spacing w:line="240" w:lineRule="auto" w:before="50" w:after="0"/>
        <w:ind w:left="773" w:right="0" w:hanging="529"/>
        <w:jc w:val="left"/>
        <w:rPr>
          <w:sz w:val="21"/>
        </w:rPr>
      </w:pPr>
      <w:r>
        <w:rPr>
          <w:spacing w:val="-2"/>
          <w:sz w:val="21"/>
        </w:rPr>
        <w:t>TNM</w:t>
      </w:r>
      <w:r>
        <w:rPr>
          <w:spacing w:val="-21"/>
          <w:sz w:val="21"/>
        </w:rPr>
        <w:t> 分期</w:t>
      </w:r>
    </w:p>
    <w:p>
      <w:pPr>
        <w:pStyle w:val="ListParagraph"/>
        <w:numPr>
          <w:ilvl w:val="1"/>
          <w:numId w:val="8"/>
        </w:numPr>
        <w:tabs>
          <w:tab w:pos="772" w:val="left" w:leader="none"/>
        </w:tabs>
        <w:spacing w:line="240" w:lineRule="auto" w:before="53" w:after="0"/>
        <w:ind w:left="771" w:right="0" w:hanging="527"/>
        <w:jc w:val="left"/>
        <w:rPr>
          <w:sz w:val="21"/>
        </w:rPr>
      </w:pPr>
      <w:r>
        <w:rPr>
          <w:spacing w:val="-11"/>
          <w:sz w:val="21"/>
        </w:rPr>
        <w:t>甲状腺癌的 </w:t>
      </w:r>
      <w:r>
        <w:rPr>
          <w:spacing w:val="-2"/>
          <w:sz w:val="21"/>
        </w:rPr>
        <w:t>TNM</w:t>
      </w:r>
      <w:r>
        <w:rPr>
          <w:spacing w:val="-21"/>
          <w:sz w:val="21"/>
        </w:rPr>
        <w:t> 分期</w:t>
      </w:r>
    </w:p>
    <w:p>
      <w:pPr>
        <w:spacing w:after="0" w:line="240" w:lineRule="auto"/>
        <w:jc w:val="left"/>
        <w:rPr>
          <w:sz w:val="21"/>
        </w:rPr>
        <w:sectPr>
          <w:type w:val="continuous"/>
          <w:pgSz w:w="11910" w:h="16840"/>
          <w:pgMar w:top="680" w:bottom="280" w:left="920" w:right="440"/>
          <w:cols w:num="3" w:equalWidth="0">
            <w:col w:w="3476" w:space="40"/>
            <w:col w:w="3225" w:space="39"/>
            <w:col w:w="3770"/>
          </w:cols>
        </w:sectPr>
      </w:pPr>
    </w:p>
    <w:p>
      <w:pPr>
        <w:spacing w:line="508" w:lineRule="exact" w:before="0"/>
        <w:ind w:left="2233" w:right="2717" w:firstLine="0"/>
        <w:jc w:val="center"/>
        <w:rPr>
          <w:rFonts w:ascii="Microsoft JhengHei" w:eastAsia="Microsoft JhengHei"/>
          <w:b/>
          <w:sz w:val="32"/>
        </w:rPr>
      </w:pPr>
      <w:r>
        <w:rPr>
          <w:rFonts w:ascii="Microsoft JhengHei" w:eastAsia="Microsoft JhengHei"/>
          <w:b/>
          <w:w w:val="95"/>
          <w:sz w:val="32"/>
        </w:rPr>
        <w:t>中</w:t>
      </w:r>
      <w:r>
        <w:rPr>
          <w:rFonts w:ascii="Microsoft JhengHei" w:eastAsia="Microsoft JhengHei"/>
          <w:b/>
          <w:w w:val="95"/>
          <w:sz w:val="32"/>
        </w:rPr>
        <w:t>韩</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有</w:t>
      </w:r>
      <w:r>
        <w:rPr>
          <w:rFonts w:ascii="Microsoft JhengHei" w:eastAsia="Microsoft JhengHei"/>
          <w:b/>
          <w:w w:val="95"/>
          <w:sz w:val="32"/>
        </w:rPr>
        <w:t>限</w:t>
      </w:r>
      <w:r>
        <w:rPr>
          <w:rFonts w:ascii="Microsoft JhengHei" w:eastAsia="Microsoft JhengHei"/>
          <w:b/>
          <w:w w:val="95"/>
          <w:sz w:val="32"/>
        </w:rPr>
        <w:t>公</w:t>
      </w:r>
      <w:r>
        <w:rPr>
          <w:rFonts w:ascii="Microsoft JhengHei" w:eastAsia="Microsoft JhengHei"/>
          <w:b/>
          <w:spacing w:val="-10"/>
          <w:w w:val="95"/>
          <w:sz w:val="32"/>
        </w:rPr>
        <w:t>司</w:t>
      </w:r>
    </w:p>
    <w:p>
      <w:pPr>
        <w:spacing w:before="35"/>
        <w:ind w:left="2239" w:right="2717" w:firstLine="0"/>
        <w:jc w:val="center"/>
        <w:rPr>
          <w:rFonts w:ascii="Microsoft JhengHei" w:eastAsia="Microsoft JhengHei"/>
          <w:b/>
          <w:sz w:val="32"/>
        </w:rPr>
      </w:pPr>
      <w:r>
        <w:rPr>
          <w:rFonts w:ascii="Microsoft JhengHei" w:eastAsia="Microsoft JhengHei"/>
          <w:b/>
          <w:w w:val="95"/>
          <w:sz w:val="32"/>
        </w:rPr>
        <w:t>中韩</w:t>
      </w:r>
      <w:r>
        <w:rPr>
          <w:rFonts w:ascii="Microsoft JhengHei" w:eastAsia="Microsoft JhengHei"/>
          <w:b/>
          <w:w w:val="95"/>
          <w:sz w:val="32"/>
        </w:rPr>
        <w:t>臻</w:t>
      </w:r>
      <w:r>
        <w:rPr>
          <w:rFonts w:ascii="Microsoft JhengHei" w:eastAsia="Microsoft JhengHei"/>
          <w:b/>
          <w:w w:val="95"/>
          <w:sz w:val="32"/>
        </w:rPr>
        <w:t>爱</w:t>
      </w:r>
      <w:r>
        <w:rPr>
          <w:rFonts w:ascii="Microsoft JhengHei" w:eastAsia="Microsoft JhengHei"/>
          <w:b/>
          <w:w w:val="95"/>
          <w:sz w:val="32"/>
        </w:rPr>
        <w:t>保</w:t>
      </w:r>
      <w:r>
        <w:rPr>
          <w:rFonts w:ascii="Microsoft JhengHei" w:eastAsia="Microsoft JhengHei"/>
          <w:b/>
          <w:spacing w:val="59"/>
          <w:sz w:val="32"/>
        </w:rPr>
        <w:t> </w:t>
      </w:r>
      <w:r>
        <w:rPr>
          <w:rFonts w:ascii="Microsoft JhengHei" w:eastAsia="Microsoft JhengHei"/>
          <w:b/>
          <w:w w:val="95"/>
          <w:sz w:val="32"/>
        </w:rPr>
        <w:t>2021</w:t>
      </w:r>
      <w:r>
        <w:rPr>
          <w:rFonts w:ascii="Microsoft JhengHei" w:eastAsia="Microsoft JhengHei"/>
          <w:b/>
          <w:spacing w:val="59"/>
          <w:sz w:val="32"/>
        </w:rPr>
        <w:t> </w:t>
      </w:r>
      <w:r>
        <w:rPr>
          <w:rFonts w:ascii="Microsoft JhengHei" w:eastAsia="Microsoft JhengHei"/>
          <w:b/>
          <w:w w:val="95"/>
          <w:sz w:val="32"/>
        </w:rPr>
        <w:t>终</w:t>
      </w:r>
      <w:r>
        <w:rPr>
          <w:rFonts w:ascii="Microsoft JhengHei" w:eastAsia="Microsoft JhengHei"/>
          <w:b/>
          <w:w w:val="95"/>
          <w:sz w:val="32"/>
        </w:rPr>
        <w:t>身</w:t>
      </w:r>
      <w:r>
        <w:rPr>
          <w:rFonts w:ascii="Microsoft JhengHei" w:eastAsia="Microsoft JhengHei"/>
          <w:b/>
          <w:w w:val="95"/>
          <w:sz w:val="32"/>
        </w:rPr>
        <w:t>重</w:t>
      </w:r>
      <w:r>
        <w:rPr>
          <w:rFonts w:ascii="Microsoft JhengHei" w:eastAsia="Microsoft JhengHei"/>
          <w:b/>
          <w:w w:val="95"/>
          <w:sz w:val="32"/>
        </w:rPr>
        <w:t>大</w:t>
      </w:r>
      <w:r>
        <w:rPr>
          <w:rFonts w:ascii="Microsoft JhengHei" w:eastAsia="Microsoft JhengHei"/>
          <w:b/>
          <w:w w:val="95"/>
          <w:sz w:val="32"/>
        </w:rPr>
        <w:t>疾</w:t>
      </w:r>
      <w:r>
        <w:rPr>
          <w:rFonts w:ascii="Microsoft JhengHei" w:eastAsia="Microsoft JhengHei"/>
          <w:b/>
          <w:w w:val="95"/>
          <w:sz w:val="32"/>
        </w:rPr>
        <w:t>病</w:t>
      </w:r>
      <w:r>
        <w:rPr>
          <w:rFonts w:ascii="Microsoft JhengHei" w:eastAsia="Microsoft JhengHei"/>
          <w:b/>
          <w:w w:val="95"/>
          <w:sz w:val="32"/>
        </w:rPr>
        <w:t>保险</w:t>
      </w:r>
      <w:r>
        <w:rPr>
          <w:rFonts w:ascii="Microsoft JhengHei" w:eastAsia="Microsoft JhengHei"/>
          <w:b/>
          <w:w w:val="95"/>
          <w:sz w:val="32"/>
        </w:rPr>
        <w:t>条</w:t>
      </w:r>
      <w:r>
        <w:rPr>
          <w:rFonts w:ascii="Microsoft JhengHei" w:eastAsia="Microsoft JhengHei"/>
          <w:b/>
          <w:spacing w:val="-10"/>
          <w:w w:val="95"/>
          <w:sz w:val="32"/>
        </w:rPr>
        <w:t>款</w:t>
      </w:r>
    </w:p>
    <w:p>
      <w:pPr>
        <w:pStyle w:val="BodyText"/>
        <w:spacing w:before="7"/>
        <w:ind w:left="0"/>
        <w:rPr>
          <w:rFonts w:ascii="Microsoft JhengHei"/>
          <w:b/>
          <w:sz w:val="18"/>
        </w:rPr>
      </w:pPr>
    </w:p>
    <w:p>
      <w:pPr>
        <w:pStyle w:val="BodyText"/>
        <w:spacing w:line="278" w:lineRule="auto"/>
        <w:ind w:left="212" w:right="691" w:firstLine="420"/>
      </w:pPr>
      <w:r>
        <w:rPr>
          <w:spacing w:val="-20"/>
        </w:rPr>
        <w:t>在本保险条款中，“您”指投保人，“我们”指中韩人寿保险有限公司，“本合同”指您与我们之间订</w:t>
      </w:r>
      <w:r>
        <w:rPr>
          <w:spacing w:val="-3"/>
        </w:rPr>
        <w:t>立的“中韩臻爱保 </w:t>
      </w:r>
      <w:r>
        <w:rPr/>
        <w:t>2021</w:t>
      </w:r>
      <w:r>
        <w:rPr>
          <w:spacing w:val="-13"/>
        </w:rPr>
        <w:t> 终身重大疾病保险合同”。</w:t>
      </w:r>
    </w:p>
    <w:p>
      <w:pPr>
        <w:pStyle w:val="Heading1"/>
        <w:numPr>
          <w:ilvl w:val="0"/>
          <w:numId w:val="9"/>
        </w:numPr>
        <w:tabs>
          <w:tab w:pos="1381" w:val="left" w:leader="none"/>
          <w:tab w:pos="1382" w:val="left" w:leader="none"/>
        </w:tabs>
        <w:spacing w:line="240" w:lineRule="auto" w:before="86" w:after="0"/>
        <w:ind w:left="1382" w:right="0" w:hanging="1170"/>
        <w:jc w:val="left"/>
        <w:rPr>
          <w:rFonts w:ascii="Microsoft JhengHei" w:eastAsia="Microsoft JhengHei"/>
        </w:rPr>
      </w:pPr>
      <w:r>
        <w:rPr/>
        <w:drawing>
          <wp:anchor distT="0" distB="0" distL="0" distR="0" allowOverlap="1" layoutInCell="1" locked="0" behindDoc="0" simplePos="0" relativeHeight="15729152">
            <wp:simplePos x="0" y="0"/>
            <wp:positionH relativeFrom="page">
              <wp:posOffset>650748</wp:posOffset>
            </wp:positionH>
            <wp:positionV relativeFrom="paragraph">
              <wp:posOffset>282268</wp:posOffset>
            </wp:positionV>
            <wp:extent cx="6261861" cy="1828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61861" cy="18288"/>
                    </a:xfrm>
                    <a:prstGeom prst="rect">
                      <a:avLst/>
                    </a:prstGeom>
                  </pic:spPr>
                </pic:pic>
              </a:graphicData>
            </a:graphic>
          </wp:anchor>
        </w:drawing>
      </w:r>
      <w:r>
        <w:rPr>
          <w:rFonts w:ascii="Microsoft JhengHei" w:eastAsia="Microsoft JhengHei"/>
          <w:spacing w:val="-2"/>
        </w:rPr>
        <w:t>您与我们订立的合同</w:t>
      </w:r>
    </w:p>
    <w:p>
      <w:pPr>
        <w:pStyle w:val="ListParagraph"/>
        <w:numPr>
          <w:ilvl w:val="1"/>
          <w:numId w:val="9"/>
        </w:numPr>
        <w:tabs>
          <w:tab w:pos="1381" w:val="left" w:leader="none"/>
          <w:tab w:pos="1382" w:val="left" w:leader="none"/>
          <w:tab w:pos="3112" w:val="left" w:leader="none"/>
        </w:tabs>
        <w:spacing w:line="383" w:lineRule="exact" w:before="72" w:after="0"/>
        <w:ind w:left="1382" w:right="0" w:hanging="1170"/>
        <w:jc w:val="left"/>
        <w:rPr>
          <w:sz w:val="21"/>
        </w:rPr>
      </w:pPr>
      <w:r>
        <w:rPr>
          <w:rFonts w:ascii="微软雅黑" w:eastAsia="微软雅黑"/>
          <w:b/>
          <w:sz w:val="21"/>
        </w:rPr>
        <w:t>合同构</w:t>
      </w:r>
      <w:r>
        <w:rPr>
          <w:rFonts w:ascii="微软雅黑" w:eastAsia="微软雅黑"/>
          <w:b/>
          <w:spacing w:val="-10"/>
          <w:sz w:val="21"/>
        </w:rPr>
        <w:t>成</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w:t>
      </w:r>
      <w:r>
        <w:rPr>
          <w:spacing w:val="-2"/>
          <w:sz w:val="21"/>
        </w:rPr>
        <w:t>，</w:t>
      </w:r>
      <w:r>
        <w:rPr>
          <w:spacing w:val="-2"/>
          <w:sz w:val="21"/>
        </w:rPr>
        <w:t>包</w:t>
      </w:r>
      <w:r>
        <w:rPr>
          <w:spacing w:val="-2"/>
          <w:sz w:val="21"/>
        </w:rPr>
        <w:t>括</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保</w:t>
      </w:r>
      <w:r>
        <w:rPr>
          <w:spacing w:val="-10"/>
          <w:sz w:val="21"/>
        </w:rPr>
        <w:t>险</w:t>
      </w:r>
    </w:p>
    <w:p>
      <w:pPr>
        <w:pStyle w:val="BodyText"/>
        <w:spacing w:line="278" w:lineRule="auto"/>
        <w:ind w:right="684"/>
      </w:pPr>
      <w:r>
        <w:rPr>
          <w:spacing w:val="-2"/>
        </w:rPr>
        <w:t>单、投保单及其他投保文件、合法有效的声明、批注、批单及其他您与我</w:t>
      </w:r>
      <w:r>
        <w:rPr>
          <w:spacing w:val="-2"/>
        </w:rPr>
        <w:t>们共同认可的书面协议。</w:t>
      </w:r>
    </w:p>
    <w:p>
      <w:pPr>
        <w:pStyle w:val="ListParagraph"/>
        <w:numPr>
          <w:ilvl w:val="1"/>
          <w:numId w:val="9"/>
        </w:numPr>
        <w:tabs>
          <w:tab w:pos="1381" w:val="left" w:leader="none"/>
          <w:tab w:pos="1382" w:val="left" w:leader="none"/>
          <w:tab w:pos="3112" w:val="left" w:leader="none"/>
        </w:tabs>
        <w:spacing w:line="240" w:lineRule="auto" w:before="71" w:after="0"/>
        <w:ind w:left="1382" w:right="0" w:hanging="1170"/>
        <w:jc w:val="left"/>
        <w:rPr>
          <w:sz w:val="21"/>
        </w:rPr>
      </w:pPr>
      <w:r>
        <w:rPr>
          <w:rFonts w:ascii="微软雅黑" w:eastAsia="微软雅黑"/>
          <w:b/>
          <w:sz w:val="21"/>
        </w:rPr>
        <w:t>合同成立与生</w:t>
      </w:r>
      <w:r>
        <w:rPr>
          <w:rFonts w:ascii="微软雅黑" w:eastAsia="微软雅黑"/>
          <w:b/>
          <w:spacing w:val="-10"/>
          <w:sz w:val="21"/>
        </w:rPr>
        <w:t>效</w:t>
      </w:r>
      <w:r>
        <w:rPr>
          <w:rFonts w:ascii="微软雅黑" w:eastAsia="微软雅黑"/>
          <w:b/>
          <w:sz w:val="21"/>
        </w:rPr>
        <w:tab/>
      </w:r>
      <w:r>
        <w:rPr>
          <w:spacing w:val="-2"/>
          <w:sz w:val="21"/>
        </w:rPr>
        <w:t>您</w:t>
      </w:r>
      <w:r>
        <w:rPr>
          <w:spacing w:val="-2"/>
          <w:sz w:val="21"/>
        </w:rPr>
        <w:t>提</w:t>
      </w:r>
      <w:r>
        <w:rPr>
          <w:spacing w:val="-2"/>
          <w:sz w:val="21"/>
        </w:rPr>
        <w:t>出保险申请、我们同</w:t>
      </w:r>
      <w:r>
        <w:rPr>
          <w:spacing w:val="-2"/>
          <w:sz w:val="21"/>
        </w:rPr>
        <w:t>意</w:t>
      </w:r>
      <w:r>
        <w:rPr>
          <w:spacing w:val="-2"/>
          <w:sz w:val="21"/>
        </w:rPr>
        <w:t>承</w:t>
      </w:r>
      <w:r>
        <w:rPr>
          <w:spacing w:val="-2"/>
          <w:sz w:val="21"/>
        </w:rPr>
        <w:t>保，本合同成立</w:t>
      </w:r>
      <w:r>
        <w:rPr>
          <w:spacing w:val="-10"/>
          <w:sz w:val="21"/>
        </w:rPr>
        <w:t>。</w:t>
      </w:r>
    </w:p>
    <w:p>
      <w:pPr>
        <w:spacing w:line="228" w:lineRule="auto" w:before="80"/>
        <w:ind w:left="3113" w:right="681" w:firstLine="0"/>
        <w:jc w:val="both"/>
        <w:rPr>
          <w:sz w:val="21"/>
        </w:rPr>
      </w:pPr>
      <w:r>
        <w:rPr>
          <w:spacing w:val="-2"/>
          <w:sz w:val="21"/>
        </w:rPr>
        <w:t>本合同自我们同意承保、收到首期保险费并签发保险单后开始生效。合同</w:t>
      </w:r>
      <w:r>
        <w:rPr>
          <w:spacing w:val="-7"/>
          <w:sz w:val="21"/>
        </w:rPr>
        <w:t>生效日期在保险单上载明，</w:t>
      </w:r>
      <w:r>
        <w:rPr>
          <w:rFonts w:ascii="微软雅黑" w:eastAsia="微软雅黑"/>
          <w:b/>
          <w:spacing w:val="-2"/>
          <w:sz w:val="21"/>
        </w:rPr>
        <w:t>保单年度</w:t>
      </w:r>
      <w:r>
        <w:rPr>
          <w:rFonts w:ascii="微软雅黑" w:eastAsia="微软雅黑"/>
          <w:b/>
          <w:spacing w:val="-2"/>
          <w:position w:val="11"/>
          <w:sz w:val="11"/>
        </w:rPr>
        <w:t>1</w:t>
      </w:r>
      <w:r>
        <w:rPr>
          <w:spacing w:val="-53"/>
          <w:sz w:val="21"/>
        </w:rPr>
        <w:t>、</w:t>
      </w:r>
      <w:r>
        <w:rPr>
          <w:rFonts w:ascii="微软雅黑" w:eastAsia="微软雅黑"/>
          <w:b/>
          <w:spacing w:val="-2"/>
          <w:sz w:val="21"/>
        </w:rPr>
        <w:t>保单周年日</w:t>
      </w:r>
      <w:r>
        <w:rPr>
          <w:rFonts w:ascii="微软雅黑" w:eastAsia="微软雅黑"/>
          <w:b/>
          <w:spacing w:val="-2"/>
          <w:position w:val="11"/>
          <w:sz w:val="11"/>
        </w:rPr>
        <w:t>2</w:t>
      </w:r>
      <w:r>
        <w:rPr>
          <w:spacing w:val="-53"/>
          <w:sz w:val="21"/>
        </w:rPr>
        <w:t>、</w:t>
      </w:r>
      <w:r>
        <w:rPr>
          <w:rFonts w:ascii="微软雅黑" w:eastAsia="微软雅黑"/>
          <w:b/>
          <w:spacing w:val="-2"/>
          <w:sz w:val="21"/>
        </w:rPr>
        <w:t>保险费约定支付日</w:t>
      </w:r>
      <w:r>
        <w:rPr>
          <w:rFonts w:ascii="微软雅黑" w:eastAsia="微软雅黑"/>
          <w:b/>
          <w:spacing w:val="-2"/>
          <w:position w:val="11"/>
          <w:sz w:val="11"/>
        </w:rPr>
        <w:t>3</w:t>
      </w:r>
      <w:r>
        <w:rPr>
          <w:spacing w:val="-2"/>
          <w:sz w:val="21"/>
        </w:rPr>
        <w:t>均</w:t>
      </w:r>
      <w:r>
        <w:rPr>
          <w:spacing w:val="-2"/>
          <w:sz w:val="21"/>
        </w:rPr>
        <w:t>以该日期计算。</w:t>
      </w:r>
    </w:p>
    <w:p>
      <w:pPr>
        <w:pStyle w:val="ListParagraph"/>
        <w:numPr>
          <w:ilvl w:val="1"/>
          <w:numId w:val="9"/>
        </w:numPr>
        <w:tabs>
          <w:tab w:pos="1381" w:val="left" w:leader="none"/>
          <w:tab w:pos="1382" w:val="left" w:leader="none"/>
          <w:tab w:pos="3112" w:val="left" w:leader="none"/>
        </w:tabs>
        <w:spacing w:line="383" w:lineRule="exact" w:before="121" w:after="0"/>
        <w:ind w:left="1382" w:right="0" w:hanging="1170"/>
        <w:jc w:val="both"/>
        <w:rPr>
          <w:sz w:val="21"/>
        </w:rPr>
      </w:pPr>
      <w:r>
        <w:rPr>
          <w:rFonts w:ascii="微软雅黑" w:eastAsia="微软雅黑"/>
          <w:b/>
          <w:sz w:val="21"/>
        </w:rPr>
        <w:t>合同终</w:t>
      </w:r>
      <w:r>
        <w:rPr>
          <w:rFonts w:ascii="微软雅黑" w:eastAsia="微软雅黑"/>
          <w:b/>
          <w:spacing w:val="-10"/>
          <w:sz w:val="21"/>
        </w:rPr>
        <w:t>止</w:t>
      </w:r>
      <w:r>
        <w:rPr>
          <w:rFonts w:ascii="微软雅黑" w:eastAsia="微软雅黑"/>
          <w:b/>
          <w:sz w:val="21"/>
        </w:rPr>
        <w:tab/>
      </w:r>
      <w:r>
        <w:rPr>
          <w:spacing w:val="-2"/>
          <w:sz w:val="21"/>
        </w:rPr>
        <w:t>发</w:t>
      </w:r>
      <w:r>
        <w:rPr>
          <w:spacing w:val="-2"/>
          <w:sz w:val="21"/>
        </w:rPr>
        <w:t>生</w:t>
      </w:r>
      <w:r>
        <w:rPr>
          <w:spacing w:val="-2"/>
          <w:sz w:val="21"/>
        </w:rPr>
        <w:t>下列情况之一时，本</w:t>
      </w:r>
      <w:r>
        <w:rPr>
          <w:spacing w:val="-2"/>
          <w:sz w:val="21"/>
        </w:rPr>
        <w:t>合</w:t>
      </w:r>
      <w:r>
        <w:rPr>
          <w:spacing w:val="-2"/>
          <w:sz w:val="21"/>
        </w:rPr>
        <w:t>同</w:t>
      </w:r>
      <w:r>
        <w:rPr>
          <w:spacing w:val="-2"/>
          <w:sz w:val="21"/>
        </w:rPr>
        <w:t>效力即时终</w:t>
      </w:r>
      <w:r>
        <w:rPr>
          <w:spacing w:val="-2"/>
          <w:sz w:val="21"/>
        </w:rPr>
        <w:t>止</w:t>
      </w:r>
      <w:r>
        <w:rPr>
          <w:spacing w:val="-10"/>
          <w:sz w:val="21"/>
        </w:rPr>
        <w:t>：</w:t>
      </w:r>
    </w:p>
    <w:p>
      <w:pPr>
        <w:pStyle w:val="ListParagraph"/>
        <w:numPr>
          <w:ilvl w:val="2"/>
          <w:numId w:val="9"/>
        </w:numPr>
        <w:tabs>
          <w:tab w:pos="3431" w:val="left" w:leader="none"/>
        </w:tabs>
        <w:spacing w:line="265" w:lineRule="exact" w:before="0" w:after="0"/>
        <w:ind w:left="3430" w:right="0" w:hanging="318"/>
        <w:jc w:val="left"/>
        <w:rPr>
          <w:sz w:val="19"/>
        </w:rPr>
      </w:pPr>
      <w:r>
        <w:rPr>
          <w:spacing w:val="-3"/>
          <w:sz w:val="21"/>
        </w:rPr>
        <w:t>您于合同有效期内向我们申请解除本合同；</w:t>
      </w:r>
    </w:p>
    <w:p>
      <w:pPr>
        <w:pStyle w:val="ListParagraph"/>
        <w:numPr>
          <w:ilvl w:val="2"/>
          <w:numId w:val="9"/>
        </w:numPr>
        <w:tabs>
          <w:tab w:pos="3431" w:val="left" w:leader="none"/>
        </w:tabs>
        <w:spacing w:line="278" w:lineRule="auto" w:before="42" w:after="0"/>
        <w:ind w:left="3113" w:right="681" w:firstLine="0"/>
        <w:jc w:val="left"/>
        <w:rPr>
          <w:sz w:val="19"/>
        </w:rPr>
      </w:pPr>
      <w:r>
        <w:rPr>
          <w:spacing w:val="-12"/>
          <w:sz w:val="21"/>
        </w:rPr>
        <w:t>我们给付“身故保险金”、“全残保险金”</w:t>
      </w:r>
      <w:r>
        <w:rPr>
          <w:spacing w:val="-14"/>
          <w:sz w:val="21"/>
        </w:rPr>
        <w:t>、“生命末期保险金”或“第</w:t>
      </w:r>
      <w:r>
        <w:rPr>
          <w:spacing w:val="-2"/>
          <w:sz w:val="21"/>
        </w:rPr>
        <w:t>三次重大疾病保险金”；</w:t>
      </w:r>
    </w:p>
    <w:p>
      <w:pPr>
        <w:pStyle w:val="ListParagraph"/>
        <w:numPr>
          <w:ilvl w:val="2"/>
          <w:numId w:val="9"/>
        </w:numPr>
        <w:tabs>
          <w:tab w:pos="3431" w:val="left" w:leader="none"/>
        </w:tabs>
        <w:spacing w:line="269" w:lineRule="exact" w:before="0" w:after="0"/>
        <w:ind w:left="3430" w:right="0" w:hanging="318"/>
        <w:jc w:val="left"/>
        <w:rPr>
          <w:sz w:val="19"/>
        </w:rPr>
      </w:pPr>
      <w:r>
        <w:rPr>
          <w:spacing w:val="-3"/>
          <w:sz w:val="21"/>
        </w:rPr>
        <w:t>本合同约定的其他效力终止的情况。</w:t>
      </w:r>
    </w:p>
    <w:p>
      <w:pPr>
        <w:pStyle w:val="ListParagraph"/>
        <w:numPr>
          <w:ilvl w:val="1"/>
          <w:numId w:val="9"/>
        </w:numPr>
        <w:tabs>
          <w:tab w:pos="1381" w:val="left" w:leader="none"/>
          <w:tab w:pos="1382" w:val="left" w:leader="none"/>
          <w:tab w:pos="3112" w:val="left" w:leader="none"/>
        </w:tabs>
        <w:spacing w:line="383" w:lineRule="exact" w:before="120" w:after="0"/>
        <w:ind w:left="1382" w:right="0" w:hanging="1170"/>
        <w:jc w:val="left"/>
        <w:rPr>
          <w:sz w:val="2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w w:val="95"/>
          <w:sz w:val="21"/>
        </w:rPr>
        <w:t>指</w:t>
      </w:r>
      <w:r>
        <w:rPr>
          <w:w w:val="95"/>
          <w:sz w:val="21"/>
        </w:rPr>
        <w:t>您</w:t>
      </w:r>
      <w:r>
        <w:rPr>
          <w:w w:val="95"/>
          <w:sz w:val="21"/>
        </w:rPr>
        <w:t>投保时被保险人的年龄，以</w:t>
      </w:r>
      <w:r>
        <w:rPr>
          <w:rFonts w:ascii="微软雅黑" w:eastAsia="微软雅黑"/>
          <w:b/>
          <w:w w:val="95"/>
          <w:sz w:val="21"/>
        </w:rPr>
        <w:t>周岁</w:t>
      </w:r>
      <w:r>
        <w:rPr>
          <w:rFonts w:ascii="微软雅黑" w:eastAsia="微软雅黑"/>
          <w:b/>
          <w:w w:val="95"/>
          <w:position w:val="11"/>
          <w:sz w:val="11"/>
        </w:rPr>
        <w:t>4</w:t>
      </w:r>
      <w:r>
        <w:rPr>
          <w:w w:val="95"/>
          <w:sz w:val="21"/>
        </w:rPr>
        <w:t>计</w:t>
      </w:r>
      <w:r>
        <w:rPr>
          <w:w w:val="95"/>
          <w:sz w:val="21"/>
        </w:rPr>
        <w:t>算</w:t>
      </w:r>
      <w:r>
        <w:rPr>
          <w:w w:val="95"/>
          <w:sz w:val="21"/>
        </w:rPr>
        <w:t>，本合同</w:t>
      </w:r>
      <w:r>
        <w:rPr>
          <w:w w:val="95"/>
          <w:sz w:val="21"/>
        </w:rPr>
        <w:t>接</w:t>
      </w:r>
      <w:r>
        <w:rPr>
          <w:w w:val="95"/>
          <w:sz w:val="21"/>
        </w:rPr>
        <w:t>受</w:t>
      </w:r>
      <w:r>
        <w:rPr>
          <w:w w:val="95"/>
          <w:sz w:val="21"/>
        </w:rPr>
        <w:t>的投保年龄范围</w:t>
      </w:r>
      <w:r>
        <w:rPr>
          <w:spacing w:val="-10"/>
          <w:w w:val="95"/>
          <w:sz w:val="21"/>
        </w:rPr>
        <w:t>为</w:t>
      </w:r>
    </w:p>
    <w:p>
      <w:pPr>
        <w:pStyle w:val="BodyText"/>
        <w:spacing w:line="265" w:lineRule="exact"/>
      </w:pPr>
      <w:r>
        <w:rPr>
          <w:spacing w:val="-15"/>
        </w:rPr>
        <w:t>出生满 </w:t>
      </w:r>
      <w:r>
        <w:rPr>
          <w:spacing w:val="-2"/>
        </w:rPr>
        <w:t>28</w:t>
      </w:r>
      <w:r>
        <w:rPr>
          <w:spacing w:val="-28"/>
        </w:rPr>
        <w:t> 日至 </w:t>
      </w:r>
      <w:r>
        <w:rPr>
          <w:spacing w:val="-2"/>
        </w:rPr>
        <w:t>60</w:t>
      </w:r>
      <w:r>
        <w:rPr>
          <w:spacing w:val="-16"/>
        </w:rPr>
        <w:t> 周岁。</w:t>
      </w:r>
    </w:p>
    <w:p>
      <w:pPr>
        <w:pStyle w:val="ListParagraph"/>
        <w:numPr>
          <w:ilvl w:val="1"/>
          <w:numId w:val="9"/>
        </w:numPr>
        <w:tabs>
          <w:tab w:pos="1381" w:val="left" w:leader="none"/>
          <w:tab w:pos="1382" w:val="left" w:leader="none"/>
          <w:tab w:pos="3112" w:val="left" w:leader="none"/>
        </w:tabs>
        <w:spacing w:line="383" w:lineRule="exact" w:before="118" w:after="0"/>
        <w:ind w:left="1382" w:right="0" w:hanging="1170"/>
        <w:jc w:val="left"/>
        <w:rPr>
          <w:sz w:val="21"/>
        </w:rPr>
      </w:pPr>
      <w:r>
        <w:rPr>
          <w:rFonts w:ascii="微软雅黑" w:eastAsia="微软雅黑"/>
          <w:b/>
          <w:sz w:val="21"/>
        </w:rPr>
        <w:t>犹豫</w:t>
      </w:r>
      <w:r>
        <w:rPr>
          <w:rFonts w:ascii="微软雅黑" w:eastAsia="微软雅黑"/>
          <w:b/>
          <w:spacing w:val="-10"/>
          <w:sz w:val="21"/>
        </w:rPr>
        <w:t>期</w:t>
      </w:r>
      <w:r>
        <w:rPr>
          <w:rFonts w:ascii="微软雅黑" w:eastAsia="微软雅黑"/>
          <w:b/>
          <w:sz w:val="21"/>
        </w:rPr>
        <w:tab/>
      </w:r>
      <w:r>
        <w:rPr>
          <w:spacing w:val="-4"/>
          <w:sz w:val="21"/>
        </w:rPr>
        <w:t>自</w:t>
      </w:r>
      <w:r>
        <w:rPr>
          <w:spacing w:val="-4"/>
          <w:sz w:val="21"/>
        </w:rPr>
        <w:t>您</w:t>
      </w:r>
      <w:r>
        <w:rPr>
          <w:spacing w:val="-4"/>
          <w:sz w:val="21"/>
        </w:rPr>
        <w:t>签收本合同之日起，有</w:t>
      </w:r>
      <w:r>
        <w:rPr>
          <w:spacing w:val="-53"/>
          <w:sz w:val="21"/>
        </w:rPr>
        <w:t> </w:t>
      </w:r>
      <w:r>
        <w:rPr>
          <w:spacing w:val="-4"/>
          <w:sz w:val="21"/>
        </w:rPr>
        <w:t>15</w:t>
      </w:r>
      <w:r>
        <w:rPr>
          <w:spacing w:val="-52"/>
          <w:sz w:val="21"/>
        </w:rPr>
        <w:t> </w:t>
      </w:r>
      <w:r>
        <w:rPr>
          <w:spacing w:val="-4"/>
          <w:sz w:val="21"/>
        </w:rPr>
        <w:t>日的犹豫期。在此期间，请您认真审阅</w:t>
      </w:r>
      <w:r>
        <w:rPr>
          <w:spacing w:val="-4"/>
          <w:sz w:val="21"/>
        </w:rPr>
        <w:t>本</w:t>
      </w:r>
      <w:r>
        <w:rPr>
          <w:spacing w:val="-10"/>
          <w:sz w:val="21"/>
        </w:rPr>
        <w:t>合</w:t>
      </w:r>
    </w:p>
    <w:p>
      <w:pPr>
        <w:pStyle w:val="BodyText"/>
        <w:spacing w:line="278" w:lineRule="auto"/>
        <w:ind w:right="684"/>
      </w:pPr>
      <w:r>
        <w:rPr>
          <w:spacing w:val="-2"/>
        </w:rPr>
        <w:t>同，如果您认为本合同与您的需求不相符，您可以在此期间提出解除本合</w:t>
      </w:r>
      <w:r>
        <w:rPr>
          <w:spacing w:val="-2"/>
        </w:rPr>
        <w:t>同，我们无息退还您所支付的全部保险费。</w:t>
      </w:r>
    </w:p>
    <w:p>
      <w:pPr>
        <w:pStyle w:val="BodyText"/>
        <w:spacing w:line="256" w:lineRule="auto" w:before="5"/>
        <w:ind w:right="645"/>
        <w:jc w:val="both"/>
      </w:pPr>
      <w:r>
        <w:rPr>
          <w:spacing w:val="-2"/>
        </w:rPr>
        <w:t>解除合同时，您需要填写申请书，并提供您的保险合同及</w:t>
      </w:r>
      <w:r>
        <w:rPr>
          <w:rFonts w:ascii="微软雅黑" w:eastAsia="微软雅黑"/>
          <w:b/>
          <w:spacing w:val="-2"/>
        </w:rPr>
        <w:t>有效身份证件</w:t>
      </w:r>
      <w:r>
        <w:rPr>
          <w:rFonts w:ascii="微软雅黑" w:eastAsia="微软雅黑"/>
          <w:b/>
          <w:spacing w:val="-2"/>
          <w:position w:val="11"/>
          <w:sz w:val="11"/>
        </w:rPr>
        <w:t>5</w:t>
      </w:r>
      <w:r>
        <w:rPr>
          <w:spacing w:val="-2"/>
        </w:rPr>
        <w:t>。</w:t>
      </w:r>
      <w:r>
        <w:rPr>
          <w:spacing w:val="-2"/>
        </w:rPr>
        <w:t>自我们收到您解除合同的书面申请时起，本合同即被解除，</w:t>
      </w:r>
      <w:r>
        <w:rPr>
          <w:color w:val="000000"/>
          <w:spacing w:val="-2"/>
          <w:shd w:fill="A6A6A6" w:color="auto" w:val="clear"/>
        </w:rPr>
        <w:t>对于合同解除</w:t>
      </w:r>
      <w:r>
        <w:rPr>
          <w:color w:val="000000"/>
          <w:spacing w:val="40"/>
          <w:shd w:fill="A6A6A6" w:color="auto" w:val="clear"/>
        </w:rPr>
        <w:t> </w:t>
      </w:r>
      <w:r>
        <w:rPr>
          <w:color w:val="000000"/>
          <w:spacing w:val="-2"/>
          <w:shd w:fill="A6A6A6" w:color="auto" w:val="clear"/>
        </w:rPr>
        <w:t>前发生的保险事故，我们不承担保险责任。</w:t>
      </w:r>
    </w:p>
    <w:p>
      <w:pPr>
        <w:pStyle w:val="Heading1"/>
        <w:numPr>
          <w:ilvl w:val="0"/>
          <w:numId w:val="9"/>
        </w:numPr>
        <w:tabs>
          <w:tab w:pos="1381" w:val="left" w:leader="none"/>
          <w:tab w:pos="1382" w:val="left" w:leader="none"/>
        </w:tabs>
        <w:spacing w:line="240" w:lineRule="auto" w:before="86" w:after="0"/>
        <w:ind w:left="1382" w:right="0" w:hanging="1170"/>
        <w:jc w:val="both"/>
        <w:rPr>
          <w:rFonts w:ascii="Microsoft JhengHei" w:eastAsia="Microsoft JhengHei"/>
        </w:rPr>
      </w:pPr>
      <w:r>
        <w:rPr/>
        <w:drawing>
          <wp:anchor distT="0" distB="0" distL="0" distR="0" allowOverlap="1" layoutInCell="1" locked="0" behindDoc="0" simplePos="0" relativeHeight="15729664">
            <wp:simplePos x="0" y="0"/>
            <wp:positionH relativeFrom="page">
              <wp:posOffset>650748</wp:posOffset>
            </wp:positionH>
            <wp:positionV relativeFrom="paragraph">
              <wp:posOffset>282267</wp:posOffset>
            </wp:positionV>
            <wp:extent cx="6261861" cy="18287"/>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6" cstate="print"/>
                    <a:stretch>
                      <a:fillRect/>
                    </a:stretch>
                  </pic:blipFill>
                  <pic:spPr>
                    <a:xfrm>
                      <a:off x="0" y="0"/>
                      <a:ext cx="6261861" cy="18287"/>
                    </a:xfrm>
                    <a:prstGeom prst="rect">
                      <a:avLst/>
                    </a:prstGeom>
                  </pic:spPr>
                </pic:pic>
              </a:graphicData>
            </a:graphic>
          </wp:anchor>
        </w:drawing>
      </w:r>
      <w:r>
        <w:rPr>
          <w:rFonts w:ascii="Microsoft JhengHei" w:eastAsia="Microsoft JhengHei"/>
          <w:spacing w:val="-2"/>
        </w:rPr>
        <w:t>我们提供的保障</w:t>
      </w:r>
    </w:p>
    <w:p>
      <w:pPr>
        <w:pStyle w:val="ListParagraph"/>
        <w:numPr>
          <w:ilvl w:val="1"/>
          <w:numId w:val="9"/>
        </w:numPr>
        <w:tabs>
          <w:tab w:pos="1381" w:val="left" w:leader="none"/>
          <w:tab w:pos="1382" w:val="left" w:leader="none"/>
          <w:tab w:pos="3112" w:val="left" w:leader="none"/>
        </w:tabs>
        <w:spacing w:line="240" w:lineRule="auto" w:before="72" w:after="0"/>
        <w:ind w:left="1382" w:right="0" w:hanging="1170"/>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在</w:t>
      </w:r>
      <w:r>
        <w:rPr>
          <w:spacing w:val="-2"/>
          <w:sz w:val="21"/>
        </w:rPr>
        <w:t>投保时与我们约定并</w:t>
      </w:r>
      <w:r>
        <w:rPr>
          <w:spacing w:val="-2"/>
          <w:sz w:val="21"/>
        </w:rPr>
        <w:t>在</w:t>
      </w:r>
      <w:r>
        <w:rPr>
          <w:spacing w:val="-2"/>
          <w:sz w:val="21"/>
        </w:rPr>
        <w:t>保</w:t>
      </w:r>
      <w:r>
        <w:rPr>
          <w:spacing w:val="-2"/>
          <w:sz w:val="21"/>
        </w:rPr>
        <w:t>险单上载明</w:t>
      </w:r>
      <w:r>
        <w:rPr>
          <w:spacing w:val="-10"/>
          <w:sz w:val="21"/>
        </w:rPr>
        <w:t>。</w:t>
      </w:r>
    </w:p>
    <w:p>
      <w:pPr>
        <w:spacing w:after="0" w:line="240" w:lineRule="auto"/>
        <w:jc w:val="left"/>
        <w:rPr>
          <w:sz w:val="21"/>
        </w:rPr>
        <w:sectPr>
          <w:pgSz w:w="11910" w:h="16840"/>
          <w:pgMar w:top="1480" w:bottom="280" w:left="920" w:right="440"/>
        </w:sectPr>
      </w:pPr>
    </w:p>
    <w:p>
      <w:pPr>
        <w:pStyle w:val="Heading1"/>
        <w:numPr>
          <w:ilvl w:val="1"/>
          <w:numId w:val="9"/>
        </w:numPr>
        <w:tabs>
          <w:tab w:pos="1381" w:val="left" w:leader="none"/>
          <w:tab w:pos="1382" w:val="left" w:leader="none"/>
        </w:tabs>
        <w:spacing w:line="194" w:lineRule="auto" w:before="119" w:after="0"/>
        <w:ind w:left="1382" w:right="0" w:hanging="1170"/>
        <w:jc w:val="left"/>
      </w:pPr>
      <w:r>
        <w:rPr>
          <w:spacing w:val="-2"/>
        </w:rPr>
        <w:t>未成年人身故保</w:t>
      </w:r>
      <w:r>
        <w:rPr>
          <w:spacing w:val="-4"/>
        </w:rPr>
        <w:t>险金限制</w:t>
      </w:r>
    </w:p>
    <w:p>
      <w:pPr>
        <w:pStyle w:val="BodyText"/>
        <w:spacing w:line="278" w:lineRule="auto" w:before="134"/>
        <w:ind w:left="212" w:right="684"/>
        <w:jc w:val="both"/>
      </w:pPr>
      <w:r>
        <w:rPr/>
        <w:br w:type="column"/>
      </w:r>
      <w:r>
        <w:rPr>
          <w:spacing w:val="-2"/>
        </w:rPr>
        <w:t>为未成年子女投保的人身保险，因被保险人身故给付的保险金总和不得超</w:t>
      </w:r>
      <w:r>
        <w:rPr>
          <w:spacing w:val="-2"/>
        </w:rPr>
        <w:t>过国务院保险监督管理机构规定的限额，身故给付的保险金额总和约定也</w:t>
      </w:r>
      <w:r>
        <w:rPr>
          <w:spacing w:val="-2"/>
        </w:rPr>
        <w:t>不得超过前述限额。</w:t>
      </w:r>
    </w:p>
    <w:p>
      <w:pPr>
        <w:spacing w:after="0" w:line="278" w:lineRule="auto"/>
        <w:jc w:val="both"/>
        <w:sectPr>
          <w:type w:val="continuous"/>
          <w:pgSz w:w="11910" w:h="16840"/>
          <w:pgMar w:top="680" w:bottom="280" w:left="920" w:right="440"/>
          <w:cols w:num="2" w:equalWidth="0">
            <w:col w:w="2861" w:space="40"/>
            <w:col w:w="7649"/>
          </w:cols>
        </w:sectPr>
      </w:pPr>
    </w:p>
    <w:p>
      <w:pPr>
        <w:pStyle w:val="BodyText"/>
        <w:spacing w:before="5"/>
        <w:ind w:left="0"/>
        <w:rPr>
          <w:sz w:val="22"/>
        </w:rPr>
      </w:pPr>
    </w:p>
    <w:p>
      <w:pPr>
        <w:pStyle w:val="BodyText"/>
        <w:spacing w:line="20" w:lineRule="exact"/>
        <w:ind w:left="212"/>
        <w:rPr>
          <w:sz w:val="2"/>
        </w:rPr>
      </w:pPr>
      <w:r>
        <w:rPr>
          <w:sz w:val="2"/>
        </w:rPr>
        <w:drawing>
          <wp:inline distT="0" distB="0" distL="0" distR="0">
            <wp:extent cx="1829511" cy="9143"/>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1829511" cy="9143"/>
                    </a:xfrm>
                    <a:prstGeom prst="rect">
                      <a:avLst/>
                    </a:prstGeom>
                  </pic:spPr>
                </pic:pic>
              </a:graphicData>
            </a:graphic>
          </wp:inline>
        </w:drawing>
      </w:r>
      <w:r>
        <w:rPr>
          <w:sz w:val="2"/>
        </w:rPr>
      </w:r>
    </w:p>
    <w:p>
      <w:pPr>
        <w:spacing w:line="282" w:lineRule="exact" w:before="35"/>
        <w:ind w:left="212" w:right="0" w:firstLine="0"/>
        <w:jc w:val="left"/>
        <w:rPr>
          <w:sz w:val="18"/>
        </w:rPr>
      </w:pPr>
      <w:r>
        <w:rPr>
          <w:rFonts w:ascii="Calibri" w:eastAsia="Calibri"/>
          <w:b/>
          <w:position w:val="5"/>
          <w:sz w:val="12"/>
        </w:rPr>
        <w:t>1</w:t>
      </w:r>
      <w:r>
        <w:rPr>
          <w:rFonts w:ascii="微软雅黑" w:eastAsia="微软雅黑"/>
          <w:b/>
          <w:sz w:val="18"/>
        </w:rPr>
        <w:t>保单年度：</w:t>
      </w:r>
      <w:r>
        <w:rPr>
          <w:spacing w:val="-2"/>
          <w:sz w:val="18"/>
        </w:rPr>
        <w:t>从本合同生效日或保单周年日的零时起至下一个保单周年日前一日的 </w:t>
      </w:r>
      <w:r>
        <w:rPr>
          <w:sz w:val="18"/>
        </w:rPr>
        <w:t>24</w:t>
      </w:r>
      <w:r>
        <w:rPr>
          <w:spacing w:val="-8"/>
          <w:sz w:val="18"/>
        </w:rPr>
        <w:t> 时止为一个保单年度。</w:t>
      </w:r>
    </w:p>
    <w:p>
      <w:pPr>
        <w:spacing w:line="262" w:lineRule="exact" w:before="0"/>
        <w:ind w:left="212" w:right="0" w:firstLine="0"/>
        <w:jc w:val="left"/>
        <w:rPr>
          <w:sz w:val="18"/>
        </w:rPr>
      </w:pPr>
      <w:r>
        <w:rPr>
          <w:rFonts w:ascii="Calibri" w:eastAsia="Calibri"/>
          <w:b/>
          <w:position w:val="5"/>
          <w:sz w:val="12"/>
        </w:rPr>
        <w:t>2</w:t>
      </w:r>
      <w:r>
        <w:rPr>
          <w:rFonts w:ascii="微软雅黑" w:eastAsia="微软雅黑"/>
          <w:b/>
          <w:sz w:val="18"/>
        </w:rPr>
        <w:t>保单周年日：</w:t>
      </w:r>
      <w:r>
        <w:rPr>
          <w:spacing w:val="-1"/>
          <w:sz w:val="18"/>
        </w:rPr>
        <w:t>指本合同生效日在合同生效后每年的对应日，不含合同生效日当日。如果当月没有对应的同一日，则以下个</w:t>
      </w:r>
    </w:p>
    <w:p>
      <w:pPr>
        <w:spacing w:line="183" w:lineRule="exact" w:before="0"/>
        <w:ind w:left="212" w:right="0" w:firstLine="0"/>
        <w:jc w:val="left"/>
        <w:rPr>
          <w:sz w:val="18"/>
        </w:rPr>
      </w:pPr>
      <w:r>
        <w:rPr>
          <w:spacing w:val="-2"/>
          <w:sz w:val="18"/>
        </w:rPr>
        <w:t>月第一日为对应日。</w:t>
      </w:r>
    </w:p>
    <w:p>
      <w:pPr>
        <w:spacing w:line="285" w:lineRule="exact" w:before="0"/>
        <w:ind w:left="212" w:right="0" w:firstLine="0"/>
        <w:jc w:val="left"/>
        <w:rPr>
          <w:sz w:val="18"/>
        </w:rPr>
      </w:pPr>
      <w:r>
        <w:rPr>
          <w:rFonts w:ascii="Calibri" w:eastAsia="Calibri"/>
          <w:b/>
          <w:position w:val="5"/>
          <w:sz w:val="12"/>
        </w:rPr>
        <w:t>3</w:t>
      </w:r>
      <w:r>
        <w:rPr>
          <w:rFonts w:ascii="微软雅黑" w:eastAsia="微软雅黑"/>
          <w:b/>
          <w:sz w:val="18"/>
        </w:rPr>
        <w:t>保险费约定支付日：</w:t>
      </w:r>
      <w:r>
        <w:rPr>
          <w:sz w:val="18"/>
        </w:rPr>
        <w:t>指保险费交费期间内本合同生效日在每月、每季、每半年或每年（根据交费方式确定）</w:t>
      </w:r>
      <w:r>
        <w:rPr>
          <w:spacing w:val="-2"/>
          <w:sz w:val="18"/>
        </w:rPr>
        <w:t>的对应日。若</w:t>
      </w:r>
    </w:p>
    <w:p>
      <w:pPr>
        <w:spacing w:line="182" w:lineRule="exact" w:before="0"/>
        <w:ind w:left="212" w:right="0" w:firstLine="0"/>
        <w:jc w:val="left"/>
        <w:rPr>
          <w:sz w:val="18"/>
        </w:rPr>
      </w:pPr>
      <w:r>
        <w:rPr>
          <w:spacing w:val="-1"/>
          <w:sz w:val="18"/>
        </w:rPr>
        <w:t>当月没有对应的同一日，则以该月最后一日为对应日。</w:t>
      </w:r>
    </w:p>
    <w:p>
      <w:pPr>
        <w:spacing w:line="255" w:lineRule="exact" w:before="0"/>
        <w:ind w:left="212" w:right="0" w:firstLine="0"/>
        <w:jc w:val="left"/>
        <w:rPr>
          <w:sz w:val="18"/>
        </w:rPr>
      </w:pPr>
      <w:r>
        <w:rPr>
          <w:rFonts w:ascii="Calibri" w:eastAsia="Calibri"/>
          <w:b/>
          <w:spacing w:val="-4"/>
          <w:position w:val="5"/>
          <w:sz w:val="12"/>
        </w:rPr>
        <w:t>4</w:t>
      </w:r>
      <w:r>
        <w:rPr>
          <w:rFonts w:ascii="微软雅黑" w:eastAsia="微软雅黑"/>
          <w:b/>
          <w:spacing w:val="-4"/>
          <w:sz w:val="18"/>
        </w:rPr>
        <w:t>周岁：</w:t>
      </w:r>
      <w:r>
        <w:rPr>
          <w:spacing w:val="-5"/>
          <w:sz w:val="18"/>
        </w:rPr>
        <w:t>指按有效身份证件中记载的出生日期计算的年龄，自出生之日起为零周岁，每经过一年增加一岁，不足一年的不计。</w:t>
      </w:r>
    </w:p>
    <w:p>
      <w:pPr>
        <w:spacing w:line="263" w:lineRule="exact" w:before="0"/>
        <w:ind w:left="212" w:right="0" w:firstLine="0"/>
        <w:jc w:val="left"/>
        <w:rPr>
          <w:sz w:val="18"/>
        </w:rPr>
      </w:pPr>
      <w:r>
        <w:rPr>
          <w:rFonts w:ascii="Calibri" w:eastAsia="Calibri"/>
          <w:b/>
          <w:position w:val="5"/>
          <w:sz w:val="12"/>
        </w:rPr>
        <w:t>5</w:t>
      </w:r>
      <w:r>
        <w:rPr>
          <w:rFonts w:ascii="微软雅黑" w:eastAsia="微软雅黑"/>
          <w:b/>
          <w:sz w:val="18"/>
        </w:rPr>
        <w:t>有效身份证件：</w:t>
      </w:r>
      <w:r>
        <w:rPr>
          <w:spacing w:val="-1"/>
          <w:sz w:val="18"/>
        </w:rPr>
        <w:t>指由政府主管部门规定的证明其身份的证件，如：居民身份证、按规定可使用的有效护照、军官证、警官</w:t>
      </w:r>
    </w:p>
    <w:p>
      <w:pPr>
        <w:spacing w:line="211" w:lineRule="exact" w:before="0"/>
        <w:ind w:left="212" w:right="0" w:firstLine="0"/>
        <w:jc w:val="left"/>
        <w:rPr>
          <w:sz w:val="18"/>
        </w:rPr>
      </w:pPr>
      <w:r>
        <w:rPr>
          <w:spacing w:val="-3"/>
          <w:sz w:val="18"/>
        </w:rPr>
        <w:t>证、港澳台居民居住证等证件。</w:t>
      </w:r>
    </w:p>
    <w:p>
      <w:pPr>
        <w:spacing w:after="0" w:line="211" w:lineRule="exact"/>
        <w:jc w:val="left"/>
        <w:rPr>
          <w:sz w:val="18"/>
        </w:rPr>
        <w:sectPr>
          <w:type w:val="continuous"/>
          <w:pgSz w:w="11910" w:h="16840"/>
          <w:pgMar w:top="680" w:bottom="280" w:left="920" w:right="440"/>
        </w:sectPr>
      </w:pPr>
    </w:p>
    <w:p>
      <w:pPr>
        <w:pStyle w:val="ListParagraph"/>
        <w:numPr>
          <w:ilvl w:val="1"/>
          <w:numId w:val="9"/>
        </w:numPr>
        <w:tabs>
          <w:tab w:pos="1381" w:val="left" w:leader="none"/>
          <w:tab w:pos="1382" w:val="left" w:leader="none"/>
          <w:tab w:pos="3112" w:val="left" w:leader="none"/>
        </w:tabs>
        <w:spacing w:line="363" w:lineRule="exact" w:before="0" w:after="0"/>
        <w:ind w:left="1382" w:right="0" w:hanging="1170"/>
        <w:jc w:val="left"/>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合</w:t>
      </w:r>
      <w:r>
        <w:rPr>
          <w:spacing w:val="-2"/>
          <w:sz w:val="21"/>
        </w:rPr>
        <w:t>同的保险期间由您在</w:t>
      </w:r>
      <w:r>
        <w:rPr>
          <w:spacing w:val="-2"/>
          <w:sz w:val="21"/>
        </w:rPr>
        <w:t>投</w:t>
      </w:r>
      <w:r>
        <w:rPr>
          <w:spacing w:val="-2"/>
          <w:sz w:val="21"/>
        </w:rPr>
        <w:t>保</w:t>
      </w:r>
      <w:r>
        <w:rPr>
          <w:spacing w:val="-2"/>
          <w:sz w:val="21"/>
        </w:rPr>
        <w:t>时与我们约定并在保</w:t>
      </w:r>
      <w:r>
        <w:rPr>
          <w:spacing w:val="-2"/>
          <w:sz w:val="21"/>
        </w:rPr>
        <w:t>险</w:t>
      </w:r>
      <w:r>
        <w:rPr>
          <w:spacing w:val="-2"/>
          <w:sz w:val="21"/>
        </w:rPr>
        <w:t>单</w:t>
      </w:r>
      <w:r>
        <w:rPr>
          <w:spacing w:val="-2"/>
          <w:sz w:val="21"/>
        </w:rPr>
        <w:t>上载明</w:t>
      </w:r>
      <w:r>
        <w:rPr>
          <w:spacing w:val="-10"/>
          <w:sz w:val="21"/>
        </w:rPr>
        <w:t>。</w:t>
      </w:r>
    </w:p>
    <w:p>
      <w:pPr>
        <w:pStyle w:val="ListParagraph"/>
        <w:numPr>
          <w:ilvl w:val="1"/>
          <w:numId w:val="9"/>
        </w:numPr>
        <w:tabs>
          <w:tab w:pos="1381" w:val="left" w:leader="none"/>
          <w:tab w:pos="1382" w:val="left" w:leader="none"/>
          <w:tab w:pos="3112" w:val="left" w:leader="none"/>
        </w:tabs>
        <w:spacing w:line="383" w:lineRule="exact" w:before="67" w:after="0"/>
        <w:ind w:left="1382" w:right="0" w:hanging="1170"/>
        <w:jc w:val="left"/>
        <w:rPr>
          <w:sz w:val="21"/>
        </w:rPr>
      </w:pPr>
      <w:r>
        <w:rPr>
          <w:rFonts w:ascii="微软雅黑" w:eastAsia="微软雅黑"/>
          <w:b/>
          <w:sz w:val="21"/>
        </w:rPr>
        <w:t>等待</w:t>
      </w:r>
      <w:r>
        <w:rPr>
          <w:rFonts w:ascii="微软雅黑" w:eastAsia="微软雅黑"/>
          <w:b/>
          <w:spacing w:val="-10"/>
          <w:sz w:val="21"/>
        </w:rPr>
        <w:t>期</w:t>
      </w:r>
      <w:r>
        <w:rPr>
          <w:rFonts w:ascii="微软雅黑" w:eastAsia="微软雅黑"/>
          <w:b/>
          <w:sz w:val="21"/>
        </w:rPr>
        <w:tab/>
      </w:r>
      <w:r>
        <w:rPr>
          <w:color w:val="000000"/>
          <w:spacing w:val="-4"/>
          <w:sz w:val="21"/>
          <w:shd w:fill="A6A6A6" w:color="auto" w:val="clear"/>
        </w:rPr>
        <w:t>从</w:t>
      </w:r>
      <w:r>
        <w:rPr>
          <w:color w:val="000000"/>
          <w:spacing w:val="-4"/>
          <w:sz w:val="21"/>
          <w:shd w:fill="A6A6A6" w:color="auto" w:val="clear"/>
        </w:rPr>
        <w:t>本</w:t>
      </w:r>
      <w:r>
        <w:rPr>
          <w:color w:val="000000"/>
          <w:spacing w:val="-4"/>
          <w:sz w:val="21"/>
          <w:shd w:fill="A6A6A6" w:color="auto" w:val="clear"/>
        </w:rPr>
        <w:t>合同生效或最后一次</w:t>
      </w:r>
      <w:r>
        <w:rPr>
          <w:color w:val="000000"/>
          <w:spacing w:val="-4"/>
          <w:sz w:val="21"/>
          <w:shd w:fill="A6A6A6" w:color="auto" w:val="clear"/>
        </w:rPr>
        <w:t>复</w:t>
      </w:r>
      <w:r>
        <w:rPr>
          <w:color w:val="000000"/>
          <w:spacing w:val="-4"/>
          <w:sz w:val="21"/>
          <w:shd w:fill="A6A6A6" w:color="auto" w:val="clear"/>
        </w:rPr>
        <w:t>效</w:t>
      </w:r>
      <w:r>
        <w:rPr>
          <w:color w:val="000000"/>
          <w:spacing w:val="-4"/>
          <w:sz w:val="21"/>
          <w:shd w:fill="A6A6A6" w:color="auto" w:val="clear"/>
        </w:rPr>
        <w:t>之日起</w:t>
      </w:r>
      <w:r>
        <w:rPr>
          <w:color w:val="000000"/>
          <w:spacing w:val="-42"/>
          <w:sz w:val="21"/>
          <w:shd w:fill="A6A6A6" w:color="auto" w:val="clear"/>
        </w:rPr>
        <w:t> </w:t>
      </w:r>
      <w:r>
        <w:rPr>
          <w:color w:val="000000"/>
          <w:spacing w:val="-4"/>
          <w:sz w:val="21"/>
          <w:shd w:fill="A6A6A6" w:color="auto" w:val="clear"/>
        </w:rPr>
        <w:t>90</w:t>
      </w:r>
      <w:r>
        <w:rPr>
          <w:color w:val="000000"/>
          <w:spacing w:val="-43"/>
          <w:sz w:val="21"/>
          <w:shd w:fill="A6A6A6" w:color="auto" w:val="clear"/>
        </w:rPr>
        <w:t> </w:t>
      </w:r>
      <w:r>
        <w:rPr>
          <w:color w:val="000000"/>
          <w:spacing w:val="-4"/>
          <w:sz w:val="21"/>
          <w:shd w:fill="A6A6A6" w:color="auto" w:val="clear"/>
        </w:rPr>
        <w:t>日内（含第</w:t>
      </w:r>
      <w:r>
        <w:rPr>
          <w:color w:val="000000"/>
          <w:spacing w:val="-42"/>
          <w:sz w:val="21"/>
          <w:shd w:fill="A6A6A6" w:color="auto" w:val="clear"/>
        </w:rPr>
        <w:t> </w:t>
      </w:r>
      <w:r>
        <w:rPr>
          <w:color w:val="000000"/>
          <w:spacing w:val="-4"/>
          <w:sz w:val="21"/>
          <w:shd w:fill="A6A6A6" w:color="auto" w:val="clear"/>
        </w:rPr>
        <w:t>90</w:t>
      </w:r>
      <w:r>
        <w:rPr>
          <w:color w:val="000000"/>
          <w:spacing w:val="-41"/>
          <w:sz w:val="21"/>
          <w:shd w:fill="A6A6A6" w:color="auto" w:val="clear"/>
        </w:rPr>
        <w:t> </w:t>
      </w:r>
      <w:r>
        <w:rPr>
          <w:color w:val="000000"/>
          <w:spacing w:val="-4"/>
          <w:sz w:val="21"/>
          <w:shd w:fill="A6A6A6" w:color="auto" w:val="clear"/>
        </w:rPr>
        <w:t>日</w:t>
      </w:r>
      <w:r>
        <w:rPr>
          <w:color w:val="000000"/>
          <w:spacing w:val="-75"/>
          <w:sz w:val="21"/>
          <w:shd w:fill="A6A6A6" w:color="auto" w:val="clear"/>
        </w:rPr>
        <w:t>），</w:t>
      </w:r>
      <w:r>
        <w:rPr>
          <w:color w:val="000000"/>
          <w:spacing w:val="-4"/>
          <w:sz w:val="21"/>
          <w:shd w:fill="A6A6A6" w:color="auto" w:val="clear"/>
        </w:rPr>
        <w:t>被保险人</w:t>
      </w:r>
      <w:r>
        <w:rPr>
          <w:color w:val="000000"/>
          <w:spacing w:val="-4"/>
          <w:sz w:val="21"/>
          <w:shd w:fill="A6A6A6" w:color="auto" w:val="clear"/>
        </w:rPr>
        <w:t>因</w:t>
      </w:r>
      <w:r>
        <w:rPr>
          <w:color w:val="000000"/>
          <w:spacing w:val="-10"/>
          <w:sz w:val="21"/>
          <w:shd w:fill="A6A6A6" w:color="auto" w:val="clear"/>
        </w:rPr>
        <w:t>疾</w:t>
      </w:r>
    </w:p>
    <w:p>
      <w:pPr>
        <w:pStyle w:val="BodyText"/>
        <w:spacing w:line="278" w:lineRule="auto"/>
        <w:ind w:right="578"/>
      </w:pPr>
      <w:r>
        <w:rPr>
          <w:color w:val="000000"/>
          <w:spacing w:val="-1"/>
          <w:shd w:fill="A6A6A6" w:color="auto" w:val="clear"/>
        </w:rPr>
        <w:t>病确诊本合同第 </w:t>
      </w:r>
      <w:r>
        <w:rPr>
          <w:color w:val="000000"/>
          <w:shd w:fill="A6A6A6" w:color="auto" w:val="clear"/>
        </w:rPr>
        <w:t>10 条定义的重大疾病、第 11</w:t>
      </w:r>
      <w:r>
        <w:rPr>
          <w:color w:val="000000"/>
          <w:spacing w:val="-3"/>
          <w:shd w:fill="A6A6A6" w:color="auto" w:val="clear"/>
        </w:rPr>
        <w:t> 条定义的中症疾病或第 </w:t>
      </w:r>
      <w:r>
        <w:rPr>
          <w:color w:val="000000"/>
          <w:shd w:fill="A6A6A6" w:color="auto" w:val="clear"/>
        </w:rPr>
        <w:t>12</w:t>
      </w:r>
      <w:r>
        <w:rPr>
          <w:color w:val="000000"/>
          <w:spacing w:val="80"/>
          <w:w w:val="150"/>
          <w:shd w:fill="A6A6A6" w:color="auto" w:val="clear"/>
        </w:rPr>
        <w:t>                                     </w:t>
      </w:r>
      <w:r>
        <w:rPr>
          <w:color w:val="000000"/>
          <w:spacing w:val="-14"/>
          <w:shd w:fill="A6A6A6" w:color="auto" w:val="clear"/>
        </w:rPr>
        <w:t>条定义的轻症疾病</w:t>
      </w:r>
      <w:r>
        <w:rPr>
          <w:color w:val="000000"/>
          <w:spacing w:val="-2"/>
          <w:shd w:fill="A6A6A6" w:color="auto" w:val="clear"/>
        </w:rPr>
        <w:t>（无论一种或多种</w:t>
      </w:r>
      <w:r>
        <w:rPr>
          <w:color w:val="000000"/>
          <w:spacing w:val="-102"/>
          <w:shd w:fill="A6A6A6" w:color="auto" w:val="clear"/>
        </w:rPr>
        <w:t>）</w:t>
      </w:r>
      <w:r>
        <w:rPr>
          <w:color w:val="000000"/>
          <w:spacing w:val="-13"/>
          <w:shd w:fill="A6A6A6" w:color="auto" w:val="clear"/>
        </w:rPr>
        <w:t>，我们不承担本合同约定的保险责任，</w:t>
      </w:r>
      <w:r>
        <w:rPr>
          <w:color w:val="000000"/>
          <w:spacing w:val="-3"/>
          <w:shd w:fill="A6A6A6" w:color="auto" w:val="clear"/>
        </w:rPr>
        <w:t>本合同终止，并无息退还您所支付的全部保险费。这 </w:t>
      </w:r>
      <w:r>
        <w:rPr>
          <w:color w:val="000000"/>
          <w:shd w:fill="A6A6A6" w:color="auto" w:val="clear"/>
        </w:rPr>
        <w:t>90</w:t>
      </w:r>
      <w:r>
        <w:rPr>
          <w:color w:val="000000"/>
          <w:spacing w:val="-8"/>
          <w:shd w:fill="A6A6A6" w:color="auto" w:val="clear"/>
        </w:rPr>
        <w:t> 日的时间称为等待</w:t>
      </w:r>
      <w:r>
        <w:rPr>
          <w:color w:val="000000"/>
          <w:spacing w:val="-6"/>
          <w:shd w:fill="A6A6A6" w:color="auto" w:val="clear"/>
        </w:rPr>
        <w:t>期。</w:t>
      </w:r>
    </w:p>
    <w:p>
      <w:pPr>
        <w:pStyle w:val="ListParagraph"/>
        <w:numPr>
          <w:ilvl w:val="1"/>
          <w:numId w:val="9"/>
        </w:numPr>
        <w:tabs>
          <w:tab w:pos="1381" w:val="left" w:leader="none"/>
          <w:tab w:pos="1382" w:val="left" w:leader="none"/>
          <w:tab w:pos="3112" w:val="left" w:leader="none"/>
        </w:tabs>
        <w:spacing w:line="383" w:lineRule="exact" w:before="70" w:after="0"/>
        <w:ind w:left="1382" w:right="0" w:hanging="1170"/>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，且</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的</w:t>
      </w:r>
      <w:r>
        <w:rPr>
          <w:spacing w:val="-2"/>
          <w:sz w:val="21"/>
        </w:rPr>
        <w:t>前</w:t>
      </w:r>
      <w:r>
        <w:rPr>
          <w:spacing w:val="-2"/>
          <w:sz w:val="21"/>
        </w:rPr>
        <w:t>提</w:t>
      </w:r>
      <w:r>
        <w:rPr>
          <w:spacing w:val="-2"/>
          <w:sz w:val="21"/>
        </w:rPr>
        <w:t>下</w:t>
      </w:r>
      <w:r>
        <w:rPr>
          <w:spacing w:val="-2"/>
          <w:sz w:val="21"/>
        </w:rPr>
        <w:t>，我</w:t>
      </w:r>
      <w:r>
        <w:rPr>
          <w:spacing w:val="-2"/>
          <w:sz w:val="21"/>
        </w:rPr>
        <w:t>们</w:t>
      </w:r>
      <w:r>
        <w:rPr>
          <w:spacing w:val="-2"/>
          <w:sz w:val="21"/>
        </w:rPr>
        <w:t>按</w:t>
      </w:r>
      <w:r>
        <w:rPr>
          <w:spacing w:val="-2"/>
          <w:sz w:val="21"/>
        </w:rPr>
        <w:t>以</w:t>
      </w:r>
      <w:r>
        <w:rPr>
          <w:spacing w:val="-2"/>
          <w:sz w:val="21"/>
        </w:rPr>
        <w:t>下</w:t>
      </w:r>
      <w:r>
        <w:rPr>
          <w:spacing w:val="-2"/>
          <w:sz w:val="21"/>
        </w:rPr>
        <w:t>约</w:t>
      </w:r>
      <w:r>
        <w:rPr>
          <w:spacing w:val="-2"/>
          <w:sz w:val="21"/>
        </w:rPr>
        <w:t>定</w:t>
      </w:r>
      <w:r>
        <w:rPr>
          <w:spacing w:val="-2"/>
          <w:sz w:val="21"/>
        </w:rPr>
        <w:t>承</w:t>
      </w:r>
      <w:r>
        <w:rPr>
          <w:spacing w:val="-2"/>
          <w:sz w:val="21"/>
        </w:rPr>
        <w:t>担</w:t>
      </w:r>
      <w:r>
        <w:rPr>
          <w:spacing w:val="-2"/>
          <w:sz w:val="21"/>
        </w:rPr>
        <w:t>保</w:t>
      </w:r>
      <w:r>
        <w:rPr>
          <w:spacing w:val="-10"/>
          <w:sz w:val="21"/>
        </w:rPr>
        <w:t>险</w:t>
      </w:r>
    </w:p>
    <w:p>
      <w:pPr>
        <w:pStyle w:val="BodyText"/>
        <w:spacing w:line="265" w:lineRule="exact"/>
      </w:pPr>
      <w:r>
        <w:rPr>
          <w:spacing w:val="-4"/>
        </w:rPr>
        <w:t>责任：</w:t>
      </w:r>
    </w:p>
    <w:p>
      <w:pPr>
        <w:pStyle w:val="BodyText"/>
        <w:spacing w:before="5"/>
        <w:ind w:left="0"/>
        <w:rPr>
          <w:sz w:val="14"/>
        </w:rPr>
      </w:pPr>
    </w:p>
    <w:p>
      <w:pPr>
        <w:pStyle w:val="BodyText"/>
        <w:ind w:left="1382"/>
        <w:jc w:val="both"/>
      </w:pPr>
      <w:r>
        <w:rPr>
          <w:spacing w:val="3"/>
        </w:rPr>
        <w:t>重大疾病保险金  </w:t>
      </w:r>
      <w:r>
        <w:rPr/>
        <w:t>(1)</w:t>
      </w:r>
      <w:r>
        <w:rPr>
          <w:spacing w:val="-2"/>
        </w:rPr>
        <w:t>首次重大疾病保险金</w:t>
      </w:r>
    </w:p>
    <w:p>
      <w:pPr>
        <w:pStyle w:val="BodyText"/>
        <w:spacing w:line="230" w:lineRule="auto" w:before="66"/>
        <w:ind w:right="681"/>
        <w:jc w:val="both"/>
      </w:pPr>
      <w:r>
        <w:rPr>
          <w:w w:val="95"/>
        </w:rPr>
        <w:t>若</w:t>
      </w:r>
      <w:r>
        <w:rPr>
          <w:w w:val="95"/>
        </w:rPr>
        <w:t>被</w:t>
      </w:r>
      <w:r>
        <w:rPr>
          <w:w w:val="95"/>
        </w:rPr>
        <w:t>保险人于等待期后经</w:t>
      </w:r>
      <w:r>
        <w:rPr>
          <w:rFonts w:ascii="微软雅黑" w:eastAsia="微软雅黑"/>
          <w:b/>
          <w:w w:val="95"/>
        </w:rPr>
        <w:t>约</w:t>
      </w:r>
      <w:r>
        <w:rPr>
          <w:rFonts w:ascii="微软雅黑" w:eastAsia="微软雅黑"/>
          <w:b/>
          <w:w w:val="95"/>
        </w:rPr>
        <w:t>定</w:t>
      </w:r>
      <w:r>
        <w:rPr>
          <w:rFonts w:ascii="微软雅黑" w:eastAsia="微软雅黑"/>
          <w:b/>
          <w:w w:val="95"/>
        </w:rPr>
        <w:t>医</w:t>
      </w:r>
      <w:r>
        <w:rPr>
          <w:rFonts w:ascii="微软雅黑" w:eastAsia="微软雅黑"/>
          <w:b/>
          <w:w w:val="95"/>
        </w:rPr>
        <w:t>院</w:t>
      </w:r>
      <w:r>
        <w:rPr>
          <w:rFonts w:ascii="微软雅黑" w:eastAsia="微软雅黑"/>
          <w:b/>
          <w:w w:val="95"/>
          <w:position w:val="11"/>
          <w:sz w:val="11"/>
        </w:rPr>
        <w:t>6</w:t>
      </w:r>
      <w:r>
        <w:rPr>
          <w:w w:val="95"/>
        </w:rPr>
        <w:t>确诊</w:t>
      </w:r>
      <w:r>
        <w:rPr>
          <w:rFonts w:ascii="微软雅黑" w:eastAsia="微软雅黑"/>
          <w:b/>
          <w:w w:val="95"/>
        </w:rPr>
        <w:t>初</w:t>
      </w:r>
      <w:r>
        <w:rPr>
          <w:rFonts w:ascii="微软雅黑" w:eastAsia="微软雅黑"/>
          <w:b/>
          <w:w w:val="95"/>
        </w:rPr>
        <w:t>次</w:t>
      </w:r>
      <w:r>
        <w:rPr>
          <w:rFonts w:ascii="微软雅黑" w:eastAsia="微软雅黑"/>
          <w:b/>
          <w:w w:val="95"/>
        </w:rPr>
        <w:t>发</w:t>
      </w:r>
      <w:r>
        <w:rPr>
          <w:rFonts w:ascii="微软雅黑" w:eastAsia="微软雅黑"/>
          <w:b/>
          <w:w w:val="95"/>
        </w:rPr>
        <w:t>生</w:t>
      </w:r>
      <w:r>
        <w:rPr>
          <w:rFonts w:ascii="微软雅黑" w:eastAsia="微软雅黑"/>
          <w:b/>
          <w:w w:val="95"/>
          <w:position w:val="11"/>
          <w:sz w:val="11"/>
        </w:rPr>
        <w:t>7</w:t>
      </w:r>
      <w:r>
        <w:rPr>
          <w:w w:val="95"/>
        </w:rPr>
        <w:t>符</w:t>
      </w:r>
      <w:r>
        <w:rPr>
          <w:w w:val="95"/>
        </w:rPr>
        <w:t>合</w:t>
      </w:r>
      <w:r>
        <w:rPr>
          <w:w w:val="95"/>
        </w:rPr>
        <w:t>本</w:t>
      </w:r>
      <w:r>
        <w:rPr>
          <w:w w:val="95"/>
        </w:rPr>
        <w:t>合</w:t>
      </w:r>
      <w:r>
        <w:rPr>
          <w:w w:val="95"/>
        </w:rPr>
        <w:t>同</w:t>
      </w:r>
      <w:r>
        <w:rPr>
          <w:w w:val="95"/>
        </w:rPr>
        <w:t>第</w:t>
      </w:r>
      <w:r>
        <w:rPr>
          <w:spacing w:val="36"/>
        </w:rPr>
        <w:t> </w:t>
      </w:r>
      <w:r>
        <w:rPr>
          <w:w w:val="95"/>
        </w:rPr>
        <w:t>10</w:t>
      </w:r>
      <w:r>
        <w:rPr>
          <w:spacing w:val="28"/>
        </w:rPr>
        <w:t> </w:t>
      </w:r>
      <w:r>
        <w:rPr>
          <w:w w:val="95"/>
        </w:rPr>
        <w:t>条定义</w:t>
      </w:r>
      <w:r>
        <w:rPr>
          <w:spacing w:val="-2"/>
        </w:rPr>
        <w:t>的重大疾病（无论一种或多种</w:t>
      </w:r>
      <w:r>
        <w:rPr>
          <w:spacing w:val="-75"/>
        </w:rPr>
        <w:t>）</w:t>
      </w:r>
      <w:r>
        <w:rPr>
          <w:spacing w:val="-11"/>
        </w:rPr>
        <w:t>，我们按本合同的基本保险金额给付首次重</w:t>
      </w:r>
      <w:r>
        <w:rPr>
          <w:spacing w:val="-2"/>
        </w:rPr>
        <w:t>大疾病保险金，该种重大疾病的保险责任终止。若因</w:t>
      </w:r>
      <w:r>
        <w:rPr>
          <w:rFonts w:ascii="微软雅黑" w:eastAsia="微软雅黑"/>
          <w:b/>
          <w:spacing w:val="-2"/>
        </w:rPr>
        <w:t>意外伤害</w:t>
      </w:r>
      <w:r>
        <w:rPr>
          <w:rFonts w:ascii="Calibri" w:eastAsia="Calibri"/>
          <w:b/>
          <w:spacing w:val="-2"/>
          <w:vertAlign w:val="superscript"/>
        </w:rPr>
        <w:t>8</w:t>
      </w:r>
      <w:r>
        <w:rPr>
          <w:spacing w:val="-2"/>
          <w:vertAlign w:val="baseline"/>
        </w:rPr>
        <w:t>导致上述情</w:t>
      </w:r>
      <w:r>
        <w:rPr>
          <w:spacing w:val="-2"/>
          <w:vertAlign w:val="baseline"/>
        </w:rPr>
        <w:t>形，不受等待期限制。</w:t>
      </w:r>
    </w:p>
    <w:p>
      <w:pPr>
        <w:pStyle w:val="BodyText"/>
        <w:spacing w:before="4"/>
        <w:ind w:left="0"/>
        <w:rPr>
          <w:sz w:val="7"/>
        </w:rPr>
      </w:pPr>
      <w:r>
        <w:rPr/>
        <w:drawing>
          <wp:anchor distT="0" distB="0" distL="0" distR="0" allowOverlap="1" layoutInCell="1" locked="0" behindDoc="1" simplePos="0" relativeHeight="484483072">
            <wp:simplePos x="0" y="0"/>
            <wp:positionH relativeFrom="page">
              <wp:posOffset>2560954</wp:posOffset>
            </wp:positionH>
            <wp:positionV relativeFrom="paragraph">
              <wp:posOffset>273200</wp:posOffset>
            </wp:positionV>
            <wp:extent cx="4283075" cy="371855"/>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4283075" cy="371855"/>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201.649994pt;margin-top:21.511856pt;width:342.65pt;height:29.3pt;mso-position-horizontal-relative:page;mso-position-vertical-relative:paragraph;z-index:-18832896" type="#_x0000_t202" id="docshape1" filled="false" stroked="false">
            <v:textbox inset="0,0,0,0">
              <w:txbxContent>
                <w:p>
                  <w:pPr>
                    <w:pStyle w:val="BodyText"/>
                    <w:spacing w:before="3"/>
                    <w:ind w:left="0"/>
                  </w:pPr>
                  <w:r>
                    <w:rPr>
                      <w:spacing w:val="-28"/>
                    </w:rPr>
                    <w:t>担给付“中症疾病保险金”、“轻症疾病保险金”、“特定重大疾病保险金”、</w:t>
                  </w:r>
                </w:p>
                <w:p>
                  <w:pPr>
                    <w:pStyle w:val="BodyText"/>
                    <w:spacing w:before="43"/>
                    <w:ind w:left="0"/>
                  </w:pPr>
                  <w:r>
                    <w:rPr>
                      <w:spacing w:val="-17"/>
                    </w:rPr>
                    <w:t>“身故保险金”、“全残保险金”和“生命末期保险金”的责任。</w:t>
                  </w:r>
                </w:p>
              </w:txbxContent>
            </v:textbox>
            <w10:wrap type="none"/>
          </v:shape>
        </w:pict>
      </w:r>
      <w:r>
        <w:rPr/>
        <w:pict>
          <v:shape style="position:absolute;margin-left:201.649994pt;margin-top:5.911856pt;width:337.25pt;height:13.7pt;mso-position-horizontal-relative:page;mso-position-vertical-relative:paragraph;z-index:-15726080;mso-wrap-distance-left:0;mso-wrap-distance-right:0" type="#_x0000_t202" id="docshape2" filled="true" fillcolor="#a6a6a6" stroked="false">
            <v:textbox inset="0,0,0,0">
              <w:txbxContent>
                <w:p>
                  <w:pPr>
                    <w:pStyle w:val="BodyText"/>
                    <w:spacing w:before="3"/>
                    <w:ind w:left="0" w:right="-15"/>
                    <w:rPr>
                      <w:color w:val="000000"/>
                    </w:rPr>
                  </w:pPr>
                  <w:r>
                    <w:rPr>
                      <w:color w:val="000000"/>
                      <w:spacing w:val="-3"/>
                    </w:rPr>
                    <w:t>我们给付首次重大疾病保险金后，本合同的现金价值降为零，我们不再承</w:t>
                  </w:r>
                </w:p>
              </w:txbxContent>
            </v:textbox>
            <v:fill type="solid"/>
            <w10:wrap type="topAndBottom"/>
          </v:shape>
        </w:pict>
      </w:r>
    </w:p>
    <w:p>
      <w:pPr>
        <w:pStyle w:val="ListParagraph"/>
        <w:numPr>
          <w:ilvl w:val="0"/>
          <w:numId w:val="10"/>
        </w:numPr>
        <w:tabs>
          <w:tab w:pos="3431" w:val="left" w:leader="none"/>
        </w:tabs>
        <w:spacing w:line="240" w:lineRule="auto" w:before="121" w:after="0"/>
        <w:ind w:left="3430" w:right="0" w:hanging="318"/>
        <w:jc w:val="left"/>
        <w:rPr>
          <w:sz w:val="21"/>
        </w:rPr>
      </w:pPr>
      <w:r>
        <w:rPr>
          <w:spacing w:val="-3"/>
          <w:sz w:val="21"/>
        </w:rPr>
        <w:t>第二次重大疾病保险金</w:t>
      </w:r>
    </w:p>
    <w:p>
      <w:pPr>
        <w:pStyle w:val="BodyText"/>
        <w:spacing w:line="278" w:lineRule="auto" w:before="120"/>
        <w:ind w:right="683"/>
      </w:pPr>
      <w:r>
        <w:rPr>
          <w:spacing w:val="-2"/>
        </w:rPr>
        <w:t>我们给付首次重大疾病保险金后，若被保险人自首次重大疾病确诊之日起 </w:t>
      </w:r>
      <w:r>
        <w:rPr>
          <w:spacing w:val="-4"/>
        </w:rPr>
        <w:t>365</w:t>
      </w:r>
      <w:r>
        <w:rPr>
          <w:spacing w:val="-11"/>
        </w:rPr>
        <w:t> 天后，经约定医院确诊初次发生符合本合同第 </w:t>
      </w:r>
      <w:r>
        <w:rPr>
          <w:spacing w:val="-4"/>
        </w:rPr>
        <w:t>10</w:t>
      </w:r>
      <w:r>
        <w:rPr>
          <w:spacing w:val="-10"/>
        </w:rPr>
        <w:t> 条定义的、首次重大</w:t>
      </w:r>
    </w:p>
    <w:p>
      <w:pPr>
        <w:pStyle w:val="BodyText"/>
        <w:spacing w:line="278" w:lineRule="auto"/>
        <w:ind w:right="681"/>
      </w:pPr>
      <w:r>
        <w:rPr>
          <w:spacing w:val="-4"/>
        </w:rPr>
        <w:t>疾病以外的其他任何一种重大疾病，我们按本合同的基本保险金额的 </w:t>
      </w:r>
      <w:r>
        <w:rPr>
          <w:spacing w:val="-2"/>
        </w:rPr>
        <w:t>110%</w:t>
      </w:r>
      <w:r>
        <w:rPr>
          <w:spacing w:val="-2"/>
        </w:rPr>
        <w:t>给付第二次重大疾病保险金，该种重大疾病的保险责任终止。</w:t>
      </w:r>
    </w:p>
    <w:p>
      <w:pPr>
        <w:pStyle w:val="ListParagraph"/>
        <w:numPr>
          <w:ilvl w:val="0"/>
          <w:numId w:val="10"/>
        </w:numPr>
        <w:tabs>
          <w:tab w:pos="3431" w:val="left" w:leader="none"/>
        </w:tabs>
        <w:spacing w:line="240" w:lineRule="auto" w:before="78" w:after="0"/>
        <w:ind w:left="3430" w:right="0" w:hanging="318"/>
        <w:jc w:val="left"/>
        <w:rPr>
          <w:sz w:val="21"/>
        </w:rPr>
      </w:pPr>
      <w:r>
        <w:rPr>
          <w:spacing w:val="-3"/>
          <w:sz w:val="21"/>
        </w:rPr>
        <w:t>第三次重大疾病保险金</w:t>
      </w:r>
    </w:p>
    <w:p>
      <w:pPr>
        <w:pStyle w:val="BodyText"/>
        <w:spacing w:line="278" w:lineRule="auto" w:before="121"/>
        <w:ind w:right="681"/>
        <w:jc w:val="both"/>
      </w:pPr>
      <w:r>
        <w:rPr>
          <w:spacing w:val="-2"/>
        </w:rPr>
        <w:t>我们给付第二次重大疾病保险金后，若被保险人自第二次重大疾病确诊之</w:t>
      </w:r>
      <w:r>
        <w:rPr>
          <w:w w:val="95"/>
        </w:rPr>
        <w:t>日</w:t>
      </w:r>
      <w:r>
        <w:rPr>
          <w:w w:val="95"/>
        </w:rPr>
        <w:t>起</w:t>
      </w:r>
      <w:r>
        <w:rPr>
          <w:w w:val="95"/>
        </w:rPr>
        <w:t> 365 天后，经约定医</w:t>
      </w:r>
      <w:r>
        <w:rPr>
          <w:w w:val="95"/>
        </w:rPr>
        <w:t>院</w:t>
      </w:r>
      <w:r>
        <w:rPr>
          <w:w w:val="95"/>
        </w:rPr>
        <w:t>确</w:t>
      </w:r>
      <w:r>
        <w:rPr>
          <w:w w:val="95"/>
        </w:rPr>
        <w:t>诊初次发生符合本合</w:t>
      </w:r>
      <w:r>
        <w:rPr>
          <w:w w:val="95"/>
        </w:rPr>
        <w:t>同</w:t>
      </w:r>
      <w:r>
        <w:rPr>
          <w:w w:val="95"/>
        </w:rPr>
        <w:t>第</w:t>
      </w:r>
      <w:r>
        <w:rPr>
          <w:w w:val="95"/>
        </w:rPr>
        <w:t> 10 条定义的、</w:t>
      </w:r>
      <w:r>
        <w:rPr>
          <w:w w:val="95"/>
        </w:rPr>
        <w:t>首</w:t>
      </w:r>
      <w:r>
        <w:rPr>
          <w:w w:val="95"/>
        </w:rPr>
        <w:t>次</w:t>
      </w:r>
      <w:r>
        <w:rPr>
          <w:spacing w:val="-2"/>
        </w:rPr>
        <w:t>重大疾病和第二次重大疾病以外的其他任何一种重大疾病，我们按本合同</w:t>
      </w:r>
      <w:r>
        <w:rPr>
          <w:spacing w:val="-5"/>
        </w:rPr>
        <w:t>的基本保险金额的 </w:t>
      </w:r>
      <w:r>
        <w:rPr/>
        <w:t>120%给付第三次重大疾病保险金，本合同终止。</w:t>
      </w:r>
    </w:p>
    <w:p>
      <w:pPr>
        <w:pStyle w:val="BodyText"/>
        <w:spacing w:line="278" w:lineRule="auto" w:before="78"/>
        <w:ind w:right="684"/>
        <w:jc w:val="both"/>
      </w:pPr>
      <w:r>
        <w:rPr>
          <w:color w:val="000000"/>
          <w:spacing w:val="-2"/>
          <w:shd w:fill="A6A6A6" w:color="auto" w:val="clear"/>
        </w:rPr>
        <w:t>每种重大疾病只给付一次重大疾病保险金，给付后该种重大疾病的保险责</w:t>
      </w:r>
      <w:r>
        <w:rPr>
          <w:color w:val="000000"/>
          <w:spacing w:val="40"/>
          <w:shd w:fill="A6A6A6" w:color="auto" w:val="clear"/>
        </w:rPr>
        <w:t> </w:t>
      </w:r>
      <w:r>
        <w:rPr>
          <w:color w:val="000000"/>
          <w:spacing w:val="-2"/>
          <w:shd w:fill="A6A6A6" w:color="auto" w:val="clear"/>
        </w:rPr>
        <w:t>任终止。本合同的重大疾病保险金累计给付以三次为限，且每次确诊符合</w:t>
      </w:r>
      <w:r>
        <w:rPr>
          <w:color w:val="000000"/>
          <w:w w:val="95"/>
          <w:shd w:fill="A6A6A6" w:color="auto" w:val="clear"/>
        </w:rPr>
        <w:t>本</w:t>
      </w:r>
      <w:r>
        <w:rPr>
          <w:color w:val="000000"/>
          <w:w w:val="95"/>
          <w:shd w:fill="A6A6A6" w:color="auto" w:val="clear"/>
        </w:rPr>
        <w:t>合</w:t>
      </w:r>
      <w:r>
        <w:rPr>
          <w:color w:val="000000"/>
          <w:w w:val="95"/>
          <w:shd w:fill="A6A6A6" w:color="auto" w:val="clear"/>
        </w:rPr>
        <w:t>同第 10 条定义的</w:t>
      </w:r>
      <w:r>
        <w:rPr>
          <w:color w:val="000000"/>
          <w:w w:val="95"/>
          <w:shd w:fill="A6A6A6" w:color="auto" w:val="clear"/>
        </w:rPr>
        <w:t>重</w:t>
      </w:r>
      <w:r>
        <w:rPr>
          <w:color w:val="000000"/>
          <w:w w:val="95"/>
          <w:shd w:fill="A6A6A6" w:color="auto" w:val="clear"/>
        </w:rPr>
        <w:t>大</w:t>
      </w:r>
      <w:r>
        <w:rPr>
          <w:color w:val="000000"/>
          <w:w w:val="95"/>
          <w:shd w:fill="A6A6A6" w:color="auto" w:val="clear"/>
        </w:rPr>
        <w:t>疾</w:t>
      </w:r>
      <w:r>
        <w:rPr>
          <w:color w:val="000000"/>
          <w:w w:val="95"/>
          <w:shd w:fill="A6A6A6" w:color="auto" w:val="clear"/>
        </w:rPr>
        <w:t>病</w:t>
      </w:r>
      <w:r>
        <w:rPr>
          <w:color w:val="000000"/>
          <w:w w:val="95"/>
          <w:shd w:fill="A6A6A6" w:color="auto" w:val="clear"/>
        </w:rPr>
        <w:t>的日期间隔不小于 365</w:t>
      </w:r>
      <w:r>
        <w:rPr>
          <w:color w:val="000000"/>
          <w:spacing w:val="-11"/>
          <w:w w:val="95"/>
          <w:shd w:fill="A6A6A6" w:color="auto" w:val="clear"/>
        </w:rPr>
        <w:t> 天。如果被保险人</w:t>
      </w:r>
      <w:r>
        <w:rPr>
          <w:color w:val="000000"/>
          <w:w w:val="95"/>
          <w:shd w:fill="A6A6A6" w:color="auto" w:val="clear"/>
        </w:rPr>
        <w:t>由</w:t>
      </w:r>
      <w:r>
        <w:rPr>
          <w:color w:val="000000"/>
          <w:spacing w:val="-2"/>
          <w:shd w:fill="A6A6A6" w:color="auto" w:val="clear"/>
        </w:rPr>
        <w:t>于同次医疗行为或同次意外伤害事故，确诊初次发生本合同所定义的两种</w:t>
      </w:r>
      <w:r>
        <w:rPr>
          <w:color w:val="000000"/>
          <w:spacing w:val="-2"/>
          <w:shd w:fill="A6A6A6" w:color="auto" w:val="clear"/>
        </w:rPr>
        <w:t>或者两种以上的重大疾病，我们仅按一种重大疾病给付重大疾病保险金。</w:t>
      </w:r>
      <w:r>
        <w:rPr>
          <w:color w:val="000000"/>
          <w:spacing w:val="-2"/>
          <w:shd w:fill="A6A6A6" w:color="auto" w:val="clear"/>
        </w:rPr>
        <w:t>重大疾病保险金给付满三次后，本合同终止。</w:t>
      </w:r>
    </w:p>
    <w:p>
      <w:pPr>
        <w:pStyle w:val="BodyText"/>
        <w:spacing w:line="261" w:lineRule="auto" w:before="141"/>
        <w:ind w:right="602" w:hanging="1731"/>
        <w:jc w:val="both"/>
      </w:pPr>
      <w:r>
        <w:rPr>
          <w:spacing w:val="19"/>
          <w:position w:val="-1"/>
        </w:rPr>
        <w:t>中症疾病保险金 </w:t>
      </w:r>
      <w:r>
        <w:rPr/>
        <w:t>若被保险人于等待期后经约定医院确诊初次发生符合本合同第 11 条定义</w:t>
      </w:r>
      <w:r>
        <w:rPr>
          <w:spacing w:val="-2"/>
        </w:rPr>
        <w:t>的中症疾病（无论一种或多种</w:t>
      </w:r>
      <w:r>
        <w:rPr>
          <w:spacing w:val="-108"/>
        </w:rPr>
        <w:t>）</w:t>
      </w:r>
      <w:r>
        <w:rPr>
          <w:spacing w:val="-3"/>
        </w:rPr>
        <w:t>，且未达到领取重大疾病保险金的标准时，</w:t>
      </w:r>
    </w:p>
    <w:p>
      <w:pPr>
        <w:pStyle w:val="BodyText"/>
        <w:spacing w:before="2"/>
        <w:ind w:left="0"/>
      </w:pPr>
      <w:r>
        <w:rPr/>
        <w:drawing>
          <wp:anchor distT="0" distB="0" distL="0" distR="0" allowOverlap="1" layoutInCell="1" locked="0" behindDoc="0" simplePos="0" relativeHeight="6">
            <wp:simplePos x="0" y="0"/>
            <wp:positionH relativeFrom="page">
              <wp:posOffset>719327</wp:posOffset>
            </wp:positionH>
            <wp:positionV relativeFrom="paragraph">
              <wp:posOffset>187797</wp:posOffset>
            </wp:positionV>
            <wp:extent cx="1829511" cy="9143"/>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1829511" cy="9143"/>
                    </a:xfrm>
                    <a:prstGeom prst="rect">
                      <a:avLst/>
                    </a:prstGeom>
                  </pic:spPr>
                </pic:pic>
              </a:graphicData>
            </a:graphic>
          </wp:anchor>
        </w:drawing>
      </w:r>
    </w:p>
    <w:p>
      <w:pPr>
        <w:spacing w:line="311" w:lineRule="exact" w:before="41"/>
        <w:ind w:left="212" w:right="0" w:firstLine="0"/>
        <w:jc w:val="left"/>
        <w:rPr>
          <w:sz w:val="18"/>
        </w:rPr>
      </w:pPr>
      <w:r>
        <w:rPr>
          <w:rFonts w:ascii="Calibri" w:eastAsia="Calibri"/>
          <w:b/>
          <w:spacing w:val="-4"/>
          <w:position w:val="5"/>
          <w:sz w:val="12"/>
        </w:rPr>
        <w:t>6</w:t>
      </w:r>
      <w:r>
        <w:rPr>
          <w:rFonts w:ascii="微软雅黑" w:eastAsia="微软雅黑"/>
          <w:b/>
          <w:spacing w:val="-4"/>
          <w:sz w:val="18"/>
        </w:rPr>
        <w:t>约定医院：</w:t>
      </w:r>
      <w:r>
        <w:rPr>
          <w:spacing w:val="-4"/>
          <w:sz w:val="18"/>
        </w:rPr>
        <w:t>指经中华人民共和国卫生行政部门评审确定的二级或二级以上公立医院，</w:t>
      </w:r>
      <w:r>
        <w:rPr>
          <w:color w:val="000000"/>
          <w:spacing w:val="-5"/>
          <w:sz w:val="18"/>
          <w:shd w:fill="A6A6A6" w:color="auto" w:val="clear"/>
        </w:rPr>
        <w:t>但不包括精神病院及专供康复、休养、</w:t>
      </w:r>
    </w:p>
    <w:p>
      <w:pPr>
        <w:spacing w:line="210" w:lineRule="exact" w:before="0"/>
        <w:ind w:left="212" w:right="0" w:firstLine="0"/>
        <w:jc w:val="left"/>
        <w:rPr>
          <w:sz w:val="18"/>
        </w:rPr>
      </w:pPr>
      <w:r>
        <w:rPr>
          <w:color w:val="000000"/>
          <w:spacing w:val="-2"/>
          <w:sz w:val="18"/>
          <w:shd w:fill="A6A6A6" w:color="auto" w:val="clear"/>
        </w:rPr>
        <w:t>戒毒、戒酒、护理、养老等非以直接诊治病人为目的的医疗机构。</w:t>
      </w:r>
      <w:r>
        <w:rPr>
          <w:color w:val="000000"/>
          <w:spacing w:val="-3"/>
          <w:sz w:val="18"/>
        </w:rPr>
        <w:t>该医院必须具有符合国家有关医院管理规则设置标准的医</w:t>
      </w:r>
    </w:p>
    <w:p>
      <w:pPr>
        <w:spacing w:line="204" w:lineRule="exact" w:before="2"/>
        <w:ind w:left="212" w:right="0" w:firstLine="0"/>
        <w:jc w:val="left"/>
        <w:rPr>
          <w:sz w:val="18"/>
        </w:rPr>
      </w:pPr>
      <w:r>
        <w:rPr>
          <w:spacing w:val="-1"/>
          <w:sz w:val="18"/>
        </w:rPr>
        <w:t>疗设备，且全天二十四小时有合格医师及护士驻院提供医疗及护理服务。</w:t>
      </w:r>
    </w:p>
    <w:p>
      <w:pPr>
        <w:spacing w:line="285" w:lineRule="exact" w:before="0"/>
        <w:ind w:left="212" w:right="0" w:firstLine="0"/>
        <w:jc w:val="left"/>
        <w:rPr>
          <w:sz w:val="18"/>
        </w:rPr>
      </w:pPr>
      <w:r>
        <w:rPr>
          <w:rFonts w:ascii="Calibri" w:eastAsia="Calibri"/>
          <w:b/>
          <w:position w:val="5"/>
          <w:sz w:val="12"/>
        </w:rPr>
        <w:t>7</w:t>
      </w:r>
      <w:r>
        <w:rPr>
          <w:rFonts w:ascii="微软雅黑" w:eastAsia="微软雅黑"/>
          <w:b/>
          <w:sz w:val="18"/>
        </w:rPr>
        <w:t>初次发生：</w:t>
      </w:r>
      <w:r>
        <w:rPr>
          <w:spacing w:val="-1"/>
          <w:sz w:val="18"/>
        </w:rPr>
        <w:t>指被保险人首次出现与本合同所保障的疾病相关的症状或体征，且相关的症状或体征被诊断为本合同所保障的</w:t>
      </w:r>
    </w:p>
    <w:p>
      <w:pPr>
        <w:spacing w:line="182" w:lineRule="exact" w:before="0"/>
        <w:ind w:left="212" w:right="0" w:firstLine="0"/>
        <w:jc w:val="left"/>
        <w:rPr>
          <w:sz w:val="18"/>
        </w:rPr>
      </w:pPr>
      <w:r>
        <w:rPr>
          <w:spacing w:val="-1"/>
          <w:sz w:val="18"/>
        </w:rPr>
        <w:t>疾病或在其后发展为本合同所保障的疾病。</w:t>
      </w:r>
    </w:p>
    <w:p>
      <w:pPr>
        <w:spacing w:line="283" w:lineRule="exact" w:before="0"/>
        <w:ind w:left="212" w:right="0" w:firstLine="0"/>
        <w:jc w:val="left"/>
        <w:rPr>
          <w:sz w:val="18"/>
        </w:rPr>
      </w:pPr>
      <w:r>
        <w:rPr>
          <w:rFonts w:ascii="Calibri" w:eastAsia="Calibri"/>
          <w:b/>
          <w:position w:val="5"/>
          <w:sz w:val="12"/>
        </w:rPr>
        <w:t>8</w:t>
      </w:r>
      <w:r>
        <w:rPr>
          <w:rFonts w:ascii="微软雅黑" w:eastAsia="微软雅黑"/>
          <w:b/>
          <w:sz w:val="18"/>
        </w:rPr>
        <w:t>意外伤害：</w:t>
      </w:r>
      <w:r>
        <w:rPr>
          <w:spacing w:val="-1"/>
          <w:sz w:val="18"/>
        </w:rPr>
        <w:t>指遭受外来的、突发的、非本意的、非疾病的客观事件直接致使身体受到的伤害。</w:t>
      </w:r>
    </w:p>
    <w:p>
      <w:pPr>
        <w:spacing w:line="210" w:lineRule="exact" w:before="0"/>
        <w:ind w:left="212" w:right="0" w:firstLine="0"/>
        <w:jc w:val="left"/>
        <w:rPr>
          <w:sz w:val="18"/>
        </w:rPr>
      </w:pPr>
      <w:r>
        <w:rPr>
          <w:sz w:val="18"/>
        </w:rPr>
        <w:t>本合同所述的意外伤害导致的身故，</w:t>
      </w:r>
      <w:r>
        <w:rPr>
          <w:color w:val="000000"/>
          <w:sz w:val="18"/>
          <w:shd w:fill="A6A6A6" w:color="auto" w:val="clear"/>
        </w:rPr>
        <w:t>不包括猝死</w:t>
      </w:r>
      <w:r>
        <w:rPr>
          <w:color w:val="000000"/>
          <w:spacing w:val="-11"/>
          <w:sz w:val="18"/>
        </w:rPr>
        <w:t>。“猝死”是指貌似健康的人因潜在疾病、机能障碍或其他原因在出现症状</w:t>
      </w:r>
    </w:p>
    <w:p>
      <w:pPr>
        <w:spacing w:before="4"/>
        <w:ind w:left="212" w:right="0" w:firstLine="0"/>
        <w:jc w:val="left"/>
        <w:rPr>
          <w:sz w:val="18"/>
        </w:rPr>
      </w:pPr>
      <w:r>
        <w:rPr>
          <w:spacing w:val="-16"/>
          <w:sz w:val="18"/>
        </w:rPr>
        <w:t>后 </w:t>
      </w:r>
      <w:r>
        <w:rPr>
          <w:spacing w:val="-2"/>
          <w:sz w:val="18"/>
        </w:rPr>
        <w:t>24</w:t>
      </w:r>
      <w:r>
        <w:rPr>
          <w:spacing w:val="-8"/>
          <w:sz w:val="18"/>
        </w:rPr>
        <w:t> 小时内发生的非暴力性突然死亡。</w:t>
      </w:r>
    </w:p>
    <w:p>
      <w:pPr>
        <w:spacing w:after="0"/>
        <w:jc w:val="left"/>
        <w:rPr>
          <w:sz w:val="18"/>
        </w:rPr>
        <w:sectPr>
          <w:pgSz w:w="11910" w:h="16840"/>
          <w:pgMar w:top="1380" w:bottom="280" w:left="920" w:right="440"/>
        </w:sectPr>
      </w:pPr>
    </w:p>
    <w:p>
      <w:pPr>
        <w:pStyle w:val="BodyText"/>
        <w:spacing w:line="278" w:lineRule="auto" w:before="43"/>
        <w:ind w:right="683"/>
        <w:jc w:val="both"/>
      </w:pPr>
      <w:r>
        <w:rPr>
          <w:spacing w:val="-1"/>
        </w:rPr>
        <w:t>我们按本合同的基本保险金额的 </w:t>
      </w:r>
      <w:r>
        <w:rPr/>
        <w:t>50%给付中症疾病保险金。若因意外伤害</w:t>
      </w:r>
      <w:r>
        <w:rPr>
          <w:spacing w:val="-2"/>
        </w:rPr>
        <w:t>导致上述情形，不受等待期限制。</w:t>
      </w:r>
    </w:p>
    <w:p>
      <w:pPr>
        <w:pStyle w:val="BodyText"/>
        <w:spacing w:line="278" w:lineRule="auto" w:before="76"/>
        <w:ind w:right="684"/>
        <w:jc w:val="both"/>
      </w:pPr>
      <w:r>
        <w:rPr>
          <w:color w:val="000000"/>
          <w:spacing w:val="-2"/>
          <w:shd w:fill="A6A6A6" w:color="auto" w:val="clear"/>
        </w:rPr>
        <w:t>每种中症疾病只给付一次中症疾病保险金，给付后该种中症疾病的保险责</w:t>
      </w:r>
      <w:r>
        <w:rPr>
          <w:color w:val="000000"/>
          <w:spacing w:val="40"/>
          <w:shd w:fill="A6A6A6" w:color="auto" w:val="clear"/>
        </w:rPr>
        <w:t> </w:t>
      </w:r>
      <w:r>
        <w:rPr>
          <w:color w:val="000000"/>
          <w:spacing w:val="-2"/>
          <w:shd w:fill="A6A6A6" w:color="auto" w:val="clear"/>
        </w:rPr>
        <w:t>任终止。本合同的中症疾病保险金累计给付以二次为限。如果被保险人由</w:t>
      </w:r>
      <w:r>
        <w:rPr>
          <w:color w:val="000000"/>
          <w:spacing w:val="-2"/>
          <w:shd w:fill="A6A6A6" w:color="auto" w:val="clear"/>
        </w:rPr>
        <w:t>于同一疾病原因或同次医疗行为或同次意外伤害事故，确诊初次发生本合</w:t>
      </w:r>
      <w:r>
        <w:rPr>
          <w:color w:val="000000"/>
          <w:spacing w:val="-2"/>
          <w:shd w:fill="A6A6A6" w:color="auto" w:val="clear"/>
        </w:rPr>
        <w:t>同所定义的两种或者两种以上的中症疾病，我们仅按一种中症疾病给付中</w:t>
      </w:r>
      <w:r>
        <w:rPr>
          <w:color w:val="000000"/>
          <w:spacing w:val="-2"/>
          <w:shd w:fill="A6A6A6" w:color="auto" w:val="clear"/>
        </w:rPr>
        <w:t>症疾病保险金。中症疾病保险金给付满二次后，中症疾病保险金的保险责</w:t>
      </w:r>
      <w:r>
        <w:rPr>
          <w:color w:val="000000"/>
          <w:spacing w:val="-4"/>
          <w:shd w:fill="A6A6A6" w:color="auto" w:val="clear"/>
        </w:rPr>
        <w:t>任终止。</w:t>
      </w:r>
    </w:p>
    <w:p>
      <w:pPr>
        <w:pStyle w:val="BodyText"/>
        <w:spacing w:line="278" w:lineRule="auto" w:before="141"/>
        <w:ind w:right="683" w:hanging="1731"/>
        <w:jc w:val="both"/>
      </w:pPr>
      <w:r>
        <w:rPr/>
        <w:t>轻症疾病保险金 若被保险人于等待期后经约定医院确诊初次发生符合本合同第 12</w:t>
      </w:r>
      <w:r>
        <w:rPr>
          <w:spacing w:val="-2"/>
        </w:rPr>
        <w:t> 条定义</w:t>
      </w:r>
      <w:r>
        <w:rPr>
          <w:spacing w:val="-2"/>
        </w:rPr>
        <w:t>的轻症疾病（无论一种或多种</w:t>
      </w:r>
      <w:r>
        <w:rPr>
          <w:spacing w:val="-68"/>
        </w:rPr>
        <w:t>）</w:t>
      </w:r>
      <w:r>
        <w:rPr>
          <w:spacing w:val="-11"/>
        </w:rPr>
        <w:t>，且未达到领取重大疾病保险金、中症疾病</w:t>
      </w:r>
      <w:r>
        <w:rPr>
          <w:spacing w:val="-1"/>
        </w:rPr>
        <w:t>保险金的标准时，我们按本合同的基本保险金额的 </w:t>
      </w:r>
      <w:r>
        <w:rPr/>
        <w:t>30%给付轻症疾病保险</w:t>
      </w:r>
      <w:r>
        <w:rPr>
          <w:spacing w:val="-2"/>
        </w:rPr>
        <w:t>金。若因意外伤害导致上述情形，不受等待期限制。</w:t>
      </w:r>
    </w:p>
    <w:p>
      <w:pPr>
        <w:pStyle w:val="BodyText"/>
        <w:spacing w:line="278" w:lineRule="auto" w:before="80"/>
        <w:ind w:right="684"/>
        <w:jc w:val="both"/>
      </w:pPr>
      <w:r>
        <w:rPr>
          <w:color w:val="000000"/>
          <w:spacing w:val="-2"/>
          <w:shd w:fill="A6A6A6" w:color="auto" w:val="clear"/>
        </w:rPr>
        <w:t>每种轻症疾病只给付一次轻症疾病保险金，给付后该种轻症疾病的保险责</w:t>
      </w:r>
      <w:r>
        <w:rPr>
          <w:color w:val="000000"/>
          <w:spacing w:val="40"/>
          <w:shd w:fill="A6A6A6" w:color="auto" w:val="clear"/>
        </w:rPr>
        <w:t> </w:t>
      </w:r>
      <w:r>
        <w:rPr>
          <w:color w:val="000000"/>
          <w:spacing w:val="-2"/>
          <w:shd w:fill="A6A6A6" w:color="auto" w:val="clear"/>
        </w:rPr>
        <w:t>任终止。本合同的轻症疾病保险金累计给付以三次为限。如果被保险人由</w:t>
      </w:r>
      <w:r>
        <w:rPr>
          <w:color w:val="000000"/>
          <w:spacing w:val="-2"/>
          <w:shd w:fill="A6A6A6" w:color="auto" w:val="clear"/>
        </w:rPr>
        <w:t>于同一疾病原因或同次医疗行为或同次意外伤害事故，确诊初次发生本合</w:t>
      </w:r>
      <w:r>
        <w:rPr>
          <w:color w:val="000000"/>
          <w:spacing w:val="-2"/>
          <w:shd w:fill="A6A6A6" w:color="auto" w:val="clear"/>
        </w:rPr>
        <w:t>同所定义的两种或者两种以上的轻症疾病，我们仅按一种轻症疾病给付轻</w:t>
      </w:r>
      <w:r>
        <w:rPr>
          <w:color w:val="000000"/>
          <w:spacing w:val="-2"/>
          <w:shd w:fill="A6A6A6" w:color="auto" w:val="clear"/>
        </w:rPr>
        <w:t>症疾病保险金。轻症疾病保险金给付满三次后，轻症疾病保险金的保险责</w:t>
      </w:r>
      <w:r>
        <w:rPr>
          <w:color w:val="000000"/>
          <w:spacing w:val="-4"/>
          <w:shd w:fill="A6A6A6" w:color="auto" w:val="clear"/>
        </w:rPr>
        <w:t>任终止。</w:t>
      </w:r>
    </w:p>
    <w:p>
      <w:pPr>
        <w:spacing w:after="0" w:line="278" w:lineRule="auto"/>
        <w:jc w:val="both"/>
        <w:sectPr>
          <w:pgSz w:w="11910" w:h="16840"/>
          <w:pgMar w:top="1380" w:bottom="280" w:left="920" w:right="440"/>
        </w:sectPr>
      </w:pPr>
    </w:p>
    <w:p>
      <w:pPr>
        <w:pStyle w:val="BodyText"/>
        <w:spacing w:line="278" w:lineRule="auto" w:before="141"/>
        <w:ind w:left="1382"/>
      </w:pPr>
      <w:r>
        <w:rPr>
          <w:spacing w:val="-2"/>
        </w:rPr>
        <w:t>特定重大疾病保</w:t>
      </w:r>
      <w:r>
        <w:rPr>
          <w:spacing w:val="-6"/>
        </w:rPr>
        <w:t>险金</w:t>
      </w:r>
    </w:p>
    <w:p>
      <w:pPr>
        <w:pStyle w:val="ListParagraph"/>
        <w:numPr>
          <w:ilvl w:val="0"/>
          <w:numId w:val="11"/>
        </w:numPr>
        <w:tabs>
          <w:tab w:pos="536" w:val="left" w:leader="none"/>
        </w:tabs>
        <w:spacing w:line="240" w:lineRule="auto" w:before="141" w:after="0"/>
        <w:ind w:left="535" w:right="0" w:hanging="319"/>
        <w:jc w:val="left"/>
        <w:rPr>
          <w:sz w:val="21"/>
        </w:rPr>
      </w:pPr>
      <w:r>
        <w:rPr>
          <w:spacing w:val="-3"/>
          <w:sz w:val="21"/>
        </w:rPr>
        <w:br w:type="column"/>
      </w:r>
      <w:r>
        <w:rPr>
          <w:spacing w:val="-7"/>
          <w:sz w:val="21"/>
        </w:rPr>
        <w:t>若被保险人在 </w:t>
      </w:r>
      <w:r>
        <w:rPr>
          <w:spacing w:val="-2"/>
          <w:sz w:val="21"/>
        </w:rPr>
        <w:t>18</w:t>
      </w:r>
      <w:r>
        <w:rPr>
          <w:spacing w:val="-9"/>
          <w:sz w:val="21"/>
        </w:rPr>
        <w:t> 周岁的保单周年日之前，于等待期后经约定医院确诊</w:t>
      </w:r>
    </w:p>
    <w:p>
      <w:pPr>
        <w:pStyle w:val="BodyText"/>
        <w:spacing w:line="278" w:lineRule="auto" w:before="43"/>
        <w:ind w:left="217" w:right="578"/>
      </w:pPr>
      <w:r>
        <w:rPr>
          <w:spacing w:val="-5"/>
        </w:rPr>
        <w:t>初次发生符合本合同第 </w:t>
      </w:r>
      <w:r>
        <w:rPr/>
        <w:t>13</w:t>
      </w:r>
      <w:r>
        <w:rPr>
          <w:spacing w:val="-14"/>
        </w:rPr>
        <w:t> 条定义的少儿特定重大疾病</w:t>
      </w:r>
      <w:r>
        <w:rPr/>
        <w:t>（无论一种或多种</w:t>
      </w:r>
      <w:r>
        <w:rPr>
          <w:spacing w:val="-108"/>
        </w:rPr>
        <w:t>）</w:t>
      </w:r>
      <w:r>
        <w:rPr/>
        <w:t>，</w:t>
      </w:r>
      <w:r>
        <w:rPr>
          <w:spacing w:val="-2"/>
        </w:rPr>
        <w:t>在给付首次重大疾病保险金时，我们还按本合同的基本保险金额额外给付</w:t>
      </w:r>
      <w:r>
        <w:rPr>
          <w:spacing w:val="-2"/>
        </w:rPr>
        <w:t>特定重大疾病保险金，特定重大疾病保险金的保险责任终止；</w:t>
      </w:r>
    </w:p>
    <w:p>
      <w:pPr>
        <w:pStyle w:val="ListParagraph"/>
        <w:numPr>
          <w:ilvl w:val="0"/>
          <w:numId w:val="11"/>
        </w:numPr>
        <w:tabs>
          <w:tab w:pos="536" w:val="left" w:leader="none"/>
        </w:tabs>
        <w:spacing w:line="240" w:lineRule="auto" w:before="78" w:after="0"/>
        <w:ind w:left="535" w:right="0" w:hanging="319"/>
        <w:jc w:val="left"/>
        <w:rPr>
          <w:sz w:val="21"/>
        </w:rPr>
      </w:pPr>
      <w:r>
        <w:rPr>
          <w:spacing w:val="-7"/>
          <w:sz w:val="21"/>
        </w:rPr>
        <w:t>若被保险人在 </w:t>
      </w:r>
      <w:r>
        <w:rPr>
          <w:spacing w:val="-2"/>
          <w:sz w:val="21"/>
        </w:rPr>
        <w:t>18</w:t>
      </w:r>
      <w:r>
        <w:rPr>
          <w:spacing w:val="-9"/>
          <w:sz w:val="21"/>
        </w:rPr>
        <w:t> 周岁的保单周年日及以后，于等待期后经约定医院确</w:t>
      </w:r>
    </w:p>
    <w:p>
      <w:pPr>
        <w:pStyle w:val="BodyText"/>
        <w:spacing w:line="278" w:lineRule="auto" w:before="44"/>
        <w:ind w:left="217" w:right="681"/>
        <w:jc w:val="both"/>
      </w:pPr>
      <w:r>
        <w:rPr>
          <w:spacing w:val="-1"/>
        </w:rPr>
        <w:t>诊初次发生符合本合同第 </w:t>
      </w:r>
      <w:r>
        <w:rPr/>
        <w:t>13</w:t>
      </w:r>
      <w:r>
        <w:rPr>
          <w:spacing w:val="-1"/>
        </w:rPr>
        <w:t> 条定义的男性特定重大疾病或女性特定重大</w:t>
      </w:r>
      <w:r>
        <w:rPr>
          <w:spacing w:val="-2"/>
        </w:rPr>
        <w:t>疾病（无论一种或多种</w:t>
      </w:r>
      <w:r>
        <w:rPr>
          <w:spacing w:val="-69"/>
        </w:rPr>
        <w:t>）</w:t>
      </w:r>
      <w:r>
        <w:rPr>
          <w:spacing w:val="-11"/>
        </w:rPr>
        <w:t>，在给付首次重大疾病保险金时，我们还按本合同</w:t>
      </w:r>
      <w:r>
        <w:rPr>
          <w:spacing w:val="-1"/>
        </w:rPr>
        <w:t>的基本保险金额的 </w:t>
      </w:r>
      <w:r>
        <w:rPr/>
        <w:t>50%额外给付特定重大疾病保险金，特定重大疾病保险</w:t>
      </w:r>
      <w:r>
        <w:rPr>
          <w:spacing w:val="-2"/>
        </w:rPr>
        <w:t>金的保险责任终止。</w:t>
      </w:r>
    </w:p>
    <w:p>
      <w:pPr>
        <w:pStyle w:val="BodyText"/>
        <w:spacing w:line="278" w:lineRule="auto" w:before="76"/>
        <w:ind w:left="217" w:right="684"/>
      </w:pPr>
      <w:r>
        <w:rPr>
          <w:color w:val="000000"/>
          <w:spacing w:val="-2"/>
          <w:shd w:fill="A6A6A6" w:color="auto" w:val="clear"/>
        </w:rPr>
        <w:t>我们在给付第二次重大疾病保险金和第三次重大疾病保险金时，不给付特</w:t>
      </w:r>
      <w:r>
        <w:rPr>
          <w:color w:val="000000"/>
          <w:spacing w:val="-2"/>
          <w:shd w:fill="A6A6A6" w:color="auto" w:val="clear"/>
        </w:rPr>
        <w:t>定重大疾病保险金。</w:t>
      </w:r>
    </w:p>
    <w:p>
      <w:pPr>
        <w:spacing w:after="0" w:line="278" w:lineRule="auto"/>
        <w:sectPr>
          <w:type w:val="continuous"/>
          <w:pgSz w:w="11910" w:h="16840"/>
          <w:pgMar w:top="680" w:bottom="280" w:left="920" w:right="440"/>
          <w:cols w:num="2" w:equalWidth="0">
            <w:col w:w="2856" w:space="40"/>
            <w:col w:w="7654"/>
          </w:cols>
        </w:sectPr>
      </w:pPr>
    </w:p>
    <w:p>
      <w:pPr>
        <w:pStyle w:val="BodyText"/>
        <w:spacing w:line="278" w:lineRule="auto" w:before="142"/>
        <w:ind w:left="1382"/>
        <w:jc w:val="both"/>
      </w:pPr>
      <w:r>
        <w:rPr>
          <w:spacing w:val="-2"/>
        </w:rPr>
        <w:t>重大疾病豁免保</w:t>
      </w:r>
      <w:r>
        <w:rPr>
          <w:spacing w:val="-2"/>
        </w:rPr>
        <w:t>险费、中症疾病</w:t>
      </w:r>
      <w:r>
        <w:rPr>
          <w:spacing w:val="-2"/>
        </w:rPr>
        <w:t>豁免保险费、轻</w:t>
      </w:r>
      <w:r>
        <w:rPr>
          <w:spacing w:val="-2"/>
        </w:rPr>
        <w:t>症疾病豁免保险</w:t>
      </w:r>
      <w:r>
        <w:rPr>
          <w:spacing w:val="-10"/>
        </w:rPr>
        <w:t>费</w:t>
      </w:r>
    </w:p>
    <w:p>
      <w:pPr>
        <w:pStyle w:val="BodyText"/>
        <w:spacing w:line="278" w:lineRule="auto" w:before="142"/>
        <w:ind w:left="175" w:right="684"/>
        <w:jc w:val="both"/>
      </w:pPr>
      <w:r>
        <w:rPr/>
        <w:br w:type="column"/>
      </w:r>
      <w:r>
        <w:rPr>
          <w:spacing w:val="-2"/>
        </w:rPr>
        <w:t>我们在给付首次重大疾病保险金、首次中症疾病保险金或首次轻症疾病保</w:t>
      </w:r>
      <w:r>
        <w:rPr>
          <w:spacing w:val="-2"/>
        </w:rPr>
        <w:t>险金的同时将豁免本合同在首次重大疾病、首次中症疾病或首次轻症疾病</w:t>
      </w:r>
      <w:r>
        <w:rPr>
          <w:spacing w:val="-2"/>
        </w:rPr>
        <w:t>确诊日及以后的保险费。</w:t>
      </w:r>
    </w:p>
    <w:p>
      <w:pPr>
        <w:spacing w:after="0" w:line="278" w:lineRule="auto"/>
        <w:jc w:val="both"/>
        <w:sectPr>
          <w:type w:val="continuous"/>
          <w:pgSz w:w="11910" w:h="16840"/>
          <w:pgMar w:top="680" w:bottom="280" w:left="920" w:right="440"/>
          <w:cols w:num="2" w:equalWidth="0">
            <w:col w:w="2898" w:space="40"/>
            <w:col w:w="7612"/>
          </w:cols>
        </w:sectPr>
      </w:pPr>
    </w:p>
    <w:p>
      <w:pPr>
        <w:pStyle w:val="BodyText"/>
        <w:spacing w:line="285" w:lineRule="auto" w:before="107"/>
        <w:ind w:left="1382"/>
        <w:jc w:val="both"/>
      </w:pPr>
      <w:r>
        <w:rPr>
          <w:spacing w:val="-2"/>
        </w:rPr>
        <w:t>身故保险金、全</w:t>
      </w:r>
      <w:r>
        <w:rPr>
          <w:spacing w:val="-2"/>
        </w:rPr>
        <w:t>残保险金、生命</w:t>
      </w:r>
      <w:r>
        <w:rPr>
          <w:spacing w:val="-2"/>
        </w:rPr>
        <w:t>末期保险金</w:t>
      </w:r>
    </w:p>
    <w:p>
      <w:pPr>
        <w:pStyle w:val="ListParagraph"/>
        <w:numPr>
          <w:ilvl w:val="0"/>
          <w:numId w:val="12"/>
        </w:numPr>
        <w:tabs>
          <w:tab w:pos="536" w:val="left" w:leader="none"/>
        </w:tabs>
        <w:spacing w:line="211" w:lineRule="auto" w:before="49" w:after="0"/>
        <w:ind w:left="217" w:right="681" w:firstLine="0"/>
        <w:jc w:val="both"/>
        <w:rPr>
          <w:sz w:val="21"/>
        </w:rPr>
      </w:pPr>
      <w:r>
        <w:rPr>
          <w:spacing w:val="-3"/>
          <w:w w:val="100"/>
          <w:sz w:val="21"/>
        </w:rPr>
        <w:br w:type="column"/>
        <w:t>若被保险人在</w:t>
      </w:r>
      <w:r>
        <w:rPr>
          <w:spacing w:val="-53"/>
          <w:sz w:val="21"/>
        </w:rPr>
        <w:t> </w:t>
      </w:r>
      <w:r>
        <w:rPr>
          <w:w w:val="100"/>
          <w:sz w:val="21"/>
        </w:rPr>
        <w:t>18</w:t>
      </w:r>
      <w:r>
        <w:rPr>
          <w:spacing w:val="-55"/>
          <w:sz w:val="21"/>
        </w:rPr>
        <w:t> </w:t>
      </w:r>
      <w:r>
        <w:rPr>
          <w:spacing w:val="-6"/>
          <w:w w:val="100"/>
          <w:sz w:val="21"/>
        </w:rPr>
        <w:t>周岁的保单周年日之前身故、</w:t>
      </w:r>
      <w:r>
        <w:rPr>
          <w:rFonts w:ascii="微软雅黑" w:eastAsia="微软雅黑"/>
          <w:b/>
          <w:w w:val="100"/>
          <w:sz w:val="21"/>
        </w:rPr>
        <w:t>全残</w:t>
      </w:r>
      <w:r>
        <w:rPr>
          <w:rFonts w:ascii="微软雅黑" w:eastAsia="微软雅黑"/>
          <w:b/>
          <w:spacing w:val="2"/>
          <w:w w:val="81"/>
          <w:position w:val="11"/>
          <w:sz w:val="11"/>
        </w:rPr>
        <w:t>9</w:t>
      </w:r>
      <w:r>
        <w:rPr>
          <w:spacing w:val="-3"/>
          <w:w w:val="100"/>
          <w:sz w:val="21"/>
        </w:rPr>
        <w:t>或经约定医院诊断确定符合</w:t>
      </w:r>
      <w:r>
        <w:rPr>
          <w:rFonts w:ascii="微软雅黑" w:eastAsia="微软雅黑"/>
          <w:b/>
          <w:spacing w:val="-1"/>
          <w:w w:val="100"/>
          <w:sz w:val="21"/>
        </w:rPr>
        <w:t>生命末期疾病状态</w:t>
      </w:r>
      <w:r>
        <w:rPr>
          <w:rFonts w:ascii="微软雅黑" w:eastAsia="微软雅黑"/>
          <w:b/>
          <w:spacing w:val="2"/>
          <w:w w:val="81"/>
          <w:position w:val="11"/>
          <w:sz w:val="11"/>
        </w:rPr>
        <w:t>10</w:t>
      </w:r>
      <w:r>
        <w:rPr>
          <w:spacing w:val="-11"/>
          <w:w w:val="100"/>
          <w:sz w:val="21"/>
        </w:rPr>
        <w:t>的，我们按您</w:t>
      </w:r>
      <w:r>
        <w:rPr>
          <w:rFonts w:ascii="微软雅黑" w:eastAsia="微软雅黑"/>
          <w:b/>
          <w:spacing w:val="-1"/>
          <w:w w:val="100"/>
          <w:sz w:val="21"/>
        </w:rPr>
        <w:t>已支付的保险费</w:t>
      </w:r>
      <w:r>
        <w:rPr>
          <w:rFonts w:ascii="微软雅黑" w:eastAsia="微软雅黑"/>
          <w:b/>
          <w:spacing w:val="2"/>
          <w:w w:val="81"/>
          <w:position w:val="11"/>
          <w:sz w:val="11"/>
        </w:rPr>
        <w:t>11</w:t>
      </w:r>
      <w:r>
        <w:rPr>
          <w:w w:val="100"/>
          <w:sz w:val="21"/>
        </w:rPr>
        <w:t>的</w:t>
      </w:r>
      <w:r>
        <w:rPr>
          <w:spacing w:val="-53"/>
          <w:sz w:val="21"/>
        </w:rPr>
        <w:t> </w:t>
      </w:r>
      <w:r>
        <w:rPr>
          <w:spacing w:val="-3"/>
          <w:w w:val="100"/>
          <w:sz w:val="21"/>
        </w:rPr>
        <w:t>2</w:t>
      </w:r>
      <w:r>
        <w:rPr>
          <w:w w:val="100"/>
          <w:sz w:val="21"/>
        </w:rPr>
        <w:t>00</w:t>
      </w:r>
      <w:r>
        <w:rPr>
          <w:spacing w:val="-3"/>
          <w:w w:val="100"/>
          <w:sz w:val="21"/>
        </w:rPr>
        <w:t>%给付身故保险金、全残保险金或生命末期保险金，本合同终止；</w:t>
      </w:r>
    </w:p>
    <w:p>
      <w:pPr>
        <w:pStyle w:val="ListParagraph"/>
        <w:numPr>
          <w:ilvl w:val="0"/>
          <w:numId w:val="12"/>
        </w:numPr>
        <w:tabs>
          <w:tab w:pos="536" w:val="left" w:leader="none"/>
        </w:tabs>
        <w:spacing w:line="278" w:lineRule="auto" w:before="129" w:after="0"/>
        <w:ind w:left="217" w:right="681" w:firstLine="0"/>
        <w:jc w:val="both"/>
        <w:rPr>
          <w:sz w:val="21"/>
        </w:rPr>
      </w:pPr>
      <w:r>
        <w:rPr>
          <w:spacing w:val="-6"/>
          <w:sz w:val="21"/>
        </w:rPr>
        <w:t>若被保险人在 </w:t>
      </w:r>
      <w:r>
        <w:rPr>
          <w:spacing w:val="-2"/>
          <w:sz w:val="21"/>
        </w:rPr>
        <w:t>18</w:t>
      </w:r>
      <w:r>
        <w:rPr>
          <w:spacing w:val="-7"/>
          <w:sz w:val="21"/>
        </w:rPr>
        <w:t> 周岁的保单周年日之后身故、全残或经约定医院诊断</w:t>
      </w:r>
      <w:r>
        <w:rPr>
          <w:spacing w:val="-2"/>
          <w:sz w:val="21"/>
        </w:rPr>
        <w:t>确定符合生命末期疾病状态的，我们按以下金额中的较大者给付身故保险</w:t>
      </w:r>
      <w:r>
        <w:rPr>
          <w:spacing w:val="-2"/>
          <w:sz w:val="21"/>
        </w:rPr>
        <w:t>金、全残保险金或生命末期保险金，本合同终止：</w:t>
      </w:r>
    </w:p>
    <w:p>
      <w:pPr>
        <w:pStyle w:val="BodyText"/>
        <w:spacing w:line="269" w:lineRule="exact"/>
        <w:ind w:left="217"/>
      </w:pPr>
      <w:r>
        <w:rPr>
          <w:spacing w:val="-4"/>
        </w:rPr>
        <w:t>①基本保险金额；</w:t>
      </w:r>
    </w:p>
    <w:p>
      <w:pPr>
        <w:pStyle w:val="BodyText"/>
        <w:spacing w:before="43"/>
        <w:ind w:left="217"/>
      </w:pPr>
      <w:r>
        <w:rPr>
          <w:spacing w:val="-3"/>
        </w:rPr>
        <w:t>②您已支付的保险费；</w:t>
      </w:r>
    </w:p>
    <w:p>
      <w:pPr>
        <w:pStyle w:val="BodyText"/>
        <w:spacing w:before="43"/>
        <w:ind w:left="217"/>
      </w:pPr>
      <w:r>
        <w:rPr>
          <w:spacing w:val="-3"/>
        </w:rPr>
        <w:t>③本合同的现金价值。</w:t>
      </w:r>
    </w:p>
    <w:p>
      <w:pPr>
        <w:spacing w:after="0"/>
        <w:sectPr>
          <w:pgSz w:w="11910" w:h="16840"/>
          <w:pgMar w:top="1340" w:bottom="280" w:left="920" w:right="440"/>
          <w:cols w:num="2" w:equalWidth="0">
            <w:col w:w="2856" w:space="40"/>
            <w:col w:w="7654"/>
          </w:cols>
        </w:sectPr>
      </w:pPr>
    </w:p>
    <w:p>
      <w:pPr>
        <w:pStyle w:val="BodyText"/>
        <w:spacing w:before="10"/>
        <w:ind w:left="0"/>
        <w:rPr>
          <w:sz w:val="8"/>
        </w:rPr>
      </w:pPr>
    </w:p>
    <w:p>
      <w:pPr>
        <w:pStyle w:val="BodyText"/>
        <w:spacing w:line="278" w:lineRule="auto" w:before="72"/>
        <w:ind w:right="705"/>
        <w:jc w:val="both"/>
      </w:pPr>
      <w:r>
        <w:rPr>
          <w:color w:val="000000"/>
          <w:spacing w:val="-2"/>
          <w:shd w:fill="A6A6A6" w:color="auto" w:val="clear"/>
        </w:rPr>
        <w:t>如果被保险人由于同一疾病原因或同次医疗行为或同次意外伤害事故，确</w:t>
      </w:r>
      <w:r>
        <w:rPr>
          <w:color w:val="000000"/>
          <w:spacing w:val="40"/>
          <w:shd w:fill="A6A6A6" w:color="auto" w:val="clear"/>
        </w:rPr>
        <w:t> </w:t>
      </w:r>
      <w:r>
        <w:rPr>
          <w:color w:val="000000"/>
          <w:spacing w:val="-2"/>
          <w:shd w:fill="A6A6A6" w:color="auto" w:val="clear"/>
        </w:rPr>
        <w:t>诊初次发生本合同所定义的轻症疾病、中症疾病或重大疾病，无论一种或</w:t>
      </w:r>
      <w:r>
        <w:rPr>
          <w:color w:val="000000"/>
          <w:spacing w:val="-2"/>
          <w:shd w:fill="A6A6A6" w:color="auto" w:val="clear"/>
        </w:rPr>
        <w:t>多种，我们仅按其中给付金额最高的一项保险责任进行给付。</w:t>
      </w:r>
    </w:p>
    <w:p>
      <w:pPr>
        <w:pStyle w:val="BodyText"/>
        <w:spacing w:line="278" w:lineRule="auto" w:before="79"/>
        <w:ind w:right="578"/>
      </w:pPr>
      <w:r>
        <w:rPr>
          <w:color w:val="000000"/>
          <w:spacing w:val="-12"/>
          <w:shd w:fill="A6A6A6" w:color="auto" w:val="clear"/>
        </w:rPr>
        <w:t>前述“重大疾病保险金”</w:t>
      </w:r>
      <w:r>
        <w:rPr>
          <w:color w:val="000000"/>
          <w:spacing w:val="-19"/>
          <w:shd w:fill="A6A6A6" w:color="auto" w:val="clear"/>
        </w:rPr>
        <w:t>、“身故保险金”、“全残保险金”和“生命末期保</w:t>
      </w:r>
      <w:r>
        <w:rPr>
          <w:color w:val="000000"/>
          <w:spacing w:val="80"/>
          <w:w w:val="150"/>
          <w:shd w:fill="A6A6A6" w:color="auto" w:val="clear"/>
        </w:rPr>
        <w:t>                                     </w:t>
      </w:r>
      <w:r>
        <w:rPr>
          <w:color w:val="000000"/>
          <w:spacing w:val="-4"/>
          <w:shd w:fill="A6A6A6" w:color="auto" w:val="clear"/>
        </w:rPr>
        <w:t>险金”中，任意两项或数项不可兼得，即若我们给付其中任何一项保险金，</w:t>
      </w:r>
      <w:r>
        <w:rPr>
          <w:color w:val="000000"/>
          <w:spacing w:val="-2"/>
          <w:shd w:fill="A6A6A6" w:color="auto" w:val="clear"/>
        </w:rPr>
        <w:t>则其他保险金均不再给付。</w:t>
      </w:r>
    </w:p>
    <w:p>
      <w:pPr>
        <w:pStyle w:val="ListParagraph"/>
        <w:numPr>
          <w:ilvl w:val="1"/>
          <w:numId w:val="9"/>
        </w:numPr>
        <w:tabs>
          <w:tab w:pos="1381" w:val="left" w:leader="none"/>
          <w:tab w:pos="1382" w:val="left" w:leader="none"/>
          <w:tab w:pos="3112" w:val="left" w:leader="none"/>
        </w:tabs>
        <w:spacing w:line="383" w:lineRule="exact" w:before="74" w:after="0"/>
        <w:ind w:left="1382" w:right="0" w:hanging="1170"/>
        <w:jc w:val="both"/>
        <w:rPr>
          <w:sz w:val="21"/>
        </w:rPr>
      </w:pPr>
      <w:r>
        <w:rPr>
          <w:rFonts w:ascii="微软雅黑" w:eastAsia="微软雅黑"/>
          <w:b/>
          <w:sz w:val="21"/>
        </w:rPr>
        <w:t>责任免</w:t>
      </w:r>
      <w:r>
        <w:rPr>
          <w:rFonts w:ascii="微软雅黑" w:eastAsia="微软雅黑"/>
          <w:b/>
          <w:spacing w:val="-10"/>
          <w:sz w:val="21"/>
        </w:rPr>
        <w:t>除</w:t>
      </w:r>
      <w:r>
        <w:rPr>
          <w:rFonts w:ascii="微软雅黑" w:eastAsia="微软雅黑"/>
          <w:b/>
          <w:sz w:val="21"/>
        </w:rPr>
        <w:tab/>
      </w:r>
      <w:r>
        <w:rPr>
          <w:color w:val="000000"/>
          <w:spacing w:val="-4"/>
          <w:sz w:val="21"/>
          <w:shd w:fill="A6A6A6" w:color="auto" w:val="clear"/>
        </w:rPr>
        <w:t>1、因下列情形之一导致被</w:t>
      </w:r>
      <w:r>
        <w:rPr>
          <w:color w:val="000000"/>
          <w:spacing w:val="-4"/>
          <w:sz w:val="21"/>
          <w:shd w:fill="A6A6A6" w:color="auto" w:val="clear"/>
        </w:rPr>
        <w:t>保</w:t>
      </w:r>
      <w:r>
        <w:rPr>
          <w:color w:val="000000"/>
          <w:spacing w:val="-4"/>
          <w:sz w:val="21"/>
          <w:shd w:fill="A6A6A6" w:color="auto" w:val="clear"/>
        </w:rPr>
        <w:t>险</w:t>
      </w:r>
      <w:r>
        <w:rPr>
          <w:color w:val="000000"/>
          <w:spacing w:val="-4"/>
          <w:sz w:val="21"/>
          <w:shd w:fill="A6A6A6" w:color="auto" w:val="clear"/>
        </w:rPr>
        <w:t>人符合生命末期疾病状态、发生疾病、</w:t>
      </w:r>
      <w:r>
        <w:rPr>
          <w:color w:val="000000"/>
          <w:spacing w:val="-4"/>
          <w:sz w:val="21"/>
          <w:shd w:fill="A6A6A6" w:color="auto" w:val="clear"/>
        </w:rPr>
        <w:t>达</w:t>
      </w:r>
      <w:r>
        <w:rPr>
          <w:color w:val="000000"/>
          <w:spacing w:val="-10"/>
          <w:sz w:val="21"/>
          <w:shd w:fill="A6A6A6" w:color="auto" w:val="clear"/>
        </w:rPr>
        <w:t>到</w:t>
      </w:r>
    </w:p>
    <w:p>
      <w:pPr>
        <w:pStyle w:val="BodyText"/>
        <w:spacing w:line="278" w:lineRule="auto"/>
        <w:ind w:right="705"/>
        <w:jc w:val="both"/>
      </w:pPr>
      <w:r>
        <w:rPr>
          <w:color w:val="000000"/>
          <w:spacing w:val="-2"/>
          <w:shd w:fill="A6A6A6" w:color="auto" w:val="clear"/>
        </w:rPr>
        <w:t>疾病状态或进行手术的，我们不承担给付重大疾病保险金、中症疾病保险</w:t>
      </w:r>
      <w:r>
        <w:rPr>
          <w:color w:val="000000"/>
          <w:spacing w:val="40"/>
          <w:shd w:fill="A6A6A6" w:color="auto" w:val="clear"/>
        </w:rPr>
        <w:t> </w:t>
      </w:r>
      <w:r>
        <w:rPr>
          <w:color w:val="000000"/>
          <w:spacing w:val="-2"/>
          <w:shd w:fill="A6A6A6" w:color="auto" w:val="clear"/>
        </w:rPr>
        <w:t>金、轻症疾病保险金、特定重大疾病保险金、重大疾病豁免保险费、中症</w:t>
      </w:r>
      <w:r>
        <w:rPr>
          <w:color w:val="000000"/>
          <w:spacing w:val="-2"/>
          <w:shd w:fill="A6A6A6" w:color="auto" w:val="clear"/>
        </w:rPr>
        <w:t>疾病豁免保险费、轻症疾病豁免保险费和生命末期保险金的责任：</w:t>
      </w:r>
    </w:p>
    <w:p>
      <w:pPr>
        <w:pStyle w:val="ListParagraph"/>
        <w:numPr>
          <w:ilvl w:val="2"/>
          <w:numId w:val="9"/>
        </w:numPr>
        <w:tabs>
          <w:tab w:pos="3431" w:val="left" w:leader="none"/>
        </w:tabs>
        <w:spacing w:line="269" w:lineRule="exact" w:before="0" w:after="0"/>
        <w:ind w:left="3430" w:right="0" w:hanging="318"/>
        <w:jc w:val="left"/>
        <w:rPr>
          <w:sz w:val="19"/>
        </w:rPr>
      </w:pPr>
      <w:r>
        <w:rPr>
          <w:color w:val="000000"/>
          <w:spacing w:val="-3"/>
          <w:sz w:val="21"/>
          <w:shd w:fill="A6A6A6" w:color="auto" w:val="clear"/>
        </w:rPr>
        <w:t>投保人对被保险人的故意杀害、故意伤害；</w:t>
      </w:r>
    </w:p>
    <w:p>
      <w:pPr>
        <w:pStyle w:val="ListParagraph"/>
        <w:numPr>
          <w:ilvl w:val="2"/>
          <w:numId w:val="9"/>
        </w:numPr>
        <w:tabs>
          <w:tab w:pos="3431" w:val="left" w:leader="none"/>
        </w:tabs>
        <w:spacing w:line="240" w:lineRule="auto" w:before="39" w:after="0"/>
        <w:ind w:left="3430" w:right="0" w:hanging="318"/>
        <w:jc w:val="left"/>
        <w:rPr>
          <w:sz w:val="19"/>
        </w:rPr>
      </w:pPr>
      <w:r>
        <w:rPr>
          <w:color w:val="000000"/>
          <w:spacing w:val="-3"/>
          <w:sz w:val="21"/>
          <w:shd w:fill="A6A6A6" w:color="auto" w:val="clear"/>
        </w:rPr>
        <w:t>被保险人故意犯罪或抗拒依法采取的刑事强制措施；</w:t>
      </w:r>
    </w:p>
    <w:p>
      <w:pPr>
        <w:pStyle w:val="ListParagraph"/>
        <w:numPr>
          <w:ilvl w:val="2"/>
          <w:numId w:val="9"/>
        </w:numPr>
        <w:tabs>
          <w:tab w:pos="3431" w:val="left" w:leader="none"/>
        </w:tabs>
        <w:spacing w:line="278" w:lineRule="auto" w:before="43" w:after="0"/>
        <w:ind w:left="3113" w:right="684" w:firstLine="0"/>
        <w:jc w:val="left"/>
        <w:rPr>
          <w:sz w:val="19"/>
        </w:rPr>
      </w:pPr>
      <w:r>
        <w:rPr>
          <w:color w:val="000000"/>
          <w:spacing w:val="-12"/>
          <w:sz w:val="21"/>
          <w:shd w:fill="A6A6A6" w:color="auto" w:val="clear"/>
        </w:rPr>
        <w:t>被保险人故意自伤、或自本合同成立或者本合同效力恢复之日起 </w:t>
      </w:r>
      <w:r>
        <w:rPr>
          <w:color w:val="000000"/>
          <w:spacing w:val="-2"/>
          <w:sz w:val="21"/>
          <w:shd w:fill="A6A6A6" w:color="auto" w:val="clear"/>
        </w:rPr>
        <w:t>2</w:t>
      </w:r>
      <w:r>
        <w:rPr>
          <w:color w:val="000000"/>
          <w:spacing w:val="-15"/>
          <w:sz w:val="21"/>
          <w:shd w:fill="A6A6A6" w:color="auto" w:val="clear"/>
        </w:rPr>
        <w:t> 年内</w:t>
      </w:r>
      <w:r>
        <w:rPr>
          <w:color w:val="000000"/>
          <w:spacing w:val="12951"/>
          <w:sz w:val="21"/>
          <w:shd w:fill="A6A6A6" w:color="auto" w:val="clear"/>
        </w:rPr>
        <w:t> </w:t>
      </w:r>
      <w:r>
        <w:rPr>
          <w:color w:val="000000"/>
          <w:spacing w:val="-2"/>
          <w:sz w:val="21"/>
          <w:shd w:fill="A6A6A6" w:color="auto" w:val="clear"/>
        </w:rPr>
        <w:t>自杀，但被保险人自杀时为无民事行为能力人的除外；</w:t>
      </w:r>
    </w:p>
    <w:p>
      <w:pPr>
        <w:pStyle w:val="BodyText"/>
        <w:spacing w:before="3"/>
        <w:ind w:left="0"/>
        <w:rPr>
          <w:sz w:val="12"/>
        </w:rPr>
      </w:pPr>
      <w:r>
        <w:rPr/>
        <w:drawing>
          <wp:anchor distT="0" distB="0" distL="0" distR="0" allowOverlap="1" layoutInCell="1" locked="0" behindDoc="0" simplePos="0" relativeHeight="7">
            <wp:simplePos x="0" y="0"/>
            <wp:positionH relativeFrom="page">
              <wp:posOffset>719327</wp:posOffset>
            </wp:positionH>
            <wp:positionV relativeFrom="paragraph">
              <wp:posOffset>115391</wp:posOffset>
            </wp:positionV>
            <wp:extent cx="1829434" cy="9144"/>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1829434" cy="9144"/>
                    </a:xfrm>
                    <a:prstGeom prst="rect">
                      <a:avLst/>
                    </a:prstGeom>
                  </pic:spPr>
                </pic:pic>
              </a:graphicData>
            </a:graphic>
          </wp:anchor>
        </w:drawing>
      </w:r>
    </w:p>
    <w:p>
      <w:pPr>
        <w:spacing w:line="311" w:lineRule="exact" w:before="41"/>
        <w:ind w:left="212" w:right="0" w:firstLine="0"/>
        <w:jc w:val="left"/>
        <w:rPr>
          <w:sz w:val="18"/>
        </w:rPr>
      </w:pPr>
      <w:r>
        <w:rPr>
          <w:rFonts w:ascii="Calibri" w:eastAsia="Calibri"/>
          <w:position w:val="5"/>
          <w:sz w:val="12"/>
        </w:rPr>
        <w:t>9</w:t>
      </w:r>
      <w:r>
        <w:rPr>
          <w:rFonts w:ascii="微软雅黑" w:eastAsia="微软雅黑"/>
          <w:b/>
          <w:sz w:val="18"/>
        </w:rPr>
        <w:t>全残：</w:t>
      </w:r>
      <w:r>
        <w:rPr>
          <w:spacing w:val="-1"/>
          <w:sz w:val="18"/>
        </w:rPr>
        <w:t>指至少满足下列情形之一者：</w:t>
      </w:r>
    </w:p>
    <w:p>
      <w:pPr>
        <w:pStyle w:val="ListParagraph"/>
        <w:numPr>
          <w:ilvl w:val="0"/>
          <w:numId w:val="13"/>
        </w:numPr>
        <w:tabs>
          <w:tab w:pos="487" w:val="left" w:leader="none"/>
        </w:tabs>
        <w:spacing w:line="210" w:lineRule="exact" w:before="0" w:after="0"/>
        <w:ind w:left="486" w:right="0" w:hanging="275"/>
        <w:jc w:val="left"/>
        <w:rPr>
          <w:sz w:val="18"/>
        </w:rPr>
      </w:pPr>
      <w:r>
        <w:rPr>
          <w:sz w:val="18"/>
        </w:rPr>
        <w:t>双目永久完全失明的（</w:t>
      </w:r>
      <w:r>
        <w:rPr>
          <w:spacing w:val="-3"/>
          <w:sz w:val="18"/>
        </w:rPr>
        <w:t>注①</w:t>
      </w:r>
      <w:r>
        <w:rPr>
          <w:spacing w:val="-5"/>
          <w:sz w:val="18"/>
        </w:rPr>
        <w:t>）；</w:t>
      </w:r>
    </w:p>
    <w:p>
      <w:pPr>
        <w:pStyle w:val="ListParagraph"/>
        <w:numPr>
          <w:ilvl w:val="0"/>
          <w:numId w:val="13"/>
        </w:numPr>
        <w:tabs>
          <w:tab w:pos="487" w:val="left" w:leader="none"/>
        </w:tabs>
        <w:spacing w:line="242" w:lineRule="auto" w:before="4" w:after="0"/>
        <w:ind w:left="212" w:right="6279" w:firstLine="0"/>
        <w:jc w:val="both"/>
        <w:rPr>
          <w:sz w:val="18"/>
        </w:rPr>
      </w:pPr>
      <w:r>
        <w:rPr>
          <w:spacing w:val="-2"/>
          <w:sz w:val="18"/>
        </w:rPr>
        <w:t>两上肢腕关节以上或两下肢踝关节以上缺失的；</w:t>
      </w:r>
      <w:r>
        <w:rPr>
          <w:spacing w:val="-2"/>
          <w:sz w:val="18"/>
        </w:rPr>
        <w:t> (3)一上肢腕关节以上及一下肢踝关节以上缺失的；</w:t>
      </w:r>
      <w:r>
        <w:rPr>
          <w:spacing w:val="-2"/>
          <w:sz w:val="18"/>
        </w:rPr>
        <w:t> (4)一目永久完全失明及一上肢腕关节以上缺失的；</w:t>
      </w:r>
      <w:r>
        <w:rPr>
          <w:spacing w:val="-2"/>
          <w:sz w:val="18"/>
        </w:rPr>
        <w:t> (5)一目永久完全失明及一下肢踝关节以上缺失的；</w:t>
      </w:r>
      <w:r>
        <w:rPr>
          <w:spacing w:val="-2"/>
          <w:sz w:val="18"/>
        </w:rPr>
        <w:t> (6)四肢关节机能永久完全丧失的（注②）；</w:t>
      </w:r>
    </w:p>
    <w:p>
      <w:pPr>
        <w:pStyle w:val="ListParagraph"/>
        <w:numPr>
          <w:ilvl w:val="0"/>
          <w:numId w:val="14"/>
        </w:numPr>
        <w:tabs>
          <w:tab w:pos="487" w:val="left" w:leader="none"/>
        </w:tabs>
        <w:spacing w:line="240" w:lineRule="auto" w:before="2" w:after="0"/>
        <w:ind w:left="486" w:right="0" w:hanging="275"/>
        <w:jc w:val="left"/>
        <w:rPr>
          <w:sz w:val="18"/>
        </w:rPr>
      </w:pPr>
      <w:r>
        <w:rPr>
          <w:spacing w:val="-2"/>
          <w:sz w:val="18"/>
        </w:rPr>
        <w:t>咀嚼、吞咽机能永久完全丧失的（</w:t>
      </w:r>
      <w:r>
        <w:rPr>
          <w:spacing w:val="-4"/>
          <w:sz w:val="18"/>
        </w:rPr>
        <w:t>注③</w:t>
      </w:r>
      <w:r>
        <w:rPr>
          <w:spacing w:val="-5"/>
          <w:sz w:val="18"/>
        </w:rPr>
        <w:t>）；</w:t>
      </w:r>
    </w:p>
    <w:p>
      <w:pPr>
        <w:pStyle w:val="ListParagraph"/>
        <w:numPr>
          <w:ilvl w:val="0"/>
          <w:numId w:val="14"/>
        </w:numPr>
        <w:tabs>
          <w:tab w:pos="487" w:val="left" w:leader="none"/>
        </w:tabs>
        <w:spacing w:line="242" w:lineRule="auto" w:before="2" w:after="0"/>
        <w:ind w:left="212" w:right="699" w:firstLine="0"/>
        <w:jc w:val="left"/>
        <w:rPr>
          <w:sz w:val="18"/>
        </w:rPr>
      </w:pPr>
      <w:r>
        <w:rPr>
          <w:spacing w:val="-2"/>
          <w:sz w:val="18"/>
        </w:rPr>
        <w:t>中枢神经系统机能或胸、腹部脏器机能极度障碍，终身不能从事任何工作，为维持生命必要的日常生活活动，全需他人</w:t>
      </w:r>
      <w:r>
        <w:rPr>
          <w:spacing w:val="-2"/>
          <w:sz w:val="18"/>
        </w:rPr>
        <w:t>扶助的（注④）。</w:t>
      </w:r>
    </w:p>
    <w:p>
      <w:pPr>
        <w:spacing w:line="242" w:lineRule="auto" w:before="2"/>
        <w:ind w:left="212" w:right="604" w:firstLine="0"/>
        <w:jc w:val="left"/>
        <w:rPr>
          <w:sz w:val="18"/>
        </w:rPr>
      </w:pPr>
      <w:r>
        <w:rPr>
          <w:spacing w:val="-12"/>
          <w:sz w:val="18"/>
        </w:rPr>
        <w:t>全残的鉴定应在治疗结束之后，由双方认可的二级或二级以上公立医院或医疗机构、双方认可的有资质的司法鉴定机构进行。</w:t>
      </w:r>
      <w:r>
        <w:rPr>
          <w:spacing w:val="-1"/>
          <w:sz w:val="18"/>
        </w:rPr>
        <w:t>如果自被保险人遭受意外伤害之日起 </w:t>
      </w:r>
      <w:r>
        <w:rPr>
          <w:sz w:val="18"/>
        </w:rPr>
        <w:t>180</w:t>
      </w:r>
      <w:r>
        <w:rPr>
          <w:spacing w:val="-4"/>
          <w:sz w:val="18"/>
        </w:rPr>
        <w:t> 日后治疗仍未结束，按第 </w:t>
      </w:r>
      <w:r>
        <w:rPr>
          <w:sz w:val="18"/>
        </w:rPr>
        <w:t>180</w:t>
      </w:r>
      <w:r>
        <w:rPr>
          <w:spacing w:val="-3"/>
          <w:sz w:val="18"/>
        </w:rPr>
        <w:t> 日的身体情况进行鉴定。</w:t>
      </w:r>
    </w:p>
    <w:p>
      <w:pPr>
        <w:spacing w:line="230" w:lineRule="exact" w:before="0"/>
        <w:ind w:left="212" w:right="0" w:firstLine="0"/>
        <w:jc w:val="left"/>
        <w:rPr>
          <w:sz w:val="18"/>
        </w:rPr>
      </w:pPr>
      <w:r>
        <w:rPr>
          <w:spacing w:val="-5"/>
          <w:sz w:val="18"/>
        </w:rPr>
        <w:t>注：</w:t>
      </w:r>
    </w:p>
    <w:p>
      <w:pPr>
        <w:spacing w:line="242" w:lineRule="auto" w:before="5"/>
        <w:ind w:left="212" w:right="743" w:firstLine="0"/>
        <w:jc w:val="left"/>
        <w:rPr>
          <w:sz w:val="18"/>
        </w:rPr>
      </w:pPr>
      <w:r>
        <w:rPr>
          <w:spacing w:val="-3"/>
          <w:sz w:val="18"/>
        </w:rPr>
        <w:t>①失明包括眼球缺失或摘除、或不能辨别明暗、或仅能辨别眼前手动者，最佳矫正视力低于国际标准视力表 </w:t>
      </w:r>
      <w:r>
        <w:rPr>
          <w:spacing w:val="-2"/>
          <w:sz w:val="18"/>
        </w:rPr>
        <w:t>0.02，或视野</w:t>
      </w:r>
      <w:r>
        <w:rPr>
          <w:spacing w:val="-4"/>
          <w:sz w:val="18"/>
        </w:rPr>
        <w:t>半径小于 </w:t>
      </w:r>
      <w:r>
        <w:rPr>
          <w:sz w:val="18"/>
        </w:rPr>
        <w:t>5</w:t>
      </w:r>
      <w:r>
        <w:rPr>
          <w:spacing w:val="-5"/>
          <w:sz w:val="18"/>
        </w:rPr>
        <w:t> 度，并由有资格的眼科医生出具医疗诊断证明。</w:t>
      </w:r>
    </w:p>
    <w:p>
      <w:pPr>
        <w:spacing w:before="0"/>
        <w:ind w:left="212" w:right="0" w:firstLine="0"/>
        <w:jc w:val="left"/>
        <w:rPr>
          <w:sz w:val="18"/>
        </w:rPr>
      </w:pPr>
      <w:r>
        <w:rPr>
          <w:spacing w:val="-1"/>
          <w:sz w:val="18"/>
        </w:rPr>
        <w:t>②关节机能的丧失系指关节永久完全僵硬、或麻痹、或关节不能随意识活动。</w:t>
      </w:r>
    </w:p>
    <w:p>
      <w:pPr>
        <w:spacing w:line="244" w:lineRule="auto" w:before="2"/>
        <w:ind w:left="212" w:right="689" w:firstLine="0"/>
        <w:jc w:val="left"/>
        <w:rPr>
          <w:sz w:val="18"/>
        </w:rPr>
      </w:pPr>
      <w:r>
        <w:rPr>
          <w:spacing w:val="-2"/>
          <w:sz w:val="18"/>
        </w:rPr>
        <w:t>③咀嚼、吞咽机能的丧失系指由于牙齿以外的原因引起器质障碍或机能障碍，以致不能作咀嚼、吞咽活动，除流质食物外不</w:t>
      </w:r>
      <w:r>
        <w:rPr>
          <w:spacing w:val="-2"/>
          <w:sz w:val="18"/>
        </w:rPr>
        <w:t>能摄取或吞咽的状态。</w:t>
      </w:r>
    </w:p>
    <w:p>
      <w:pPr>
        <w:spacing w:line="242" w:lineRule="auto" w:before="0"/>
        <w:ind w:left="212" w:right="693" w:firstLine="0"/>
        <w:jc w:val="left"/>
        <w:rPr>
          <w:sz w:val="18"/>
        </w:rPr>
      </w:pPr>
      <w:r>
        <w:rPr>
          <w:spacing w:val="-2"/>
          <w:sz w:val="18"/>
        </w:rPr>
        <w:t>④为维持生命必要之日常生活活动，全需他人扶助系指食物摄取、大小便始末、穿脱衣服、起居、步行、入浴等，皆不能自</w:t>
      </w:r>
      <w:r>
        <w:rPr>
          <w:spacing w:val="-2"/>
          <w:sz w:val="18"/>
        </w:rPr>
        <w:t>己为之，需要他人帮助。</w:t>
      </w:r>
    </w:p>
    <w:p>
      <w:pPr>
        <w:spacing w:line="244" w:lineRule="auto" w:before="0"/>
        <w:ind w:left="212" w:right="607" w:firstLine="0"/>
        <w:jc w:val="left"/>
        <w:rPr>
          <w:sz w:val="18"/>
        </w:rPr>
      </w:pPr>
      <w:r>
        <w:rPr>
          <w:spacing w:val="-2"/>
          <w:sz w:val="18"/>
        </w:rPr>
        <w:t>上述所谓永久完全系指自事故发生之日起经过一百八十天的治疗，机能仍然完全丧失，但眼球摘除等明显无法复原之情况，</w:t>
      </w:r>
      <w:r>
        <w:rPr>
          <w:spacing w:val="-2"/>
          <w:sz w:val="18"/>
        </w:rPr>
        <w:t>不在此限。</w:t>
      </w:r>
    </w:p>
    <w:p>
      <w:pPr>
        <w:spacing w:line="251" w:lineRule="exact" w:before="0"/>
        <w:ind w:left="212" w:right="0" w:firstLine="0"/>
        <w:jc w:val="left"/>
        <w:rPr>
          <w:sz w:val="18"/>
        </w:rPr>
      </w:pPr>
      <w:r>
        <w:rPr>
          <w:rFonts w:ascii="Calibri" w:eastAsia="Calibri"/>
          <w:b/>
          <w:spacing w:val="-2"/>
          <w:position w:val="5"/>
          <w:sz w:val="12"/>
        </w:rPr>
        <w:t>10</w:t>
      </w:r>
      <w:r>
        <w:rPr>
          <w:rFonts w:ascii="微软雅黑" w:eastAsia="微软雅黑"/>
          <w:b/>
          <w:spacing w:val="-2"/>
          <w:sz w:val="18"/>
        </w:rPr>
        <w:t>生命末期疾病状态：</w:t>
      </w:r>
      <w:r>
        <w:rPr>
          <w:spacing w:val="-3"/>
          <w:sz w:val="18"/>
        </w:rPr>
        <w:t>指被保险人被确诊为疾病的终末期状态，疾病已经无法以现有的医疗技术医治缓解，并且根据临床医</w:t>
      </w:r>
    </w:p>
    <w:p>
      <w:pPr>
        <w:spacing w:line="210" w:lineRule="exact" w:before="0"/>
        <w:ind w:left="212" w:right="0" w:firstLine="0"/>
        <w:jc w:val="left"/>
        <w:rPr>
          <w:sz w:val="18"/>
        </w:rPr>
      </w:pPr>
      <w:r>
        <w:rPr>
          <w:spacing w:val="-3"/>
          <w:sz w:val="18"/>
        </w:rPr>
        <w:t>学经验判断被保险人将于未来六个月内死亡，在家属及患者的要求和医师的同意下积极治疗已被放弃，所有治疗措施仅以减</w:t>
      </w:r>
    </w:p>
    <w:p>
      <w:pPr>
        <w:spacing w:line="204" w:lineRule="exact" w:before="0"/>
        <w:ind w:left="212" w:right="0" w:firstLine="0"/>
        <w:jc w:val="left"/>
        <w:rPr>
          <w:sz w:val="18"/>
        </w:rPr>
      </w:pPr>
      <w:r>
        <w:rPr>
          <w:spacing w:val="-2"/>
          <w:sz w:val="18"/>
        </w:rPr>
        <w:t>轻患者痛苦为目的。</w:t>
      </w:r>
    </w:p>
    <w:p>
      <w:pPr>
        <w:spacing w:line="305" w:lineRule="exact" w:before="0"/>
        <w:ind w:left="212" w:right="0" w:firstLine="0"/>
        <w:jc w:val="left"/>
        <w:rPr>
          <w:sz w:val="18"/>
        </w:rPr>
      </w:pPr>
      <w:r>
        <w:rPr>
          <w:rFonts w:ascii="Calibri" w:eastAsia="Calibri"/>
          <w:b/>
          <w:position w:val="5"/>
          <w:sz w:val="12"/>
        </w:rPr>
        <w:t>11</w:t>
      </w:r>
      <w:r>
        <w:rPr>
          <w:rFonts w:ascii="微软雅黑" w:eastAsia="微软雅黑"/>
          <w:b/>
          <w:sz w:val="18"/>
        </w:rPr>
        <w:t>已支付的保险费：</w:t>
      </w:r>
      <w:r>
        <w:rPr>
          <w:spacing w:val="-1"/>
          <w:sz w:val="18"/>
        </w:rPr>
        <w:t>按照身故、全残或经约定医院诊断确定符合生命末期疾病状态当时的基本保险金额对应的保险费计算。</w:t>
      </w:r>
    </w:p>
    <w:p>
      <w:pPr>
        <w:spacing w:after="0" w:line="305" w:lineRule="exact"/>
        <w:jc w:val="left"/>
        <w:rPr>
          <w:sz w:val="18"/>
        </w:rPr>
        <w:sectPr>
          <w:type w:val="continuous"/>
          <w:pgSz w:w="11910" w:h="16840"/>
          <w:pgMar w:top="680" w:bottom="280" w:left="920" w:right="440"/>
        </w:sectPr>
      </w:pPr>
    </w:p>
    <w:p>
      <w:pPr>
        <w:pStyle w:val="ListParagraph"/>
        <w:numPr>
          <w:ilvl w:val="1"/>
          <w:numId w:val="14"/>
        </w:numPr>
        <w:tabs>
          <w:tab w:pos="3431" w:val="left" w:leader="none"/>
        </w:tabs>
        <w:spacing w:line="350" w:lineRule="exact" w:before="15" w:after="0"/>
        <w:ind w:left="3430" w:right="0" w:hanging="318"/>
        <w:jc w:val="left"/>
        <w:rPr>
          <w:sz w:val="21"/>
        </w:rPr>
      </w:pPr>
      <w:r>
        <w:rPr>
          <w:color w:val="000000"/>
          <w:spacing w:val="-2"/>
          <w:sz w:val="21"/>
          <w:shd w:fill="A6A6A6" w:color="auto" w:val="clear"/>
        </w:rPr>
        <w:t>被保险人服用、吸食或注射</w:t>
      </w:r>
      <w:r>
        <w:rPr>
          <w:rFonts w:ascii="微软雅黑" w:eastAsia="微软雅黑"/>
          <w:b/>
          <w:color w:val="000000"/>
          <w:spacing w:val="-2"/>
          <w:sz w:val="21"/>
          <w:shd w:fill="A6A6A6" w:color="auto" w:val="clear"/>
        </w:rPr>
        <w:t>毒品</w:t>
      </w:r>
      <w:r>
        <w:rPr>
          <w:rFonts w:ascii="微软雅黑" w:eastAsia="微软雅黑"/>
          <w:b/>
          <w:color w:val="000000"/>
          <w:spacing w:val="-5"/>
          <w:position w:val="11"/>
          <w:sz w:val="11"/>
        </w:rPr>
        <w:t>12</w:t>
      </w:r>
      <w:r>
        <w:rPr>
          <w:color w:val="000000"/>
          <w:spacing w:val="-5"/>
          <w:sz w:val="21"/>
          <w:shd w:fill="A6A6A6" w:color="auto" w:val="clear"/>
        </w:rPr>
        <w:t>；</w:t>
      </w:r>
    </w:p>
    <w:p>
      <w:pPr>
        <w:pStyle w:val="ListParagraph"/>
        <w:numPr>
          <w:ilvl w:val="1"/>
          <w:numId w:val="14"/>
        </w:numPr>
        <w:tabs>
          <w:tab w:pos="3433" w:val="left" w:leader="none"/>
        </w:tabs>
        <w:spacing w:line="194" w:lineRule="auto" w:before="16" w:after="0"/>
        <w:ind w:left="3113" w:right="684" w:firstLine="0"/>
        <w:jc w:val="left"/>
        <w:rPr>
          <w:sz w:val="21"/>
        </w:rPr>
      </w:pPr>
      <w:r>
        <w:rPr>
          <w:color w:val="000000"/>
          <w:spacing w:val="-2"/>
          <w:w w:val="95"/>
          <w:sz w:val="21"/>
          <w:shd w:fill="A6A6A6" w:color="auto" w:val="clear"/>
        </w:rPr>
        <w:t>被</w:t>
      </w:r>
      <w:r>
        <w:rPr>
          <w:color w:val="000000"/>
          <w:spacing w:val="-2"/>
          <w:w w:val="95"/>
          <w:sz w:val="21"/>
          <w:shd w:fill="A6A6A6" w:color="auto" w:val="clear"/>
        </w:rPr>
        <w:t>保</w:t>
      </w:r>
      <w:r>
        <w:rPr>
          <w:color w:val="000000"/>
          <w:spacing w:val="-2"/>
          <w:w w:val="95"/>
          <w:sz w:val="21"/>
          <w:shd w:fill="A6A6A6" w:color="auto" w:val="clear"/>
        </w:rPr>
        <w:t>险</w:t>
      </w:r>
      <w:r>
        <w:rPr>
          <w:color w:val="000000"/>
          <w:spacing w:val="-2"/>
          <w:w w:val="95"/>
          <w:sz w:val="21"/>
          <w:shd w:fill="A6A6A6" w:color="auto" w:val="clear"/>
        </w:rPr>
        <w:t>人</w:t>
      </w:r>
      <w:r>
        <w:rPr>
          <w:rFonts w:ascii="微软雅黑" w:eastAsia="微软雅黑"/>
          <w:b/>
          <w:color w:val="000000"/>
          <w:spacing w:val="-2"/>
          <w:w w:val="95"/>
          <w:sz w:val="21"/>
          <w:shd w:fill="A6A6A6" w:color="auto" w:val="clear"/>
        </w:rPr>
        <w:t>酒后驾驶</w:t>
      </w:r>
      <w:r>
        <w:rPr>
          <w:rFonts w:ascii="微软雅黑" w:eastAsia="微软雅黑"/>
          <w:b/>
          <w:color w:val="000000"/>
          <w:spacing w:val="-2"/>
          <w:w w:val="95"/>
          <w:position w:val="11"/>
          <w:sz w:val="11"/>
        </w:rPr>
        <w:t>13</w:t>
      </w:r>
      <w:r>
        <w:rPr>
          <w:color w:val="000000"/>
          <w:spacing w:val="-2"/>
          <w:w w:val="95"/>
          <w:sz w:val="21"/>
          <w:shd w:fill="A6A6A6" w:color="auto" w:val="clear"/>
        </w:rPr>
        <w:t>、</w:t>
      </w:r>
      <w:r>
        <w:rPr>
          <w:rFonts w:ascii="微软雅黑" w:eastAsia="微软雅黑"/>
          <w:b/>
          <w:color w:val="000000"/>
          <w:spacing w:val="-2"/>
          <w:w w:val="95"/>
          <w:sz w:val="21"/>
          <w:shd w:fill="A6A6A6" w:color="auto" w:val="clear"/>
        </w:rPr>
        <w:t>无合法有效驾驶证驾驶</w:t>
      </w:r>
      <w:r>
        <w:rPr>
          <w:rFonts w:ascii="微软雅黑" w:eastAsia="微软雅黑"/>
          <w:b/>
          <w:color w:val="000000"/>
          <w:spacing w:val="-2"/>
          <w:w w:val="95"/>
          <w:position w:val="11"/>
          <w:sz w:val="11"/>
        </w:rPr>
        <w:t>14</w:t>
      </w:r>
      <w:r>
        <w:rPr>
          <w:color w:val="000000"/>
          <w:spacing w:val="-2"/>
          <w:w w:val="95"/>
          <w:sz w:val="21"/>
          <w:shd w:fill="A6A6A6" w:color="auto" w:val="clear"/>
        </w:rPr>
        <w:t>或驾驶</w:t>
      </w:r>
      <w:r>
        <w:rPr>
          <w:rFonts w:ascii="微软雅黑" w:eastAsia="微软雅黑"/>
          <w:b/>
          <w:color w:val="000000"/>
          <w:spacing w:val="-2"/>
          <w:w w:val="95"/>
          <w:sz w:val="21"/>
          <w:shd w:fill="A6A6A6" w:color="auto" w:val="clear"/>
        </w:rPr>
        <w:t>无合法</w:t>
      </w:r>
      <w:r>
        <w:rPr>
          <w:rFonts w:ascii="微软雅黑" w:eastAsia="微软雅黑"/>
          <w:b/>
          <w:color w:val="000000"/>
          <w:spacing w:val="-2"/>
          <w:w w:val="95"/>
          <w:sz w:val="21"/>
          <w:shd w:fill="A6A6A6" w:color="auto" w:val="clear"/>
        </w:rPr>
        <w:t>有</w:t>
      </w:r>
      <w:r>
        <w:rPr>
          <w:rFonts w:ascii="微软雅黑" w:eastAsia="微软雅黑"/>
          <w:b/>
          <w:color w:val="000000"/>
          <w:spacing w:val="-2"/>
          <w:w w:val="95"/>
          <w:sz w:val="21"/>
          <w:shd w:fill="A6A6A6" w:color="auto" w:val="clear"/>
        </w:rPr>
        <w:t>效</w:t>
      </w:r>
      <w:r>
        <w:rPr>
          <w:rFonts w:ascii="微软雅黑" w:eastAsia="微软雅黑"/>
          <w:b/>
          <w:color w:val="000000"/>
          <w:spacing w:val="-2"/>
          <w:w w:val="95"/>
          <w:sz w:val="21"/>
          <w:shd w:fill="A6A6A6" w:color="auto" w:val="clear"/>
        </w:rPr>
        <w:t>行</w:t>
      </w:r>
      <w:r>
        <w:rPr>
          <w:rFonts w:ascii="微软雅黑" w:eastAsia="微软雅黑"/>
          <w:b/>
          <w:color w:val="000000"/>
          <w:spacing w:val="-2"/>
          <w:w w:val="95"/>
          <w:sz w:val="21"/>
          <w:shd w:fill="A6A6A6" w:color="auto" w:val="clear"/>
        </w:rPr>
        <w:t>驶</w:t>
      </w:r>
      <w:r>
        <w:rPr>
          <w:rFonts w:ascii="微软雅黑" w:eastAsia="微软雅黑"/>
          <w:b/>
          <w:color w:val="000000"/>
          <w:spacing w:val="80"/>
          <w:w w:val="150"/>
          <w:sz w:val="21"/>
          <w:shd w:fill="A6A6A6" w:color="auto" w:val="clear"/>
        </w:rPr>
        <w:t>                                                  </w:t>
      </w:r>
      <w:r>
        <w:rPr>
          <w:rFonts w:ascii="微软雅黑" w:eastAsia="微软雅黑"/>
          <w:b/>
          <w:color w:val="000000"/>
          <w:spacing w:val="-2"/>
          <w:sz w:val="21"/>
          <w:shd w:fill="A6A6A6" w:color="auto" w:val="clear"/>
        </w:rPr>
        <w:t>证</w:t>
      </w:r>
      <w:r>
        <w:rPr>
          <w:rFonts w:ascii="微软雅黑" w:eastAsia="微软雅黑"/>
          <w:b/>
          <w:color w:val="000000"/>
          <w:spacing w:val="-2"/>
          <w:position w:val="11"/>
          <w:sz w:val="11"/>
        </w:rPr>
        <w:t>15</w:t>
      </w:r>
      <w:r>
        <w:rPr>
          <w:color w:val="000000"/>
          <w:spacing w:val="-2"/>
          <w:sz w:val="21"/>
          <w:shd w:fill="A6A6A6" w:color="auto" w:val="clear"/>
        </w:rPr>
        <w:t>的机动车；</w:t>
      </w:r>
    </w:p>
    <w:p>
      <w:pPr>
        <w:pStyle w:val="ListParagraph"/>
        <w:numPr>
          <w:ilvl w:val="1"/>
          <w:numId w:val="14"/>
        </w:numPr>
        <w:tabs>
          <w:tab w:pos="3431" w:val="left" w:leader="none"/>
        </w:tabs>
        <w:spacing w:line="278" w:lineRule="auto" w:before="11" w:after="0"/>
        <w:ind w:left="3113" w:right="3753" w:firstLine="0"/>
        <w:jc w:val="left"/>
        <w:rPr>
          <w:sz w:val="21"/>
        </w:rPr>
      </w:pPr>
      <w:r>
        <w:rPr>
          <w:color w:val="000000"/>
          <w:spacing w:val="-2"/>
          <w:sz w:val="21"/>
          <w:shd w:fill="A6A6A6" w:color="auto" w:val="clear"/>
        </w:rPr>
        <w:t>战争、军事冲突、暴乱或武装叛乱；</w:t>
      </w:r>
      <w:r>
        <w:rPr>
          <w:color w:val="000000"/>
          <w:spacing w:val="-2"/>
          <w:sz w:val="21"/>
        </w:rPr>
        <w:t> </w:t>
      </w:r>
      <w:r>
        <w:rPr>
          <w:color w:val="000000"/>
          <w:spacing w:val="-2"/>
          <w:sz w:val="21"/>
          <w:shd w:fill="A6A6A6" w:color="auto" w:val="clear"/>
        </w:rPr>
        <w:t>(7)核爆炸、核辐射或核污染；</w:t>
      </w:r>
    </w:p>
    <w:p>
      <w:pPr>
        <w:pStyle w:val="ListParagraph"/>
        <w:numPr>
          <w:ilvl w:val="0"/>
          <w:numId w:val="15"/>
        </w:numPr>
        <w:tabs>
          <w:tab w:pos="3431" w:val="left" w:leader="none"/>
        </w:tabs>
        <w:spacing w:line="316" w:lineRule="exact" w:before="0" w:after="0"/>
        <w:ind w:left="3430" w:right="0" w:hanging="318"/>
        <w:jc w:val="left"/>
        <w:rPr>
          <w:sz w:val="21"/>
        </w:rPr>
      </w:pPr>
      <w:r>
        <w:rPr>
          <w:color w:val="000000"/>
          <w:w w:val="95"/>
          <w:sz w:val="21"/>
          <w:shd w:fill="A6A6A6" w:color="auto" w:val="clear"/>
        </w:rPr>
        <w:t>被保险人</w:t>
      </w:r>
      <w:r>
        <w:rPr>
          <w:rFonts w:ascii="微软雅黑" w:hAnsi="微软雅黑" w:eastAsia="微软雅黑"/>
          <w:b/>
          <w:color w:val="000000"/>
          <w:w w:val="95"/>
          <w:sz w:val="21"/>
          <w:shd w:fill="A6A6A6" w:color="auto" w:val="clear"/>
        </w:rPr>
        <w:t>感</w:t>
      </w:r>
      <w:r>
        <w:rPr>
          <w:rFonts w:ascii="微软雅黑" w:hAnsi="微软雅黑" w:eastAsia="微软雅黑"/>
          <w:b/>
          <w:color w:val="000000"/>
          <w:w w:val="95"/>
          <w:sz w:val="21"/>
          <w:shd w:fill="A6A6A6" w:color="auto" w:val="clear"/>
        </w:rPr>
        <w:t>染</w:t>
      </w:r>
      <w:r>
        <w:rPr>
          <w:rFonts w:ascii="微软雅黑" w:hAnsi="微软雅黑" w:eastAsia="微软雅黑"/>
          <w:b/>
          <w:color w:val="000000"/>
          <w:w w:val="95"/>
          <w:sz w:val="21"/>
          <w:shd w:fill="A6A6A6" w:color="auto" w:val="clear"/>
        </w:rPr>
        <w:t>艾</w:t>
      </w:r>
      <w:r>
        <w:rPr>
          <w:rFonts w:ascii="微软雅黑" w:hAnsi="微软雅黑" w:eastAsia="微软雅黑"/>
          <w:b/>
          <w:color w:val="000000"/>
          <w:w w:val="95"/>
          <w:sz w:val="21"/>
          <w:shd w:fill="A6A6A6" w:color="auto" w:val="clear"/>
        </w:rPr>
        <w:t>滋</w:t>
      </w:r>
      <w:r>
        <w:rPr>
          <w:rFonts w:ascii="微软雅黑" w:hAnsi="微软雅黑" w:eastAsia="微软雅黑"/>
          <w:b/>
          <w:color w:val="000000"/>
          <w:w w:val="95"/>
          <w:sz w:val="21"/>
          <w:shd w:fill="A6A6A6" w:color="auto" w:val="clear"/>
        </w:rPr>
        <w:t>病</w:t>
      </w:r>
      <w:r>
        <w:rPr>
          <w:rFonts w:ascii="微软雅黑" w:hAnsi="微软雅黑" w:eastAsia="微软雅黑"/>
          <w:b/>
          <w:color w:val="000000"/>
          <w:w w:val="95"/>
          <w:sz w:val="21"/>
          <w:shd w:fill="A6A6A6" w:color="auto" w:val="clear"/>
        </w:rPr>
        <w:t>病</w:t>
      </w:r>
      <w:r>
        <w:rPr>
          <w:rFonts w:ascii="微软雅黑" w:hAnsi="微软雅黑" w:eastAsia="微软雅黑"/>
          <w:b/>
          <w:color w:val="000000"/>
          <w:w w:val="95"/>
          <w:sz w:val="21"/>
          <w:shd w:fill="A6A6A6" w:color="auto" w:val="clear"/>
        </w:rPr>
        <w:t>毒</w:t>
      </w:r>
      <w:r>
        <w:rPr>
          <w:rFonts w:ascii="微软雅黑" w:hAnsi="微软雅黑" w:eastAsia="微软雅黑"/>
          <w:b/>
          <w:color w:val="000000"/>
          <w:w w:val="95"/>
          <w:sz w:val="21"/>
          <w:shd w:fill="A6A6A6" w:color="auto" w:val="clear"/>
        </w:rPr>
        <w:t>或</w:t>
      </w:r>
      <w:r>
        <w:rPr>
          <w:rFonts w:ascii="微软雅黑" w:hAnsi="微软雅黑" w:eastAsia="微软雅黑"/>
          <w:b/>
          <w:color w:val="000000"/>
          <w:w w:val="95"/>
          <w:sz w:val="21"/>
          <w:shd w:fill="A6A6A6" w:color="auto" w:val="clear"/>
        </w:rPr>
        <w:t>患</w:t>
      </w:r>
      <w:r>
        <w:rPr>
          <w:rFonts w:ascii="微软雅黑" w:hAnsi="微软雅黑" w:eastAsia="微软雅黑"/>
          <w:b/>
          <w:color w:val="000000"/>
          <w:w w:val="95"/>
          <w:sz w:val="21"/>
          <w:shd w:fill="A6A6A6" w:color="auto" w:val="clear"/>
        </w:rPr>
        <w:t>艾</w:t>
      </w:r>
      <w:r>
        <w:rPr>
          <w:rFonts w:ascii="微软雅黑" w:hAnsi="微软雅黑" w:eastAsia="微软雅黑"/>
          <w:b/>
          <w:color w:val="000000"/>
          <w:w w:val="95"/>
          <w:sz w:val="21"/>
          <w:shd w:fill="A6A6A6" w:color="auto" w:val="clear"/>
        </w:rPr>
        <w:t>滋</w:t>
      </w:r>
      <w:r>
        <w:rPr>
          <w:rFonts w:ascii="微软雅黑" w:hAnsi="微软雅黑" w:eastAsia="微软雅黑"/>
          <w:b/>
          <w:color w:val="000000"/>
          <w:w w:val="95"/>
          <w:sz w:val="21"/>
          <w:shd w:fill="A6A6A6" w:color="auto" w:val="clear"/>
        </w:rPr>
        <w:t>病</w:t>
      </w:r>
      <w:r>
        <w:rPr>
          <w:rFonts w:ascii="微软雅黑" w:hAnsi="微软雅黑" w:eastAsia="微软雅黑"/>
          <w:b/>
          <w:color w:val="000000"/>
          <w:w w:val="95"/>
          <w:position w:val="11"/>
          <w:sz w:val="11"/>
        </w:rPr>
        <w:t>16</w:t>
      </w:r>
      <w:r>
        <w:rPr>
          <w:color w:val="000000"/>
          <w:w w:val="95"/>
          <w:sz w:val="21"/>
          <w:shd w:fill="A6A6A6" w:color="auto" w:val="clear"/>
        </w:rPr>
        <w:t>，</w:t>
      </w:r>
      <w:r>
        <w:rPr>
          <w:color w:val="000000"/>
          <w:w w:val="95"/>
          <w:sz w:val="21"/>
          <w:shd w:fill="A6A6A6" w:color="auto" w:val="clear"/>
        </w:rPr>
        <w:t>但</w:t>
      </w:r>
      <w:r>
        <w:rPr>
          <w:color w:val="000000"/>
          <w:w w:val="95"/>
          <w:sz w:val="21"/>
          <w:shd w:fill="A6A6A6" w:color="auto" w:val="clear"/>
        </w:rPr>
        <w:t>若属于</w:t>
      </w:r>
      <w:r>
        <w:rPr>
          <w:color w:val="000000"/>
          <w:w w:val="95"/>
          <w:sz w:val="21"/>
          <w:shd w:fill="A6A6A6" w:color="auto" w:val="clear"/>
        </w:rPr>
        <w:t>本</w:t>
      </w:r>
      <w:r>
        <w:rPr>
          <w:color w:val="000000"/>
          <w:w w:val="95"/>
          <w:sz w:val="21"/>
          <w:shd w:fill="A6A6A6" w:color="auto" w:val="clear"/>
        </w:rPr>
        <w:t>合</w:t>
      </w:r>
      <w:r>
        <w:rPr>
          <w:color w:val="000000"/>
          <w:w w:val="95"/>
          <w:sz w:val="21"/>
          <w:shd w:fill="A6A6A6" w:color="auto" w:val="clear"/>
        </w:rPr>
        <w:t>同所保障的“</w:t>
      </w:r>
      <w:r>
        <w:rPr>
          <w:color w:val="000000"/>
          <w:spacing w:val="-10"/>
          <w:w w:val="95"/>
          <w:sz w:val="21"/>
          <w:shd w:fill="A6A6A6" w:color="auto" w:val="clear"/>
        </w:rPr>
        <w:t>经</w:t>
      </w:r>
    </w:p>
    <w:p>
      <w:pPr>
        <w:pStyle w:val="BodyText"/>
        <w:spacing w:line="278" w:lineRule="auto"/>
        <w:ind w:right="705"/>
      </w:pPr>
      <w:r>
        <w:rPr>
          <w:color w:val="000000"/>
          <w:spacing w:val="-15"/>
          <w:shd w:fill="A6A6A6" w:color="auto" w:val="clear"/>
        </w:rPr>
        <w:t>输血导致的人类免疫缺陷病毒感染”、“因职业关系导致的人类免疫缺陷病</w:t>
      </w:r>
      <w:r>
        <w:rPr>
          <w:color w:val="000000"/>
          <w:spacing w:val="80"/>
          <w:w w:val="150"/>
          <w:shd w:fill="A6A6A6" w:color="auto" w:val="clear"/>
        </w:rPr>
        <w:t>                                    </w:t>
      </w:r>
      <w:r>
        <w:rPr>
          <w:color w:val="000000"/>
          <w:spacing w:val="-7"/>
          <w:shd w:fill="A6A6A6" w:color="auto" w:val="clear"/>
        </w:rPr>
        <w:t>毒感染”或“器官移植导致的人类免疫缺陷病毒感染”，则不在此限；</w:t>
      </w:r>
    </w:p>
    <w:p>
      <w:pPr>
        <w:pStyle w:val="ListParagraph"/>
        <w:numPr>
          <w:ilvl w:val="0"/>
          <w:numId w:val="15"/>
        </w:numPr>
        <w:tabs>
          <w:tab w:pos="3431" w:val="left" w:leader="none"/>
        </w:tabs>
        <w:spacing w:line="316" w:lineRule="exact" w:before="0" w:after="0"/>
        <w:ind w:left="3430" w:right="0" w:hanging="318"/>
        <w:jc w:val="left"/>
        <w:rPr>
          <w:sz w:val="21"/>
        </w:rPr>
      </w:pPr>
      <w:r>
        <w:rPr>
          <w:rFonts w:ascii="微软雅黑" w:eastAsia="微软雅黑"/>
          <w:b/>
          <w:color w:val="000000"/>
          <w:w w:val="95"/>
          <w:sz w:val="21"/>
          <w:shd w:fill="A6A6A6" w:color="auto" w:val="clear"/>
        </w:rPr>
        <w:t>遗</w:t>
      </w:r>
      <w:r>
        <w:rPr>
          <w:rFonts w:ascii="微软雅黑" w:eastAsia="微软雅黑"/>
          <w:b/>
          <w:color w:val="000000"/>
          <w:w w:val="95"/>
          <w:sz w:val="21"/>
          <w:shd w:fill="A6A6A6" w:color="auto" w:val="clear"/>
        </w:rPr>
        <w:t>传</w:t>
      </w:r>
      <w:r>
        <w:rPr>
          <w:rFonts w:ascii="微软雅黑" w:eastAsia="微软雅黑"/>
          <w:b/>
          <w:color w:val="000000"/>
          <w:w w:val="95"/>
          <w:sz w:val="21"/>
          <w:shd w:fill="A6A6A6" w:color="auto" w:val="clear"/>
        </w:rPr>
        <w:t>性</w:t>
      </w:r>
      <w:r>
        <w:rPr>
          <w:rFonts w:ascii="微软雅黑" w:eastAsia="微软雅黑"/>
          <w:b/>
          <w:color w:val="000000"/>
          <w:w w:val="95"/>
          <w:sz w:val="21"/>
          <w:shd w:fill="A6A6A6" w:color="auto" w:val="clear"/>
        </w:rPr>
        <w:t>疾</w:t>
      </w:r>
      <w:r>
        <w:rPr>
          <w:rFonts w:ascii="微软雅黑" w:eastAsia="微软雅黑"/>
          <w:b/>
          <w:color w:val="000000"/>
          <w:w w:val="95"/>
          <w:sz w:val="21"/>
          <w:shd w:fill="A6A6A6" w:color="auto" w:val="clear"/>
        </w:rPr>
        <w:t>病</w:t>
      </w:r>
      <w:r>
        <w:rPr>
          <w:rFonts w:ascii="微软雅黑" w:eastAsia="微软雅黑"/>
          <w:b/>
          <w:color w:val="000000"/>
          <w:w w:val="95"/>
          <w:position w:val="11"/>
          <w:sz w:val="11"/>
        </w:rPr>
        <w:t>17</w:t>
      </w:r>
      <w:r>
        <w:rPr>
          <w:color w:val="000000"/>
          <w:w w:val="95"/>
          <w:sz w:val="21"/>
          <w:shd w:fill="A6A6A6" w:color="auto" w:val="clear"/>
        </w:rPr>
        <w:t>，</w:t>
      </w:r>
      <w:r>
        <w:rPr>
          <w:rFonts w:ascii="微软雅黑" w:eastAsia="微软雅黑"/>
          <w:b/>
          <w:color w:val="000000"/>
          <w:w w:val="95"/>
          <w:sz w:val="21"/>
          <w:shd w:fill="A6A6A6" w:color="auto" w:val="clear"/>
        </w:rPr>
        <w:t>先</w:t>
      </w:r>
      <w:r>
        <w:rPr>
          <w:rFonts w:ascii="微软雅黑" w:eastAsia="微软雅黑"/>
          <w:b/>
          <w:color w:val="000000"/>
          <w:w w:val="95"/>
          <w:sz w:val="21"/>
          <w:shd w:fill="A6A6A6" w:color="auto" w:val="clear"/>
        </w:rPr>
        <w:t>天</w:t>
      </w:r>
      <w:r>
        <w:rPr>
          <w:rFonts w:ascii="微软雅黑" w:eastAsia="微软雅黑"/>
          <w:b/>
          <w:color w:val="000000"/>
          <w:w w:val="95"/>
          <w:sz w:val="21"/>
          <w:shd w:fill="A6A6A6" w:color="auto" w:val="clear"/>
        </w:rPr>
        <w:t>性</w:t>
      </w:r>
      <w:r>
        <w:rPr>
          <w:rFonts w:ascii="微软雅黑" w:eastAsia="微软雅黑"/>
          <w:b/>
          <w:color w:val="000000"/>
          <w:w w:val="95"/>
          <w:sz w:val="21"/>
          <w:shd w:fill="A6A6A6" w:color="auto" w:val="clear"/>
        </w:rPr>
        <w:t>畸</w:t>
      </w:r>
      <w:r>
        <w:rPr>
          <w:rFonts w:ascii="微软雅黑" w:eastAsia="微软雅黑"/>
          <w:b/>
          <w:color w:val="000000"/>
          <w:w w:val="95"/>
          <w:sz w:val="21"/>
          <w:shd w:fill="A6A6A6" w:color="auto" w:val="clear"/>
        </w:rPr>
        <w:t>形</w:t>
      </w:r>
      <w:r>
        <w:rPr>
          <w:rFonts w:ascii="微软雅黑" w:eastAsia="微软雅黑"/>
          <w:b/>
          <w:color w:val="000000"/>
          <w:w w:val="95"/>
          <w:sz w:val="21"/>
          <w:shd w:fill="A6A6A6" w:color="auto" w:val="clear"/>
        </w:rPr>
        <w:t>、</w:t>
      </w:r>
      <w:r>
        <w:rPr>
          <w:rFonts w:ascii="微软雅黑" w:eastAsia="微软雅黑"/>
          <w:b/>
          <w:color w:val="000000"/>
          <w:w w:val="95"/>
          <w:sz w:val="21"/>
          <w:shd w:fill="A6A6A6" w:color="auto" w:val="clear"/>
        </w:rPr>
        <w:t>变</w:t>
      </w:r>
      <w:r>
        <w:rPr>
          <w:rFonts w:ascii="微软雅黑" w:eastAsia="微软雅黑"/>
          <w:b/>
          <w:color w:val="000000"/>
          <w:w w:val="95"/>
          <w:sz w:val="21"/>
          <w:shd w:fill="A6A6A6" w:color="auto" w:val="clear"/>
        </w:rPr>
        <w:t>形</w:t>
      </w:r>
      <w:r>
        <w:rPr>
          <w:rFonts w:ascii="微软雅黑" w:eastAsia="微软雅黑"/>
          <w:b/>
          <w:color w:val="000000"/>
          <w:w w:val="95"/>
          <w:sz w:val="21"/>
          <w:shd w:fill="A6A6A6" w:color="auto" w:val="clear"/>
        </w:rPr>
        <w:t>或</w:t>
      </w:r>
      <w:r>
        <w:rPr>
          <w:rFonts w:ascii="微软雅黑" w:eastAsia="微软雅黑"/>
          <w:b/>
          <w:color w:val="000000"/>
          <w:w w:val="95"/>
          <w:sz w:val="21"/>
          <w:shd w:fill="A6A6A6" w:color="auto" w:val="clear"/>
        </w:rPr>
        <w:t>染</w:t>
      </w:r>
      <w:r>
        <w:rPr>
          <w:rFonts w:ascii="微软雅黑" w:eastAsia="微软雅黑"/>
          <w:b/>
          <w:color w:val="000000"/>
          <w:w w:val="95"/>
          <w:sz w:val="21"/>
          <w:shd w:fill="A6A6A6" w:color="auto" w:val="clear"/>
        </w:rPr>
        <w:t>色</w:t>
      </w:r>
      <w:r>
        <w:rPr>
          <w:rFonts w:ascii="微软雅黑" w:eastAsia="微软雅黑"/>
          <w:b/>
          <w:color w:val="000000"/>
          <w:w w:val="95"/>
          <w:sz w:val="21"/>
          <w:shd w:fill="A6A6A6" w:color="auto" w:val="clear"/>
        </w:rPr>
        <w:t>体</w:t>
      </w:r>
      <w:r>
        <w:rPr>
          <w:rFonts w:ascii="微软雅黑" w:eastAsia="微软雅黑"/>
          <w:b/>
          <w:color w:val="000000"/>
          <w:w w:val="95"/>
          <w:sz w:val="21"/>
          <w:shd w:fill="A6A6A6" w:color="auto" w:val="clear"/>
        </w:rPr>
        <w:t>异常</w:t>
      </w:r>
      <w:r>
        <w:rPr>
          <w:rFonts w:ascii="微软雅黑" w:eastAsia="微软雅黑"/>
          <w:b/>
          <w:color w:val="000000"/>
          <w:w w:val="95"/>
          <w:position w:val="11"/>
          <w:sz w:val="11"/>
        </w:rPr>
        <w:t>18</w:t>
      </w:r>
      <w:r>
        <w:rPr>
          <w:color w:val="000000"/>
          <w:w w:val="95"/>
          <w:sz w:val="21"/>
          <w:shd w:fill="A6A6A6" w:color="auto" w:val="clear"/>
        </w:rPr>
        <w:t>，</w:t>
      </w:r>
      <w:r>
        <w:rPr>
          <w:color w:val="000000"/>
          <w:w w:val="95"/>
          <w:sz w:val="21"/>
          <w:shd w:fill="A6A6A6" w:color="auto" w:val="clear"/>
        </w:rPr>
        <w:t>但</w:t>
      </w:r>
      <w:r>
        <w:rPr>
          <w:color w:val="000000"/>
          <w:w w:val="95"/>
          <w:sz w:val="21"/>
          <w:shd w:fill="A6A6A6" w:color="auto" w:val="clear"/>
        </w:rPr>
        <w:t>若</w:t>
      </w:r>
      <w:r>
        <w:rPr>
          <w:color w:val="000000"/>
          <w:spacing w:val="-2"/>
          <w:w w:val="95"/>
          <w:sz w:val="21"/>
          <w:shd w:fill="A6A6A6" w:color="auto" w:val="clear"/>
        </w:rPr>
        <w:t>属于本合同所</w:t>
      </w:r>
    </w:p>
    <w:p>
      <w:pPr>
        <w:pStyle w:val="BodyText"/>
        <w:spacing w:line="278" w:lineRule="auto"/>
        <w:ind w:right="578"/>
      </w:pPr>
      <w:r>
        <w:rPr>
          <w:color w:val="000000"/>
          <w:spacing w:val="-10"/>
          <w:shd w:fill="A6A6A6" w:color="auto" w:val="clear"/>
        </w:rPr>
        <w:t>保障的“严重肌营养不良症”</w:t>
      </w:r>
      <w:r>
        <w:rPr>
          <w:color w:val="000000"/>
          <w:spacing w:val="-33"/>
          <w:shd w:fill="A6A6A6" w:color="auto" w:val="clear"/>
        </w:rPr>
        <w:t>、“肝豆状核变性”</w:t>
      </w:r>
      <w:r>
        <w:rPr>
          <w:color w:val="000000"/>
          <w:spacing w:val="-28"/>
          <w:shd w:fill="A6A6A6" w:color="auto" w:val="clear"/>
        </w:rPr>
        <w:t>、“严重肾髓质囊性病”</w:t>
      </w:r>
      <w:r>
        <w:rPr>
          <w:color w:val="000000"/>
          <w:spacing w:val="-53"/>
          <w:shd w:fill="A6A6A6" w:color="auto" w:val="clear"/>
        </w:rPr>
        <w:t>、“严</w:t>
      </w:r>
      <w:r>
        <w:rPr>
          <w:color w:val="000000"/>
          <w:spacing w:val="80"/>
          <w:w w:val="150"/>
          <w:shd w:fill="A6A6A6" w:color="auto" w:val="clear"/>
        </w:rPr>
        <w:t>                                     </w:t>
      </w:r>
      <w:r>
        <w:rPr>
          <w:color w:val="000000"/>
          <w:spacing w:val="-19"/>
          <w:shd w:fill="A6A6A6" w:color="auto" w:val="clear"/>
        </w:rPr>
        <w:t>重亚历山大病”</w:t>
      </w:r>
      <w:r>
        <w:rPr>
          <w:color w:val="000000"/>
          <w:spacing w:val="-30"/>
          <w:shd w:fill="A6A6A6" w:color="auto" w:val="clear"/>
        </w:rPr>
        <w:t>、“严重骨生长不全症”</w:t>
      </w:r>
      <w:r>
        <w:rPr>
          <w:color w:val="000000"/>
          <w:spacing w:val="-23"/>
          <w:shd w:fill="A6A6A6" w:color="auto" w:val="clear"/>
        </w:rPr>
        <w:t>、“脊柱裂”或“中度肌营养不良症”，</w:t>
      </w:r>
      <w:r>
        <w:rPr>
          <w:color w:val="000000"/>
          <w:spacing w:val="-2"/>
          <w:shd w:fill="A6A6A6" w:color="auto" w:val="clear"/>
        </w:rPr>
        <w:t>则不在此限。</w:t>
      </w:r>
    </w:p>
    <w:p>
      <w:pPr>
        <w:pStyle w:val="BodyText"/>
        <w:spacing w:line="278" w:lineRule="auto" w:before="69"/>
        <w:ind w:right="684"/>
        <w:jc w:val="both"/>
      </w:pPr>
      <w:r>
        <w:rPr>
          <w:color w:val="000000"/>
          <w:spacing w:val="-2"/>
          <w:shd w:fill="A6A6A6" w:color="auto" w:val="clear"/>
        </w:rPr>
        <w:t>发生上述第(1)项情形导致被保险人发生本合同约定的重大疾病、中症疾</w:t>
      </w:r>
      <w:r>
        <w:rPr>
          <w:color w:val="000000"/>
          <w:spacing w:val="40"/>
          <w:shd w:fill="A6A6A6" w:color="auto" w:val="clear"/>
        </w:rPr>
        <w:t> </w:t>
      </w:r>
      <w:r>
        <w:rPr>
          <w:color w:val="000000"/>
          <w:spacing w:val="-2"/>
          <w:shd w:fill="A6A6A6" w:color="auto" w:val="clear"/>
        </w:rPr>
        <w:t>病、轻症疾病、特定重大疾病或符合生命末期疾病状态的，本合同终止，</w:t>
      </w:r>
      <w:r>
        <w:rPr>
          <w:color w:val="000000"/>
          <w:spacing w:val="-2"/>
          <w:shd w:fill="A6A6A6" w:color="auto" w:val="clear"/>
        </w:rPr>
        <w:t>我们向被保险人退还本合同的现金价值。</w:t>
      </w:r>
    </w:p>
    <w:p>
      <w:pPr>
        <w:pStyle w:val="BodyText"/>
        <w:ind w:left="0"/>
        <w:rPr>
          <w:sz w:val="4"/>
        </w:rPr>
      </w:pPr>
      <w:r>
        <w:rPr/>
        <w:pict>
          <v:shape style="position:absolute;margin-left:201.649994pt;margin-top:3.789183pt;width:337.25pt;height:13.7pt;mso-position-horizontal-relative:page;mso-position-vertical-relative:paragraph;z-index:-15724544;mso-wrap-distance-left:0;mso-wrap-distance-right:0" type="#_x0000_t202" id="docshape3" filled="true" fillcolor="#a6a6a6" stroked="false">
            <v:textbox inset="0,0,0,0">
              <w:txbxContent>
                <w:p>
                  <w:pPr>
                    <w:pStyle w:val="BodyText"/>
                    <w:spacing w:before="3"/>
                    <w:ind w:left="0" w:right="-15"/>
                    <w:rPr>
                      <w:color w:val="000000"/>
                    </w:rPr>
                  </w:pPr>
                  <w:r>
                    <w:rPr>
                      <w:color w:val="000000"/>
                      <w:spacing w:val="-2"/>
                    </w:rPr>
                    <w:t>发生上述第(2)、(3)、(4)、(5)、(6)、(7)</w:t>
                  </w:r>
                  <w:r>
                    <w:rPr>
                      <w:color w:val="000000"/>
                      <w:spacing w:val="-3"/>
                    </w:rPr>
                    <w:t>项规定的情形之一导致被保险</w:t>
                  </w:r>
                </w:p>
              </w:txbxContent>
            </v:textbox>
            <v:fill type="solid"/>
            <w10:wrap type="topAndBottom"/>
          </v:shape>
        </w:pict>
      </w:r>
    </w:p>
    <w:p>
      <w:pPr>
        <w:pStyle w:val="BodyText"/>
        <w:spacing w:before="12"/>
        <w:ind w:left="0"/>
        <w:rPr>
          <w:sz w:val="2"/>
        </w:rPr>
      </w:pPr>
    </w:p>
    <w:p>
      <w:pPr>
        <w:pStyle w:val="BodyText"/>
        <w:rPr>
          <w:sz w:val="20"/>
        </w:rPr>
      </w:pPr>
      <w:r>
        <w:rPr>
          <w:sz w:val="20"/>
        </w:rPr>
        <w:pict>
          <v:shape style="width:337.25pt;height:13.7pt;mso-position-horizontal-relative:char;mso-position-vertical-relative:line" type="#_x0000_t202" id="docshape4" filled="true" fillcolor="#a6a6a6" stroked="false">
            <w10:anchorlock/>
            <v:textbox inset="0,0,0,0">
              <w:txbxContent>
                <w:p>
                  <w:pPr>
                    <w:pStyle w:val="BodyText"/>
                    <w:spacing w:before="3"/>
                    <w:ind w:left="0" w:right="-15"/>
                    <w:rPr>
                      <w:color w:val="000000"/>
                    </w:rPr>
                  </w:pPr>
                  <w:r>
                    <w:rPr>
                      <w:color w:val="000000"/>
                      <w:spacing w:val="-5"/>
                    </w:rPr>
                    <w:t>人发生本合同约定的重大疾病、中症疾病、轻症疾病、特定重大疾病或符</w:t>
                  </w:r>
                </w:p>
              </w:txbxContent>
            </v:textbox>
            <v:fill type="solid"/>
          </v:shape>
        </w:pict>
      </w:r>
      <w:r>
        <w:rPr>
          <w:sz w:val="20"/>
        </w:rPr>
      </w:r>
    </w:p>
    <w:p>
      <w:pPr>
        <w:pStyle w:val="BodyText"/>
        <w:rPr>
          <w:sz w:val="20"/>
        </w:rPr>
      </w:pPr>
      <w:r>
        <w:rPr>
          <w:sz w:val="20"/>
        </w:rPr>
        <w:pict>
          <v:shape style="width:337.25pt;height:13.7pt;mso-position-horizontal-relative:char;mso-position-vertical-relative:line" type="#_x0000_t202" id="docshape5" filled="true" fillcolor="#a6a6a6" stroked="false">
            <w10:anchorlock/>
            <v:textbox inset="0,0,0,0">
              <w:txbxContent>
                <w:p>
                  <w:pPr>
                    <w:pStyle w:val="BodyText"/>
                    <w:spacing w:before="3"/>
                    <w:ind w:left="0"/>
                    <w:rPr>
                      <w:color w:val="000000"/>
                    </w:rPr>
                  </w:pPr>
                  <w:r>
                    <w:rPr>
                      <w:color w:val="000000"/>
                      <w:spacing w:val="-5"/>
                    </w:rPr>
                    <w:t>合生命末期疾病状态的，本合同终止，我们向您退还本合同的现金价值。</w:t>
                  </w:r>
                </w:p>
              </w:txbxContent>
            </v:textbox>
            <v:fill type="solid"/>
          </v:shape>
        </w:pict>
      </w:r>
      <w:r>
        <w:rPr>
          <w:sz w:val="20"/>
        </w:rPr>
      </w:r>
    </w:p>
    <w:p>
      <w:pPr>
        <w:pStyle w:val="BodyText"/>
        <w:spacing w:line="278" w:lineRule="auto" w:before="105"/>
        <w:ind w:right="684"/>
      </w:pPr>
      <w:r>
        <w:rPr>
          <w:color w:val="000000"/>
          <w:spacing w:val="-4"/>
          <w:shd w:fill="A6A6A6" w:color="auto" w:val="clear"/>
        </w:rPr>
        <w:t>2、因下列情形之一导致被保险人身故或全残的，我们不承担给付身故保险</w:t>
      </w:r>
      <w:r>
        <w:rPr>
          <w:color w:val="000000"/>
          <w:spacing w:val="80"/>
          <w:w w:val="150"/>
          <w:shd w:fill="A6A6A6" w:color="auto" w:val="clear"/>
        </w:rPr>
        <w:t>                                     </w:t>
      </w:r>
      <w:r>
        <w:rPr>
          <w:color w:val="000000"/>
          <w:spacing w:val="-2"/>
          <w:shd w:fill="A6A6A6" w:color="auto" w:val="clear"/>
        </w:rPr>
        <w:t>金和全残保险金的责任：</w:t>
      </w:r>
    </w:p>
    <w:p>
      <w:pPr>
        <w:pStyle w:val="BodyText"/>
        <w:spacing w:line="278" w:lineRule="auto"/>
        <w:ind w:right="683"/>
      </w:pPr>
      <w:r>
        <w:rPr>
          <w:color w:val="000000"/>
          <w:shd w:fill="A6A6A6" w:color="auto" w:val="clear"/>
        </w:rPr>
        <w:t>(1)</w:t>
      </w:r>
      <w:r>
        <w:rPr>
          <w:color w:val="000000"/>
          <w:spacing w:val="-8"/>
          <w:shd w:fill="A6A6A6" w:color="auto" w:val="clear"/>
        </w:rPr>
        <w:t>发生本条第 </w:t>
      </w:r>
      <w:r>
        <w:rPr>
          <w:color w:val="000000"/>
          <w:shd w:fill="A6A6A6" w:color="auto" w:val="clear"/>
        </w:rPr>
        <w:t>1</w:t>
      </w:r>
      <w:r>
        <w:rPr>
          <w:color w:val="000000"/>
          <w:spacing w:val="-14"/>
          <w:shd w:fill="A6A6A6" w:color="auto" w:val="clear"/>
        </w:rPr>
        <w:t> 款第</w:t>
      </w:r>
      <w:r>
        <w:rPr>
          <w:color w:val="000000"/>
          <w:shd w:fill="A6A6A6" w:color="auto" w:val="clear"/>
        </w:rPr>
        <w:t>(1)、(2)、(3)、(4)、(5)、(6)、(7)项规定的情形</w:t>
      </w:r>
      <w:r>
        <w:rPr>
          <w:color w:val="000000"/>
          <w:spacing w:val="-4"/>
          <w:shd w:fill="A6A6A6" w:color="auto" w:val="clear"/>
        </w:rPr>
        <w:t>之一。</w:t>
      </w:r>
    </w:p>
    <w:p>
      <w:pPr>
        <w:pStyle w:val="BodyText"/>
        <w:spacing w:line="278" w:lineRule="auto" w:before="79"/>
        <w:ind w:right="683"/>
      </w:pPr>
      <w:r>
        <w:rPr>
          <w:color w:val="000000"/>
          <w:spacing w:val="-11"/>
          <w:shd w:fill="A6A6A6" w:color="auto" w:val="clear"/>
        </w:rPr>
        <w:t>发生本条第 </w:t>
      </w:r>
      <w:r>
        <w:rPr>
          <w:color w:val="000000"/>
          <w:spacing w:val="-4"/>
          <w:shd w:fill="A6A6A6" w:color="auto" w:val="clear"/>
        </w:rPr>
        <w:t>1</w:t>
      </w:r>
      <w:r>
        <w:rPr>
          <w:color w:val="000000"/>
          <w:spacing w:val="-14"/>
          <w:shd w:fill="A6A6A6" w:color="auto" w:val="clear"/>
        </w:rPr>
        <w:t> 款第(</w:t>
      </w:r>
      <w:r>
        <w:rPr>
          <w:color w:val="000000"/>
          <w:spacing w:val="-4"/>
          <w:shd w:fill="A6A6A6" w:color="auto" w:val="clear"/>
        </w:rPr>
        <w:t>1)项情形导致被保险人身故的，本合同终止，我们向被</w:t>
      </w:r>
      <w:r>
        <w:rPr>
          <w:color w:val="000000"/>
          <w:spacing w:val="80"/>
          <w:w w:val="150"/>
          <w:shd w:fill="A6A6A6" w:color="auto" w:val="clear"/>
        </w:rPr>
        <w:t>                                     </w:t>
      </w:r>
      <w:r>
        <w:rPr>
          <w:color w:val="000000"/>
          <w:spacing w:val="-2"/>
          <w:shd w:fill="A6A6A6" w:color="auto" w:val="clear"/>
        </w:rPr>
        <w:t>保险人继承人退还本合同的现金价值。</w:t>
      </w:r>
    </w:p>
    <w:p>
      <w:pPr>
        <w:pStyle w:val="BodyText"/>
        <w:spacing w:line="278" w:lineRule="auto" w:before="77"/>
        <w:ind w:right="683"/>
      </w:pPr>
      <w:r>
        <w:rPr>
          <w:color w:val="000000"/>
          <w:spacing w:val="-11"/>
          <w:shd w:fill="A6A6A6" w:color="auto" w:val="clear"/>
        </w:rPr>
        <w:t>发生本条第 </w:t>
      </w:r>
      <w:r>
        <w:rPr>
          <w:color w:val="000000"/>
          <w:spacing w:val="-4"/>
          <w:shd w:fill="A6A6A6" w:color="auto" w:val="clear"/>
        </w:rPr>
        <w:t>1</w:t>
      </w:r>
      <w:r>
        <w:rPr>
          <w:color w:val="000000"/>
          <w:spacing w:val="-14"/>
          <w:shd w:fill="A6A6A6" w:color="auto" w:val="clear"/>
        </w:rPr>
        <w:t> 款第(</w:t>
      </w:r>
      <w:r>
        <w:rPr>
          <w:color w:val="000000"/>
          <w:spacing w:val="-4"/>
          <w:shd w:fill="A6A6A6" w:color="auto" w:val="clear"/>
        </w:rPr>
        <w:t>1)项情形导致被保险人全残的，本合同终止，我们向被</w:t>
      </w:r>
      <w:r>
        <w:rPr>
          <w:color w:val="000000"/>
          <w:spacing w:val="80"/>
          <w:w w:val="150"/>
          <w:shd w:fill="A6A6A6" w:color="auto" w:val="clear"/>
        </w:rPr>
        <w:t>                                     </w:t>
      </w:r>
      <w:r>
        <w:rPr>
          <w:color w:val="000000"/>
          <w:spacing w:val="-2"/>
          <w:shd w:fill="A6A6A6" w:color="auto" w:val="clear"/>
        </w:rPr>
        <w:t>保险人退还本合同的现金价值。</w:t>
      </w:r>
    </w:p>
    <w:p>
      <w:pPr>
        <w:pStyle w:val="BodyText"/>
        <w:ind w:left="0"/>
        <w:rPr>
          <w:sz w:val="20"/>
        </w:rPr>
      </w:pPr>
    </w:p>
    <w:p>
      <w:pPr>
        <w:pStyle w:val="BodyText"/>
        <w:spacing w:before="4"/>
        <w:ind w:left="0"/>
        <w:rPr>
          <w:sz w:val="14"/>
        </w:rPr>
      </w:pPr>
      <w:r>
        <w:rPr/>
        <w:drawing>
          <wp:anchor distT="0" distB="0" distL="0" distR="0" allowOverlap="1" layoutInCell="1" locked="0" behindDoc="0" simplePos="0" relativeHeight="11">
            <wp:simplePos x="0" y="0"/>
            <wp:positionH relativeFrom="page">
              <wp:posOffset>719327</wp:posOffset>
            </wp:positionH>
            <wp:positionV relativeFrom="paragraph">
              <wp:posOffset>131969</wp:posOffset>
            </wp:positionV>
            <wp:extent cx="1829511" cy="9144"/>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1829511" cy="9144"/>
                    </a:xfrm>
                    <a:prstGeom prst="rect">
                      <a:avLst/>
                    </a:prstGeom>
                  </pic:spPr>
                </pic:pic>
              </a:graphicData>
            </a:graphic>
          </wp:anchor>
        </w:drawing>
      </w:r>
    </w:p>
    <w:p>
      <w:pPr>
        <w:spacing w:line="312" w:lineRule="exact" w:before="38"/>
        <w:ind w:left="212" w:right="0" w:firstLine="0"/>
        <w:jc w:val="left"/>
        <w:rPr>
          <w:sz w:val="18"/>
        </w:rPr>
      </w:pPr>
      <w:r>
        <w:rPr>
          <w:rFonts w:ascii="Calibri" w:eastAsia="Calibri"/>
          <w:b/>
          <w:position w:val="5"/>
          <w:sz w:val="12"/>
        </w:rPr>
        <w:t>12</w:t>
      </w:r>
      <w:r>
        <w:rPr>
          <w:rFonts w:ascii="微软雅黑" w:eastAsia="微软雅黑"/>
          <w:b/>
          <w:sz w:val="18"/>
        </w:rPr>
        <w:t>毒品：</w:t>
      </w:r>
      <w:r>
        <w:rPr>
          <w:sz w:val="18"/>
        </w:rPr>
        <w:t>指中华人民共和国刑法规定的鸦片、海洛因、甲基苯丙胺（冰毒</w:t>
      </w:r>
      <w:r>
        <w:rPr>
          <w:spacing w:val="-92"/>
          <w:sz w:val="18"/>
        </w:rPr>
        <w:t>）</w:t>
      </w:r>
      <w:r>
        <w:rPr>
          <w:spacing w:val="-1"/>
          <w:sz w:val="18"/>
        </w:rPr>
        <w:t>、吗啡、大麻、可卡因以及国家规定管制的其他</w:t>
      </w:r>
    </w:p>
    <w:p>
      <w:pPr>
        <w:spacing w:line="183" w:lineRule="exact" w:before="0"/>
        <w:ind w:left="212" w:right="0" w:firstLine="0"/>
        <w:jc w:val="left"/>
        <w:rPr>
          <w:sz w:val="18"/>
        </w:rPr>
      </w:pPr>
      <w:r>
        <w:rPr>
          <w:spacing w:val="-1"/>
          <w:sz w:val="18"/>
        </w:rPr>
        <w:t>能够使人形成瘾癖的麻醉药品和精神药品，但不包括由医生开具并遵医嘱使用的用于治疗疾病但含有毒品成分的处方药品。</w:t>
      </w:r>
    </w:p>
    <w:p>
      <w:pPr>
        <w:spacing w:line="283" w:lineRule="exact" w:before="0"/>
        <w:ind w:left="212" w:right="0" w:firstLine="0"/>
        <w:jc w:val="left"/>
        <w:rPr>
          <w:sz w:val="18"/>
        </w:rPr>
      </w:pPr>
      <w:r>
        <w:rPr>
          <w:rFonts w:ascii="Calibri" w:eastAsia="Calibri"/>
          <w:b/>
          <w:spacing w:val="-2"/>
          <w:position w:val="5"/>
          <w:sz w:val="12"/>
        </w:rPr>
        <w:t>13</w:t>
      </w:r>
      <w:r>
        <w:rPr>
          <w:rFonts w:ascii="微软雅黑" w:eastAsia="微软雅黑"/>
          <w:b/>
          <w:spacing w:val="-2"/>
          <w:sz w:val="18"/>
        </w:rPr>
        <w:t>酒后驾驶：</w:t>
      </w:r>
      <w:r>
        <w:rPr>
          <w:spacing w:val="-3"/>
          <w:sz w:val="18"/>
        </w:rPr>
        <w:t>指经检测或鉴定，发生事故时车辆驾驶人员每百毫升血液中的酒精含量达到或超过一定的标准，公安机关交通</w:t>
      </w:r>
    </w:p>
    <w:p>
      <w:pPr>
        <w:spacing w:line="182" w:lineRule="exact" w:before="0"/>
        <w:ind w:left="212" w:right="0" w:firstLine="0"/>
        <w:jc w:val="left"/>
        <w:rPr>
          <w:sz w:val="18"/>
        </w:rPr>
      </w:pPr>
      <w:r>
        <w:rPr>
          <w:spacing w:val="-1"/>
          <w:sz w:val="18"/>
        </w:rPr>
        <w:t>管理部门依据《道路交通安全法》的规定认定为饮酒后驾驶或醉酒后驾驶。</w:t>
      </w:r>
    </w:p>
    <w:p>
      <w:pPr>
        <w:spacing w:line="285" w:lineRule="exact" w:before="0"/>
        <w:ind w:left="212" w:right="0" w:firstLine="0"/>
        <w:jc w:val="left"/>
        <w:rPr>
          <w:sz w:val="18"/>
        </w:rPr>
      </w:pPr>
      <w:r>
        <w:rPr>
          <w:rFonts w:ascii="Calibri" w:eastAsia="Calibri"/>
          <w:b/>
          <w:position w:val="5"/>
          <w:sz w:val="12"/>
        </w:rPr>
        <w:t>14</w:t>
      </w:r>
      <w:r>
        <w:rPr>
          <w:rFonts w:ascii="微软雅黑" w:eastAsia="微软雅黑"/>
          <w:b/>
          <w:sz w:val="18"/>
        </w:rPr>
        <w:t>无合法有效驾驶证驾驶：</w:t>
      </w:r>
      <w:r>
        <w:rPr>
          <w:spacing w:val="-2"/>
          <w:sz w:val="18"/>
        </w:rPr>
        <w:t>指下列情形之一：</w:t>
      </w:r>
    </w:p>
    <w:p>
      <w:pPr>
        <w:pStyle w:val="ListParagraph"/>
        <w:numPr>
          <w:ilvl w:val="0"/>
          <w:numId w:val="16"/>
        </w:numPr>
        <w:tabs>
          <w:tab w:pos="487" w:val="left" w:leader="none"/>
        </w:tabs>
        <w:spacing w:line="211" w:lineRule="exact" w:before="0" w:after="0"/>
        <w:ind w:left="486" w:right="0" w:hanging="275"/>
        <w:jc w:val="left"/>
        <w:rPr>
          <w:sz w:val="18"/>
        </w:rPr>
      </w:pPr>
      <w:r>
        <w:rPr>
          <w:spacing w:val="-2"/>
          <w:sz w:val="18"/>
        </w:rPr>
        <w:t>没有取得驾驶资格；</w:t>
      </w:r>
    </w:p>
    <w:p>
      <w:pPr>
        <w:pStyle w:val="ListParagraph"/>
        <w:numPr>
          <w:ilvl w:val="0"/>
          <w:numId w:val="16"/>
        </w:numPr>
        <w:tabs>
          <w:tab w:pos="487" w:val="left" w:leader="none"/>
        </w:tabs>
        <w:spacing w:line="242" w:lineRule="auto" w:before="2" w:after="0"/>
        <w:ind w:left="212" w:right="6819" w:firstLine="0"/>
        <w:jc w:val="left"/>
        <w:rPr>
          <w:sz w:val="18"/>
        </w:rPr>
      </w:pPr>
      <w:r>
        <w:rPr>
          <w:spacing w:val="-2"/>
          <w:sz w:val="18"/>
        </w:rPr>
        <w:t>驾驶与驾驶证准驾车型不相符合的车辆；</w:t>
      </w:r>
      <w:r>
        <w:rPr>
          <w:spacing w:val="-2"/>
          <w:sz w:val="18"/>
        </w:rPr>
        <w:t> (3)持审验不合格的驾驶证驾驶；</w:t>
      </w:r>
    </w:p>
    <w:p>
      <w:pPr>
        <w:spacing w:line="203" w:lineRule="exact" w:before="2"/>
        <w:ind w:left="212" w:right="0" w:firstLine="0"/>
        <w:jc w:val="left"/>
        <w:rPr>
          <w:sz w:val="18"/>
        </w:rPr>
      </w:pPr>
      <w:r>
        <w:rPr>
          <w:sz w:val="18"/>
        </w:rPr>
        <w:t>(4)</w:t>
      </w:r>
      <w:r>
        <w:rPr>
          <w:spacing w:val="-1"/>
          <w:sz w:val="18"/>
        </w:rPr>
        <w:t>持学习驾驶证件学习驾车时，无教练员随车指导，或不按指定时间、路线学习驾车。</w:t>
      </w:r>
    </w:p>
    <w:p>
      <w:pPr>
        <w:spacing w:line="284" w:lineRule="exact" w:before="0"/>
        <w:ind w:left="212" w:right="0" w:firstLine="0"/>
        <w:jc w:val="left"/>
        <w:rPr>
          <w:sz w:val="18"/>
        </w:rPr>
      </w:pPr>
      <w:r>
        <w:rPr>
          <w:rFonts w:ascii="Calibri" w:eastAsia="Calibri"/>
          <w:b/>
          <w:position w:val="5"/>
          <w:sz w:val="12"/>
        </w:rPr>
        <w:t>15</w:t>
      </w:r>
      <w:r>
        <w:rPr>
          <w:rFonts w:ascii="微软雅黑" w:eastAsia="微软雅黑"/>
          <w:b/>
          <w:sz w:val="18"/>
        </w:rPr>
        <w:t>无合法有效行驶证：</w:t>
      </w:r>
      <w:r>
        <w:rPr>
          <w:spacing w:val="-2"/>
          <w:sz w:val="18"/>
        </w:rPr>
        <w:t>指下列情形之一：</w:t>
      </w:r>
    </w:p>
    <w:p>
      <w:pPr>
        <w:pStyle w:val="ListParagraph"/>
        <w:numPr>
          <w:ilvl w:val="0"/>
          <w:numId w:val="17"/>
        </w:numPr>
        <w:tabs>
          <w:tab w:pos="487" w:val="left" w:leader="none"/>
        </w:tabs>
        <w:spacing w:line="210" w:lineRule="exact" w:before="0" w:after="0"/>
        <w:ind w:left="486" w:right="0" w:hanging="275"/>
        <w:jc w:val="left"/>
        <w:rPr>
          <w:sz w:val="18"/>
        </w:rPr>
      </w:pPr>
      <w:r>
        <w:rPr>
          <w:spacing w:val="-1"/>
          <w:sz w:val="18"/>
        </w:rPr>
        <w:t>未取得行驶证或临时号牌；</w:t>
      </w:r>
    </w:p>
    <w:p>
      <w:pPr>
        <w:pStyle w:val="ListParagraph"/>
        <w:numPr>
          <w:ilvl w:val="0"/>
          <w:numId w:val="17"/>
        </w:numPr>
        <w:tabs>
          <w:tab w:pos="487" w:val="left" w:leader="none"/>
        </w:tabs>
        <w:spacing w:line="240" w:lineRule="auto" w:before="3" w:after="0"/>
        <w:ind w:left="486" w:right="0" w:hanging="275"/>
        <w:jc w:val="left"/>
        <w:rPr>
          <w:sz w:val="18"/>
        </w:rPr>
      </w:pPr>
      <w:r>
        <w:rPr>
          <w:spacing w:val="-1"/>
          <w:sz w:val="18"/>
        </w:rPr>
        <w:t>机动车被依法注销登记的；</w:t>
      </w:r>
    </w:p>
    <w:p>
      <w:pPr>
        <w:pStyle w:val="ListParagraph"/>
        <w:numPr>
          <w:ilvl w:val="0"/>
          <w:numId w:val="17"/>
        </w:numPr>
        <w:tabs>
          <w:tab w:pos="487" w:val="left" w:leader="none"/>
        </w:tabs>
        <w:spacing w:line="203" w:lineRule="exact" w:before="4" w:after="0"/>
        <w:ind w:left="486" w:right="0" w:hanging="275"/>
        <w:jc w:val="left"/>
        <w:rPr>
          <w:sz w:val="18"/>
        </w:rPr>
      </w:pPr>
      <w:r>
        <w:rPr>
          <w:spacing w:val="-3"/>
          <w:sz w:val="18"/>
        </w:rPr>
        <w:t>未依法按时进行或通过机动车安全技术检验。</w:t>
      </w:r>
    </w:p>
    <w:p>
      <w:pPr>
        <w:spacing w:line="204" w:lineRule="auto" w:before="8"/>
        <w:ind w:left="212" w:right="706" w:firstLine="0"/>
        <w:jc w:val="left"/>
        <w:rPr>
          <w:sz w:val="18"/>
        </w:rPr>
      </w:pPr>
      <w:r>
        <w:rPr>
          <w:rFonts w:ascii="Calibri" w:eastAsia="Calibri"/>
          <w:b/>
          <w:position w:val="5"/>
          <w:sz w:val="12"/>
        </w:rPr>
        <w:t>16</w:t>
      </w:r>
      <w:r>
        <w:rPr>
          <w:rFonts w:ascii="微软雅黑" w:eastAsia="微软雅黑"/>
          <w:b/>
          <w:sz w:val="18"/>
        </w:rPr>
        <w:t>感染艾滋病病毒或患艾滋病：</w:t>
      </w:r>
      <w:r>
        <w:rPr>
          <w:spacing w:val="-3"/>
          <w:sz w:val="18"/>
        </w:rPr>
        <w:t>艾滋病病毒指人类免疫缺陷病毒，英文缩写为 </w:t>
      </w:r>
      <w:r>
        <w:rPr>
          <w:sz w:val="18"/>
        </w:rPr>
        <w:t>HIV。艾滋病指人类免疫缺陷病毒引起的获得</w:t>
      </w:r>
      <w:r>
        <w:rPr>
          <w:spacing w:val="-3"/>
          <w:sz w:val="18"/>
        </w:rPr>
        <w:t>性免疫缺陷综合征，英文缩写为 </w:t>
      </w:r>
      <w:r>
        <w:rPr>
          <w:sz w:val="18"/>
        </w:rPr>
        <w:t>AIDS。</w:t>
      </w:r>
    </w:p>
    <w:p>
      <w:pPr>
        <w:spacing w:line="244" w:lineRule="auto" w:before="10"/>
        <w:ind w:left="212" w:right="693" w:firstLine="0"/>
        <w:jc w:val="left"/>
        <w:rPr>
          <w:sz w:val="18"/>
        </w:rPr>
      </w:pPr>
      <w:r>
        <w:rPr>
          <w:spacing w:val="-2"/>
          <w:sz w:val="18"/>
        </w:rPr>
        <w:t>在人体血液或其他样本中检测到艾滋病病毒或其抗体呈阳性，没有出现临床症状或体征的，为感染艾滋病病毒；如果同时出</w:t>
      </w:r>
      <w:r>
        <w:rPr>
          <w:spacing w:val="-2"/>
          <w:sz w:val="18"/>
        </w:rPr>
        <w:t>现了明显临床症状或体征的，为患艾滋病。</w:t>
      </w:r>
    </w:p>
    <w:p>
      <w:pPr>
        <w:spacing w:line="251" w:lineRule="exact" w:before="0"/>
        <w:ind w:left="212" w:right="0" w:firstLine="0"/>
        <w:jc w:val="left"/>
        <w:rPr>
          <w:sz w:val="18"/>
        </w:rPr>
      </w:pPr>
      <w:r>
        <w:rPr>
          <w:rFonts w:ascii="Calibri" w:eastAsia="Calibri"/>
          <w:b/>
          <w:spacing w:val="-2"/>
          <w:position w:val="5"/>
          <w:sz w:val="12"/>
        </w:rPr>
        <w:t>17</w:t>
      </w:r>
      <w:r>
        <w:rPr>
          <w:rFonts w:ascii="微软雅黑" w:eastAsia="微软雅黑"/>
          <w:b/>
          <w:spacing w:val="-2"/>
          <w:sz w:val="18"/>
        </w:rPr>
        <w:t>遗传性疾病：</w:t>
      </w:r>
      <w:r>
        <w:rPr>
          <w:spacing w:val="-2"/>
          <w:sz w:val="18"/>
        </w:rPr>
        <w:t>指生殖细胞或受精卵的遗传物质（染色体和基因）</w:t>
      </w:r>
      <w:r>
        <w:rPr>
          <w:spacing w:val="-3"/>
          <w:sz w:val="18"/>
        </w:rPr>
        <w:t>发生突变或畸变所引起的疾病，通常具有由亲代传至后代</w:t>
      </w:r>
    </w:p>
    <w:p>
      <w:pPr>
        <w:spacing w:line="182" w:lineRule="exact" w:before="0"/>
        <w:ind w:left="212" w:right="0" w:firstLine="0"/>
        <w:jc w:val="left"/>
        <w:rPr>
          <w:sz w:val="18"/>
        </w:rPr>
      </w:pPr>
      <w:r>
        <w:rPr>
          <w:spacing w:val="-2"/>
          <w:sz w:val="18"/>
        </w:rPr>
        <w:t>的垂直传递的特征。</w:t>
      </w:r>
    </w:p>
    <w:p>
      <w:pPr>
        <w:spacing w:line="285" w:lineRule="exact" w:before="0"/>
        <w:ind w:left="212" w:right="0" w:firstLine="0"/>
        <w:jc w:val="left"/>
        <w:rPr>
          <w:sz w:val="18"/>
        </w:rPr>
      </w:pPr>
      <w:r>
        <w:rPr>
          <w:rFonts w:ascii="Calibri" w:eastAsia="Calibri"/>
          <w:b/>
          <w:spacing w:val="-2"/>
          <w:position w:val="5"/>
          <w:sz w:val="12"/>
        </w:rPr>
        <w:t>18</w:t>
      </w:r>
      <w:r>
        <w:rPr>
          <w:rFonts w:ascii="微软雅黑" w:eastAsia="微软雅黑"/>
          <w:b/>
          <w:spacing w:val="-2"/>
          <w:sz w:val="18"/>
        </w:rPr>
        <w:t>先天性畸形、变形或染色体异常：</w:t>
      </w:r>
      <w:r>
        <w:rPr>
          <w:spacing w:val="-3"/>
          <w:sz w:val="18"/>
        </w:rPr>
        <w:t>指被保险人出生时就具有的畸形、变形或染色体异常。先天性畸形、变形和染色体异常</w:t>
      </w:r>
    </w:p>
    <w:p>
      <w:pPr>
        <w:spacing w:line="211" w:lineRule="exact" w:before="0"/>
        <w:ind w:left="212" w:right="0" w:firstLine="0"/>
        <w:jc w:val="left"/>
        <w:rPr>
          <w:sz w:val="18"/>
        </w:rPr>
      </w:pPr>
      <w:r>
        <w:rPr>
          <w:spacing w:val="-4"/>
          <w:sz w:val="18"/>
        </w:rPr>
        <w:t>依照世界卫生组织《疾病和有关健康问题的国际统计分类》</w:t>
      </w:r>
      <w:r>
        <w:rPr>
          <w:sz w:val="18"/>
        </w:rPr>
        <w:t>（ICD-10）</w:t>
      </w:r>
      <w:r>
        <w:rPr>
          <w:spacing w:val="-4"/>
          <w:sz w:val="18"/>
        </w:rPr>
        <w:t>确定。</w:t>
      </w:r>
    </w:p>
    <w:p>
      <w:pPr>
        <w:spacing w:after="0" w:line="211" w:lineRule="exact"/>
        <w:jc w:val="left"/>
        <w:rPr>
          <w:sz w:val="18"/>
        </w:rPr>
        <w:sectPr>
          <w:pgSz w:w="11910" w:h="16840"/>
          <w:pgMar w:top="1340" w:bottom="280" w:left="920" w:right="440"/>
        </w:sect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1"/>
        <w:gridCol w:w="2157"/>
        <w:gridCol w:w="6853"/>
      </w:tblGrid>
      <w:tr>
        <w:trPr>
          <w:trHeight w:val="585" w:hRule="atLeast"/>
        </w:trPr>
        <w:tc>
          <w:tcPr>
            <w:tcW w:w="3008" w:type="dxa"/>
            <w:gridSpan w:val="2"/>
          </w:tcPr>
          <w:p>
            <w:pPr>
              <w:pStyle w:val="TableParagraph"/>
              <w:rPr>
                <w:rFonts w:ascii="Times New Roman"/>
                <w:sz w:val="20"/>
              </w:rPr>
            </w:pPr>
          </w:p>
        </w:tc>
        <w:tc>
          <w:tcPr>
            <w:tcW w:w="6853" w:type="dxa"/>
          </w:tcPr>
          <w:p>
            <w:pPr>
              <w:pStyle w:val="TableParagraph"/>
              <w:spacing w:before="3"/>
              <w:rPr>
                <w:sz w:val="21"/>
              </w:rPr>
            </w:pPr>
            <w:r>
              <w:rPr>
                <w:spacing w:val="-6"/>
                <w:sz w:val="21"/>
              </w:rPr>
              <w:t>发生本条第 </w:t>
            </w:r>
            <w:r>
              <w:rPr>
                <w:spacing w:val="-2"/>
                <w:sz w:val="21"/>
              </w:rPr>
              <w:t>1</w:t>
            </w:r>
            <w:r>
              <w:rPr>
                <w:spacing w:val="-8"/>
                <w:sz w:val="21"/>
              </w:rPr>
              <w:t> 款第(</w:t>
            </w:r>
            <w:r>
              <w:rPr>
                <w:spacing w:val="-2"/>
                <w:sz w:val="21"/>
              </w:rPr>
              <w:t>2)、(3)、(4)、(5)、(6)、(7</w:t>
            </w:r>
            <w:r>
              <w:rPr>
                <w:spacing w:val="-3"/>
                <w:sz w:val="21"/>
              </w:rPr>
              <w:t>)项规定的情形之一导致</w:t>
            </w:r>
          </w:p>
          <w:p>
            <w:pPr>
              <w:pStyle w:val="TableParagraph"/>
              <w:spacing w:line="250" w:lineRule="exact" w:before="44"/>
              <w:rPr>
                <w:sz w:val="21"/>
              </w:rPr>
            </w:pPr>
            <w:r>
              <w:rPr>
                <w:spacing w:val="-3"/>
                <w:sz w:val="21"/>
              </w:rPr>
              <w:t>被保险人身故或全残的，本合同终止，我们向您退还本合同的现金价值。</w:t>
            </w:r>
          </w:p>
        </w:tc>
      </w:tr>
      <w:tr>
        <w:trPr>
          <w:trHeight w:val="2416" w:hRule="atLeast"/>
        </w:trPr>
        <w:tc>
          <w:tcPr>
            <w:tcW w:w="851" w:type="dxa"/>
          </w:tcPr>
          <w:p>
            <w:pPr>
              <w:pStyle w:val="TableParagraph"/>
              <w:spacing w:before="116"/>
              <w:ind w:left="107"/>
              <w:rPr>
                <w:rFonts w:ascii="微软雅黑"/>
                <w:b/>
                <w:sz w:val="21"/>
              </w:rPr>
            </w:pPr>
            <w:r>
              <w:rPr>
                <w:rFonts w:ascii="微软雅黑"/>
                <w:b/>
                <w:spacing w:val="-5"/>
                <w:sz w:val="21"/>
              </w:rPr>
              <w:t>2.7</w:t>
            </w:r>
          </w:p>
        </w:tc>
        <w:tc>
          <w:tcPr>
            <w:tcW w:w="2157" w:type="dxa"/>
          </w:tcPr>
          <w:p>
            <w:pPr>
              <w:pStyle w:val="TableParagraph"/>
              <w:spacing w:before="116"/>
              <w:ind w:left="426"/>
              <w:rPr>
                <w:rFonts w:ascii="微软雅黑" w:eastAsia="微软雅黑"/>
                <w:b/>
                <w:sz w:val="21"/>
              </w:rPr>
            </w:pPr>
            <w:r>
              <w:rPr>
                <w:rFonts w:ascii="微软雅黑" w:eastAsia="微软雅黑"/>
                <w:b/>
                <w:spacing w:val="-2"/>
                <w:sz w:val="21"/>
              </w:rPr>
              <w:t>其他责任免除</w:t>
            </w:r>
          </w:p>
        </w:tc>
        <w:tc>
          <w:tcPr>
            <w:tcW w:w="6853" w:type="dxa"/>
          </w:tcPr>
          <w:p>
            <w:pPr>
              <w:pStyle w:val="TableParagraph"/>
              <w:spacing w:before="4"/>
              <w:rPr>
                <w:sz w:val="14"/>
              </w:rPr>
            </w:pPr>
          </w:p>
          <w:p>
            <w:pPr>
              <w:pStyle w:val="TableParagraph"/>
              <w:spacing w:line="278" w:lineRule="auto"/>
              <w:ind w:right="-15"/>
              <w:rPr>
                <w:sz w:val="21"/>
              </w:rPr>
            </w:pPr>
            <w:r>
              <w:rPr>
                <w:sz w:val="21"/>
              </w:rPr>
              <w:t>除“2.6 责任免除”外，本合同还有一些条款中有免除我们责任的内容，详见“1.5</w:t>
            </w:r>
            <w:r>
              <w:rPr>
                <w:spacing w:val="-5"/>
                <w:sz w:val="21"/>
              </w:rPr>
              <w:t> 犹豫期”、“</w:t>
            </w:r>
            <w:r>
              <w:rPr>
                <w:sz w:val="21"/>
              </w:rPr>
              <w:t>2.4</w:t>
            </w:r>
            <w:r>
              <w:rPr>
                <w:spacing w:val="-36"/>
                <w:sz w:val="21"/>
              </w:rPr>
              <w:t> 等待期”、“</w:t>
            </w:r>
            <w:r>
              <w:rPr>
                <w:sz w:val="21"/>
              </w:rPr>
              <w:t>2.5</w:t>
            </w:r>
            <w:r>
              <w:rPr>
                <w:spacing w:val="-31"/>
                <w:sz w:val="21"/>
              </w:rPr>
              <w:t> 保险责任”、“</w:t>
            </w:r>
            <w:r>
              <w:rPr>
                <w:sz w:val="21"/>
              </w:rPr>
              <w:t>3.2</w:t>
            </w:r>
            <w:r>
              <w:rPr>
                <w:spacing w:val="-5"/>
                <w:sz w:val="21"/>
              </w:rPr>
              <w:t> 保险事故通</w:t>
            </w:r>
            <w:r>
              <w:rPr>
                <w:spacing w:val="-36"/>
                <w:sz w:val="21"/>
              </w:rPr>
              <w:t>知”、</w:t>
            </w:r>
            <w:r>
              <w:rPr>
                <w:sz w:val="21"/>
              </w:rPr>
              <w:t>“5.1</w:t>
            </w:r>
            <w:r>
              <w:rPr>
                <w:spacing w:val="-25"/>
                <w:sz w:val="21"/>
              </w:rPr>
              <w:t> 现金价值”、</w:t>
            </w:r>
            <w:r>
              <w:rPr>
                <w:sz w:val="21"/>
              </w:rPr>
              <w:t>“6.1</w:t>
            </w:r>
            <w:r>
              <w:rPr>
                <w:spacing w:val="-26"/>
                <w:sz w:val="21"/>
              </w:rPr>
              <w:t> 效力中止”、</w:t>
            </w:r>
            <w:r>
              <w:rPr>
                <w:sz w:val="21"/>
              </w:rPr>
              <w:t>“8.1</w:t>
            </w:r>
            <w:r>
              <w:rPr>
                <w:spacing w:val="-9"/>
                <w:sz w:val="21"/>
              </w:rPr>
              <w:t> 明确说明与如实告知”、</w:t>
            </w:r>
            <w:r>
              <w:rPr>
                <w:sz w:val="21"/>
              </w:rPr>
              <w:t> “9.1</w:t>
            </w:r>
            <w:r>
              <w:rPr>
                <w:spacing w:val="-6"/>
                <w:sz w:val="21"/>
              </w:rPr>
              <w:t> 年龄性别错误”、“</w:t>
            </w:r>
            <w:r>
              <w:rPr>
                <w:sz w:val="21"/>
              </w:rPr>
              <w:t>10.1</w:t>
            </w:r>
            <w:r>
              <w:rPr>
                <w:spacing w:val="-6"/>
                <w:sz w:val="21"/>
              </w:rPr>
              <w:t> 重大疾病的定义”、</w:t>
            </w:r>
            <w:r>
              <w:rPr>
                <w:sz w:val="21"/>
              </w:rPr>
              <w:t>“11.1</w:t>
            </w:r>
            <w:r>
              <w:rPr>
                <w:spacing w:val="-6"/>
                <w:sz w:val="21"/>
              </w:rPr>
              <w:t> 中症疾病的定</w:t>
            </w:r>
            <w:r>
              <w:rPr>
                <w:sz w:val="21"/>
              </w:rPr>
              <w:t>义”、“12.1</w:t>
            </w:r>
            <w:r>
              <w:rPr>
                <w:spacing w:val="-8"/>
                <w:sz w:val="21"/>
              </w:rPr>
              <w:t> 轻症疾病的定义”、</w:t>
            </w:r>
            <w:r>
              <w:rPr>
                <w:sz w:val="21"/>
              </w:rPr>
              <w:t>“13.1</w:t>
            </w:r>
            <w:r>
              <w:rPr>
                <w:spacing w:val="-8"/>
                <w:sz w:val="21"/>
              </w:rPr>
              <w:t> 特定重大疾病的定义”、“脚注</w:t>
            </w:r>
            <w:r>
              <w:rPr>
                <w:sz w:val="21"/>
              </w:rPr>
              <w:t> 6</w:t>
            </w:r>
            <w:r>
              <w:rPr>
                <w:spacing w:val="-7"/>
                <w:sz w:val="21"/>
              </w:rPr>
              <w:t> 约定医院”、“脚注 </w:t>
            </w:r>
            <w:r>
              <w:rPr>
                <w:sz w:val="21"/>
              </w:rPr>
              <w:t>8</w:t>
            </w:r>
            <w:r>
              <w:rPr>
                <w:spacing w:val="-7"/>
                <w:sz w:val="21"/>
              </w:rPr>
              <w:t> 意外伤害”、“脚注 </w:t>
            </w:r>
            <w:r>
              <w:rPr>
                <w:sz w:val="21"/>
              </w:rPr>
              <w:t>22</w:t>
            </w:r>
            <w:r>
              <w:rPr>
                <w:spacing w:val="-14"/>
                <w:sz w:val="21"/>
              </w:rPr>
              <w:t> 组织病理学检查”、“脚</w:t>
            </w:r>
          </w:p>
          <w:p>
            <w:pPr>
              <w:pStyle w:val="TableParagraph"/>
              <w:spacing w:line="268" w:lineRule="exact"/>
              <w:ind w:right="-15"/>
              <w:rPr>
                <w:sz w:val="21"/>
              </w:rPr>
            </w:pPr>
            <w:r>
              <w:rPr>
                <w:spacing w:val="-24"/>
                <w:sz w:val="21"/>
              </w:rPr>
              <w:t>注 </w:t>
            </w:r>
            <w:r>
              <w:rPr>
                <w:spacing w:val="-4"/>
                <w:sz w:val="21"/>
              </w:rPr>
              <w:t>27</w:t>
            </w:r>
            <w:r>
              <w:rPr>
                <w:spacing w:val="-19"/>
                <w:sz w:val="21"/>
              </w:rPr>
              <w:t> 六项基本日常生活活动”</w:t>
            </w:r>
            <w:r>
              <w:rPr>
                <w:spacing w:val="-41"/>
                <w:sz w:val="21"/>
              </w:rPr>
              <w:t>、“脚注 </w:t>
            </w:r>
            <w:r>
              <w:rPr>
                <w:spacing w:val="-4"/>
                <w:sz w:val="21"/>
              </w:rPr>
              <w:t>30</w:t>
            </w:r>
            <w:r>
              <w:rPr>
                <w:spacing w:val="-10"/>
                <w:sz w:val="21"/>
              </w:rPr>
              <w:t> 白血病”中背景突出显示的内容。</w:t>
            </w:r>
          </w:p>
        </w:tc>
      </w:tr>
      <w:tr>
        <w:trPr>
          <w:trHeight w:val="381" w:hRule="atLeast"/>
        </w:trPr>
        <w:tc>
          <w:tcPr>
            <w:tcW w:w="851" w:type="dxa"/>
            <w:tcBorders>
              <w:bottom w:val="single" w:sz="12" w:space="0" w:color="000000"/>
            </w:tcBorders>
          </w:tcPr>
          <w:p>
            <w:pPr>
              <w:pStyle w:val="TableParagraph"/>
              <w:spacing w:line="338" w:lineRule="exact" w:before="23"/>
              <w:ind w:left="107"/>
              <w:rPr>
                <w:rFonts w:ascii="Microsoft JhengHei" w:eastAsia="Microsoft JhengHei"/>
                <w:b/>
                <w:sz w:val="21"/>
              </w:rPr>
            </w:pPr>
            <w:r>
              <w:rPr>
                <w:rFonts w:ascii="Microsoft JhengHei" w:eastAsia="Microsoft JhengHei"/>
                <w:b/>
                <w:spacing w:val="-5"/>
                <w:sz w:val="21"/>
              </w:rPr>
              <w:t>3．</w:t>
            </w:r>
          </w:p>
        </w:tc>
        <w:tc>
          <w:tcPr>
            <w:tcW w:w="2157" w:type="dxa"/>
            <w:tcBorders>
              <w:bottom w:val="single" w:sz="12" w:space="0" w:color="000000"/>
            </w:tcBorders>
          </w:tcPr>
          <w:p>
            <w:pPr>
              <w:pStyle w:val="TableParagraph"/>
              <w:spacing w:line="338" w:lineRule="exact" w:before="23"/>
              <w:ind w:left="426"/>
              <w:rPr>
                <w:rFonts w:ascii="Microsoft JhengHei" w:eastAsia="Microsoft JhengHei"/>
                <w:b/>
                <w:sz w:val="21"/>
              </w:rPr>
            </w:pPr>
            <w:r>
              <w:rPr>
                <w:rFonts w:ascii="Microsoft JhengHei" w:eastAsia="Microsoft JhengHei"/>
                <w:b/>
                <w:spacing w:val="-2"/>
                <w:sz w:val="21"/>
              </w:rPr>
              <w:t>保险金的申请</w:t>
            </w:r>
          </w:p>
        </w:tc>
        <w:tc>
          <w:tcPr>
            <w:tcW w:w="6853" w:type="dxa"/>
            <w:tcBorders>
              <w:bottom w:val="single" w:sz="12" w:space="0" w:color="000000"/>
            </w:tcBorders>
          </w:tcPr>
          <w:p>
            <w:pPr>
              <w:pStyle w:val="TableParagraph"/>
              <w:rPr>
                <w:rFonts w:ascii="Times New Roman"/>
                <w:sz w:val="20"/>
              </w:rPr>
            </w:pPr>
          </w:p>
        </w:tc>
      </w:tr>
      <w:tr>
        <w:trPr>
          <w:trHeight w:val="465" w:hRule="atLeast"/>
        </w:trPr>
        <w:tc>
          <w:tcPr>
            <w:tcW w:w="851" w:type="dxa"/>
            <w:tcBorders>
              <w:top w:val="single" w:sz="12" w:space="0" w:color="000000"/>
            </w:tcBorders>
          </w:tcPr>
          <w:p>
            <w:pPr>
              <w:pStyle w:val="TableParagraph"/>
              <w:spacing w:line="377" w:lineRule="exact" w:before="68"/>
              <w:ind w:left="107"/>
              <w:rPr>
                <w:rFonts w:ascii="微软雅黑"/>
                <w:b/>
                <w:sz w:val="21"/>
              </w:rPr>
            </w:pPr>
            <w:r>
              <w:rPr>
                <w:rFonts w:ascii="微软雅黑"/>
                <w:b/>
                <w:spacing w:val="-5"/>
                <w:sz w:val="21"/>
              </w:rPr>
              <w:t>3.1</w:t>
            </w:r>
          </w:p>
        </w:tc>
        <w:tc>
          <w:tcPr>
            <w:tcW w:w="2157" w:type="dxa"/>
            <w:tcBorders>
              <w:top w:val="single" w:sz="12" w:space="0" w:color="000000"/>
            </w:tcBorders>
          </w:tcPr>
          <w:p>
            <w:pPr>
              <w:pStyle w:val="TableParagraph"/>
              <w:spacing w:line="377" w:lineRule="exact" w:before="68"/>
              <w:ind w:left="426"/>
              <w:rPr>
                <w:rFonts w:ascii="微软雅黑" w:eastAsia="微软雅黑"/>
                <w:b/>
                <w:sz w:val="21"/>
              </w:rPr>
            </w:pPr>
            <w:r>
              <w:rPr>
                <w:rFonts w:ascii="微软雅黑" w:eastAsia="微软雅黑"/>
                <w:b/>
                <w:spacing w:val="-4"/>
                <w:sz w:val="21"/>
              </w:rPr>
              <w:t>受益人</w:t>
            </w:r>
          </w:p>
        </w:tc>
        <w:tc>
          <w:tcPr>
            <w:tcW w:w="6853" w:type="dxa"/>
            <w:tcBorders>
              <w:top w:val="single" w:sz="12" w:space="0" w:color="000000"/>
            </w:tcBorders>
          </w:tcPr>
          <w:p>
            <w:pPr>
              <w:pStyle w:val="TableParagraph"/>
              <w:spacing w:before="135"/>
              <w:rPr>
                <w:sz w:val="21"/>
              </w:rPr>
            </w:pPr>
            <w:r>
              <w:rPr>
                <w:spacing w:val="-3"/>
                <w:sz w:val="21"/>
              </w:rPr>
              <w:t>您或者被保险人可以指定一人或多人为身故保险金受益人。</w:t>
            </w:r>
          </w:p>
        </w:tc>
      </w:tr>
      <w:tr>
        <w:trPr>
          <w:trHeight w:val="702"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310" w:lineRule="atLeast" w:before="21"/>
              <w:ind w:right="104"/>
              <w:rPr>
                <w:sz w:val="21"/>
              </w:rPr>
            </w:pPr>
            <w:r>
              <w:rPr>
                <w:spacing w:val="-2"/>
                <w:sz w:val="21"/>
              </w:rPr>
              <w:t>身故保险金受益人为多人时，可以确定受益顺序和受益份额；如果没有确</w:t>
            </w:r>
            <w:r>
              <w:rPr>
                <w:spacing w:val="-2"/>
                <w:sz w:val="21"/>
              </w:rPr>
              <w:t>定份额，各受益人按照相等份额享有受益权。</w:t>
            </w:r>
          </w:p>
        </w:tc>
      </w:tr>
      <w:tr>
        <w:trPr>
          <w:trHeight w:val="702"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310" w:lineRule="atLeast" w:before="19"/>
              <w:ind w:right="104"/>
              <w:rPr>
                <w:sz w:val="21"/>
              </w:rPr>
            </w:pPr>
            <w:r>
              <w:rPr>
                <w:spacing w:val="-2"/>
                <w:sz w:val="21"/>
              </w:rPr>
              <w:t>被保险人为无民事行为能力人或限制民事行为能力人的，可以由其监护人</w:t>
            </w:r>
            <w:r>
              <w:rPr>
                <w:spacing w:val="-2"/>
                <w:sz w:val="21"/>
              </w:rPr>
              <w:t>指定受益人。</w:t>
            </w:r>
          </w:p>
        </w:tc>
      </w:tr>
      <w:tr>
        <w:trPr>
          <w:trHeight w:val="1013"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310" w:lineRule="atLeast" w:before="20"/>
              <w:ind w:right="104"/>
              <w:jc w:val="both"/>
              <w:rPr>
                <w:sz w:val="21"/>
              </w:rPr>
            </w:pPr>
            <w:r>
              <w:rPr>
                <w:spacing w:val="-2"/>
                <w:sz w:val="21"/>
              </w:rPr>
              <w:t>您或者被保险人可以变更身故保险金受益人并书面通知我们。我们收到变</w:t>
            </w:r>
            <w:r>
              <w:rPr>
                <w:spacing w:val="-2"/>
                <w:sz w:val="21"/>
              </w:rPr>
              <w:t>更受益人的书面通知后，在保险单或其他保险凭证上批注或附贴批单。变</w:t>
            </w:r>
            <w:r>
              <w:rPr>
                <w:spacing w:val="-2"/>
                <w:sz w:val="21"/>
              </w:rPr>
              <w:t>更受益人的行为自变更意思表示发出时生效。</w:t>
            </w:r>
          </w:p>
        </w:tc>
      </w:tr>
      <w:tr>
        <w:trPr>
          <w:trHeight w:val="390"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before="60"/>
              <w:rPr>
                <w:sz w:val="21"/>
              </w:rPr>
            </w:pPr>
            <w:r>
              <w:rPr>
                <w:spacing w:val="-3"/>
                <w:sz w:val="21"/>
              </w:rPr>
              <w:t>您在指定和变更身故保险金受益人时，必须经过被保险人同意。</w:t>
            </w:r>
          </w:p>
        </w:tc>
      </w:tr>
      <w:tr>
        <w:trPr>
          <w:trHeight w:val="1638"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278" w:lineRule="auto" w:before="61"/>
              <w:ind w:right="104"/>
              <w:rPr>
                <w:sz w:val="21"/>
              </w:rPr>
            </w:pPr>
            <w:r>
              <w:rPr>
                <w:spacing w:val="-2"/>
                <w:sz w:val="21"/>
              </w:rPr>
              <w:t>被保险人身故后，有下列情形之一的，保险金作为被保险人的遗产，由我</w:t>
            </w:r>
            <w:r>
              <w:rPr>
                <w:spacing w:val="-2"/>
                <w:sz w:val="21"/>
              </w:rPr>
              <w:t>们依照《中华人民共和国继承法》的规定履行给付保险金的义务：</w:t>
            </w:r>
          </w:p>
          <w:p>
            <w:pPr>
              <w:pStyle w:val="TableParagraph"/>
              <w:spacing w:line="278" w:lineRule="auto"/>
              <w:ind w:right="1471"/>
              <w:rPr>
                <w:sz w:val="21"/>
              </w:rPr>
            </w:pPr>
            <w:r>
              <w:rPr>
                <w:spacing w:val="-2"/>
                <w:sz w:val="21"/>
              </w:rPr>
              <w:t>(1)没有指定受益人，或者受益人指定不明无法确定的； (2)受益人先于被保险人身故，没有其他受益人的；</w:t>
            </w:r>
          </w:p>
          <w:p>
            <w:pPr>
              <w:pStyle w:val="TableParagraph"/>
              <w:rPr>
                <w:sz w:val="21"/>
              </w:rPr>
            </w:pPr>
            <w:r>
              <w:rPr>
                <w:spacing w:val="-2"/>
                <w:sz w:val="21"/>
              </w:rPr>
              <w:t>(3)</w:t>
            </w:r>
            <w:r>
              <w:rPr>
                <w:spacing w:val="-3"/>
                <w:sz w:val="21"/>
              </w:rPr>
              <w:t>受益人依法丧失受益权或者放弃受益权，没有其他受益人的。</w:t>
            </w:r>
          </w:p>
        </w:tc>
      </w:tr>
      <w:tr>
        <w:trPr>
          <w:trHeight w:val="702"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310" w:lineRule="atLeast" w:before="19"/>
              <w:ind w:right="104"/>
              <w:rPr>
                <w:sz w:val="21"/>
              </w:rPr>
            </w:pPr>
            <w:r>
              <w:rPr>
                <w:spacing w:val="-2"/>
                <w:sz w:val="21"/>
              </w:rPr>
              <w:t>受益人与被保险人在同一事件中身故，且不能确定身故先后顺序的，推定</w:t>
            </w:r>
            <w:r>
              <w:rPr>
                <w:spacing w:val="-2"/>
                <w:sz w:val="21"/>
              </w:rPr>
              <w:t>受益人身故在先。</w:t>
            </w:r>
          </w:p>
        </w:tc>
      </w:tr>
      <w:tr>
        <w:trPr>
          <w:trHeight w:val="701"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310" w:lineRule="atLeast" w:before="20"/>
              <w:ind w:right="104"/>
              <w:rPr>
                <w:sz w:val="21"/>
              </w:rPr>
            </w:pPr>
            <w:r>
              <w:rPr>
                <w:spacing w:val="-2"/>
                <w:sz w:val="21"/>
              </w:rPr>
              <w:t>受益人故意造成被保险人身故、伤残、疾病的，或者故意杀害被保险人未</w:t>
            </w:r>
            <w:r>
              <w:rPr>
                <w:spacing w:val="-2"/>
                <w:sz w:val="21"/>
              </w:rPr>
              <w:t>遂的，该受益人丧失受益权。</w:t>
            </w:r>
          </w:p>
        </w:tc>
      </w:tr>
      <w:tr>
        <w:trPr>
          <w:trHeight w:val="1045"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278" w:lineRule="auto" w:before="60"/>
              <w:ind w:right="103"/>
              <w:jc w:val="both"/>
              <w:rPr>
                <w:sz w:val="21"/>
              </w:rPr>
            </w:pPr>
            <w:r>
              <w:rPr>
                <w:spacing w:val="-2"/>
                <w:sz w:val="21"/>
              </w:rPr>
              <w:t>除另有指定外，重大疾病保险金、中症疾病保险金、轻症疾病保险金、特</w:t>
            </w:r>
            <w:r>
              <w:rPr>
                <w:spacing w:val="-2"/>
                <w:sz w:val="21"/>
              </w:rPr>
              <w:t>定重大疾病保险金、全残保险金和生命末期保险金的受益人为被保险人本</w:t>
            </w:r>
            <w:r>
              <w:rPr>
                <w:spacing w:val="-6"/>
                <w:sz w:val="21"/>
              </w:rPr>
              <w:t>人。</w:t>
            </w:r>
          </w:p>
        </w:tc>
      </w:tr>
      <w:tr>
        <w:trPr>
          <w:trHeight w:val="422" w:hRule="atLeast"/>
        </w:trPr>
        <w:tc>
          <w:tcPr>
            <w:tcW w:w="851" w:type="dxa"/>
          </w:tcPr>
          <w:p>
            <w:pPr>
              <w:pStyle w:val="TableParagraph"/>
              <w:spacing w:line="377" w:lineRule="exact" w:before="25"/>
              <w:ind w:left="107"/>
              <w:rPr>
                <w:rFonts w:ascii="微软雅黑"/>
                <w:b/>
                <w:sz w:val="21"/>
              </w:rPr>
            </w:pPr>
            <w:r>
              <w:rPr>
                <w:rFonts w:ascii="微软雅黑"/>
                <w:b/>
                <w:spacing w:val="-5"/>
                <w:sz w:val="21"/>
              </w:rPr>
              <w:t>3.2</w:t>
            </w:r>
          </w:p>
        </w:tc>
        <w:tc>
          <w:tcPr>
            <w:tcW w:w="2157" w:type="dxa"/>
          </w:tcPr>
          <w:p>
            <w:pPr>
              <w:pStyle w:val="TableParagraph"/>
              <w:spacing w:line="377" w:lineRule="exact" w:before="25"/>
              <w:ind w:left="426"/>
              <w:rPr>
                <w:rFonts w:ascii="微软雅黑" w:eastAsia="微软雅黑"/>
                <w:b/>
                <w:sz w:val="21"/>
              </w:rPr>
            </w:pPr>
            <w:r>
              <w:rPr>
                <w:rFonts w:ascii="微软雅黑" w:eastAsia="微软雅黑"/>
                <w:b/>
                <w:spacing w:val="-2"/>
                <w:sz w:val="21"/>
              </w:rPr>
              <w:t>保险事故通知</w:t>
            </w:r>
          </w:p>
        </w:tc>
        <w:tc>
          <w:tcPr>
            <w:tcW w:w="6853" w:type="dxa"/>
          </w:tcPr>
          <w:p>
            <w:pPr>
              <w:pStyle w:val="TableParagraph"/>
              <w:spacing w:before="92"/>
              <w:rPr>
                <w:sz w:val="21"/>
              </w:rPr>
            </w:pPr>
            <w:r>
              <w:rPr>
                <w:spacing w:val="-4"/>
                <w:sz w:val="21"/>
              </w:rPr>
              <w:t>您、被保险人或受益人知道保险事故后应当在 </w:t>
            </w:r>
            <w:r>
              <w:rPr>
                <w:spacing w:val="-2"/>
                <w:sz w:val="21"/>
              </w:rPr>
              <w:t>10</w:t>
            </w:r>
            <w:r>
              <w:rPr>
                <w:spacing w:val="-10"/>
                <w:sz w:val="21"/>
              </w:rPr>
              <w:t> 日内通知我们。</w:t>
            </w:r>
          </w:p>
        </w:tc>
      </w:tr>
      <w:tr>
        <w:trPr>
          <w:trHeight w:val="1670" w:hRule="atLeast"/>
        </w:trPr>
        <w:tc>
          <w:tcPr>
            <w:tcW w:w="851" w:type="dxa"/>
          </w:tcPr>
          <w:p>
            <w:pPr>
              <w:pStyle w:val="TableParagraph"/>
              <w:rPr>
                <w:rFonts w:ascii="Times New Roman"/>
                <w:sz w:val="20"/>
              </w:rPr>
            </w:pPr>
          </w:p>
        </w:tc>
        <w:tc>
          <w:tcPr>
            <w:tcW w:w="2157" w:type="dxa"/>
          </w:tcPr>
          <w:p>
            <w:pPr>
              <w:pStyle w:val="TableParagraph"/>
              <w:rPr>
                <w:rFonts w:ascii="Times New Roman"/>
                <w:sz w:val="20"/>
              </w:rPr>
            </w:pPr>
          </w:p>
        </w:tc>
        <w:tc>
          <w:tcPr>
            <w:tcW w:w="6853" w:type="dxa"/>
          </w:tcPr>
          <w:p>
            <w:pPr>
              <w:pStyle w:val="TableParagraph"/>
              <w:spacing w:line="278" w:lineRule="auto" w:before="61"/>
              <w:ind w:right="103"/>
              <w:jc w:val="both"/>
              <w:rPr>
                <w:sz w:val="21"/>
              </w:rPr>
            </w:pPr>
            <w:r>
              <w:rPr>
                <w:color w:val="000000"/>
                <w:spacing w:val="-2"/>
                <w:sz w:val="21"/>
                <w:shd w:fill="A6A6A6" w:color="auto" w:val="clear"/>
              </w:rPr>
              <w:t>如果您、被保险人或受益人故意或者因重大过失未及时通知，致使保险事</w:t>
            </w:r>
            <w:r>
              <w:rPr>
                <w:color w:val="000000"/>
                <w:spacing w:val="40"/>
                <w:sz w:val="21"/>
                <w:shd w:fill="A6A6A6" w:color="auto" w:val="clear"/>
              </w:rPr>
              <w:t> </w:t>
            </w:r>
            <w:r>
              <w:rPr>
                <w:color w:val="000000"/>
                <w:spacing w:val="-2"/>
                <w:sz w:val="21"/>
                <w:shd w:fill="A6A6A6" w:color="auto" w:val="clear"/>
              </w:rPr>
              <w:t>故的性质、原因、损失程度等难以确定的，我们对无法确定的部分，不承</w:t>
            </w:r>
            <w:r>
              <w:rPr>
                <w:color w:val="000000"/>
                <w:spacing w:val="-2"/>
                <w:sz w:val="21"/>
                <w:shd w:fill="A6A6A6" w:color="auto" w:val="clear"/>
              </w:rPr>
              <w:t>担给付保险金的责任，</w:t>
            </w:r>
            <w:r>
              <w:rPr>
                <w:color w:val="000000"/>
                <w:spacing w:val="-2"/>
                <w:sz w:val="21"/>
              </w:rPr>
              <w:t>但我们通过其他途径已经及时知道或者应当及时知</w:t>
            </w:r>
            <w:r>
              <w:rPr>
                <w:color w:val="000000"/>
                <w:spacing w:val="-2"/>
                <w:sz w:val="21"/>
              </w:rPr>
              <w:t>道保险事故发生或者虽未及时通知但不影响我们确定保险事故的性质、原</w:t>
            </w:r>
            <w:r>
              <w:rPr>
                <w:color w:val="000000"/>
                <w:spacing w:val="-2"/>
                <w:sz w:val="21"/>
              </w:rPr>
              <w:t>因、损失程度的除外。</w:t>
            </w:r>
          </w:p>
        </w:tc>
      </w:tr>
      <w:tr>
        <w:trPr>
          <w:trHeight w:val="453" w:hRule="atLeast"/>
        </w:trPr>
        <w:tc>
          <w:tcPr>
            <w:tcW w:w="851" w:type="dxa"/>
          </w:tcPr>
          <w:p>
            <w:pPr>
              <w:pStyle w:val="TableParagraph"/>
              <w:spacing w:before="25"/>
              <w:ind w:left="107"/>
              <w:rPr>
                <w:rFonts w:ascii="微软雅黑"/>
                <w:b/>
                <w:sz w:val="21"/>
              </w:rPr>
            </w:pPr>
            <w:r>
              <w:rPr>
                <w:rFonts w:ascii="微软雅黑"/>
                <w:b/>
                <w:spacing w:val="-5"/>
                <w:sz w:val="21"/>
              </w:rPr>
              <w:t>3.3</w:t>
            </w:r>
          </w:p>
        </w:tc>
        <w:tc>
          <w:tcPr>
            <w:tcW w:w="2157" w:type="dxa"/>
          </w:tcPr>
          <w:p>
            <w:pPr>
              <w:pStyle w:val="TableParagraph"/>
              <w:spacing w:before="25"/>
              <w:ind w:left="426"/>
              <w:rPr>
                <w:rFonts w:ascii="微软雅黑" w:eastAsia="微软雅黑"/>
                <w:b/>
                <w:sz w:val="21"/>
              </w:rPr>
            </w:pPr>
            <w:r>
              <w:rPr>
                <w:rFonts w:ascii="微软雅黑" w:eastAsia="微软雅黑"/>
                <w:b/>
                <w:spacing w:val="-2"/>
                <w:sz w:val="21"/>
              </w:rPr>
              <w:t>保险金申请</w:t>
            </w:r>
          </w:p>
        </w:tc>
        <w:tc>
          <w:tcPr>
            <w:tcW w:w="6853" w:type="dxa"/>
          </w:tcPr>
          <w:p>
            <w:pPr>
              <w:pStyle w:val="TableParagraph"/>
              <w:spacing w:before="92"/>
              <w:rPr>
                <w:sz w:val="21"/>
              </w:rPr>
            </w:pPr>
            <w:r>
              <w:rPr>
                <w:spacing w:val="-3"/>
                <w:sz w:val="21"/>
              </w:rPr>
              <w:t>在申请保险金时，请按照下列方式办理：</w:t>
            </w:r>
          </w:p>
        </w:tc>
      </w:tr>
      <w:tr>
        <w:trPr>
          <w:trHeight w:val="332" w:hRule="atLeast"/>
        </w:trPr>
        <w:tc>
          <w:tcPr>
            <w:tcW w:w="851" w:type="dxa"/>
          </w:tcPr>
          <w:p>
            <w:pPr>
              <w:pStyle w:val="TableParagraph"/>
              <w:rPr>
                <w:rFonts w:ascii="Times New Roman"/>
                <w:sz w:val="20"/>
              </w:rPr>
            </w:pPr>
          </w:p>
        </w:tc>
        <w:tc>
          <w:tcPr>
            <w:tcW w:w="2157" w:type="dxa"/>
          </w:tcPr>
          <w:p>
            <w:pPr>
              <w:pStyle w:val="TableParagraph"/>
              <w:spacing w:line="220" w:lineRule="exact" w:before="92"/>
              <w:ind w:left="426"/>
              <w:rPr>
                <w:sz w:val="21"/>
              </w:rPr>
            </w:pPr>
            <w:r>
              <w:rPr>
                <w:spacing w:val="-4"/>
                <w:sz w:val="21"/>
              </w:rPr>
              <w:t>重大疾病保险</w:t>
            </w:r>
          </w:p>
        </w:tc>
        <w:tc>
          <w:tcPr>
            <w:tcW w:w="6853" w:type="dxa"/>
          </w:tcPr>
          <w:p>
            <w:pPr>
              <w:pStyle w:val="TableParagraph"/>
              <w:spacing w:line="220" w:lineRule="exact" w:before="92"/>
              <w:rPr>
                <w:sz w:val="21"/>
              </w:rPr>
            </w:pPr>
            <w:r>
              <w:rPr>
                <w:spacing w:val="-3"/>
                <w:sz w:val="21"/>
              </w:rPr>
              <w:t>受益人须填写保险金给付申请书，并提供下列证明和资料：</w:t>
            </w:r>
          </w:p>
        </w:tc>
      </w:tr>
    </w:tbl>
    <w:p>
      <w:pPr>
        <w:rPr>
          <w:sz w:val="2"/>
          <w:szCs w:val="2"/>
        </w:rPr>
      </w:pPr>
      <w:r>
        <w:rPr/>
        <w:drawing>
          <wp:anchor distT="0" distB="0" distL="0" distR="0" allowOverlap="1" layoutInCell="1" locked="0" behindDoc="1" simplePos="0" relativeHeight="484487680">
            <wp:simplePos x="0" y="0"/>
            <wp:positionH relativeFrom="page">
              <wp:posOffset>2560954</wp:posOffset>
            </wp:positionH>
            <wp:positionV relativeFrom="page">
              <wp:posOffset>913383</wp:posOffset>
            </wp:positionV>
            <wp:extent cx="4281611" cy="371475"/>
            <wp:effectExtent l="0" t="0" r="0" b="0"/>
            <wp:wrapNone/>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4281611" cy="371475"/>
                    </a:xfrm>
                    <a:prstGeom prst="rect">
                      <a:avLst/>
                    </a:prstGeom>
                  </pic:spPr>
                </pic:pic>
              </a:graphicData>
            </a:graphic>
          </wp:anchor>
        </w:drawing>
      </w:r>
    </w:p>
    <w:p>
      <w:pPr>
        <w:spacing w:after="0"/>
        <w:rPr>
          <w:sz w:val="2"/>
          <w:szCs w:val="2"/>
        </w:rPr>
        <w:sectPr>
          <w:pgSz w:w="11910" w:h="16840"/>
          <w:pgMar w:top="1420" w:bottom="1642"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2029"/>
        <w:gridCol w:w="7032"/>
      </w:tblGrid>
      <w:tr>
        <w:trPr>
          <w:trHeight w:val="261" w:hRule="atLeast"/>
        </w:trPr>
        <w:tc>
          <w:tcPr>
            <w:tcW w:w="793" w:type="dxa"/>
          </w:tcPr>
          <w:p>
            <w:pPr>
              <w:pStyle w:val="TableParagraph"/>
              <w:rPr>
                <w:rFonts w:ascii="Times New Roman"/>
                <w:sz w:val="18"/>
              </w:rPr>
            </w:pPr>
          </w:p>
        </w:tc>
        <w:tc>
          <w:tcPr>
            <w:tcW w:w="2029" w:type="dxa"/>
          </w:tcPr>
          <w:p>
            <w:pPr>
              <w:pStyle w:val="TableParagraph"/>
              <w:spacing w:line="232" w:lineRule="exact"/>
              <w:ind w:left="426"/>
              <w:rPr>
                <w:sz w:val="21"/>
              </w:rPr>
            </w:pPr>
            <w:r>
              <w:rPr>
                <w:spacing w:val="-4"/>
                <w:sz w:val="21"/>
              </w:rPr>
              <w:t>金、中症疾病保</w:t>
            </w:r>
          </w:p>
        </w:tc>
        <w:tc>
          <w:tcPr>
            <w:tcW w:w="7032" w:type="dxa"/>
          </w:tcPr>
          <w:p>
            <w:pPr>
              <w:pStyle w:val="TableParagraph"/>
              <w:spacing w:line="232" w:lineRule="exact"/>
              <w:ind w:left="128"/>
              <w:rPr>
                <w:sz w:val="21"/>
              </w:rPr>
            </w:pPr>
            <w:r>
              <w:rPr>
                <w:spacing w:val="-2"/>
                <w:sz w:val="21"/>
              </w:rPr>
              <w:t>(1)</w:t>
            </w:r>
            <w:r>
              <w:rPr>
                <w:spacing w:val="-4"/>
                <w:sz w:val="21"/>
              </w:rPr>
              <w:t>保险合同；</w:t>
            </w:r>
          </w:p>
        </w:tc>
      </w:tr>
      <w:tr>
        <w:trPr>
          <w:trHeight w:val="312" w:hRule="atLeast"/>
        </w:trPr>
        <w:tc>
          <w:tcPr>
            <w:tcW w:w="793" w:type="dxa"/>
          </w:tcPr>
          <w:p>
            <w:pPr>
              <w:pStyle w:val="TableParagraph"/>
              <w:rPr>
                <w:rFonts w:ascii="Times New Roman"/>
                <w:sz w:val="20"/>
              </w:rPr>
            </w:pPr>
          </w:p>
        </w:tc>
        <w:tc>
          <w:tcPr>
            <w:tcW w:w="2029" w:type="dxa"/>
          </w:tcPr>
          <w:p>
            <w:pPr>
              <w:pStyle w:val="TableParagraph"/>
              <w:spacing w:before="13"/>
              <w:ind w:left="426"/>
              <w:rPr>
                <w:sz w:val="21"/>
              </w:rPr>
            </w:pPr>
            <w:r>
              <w:rPr>
                <w:spacing w:val="-4"/>
                <w:sz w:val="21"/>
              </w:rPr>
              <w:t>险金、轻症疾病</w:t>
            </w:r>
          </w:p>
        </w:tc>
        <w:tc>
          <w:tcPr>
            <w:tcW w:w="7032" w:type="dxa"/>
          </w:tcPr>
          <w:p>
            <w:pPr>
              <w:pStyle w:val="TableParagraph"/>
              <w:spacing w:before="13"/>
              <w:ind w:left="128"/>
              <w:rPr>
                <w:sz w:val="21"/>
              </w:rPr>
            </w:pPr>
            <w:r>
              <w:rPr>
                <w:spacing w:val="-2"/>
                <w:sz w:val="21"/>
              </w:rPr>
              <w:t>(2)</w:t>
            </w:r>
            <w:r>
              <w:rPr>
                <w:spacing w:val="-3"/>
                <w:sz w:val="21"/>
              </w:rPr>
              <w:t>受益人的有效身份证件；</w:t>
            </w:r>
          </w:p>
        </w:tc>
      </w:tr>
      <w:tr>
        <w:trPr>
          <w:trHeight w:val="312" w:hRule="atLeast"/>
        </w:trPr>
        <w:tc>
          <w:tcPr>
            <w:tcW w:w="793" w:type="dxa"/>
          </w:tcPr>
          <w:p>
            <w:pPr>
              <w:pStyle w:val="TableParagraph"/>
              <w:rPr>
                <w:rFonts w:ascii="Times New Roman"/>
                <w:sz w:val="20"/>
              </w:rPr>
            </w:pPr>
          </w:p>
        </w:tc>
        <w:tc>
          <w:tcPr>
            <w:tcW w:w="2029" w:type="dxa"/>
          </w:tcPr>
          <w:p>
            <w:pPr>
              <w:pStyle w:val="TableParagraph"/>
              <w:spacing w:before="13"/>
              <w:ind w:left="426"/>
              <w:rPr>
                <w:sz w:val="21"/>
              </w:rPr>
            </w:pPr>
            <w:r>
              <w:rPr>
                <w:spacing w:val="-4"/>
                <w:sz w:val="21"/>
              </w:rPr>
              <w:t>保险金、特定重</w:t>
            </w:r>
          </w:p>
        </w:tc>
        <w:tc>
          <w:tcPr>
            <w:tcW w:w="7032" w:type="dxa"/>
          </w:tcPr>
          <w:p>
            <w:pPr>
              <w:pStyle w:val="TableParagraph"/>
              <w:spacing w:before="13"/>
              <w:ind w:left="128"/>
              <w:rPr>
                <w:sz w:val="21"/>
              </w:rPr>
            </w:pPr>
            <w:r>
              <w:rPr>
                <w:sz w:val="21"/>
              </w:rPr>
              <w:t>(3</w:t>
            </w:r>
            <w:r>
              <w:rPr>
                <w:spacing w:val="-1"/>
                <w:sz w:val="21"/>
              </w:rPr>
              <w:t>)中华人民共和国卫生行政部门评审确定的二级或二级以上公立医院出</w:t>
            </w:r>
          </w:p>
        </w:tc>
      </w:tr>
      <w:tr>
        <w:trPr>
          <w:trHeight w:val="311" w:hRule="atLeast"/>
        </w:trPr>
        <w:tc>
          <w:tcPr>
            <w:tcW w:w="793" w:type="dxa"/>
          </w:tcPr>
          <w:p>
            <w:pPr>
              <w:pStyle w:val="TableParagraph"/>
              <w:rPr>
                <w:rFonts w:ascii="Times New Roman"/>
                <w:sz w:val="20"/>
              </w:rPr>
            </w:pPr>
          </w:p>
        </w:tc>
        <w:tc>
          <w:tcPr>
            <w:tcW w:w="2029" w:type="dxa"/>
          </w:tcPr>
          <w:p>
            <w:pPr>
              <w:pStyle w:val="TableParagraph"/>
              <w:spacing w:before="13"/>
              <w:ind w:left="426"/>
              <w:rPr>
                <w:sz w:val="21"/>
              </w:rPr>
            </w:pPr>
            <w:r>
              <w:rPr>
                <w:spacing w:val="-4"/>
                <w:sz w:val="21"/>
              </w:rPr>
              <w:t>大疾病保险金、</w:t>
            </w:r>
          </w:p>
        </w:tc>
        <w:tc>
          <w:tcPr>
            <w:tcW w:w="7032" w:type="dxa"/>
          </w:tcPr>
          <w:p>
            <w:pPr>
              <w:pStyle w:val="TableParagraph"/>
              <w:spacing w:before="13"/>
              <w:ind w:left="128"/>
              <w:rPr>
                <w:sz w:val="21"/>
              </w:rPr>
            </w:pPr>
            <w:r>
              <w:rPr>
                <w:spacing w:val="-3"/>
                <w:sz w:val="21"/>
              </w:rPr>
              <w:t>具的附有病理显微镜检查报告、血液检查及其他科学方法检验报告的病史</w:t>
            </w:r>
          </w:p>
        </w:tc>
      </w:tr>
      <w:tr>
        <w:trPr>
          <w:trHeight w:val="312" w:hRule="atLeast"/>
        </w:trPr>
        <w:tc>
          <w:tcPr>
            <w:tcW w:w="793" w:type="dxa"/>
          </w:tcPr>
          <w:p>
            <w:pPr>
              <w:pStyle w:val="TableParagraph"/>
              <w:rPr>
                <w:rFonts w:ascii="Times New Roman"/>
                <w:sz w:val="20"/>
              </w:rPr>
            </w:pPr>
          </w:p>
        </w:tc>
        <w:tc>
          <w:tcPr>
            <w:tcW w:w="2029" w:type="dxa"/>
          </w:tcPr>
          <w:p>
            <w:pPr>
              <w:pStyle w:val="TableParagraph"/>
              <w:spacing w:before="13"/>
              <w:ind w:left="426"/>
              <w:rPr>
                <w:sz w:val="21"/>
              </w:rPr>
            </w:pPr>
            <w:r>
              <w:rPr>
                <w:spacing w:val="-4"/>
                <w:sz w:val="21"/>
              </w:rPr>
              <w:t>生命末期保险金</w:t>
            </w:r>
          </w:p>
        </w:tc>
        <w:tc>
          <w:tcPr>
            <w:tcW w:w="7032" w:type="dxa"/>
          </w:tcPr>
          <w:p>
            <w:pPr>
              <w:pStyle w:val="TableParagraph"/>
              <w:spacing w:before="13"/>
              <w:ind w:left="128"/>
              <w:rPr>
                <w:sz w:val="21"/>
              </w:rPr>
            </w:pPr>
            <w:r>
              <w:rPr>
                <w:spacing w:val="-8"/>
                <w:sz w:val="21"/>
              </w:rPr>
              <w:t>资 料 及 疾 病 诊 断 报 告 书 ； 但 严 重 进 行 性 核 上 性 麻 痹</w:t>
            </w:r>
          </w:p>
        </w:tc>
      </w:tr>
      <w:tr>
        <w:trPr>
          <w:trHeight w:val="312" w:hRule="atLeast"/>
        </w:trPr>
        <w:tc>
          <w:tcPr>
            <w:tcW w:w="793" w:type="dxa"/>
          </w:tcPr>
          <w:p>
            <w:pPr>
              <w:pStyle w:val="TableParagraph"/>
              <w:rPr>
                <w:rFonts w:ascii="Times New Roman"/>
                <w:sz w:val="20"/>
              </w:rPr>
            </w:pPr>
          </w:p>
        </w:tc>
        <w:tc>
          <w:tcPr>
            <w:tcW w:w="2029" w:type="dxa"/>
          </w:tcPr>
          <w:p>
            <w:pPr>
              <w:pStyle w:val="TableParagraph"/>
              <w:spacing w:before="13"/>
              <w:ind w:left="426"/>
              <w:rPr>
                <w:sz w:val="21"/>
              </w:rPr>
            </w:pPr>
            <w:r>
              <w:rPr>
                <w:spacing w:val="-5"/>
                <w:sz w:val="21"/>
              </w:rPr>
              <w:t>申请</w:t>
            </w:r>
          </w:p>
        </w:tc>
        <w:tc>
          <w:tcPr>
            <w:tcW w:w="7032" w:type="dxa"/>
          </w:tcPr>
          <w:p>
            <w:pPr>
              <w:pStyle w:val="TableParagraph"/>
              <w:spacing w:before="13"/>
              <w:ind w:left="128"/>
              <w:rPr>
                <w:sz w:val="21"/>
              </w:rPr>
            </w:pPr>
            <w:r>
              <w:rPr>
                <w:sz w:val="21"/>
              </w:rPr>
              <w:t>（Steele-Rchardson-Olszewski</w:t>
            </w:r>
            <w:r>
              <w:rPr>
                <w:spacing w:val="-5"/>
                <w:sz w:val="21"/>
              </w:rPr>
              <w:t> 综合征</w:t>
            </w:r>
            <w:r>
              <w:rPr>
                <w:spacing w:val="-106"/>
                <w:sz w:val="21"/>
              </w:rPr>
              <w:t>）</w:t>
            </w:r>
            <w:r>
              <w:rPr>
                <w:sz w:val="21"/>
              </w:rPr>
              <w:t>、严重疯牛病（克-雅氏病</w:t>
            </w:r>
            <w:r>
              <w:rPr>
                <w:spacing w:val="-2"/>
                <w:sz w:val="21"/>
              </w:rPr>
              <w:t>/CJD/</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人类疯牛病）</w:t>
            </w:r>
            <w:r>
              <w:rPr>
                <w:spacing w:val="-3"/>
                <w:sz w:val="21"/>
              </w:rPr>
              <w:t>或严重瑞氏综合征的理赔须由三级或三级以上公立医院出具</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前述报告和资料；如有必要，我们有权对被保险人进行复检，复检费用由</w:t>
            </w:r>
          </w:p>
        </w:tc>
      </w:tr>
      <w:tr>
        <w:trPr>
          <w:trHeight w:val="311"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4"/>
                <w:sz w:val="21"/>
              </w:rPr>
              <w:t>我们承担；</w:t>
            </w:r>
          </w:p>
        </w:tc>
      </w:tr>
      <w:tr>
        <w:trPr>
          <w:trHeight w:val="38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(4)</w:t>
            </w:r>
            <w:r>
              <w:rPr>
                <w:spacing w:val="-3"/>
                <w:sz w:val="21"/>
              </w:rPr>
              <w:t>所能提供的与确认保险事故的性质、原因等有关的其他证明和资料。</w:t>
            </w:r>
          </w:p>
        </w:tc>
      </w:tr>
      <w:tr>
        <w:trPr>
          <w:trHeight w:val="382" w:hRule="atLeast"/>
        </w:trPr>
        <w:tc>
          <w:tcPr>
            <w:tcW w:w="793" w:type="dxa"/>
          </w:tcPr>
          <w:p>
            <w:pPr>
              <w:pStyle w:val="TableParagraph"/>
              <w:rPr>
                <w:rFonts w:ascii="Times New Roman"/>
                <w:sz w:val="20"/>
              </w:rPr>
            </w:pPr>
          </w:p>
        </w:tc>
        <w:tc>
          <w:tcPr>
            <w:tcW w:w="2029" w:type="dxa"/>
          </w:tcPr>
          <w:p>
            <w:pPr>
              <w:pStyle w:val="TableParagraph"/>
              <w:spacing w:before="84"/>
              <w:ind w:left="426"/>
              <w:rPr>
                <w:sz w:val="21"/>
              </w:rPr>
            </w:pPr>
            <w:r>
              <w:rPr>
                <w:spacing w:val="-4"/>
                <w:sz w:val="21"/>
              </w:rPr>
              <w:t>全残保险金申请</w:t>
            </w:r>
          </w:p>
        </w:tc>
        <w:tc>
          <w:tcPr>
            <w:tcW w:w="7032" w:type="dxa"/>
          </w:tcPr>
          <w:p>
            <w:pPr>
              <w:pStyle w:val="TableParagraph"/>
              <w:spacing w:before="84"/>
              <w:ind w:left="128"/>
              <w:rPr>
                <w:sz w:val="21"/>
              </w:rPr>
            </w:pPr>
            <w:r>
              <w:rPr>
                <w:spacing w:val="-3"/>
                <w:sz w:val="21"/>
              </w:rPr>
              <w:t>受益人须填写保险金给付申请书，并提供下列证明和资料：</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(1)</w:t>
            </w:r>
            <w:r>
              <w:rPr>
                <w:spacing w:val="-4"/>
                <w:sz w:val="21"/>
              </w:rPr>
              <w:t>保险合同；</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(2)</w:t>
            </w:r>
            <w:r>
              <w:rPr>
                <w:spacing w:val="-3"/>
                <w:sz w:val="21"/>
              </w:rPr>
              <w:t>受益人的有效身份证件；</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(3)</w:t>
            </w:r>
            <w:r>
              <w:rPr>
                <w:spacing w:val="-7"/>
                <w:sz w:val="21"/>
              </w:rPr>
              <w:t>双方认可的二级或二级以上公立医院或医疗机构、双方认可的有资质的</w:t>
            </w:r>
          </w:p>
        </w:tc>
      </w:tr>
      <w:tr>
        <w:trPr>
          <w:trHeight w:val="311"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司法鉴定机构出具的被保险人伤残鉴定证明文件；</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4"/>
                <w:sz w:val="21"/>
              </w:rPr>
              <w:t>(4)</w:t>
            </w:r>
            <w:r>
              <w:rPr>
                <w:spacing w:val="-5"/>
                <w:sz w:val="21"/>
              </w:rPr>
              <w:t>所能提供的与确认保险事故的性质、原因、伤害程度等有关的其他证明</w:t>
            </w:r>
          </w:p>
        </w:tc>
      </w:tr>
      <w:tr>
        <w:trPr>
          <w:trHeight w:val="38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4"/>
                <w:sz w:val="21"/>
              </w:rPr>
              <w:t>和资料。</w:t>
            </w:r>
          </w:p>
        </w:tc>
      </w:tr>
      <w:tr>
        <w:trPr>
          <w:trHeight w:val="382" w:hRule="atLeast"/>
        </w:trPr>
        <w:tc>
          <w:tcPr>
            <w:tcW w:w="793" w:type="dxa"/>
          </w:tcPr>
          <w:p>
            <w:pPr>
              <w:pStyle w:val="TableParagraph"/>
              <w:rPr>
                <w:rFonts w:ascii="Times New Roman"/>
                <w:sz w:val="20"/>
              </w:rPr>
            </w:pPr>
          </w:p>
        </w:tc>
        <w:tc>
          <w:tcPr>
            <w:tcW w:w="2029" w:type="dxa"/>
          </w:tcPr>
          <w:p>
            <w:pPr>
              <w:pStyle w:val="TableParagraph"/>
              <w:spacing w:before="84"/>
              <w:ind w:left="426"/>
              <w:rPr>
                <w:sz w:val="21"/>
              </w:rPr>
            </w:pPr>
            <w:r>
              <w:rPr>
                <w:spacing w:val="-4"/>
                <w:sz w:val="21"/>
              </w:rPr>
              <w:t>身故保险金申请</w:t>
            </w:r>
          </w:p>
        </w:tc>
        <w:tc>
          <w:tcPr>
            <w:tcW w:w="7032" w:type="dxa"/>
          </w:tcPr>
          <w:p>
            <w:pPr>
              <w:pStyle w:val="TableParagraph"/>
              <w:spacing w:before="84"/>
              <w:ind w:left="128"/>
              <w:rPr>
                <w:sz w:val="21"/>
              </w:rPr>
            </w:pPr>
            <w:r>
              <w:rPr>
                <w:spacing w:val="-3"/>
                <w:sz w:val="21"/>
              </w:rPr>
              <w:t>受益人须填写保险金给付申请书，并提供下列证明和资料：</w:t>
            </w:r>
          </w:p>
        </w:tc>
      </w:tr>
      <w:tr>
        <w:trPr>
          <w:trHeight w:val="311"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(1)</w:t>
            </w:r>
            <w:r>
              <w:rPr>
                <w:spacing w:val="-4"/>
                <w:sz w:val="21"/>
              </w:rPr>
              <w:t>保险合同；</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(2)</w:t>
            </w:r>
            <w:r>
              <w:rPr>
                <w:spacing w:val="-3"/>
                <w:sz w:val="21"/>
              </w:rPr>
              <w:t>受益人的有效身份证件；</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(3)</w:t>
            </w:r>
            <w:r>
              <w:rPr>
                <w:spacing w:val="-9"/>
                <w:sz w:val="21"/>
              </w:rPr>
              <w:t>卫生行政部门认定的医疗机构、公安部门或其他相关机构出具的被保险</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4"/>
                <w:sz w:val="21"/>
              </w:rPr>
              <w:t>人的死亡证明；</w:t>
            </w:r>
          </w:p>
        </w:tc>
      </w:tr>
      <w:tr>
        <w:trPr>
          <w:trHeight w:val="351"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2"/>
                <w:sz w:val="21"/>
              </w:rPr>
              <w:t>(4)</w:t>
            </w:r>
            <w:r>
              <w:rPr>
                <w:spacing w:val="-3"/>
                <w:sz w:val="21"/>
              </w:rPr>
              <w:t>所能提供的与确认保险事故的性质、原因等有关的其他证明和资料。</w:t>
            </w:r>
          </w:p>
        </w:tc>
      </w:tr>
      <w:tr>
        <w:trPr>
          <w:trHeight w:val="42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53"/>
              <w:ind w:left="128"/>
              <w:rPr>
                <w:sz w:val="21"/>
              </w:rPr>
            </w:pPr>
            <w:r>
              <w:rPr>
                <w:spacing w:val="-10"/>
                <w:sz w:val="21"/>
              </w:rPr>
              <w:t>保险金作为被保险人遗产时，必须提供可证明合法继承权的相关权利文件。</w:t>
            </w:r>
          </w:p>
        </w:tc>
      </w:tr>
      <w:tr>
        <w:trPr>
          <w:trHeight w:val="38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84"/>
              <w:ind w:left="128"/>
              <w:rPr>
                <w:sz w:val="21"/>
              </w:rPr>
            </w:pPr>
            <w:r>
              <w:rPr>
                <w:spacing w:val="-3"/>
                <w:sz w:val="21"/>
              </w:rPr>
              <w:t>以上各项证明和资料不完整的，我们将及时一次性通知受益人补充提供有</w:t>
            </w:r>
          </w:p>
        </w:tc>
      </w:tr>
      <w:tr>
        <w:trPr>
          <w:trHeight w:val="38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4"/>
                <w:sz w:val="21"/>
              </w:rPr>
              <w:t>关证明和资料。</w:t>
            </w:r>
          </w:p>
        </w:tc>
      </w:tr>
      <w:tr>
        <w:trPr>
          <w:trHeight w:val="694" w:hRule="atLeast"/>
        </w:trPr>
        <w:tc>
          <w:tcPr>
            <w:tcW w:w="793" w:type="dxa"/>
          </w:tcPr>
          <w:p>
            <w:pPr>
              <w:pStyle w:val="TableParagraph"/>
              <w:spacing w:before="17"/>
              <w:ind w:left="50"/>
              <w:rPr>
                <w:rFonts w:ascii="微软雅黑"/>
                <w:b/>
                <w:sz w:val="21"/>
              </w:rPr>
            </w:pPr>
            <w:r>
              <w:rPr>
                <w:rFonts w:ascii="微软雅黑"/>
                <w:b/>
                <w:spacing w:val="-5"/>
                <w:sz w:val="21"/>
              </w:rPr>
              <w:t>3.4</w:t>
            </w:r>
          </w:p>
        </w:tc>
        <w:tc>
          <w:tcPr>
            <w:tcW w:w="2029" w:type="dxa"/>
          </w:tcPr>
          <w:p>
            <w:pPr>
              <w:pStyle w:val="TableParagraph"/>
              <w:spacing w:before="17"/>
              <w:ind w:left="426"/>
              <w:rPr>
                <w:rFonts w:ascii="微软雅黑" w:eastAsia="微软雅黑"/>
                <w:b/>
                <w:sz w:val="21"/>
              </w:rPr>
            </w:pPr>
            <w:r>
              <w:rPr>
                <w:rFonts w:ascii="微软雅黑" w:eastAsia="微软雅黑"/>
                <w:b/>
                <w:spacing w:val="-2"/>
                <w:sz w:val="21"/>
              </w:rPr>
              <w:t>保险金给付</w:t>
            </w:r>
          </w:p>
        </w:tc>
        <w:tc>
          <w:tcPr>
            <w:tcW w:w="7032" w:type="dxa"/>
          </w:tcPr>
          <w:p>
            <w:pPr>
              <w:pStyle w:val="TableParagraph"/>
              <w:spacing w:line="257" w:lineRule="exact" w:before="84"/>
              <w:ind w:left="128"/>
              <w:rPr>
                <w:sz w:val="21"/>
              </w:rPr>
            </w:pPr>
            <w:r>
              <w:rPr>
                <w:spacing w:val="-4"/>
                <w:sz w:val="21"/>
              </w:rPr>
              <w:t>我们在收到保险金给付申请书及上述有关证明和资料后，将在 </w:t>
            </w:r>
            <w:r>
              <w:rPr>
                <w:spacing w:val="-2"/>
                <w:sz w:val="21"/>
              </w:rPr>
              <w:t>5</w:t>
            </w:r>
            <w:r>
              <w:rPr>
                <w:spacing w:val="-10"/>
                <w:sz w:val="21"/>
              </w:rPr>
              <w:t> 日内作出</w:t>
            </w:r>
          </w:p>
          <w:p>
            <w:pPr>
              <w:pStyle w:val="TableParagraph"/>
              <w:spacing w:line="334" w:lineRule="exact"/>
              <w:ind w:left="128"/>
              <w:rPr>
                <w:sz w:val="21"/>
              </w:rPr>
            </w:pPr>
            <w:r>
              <w:rPr>
                <w:w w:val="95"/>
                <w:sz w:val="21"/>
              </w:rPr>
              <w:t>核</w:t>
            </w:r>
            <w:r>
              <w:rPr>
                <w:w w:val="95"/>
                <w:sz w:val="21"/>
              </w:rPr>
              <w:t>定</w:t>
            </w:r>
            <w:r>
              <w:rPr>
                <w:w w:val="95"/>
                <w:sz w:val="21"/>
              </w:rPr>
              <w:t>；</w:t>
            </w:r>
            <w:r>
              <w:rPr>
                <w:rFonts w:ascii="微软雅黑" w:eastAsia="微软雅黑"/>
                <w:b/>
                <w:w w:val="95"/>
                <w:sz w:val="21"/>
              </w:rPr>
              <w:t>情</w:t>
            </w:r>
            <w:r>
              <w:rPr>
                <w:rFonts w:ascii="微软雅黑" w:eastAsia="微软雅黑"/>
                <w:b/>
                <w:w w:val="95"/>
                <w:sz w:val="21"/>
              </w:rPr>
              <w:t>形</w:t>
            </w:r>
            <w:r>
              <w:rPr>
                <w:rFonts w:ascii="微软雅黑" w:eastAsia="微软雅黑"/>
                <w:b/>
                <w:w w:val="95"/>
                <w:sz w:val="21"/>
              </w:rPr>
              <w:t>复</w:t>
            </w:r>
            <w:r>
              <w:rPr>
                <w:rFonts w:ascii="微软雅黑" w:eastAsia="微软雅黑"/>
                <w:b/>
                <w:w w:val="95"/>
                <w:sz w:val="21"/>
              </w:rPr>
              <w:t>杂</w:t>
            </w:r>
            <w:r>
              <w:rPr>
                <w:rFonts w:ascii="微软雅黑" w:eastAsia="微软雅黑"/>
                <w:b/>
                <w:w w:val="95"/>
                <w:position w:val="11"/>
                <w:sz w:val="11"/>
              </w:rPr>
              <w:t>19</w:t>
            </w:r>
            <w:r>
              <w:rPr>
                <w:w w:val="95"/>
                <w:sz w:val="21"/>
              </w:rPr>
              <w:t>的，在</w:t>
            </w:r>
            <w:r>
              <w:rPr>
                <w:spacing w:val="36"/>
                <w:w w:val="150"/>
                <w:sz w:val="21"/>
              </w:rPr>
              <w:t> </w:t>
            </w:r>
            <w:r>
              <w:rPr>
                <w:w w:val="95"/>
                <w:sz w:val="21"/>
              </w:rPr>
              <w:t>30</w:t>
            </w:r>
            <w:r>
              <w:rPr>
                <w:spacing w:val="28"/>
                <w:w w:val="150"/>
                <w:sz w:val="21"/>
              </w:rPr>
              <w:t> </w:t>
            </w:r>
            <w:r>
              <w:rPr>
                <w:w w:val="95"/>
                <w:sz w:val="21"/>
              </w:rPr>
              <w:t>日</w:t>
            </w:r>
            <w:r>
              <w:rPr>
                <w:w w:val="95"/>
                <w:sz w:val="21"/>
              </w:rPr>
              <w:t>内</w:t>
            </w:r>
            <w:r>
              <w:rPr>
                <w:w w:val="95"/>
                <w:sz w:val="21"/>
              </w:rPr>
              <w:t>作出核定。对属于给</w:t>
            </w:r>
            <w:r>
              <w:rPr>
                <w:w w:val="95"/>
                <w:sz w:val="21"/>
              </w:rPr>
              <w:t>付</w:t>
            </w:r>
            <w:r>
              <w:rPr>
                <w:w w:val="95"/>
                <w:sz w:val="21"/>
              </w:rPr>
              <w:t>保</w:t>
            </w:r>
            <w:r>
              <w:rPr>
                <w:spacing w:val="-2"/>
                <w:w w:val="95"/>
                <w:sz w:val="21"/>
              </w:rPr>
              <w:t>险金责任的，我</w:t>
            </w:r>
          </w:p>
        </w:tc>
      </w:tr>
      <w:tr>
        <w:trPr>
          <w:trHeight w:val="350"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5"/>
                <w:sz w:val="21"/>
              </w:rPr>
              <w:t>们在与受益人达成给付保险金的协议后 </w:t>
            </w:r>
            <w:r>
              <w:rPr>
                <w:spacing w:val="-2"/>
                <w:sz w:val="21"/>
              </w:rPr>
              <w:t>10</w:t>
            </w:r>
            <w:r>
              <w:rPr>
                <w:spacing w:val="-10"/>
                <w:sz w:val="21"/>
              </w:rPr>
              <w:t> 日内，履行给付保险金义务。</w:t>
            </w:r>
          </w:p>
        </w:tc>
      </w:tr>
      <w:tr>
        <w:trPr>
          <w:trHeight w:val="350"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51"/>
              <w:ind w:left="128"/>
              <w:rPr>
                <w:sz w:val="21"/>
              </w:rPr>
            </w:pPr>
            <w:r>
              <w:rPr>
                <w:spacing w:val="-3"/>
                <w:sz w:val="21"/>
              </w:rPr>
              <w:t>我们未及时履行前款规定的给付保险金义务的，除支付保险金外，应当赔</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偿受益人因此受到的损失。前述“损失”是指根据中国人民银行公布的同</w:t>
            </w:r>
          </w:p>
        </w:tc>
      </w:tr>
      <w:tr>
        <w:trPr>
          <w:trHeight w:val="351"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期人民币活期存款基准利率计算的利息损失。</w:t>
            </w:r>
          </w:p>
        </w:tc>
      </w:tr>
      <w:tr>
        <w:trPr>
          <w:trHeight w:val="351"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53"/>
              <w:ind w:left="128"/>
              <w:rPr>
                <w:sz w:val="21"/>
              </w:rPr>
            </w:pPr>
            <w:r>
              <w:rPr>
                <w:spacing w:val="-4"/>
                <w:sz w:val="21"/>
              </w:rPr>
              <w:t>对不属于保险责任的，我们自作出核定之日起 </w:t>
            </w:r>
            <w:r>
              <w:rPr>
                <w:spacing w:val="-2"/>
                <w:sz w:val="21"/>
              </w:rPr>
              <w:t>3</w:t>
            </w:r>
            <w:r>
              <w:rPr>
                <w:spacing w:val="-9"/>
                <w:sz w:val="21"/>
              </w:rPr>
              <w:t> 日内向受益人发出拒绝给</w:t>
            </w:r>
          </w:p>
        </w:tc>
      </w:tr>
      <w:tr>
        <w:trPr>
          <w:trHeight w:val="350"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付保险金通知书并说明理由。</w:t>
            </w:r>
          </w:p>
        </w:tc>
      </w:tr>
      <w:tr>
        <w:trPr>
          <w:trHeight w:val="350"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52"/>
              <w:ind w:left="128"/>
              <w:rPr>
                <w:sz w:val="21"/>
              </w:rPr>
            </w:pPr>
            <w:r>
              <w:rPr>
                <w:spacing w:val="-4"/>
                <w:sz w:val="21"/>
              </w:rPr>
              <w:t>我们在收到保险金给付申请书及有关证明和资料之日起 </w:t>
            </w:r>
            <w:r>
              <w:rPr>
                <w:spacing w:val="-2"/>
                <w:sz w:val="21"/>
              </w:rPr>
              <w:t>60</w:t>
            </w:r>
            <w:r>
              <w:rPr>
                <w:spacing w:val="-19"/>
                <w:sz w:val="21"/>
              </w:rPr>
              <w:t> 日内，对给付保</w:t>
            </w:r>
          </w:p>
        </w:tc>
      </w:tr>
      <w:tr>
        <w:trPr>
          <w:trHeight w:val="312"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险金的数额不能确定的，根据已有证明和资料可以确定的数额先予支付；</w:t>
            </w:r>
          </w:p>
        </w:tc>
      </w:tr>
      <w:tr>
        <w:trPr>
          <w:trHeight w:val="383" w:hRule="atLeast"/>
        </w:trPr>
        <w:tc>
          <w:tcPr>
            <w:tcW w:w="793" w:type="dxa"/>
          </w:tcPr>
          <w:p>
            <w:pPr>
              <w:pStyle w:val="TableParagraph"/>
              <w:rPr>
                <w:rFonts w:ascii="Times New Roman"/>
                <w:sz w:val="20"/>
              </w:rPr>
            </w:pPr>
          </w:p>
        </w:tc>
        <w:tc>
          <w:tcPr>
            <w:tcW w:w="2029" w:type="dxa"/>
          </w:tcPr>
          <w:p>
            <w:pPr>
              <w:pStyle w:val="TableParagraph"/>
              <w:rPr>
                <w:rFonts w:ascii="Times New Roman"/>
                <w:sz w:val="20"/>
              </w:rPr>
            </w:pPr>
          </w:p>
        </w:tc>
        <w:tc>
          <w:tcPr>
            <w:tcW w:w="7032" w:type="dxa"/>
          </w:tcPr>
          <w:p>
            <w:pPr>
              <w:pStyle w:val="TableParagraph"/>
              <w:spacing w:before="13"/>
              <w:ind w:left="128"/>
              <w:rPr>
                <w:sz w:val="21"/>
              </w:rPr>
            </w:pPr>
            <w:r>
              <w:rPr>
                <w:spacing w:val="-3"/>
                <w:sz w:val="21"/>
              </w:rPr>
              <w:t>我们最终确定给付保险金的数额后，将支付相应的差额。</w:t>
            </w:r>
          </w:p>
        </w:tc>
      </w:tr>
      <w:tr>
        <w:trPr>
          <w:trHeight w:val="383" w:hRule="atLeast"/>
        </w:trPr>
        <w:tc>
          <w:tcPr>
            <w:tcW w:w="793" w:type="dxa"/>
          </w:tcPr>
          <w:p>
            <w:pPr>
              <w:pStyle w:val="TableParagraph"/>
              <w:spacing w:line="346" w:lineRule="exact" w:before="18"/>
              <w:ind w:left="50"/>
              <w:rPr>
                <w:rFonts w:ascii="微软雅黑"/>
                <w:b/>
                <w:sz w:val="21"/>
              </w:rPr>
            </w:pPr>
            <w:r>
              <w:rPr>
                <w:rFonts w:ascii="微软雅黑"/>
                <w:b/>
                <w:spacing w:val="-5"/>
                <w:sz w:val="21"/>
              </w:rPr>
              <w:t>3.5</w:t>
            </w:r>
          </w:p>
        </w:tc>
        <w:tc>
          <w:tcPr>
            <w:tcW w:w="2029" w:type="dxa"/>
          </w:tcPr>
          <w:p>
            <w:pPr>
              <w:pStyle w:val="TableParagraph"/>
              <w:spacing w:line="346" w:lineRule="exact" w:before="18"/>
              <w:ind w:left="426"/>
              <w:rPr>
                <w:rFonts w:ascii="微软雅黑" w:eastAsia="微软雅黑"/>
                <w:b/>
                <w:sz w:val="21"/>
              </w:rPr>
            </w:pPr>
            <w:r>
              <w:rPr>
                <w:rFonts w:ascii="微软雅黑" w:eastAsia="微软雅黑"/>
                <w:b/>
                <w:spacing w:val="-2"/>
                <w:sz w:val="21"/>
              </w:rPr>
              <w:t>宣告死亡处理</w:t>
            </w:r>
          </w:p>
        </w:tc>
        <w:tc>
          <w:tcPr>
            <w:tcW w:w="7032" w:type="dxa"/>
          </w:tcPr>
          <w:p>
            <w:pPr>
              <w:pStyle w:val="TableParagraph"/>
              <w:spacing w:before="85"/>
              <w:ind w:left="128"/>
              <w:rPr>
                <w:sz w:val="21"/>
              </w:rPr>
            </w:pPr>
            <w:r>
              <w:rPr>
                <w:spacing w:val="-3"/>
                <w:sz w:val="21"/>
              </w:rPr>
              <w:t>如果有证据证明被保险人在本合同有效期内失踪，而且被法院宣告死亡，</w:t>
            </w:r>
          </w:p>
        </w:tc>
      </w:tr>
      <w:tr>
        <w:trPr>
          <w:trHeight w:val="261" w:hRule="atLeast"/>
        </w:trPr>
        <w:tc>
          <w:tcPr>
            <w:tcW w:w="793" w:type="dxa"/>
          </w:tcPr>
          <w:p>
            <w:pPr>
              <w:pStyle w:val="TableParagraph"/>
              <w:rPr>
                <w:rFonts w:ascii="Times New Roman"/>
                <w:sz w:val="18"/>
              </w:rPr>
            </w:pPr>
          </w:p>
        </w:tc>
        <w:tc>
          <w:tcPr>
            <w:tcW w:w="2029" w:type="dxa"/>
          </w:tcPr>
          <w:p>
            <w:pPr>
              <w:pStyle w:val="TableParagraph"/>
              <w:rPr>
                <w:rFonts w:ascii="Times New Roman"/>
                <w:sz w:val="18"/>
              </w:rPr>
            </w:pPr>
          </w:p>
        </w:tc>
        <w:tc>
          <w:tcPr>
            <w:tcW w:w="7032" w:type="dxa"/>
          </w:tcPr>
          <w:p>
            <w:pPr>
              <w:pStyle w:val="TableParagraph"/>
              <w:spacing w:line="228" w:lineRule="exact" w:before="13"/>
              <w:ind w:left="128"/>
              <w:rPr>
                <w:sz w:val="21"/>
              </w:rPr>
            </w:pPr>
            <w:r>
              <w:rPr>
                <w:spacing w:val="-3"/>
                <w:sz w:val="21"/>
              </w:rPr>
              <w:t>符合本合同约定的以死亡为保险金给付条件的，我们按本合同的约定给付</w:t>
            </w:r>
          </w:p>
        </w:tc>
      </w:tr>
    </w:tbl>
    <w:p>
      <w:pPr>
        <w:pStyle w:val="BodyText"/>
        <w:spacing w:before="11"/>
        <w:ind w:left="0"/>
        <w:rPr>
          <w:sz w:val="20"/>
        </w:rPr>
      </w:pPr>
      <w:r>
        <w:rPr/>
        <w:drawing>
          <wp:anchor distT="0" distB="0" distL="0" distR="0" allowOverlap="1" layoutInCell="1" locked="0" behindDoc="0" simplePos="0" relativeHeight="13">
            <wp:simplePos x="0" y="0"/>
            <wp:positionH relativeFrom="page">
              <wp:posOffset>719327</wp:posOffset>
            </wp:positionH>
            <wp:positionV relativeFrom="paragraph">
              <wp:posOffset>185496</wp:posOffset>
            </wp:positionV>
            <wp:extent cx="1829511" cy="9143"/>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1829511" cy="9143"/>
                    </a:xfrm>
                    <a:prstGeom prst="rect">
                      <a:avLst/>
                    </a:prstGeom>
                  </pic:spPr>
                </pic:pic>
              </a:graphicData>
            </a:graphic>
          </wp:anchor>
        </w:drawing>
      </w:r>
    </w:p>
    <w:p>
      <w:pPr>
        <w:spacing w:line="206" w:lineRule="auto" w:before="71"/>
        <w:ind w:left="212" w:right="693" w:firstLine="0"/>
        <w:jc w:val="left"/>
        <w:rPr>
          <w:sz w:val="18"/>
        </w:rPr>
      </w:pPr>
      <w:r>
        <w:rPr>
          <w:rFonts w:ascii="Calibri" w:eastAsia="Calibri"/>
          <w:b/>
          <w:spacing w:val="-2"/>
          <w:position w:val="5"/>
          <w:sz w:val="12"/>
        </w:rPr>
        <w:t>19</w:t>
      </w:r>
      <w:r>
        <w:rPr>
          <w:rFonts w:ascii="微软雅黑" w:eastAsia="微软雅黑"/>
          <w:b/>
          <w:spacing w:val="-2"/>
          <w:sz w:val="18"/>
        </w:rPr>
        <w:t>情形复杂：</w:t>
      </w:r>
      <w:r>
        <w:rPr>
          <w:spacing w:val="-3"/>
          <w:sz w:val="18"/>
        </w:rPr>
        <w:t>指保险事故的性质、原因、伤害或损失程度等在我们收到保险金给付申请书及合同约定的证明和资料后 </w:t>
      </w:r>
      <w:r>
        <w:rPr>
          <w:spacing w:val="-2"/>
          <w:sz w:val="18"/>
        </w:rPr>
        <w:t>5</w:t>
      </w:r>
      <w:r>
        <w:rPr>
          <w:spacing w:val="-8"/>
          <w:sz w:val="18"/>
        </w:rPr>
        <w:t> 日内</w:t>
      </w:r>
      <w:r>
        <w:rPr>
          <w:spacing w:val="-2"/>
          <w:sz w:val="18"/>
        </w:rPr>
        <w:t>无法确定，需要进一步核实。</w:t>
      </w:r>
    </w:p>
    <w:p>
      <w:pPr>
        <w:spacing w:after="0" w:line="206" w:lineRule="auto"/>
        <w:jc w:val="left"/>
        <w:rPr>
          <w:sz w:val="18"/>
        </w:rPr>
        <w:sectPr>
          <w:type w:val="continuous"/>
          <w:pgSz w:w="11910" w:h="16840"/>
          <w:pgMar w:top="1460" w:bottom="280" w:left="920" w:right="440"/>
        </w:sectPr>
      </w:pPr>
    </w:p>
    <w:p>
      <w:pPr>
        <w:pStyle w:val="BodyText"/>
        <w:spacing w:before="43"/>
      </w:pPr>
      <w:r>
        <w:rPr>
          <w:spacing w:val="-3"/>
        </w:rPr>
        <w:t>保险金，本合同终止。</w:t>
      </w:r>
    </w:p>
    <w:p>
      <w:pPr>
        <w:pStyle w:val="BodyText"/>
        <w:spacing w:line="278" w:lineRule="auto" w:before="120"/>
        <w:ind w:right="684"/>
        <w:jc w:val="both"/>
      </w:pPr>
      <w:r>
        <w:rPr>
          <w:spacing w:val="-2"/>
        </w:rPr>
        <w:t>如果被保险人在宣告死亡后重新出现或者确知其没有死亡，受益人应于知</w:t>
      </w:r>
      <w:r>
        <w:rPr>
          <w:w w:val="95"/>
        </w:rPr>
        <w:t>道</w:t>
      </w:r>
      <w:r>
        <w:rPr>
          <w:w w:val="95"/>
        </w:rPr>
        <w:t>或</w:t>
      </w:r>
      <w:r>
        <w:rPr>
          <w:w w:val="95"/>
        </w:rPr>
        <w:t>应当</w:t>
      </w:r>
      <w:r>
        <w:rPr>
          <w:w w:val="95"/>
        </w:rPr>
        <w:t>知</w:t>
      </w:r>
      <w:r>
        <w:rPr>
          <w:w w:val="95"/>
        </w:rPr>
        <w:t>道</w:t>
      </w:r>
      <w:r>
        <w:rPr>
          <w:w w:val="95"/>
        </w:rPr>
        <w:t>后</w:t>
      </w:r>
      <w:r>
        <w:rPr>
          <w:spacing w:val="35"/>
        </w:rPr>
        <w:t> </w:t>
      </w:r>
      <w:r>
        <w:rPr>
          <w:w w:val="95"/>
        </w:rPr>
        <w:t>30</w:t>
      </w:r>
      <w:r>
        <w:rPr>
          <w:spacing w:val="29"/>
        </w:rPr>
        <w:t> </w:t>
      </w:r>
      <w:r>
        <w:rPr>
          <w:w w:val="95"/>
        </w:rPr>
        <w:t>日</w:t>
      </w:r>
      <w:r>
        <w:rPr>
          <w:w w:val="95"/>
        </w:rPr>
        <w:t>内</w:t>
      </w:r>
      <w:r>
        <w:rPr>
          <w:w w:val="95"/>
        </w:rPr>
        <w:t>向</w:t>
      </w:r>
      <w:r>
        <w:rPr>
          <w:w w:val="95"/>
        </w:rPr>
        <w:t>我</w:t>
      </w:r>
      <w:r>
        <w:rPr>
          <w:w w:val="95"/>
        </w:rPr>
        <w:t>们</w:t>
      </w:r>
      <w:r>
        <w:rPr>
          <w:spacing w:val="-9"/>
          <w:w w:val="95"/>
        </w:rPr>
        <w:t>退还已给付的保险金，</w:t>
      </w:r>
      <w:r>
        <w:rPr>
          <w:w w:val="95"/>
        </w:rPr>
        <w:t>本</w:t>
      </w:r>
      <w:r>
        <w:rPr>
          <w:w w:val="95"/>
        </w:rPr>
        <w:t>合</w:t>
      </w:r>
      <w:r>
        <w:rPr>
          <w:w w:val="95"/>
        </w:rPr>
        <w:t>同的效力由</w:t>
      </w:r>
      <w:r>
        <w:rPr>
          <w:w w:val="95"/>
        </w:rPr>
        <w:t>双</w:t>
      </w:r>
      <w:r>
        <w:rPr>
          <w:w w:val="95"/>
        </w:rPr>
        <w:t>方</w:t>
      </w:r>
      <w:r>
        <w:rPr>
          <w:spacing w:val="-2"/>
        </w:rPr>
        <w:t>依法确定。</w:t>
      </w:r>
    </w:p>
    <w:p>
      <w:pPr>
        <w:tabs>
          <w:tab w:pos="1381" w:val="left" w:leader="none"/>
          <w:tab w:pos="3112" w:val="left" w:leader="none"/>
        </w:tabs>
        <w:spacing w:line="383" w:lineRule="exact" w:before="74"/>
        <w:ind w:left="212" w:right="0" w:firstLine="0"/>
        <w:jc w:val="both"/>
        <w:rPr>
          <w:sz w:val="21"/>
        </w:rPr>
      </w:pPr>
      <w:r>
        <w:rPr>
          <w:rFonts w:ascii="微软雅黑" w:eastAsia="微软雅黑"/>
          <w:b/>
          <w:spacing w:val="-5"/>
          <w:sz w:val="21"/>
        </w:rPr>
        <w:t>3.6</w:t>
      </w:r>
      <w:r>
        <w:rPr>
          <w:rFonts w:ascii="微软雅黑" w:eastAsia="微软雅黑"/>
          <w:b/>
          <w:sz w:val="21"/>
        </w:rPr>
        <w:tab/>
        <w:t>诉讼时</w:t>
      </w:r>
      <w:r>
        <w:rPr>
          <w:rFonts w:ascii="微软雅黑" w:eastAsia="微软雅黑"/>
          <w:b/>
          <w:spacing w:val="-10"/>
          <w:sz w:val="21"/>
        </w:rPr>
        <w:t>效</w:t>
      </w:r>
      <w:r>
        <w:rPr>
          <w:rFonts w:ascii="微软雅黑" w:eastAsia="微软雅黑"/>
          <w:b/>
          <w:sz w:val="21"/>
        </w:rPr>
        <w:tab/>
      </w:r>
      <w:r>
        <w:rPr>
          <w:spacing w:val="-2"/>
          <w:sz w:val="21"/>
        </w:rPr>
        <w:t>受</w:t>
      </w:r>
      <w:r>
        <w:rPr>
          <w:spacing w:val="-2"/>
          <w:sz w:val="21"/>
        </w:rPr>
        <w:t>益</w:t>
      </w:r>
      <w:r>
        <w:rPr>
          <w:spacing w:val="-2"/>
          <w:sz w:val="21"/>
        </w:rPr>
        <w:t>人向我们请求给付保</w:t>
      </w:r>
      <w:r>
        <w:rPr>
          <w:spacing w:val="-2"/>
          <w:sz w:val="21"/>
        </w:rPr>
        <w:t>险</w:t>
      </w:r>
      <w:r>
        <w:rPr>
          <w:spacing w:val="-2"/>
          <w:sz w:val="21"/>
        </w:rPr>
        <w:t>金</w:t>
      </w:r>
      <w:r>
        <w:rPr>
          <w:spacing w:val="-2"/>
          <w:sz w:val="21"/>
        </w:rPr>
        <w:t>的诉讼时效期间为</w:t>
      </w:r>
      <w:r>
        <w:rPr>
          <w:spacing w:val="-30"/>
          <w:sz w:val="21"/>
        </w:rPr>
        <w:t> </w:t>
      </w:r>
      <w:r>
        <w:rPr>
          <w:spacing w:val="-2"/>
          <w:sz w:val="21"/>
        </w:rPr>
        <w:t>2</w:t>
      </w:r>
      <w:r>
        <w:rPr>
          <w:spacing w:val="-30"/>
          <w:sz w:val="21"/>
        </w:rPr>
        <w:t> </w:t>
      </w:r>
      <w:r>
        <w:rPr>
          <w:spacing w:val="-2"/>
          <w:sz w:val="21"/>
        </w:rPr>
        <w:t>年</w:t>
      </w:r>
      <w:r>
        <w:rPr>
          <w:spacing w:val="-2"/>
          <w:sz w:val="21"/>
        </w:rPr>
        <w:t>，自其知道或者应</w:t>
      </w:r>
      <w:r>
        <w:rPr>
          <w:spacing w:val="-10"/>
          <w:sz w:val="21"/>
        </w:rPr>
        <w:t>当</w:t>
      </w:r>
    </w:p>
    <w:p>
      <w:pPr>
        <w:pStyle w:val="BodyText"/>
        <w:spacing w:line="265" w:lineRule="exact"/>
      </w:pPr>
      <w:r>
        <w:rPr>
          <w:spacing w:val="-3"/>
        </w:rPr>
        <w:t>知道保险事故发生之日起计算。</w:t>
      </w:r>
    </w:p>
    <w:p>
      <w:pPr>
        <w:pStyle w:val="Heading1"/>
        <w:numPr>
          <w:ilvl w:val="0"/>
          <w:numId w:val="18"/>
        </w:numPr>
        <w:tabs>
          <w:tab w:pos="1381" w:val="left" w:leader="none"/>
          <w:tab w:pos="1382" w:val="left" w:leader="none"/>
        </w:tabs>
        <w:spacing w:line="240" w:lineRule="auto" w:before="117" w:after="0"/>
        <w:ind w:left="1382" w:right="0" w:hanging="1170"/>
        <w:jc w:val="both"/>
        <w:rPr>
          <w:rFonts w:ascii="Microsoft JhengHei" w:eastAsia="Microsoft JhengHei"/>
        </w:rPr>
      </w:pPr>
      <w:r>
        <w:rPr/>
        <w:drawing>
          <wp:anchor distT="0" distB="0" distL="0" distR="0" allowOverlap="1" layoutInCell="1" locked="0" behindDoc="0" simplePos="0" relativeHeight="15736320">
            <wp:simplePos x="0" y="0"/>
            <wp:positionH relativeFrom="page">
              <wp:posOffset>650748</wp:posOffset>
            </wp:positionH>
            <wp:positionV relativeFrom="paragraph">
              <wp:posOffset>301952</wp:posOffset>
            </wp:positionV>
            <wp:extent cx="6261861" cy="18288"/>
            <wp:effectExtent l="0" t="0" r="0" b="0"/>
            <wp:wrapNone/>
            <wp:docPr id="21" name="image6.png"/>
            <wp:cNvGraphicFramePr>
              <a:graphicFrameLocks noChangeAspect="1"/>
            </wp:cNvGraphicFramePr>
            <a:graphic>
              <a:graphicData uri="http://schemas.openxmlformats.org/drawingml/2006/picture">
                <pic:pic>
                  <pic:nvPicPr>
                    <pic:cNvPr id="22" name="image6.png"/>
                    <pic:cNvPicPr/>
                  </pic:nvPicPr>
                  <pic:blipFill>
                    <a:blip r:embed="rId10" cstate="print"/>
                    <a:stretch>
                      <a:fillRect/>
                    </a:stretch>
                  </pic:blipFill>
                  <pic:spPr>
                    <a:xfrm>
                      <a:off x="0" y="0"/>
                      <a:ext cx="6261861" cy="18288"/>
                    </a:xfrm>
                    <a:prstGeom prst="rect">
                      <a:avLst/>
                    </a:prstGeom>
                  </pic:spPr>
                </pic:pic>
              </a:graphicData>
            </a:graphic>
          </wp:anchor>
        </w:drawing>
      </w:r>
      <w:r>
        <w:rPr>
          <w:rFonts w:ascii="Microsoft JhengHei" w:eastAsia="Microsoft JhengHei"/>
          <w:spacing w:val="-2"/>
        </w:rPr>
        <w:t>保险费的支付</w:t>
      </w:r>
    </w:p>
    <w:p>
      <w:pPr>
        <w:pStyle w:val="ListParagraph"/>
        <w:numPr>
          <w:ilvl w:val="1"/>
          <w:numId w:val="18"/>
        </w:numPr>
        <w:tabs>
          <w:tab w:pos="1381" w:val="left" w:leader="none"/>
          <w:tab w:pos="1382" w:val="left" w:leader="none"/>
          <w:tab w:pos="3112" w:val="left" w:leader="none"/>
        </w:tabs>
        <w:spacing w:line="240" w:lineRule="auto" w:before="70" w:after="0"/>
        <w:ind w:left="1382" w:right="0" w:hanging="1170"/>
        <w:jc w:val="left"/>
        <w:rPr>
          <w:sz w:val="21"/>
        </w:rPr>
      </w:pPr>
      <w:r>
        <w:rPr>
          <w:rFonts w:ascii="微软雅黑" w:eastAsia="微软雅黑"/>
          <w:b/>
          <w:sz w:val="21"/>
        </w:rPr>
        <w:t>保险费的支</w:t>
      </w:r>
      <w:r>
        <w:rPr>
          <w:rFonts w:ascii="微软雅黑" w:eastAsia="微软雅黑"/>
          <w:b/>
          <w:spacing w:val="-10"/>
          <w:sz w:val="21"/>
        </w:rPr>
        <w:t>付</w:t>
      </w:r>
      <w:r>
        <w:rPr>
          <w:rFonts w:ascii="微软雅黑" w:eastAsia="微软雅黑"/>
          <w:b/>
          <w:sz w:val="21"/>
        </w:rPr>
        <w:tab/>
      </w:r>
      <w:r>
        <w:rPr>
          <w:spacing w:val="-2"/>
          <w:sz w:val="21"/>
        </w:rPr>
        <w:t>交</w:t>
      </w:r>
      <w:r>
        <w:rPr>
          <w:spacing w:val="-2"/>
          <w:sz w:val="21"/>
        </w:rPr>
        <w:t>费</w:t>
      </w:r>
      <w:r>
        <w:rPr>
          <w:spacing w:val="-2"/>
          <w:sz w:val="21"/>
        </w:rPr>
        <w:t>方式和交费期间由您</w:t>
      </w:r>
      <w:r>
        <w:rPr>
          <w:spacing w:val="-2"/>
          <w:sz w:val="21"/>
        </w:rPr>
        <w:t>在</w:t>
      </w:r>
      <w:r>
        <w:rPr>
          <w:spacing w:val="-2"/>
          <w:sz w:val="21"/>
        </w:rPr>
        <w:t>投</w:t>
      </w:r>
      <w:r>
        <w:rPr>
          <w:spacing w:val="-2"/>
          <w:sz w:val="21"/>
        </w:rPr>
        <w:t>保时与我们约定并在</w:t>
      </w:r>
      <w:r>
        <w:rPr>
          <w:spacing w:val="-2"/>
          <w:sz w:val="21"/>
        </w:rPr>
        <w:t>保</w:t>
      </w:r>
      <w:r>
        <w:rPr>
          <w:spacing w:val="-2"/>
          <w:sz w:val="21"/>
        </w:rPr>
        <w:t>险</w:t>
      </w:r>
      <w:r>
        <w:rPr>
          <w:spacing w:val="-2"/>
          <w:sz w:val="21"/>
        </w:rPr>
        <w:t>单上载</w:t>
      </w:r>
      <w:r>
        <w:rPr>
          <w:spacing w:val="-2"/>
          <w:sz w:val="21"/>
        </w:rPr>
        <w:t>明</w:t>
      </w:r>
      <w:r>
        <w:rPr>
          <w:spacing w:val="-10"/>
          <w:sz w:val="21"/>
        </w:rPr>
        <w:t>。</w:t>
      </w:r>
    </w:p>
    <w:p>
      <w:pPr>
        <w:pStyle w:val="BodyText"/>
        <w:spacing w:line="278" w:lineRule="auto" w:before="69"/>
        <w:ind w:right="684"/>
      </w:pPr>
      <w:r>
        <w:rPr>
          <w:spacing w:val="-2"/>
        </w:rPr>
        <w:t>在支付首期保险费后，您应当按照约定，在每个保险费约定支付日支付其</w:t>
      </w:r>
      <w:r>
        <w:rPr>
          <w:spacing w:val="-2"/>
        </w:rPr>
        <w:t>余各期的保险费。</w:t>
      </w:r>
    </w:p>
    <w:p>
      <w:pPr>
        <w:pStyle w:val="ListParagraph"/>
        <w:numPr>
          <w:ilvl w:val="1"/>
          <w:numId w:val="18"/>
        </w:numPr>
        <w:tabs>
          <w:tab w:pos="1381" w:val="left" w:leader="none"/>
          <w:tab w:pos="1382" w:val="left" w:leader="none"/>
          <w:tab w:pos="3112" w:val="left" w:leader="none"/>
        </w:tabs>
        <w:spacing w:line="240" w:lineRule="auto" w:before="79" w:after="0"/>
        <w:ind w:left="1382" w:right="0" w:hanging="1170"/>
        <w:jc w:val="left"/>
        <w:rPr>
          <w:sz w:val="21"/>
        </w:rPr>
      </w:pPr>
      <w:r>
        <w:rPr>
          <w:rFonts w:ascii="微软雅黑" w:eastAsia="微软雅黑"/>
          <w:b/>
          <w:position w:val="2"/>
          <w:sz w:val="21"/>
        </w:rPr>
        <w:t>宽限</w:t>
      </w:r>
      <w:r>
        <w:rPr>
          <w:rFonts w:ascii="微软雅黑" w:eastAsia="微软雅黑"/>
          <w:b/>
          <w:spacing w:val="-10"/>
          <w:position w:val="2"/>
          <w:sz w:val="21"/>
        </w:rPr>
        <w:t>期</w:t>
      </w:r>
      <w:r>
        <w:rPr>
          <w:rFonts w:ascii="微软雅黑" w:eastAsia="微软雅黑"/>
          <w:b/>
          <w:position w:val="2"/>
          <w:sz w:val="21"/>
        </w:rPr>
        <w:tab/>
      </w:r>
      <w:r>
        <w:rPr>
          <w:spacing w:val="-2"/>
          <w:sz w:val="21"/>
        </w:rPr>
        <w:t>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，除</w:t>
      </w:r>
      <w:r>
        <w:rPr>
          <w:spacing w:val="-2"/>
          <w:sz w:val="21"/>
        </w:rPr>
        <w:t>本</w:t>
      </w:r>
      <w:r>
        <w:rPr>
          <w:spacing w:val="-2"/>
          <w:sz w:val="21"/>
        </w:rPr>
        <w:t>合</w:t>
      </w:r>
      <w:r>
        <w:rPr>
          <w:spacing w:val="-2"/>
          <w:sz w:val="21"/>
        </w:rPr>
        <w:t>同</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10"/>
          <w:sz w:val="21"/>
        </w:rPr>
        <w:t>，</w:t>
      </w:r>
    </w:p>
    <w:p>
      <w:pPr>
        <w:pStyle w:val="BodyText"/>
        <w:spacing w:line="283" w:lineRule="auto" w:before="21"/>
        <w:ind w:right="681"/>
      </w:pPr>
      <w:r>
        <w:rPr>
          <w:spacing w:val="-4"/>
        </w:rPr>
        <w:t>自保险费约定支付日的次日零时起 </w:t>
      </w:r>
      <w:r>
        <w:rPr/>
        <w:t>60</w:t>
      </w:r>
      <w:r>
        <w:rPr>
          <w:spacing w:val="-13"/>
        </w:rPr>
        <w:t> 日为宽限期。宽限期内发生的保险事</w:t>
      </w:r>
      <w:r>
        <w:rPr>
          <w:spacing w:val="-3"/>
        </w:rPr>
        <w:t>故，我们仍会承担保险责任，但在给付保险金时会扣减您欠交的保险费。</w:t>
      </w:r>
    </w:p>
    <w:p>
      <w:pPr>
        <w:pStyle w:val="BodyText"/>
        <w:spacing w:line="278" w:lineRule="auto" w:before="59"/>
        <w:ind w:right="684"/>
      </w:pPr>
      <w:r>
        <w:rPr>
          <w:spacing w:val="-2"/>
        </w:rPr>
        <w:t>如果您宽限期结束之后仍未支付保险费且未选择保险费自动垫交，则本合</w:t>
      </w:r>
      <w:r>
        <w:rPr>
          <w:spacing w:val="-2"/>
        </w:rPr>
        <w:t>同自宽限期满的次日零时起效力中止。</w:t>
      </w:r>
    </w:p>
    <w:p>
      <w:pPr>
        <w:pStyle w:val="Heading1"/>
        <w:numPr>
          <w:ilvl w:val="0"/>
          <w:numId w:val="18"/>
        </w:numPr>
        <w:tabs>
          <w:tab w:pos="1381" w:val="left" w:leader="none"/>
          <w:tab w:pos="1382" w:val="left" w:leader="none"/>
        </w:tabs>
        <w:spacing w:line="240" w:lineRule="auto" w:before="72" w:after="0"/>
        <w:ind w:left="1382" w:right="0" w:hanging="1170"/>
        <w:jc w:val="left"/>
        <w:rPr>
          <w:rFonts w:ascii="Microsoft JhengHei" w:eastAsia="Microsoft JhengHei"/>
        </w:rPr>
      </w:pPr>
      <w:r>
        <w:rPr/>
        <w:drawing>
          <wp:anchor distT="0" distB="0" distL="0" distR="0" allowOverlap="1" layoutInCell="1" locked="0" behindDoc="0" simplePos="0" relativeHeight="15736832">
            <wp:simplePos x="0" y="0"/>
            <wp:positionH relativeFrom="page">
              <wp:posOffset>650748</wp:posOffset>
            </wp:positionH>
            <wp:positionV relativeFrom="paragraph">
              <wp:posOffset>273378</wp:posOffset>
            </wp:positionV>
            <wp:extent cx="6261861" cy="18287"/>
            <wp:effectExtent l="0" t="0" r="0" b="0"/>
            <wp:wrapNone/>
            <wp:docPr id="23" name="image2.png"/>
            <wp:cNvGraphicFramePr>
              <a:graphicFrameLocks noChangeAspect="1"/>
            </wp:cNvGraphicFramePr>
            <a:graphic>
              <a:graphicData uri="http://schemas.openxmlformats.org/drawingml/2006/picture">
                <pic:pic>
                  <pic:nvPicPr>
                    <pic:cNvPr id="24" name="image2.png"/>
                    <pic:cNvPicPr/>
                  </pic:nvPicPr>
                  <pic:blipFill>
                    <a:blip r:embed="rId6" cstate="print"/>
                    <a:stretch>
                      <a:fillRect/>
                    </a:stretch>
                  </pic:blipFill>
                  <pic:spPr>
                    <a:xfrm>
                      <a:off x="0" y="0"/>
                      <a:ext cx="6261861" cy="18287"/>
                    </a:xfrm>
                    <a:prstGeom prst="rect">
                      <a:avLst/>
                    </a:prstGeom>
                  </pic:spPr>
                </pic:pic>
              </a:graphicData>
            </a:graphic>
          </wp:anchor>
        </w:drawing>
      </w:r>
      <w:r>
        <w:rPr>
          <w:rFonts w:ascii="Microsoft JhengHei" w:eastAsia="Microsoft JhengHei"/>
          <w:spacing w:val="-2"/>
        </w:rPr>
        <w:t>现金价值权益</w:t>
      </w:r>
    </w:p>
    <w:p>
      <w:pPr>
        <w:pStyle w:val="ListParagraph"/>
        <w:numPr>
          <w:ilvl w:val="1"/>
          <w:numId w:val="18"/>
        </w:numPr>
        <w:tabs>
          <w:tab w:pos="1381" w:val="left" w:leader="none"/>
          <w:tab w:pos="1382" w:val="left" w:leader="none"/>
          <w:tab w:pos="3112" w:val="left" w:leader="none"/>
        </w:tabs>
        <w:spacing w:line="383" w:lineRule="exact" w:before="70" w:after="0"/>
        <w:ind w:left="1382" w:right="0" w:hanging="1170"/>
        <w:jc w:val="left"/>
        <w:rPr>
          <w:sz w:val="21"/>
        </w:rPr>
      </w:pPr>
      <w:r>
        <w:rPr>
          <w:rFonts w:ascii="微软雅黑" w:eastAsia="微软雅黑"/>
          <w:b/>
          <w:sz w:val="21"/>
        </w:rPr>
        <w:t>现金价</w:t>
      </w:r>
      <w:r>
        <w:rPr>
          <w:rFonts w:ascii="微软雅黑" w:eastAsia="微软雅黑"/>
          <w:b/>
          <w:spacing w:val="-10"/>
          <w:sz w:val="21"/>
        </w:rPr>
        <w:t>值</w:t>
      </w:r>
      <w:r>
        <w:rPr>
          <w:rFonts w:ascii="微软雅黑" w:eastAsia="微软雅黑"/>
          <w:b/>
          <w:sz w:val="21"/>
        </w:rPr>
        <w:tab/>
      </w:r>
      <w:r>
        <w:rPr>
          <w:spacing w:val="-2"/>
          <w:sz w:val="21"/>
        </w:rPr>
        <w:t>指</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单</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10"/>
          <w:sz w:val="21"/>
        </w:rPr>
        <w:t>计</w:t>
      </w:r>
    </w:p>
    <w:p>
      <w:pPr>
        <w:pStyle w:val="BodyText"/>
        <w:spacing w:line="278" w:lineRule="auto"/>
        <w:ind w:right="576"/>
      </w:pPr>
      <w:r>
        <w:rPr>
          <w:spacing w:val="-4"/>
        </w:rPr>
        <w:t>算的，由我们退还的那部分金额。保单年度末的现金价值在保险单上载明。</w:t>
      </w:r>
      <w:r>
        <w:rPr>
          <w:spacing w:val="-2"/>
        </w:rPr>
        <w:t>保单年度内的现金价值，您可以向我们咨询。</w:t>
      </w:r>
      <w:r>
        <w:rPr>
          <w:color w:val="000000"/>
          <w:spacing w:val="-2"/>
          <w:shd w:fill="A6A6A6" w:color="auto" w:val="clear"/>
        </w:rPr>
        <w:t>我们给付首次重大疾病保险</w:t>
      </w:r>
      <w:r>
        <w:rPr>
          <w:color w:val="000000"/>
          <w:spacing w:val="80"/>
          <w:w w:val="150"/>
          <w:shd w:fill="A6A6A6" w:color="auto" w:val="clear"/>
        </w:rPr>
        <w:t>                                     </w:t>
      </w:r>
      <w:r>
        <w:rPr>
          <w:color w:val="000000"/>
          <w:spacing w:val="-2"/>
          <w:shd w:fill="A6A6A6" w:color="auto" w:val="clear"/>
        </w:rPr>
        <w:t>金后，本合同的现金价值降为零。</w:t>
      </w:r>
    </w:p>
    <w:p>
      <w:pPr>
        <w:pStyle w:val="ListParagraph"/>
        <w:numPr>
          <w:ilvl w:val="1"/>
          <w:numId w:val="18"/>
        </w:numPr>
        <w:tabs>
          <w:tab w:pos="1381" w:val="left" w:leader="none"/>
          <w:tab w:pos="1382" w:val="left" w:leader="none"/>
          <w:tab w:pos="3112" w:val="left" w:leader="none"/>
        </w:tabs>
        <w:spacing w:line="383" w:lineRule="exact" w:before="70" w:after="0"/>
        <w:ind w:left="1382" w:right="0" w:hanging="1170"/>
        <w:jc w:val="left"/>
        <w:rPr>
          <w:sz w:val="21"/>
        </w:rPr>
      </w:pPr>
      <w:r>
        <w:rPr>
          <w:rFonts w:ascii="微软雅黑" w:eastAsia="微软雅黑"/>
          <w:b/>
          <w:sz w:val="21"/>
        </w:rPr>
        <w:t>保单贷</w:t>
      </w:r>
      <w:r>
        <w:rPr>
          <w:rFonts w:ascii="微软雅黑" w:eastAsia="微软雅黑"/>
          <w:b/>
          <w:spacing w:val="-10"/>
          <w:sz w:val="21"/>
        </w:rPr>
        <w:t>款</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并</w:t>
      </w:r>
      <w:r>
        <w:rPr>
          <w:spacing w:val="-2"/>
          <w:sz w:val="21"/>
        </w:rPr>
        <w:t>经</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w:t>
      </w:r>
      <w:r>
        <w:rPr>
          <w:spacing w:val="-2"/>
          <w:sz w:val="21"/>
        </w:rPr>
        <w:t>后</w:t>
      </w:r>
      <w:r>
        <w:rPr>
          <w:spacing w:val="-2"/>
          <w:sz w:val="21"/>
        </w:rPr>
        <w:t>办</w:t>
      </w:r>
      <w:r>
        <w:rPr>
          <w:spacing w:val="-2"/>
          <w:sz w:val="21"/>
        </w:rPr>
        <w:t>理</w:t>
      </w:r>
      <w:r>
        <w:rPr>
          <w:spacing w:val="-2"/>
          <w:sz w:val="21"/>
        </w:rPr>
        <w:t>保</w:t>
      </w:r>
      <w:r>
        <w:rPr>
          <w:spacing w:val="-2"/>
          <w:sz w:val="21"/>
        </w:rPr>
        <w:t>单</w:t>
      </w:r>
      <w:r>
        <w:rPr>
          <w:spacing w:val="-2"/>
          <w:sz w:val="21"/>
        </w:rPr>
        <w:t>贷</w:t>
      </w:r>
      <w:r>
        <w:rPr>
          <w:spacing w:val="-2"/>
          <w:sz w:val="21"/>
        </w:rPr>
        <w:t>款</w:t>
      </w:r>
      <w:r>
        <w:rPr>
          <w:spacing w:val="-2"/>
          <w:sz w:val="21"/>
        </w:rPr>
        <w:t>。</w:t>
      </w:r>
      <w:r>
        <w:rPr>
          <w:spacing w:val="-2"/>
          <w:sz w:val="21"/>
        </w:rPr>
        <w:t>对</w:t>
      </w:r>
      <w:r>
        <w:rPr>
          <w:spacing w:val="-10"/>
          <w:sz w:val="21"/>
        </w:rPr>
        <w:t>于</w:t>
      </w:r>
    </w:p>
    <w:p>
      <w:pPr>
        <w:pStyle w:val="BodyText"/>
        <w:spacing w:line="278" w:lineRule="auto"/>
        <w:ind w:right="576"/>
      </w:pPr>
      <w:r>
        <w:rPr>
          <w:spacing w:val="-2"/>
        </w:rPr>
        <w:t>以身故为保险金给付条件的保单，您申请保单贷款必须取得被保险人的书</w:t>
      </w:r>
      <w:r>
        <w:rPr>
          <w:spacing w:val="-4"/>
        </w:rPr>
        <w:t>面同意。贷款金额不得超过本合同的现金价值扣除各项欠款后余额的 </w:t>
      </w:r>
      <w:r>
        <w:rPr>
          <w:spacing w:val="-2"/>
        </w:rPr>
        <w:t>80%，</w:t>
      </w:r>
    </w:p>
    <w:p>
      <w:pPr>
        <w:spacing w:line="316" w:lineRule="exact" w:before="0"/>
        <w:ind w:left="3113" w:right="0" w:firstLine="0"/>
        <w:jc w:val="left"/>
        <w:rPr>
          <w:sz w:val="21"/>
        </w:rPr>
      </w:pPr>
      <w:r>
        <w:rPr>
          <w:w w:val="95"/>
          <w:sz w:val="21"/>
        </w:rPr>
        <w:t>每</w:t>
      </w:r>
      <w:r>
        <w:rPr>
          <w:w w:val="95"/>
          <w:sz w:val="21"/>
        </w:rPr>
        <w:t>次</w:t>
      </w:r>
      <w:r>
        <w:rPr>
          <w:w w:val="95"/>
          <w:sz w:val="21"/>
        </w:rPr>
        <w:t>贷款期限最长</w:t>
      </w:r>
      <w:r>
        <w:rPr>
          <w:w w:val="95"/>
          <w:sz w:val="21"/>
        </w:rPr>
        <w:t>不</w:t>
      </w:r>
      <w:r>
        <w:rPr>
          <w:w w:val="95"/>
          <w:sz w:val="21"/>
        </w:rPr>
        <w:t>超</w:t>
      </w:r>
      <w:r>
        <w:rPr>
          <w:w w:val="95"/>
          <w:sz w:val="21"/>
        </w:rPr>
        <w:t>过</w:t>
      </w:r>
      <w:r>
        <w:rPr>
          <w:spacing w:val="31"/>
          <w:sz w:val="21"/>
        </w:rPr>
        <w:t> </w:t>
      </w:r>
      <w:r>
        <w:rPr>
          <w:w w:val="95"/>
          <w:sz w:val="21"/>
        </w:rPr>
        <w:t>6</w:t>
      </w:r>
      <w:r>
        <w:rPr>
          <w:spacing w:val="38"/>
          <w:sz w:val="21"/>
        </w:rPr>
        <w:t> </w:t>
      </w:r>
      <w:r>
        <w:rPr>
          <w:w w:val="95"/>
          <w:sz w:val="21"/>
        </w:rPr>
        <w:t>个月，贷款利</w:t>
      </w:r>
      <w:r>
        <w:rPr>
          <w:w w:val="95"/>
          <w:sz w:val="21"/>
        </w:rPr>
        <w:t>息</w:t>
      </w:r>
      <w:r>
        <w:rPr>
          <w:w w:val="95"/>
          <w:sz w:val="21"/>
        </w:rPr>
        <w:t>按</w:t>
      </w: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约</w:t>
      </w:r>
      <w:r>
        <w:rPr>
          <w:rFonts w:ascii="微软雅黑" w:eastAsia="微软雅黑"/>
          <w:b/>
          <w:w w:val="95"/>
          <w:sz w:val="21"/>
        </w:rPr>
        <w:t>定</w:t>
      </w:r>
      <w:r>
        <w:rPr>
          <w:rFonts w:ascii="微软雅黑" w:eastAsia="微软雅黑"/>
          <w:b/>
          <w:w w:val="95"/>
          <w:sz w:val="21"/>
        </w:rPr>
        <w:t>利</w:t>
      </w:r>
      <w:r>
        <w:rPr>
          <w:rFonts w:ascii="微软雅黑" w:eastAsia="微软雅黑"/>
          <w:b/>
          <w:w w:val="95"/>
          <w:sz w:val="21"/>
        </w:rPr>
        <w:t>率</w:t>
      </w:r>
      <w:r>
        <w:rPr>
          <w:rFonts w:ascii="微软雅黑" w:eastAsia="微软雅黑"/>
          <w:b/>
          <w:w w:val="95"/>
          <w:position w:val="11"/>
          <w:sz w:val="11"/>
        </w:rPr>
        <w:t>20</w:t>
      </w:r>
      <w:r>
        <w:rPr>
          <w:w w:val="95"/>
          <w:sz w:val="21"/>
        </w:rPr>
        <w:t>计</w:t>
      </w:r>
      <w:r>
        <w:rPr>
          <w:w w:val="95"/>
          <w:sz w:val="21"/>
        </w:rPr>
        <w:t>算</w:t>
      </w:r>
      <w:r>
        <w:rPr>
          <w:spacing w:val="-4"/>
          <w:w w:val="95"/>
          <w:sz w:val="21"/>
        </w:rPr>
        <w:t>。贷款</w:t>
      </w:r>
    </w:p>
    <w:p>
      <w:pPr>
        <w:pStyle w:val="BodyText"/>
        <w:spacing w:line="278" w:lineRule="auto"/>
        <w:ind w:right="684"/>
      </w:pPr>
      <w:r>
        <w:rPr>
          <w:spacing w:val="-2"/>
        </w:rPr>
        <w:t>本息在贷款到期时一并归还。若您到期未能足额偿还贷款本息，则您所欠</w:t>
      </w:r>
      <w:r>
        <w:rPr>
          <w:spacing w:val="-2"/>
        </w:rPr>
        <w:t>的贷款本金及利息将作为新的贷款本金计息。</w:t>
      </w:r>
    </w:p>
    <w:p>
      <w:pPr>
        <w:pStyle w:val="BodyText"/>
        <w:spacing w:line="278" w:lineRule="auto" w:before="71"/>
        <w:ind w:right="684"/>
      </w:pPr>
      <w:r>
        <w:rPr>
          <w:spacing w:val="-1"/>
        </w:rPr>
        <w:t>自贷款本金及利息加上其他各项欠款达到本合同的现金价值的当日 </w:t>
      </w:r>
      <w:r>
        <w:rPr/>
        <w:t>24</w:t>
      </w:r>
      <w:r>
        <w:rPr>
          <w:spacing w:val="-2"/>
        </w:rPr>
        <w:t> 时</w:t>
      </w:r>
      <w:r>
        <w:rPr>
          <w:spacing w:val="-2"/>
        </w:rPr>
        <w:t>起，本合同效力终止。</w:t>
      </w:r>
    </w:p>
    <w:p>
      <w:pPr>
        <w:pStyle w:val="ListParagraph"/>
        <w:numPr>
          <w:ilvl w:val="1"/>
          <w:numId w:val="18"/>
        </w:numPr>
        <w:tabs>
          <w:tab w:pos="1381" w:val="left" w:leader="none"/>
          <w:tab w:pos="1382" w:val="left" w:leader="none"/>
        </w:tabs>
        <w:spacing w:line="383" w:lineRule="exact" w:before="74" w:after="0"/>
        <w:ind w:left="1382" w:right="0" w:hanging="1170"/>
        <w:jc w:val="both"/>
        <w:rPr>
          <w:sz w:val="21"/>
        </w:rPr>
      </w:pPr>
      <w:r>
        <w:rPr>
          <w:rFonts w:ascii="微软雅黑" w:eastAsia="微软雅黑"/>
          <w:b/>
          <w:spacing w:val="21"/>
          <w:sz w:val="21"/>
        </w:rPr>
        <w:t>保险费自动垫交 </w:t>
      </w:r>
      <w:r>
        <w:rPr>
          <w:spacing w:val="-1"/>
          <w:sz w:val="21"/>
        </w:rPr>
        <w:t>投保时明确选择保险费自动垫交的，分期支付的保险费在超过宽限期仍未</w:t>
      </w:r>
    </w:p>
    <w:p>
      <w:pPr>
        <w:pStyle w:val="BodyText"/>
        <w:spacing w:line="278" w:lineRule="auto"/>
        <w:ind w:right="684"/>
        <w:jc w:val="both"/>
      </w:pPr>
      <w:r>
        <w:rPr>
          <w:spacing w:val="-2"/>
        </w:rPr>
        <w:t>支付时，若本合同的现金价值扣除各项欠款后的余额足以垫交应支付的保</w:t>
      </w:r>
      <w:r>
        <w:rPr>
          <w:spacing w:val="-2"/>
        </w:rPr>
        <w:t>险费及利息，我们将以本合同的现金价值的余额垫交应支付的保险费及利</w:t>
      </w:r>
      <w:r>
        <w:rPr>
          <w:spacing w:val="-2"/>
        </w:rPr>
        <w:t>息，本合同继续有效；若本合同的现金价值扣除各项欠款后的余额不足以</w:t>
      </w:r>
      <w:r>
        <w:rPr>
          <w:spacing w:val="-2"/>
        </w:rPr>
        <w:t>垫交应支付的保险费及利息，本合同中止；当垫交的保险费及利息、各项</w:t>
      </w:r>
      <w:r>
        <w:rPr>
          <w:spacing w:val="-2"/>
        </w:rPr>
        <w:t>欠款之和达到本合同的现金价值时，本合同终止。若本合同有附加保险合</w:t>
      </w:r>
      <w:r>
        <w:rPr>
          <w:spacing w:val="-2"/>
        </w:rPr>
        <w:t>同，则保险费的自动垫交也包括附加保险合同的到期应付保险费。</w:t>
      </w:r>
    </w:p>
    <w:p>
      <w:pPr>
        <w:pStyle w:val="BodyText"/>
        <w:spacing w:line="278" w:lineRule="auto" w:before="75"/>
        <w:ind w:right="684"/>
      </w:pPr>
      <w:r>
        <w:rPr>
          <w:spacing w:val="-2"/>
        </w:rPr>
        <w:t>您在保险费自动垫交开始后申请结束保险费的自动垫交的，须补交所垫交</w:t>
      </w:r>
      <w:r>
        <w:rPr>
          <w:spacing w:val="-2"/>
        </w:rPr>
        <w:t>的保险费及利息。</w:t>
      </w:r>
    </w:p>
    <w:p>
      <w:pPr>
        <w:pStyle w:val="BodyText"/>
        <w:spacing w:before="77"/>
      </w:pPr>
      <w:r>
        <w:rPr>
          <w:spacing w:val="-3"/>
        </w:rPr>
        <w:t>前述垫交保险费的利息按本合同约定利率计算。</w:t>
      </w:r>
    </w:p>
    <w:p>
      <w:pPr>
        <w:pStyle w:val="BodyText"/>
        <w:spacing w:before="2"/>
        <w:ind w:left="0"/>
        <w:rPr>
          <w:sz w:val="13"/>
        </w:rPr>
      </w:pPr>
      <w:r>
        <w:rPr/>
        <w:drawing>
          <wp:anchor distT="0" distB="0" distL="0" distR="0" allowOverlap="1" layoutInCell="1" locked="0" behindDoc="0" simplePos="0" relativeHeight="14">
            <wp:simplePos x="0" y="0"/>
            <wp:positionH relativeFrom="page">
              <wp:posOffset>719327</wp:posOffset>
            </wp:positionH>
            <wp:positionV relativeFrom="paragraph">
              <wp:posOffset>122604</wp:posOffset>
            </wp:positionV>
            <wp:extent cx="1829358" cy="9143"/>
            <wp:effectExtent l="0" t="0" r="0" b="0"/>
            <wp:wrapTopAndBottom/>
            <wp:docPr id="25" name="image3.png"/>
            <wp:cNvGraphicFramePr>
              <a:graphicFrameLocks noChangeAspect="1"/>
            </wp:cNvGraphicFramePr>
            <a:graphic>
              <a:graphicData uri="http://schemas.openxmlformats.org/drawingml/2006/picture">
                <pic:pic>
                  <pic:nvPicPr>
                    <pic:cNvPr id="26" name="image3.png"/>
                    <pic:cNvPicPr/>
                  </pic:nvPicPr>
                  <pic:blipFill>
                    <a:blip r:embed="rId7" cstate="print"/>
                    <a:stretch>
                      <a:fillRect/>
                    </a:stretch>
                  </pic:blipFill>
                  <pic:spPr>
                    <a:xfrm>
                      <a:off x="0" y="0"/>
                      <a:ext cx="1829358" cy="9143"/>
                    </a:xfrm>
                    <a:prstGeom prst="rect">
                      <a:avLst/>
                    </a:prstGeom>
                  </pic:spPr>
                </pic:pic>
              </a:graphicData>
            </a:graphic>
          </wp:anchor>
        </w:drawing>
      </w:r>
    </w:p>
    <w:p>
      <w:pPr>
        <w:spacing w:before="41"/>
        <w:ind w:left="212" w:right="0" w:firstLine="0"/>
        <w:jc w:val="left"/>
        <w:rPr>
          <w:sz w:val="18"/>
        </w:rPr>
      </w:pPr>
      <w:r>
        <w:rPr>
          <w:rFonts w:ascii="Calibri" w:eastAsia="Calibri"/>
          <w:b/>
          <w:position w:val="5"/>
          <w:sz w:val="12"/>
        </w:rPr>
        <w:t>20</w:t>
      </w:r>
      <w:r>
        <w:rPr>
          <w:rFonts w:ascii="微软雅黑" w:eastAsia="微软雅黑"/>
          <w:b/>
          <w:sz w:val="18"/>
        </w:rPr>
        <w:t>本合同约定利率：</w:t>
      </w:r>
      <w:r>
        <w:rPr>
          <w:spacing w:val="-3"/>
          <w:sz w:val="18"/>
        </w:rPr>
        <w:t>由我们每年宣布两次，宣布时间为每年的 </w:t>
      </w:r>
      <w:r>
        <w:rPr>
          <w:sz w:val="18"/>
        </w:rPr>
        <w:t>1</w:t>
      </w:r>
      <w:r>
        <w:rPr>
          <w:spacing w:val="-31"/>
          <w:sz w:val="18"/>
        </w:rPr>
        <w:t> 月 </w:t>
      </w:r>
      <w:r>
        <w:rPr>
          <w:sz w:val="18"/>
        </w:rPr>
        <w:t>1</w:t>
      </w:r>
      <w:r>
        <w:rPr>
          <w:spacing w:val="-23"/>
          <w:sz w:val="18"/>
        </w:rPr>
        <w:t> 日和 </w:t>
      </w:r>
      <w:r>
        <w:rPr>
          <w:sz w:val="18"/>
        </w:rPr>
        <w:t>7</w:t>
      </w:r>
      <w:r>
        <w:rPr>
          <w:spacing w:val="-31"/>
          <w:sz w:val="18"/>
        </w:rPr>
        <w:t> 月 </w:t>
      </w:r>
      <w:r>
        <w:rPr>
          <w:sz w:val="18"/>
        </w:rPr>
        <w:t>1</w:t>
      </w:r>
      <w:r>
        <w:rPr>
          <w:spacing w:val="-18"/>
          <w:sz w:val="18"/>
        </w:rPr>
        <w:t> 日。</w:t>
      </w:r>
    </w:p>
    <w:p>
      <w:pPr>
        <w:spacing w:after="0"/>
        <w:jc w:val="left"/>
        <w:rPr>
          <w:sz w:val="18"/>
        </w:rPr>
        <w:sectPr>
          <w:pgSz w:w="11910" w:h="16840"/>
          <w:pgMar w:top="1380" w:bottom="280" w:left="920" w:right="440"/>
        </w:sectPr>
      </w:pPr>
    </w:p>
    <w:p>
      <w:pPr>
        <w:pStyle w:val="Heading1"/>
        <w:numPr>
          <w:ilvl w:val="0"/>
          <w:numId w:val="18"/>
        </w:numPr>
        <w:tabs>
          <w:tab w:pos="1381" w:val="left" w:leader="none"/>
          <w:tab w:pos="1382" w:val="left" w:leader="none"/>
        </w:tabs>
        <w:spacing w:line="362" w:lineRule="exact" w:before="0" w:after="0"/>
        <w:ind w:left="1382" w:right="0" w:hanging="1170"/>
        <w:jc w:val="both"/>
        <w:rPr>
          <w:rFonts w:ascii="Microsoft JhengHei" w:eastAsia="Microsoft JhengHei"/>
        </w:rPr>
      </w:pPr>
      <w:r>
        <w:rPr/>
        <w:drawing>
          <wp:anchor distT="0" distB="0" distL="0" distR="0" allowOverlap="1" layoutInCell="1" locked="0" behindDoc="0" simplePos="0" relativeHeight="15737344">
            <wp:simplePos x="0" y="0"/>
            <wp:positionH relativeFrom="page">
              <wp:posOffset>650748</wp:posOffset>
            </wp:positionH>
            <wp:positionV relativeFrom="paragraph">
              <wp:posOffset>212090</wp:posOffset>
            </wp:positionV>
            <wp:extent cx="6261861" cy="18288"/>
            <wp:effectExtent l="0" t="0" r="0" b="0"/>
            <wp:wrapNone/>
            <wp:docPr id="27" name="image6.png"/>
            <wp:cNvGraphicFramePr>
              <a:graphicFrameLocks noChangeAspect="1"/>
            </wp:cNvGraphicFramePr>
            <a:graphic>
              <a:graphicData uri="http://schemas.openxmlformats.org/drawingml/2006/picture">
                <pic:pic>
                  <pic:nvPicPr>
                    <pic:cNvPr id="28" name="image6.png"/>
                    <pic:cNvPicPr/>
                  </pic:nvPicPr>
                  <pic:blipFill>
                    <a:blip r:embed="rId10" cstate="print"/>
                    <a:stretch>
                      <a:fillRect/>
                    </a:stretch>
                  </pic:blipFill>
                  <pic:spPr>
                    <a:xfrm>
                      <a:off x="0" y="0"/>
                      <a:ext cx="6261861" cy="18288"/>
                    </a:xfrm>
                    <a:prstGeom prst="rect">
                      <a:avLst/>
                    </a:prstGeom>
                  </pic:spPr>
                </pic:pic>
              </a:graphicData>
            </a:graphic>
          </wp:anchor>
        </w:drawing>
      </w:r>
      <w:r>
        <w:rPr>
          <w:rFonts w:ascii="Microsoft JhengHei" w:eastAsia="Microsoft JhengHei"/>
          <w:spacing w:val="-3"/>
        </w:rPr>
        <w:t>合同效力的中止及恢复</w:t>
      </w:r>
    </w:p>
    <w:p>
      <w:pPr>
        <w:pStyle w:val="ListParagraph"/>
        <w:numPr>
          <w:ilvl w:val="1"/>
          <w:numId w:val="18"/>
        </w:numPr>
        <w:tabs>
          <w:tab w:pos="1381" w:val="left" w:leader="none"/>
          <w:tab w:pos="1382" w:val="left" w:leader="none"/>
          <w:tab w:pos="3112" w:val="left" w:leader="none"/>
        </w:tabs>
        <w:spacing w:line="240" w:lineRule="auto" w:before="69" w:after="0"/>
        <w:ind w:left="1382" w:right="0" w:hanging="1170"/>
        <w:jc w:val="both"/>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color w:val="000000"/>
          <w:spacing w:val="-2"/>
          <w:sz w:val="21"/>
          <w:shd w:fill="A6A6A6" w:color="auto" w:val="clear"/>
        </w:rPr>
        <w:t>在</w:t>
      </w:r>
      <w:r>
        <w:rPr>
          <w:color w:val="000000"/>
          <w:spacing w:val="-2"/>
          <w:sz w:val="21"/>
          <w:shd w:fill="A6A6A6" w:color="auto" w:val="clear"/>
        </w:rPr>
        <w:t>本</w:t>
      </w:r>
      <w:r>
        <w:rPr>
          <w:color w:val="000000"/>
          <w:spacing w:val="-2"/>
          <w:sz w:val="21"/>
          <w:shd w:fill="A6A6A6" w:color="auto" w:val="clear"/>
        </w:rPr>
        <w:t>合同效力中止期间，</w:t>
      </w:r>
      <w:r>
        <w:rPr>
          <w:color w:val="000000"/>
          <w:spacing w:val="-2"/>
          <w:sz w:val="21"/>
          <w:shd w:fill="A6A6A6" w:color="auto" w:val="clear"/>
        </w:rPr>
        <w:t>我</w:t>
      </w:r>
      <w:r>
        <w:rPr>
          <w:color w:val="000000"/>
          <w:spacing w:val="-2"/>
          <w:sz w:val="21"/>
          <w:shd w:fill="A6A6A6" w:color="auto" w:val="clear"/>
        </w:rPr>
        <w:t>们</w:t>
      </w:r>
      <w:r>
        <w:rPr>
          <w:color w:val="000000"/>
          <w:spacing w:val="-2"/>
          <w:sz w:val="21"/>
          <w:shd w:fill="A6A6A6" w:color="auto" w:val="clear"/>
        </w:rPr>
        <w:t>不承担保险责任</w:t>
      </w:r>
      <w:r>
        <w:rPr>
          <w:color w:val="000000"/>
          <w:spacing w:val="-10"/>
          <w:sz w:val="21"/>
          <w:shd w:fill="A6A6A6" w:color="auto" w:val="clear"/>
        </w:rPr>
        <w:t>。</w:t>
      </w:r>
    </w:p>
    <w:p>
      <w:pPr>
        <w:pStyle w:val="ListParagraph"/>
        <w:numPr>
          <w:ilvl w:val="1"/>
          <w:numId w:val="18"/>
        </w:numPr>
        <w:tabs>
          <w:tab w:pos="1381" w:val="left" w:leader="none"/>
          <w:tab w:pos="1382" w:val="left" w:leader="none"/>
          <w:tab w:pos="3112" w:val="left" w:leader="none"/>
        </w:tabs>
        <w:spacing w:line="240" w:lineRule="auto" w:before="71" w:after="0"/>
        <w:ind w:left="1382" w:right="0" w:hanging="1170"/>
        <w:jc w:val="both"/>
        <w:rPr>
          <w:sz w:val="21"/>
        </w:rPr>
      </w:pPr>
      <w:r>
        <w:rPr>
          <w:rFonts w:ascii="微软雅黑" w:eastAsia="微软雅黑"/>
          <w:b/>
          <w:position w:val="2"/>
          <w:sz w:val="21"/>
        </w:rPr>
        <w:t>效力恢</w:t>
      </w:r>
      <w:r>
        <w:rPr>
          <w:rFonts w:ascii="微软雅黑" w:eastAsia="微软雅黑"/>
          <w:b/>
          <w:spacing w:val="-10"/>
          <w:position w:val="2"/>
          <w:sz w:val="21"/>
        </w:rPr>
        <w:t>复</w:t>
      </w:r>
      <w:r>
        <w:rPr>
          <w:rFonts w:ascii="微软雅黑" w:eastAsia="微软雅黑"/>
          <w:b/>
          <w:position w:val="2"/>
          <w:sz w:val="21"/>
        </w:rPr>
        <w:tab/>
      </w:r>
      <w:r>
        <w:rPr>
          <w:spacing w:val="-2"/>
          <w:sz w:val="21"/>
        </w:rPr>
        <w:t>本</w:t>
      </w:r>
      <w:r>
        <w:rPr>
          <w:spacing w:val="-2"/>
          <w:sz w:val="21"/>
        </w:rPr>
        <w:t>合</w:t>
      </w:r>
      <w:r>
        <w:rPr>
          <w:spacing w:val="-2"/>
          <w:sz w:val="21"/>
        </w:rPr>
        <w:t>同效力中止后</w:t>
      </w:r>
      <w:r>
        <w:rPr>
          <w:spacing w:val="-30"/>
          <w:sz w:val="21"/>
        </w:rPr>
        <w:t> </w:t>
      </w:r>
      <w:r>
        <w:rPr>
          <w:spacing w:val="-2"/>
          <w:sz w:val="21"/>
        </w:rPr>
        <w:t>2</w:t>
      </w:r>
      <w:r>
        <w:rPr>
          <w:spacing w:val="-31"/>
          <w:sz w:val="21"/>
        </w:rPr>
        <w:t> </w:t>
      </w:r>
      <w:r>
        <w:rPr>
          <w:spacing w:val="-2"/>
          <w:sz w:val="21"/>
        </w:rPr>
        <w:t>年内，</w:t>
      </w:r>
      <w:r>
        <w:rPr>
          <w:spacing w:val="-2"/>
          <w:sz w:val="21"/>
        </w:rPr>
        <w:t>您</w:t>
      </w:r>
      <w:r>
        <w:rPr>
          <w:spacing w:val="-2"/>
          <w:sz w:val="21"/>
        </w:rPr>
        <w:t>可以申请恢复合同效</w:t>
      </w:r>
      <w:r>
        <w:rPr>
          <w:spacing w:val="-2"/>
          <w:sz w:val="21"/>
        </w:rPr>
        <w:t>力</w:t>
      </w:r>
      <w:r>
        <w:rPr>
          <w:spacing w:val="-2"/>
          <w:sz w:val="21"/>
        </w:rPr>
        <w:t>。</w:t>
      </w:r>
      <w:r>
        <w:rPr>
          <w:spacing w:val="-2"/>
          <w:sz w:val="21"/>
        </w:rPr>
        <w:t>自您补交保险费</w:t>
      </w:r>
      <w:r>
        <w:rPr>
          <w:spacing w:val="-10"/>
          <w:sz w:val="21"/>
        </w:rPr>
        <w:t>及</w:t>
      </w:r>
    </w:p>
    <w:p>
      <w:pPr>
        <w:pStyle w:val="BodyText"/>
        <w:spacing w:line="283" w:lineRule="auto" w:before="21"/>
        <w:ind w:right="684"/>
        <w:jc w:val="both"/>
      </w:pPr>
      <w:r>
        <w:rPr>
          <w:spacing w:val="-2"/>
        </w:rPr>
        <w:t>利息的次日零时起，合同效力恢复，但被保险人的危险程度在中止期间显</w:t>
      </w:r>
      <w:r>
        <w:rPr>
          <w:spacing w:val="-2"/>
        </w:rPr>
        <w:t>著增加的，需经我们与您协商达成协议，并在您补交保险费及利息的次日</w:t>
      </w:r>
      <w:r>
        <w:rPr>
          <w:spacing w:val="-2"/>
        </w:rPr>
        <w:t>零时起，合同效力恢复。</w:t>
      </w:r>
    </w:p>
    <w:p>
      <w:pPr>
        <w:pStyle w:val="BodyText"/>
        <w:spacing w:before="82"/>
      </w:pPr>
      <w:r>
        <w:rPr>
          <w:spacing w:val="-3"/>
        </w:rPr>
        <w:t>前述补交保险费的利息按本合同约定利率计算。</w:t>
      </w:r>
    </w:p>
    <w:p>
      <w:pPr>
        <w:pStyle w:val="BodyText"/>
        <w:spacing w:line="278" w:lineRule="auto" w:before="108"/>
        <w:ind w:right="681"/>
      </w:pPr>
      <w:r>
        <w:rPr>
          <w:spacing w:val="-4"/>
        </w:rPr>
        <w:t>自本合同效力中止之日起满 </w:t>
      </w:r>
      <w:r>
        <w:rPr/>
        <w:t>2</w:t>
      </w:r>
      <w:r>
        <w:rPr>
          <w:spacing w:val="-7"/>
        </w:rPr>
        <w:t> 年您和我们未达成协议的，我们有权解除合</w:t>
      </w:r>
      <w:r>
        <w:rPr>
          <w:spacing w:val="-2"/>
        </w:rPr>
        <w:t>同。我们解除合同的，向您退还合同效力中止时本合同的现金价值。</w:t>
      </w:r>
    </w:p>
    <w:p>
      <w:pPr>
        <w:pStyle w:val="Heading1"/>
        <w:numPr>
          <w:ilvl w:val="0"/>
          <w:numId w:val="18"/>
        </w:numPr>
        <w:tabs>
          <w:tab w:pos="1381" w:val="left" w:leader="none"/>
          <w:tab w:pos="1382" w:val="left" w:leader="none"/>
        </w:tabs>
        <w:spacing w:line="240" w:lineRule="auto" w:before="72" w:after="0"/>
        <w:ind w:left="1382" w:right="0" w:hanging="1170"/>
        <w:jc w:val="both"/>
        <w:rPr>
          <w:rFonts w:ascii="Microsoft JhengHei" w:eastAsia="Microsoft JhengHei"/>
        </w:rPr>
      </w:pPr>
      <w:r>
        <w:rPr/>
        <w:drawing>
          <wp:anchor distT="0" distB="0" distL="0" distR="0" allowOverlap="1" layoutInCell="1" locked="0" behindDoc="0" simplePos="0" relativeHeight="15737856">
            <wp:simplePos x="0" y="0"/>
            <wp:positionH relativeFrom="page">
              <wp:posOffset>650748</wp:posOffset>
            </wp:positionH>
            <wp:positionV relativeFrom="paragraph">
              <wp:posOffset>273378</wp:posOffset>
            </wp:positionV>
            <wp:extent cx="6261861" cy="18288"/>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6" cstate="print"/>
                    <a:stretch>
                      <a:fillRect/>
                    </a:stretch>
                  </pic:blipFill>
                  <pic:spPr>
                    <a:xfrm>
                      <a:off x="0" y="0"/>
                      <a:ext cx="6261861" cy="18288"/>
                    </a:xfrm>
                    <a:prstGeom prst="rect">
                      <a:avLst/>
                    </a:prstGeom>
                  </pic:spPr>
                </pic:pic>
              </a:graphicData>
            </a:graphic>
          </wp:anchor>
        </w:drawing>
      </w:r>
      <w:r>
        <w:rPr>
          <w:rFonts w:ascii="Microsoft JhengHei" w:eastAsia="Microsoft JhengHei"/>
          <w:spacing w:val="-3"/>
        </w:rPr>
        <w:t>合同解除</w:t>
      </w:r>
    </w:p>
    <w:p>
      <w:pPr>
        <w:spacing w:after="0" w:line="240" w:lineRule="auto"/>
        <w:jc w:val="both"/>
        <w:rPr>
          <w:rFonts w:ascii="Microsoft JhengHei" w:eastAsia="Microsoft JhengHei"/>
        </w:rPr>
        <w:sectPr>
          <w:pgSz w:w="11910" w:h="16840"/>
          <w:pgMar w:top="1520" w:bottom="280" w:left="920" w:right="440"/>
        </w:sectPr>
      </w:pPr>
    </w:p>
    <w:p>
      <w:pPr>
        <w:pStyle w:val="ListParagraph"/>
        <w:numPr>
          <w:ilvl w:val="1"/>
          <w:numId w:val="18"/>
        </w:numPr>
        <w:tabs>
          <w:tab w:pos="1381" w:val="left" w:leader="none"/>
          <w:tab w:pos="1382" w:val="left" w:leader="none"/>
        </w:tabs>
        <w:spacing w:line="194" w:lineRule="auto" w:before="123" w:after="0"/>
        <w:ind w:left="1382" w:right="0" w:hanging="1170"/>
        <w:jc w:val="left"/>
        <w:rPr>
          <w:rFonts w:ascii="微软雅黑" w:eastAsia="微软雅黑"/>
          <w:b/>
          <w:sz w:val="21"/>
        </w:rPr>
      </w:pPr>
      <w:r>
        <w:rPr>
          <w:rFonts w:ascii="微软雅黑" w:eastAsia="微软雅黑"/>
          <w:b/>
          <w:spacing w:val="-2"/>
          <w:sz w:val="21"/>
        </w:rPr>
        <w:t>您解除合同的手</w:t>
      </w:r>
      <w:r>
        <w:rPr>
          <w:rFonts w:ascii="微软雅黑" w:eastAsia="微软雅黑"/>
          <w:b/>
          <w:spacing w:val="-4"/>
          <w:sz w:val="21"/>
        </w:rPr>
        <w:t>续及风险</w:t>
      </w:r>
    </w:p>
    <w:p>
      <w:pPr>
        <w:pStyle w:val="BodyText"/>
        <w:spacing w:line="278" w:lineRule="auto" w:before="138"/>
        <w:ind w:left="212" w:right="684"/>
      </w:pPr>
      <w:r>
        <w:rPr/>
        <w:br w:type="column"/>
      </w:r>
      <w:r>
        <w:rPr>
          <w:spacing w:val="-2"/>
        </w:rPr>
        <w:t>如您在犹豫期后申请解除本合同，请填写解除合同的书面申请并向我们提</w:t>
      </w:r>
      <w:r>
        <w:rPr>
          <w:spacing w:val="-2"/>
        </w:rPr>
        <w:t>供下列资料：</w:t>
      </w:r>
    </w:p>
    <w:p>
      <w:pPr>
        <w:pStyle w:val="ListParagraph"/>
        <w:numPr>
          <w:ilvl w:val="0"/>
          <w:numId w:val="19"/>
        </w:numPr>
        <w:tabs>
          <w:tab w:pos="531" w:val="left" w:leader="none"/>
        </w:tabs>
        <w:spacing w:line="269" w:lineRule="exact" w:before="0" w:after="0"/>
        <w:ind w:left="530" w:right="0" w:hanging="319"/>
        <w:jc w:val="left"/>
        <w:rPr>
          <w:sz w:val="21"/>
        </w:rPr>
      </w:pPr>
      <w:r>
        <w:rPr>
          <w:spacing w:val="-4"/>
          <w:sz w:val="21"/>
        </w:rPr>
        <w:t>保险合同；</w:t>
      </w:r>
    </w:p>
    <w:p>
      <w:pPr>
        <w:pStyle w:val="ListParagraph"/>
        <w:numPr>
          <w:ilvl w:val="0"/>
          <w:numId w:val="19"/>
        </w:numPr>
        <w:tabs>
          <w:tab w:pos="531" w:val="left" w:leader="none"/>
        </w:tabs>
        <w:spacing w:line="240" w:lineRule="auto" w:before="42" w:after="0"/>
        <w:ind w:left="530" w:right="0" w:hanging="319"/>
        <w:jc w:val="left"/>
        <w:rPr>
          <w:sz w:val="21"/>
        </w:rPr>
      </w:pPr>
      <w:r>
        <w:rPr>
          <w:spacing w:val="-3"/>
          <w:sz w:val="21"/>
        </w:rPr>
        <w:t>您的有效身份证件。</w:t>
      </w:r>
    </w:p>
    <w:p>
      <w:pPr>
        <w:pStyle w:val="BodyText"/>
        <w:spacing w:line="278" w:lineRule="auto" w:before="123"/>
        <w:ind w:left="212" w:right="684"/>
        <w:jc w:val="both"/>
      </w:pPr>
      <w:r>
        <w:rPr>
          <w:spacing w:val="-2"/>
        </w:rPr>
        <w:t>自我们收到解除合同的书面申请时起，本合同终止。我们自收到解除合同</w:t>
      </w:r>
      <w:r>
        <w:rPr>
          <w:spacing w:val="-5"/>
        </w:rPr>
        <w:t>的书面申请之日起 </w:t>
      </w:r>
      <w:r>
        <w:rPr>
          <w:spacing w:val="-2"/>
        </w:rPr>
        <w:t>30</w:t>
      </w:r>
      <w:r>
        <w:rPr>
          <w:spacing w:val="-12"/>
        </w:rPr>
        <w:t> 日内向您退还本合同的现金价值。但被保险人或者受</w:t>
      </w:r>
      <w:r>
        <w:rPr>
          <w:spacing w:val="-2"/>
        </w:rPr>
        <w:t>益人已向您支付相当于本合同现金价值的款项并通知我们的，我们有权拒</w:t>
      </w:r>
      <w:r>
        <w:rPr>
          <w:spacing w:val="-2"/>
        </w:rPr>
        <w:t>绝您解除合同的申请。</w:t>
      </w:r>
    </w:p>
    <w:p>
      <w:pPr>
        <w:pStyle w:val="BodyText"/>
        <w:spacing w:before="76"/>
        <w:ind w:left="212"/>
      </w:pPr>
      <w:r>
        <w:rPr>
          <w:spacing w:val="-3"/>
        </w:rPr>
        <w:t>您犹豫期后解除合同会遭受一定损失。</w:t>
      </w:r>
    </w:p>
    <w:p>
      <w:pPr>
        <w:spacing w:after="0"/>
        <w:sectPr>
          <w:type w:val="continuous"/>
          <w:pgSz w:w="11910" w:h="16840"/>
          <w:pgMar w:top="680" w:bottom="280" w:left="920" w:right="440"/>
          <w:cols w:num="2" w:equalWidth="0">
            <w:col w:w="2861" w:space="40"/>
            <w:col w:w="7649"/>
          </w:cols>
        </w:sectPr>
      </w:pPr>
    </w:p>
    <w:p>
      <w:pPr>
        <w:pStyle w:val="BodyText"/>
        <w:spacing w:before="10"/>
        <w:ind w:left="0"/>
        <w:rPr>
          <w:sz w:val="8"/>
        </w:rPr>
      </w:pPr>
    </w:p>
    <w:p>
      <w:pPr>
        <w:pStyle w:val="Heading1"/>
        <w:numPr>
          <w:ilvl w:val="0"/>
          <w:numId w:val="18"/>
        </w:numPr>
        <w:tabs>
          <w:tab w:pos="1381" w:val="left" w:leader="none"/>
          <w:tab w:pos="1382" w:val="left" w:leader="none"/>
        </w:tabs>
        <w:spacing w:line="240" w:lineRule="auto" w:before="3" w:after="0"/>
        <w:ind w:left="1382" w:right="0" w:hanging="1170"/>
        <w:jc w:val="left"/>
        <w:rPr>
          <w:rFonts w:ascii="Microsoft JhengHei" w:eastAsia="Microsoft JhengHei"/>
        </w:rPr>
      </w:pPr>
      <w:r>
        <w:rPr/>
        <w:drawing>
          <wp:anchor distT="0" distB="0" distL="0" distR="0" allowOverlap="1" layoutInCell="1" locked="0" behindDoc="0" simplePos="0" relativeHeight="15738368">
            <wp:simplePos x="0" y="0"/>
            <wp:positionH relativeFrom="page">
              <wp:posOffset>650748</wp:posOffset>
            </wp:positionH>
            <wp:positionV relativeFrom="paragraph">
              <wp:posOffset>229563</wp:posOffset>
            </wp:positionV>
            <wp:extent cx="6261861" cy="18287"/>
            <wp:effectExtent l="0" t="0" r="0" b="0"/>
            <wp:wrapNone/>
            <wp:docPr id="31" name="image2.png"/>
            <wp:cNvGraphicFramePr>
              <a:graphicFrameLocks noChangeAspect="1"/>
            </wp:cNvGraphicFramePr>
            <a:graphic>
              <a:graphicData uri="http://schemas.openxmlformats.org/drawingml/2006/picture">
                <pic:pic>
                  <pic:nvPicPr>
                    <pic:cNvPr id="32" name="image2.png"/>
                    <pic:cNvPicPr/>
                  </pic:nvPicPr>
                  <pic:blipFill>
                    <a:blip r:embed="rId6" cstate="print"/>
                    <a:stretch>
                      <a:fillRect/>
                    </a:stretch>
                  </pic:blipFill>
                  <pic:spPr>
                    <a:xfrm>
                      <a:off x="0" y="0"/>
                      <a:ext cx="6261861" cy="18287"/>
                    </a:xfrm>
                    <a:prstGeom prst="rect">
                      <a:avLst/>
                    </a:prstGeom>
                  </pic:spPr>
                </pic:pic>
              </a:graphicData>
            </a:graphic>
          </wp:anchor>
        </w:drawing>
      </w:r>
      <w:r>
        <w:rPr>
          <w:rFonts w:ascii="Microsoft JhengHei" w:eastAsia="Microsoft JhengHei"/>
          <w:spacing w:val="-3"/>
        </w:rPr>
        <w:t>说明、告知与解除权限制</w:t>
      </w:r>
    </w:p>
    <w:p>
      <w:pPr>
        <w:spacing w:after="0" w:line="240" w:lineRule="auto"/>
        <w:jc w:val="left"/>
        <w:rPr>
          <w:rFonts w:ascii="Microsoft JhengHei" w:eastAsia="Microsoft JhengHei"/>
        </w:rPr>
        <w:sectPr>
          <w:type w:val="continuous"/>
          <w:pgSz w:w="11910" w:h="16840"/>
          <w:pgMar w:top="680" w:bottom="280" w:left="920" w:right="440"/>
        </w:sectPr>
      </w:pPr>
    </w:p>
    <w:p>
      <w:pPr>
        <w:pStyle w:val="ListParagraph"/>
        <w:numPr>
          <w:ilvl w:val="1"/>
          <w:numId w:val="18"/>
        </w:numPr>
        <w:tabs>
          <w:tab w:pos="1381" w:val="left" w:leader="none"/>
          <w:tab w:pos="1382" w:val="left" w:leader="none"/>
        </w:tabs>
        <w:spacing w:line="194" w:lineRule="auto" w:before="125" w:after="0"/>
        <w:ind w:left="1382" w:right="0" w:hanging="1170"/>
        <w:jc w:val="left"/>
        <w:rPr>
          <w:rFonts w:ascii="微软雅黑" w:eastAsia="微软雅黑"/>
          <w:b/>
          <w:sz w:val="21"/>
        </w:rPr>
      </w:pPr>
      <w:r>
        <w:rPr>
          <w:rFonts w:ascii="微软雅黑" w:eastAsia="微软雅黑"/>
          <w:b/>
          <w:spacing w:val="-2"/>
          <w:sz w:val="21"/>
        </w:rPr>
        <w:t>明确说明与如实</w:t>
      </w:r>
      <w:r>
        <w:rPr>
          <w:rFonts w:ascii="微软雅黑" w:eastAsia="微软雅黑"/>
          <w:b/>
          <w:spacing w:val="-6"/>
          <w:sz w:val="21"/>
        </w:rPr>
        <w:t>告知</w:t>
      </w:r>
    </w:p>
    <w:p>
      <w:pPr>
        <w:pStyle w:val="BodyText"/>
        <w:spacing w:before="139"/>
        <w:ind w:left="212"/>
      </w:pPr>
      <w:r>
        <w:rPr/>
        <w:br w:type="column"/>
      </w:r>
      <w:r>
        <w:rPr>
          <w:spacing w:val="-3"/>
        </w:rPr>
        <w:t>订立本合同时，我们应向您说明本合同的内容。</w:t>
      </w:r>
    </w:p>
    <w:p>
      <w:pPr>
        <w:pStyle w:val="BodyText"/>
        <w:spacing w:line="278" w:lineRule="auto" w:before="120"/>
        <w:ind w:left="212" w:right="684"/>
        <w:jc w:val="both"/>
      </w:pPr>
      <w:r>
        <w:rPr>
          <w:spacing w:val="-2"/>
        </w:rPr>
        <w:t>对保险条款中免除我们责任的条款，我们在订立合同时应当在投保单、保</w:t>
      </w:r>
      <w:r>
        <w:rPr>
          <w:spacing w:val="-2"/>
        </w:rPr>
        <w:t>险单或者其他保险凭证上作出足以引起您注意的提示，并对该条款的内容</w:t>
      </w:r>
      <w:r>
        <w:rPr>
          <w:spacing w:val="-2"/>
        </w:rPr>
        <w:t>以书面或者口头形式向您作出明确说明，未作提示或者明确说明的，该条</w:t>
      </w:r>
      <w:r>
        <w:rPr>
          <w:spacing w:val="-2"/>
        </w:rPr>
        <w:t>款不产生效力。</w:t>
      </w:r>
    </w:p>
    <w:p>
      <w:pPr>
        <w:pStyle w:val="BodyText"/>
        <w:spacing w:before="79"/>
        <w:ind w:left="212"/>
      </w:pPr>
      <w:r>
        <w:rPr>
          <w:spacing w:val="-3"/>
        </w:rPr>
        <w:t>我们就您和被保险人的有关情况提出询问，您应当如实告知。</w:t>
      </w:r>
    </w:p>
    <w:p>
      <w:pPr>
        <w:pStyle w:val="BodyText"/>
        <w:spacing w:line="278" w:lineRule="auto" w:before="119"/>
        <w:ind w:left="212" w:right="684"/>
      </w:pPr>
      <w:r>
        <w:rPr>
          <w:color w:val="000000"/>
          <w:spacing w:val="-2"/>
          <w:shd w:fill="A6A6A6" w:color="auto" w:val="clear"/>
        </w:rPr>
        <w:t>如果您故意或者因重大过失未履行前款规定的如实告知义务，足以影响我</w:t>
      </w:r>
      <w:r>
        <w:rPr>
          <w:color w:val="000000"/>
          <w:spacing w:val="80"/>
          <w:w w:val="150"/>
          <w:shd w:fill="A6A6A6" w:color="auto" w:val="clear"/>
        </w:rPr>
        <w:t>                                     </w:t>
      </w:r>
      <w:r>
        <w:rPr>
          <w:color w:val="000000"/>
          <w:spacing w:val="-2"/>
          <w:shd w:fill="A6A6A6" w:color="auto" w:val="clear"/>
        </w:rPr>
        <w:t>们决定是否同意承保或者提高保险费率的，我们有权解除本合同。</w:t>
      </w:r>
    </w:p>
    <w:p>
      <w:pPr>
        <w:pStyle w:val="BodyText"/>
        <w:spacing w:line="278" w:lineRule="auto" w:before="79"/>
        <w:ind w:left="212" w:right="684"/>
      </w:pPr>
      <w:r>
        <w:rPr>
          <w:color w:val="000000"/>
          <w:spacing w:val="-2"/>
          <w:shd w:fill="A6A6A6" w:color="auto" w:val="clear"/>
        </w:rPr>
        <w:t>如果您故意不履行如实告知义务，对于本合同解除前发生的保险事故，我</w:t>
      </w:r>
      <w:r>
        <w:rPr>
          <w:color w:val="000000"/>
          <w:spacing w:val="80"/>
          <w:w w:val="150"/>
          <w:shd w:fill="A6A6A6" w:color="auto" w:val="clear"/>
        </w:rPr>
        <w:t>                                     </w:t>
      </w:r>
      <w:r>
        <w:rPr>
          <w:color w:val="000000"/>
          <w:spacing w:val="-2"/>
          <w:shd w:fill="A6A6A6" w:color="auto" w:val="clear"/>
        </w:rPr>
        <w:t>们不承担保险责任，并不退还保险费。</w:t>
      </w:r>
    </w:p>
    <w:p>
      <w:pPr>
        <w:pStyle w:val="BodyText"/>
        <w:spacing w:line="278" w:lineRule="auto" w:before="77"/>
        <w:ind w:left="212" w:right="578"/>
      </w:pPr>
      <w:r>
        <w:rPr>
          <w:color w:val="000000"/>
          <w:spacing w:val="-7"/>
          <w:shd w:fill="A6A6A6" w:color="auto" w:val="clear"/>
        </w:rPr>
        <w:t>如果您因重大过失未履行如实告知义务，对保险事故的发生有严重影响的，</w:t>
      </w:r>
      <w:r>
        <w:rPr>
          <w:color w:val="000000"/>
          <w:spacing w:val="80"/>
          <w:w w:val="150"/>
          <w:shd w:fill="A6A6A6" w:color="auto" w:val="clear"/>
        </w:rPr>
        <w:t>                                     </w:t>
      </w:r>
      <w:r>
        <w:rPr>
          <w:color w:val="000000"/>
          <w:spacing w:val="-2"/>
          <w:shd w:fill="A6A6A6" w:color="auto" w:val="clear"/>
        </w:rPr>
        <w:t>对于本合同解除前发生的保险事故，我们不承担保险责任，但应当退还保</w:t>
      </w:r>
      <w:r>
        <w:rPr>
          <w:color w:val="000000"/>
          <w:spacing w:val="-4"/>
          <w:shd w:fill="A6A6A6" w:color="auto" w:val="clear"/>
        </w:rPr>
        <w:t>险费。</w:t>
      </w:r>
    </w:p>
    <w:p>
      <w:pPr>
        <w:pStyle w:val="BodyText"/>
        <w:spacing w:line="278" w:lineRule="auto" w:before="79"/>
        <w:ind w:left="212" w:right="684"/>
      </w:pPr>
      <w:r>
        <w:rPr>
          <w:spacing w:val="-2"/>
        </w:rPr>
        <w:t>我们在合同订立时已经知道您未如实告知的情况的，我们不得解除合同；</w:t>
      </w:r>
      <w:r>
        <w:rPr>
          <w:spacing w:val="-2"/>
        </w:rPr>
        <w:t>发生保险事故的，我们承担保险责任。</w:t>
      </w:r>
    </w:p>
    <w:p>
      <w:pPr>
        <w:spacing w:after="0" w:line="278" w:lineRule="auto"/>
        <w:sectPr>
          <w:type w:val="continuous"/>
          <w:pgSz w:w="11910" w:h="16840"/>
          <w:pgMar w:top="680" w:bottom="280" w:left="920" w:right="440"/>
          <w:cols w:num="2" w:equalWidth="0">
            <w:col w:w="2861" w:space="40"/>
            <w:col w:w="7649"/>
          </w:cols>
        </w:sectPr>
      </w:pPr>
    </w:p>
    <w:p>
      <w:pPr>
        <w:pStyle w:val="Heading1"/>
        <w:numPr>
          <w:ilvl w:val="1"/>
          <w:numId w:val="18"/>
        </w:numPr>
        <w:tabs>
          <w:tab w:pos="1381" w:val="left" w:leader="none"/>
          <w:tab w:pos="1382" w:val="left" w:leader="none"/>
        </w:tabs>
        <w:spacing w:line="194" w:lineRule="auto" w:before="127" w:after="0"/>
        <w:ind w:left="1382" w:right="0" w:hanging="1170"/>
        <w:jc w:val="left"/>
      </w:pPr>
      <w:r>
        <w:rPr>
          <w:spacing w:val="-2"/>
        </w:rPr>
        <w:t>我们合同解除权</w:t>
      </w:r>
      <w:r>
        <w:rPr>
          <w:spacing w:val="-4"/>
        </w:rPr>
        <w:t>的限制</w:t>
      </w:r>
    </w:p>
    <w:p>
      <w:pPr>
        <w:pStyle w:val="BodyText"/>
        <w:spacing w:line="278" w:lineRule="auto" w:before="142"/>
        <w:ind w:left="212" w:right="684"/>
        <w:jc w:val="both"/>
      </w:pPr>
      <w:r>
        <w:rPr/>
        <w:br w:type="column"/>
      </w:r>
      <w:r>
        <w:rPr/>
        <w:t>本保险条款“8.1</w:t>
      </w:r>
      <w:r>
        <w:rPr>
          <w:spacing w:val="-3"/>
        </w:rPr>
        <w:t> 明确说明与如实告知”规定的合同解除权，自我们知道</w:t>
      </w:r>
      <w:r>
        <w:rPr>
          <w:w w:val="95"/>
        </w:rPr>
        <w:t>有</w:t>
      </w:r>
      <w:r>
        <w:rPr>
          <w:w w:val="95"/>
        </w:rPr>
        <w:t>解</w:t>
      </w:r>
      <w:r>
        <w:rPr>
          <w:w w:val="95"/>
        </w:rPr>
        <w:t>除事由之日起，</w:t>
      </w:r>
      <w:r>
        <w:rPr>
          <w:w w:val="95"/>
        </w:rPr>
        <w:t>超</w:t>
      </w:r>
      <w:r>
        <w:rPr>
          <w:w w:val="95"/>
        </w:rPr>
        <w:t>过</w:t>
      </w:r>
      <w:r>
        <w:rPr>
          <w:w w:val="95"/>
        </w:rPr>
        <w:t> 30 日不行使而消灭。自</w:t>
      </w:r>
      <w:r>
        <w:rPr>
          <w:w w:val="95"/>
        </w:rPr>
        <w:t>本</w:t>
      </w:r>
      <w:r>
        <w:rPr>
          <w:w w:val="95"/>
        </w:rPr>
        <w:t>合</w:t>
      </w:r>
      <w:r>
        <w:rPr>
          <w:w w:val="95"/>
        </w:rPr>
        <w:t>同</w:t>
      </w:r>
      <w:r>
        <w:rPr>
          <w:w w:val="95"/>
        </w:rPr>
        <w:t>成</w:t>
      </w:r>
      <w:r>
        <w:rPr>
          <w:w w:val="95"/>
        </w:rPr>
        <w:t>立之日起超过 2</w:t>
      </w:r>
      <w:r>
        <w:rPr>
          <w:spacing w:val="-2"/>
        </w:rPr>
        <w:t>年的，我们不得解除合同；发生保险事故的，我们承担保险责任。</w:t>
      </w:r>
    </w:p>
    <w:p>
      <w:pPr>
        <w:spacing w:after="0" w:line="278" w:lineRule="auto"/>
        <w:jc w:val="both"/>
        <w:sectPr>
          <w:type w:val="continuous"/>
          <w:pgSz w:w="11910" w:h="16840"/>
          <w:pgMar w:top="680" w:bottom="280" w:left="920" w:right="440"/>
          <w:cols w:num="2" w:equalWidth="0">
            <w:col w:w="2861" w:space="40"/>
            <w:col w:w="7649"/>
          </w:cols>
        </w:sectPr>
      </w:pPr>
    </w:p>
    <w:p>
      <w:pPr>
        <w:pStyle w:val="Heading1"/>
        <w:numPr>
          <w:ilvl w:val="0"/>
          <w:numId w:val="18"/>
        </w:numPr>
        <w:tabs>
          <w:tab w:pos="1381" w:val="left" w:leader="none"/>
          <w:tab w:pos="1382" w:val="left" w:leader="none"/>
        </w:tabs>
        <w:spacing w:line="360" w:lineRule="exact" w:before="0" w:after="0"/>
        <w:ind w:left="1382" w:right="0" w:hanging="1170"/>
        <w:jc w:val="left"/>
        <w:rPr>
          <w:rFonts w:ascii="Microsoft JhengHei" w:eastAsia="Microsoft JhengHei"/>
        </w:rPr>
      </w:pPr>
      <w:r>
        <w:rPr/>
        <w:drawing>
          <wp:anchor distT="0" distB="0" distL="0" distR="0" allowOverlap="1" layoutInCell="1" locked="0" behindDoc="0" simplePos="0" relativeHeight="15738880">
            <wp:simplePos x="0" y="0"/>
            <wp:positionH relativeFrom="page">
              <wp:posOffset>650748</wp:posOffset>
            </wp:positionH>
            <wp:positionV relativeFrom="paragraph">
              <wp:posOffset>210769</wp:posOffset>
            </wp:positionV>
            <wp:extent cx="6261861" cy="18592"/>
            <wp:effectExtent l="0" t="0" r="0" b="0"/>
            <wp:wrapNone/>
            <wp:docPr id="33" name="image6.png"/>
            <wp:cNvGraphicFramePr>
              <a:graphicFrameLocks noChangeAspect="1"/>
            </wp:cNvGraphicFramePr>
            <a:graphic>
              <a:graphicData uri="http://schemas.openxmlformats.org/drawingml/2006/picture">
                <pic:pic>
                  <pic:nvPicPr>
                    <pic:cNvPr id="34" name="image6.png"/>
                    <pic:cNvPicPr/>
                  </pic:nvPicPr>
                  <pic:blipFill>
                    <a:blip r:embed="rId10" cstate="print"/>
                    <a:stretch>
                      <a:fillRect/>
                    </a:stretch>
                  </pic:blipFill>
                  <pic:spPr>
                    <a:xfrm>
                      <a:off x="0" y="0"/>
                      <a:ext cx="6261861" cy="18592"/>
                    </a:xfrm>
                    <a:prstGeom prst="rect">
                      <a:avLst/>
                    </a:prstGeom>
                  </pic:spPr>
                </pic:pic>
              </a:graphicData>
            </a:graphic>
          </wp:anchor>
        </w:drawing>
      </w:r>
      <w:r>
        <w:rPr>
          <w:rFonts w:ascii="Microsoft JhengHei" w:eastAsia="Microsoft JhengHei"/>
          <w:spacing w:val="-2"/>
        </w:rPr>
        <w:t>其他需要关注的事项</w:t>
      </w:r>
    </w:p>
    <w:p>
      <w:pPr>
        <w:pStyle w:val="ListParagraph"/>
        <w:numPr>
          <w:ilvl w:val="1"/>
          <w:numId w:val="18"/>
        </w:numPr>
        <w:tabs>
          <w:tab w:pos="1381" w:val="left" w:leader="none"/>
          <w:tab w:pos="1382" w:val="left" w:leader="none"/>
          <w:tab w:pos="3115" w:val="left" w:leader="none"/>
        </w:tabs>
        <w:spacing w:line="383" w:lineRule="exact" w:before="70" w:after="0"/>
        <w:ind w:left="1382" w:right="0" w:hanging="1170"/>
        <w:jc w:val="left"/>
        <w:rPr>
          <w:sz w:val="21"/>
        </w:rPr>
      </w:pPr>
      <w:r>
        <w:rPr>
          <w:rFonts w:ascii="微软雅黑" w:eastAsia="微软雅黑"/>
          <w:b/>
          <w:sz w:val="21"/>
        </w:rPr>
        <w:t>年龄性别错</w:t>
      </w:r>
      <w:r>
        <w:rPr>
          <w:rFonts w:ascii="微软雅黑" w:eastAsia="微软雅黑"/>
          <w:b/>
          <w:spacing w:val="-10"/>
          <w:sz w:val="21"/>
        </w:rPr>
        <w:t>误</w:t>
      </w:r>
      <w:r>
        <w:rPr>
          <w:rFonts w:ascii="微软雅黑" w:eastAsia="微软雅黑"/>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和</w:t>
      </w:r>
      <w:r>
        <w:rPr>
          <w:spacing w:val="-2"/>
          <w:sz w:val="21"/>
        </w:rPr>
        <w:t>性</w:t>
      </w:r>
      <w:r>
        <w:rPr>
          <w:spacing w:val="-10"/>
          <w:sz w:val="21"/>
        </w:rPr>
        <w:t>别</w:t>
      </w:r>
    </w:p>
    <w:p>
      <w:pPr>
        <w:pStyle w:val="BodyText"/>
        <w:spacing w:line="265" w:lineRule="exact"/>
      </w:pPr>
      <w:r>
        <w:rPr>
          <w:spacing w:val="-3"/>
        </w:rPr>
        <w:t>在投保单上填明，如果发生错误按照下列方式办理：</w:t>
      </w:r>
    </w:p>
    <w:p>
      <w:pPr>
        <w:pStyle w:val="ListParagraph"/>
        <w:numPr>
          <w:ilvl w:val="2"/>
          <w:numId w:val="18"/>
        </w:numPr>
        <w:tabs>
          <w:tab w:pos="3434" w:val="left" w:leader="none"/>
        </w:tabs>
        <w:spacing w:line="278" w:lineRule="auto" w:before="43" w:after="0"/>
        <w:ind w:left="3113" w:right="683" w:firstLine="2"/>
        <w:jc w:val="both"/>
        <w:rPr>
          <w:sz w:val="19"/>
        </w:rPr>
      </w:pPr>
      <w:r>
        <w:rPr>
          <w:color w:val="000000"/>
          <w:spacing w:val="-7"/>
          <w:sz w:val="21"/>
          <w:shd w:fill="A6A6A6" w:color="auto" w:val="clear"/>
        </w:rPr>
        <w:t>您申报的被保险人年龄或性别不真实，并且其真实年龄或性别不符合本</w:t>
      </w:r>
      <w:r>
        <w:rPr>
          <w:color w:val="000000"/>
          <w:spacing w:val="13020"/>
          <w:sz w:val="21"/>
          <w:shd w:fill="A6A6A6" w:color="auto" w:val="clear"/>
        </w:rPr>
        <w:t> </w:t>
      </w:r>
      <w:r>
        <w:rPr>
          <w:color w:val="000000"/>
          <w:spacing w:val="-2"/>
          <w:sz w:val="21"/>
          <w:shd w:fill="A6A6A6" w:color="auto" w:val="clear"/>
        </w:rPr>
        <w:t>合同约定投保年龄或性别限制的，我们有权解除合同，并向您退还本合同</w:t>
      </w:r>
      <w:r>
        <w:rPr>
          <w:color w:val="000000"/>
          <w:sz w:val="21"/>
          <w:shd w:fill="A6A6A6" w:color="auto" w:val="clear"/>
        </w:rPr>
        <w:t>的现金价值。</w:t>
      </w:r>
      <w:r>
        <w:rPr>
          <w:color w:val="000000"/>
          <w:sz w:val="21"/>
        </w:rPr>
        <w:t>我们行使合同解除权适用本保险条款“8.2</w:t>
      </w:r>
      <w:r>
        <w:rPr>
          <w:color w:val="000000"/>
          <w:spacing w:val="-3"/>
          <w:sz w:val="21"/>
        </w:rPr>
        <w:t> 我们合同解除权</w:t>
      </w:r>
      <w:r>
        <w:rPr>
          <w:color w:val="000000"/>
          <w:spacing w:val="-2"/>
          <w:sz w:val="21"/>
        </w:rPr>
        <w:t>的限制”的规定。</w:t>
      </w:r>
    </w:p>
    <w:p>
      <w:pPr>
        <w:pStyle w:val="ListParagraph"/>
        <w:numPr>
          <w:ilvl w:val="2"/>
          <w:numId w:val="18"/>
        </w:numPr>
        <w:tabs>
          <w:tab w:pos="3434" w:val="left" w:leader="none"/>
        </w:tabs>
        <w:spacing w:line="278" w:lineRule="auto" w:before="0" w:after="0"/>
        <w:ind w:left="3113" w:right="683" w:firstLine="2"/>
        <w:jc w:val="both"/>
        <w:rPr>
          <w:sz w:val="19"/>
        </w:rPr>
      </w:pPr>
      <w:r>
        <w:rPr>
          <w:spacing w:val="-7"/>
          <w:sz w:val="21"/>
        </w:rPr>
        <w:t>您申报的被保险人年龄或性别不真实，致使您实付保险费少于应付保险</w:t>
      </w:r>
      <w:r>
        <w:rPr>
          <w:spacing w:val="-2"/>
          <w:sz w:val="21"/>
        </w:rPr>
        <w:t>费的，我们有权更正并要求您补交保险费。</w:t>
      </w:r>
      <w:r>
        <w:rPr>
          <w:color w:val="000000"/>
          <w:spacing w:val="-2"/>
          <w:sz w:val="21"/>
          <w:shd w:fill="A6A6A6" w:color="auto" w:val="clear"/>
        </w:rPr>
        <w:t>若已经发生保险事故，在给付</w:t>
      </w:r>
      <w:r>
        <w:rPr>
          <w:color w:val="000000"/>
          <w:spacing w:val="13020"/>
          <w:sz w:val="21"/>
          <w:shd w:fill="A6A6A6" w:color="auto" w:val="clear"/>
        </w:rPr>
        <w:t> </w:t>
      </w:r>
      <w:r>
        <w:rPr>
          <w:color w:val="000000"/>
          <w:spacing w:val="-2"/>
          <w:sz w:val="21"/>
          <w:shd w:fill="A6A6A6" w:color="auto" w:val="clear"/>
        </w:rPr>
        <w:t>保险金时按实付保险费和应付保险费的比例给付。</w:t>
      </w:r>
    </w:p>
    <w:p>
      <w:pPr>
        <w:pStyle w:val="ListParagraph"/>
        <w:numPr>
          <w:ilvl w:val="2"/>
          <w:numId w:val="18"/>
        </w:numPr>
        <w:tabs>
          <w:tab w:pos="3434" w:val="left" w:leader="none"/>
        </w:tabs>
        <w:spacing w:line="278" w:lineRule="auto" w:before="0" w:after="0"/>
        <w:ind w:left="3113" w:right="683" w:firstLine="2"/>
        <w:jc w:val="left"/>
        <w:rPr>
          <w:sz w:val="19"/>
        </w:rPr>
      </w:pPr>
      <w:r>
        <w:rPr>
          <w:spacing w:val="-7"/>
          <w:sz w:val="21"/>
        </w:rPr>
        <w:t>您申报的被保险人年龄或性别不真实，致使您实付保险费多于应付保险</w:t>
      </w:r>
      <w:r>
        <w:rPr>
          <w:spacing w:val="-2"/>
          <w:sz w:val="21"/>
        </w:rPr>
        <w:t>费的，我们会将多收的保险费退还给您。</w:t>
      </w:r>
    </w:p>
    <w:p>
      <w:pPr>
        <w:pStyle w:val="ListParagraph"/>
        <w:numPr>
          <w:ilvl w:val="2"/>
          <w:numId w:val="18"/>
        </w:numPr>
        <w:tabs>
          <w:tab w:pos="3434" w:val="left" w:leader="none"/>
        </w:tabs>
        <w:spacing w:line="278" w:lineRule="auto" w:before="0" w:after="0"/>
        <w:ind w:left="3113" w:right="684" w:firstLine="2"/>
        <w:jc w:val="left"/>
        <w:rPr>
          <w:sz w:val="19"/>
        </w:rPr>
      </w:pPr>
      <w:r>
        <w:rPr>
          <w:spacing w:val="-7"/>
          <w:sz w:val="21"/>
        </w:rPr>
        <w:t>您申报的被保险人年龄或性别不真实，致使本合同的现金价值与实际不</w:t>
      </w:r>
      <w:r>
        <w:rPr>
          <w:spacing w:val="-2"/>
          <w:sz w:val="21"/>
        </w:rPr>
        <w:t>符的，我们有权根据被保险人的实际年龄和性别调整。</w:t>
      </w:r>
    </w:p>
    <w:p>
      <w:pPr>
        <w:pStyle w:val="ListParagraph"/>
        <w:numPr>
          <w:ilvl w:val="1"/>
          <w:numId w:val="18"/>
        </w:numPr>
        <w:tabs>
          <w:tab w:pos="1381" w:val="left" w:leader="none"/>
          <w:tab w:pos="1382" w:val="left" w:leader="none"/>
          <w:tab w:pos="3115" w:val="left" w:leader="none"/>
        </w:tabs>
        <w:spacing w:line="383" w:lineRule="exact" w:before="73" w:after="0"/>
        <w:ind w:left="1382" w:right="0" w:hanging="1170"/>
        <w:jc w:val="left"/>
        <w:rPr>
          <w:sz w:val="21"/>
        </w:rPr>
      </w:pPr>
      <w:r>
        <w:rPr>
          <w:rFonts w:ascii="微软雅黑" w:eastAsia="微软雅黑"/>
          <w:b/>
          <w:sz w:val="21"/>
        </w:rPr>
        <w:t>未还款</w:t>
      </w:r>
      <w:r>
        <w:rPr>
          <w:rFonts w:ascii="微软雅黑" w:eastAsia="微软雅黑"/>
          <w:b/>
          <w:spacing w:val="-10"/>
          <w:sz w:val="21"/>
        </w:rPr>
        <w:t>项</w:t>
      </w:r>
      <w:r>
        <w:rPr>
          <w:rFonts w:ascii="微软雅黑" w:eastAsia="微软雅黑"/>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w:t>
      </w:r>
      <w:r>
        <w:rPr>
          <w:spacing w:val="-2"/>
          <w:sz w:val="21"/>
        </w:rPr>
        <w:t>金</w:t>
      </w:r>
      <w:r>
        <w:rPr>
          <w:spacing w:val="-2"/>
          <w:sz w:val="21"/>
        </w:rPr>
        <w:t>、</w:t>
      </w:r>
      <w:r>
        <w:rPr>
          <w:spacing w:val="-2"/>
          <w:sz w:val="21"/>
        </w:rPr>
        <w:t>退</w:t>
      </w:r>
      <w:r>
        <w:rPr>
          <w:spacing w:val="-2"/>
          <w:sz w:val="21"/>
        </w:rPr>
        <w:t>还</w:t>
      </w:r>
      <w:r>
        <w:rPr>
          <w:spacing w:val="-2"/>
          <w:sz w:val="21"/>
        </w:rPr>
        <w:t>本</w:t>
      </w:r>
      <w:r>
        <w:rPr>
          <w:spacing w:val="-2"/>
          <w:sz w:val="21"/>
        </w:rPr>
        <w:t>合</w:t>
      </w:r>
      <w:r>
        <w:rPr>
          <w:spacing w:val="-2"/>
          <w:sz w:val="21"/>
        </w:rPr>
        <w:t>同</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退</w:t>
      </w:r>
      <w:r>
        <w:rPr>
          <w:spacing w:val="-2"/>
          <w:sz w:val="21"/>
        </w:rPr>
        <w:t>还</w:t>
      </w:r>
      <w:r>
        <w:rPr>
          <w:spacing w:val="-2"/>
          <w:sz w:val="21"/>
        </w:rPr>
        <w:t>保</w:t>
      </w:r>
      <w:r>
        <w:rPr>
          <w:spacing w:val="-2"/>
          <w:sz w:val="21"/>
        </w:rPr>
        <w:t>险</w:t>
      </w:r>
      <w:r>
        <w:rPr>
          <w:spacing w:val="-2"/>
          <w:sz w:val="21"/>
        </w:rPr>
        <w:t>费</w:t>
      </w:r>
      <w:r>
        <w:rPr>
          <w:spacing w:val="-2"/>
          <w:sz w:val="21"/>
        </w:rPr>
        <w:t>时</w:t>
      </w:r>
      <w:r>
        <w:rPr>
          <w:spacing w:val="-2"/>
          <w:sz w:val="21"/>
        </w:rPr>
        <w:t>，</w:t>
      </w:r>
      <w:r>
        <w:rPr>
          <w:spacing w:val="-2"/>
          <w:sz w:val="21"/>
        </w:rPr>
        <w:t>若</w:t>
      </w:r>
      <w:r>
        <w:rPr>
          <w:spacing w:val="-2"/>
          <w:sz w:val="21"/>
        </w:rPr>
        <w:t>您</w:t>
      </w:r>
      <w:r>
        <w:rPr>
          <w:spacing w:val="-10"/>
          <w:sz w:val="21"/>
        </w:rPr>
        <w:t>存</w:t>
      </w:r>
    </w:p>
    <w:p>
      <w:pPr>
        <w:pStyle w:val="BodyText"/>
        <w:spacing w:line="278" w:lineRule="auto"/>
        <w:ind w:right="684"/>
      </w:pPr>
      <w:r>
        <w:rPr>
          <w:spacing w:val="-2"/>
        </w:rPr>
        <w:t>在欠交保险费、保单贷款或其他未还款项及相应利息，我们会在扣除上述</w:t>
      </w:r>
      <w:r>
        <w:rPr>
          <w:spacing w:val="-2"/>
        </w:rPr>
        <w:t>欠款后给付。</w:t>
      </w:r>
    </w:p>
    <w:p>
      <w:pPr>
        <w:pStyle w:val="ListParagraph"/>
        <w:numPr>
          <w:ilvl w:val="1"/>
          <w:numId w:val="18"/>
        </w:numPr>
        <w:tabs>
          <w:tab w:pos="1381" w:val="left" w:leader="none"/>
          <w:tab w:pos="1382" w:val="left" w:leader="none"/>
          <w:tab w:pos="3115" w:val="left" w:leader="none"/>
        </w:tabs>
        <w:spacing w:line="383" w:lineRule="exact" w:before="71" w:after="0"/>
        <w:ind w:left="1382" w:right="0" w:hanging="1170"/>
        <w:jc w:val="left"/>
        <w:rPr>
          <w:sz w:val="21"/>
        </w:rPr>
      </w:pPr>
      <w:r>
        <w:rPr>
          <w:rFonts w:ascii="微软雅黑" w:eastAsia="微软雅黑"/>
          <w:b/>
          <w:sz w:val="21"/>
        </w:rPr>
        <w:t>合同内容变</w:t>
      </w:r>
      <w:r>
        <w:rPr>
          <w:rFonts w:ascii="微软雅黑" w:eastAsia="微软雅黑"/>
          <w:b/>
          <w:spacing w:val="-10"/>
          <w:sz w:val="21"/>
        </w:rPr>
        <w:t>更</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经</w:t>
      </w:r>
      <w:r>
        <w:rPr>
          <w:spacing w:val="-2"/>
          <w:sz w:val="21"/>
        </w:rPr>
        <w:t>您</w:t>
      </w:r>
      <w:r>
        <w:rPr>
          <w:spacing w:val="-2"/>
          <w:sz w:val="21"/>
        </w:rPr>
        <w:t>与</w:t>
      </w:r>
      <w:r>
        <w:rPr>
          <w:spacing w:val="-2"/>
          <w:sz w:val="21"/>
        </w:rPr>
        <w:t>我</w:t>
      </w:r>
      <w:r>
        <w:rPr>
          <w:spacing w:val="-2"/>
          <w:sz w:val="21"/>
        </w:rPr>
        <w:t>们</w:t>
      </w:r>
      <w:r>
        <w:rPr>
          <w:spacing w:val="-2"/>
          <w:sz w:val="21"/>
        </w:rPr>
        <w:t>协</w:t>
      </w:r>
      <w:r>
        <w:rPr>
          <w:spacing w:val="-2"/>
          <w:sz w:val="21"/>
        </w:rPr>
        <w:t>商</w:t>
      </w:r>
      <w:r>
        <w:rPr>
          <w:spacing w:val="-2"/>
          <w:sz w:val="21"/>
        </w:rPr>
        <w:t>一</w:t>
      </w:r>
      <w:r>
        <w:rPr>
          <w:spacing w:val="-2"/>
          <w:sz w:val="21"/>
        </w:rPr>
        <w:t>致，</w:t>
      </w:r>
      <w:r>
        <w:rPr>
          <w:spacing w:val="-2"/>
          <w:sz w:val="21"/>
        </w:rPr>
        <w:t>可</w:t>
      </w:r>
      <w:r>
        <w:rPr>
          <w:spacing w:val="-2"/>
          <w:sz w:val="21"/>
        </w:rPr>
        <w:t>以</w:t>
      </w:r>
      <w:r>
        <w:rPr>
          <w:spacing w:val="-2"/>
          <w:sz w:val="21"/>
        </w:rPr>
        <w:t>变</w:t>
      </w:r>
      <w:r>
        <w:rPr>
          <w:spacing w:val="-2"/>
          <w:sz w:val="21"/>
        </w:rPr>
        <w:t>更</w:t>
      </w:r>
      <w:r>
        <w:rPr>
          <w:spacing w:val="-2"/>
          <w:sz w:val="21"/>
        </w:rPr>
        <w:t>本</w:t>
      </w:r>
      <w:r>
        <w:rPr>
          <w:spacing w:val="-2"/>
          <w:sz w:val="21"/>
        </w:rPr>
        <w:t>合</w:t>
      </w:r>
      <w:r>
        <w:rPr>
          <w:spacing w:val="-2"/>
          <w:sz w:val="21"/>
        </w:rPr>
        <w:t>同</w:t>
      </w:r>
      <w:r>
        <w:rPr>
          <w:spacing w:val="-2"/>
          <w:sz w:val="21"/>
        </w:rPr>
        <w:t>的</w:t>
      </w:r>
      <w:r>
        <w:rPr>
          <w:spacing w:val="-2"/>
          <w:sz w:val="21"/>
        </w:rPr>
        <w:t>有</w:t>
      </w:r>
      <w:r>
        <w:rPr>
          <w:spacing w:val="-2"/>
          <w:sz w:val="21"/>
        </w:rPr>
        <w:t>关</w:t>
      </w:r>
      <w:r>
        <w:rPr>
          <w:spacing w:val="-2"/>
          <w:sz w:val="21"/>
        </w:rPr>
        <w:t>内</w:t>
      </w:r>
      <w:r>
        <w:rPr>
          <w:spacing w:val="-2"/>
          <w:sz w:val="21"/>
        </w:rPr>
        <w:t>容</w:t>
      </w:r>
      <w:r>
        <w:rPr>
          <w:spacing w:val="-10"/>
          <w:sz w:val="21"/>
        </w:rPr>
        <w:t>。</w:t>
      </w:r>
    </w:p>
    <w:p>
      <w:pPr>
        <w:pStyle w:val="BodyText"/>
        <w:spacing w:line="278" w:lineRule="auto"/>
        <w:ind w:right="684"/>
      </w:pPr>
      <w:r>
        <w:rPr>
          <w:spacing w:val="-2"/>
        </w:rPr>
        <w:t>变更本合同的，应当由我们在保险单上批注或者附贴批单，或者由您与我</w:t>
      </w:r>
      <w:r>
        <w:rPr>
          <w:spacing w:val="-2"/>
        </w:rPr>
        <w:t>们订立书面的变更协议。</w:t>
      </w:r>
    </w:p>
    <w:p>
      <w:pPr>
        <w:pStyle w:val="ListParagraph"/>
        <w:numPr>
          <w:ilvl w:val="1"/>
          <w:numId w:val="18"/>
        </w:numPr>
        <w:tabs>
          <w:tab w:pos="1381" w:val="left" w:leader="none"/>
          <w:tab w:pos="1382" w:val="left" w:leader="none"/>
        </w:tabs>
        <w:spacing w:line="383" w:lineRule="exact" w:before="70" w:after="0"/>
        <w:ind w:left="1382" w:right="0" w:hanging="1170"/>
        <w:jc w:val="both"/>
        <w:rPr>
          <w:sz w:val="21"/>
        </w:rPr>
      </w:pPr>
      <w:r>
        <w:rPr>
          <w:rFonts w:ascii="微软雅黑" w:eastAsia="微软雅黑"/>
          <w:b/>
          <w:spacing w:val="55"/>
          <w:sz w:val="21"/>
        </w:rPr>
        <w:t>联系方式变更 </w:t>
      </w:r>
      <w:r>
        <w:rPr>
          <w:spacing w:val="-1"/>
          <w:sz w:val="21"/>
        </w:rPr>
        <w:t>为了保障您的合法权益，您的住所、通讯地址或电话等联系方式变更时，</w:t>
      </w:r>
    </w:p>
    <w:p>
      <w:pPr>
        <w:pStyle w:val="BodyText"/>
        <w:spacing w:line="278" w:lineRule="auto"/>
        <w:ind w:right="684"/>
        <w:jc w:val="both"/>
      </w:pPr>
      <w:r>
        <w:rPr>
          <w:spacing w:val="-2"/>
        </w:rPr>
        <w:t>请及时以书面形式或双方认可的其他形式通知我们。若您未以书面形式或</w:t>
      </w:r>
      <w:r>
        <w:rPr>
          <w:spacing w:val="-2"/>
        </w:rPr>
        <w:t>双方认可的其他形式通知我们，我们按本合同载明的最后住所、通讯地址</w:t>
      </w:r>
      <w:r>
        <w:rPr>
          <w:spacing w:val="-2"/>
        </w:rPr>
        <w:t>或电话等联系方式发送的有关通知，均视为已送达给您。</w:t>
      </w:r>
    </w:p>
    <w:p>
      <w:pPr>
        <w:pStyle w:val="ListParagraph"/>
        <w:numPr>
          <w:ilvl w:val="1"/>
          <w:numId w:val="18"/>
        </w:numPr>
        <w:tabs>
          <w:tab w:pos="1381" w:val="left" w:leader="none"/>
          <w:tab w:pos="1382" w:val="left" w:leader="none"/>
          <w:tab w:pos="3115" w:val="left" w:leader="none"/>
        </w:tabs>
        <w:spacing w:line="383" w:lineRule="exact" w:before="73" w:after="0"/>
        <w:ind w:left="1382" w:right="0" w:hanging="1170"/>
        <w:jc w:val="both"/>
        <w:rPr>
          <w:sz w:val="21"/>
        </w:rPr>
      </w:pPr>
      <w:r>
        <w:rPr>
          <w:rFonts w:ascii="微软雅黑" w:eastAsia="微软雅黑"/>
          <w:b/>
          <w:sz w:val="21"/>
        </w:rPr>
        <w:t>争议处</w:t>
      </w:r>
      <w:r>
        <w:rPr>
          <w:rFonts w:ascii="微软雅黑" w:eastAsia="微软雅黑"/>
          <w:b/>
          <w:spacing w:val="-10"/>
          <w:sz w:val="21"/>
        </w:rPr>
        <w:t>理</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的</w:t>
      </w:r>
      <w:r>
        <w:rPr>
          <w:spacing w:val="-2"/>
          <w:sz w:val="21"/>
        </w:rPr>
        <w:t>，由</w:t>
      </w:r>
      <w:r>
        <w:rPr>
          <w:spacing w:val="-2"/>
          <w:sz w:val="21"/>
        </w:rPr>
        <w:t>双</w:t>
      </w:r>
      <w:r>
        <w:rPr>
          <w:spacing w:val="-2"/>
          <w:sz w:val="21"/>
        </w:rPr>
        <w:t>方</w:t>
      </w:r>
      <w:r>
        <w:rPr>
          <w:spacing w:val="-2"/>
          <w:sz w:val="21"/>
        </w:rPr>
        <w:t>协</w:t>
      </w:r>
      <w:r>
        <w:rPr>
          <w:spacing w:val="-2"/>
          <w:sz w:val="21"/>
        </w:rPr>
        <w:t>商</w:t>
      </w:r>
      <w:r>
        <w:rPr>
          <w:spacing w:val="-2"/>
          <w:sz w:val="21"/>
        </w:rPr>
        <w:t>解</w:t>
      </w:r>
      <w:r>
        <w:rPr>
          <w:spacing w:val="-2"/>
          <w:sz w:val="21"/>
        </w:rPr>
        <w:t>决</w:t>
      </w:r>
      <w:r>
        <w:rPr>
          <w:spacing w:val="-2"/>
          <w:sz w:val="21"/>
        </w:rPr>
        <w:t>，</w:t>
      </w:r>
      <w:r>
        <w:rPr>
          <w:spacing w:val="-2"/>
          <w:sz w:val="21"/>
        </w:rPr>
        <w:t>协</w:t>
      </w:r>
      <w:r>
        <w:rPr>
          <w:spacing w:val="-2"/>
          <w:sz w:val="21"/>
        </w:rPr>
        <w:t>商</w:t>
      </w:r>
      <w:r>
        <w:rPr>
          <w:spacing w:val="-2"/>
          <w:sz w:val="21"/>
        </w:rPr>
        <w:t>不</w:t>
      </w:r>
      <w:r>
        <w:rPr>
          <w:spacing w:val="-2"/>
          <w:sz w:val="21"/>
        </w:rPr>
        <w:t>成</w:t>
      </w:r>
      <w:r>
        <w:rPr>
          <w:spacing w:val="-2"/>
          <w:sz w:val="21"/>
        </w:rPr>
        <w:t>的</w:t>
      </w:r>
      <w:r>
        <w:rPr>
          <w:spacing w:val="-2"/>
          <w:sz w:val="21"/>
        </w:rPr>
        <w:t>，</w:t>
      </w:r>
      <w:r>
        <w:rPr>
          <w:spacing w:val="-10"/>
          <w:sz w:val="21"/>
        </w:rPr>
        <w:t>依</w:t>
      </w:r>
    </w:p>
    <w:p>
      <w:pPr>
        <w:pStyle w:val="BodyText"/>
        <w:spacing w:line="265" w:lineRule="exact"/>
      </w:pPr>
      <w:r>
        <w:rPr>
          <w:spacing w:val="-3"/>
        </w:rPr>
        <w:t>法向中国境内有管辖权的人民法院起诉，适用中国法律。</w:t>
      </w:r>
    </w:p>
    <w:p>
      <w:pPr>
        <w:pStyle w:val="Heading1"/>
        <w:numPr>
          <w:ilvl w:val="0"/>
          <w:numId w:val="18"/>
        </w:numPr>
        <w:tabs>
          <w:tab w:pos="1381" w:val="left" w:leader="none"/>
          <w:tab w:pos="1382" w:val="left" w:leader="none"/>
        </w:tabs>
        <w:spacing w:line="240" w:lineRule="auto" w:before="115" w:after="0"/>
        <w:ind w:left="1382" w:right="0" w:hanging="1170"/>
        <w:jc w:val="both"/>
        <w:rPr>
          <w:rFonts w:ascii="Microsoft JhengHei" w:eastAsia="Microsoft JhengHei"/>
        </w:rPr>
      </w:pPr>
      <w:r>
        <w:rPr/>
        <w:drawing>
          <wp:anchor distT="0" distB="0" distL="0" distR="0" allowOverlap="1" layoutInCell="1" locked="0" behindDoc="0" simplePos="0" relativeHeight="15739392">
            <wp:simplePos x="0" y="0"/>
            <wp:positionH relativeFrom="page">
              <wp:posOffset>650748</wp:posOffset>
            </wp:positionH>
            <wp:positionV relativeFrom="paragraph">
              <wp:posOffset>300682</wp:posOffset>
            </wp:positionV>
            <wp:extent cx="6261861" cy="18287"/>
            <wp:effectExtent l="0" t="0" r="0" b="0"/>
            <wp:wrapNone/>
            <wp:docPr id="35" name="image2.png"/>
            <wp:cNvGraphicFramePr>
              <a:graphicFrameLocks noChangeAspect="1"/>
            </wp:cNvGraphicFramePr>
            <a:graphic>
              <a:graphicData uri="http://schemas.openxmlformats.org/drawingml/2006/picture">
                <pic:pic>
                  <pic:nvPicPr>
                    <pic:cNvPr id="36" name="image2.png"/>
                    <pic:cNvPicPr/>
                  </pic:nvPicPr>
                  <pic:blipFill>
                    <a:blip r:embed="rId6" cstate="print"/>
                    <a:stretch>
                      <a:fillRect/>
                    </a:stretch>
                  </pic:blipFill>
                  <pic:spPr>
                    <a:xfrm>
                      <a:off x="0" y="0"/>
                      <a:ext cx="6261861" cy="18287"/>
                    </a:xfrm>
                    <a:prstGeom prst="rect">
                      <a:avLst/>
                    </a:prstGeom>
                  </pic:spPr>
                </pic:pic>
              </a:graphicData>
            </a:graphic>
          </wp:anchor>
        </w:drawing>
      </w:r>
      <w:r>
        <w:rPr>
          <w:rFonts w:ascii="Microsoft JhengHei" w:eastAsia="Microsoft JhengHei"/>
          <w:spacing w:val="-2"/>
        </w:rPr>
        <w:t>重大疾病的定义</w:t>
      </w:r>
    </w:p>
    <w:p>
      <w:pPr>
        <w:pStyle w:val="ListParagraph"/>
        <w:numPr>
          <w:ilvl w:val="1"/>
          <w:numId w:val="18"/>
        </w:numPr>
        <w:tabs>
          <w:tab w:pos="1381" w:val="left" w:leader="none"/>
          <w:tab w:pos="1382" w:val="left" w:leader="none"/>
          <w:tab w:pos="3115" w:val="left" w:leader="none"/>
        </w:tabs>
        <w:spacing w:line="383" w:lineRule="exact" w:before="70" w:after="0"/>
        <w:ind w:left="1382" w:right="0" w:hanging="1170"/>
        <w:jc w:val="left"/>
        <w:rPr>
          <w:sz w:val="21"/>
        </w:rPr>
      </w:pPr>
      <w:r>
        <w:rPr>
          <w:rFonts w:ascii="微软雅黑" w:eastAsia="微软雅黑"/>
          <w:b/>
          <w:sz w:val="21"/>
        </w:rPr>
        <w:t>重大疾病的定</w:t>
      </w:r>
      <w:r>
        <w:rPr>
          <w:rFonts w:ascii="微软雅黑" w:eastAsia="微软雅黑"/>
          <w:b/>
          <w:spacing w:val="-10"/>
          <w:sz w:val="21"/>
        </w:rPr>
        <w:t>义</w:t>
      </w:r>
      <w:r>
        <w:rPr>
          <w:rFonts w:ascii="微软雅黑" w:eastAsia="微软雅黑"/>
          <w:b/>
          <w:sz w:val="21"/>
        </w:rPr>
        <w:tab/>
      </w:r>
      <w:r>
        <w:rPr>
          <w:w w:val="95"/>
          <w:sz w:val="21"/>
        </w:rPr>
        <w:t>本</w:t>
      </w:r>
      <w:r>
        <w:rPr>
          <w:w w:val="95"/>
          <w:sz w:val="21"/>
        </w:rPr>
        <w:t>合</w:t>
      </w:r>
      <w:r>
        <w:rPr>
          <w:w w:val="95"/>
          <w:sz w:val="21"/>
        </w:rPr>
        <w:t>同所保障的重大疾病</w:t>
      </w:r>
      <w:r>
        <w:rPr>
          <w:spacing w:val="-94"/>
          <w:w w:val="95"/>
          <w:sz w:val="21"/>
        </w:rPr>
        <w:t>，</w:t>
      </w:r>
      <w:r>
        <w:rPr>
          <w:w w:val="95"/>
          <w:sz w:val="21"/>
        </w:rPr>
        <w:t>是</w:t>
      </w:r>
      <w:r>
        <w:rPr>
          <w:w w:val="95"/>
          <w:sz w:val="21"/>
        </w:rPr>
        <w:t>指</w:t>
      </w:r>
      <w:r>
        <w:rPr>
          <w:w w:val="95"/>
          <w:sz w:val="21"/>
        </w:rPr>
        <w:t>被保险人在约定医院经</w:t>
      </w:r>
      <w:r>
        <w:rPr>
          <w:rFonts w:ascii="微软雅黑" w:eastAsia="微软雅黑"/>
          <w:b/>
          <w:w w:val="95"/>
          <w:sz w:val="21"/>
        </w:rPr>
        <w:t>专</w:t>
      </w:r>
      <w:r>
        <w:rPr>
          <w:rFonts w:ascii="微软雅黑" w:eastAsia="微软雅黑"/>
          <w:b/>
          <w:w w:val="95"/>
          <w:sz w:val="21"/>
        </w:rPr>
        <w:t>科</w:t>
      </w:r>
      <w:r>
        <w:rPr>
          <w:rFonts w:ascii="微软雅黑" w:eastAsia="微软雅黑"/>
          <w:b/>
          <w:w w:val="95"/>
          <w:sz w:val="21"/>
        </w:rPr>
        <w:t>医</w:t>
      </w:r>
      <w:r>
        <w:rPr>
          <w:rFonts w:ascii="微软雅黑" w:eastAsia="微软雅黑"/>
          <w:b/>
          <w:w w:val="95"/>
          <w:sz w:val="21"/>
        </w:rPr>
        <w:t>生</w:t>
      </w:r>
      <w:r>
        <w:rPr>
          <w:rFonts w:ascii="微软雅黑" w:eastAsia="微软雅黑"/>
          <w:b/>
          <w:w w:val="95"/>
          <w:position w:val="11"/>
          <w:sz w:val="11"/>
        </w:rPr>
        <w:t>21</w:t>
      </w:r>
      <w:r>
        <w:rPr>
          <w:w w:val="95"/>
          <w:sz w:val="21"/>
        </w:rPr>
        <w:t>明确诊</w:t>
      </w:r>
      <w:r>
        <w:rPr>
          <w:spacing w:val="-10"/>
          <w:w w:val="95"/>
          <w:sz w:val="21"/>
        </w:rPr>
        <w:t>断</w:t>
      </w:r>
    </w:p>
    <w:p>
      <w:pPr>
        <w:pStyle w:val="BodyText"/>
        <w:spacing w:line="278" w:lineRule="auto"/>
        <w:ind w:right="683"/>
      </w:pPr>
      <w:r>
        <w:rPr>
          <w:spacing w:val="-2"/>
        </w:rPr>
        <w:t>患下列疾病或达到下列疾病状态或在约定医院接受下列手术</w:t>
      </w:r>
      <w:r>
        <w:rPr>
          <w:color w:val="000000"/>
          <w:spacing w:val="-2"/>
          <w:shd w:fill="A6A6A6" w:color="auto" w:val="clear"/>
        </w:rPr>
        <w:t>（以下疾病名</w:t>
      </w:r>
      <w:r>
        <w:rPr>
          <w:color w:val="000000"/>
          <w:spacing w:val="80"/>
          <w:w w:val="150"/>
          <w:shd w:fill="A6A6A6" w:color="auto" w:val="clear"/>
        </w:rPr>
        <w:t>                                     </w:t>
      </w:r>
      <w:r>
        <w:rPr>
          <w:color w:val="000000"/>
          <w:spacing w:val="-2"/>
          <w:shd w:fill="A6A6A6" w:color="auto" w:val="clear"/>
        </w:rPr>
        <w:t>称仅供理解使用，具体保障范围以每项疾病具体定义为准</w:t>
      </w:r>
      <w:r>
        <w:rPr>
          <w:color w:val="000000"/>
          <w:spacing w:val="-106"/>
          <w:shd w:fill="A6A6A6" w:color="auto" w:val="clear"/>
        </w:rPr>
        <w:t>）</w:t>
      </w:r>
      <w:r>
        <w:rPr>
          <w:color w:val="000000"/>
        </w:rPr>
        <w:t>：</w:t>
      </w:r>
    </w:p>
    <w:p>
      <w:pPr>
        <w:spacing w:after="0" w:line="278" w:lineRule="auto"/>
        <w:sectPr>
          <w:pgSz w:w="11910" w:h="16840"/>
          <w:pgMar w:top="1380" w:bottom="280" w:left="920" w:right="440"/>
        </w:sectPr>
      </w:pPr>
    </w:p>
    <w:p>
      <w:pPr>
        <w:pStyle w:val="Heading1"/>
        <w:numPr>
          <w:ilvl w:val="2"/>
          <w:numId w:val="20"/>
        </w:numPr>
        <w:tabs>
          <w:tab w:pos="1381" w:val="left" w:leader="none"/>
          <w:tab w:pos="1382" w:val="left" w:leader="none"/>
        </w:tabs>
        <w:spacing w:line="194" w:lineRule="auto" w:before="123" w:after="0"/>
        <w:ind w:left="1382" w:right="0" w:hanging="1170"/>
        <w:jc w:val="left"/>
      </w:pPr>
      <w:r>
        <w:rPr>
          <w:spacing w:val="-2"/>
          <w:w w:val="95"/>
        </w:rPr>
        <w:t>恶</w:t>
      </w:r>
      <w:r>
        <w:rPr>
          <w:spacing w:val="-2"/>
          <w:w w:val="95"/>
        </w:rPr>
        <w:t>性</w:t>
      </w:r>
      <w:r>
        <w:rPr>
          <w:spacing w:val="-2"/>
          <w:w w:val="95"/>
        </w:rPr>
        <w:t>肿</w:t>
      </w:r>
      <w:r>
        <w:rPr>
          <w:spacing w:val="-2"/>
          <w:w w:val="95"/>
        </w:rPr>
        <w:t>瘤</w:t>
      </w:r>
      <w:r>
        <w:rPr>
          <w:spacing w:val="-2"/>
          <w:w w:val="95"/>
        </w:rPr>
        <w:t>——</w:t>
      </w:r>
      <w:r>
        <w:rPr>
          <w:spacing w:val="-2"/>
          <w:w w:val="95"/>
        </w:rPr>
        <w:t>重</w:t>
      </w:r>
      <w:r>
        <w:rPr>
          <w:spacing w:val="-10"/>
        </w:rPr>
        <w:t>度</w:t>
      </w:r>
    </w:p>
    <w:p>
      <w:pPr>
        <w:pStyle w:val="BodyText"/>
        <w:spacing w:line="206" w:lineRule="auto" w:before="166"/>
        <w:ind w:left="212" w:right="682" w:firstLine="2"/>
        <w:jc w:val="both"/>
      </w:pPr>
      <w:r>
        <w:rPr/>
        <w:br w:type="column"/>
      </w:r>
      <w:r>
        <w:rPr>
          <w:spacing w:val="-2"/>
        </w:rPr>
        <w:t>指恶性细胞不受控制的进行性增长和扩散，浸润和破坏周围正常组织，可</w:t>
      </w:r>
      <w:r>
        <w:rPr>
          <w:spacing w:val="-2"/>
        </w:rPr>
        <w:t>以经血管、淋巴管和体腔扩散转移到身体其他部位，病灶经</w:t>
      </w:r>
      <w:r>
        <w:rPr>
          <w:rFonts w:ascii="微软雅黑" w:eastAsia="微软雅黑"/>
          <w:b/>
          <w:spacing w:val="-2"/>
        </w:rPr>
        <w:t>组织病理学检</w:t>
      </w:r>
      <w:r>
        <w:rPr>
          <w:rFonts w:ascii="微软雅黑" w:eastAsia="微软雅黑"/>
          <w:b/>
          <w:w w:val="95"/>
        </w:rPr>
        <w:t>查</w:t>
      </w:r>
      <w:r>
        <w:rPr>
          <w:rFonts w:ascii="微软雅黑" w:eastAsia="微软雅黑"/>
          <w:b/>
          <w:w w:val="95"/>
          <w:position w:val="11"/>
          <w:sz w:val="11"/>
        </w:rPr>
        <w:t>22</w:t>
      </w:r>
      <w:r>
        <w:rPr>
          <w:w w:val="95"/>
        </w:rPr>
        <w:t>（</w:t>
      </w:r>
      <w:r>
        <w:rPr>
          <w:w w:val="95"/>
        </w:rPr>
        <w:t>涵</w:t>
      </w:r>
      <w:r>
        <w:rPr>
          <w:w w:val="95"/>
        </w:rPr>
        <w:t>盖</w:t>
      </w:r>
      <w:r>
        <w:rPr>
          <w:w w:val="95"/>
        </w:rPr>
        <w:t>骨</w:t>
      </w:r>
      <w:r>
        <w:rPr>
          <w:w w:val="95"/>
        </w:rPr>
        <w:t>髓</w:t>
      </w:r>
      <w:r>
        <w:rPr>
          <w:w w:val="95"/>
        </w:rPr>
        <w:t>病</w:t>
      </w:r>
      <w:r>
        <w:rPr>
          <w:w w:val="95"/>
        </w:rPr>
        <w:t>理</w:t>
      </w:r>
      <w:r>
        <w:rPr>
          <w:w w:val="95"/>
        </w:rPr>
        <w:t>学</w:t>
      </w:r>
      <w:r>
        <w:rPr>
          <w:w w:val="95"/>
        </w:rPr>
        <w:t>检</w:t>
      </w:r>
      <w:r>
        <w:rPr>
          <w:w w:val="95"/>
        </w:rPr>
        <w:t>查</w:t>
      </w:r>
      <w:r>
        <w:rPr>
          <w:w w:val="95"/>
        </w:rPr>
        <w:t>）</w:t>
      </w:r>
      <w:r>
        <w:rPr>
          <w:w w:val="95"/>
        </w:rPr>
        <w:t>结</w:t>
      </w:r>
      <w:r>
        <w:rPr>
          <w:w w:val="95"/>
        </w:rPr>
        <w:t>果</w:t>
      </w:r>
      <w:r>
        <w:rPr>
          <w:w w:val="95"/>
        </w:rPr>
        <w:t>明</w:t>
      </w:r>
      <w:r>
        <w:rPr>
          <w:w w:val="95"/>
        </w:rPr>
        <w:t>确</w:t>
      </w:r>
      <w:r>
        <w:rPr>
          <w:w w:val="95"/>
        </w:rPr>
        <w:t>诊</w:t>
      </w:r>
      <w:r>
        <w:rPr>
          <w:w w:val="95"/>
        </w:rPr>
        <w:t>断</w:t>
      </w:r>
      <w:r>
        <w:rPr>
          <w:w w:val="95"/>
        </w:rPr>
        <w:t>，临</w:t>
      </w:r>
      <w:r>
        <w:rPr>
          <w:w w:val="95"/>
        </w:rPr>
        <w:t>床</w:t>
      </w:r>
      <w:r>
        <w:rPr>
          <w:w w:val="95"/>
        </w:rPr>
        <w:t>诊</w:t>
      </w:r>
      <w:r>
        <w:rPr>
          <w:w w:val="95"/>
        </w:rPr>
        <w:t>断</w:t>
      </w:r>
      <w:r>
        <w:rPr>
          <w:w w:val="95"/>
        </w:rPr>
        <w:t>属</w:t>
      </w:r>
      <w:r>
        <w:rPr>
          <w:w w:val="95"/>
        </w:rPr>
        <w:t>于</w:t>
      </w:r>
      <w:r>
        <w:rPr>
          <w:w w:val="95"/>
        </w:rPr>
        <w:t>世</w:t>
      </w:r>
      <w:r>
        <w:rPr>
          <w:w w:val="95"/>
        </w:rPr>
        <w:t>界</w:t>
      </w:r>
      <w:r>
        <w:rPr>
          <w:w w:val="95"/>
        </w:rPr>
        <w:t>卫</w:t>
      </w:r>
      <w:r>
        <w:rPr>
          <w:spacing w:val="-4"/>
          <w:w w:val="95"/>
        </w:rPr>
        <w:t>生组织</w:t>
      </w:r>
    </w:p>
    <w:p>
      <w:pPr>
        <w:pStyle w:val="BodyText"/>
        <w:spacing w:before="11"/>
        <w:ind w:left="212"/>
        <w:jc w:val="both"/>
      </w:pPr>
      <w:r>
        <w:rPr>
          <w:spacing w:val="-4"/>
        </w:rPr>
        <w:t>（WHO，World</w:t>
      </w:r>
      <w:r>
        <w:rPr>
          <w:spacing w:val="-30"/>
        </w:rPr>
        <w:t> </w:t>
      </w:r>
      <w:r>
        <w:rPr>
          <w:spacing w:val="-4"/>
        </w:rPr>
        <w:t>Health</w:t>
      </w:r>
      <w:r>
        <w:rPr>
          <w:spacing w:val="-28"/>
        </w:rPr>
        <w:t> </w:t>
      </w:r>
      <w:r>
        <w:rPr>
          <w:spacing w:val="5"/>
        </w:rPr>
        <w:t>Or</w:t>
      </w:r>
      <w:r>
        <w:rPr>
          <w:spacing w:val="2"/>
        </w:rPr>
        <w:t>ga</w:t>
      </w:r>
      <w:r>
        <w:rPr>
          <w:spacing w:val="5"/>
        </w:rPr>
        <w:t>nizat</w:t>
      </w:r>
      <w:r>
        <w:rPr>
          <w:spacing w:val="2"/>
        </w:rPr>
        <w:t>i</w:t>
      </w:r>
      <w:r>
        <w:rPr>
          <w:spacing w:val="5"/>
        </w:rPr>
        <w:t>o</w:t>
      </w:r>
      <w:r>
        <w:rPr>
          <w:spacing w:val="4"/>
        </w:rPr>
        <w:t>n</w:t>
      </w:r>
      <w:r>
        <w:rPr>
          <w:spacing w:val="-103"/>
        </w:rPr>
        <w:t>）</w:t>
      </w:r>
      <w:r>
        <w:rPr>
          <w:spacing w:val="-5"/>
        </w:rPr>
        <w:t>《疾病和有关健康问题的国际统计分</w:t>
      </w:r>
    </w:p>
    <w:p>
      <w:pPr>
        <w:spacing w:after="0"/>
        <w:jc w:val="both"/>
        <w:sectPr>
          <w:type w:val="continuous"/>
          <w:pgSz w:w="11910" w:h="16840"/>
          <w:pgMar w:top="680" w:bottom="280" w:left="920" w:right="440"/>
          <w:cols w:num="2" w:equalWidth="0">
            <w:col w:w="2861" w:space="40"/>
            <w:col w:w="7649"/>
          </w:cols>
        </w:sectPr>
      </w:pPr>
    </w:p>
    <w:p>
      <w:pPr>
        <w:pStyle w:val="BodyText"/>
        <w:spacing w:before="3"/>
        <w:ind w:left="0"/>
        <w:rPr>
          <w:sz w:val="23"/>
        </w:rPr>
      </w:pPr>
    </w:p>
    <w:p>
      <w:pPr>
        <w:pStyle w:val="BodyText"/>
        <w:spacing w:line="20" w:lineRule="exact"/>
        <w:ind w:left="212"/>
        <w:rPr>
          <w:sz w:val="2"/>
        </w:rPr>
      </w:pPr>
      <w:r>
        <w:rPr>
          <w:sz w:val="2"/>
        </w:rPr>
        <w:drawing>
          <wp:inline distT="0" distB="0" distL="0" distR="0">
            <wp:extent cx="1829511" cy="9143"/>
            <wp:effectExtent l="0" t="0" r="0" b="0"/>
            <wp:docPr id="37" name="image3.png"/>
            <wp:cNvGraphicFramePr>
              <a:graphicFrameLocks noChangeAspect="1"/>
            </wp:cNvGraphicFramePr>
            <a:graphic>
              <a:graphicData uri="http://schemas.openxmlformats.org/drawingml/2006/picture">
                <pic:pic>
                  <pic:nvPicPr>
                    <pic:cNvPr id="38" name="image3.png"/>
                    <pic:cNvPicPr/>
                  </pic:nvPicPr>
                  <pic:blipFill>
                    <a:blip r:embed="rId7" cstate="print"/>
                    <a:stretch>
                      <a:fillRect/>
                    </a:stretch>
                  </pic:blipFill>
                  <pic:spPr>
                    <a:xfrm>
                      <a:off x="0" y="0"/>
                      <a:ext cx="1829511" cy="9143"/>
                    </a:xfrm>
                    <a:prstGeom prst="rect">
                      <a:avLst/>
                    </a:prstGeom>
                  </pic:spPr>
                </pic:pic>
              </a:graphicData>
            </a:graphic>
          </wp:inline>
        </w:drawing>
      </w:r>
      <w:r>
        <w:rPr>
          <w:sz w:val="2"/>
        </w:rPr>
      </w:r>
    </w:p>
    <w:p>
      <w:pPr>
        <w:spacing w:line="311" w:lineRule="exact" w:before="35"/>
        <w:ind w:left="212" w:right="0" w:firstLine="0"/>
        <w:jc w:val="left"/>
        <w:rPr>
          <w:sz w:val="18"/>
        </w:rPr>
      </w:pPr>
      <w:r>
        <w:rPr>
          <w:rFonts w:ascii="Calibri" w:eastAsia="Calibri"/>
          <w:b/>
          <w:position w:val="5"/>
          <w:sz w:val="12"/>
        </w:rPr>
        <w:t>21</w:t>
      </w:r>
      <w:r>
        <w:rPr>
          <w:rFonts w:ascii="微软雅黑" w:eastAsia="微软雅黑"/>
          <w:b/>
          <w:sz w:val="18"/>
        </w:rPr>
        <w:t>专科医生：</w:t>
      </w:r>
      <w:r>
        <w:rPr>
          <w:spacing w:val="-1"/>
          <w:sz w:val="18"/>
        </w:rPr>
        <w:t>专科医生应当同时满足以下四项资格条件：</w:t>
      </w:r>
    </w:p>
    <w:p>
      <w:pPr>
        <w:pStyle w:val="ListParagraph"/>
        <w:numPr>
          <w:ilvl w:val="0"/>
          <w:numId w:val="21"/>
        </w:numPr>
        <w:tabs>
          <w:tab w:pos="487" w:val="left" w:leader="none"/>
        </w:tabs>
        <w:spacing w:line="210" w:lineRule="exact" w:before="0" w:after="0"/>
        <w:ind w:left="486" w:right="0" w:hanging="275"/>
        <w:jc w:val="left"/>
        <w:rPr>
          <w:sz w:val="18"/>
        </w:rPr>
      </w:pPr>
      <w:r>
        <w:rPr>
          <w:spacing w:val="-8"/>
          <w:sz w:val="18"/>
        </w:rPr>
        <w:t>具有有效的中华人民共和国《医师资格证书》；</w:t>
      </w:r>
    </w:p>
    <w:p>
      <w:pPr>
        <w:pStyle w:val="ListParagraph"/>
        <w:numPr>
          <w:ilvl w:val="0"/>
          <w:numId w:val="21"/>
        </w:numPr>
        <w:tabs>
          <w:tab w:pos="487" w:val="left" w:leader="none"/>
        </w:tabs>
        <w:spacing w:line="244" w:lineRule="auto" w:before="2" w:after="0"/>
        <w:ind w:left="212" w:right="3851" w:firstLine="0"/>
        <w:jc w:val="left"/>
        <w:rPr>
          <w:sz w:val="18"/>
        </w:rPr>
      </w:pPr>
      <w:r>
        <w:rPr>
          <w:spacing w:val="-7"/>
          <w:sz w:val="18"/>
        </w:rPr>
        <w:t>具有有效的中华人民共和国《医师执业证书》，并按期到相关部门登记注册；</w:t>
      </w:r>
      <w:r>
        <w:rPr>
          <w:spacing w:val="-2"/>
          <w:sz w:val="18"/>
        </w:rPr>
        <w:t> (3)</w:t>
      </w:r>
      <w:r>
        <w:rPr>
          <w:spacing w:val="-5"/>
          <w:sz w:val="18"/>
        </w:rPr>
        <w:t>具有有效的中华人民共和国主治医师或主治医师以上职称的《医师职称证书》；</w:t>
      </w:r>
    </w:p>
    <w:p>
      <w:pPr>
        <w:pStyle w:val="ListParagraph"/>
        <w:numPr>
          <w:ilvl w:val="0"/>
          <w:numId w:val="22"/>
        </w:numPr>
        <w:tabs>
          <w:tab w:pos="487" w:val="left" w:leader="none"/>
        </w:tabs>
        <w:spacing w:line="200" w:lineRule="exact" w:before="0" w:after="0"/>
        <w:ind w:left="486" w:right="0" w:hanging="275"/>
        <w:jc w:val="left"/>
        <w:rPr>
          <w:sz w:val="18"/>
        </w:rPr>
      </w:pPr>
      <w:r>
        <w:rPr>
          <w:spacing w:val="-3"/>
          <w:sz w:val="18"/>
        </w:rPr>
        <w:t>在国家《医院分级管理标准》二级或二级以上医院的相应科室从事临床工作三年以上。</w:t>
      </w:r>
    </w:p>
    <w:p>
      <w:pPr>
        <w:spacing w:line="283" w:lineRule="exact" w:before="0"/>
        <w:ind w:left="212" w:right="0" w:firstLine="0"/>
        <w:jc w:val="left"/>
        <w:rPr>
          <w:sz w:val="18"/>
        </w:rPr>
      </w:pPr>
      <w:r>
        <w:rPr>
          <w:rFonts w:ascii="Calibri" w:eastAsia="Calibri"/>
          <w:b/>
          <w:spacing w:val="-2"/>
          <w:position w:val="5"/>
          <w:sz w:val="12"/>
        </w:rPr>
        <w:t>22</w:t>
      </w:r>
      <w:r>
        <w:rPr>
          <w:rFonts w:ascii="微软雅黑" w:eastAsia="微软雅黑"/>
          <w:b/>
          <w:spacing w:val="-2"/>
          <w:sz w:val="18"/>
        </w:rPr>
        <w:t>组织病理学检查：</w:t>
      </w:r>
      <w:r>
        <w:rPr>
          <w:spacing w:val="-3"/>
          <w:sz w:val="18"/>
        </w:rPr>
        <w:t>组织病理学检查是通过局部切除、钳取、穿刺等手术方法，从患者机体采取病变组织块，经过包埋、切</w:t>
      </w:r>
    </w:p>
    <w:p>
      <w:pPr>
        <w:spacing w:line="210" w:lineRule="exact" w:before="0"/>
        <w:ind w:left="212" w:right="0" w:firstLine="0"/>
        <w:jc w:val="left"/>
        <w:rPr>
          <w:sz w:val="18"/>
        </w:rPr>
      </w:pPr>
      <w:r>
        <w:rPr>
          <w:spacing w:val="-2"/>
          <w:sz w:val="18"/>
        </w:rPr>
        <w:t>片后，进行病理检查的方法。</w:t>
      </w:r>
      <w:r>
        <w:rPr>
          <w:color w:val="000000"/>
          <w:spacing w:val="-3"/>
          <w:sz w:val="18"/>
          <w:shd w:fill="A6A6A6" w:color="auto" w:val="clear"/>
        </w:rPr>
        <w:t>通过采集病变部位脱落细胞、细针吸取病变部位细胞、体腔积液分离病变细胞等方式获取病变</w:t>
      </w:r>
    </w:p>
    <w:p>
      <w:pPr>
        <w:spacing w:before="5"/>
        <w:ind w:left="212" w:right="0" w:firstLine="0"/>
        <w:jc w:val="left"/>
        <w:rPr>
          <w:sz w:val="18"/>
        </w:rPr>
      </w:pPr>
      <w:r>
        <w:rPr>
          <w:color w:val="000000"/>
          <w:spacing w:val="-1"/>
          <w:sz w:val="18"/>
          <w:shd w:fill="A6A6A6" w:color="auto" w:val="clear"/>
        </w:rPr>
        <w:t>细胞，制成涂片，进行病理检查的方法，属于细胞病理学检查，不属于组织病理学检查。</w:t>
      </w:r>
    </w:p>
    <w:p>
      <w:pPr>
        <w:spacing w:after="0"/>
        <w:jc w:val="left"/>
        <w:rPr>
          <w:sz w:val="18"/>
        </w:rPr>
        <w:sectPr>
          <w:type w:val="continuous"/>
          <w:pgSz w:w="11910" w:h="16840"/>
          <w:pgMar w:top="680" w:bottom="280" w:left="920" w:right="440"/>
        </w:sectPr>
      </w:pPr>
    </w:p>
    <w:p>
      <w:pPr>
        <w:spacing w:line="211" w:lineRule="auto" w:before="49"/>
        <w:ind w:left="3113" w:right="681" w:firstLine="0"/>
        <w:jc w:val="both"/>
        <w:rPr>
          <w:sz w:val="21"/>
        </w:rPr>
      </w:pPr>
      <w:r>
        <w:rPr>
          <w:spacing w:val="-9"/>
          <w:w w:val="100"/>
          <w:sz w:val="21"/>
        </w:rPr>
        <w:t>类》第十次修订版</w:t>
      </w:r>
      <w:r>
        <w:rPr>
          <w:spacing w:val="-1"/>
          <w:w w:val="100"/>
          <w:sz w:val="21"/>
        </w:rPr>
        <w:t>（</w:t>
      </w:r>
      <w:r>
        <w:rPr>
          <w:rFonts w:ascii="微软雅黑" w:eastAsia="微软雅黑"/>
          <w:b/>
          <w:w w:val="83"/>
          <w:sz w:val="21"/>
        </w:rPr>
        <w:t>ICD</w:t>
      </w:r>
      <w:r>
        <w:rPr>
          <w:rFonts w:ascii="微软雅黑" w:eastAsia="微软雅黑"/>
          <w:b/>
          <w:w w:val="115"/>
          <w:sz w:val="21"/>
        </w:rPr>
        <w:t>-</w:t>
      </w:r>
      <w:r>
        <w:rPr>
          <w:rFonts w:ascii="微软雅黑" w:eastAsia="微软雅黑"/>
          <w:b/>
          <w:w w:val="81"/>
          <w:sz w:val="21"/>
        </w:rPr>
        <w:t>10</w:t>
      </w:r>
      <w:r>
        <w:rPr>
          <w:rFonts w:ascii="微软雅黑" w:eastAsia="微软雅黑"/>
          <w:b/>
          <w:spacing w:val="2"/>
          <w:w w:val="81"/>
          <w:position w:val="11"/>
          <w:sz w:val="11"/>
        </w:rPr>
        <w:t>23</w:t>
      </w:r>
      <w:r>
        <w:rPr>
          <w:spacing w:val="-25"/>
          <w:w w:val="100"/>
          <w:sz w:val="21"/>
        </w:rPr>
        <w:t>）</w:t>
      </w:r>
      <w:r>
        <w:rPr>
          <w:spacing w:val="-6"/>
          <w:w w:val="100"/>
          <w:sz w:val="21"/>
        </w:rPr>
        <w:t>的恶性肿瘤类别及《国际疾病分类肿瘤学专</w:t>
      </w:r>
      <w:r>
        <w:rPr>
          <w:spacing w:val="-5"/>
          <w:w w:val="100"/>
          <w:sz w:val="21"/>
        </w:rPr>
        <w:t>辑》第三版</w:t>
      </w:r>
      <w:r>
        <w:rPr>
          <w:spacing w:val="-3"/>
          <w:w w:val="100"/>
          <w:sz w:val="21"/>
        </w:rPr>
        <w:t>（</w:t>
      </w:r>
      <w:r>
        <w:rPr>
          <w:rFonts w:ascii="微软雅黑" w:eastAsia="微软雅黑"/>
          <w:b/>
          <w:w w:val="83"/>
          <w:sz w:val="21"/>
        </w:rPr>
        <w:t>ICD</w:t>
      </w:r>
      <w:r>
        <w:rPr>
          <w:rFonts w:ascii="微软雅黑" w:eastAsia="微软雅黑"/>
          <w:b/>
          <w:spacing w:val="2"/>
          <w:w w:val="115"/>
          <w:sz w:val="21"/>
        </w:rPr>
        <w:t>-</w:t>
      </w:r>
      <w:r>
        <w:rPr>
          <w:rFonts w:ascii="微软雅黑" w:eastAsia="微软雅黑"/>
          <w:b/>
          <w:w w:val="61"/>
          <w:sz w:val="21"/>
        </w:rPr>
        <w:t>O</w:t>
      </w:r>
      <w:r>
        <w:rPr>
          <w:rFonts w:ascii="微软雅黑" w:eastAsia="微软雅黑"/>
          <w:b/>
          <w:w w:val="115"/>
          <w:sz w:val="21"/>
        </w:rPr>
        <w:t>-</w:t>
      </w:r>
      <w:r>
        <w:rPr>
          <w:rFonts w:ascii="微软雅黑" w:eastAsia="微软雅黑"/>
          <w:b/>
          <w:w w:val="81"/>
          <w:sz w:val="21"/>
        </w:rPr>
        <w:t>3</w:t>
      </w:r>
      <w:r>
        <w:rPr>
          <w:rFonts w:ascii="微软雅黑" w:eastAsia="微软雅黑"/>
          <w:b/>
          <w:w w:val="81"/>
          <w:position w:val="11"/>
          <w:sz w:val="11"/>
        </w:rPr>
        <w:t>2</w:t>
      </w:r>
      <w:r>
        <w:rPr>
          <w:rFonts w:ascii="微软雅黑" w:eastAsia="微软雅黑"/>
          <w:b/>
          <w:spacing w:val="2"/>
          <w:w w:val="81"/>
          <w:position w:val="11"/>
          <w:sz w:val="11"/>
        </w:rPr>
        <w:t>3</w:t>
      </w:r>
      <w:r>
        <w:rPr>
          <w:spacing w:val="-3"/>
          <w:w w:val="100"/>
          <w:sz w:val="21"/>
        </w:rPr>
        <w:t>）</w:t>
      </w:r>
      <w:r>
        <w:rPr>
          <w:spacing w:val="-2"/>
          <w:w w:val="100"/>
          <w:sz w:val="21"/>
        </w:rPr>
        <w:t>的肿瘤形态学编码属于</w:t>
      </w:r>
      <w:r>
        <w:rPr>
          <w:sz w:val="21"/>
        </w:rPr>
        <w:t> </w:t>
      </w:r>
      <w:r>
        <w:rPr>
          <w:spacing w:val="-2"/>
          <w:w w:val="100"/>
          <w:sz w:val="21"/>
        </w:rPr>
        <w:t>3</w:t>
      </w:r>
      <w:r>
        <w:rPr>
          <w:w w:val="100"/>
          <w:sz w:val="21"/>
        </w:rPr>
        <w:t>、6、9（</w:t>
      </w:r>
      <w:r>
        <w:rPr>
          <w:spacing w:val="-3"/>
          <w:w w:val="100"/>
          <w:sz w:val="21"/>
        </w:rPr>
        <w:t>恶性肿瘤</w:t>
      </w:r>
      <w:r>
        <w:rPr>
          <w:w w:val="100"/>
          <w:sz w:val="21"/>
        </w:rPr>
        <w:t>）</w:t>
      </w:r>
      <w:r>
        <w:rPr>
          <w:spacing w:val="-12"/>
          <w:w w:val="100"/>
          <w:sz w:val="21"/>
        </w:rPr>
        <w:t>范</w:t>
      </w:r>
      <w:r>
        <w:rPr>
          <w:spacing w:val="-1"/>
          <w:w w:val="100"/>
          <w:sz w:val="21"/>
        </w:rPr>
        <w:t>畴的疾病。</w:t>
      </w:r>
    </w:p>
    <w:p>
      <w:pPr>
        <w:pStyle w:val="BodyText"/>
        <w:spacing w:before="129"/>
      </w:pPr>
      <w:r>
        <w:rPr>
          <w:color w:val="000000"/>
          <w:spacing w:val="-10"/>
          <w:shd w:fill="A6A6A6" w:color="auto" w:val="clear"/>
        </w:rPr>
        <w:t>下列疾病不属于“恶性肿瘤——重度”，不在保障范围内：</w:t>
      </w:r>
    </w:p>
    <w:p>
      <w:pPr>
        <w:pStyle w:val="ListParagraph"/>
        <w:numPr>
          <w:ilvl w:val="1"/>
          <w:numId w:val="22"/>
        </w:numPr>
        <w:tabs>
          <w:tab w:pos="3434" w:val="left" w:leader="none"/>
        </w:tabs>
        <w:spacing w:line="240" w:lineRule="auto" w:before="43" w:after="0"/>
        <w:ind w:left="3433" w:right="0" w:hanging="319"/>
        <w:jc w:val="left"/>
        <w:rPr>
          <w:sz w:val="21"/>
        </w:rPr>
      </w:pPr>
      <w:r>
        <w:rPr>
          <w:color w:val="000000"/>
          <w:spacing w:val="-2"/>
          <w:sz w:val="21"/>
          <w:shd w:fill="A6A6A6" w:color="auto" w:val="clear"/>
        </w:rPr>
        <w:t>ICD-O-3</w:t>
      </w:r>
      <w:r>
        <w:rPr>
          <w:color w:val="000000"/>
          <w:spacing w:val="-10"/>
          <w:sz w:val="21"/>
          <w:shd w:fill="A6A6A6" w:color="auto" w:val="clear"/>
        </w:rPr>
        <w:t> 肿瘤形态学编码属于 </w:t>
      </w:r>
      <w:r>
        <w:rPr>
          <w:color w:val="000000"/>
          <w:spacing w:val="-2"/>
          <w:sz w:val="21"/>
          <w:shd w:fill="A6A6A6" w:color="auto" w:val="clear"/>
        </w:rPr>
        <w:t>0（良性肿瘤</w:t>
      </w:r>
      <w:r>
        <w:rPr>
          <w:color w:val="000000"/>
          <w:spacing w:val="-106"/>
          <w:sz w:val="21"/>
          <w:shd w:fill="A6A6A6" w:color="auto" w:val="clear"/>
        </w:rPr>
        <w:t>）</w:t>
      </w:r>
      <w:r>
        <w:rPr>
          <w:color w:val="000000"/>
          <w:spacing w:val="-2"/>
          <w:sz w:val="21"/>
          <w:shd w:fill="A6A6A6" w:color="auto" w:val="clear"/>
        </w:rPr>
        <w:t>、1（动态未定性肿瘤</w:t>
      </w:r>
      <w:r>
        <w:rPr>
          <w:color w:val="000000"/>
          <w:spacing w:val="-108"/>
          <w:sz w:val="21"/>
          <w:shd w:fill="A6A6A6" w:color="auto" w:val="clear"/>
        </w:rPr>
        <w:t>）</w:t>
      </w:r>
      <w:r>
        <w:rPr>
          <w:color w:val="000000"/>
          <w:spacing w:val="-2"/>
          <w:sz w:val="21"/>
          <w:shd w:fill="A6A6A6" w:color="auto" w:val="clear"/>
        </w:rPr>
        <w:t>、</w:t>
      </w:r>
      <w:r>
        <w:rPr>
          <w:color w:val="000000"/>
          <w:spacing w:val="-10"/>
          <w:sz w:val="21"/>
          <w:shd w:fill="A6A6A6" w:color="auto" w:val="clear"/>
        </w:rPr>
        <w:t>2</w:t>
      </w:r>
    </w:p>
    <w:p>
      <w:pPr>
        <w:pStyle w:val="BodyText"/>
        <w:spacing w:before="43"/>
      </w:pPr>
      <w:r>
        <w:rPr>
          <w:color w:val="000000"/>
          <w:spacing w:val="-2"/>
          <w:shd w:fill="A6A6A6" w:color="auto" w:val="clear"/>
        </w:rPr>
        <w:t>（原位癌和非侵袭性癌）</w:t>
      </w:r>
      <w:r>
        <w:rPr>
          <w:color w:val="000000"/>
          <w:spacing w:val="-4"/>
          <w:shd w:fill="A6A6A6" w:color="auto" w:val="clear"/>
        </w:rPr>
        <w:t>范畴的疾病，如：</w:t>
      </w:r>
    </w:p>
    <w:p>
      <w:pPr>
        <w:pStyle w:val="ListParagraph"/>
        <w:numPr>
          <w:ilvl w:val="2"/>
          <w:numId w:val="22"/>
        </w:numPr>
        <w:tabs>
          <w:tab w:pos="3738" w:val="left" w:leader="none"/>
        </w:tabs>
        <w:spacing w:line="278" w:lineRule="auto" w:before="42" w:after="0"/>
        <w:ind w:left="3113" w:right="687" w:firstLine="412"/>
        <w:jc w:val="left"/>
        <w:rPr>
          <w:sz w:val="21"/>
        </w:rPr>
      </w:pPr>
      <w:r>
        <w:rPr>
          <w:color w:val="000000"/>
          <w:spacing w:val="-2"/>
          <w:sz w:val="21"/>
          <w:shd w:fill="A6A6A6" w:color="auto" w:val="clear"/>
        </w:rPr>
        <w:t>原位癌，癌前病变，非浸润性癌，非侵袭性癌，肿瘤细胞未侵犯基</w:t>
      </w:r>
      <w:r>
        <w:rPr>
          <w:color w:val="000000"/>
          <w:spacing w:val="12915"/>
          <w:sz w:val="21"/>
          <w:shd w:fill="A6A6A6" w:color="auto" w:val="clear"/>
        </w:rPr>
        <w:t> </w:t>
      </w:r>
      <w:r>
        <w:rPr>
          <w:color w:val="000000"/>
          <w:spacing w:val="-2"/>
          <w:sz w:val="21"/>
          <w:shd w:fill="A6A6A6" w:color="auto" w:val="clear"/>
        </w:rPr>
        <w:t>底层，上皮内瘤变，细胞不典型性增生等；</w:t>
      </w:r>
    </w:p>
    <w:p>
      <w:pPr>
        <w:pStyle w:val="ListParagraph"/>
        <w:numPr>
          <w:ilvl w:val="2"/>
          <w:numId w:val="22"/>
        </w:numPr>
        <w:tabs>
          <w:tab w:pos="3738" w:val="left" w:leader="none"/>
        </w:tabs>
        <w:spacing w:line="278" w:lineRule="auto" w:before="0" w:after="0"/>
        <w:ind w:left="3113" w:right="687" w:firstLine="412"/>
        <w:jc w:val="left"/>
        <w:rPr>
          <w:sz w:val="21"/>
        </w:rPr>
      </w:pPr>
      <w:r>
        <w:rPr>
          <w:color w:val="000000"/>
          <w:spacing w:val="-2"/>
          <w:sz w:val="21"/>
          <w:shd w:fill="A6A6A6" w:color="auto" w:val="clear"/>
        </w:rPr>
        <w:t>交界性肿瘤，交界恶性肿瘤，肿瘤低度恶性潜能，潜在低度恶性肿</w:t>
      </w:r>
      <w:r>
        <w:rPr>
          <w:color w:val="000000"/>
          <w:spacing w:val="-4"/>
          <w:sz w:val="21"/>
          <w:shd w:fill="A6A6A6" w:color="auto" w:val="clear"/>
        </w:rPr>
        <w:t>瘤等；</w:t>
      </w:r>
    </w:p>
    <w:p>
      <w:pPr>
        <w:pStyle w:val="ListParagraph"/>
        <w:numPr>
          <w:ilvl w:val="1"/>
          <w:numId w:val="22"/>
        </w:numPr>
        <w:tabs>
          <w:tab w:pos="3434" w:val="left" w:leader="none"/>
        </w:tabs>
        <w:spacing w:line="269" w:lineRule="exact" w:before="0" w:after="0"/>
        <w:ind w:left="3433" w:right="0" w:hanging="319"/>
        <w:jc w:val="left"/>
        <w:rPr>
          <w:sz w:val="21"/>
        </w:rPr>
      </w:pPr>
      <w:r>
        <w:rPr/>
        <w:drawing>
          <wp:anchor distT="0" distB="0" distL="0" distR="0" allowOverlap="1" layoutInCell="1" locked="0" behindDoc="1" simplePos="0" relativeHeight="484492800">
            <wp:simplePos x="0" y="0"/>
            <wp:positionH relativeFrom="page">
              <wp:posOffset>2562479</wp:posOffset>
            </wp:positionH>
            <wp:positionV relativeFrom="paragraph">
              <wp:posOffset>195691</wp:posOffset>
            </wp:positionV>
            <wp:extent cx="2789173" cy="173735"/>
            <wp:effectExtent l="0" t="0" r="0" b="0"/>
            <wp:wrapNone/>
            <wp:docPr id="39" name="image7.png"/>
            <wp:cNvGraphicFramePr>
              <a:graphicFrameLocks noChangeAspect="1"/>
            </wp:cNvGraphicFramePr>
            <a:graphic>
              <a:graphicData uri="http://schemas.openxmlformats.org/drawingml/2006/picture">
                <pic:pic>
                  <pic:nvPicPr>
                    <pic:cNvPr id="40" name="image7.png"/>
                    <pic:cNvPicPr/>
                  </pic:nvPicPr>
                  <pic:blipFill>
                    <a:blip r:embed="rId11" cstate="print"/>
                    <a:stretch>
                      <a:fillRect/>
                    </a:stretch>
                  </pic:blipFill>
                  <pic:spPr>
                    <a:xfrm>
                      <a:off x="0" y="0"/>
                      <a:ext cx="2789173" cy="173735"/>
                    </a:xfrm>
                    <a:prstGeom prst="rect">
                      <a:avLst/>
                    </a:prstGeom>
                  </pic:spPr>
                </pic:pic>
              </a:graphicData>
            </a:graphic>
          </wp:anchor>
        </w:drawing>
      </w:r>
      <w:r>
        <w:rPr/>
        <w:pict>
          <v:shape style="position:absolute;margin-left:201.770004pt;margin-top:15.408762pt;width:219.65pt;height:13.7pt;mso-position-horizontal-relative:page;mso-position-vertical-relative:paragraph;z-index:-15716864;mso-wrap-distance-left:0;mso-wrap-distance-right:0" type="#_x0000_t202" id="docshape6" filled="false" stroked="false">
            <v:textbox inset="0,0,0,0">
              <w:txbxContent>
                <w:p>
                  <w:pPr>
                    <w:pStyle w:val="BodyText"/>
                    <w:spacing w:before="3"/>
                    <w:ind w:left="0" w:right="-15"/>
                  </w:pPr>
                  <w:r>
                    <w:rPr>
                      <w:spacing w:val="-2"/>
                      <w:position w:val="1"/>
                    </w:rPr>
                    <w:t>(3)TNM</w:t>
                  </w:r>
                  <w:r>
                    <w:rPr>
                      <w:spacing w:val="-20"/>
                      <w:position w:val="1"/>
                    </w:rPr>
                    <w:t> 分期为 </w:t>
                  </w:r>
                  <w:r>
                    <w:rPr>
                      <w:spacing w:val="-2"/>
                      <w:position w:val="1"/>
                    </w:rPr>
                    <w:t>T</w:t>
                  </w:r>
                  <w:r>
                    <w:rPr>
                      <w:spacing w:val="-2"/>
                      <w:sz w:val="11"/>
                    </w:rPr>
                    <w:t>1</w:t>
                  </w:r>
                  <w:r>
                    <w:rPr>
                      <w:spacing w:val="-2"/>
                      <w:position w:val="1"/>
                    </w:rPr>
                    <w:t>N</w:t>
                  </w:r>
                  <w:r>
                    <w:rPr>
                      <w:spacing w:val="-2"/>
                      <w:sz w:val="11"/>
                    </w:rPr>
                    <w:t>0</w:t>
                  </w:r>
                  <w:r>
                    <w:rPr>
                      <w:spacing w:val="-2"/>
                      <w:position w:val="1"/>
                    </w:rPr>
                    <w:t>M</w:t>
                  </w:r>
                  <w:r>
                    <w:rPr>
                      <w:spacing w:val="-2"/>
                      <w:sz w:val="11"/>
                    </w:rPr>
                    <w:t>0</w:t>
                  </w:r>
                  <w:r>
                    <w:rPr>
                      <w:spacing w:val="-24"/>
                      <w:sz w:val="11"/>
                    </w:rPr>
                    <w:t> </w:t>
                  </w:r>
                  <w:r>
                    <w:rPr>
                      <w:spacing w:val="-3"/>
                      <w:position w:val="1"/>
                    </w:rPr>
                    <w:t>期或更轻分期的前列腺癌；</w:t>
                  </w:r>
                </w:p>
              </w:txbxContent>
            </v:textbox>
            <w10:wrap type="topAndBottom"/>
          </v:shape>
        </w:pict>
      </w:r>
      <w:r>
        <w:rPr>
          <w:color w:val="000000"/>
          <w:spacing w:val="-2"/>
          <w:sz w:val="21"/>
          <w:shd w:fill="A6A6A6" w:color="auto" w:val="clear"/>
        </w:rPr>
        <w:t>TNM</w:t>
      </w:r>
      <w:r>
        <w:rPr>
          <w:color w:val="000000"/>
          <w:spacing w:val="-10"/>
          <w:sz w:val="21"/>
          <w:shd w:fill="A6A6A6" w:color="auto" w:val="clear"/>
        </w:rPr>
        <w:t> 分期为Ⅰ期或更轻分期的甲状腺癌；</w:t>
      </w:r>
    </w:p>
    <w:p>
      <w:pPr>
        <w:pStyle w:val="BodyText"/>
        <w:spacing w:line="278" w:lineRule="auto" w:before="42"/>
        <w:ind w:left="3115" w:right="1481"/>
      </w:pPr>
      <w:r>
        <w:rPr>
          <w:color w:val="000000"/>
          <w:spacing w:val="-2"/>
          <w:shd w:fill="A6A6A6" w:color="auto" w:val="clear"/>
        </w:rPr>
        <w:t>(4)黑色素瘤以外的未发生淋巴结和远处转移的皮肤恶性肿瘤；</w:t>
      </w:r>
      <w:r>
        <w:rPr>
          <w:color w:val="000000"/>
          <w:spacing w:val="-2"/>
        </w:rPr>
        <w:t> </w:t>
      </w:r>
      <w:r>
        <w:rPr>
          <w:color w:val="000000"/>
          <w:shd w:fill="A6A6A6" w:color="auto" w:val="clear"/>
        </w:rPr>
        <w:t>(5)</w:t>
      </w:r>
      <w:r>
        <w:rPr>
          <w:color w:val="000000"/>
          <w:spacing w:val="-5"/>
          <w:shd w:fill="A6A6A6" w:color="auto" w:val="clear"/>
        </w:rPr>
        <w:t>相当于 </w:t>
      </w:r>
      <w:r>
        <w:rPr>
          <w:color w:val="000000"/>
          <w:shd w:fill="A6A6A6" w:color="auto" w:val="clear"/>
        </w:rPr>
        <w:t>Binet</w:t>
      </w:r>
      <w:r>
        <w:rPr>
          <w:color w:val="000000"/>
          <w:spacing w:val="-6"/>
          <w:shd w:fill="A6A6A6" w:color="auto" w:val="clear"/>
        </w:rPr>
        <w:t> 分期方案 </w:t>
      </w:r>
      <w:r>
        <w:rPr>
          <w:color w:val="000000"/>
          <w:shd w:fill="A6A6A6" w:color="auto" w:val="clear"/>
        </w:rPr>
        <w:t>A</w:t>
      </w:r>
      <w:r>
        <w:rPr>
          <w:color w:val="000000"/>
          <w:spacing w:val="-4"/>
          <w:shd w:fill="A6A6A6" w:color="auto" w:val="clear"/>
        </w:rPr>
        <w:t> 期程度的慢性淋巴细胞白血病；</w:t>
      </w:r>
      <w:r>
        <w:rPr>
          <w:color w:val="000000"/>
        </w:rPr>
        <w:t> </w:t>
      </w:r>
      <w:r>
        <w:rPr>
          <w:color w:val="000000"/>
          <w:shd w:fill="A6A6A6" w:color="auto" w:val="clear"/>
        </w:rPr>
        <w:t>(6)</w:t>
      </w:r>
      <w:r>
        <w:rPr>
          <w:color w:val="000000"/>
          <w:spacing w:val="-4"/>
          <w:shd w:fill="A6A6A6" w:color="auto" w:val="clear"/>
        </w:rPr>
        <w:t>相当于 </w:t>
      </w:r>
      <w:r>
        <w:rPr>
          <w:color w:val="000000"/>
          <w:shd w:fill="A6A6A6" w:color="auto" w:val="clear"/>
        </w:rPr>
        <w:t>Ann Arbor</w:t>
      </w:r>
      <w:r>
        <w:rPr>
          <w:color w:val="000000"/>
          <w:spacing w:val="-4"/>
          <w:shd w:fill="A6A6A6" w:color="auto" w:val="clear"/>
        </w:rPr>
        <w:t> 分期方案Ⅰ期程度的何杰金氏病；</w:t>
      </w:r>
    </w:p>
    <w:p>
      <w:pPr>
        <w:pStyle w:val="BodyText"/>
        <w:spacing w:line="278" w:lineRule="auto"/>
        <w:ind w:right="686"/>
      </w:pPr>
      <w:r>
        <w:rPr>
          <w:color w:val="000000"/>
          <w:spacing w:val="-2"/>
          <w:shd w:fill="A6A6A6" w:color="auto" w:val="clear"/>
        </w:rPr>
        <w:t>(7)</w:t>
      </w:r>
      <w:r>
        <w:rPr>
          <w:color w:val="000000"/>
          <w:spacing w:val="-6"/>
          <w:shd w:fill="A6A6A6" w:color="auto" w:val="clear"/>
        </w:rPr>
        <w:t>未发生淋巴结和远处转移且 </w:t>
      </w:r>
      <w:r>
        <w:rPr>
          <w:color w:val="000000"/>
          <w:spacing w:val="-2"/>
          <w:shd w:fill="A6A6A6" w:color="auto" w:val="clear"/>
        </w:rPr>
        <w:t>WHO</w:t>
      </w:r>
      <w:r>
        <w:rPr>
          <w:color w:val="000000"/>
          <w:spacing w:val="-21"/>
          <w:shd w:fill="A6A6A6" w:color="auto" w:val="clear"/>
        </w:rPr>
        <w:t> 分级为 </w:t>
      </w:r>
      <w:r>
        <w:rPr>
          <w:color w:val="000000"/>
          <w:spacing w:val="-2"/>
          <w:shd w:fill="A6A6A6" w:color="auto" w:val="clear"/>
        </w:rPr>
        <w:t>G1</w:t>
      </w:r>
      <w:r>
        <w:rPr>
          <w:color w:val="000000"/>
          <w:spacing w:val="-19"/>
          <w:shd w:fill="A6A6A6" w:color="auto" w:val="clear"/>
        </w:rPr>
        <w:t> 级别</w:t>
      </w:r>
      <w:r>
        <w:rPr>
          <w:color w:val="000000"/>
          <w:spacing w:val="-2"/>
          <w:shd w:fill="A6A6A6" w:color="auto" w:val="clear"/>
        </w:rPr>
        <w:t>（核分裂像＜10/50</w:t>
      </w:r>
      <w:r>
        <w:rPr>
          <w:color w:val="000000"/>
          <w:spacing w:val="-49"/>
          <w:shd w:fill="A6A6A6" w:color="auto" w:val="clear"/>
        </w:rPr>
        <w:t> </w:t>
      </w:r>
      <w:r>
        <w:rPr>
          <w:color w:val="000000"/>
          <w:spacing w:val="-2"/>
          <w:shd w:fill="A6A6A6" w:color="auto" w:val="clear"/>
        </w:rPr>
        <w:t>HPF</w:t>
      </w:r>
      <w:r>
        <w:rPr>
          <w:color w:val="000000"/>
          <w:spacing w:val="80"/>
          <w:w w:val="150"/>
          <w:shd w:fill="A6A6A6" w:color="auto" w:val="clear"/>
        </w:rPr>
        <w:t>                                    </w:t>
      </w:r>
      <w:r>
        <w:rPr>
          <w:color w:val="000000"/>
          <w:spacing w:val="-21"/>
          <w:shd w:fill="A6A6A6" w:color="auto" w:val="clear"/>
        </w:rPr>
        <w:t>和 </w:t>
      </w:r>
      <w:r>
        <w:rPr>
          <w:color w:val="000000"/>
          <w:shd w:fill="A6A6A6" w:color="auto" w:val="clear"/>
        </w:rPr>
        <w:t>ki-67≤2%）或更轻分级的神经内分泌肿瘤。</w:t>
      </w:r>
    </w:p>
    <w:p>
      <w:pPr>
        <w:spacing w:after="0" w:line="278" w:lineRule="auto"/>
        <w:sectPr>
          <w:pgSz w:w="11910" w:h="16840"/>
          <w:pgMar w:top="1340" w:bottom="280" w:left="920" w:right="440"/>
        </w:sectPr>
      </w:pPr>
    </w:p>
    <w:p>
      <w:pPr>
        <w:pStyle w:val="Heading1"/>
        <w:numPr>
          <w:ilvl w:val="2"/>
          <w:numId w:val="20"/>
        </w:numPr>
        <w:tabs>
          <w:tab w:pos="1381" w:val="left" w:leader="none"/>
          <w:tab w:pos="1382" w:val="left" w:leader="none"/>
        </w:tabs>
        <w:spacing w:line="194" w:lineRule="auto" w:before="127" w:after="0"/>
        <w:ind w:left="1382" w:right="0" w:hanging="1170"/>
        <w:jc w:val="left"/>
      </w:pPr>
      <w:r>
        <w:rPr>
          <w:spacing w:val="-2"/>
        </w:rPr>
        <w:t>较重急性心肌梗</w:t>
      </w:r>
      <w:r>
        <w:rPr>
          <w:spacing w:val="-10"/>
        </w:rPr>
        <w:t>死</w:t>
      </w:r>
    </w:p>
    <w:p>
      <w:pPr>
        <w:pStyle w:val="BodyText"/>
        <w:spacing w:line="278" w:lineRule="auto" w:before="141"/>
        <w:ind w:left="212" w:right="684"/>
        <w:jc w:val="both"/>
      </w:pPr>
      <w:r>
        <w:rPr/>
        <w:br w:type="column"/>
      </w:r>
      <w:r>
        <w:rPr>
          <w:spacing w:val="-2"/>
        </w:rPr>
        <w:t>急性心肌梗死指由于冠状动脉闭塞或梗阻引起部分心肌严重的持久性缺血</w:t>
      </w:r>
      <w:r>
        <w:rPr>
          <w:spacing w:val="-2"/>
        </w:rPr>
        <w:t>造成急性心肌坏死。急性心肌梗死的诊断必须依据国际国内诊断标准，符</w:t>
      </w:r>
      <w:r>
        <w:rPr>
          <w:spacing w:val="-6"/>
        </w:rPr>
        <w:t>合：</w:t>
      </w:r>
    </w:p>
    <w:p>
      <w:pPr>
        <w:pStyle w:val="ListParagraph"/>
        <w:numPr>
          <w:ilvl w:val="0"/>
          <w:numId w:val="23"/>
        </w:numPr>
        <w:tabs>
          <w:tab w:pos="531" w:val="left" w:leader="none"/>
        </w:tabs>
        <w:spacing w:line="278" w:lineRule="auto" w:before="0" w:after="0"/>
        <w:ind w:left="212" w:right="684" w:firstLine="0"/>
        <w:jc w:val="left"/>
        <w:rPr>
          <w:sz w:val="21"/>
        </w:rPr>
      </w:pPr>
      <w:r>
        <w:rPr>
          <w:spacing w:val="-2"/>
          <w:sz w:val="21"/>
        </w:rPr>
        <w:t>检测到肌酸激酶同工酶（CK-MB）或肌钙蛋白（cTn）升高和/或降低的</w:t>
      </w:r>
      <w:r>
        <w:rPr>
          <w:spacing w:val="-2"/>
          <w:sz w:val="21"/>
        </w:rPr>
        <w:t>动态变化，至少一次达到或超过心肌梗死的临床诊断标准；</w:t>
      </w:r>
    </w:p>
    <w:p>
      <w:pPr>
        <w:pStyle w:val="ListParagraph"/>
        <w:numPr>
          <w:ilvl w:val="0"/>
          <w:numId w:val="23"/>
        </w:numPr>
        <w:tabs>
          <w:tab w:pos="533" w:val="left" w:leader="none"/>
        </w:tabs>
        <w:spacing w:line="278" w:lineRule="auto" w:before="0" w:after="0"/>
        <w:ind w:left="212" w:right="681" w:firstLine="2"/>
        <w:jc w:val="both"/>
        <w:rPr>
          <w:sz w:val="21"/>
        </w:rPr>
      </w:pPr>
      <w:r>
        <w:rPr>
          <w:spacing w:val="-4"/>
          <w:sz w:val="21"/>
        </w:rPr>
        <w:t>同时存在下列之一的证据，包括：缺血性胸痛症状、新发生的缺血性心</w:t>
      </w:r>
      <w:r>
        <w:rPr>
          <w:spacing w:val="-4"/>
          <w:sz w:val="21"/>
        </w:rPr>
        <w:t>电图改变、新生成的病理性 </w:t>
      </w:r>
      <w:r>
        <w:rPr>
          <w:spacing w:val="-2"/>
          <w:sz w:val="21"/>
        </w:rPr>
        <w:t>Q</w:t>
      </w:r>
      <w:r>
        <w:rPr>
          <w:spacing w:val="-7"/>
          <w:sz w:val="21"/>
        </w:rPr>
        <w:t> 波、影像学证据显示有新出现的心肌活性丧</w:t>
      </w:r>
      <w:r>
        <w:rPr>
          <w:spacing w:val="-2"/>
          <w:sz w:val="21"/>
        </w:rPr>
        <w:t>失或新出现局部室壁运动异常、冠脉造影证实存在冠状动脉血栓。</w:t>
      </w:r>
    </w:p>
    <w:p>
      <w:pPr>
        <w:pStyle w:val="BodyText"/>
        <w:spacing w:line="278" w:lineRule="auto" w:before="79"/>
        <w:ind w:left="212" w:right="684"/>
      </w:pPr>
      <w:r>
        <w:rPr>
          <w:spacing w:val="-2"/>
        </w:rPr>
        <w:t>较重急性心肌梗死指依照上述标准被明确诊断为急性心肌梗死，并且必须</w:t>
      </w:r>
      <w:r>
        <w:rPr>
          <w:spacing w:val="-2"/>
        </w:rPr>
        <w:t>同时满足下列至少一项条件：</w:t>
      </w:r>
    </w:p>
    <w:p>
      <w:pPr>
        <w:pStyle w:val="ListParagraph"/>
        <w:numPr>
          <w:ilvl w:val="0"/>
          <w:numId w:val="24"/>
        </w:numPr>
        <w:tabs>
          <w:tab w:pos="531" w:val="left" w:leader="none"/>
        </w:tabs>
        <w:spacing w:line="278" w:lineRule="auto" w:before="0" w:after="0"/>
        <w:ind w:left="212" w:right="684" w:firstLine="0"/>
        <w:jc w:val="left"/>
        <w:rPr>
          <w:sz w:val="21"/>
        </w:rPr>
      </w:pPr>
      <w:r>
        <w:rPr>
          <w:spacing w:val="-2"/>
          <w:sz w:val="21"/>
        </w:rPr>
        <w:t>心肌损伤标志物肌钙蛋白（cTn）升高，至少一次检测结果达到该检验</w:t>
      </w:r>
      <w:r>
        <w:rPr>
          <w:spacing w:val="-3"/>
          <w:sz w:val="21"/>
        </w:rPr>
        <w:t>正常参考值上限的 </w:t>
      </w:r>
      <w:r>
        <w:rPr>
          <w:sz w:val="21"/>
        </w:rPr>
        <w:t>15</w:t>
      </w:r>
      <w:r>
        <w:rPr>
          <w:spacing w:val="-11"/>
          <w:sz w:val="21"/>
        </w:rPr>
        <w:t> 倍</w:t>
      </w:r>
      <w:r>
        <w:rPr>
          <w:sz w:val="21"/>
        </w:rPr>
        <w:t>（含）以上；</w:t>
      </w:r>
    </w:p>
    <w:p>
      <w:pPr>
        <w:pStyle w:val="ListParagraph"/>
        <w:numPr>
          <w:ilvl w:val="0"/>
          <w:numId w:val="24"/>
        </w:numPr>
        <w:tabs>
          <w:tab w:pos="531" w:val="left" w:leader="none"/>
        </w:tabs>
        <w:spacing w:line="278" w:lineRule="auto" w:before="0" w:after="0"/>
        <w:ind w:left="212" w:right="686" w:firstLine="0"/>
        <w:jc w:val="left"/>
        <w:rPr>
          <w:sz w:val="21"/>
        </w:rPr>
      </w:pPr>
      <w:r>
        <w:rPr>
          <w:spacing w:val="-2"/>
          <w:sz w:val="21"/>
        </w:rPr>
        <w:t>肌酸激酶同工酶（CK-MB）升高，至少一次检测结果达到该检验正常参</w:t>
      </w:r>
      <w:r>
        <w:rPr>
          <w:spacing w:val="-4"/>
          <w:sz w:val="21"/>
        </w:rPr>
        <w:t>考值上限的 </w:t>
      </w:r>
      <w:r>
        <w:rPr>
          <w:sz w:val="21"/>
        </w:rPr>
        <w:t>2</w:t>
      </w:r>
      <w:r>
        <w:rPr>
          <w:spacing w:val="-11"/>
          <w:sz w:val="21"/>
        </w:rPr>
        <w:t> 倍</w:t>
      </w:r>
      <w:r>
        <w:rPr>
          <w:sz w:val="21"/>
        </w:rPr>
        <w:t>（含）以上；</w:t>
      </w:r>
    </w:p>
    <w:p>
      <w:pPr>
        <w:pStyle w:val="ListParagraph"/>
        <w:numPr>
          <w:ilvl w:val="0"/>
          <w:numId w:val="24"/>
        </w:numPr>
        <w:tabs>
          <w:tab w:pos="531" w:val="left" w:leader="none"/>
        </w:tabs>
        <w:spacing w:line="278" w:lineRule="auto" w:before="0" w:after="0"/>
        <w:ind w:left="212" w:right="580" w:firstLine="0"/>
        <w:jc w:val="left"/>
        <w:rPr>
          <w:sz w:val="21"/>
        </w:rPr>
      </w:pPr>
      <w:r>
        <w:rPr>
          <w:spacing w:val="-10"/>
          <w:sz w:val="21"/>
        </w:rPr>
        <w:t>出现左心室收缩功能下降，在确诊 </w:t>
      </w:r>
      <w:r>
        <w:rPr>
          <w:sz w:val="21"/>
        </w:rPr>
        <w:t>6</w:t>
      </w:r>
      <w:r>
        <w:rPr>
          <w:spacing w:val="-16"/>
          <w:sz w:val="21"/>
        </w:rPr>
        <w:t> 周以后，检测左室射血分数</w:t>
      </w:r>
      <w:r>
        <w:rPr>
          <w:sz w:val="21"/>
        </w:rPr>
        <w:t>（LVEF）</w:t>
      </w:r>
      <w:r>
        <w:rPr>
          <w:spacing w:val="-15"/>
          <w:sz w:val="21"/>
        </w:rPr>
        <w:t>低于 </w:t>
      </w:r>
      <w:r>
        <w:rPr>
          <w:sz w:val="21"/>
        </w:rPr>
        <w:t>50%（不含</w:t>
      </w:r>
      <w:r>
        <w:rPr>
          <w:spacing w:val="-106"/>
          <w:sz w:val="21"/>
        </w:rPr>
        <w:t>）</w:t>
      </w:r>
      <w:r>
        <w:rPr>
          <w:sz w:val="21"/>
        </w:rPr>
        <w:t>；</w:t>
      </w:r>
    </w:p>
    <w:p>
      <w:pPr>
        <w:pStyle w:val="ListParagraph"/>
        <w:numPr>
          <w:ilvl w:val="0"/>
          <w:numId w:val="24"/>
        </w:numPr>
        <w:tabs>
          <w:tab w:pos="531" w:val="left" w:leader="none"/>
        </w:tabs>
        <w:spacing w:line="278" w:lineRule="auto" w:before="0" w:after="0"/>
        <w:ind w:left="212" w:right="683" w:firstLine="0"/>
        <w:jc w:val="left"/>
        <w:rPr>
          <w:sz w:val="21"/>
        </w:rPr>
      </w:pPr>
      <w:r>
        <w:rPr>
          <w:spacing w:val="-4"/>
          <w:sz w:val="21"/>
        </w:rPr>
        <w:t>影像学检查证实存在新发的乳头肌功能失调或断裂引起的中度（含）以</w:t>
      </w:r>
      <w:r>
        <w:rPr>
          <w:spacing w:val="-2"/>
          <w:sz w:val="21"/>
        </w:rPr>
        <w:t>上的二尖瓣反流；</w:t>
      </w:r>
    </w:p>
    <w:p>
      <w:pPr>
        <w:pStyle w:val="ListParagraph"/>
        <w:numPr>
          <w:ilvl w:val="0"/>
          <w:numId w:val="24"/>
        </w:numPr>
        <w:tabs>
          <w:tab w:pos="531" w:val="left" w:leader="none"/>
        </w:tabs>
        <w:spacing w:line="269" w:lineRule="exact" w:before="0" w:after="0"/>
        <w:ind w:left="530" w:right="0" w:hanging="319"/>
        <w:jc w:val="left"/>
        <w:rPr>
          <w:sz w:val="21"/>
        </w:rPr>
      </w:pPr>
      <w:r>
        <w:rPr>
          <w:spacing w:val="-3"/>
          <w:sz w:val="21"/>
        </w:rPr>
        <w:t>影像学检查证实存在新出现的室壁瘤；</w:t>
      </w:r>
    </w:p>
    <w:p>
      <w:pPr>
        <w:pStyle w:val="ListParagraph"/>
        <w:numPr>
          <w:ilvl w:val="0"/>
          <w:numId w:val="24"/>
        </w:numPr>
        <w:tabs>
          <w:tab w:pos="531" w:val="left" w:leader="none"/>
        </w:tabs>
        <w:spacing w:line="240" w:lineRule="auto" w:before="43" w:after="0"/>
        <w:ind w:left="530" w:right="0" w:hanging="319"/>
        <w:jc w:val="left"/>
        <w:rPr>
          <w:sz w:val="21"/>
        </w:rPr>
      </w:pPr>
      <w:r>
        <w:rPr>
          <w:spacing w:val="-3"/>
          <w:sz w:val="21"/>
        </w:rPr>
        <w:t>出现室性心动过速、心室颤动或心源性休克。</w:t>
      </w:r>
    </w:p>
    <w:p>
      <w:pPr>
        <w:pStyle w:val="BodyText"/>
        <w:spacing w:before="119"/>
        <w:ind w:left="212"/>
      </w:pPr>
      <w:r>
        <w:rPr>
          <w:color w:val="000000"/>
          <w:spacing w:val="-11"/>
          <w:shd w:fill="A6A6A6" w:color="auto" w:val="clear"/>
        </w:rPr>
        <w:t>其他非冠状动脉阻塞性疾病所引起的肌钙蛋白</w:t>
      </w:r>
      <w:r>
        <w:rPr>
          <w:color w:val="000000"/>
          <w:spacing w:val="-6"/>
          <w:shd w:fill="A6A6A6" w:color="auto" w:val="clear"/>
        </w:rPr>
        <w:t>（cTn）</w:t>
      </w:r>
      <w:r>
        <w:rPr>
          <w:color w:val="000000"/>
          <w:spacing w:val="-7"/>
          <w:shd w:fill="A6A6A6" w:color="auto" w:val="clear"/>
        </w:rPr>
        <w:t>升高不在保障范围内。</w:t>
      </w:r>
    </w:p>
    <w:p>
      <w:pPr>
        <w:spacing w:after="0"/>
        <w:sectPr>
          <w:type w:val="continuous"/>
          <w:pgSz w:w="11910" w:h="16840"/>
          <w:pgMar w:top="680" w:bottom="280" w:left="920" w:right="440"/>
          <w:cols w:num="2" w:equalWidth="0">
            <w:col w:w="2861" w:space="40"/>
            <w:col w:w="7649"/>
          </w:cols>
        </w:sectPr>
      </w:pPr>
    </w:p>
    <w:p>
      <w:pPr>
        <w:pStyle w:val="BodyText"/>
        <w:ind w:left="0"/>
        <w:rPr>
          <w:sz w:val="20"/>
        </w:rPr>
      </w:pPr>
    </w:p>
    <w:p>
      <w:pPr>
        <w:pStyle w:val="BodyText"/>
        <w:ind w:left="0"/>
        <w:rPr>
          <w:sz w:val="20"/>
        </w:rPr>
      </w:pPr>
    </w:p>
    <w:p>
      <w:pPr>
        <w:pStyle w:val="BodyText"/>
        <w:spacing w:line="20" w:lineRule="exact"/>
        <w:ind w:left="212"/>
        <w:rPr>
          <w:sz w:val="2"/>
        </w:rPr>
      </w:pPr>
      <w:r>
        <w:rPr>
          <w:sz w:val="2"/>
        </w:rPr>
        <w:drawing>
          <wp:inline distT="0" distB="0" distL="0" distR="0">
            <wp:extent cx="1829358" cy="9143"/>
            <wp:effectExtent l="0" t="0" r="0" b="0"/>
            <wp:docPr id="41" name="image3.png"/>
            <wp:cNvGraphicFramePr>
              <a:graphicFrameLocks noChangeAspect="1"/>
            </wp:cNvGraphicFramePr>
            <a:graphic>
              <a:graphicData uri="http://schemas.openxmlformats.org/drawingml/2006/picture">
                <pic:pic>
                  <pic:nvPicPr>
                    <pic:cNvPr id="42" name="image3.png"/>
                    <pic:cNvPicPr/>
                  </pic:nvPicPr>
                  <pic:blipFill>
                    <a:blip r:embed="rId7" cstate="print"/>
                    <a:stretch>
                      <a:fillRect/>
                    </a:stretch>
                  </pic:blipFill>
                  <pic:spPr>
                    <a:xfrm>
                      <a:off x="0" y="0"/>
                      <a:ext cx="1829358" cy="9143"/>
                    </a:xfrm>
                    <a:prstGeom prst="rect">
                      <a:avLst/>
                    </a:prstGeom>
                  </pic:spPr>
                </pic:pic>
              </a:graphicData>
            </a:graphic>
          </wp:inline>
        </w:drawing>
      </w:r>
      <w:r>
        <w:rPr>
          <w:sz w:val="2"/>
        </w:rPr>
      </w:r>
    </w:p>
    <w:p>
      <w:pPr>
        <w:spacing w:line="220" w:lineRule="auto" w:before="54"/>
        <w:ind w:left="212" w:right="688" w:firstLine="0"/>
        <w:jc w:val="both"/>
        <w:rPr>
          <w:sz w:val="18"/>
        </w:rPr>
      </w:pPr>
      <w:r>
        <w:rPr>
          <w:rFonts w:ascii="Calibri" w:eastAsia="Calibri"/>
          <w:b/>
          <w:w w:val="95"/>
          <w:position w:val="5"/>
          <w:sz w:val="12"/>
        </w:rPr>
        <w:t>23</w:t>
      </w:r>
      <w:r>
        <w:rPr>
          <w:rFonts w:ascii="微软雅黑" w:eastAsia="微软雅黑"/>
          <w:b/>
          <w:w w:val="95"/>
          <w:sz w:val="18"/>
        </w:rPr>
        <w:t>ICD-10</w:t>
      </w:r>
      <w:r>
        <w:rPr>
          <w:rFonts w:ascii="微软雅黑" w:eastAsia="微软雅黑"/>
          <w:b/>
          <w:spacing w:val="40"/>
          <w:sz w:val="18"/>
        </w:rPr>
        <w:t> </w:t>
      </w:r>
      <w:r>
        <w:rPr>
          <w:rFonts w:ascii="微软雅黑" w:eastAsia="微软雅黑"/>
          <w:b/>
          <w:w w:val="95"/>
          <w:sz w:val="18"/>
        </w:rPr>
        <w:t>与</w:t>
      </w:r>
      <w:r>
        <w:rPr>
          <w:rFonts w:ascii="微软雅黑" w:eastAsia="微软雅黑"/>
          <w:b/>
          <w:spacing w:val="40"/>
          <w:sz w:val="18"/>
        </w:rPr>
        <w:t> </w:t>
      </w:r>
      <w:r>
        <w:rPr>
          <w:rFonts w:ascii="微软雅黑" w:eastAsia="微软雅黑"/>
          <w:b/>
          <w:w w:val="95"/>
          <w:sz w:val="18"/>
        </w:rPr>
        <w:t>ICD-O-3：</w:t>
      </w:r>
      <w:r>
        <w:rPr>
          <w:w w:val="95"/>
          <w:sz w:val="18"/>
        </w:rPr>
        <w:t>《</w:t>
      </w:r>
      <w:r>
        <w:rPr>
          <w:w w:val="95"/>
          <w:sz w:val="18"/>
        </w:rPr>
        <w:t>疾</w:t>
      </w:r>
      <w:r>
        <w:rPr>
          <w:w w:val="95"/>
          <w:sz w:val="18"/>
        </w:rPr>
        <w:t>病</w:t>
      </w:r>
      <w:r>
        <w:rPr>
          <w:w w:val="95"/>
          <w:sz w:val="18"/>
        </w:rPr>
        <w:t>和</w:t>
      </w:r>
      <w:r>
        <w:rPr>
          <w:w w:val="95"/>
          <w:sz w:val="18"/>
        </w:rPr>
        <w:t>有</w:t>
      </w:r>
      <w:r>
        <w:rPr>
          <w:w w:val="95"/>
          <w:sz w:val="18"/>
        </w:rPr>
        <w:t>关</w:t>
      </w:r>
      <w:r>
        <w:rPr>
          <w:w w:val="95"/>
          <w:sz w:val="18"/>
        </w:rPr>
        <w:t>健</w:t>
      </w:r>
      <w:r>
        <w:rPr>
          <w:w w:val="95"/>
          <w:sz w:val="18"/>
        </w:rPr>
        <w:t>康</w:t>
      </w:r>
      <w:r>
        <w:rPr>
          <w:w w:val="95"/>
          <w:sz w:val="18"/>
        </w:rPr>
        <w:t>问</w:t>
      </w:r>
      <w:r>
        <w:rPr>
          <w:w w:val="95"/>
          <w:sz w:val="18"/>
        </w:rPr>
        <w:t>题</w:t>
      </w:r>
      <w:r>
        <w:rPr>
          <w:w w:val="95"/>
          <w:sz w:val="18"/>
        </w:rPr>
        <w:t>的</w:t>
      </w:r>
      <w:r>
        <w:rPr>
          <w:w w:val="95"/>
          <w:sz w:val="18"/>
        </w:rPr>
        <w:t>国</w:t>
      </w:r>
      <w:r>
        <w:rPr>
          <w:w w:val="95"/>
          <w:sz w:val="18"/>
        </w:rPr>
        <w:t>际</w:t>
      </w:r>
      <w:r>
        <w:rPr>
          <w:w w:val="95"/>
          <w:sz w:val="18"/>
        </w:rPr>
        <w:t>统</w:t>
      </w:r>
      <w:r>
        <w:rPr>
          <w:w w:val="95"/>
          <w:sz w:val="18"/>
        </w:rPr>
        <w:t>计</w:t>
      </w:r>
      <w:r>
        <w:rPr>
          <w:w w:val="95"/>
          <w:sz w:val="18"/>
        </w:rPr>
        <w:t>分</w:t>
      </w:r>
      <w:r>
        <w:rPr>
          <w:w w:val="95"/>
          <w:sz w:val="18"/>
        </w:rPr>
        <w:t>类</w:t>
      </w:r>
      <w:r>
        <w:rPr>
          <w:w w:val="95"/>
          <w:sz w:val="18"/>
        </w:rPr>
        <w:t>》</w:t>
      </w:r>
      <w:r>
        <w:rPr>
          <w:w w:val="95"/>
          <w:sz w:val="18"/>
        </w:rPr>
        <w:t>第</w:t>
      </w:r>
      <w:r>
        <w:rPr>
          <w:w w:val="95"/>
          <w:sz w:val="18"/>
        </w:rPr>
        <w:t>十</w:t>
      </w:r>
      <w:r>
        <w:rPr>
          <w:w w:val="95"/>
          <w:sz w:val="18"/>
        </w:rPr>
        <w:t>次</w:t>
      </w:r>
      <w:r>
        <w:rPr>
          <w:w w:val="95"/>
          <w:sz w:val="18"/>
        </w:rPr>
        <w:t>修</w:t>
      </w:r>
      <w:r>
        <w:rPr>
          <w:w w:val="95"/>
          <w:sz w:val="18"/>
        </w:rPr>
        <w:t>订</w:t>
      </w:r>
      <w:r>
        <w:rPr>
          <w:w w:val="95"/>
          <w:sz w:val="18"/>
        </w:rPr>
        <w:t>版</w:t>
      </w:r>
      <w:r>
        <w:rPr>
          <w:w w:val="95"/>
          <w:sz w:val="18"/>
        </w:rPr>
        <w:t>（ICD-10），</w:t>
      </w:r>
      <w:r>
        <w:rPr>
          <w:w w:val="95"/>
          <w:sz w:val="18"/>
        </w:rPr>
        <w:t>是</w:t>
      </w:r>
      <w:r>
        <w:rPr>
          <w:w w:val="95"/>
          <w:sz w:val="18"/>
        </w:rPr>
        <w:t>世</w:t>
      </w:r>
      <w:r>
        <w:rPr>
          <w:w w:val="95"/>
          <w:sz w:val="18"/>
        </w:rPr>
        <w:t>界</w:t>
      </w:r>
      <w:r>
        <w:rPr>
          <w:w w:val="95"/>
          <w:sz w:val="18"/>
        </w:rPr>
        <w:t>卫</w:t>
      </w:r>
      <w:r>
        <w:rPr>
          <w:w w:val="95"/>
          <w:sz w:val="18"/>
        </w:rPr>
        <w:t>生</w:t>
      </w:r>
      <w:r>
        <w:rPr>
          <w:w w:val="95"/>
          <w:sz w:val="18"/>
        </w:rPr>
        <w:t>组</w:t>
      </w:r>
      <w:r>
        <w:rPr>
          <w:w w:val="95"/>
          <w:sz w:val="18"/>
        </w:rPr>
        <w:t>织</w:t>
      </w:r>
      <w:r>
        <w:rPr>
          <w:w w:val="95"/>
          <w:sz w:val="18"/>
        </w:rPr>
        <w:t>（WHO）</w:t>
      </w:r>
      <w:r>
        <w:rPr>
          <w:w w:val="95"/>
          <w:sz w:val="18"/>
        </w:rPr>
        <w:t>发</w:t>
      </w:r>
      <w:r>
        <w:rPr>
          <w:w w:val="95"/>
          <w:sz w:val="18"/>
        </w:rPr>
        <w:t>布</w:t>
      </w:r>
      <w:r>
        <w:rPr>
          <w:w w:val="95"/>
          <w:sz w:val="18"/>
        </w:rPr>
        <w:t>的</w:t>
      </w:r>
      <w:r>
        <w:rPr>
          <w:w w:val="95"/>
          <w:sz w:val="18"/>
        </w:rPr>
        <w:t>国</w:t>
      </w:r>
      <w:r>
        <w:rPr>
          <w:w w:val="95"/>
          <w:sz w:val="18"/>
        </w:rPr>
        <w:t>际</w:t>
      </w:r>
      <w:r>
        <w:rPr>
          <w:w w:val="95"/>
          <w:sz w:val="18"/>
        </w:rPr>
        <w:t>通</w:t>
      </w:r>
      <w:r>
        <w:rPr>
          <w:w w:val="95"/>
          <w:sz w:val="18"/>
        </w:rPr>
        <w:t>用</w:t>
      </w:r>
      <w:r>
        <w:rPr>
          <w:w w:val="95"/>
          <w:sz w:val="18"/>
        </w:rPr>
        <w:t>的</w:t>
      </w:r>
      <w:r>
        <w:rPr>
          <w:w w:val="95"/>
          <w:sz w:val="18"/>
        </w:rPr>
        <w:t>疾</w:t>
      </w:r>
      <w:r>
        <w:rPr>
          <w:w w:val="95"/>
          <w:sz w:val="18"/>
        </w:rPr>
        <w:t>病</w:t>
      </w:r>
      <w:r>
        <w:rPr>
          <w:w w:val="95"/>
          <w:sz w:val="18"/>
        </w:rPr>
        <w:t>分</w:t>
      </w:r>
      <w:r>
        <w:rPr>
          <w:w w:val="95"/>
          <w:sz w:val="18"/>
        </w:rPr>
        <w:t>类</w:t>
      </w:r>
      <w:r>
        <w:rPr>
          <w:w w:val="95"/>
          <w:sz w:val="18"/>
        </w:rPr>
        <w:t>方</w:t>
      </w:r>
      <w:r>
        <w:rPr>
          <w:w w:val="95"/>
          <w:sz w:val="18"/>
        </w:rPr>
        <w:t>法</w:t>
      </w:r>
      <w:r>
        <w:rPr>
          <w:spacing w:val="-92"/>
          <w:w w:val="95"/>
          <w:sz w:val="18"/>
        </w:rPr>
        <w:t>。</w:t>
      </w:r>
      <w:r>
        <w:rPr>
          <w:w w:val="95"/>
          <w:sz w:val="18"/>
        </w:rPr>
        <w:t>《</w:t>
      </w:r>
      <w:r>
        <w:rPr>
          <w:w w:val="95"/>
          <w:sz w:val="18"/>
        </w:rPr>
        <w:t>国</w:t>
      </w:r>
      <w:r>
        <w:rPr>
          <w:w w:val="95"/>
          <w:sz w:val="18"/>
        </w:rPr>
        <w:t>际</w:t>
      </w:r>
      <w:r>
        <w:rPr>
          <w:w w:val="95"/>
          <w:sz w:val="18"/>
        </w:rPr>
        <w:t>疾</w:t>
      </w:r>
      <w:r>
        <w:rPr>
          <w:w w:val="95"/>
          <w:sz w:val="18"/>
        </w:rPr>
        <w:t>病</w:t>
      </w:r>
      <w:r>
        <w:rPr>
          <w:w w:val="95"/>
          <w:sz w:val="18"/>
        </w:rPr>
        <w:t>分</w:t>
      </w:r>
      <w:r>
        <w:rPr>
          <w:w w:val="95"/>
          <w:sz w:val="18"/>
        </w:rPr>
        <w:t>类</w:t>
      </w:r>
      <w:r>
        <w:rPr>
          <w:w w:val="95"/>
          <w:sz w:val="18"/>
        </w:rPr>
        <w:t>肿</w:t>
      </w:r>
      <w:r>
        <w:rPr>
          <w:w w:val="95"/>
          <w:sz w:val="18"/>
        </w:rPr>
        <w:t>瘤</w:t>
      </w:r>
      <w:r>
        <w:rPr>
          <w:w w:val="95"/>
          <w:sz w:val="18"/>
        </w:rPr>
        <w:t>学</w:t>
      </w:r>
      <w:r>
        <w:rPr>
          <w:w w:val="95"/>
          <w:sz w:val="18"/>
        </w:rPr>
        <w:t>专</w:t>
      </w:r>
      <w:r>
        <w:rPr>
          <w:w w:val="95"/>
          <w:sz w:val="18"/>
        </w:rPr>
        <w:t>辑</w:t>
      </w:r>
      <w:r>
        <w:rPr>
          <w:w w:val="95"/>
          <w:sz w:val="18"/>
        </w:rPr>
        <w:t>》</w:t>
      </w:r>
      <w:r>
        <w:rPr>
          <w:w w:val="95"/>
          <w:sz w:val="18"/>
        </w:rPr>
        <w:t>第</w:t>
      </w:r>
      <w:r>
        <w:rPr>
          <w:w w:val="95"/>
          <w:sz w:val="18"/>
        </w:rPr>
        <w:t>三</w:t>
      </w:r>
      <w:r>
        <w:rPr>
          <w:w w:val="95"/>
          <w:sz w:val="18"/>
        </w:rPr>
        <w:t>版</w:t>
      </w:r>
      <w:r>
        <w:rPr>
          <w:w w:val="95"/>
          <w:sz w:val="18"/>
        </w:rPr>
        <w:t>（ICD-O-3），</w:t>
      </w:r>
      <w:r>
        <w:rPr>
          <w:w w:val="95"/>
          <w:sz w:val="18"/>
        </w:rPr>
        <w:t>是</w:t>
      </w:r>
      <w:r>
        <w:rPr>
          <w:spacing w:val="28"/>
          <w:sz w:val="18"/>
        </w:rPr>
        <w:t> </w:t>
      </w:r>
      <w:r>
        <w:rPr>
          <w:w w:val="95"/>
          <w:sz w:val="18"/>
        </w:rPr>
        <w:t>WHO</w:t>
      </w:r>
      <w:r>
        <w:rPr>
          <w:spacing w:val="38"/>
          <w:sz w:val="18"/>
        </w:rPr>
        <w:t> </w:t>
      </w:r>
      <w:r>
        <w:rPr>
          <w:w w:val="95"/>
          <w:sz w:val="18"/>
        </w:rPr>
        <w:t>发</w:t>
      </w:r>
      <w:r>
        <w:rPr>
          <w:w w:val="95"/>
          <w:sz w:val="18"/>
        </w:rPr>
        <w:t>布</w:t>
      </w:r>
      <w:r>
        <w:rPr>
          <w:w w:val="95"/>
          <w:sz w:val="18"/>
        </w:rPr>
        <w:t>的</w:t>
      </w:r>
      <w:r>
        <w:rPr>
          <w:w w:val="95"/>
          <w:sz w:val="18"/>
        </w:rPr>
        <w:t>针对</w:t>
      </w:r>
      <w:r>
        <w:rPr>
          <w:spacing w:val="33"/>
          <w:sz w:val="18"/>
        </w:rPr>
        <w:t> </w:t>
      </w:r>
      <w:r>
        <w:rPr>
          <w:w w:val="95"/>
          <w:sz w:val="18"/>
        </w:rPr>
        <w:t>ICD</w:t>
      </w:r>
      <w:r>
        <w:rPr>
          <w:spacing w:val="38"/>
          <w:sz w:val="18"/>
        </w:rPr>
        <w:t> </w:t>
      </w:r>
      <w:r>
        <w:rPr>
          <w:w w:val="95"/>
          <w:sz w:val="18"/>
        </w:rPr>
        <w:t>中</w:t>
      </w:r>
      <w:r>
        <w:rPr>
          <w:w w:val="95"/>
          <w:sz w:val="18"/>
        </w:rPr>
        <w:t>肿</w:t>
      </w:r>
      <w:r>
        <w:rPr>
          <w:w w:val="95"/>
          <w:sz w:val="18"/>
        </w:rPr>
        <w:t>瘤</w:t>
      </w:r>
      <w:r>
        <w:rPr>
          <w:w w:val="95"/>
          <w:sz w:val="18"/>
        </w:rPr>
        <w:t>形</w:t>
      </w:r>
      <w:r>
        <w:rPr>
          <w:w w:val="95"/>
          <w:sz w:val="18"/>
        </w:rPr>
        <w:t>态</w:t>
      </w:r>
      <w:r>
        <w:rPr>
          <w:w w:val="95"/>
          <w:sz w:val="18"/>
        </w:rPr>
        <w:t>学</w:t>
      </w:r>
      <w:r>
        <w:rPr>
          <w:w w:val="95"/>
          <w:sz w:val="18"/>
        </w:rPr>
        <w:t>组</w:t>
      </w:r>
      <w:r>
        <w:rPr>
          <w:w w:val="95"/>
          <w:sz w:val="18"/>
        </w:rPr>
        <w:t>织</w:t>
      </w:r>
      <w:r>
        <w:rPr>
          <w:w w:val="95"/>
          <w:sz w:val="18"/>
        </w:rPr>
        <w:t>学</w:t>
      </w:r>
      <w:r>
        <w:rPr>
          <w:w w:val="95"/>
          <w:sz w:val="18"/>
        </w:rPr>
        <w:t>细</w:t>
      </w:r>
      <w:r>
        <w:rPr>
          <w:w w:val="95"/>
          <w:sz w:val="18"/>
        </w:rPr>
        <w:t>胞</w:t>
      </w:r>
      <w:r>
        <w:rPr>
          <w:sz w:val="18"/>
        </w:rPr>
        <w:t>类型、动态、分化程度的补充编码。其中形态学编码：0</w:t>
      </w:r>
      <w:r>
        <w:rPr>
          <w:spacing w:val="-6"/>
          <w:sz w:val="18"/>
        </w:rPr>
        <w:t> 代表良性肿瘤</w:t>
      </w:r>
      <w:r>
        <w:rPr>
          <w:sz w:val="18"/>
        </w:rPr>
        <w:t>；1</w:t>
      </w:r>
      <w:r>
        <w:rPr>
          <w:spacing w:val="-6"/>
          <w:sz w:val="18"/>
        </w:rPr>
        <w:t> 代表动态未定性肿瘤</w:t>
      </w:r>
      <w:r>
        <w:rPr>
          <w:sz w:val="18"/>
        </w:rPr>
        <w:t>；2</w:t>
      </w:r>
      <w:r>
        <w:rPr>
          <w:spacing w:val="-6"/>
          <w:sz w:val="18"/>
        </w:rPr>
        <w:t> 代表原位癌和非侵袭性</w:t>
      </w:r>
    </w:p>
    <w:p>
      <w:pPr>
        <w:spacing w:line="244" w:lineRule="auto" w:before="7"/>
        <w:ind w:left="212" w:right="691" w:firstLine="0"/>
        <w:jc w:val="both"/>
        <w:rPr>
          <w:sz w:val="18"/>
        </w:rPr>
      </w:pPr>
      <w:r>
        <w:rPr>
          <w:w w:val="95"/>
          <w:sz w:val="18"/>
        </w:rPr>
        <w:t>癌</w:t>
      </w:r>
      <w:r>
        <w:rPr>
          <w:w w:val="95"/>
          <w:sz w:val="18"/>
        </w:rPr>
        <w:t>；3</w:t>
      </w:r>
      <w:r>
        <w:rPr>
          <w:spacing w:val="39"/>
          <w:sz w:val="18"/>
        </w:rPr>
        <w:t> </w:t>
      </w:r>
      <w:r>
        <w:rPr>
          <w:w w:val="95"/>
          <w:sz w:val="18"/>
        </w:rPr>
        <w:t>代</w:t>
      </w:r>
      <w:r>
        <w:rPr>
          <w:w w:val="95"/>
          <w:sz w:val="18"/>
        </w:rPr>
        <w:t>表</w:t>
      </w:r>
      <w:r>
        <w:rPr>
          <w:w w:val="95"/>
          <w:sz w:val="18"/>
        </w:rPr>
        <w:t>恶</w:t>
      </w:r>
      <w:r>
        <w:rPr>
          <w:w w:val="95"/>
          <w:sz w:val="18"/>
        </w:rPr>
        <w:t>性</w:t>
      </w:r>
      <w:r>
        <w:rPr>
          <w:w w:val="95"/>
          <w:sz w:val="18"/>
        </w:rPr>
        <w:t>肿</w:t>
      </w:r>
      <w:r>
        <w:rPr>
          <w:w w:val="95"/>
          <w:sz w:val="18"/>
        </w:rPr>
        <w:t>瘤</w:t>
      </w:r>
      <w:r>
        <w:rPr>
          <w:w w:val="95"/>
          <w:sz w:val="18"/>
        </w:rPr>
        <w:t>（</w:t>
      </w:r>
      <w:r>
        <w:rPr>
          <w:w w:val="95"/>
          <w:sz w:val="18"/>
        </w:rPr>
        <w:t>原</w:t>
      </w:r>
      <w:r>
        <w:rPr>
          <w:w w:val="95"/>
          <w:sz w:val="18"/>
        </w:rPr>
        <w:t>发</w:t>
      </w:r>
      <w:r>
        <w:rPr>
          <w:w w:val="95"/>
          <w:sz w:val="18"/>
        </w:rPr>
        <w:t>性</w:t>
      </w:r>
      <w:r>
        <w:rPr>
          <w:w w:val="95"/>
          <w:sz w:val="18"/>
        </w:rPr>
        <w:t>）；6</w:t>
      </w:r>
      <w:r>
        <w:rPr>
          <w:spacing w:val="39"/>
          <w:sz w:val="18"/>
        </w:rPr>
        <w:t> </w:t>
      </w:r>
      <w:r>
        <w:rPr>
          <w:w w:val="95"/>
          <w:sz w:val="18"/>
        </w:rPr>
        <w:t>代</w:t>
      </w:r>
      <w:r>
        <w:rPr>
          <w:w w:val="95"/>
          <w:sz w:val="18"/>
        </w:rPr>
        <w:t>表</w:t>
      </w:r>
      <w:r>
        <w:rPr>
          <w:w w:val="95"/>
          <w:sz w:val="18"/>
        </w:rPr>
        <w:t>恶</w:t>
      </w:r>
      <w:r>
        <w:rPr>
          <w:w w:val="95"/>
          <w:sz w:val="18"/>
        </w:rPr>
        <w:t>性</w:t>
      </w:r>
      <w:r>
        <w:rPr>
          <w:w w:val="95"/>
          <w:sz w:val="18"/>
        </w:rPr>
        <w:t>肿</w:t>
      </w:r>
      <w:r>
        <w:rPr>
          <w:w w:val="95"/>
          <w:sz w:val="18"/>
        </w:rPr>
        <w:t>瘤</w:t>
      </w:r>
      <w:r>
        <w:rPr>
          <w:w w:val="95"/>
          <w:sz w:val="18"/>
        </w:rPr>
        <w:t>（</w:t>
      </w:r>
      <w:r>
        <w:rPr>
          <w:w w:val="95"/>
          <w:sz w:val="18"/>
        </w:rPr>
        <w:t>转</w:t>
      </w:r>
      <w:r>
        <w:rPr>
          <w:w w:val="95"/>
          <w:sz w:val="18"/>
        </w:rPr>
        <w:t>移</w:t>
      </w:r>
      <w:r>
        <w:rPr>
          <w:w w:val="95"/>
          <w:sz w:val="18"/>
        </w:rPr>
        <w:t>性</w:t>
      </w:r>
      <w:r>
        <w:rPr>
          <w:w w:val="95"/>
          <w:sz w:val="18"/>
        </w:rPr>
        <w:t>）；9</w:t>
      </w:r>
      <w:r>
        <w:rPr>
          <w:spacing w:val="39"/>
          <w:sz w:val="18"/>
        </w:rPr>
        <w:t> </w:t>
      </w:r>
      <w:r>
        <w:rPr>
          <w:w w:val="95"/>
          <w:sz w:val="18"/>
        </w:rPr>
        <w:t>代</w:t>
      </w:r>
      <w:r>
        <w:rPr>
          <w:w w:val="95"/>
          <w:sz w:val="18"/>
        </w:rPr>
        <w:t>表</w:t>
      </w:r>
      <w:r>
        <w:rPr>
          <w:w w:val="95"/>
          <w:sz w:val="18"/>
        </w:rPr>
        <w:t>恶</w:t>
      </w:r>
      <w:r>
        <w:rPr>
          <w:w w:val="95"/>
          <w:sz w:val="18"/>
        </w:rPr>
        <w:t>性</w:t>
      </w:r>
      <w:r>
        <w:rPr>
          <w:w w:val="95"/>
          <w:sz w:val="18"/>
        </w:rPr>
        <w:t>肿</w:t>
      </w:r>
      <w:r>
        <w:rPr>
          <w:w w:val="95"/>
          <w:sz w:val="18"/>
        </w:rPr>
        <w:t>瘤</w:t>
      </w:r>
      <w:r>
        <w:rPr>
          <w:w w:val="95"/>
          <w:sz w:val="18"/>
        </w:rPr>
        <w:t>（</w:t>
      </w:r>
      <w:r>
        <w:rPr>
          <w:w w:val="95"/>
          <w:sz w:val="18"/>
        </w:rPr>
        <w:t>原</w:t>
      </w:r>
      <w:r>
        <w:rPr>
          <w:w w:val="95"/>
          <w:sz w:val="18"/>
        </w:rPr>
        <w:t>发</w:t>
      </w:r>
      <w:r>
        <w:rPr>
          <w:w w:val="95"/>
          <w:sz w:val="18"/>
        </w:rPr>
        <w:t>性</w:t>
      </w:r>
      <w:r>
        <w:rPr>
          <w:w w:val="95"/>
          <w:sz w:val="18"/>
        </w:rPr>
        <w:t>或</w:t>
      </w:r>
      <w:r>
        <w:rPr>
          <w:w w:val="95"/>
          <w:sz w:val="18"/>
        </w:rPr>
        <w:t>转</w:t>
      </w:r>
      <w:r>
        <w:rPr>
          <w:w w:val="95"/>
          <w:sz w:val="18"/>
        </w:rPr>
        <w:t>移</w:t>
      </w:r>
      <w:r>
        <w:rPr>
          <w:w w:val="95"/>
          <w:sz w:val="18"/>
        </w:rPr>
        <w:t>性</w:t>
      </w:r>
      <w:r>
        <w:rPr>
          <w:w w:val="95"/>
          <w:sz w:val="18"/>
        </w:rPr>
        <w:t>未</w:t>
      </w:r>
      <w:r>
        <w:rPr>
          <w:w w:val="95"/>
          <w:sz w:val="18"/>
        </w:rPr>
        <w:t>肯</w:t>
      </w:r>
      <w:r>
        <w:rPr>
          <w:w w:val="95"/>
          <w:sz w:val="18"/>
        </w:rPr>
        <w:t>定</w:t>
      </w:r>
      <w:r>
        <w:rPr>
          <w:spacing w:val="-92"/>
          <w:w w:val="95"/>
          <w:sz w:val="18"/>
        </w:rPr>
        <w:t>）</w:t>
      </w:r>
      <w:r>
        <w:rPr>
          <w:w w:val="95"/>
          <w:sz w:val="18"/>
        </w:rPr>
        <w:t>。</w:t>
      </w:r>
      <w:r>
        <w:rPr>
          <w:w w:val="95"/>
          <w:sz w:val="18"/>
        </w:rPr>
        <w:t>如</w:t>
      </w:r>
      <w:r>
        <w:rPr>
          <w:w w:val="95"/>
          <w:sz w:val="18"/>
        </w:rPr>
        <w:t>果</w:t>
      </w:r>
      <w:r>
        <w:rPr>
          <w:w w:val="95"/>
          <w:sz w:val="18"/>
        </w:rPr>
        <w:t>出</w:t>
      </w:r>
      <w:r>
        <w:rPr>
          <w:w w:val="95"/>
          <w:sz w:val="18"/>
        </w:rPr>
        <w:t>现</w:t>
      </w:r>
      <w:r>
        <w:rPr>
          <w:spacing w:val="39"/>
          <w:sz w:val="18"/>
        </w:rPr>
        <w:t> </w:t>
      </w:r>
      <w:r>
        <w:rPr>
          <w:w w:val="95"/>
          <w:sz w:val="18"/>
        </w:rPr>
        <w:t>ICD-10</w:t>
      </w:r>
      <w:r>
        <w:rPr>
          <w:spacing w:val="-6"/>
          <w:sz w:val="18"/>
        </w:rPr>
        <w:t>与 </w:t>
      </w:r>
      <w:r>
        <w:rPr>
          <w:sz w:val="18"/>
        </w:rPr>
        <w:t>ICD-O-3</w:t>
      </w:r>
      <w:r>
        <w:rPr>
          <w:spacing w:val="2"/>
          <w:sz w:val="18"/>
        </w:rPr>
        <w:t> 不一致的情况，以</w:t>
      </w:r>
      <w:r>
        <w:rPr>
          <w:sz w:val="18"/>
        </w:rPr>
        <w:t>ICD-O-3</w:t>
      </w:r>
      <w:r>
        <w:rPr>
          <w:spacing w:val="-3"/>
          <w:sz w:val="18"/>
        </w:rPr>
        <w:t> 为准。</w:t>
      </w:r>
    </w:p>
    <w:p>
      <w:pPr>
        <w:spacing w:after="0" w:line="244" w:lineRule="auto"/>
        <w:jc w:val="both"/>
        <w:rPr>
          <w:sz w:val="18"/>
        </w:rPr>
        <w:sectPr>
          <w:type w:val="continuous"/>
          <w:pgSz w:w="11910" w:h="16840"/>
          <w:pgMar w:top="68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2"/>
        <w:gridCol w:w="1871"/>
        <w:gridCol w:w="7031"/>
      </w:tblGrid>
      <w:tr>
        <w:trPr>
          <w:trHeight w:val="261" w:hRule="atLeast"/>
        </w:trPr>
        <w:tc>
          <w:tcPr>
            <w:tcW w:w="952" w:type="dxa"/>
          </w:tcPr>
          <w:p>
            <w:pPr>
              <w:pStyle w:val="TableParagraph"/>
              <w:spacing w:line="242" w:lineRule="exact"/>
              <w:ind w:left="50"/>
              <w:rPr>
                <w:rFonts w:ascii="微软雅黑"/>
                <w:b/>
                <w:sz w:val="21"/>
              </w:rPr>
            </w:pPr>
            <w:r>
              <w:rPr>
                <w:rFonts w:ascii="微软雅黑"/>
                <w:b/>
                <w:spacing w:val="-2"/>
                <w:sz w:val="21"/>
              </w:rPr>
              <w:t>10.1.3</w:t>
            </w:r>
          </w:p>
        </w:tc>
        <w:tc>
          <w:tcPr>
            <w:tcW w:w="1871" w:type="dxa"/>
          </w:tcPr>
          <w:p>
            <w:pPr>
              <w:pStyle w:val="TableParagraph"/>
              <w:spacing w:line="242" w:lineRule="exact"/>
              <w:ind w:left="267"/>
              <w:rPr>
                <w:rFonts w:ascii="微软雅黑" w:eastAsia="微软雅黑"/>
                <w:b/>
                <w:sz w:val="21"/>
              </w:rPr>
            </w:pPr>
            <w:r>
              <w:rPr>
                <w:rFonts w:ascii="微软雅黑" w:eastAsia="微软雅黑"/>
                <w:b/>
                <w:spacing w:val="-2"/>
                <w:sz w:val="21"/>
              </w:rPr>
              <w:t>严重脑中风后遗</w:t>
            </w:r>
          </w:p>
        </w:tc>
        <w:tc>
          <w:tcPr>
            <w:tcW w:w="7031" w:type="dxa"/>
          </w:tcPr>
          <w:p>
            <w:pPr>
              <w:pStyle w:val="TableParagraph"/>
              <w:spacing w:line="232" w:lineRule="exact"/>
              <w:ind w:left="127"/>
              <w:rPr>
                <w:sz w:val="21"/>
              </w:rPr>
            </w:pPr>
            <w:r>
              <w:rPr>
                <w:spacing w:val="-3"/>
                <w:sz w:val="21"/>
              </w:rPr>
              <w:t>指因脑血管的突发病变引起脑血管出血、栓塞或梗塞，须由头颅断层扫描</w:t>
            </w:r>
          </w:p>
        </w:tc>
      </w:tr>
      <w:tr>
        <w:trPr>
          <w:trHeight w:val="312" w:hRule="atLeast"/>
        </w:trPr>
        <w:tc>
          <w:tcPr>
            <w:tcW w:w="952" w:type="dxa"/>
          </w:tcPr>
          <w:p>
            <w:pPr>
              <w:pStyle w:val="TableParagraph"/>
              <w:rPr>
                <w:rFonts w:ascii="Times New Roman"/>
                <w:sz w:val="18"/>
              </w:rPr>
            </w:pPr>
          </w:p>
        </w:tc>
        <w:tc>
          <w:tcPr>
            <w:tcW w:w="1871" w:type="dxa"/>
          </w:tcPr>
          <w:p>
            <w:pPr>
              <w:pStyle w:val="TableParagraph"/>
              <w:spacing w:line="292" w:lineRule="exact"/>
              <w:ind w:left="267"/>
              <w:rPr>
                <w:rFonts w:ascii="微软雅黑" w:eastAsia="微软雅黑"/>
                <w:b/>
                <w:sz w:val="21"/>
              </w:rPr>
            </w:pPr>
            <w:r>
              <w:rPr>
                <w:rFonts w:ascii="微软雅黑" w:eastAsia="微软雅黑"/>
                <w:b/>
                <w:w w:val="100"/>
                <w:sz w:val="21"/>
              </w:rPr>
              <w:t>症</w:t>
            </w:r>
          </w:p>
        </w:tc>
        <w:tc>
          <w:tcPr>
            <w:tcW w:w="7031" w:type="dxa"/>
          </w:tcPr>
          <w:p>
            <w:pPr>
              <w:pStyle w:val="TableParagraph"/>
              <w:spacing w:before="13"/>
              <w:ind w:left="127"/>
              <w:rPr>
                <w:sz w:val="21"/>
              </w:rPr>
            </w:pPr>
            <w:r>
              <w:rPr>
                <w:spacing w:val="22"/>
                <w:sz w:val="21"/>
              </w:rPr>
              <w:t>（CT</w:t>
            </w:r>
            <w:r>
              <w:rPr>
                <w:spacing w:val="-82"/>
                <w:sz w:val="21"/>
              </w:rPr>
              <w:t>）</w:t>
            </w:r>
            <w:r>
              <w:rPr>
                <w:spacing w:val="-4"/>
                <w:sz w:val="21"/>
              </w:rPr>
              <w:t>、核磁共振检查（MRI）</w:t>
            </w:r>
            <w:r>
              <w:rPr>
                <w:spacing w:val="-5"/>
                <w:sz w:val="21"/>
              </w:rPr>
              <w:t>等影像学检查证实，并导致神经系统永久性</w:t>
            </w:r>
          </w:p>
        </w:tc>
      </w:tr>
      <w:tr>
        <w:trPr>
          <w:trHeight w:val="312"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4"/>
                <w:sz w:val="21"/>
              </w:rPr>
              <w:t>的功能障碍。神经系统永久性的功能障碍，指疾病确诊 </w:t>
            </w:r>
            <w:r>
              <w:rPr>
                <w:spacing w:val="-2"/>
                <w:sz w:val="21"/>
              </w:rPr>
              <w:t>180</w:t>
            </w:r>
            <w:r>
              <w:rPr>
                <w:spacing w:val="-9"/>
                <w:sz w:val="21"/>
              </w:rPr>
              <w:t> 天后，仍遗留</w:t>
            </w:r>
          </w:p>
        </w:tc>
      </w:tr>
      <w:tr>
        <w:trPr>
          <w:trHeight w:val="1247"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line="257" w:lineRule="exact" w:before="13"/>
              <w:ind w:left="127"/>
              <w:rPr>
                <w:sz w:val="21"/>
              </w:rPr>
            </w:pPr>
            <w:r>
              <w:rPr>
                <w:spacing w:val="-3"/>
                <w:sz w:val="21"/>
              </w:rPr>
              <w:t>下列至少一种障碍：</w:t>
            </w:r>
          </w:p>
          <w:p>
            <w:pPr>
              <w:pStyle w:val="TableParagraph"/>
              <w:spacing w:line="194" w:lineRule="auto" w:before="40"/>
              <w:ind w:left="127" w:right="2055"/>
              <w:rPr>
                <w:sz w:val="21"/>
              </w:rPr>
            </w:pPr>
            <w:r>
              <w:rPr>
                <w:sz w:val="21"/>
              </w:rPr>
              <w:t>(1)一肢（含）以上</w:t>
            </w:r>
            <w:r>
              <w:rPr>
                <w:rFonts w:ascii="微软雅黑" w:eastAsia="微软雅黑"/>
                <w:b/>
                <w:sz w:val="21"/>
              </w:rPr>
              <w:t>肢体</w:t>
            </w:r>
            <w:r>
              <w:rPr>
                <w:rFonts w:ascii="微软雅黑" w:eastAsia="微软雅黑"/>
                <w:b/>
                <w:position w:val="11"/>
                <w:sz w:val="11"/>
              </w:rPr>
              <w:t>24</w:t>
            </w:r>
            <w:r>
              <w:rPr>
                <w:rFonts w:ascii="微软雅黑" w:eastAsia="微软雅黑"/>
                <w:b/>
                <w:sz w:val="21"/>
              </w:rPr>
              <w:t>肌力</w:t>
            </w:r>
            <w:r>
              <w:rPr>
                <w:rFonts w:ascii="微软雅黑" w:eastAsia="微软雅黑"/>
                <w:b/>
                <w:position w:val="11"/>
                <w:sz w:val="11"/>
              </w:rPr>
              <w:t>25</w:t>
            </w:r>
            <w:r>
              <w:rPr>
                <w:sz w:val="21"/>
              </w:rPr>
              <w:t>2</w:t>
            </w:r>
            <w:r>
              <w:rPr>
                <w:spacing w:val="-21"/>
                <w:sz w:val="21"/>
              </w:rPr>
              <w:t> 级</w:t>
            </w:r>
            <w:r>
              <w:rPr>
                <w:sz w:val="21"/>
              </w:rPr>
              <w:t>（含）以下； </w:t>
            </w:r>
            <w:r>
              <w:rPr>
                <w:spacing w:val="-2"/>
                <w:sz w:val="21"/>
              </w:rPr>
              <w:t>(2)</w:t>
            </w:r>
            <w:r>
              <w:rPr>
                <w:rFonts w:ascii="微软雅黑" w:eastAsia="微软雅黑"/>
                <w:b/>
                <w:spacing w:val="-2"/>
                <w:sz w:val="21"/>
              </w:rPr>
              <w:t>语言能力完全丧失，或严重咀嚼吞咽功能障碍</w:t>
            </w:r>
            <w:r>
              <w:rPr>
                <w:rFonts w:ascii="微软雅黑" w:eastAsia="微软雅黑"/>
                <w:b/>
                <w:spacing w:val="-2"/>
                <w:position w:val="11"/>
                <w:sz w:val="11"/>
              </w:rPr>
              <w:t>26</w:t>
            </w:r>
            <w:r>
              <w:rPr>
                <w:spacing w:val="-2"/>
                <w:sz w:val="21"/>
              </w:rPr>
              <w:t>；</w:t>
            </w:r>
          </w:p>
          <w:p>
            <w:pPr>
              <w:pStyle w:val="TableParagraph"/>
              <w:spacing w:line="290" w:lineRule="exact"/>
              <w:ind w:left="127"/>
              <w:rPr>
                <w:sz w:val="21"/>
              </w:rPr>
            </w:pPr>
            <w:r>
              <w:rPr>
                <w:w w:val="95"/>
                <w:sz w:val="21"/>
              </w:rPr>
              <w:t>(3)</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完</w:t>
            </w:r>
            <w:r>
              <w:rPr>
                <w:w w:val="95"/>
                <w:sz w:val="21"/>
              </w:rPr>
              <w:t>全丧失，</w:t>
            </w:r>
            <w:r>
              <w:rPr>
                <w:w w:val="95"/>
                <w:sz w:val="21"/>
              </w:rPr>
              <w:t>无</w:t>
            </w:r>
            <w:r>
              <w:rPr>
                <w:w w:val="95"/>
                <w:sz w:val="21"/>
              </w:rPr>
              <w:t>法</w:t>
            </w:r>
            <w:r>
              <w:rPr>
                <w:w w:val="95"/>
                <w:sz w:val="21"/>
              </w:rPr>
              <w:t>独立完成</w:t>
            </w:r>
            <w:r>
              <w:rPr>
                <w:rFonts w:ascii="微软雅黑" w:eastAsia="微软雅黑"/>
                <w:b/>
                <w:w w:val="95"/>
                <w:sz w:val="21"/>
              </w:rPr>
              <w:t>六</w:t>
            </w:r>
            <w:r>
              <w:rPr>
                <w:rFonts w:ascii="微软雅黑" w:eastAsia="微软雅黑"/>
                <w:b/>
                <w:w w:val="95"/>
                <w:sz w:val="21"/>
              </w:rPr>
              <w:t>项</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日</w:t>
            </w:r>
            <w:r>
              <w:rPr>
                <w:rFonts w:ascii="微软雅黑" w:eastAsia="微软雅黑"/>
                <w:b/>
                <w:w w:val="95"/>
                <w:sz w:val="21"/>
              </w:rPr>
              <w:t>常</w:t>
            </w:r>
            <w:r>
              <w:rPr>
                <w:rFonts w:ascii="微软雅黑" w:eastAsia="微软雅黑"/>
                <w:b/>
                <w:w w:val="95"/>
                <w:sz w:val="21"/>
              </w:rPr>
              <w:t>生</w:t>
            </w:r>
            <w:r>
              <w:rPr>
                <w:rFonts w:ascii="微软雅黑" w:eastAsia="微软雅黑"/>
                <w:b/>
                <w:w w:val="95"/>
                <w:sz w:val="21"/>
              </w:rPr>
              <w:t>活</w:t>
            </w:r>
            <w:r>
              <w:rPr>
                <w:rFonts w:ascii="微软雅黑" w:eastAsia="微软雅黑"/>
                <w:b/>
                <w:w w:val="95"/>
                <w:sz w:val="21"/>
              </w:rPr>
              <w:t>活</w:t>
            </w:r>
            <w:r>
              <w:rPr>
                <w:rFonts w:ascii="微软雅黑" w:eastAsia="微软雅黑"/>
                <w:b/>
                <w:w w:val="95"/>
                <w:sz w:val="21"/>
              </w:rPr>
              <w:t>动</w:t>
            </w:r>
            <w:r>
              <w:rPr>
                <w:rFonts w:ascii="微软雅黑" w:eastAsia="微软雅黑"/>
                <w:b/>
                <w:w w:val="95"/>
                <w:position w:val="11"/>
                <w:sz w:val="11"/>
              </w:rPr>
              <w:t>27</w:t>
            </w:r>
            <w:r>
              <w:rPr>
                <w:spacing w:val="-4"/>
                <w:w w:val="95"/>
                <w:sz w:val="21"/>
              </w:rPr>
              <w:t>中的三</w:t>
            </w:r>
          </w:p>
        </w:tc>
      </w:tr>
      <w:tr>
        <w:trPr>
          <w:trHeight w:val="382"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4"/>
                <w:sz w:val="21"/>
              </w:rPr>
              <w:t>项或三项以上。</w:t>
            </w:r>
          </w:p>
        </w:tc>
      </w:tr>
      <w:tr>
        <w:trPr>
          <w:trHeight w:val="382" w:hRule="atLeast"/>
        </w:trPr>
        <w:tc>
          <w:tcPr>
            <w:tcW w:w="952" w:type="dxa"/>
          </w:tcPr>
          <w:p>
            <w:pPr>
              <w:pStyle w:val="TableParagraph"/>
              <w:spacing w:line="346" w:lineRule="exact" w:before="17"/>
              <w:ind w:left="50"/>
              <w:rPr>
                <w:rFonts w:ascii="微软雅黑"/>
                <w:b/>
                <w:sz w:val="21"/>
              </w:rPr>
            </w:pPr>
            <w:r>
              <w:rPr>
                <w:rFonts w:ascii="微软雅黑"/>
                <w:b/>
                <w:spacing w:val="-2"/>
                <w:sz w:val="21"/>
              </w:rPr>
              <w:t>10.1.4</w:t>
            </w:r>
          </w:p>
        </w:tc>
        <w:tc>
          <w:tcPr>
            <w:tcW w:w="1871" w:type="dxa"/>
          </w:tcPr>
          <w:p>
            <w:pPr>
              <w:pStyle w:val="TableParagraph"/>
              <w:spacing w:line="346" w:lineRule="exact" w:before="17"/>
              <w:ind w:left="267"/>
              <w:rPr>
                <w:rFonts w:ascii="微软雅黑" w:eastAsia="微软雅黑"/>
                <w:b/>
                <w:sz w:val="21"/>
              </w:rPr>
            </w:pPr>
            <w:r>
              <w:rPr>
                <w:rFonts w:ascii="微软雅黑" w:eastAsia="微软雅黑"/>
                <w:b/>
                <w:spacing w:val="-2"/>
                <w:sz w:val="21"/>
              </w:rPr>
              <w:t>重大器官移植术</w:t>
            </w:r>
          </w:p>
        </w:tc>
        <w:tc>
          <w:tcPr>
            <w:tcW w:w="7031" w:type="dxa"/>
          </w:tcPr>
          <w:p>
            <w:pPr>
              <w:pStyle w:val="TableParagraph"/>
              <w:spacing w:before="84"/>
              <w:ind w:left="129"/>
              <w:rPr>
                <w:sz w:val="21"/>
              </w:rPr>
            </w:pPr>
            <w:r>
              <w:rPr>
                <w:spacing w:val="-5"/>
                <w:sz w:val="21"/>
              </w:rPr>
              <w:t>重大器官移植术，指因相应器官功能衰竭，已经实施了肾脏、肝脏、心脏、</w:t>
            </w:r>
          </w:p>
        </w:tc>
      </w:tr>
      <w:tr>
        <w:trPr>
          <w:trHeight w:val="350" w:hRule="atLeast"/>
        </w:trPr>
        <w:tc>
          <w:tcPr>
            <w:tcW w:w="952" w:type="dxa"/>
          </w:tcPr>
          <w:p>
            <w:pPr>
              <w:pStyle w:val="TableParagraph"/>
              <w:rPr>
                <w:rFonts w:ascii="Times New Roman"/>
                <w:sz w:val="18"/>
              </w:rPr>
            </w:pPr>
          </w:p>
        </w:tc>
        <w:tc>
          <w:tcPr>
            <w:tcW w:w="1871" w:type="dxa"/>
          </w:tcPr>
          <w:p>
            <w:pPr>
              <w:pStyle w:val="TableParagraph"/>
              <w:spacing w:line="330" w:lineRule="exact"/>
              <w:ind w:left="267"/>
              <w:rPr>
                <w:rFonts w:ascii="微软雅黑" w:eastAsia="微软雅黑"/>
                <w:b/>
                <w:sz w:val="21"/>
              </w:rPr>
            </w:pPr>
            <w:r>
              <w:rPr>
                <w:rFonts w:ascii="微软雅黑" w:eastAsia="微软雅黑"/>
                <w:b/>
                <w:spacing w:val="-2"/>
                <w:sz w:val="21"/>
              </w:rPr>
              <w:t>或造血干细胞移</w:t>
            </w:r>
          </w:p>
        </w:tc>
        <w:tc>
          <w:tcPr>
            <w:tcW w:w="7031" w:type="dxa"/>
          </w:tcPr>
          <w:p>
            <w:pPr>
              <w:pStyle w:val="TableParagraph"/>
              <w:spacing w:before="13"/>
              <w:ind w:left="127"/>
              <w:rPr>
                <w:sz w:val="21"/>
              </w:rPr>
            </w:pPr>
            <w:r>
              <w:rPr>
                <w:spacing w:val="-3"/>
                <w:sz w:val="21"/>
              </w:rPr>
              <w:t>肺脏或小肠的异体移植手术。</w:t>
            </w:r>
          </w:p>
        </w:tc>
      </w:tr>
      <w:tr>
        <w:trPr>
          <w:trHeight w:val="350" w:hRule="atLeast"/>
        </w:trPr>
        <w:tc>
          <w:tcPr>
            <w:tcW w:w="952" w:type="dxa"/>
          </w:tcPr>
          <w:p>
            <w:pPr>
              <w:pStyle w:val="TableParagraph"/>
              <w:rPr>
                <w:rFonts w:ascii="Times New Roman"/>
                <w:sz w:val="18"/>
              </w:rPr>
            </w:pPr>
          </w:p>
        </w:tc>
        <w:tc>
          <w:tcPr>
            <w:tcW w:w="1871" w:type="dxa"/>
          </w:tcPr>
          <w:p>
            <w:pPr>
              <w:pStyle w:val="TableParagraph"/>
              <w:spacing w:line="295" w:lineRule="exact"/>
              <w:ind w:left="267"/>
              <w:rPr>
                <w:rFonts w:ascii="微软雅黑" w:eastAsia="微软雅黑"/>
                <w:b/>
                <w:sz w:val="21"/>
              </w:rPr>
            </w:pPr>
            <w:r>
              <w:rPr>
                <w:rFonts w:ascii="微软雅黑" w:eastAsia="微软雅黑"/>
                <w:b/>
                <w:spacing w:val="-5"/>
                <w:sz w:val="21"/>
              </w:rPr>
              <w:t>植术</w:t>
            </w:r>
          </w:p>
        </w:tc>
        <w:tc>
          <w:tcPr>
            <w:tcW w:w="7031" w:type="dxa"/>
          </w:tcPr>
          <w:p>
            <w:pPr>
              <w:pStyle w:val="TableParagraph"/>
              <w:spacing w:before="51"/>
              <w:ind w:left="127"/>
              <w:rPr>
                <w:sz w:val="21"/>
              </w:rPr>
            </w:pPr>
            <w:r>
              <w:rPr>
                <w:spacing w:val="-3"/>
                <w:sz w:val="21"/>
              </w:rPr>
              <w:t>造血干细胞移植术，指因造血功能损害或造血系统恶性肿瘤，已经实施了</w:t>
            </w:r>
          </w:p>
        </w:tc>
      </w:tr>
      <w:tr>
        <w:trPr>
          <w:trHeight w:val="312"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4"/>
                <w:sz w:val="21"/>
              </w:rPr>
              <w:t>造血干细胞（包括骨髓造血干细胞、外周血造血干细胞和脐血造血干细胞</w:t>
            </w:r>
            <w:r>
              <w:rPr>
                <w:spacing w:val="-10"/>
                <w:sz w:val="21"/>
              </w:rPr>
              <w:t>）</w:t>
            </w:r>
          </w:p>
        </w:tc>
      </w:tr>
      <w:tr>
        <w:trPr>
          <w:trHeight w:val="384"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4"/>
                <w:sz w:val="21"/>
              </w:rPr>
              <w:t>的移植手术。</w:t>
            </w:r>
          </w:p>
        </w:tc>
      </w:tr>
      <w:tr>
        <w:trPr>
          <w:trHeight w:val="384" w:hRule="atLeast"/>
        </w:trPr>
        <w:tc>
          <w:tcPr>
            <w:tcW w:w="952" w:type="dxa"/>
          </w:tcPr>
          <w:p>
            <w:pPr>
              <w:pStyle w:val="TableParagraph"/>
              <w:spacing w:line="346" w:lineRule="exact" w:before="18"/>
              <w:ind w:left="50"/>
              <w:rPr>
                <w:rFonts w:ascii="微软雅黑"/>
                <w:b/>
                <w:sz w:val="21"/>
              </w:rPr>
            </w:pPr>
            <w:r>
              <w:rPr>
                <w:rFonts w:ascii="微软雅黑"/>
                <w:b/>
                <w:spacing w:val="-2"/>
                <w:sz w:val="21"/>
              </w:rPr>
              <w:t>10.1.5</w:t>
            </w:r>
          </w:p>
        </w:tc>
        <w:tc>
          <w:tcPr>
            <w:tcW w:w="1871" w:type="dxa"/>
          </w:tcPr>
          <w:p>
            <w:pPr>
              <w:pStyle w:val="TableParagraph"/>
              <w:spacing w:line="346" w:lineRule="exact" w:before="18"/>
              <w:ind w:left="267"/>
              <w:rPr>
                <w:rFonts w:ascii="微软雅黑" w:eastAsia="微软雅黑"/>
                <w:b/>
                <w:sz w:val="21"/>
              </w:rPr>
            </w:pPr>
            <w:r>
              <w:rPr>
                <w:rFonts w:ascii="微软雅黑" w:eastAsia="微软雅黑"/>
                <w:b/>
                <w:spacing w:val="-2"/>
                <w:sz w:val="21"/>
              </w:rPr>
              <w:t>冠状动脉搭桥术</w:t>
            </w:r>
          </w:p>
        </w:tc>
        <w:tc>
          <w:tcPr>
            <w:tcW w:w="7031" w:type="dxa"/>
          </w:tcPr>
          <w:p>
            <w:pPr>
              <w:pStyle w:val="TableParagraph"/>
              <w:spacing w:before="85"/>
              <w:ind w:left="129"/>
              <w:rPr>
                <w:sz w:val="21"/>
              </w:rPr>
            </w:pPr>
            <w:r>
              <w:rPr>
                <w:spacing w:val="-3"/>
                <w:sz w:val="21"/>
              </w:rPr>
              <w:t>指为治疗严重的冠心病，已经实施了切开心包进行的冠状动脉血管旁路移</w:t>
            </w:r>
          </w:p>
        </w:tc>
      </w:tr>
      <w:tr>
        <w:trPr>
          <w:trHeight w:val="350" w:hRule="atLeast"/>
        </w:trPr>
        <w:tc>
          <w:tcPr>
            <w:tcW w:w="952" w:type="dxa"/>
          </w:tcPr>
          <w:p>
            <w:pPr>
              <w:pStyle w:val="TableParagraph"/>
              <w:rPr>
                <w:rFonts w:ascii="Times New Roman"/>
                <w:sz w:val="18"/>
              </w:rPr>
            </w:pPr>
          </w:p>
        </w:tc>
        <w:tc>
          <w:tcPr>
            <w:tcW w:w="1871" w:type="dxa"/>
          </w:tcPr>
          <w:p>
            <w:pPr>
              <w:pStyle w:val="TableParagraph"/>
              <w:spacing w:line="330" w:lineRule="exact"/>
              <w:ind w:left="267"/>
              <w:rPr>
                <w:rFonts w:ascii="微软雅黑" w:eastAsia="微软雅黑"/>
                <w:b/>
                <w:sz w:val="21"/>
              </w:rPr>
            </w:pPr>
            <w:r>
              <w:rPr>
                <w:rFonts w:ascii="微软雅黑" w:eastAsia="微软雅黑"/>
                <w:b/>
                <w:sz w:val="21"/>
              </w:rPr>
              <w:t>（</w:t>
            </w:r>
            <w:r>
              <w:rPr>
                <w:rFonts w:ascii="微软雅黑" w:eastAsia="微软雅黑"/>
                <w:b/>
                <w:spacing w:val="-2"/>
                <w:sz w:val="21"/>
              </w:rPr>
              <w:t>或称冠状动脉</w:t>
            </w:r>
          </w:p>
        </w:tc>
        <w:tc>
          <w:tcPr>
            <w:tcW w:w="7031" w:type="dxa"/>
          </w:tcPr>
          <w:p>
            <w:pPr>
              <w:pStyle w:val="TableParagraph"/>
              <w:spacing w:before="13"/>
              <w:ind w:left="127"/>
              <w:rPr>
                <w:sz w:val="21"/>
              </w:rPr>
            </w:pPr>
            <w:r>
              <w:rPr>
                <w:spacing w:val="-4"/>
                <w:sz w:val="21"/>
              </w:rPr>
              <w:t>植的手术。</w:t>
            </w:r>
          </w:p>
        </w:tc>
      </w:tr>
      <w:tr>
        <w:trPr>
          <w:trHeight w:val="421" w:hRule="atLeast"/>
        </w:trPr>
        <w:tc>
          <w:tcPr>
            <w:tcW w:w="952" w:type="dxa"/>
          </w:tcPr>
          <w:p>
            <w:pPr>
              <w:pStyle w:val="TableParagraph"/>
              <w:rPr>
                <w:rFonts w:ascii="Times New Roman"/>
                <w:sz w:val="18"/>
              </w:rPr>
            </w:pPr>
          </w:p>
        </w:tc>
        <w:tc>
          <w:tcPr>
            <w:tcW w:w="1871" w:type="dxa"/>
          </w:tcPr>
          <w:p>
            <w:pPr>
              <w:pStyle w:val="TableParagraph"/>
              <w:spacing w:line="295" w:lineRule="exact"/>
              <w:ind w:left="267"/>
              <w:rPr>
                <w:rFonts w:ascii="微软雅黑" w:eastAsia="微软雅黑"/>
                <w:b/>
                <w:sz w:val="21"/>
              </w:rPr>
            </w:pPr>
            <w:r>
              <w:rPr>
                <w:rFonts w:ascii="微软雅黑" w:eastAsia="微软雅黑"/>
                <w:b/>
                <w:sz w:val="21"/>
              </w:rPr>
              <w:t>旁路移植术</w:t>
            </w:r>
            <w:r>
              <w:rPr>
                <w:rFonts w:ascii="微软雅黑" w:eastAsia="微软雅黑"/>
                <w:b/>
                <w:spacing w:val="-10"/>
                <w:sz w:val="21"/>
              </w:rPr>
              <w:t>）</w:t>
            </w:r>
          </w:p>
        </w:tc>
        <w:tc>
          <w:tcPr>
            <w:tcW w:w="7031" w:type="dxa"/>
          </w:tcPr>
          <w:p>
            <w:pPr>
              <w:pStyle w:val="TableParagraph"/>
              <w:spacing w:before="51"/>
              <w:ind w:left="127"/>
              <w:rPr>
                <w:sz w:val="21"/>
              </w:rPr>
            </w:pPr>
            <w:r>
              <w:rPr>
                <w:color w:val="000000"/>
                <w:spacing w:val="-3"/>
                <w:sz w:val="21"/>
                <w:shd w:fill="A6A6A6" w:color="auto" w:val="clear"/>
              </w:rPr>
              <w:t>所有未切开心包的冠状动脉介入治疗不在保障范围内。</w:t>
            </w:r>
          </w:p>
        </w:tc>
      </w:tr>
      <w:tr>
        <w:trPr>
          <w:trHeight w:val="382" w:hRule="atLeast"/>
        </w:trPr>
        <w:tc>
          <w:tcPr>
            <w:tcW w:w="952" w:type="dxa"/>
          </w:tcPr>
          <w:p>
            <w:pPr>
              <w:pStyle w:val="TableParagraph"/>
              <w:spacing w:line="346" w:lineRule="exact" w:before="17"/>
              <w:ind w:left="50"/>
              <w:rPr>
                <w:rFonts w:ascii="微软雅黑"/>
                <w:b/>
                <w:sz w:val="21"/>
              </w:rPr>
            </w:pPr>
            <w:r>
              <w:rPr>
                <w:rFonts w:ascii="微软雅黑"/>
                <w:b/>
                <w:spacing w:val="-2"/>
                <w:sz w:val="21"/>
              </w:rPr>
              <w:t>10.1.6</w:t>
            </w:r>
          </w:p>
        </w:tc>
        <w:tc>
          <w:tcPr>
            <w:tcW w:w="1871" w:type="dxa"/>
          </w:tcPr>
          <w:p>
            <w:pPr>
              <w:pStyle w:val="TableParagraph"/>
              <w:spacing w:line="346" w:lineRule="exact" w:before="17"/>
              <w:ind w:left="267"/>
              <w:rPr>
                <w:rFonts w:ascii="微软雅黑" w:eastAsia="微软雅黑"/>
                <w:b/>
                <w:sz w:val="21"/>
              </w:rPr>
            </w:pPr>
            <w:r>
              <w:rPr>
                <w:rFonts w:ascii="微软雅黑" w:eastAsia="微软雅黑"/>
                <w:b/>
                <w:spacing w:val="-2"/>
                <w:sz w:val="21"/>
              </w:rPr>
              <w:t>严重慢性肾衰竭</w:t>
            </w:r>
          </w:p>
        </w:tc>
        <w:tc>
          <w:tcPr>
            <w:tcW w:w="7031" w:type="dxa"/>
          </w:tcPr>
          <w:p>
            <w:pPr>
              <w:pStyle w:val="TableParagraph"/>
              <w:spacing w:before="84"/>
              <w:ind w:left="127"/>
              <w:rPr>
                <w:sz w:val="21"/>
              </w:rPr>
            </w:pPr>
            <w:r>
              <w:rPr>
                <w:spacing w:val="-2"/>
                <w:sz w:val="21"/>
              </w:rPr>
              <w:t>指双肾功能慢性不可逆性衰竭，依据肾脏病预后质量倡议（K/DOQI）</w:t>
            </w:r>
            <w:r>
              <w:rPr>
                <w:spacing w:val="-6"/>
                <w:sz w:val="21"/>
              </w:rPr>
              <w:t>制定</w:t>
            </w:r>
          </w:p>
        </w:tc>
      </w:tr>
      <w:tr>
        <w:trPr>
          <w:trHeight w:val="311"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8"/>
                <w:sz w:val="21"/>
              </w:rPr>
              <w:t>的指南，分期达到慢性肾脏病 </w:t>
            </w:r>
            <w:r>
              <w:rPr>
                <w:spacing w:val="-4"/>
                <w:sz w:val="21"/>
              </w:rPr>
              <w:t>5</w:t>
            </w:r>
            <w:r>
              <w:rPr>
                <w:spacing w:val="-15"/>
                <w:sz w:val="21"/>
              </w:rPr>
              <w:t> 期，且经诊断后已经进行了至少 </w:t>
            </w:r>
            <w:r>
              <w:rPr>
                <w:spacing w:val="-4"/>
                <w:sz w:val="21"/>
              </w:rPr>
              <w:t>90</w:t>
            </w:r>
            <w:r>
              <w:rPr>
                <w:spacing w:val="-18"/>
                <w:sz w:val="21"/>
              </w:rPr>
              <w:t> 天的规</w:t>
            </w:r>
          </w:p>
        </w:tc>
      </w:tr>
      <w:tr>
        <w:trPr>
          <w:trHeight w:val="382"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3"/>
                <w:sz w:val="21"/>
              </w:rPr>
              <w:t>律性透析治疗。规律性透析是指每周进行血液透析或每天进行腹膜透析。</w:t>
            </w:r>
          </w:p>
        </w:tc>
      </w:tr>
      <w:tr>
        <w:trPr>
          <w:trHeight w:val="382" w:hRule="atLeast"/>
        </w:trPr>
        <w:tc>
          <w:tcPr>
            <w:tcW w:w="952" w:type="dxa"/>
          </w:tcPr>
          <w:p>
            <w:pPr>
              <w:pStyle w:val="TableParagraph"/>
              <w:spacing w:line="346" w:lineRule="exact" w:before="17"/>
              <w:ind w:left="50"/>
              <w:rPr>
                <w:rFonts w:ascii="微软雅黑"/>
                <w:b/>
                <w:sz w:val="21"/>
              </w:rPr>
            </w:pPr>
            <w:r>
              <w:rPr>
                <w:rFonts w:ascii="微软雅黑"/>
                <w:b/>
                <w:spacing w:val="-2"/>
                <w:sz w:val="21"/>
              </w:rPr>
              <w:t>10.1.7</w:t>
            </w:r>
          </w:p>
        </w:tc>
        <w:tc>
          <w:tcPr>
            <w:tcW w:w="1871" w:type="dxa"/>
          </w:tcPr>
          <w:p>
            <w:pPr>
              <w:pStyle w:val="TableParagraph"/>
              <w:spacing w:line="346" w:lineRule="exact" w:before="17"/>
              <w:ind w:left="267"/>
              <w:rPr>
                <w:rFonts w:ascii="微软雅黑" w:eastAsia="微软雅黑"/>
                <w:b/>
                <w:sz w:val="21"/>
              </w:rPr>
            </w:pPr>
            <w:r>
              <w:rPr>
                <w:rFonts w:ascii="微软雅黑" w:eastAsia="微软雅黑"/>
                <w:b/>
                <w:spacing w:val="-2"/>
                <w:sz w:val="21"/>
              </w:rPr>
              <w:t>多个肢体缺失</w:t>
            </w:r>
          </w:p>
        </w:tc>
        <w:tc>
          <w:tcPr>
            <w:tcW w:w="7031" w:type="dxa"/>
          </w:tcPr>
          <w:p>
            <w:pPr>
              <w:pStyle w:val="TableParagraph"/>
              <w:spacing w:before="84"/>
              <w:ind w:left="127"/>
              <w:rPr>
                <w:sz w:val="21"/>
              </w:rPr>
            </w:pPr>
            <w:r>
              <w:rPr>
                <w:spacing w:val="-2"/>
                <w:sz w:val="21"/>
              </w:rPr>
              <w:t>指因疾病或意外伤害导致两个或两个以上肢体自腕关节或踝关节近端（</w:t>
            </w:r>
            <w:r>
              <w:rPr>
                <w:spacing w:val="-10"/>
                <w:sz w:val="21"/>
              </w:rPr>
              <w:t>靠</w:t>
            </w:r>
          </w:p>
        </w:tc>
      </w:tr>
      <w:tr>
        <w:trPr>
          <w:trHeight w:val="383"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2"/>
                <w:sz w:val="21"/>
              </w:rPr>
              <w:t>近躯干端）</w:t>
            </w:r>
            <w:r>
              <w:rPr>
                <w:spacing w:val="-4"/>
                <w:sz w:val="21"/>
              </w:rPr>
              <w:t>以上完全性断离。</w:t>
            </w:r>
          </w:p>
        </w:tc>
      </w:tr>
      <w:tr>
        <w:trPr>
          <w:trHeight w:val="384" w:hRule="atLeast"/>
        </w:trPr>
        <w:tc>
          <w:tcPr>
            <w:tcW w:w="952" w:type="dxa"/>
          </w:tcPr>
          <w:p>
            <w:pPr>
              <w:pStyle w:val="TableParagraph"/>
              <w:spacing w:line="346" w:lineRule="exact" w:before="18"/>
              <w:ind w:left="50"/>
              <w:rPr>
                <w:rFonts w:ascii="微软雅黑"/>
                <w:b/>
                <w:sz w:val="21"/>
              </w:rPr>
            </w:pPr>
            <w:r>
              <w:rPr>
                <w:rFonts w:ascii="微软雅黑"/>
                <w:b/>
                <w:spacing w:val="-2"/>
                <w:sz w:val="21"/>
              </w:rPr>
              <w:t>10.1.8</w:t>
            </w:r>
          </w:p>
        </w:tc>
        <w:tc>
          <w:tcPr>
            <w:tcW w:w="1871" w:type="dxa"/>
          </w:tcPr>
          <w:p>
            <w:pPr>
              <w:pStyle w:val="TableParagraph"/>
              <w:spacing w:line="346" w:lineRule="exact" w:before="18"/>
              <w:ind w:left="267"/>
              <w:rPr>
                <w:rFonts w:ascii="微软雅黑" w:eastAsia="微软雅黑"/>
                <w:b/>
                <w:sz w:val="21"/>
              </w:rPr>
            </w:pPr>
            <w:r>
              <w:rPr>
                <w:rFonts w:ascii="微软雅黑" w:eastAsia="微软雅黑"/>
                <w:b/>
                <w:spacing w:val="-2"/>
                <w:sz w:val="21"/>
              </w:rPr>
              <w:t>急性重症肝炎或</w:t>
            </w:r>
          </w:p>
        </w:tc>
        <w:tc>
          <w:tcPr>
            <w:tcW w:w="7031" w:type="dxa"/>
          </w:tcPr>
          <w:p>
            <w:pPr>
              <w:pStyle w:val="TableParagraph"/>
              <w:spacing w:before="85"/>
              <w:ind w:left="127"/>
              <w:rPr>
                <w:sz w:val="21"/>
              </w:rPr>
            </w:pPr>
            <w:r>
              <w:rPr>
                <w:spacing w:val="-3"/>
                <w:sz w:val="21"/>
              </w:rPr>
              <w:t>指因肝炎病毒感染引起肝脏组织弥漫性坏死，导致急性肝功能衰竭，且经</w:t>
            </w:r>
          </w:p>
        </w:tc>
      </w:tr>
      <w:tr>
        <w:trPr>
          <w:trHeight w:val="312" w:hRule="atLeast"/>
        </w:trPr>
        <w:tc>
          <w:tcPr>
            <w:tcW w:w="952" w:type="dxa"/>
          </w:tcPr>
          <w:p>
            <w:pPr>
              <w:pStyle w:val="TableParagraph"/>
              <w:rPr>
                <w:rFonts w:ascii="Times New Roman"/>
                <w:sz w:val="18"/>
              </w:rPr>
            </w:pPr>
          </w:p>
        </w:tc>
        <w:tc>
          <w:tcPr>
            <w:tcW w:w="1871" w:type="dxa"/>
          </w:tcPr>
          <w:p>
            <w:pPr>
              <w:pStyle w:val="TableParagraph"/>
              <w:spacing w:line="292" w:lineRule="exact"/>
              <w:ind w:left="267"/>
              <w:rPr>
                <w:rFonts w:ascii="微软雅黑" w:eastAsia="微软雅黑"/>
                <w:b/>
                <w:sz w:val="21"/>
              </w:rPr>
            </w:pPr>
            <w:r>
              <w:rPr>
                <w:rFonts w:ascii="微软雅黑" w:eastAsia="微软雅黑"/>
                <w:b/>
                <w:spacing w:val="-2"/>
                <w:sz w:val="21"/>
              </w:rPr>
              <w:t>亚急性重症肝炎</w:t>
            </w:r>
          </w:p>
        </w:tc>
        <w:tc>
          <w:tcPr>
            <w:tcW w:w="7031" w:type="dxa"/>
          </w:tcPr>
          <w:p>
            <w:pPr>
              <w:pStyle w:val="TableParagraph"/>
              <w:spacing w:before="13"/>
              <w:ind w:left="127"/>
              <w:rPr>
                <w:sz w:val="21"/>
              </w:rPr>
            </w:pPr>
            <w:r>
              <w:rPr>
                <w:spacing w:val="-3"/>
                <w:sz w:val="21"/>
              </w:rPr>
              <w:t>血清学或病毒学检查证实，并须满足下列全部条件：</w:t>
            </w:r>
          </w:p>
        </w:tc>
      </w:tr>
      <w:tr>
        <w:trPr>
          <w:trHeight w:val="312"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2"/>
                <w:sz w:val="21"/>
              </w:rPr>
              <w:t>(1)</w:t>
            </w:r>
            <w:r>
              <w:rPr>
                <w:spacing w:val="-3"/>
                <w:sz w:val="21"/>
              </w:rPr>
              <w:t>重度黄疸或黄疸迅速加重；</w:t>
            </w:r>
          </w:p>
        </w:tc>
      </w:tr>
      <w:tr>
        <w:trPr>
          <w:trHeight w:val="311"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2"/>
                <w:sz w:val="21"/>
              </w:rPr>
              <w:t>(2)</w:t>
            </w:r>
            <w:r>
              <w:rPr>
                <w:spacing w:val="-4"/>
                <w:sz w:val="21"/>
              </w:rPr>
              <w:t>肝性脑病；</w:t>
            </w:r>
          </w:p>
        </w:tc>
      </w:tr>
      <w:tr>
        <w:trPr>
          <w:trHeight w:val="311"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2"/>
                <w:sz w:val="21"/>
              </w:rPr>
              <w:t>(3)B</w:t>
            </w:r>
            <w:r>
              <w:rPr>
                <w:spacing w:val="-9"/>
                <w:sz w:val="21"/>
              </w:rPr>
              <w:t> 超或其他影像学检查显示肝脏体积急速萎缩；</w:t>
            </w:r>
          </w:p>
        </w:tc>
      </w:tr>
      <w:tr>
        <w:trPr>
          <w:trHeight w:val="382"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before="13"/>
              <w:ind w:left="127"/>
              <w:rPr>
                <w:sz w:val="21"/>
              </w:rPr>
            </w:pPr>
            <w:r>
              <w:rPr>
                <w:spacing w:val="-2"/>
                <w:sz w:val="21"/>
              </w:rPr>
              <w:t>(4)</w:t>
            </w:r>
            <w:r>
              <w:rPr>
                <w:spacing w:val="-3"/>
                <w:sz w:val="21"/>
              </w:rPr>
              <w:t>肝功能指标进行性恶化。</w:t>
            </w:r>
          </w:p>
        </w:tc>
      </w:tr>
      <w:tr>
        <w:trPr>
          <w:trHeight w:val="382" w:hRule="atLeast"/>
        </w:trPr>
        <w:tc>
          <w:tcPr>
            <w:tcW w:w="952" w:type="dxa"/>
          </w:tcPr>
          <w:p>
            <w:pPr>
              <w:pStyle w:val="TableParagraph"/>
              <w:spacing w:line="346" w:lineRule="exact" w:before="17"/>
              <w:ind w:left="50"/>
              <w:rPr>
                <w:rFonts w:ascii="微软雅黑"/>
                <w:b/>
                <w:sz w:val="21"/>
              </w:rPr>
            </w:pPr>
            <w:r>
              <w:rPr>
                <w:rFonts w:ascii="微软雅黑"/>
                <w:b/>
                <w:spacing w:val="-2"/>
                <w:sz w:val="21"/>
              </w:rPr>
              <w:t>10.1.9</w:t>
            </w:r>
          </w:p>
        </w:tc>
        <w:tc>
          <w:tcPr>
            <w:tcW w:w="1871" w:type="dxa"/>
          </w:tcPr>
          <w:p>
            <w:pPr>
              <w:pStyle w:val="TableParagraph"/>
              <w:spacing w:line="346" w:lineRule="exact" w:before="17"/>
              <w:ind w:left="267"/>
              <w:rPr>
                <w:rFonts w:ascii="微软雅黑" w:eastAsia="微软雅黑"/>
                <w:b/>
                <w:sz w:val="21"/>
              </w:rPr>
            </w:pPr>
            <w:r>
              <w:rPr>
                <w:rFonts w:ascii="微软雅黑" w:eastAsia="微软雅黑"/>
                <w:b/>
                <w:spacing w:val="-2"/>
                <w:sz w:val="21"/>
              </w:rPr>
              <w:t>严重非恶性颅内</w:t>
            </w:r>
          </w:p>
        </w:tc>
        <w:tc>
          <w:tcPr>
            <w:tcW w:w="7031" w:type="dxa"/>
          </w:tcPr>
          <w:p>
            <w:pPr>
              <w:pStyle w:val="TableParagraph"/>
              <w:spacing w:before="84"/>
              <w:ind w:left="127"/>
              <w:rPr>
                <w:sz w:val="21"/>
              </w:rPr>
            </w:pPr>
            <w:r>
              <w:rPr>
                <w:sz w:val="21"/>
              </w:rPr>
              <w:t>指起源于脑、脑神经、脑被膜的非恶性肿瘤，ICD-O-3</w:t>
            </w:r>
            <w:r>
              <w:rPr>
                <w:spacing w:val="-5"/>
                <w:sz w:val="21"/>
              </w:rPr>
              <w:t> 肿瘤形态学编码属</w:t>
            </w:r>
          </w:p>
        </w:tc>
      </w:tr>
      <w:tr>
        <w:trPr>
          <w:trHeight w:val="311" w:hRule="atLeast"/>
        </w:trPr>
        <w:tc>
          <w:tcPr>
            <w:tcW w:w="952" w:type="dxa"/>
          </w:tcPr>
          <w:p>
            <w:pPr>
              <w:pStyle w:val="TableParagraph"/>
              <w:rPr>
                <w:rFonts w:ascii="Times New Roman"/>
                <w:sz w:val="18"/>
              </w:rPr>
            </w:pPr>
          </w:p>
        </w:tc>
        <w:tc>
          <w:tcPr>
            <w:tcW w:w="1871" w:type="dxa"/>
          </w:tcPr>
          <w:p>
            <w:pPr>
              <w:pStyle w:val="TableParagraph"/>
              <w:spacing w:line="292" w:lineRule="exact"/>
              <w:ind w:left="267"/>
              <w:rPr>
                <w:rFonts w:ascii="微软雅黑" w:eastAsia="微软雅黑"/>
                <w:b/>
                <w:sz w:val="21"/>
              </w:rPr>
            </w:pPr>
            <w:r>
              <w:rPr>
                <w:rFonts w:ascii="微软雅黑" w:eastAsia="微软雅黑"/>
                <w:b/>
                <w:spacing w:val="-5"/>
                <w:sz w:val="21"/>
              </w:rPr>
              <w:t>肿瘤</w:t>
            </w:r>
          </w:p>
        </w:tc>
        <w:tc>
          <w:tcPr>
            <w:tcW w:w="7031" w:type="dxa"/>
          </w:tcPr>
          <w:p>
            <w:pPr>
              <w:pStyle w:val="TableParagraph"/>
              <w:spacing w:before="13"/>
              <w:ind w:left="127"/>
              <w:rPr>
                <w:sz w:val="21"/>
              </w:rPr>
            </w:pPr>
            <w:r>
              <w:rPr>
                <w:spacing w:val="-9"/>
                <w:sz w:val="21"/>
              </w:rPr>
              <w:t>于 </w:t>
            </w:r>
            <w:r>
              <w:rPr>
                <w:sz w:val="21"/>
              </w:rPr>
              <w:t>0（良性肿瘤</w:t>
            </w:r>
            <w:r>
              <w:rPr>
                <w:spacing w:val="-104"/>
                <w:sz w:val="21"/>
              </w:rPr>
              <w:t>）</w:t>
            </w:r>
            <w:r>
              <w:rPr>
                <w:sz w:val="21"/>
              </w:rPr>
              <w:t>、1（动态未定性肿瘤）</w:t>
            </w:r>
            <w:r>
              <w:rPr>
                <w:spacing w:val="-1"/>
                <w:sz w:val="21"/>
              </w:rPr>
              <w:t>范畴，并已经引起颅内压升高或</w:t>
            </w:r>
          </w:p>
        </w:tc>
      </w:tr>
      <w:tr>
        <w:trPr>
          <w:trHeight w:val="261" w:hRule="atLeast"/>
        </w:trPr>
        <w:tc>
          <w:tcPr>
            <w:tcW w:w="952" w:type="dxa"/>
          </w:tcPr>
          <w:p>
            <w:pPr>
              <w:pStyle w:val="TableParagraph"/>
              <w:rPr>
                <w:rFonts w:ascii="Times New Roman"/>
                <w:sz w:val="18"/>
              </w:rPr>
            </w:pPr>
          </w:p>
        </w:tc>
        <w:tc>
          <w:tcPr>
            <w:tcW w:w="1871" w:type="dxa"/>
          </w:tcPr>
          <w:p>
            <w:pPr>
              <w:pStyle w:val="TableParagraph"/>
              <w:rPr>
                <w:rFonts w:ascii="Times New Roman"/>
                <w:sz w:val="18"/>
              </w:rPr>
            </w:pPr>
          </w:p>
        </w:tc>
        <w:tc>
          <w:tcPr>
            <w:tcW w:w="7031" w:type="dxa"/>
          </w:tcPr>
          <w:p>
            <w:pPr>
              <w:pStyle w:val="TableParagraph"/>
              <w:spacing w:line="228" w:lineRule="exact" w:before="13"/>
              <w:ind w:left="127"/>
              <w:rPr>
                <w:sz w:val="21"/>
              </w:rPr>
            </w:pPr>
            <w:r>
              <w:rPr>
                <w:spacing w:val="-3"/>
                <w:sz w:val="21"/>
              </w:rPr>
              <w:t>神经系统功能损害，出现视乳头水肿或视觉受损、听觉受损、面部或肢体</w:t>
            </w:r>
          </w:p>
        </w:tc>
      </w:tr>
    </w:tbl>
    <w:p>
      <w:pPr>
        <w:pStyle w:val="BodyText"/>
        <w:spacing w:before="2"/>
        <w:ind w:left="0"/>
        <w:rPr>
          <w:sz w:val="16"/>
        </w:rPr>
      </w:pPr>
      <w:r>
        <w:rPr/>
        <w:drawing>
          <wp:anchor distT="0" distB="0" distL="0" distR="0" allowOverlap="1" layoutInCell="1" locked="0" behindDoc="0" simplePos="0" relativeHeight="24">
            <wp:simplePos x="0" y="0"/>
            <wp:positionH relativeFrom="page">
              <wp:posOffset>719327</wp:posOffset>
            </wp:positionH>
            <wp:positionV relativeFrom="paragraph">
              <wp:posOffset>147065</wp:posOffset>
            </wp:positionV>
            <wp:extent cx="1829358" cy="9143"/>
            <wp:effectExtent l="0" t="0" r="0" b="0"/>
            <wp:wrapTopAndBottom/>
            <wp:docPr id="43" name="image3.png"/>
            <wp:cNvGraphicFramePr>
              <a:graphicFrameLocks noChangeAspect="1"/>
            </wp:cNvGraphicFramePr>
            <a:graphic>
              <a:graphicData uri="http://schemas.openxmlformats.org/drawingml/2006/picture">
                <pic:pic>
                  <pic:nvPicPr>
                    <pic:cNvPr id="44" name="image3.png"/>
                    <pic:cNvPicPr/>
                  </pic:nvPicPr>
                  <pic:blipFill>
                    <a:blip r:embed="rId7" cstate="print"/>
                    <a:stretch>
                      <a:fillRect/>
                    </a:stretch>
                  </pic:blipFill>
                  <pic:spPr>
                    <a:xfrm>
                      <a:off x="0" y="0"/>
                      <a:ext cx="1829358" cy="9143"/>
                    </a:xfrm>
                    <a:prstGeom prst="rect">
                      <a:avLst/>
                    </a:prstGeom>
                  </pic:spPr>
                </pic:pic>
              </a:graphicData>
            </a:graphic>
          </wp:anchor>
        </w:drawing>
      </w:r>
    </w:p>
    <w:p>
      <w:pPr>
        <w:spacing w:line="303" w:lineRule="exact" w:before="79"/>
        <w:ind w:left="212" w:right="0" w:firstLine="0"/>
        <w:jc w:val="left"/>
        <w:rPr>
          <w:sz w:val="18"/>
        </w:rPr>
      </w:pPr>
      <w:r>
        <w:rPr>
          <w:rFonts w:ascii="Calibri" w:eastAsia="Calibri"/>
          <w:b/>
          <w:spacing w:val="-2"/>
          <w:position w:val="5"/>
          <w:sz w:val="12"/>
        </w:rPr>
        <w:t>24</w:t>
      </w:r>
      <w:r>
        <w:rPr>
          <w:rFonts w:ascii="微软雅黑" w:eastAsia="微软雅黑"/>
          <w:b/>
          <w:spacing w:val="-2"/>
          <w:sz w:val="18"/>
        </w:rPr>
        <w:t>肢体：</w:t>
      </w:r>
      <w:r>
        <w:rPr>
          <w:spacing w:val="-3"/>
          <w:sz w:val="18"/>
        </w:rPr>
        <w:t>肢体是指包括肩关节的整个上肢或包括髋关节的整个下肢。</w:t>
      </w:r>
    </w:p>
    <w:p>
      <w:pPr>
        <w:spacing w:line="282" w:lineRule="exact" w:before="0"/>
        <w:ind w:left="212" w:right="0" w:firstLine="0"/>
        <w:jc w:val="left"/>
        <w:rPr>
          <w:sz w:val="18"/>
        </w:rPr>
      </w:pPr>
      <w:r>
        <w:rPr>
          <w:rFonts w:ascii="Calibri" w:eastAsia="Calibri"/>
          <w:b/>
          <w:spacing w:val="-2"/>
          <w:position w:val="5"/>
          <w:sz w:val="12"/>
        </w:rPr>
        <w:t>25</w:t>
      </w:r>
      <w:r>
        <w:rPr>
          <w:rFonts w:ascii="微软雅黑" w:eastAsia="微软雅黑"/>
          <w:b/>
          <w:spacing w:val="-2"/>
          <w:sz w:val="18"/>
        </w:rPr>
        <w:t>肌力：</w:t>
      </w:r>
      <w:r>
        <w:rPr>
          <w:spacing w:val="-4"/>
          <w:sz w:val="18"/>
        </w:rPr>
        <w:t>指肌肉收缩时的力量。肌力划分为 </w:t>
      </w:r>
      <w:r>
        <w:rPr>
          <w:spacing w:val="-2"/>
          <w:sz w:val="18"/>
        </w:rPr>
        <w:t>0-5</w:t>
      </w:r>
      <w:r>
        <w:rPr>
          <w:spacing w:val="-7"/>
          <w:sz w:val="18"/>
        </w:rPr>
        <w:t> 级，具体为：</w:t>
      </w:r>
    </w:p>
    <w:p>
      <w:pPr>
        <w:pStyle w:val="ListParagraph"/>
        <w:numPr>
          <w:ilvl w:val="1"/>
          <w:numId w:val="24"/>
        </w:numPr>
        <w:tabs>
          <w:tab w:pos="891" w:val="left" w:leader="none"/>
        </w:tabs>
        <w:spacing w:line="210" w:lineRule="exact" w:before="0" w:after="0"/>
        <w:ind w:left="890" w:right="0" w:hanging="138"/>
        <w:jc w:val="left"/>
        <w:rPr>
          <w:sz w:val="18"/>
        </w:rPr>
      </w:pPr>
      <w:r>
        <w:rPr>
          <w:spacing w:val="-3"/>
          <w:sz w:val="18"/>
        </w:rPr>
        <w:t>级：肌肉完全瘫痪，毫无收缩。</w:t>
      </w:r>
    </w:p>
    <w:p>
      <w:pPr>
        <w:pStyle w:val="ListParagraph"/>
        <w:numPr>
          <w:ilvl w:val="1"/>
          <w:numId w:val="24"/>
        </w:numPr>
        <w:tabs>
          <w:tab w:pos="891" w:val="left" w:leader="none"/>
        </w:tabs>
        <w:spacing w:line="240" w:lineRule="auto" w:before="3" w:after="0"/>
        <w:ind w:left="890" w:right="0" w:hanging="138"/>
        <w:jc w:val="left"/>
        <w:rPr>
          <w:sz w:val="18"/>
        </w:rPr>
      </w:pPr>
      <w:r>
        <w:rPr>
          <w:spacing w:val="-3"/>
          <w:sz w:val="18"/>
        </w:rPr>
        <w:t>级：可看到或者触及肌肉轻微收缩，但不能产生动作。</w:t>
      </w:r>
    </w:p>
    <w:p>
      <w:pPr>
        <w:pStyle w:val="ListParagraph"/>
        <w:numPr>
          <w:ilvl w:val="1"/>
          <w:numId w:val="24"/>
        </w:numPr>
        <w:tabs>
          <w:tab w:pos="891" w:val="left" w:leader="none"/>
        </w:tabs>
        <w:spacing w:line="240" w:lineRule="auto" w:before="2" w:after="0"/>
        <w:ind w:left="890" w:right="0" w:hanging="138"/>
        <w:jc w:val="left"/>
        <w:rPr>
          <w:sz w:val="18"/>
        </w:rPr>
      </w:pPr>
      <w:r>
        <w:rPr>
          <w:spacing w:val="-3"/>
          <w:sz w:val="18"/>
        </w:rPr>
        <w:t>级：肌肉在不受重力影响下，可进行运动，即肢体能在床面上移动，但不能抬高。</w:t>
      </w:r>
    </w:p>
    <w:p>
      <w:pPr>
        <w:pStyle w:val="ListParagraph"/>
        <w:numPr>
          <w:ilvl w:val="1"/>
          <w:numId w:val="24"/>
        </w:numPr>
        <w:tabs>
          <w:tab w:pos="891" w:val="left" w:leader="none"/>
        </w:tabs>
        <w:spacing w:line="240" w:lineRule="auto" w:before="4" w:after="0"/>
        <w:ind w:left="890" w:right="0" w:hanging="138"/>
        <w:jc w:val="left"/>
        <w:rPr>
          <w:sz w:val="18"/>
        </w:rPr>
      </w:pPr>
      <w:r>
        <w:rPr>
          <w:spacing w:val="-3"/>
          <w:sz w:val="18"/>
        </w:rPr>
        <w:t>级：在和地心引力相反的方向中尚能完成其动作，但不能对抗外加阻力。</w:t>
      </w:r>
    </w:p>
    <w:p>
      <w:pPr>
        <w:pStyle w:val="ListParagraph"/>
        <w:numPr>
          <w:ilvl w:val="1"/>
          <w:numId w:val="24"/>
        </w:numPr>
        <w:tabs>
          <w:tab w:pos="891" w:val="left" w:leader="none"/>
        </w:tabs>
        <w:spacing w:line="240" w:lineRule="auto" w:before="3" w:after="0"/>
        <w:ind w:left="890" w:right="0" w:hanging="138"/>
        <w:jc w:val="left"/>
        <w:rPr>
          <w:sz w:val="18"/>
        </w:rPr>
      </w:pPr>
      <w:r>
        <w:rPr>
          <w:spacing w:val="-3"/>
          <w:sz w:val="18"/>
        </w:rPr>
        <w:t>级：能对抗一定的阻力，但较正常人为低。</w:t>
      </w:r>
    </w:p>
    <w:p>
      <w:pPr>
        <w:pStyle w:val="ListParagraph"/>
        <w:numPr>
          <w:ilvl w:val="1"/>
          <w:numId w:val="24"/>
        </w:numPr>
        <w:tabs>
          <w:tab w:pos="891" w:val="left" w:leader="none"/>
        </w:tabs>
        <w:spacing w:line="203" w:lineRule="exact" w:before="2" w:after="0"/>
        <w:ind w:left="890" w:right="0" w:hanging="138"/>
        <w:jc w:val="left"/>
        <w:rPr>
          <w:sz w:val="18"/>
        </w:rPr>
      </w:pPr>
      <w:r>
        <w:rPr>
          <w:spacing w:val="-2"/>
          <w:sz w:val="18"/>
        </w:rPr>
        <w:t>级：正常肌力。</w:t>
      </w:r>
    </w:p>
    <w:p>
      <w:pPr>
        <w:spacing w:line="285" w:lineRule="exact" w:before="0"/>
        <w:ind w:left="212" w:right="0" w:firstLine="0"/>
        <w:jc w:val="left"/>
        <w:rPr>
          <w:sz w:val="18"/>
        </w:rPr>
      </w:pPr>
      <w:r>
        <w:rPr>
          <w:rFonts w:ascii="Calibri" w:eastAsia="Calibri"/>
          <w:b/>
          <w:spacing w:val="-2"/>
          <w:position w:val="5"/>
          <w:sz w:val="12"/>
        </w:rPr>
        <w:t>26</w:t>
      </w:r>
      <w:r>
        <w:rPr>
          <w:rFonts w:ascii="微软雅黑" w:eastAsia="微软雅黑"/>
          <w:b/>
          <w:spacing w:val="-2"/>
          <w:sz w:val="18"/>
        </w:rPr>
        <w:t>语言能力完全丧失，或严重咀嚼吞咽功能障碍：</w:t>
      </w:r>
      <w:r>
        <w:rPr>
          <w:spacing w:val="-2"/>
          <w:sz w:val="18"/>
        </w:rPr>
        <w:t>语言能力完全丧失，指无法发出四种语音（</w:t>
      </w:r>
      <w:r>
        <w:rPr>
          <w:spacing w:val="-3"/>
          <w:sz w:val="18"/>
        </w:rPr>
        <w:t>包括口唇音、齿舌音、口盖音</w:t>
      </w:r>
    </w:p>
    <w:p>
      <w:pPr>
        <w:spacing w:line="211" w:lineRule="exact" w:before="0"/>
        <w:ind w:left="212" w:right="0" w:firstLine="0"/>
        <w:jc w:val="left"/>
        <w:rPr>
          <w:sz w:val="18"/>
        </w:rPr>
      </w:pPr>
      <w:r>
        <w:rPr>
          <w:spacing w:val="-2"/>
          <w:sz w:val="18"/>
        </w:rPr>
        <w:t>和喉头音）</w:t>
      </w:r>
      <w:r>
        <w:rPr>
          <w:spacing w:val="-3"/>
          <w:sz w:val="18"/>
        </w:rPr>
        <w:t>中的任何三种、或声带全部切除，或因大脑语言中枢受伤害而患失语症。严重咀嚼吞咽功能障碍，指因牙齿以外</w:t>
      </w:r>
    </w:p>
    <w:p>
      <w:pPr>
        <w:spacing w:line="203" w:lineRule="exact" w:before="2"/>
        <w:ind w:left="212" w:right="0" w:firstLine="0"/>
        <w:jc w:val="left"/>
        <w:rPr>
          <w:sz w:val="18"/>
        </w:rPr>
      </w:pPr>
      <w:r>
        <w:rPr>
          <w:spacing w:val="-1"/>
          <w:sz w:val="18"/>
        </w:rPr>
        <w:t>的原因导致器质障碍或机能障碍，以致不能作咀嚼吞咽运动，除流质食物外不能摄取或吞咽的状态。</w:t>
      </w:r>
    </w:p>
    <w:p>
      <w:pPr>
        <w:spacing w:line="283" w:lineRule="exact" w:before="0"/>
        <w:ind w:left="212" w:right="0" w:firstLine="0"/>
        <w:jc w:val="left"/>
        <w:rPr>
          <w:sz w:val="18"/>
        </w:rPr>
      </w:pPr>
      <w:r>
        <w:rPr>
          <w:rFonts w:ascii="Calibri" w:eastAsia="Calibri"/>
          <w:b/>
          <w:spacing w:val="-2"/>
          <w:position w:val="5"/>
          <w:sz w:val="12"/>
        </w:rPr>
        <w:t>27</w:t>
      </w:r>
      <w:r>
        <w:rPr>
          <w:rFonts w:ascii="微软雅黑" w:eastAsia="微软雅黑"/>
          <w:b/>
          <w:spacing w:val="-2"/>
          <w:sz w:val="18"/>
        </w:rPr>
        <w:t>六项基本日常生活活动：</w:t>
      </w:r>
      <w:r>
        <w:rPr>
          <w:spacing w:val="-2"/>
          <w:sz w:val="18"/>
        </w:rPr>
        <w:t>六项基本日常生活活动是指：(1)穿衣：自己能够穿衣及脱衣；(2</w:t>
      </w:r>
      <w:r>
        <w:rPr>
          <w:spacing w:val="-3"/>
          <w:sz w:val="18"/>
        </w:rPr>
        <w:t>)移动：自己从一个房间到另一</w:t>
      </w:r>
    </w:p>
    <w:p>
      <w:pPr>
        <w:spacing w:line="210" w:lineRule="exact" w:before="0"/>
        <w:ind w:left="212" w:right="0" w:firstLine="0"/>
        <w:jc w:val="left"/>
        <w:rPr>
          <w:sz w:val="18"/>
        </w:rPr>
      </w:pPr>
      <w:r>
        <w:rPr>
          <w:sz w:val="18"/>
        </w:rPr>
        <w:t>个房间；(3)行动：自己上下床或上下轮椅；(4)如厕：自己控制进行大小便；(5)</w:t>
      </w:r>
      <w:r>
        <w:rPr>
          <w:spacing w:val="-1"/>
          <w:sz w:val="18"/>
        </w:rPr>
        <w:t>进食：自己从已准备好的碗或碟中取食物</w:t>
      </w:r>
    </w:p>
    <w:p>
      <w:pPr>
        <w:spacing w:before="5"/>
        <w:ind w:left="212" w:right="0" w:firstLine="0"/>
        <w:jc w:val="left"/>
        <w:rPr>
          <w:sz w:val="18"/>
        </w:rPr>
      </w:pPr>
      <w:r>
        <w:rPr>
          <w:spacing w:val="-2"/>
          <w:sz w:val="18"/>
        </w:rPr>
        <w:t>放入口中；(6)洗澡：自己进行淋浴或盆浴。</w:t>
      </w:r>
      <w:r>
        <w:rPr>
          <w:color w:val="000000"/>
          <w:spacing w:val="-2"/>
          <w:sz w:val="18"/>
          <w:shd w:fill="A6A6A6" w:color="auto" w:val="clear"/>
        </w:rPr>
        <w:t>六项基本日常生活活动能力的鉴定不适用于 0-3</w:t>
      </w:r>
      <w:r>
        <w:rPr>
          <w:color w:val="000000"/>
          <w:spacing w:val="-4"/>
          <w:sz w:val="18"/>
          <w:shd w:fill="A6A6A6" w:color="auto" w:val="clear"/>
        </w:rPr>
        <w:t> 周岁幼儿。</w:t>
      </w:r>
    </w:p>
    <w:p>
      <w:pPr>
        <w:spacing w:after="0"/>
        <w:jc w:val="left"/>
        <w:rPr>
          <w:sz w:val="18"/>
        </w:rPr>
        <w:sectPr>
          <w:pgSz w:w="11910" w:h="16840"/>
          <w:pgMar w:top="146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6926"/>
      </w:tblGrid>
      <w:tr>
        <w:trPr>
          <w:trHeight w:val="1236"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line="232" w:lineRule="exact"/>
              <w:ind w:left="127"/>
              <w:rPr>
                <w:sz w:val="21"/>
              </w:rPr>
            </w:pPr>
            <w:r>
              <w:rPr>
                <w:spacing w:val="-4"/>
                <w:sz w:val="21"/>
              </w:rPr>
              <w:t>瘫痪、癫痫等，须由头颅断层扫描</w:t>
            </w:r>
            <w:r>
              <w:rPr>
                <w:spacing w:val="22"/>
                <w:sz w:val="21"/>
              </w:rPr>
              <w:t>（C</w:t>
            </w:r>
            <w:r>
              <w:rPr>
                <w:spacing w:val="19"/>
                <w:sz w:val="21"/>
              </w:rPr>
              <w:t>T</w:t>
            </w:r>
            <w:r>
              <w:rPr>
                <w:spacing w:val="-82"/>
                <w:sz w:val="21"/>
              </w:rPr>
              <w:t>）</w:t>
            </w:r>
            <w:r>
              <w:rPr>
                <w:spacing w:val="-4"/>
                <w:sz w:val="21"/>
              </w:rPr>
              <w:t>、核磁共振检查（MRI）</w:t>
            </w:r>
            <w:r>
              <w:rPr>
                <w:spacing w:val="-6"/>
                <w:sz w:val="21"/>
              </w:rPr>
              <w:t>或正电子</w:t>
            </w:r>
          </w:p>
          <w:p>
            <w:pPr>
              <w:pStyle w:val="TableParagraph"/>
              <w:spacing w:line="278" w:lineRule="auto" w:before="43"/>
              <w:ind w:left="127"/>
              <w:rPr>
                <w:sz w:val="21"/>
              </w:rPr>
            </w:pPr>
            <w:r>
              <w:rPr>
                <w:spacing w:val="-2"/>
                <w:sz w:val="21"/>
              </w:rPr>
              <w:t>发射断层扫描（PET）等影像学检查证实，且须满足下列至少一项条件： (1)已经实施了开颅进行的颅内肿瘤完全或部分切除手术；</w:t>
            </w:r>
          </w:p>
          <w:p>
            <w:pPr>
              <w:pStyle w:val="TableParagraph"/>
              <w:spacing w:line="269" w:lineRule="exact"/>
              <w:ind w:left="129"/>
              <w:rPr>
                <w:sz w:val="21"/>
              </w:rPr>
            </w:pPr>
            <w:r>
              <w:rPr>
                <w:spacing w:val="-2"/>
                <w:sz w:val="21"/>
              </w:rPr>
              <w:t>(2)已经实施了针对颅内肿瘤的放射治疗，如γ</w:t>
            </w:r>
            <w:r>
              <w:rPr>
                <w:spacing w:val="-3"/>
                <w:sz w:val="21"/>
              </w:rPr>
              <w:t>刀、质子重离子治疗等。</w:t>
            </w:r>
          </w:p>
        </w:tc>
      </w:tr>
      <w:tr>
        <w:trPr>
          <w:trHeight w:val="1669"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line="278" w:lineRule="auto" w:before="51"/>
              <w:ind w:left="127" w:right="4014"/>
              <w:rPr>
                <w:sz w:val="21"/>
              </w:rPr>
            </w:pPr>
            <w:r>
              <w:rPr>
                <w:color w:val="000000"/>
                <w:spacing w:val="-2"/>
                <w:sz w:val="21"/>
                <w:shd w:fill="A6A6A6" w:color="auto" w:val="clear"/>
              </w:rPr>
              <w:t>下列疾病不在保障范围内：</w:t>
            </w:r>
            <w:r>
              <w:rPr>
                <w:color w:val="000000"/>
                <w:spacing w:val="-2"/>
                <w:sz w:val="21"/>
              </w:rPr>
              <w:t> </w:t>
            </w:r>
            <w:r>
              <w:rPr>
                <w:color w:val="000000"/>
                <w:spacing w:val="-2"/>
                <w:sz w:val="21"/>
                <w:shd w:fill="A6A6A6" w:color="auto" w:val="clear"/>
              </w:rPr>
              <w:t>(1)脑垂体瘤；</w:t>
            </w:r>
          </w:p>
          <w:p>
            <w:pPr>
              <w:pStyle w:val="TableParagraph"/>
              <w:numPr>
                <w:ilvl w:val="0"/>
                <w:numId w:val="25"/>
              </w:numPr>
              <w:tabs>
                <w:tab w:pos="445" w:val="left" w:leader="none"/>
              </w:tabs>
              <w:spacing w:line="269" w:lineRule="exact" w:before="0" w:after="0"/>
              <w:ind w:left="445" w:right="0" w:hanging="318"/>
              <w:jc w:val="left"/>
              <w:rPr>
                <w:sz w:val="21"/>
              </w:rPr>
            </w:pPr>
            <w:r>
              <w:rPr>
                <w:color w:val="000000"/>
                <w:spacing w:val="-4"/>
                <w:sz w:val="21"/>
                <w:shd w:fill="A6A6A6" w:color="auto" w:val="clear"/>
              </w:rPr>
              <w:t>脑囊肿；</w:t>
            </w:r>
          </w:p>
          <w:p>
            <w:pPr>
              <w:pStyle w:val="TableParagraph"/>
              <w:numPr>
                <w:ilvl w:val="0"/>
                <w:numId w:val="25"/>
              </w:numPr>
              <w:tabs>
                <w:tab w:pos="445" w:val="left" w:leader="none"/>
              </w:tabs>
              <w:spacing w:line="278" w:lineRule="auto" w:before="43" w:after="0"/>
              <w:ind w:left="127" w:right="46" w:firstLine="0"/>
              <w:jc w:val="left"/>
              <w:rPr>
                <w:sz w:val="21"/>
              </w:rPr>
            </w:pPr>
            <w:r>
              <w:rPr>
                <w:color w:val="000000"/>
                <w:spacing w:val="-4"/>
                <w:sz w:val="21"/>
                <w:shd w:fill="A6A6A6" w:color="auto" w:val="clear"/>
              </w:rPr>
              <w:t>颅内血管性疾病（如脑动脉瘤、脑动静脉畸形、海绵状血管瘤、毛细血</w:t>
            </w:r>
            <w:r>
              <w:rPr>
                <w:color w:val="000000"/>
                <w:spacing w:val="-2"/>
                <w:sz w:val="21"/>
                <w:shd w:fill="A6A6A6" w:color="auto" w:val="clear"/>
              </w:rPr>
              <w:t>管扩张症等</w:t>
            </w:r>
            <w:r>
              <w:rPr>
                <w:color w:val="000000"/>
                <w:spacing w:val="-106"/>
                <w:sz w:val="21"/>
                <w:shd w:fill="A6A6A6" w:color="auto" w:val="clear"/>
              </w:rPr>
              <w:t>）</w:t>
            </w:r>
            <w:r>
              <w:rPr>
                <w:color w:val="000000"/>
                <w:spacing w:val="-2"/>
                <w:sz w:val="21"/>
                <w:shd w:fill="A6A6A6" w:color="auto" w:val="clear"/>
              </w:rPr>
              <w:t>。</w:t>
            </w:r>
          </w:p>
        </w:tc>
      </w:tr>
      <w:tr>
        <w:trPr>
          <w:trHeight w:val="1670" w:hRule="atLeast"/>
        </w:trPr>
        <w:tc>
          <w:tcPr>
            <w:tcW w:w="1005" w:type="dxa"/>
          </w:tcPr>
          <w:p>
            <w:pPr>
              <w:pStyle w:val="TableParagraph"/>
              <w:spacing w:before="17"/>
              <w:ind w:left="50"/>
              <w:rPr>
                <w:rFonts w:ascii="微软雅黑"/>
                <w:b/>
                <w:sz w:val="21"/>
              </w:rPr>
            </w:pPr>
            <w:r>
              <w:rPr>
                <w:rFonts w:ascii="微软雅黑"/>
                <w:b/>
                <w:spacing w:val="-2"/>
                <w:sz w:val="21"/>
              </w:rPr>
              <w:t>10.1.10</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严重慢性肝衰竭</w:t>
            </w:r>
          </w:p>
        </w:tc>
        <w:tc>
          <w:tcPr>
            <w:tcW w:w="6926" w:type="dxa"/>
          </w:tcPr>
          <w:p>
            <w:pPr>
              <w:pStyle w:val="TableParagraph"/>
              <w:spacing w:line="278" w:lineRule="auto" w:before="84"/>
              <w:ind w:left="127" w:right="1102"/>
              <w:rPr>
                <w:sz w:val="21"/>
              </w:rPr>
            </w:pPr>
            <w:r>
              <w:rPr>
                <w:spacing w:val="-2"/>
                <w:sz w:val="21"/>
              </w:rPr>
              <w:t>指因慢性肝脏疾病导致的肝衰竭，且须满足下列全部条件： (1)持续性黄疸；</w:t>
            </w:r>
          </w:p>
          <w:p>
            <w:pPr>
              <w:pStyle w:val="TableParagraph"/>
              <w:spacing w:line="278" w:lineRule="auto"/>
              <w:ind w:left="127" w:right="5428"/>
              <w:rPr>
                <w:sz w:val="21"/>
              </w:rPr>
            </w:pPr>
            <w:r>
              <w:rPr>
                <w:spacing w:val="-2"/>
                <w:sz w:val="21"/>
              </w:rPr>
              <w:t>(2)腹水；</w:t>
            </w:r>
            <w:r>
              <w:rPr>
                <w:spacing w:val="80"/>
                <w:sz w:val="21"/>
              </w:rPr>
              <w:t> </w:t>
            </w:r>
            <w:r>
              <w:rPr>
                <w:spacing w:val="-2"/>
                <w:sz w:val="21"/>
              </w:rPr>
              <w:t>(3)肝性脑病；</w:t>
            </w:r>
          </w:p>
          <w:p>
            <w:pPr>
              <w:pStyle w:val="TableParagraph"/>
              <w:ind w:left="129"/>
              <w:rPr>
                <w:sz w:val="21"/>
              </w:rPr>
            </w:pPr>
            <w:r>
              <w:rPr>
                <w:spacing w:val="-2"/>
                <w:sz w:val="21"/>
              </w:rPr>
              <w:t>(4)</w:t>
            </w:r>
            <w:r>
              <w:rPr>
                <w:spacing w:val="-3"/>
                <w:sz w:val="21"/>
              </w:rPr>
              <w:t>充血性脾肿大伴脾功能亢进或食管胃底静脉曲张。</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52"/>
              <w:ind w:left="127"/>
              <w:rPr>
                <w:sz w:val="21"/>
              </w:rPr>
            </w:pPr>
            <w:r>
              <w:rPr>
                <w:color w:val="000000"/>
                <w:spacing w:val="-3"/>
                <w:sz w:val="21"/>
                <w:shd w:fill="A6A6A6" w:color="auto" w:val="clear"/>
              </w:rPr>
              <w:t>因酗酒或药物滥用导致的肝衰竭不在保障范围内。</w:t>
            </w:r>
          </w:p>
        </w:tc>
      </w:tr>
      <w:tr>
        <w:trPr>
          <w:trHeight w:val="2950" w:hRule="atLeast"/>
        </w:trPr>
        <w:tc>
          <w:tcPr>
            <w:tcW w:w="1005" w:type="dxa"/>
          </w:tcPr>
          <w:p>
            <w:pPr>
              <w:pStyle w:val="TableParagraph"/>
              <w:spacing w:before="17"/>
              <w:ind w:left="50"/>
              <w:rPr>
                <w:rFonts w:ascii="微软雅黑"/>
                <w:b/>
                <w:sz w:val="21"/>
              </w:rPr>
            </w:pPr>
            <w:r>
              <w:rPr>
                <w:rFonts w:ascii="微软雅黑"/>
                <w:b/>
                <w:spacing w:val="-2"/>
                <w:sz w:val="21"/>
              </w:rPr>
              <w:t>10.1.11</w:t>
            </w:r>
          </w:p>
        </w:tc>
        <w:tc>
          <w:tcPr>
            <w:tcW w:w="1818" w:type="dxa"/>
          </w:tcPr>
          <w:p>
            <w:pPr>
              <w:pStyle w:val="TableParagraph"/>
              <w:spacing w:line="194" w:lineRule="auto" w:before="69"/>
              <w:ind w:left="214" w:right="123"/>
              <w:jc w:val="both"/>
              <w:rPr>
                <w:rFonts w:ascii="微软雅黑" w:eastAsia="微软雅黑"/>
                <w:b/>
                <w:sz w:val="21"/>
              </w:rPr>
            </w:pPr>
            <w:r>
              <w:rPr>
                <w:rFonts w:ascii="微软雅黑" w:eastAsia="微软雅黑"/>
                <w:b/>
                <w:spacing w:val="-2"/>
                <w:sz w:val="21"/>
              </w:rPr>
              <w:t>严重脑炎后遗症</w:t>
            </w:r>
            <w:r>
              <w:rPr>
                <w:rFonts w:ascii="微软雅黑" w:eastAsia="微软雅黑"/>
                <w:b/>
                <w:spacing w:val="-2"/>
                <w:sz w:val="21"/>
              </w:rPr>
              <w:t>或严重脑膜炎后</w:t>
            </w:r>
            <w:r>
              <w:rPr>
                <w:rFonts w:ascii="微软雅黑" w:eastAsia="微软雅黑"/>
                <w:b/>
                <w:spacing w:val="-6"/>
                <w:sz w:val="21"/>
              </w:rPr>
              <w:t>遗症</w:t>
            </w:r>
          </w:p>
        </w:tc>
        <w:tc>
          <w:tcPr>
            <w:tcW w:w="6926" w:type="dxa"/>
          </w:tcPr>
          <w:p>
            <w:pPr>
              <w:pStyle w:val="TableParagraph"/>
              <w:spacing w:line="278" w:lineRule="auto" w:before="84"/>
              <w:ind w:left="127" w:right="47"/>
              <w:jc w:val="both"/>
              <w:rPr>
                <w:sz w:val="21"/>
              </w:rPr>
            </w:pPr>
            <w:r>
              <w:rPr>
                <w:spacing w:val="-2"/>
                <w:sz w:val="21"/>
              </w:rPr>
              <w:t>指因患脑炎或脑膜炎导致的神经系统永久性的功能障碍。神经系统永久性</w:t>
            </w:r>
            <w:r>
              <w:rPr>
                <w:spacing w:val="-4"/>
                <w:sz w:val="21"/>
              </w:rPr>
              <w:t>的功能障碍，指经相关专科医生确诊疾病 </w:t>
            </w:r>
            <w:r>
              <w:rPr>
                <w:spacing w:val="-2"/>
                <w:sz w:val="21"/>
              </w:rPr>
              <w:t>180</w:t>
            </w:r>
            <w:r>
              <w:rPr>
                <w:spacing w:val="-7"/>
                <w:sz w:val="21"/>
              </w:rPr>
              <w:t> 天后，仍遗留下列至少一种</w:t>
            </w:r>
            <w:r>
              <w:rPr>
                <w:spacing w:val="-4"/>
                <w:sz w:val="21"/>
              </w:rPr>
              <w:t>障碍：</w:t>
            </w:r>
          </w:p>
          <w:p>
            <w:pPr>
              <w:pStyle w:val="TableParagraph"/>
              <w:spacing w:line="278" w:lineRule="auto"/>
              <w:ind w:left="127" w:right="2068"/>
              <w:rPr>
                <w:sz w:val="21"/>
              </w:rPr>
            </w:pPr>
            <w:r>
              <w:rPr>
                <w:sz w:val="21"/>
              </w:rPr>
              <w:t>(1)一肢（含）</w:t>
            </w:r>
            <w:r>
              <w:rPr>
                <w:spacing w:val="-4"/>
                <w:sz w:val="21"/>
              </w:rPr>
              <w:t>以上肢体肌力 </w:t>
            </w:r>
            <w:r>
              <w:rPr>
                <w:sz w:val="21"/>
              </w:rPr>
              <w:t>2</w:t>
            </w:r>
            <w:r>
              <w:rPr>
                <w:spacing w:val="-11"/>
                <w:sz w:val="21"/>
              </w:rPr>
              <w:t> 级</w:t>
            </w:r>
            <w:r>
              <w:rPr>
                <w:sz w:val="21"/>
              </w:rPr>
              <w:t>（含）以下；</w:t>
            </w:r>
            <w:r>
              <w:rPr>
                <w:sz w:val="21"/>
              </w:rPr>
              <w:t> </w:t>
            </w:r>
            <w:r>
              <w:rPr>
                <w:spacing w:val="-2"/>
                <w:sz w:val="21"/>
              </w:rPr>
              <w:t>(2)语言能力完全丧失，或严重咀嚼吞咽功能障碍；</w:t>
            </w:r>
          </w:p>
          <w:p>
            <w:pPr>
              <w:pStyle w:val="TableParagraph"/>
              <w:numPr>
                <w:ilvl w:val="0"/>
                <w:numId w:val="26"/>
              </w:numPr>
              <w:tabs>
                <w:tab w:pos="452" w:val="left" w:leader="none"/>
              </w:tabs>
              <w:spacing w:line="278" w:lineRule="auto" w:before="0" w:after="0"/>
              <w:ind w:left="127" w:right="49" w:firstLine="0"/>
              <w:jc w:val="left"/>
              <w:rPr>
                <w:sz w:val="21"/>
              </w:rPr>
            </w:pPr>
            <w:r>
              <w:rPr>
                <w:spacing w:val="-2"/>
                <w:sz w:val="21"/>
              </w:rPr>
              <w:t>由具有评估资格的专科医生根据临床痴呆评定量表（CDR，Clinical</w:t>
            </w:r>
            <w:r>
              <w:rPr>
                <w:spacing w:val="40"/>
                <w:sz w:val="21"/>
              </w:rPr>
              <w:t> </w:t>
            </w:r>
            <w:r>
              <w:rPr>
                <w:sz w:val="21"/>
              </w:rPr>
              <w:t>Dementia Rating）</w:t>
            </w:r>
            <w:r>
              <w:rPr>
                <w:spacing w:val="-3"/>
                <w:sz w:val="21"/>
              </w:rPr>
              <w:t>评估结果为 </w:t>
            </w:r>
            <w:r>
              <w:rPr>
                <w:sz w:val="21"/>
              </w:rPr>
              <w:t>3</w:t>
            </w:r>
            <w:r>
              <w:rPr>
                <w:spacing w:val="-6"/>
                <w:sz w:val="21"/>
              </w:rPr>
              <w:t> 分；</w:t>
            </w:r>
          </w:p>
          <w:p>
            <w:pPr>
              <w:pStyle w:val="TableParagraph"/>
              <w:numPr>
                <w:ilvl w:val="0"/>
                <w:numId w:val="26"/>
              </w:numPr>
              <w:tabs>
                <w:tab w:pos="445" w:val="left" w:leader="none"/>
              </w:tabs>
              <w:spacing w:line="278" w:lineRule="auto" w:before="0" w:after="0"/>
              <w:ind w:left="127" w:right="49" w:firstLine="0"/>
              <w:jc w:val="left"/>
              <w:rPr>
                <w:sz w:val="21"/>
              </w:rPr>
            </w:pPr>
            <w:r>
              <w:rPr>
                <w:spacing w:val="-10"/>
                <w:sz w:val="21"/>
              </w:rPr>
              <w:t>自主生活能力完全丧失，无法独立完成六项基本日常生活活动中的三项</w:t>
            </w:r>
            <w:r>
              <w:rPr>
                <w:spacing w:val="-2"/>
                <w:sz w:val="21"/>
              </w:rPr>
              <w:t>或三项以上。</w:t>
            </w:r>
          </w:p>
        </w:tc>
      </w:tr>
      <w:tr>
        <w:trPr>
          <w:trHeight w:val="1046" w:hRule="atLeast"/>
        </w:trPr>
        <w:tc>
          <w:tcPr>
            <w:tcW w:w="1005" w:type="dxa"/>
          </w:tcPr>
          <w:p>
            <w:pPr>
              <w:pStyle w:val="TableParagraph"/>
              <w:spacing w:before="17"/>
              <w:ind w:left="50"/>
              <w:rPr>
                <w:rFonts w:ascii="微软雅黑"/>
                <w:b/>
                <w:sz w:val="21"/>
              </w:rPr>
            </w:pPr>
            <w:r>
              <w:rPr>
                <w:rFonts w:ascii="微软雅黑"/>
                <w:b/>
                <w:spacing w:val="-2"/>
                <w:sz w:val="21"/>
              </w:rPr>
              <w:t>10.1.12</w:t>
            </w:r>
          </w:p>
        </w:tc>
        <w:tc>
          <w:tcPr>
            <w:tcW w:w="1818" w:type="dxa"/>
          </w:tcPr>
          <w:p>
            <w:pPr>
              <w:pStyle w:val="TableParagraph"/>
              <w:spacing w:before="17"/>
              <w:ind w:left="214"/>
              <w:rPr>
                <w:rFonts w:ascii="微软雅黑" w:eastAsia="微软雅黑"/>
                <w:b/>
                <w:sz w:val="21"/>
              </w:rPr>
            </w:pPr>
            <w:r>
              <w:rPr>
                <w:rFonts w:ascii="微软雅黑" w:eastAsia="微软雅黑"/>
                <w:b/>
                <w:spacing w:val="-3"/>
                <w:sz w:val="21"/>
              </w:rPr>
              <w:t>深度昏迷</w:t>
            </w:r>
          </w:p>
        </w:tc>
        <w:tc>
          <w:tcPr>
            <w:tcW w:w="6926" w:type="dxa"/>
          </w:tcPr>
          <w:p>
            <w:pPr>
              <w:pStyle w:val="TableParagraph"/>
              <w:spacing w:line="278" w:lineRule="auto" w:before="84"/>
              <w:ind w:left="127" w:right="47" w:firstLine="2"/>
              <w:jc w:val="both"/>
              <w:rPr>
                <w:sz w:val="21"/>
              </w:rPr>
            </w:pPr>
            <w:r>
              <w:rPr>
                <w:spacing w:val="-2"/>
                <w:sz w:val="21"/>
              </w:rPr>
              <w:t>指因疾病或意外伤害导致意识丧失，对外界刺激和体内需求均无反应，昏</w:t>
            </w:r>
            <w:r>
              <w:rPr>
                <w:w w:val="95"/>
                <w:sz w:val="21"/>
              </w:rPr>
              <w:t>迷</w:t>
            </w:r>
            <w:r>
              <w:rPr>
                <w:w w:val="95"/>
                <w:sz w:val="21"/>
              </w:rPr>
              <w:t>程</w:t>
            </w:r>
            <w:r>
              <w:rPr>
                <w:w w:val="95"/>
                <w:sz w:val="21"/>
              </w:rPr>
              <w:t>度按照格拉斯哥昏迷</w:t>
            </w:r>
            <w:r>
              <w:rPr>
                <w:w w:val="95"/>
                <w:sz w:val="21"/>
              </w:rPr>
              <w:t>分</w:t>
            </w:r>
            <w:r>
              <w:rPr>
                <w:w w:val="95"/>
                <w:sz w:val="21"/>
              </w:rPr>
              <w:t>级</w:t>
            </w:r>
            <w:r>
              <w:rPr>
                <w:w w:val="95"/>
                <w:sz w:val="21"/>
              </w:rPr>
              <w:t>（GCS，Glasgow Coma Scale）结</w:t>
            </w:r>
            <w:r>
              <w:rPr>
                <w:w w:val="95"/>
                <w:sz w:val="21"/>
              </w:rPr>
              <w:t>果</w:t>
            </w:r>
            <w:r>
              <w:rPr>
                <w:w w:val="95"/>
                <w:sz w:val="21"/>
              </w:rPr>
              <w:t>为</w:t>
            </w:r>
            <w:r>
              <w:rPr>
                <w:w w:val="95"/>
                <w:sz w:val="21"/>
              </w:rPr>
              <w:t> 5 </w:t>
            </w:r>
            <w:r>
              <w:rPr>
                <w:w w:val="95"/>
                <w:sz w:val="21"/>
              </w:rPr>
              <w:t>分</w:t>
            </w:r>
            <w:r>
              <w:rPr>
                <w:w w:val="95"/>
                <w:sz w:val="21"/>
              </w:rPr>
              <w:t>或</w:t>
            </w:r>
            <w:r>
              <w:rPr>
                <w:sz w:val="21"/>
              </w:rPr>
              <w:t> 5</w:t>
            </w:r>
            <w:r>
              <w:rPr>
                <w:spacing w:val="-5"/>
                <w:sz w:val="21"/>
              </w:rPr>
              <w:t> 分以下，且已经持续使用呼吸机及其他生命维持系统 </w:t>
            </w:r>
            <w:r>
              <w:rPr>
                <w:sz w:val="21"/>
              </w:rPr>
              <w:t>96</w:t>
            </w:r>
            <w:r>
              <w:rPr>
                <w:spacing w:val="-4"/>
                <w:sz w:val="21"/>
              </w:rPr>
              <w:t> 小时以上。</w:t>
            </w:r>
          </w:p>
        </w:tc>
      </w:tr>
      <w:tr>
        <w:trPr>
          <w:trHeight w:val="41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53"/>
              <w:ind w:left="127"/>
              <w:rPr>
                <w:sz w:val="21"/>
              </w:rPr>
            </w:pPr>
            <w:r>
              <w:rPr>
                <w:color w:val="000000"/>
                <w:spacing w:val="-3"/>
                <w:sz w:val="21"/>
                <w:shd w:fill="A6A6A6" w:color="auto" w:val="clear"/>
              </w:rPr>
              <w:t>因酗酒或药物滥用导致的深度昏迷不在保障范围内。</w:t>
            </w:r>
          </w:p>
        </w:tc>
      </w:tr>
      <w:tr>
        <w:trPr>
          <w:trHeight w:val="1057" w:hRule="atLeast"/>
        </w:trPr>
        <w:tc>
          <w:tcPr>
            <w:tcW w:w="1005" w:type="dxa"/>
          </w:tcPr>
          <w:p>
            <w:pPr>
              <w:pStyle w:val="TableParagraph"/>
              <w:spacing w:before="28"/>
              <w:ind w:left="50"/>
              <w:rPr>
                <w:rFonts w:ascii="微软雅黑"/>
                <w:b/>
                <w:sz w:val="21"/>
              </w:rPr>
            </w:pPr>
            <w:r>
              <w:rPr>
                <w:rFonts w:ascii="微软雅黑"/>
                <w:b/>
                <w:spacing w:val="-2"/>
                <w:sz w:val="21"/>
              </w:rPr>
              <w:t>10.1.13</w:t>
            </w:r>
          </w:p>
        </w:tc>
        <w:tc>
          <w:tcPr>
            <w:tcW w:w="1818" w:type="dxa"/>
          </w:tcPr>
          <w:p>
            <w:pPr>
              <w:pStyle w:val="TableParagraph"/>
              <w:spacing w:before="28"/>
              <w:ind w:left="214"/>
              <w:rPr>
                <w:rFonts w:ascii="微软雅黑" w:eastAsia="微软雅黑"/>
                <w:b/>
                <w:sz w:val="21"/>
              </w:rPr>
            </w:pPr>
            <w:r>
              <w:rPr>
                <w:rFonts w:ascii="微软雅黑" w:eastAsia="微软雅黑"/>
                <w:b/>
                <w:spacing w:val="-3"/>
                <w:sz w:val="21"/>
              </w:rPr>
              <w:t>双耳失聪</w:t>
            </w:r>
          </w:p>
        </w:tc>
        <w:tc>
          <w:tcPr>
            <w:tcW w:w="6926" w:type="dxa"/>
          </w:tcPr>
          <w:p>
            <w:pPr>
              <w:pStyle w:val="TableParagraph"/>
              <w:spacing w:line="383" w:lineRule="exact" w:before="28"/>
              <w:ind w:left="129"/>
              <w:rPr>
                <w:sz w:val="21"/>
              </w:rPr>
            </w:pPr>
            <w:r>
              <w:rPr>
                <w:w w:val="95"/>
                <w:sz w:val="21"/>
              </w:rPr>
              <w:t>指</w:t>
            </w:r>
            <w:r>
              <w:rPr>
                <w:w w:val="95"/>
                <w:sz w:val="21"/>
              </w:rPr>
              <w:t>因</w:t>
            </w:r>
            <w:r>
              <w:rPr>
                <w:w w:val="95"/>
                <w:sz w:val="21"/>
              </w:rPr>
              <w:t>疾病或意外伤害导致</w:t>
            </w:r>
            <w:r>
              <w:rPr>
                <w:w w:val="95"/>
                <w:sz w:val="21"/>
              </w:rPr>
              <w:t>双</w:t>
            </w:r>
            <w:r>
              <w:rPr>
                <w:w w:val="95"/>
                <w:sz w:val="21"/>
              </w:rPr>
              <w:t>耳</w:t>
            </w:r>
            <w:r>
              <w:rPr>
                <w:w w:val="95"/>
                <w:sz w:val="21"/>
              </w:rPr>
              <w:t>听</w:t>
            </w:r>
            <w:r>
              <w:rPr>
                <w:w w:val="95"/>
                <w:sz w:val="21"/>
              </w:rPr>
              <w:t>力</w:t>
            </w:r>
            <w:r>
              <w:rPr>
                <w:rFonts w:ascii="微软雅黑" w:eastAsia="微软雅黑"/>
                <w:b/>
                <w:w w:val="95"/>
                <w:sz w:val="21"/>
              </w:rPr>
              <w:t>永</w:t>
            </w:r>
            <w:r>
              <w:rPr>
                <w:rFonts w:ascii="微软雅黑" w:eastAsia="微软雅黑"/>
                <w:b/>
                <w:w w:val="95"/>
                <w:sz w:val="21"/>
              </w:rPr>
              <w:t>久</w:t>
            </w:r>
            <w:r>
              <w:rPr>
                <w:rFonts w:ascii="微软雅黑" w:eastAsia="微软雅黑"/>
                <w:b/>
                <w:w w:val="95"/>
                <w:sz w:val="21"/>
              </w:rPr>
              <w:t>不</w:t>
            </w:r>
            <w:r>
              <w:rPr>
                <w:rFonts w:ascii="微软雅黑" w:eastAsia="微软雅黑"/>
                <w:b/>
                <w:w w:val="95"/>
                <w:sz w:val="21"/>
              </w:rPr>
              <w:t>可</w:t>
            </w:r>
            <w:r>
              <w:rPr>
                <w:rFonts w:ascii="微软雅黑" w:eastAsia="微软雅黑"/>
                <w:b/>
                <w:w w:val="95"/>
                <w:sz w:val="21"/>
              </w:rPr>
              <w:t>逆</w:t>
            </w:r>
            <w:r>
              <w:rPr>
                <w:rFonts w:ascii="微软雅黑" w:eastAsia="微软雅黑"/>
                <w:b/>
                <w:w w:val="95"/>
                <w:position w:val="11"/>
                <w:sz w:val="11"/>
              </w:rPr>
              <w:t>28</w:t>
            </w:r>
            <w:r>
              <w:rPr>
                <w:w w:val="95"/>
                <w:sz w:val="21"/>
              </w:rPr>
              <w:t>性丧失，在</w:t>
            </w:r>
            <w:r>
              <w:rPr>
                <w:spacing w:val="31"/>
                <w:sz w:val="21"/>
              </w:rPr>
              <w:t> </w:t>
            </w:r>
            <w:r>
              <w:rPr>
                <w:w w:val="95"/>
                <w:sz w:val="21"/>
              </w:rPr>
              <w:t>500</w:t>
            </w:r>
            <w:r>
              <w:rPr>
                <w:spacing w:val="28"/>
                <w:sz w:val="21"/>
              </w:rPr>
              <w:t> </w:t>
            </w:r>
            <w:r>
              <w:rPr>
                <w:w w:val="95"/>
                <w:sz w:val="21"/>
              </w:rPr>
              <w:t>赫</w:t>
            </w:r>
            <w:r>
              <w:rPr>
                <w:w w:val="95"/>
                <w:sz w:val="21"/>
              </w:rPr>
              <w:t>兹</w:t>
            </w:r>
            <w:r>
              <w:rPr>
                <w:w w:val="95"/>
                <w:sz w:val="21"/>
              </w:rPr>
              <w:t>、</w:t>
            </w:r>
            <w:r>
              <w:rPr>
                <w:spacing w:val="-4"/>
                <w:w w:val="95"/>
                <w:sz w:val="21"/>
              </w:rPr>
              <w:t>1000</w:t>
            </w:r>
          </w:p>
          <w:p>
            <w:pPr>
              <w:pStyle w:val="TableParagraph"/>
              <w:spacing w:line="278" w:lineRule="auto"/>
              <w:ind w:left="127" w:right="49"/>
              <w:rPr>
                <w:sz w:val="21"/>
              </w:rPr>
            </w:pPr>
            <w:r>
              <w:rPr>
                <w:spacing w:val="-12"/>
                <w:sz w:val="21"/>
              </w:rPr>
              <w:t>赫兹和 </w:t>
            </w:r>
            <w:r>
              <w:rPr>
                <w:sz w:val="21"/>
              </w:rPr>
              <w:t>2000</w:t>
            </w:r>
            <w:r>
              <w:rPr>
                <w:spacing w:val="-10"/>
                <w:sz w:val="21"/>
              </w:rPr>
              <w:t> 赫兹语音频率下，平均听阈大于等于 </w:t>
            </w:r>
            <w:r>
              <w:rPr>
                <w:sz w:val="21"/>
              </w:rPr>
              <w:t>91</w:t>
            </w:r>
            <w:r>
              <w:rPr>
                <w:spacing w:val="-8"/>
                <w:sz w:val="21"/>
              </w:rPr>
              <w:t> 分贝，且经纯音听力</w:t>
            </w:r>
            <w:r>
              <w:rPr>
                <w:spacing w:val="-2"/>
                <w:sz w:val="21"/>
              </w:rPr>
              <w:t>测试、声导抗检测或听觉诱发电位检测等证实。</w:t>
            </w:r>
          </w:p>
        </w:tc>
      </w:tr>
      <w:tr>
        <w:trPr>
          <w:trHeight w:val="734"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line="278" w:lineRule="auto" w:before="51"/>
              <w:ind w:left="127" w:right="50"/>
              <w:rPr>
                <w:sz w:val="21"/>
              </w:rPr>
            </w:pPr>
            <w:r>
              <w:rPr>
                <w:color w:val="000000"/>
                <w:spacing w:val="-2"/>
                <w:sz w:val="21"/>
                <w:shd w:fill="A6A6A6" w:color="auto" w:val="clear"/>
              </w:rPr>
              <w:t>被保险人申请理赔时年龄必须年满三周岁，并且提供理赔当时的听力丧失</w:t>
            </w:r>
            <w:r>
              <w:rPr>
                <w:color w:val="000000"/>
                <w:spacing w:val="80"/>
                <w:w w:val="150"/>
                <w:sz w:val="21"/>
                <w:shd w:fill="A6A6A6" w:color="auto" w:val="clear"/>
              </w:rPr>
              <w:t>                                     </w:t>
            </w:r>
            <w:r>
              <w:rPr>
                <w:color w:val="000000"/>
                <w:spacing w:val="-2"/>
                <w:sz w:val="21"/>
                <w:shd w:fill="A6A6A6" w:color="auto" w:val="clear"/>
              </w:rPr>
              <w:t>诊断及检查证据。</w:t>
            </w:r>
          </w:p>
        </w:tc>
      </w:tr>
      <w:tr>
        <w:trPr>
          <w:trHeight w:val="384" w:hRule="atLeast"/>
        </w:trPr>
        <w:tc>
          <w:tcPr>
            <w:tcW w:w="1005" w:type="dxa"/>
          </w:tcPr>
          <w:p>
            <w:pPr>
              <w:pStyle w:val="TableParagraph"/>
              <w:spacing w:line="346" w:lineRule="exact" w:before="18"/>
              <w:ind w:left="50"/>
              <w:rPr>
                <w:rFonts w:ascii="微软雅黑"/>
                <w:b/>
                <w:sz w:val="21"/>
              </w:rPr>
            </w:pPr>
            <w:r>
              <w:rPr>
                <w:rFonts w:ascii="微软雅黑"/>
                <w:b/>
                <w:spacing w:val="-2"/>
                <w:sz w:val="21"/>
              </w:rPr>
              <w:t>10.1.14</w:t>
            </w:r>
          </w:p>
        </w:tc>
        <w:tc>
          <w:tcPr>
            <w:tcW w:w="1818" w:type="dxa"/>
          </w:tcPr>
          <w:p>
            <w:pPr>
              <w:pStyle w:val="TableParagraph"/>
              <w:spacing w:line="346" w:lineRule="exact" w:before="18"/>
              <w:ind w:left="214"/>
              <w:rPr>
                <w:rFonts w:ascii="微软雅黑" w:eastAsia="微软雅黑"/>
                <w:b/>
                <w:sz w:val="21"/>
              </w:rPr>
            </w:pPr>
            <w:r>
              <w:rPr>
                <w:rFonts w:ascii="微软雅黑" w:eastAsia="微软雅黑"/>
                <w:b/>
                <w:spacing w:val="-3"/>
                <w:sz w:val="21"/>
              </w:rPr>
              <w:t>双目失明</w:t>
            </w:r>
          </w:p>
        </w:tc>
        <w:tc>
          <w:tcPr>
            <w:tcW w:w="6926" w:type="dxa"/>
          </w:tcPr>
          <w:p>
            <w:pPr>
              <w:pStyle w:val="TableParagraph"/>
              <w:spacing w:before="85"/>
              <w:ind w:left="127"/>
              <w:rPr>
                <w:sz w:val="21"/>
              </w:rPr>
            </w:pPr>
            <w:r>
              <w:rPr>
                <w:spacing w:val="-3"/>
                <w:sz w:val="21"/>
              </w:rPr>
              <w:t>指因疾病或意外伤害导致双眼视力永久不可逆性丧失，双眼中较好眼须满</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13"/>
              <w:ind w:left="127"/>
              <w:rPr>
                <w:sz w:val="21"/>
              </w:rPr>
            </w:pPr>
            <w:r>
              <w:rPr>
                <w:spacing w:val="-3"/>
                <w:sz w:val="21"/>
              </w:rPr>
              <w:t>足下列至少一项条件：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13"/>
              <w:ind w:left="127"/>
              <w:rPr>
                <w:sz w:val="21"/>
              </w:rPr>
            </w:pPr>
            <w:r>
              <w:rPr>
                <w:spacing w:val="-2"/>
                <w:sz w:val="21"/>
              </w:rPr>
              <w:t>(1)</w:t>
            </w:r>
            <w:r>
              <w:rPr>
                <w:spacing w:val="-4"/>
                <w:sz w:val="21"/>
              </w:rPr>
              <w:t>眼球缺失或摘除；</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13"/>
              <w:ind w:left="127"/>
              <w:rPr>
                <w:sz w:val="21"/>
              </w:rPr>
            </w:pPr>
            <w:r>
              <w:rPr>
                <w:sz w:val="21"/>
              </w:rPr>
              <w:t>(2)</w:t>
            </w:r>
            <w:r>
              <w:rPr>
                <w:spacing w:val="-3"/>
                <w:sz w:val="21"/>
              </w:rPr>
              <w:t>矫正视力低于 </w:t>
            </w:r>
            <w:r>
              <w:rPr>
                <w:sz w:val="21"/>
              </w:rPr>
              <w:t>0.02（</w:t>
            </w:r>
            <w:r>
              <w:rPr>
                <w:spacing w:val="-1"/>
                <w:sz w:val="21"/>
              </w:rPr>
              <w:t>采用国际标准视力表，如果使用其他视力表应进</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13"/>
              <w:ind w:left="127"/>
              <w:rPr>
                <w:sz w:val="21"/>
              </w:rPr>
            </w:pPr>
            <w:r>
              <w:rPr>
                <w:spacing w:val="-2"/>
                <w:sz w:val="21"/>
              </w:rPr>
              <w:t>行换算</w:t>
            </w:r>
            <w:r>
              <w:rPr>
                <w:spacing w:val="-111"/>
                <w:sz w:val="21"/>
              </w:rPr>
              <w:t>）</w:t>
            </w:r>
            <w:r>
              <w:rPr>
                <w:spacing w:val="-5"/>
                <w:sz w:val="21"/>
              </w:rPr>
              <w:t>；</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6926" w:type="dxa"/>
          </w:tcPr>
          <w:p>
            <w:pPr>
              <w:pStyle w:val="TableParagraph"/>
              <w:spacing w:line="228" w:lineRule="exact" w:before="13"/>
              <w:ind w:left="129"/>
              <w:rPr>
                <w:sz w:val="21"/>
              </w:rPr>
            </w:pPr>
            <w:r>
              <w:rPr>
                <w:spacing w:val="-2"/>
                <w:sz w:val="21"/>
              </w:rPr>
              <w:t>(3)</w:t>
            </w:r>
            <w:r>
              <w:rPr>
                <w:spacing w:val="-9"/>
                <w:sz w:val="21"/>
              </w:rPr>
              <w:t>视野半径小于 </w:t>
            </w:r>
            <w:r>
              <w:rPr>
                <w:spacing w:val="-2"/>
                <w:sz w:val="21"/>
              </w:rPr>
              <w:t>5</w:t>
            </w:r>
            <w:r>
              <w:rPr>
                <w:spacing w:val="-20"/>
                <w:sz w:val="21"/>
              </w:rPr>
              <w:t> 度。</w:t>
            </w:r>
          </w:p>
        </w:tc>
      </w:tr>
    </w:tbl>
    <w:p>
      <w:pPr>
        <w:pStyle w:val="BodyText"/>
        <w:ind w:left="0"/>
        <w:rPr>
          <w:sz w:val="20"/>
        </w:rPr>
      </w:pPr>
    </w:p>
    <w:p>
      <w:pPr>
        <w:pStyle w:val="BodyText"/>
        <w:spacing w:before="3"/>
        <w:ind w:left="0"/>
        <w:rPr>
          <w:sz w:val="18"/>
        </w:rPr>
      </w:pPr>
      <w:r>
        <w:rPr/>
        <w:drawing>
          <wp:anchor distT="0" distB="0" distL="0" distR="0" allowOverlap="1" layoutInCell="1" locked="0" behindDoc="0" simplePos="0" relativeHeight="25">
            <wp:simplePos x="0" y="0"/>
            <wp:positionH relativeFrom="page">
              <wp:posOffset>719327</wp:posOffset>
            </wp:positionH>
            <wp:positionV relativeFrom="paragraph">
              <wp:posOffset>163620</wp:posOffset>
            </wp:positionV>
            <wp:extent cx="1829358" cy="9143"/>
            <wp:effectExtent l="0" t="0" r="0" b="0"/>
            <wp:wrapTopAndBottom/>
            <wp:docPr id="45" name="image3.png"/>
            <wp:cNvGraphicFramePr>
              <a:graphicFrameLocks noChangeAspect="1"/>
            </wp:cNvGraphicFramePr>
            <a:graphic>
              <a:graphicData uri="http://schemas.openxmlformats.org/drawingml/2006/picture">
                <pic:pic>
                  <pic:nvPicPr>
                    <pic:cNvPr id="46" name="image3.png"/>
                    <pic:cNvPicPr/>
                  </pic:nvPicPr>
                  <pic:blipFill>
                    <a:blip r:embed="rId7" cstate="print"/>
                    <a:stretch>
                      <a:fillRect/>
                    </a:stretch>
                  </pic:blipFill>
                  <pic:spPr>
                    <a:xfrm>
                      <a:off x="0" y="0"/>
                      <a:ext cx="1829358" cy="9143"/>
                    </a:xfrm>
                    <a:prstGeom prst="rect">
                      <a:avLst/>
                    </a:prstGeom>
                  </pic:spPr>
                </pic:pic>
              </a:graphicData>
            </a:graphic>
          </wp:anchor>
        </w:drawing>
      </w:r>
    </w:p>
    <w:p>
      <w:pPr>
        <w:spacing w:before="41"/>
        <w:ind w:left="212" w:right="0" w:firstLine="0"/>
        <w:jc w:val="left"/>
        <w:rPr>
          <w:sz w:val="18"/>
        </w:rPr>
      </w:pPr>
      <w:r>
        <w:rPr>
          <w:rFonts w:ascii="Calibri" w:eastAsia="Calibri"/>
          <w:b/>
          <w:spacing w:val="-2"/>
          <w:position w:val="5"/>
          <w:sz w:val="12"/>
        </w:rPr>
        <w:t>28</w:t>
      </w:r>
      <w:r>
        <w:rPr>
          <w:rFonts w:ascii="微软雅黑" w:eastAsia="微软雅黑"/>
          <w:b/>
          <w:spacing w:val="-2"/>
          <w:sz w:val="18"/>
        </w:rPr>
        <w:t>永久不可逆：</w:t>
      </w:r>
      <w:r>
        <w:rPr>
          <w:spacing w:val="-2"/>
          <w:sz w:val="18"/>
        </w:rPr>
        <w:t>指自疾病确诊或意外伤害发生之日起，经过积极治疗 180</w:t>
      </w:r>
      <w:r>
        <w:rPr>
          <w:spacing w:val="-3"/>
          <w:sz w:val="18"/>
        </w:rPr>
        <w:t> 天后，仍无法通过现有医疗手段恢复。</w:t>
      </w:r>
    </w:p>
    <w:p>
      <w:pPr>
        <w:spacing w:after="0"/>
        <w:jc w:val="left"/>
        <w:rPr>
          <w:sz w:val="18"/>
        </w:rPr>
        <w:sectPr>
          <w:pgSz w:w="11910" w:h="16840"/>
          <w:pgMar w:top="1460" w:bottom="280" w:left="920" w:right="440"/>
        </w:sectPr>
      </w:pPr>
    </w:p>
    <w:p>
      <w:pPr>
        <w:pStyle w:val="BodyText"/>
        <w:spacing w:line="278" w:lineRule="auto" w:before="43"/>
        <w:ind w:right="684"/>
      </w:pPr>
      <w:r>
        <w:rPr>
          <w:color w:val="000000"/>
          <w:spacing w:val="-2"/>
          <w:shd w:fill="A6A6A6" w:color="auto" w:val="clear"/>
        </w:rPr>
        <w:t>除眼球缺失或摘除外，被保险人申请理赔时年龄必须年满三周岁，并且提</w:t>
      </w:r>
      <w:r>
        <w:rPr>
          <w:color w:val="000000"/>
          <w:spacing w:val="80"/>
          <w:w w:val="150"/>
          <w:shd w:fill="A6A6A6" w:color="auto" w:val="clear"/>
        </w:rPr>
        <w:t>                                     </w:t>
      </w:r>
      <w:r>
        <w:rPr>
          <w:color w:val="000000"/>
          <w:spacing w:val="-2"/>
          <w:shd w:fill="A6A6A6" w:color="auto" w:val="clear"/>
        </w:rPr>
        <w:t>供理赔当时的视力丧失诊断及检查证据。</w:t>
      </w:r>
    </w:p>
    <w:p>
      <w:pPr>
        <w:pStyle w:val="ListParagraph"/>
        <w:numPr>
          <w:ilvl w:val="2"/>
          <w:numId w:val="27"/>
        </w:numPr>
        <w:tabs>
          <w:tab w:pos="1381" w:val="left" w:leader="none"/>
          <w:tab w:pos="1382" w:val="left" w:leader="none"/>
          <w:tab w:pos="3112" w:val="left" w:leader="none"/>
        </w:tabs>
        <w:spacing w:line="383" w:lineRule="exact" w:before="74" w:after="0"/>
        <w:ind w:left="1382" w:right="0" w:hanging="1170"/>
        <w:jc w:val="left"/>
        <w:rPr>
          <w:sz w:val="21"/>
        </w:rPr>
      </w:pPr>
      <w:r>
        <w:rPr>
          <w:rFonts w:ascii="微软雅黑" w:eastAsia="微软雅黑"/>
          <w:b/>
          <w:sz w:val="21"/>
        </w:rPr>
        <w:t>瘫</w:t>
      </w:r>
      <w:r>
        <w:rPr>
          <w:rFonts w:ascii="微软雅黑" w:eastAsia="微软雅黑"/>
          <w:b/>
          <w:spacing w:val="-10"/>
          <w:sz w:val="21"/>
        </w:rPr>
        <w:t>痪</w:t>
      </w:r>
      <w:r>
        <w:rPr>
          <w:rFonts w:ascii="微软雅黑" w:eastAsia="微软雅黑"/>
          <w:b/>
          <w:sz w:val="21"/>
        </w:rPr>
        <w:tab/>
      </w:r>
      <w:r>
        <w:rPr>
          <w:sz w:val="21"/>
        </w:rPr>
        <w:t>指因疾病或意外伤害导致两肢或两肢以上肢体随意运动功能永久完全</w:t>
      </w:r>
      <w:r>
        <w:rPr>
          <w:spacing w:val="-10"/>
          <w:sz w:val="21"/>
        </w:rPr>
        <w:t>丧</w:t>
      </w:r>
    </w:p>
    <w:p>
      <w:pPr>
        <w:pStyle w:val="BodyText"/>
        <w:spacing w:line="265" w:lineRule="exact"/>
      </w:pPr>
      <w:r>
        <w:rPr>
          <w:spacing w:val="-4"/>
        </w:rPr>
        <w:t>失。肢体随意运动功能永久完全丧失，指疾病确诊 </w:t>
      </w:r>
      <w:r>
        <w:rPr>
          <w:spacing w:val="-2"/>
        </w:rPr>
        <w:t>180</w:t>
      </w:r>
      <w:r>
        <w:rPr>
          <w:spacing w:val="-9"/>
        </w:rPr>
        <w:t> 天后或意外伤害发</w:t>
      </w:r>
    </w:p>
    <w:p>
      <w:pPr>
        <w:pStyle w:val="BodyText"/>
        <w:spacing w:line="278" w:lineRule="auto" w:before="43"/>
        <w:ind w:right="681"/>
      </w:pPr>
      <w:r>
        <w:rPr>
          <w:spacing w:val="-14"/>
        </w:rPr>
        <w:t>生 </w:t>
      </w:r>
      <w:r>
        <w:rPr/>
        <w:t>180</w:t>
      </w:r>
      <w:r>
        <w:rPr>
          <w:spacing w:val="-7"/>
        </w:rPr>
        <w:t> 天后，每肢三大关节中的两大关节仍然完全僵硬，或肢体肌力在 </w:t>
      </w:r>
      <w:r>
        <w:rPr/>
        <w:t>2</w:t>
      </w:r>
      <w:r>
        <w:rPr>
          <w:spacing w:val="-2"/>
        </w:rPr>
        <w:t>级（含）以下。</w:t>
      </w:r>
    </w:p>
    <w:p>
      <w:pPr>
        <w:pStyle w:val="ListParagraph"/>
        <w:numPr>
          <w:ilvl w:val="2"/>
          <w:numId w:val="27"/>
        </w:numPr>
        <w:tabs>
          <w:tab w:pos="1381" w:val="left" w:leader="none"/>
          <w:tab w:pos="1382" w:val="left" w:leader="none"/>
          <w:tab w:pos="3115" w:val="left" w:leader="none"/>
        </w:tabs>
        <w:spacing w:line="383" w:lineRule="exact" w:before="74" w:after="0"/>
        <w:ind w:left="1382" w:right="0" w:hanging="1170"/>
        <w:jc w:val="left"/>
        <w:rPr>
          <w:sz w:val="21"/>
        </w:rPr>
      </w:pPr>
      <w:r>
        <w:rPr>
          <w:rFonts w:ascii="微软雅黑" w:eastAsia="微软雅黑"/>
          <w:b/>
          <w:sz w:val="21"/>
        </w:rPr>
        <w:t>心脏瓣膜手</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脏</w:t>
      </w:r>
      <w:r>
        <w:rPr>
          <w:spacing w:val="-2"/>
          <w:sz w:val="21"/>
        </w:rPr>
        <w:t>瓣</w:t>
      </w:r>
      <w:r>
        <w:rPr>
          <w:spacing w:val="-2"/>
          <w:sz w:val="21"/>
        </w:rPr>
        <w:t>膜</w:t>
      </w:r>
      <w:r>
        <w:rPr>
          <w:spacing w:val="-2"/>
          <w:sz w:val="21"/>
        </w:rPr>
        <w:t>疾</w:t>
      </w:r>
      <w:r>
        <w:rPr>
          <w:spacing w:val="-2"/>
          <w:sz w:val="21"/>
        </w:rPr>
        <w:t>病</w:t>
      </w:r>
      <w:r>
        <w:rPr>
          <w:spacing w:val="-2"/>
          <w:sz w:val="21"/>
        </w:rPr>
        <w:t>，</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切</w:t>
      </w:r>
      <w:r>
        <w:rPr>
          <w:spacing w:val="-2"/>
          <w:sz w:val="21"/>
        </w:rPr>
        <w:t>开</w:t>
      </w:r>
      <w:r>
        <w:rPr>
          <w:spacing w:val="-2"/>
          <w:sz w:val="21"/>
        </w:rPr>
        <w:t>心</w:t>
      </w:r>
      <w:r>
        <w:rPr>
          <w:spacing w:val="-2"/>
          <w:sz w:val="21"/>
        </w:rPr>
        <w:t>脏</w:t>
      </w:r>
      <w:r>
        <w:rPr>
          <w:spacing w:val="-2"/>
          <w:sz w:val="21"/>
        </w:rPr>
        <w:t>进</w:t>
      </w:r>
      <w:r>
        <w:rPr>
          <w:spacing w:val="-2"/>
          <w:sz w:val="21"/>
        </w:rPr>
        <w:t>行</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置</w:t>
      </w:r>
      <w:r>
        <w:rPr>
          <w:spacing w:val="-2"/>
          <w:sz w:val="21"/>
        </w:rPr>
        <w:t>换</w:t>
      </w:r>
      <w:r>
        <w:rPr>
          <w:spacing w:val="-2"/>
          <w:sz w:val="21"/>
        </w:rPr>
        <w:t>或</w:t>
      </w:r>
      <w:r>
        <w:rPr>
          <w:spacing w:val="-2"/>
          <w:sz w:val="21"/>
        </w:rPr>
        <w:t>修</w:t>
      </w:r>
      <w:r>
        <w:rPr>
          <w:spacing w:val="-10"/>
          <w:sz w:val="21"/>
        </w:rPr>
        <w:t>复</w:t>
      </w:r>
    </w:p>
    <w:p>
      <w:pPr>
        <w:pStyle w:val="BodyText"/>
        <w:spacing w:line="265" w:lineRule="exact"/>
      </w:pPr>
      <w:r>
        <w:rPr>
          <w:spacing w:val="-4"/>
        </w:rPr>
        <w:t>的手术。</w:t>
      </w:r>
    </w:p>
    <w:p>
      <w:pPr>
        <w:pStyle w:val="BodyText"/>
        <w:spacing w:before="122"/>
      </w:pPr>
      <w:r>
        <w:rPr>
          <w:color w:val="000000"/>
          <w:spacing w:val="-3"/>
          <w:shd w:fill="A6A6A6" w:color="auto" w:val="clear"/>
        </w:rPr>
        <w:t>所有未切开心脏的心脏瓣膜介入手术不在保障范围内。</w:t>
      </w:r>
    </w:p>
    <w:p>
      <w:pPr>
        <w:pStyle w:val="BodyText"/>
        <w:spacing w:before="11"/>
        <w:ind w:left="0"/>
        <w:rPr>
          <w:sz w:val="8"/>
        </w:rPr>
      </w:pPr>
    </w:p>
    <w:p>
      <w:pPr>
        <w:spacing w:after="0"/>
        <w:rPr>
          <w:sz w:val="8"/>
        </w:rPr>
        <w:sectPr>
          <w:pgSz w:w="11910" w:h="16840"/>
          <w:pgMar w:top="1380" w:bottom="280" w:left="920" w:right="440"/>
        </w:sectPr>
      </w:pPr>
    </w:p>
    <w:p>
      <w:pPr>
        <w:pStyle w:val="Heading1"/>
        <w:numPr>
          <w:ilvl w:val="2"/>
          <w:numId w:val="27"/>
        </w:numPr>
        <w:tabs>
          <w:tab w:pos="1381" w:val="left" w:leader="none"/>
          <w:tab w:pos="1382" w:val="left" w:leader="none"/>
        </w:tabs>
        <w:spacing w:line="194" w:lineRule="auto" w:before="57" w:after="0"/>
        <w:ind w:left="1382" w:right="0" w:hanging="1170"/>
        <w:jc w:val="left"/>
      </w:pPr>
      <w:r>
        <w:rPr>
          <w:spacing w:val="-2"/>
        </w:rPr>
        <w:t>严重阿尔茨海默</w:t>
      </w:r>
      <w:r>
        <w:rPr>
          <w:spacing w:val="-10"/>
        </w:rPr>
        <w:t>病</w:t>
      </w:r>
    </w:p>
    <w:p>
      <w:pPr>
        <w:pStyle w:val="BodyText"/>
        <w:spacing w:line="278" w:lineRule="auto" w:before="71"/>
        <w:ind w:left="212" w:right="683"/>
        <w:jc w:val="both"/>
      </w:pPr>
      <w:r>
        <w:rPr/>
        <w:br w:type="column"/>
      </w:r>
      <w:r>
        <w:rPr>
          <w:spacing w:val="-2"/>
        </w:rPr>
        <w:t>指因大脑进行性、不可逆性改变导致智能严重衰退或丧失，临床表现为严</w:t>
      </w:r>
      <w:r>
        <w:rPr>
          <w:spacing w:val="-2"/>
        </w:rPr>
        <w:t>重的认知功能障碍、精神行为异常和社交能力减退等，其日常生活必须持</w:t>
      </w:r>
      <w:r>
        <w:rPr>
          <w:spacing w:val="-4"/>
        </w:rPr>
        <w:t>续受到他人监护。须由头颅断层扫描</w:t>
      </w:r>
      <w:r>
        <w:rPr>
          <w:spacing w:val="22"/>
        </w:rPr>
        <w:t>（C</w:t>
      </w:r>
      <w:r>
        <w:rPr>
          <w:spacing w:val="19"/>
        </w:rPr>
        <w:t>T</w:t>
      </w:r>
      <w:r>
        <w:rPr>
          <w:spacing w:val="-82"/>
        </w:rPr>
        <w:t>）</w:t>
      </w:r>
      <w:r>
        <w:rPr>
          <w:spacing w:val="-4"/>
        </w:rPr>
        <w:t>、核磁共振检查（MRI）或正电</w:t>
      </w:r>
      <w:r>
        <w:rPr>
          <w:spacing w:val="-4"/>
        </w:rPr>
        <w:t>子发射断层扫描（PET）等影像学检查证实，并经相关专科医生确诊，且须</w:t>
      </w:r>
      <w:r>
        <w:rPr>
          <w:spacing w:val="-2"/>
        </w:rPr>
        <w:t>满足下列至少一项条件：</w:t>
      </w:r>
    </w:p>
    <w:p>
      <w:pPr>
        <w:pStyle w:val="ListParagraph"/>
        <w:numPr>
          <w:ilvl w:val="0"/>
          <w:numId w:val="28"/>
        </w:numPr>
        <w:tabs>
          <w:tab w:pos="537" w:val="left" w:leader="none"/>
        </w:tabs>
        <w:spacing w:line="278" w:lineRule="auto" w:before="0" w:after="0"/>
        <w:ind w:left="212" w:right="683" w:firstLine="0"/>
        <w:jc w:val="both"/>
        <w:rPr>
          <w:sz w:val="21"/>
        </w:rPr>
      </w:pPr>
      <w:r>
        <w:rPr>
          <w:spacing w:val="-2"/>
          <w:sz w:val="21"/>
        </w:rPr>
        <w:t>由具有评估资格的专科医生根据临床痴呆评定量表（CDR，Clinical </w:t>
      </w:r>
      <w:r>
        <w:rPr>
          <w:sz w:val="21"/>
        </w:rPr>
        <w:t>Dementia Rating）</w:t>
      </w:r>
      <w:r>
        <w:rPr>
          <w:spacing w:val="-3"/>
          <w:sz w:val="21"/>
        </w:rPr>
        <w:t>评估结果为 </w:t>
      </w:r>
      <w:r>
        <w:rPr>
          <w:sz w:val="21"/>
        </w:rPr>
        <w:t>3</w:t>
      </w:r>
      <w:r>
        <w:rPr>
          <w:spacing w:val="-6"/>
          <w:sz w:val="21"/>
        </w:rPr>
        <w:t> 分；</w:t>
      </w:r>
    </w:p>
    <w:p>
      <w:pPr>
        <w:pStyle w:val="ListParagraph"/>
        <w:numPr>
          <w:ilvl w:val="0"/>
          <w:numId w:val="28"/>
        </w:numPr>
        <w:tabs>
          <w:tab w:pos="533" w:val="left" w:leader="none"/>
        </w:tabs>
        <w:spacing w:line="278" w:lineRule="auto" w:before="0" w:after="0"/>
        <w:ind w:left="212" w:right="683" w:firstLine="2"/>
        <w:jc w:val="left"/>
        <w:rPr>
          <w:sz w:val="21"/>
        </w:rPr>
      </w:pPr>
      <w:r>
        <w:rPr>
          <w:spacing w:val="-10"/>
          <w:sz w:val="21"/>
        </w:rPr>
        <w:t>自主生活能力完全丧失，无法独立完成六项基本日常生活活动中的三项</w:t>
      </w:r>
      <w:r>
        <w:rPr>
          <w:spacing w:val="-2"/>
          <w:sz w:val="21"/>
        </w:rPr>
        <w:t>或三项以上。</w:t>
      </w:r>
    </w:p>
    <w:p>
      <w:pPr>
        <w:pStyle w:val="BodyText"/>
        <w:spacing w:before="77"/>
        <w:ind w:left="212"/>
      </w:pPr>
      <w:r>
        <w:rPr>
          <w:color w:val="000000"/>
          <w:spacing w:val="-3"/>
          <w:shd w:fill="A6A6A6" w:color="auto" w:val="clear"/>
        </w:rPr>
        <w:t>阿尔茨海默病之外的其他类型痴呆不在保障范围内。</w:t>
      </w:r>
    </w:p>
    <w:p>
      <w:pPr>
        <w:spacing w:after="0"/>
        <w:sectPr>
          <w:type w:val="continuous"/>
          <w:pgSz w:w="11910" w:h="16840"/>
          <w:pgMar w:top="680" w:bottom="280" w:left="920" w:right="440"/>
          <w:cols w:num="2" w:equalWidth="0">
            <w:col w:w="2861" w:space="40"/>
            <w:col w:w="7649"/>
          </w:cols>
        </w:sectPr>
      </w:pPr>
    </w:p>
    <w:p>
      <w:pPr>
        <w:pStyle w:val="BodyText"/>
        <w:spacing w:before="10"/>
        <w:ind w:left="0"/>
        <w:rPr>
          <w:sz w:val="8"/>
        </w:rPr>
      </w:pPr>
    </w:p>
    <w:p>
      <w:pPr>
        <w:pStyle w:val="ListParagraph"/>
        <w:numPr>
          <w:ilvl w:val="2"/>
          <w:numId w:val="27"/>
        </w:numPr>
        <w:tabs>
          <w:tab w:pos="1382" w:val="left" w:leader="none"/>
          <w:tab w:pos="3112" w:val="left" w:leader="none"/>
        </w:tabs>
        <w:spacing w:line="383" w:lineRule="exact" w:before="5" w:after="0"/>
        <w:ind w:left="1382" w:right="0" w:hanging="1170"/>
        <w:jc w:val="both"/>
        <w:rPr>
          <w:sz w:val="21"/>
        </w:rPr>
      </w:pPr>
      <w:r>
        <w:rPr>
          <w:rFonts w:ascii="微软雅黑" w:eastAsia="微软雅黑"/>
          <w:b/>
          <w:sz w:val="21"/>
        </w:rPr>
        <w:t>严重脑损</w:t>
      </w:r>
      <w:r>
        <w:rPr>
          <w:rFonts w:ascii="微软雅黑" w:eastAsia="微软雅黑"/>
          <w:b/>
          <w:spacing w:val="-10"/>
          <w:sz w:val="21"/>
        </w:rPr>
        <w:t>伤</w:t>
      </w:r>
      <w:r>
        <w:rPr>
          <w:rFonts w:ascii="微软雅黑" w:eastAsia="微软雅黑"/>
          <w:b/>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w:t>
      </w:r>
      <w:r>
        <w:rPr>
          <w:spacing w:val="-2"/>
          <w:sz w:val="21"/>
        </w:rPr>
        <w:t>机</w:t>
      </w:r>
      <w:r>
        <w:rPr>
          <w:spacing w:val="-2"/>
          <w:sz w:val="21"/>
        </w:rPr>
        <w:t>械</w:t>
      </w:r>
      <w:r>
        <w:rPr>
          <w:spacing w:val="-2"/>
          <w:sz w:val="21"/>
        </w:rPr>
        <w:t>性</w:t>
      </w:r>
      <w:r>
        <w:rPr>
          <w:spacing w:val="-2"/>
          <w:sz w:val="21"/>
        </w:rPr>
        <w:t>外</w:t>
      </w:r>
      <w:r>
        <w:rPr>
          <w:spacing w:val="-2"/>
          <w:sz w:val="21"/>
        </w:rPr>
        <w:t>力，</w:t>
      </w:r>
      <w:r>
        <w:rPr>
          <w:spacing w:val="-2"/>
          <w:sz w:val="21"/>
        </w:rPr>
        <w:t>引</w:t>
      </w:r>
      <w:r>
        <w:rPr>
          <w:spacing w:val="-2"/>
          <w:sz w:val="21"/>
        </w:rPr>
        <w:t>起</w:t>
      </w:r>
      <w:r>
        <w:rPr>
          <w:spacing w:val="-2"/>
          <w:sz w:val="21"/>
        </w:rPr>
        <w:t>脑</w:t>
      </w:r>
      <w:r>
        <w:rPr>
          <w:spacing w:val="-2"/>
          <w:sz w:val="21"/>
        </w:rPr>
        <w:t>重</w:t>
      </w:r>
      <w:r>
        <w:rPr>
          <w:spacing w:val="-2"/>
          <w:sz w:val="21"/>
        </w:rPr>
        <w:t>要</w:t>
      </w:r>
      <w:r>
        <w:rPr>
          <w:spacing w:val="-2"/>
          <w:sz w:val="21"/>
        </w:rPr>
        <w:t>部</w:t>
      </w:r>
      <w:r>
        <w:rPr>
          <w:spacing w:val="-2"/>
          <w:sz w:val="21"/>
        </w:rPr>
        <w:t>位</w:t>
      </w:r>
      <w:r>
        <w:rPr>
          <w:spacing w:val="-2"/>
          <w:sz w:val="21"/>
        </w:rPr>
        <w:t>损</w:t>
      </w:r>
      <w:r>
        <w:rPr>
          <w:spacing w:val="-2"/>
          <w:sz w:val="21"/>
        </w:rPr>
        <w:t>伤</w:t>
      </w:r>
      <w:r>
        <w:rPr>
          <w:spacing w:val="-2"/>
          <w:sz w:val="21"/>
        </w:rPr>
        <w:t>，</w:t>
      </w:r>
      <w:r>
        <w:rPr>
          <w:spacing w:val="-2"/>
          <w:sz w:val="21"/>
        </w:rPr>
        <w:t>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2"/>
          <w:sz w:val="21"/>
        </w:rPr>
        <w:t>永</w:t>
      </w:r>
      <w:r>
        <w:rPr>
          <w:spacing w:val="-2"/>
          <w:sz w:val="21"/>
        </w:rPr>
        <w:t>久</w:t>
      </w:r>
      <w:r>
        <w:rPr>
          <w:spacing w:val="-2"/>
          <w:sz w:val="21"/>
        </w:rPr>
        <w:t>性</w:t>
      </w:r>
      <w:r>
        <w:rPr>
          <w:spacing w:val="-10"/>
          <w:sz w:val="21"/>
        </w:rPr>
        <w:t>的</w:t>
      </w:r>
    </w:p>
    <w:p>
      <w:pPr>
        <w:pStyle w:val="BodyText"/>
        <w:spacing w:line="278" w:lineRule="auto"/>
        <w:ind w:right="683"/>
        <w:jc w:val="both"/>
      </w:pPr>
      <w:r>
        <w:rPr>
          <w:spacing w:val="-4"/>
        </w:rPr>
        <w:t>功能障碍。须由头颅断层扫描</w:t>
      </w:r>
      <w:r>
        <w:rPr>
          <w:spacing w:val="22"/>
        </w:rPr>
        <w:t>（C</w:t>
      </w:r>
      <w:r>
        <w:rPr>
          <w:spacing w:val="19"/>
        </w:rPr>
        <w:t>T</w:t>
      </w:r>
      <w:r>
        <w:rPr>
          <w:spacing w:val="-82"/>
        </w:rPr>
        <w:t>）</w:t>
      </w:r>
      <w:r>
        <w:rPr>
          <w:spacing w:val="-4"/>
        </w:rPr>
        <w:t>、核磁共振检查（MRI）或正电子发射</w:t>
      </w:r>
      <w:r>
        <w:rPr>
          <w:spacing w:val="-4"/>
        </w:rPr>
        <w:t>断层扫描（PET）等影像学检查证实。神经系统永久性的功能障碍，指脑损</w:t>
      </w:r>
      <w:r>
        <w:rPr>
          <w:spacing w:val="-11"/>
        </w:rPr>
        <w:t>伤 </w:t>
      </w:r>
      <w:r>
        <w:rPr/>
        <w:t>180</w:t>
      </w:r>
      <w:r>
        <w:rPr>
          <w:spacing w:val="-5"/>
        </w:rPr>
        <w:t> 天后，仍遗留下列至少一种障碍：</w:t>
      </w:r>
    </w:p>
    <w:p>
      <w:pPr>
        <w:pStyle w:val="ListParagraph"/>
        <w:numPr>
          <w:ilvl w:val="3"/>
          <w:numId w:val="27"/>
        </w:numPr>
        <w:tabs>
          <w:tab w:pos="3431" w:val="left" w:leader="none"/>
        </w:tabs>
        <w:spacing w:line="278" w:lineRule="auto" w:before="0" w:after="0"/>
        <w:ind w:left="3113" w:right="2702" w:firstLine="0"/>
        <w:jc w:val="left"/>
        <w:rPr>
          <w:sz w:val="21"/>
        </w:rPr>
      </w:pPr>
      <w:r>
        <w:rPr>
          <w:sz w:val="21"/>
        </w:rPr>
        <w:t>一肢（含）</w:t>
      </w:r>
      <w:r>
        <w:rPr>
          <w:spacing w:val="-4"/>
          <w:sz w:val="21"/>
        </w:rPr>
        <w:t>以上肢体肌力 </w:t>
      </w:r>
      <w:r>
        <w:rPr>
          <w:sz w:val="21"/>
        </w:rPr>
        <w:t>2</w:t>
      </w:r>
      <w:r>
        <w:rPr>
          <w:spacing w:val="-11"/>
          <w:sz w:val="21"/>
        </w:rPr>
        <w:t> 级</w:t>
      </w:r>
      <w:r>
        <w:rPr>
          <w:sz w:val="21"/>
        </w:rPr>
        <w:t>（含）以下；</w:t>
      </w:r>
      <w:r>
        <w:rPr>
          <w:sz w:val="21"/>
        </w:rPr>
        <w:t> </w:t>
      </w:r>
      <w:r>
        <w:rPr>
          <w:spacing w:val="-2"/>
          <w:sz w:val="21"/>
        </w:rPr>
        <w:t>(2)语言能力完全丧失，或严重咀嚼吞咽功能障碍；</w:t>
      </w:r>
    </w:p>
    <w:p>
      <w:pPr>
        <w:pStyle w:val="BodyText"/>
        <w:spacing w:line="278" w:lineRule="auto"/>
        <w:ind w:right="683"/>
      </w:pPr>
      <w:r>
        <w:rPr>
          <w:spacing w:val="-2"/>
        </w:rPr>
        <w:t>(3)</w:t>
      </w:r>
      <w:r>
        <w:rPr>
          <w:spacing w:val="-10"/>
        </w:rPr>
        <w:t>自主生活能力完全丧失，无法独立完成六项基本日常生活活动中的三项</w:t>
      </w:r>
      <w:r>
        <w:rPr>
          <w:spacing w:val="-2"/>
        </w:rPr>
        <w:t>或三项以上。</w:t>
      </w:r>
    </w:p>
    <w:p>
      <w:pPr>
        <w:spacing w:after="0" w:line="278" w:lineRule="auto"/>
        <w:sectPr>
          <w:type w:val="continuous"/>
          <w:pgSz w:w="11910" w:h="16840"/>
          <w:pgMar w:top="680" w:bottom="280" w:left="920" w:right="440"/>
        </w:sectPr>
      </w:pPr>
    </w:p>
    <w:p>
      <w:pPr>
        <w:pStyle w:val="Heading1"/>
        <w:numPr>
          <w:ilvl w:val="2"/>
          <w:numId w:val="27"/>
        </w:numPr>
        <w:tabs>
          <w:tab w:pos="1381" w:val="left" w:leader="none"/>
          <w:tab w:pos="1382" w:val="left" w:leader="none"/>
        </w:tabs>
        <w:spacing w:line="194" w:lineRule="auto" w:before="125" w:after="0"/>
        <w:ind w:left="1382" w:right="0" w:hanging="1170"/>
        <w:jc w:val="left"/>
      </w:pPr>
      <w:r>
        <w:rPr>
          <w:spacing w:val="-2"/>
        </w:rPr>
        <w:t>严重原发性帕金</w:t>
      </w:r>
      <w:r>
        <w:rPr>
          <w:spacing w:val="-6"/>
        </w:rPr>
        <w:t>森病</w:t>
      </w:r>
    </w:p>
    <w:p>
      <w:pPr>
        <w:pStyle w:val="BodyText"/>
        <w:spacing w:line="278" w:lineRule="auto" w:before="139"/>
        <w:ind w:left="212" w:right="682" w:firstLine="2"/>
        <w:jc w:val="both"/>
      </w:pPr>
      <w:r>
        <w:rPr/>
        <w:br w:type="column"/>
      </w:r>
      <w:r>
        <w:rPr>
          <w:spacing w:val="-2"/>
        </w:rPr>
        <w:t>是一种中枢神经系统的退行性疾病，临床表现为运动迟缓、静止性震颤或</w:t>
      </w:r>
      <w:r>
        <w:rPr>
          <w:spacing w:val="-2"/>
        </w:rPr>
        <w:t>肌强直等，经相关专科医生确诊，且须满足自主生活能力完全丧失，无法</w:t>
      </w:r>
      <w:r>
        <w:rPr>
          <w:spacing w:val="-2"/>
        </w:rPr>
        <w:t>独立完成六项基本日常生活活动中的三项或三项以上。</w:t>
      </w:r>
    </w:p>
    <w:p>
      <w:pPr>
        <w:pStyle w:val="BodyText"/>
        <w:spacing w:before="77"/>
        <w:ind w:left="212"/>
      </w:pPr>
      <w:r>
        <w:rPr>
          <w:color w:val="000000"/>
          <w:spacing w:val="-3"/>
          <w:shd w:fill="A6A6A6" w:color="auto" w:val="clear"/>
        </w:rPr>
        <w:t>继发性帕金森综合征、帕金森叠加综合征不在保障范围内。</w:t>
      </w:r>
    </w:p>
    <w:p>
      <w:pPr>
        <w:spacing w:after="0"/>
        <w:sectPr>
          <w:type w:val="continuous"/>
          <w:pgSz w:w="11910" w:h="16840"/>
          <w:pgMar w:top="680" w:bottom="280" w:left="920" w:right="440"/>
          <w:cols w:num="2" w:equalWidth="0">
            <w:col w:w="2861" w:space="40"/>
            <w:col w:w="7649"/>
          </w:cols>
        </w:sectPr>
      </w:pPr>
    </w:p>
    <w:p>
      <w:pPr>
        <w:pStyle w:val="BodyText"/>
        <w:spacing w:before="10"/>
        <w:ind w:left="0"/>
        <w:rPr>
          <w:sz w:val="8"/>
        </w:rPr>
      </w:pPr>
    </w:p>
    <w:p>
      <w:pPr>
        <w:pStyle w:val="ListParagraph"/>
        <w:numPr>
          <w:ilvl w:val="2"/>
          <w:numId w:val="27"/>
        </w:numPr>
        <w:tabs>
          <w:tab w:pos="1381" w:val="left" w:leader="none"/>
          <w:tab w:pos="1382" w:val="left" w:leader="none"/>
          <w:tab w:pos="3112" w:val="left" w:leader="none"/>
        </w:tabs>
        <w:spacing w:line="235" w:lineRule="auto" w:before="10" w:after="0"/>
        <w:ind w:left="3113" w:right="686" w:hanging="2901"/>
        <w:jc w:val="left"/>
        <w:rPr>
          <w:sz w:val="21"/>
        </w:rPr>
      </w:pPr>
      <w:r>
        <w:rPr>
          <w:rFonts w:ascii="微软雅黑" w:hAnsi="微软雅黑" w:eastAsia="微软雅黑"/>
          <w:b/>
          <w:spacing w:val="-2"/>
          <w:sz w:val="21"/>
        </w:rPr>
        <w:t>严</w:t>
      </w:r>
      <w:r>
        <w:rPr>
          <w:rFonts w:ascii="微软雅黑" w:hAnsi="微软雅黑" w:eastAsia="微软雅黑"/>
          <w:b/>
          <w:spacing w:val="-2"/>
          <w:sz w:val="21"/>
        </w:rPr>
        <w:t>重</w:t>
      </w:r>
      <w:r>
        <w:rPr>
          <w:rFonts w:ascii="微软雅黑" w:hAnsi="微软雅黑" w:eastAsia="微软雅黑"/>
          <w:b/>
          <w:spacing w:val="-2"/>
          <w:sz w:val="21"/>
        </w:rPr>
        <w:t>Ⅲ</w:t>
      </w:r>
      <w:r>
        <w:rPr>
          <w:rFonts w:ascii="微软雅黑" w:hAnsi="微软雅黑" w:eastAsia="微软雅黑"/>
          <w:b/>
          <w:spacing w:val="-2"/>
          <w:sz w:val="21"/>
        </w:rPr>
        <w:t>度</w:t>
      </w:r>
      <w:r>
        <w:rPr>
          <w:rFonts w:ascii="微软雅黑" w:hAnsi="微软雅黑" w:eastAsia="微软雅黑"/>
          <w:b/>
          <w:spacing w:val="-2"/>
          <w:sz w:val="21"/>
        </w:rPr>
        <w:t>烧</w:t>
      </w:r>
      <w:r>
        <w:rPr>
          <w:rFonts w:ascii="微软雅黑" w:hAnsi="微软雅黑" w:eastAsia="微软雅黑"/>
          <w:b/>
          <w:spacing w:val="-2"/>
          <w:sz w:val="21"/>
        </w:rPr>
        <w:t>伤</w:t>
      </w:r>
      <w:r>
        <w:rPr>
          <w:rFonts w:ascii="微软雅黑" w:hAnsi="微软雅黑" w:eastAsia="微软雅黑"/>
          <w:b/>
          <w:sz w:val="21"/>
        </w:rPr>
        <w:tab/>
      </w:r>
      <w:r>
        <w:rPr>
          <w:sz w:val="21"/>
        </w:rPr>
        <w:t>指烧伤程度为Ⅲ度，且Ⅲ</w:t>
      </w:r>
      <w:r>
        <w:rPr>
          <w:sz w:val="21"/>
        </w:rPr>
        <w:t>度烧伤的面积达到全身体</w:t>
      </w:r>
      <w:r>
        <w:rPr>
          <w:sz w:val="21"/>
        </w:rPr>
        <w:t>表面积的</w:t>
      </w:r>
      <w:r>
        <w:rPr>
          <w:spacing w:val="-4"/>
          <w:sz w:val="21"/>
        </w:rPr>
        <w:t> </w:t>
      </w:r>
      <w:r>
        <w:rPr>
          <w:sz w:val="21"/>
        </w:rPr>
        <w:t>20%或</w:t>
      </w:r>
      <w:r>
        <w:rPr>
          <w:spacing w:val="-5"/>
          <w:sz w:val="21"/>
        </w:rPr>
        <w:t> </w:t>
      </w:r>
      <w:r>
        <w:rPr>
          <w:sz w:val="21"/>
        </w:rPr>
        <w:t>20%</w:t>
      </w:r>
      <w:r>
        <w:rPr>
          <w:sz w:val="21"/>
        </w:rPr>
        <w:t>以</w:t>
      </w:r>
      <w:r>
        <w:rPr>
          <w:spacing w:val="-2"/>
          <w:sz w:val="21"/>
        </w:rPr>
        <w:t>上</w:t>
      </w:r>
      <w:r>
        <w:rPr>
          <w:spacing w:val="-2"/>
          <w:sz w:val="21"/>
        </w:rPr>
        <w:t>。</w:t>
      </w:r>
      <w:r>
        <w:rPr>
          <w:spacing w:val="-2"/>
          <w:sz w:val="21"/>
        </w:rPr>
        <w:t>体表面积根据《中国</w:t>
      </w:r>
      <w:r>
        <w:rPr>
          <w:spacing w:val="-2"/>
          <w:sz w:val="21"/>
        </w:rPr>
        <w:t>新</w:t>
      </w:r>
      <w:r>
        <w:rPr>
          <w:spacing w:val="-2"/>
          <w:sz w:val="21"/>
        </w:rPr>
        <w:t>九</w:t>
      </w:r>
      <w:r>
        <w:rPr>
          <w:spacing w:val="-2"/>
          <w:sz w:val="21"/>
        </w:rPr>
        <w:t>分法》计算。</w:t>
      </w:r>
    </w:p>
    <w:p>
      <w:pPr>
        <w:pStyle w:val="BodyText"/>
        <w:spacing w:before="11"/>
        <w:ind w:left="0"/>
        <w:rPr>
          <w:sz w:val="8"/>
        </w:rPr>
      </w:pPr>
    </w:p>
    <w:p>
      <w:pPr>
        <w:spacing w:after="0"/>
        <w:rPr>
          <w:sz w:val="8"/>
        </w:rPr>
        <w:sectPr>
          <w:type w:val="continuous"/>
          <w:pgSz w:w="11910" w:h="16840"/>
          <w:pgMar w:top="680" w:bottom="280" w:left="920" w:right="440"/>
        </w:sectPr>
      </w:pPr>
    </w:p>
    <w:p>
      <w:pPr>
        <w:pStyle w:val="Heading1"/>
        <w:numPr>
          <w:ilvl w:val="2"/>
          <w:numId w:val="27"/>
        </w:numPr>
        <w:tabs>
          <w:tab w:pos="1381" w:val="left" w:leader="none"/>
          <w:tab w:pos="1382" w:val="left" w:leader="none"/>
        </w:tabs>
        <w:spacing w:line="350" w:lineRule="exact" w:before="4" w:after="0"/>
        <w:ind w:left="1382" w:right="0" w:hanging="1170"/>
        <w:jc w:val="left"/>
      </w:pPr>
      <w:r>
        <w:rPr>
          <w:spacing w:val="-2"/>
        </w:rPr>
        <w:t>严重特发性肺动</w:t>
      </w:r>
    </w:p>
    <w:p>
      <w:pPr>
        <w:spacing w:line="350" w:lineRule="exact" w:before="0"/>
        <w:ind w:left="1382" w:right="0" w:firstLine="0"/>
        <w:jc w:val="left"/>
        <w:rPr>
          <w:rFonts w:ascii="微软雅黑" w:eastAsia="微软雅黑"/>
          <w:b/>
          <w:sz w:val="21"/>
        </w:rPr>
      </w:pPr>
      <w:r>
        <w:rPr>
          <w:rFonts w:ascii="微软雅黑" w:eastAsia="微软雅黑"/>
          <w:b/>
          <w:spacing w:val="-4"/>
          <w:sz w:val="21"/>
        </w:rPr>
        <w:t>脉高压</w:t>
      </w:r>
    </w:p>
    <w:p>
      <w:pPr>
        <w:spacing w:line="206" w:lineRule="auto" w:before="101"/>
        <w:ind w:left="212" w:right="683" w:firstLine="0"/>
        <w:jc w:val="both"/>
        <w:rPr>
          <w:sz w:val="21"/>
        </w:rPr>
      </w:pPr>
      <w:r>
        <w:rPr/>
        <w:br w:type="column"/>
      </w:r>
      <w:r>
        <w:rPr>
          <w:spacing w:val="-2"/>
          <w:sz w:val="21"/>
        </w:rPr>
        <w:t>指不明原因的肺动脉压力持续性增高，进行性发展而导致的慢性疾病，已</w:t>
      </w:r>
      <w:r>
        <w:rPr>
          <w:spacing w:val="-2"/>
          <w:w w:val="95"/>
          <w:sz w:val="21"/>
        </w:rPr>
        <w:t>经</w:t>
      </w:r>
      <w:r>
        <w:rPr>
          <w:spacing w:val="-2"/>
          <w:w w:val="95"/>
          <w:sz w:val="21"/>
        </w:rPr>
        <w:t>造</w:t>
      </w:r>
      <w:r>
        <w:rPr>
          <w:spacing w:val="-2"/>
          <w:w w:val="95"/>
          <w:sz w:val="21"/>
        </w:rPr>
        <w:t>成永久不可逆性的体</w:t>
      </w:r>
      <w:r>
        <w:rPr>
          <w:spacing w:val="-2"/>
          <w:w w:val="95"/>
          <w:sz w:val="21"/>
        </w:rPr>
        <w:t>力</w:t>
      </w:r>
      <w:r>
        <w:rPr>
          <w:spacing w:val="-2"/>
          <w:w w:val="95"/>
          <w:sz w:val="21"/>
        </w:rPr>
        <w:t>活</w:t>
      </w:r>
      <w:r>
        <w:rPr>
          <w:spacing w:val="-2"/>
          <w:w w:val="95"/>
          <w:sz w:val="21"/>
        </w:rPr>
        <w:t>动能力受限，</w:t>
      </w:r>
      <w:r>
        <w:rPr>
          <w:spacing w:val="-2"/>
          <w:w w:val="95"/>
          <w:sz w:val="21"/>
        </w:rPr>
        <w:t>达</w:t>
      </w:r>
      <w:r>
        <w:rPr>
          <w:spacing w:val="-2"/>
          <w:w w:val="95"/>
          <w:sz w:val="21"/>
        </w:rPr>
        <w:t>到</w:t>
      </w:r>
      <w:r>
        <w:rPr>
          <w:rFonts w:ascii="微软雅黑" w:hAnsi="微软雅黑" w:eastAsia="微软雅黑"/>
          <w:b/>
          <w:spacing w:val="-2"/>
          <w:w w:val="95"/>
          <w:sz w:val="21"/>
        </w:rPr>
        <w:t>美</w:t>
      </w:r>
      <w:r>
        <w:rPr>
          <w:rFonts w:ascii="微软雅黑" w:hAnsi="微软雅黑" w:eastAsia="微软雅黑"/>
          <w:b/>
          <w:spacing w:val="-2"/>
          <w:w w:val="95"/>
          <w:sz w:val="21"/>
        </w:rPr>
        <w:t>国</w:t>
      </w:r>
      <w:r>
        <w:rPr>
          <w:rFonts w:ascii="微软雅黑" w:hAnsi="微软雅黑" w:eastAsia="微软雅黑"/>
          <w:b/>
          <w:spacing w:val="-2"/>
          <w:w w:val="95"/>
          <w:sz w:val="21"/>
        </w:rPr>
        <w:t>纽</w:t>
      </w:r>
      <w:r>
        <w:rPr>
          <w:rFonts w:ascii="微软雅黑" w:hAnsi="微软雅黑" w:eastAsia="微软雅黑"/>
          <w:b/>
          <w:spacing w:val="-2"/>
          <w:w w:val="95"/>
          <w:sz w:val="21"/>
        </w:rPr>
        <w:t>约</w:t>
      </w:r>
      <w:r>
        <w:rPr>
          <w:rFonts w:ascii="微软雅黑" w:hAnsi="微软雅黑" w:eastAsia="微软雅黑"/>
          <w:b/>
          <w:spacing w:val="-2"/>
          <w:w w:val="95"/>
          <w:sz w:val="21"/>
        </w:rPr>
        <w:t>心</w:t>
      </w:r>
      <w:r>
        <w:rPr>
          <w:rFonts w:ascii="微软雅黑" w:hAnsi="微软雅黑" w:eastAsia="微软雅黑"/>
          <w:b/>
          <w:spacing w:val="-2"/>
          <w:w w:val="95"/>
          <w:sz w:val="21"/>
        </w:rPr>
        <w:t>脏</w:t>
      </w:r>
      <w:r>
        <w:rPr>
          <w:rFonts w:ascii="微软雅黑" w:hAnsi="微软雅黑" w:eastAsia="微软雅黑"/>
          <w:b/>
          <w:spacing w:val="-2"/>
          <w:w w:val="95"/>
          <w:sz w:val="21"/>
        </w:rPr>
        <w:t>病</w:t>
      </w:r>
      <w:r>
        <w:rPr>
          <w:rFonts w:ascii="微软雅黑" w:hAnsi="微软雅黑" w:eastAsia="微软雅黑"/>
          <w:b/>
          <w:spacing w:val="-2"/>
          <w:w w:val="95"/>
          <w:sz w:val="21"/>
        </w:rPr>
        <w:t>学</w:t>
      </w:r>
      <w:r>
        <w:rPr>
          <w:rFonts w:ascii="微软雅黑" w:hAnsi="微软雅黑" w:eastAsia="微软雅黑"/>
          <w:b/>
          <w:spacing w:val="-2"/>
          <w:w w:val="95"/>
          <w:sz w:val="21"/>
        </w:rPr>
        <w:t>会（New </w:t>
      </w:r>
      <w:r>
        <w:rPr>
          <w:rFonts w:ascii="微软雅黑" w:hAnsi="微软雅黑" w:eastAsia="微软雅黑"/>
          <w:b/>
          <w:w w:val="90"/>
          <w:sz w:val="21"/>
        </w:rPr>
        <w:t>York</w:t>
      </w:r>
      <w:r>
        <w:rPr>
          <w:rFonts w:ascii="微软雅黑" w:hAnsi="微软雅黑" w:eastAsia="微软雅黑"/>
          <w:b/>
          <w:spacing w:val="63"/>
          <w:sz w:val="21"/>
        </w:rPr>
        <w:t>  </w:t>
      </w:r>
      <w:r>
        <w:rPr>
          <w:rFonts w:ascii="微软雅黑" w:hAnsi="微软雅黑" w:eastAsia="微软雅黑"/>
          <w:b/>
          <w:w w:val="90"/>
          <w:sz w:val="21"/>
        </w:rPr>
        <w:t>Heart</w:t>
      </w:r>
      <w:r>
        <w:rPr>
          <w:rFonts w:ascii="微软雅黑" w:hAnsi="微软雅黑" w:eastAsia="微软雅黑"/>
          <w:b/>
          <w:spacing w:val="64"/>
          <w:sz w:val="21"/>
        </w:rPr>
        <w:t>  </w:t>
      </w:r>
      <w:r>
        <w:rPr>
          <w:rFonts w:ascii="微软雅黑" w:hAnsi="微软雅黑" w:eastAsia="微软雅黑"/>
          <w:b/>
          <w:w w:val="90"/>
          <w:sz w:val="21"/>
        </w:rPr>
        <w:t>Association，NYHA）</w:t>
      </w:r>
      <w:r>
        <w:rPr>
          <w:rFonts w:ascii="微软雅黑" w:hAnsi="微软雅黑" w:eastAsia="微软雅黑"/>
          <w:b/>
          <w:w w:val="90"/>
          <w:sz w:val="21"/>
        </w:rPr>
        <w:t>心</w:t>
      </w:r>
      <w:r>
        <w:rPr>
          <w:rFonts w:ascii="微软雅黑" w:hAnsi="微软雅黑" w:eastAsia="微软雅黑"/>
          <w:b/>
          <w:w w:val="90"/>
          <w:sz w:val="21"/>
        </w:rPr>
        <w:t>功</w:t>
      </w:r>
      <w:r>
        <w:rPr>
          <w:rFonts w:ascii="微软雅黑" w:hAnsi="微软雅黑" w:eastAsia="微软雅黑"/>
          <w:b/>
          <w:w w:val="90"/>
          <w:sz w:val="21"/>
        </w:rPr>
        <w:t>能</w:t>
      </w:r>
      <w:r>
        <w:rPr>
          <w:rFonts w:ascii="微软雅黑" w:hAnsi="微软雅黑" w:eastAsia="微软雅黑"/>
          <w:b/>
          <w:w w:val="90"/>
          <w:sz w:val="21"/>
        </w:rPr>
        <w:t>状</w:t>
      </w:r>
      <w:r>
        <w:rPr>
          <w:rFonts w:ascii="微软雅黑" w:hAnsi="微软雅黑" w:eastAsia="微软雅黑"/>
          <w:b/>
          <w:w w:val="90"/>
          <w:sz w:val="21"/>
        </w:rPr>
        <w:t>态</w:t>
      </w:r>
      <w:r>
        <w:rPr>
          <w:rFonts w:ascii="微软雅黑" w:hAnsi="微软雅黑" w:eastAsia="微软雅黑"/>
          <w:b/>
          <w:w w:val="90"/>
          <w:sz w:val="21"/>
        </w:rPr>
        <w:t>分</w:t>
      </w:r>
      <w:r>
        <w:rPr>
          <w:rFonts w:ascii="微软雅黑" w:hAnsi="微软雅黑" w:eastAsia="微软雅黑"/>
          <w:b/>
          <w:w w:val="90"/>
          <w:sz w:val="21"/>
        </w:rPr>
        <w:t>级</w:t>
      </w:r>
      <w:r>
        <w:rPr>
          <w:rFonts w:ascii="微软雅黑" w:hAnsi="微软雅黑" w:eastAsia="微软雅黑"/>
          <w:b/>
          <w:w w:val="90"/>
          <w:position w:val="11"/>
          <w:sz w:val="11"/>
        </w:rPr>
        <w:t>29</w:t>
      </w:r>
      <w:r>
        <w:rPr>
          <w:w w:val="90"/>
          <w:sz w:val="21"/>
        </w:rPr>
        <w:t>Ⅳ</w:t>
      </w:r>
      <w:r>
        <w:rPr>
          <w:w w:val="90"/>
          <w:sz w:val="21"/>
        </w:rPr>
        <w:t>级</w:t>
      </w:r>
      <w:r>
        <w:rPr>
          <w:w w:val="90"/>
          <w:sz w:val="21"/>
        </w:rPr>
        <w:t>，</w:t>
      </w:r>
      <w:r>
        <w:rPr>
          <w:w w:val="90"/>
          <w:sz w:val="21"/>
        </w:rPr>
        <w:t>且</w:t>
      </w:r>
      <w:r>
        <w:rPr>
          <w:w w:val="90"/>
          <w:sz w:val="21"/>
        </w:rPr>
        <w:t>静</w:t>
      </w:r>
      <w:r>
        <w:rPr>
          <w:w w:val="90"/>
          <w:sz w:val="21"/>
        </w:rPr>
        <w:t>息</w:t>
      </w:r>
      <w:r>
        <w:rPr>
          <w:w w:val="90"/>
          <w:sz w:val="21"/>
        </w:rPr>
        <w:t>状</w:t>
      </w:r>
      <w:r>
        <w:rPr>
          <w:w w:val="90"/>
          <w:sz w:val="21"/>
        </w:rPr>
        <w:t>态</w:t>
      </w:r>
      <w:r>
        <w:rPr>
          <w:spacing w:val="-10"/>
          <w:w w:val="90"/>
          <w:sz w:val="21"/>
        </w:rPr>
        <w:t>下</w:t>
      </w:r>
    </w:p>
    <w:p>
      <w:pPr>
        <w:spacing w:after="0" w:line="206" w:lineRule="auto"/>
        <w:jc w:val="both"/>
        <w:rPr>
          <w:sz w:val="21"/>
        </w:rPr>
        <w:sectPr>
          <w:type w:val="continuous"/>
          <w:pgSz w:w="11910" w:h="16840"/>
          <w:pgMar w:top="680" w:bottom="280" w:left="920" w:right="440"/>
          <w:cols w:num="2" w:equalWidth="0">
            <w:col w:w="2861" w:space="40"/>
            <w:col w:w="7649"/>
          </w:cols>
        </w:sectPr>
      </w:pPr>
    </w:p>
    <w:p>
      <w:pPr>
        <w:pStyle w:val="BodyText"/>
        <w:spacing w:before="7"/>
        <w:ind w:left="0"/>
        <w:rPr>
          <w:sz w:val="19"/>
        </w:rPr>
      </w:pPr>
    </w:p>
    <w:p>
      <w:pPr>
        <w:pStyle w:val="BodyText"/>
        <w:spacing w:line="20" w:lineRule="exact"/>
        <w:ind w:left="212"/>
        <w:rPr>
          <w:sz w:val="2"/>
        </w:rPr>
      </w:pPr>
      <w:r>
        <w:rPr>
          <w:sz w:val="2"/>
        </w:rPr>
        <w:drawing>
          <wp:inline distT="0" distB="0" distL="0" distR="0">
            <wp:extent cx="1829358" cy="9143"/>
            <wp:effectExtent l="0" t="0" r="0" b="0"/>
            <wp:docPr id="47" name="image3.png"/>
            <wp:cNvGraphicFramePr>
              <a:graphicFrameLocks noChangeAspect="1"/>
            </wp:cNvGraphicFramePr>
            <a:graphic>
              <a:graphicData uri="http://schemas.openxmlformats.org/drawingml/2006/picture">
                <pic:pic>
                  <pic:nvPicPr>
                    <pic:cNvPr id="48" name="image3.png"/>
                    <pic:cNvPicPr/>
                  </pic:nvPicPr>
                  <pic:blipFill>
                    <a:blip r:embed="rId7" cstate="print"/>
                    <a:stretch>
                      <a:fillRect/>
                    </a:stretch>
                  </pic:blipFill>
                  <pic:spPr>
                    <a:xfrm>
                      <a:off x="0" y="0"/>
                      <a:ext cx="1829358" cy="9143"/>
                    </a:xfrm>
                    <a:prstGeom prst="rect">
                      <a:avLst/>
                    </a:prstGeom>
                  </pic:spPr>
                </pic:pic>
              </a:graphicData>
            </a:graphic>
          </wp:inline>
        </w:drawing>
      </w:r>
      <w:r>
        <w:rPr>
          <w:sz w:val="2"/>
        </w:rPr>
      </w:r>
    </w:p>
    <w:p>
      <w:pPr>
        <w:spacing w:line="204" w:lineRule="auto" w:before="71"/>
        <w:ind w:left="212" w:right="0" w:firstLine="0"/>
        <w:jc w:val="left"/>
        <w:rPr>
          <w:sz w:val="18"/>
        </w:rPr>
      </w:pPr>
      <w:r>
        <w:rPr>
          <w:rFonts w:ascii="Calibri" w:eastAsia="Calibri"/>
          <w:b/>
          <w:w w:val="95"/>
          <w:position w:val="5"/>
          <w:sz w:val="12"/>
        </w:rPr>
        <w:t>29</w:t>
      </w:r>
      <w:r>
        <w:rPr>
          <w:rFonts w:ascii="微软雅黑" w:eastAsia="微软雅黑"/>
          <w:b/>
          <w:w w:val="95"/>
          <w:sz w:val="18"/>
        </w:rPr>
        <w:t>美</w:t>
      </w:r>
      <w:r>
        <w:rPr>
          <w:rFonts w:ascii="微软雅黑" w:eastAsia="微软雅黑"/>
          <w:b/>
          <w:w w:val="95"/>
          <w:sz w:val="18"/>
        </w:rPr>
        <w:t>国</w:t>
      </w:r>
      <w:r>
        <w:rPr>
          <w:rFonts w:ascii="微软雅黑" w:eastAsia="微软雅黑"/>
          <w:b/>
          <w:w w:val="95"/>
          <w:sz w:val="18"/>
        </w:rPr>
        <w:t>纽</w:t>
      </w:r>
      <w:r>
        <w:rPr>
          <w:rFonts w:ascii="微软雅黑" w:eastAsia="微软雅黑"/>
          <w:b/>
          <w:w w:val="95"/>
          <w:sz w:val="18"/>
        </w:rPr>
        <w:t>约心脏</w:t>
      </w:r>
      <w:r>
        <w:rPr>
          <w:rFonts w:ascii="微软雅黑" w:eastAsia="微软雅黑"/>
          <w:b/>
          <w:w w:val="95"/>
          <w:sz w:val="18"/>
        </w:rPr>
        <w:t>病</w:t>
      </w:r>
      <w:r>
        <w:rPr>
          <w:rFonts w:ascii="微软雅黑" w:eastAsia="微软雅黑"/>
          <w:b/>
          <w:w w:val="95"/>
          <w:sz w:val="18"/>
        </w:rPr>
        <w:t>学</w:t>
      </w:r>
      <w:r>
        <w:rPr>
          <w:rFonts w:ascii="微软雅黑" w:eastAsia="微软雅黑"/>
          <w:b/>
          <w:w w:val="95"/>
          <w:sz w:val="18"/>
        </w:rPr>
        <w:t>会（New</w:t>
      </w:r>
      <w:r>
        <w:rPr>
          <w:rFonts w:ascii="微软雅黑" w:eastAsia="微软雅黑"/>
          <w:b/>
          <w:spacing w:val="40"/>
          <w:sz w:val="18"/>
        </w:rPr>
        <w:t> </w:t>
      </w:r>
      <w:r>
        <w:rPr>
          <w:rFonts w:ascii="微软雅黑" w:eastAsia="微软雅黑"/>
          <w:b/>
          <w:w w:val="95"/>
          <w:sz w:val="18"/>
        </w:rPr>
        <w:t>York</w:t>
      </w:r>
      <w:r>
        <w:rPr>
          <w:rFonts w:ascii="微软雅黑" w:eastAsia="微软雅黑"/>
          <w:b/>
          <w:spacing w:val="40"/>
          <w:sz w:val="18"/>
        </w:rPr>
        <w:t> </w:t>
      </w:r>
      <w:r>
        <w:rPr>
          <w:rFonts w:ascii="微软雅黑" w:eastAsia="微软雅黑"/>
          <w:b/>
          <w:w w:val="95"/>
          <w:sz w:val="18"/>
        </w:rPr>
        <w:t>Heart</w:t>
      </w:r>
      <w:r>
        <w:rPr>
          <w:rFonts w:ascii="微软雅黑" w:eastAsia="微软雅黑"/>
          <w:b/>
          <w:spacing w:val="40"/>
          <w:sz w:val="18"/>
        </w:rPr>
        <w:t> </w:t>
      </w:r>
      <w:r>
        <w:rPr>
          <w:rFonts w:ascii="微软雅黑" w:eastAsia="微软雅黑"/>
          <w:b/>
          <w:spacing w:val="-4"/>
          <w:w w:val="67"/>
          <w:sz w:val="18"/>
        </w:rPr>
        <w:t>A</w:t>
      </w:r>
      <w:r>
        <w:rPr>
          <w:rFonts w:ascii="微软雅黑" w:eastAsia="微软雅黑"/>
          <w:b/>
          <w:spacing w:val="-1"/>
          <w:w w:val="102"/>
          <w:sz w:val="18"/>
        </w:rPr>
        <w:t>ss</w:t>
      </w:r>
      <w:r>
        <w:rPr>
          <w:rFonts w:ascii="微软雅黑" w:eastAsia="微软雅黑"/>
          <w:b/>
          <w:spacing w:val="-1"/>
          <w:w w:val="77"/>
          <w:sz w:val="18"/>
        </w:rPr>
        <w:t>o</w:t>
      </w:r>
      <w:r>
        <w:rPr>
          <w:rFonts w:ascii="微软雅黑" w:eastAsia="微软雅黑"/>
          <w:b/>
          <w:spacing w:val="-1"/>
          <w:w w:val="97"/>
          <w:sz w:val="18"/>
        </w:rPr>
        <w:t>c</w:t>
      </w:r>
      <w:r>
        <w:rPr>
          <w:rFonts w:ascii="微软雅黑" w:eastAsia="微软雅黑"/>
          <w:b/>
          <w:spacing w:val="-4"/>
          <w:w w:val="169"/>
          <w:sz w:val="18"/>
        </w:rPr>
        <w:t>i</w:t>
      </w:r>
      <w:r>
        <w:rPr>
          <w:rFonts w:ascii="微软雅黑" w:eastAsia="微软雅黑"/>
          <w:b/>
          <w:spacing w:val="-1"/>
          <w:w w:val="87"/>
          <w:sz w:val="18"/>
        </w:rPr>
        <w:t>a</w:t>
      </w:r>
      <w:r>
        <w:rPr>
          <w:rFonts w:ascii="微软雅黑" w:eastAsia="微软雅黑"/>
          <w:b/>
          <w:spacing w:val="-1"/>
          <w:w w:val="121"/>
          <w:sz w:val="18"/>
        </w:rPr>
        <w:t>t</w:t>
      </w:r>
      <w:r>
        <w:rPr>
          <w:rFonts w:ascii="微软雅黑" w:eastAsia="微软雅黑"/>
          <w:b/>
          <w:spacing w:val="-1"/>
          <w:w w:val="169"/>
          <w:sz w:val="18"/>
        </w:rPr>
        <w:t>i</w:t>
      </w:r>
      <w:r>
        <w:rPr>
          <w:rFonts w:ascii="微软雅黑" w:eastAsia="微软雅黑"/>
          <w:b/>
          <w:spacing w:val="-1"/>
          <w:w w:val="77"/>
          <w:sz w:val="18"/>
        </w:rPr>
        <w:t>o</w:t>
      </w:r>
      <w:r>
        <w:rPr>
          <w:rFonts w:ascii="微软雅黑" w:eastAsia="微软雅黑"/>
          <w:b/>
          <w:spacing w:val="5"/>
          <w:w w:val="78"/>
          <w:sz w:val="18"/>
        </w:rPr>
        <w:t>n</w:t>
      </w:r>
      <w:r>
        <w:rPr>
          <w:rFonts w:ascii="微软雅黑" w:eastAsia="微软雅黑"/>
          <w:b/>
          <w:w w:val="101"/>
          <w:sz w:val="18"/>
        </w:rPr>
        <w:t>，</w:t>
      </w:r>
      <w:r>
        <w:rPr>
          <w:rFonts w:ascii="微软雅黑" w:eastAsia="微软雅黑"/>
          <w:b/>
          <w:spacing w:val="-1"/>
          <w:w w:val="66"/>
          <w:sz w:val="18"/>
        </w:rPr>
        <w:t>NYHA</w:t>
      </w:r>
      <w:r>
        <w:rPr>
          <w:rFonts w:ascii="微软雅黑" w:eastAsia="微软雅黑"/>
          <w:b/>
          <w:spacing w:val="2"/>
          <w:w w:val="101"/>
          <w:sz w:val="18"/>
        </w:rPr>
        <w:t>）</w:t>
      </w:r>
      <w:r>
        <w:rPr>
          <w:rFonts w:ascii="微软雅黑" w:eastAsia="微软雅黑"/>
          <w:b/>
          <w:w w:val="95"/>
          <w:sz w:val="18"/>
        </w:rPr>
        <w:t>心</w:t>
      </w:r>
      <w:r>
        <w:rPr>
          <w:rFonts w:ascii="微软雅黑" w:eastAsia="微软雅黑"/>
          <w:b/>
          <w:w w:val="95"/>
          <w:sz w:val="18"/>
        </w:rPr>
        <w:t>功</w:t>
      </w:r>
      <w:r>
        <w:rPr>
          <w:rFonts w:ascii="微软雅黑" w:eastAsia="微软雅黑"/>
          <w:b/>
          <w:w w:val="95"/>
          <w:sz w:val="18"/>
        </w:rPr>
        <w:t>能状态</w:t>
      </w:r>
      <w:r>
        <w:rPr>
          <w:rFonts w:ascii="微软雅黑" w:eastAsia="微软雅黑"/>
          <w:b/>
          <w:w w:val="95"/>
          <w:sz w:val="18"/>
        </w:rPr>
        <w:t>分</w:t>
      </w:r>
      <w:r>
        <w:rPr>
          <w:rFonts w:ascii="微软雅黑" w:eastAsia="微软雅黑"/>
          <w:b/>
          <w:w w:val="95"/>
          <w:sz w:val="18"/>
        </w:rPr>
        <w:t>级</w:t>
      </w:r>
      <w:r>
        <w:rPr>
          <w:rFonts w:ascii="微软雅黑" w:eastAsia="微软雅黑"/>
          <w:b/>
          <w:w w:val="95"/>
          <w:sz w:val="18"/>
        </w:rPr>
        <w:t>：</w:t>
      </w:r>
      <w:r>
        <w:rPr>
          <w:w w:val="95"/>
          <w:sz w:val="18"/>
        </w:rPr>
        <w:t>美</w:t>
      </w:r>
      <w:r>
        <w:rPr>
          <w:w w:val="95"/>
          <w:sz w:val="18"/>
        </w:rPr>
        <w:t>国</w:t>
      </w:r>
      <w:r>
        <w:rPr>
          <w:w w:val="95"/>
          <w:sz w:val="18"/>
        </w:rPr>
        <w:t>纽</w:t>
      </w:r>
      <w:r>
        <w:rPr>
          <w:w w:val="95"/>
          <w:sz w:val="18"/>
        </w:rPr>
        <w:t>约</w:t>
      </w:r>
      <w:r>
        <w:rPr>
          <w:w w:val="95"/>
          <w:sz w:val="18"/>
        </w:rPr>
        <w:t>心</w:t>
      </w:r>
      <w:r>
        <w:rPr>
          <w:w w:val="95"/>
          <w:sz w:val="18"/>
        </w:rPr>
        <w:t>脏</w:t>
      </w:r>
      <w:r>
        <w:rPr>
          <w:w w:val="95"/>
          <w:sz w:val="18"/>
        </w:rPr>
        <w:t>病</w:t>
      </w:r>
      <w:r>
        <w:rPr>
          <w:w w:val="95"/>
          <w:sz w:val="18"/>
        </w:rPr>
        <w:t>学会（New York Heart</w:t>
      </w:r>
      <w:r>
        <w:rPr>
          <w:spacing w:val="40"/>
          <w:sz w:val="18"/>
        </w:rPr>
        <w:t> </w:t>
      </w:r>
      <w:r>
        <w:rPr>
          <w:spacing w:val="-2"/>
          <w:sz w:val="18"/>
        </w:rPr>
        <w:t>Association，NYHA）将心功能状态分为四级：</w:t>
      </w:r>
    </w:p>
    <w:p>
      <w:pPr>
        <w:spacing w:line="242" w:lineRule="auto" w:before="9"/>
        <w:ind w:left="573" w:right="2771" w:firstLine="0"/>
        <w:jc w:val="left"/>
        <w:rPr>
          <w:sz w:val="18"/>
        </w:rPr>
      </w:pPr>
      <w:r>
        <w:rPr>
          <w:spacing w:val="-2"/>
          <w:sz w:val="18"/>
        </w:rPr>
        <w:t>Ⅰ级：心脏病病人日常活动量不受限制，一般活动不引起乏力、呼吸困难等心衰症状。</w:t>
      </w:r>
      <w:r>
        <w:rPr>
          <w:spacing w:val="80"/>
          <w:sz w:val="18"/>
        </w:rPr>
        <w:t>  </w:t>
      </w:r>
      <w:r>
        <w:rPr>
          <w:spacing w:val="-2"/>
          <w:sz w:val="18"/>
        </w:rPr>
        <w:t>Ⅱ级：心脏病病人体力活动轻度受限制，休息时无自觉症状，一般活动下可出现心衰症状。 Ⅲ级：心脏病病人体力活动明显受限，低于平时一般活动即引起心衰症状。</w:t>
      </w:r>
    </w:p>
    <w:p>
      <w:pPr>
        <w:spacing w:after="0" w:line="242" w:lineRule="auto"/>
        <w:jc w:val="left"/>
        <w:rPr>
          <w:sz w:val="18"/>
        </w:rPr>
        <w:sectPr>
          <w:type w:val="continuous"/>
          <w:pgSz w:w="11910" w:h="16840"/>
          <w:pgMar w:top="68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29"/>
      </w:tblGrid>
      <w:tr>
        <w:trPr>
          <w:trHeight w:val="332" w:hRule="atLeast"/>
        </w:trPr>
        <w:tc>
          <w:tcPr>
            <w:tcW w:w="2823" w:type="dxa"/>
            <w:gridSpan w:val="2"/>
          </w:tcPr>
          <w:p>
            <w:pPr>
              <w:pStyle w:val="TableParagraph"/>
              <w:rPr>
                <w:rFonts w:ascii="Times New Roman"/>
                <w:sz w:val="20"/>
              </w:rPr>
            </w:pPr>
          </w:p>
        </w:tc>
        <w:tc>
          <w:tcPr>
            <w:tcW w:w="7029" w:type="dxa"/>
          </w:tcPr>
          <w:p>
            <w:pPr>
              <w:pStyle w:val="TableParagraph"/>
              <w:spacing w:line="232" w:lineRule="exact"/>
              <w:ind w:left="127"/>
              <w:rPr>
                <w:sz w:val="21"/>
              </w:rPr>
            </w:pPr>
            <w:r>
              <w:rPr>
                <w:spacing w:val="-7"/>
                <w:sz w:val="21"/>
              </w:rPr>
              <w:t>肺动脉平均压在 </w:t>
            </w:r>
            <w:r>
              <w:rPr>
                <w:spacing w:val="-2"/>
                <w:sz w:val="21"/>
              </w:rPr>
              <w:t>36mmHg（含）</w:t>
            </w:r>
            <w:r>
              <w:rPr>
                <w:spacing w:val="-5"/>
                <w:sz w:val="21"/>
              </w:rPr>
              <w:t>以上。</w:t>
            </w:r>
          </w:p>
        </w:tc>
      </w:tr>
      <w:tr>
        <w:trPr>
          <w:trHeight w:val="383"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10.1.22</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严重运动神经元</w:t>
            </w:r>
          </w:p>
        </w:tc>
        <w:tc>
          <w:tcPr>
            <w:tcW w:w="7029" w:type="dxa"/>
          </w:tcPr>
          <w:p>
            <w:pPr>
              <w:pStyle w:val="TableParagraph"/>
              <w:spacing w:before="84"/>
              <w:ind w:left="127"/>
              <w:rPr>
                <w:sz w:val="21"/>
              </w:rPr>
            </w:pPr>
            <w:r>
              <w:rPr>
                <w:spacing w:val="-3"/>
                <w:sz w:val="21"/>
              </w:rPr>
              <w:t>是一组中枢神经系统运动神经元的进行性变性疾病，包括进行性脊肌萎缩</w:t>
            </w:r>
          </w:p>
        </w:tc>
      </w:tr>
      <w:tr>
        <w:trPr>
          <w:trHeight w:val="311"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w w:val="100"/>
                <w:sz w:val="21"/>
              </w:rPr>
              <w:t>病</w:t>
            </w:r>
          </w:p>
        </w:tc>
        <w:tc>
          <w:tcPr>
            <w:tcW w:w="7029" w:type="dxa"/>
          </w:tcPr>
          <w:p>
            <w:pPr>
              <w:pStyle w:val="TableParagraph"/>
              <w:spacing w:before="13"/>
              <w:ind w:left="127"/>
              <w:rPr>
                <w:sz w:val="21"/>
              </w:rPr>
            </w:pPr>
            <w:r>
              <w:rPr>
                <w:spacing w:val="-5"/>
                <w:sz w:val="21"/>
              </w:rPr>
              <w:t>症、进行性延髓麻痹症、原发性侧索硬化症、肌萎缩性侧索硬化症,经相关</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3"/>
                <w:sz w:val="21"/>
              </w:rPr>
              <w:t>专科医生确诊，且须满足下列至少一项条件：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(1)</w:t>
            </w:r>
            <w:r>
              <w:rPr>
                <w:spacing w:val="-3"/>
                <w:sz w:val="21"/>
              </w:rPr>
              <w:t>严重咀嚼吞咽功能障碍；</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(2)</w:t>
            </w:r>
            <w:r>
              <w:rPr>
                <w:spacing w:val="-9"/>
                <w:sz w:val="21"/>
              </w:rPr>
              <w:t>呼吸肌麻痹导致严重呼吸困难，且已经持续使用呼吸机 </w:t>
            </w:r>
            <w:r>
              <w:rPr>
                <w:spacing w:val="-2"/>
                <w:sz w:val="21"/>
              </w:rPr>
              <w:t>7</w:t>
            </w:r>
            <w:r>
              <w:rPr>
                <w:spacing w:val="-54"/>
                <w:sz w:val="21"/>
              </w:rPr>
              <w:t> 天</w:t>
            </w:r>
            <w:r>
              <w:rPr>
                <w:spacing w:val="-2"/>
                <w:sz w:val="21"/>
              </w:rPr>
              <w:t>（含</w:t>
            </w:r>
            <w:r>
              <w:rPr>
                <w:spacing w:val="-63"/>
                <w:sz w:val="21"/>
              </w:rPr>
              <w:t>）</w:t>
            </w:r>
            <w:r>
              <w:rPr>
                <w:spacing w:val="-5"/>
                <w:sz w:val="21"/>
              </w:rPr>
              <w:t>以上；</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(3)</w:t>
            </w:r>
            <w:r>
              <w:rPr>
                <w:spacing w:val="-10"/>
                <w:sz w:val="21"/>
              </w:rPr>
              <w:t>自主生活能力完全丧失，无法独立完成六项基本日常生活活动中的三项</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4"/>
                <w:sz w:val="21"/>
              </w:rPr>
              <w:t>或三项以上。</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10.1.23</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语言能力丧失</w:t>
            </w:r>
          </w:p>
        </w:tc>
        <w:tc>
          <w:tcPr>
            <w:tcW w:w="7029" w:type="dxa"/>
          </w:tcPr>
          <w:p>
            <w:pPr>
              <w:pStyle w:val="TableParagraph"/>
              <w:spacing w:before="84"/>
              <w:ind w:left="129"/>
              <w:rPr>
                <w:sz w:val="21"/>
              </w:rPr>
            </w:pPr>
            <w:r>
              <w:rPr>
                <w:spacing w:val="-1"/>
                <w:sz w:val="21"/>
              </w:rPr>
              <w:t>指因疾病或意外伤害导致语言能力完全丧失，经过积极治疗至少 </w:t>
            </w:r>
            <w:r>
              <w:rPr>
                <w:sz w:val="21"/>
              </w:rPr>
              <w:t>12</w:t>
            </w:r>
            <w:r>
              <w:rPr>
                <w:spacing w:val="-6"/>
                <w:sz w:val="21"/>
              </w:rPr>
              <w:t> 个月</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（声带完全切除不受此时间限制</w:t>
            </w:r>
            <w:r>
              <w:rPr>
                <w:spacing w:val="-106"/>
                <w:sz w:val="21"/>
              </w:rPr>
              <w:t>）</w:t>
            </w:r>
            <w:r>
              <w:rPr>
                <w:spacing w:val="-4"/>
                <w:sz w:val="21"/>
              </w:rPr>
              <w:t>，仍无法通过现有医疗手段恢复。</w:t>
            </w:r>
          </w:p>
        </w:tc>
      </w:tr>
      <w:tr>
        <w:trPr>
          <w:trHeight w:val="39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3"/>
              <w:ind w:left="127"/>
              <w:rPr>
                <w:sz w:val="21"/>
              </w:rPr>
            </w:pPr>
            <w:r>
              <w:rPr>
                <w:color w:val="000000"/>
                <w:spacing w:val="-3"/>
                <w:sz w:val="21"/>
                <w:shd w:fill="A6A6A6" w:color="auto" w:val="clear"/>
              </w:rPr>
              <w:t>精神心理因素所致的语言能力丧失不在保障范围内。</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2"/>
              <w:ind w:left="127"/>
              <w:rPr>
                <w:sz w:val="21"/>
              </w:rPr>
            </w:pPr>
            <w:r>
              <w:rPr>
                <w:color w:val="000000"/>
                <w:spacing w:val="-3"/>
                <w:sz w:val="21"/>
                <w:shd w:fill="A6A6A6" w:color="auto" w:val="clear"/>
              </w:rPr>
              <w:t>除声带完全切除外，被保险人申请理赔时年龄必须年满三周岁，并且提供</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3"/>
                <w:sz w:val="21"/>
                <w:shd w:fill="A6A6A6" w:color="auto" w:val="clear"/>
              </w:rPr>
              <w:t>理赔当时的语言能力丧失诊断及检查证据。</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10.1.24</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重型再生障碍性</w:t>
            </w:r>
          </w:p>
        </w:tc>
        <w:tc>
          <w:tcPr>
            <w:tcW w:w="7029" w:type="dxa"/>
          </w:tcPr>
          <w:p>
            <w:pPr>
              <w:pStyle w:val="TableParagraph"/>
              <w:spacing w:before="84"/>
              <w:ind w:left="127"/>
              <w:rPr>
                <w:sz w:val="21"/>
              </w:rPr>
            </w:pPr>
            <w:r>
              <w:rPr>
                <w:spacing w:val="-3"/>
                <w:sz w:val="21"/>
              </w:rPr>
              <w:t>指因骨髓造血功能慢性持续性衰竭导致的贫血、中性粒细胞减少及血小板</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5"/>
                <w:sz w:val="21"/>
              </w:rPr>
              <w:t>贫血</w:t>
            </w:r>
          </w:p>
        </w:tc>
        <w:tc>
          <w:tcPr>
            <w:tcW w:w="7029" w:type="dxa"/>
          </w:tcPr>
          <w:p>
            <w:pPr>
              <w:pStyle w:val="TableParagraph"/>
              <w:spacing w:before="13"/>
              <w:ind w:left="127"/>
              <w:rPr>
                <w:sz w:val="21"/>
              </w:rPr>
            </w:pPr>
            <w:r>
              <w:rPr>
                <w:spacing w:val="-3"/>
                <w:sz w:val="21"/>
              </w:rPr>
              <w:t>减少，且须满足下列全部条件：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z w:val="21"/>
              </w:rPr>
              <w:t>(1</w:t>
            </w:r>
            <w:r>
              <w:rPr>
                <w:spacing w:val="-1"/>
                <w:sz w:val="21"/>
              </w:rPr>
              <w:t>)骨髓穿刺检查或骨髓活检结果支持诊断：骨髓细胞增生程度＜正常的</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25%</w:t>
            </w:r>
            <w:r>
              <w:rPr>
                <w:spacing w:val="-8"/>
                <w:sz w:val="21"/>
              </w:rPr>
              <w:t>；如≥正常的 </w:t>
            </w:r>
            <w:r>
              <w:rPr>
                <w:spacing w:val="-2"/>
                <w:sz w:val="21"/>
              </w:rPr>
              <w:t>25%但＜50%，则残存的造血细胞应＜30%；</w:t>
            </w:r>
          </w:p>
        </w:tc>
      </w:tr>
      <w:tr>
        <w:trPr>
          <w:trHeight w:val="1318"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(2)</w:t>
            </w:r>
            <w:r>
              <w:rPr>
                <w:spacing w:val="-3"/>
                <w:sz w:val="21"/>
              </w:rPr>
              <w:t>外周血象须具备以下三项条件中的两项：</w:t>
            </w:r>
          </w:p>
          <w:p>
            <w:pPr>
              <w:pStyle w:val="TableParagraph"/>
              <w:spacing w:before="33"/>
              <w:ind w:left="127"/>
              <w:rPr>
                <w:sz w:val="21"/>
              </w:rPr>
            </w:pPr>
            <w:r>
              <w:rPr>
                <w:spacing w:val="-2"/>
                <w:sz w:val="21"/>
              </w:rPr>
              <w:t>①中性粒细胞绝对值＜0.5×10</w:t>
            </w:r>
            <w:r>
              <w:rPr>
                <w:spacing w:val="-2"/>
                <w:position w:val="11"/>
                <w:sz w:val="11"/>
              </w:rPr>
              <w:t>9</w:t>
            </w:r>
            <w:r>
              <w:rPr>
                <w:spacing w:val="-2"/>
                <w:sz w:val="21"/>
              </w:rPr>
              <w:t>/L；</w:t>
            </w:r>
          </w:p>
          <w:p>
            <w:pPr>
              <w:pStyle w:val="TableParagraph"/>
              <w:spacing w:before="33"/>
              <w:ind w:left="127"/>
              <w:rPr>
                <w:sz w:val="21"/>
              </w:rPr>
            </w:pPr>
            <w:r>
              <w:rPr>
                <w:spacing w:val="-2"/>
                <w:sz w:val="21"/>
              </w:rPr>
              <w:t>②网织红细胞计数＜20×10</w:t>
            </w:r>
            <w:r>
              <w:rPr>
                <w:spacing w:val="-2"/>
                <w:position w:val="11"/>
                <w:sz w:val="11"/>
              </w:rPr>
              <w:t>9</w:t>
            </w:r>
            <w:r>
              <w:rPr>
                <w:spacing w:val="-2"/>
                <w:sz w:val="21"/>
              </w:rPr>
              <w:t>/L；</w:t>
            </w:r>
          </w:p>
          <w:p>
            <w:pPr>
              <w:pStyle w:val="TableParagraph"/>
              <w:spacing w:before="33"/>
              <w:ind w:left="127"/>
              <w:rPr>
                <w:sz w:val="21"/>
              </w:rPr>
            </w:pPr>
            <w:r>
              <w:rPr>
                <w:spacing w:val="-2"/>
                <w:sz w:val="21"/>
              </w:rPr>
              <w:t>③血小板绝对值＜20×10</w:t>
            </w:r>
            <w:r>
              <w:rPr>
                <w:spacing w:val="-2"/>
                <w:position w:val="11"/>
                <w:sz w:val="11"/>
              </w:rPr>
              <w:t>9</w:t>
            </w:r>
            <w:r>
              <w:rPr>
                <w:spacing w:val="-2"/>
                <w:sz w:val="21"/>
              </w:rPr>
              <w:t>/L</w:t>
            </w:r>
            <w:r>
              <w:rPr>
                <w:spacing w:val="-12"/>
                <w:sz w:val="21"/>
              </w:rPr>
              <w:t>。</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10.1.25</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主动脉手术</w:t>
            </w:r>
          </w:p>
        </w:tc>
        <w:tc>
          <w:tcPr>
            <w:tcW w:w="7029" w:type="dxa"/>
          </w:tcPr>
          <w:p>
            <w:pPr>
              <w:pStyle w:val="TableParagraph"/>
              <w:spacing w:before="84"/>
              <w:ind w:left="129"/>
              <w:rPr>
                <w:sz w:val="21"/>
              </w:rPr>
            </w:pPr>
            <w:r>
              <w:rPr>
                <w:spacing w:val="-2"/>
                <w:sz w:val="21"/>
              </w:rPr>
              <w:t>指为治疗主动脉疾病或主动脉创伤，已经实施了开胸（含胸腔镜下）</w:t>
            </w:r>
            <w:r>
              <w:rPr>
                <w:spacing w:val="-6"/>
                <w:sz w:val="21"/>
              </w:rPr>
              <w:t>或开</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腹（含腹腔镜下）</w:t>
            </w:r>
            <w:r>
              <w:rPr>
                <w:spacing w:val="-3"/>
                <w:sz w:val="21"/>
              </w:rPr>
              <w:t>进行的切除、置换、修补病损主动脉血管、主动脉创伤</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后修复的手术。主动脉指升主动脉、主动脉弓和降主动脉（</w:t>
            </w:r>
            <w:r>
              <w:rPr>
                <w:spacing w:val="-4"/>
                <w:sz w:val="21"/>
              </w:rPr>
              <w:t>含胸主动脉和</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腹主动脉</w:t>
            </w:r>
            <w:r>
              <w:rPr>
                <w:spacing w:val="-108"/>
                <w:sz w:val="21"/>
              </w:rPr>
              <w:t>）</w:t>
            </w:r>
            <w:r>
              <w:rPr>
                <w:spacing w:val="-3"/>
                <w:sz w:val="21"/>
              </w:rPr>
              <w:t>，不包括升主动脉、主动脉弓和降主动脉的分支血管。</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3"/>
              <w:ind w:left="127"/>
              <w:rPr>
                <w:sz w:val="21"/>
              </w:rPr>
            </w:pPr>
            <w:r>
              <w:rPr>
                <w:color w:val="000000"/>
                <w:spacing w:val="-3"/>
                <w:sz w:val="21"/>
                <w:shd w:fill="A6A6A6" w:color="auto" w:val="clear"/>
              </w:rPr>
              <w:t>所有未实施开胸或开腹的动脉内介入治疗不在保障范围内。</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10.1.26</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严重慢性呼吸衰</w:t>
            </w:r>
          </w:p>
        </w:tc>
        <w:tc>
          <w:tcPr>
            <w:tcW w:w="7029" w:type="dxa"/>
          </w:tcPr>
          <w:p>
            <w:pPr>
              <w:pStyle w:val="TableParagraph"/>
              <w:spacing w:before="84"/>
              <w:ind w:left="127"/>
              <w:rPr>
                <w:sz w:val="21"/>
              </w:rPr>
            </w:pPr>
            <w:r>
              <w:rPr>
                <w:spacing w:val="-1"/>
                <w:sz w:val="21"/>
              </w:rPr>
              <w:t>指因慢性呼吸系统疾病导致永久不可逆性的呼吸衰竭，经过积极治疗 </w:t>
            </w:r>
            <w:r>
              <w:rPr>
                <w:spacing w:val="-5"/>
                <w:sz w:val="21"/>
              </w:rPr>
              <w:t>180</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w w:val="100"/>
                <w:sz w:val="21"/>
              </w:rPr>
              <w:t>竭</w:t>
            </w:r>
          </w:p>
        </w:tc>
        <w:tc>
          <w:tcPr>
            <w:tcW w:w="7029" w:type="dxa"/>
          </w:tcPr>
          <w:p>
            <w:pPr>
              <w:pStyle w:val="TableParagraph"/>
              <w:spacing w:before="13"/>
              <w:ind w:left="127"/>
              <w:rPr>
                <w:sz w:val="21"/>
              </w:rPr>
            </w:pPr>
            <w:r>
              <w:rPr>
                <w:spacing w:val="-3"/>
                <w:sz w:val="21"/>
              </w:rPr>
              <w:t>天后满足以下所有条件：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(1)</w:t>
            </w:r>
            <w:r>
              <w:rPr>
                <w:spacing w:val="-3"/>
                <w:sz w:val="21"/>
              </w:rPr>
              <w:t>静息时出现呼吸困难；</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2"/>
              <w:ind w:left="127"/>
              <w:rPr>
                <w:sz w:val="21"/>
              </w:rPr>
            </w:pPr>
            <w:r>
              <w:rPr>
                <w:spacing w:val="-2"/>
                <w:position w:val="1"/>
                <w:sz w:val="21"/>
              </w:rPr>
              <w:t>(2)肺功能第一秒用力呼气容积（FEV</w:t>
            </w:r>
            <w:r>
              <w:rPr>
                <w:spacing w:val="-2"/>
                <w:sz w:val="11"/>
              </w:rPr>
              <w:t>1</w:t>
            </w:r>
            <w:r>
              <w:rPr>
                <w:spacing w:val="-2"/>
                <w:position w:val="1"/>
                <w:sz w:val="21"/>
              </w:rPr>
              <w:t>）占预计值的百分比＜30%；</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position w:val="1"/>
                <w:sz w:val="21"/>
              </w:rPr>
              <w:t>(3)在静息状态、呼吸空气条件下，动脉血氧分压（PaO</w:t>
            </w:r>
            <w:r>
              <w:rPr>
                <w:spacing w:val="-2"/>
                <w:sz w:val="11"/>
              </w:rPr>
              <w:t>2</w:t>
            </w:r>
            <w:r>
              <w:rPr>
                <w:spacing w:val="-2"/>
                <w:position w:val="1"/>
                <w:sz w:val="21"/>
              </w:rPr>
              <w:t>）＜50mmHg</w:t>
            </w:r>
            <w:r>
              <w:rPr>
                <w:spacing w:val="-10"/>
                <w:position w:val="1"/>
                <w:sz w:val="21"/>
              </w:rPr>
              <w:t>。</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10.1.27</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严重克罗恩病</w:t>
            </w:r>
          </w:p>
        </w:tc>
        <w:tc>
          <w:tcPr>
            <w:tcW w:w="7029" w:type="dxa"/>
          </w:tcPr>
          <w:p>
            <w:pPr>
              <w:pStyle w:val="TableParagraph"/>
              <w:spacing w:before="84"/>
              <w:ind w:left="127"/>
              <w:rPr>
                <w:sz w:val="21"/>
              </w:rPr>
            </w:pPr>
            <w:r>
              <w:rPr>
                <w:sz w:val="21"/>
              </w:rPr>
              <w:t>指一种慢性肉芽肿性肠炎，具有特征性的克罗恩病（Crohn</w:t>
            </w:r>
            <w:r>
              <w:rPr>
                <w:spacing w:val="-9"/>
                <w:sz w:val="21"/>
              </w:rPr>
              <w:t> 病</w:t>
            </w:r>
            <w:r>
              <w:rPr>
                <w:sz w:val="21"/>
              </w:rPr>
              <w:t>）</w:t>
            </w:r>
            <w:r>
              <w:rPr>
                <w:spacing w:val="-3"/>
                <w:sz w:val="21"/>
              </w:rPr>
              <w:t>病理组织</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3"/>
                <w:sz w:val="21"/>
              </w:rPr>
              <w:t>学变化，须根据组织病理学特点诊断，且已经造成瘘管形成并伴有肠梗阻</w:t>
            </w:r>
          </w:p>
        </w:tc>
      </w:tr>
      <w:tr>
        <w:trPr>
          <w:trHeight w:val="38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4"/>
                <w:sz w:val="21"/>
              </w:rPr>
              <w:t>或肠穿孔。</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10.1.28</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严重溃疡性结肠</w:t>
            </w:r>
          </w:p>
        </w:tc>
        <w:tc>
          <w:tcPr>
            <w:tcW w:w="7029" w:type="dxa"/>
          </w:tcPr>
          <w:p>
            <w:pPr>
              <w:pStyle w:val="TableParagraph"/>
              <w:spacing w:before="84"/>
              <w:ind w:left="127"/>
              <w:rPr>
                <w:sz w:val="21"/>
              </w:rPr>
            </w:pPr>
            <w:r>
              <w:rPr>
                <w:spacing w:val="-3"/>
                <w:sz w:val="21"/>
              </w:rPr>
              <w:t>指伴有致命性电解质紊乱的急性暴发性溃疡性结肠炎，病变已经累及全结</w:t>
            </w:r>
          </w:p>
        </w:tc>
      </w:tr>
      <w:tr>
        <w:trPr>
          <w:trHeight w:val="311"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w w:val="100"/>
                <w:sz w:val="21"/>
              </w:rPr>
              <w:t>炎</w:t>
            </w:r>
          </w:p>
        </w:tc>
        <w:tc>
          <w:tcPr>
            <w:tcW w:w="7029" w:type="dxa"/>
          </w:tcPr>
          <w:p>
            <w:pPr>
              <w:pStyle w:val="TableParagraph"/>
              <w:spacing w:before="13"/>
              <w:ind w:left="127"/>
              <w:rPr>
                <w:sz w:val="21"/>
              </w:rPr>
            </w:pPr>
            <w:r>
              <w:rPr>
                <w:spacing w:val="-3"/>
                <w:sz w:val="21"/>
              </w:rPr>
              <w:t>肠，表现为严重的血便和系统性症状体征，须根据组织病理学特点诊断，</w:t>
            </w:r>
          </w:p>
        </w:tc>
      </w:tr>
      <w:tr>
        <w:trPr>
          <w:trHeight w:val="38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3"/>
                <w:sz w:val="21"/>
              </w:rPr>
              <w:t>且已经实施了结肠切除或回肠造瘘术。</w:t>
            </w:r>
          </w:p>
        </w:tc>
      </w:tr>
      <w:tr>
        <w:trPr>
          <w:trHeight w:val="333" w:hRule="atLeast"/>
        </w:trPr>
        <w:tc>
          <w:tcPr>
            <w:tcW w:w="1005" w:type="dxa"/>
          </w:tcPr>
          <w:p>
            <w:pPr>
              <w:pStyle w:val="TableParagraph"/>
              <w:spacing w:line="296" w:lineRule="exact" w:before="18"/>
              <w:ind w:left="50"/>
              <w:rPr>
                <w:rFonts w:ascii="微软雅黑"/>
                <w:b/>
                <w:sz w:val="21"/>
              </w:rPr>
            </w:pPr>
            <w:r>
              <w:rPr>
                <w:rFonts w:ascii="微软雅黑"/>
                <w:b/>
                <w:spacing w:val="-2"/>
                <w:sz w:val="21"/>
              </w:rPr>
              <w:t>10.1.29</w:t>
            </w:r>
          </w:p>
        </w:tc>
        <w:tc>
          <w:tcPr>
            <w:tcW w:w="1818" w:type="dxa"/>
          </w:tcPr>
          <w:p>
            <w:pPr>
              <w:pStyle w:val="TableParagraph"/>
              <w:spacing w:line="296" w:lineRule="exact" w:before="18"/>
              <w:ind w:left="214"/>
              <w:rPr>
                <w:rFonts w:ascii="微软雅黑" w:eastAsia="微软雅黑"/>
                <w:b/>
                <w:sz w:val="21"/>
              </w:rPr>
            </w:pPr>
            <w:r>
              <w:rPr>
                <w:rFonts w:ascii="微软雅黑" w:eastAsia="微软雅黑"/>
                <w:b/>
                <w:spacing w:val="-2"/>
                <w:sz w:val="21"/>
              </w:rPr>
              <w:t>严重多发性硬化</w:t>
            </w:r>
          </w:p>
        </w:tc>
        <w:tc>
          <w:tcPr>
            <w:tcW w:w="7029" w:type="dxa"/>
          </w:tcPr>
          <w:p>
            <w:pPr>
              <w:pStyle w:val="TableParagraph"/>
              <w:spacing w:line="228" w:lineRule="exact" w:before="85"/>
              <w:ind w:left="127"/>
              <w:rPr>
                <w:sz w:val="21"/>
              </w:rPr>
            </w:pPr>
            <w:r>
              <w:rPr>
                <w:spacing w:val="-3"/>
                <w:sz w:val="21"/>
              </w:rPr>
              <w:t>多发性硬化为中枢神经系统白质多灶性脱髓鞘病变，病变有时累及灰质。</w:t>
            </w:r>
          </w:p>
        </w:tc>
      </w:tr>
    </w:tbl>
    <w:p>
      <w:pPr>
        <w:pStyle w:val="BodyText"/>
        <w:ind w:left="0"/>
        <w:rPr>
          <w:sz w:val="20"/>
        </w:rPr>
      </w:pPr>
    </w:p>
    <w:p>
      <w:pPr>
        <w:pStyle w:val="BodyText"/>
        <w:spacing w:before="2"/>
        <w:ind w:left="0"/>
        <w:rPr>
          <w:sz w:val="16"/>
        </w:rPr>
      </w:pPr>
      <w:r>
        <w:rPr/>
        <w:drawing>
          <wp:anchor distT="0" distB="0" distL="0" distR="0" allowOverlap="1" layoutInCell="1" locked="0" behindDoc="0" simplePos="0" relativeHeight="26">
            <wp:simplePos x="0" y="0"/>
            <wp:positionH relativeFrom="page">
              <wp:posOffset>719327</wp:posOffset>
            </wp:positionH>
            <wp:positionV relativeFrom="paragraph">
              <wp:posOffset>147110</wp:posOffset>
            </wp:positionV>
            <wp:extent cx="6121398" cy="9143"/>
            <wp:effectExtent l="0" t="0" r="0" b="0"/>
            <wp:wrapTopAndBottom/>
            <wp:docPr id="49" name="image8.png"/>
            <wp:cNvGraphicFramePr>
              <a:graphicFrameLocks noChangeAspect="1"/>
            </wp:cNvGraphicFramePr>
            <a:graphic>
              <a:graphicData uri="http://schemas.openxmlformats.org/drawingml/2006/picture">
                <pic:pic>
                  <pic:nvPicPr>
                    <pic:cNvPr id="50" name="image8.png"/>
                    <pic:cNvPicPr/>
                  </pic:nvPicPr>
                  <pic:blipFill>
                    <a:blip r:embed="rId12" cstate="print"/>
                    <a:stretch>
                      <a:fillRect/>
                    </a:stretch>
                  </pic:blipFill>
                  <pic:spPr>
                    <a:xfrm>
                      <a:off x="0" y="0"/>
                      <a:ext cx="6121398" cy="9143"/>
                    </a:xfrm>
                    <a:prstGeom prst="rect">
                      <a:avLst/>
                    </a:prstGeom>
                  </pic:spPr>
                </pic:pic>
              </a:graphicData>
            </a:graphic>
          </wp:anchor>
        </w:drawing>
      </w:r>
    </w:p>
    <w:p>
      <w:pPr>
        <w:spacing w:before="98"/>
        <w:ind w:left="573" w:right="0" w:firstLine="0"/>
        <w:jc w:val="left"/>
        <w:rPr>
          <w:sz w:val="18"/>
        </w:rPr>
      </w:pPr>
      <w:r>
        <w:rPr>
          <w:spacing w:val="-1"/>
          <w:sz w:val="18"/>
        </w:rPr>
        <w:t>Ⅳ级：心脏病病人不能从事任何体力活动，休息状态下也存在心衰症状，活动后加重。</w:t>
      </w:r>
    </w:p>
    <w:p>
      <w:pPr>
        <w:spacing w:after="0"/>
        <w:jc w:val="left"/>
        <w:rPr>
          <w:sz w:val="18"/>
        </w:rPr>
        <w:sectPr>
          <w:pgSz w:w="11910" w:h="16840"/>
          <w:pgMar w:top="146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31"/>
      </w:tblGrid>
      <w:tr>
        <w:trPr>
          <w:trHeight w:val="1580" w:hRule="atLeast"/>
        </w:trPr>
        <w:tc>
          <w:tcPr>
            <w:tcW w:w="1005" w:type="dxa"/>
          </w:tcPr>
          <w:p>
            <w:pPr>
              <w:pStyle w:val="TableParagraph"/>
              <w:rPr>
                <w:rFonts w:ascii="Times New Roman"/>
                <w:sz w:val="20"/>
              </w:rPr>
            </w:pPr>
          </w:p>
        </w:tc>
        <w:tc>
          <w:tcPr>
            <w:tcW w:w="1818" w:type="dxa"/>
          </w:tcPr>
          <w:p>
            <w:pPr>
              <w:pStyle w:val="TableParagraph"/>
              <w:spacing w:line="283" w:lineRule="exact"/>
              <w:ind w:left="214"/>
              <w:rPr>
                <w:rFonts w:ascii="微软雅黑" w:eastAsia="微软雅黑"/>
                <w:b/>
                <w:sz w:val="21"/>
              </w:rPr>
            </w:pPr>
            <w:r>
              <w:rPr>
                <w:rFonts w:ascii="微软雅黑" w:eastAsia="微软雅黑"/>
                <w:b/>
                <w:w w:val="100"/>
                <w:sz w:val="21"/>
              </w:rPr>
              <w:t>症</w:t>
            </w:r>
          </w:p>
        </w:tc>
        <w:tc>
          <w:tcPr>
            <w:tcW w:w="7031" w:type="dxa"/>
          </w:tcPr>
          <w:p>
            <w:pPr>
              <w:pStyle w:val="TableParagraph"/>
              <w:spacing w:line="232" w:lineRule="exact"/>
              <w:ind w:left="127"/>
              <w:rPr>
                <w:sz w:val="21"/>
              </w:rPr>
            </w:pPr>
            <w:r>
              <w:rPr>
                <w:spacing w:val="-10"/>
                <w:sz w:val="21"/>
              </w:rPr>
              <w:t>多发性硬化必须明确诊断，并且已经造成永久不可逆的神经系统功能损害。</w:t>
            </w:r>
          </w:p>
          <w:p>
            <w:pPr>
              <w:pStyle w:val="TableParagraph"/>
              <w:spacing w:line="278" w:lineRule="auto" w:before="43"/>
              <w:ind w:left="127" w:right="152"/>
              <w:rPr>
                <w:sz w:val="21"/>
              </w:rPr>
            </w:pPr>
            <w:r>
              <w:rPr>
                <w:spacing w:val="-4"/>
                <w:sz w:val="21"/>
              </w:rPr>
              <w:t>永久不可逆的神经系统损害指被保险人持续 </w:t>
            </w:r>
            <w:r>
              <w:rPr>
                <w:spacing w:val="-2"/>
                <w:sz w:val="21"/>
              </w:rPr>
              <w:t>180</w:t>
            </w:r>
            <w:r>
              <w:rPr>
                <w:spacing w:val="-7"/>
                <w:sz w:val="21"/>
              </w:rPr>
              <w:t> 天无法独立完成下列基本</w:t>
            </w:r>
            <w:r>
              <w:rPr>
                <w:spacing w:val="-2"/>
                <w:sz w:val="21"/>
              </w:rPr>
              <w:t>日常生活活动：</w:t>
            </w:r>
          </w:p>
          <w:p>
            <w:pPr>
              <w:pStyle w:val="TableParagraph"/>
              <w:spacing w:line="278" w:lineRule="auto"/>
              <w:ind w:left="127" w:right="1752"/>
              <w:rPr>
                <w:sz w:val="21"/>
              </w:rPr>
            </w:pPr>
            <w:r>
              <w:rPr>
                <w:spacing w:val="-2"/>
                <w:sz w:val="21"/>
              </w:rPr>
              <w:t>(1)移动：自己从一个房间移动到另一个房间；或者</w:t>
            </w:r>
            <w:r>
              <w:rPr>
                <w:spacing w:val="80"/>
                <w:w w:val="150"/>
                <w:sz w:val="21"/>
              </w:rPr>
              <w:t> </w:t>
            </w:r>
            <w:r>
              <w:rPr>
                <w:spacing w:val="-2"/>
                <w:sz w:val="21"/>
              </w:rPr>
              <w:t>(2)进食：自己从已准备好的碗或碟中取食物放入口中。</w:t>
            </w:r>
          </w:p>
        </w:tc>
      </w:tr>
      <w:tr>
        <w:trPr>
          <w:trHeight w:val="2325" w:hRule="atLeast"/>
        </w:trPr>
        <w:tc>
          <w:tcPr>
            <w:tcW w:w="1005" w:type="dxa"/>
          </w:tcPr>
          <w:p>
            <w:pPr>
              <w:pStyle w:val="TableParagraph"/>
              <w:spacing w:before="17"/>
              <w:ind w:left="50"/>
              <w:rPr>
                <w:rFonts w:ascii="微软雅黑"/>
                <w:b/>
                <w:sz w:val="21"/>
              </w:rPr>
            </w:pPr>
            <w:r>
              <w:rPr>
                <w:rFonts w:ascii="微软雅黑"/>
                <w:b/>
                <w:spacing w:val="-2"/>
                <w:sz w:val="21"/>
              </w:rPr>
              <w:t>10.1.30</w:t>
            </w:r>
          </w:p>
        </w:tc>
        <w:tc>
          <w:tcPr>
            <w:tcW w:w="1818" w:type="dxa"/>
          </w:tcPr>
          <w:p>
            <w:pPr>
              <w:pStyle w:val="TableParagraph"/>
              <w:spacing w:before="17"/>
              <w:ind w:left="214"/>
              <w:rPr>
                <w:rFonts w:ascii="微软雅黑" w:hAnsi="微软雅黑" w:eastAsia="微软雅黑"/>
                <w:b/>
                <w:sz w:val="21"/>
              </w:rPr>
            </w:pPr>
            <w:r>
              <w:rPr>
                <w:rFonts w:ascii="微软雅黑" w:hAnsi="微软雅黑" w:eastAsia="微软雅黑"/>
                <w:b/>
                <w:spacing w:val="-2"/>
                <w:sz w:val="21"/>
              </w:rPr>
              <w:t>严重Ⅰ型糖尿病</w:t>
            </w:r>
          </w:p>
        </w:tc>
        <w:tc>
          <w:tcPr>
            <w:tcW w:w="7031" w:type="dxa"/>
          </w:tcPr>
          <w:p>
            <w:pPr>
              <w:pStyle w:val="TableParagraph"/>
              <w:spacing w:line="278" w:lineRule="auto" w:before="84"/>
              <w:ind w:left="127" w:right="151"/>
              <w:jc w:val="both"/>
              <w:rPr>
                <w:sz w:val="21"/>
              </w:rPr>
            </w:pPr>
            <w:r>
              <w:rPr>
                <w:spacing w:val="-2"/>
                <w:sz w:val="21"/>
              </w:rPr>
              <w:t>Ⅰ型糖尿病的特征为由于胰岛素分泌绝对不足引起严重胰岛素缺乏导致慢</w:t>
            </w:r>
            <w:r>
              <w:rPr>
                <w:spacing w:val="-2"/>
                <w:sz w:val="21"/>
              </w:rPr>
              <w:t>性血糖升高，需要依赖外源性胰岛素进行机体的葡萄糖代谢和维持生命。</w:t>
            </w:r>
            <w:r>
              <w:rPr>
                <w:spacing w:val="-3"/>
                <w:sz w:val="21"/>
              </w:rPr>
              <w:t>被保险人的Ⅰ型糖尿病必须明确诊断，而且有血胰岛素测定及血 </w:t>
            </w:r>
            <w:r>
              <w:rPr>
                <w:spacing w:val="-2"/>
                <w:sz w:val="21"/>
              </w:rPr>
              <w:t>C</w:t>
            </w:r>
            <w:r>
              <w:rPr>
                <w:spacing w:val="-8"/>
                <w:sz w:val="21"/>
              </w:rPr>
              <w:t> 肽或尿</w:t>
            </w:r>
            <w:r>
              <w:rPr>
                <w:spacing w:val="-2"/>
                <w:sz w:val="21"/>
              </w:rPr>
              <w:t> </w:t>
            </w:r>
            <w:r>
              <w:rPr>
                <w:sz w:val="21"/>
              </w:rPr>
              <w:t>C</w:t>
            </w:r>
            <w:r>
              <w:rPr>
                <w:spacing w:val="-7"/>
                <w:sz w:val="21"/>
              </w:rPr>
              <w:t> 肽测定结果支持诊断，并且满足下列全部条件：</w:t>
            </w:r>
          </w:p>
          <w:p>
            <w:pPr>
              <w:pStyle w:val="TableParagraph"/>
              <w:numPr>
                <w:ilvl w:val="0"/>
                <w:numId w:val="29"/>
              </w:numPr>
              <w:tabs>
                <w:tab w:pos="445" w:val="left" w:leader="none"/>
              </w:tabs>
              <w:spacing w:line="269" w:lineRule="exact" w:before="0" w:after="0"/>
              <w:ind w:left="445" w:right="0" w:hanging="318"/>
              <w:jc w:val="left"/>
              <w:rPr>
                <w:sz w:val="21"/>
              </w:rPr>
            </w:pPr>
            <w:r>
              <w:rPr>
                <w:spacing w:val="-5"/>
                <w:sz w:val="21"/>
              </w:rPr>
              <w:t>已经持续性地接受外源性胰岛素注射治疗连续 </w:t>
            </w:r>
            <w:r>
              <w:rPr>
                <w:spacing w:val="-2"/>
                <w:sz w:val="21"/>
              </w:rPr>
              <w:t>180</w:t>
            </w:r>
            <w:r>
              <w:rPr>
                <w:spacing w:val="-14"/>
                <w:sz w:val="21"/>
              </w:rPr>
              <w:t> 天以上；</w:t>
            </w:r>
          </w:p>
          <w:p>
            <w:pPr>
              <w:pStyle w:val="TableParagraph"/>
              <w:numPr>
                <w:ilvl w:val="0"/>
                <w:numId w:val="29"/>
              </w:numPr>
              <w:tabs>
                <w:tab w:pos="445" w:val="left" w:leader="none"/>
              </w:tabs>
              <w:spacing w:line="278" w:lineRule="auto" w:before="43" w:after="0"/>
              <w:ind w:left="127" w:right="154" w:firstLine="0"/>
              <w:jc w:val="left"/>
              <w:rPr>
                <w:sz w:val="21"/>
              </w:rPr>
            </w:pPr>
            <w:r>
              <w:rPr>
                <w:spacing w:val="-4"/>
                <w:sz w:val="21"/>
              </w:rPr>
              <w:t>因需要已经接受了下列治疗：因严重心律失常植入了心脏起搏器；或因</w:t>
            </w:r>
            <w:r>
              <w:rPr>
                <w:spacing w:val="-2"/>
                <w:sz w:val="21"/>
              </w:rPr>
              <w:t>坏疽自足踝或以上切除了单足。</w:t>
            </w:r>
          </w:p>
        </w:tc>
      </w:tr>
      <w:tr>
        <w:trPr>
          <w:trHeight w:val="3261" w:hRule="atLeast"/>
        </w:trPr>
        <w:tc>
          <w:tcPr>
            <w:tcW w:w="1005" w:type="dxa"/>
          </w:tcPr>
          <w:p>
            <w:pPr>
              <w:pStyle w:val="TableParagraph"/>
              <w:spacing w:before="17"/>
              <w:ind w:left="50"/>
              <w:rPr>
                <w:rFonts w:ascii="微软雅黑"/>
                <w:b/>
                <w:sz w:val="21"/>
              </w:rPr>
            </w:pPr>
            <w:r>
              <w:rPr>
                <w:rFonts w:ascii="微软雅黑"/>
                <w:b/>
                <w:spacing w:val="-2"/>
                <w:sz w:val="21"/>
              </w:rPr>
              <w:t>10.1.31</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严重类风湿性关</w:t>
            </w:r>
            <w:r>
              <w:rPr>
                <w:rFonts w:ascii="微软雅黑" w:eastAsia="微软雅黑"/>
                <w:b/>
                <w:spacing w:val="-6"/>
                <w:sz w:val="21"/>
              </w:rPr>
              <w:t>节炎</w:t>
            </w:r>
          </w:p>
        </w:tc>
        <w:tc>
          <w:tcPr>
            <w:tcW w:w="7031" w:type="dxa"/>
          </w:tcPr>
          <w:p>
            <w:pPr>
              <w:pStyle w:val="TableParagraph"/>
              <w:spacing w:line="278" w:lineRule="auto" w:before="84"/>
              <w:ind w:left="127" w:right="46"/>
              <w:rPr>
                <w:sz w:val="21"/>
              </w:rPr>
            </w:pPr>
            <w:r>
              <w:rPr>
                <w:spacing w:val="-2"/>
                <w:sz w:val="21"/>
              </w:rPr>
              <w:t>类风湿性关节炎为广泛分布的慢性进行性多关节病变，表现为关节严重变</w:t>
            </w:r>
            <w:r>
              <w:rPr>
                <w:spacing w:val="-4"/>
                <w:sz w:val="21"/>
              </w:rPr>
              <w:t>形，侵犯至少三个主要关节或关节组，如：双手（多手指）关节、双足（多</w:t>
            </w:r>
            <w:r>
              <w:rPr>
                <w:spacing w:val="-2"/>
                <w:sz w:val="21"/>
              </w:rPr>
              <w:t>足趾）关节、双腕关节、双膝关节和双髋关节。类风湿性关节炎必须明确</w:t>
            </w:r>
            <w:r>
              <w:rPr>
                <w:spacing w:val="-2"/>
                <w:sz w:val="21"/>
              </w:rPr>
              <w:t>诊断并且已经达到类风湿性关节炎功能分级Ⅲ级以上的功能障碍（关节活</w:t>
            </w:r>
            <w:r>
              <w:rPr>
                <w:spacing w:val="-4"/>
                <w:sz w:val="21"/>
              </w:rPr>
              <w:t>动严重限制，不能完成大部分的日常工作和活动）并且满足下列全部条件： </w:t>
            </w:r>
            <w:r>
              <w:rPr>
                <w:spacing w:val="-2"/>
                <w:sz w:val="21"/>
              </w:rPr>
              <w:t>(1)晨僵；</w:t>
            </w:r>
          </w:p>
          <w:p>
            <w:pPr>
              <w:pStyle w:val="TableParagraph"/>
              <w:spacing w:line="278" w:lineRule="auto"/>
              <w:ind w:left="127" w:right="4693"/>
              <w:rPr>
                <w:sz w:val="21"/>
              </w:rPr>
            </w:pPr>
            <w:r>
              <w:rPr>
                <w:spacing w:val="-2"/>
                <w:sz w:val="21"/>
              </w:rPr>
              <w:t>(2)对称性关节炎；</w:t>
            </w:r>
            <w:r>
              <w:rPr>
                <w:spacing w:val="80"/>
                <w:sz w:val="21"/>
              </w:rPr>
              <w:t> </w:t>
            </w:r>
            <w:r>
              <w:rPr>
                <w:spacing w:val="-2"/>
                <w:sz w:val="21"/>
              </w:rPr>
              <w:t>(3)类风湿性皮下结节；</w:t>
            </w:r>
          </w:p>
          <w:p>
            <w:pPr>
              <w:pStyle w:val="TableParagraph"/>
              <w:numPr>
                <w:ilvl w:val="0"/>
                <w:numId w:val="30"/>
              </w:numPr>
              <w:tabs>
                <w:tab w:pos="445" w:val="left" w:leader="none"/>
              </w:tabs>
              <w:spacing w:line="269" w:lineRule="exact" w:before="0" w:after="0"/>
              <w:ind w:left="445" w:right="0" w:hanging="318"/>
              <w:jc w:val="left"/>
              <w:rPr>
                <w:sz w:val="21"/>
              </w:rPr>
            </w:pPr>
            <w:r>
              <w:rPr>
                <w:spacing w:val="-3"/>
                <w:sz w:val="21"/>
              </w:rPr>
              <w:t>类风湿因子滴度升高；</w:t>
            </w:r>
          </w:p>
          <w:p>
            <w:pPr>
              <w:pStyle w:val="TableParagraph"/>
              <w:numPr>
                <w:ilvl w:val="0"/>
                <w:numId w:val="30"/>
              </w:numPr>
              <w:tabs>
                <w:tab w:pos="445" w:val="left" w:leader="none"/>
              </w:tabs>
              <w:spacing w:line="240" w:lineRule="auto" w:before="42" w:after="0"/>
              <w:ind w:left="445" w:right="0" w:hanging="318"/>
              <w:jc w:val="left"/>
              <w:rPr>
                <w:sz w:val="21"/>
              </w:rPr>
            </w:pPr>
            <w:r>
              <w:rPr>
                <w:spacing w:val="-2"/>
                <w:sz w:val="21"/>
              </w:rPr>
              <w:t>X</w:t>
            </w:r>
            <w:r>
              <w:rPr>
                <w:spacing w:val="-9"/>
                <w:sz w:val="21"/>
              </w:rPr>
              <w:t> 线显示严重的关节</w:t>
            </w:r>
            <w:r>
              <w:rPr>
                <w:spacing w:val="-2"/>
                <w:sz w:val="21"/>
              </w:rPr>
              <w:t>（软骨和骨）</w:t>
            </w:r>
            <w:r>
              <w:rPr>
                <w:spacing w:val="-3"/>
                <w:sz w:val="21"/>
              </w:rPr>
              <w:t>破坏和关节畸形。</w:t>
            </w:r>
          </w:p>
        </w:tc>
      </w:tr>
      <w:tr>
        <w:trPr>
          <w:trHeight w:val="734" w:hRule="atLeast"/>
        </w:trPr>
        <w:tc>
          <w:tcPr>
            <w:tcW w:w="1005" w:type="dxa"/>
          </w:tcPr>
          <w:p>
            <w:pPr>
              <w:pStyle w:val="TableParagraph"/>
              <w:spacing w:before="17"/>
              <w:ind w:left="50"/>
              <w:rPr>
                <w:rFonts w:ascii="微软雅黑"/>
                <w:b/>
                <w:sz w:val="21"/>
              </w:rPr>
            </w:pPr>
            <w:r>
              <w:rPr>
                <w:rFonts w:ascii="微软雅黑"/>
                <w:b/>
                <w:spacing w:val="-2"/>
                <w:sz w:val="21"/>
              </w:rPr>
              <w:t>10.1.32</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严重幼年型类风</w:t>
            </w:r>
            <w:r>
              <w:rPr>
                <w:rFonts w:ascii="微软雅黑" w:eastAsia="微软雅黑"/>
                <w:b/>
                <w:spacing w:val="-2"/>
                <w:sz w:val="21"/>
              </w:rPr>
              <w:t>湿性关节炎</w:t>
            </w:r>
          </w:p>
        </w:tc>
        <w:tc>
          <w:tcPr>
            <w:tcW w:w="7031" w:type="dxa"/>
          </w:tcPr>
          <w:p>
            <w:pPr>
              <w:pStyle w:val="TableParagraph"/>
              <w:spacing w:line="278" w:lineRule="auto" w:before="84"/>
              <w:ind w:left="127" w:right="155"/>
              <w:rPr>
                <w:sz w:val="21"/>
              </w:rPr>
            </w:pPr>
            <w:r>
              <w:rPr>
                <w:spacing w:val="-2"/>
                <w:sz w:val="21"/>
              </w:rPr>
              <w:t>幼年型类风湿关节炎是一种儿童期发病的慢性关节炎，其特点为在高热和</w:t>
            </w:r>
            <w:r>
              <w:rPr>
                <w:spacing w:val="-2"/>
                <w:sz w:val="21"/>
              </w:rPr>
              <w:t>系统性病征出现数月后发生关节炎。</w:t>
            </w:r>
          </w:p>
        </w:tc>
      </w:tr>
      <w:tr>
        <w:trPr>
          <w:trHeight w:val="734"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2"/>
              <w:ind w:left="127" w:right="155"/>
              <w:rPr>
                <w:sz w:val="21"/>
              </w:rPr>
            </w:pPr>
            <w:r>
              <w:rPr>
                <w:color w:val="000000"/>
                <w:spacing w:val="-2"/>
                <w:sz w:val="21"/>
                <w:shd w:fill="A6A6A6" w:color="auto" w:val="clear"/>
              </w:rPr>
              <w:t>本合同仅对实际接受了膝关节或髋关节置换手术治疗的严重的幼年型类风</w:t>
            </w:r>
            <w:r>
              <w:rPr>
                <w:color w:val="000000"/>
                <w:spacing w:val="80"/>
                <w:w w:val="150"/>
                <w:sz w:val="21"/>
                <w:shd w:fill="A6A6A6" w:color="auto" w:val="clear"/>
              </w:rPr>
              <w:t>                                     </w:t>
            </w:r>
            <w:r>
              <w:rPr>
                <w:color w:val="000000"/>
                <w:spacing w:val="-2"/>
                <w:sz w:val="21"/>
                <w:shd w:fill="A6A6A6" w:color="auto" w:val="clear"/>
              </w:rPr>
              <w:t>湿关节炎予以理赔。</w:t>
            </w:r>
          </w:p>
        </w:tc>
      </w:tr>
      <w:tr>
        <w:trPr>
          <w:trHeight w:val="2013" w:hRule="atLeast"/>
        </w:trPr>
        <w:tc>
          <w:tcPr>
            <w:tcW w:w="1005" w:type="dxa"/>
          </w:tcPr>
          <w:p>
            <w:pPr>
              <w:pStyle w:val="TableParagraph"/>
              <w:spacing w:before="17"/>
              <w:ind w:left="50"/>
              <w:rPr>
                <w:rFonts w:ascii="微软雅黑"/>
                <w:b/>
                <w:sz w:val="21"/>
              </w:rPr>
            </w:pPr>
            <w:r>
              <w:rPr>
                <w:rFonts w:ascii="微软雅黑"/>
                <w:b/>
                <w:spacing w:val="-2"/>
                <w:sz w:val="21"/>
              </w:rPr>
              <w:t>10.1.33</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重症急性坏死性</w:t>
            </w:r>
            <w:r>
              <w:rPr>
                <w:rFonts w:ascii="微软雅黑" w:eastAsia="微软雅黑"/>
                <w:b/>
                <w:spacing w:val="-4"/>
                <w:sz w:val="21"/>
              </w:rPr>
              <w:t>筋膜炎</w:t>
            </w:r>
          </w:p>
        </w:tc>
        <w:tc>
          <w:tcPr>
            <w:tcW w:w="7031" w:type="dxa"/>
          </w:tcPr>
          <w:p>
            <w:pPr>
              <w:pStyle w:val="TableParagraph"/>
              <w:spacing w:line="278" w:lineRule="auto" w:before="84"/>
              <w:ind w:left="127" w:right="155"/>
              <w:jc w:val="both"/>
              <w:rPr>
                <w:sz w:val="21"/>
              </w:rPr>
            </w:pPr>
            <w:r>
              <w:rPr>
                <w:spacing w:val="-2"/>
                <w:sz w:val="21"/>
              </w:rPr>
              <w:t>是一种由细菌侵入皮下组织和筋膜引起的急性坏死性软组织感染，可伴有</w:t>
            </w:r>
            <w:r>
              <w:rPr>
                <w:spacing w:val="-2"/>
                <w:sz w:val="21"/>
              </w:rPr>
              <w:t>毒血症、败血症、中毒性休克、弥漫性血管内凝血及多器官衰竭。必须满</w:t>
            </w:r>
            <w:r>
              <w:rPr>
                <w:spacing w:val="-2"/>
                <w:sz w:val="21"/>
              </w:rPr>
              <w:t>足以下所有条件：</w:t>
            </w:r>
          </w:p>
          <w:p>
            <w:pPr>
              <w:pStyle w:val="TableParagraph"/>
              <w:spacing w:line="278" w:lineRule="auto"/>
              <w:ind w:left="127" w:right="1752"/>
              <w:rPr>
                <w:sz w:val="21"/>
              </w:rPr>
            </w:pPr>
            <w:r>
              <w:rPr>
                <w:spacing w:val="-2"/>
                <w:sz w:val="21"/>
              </w:rPr>
              <w:t>(1)细菌培养和临床表现符合坏死性筋膜炎诊断标准；</w:t>
            </w:r>
            <w:r>
              <w:rPr>
                <w:spacing w:val="-2"/>
                <w:sz w:val="21"/>
              </w:rPr>
              <w:t> (2)病情迅速恶化，有脓毒血症表现；</w:t>
            </w:r>
          </w:p>
          <w:p>
            <w:pPr>
              <w:pStyle w:val="TableParagraph"/>
              <w:spacing w:line="269" w:lineRule="exact"/>
              <w:ind w:left="127"/>
              <w:rPr>
                <w:sz w:val="21"/>
              </w:rPr>
            </w:pPr>
            <w:r>
              <w:rPr>
                <w:spacing w:val="-2"/>
                <w:sz w:val="21"/>
              </w:rPr>
              <w:t>(3)受感染肢体被截肢（自腕关节或踝关节近端</w:t>
            </w:r>
            <w:r>
              <w:rPr>
                <w:spacing w:val="-106"/>
                <w:sz w:val="21"/>
              </w:rPr>
              <w:t>）</w:t>
            </w:r>
            <w:r>
              <w:rPr>
                <w:spacing w:val="-10"/>
                <w:sz w:val="21"/>
              </w:rPr>
              <w:t>。</w:t>
            </w:r>
          </w:p>
        </w:tc>
      </w:tr>
      <w:tr>
        <w:trPr>
          <w:trHeight w:val="2294" w:hRule="atLeast"/>
        </w:trPr>
        <w:tc>
          <w:tcPr>
            <w:tcW w:w="1005" w:type="dxa"/>
          </w:tcPr>
          <w:p>
            <w:pPr>
              <w:pStyle w:val="TableParagraph"/>
              <w:spacing w:before="17"/>
              <w:ind w:left="50"/>
              <w:rPr>
                <w:rFonts w:ascii="微软雅黑"/>
                <w:b/>
                <w:sz w:val="21"/>
              </w:rPr>
            </w:pPr>
            <w:r>
              <w:rPr>
                <w:rFonts w:ascii="微软雅黑"/>
                <w:b/>
                <w:spacing w:val="-2"/>
                <w:sz w:val="21"/>
              </w:rPr>
              <w:t>10.1.34</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严重系统性硬皮</w:t>
            </w:r>
            <w:r>
              <w:rPr>
                <w:rFonts w:ascii="微软雅黑" w:eastAsia="微软雅黑"/>
                <w:b/>
                <w:spacing w:val="-10"/>
                <w:sz w:val="21"/>
              </w:rPr>
              <w:t>病</w:t>
            </w:r>
          </w:p>
        </w:tc>
        <w:tc>
          <w:tcPr>
            <w:tcW w:w="7031" w:type="dxa"/>
          </w:tcPr>
          <w:p>
            <w:pPr>
              <w:pStyle w:val="TableParagraph"/>
              <w:spacing w:line="278" w:lineRule="auto" w:before="84"/>
              <w:ind w:left="127" w:right="155"/>
              <w:jc w:val="both"/>
              <w:rPr>
                <w:sz w:val="21"/>
              </w:rPr>
            </w:pPr>
            <w:r>
              <w:rPr>
                <w:spacing w:val="-2"/>
                <w:sz w:val="21"/>
              </w:rPr>
              <w:t>指一种以局限性或弥漫性皮肤增厚和皮肤、血管、内脏器官异常纤维化为</w:t>
            </w:r>
            <w:r>
              <w:rPr>
                <w:spacing w:val="-2"/>
                <w:sz w:val="21"/>
              </w:rPr>
              <w:t>特征的结缔组织病。本病须经专科医生明确诊断，并须满足下列至少一项</w:t>
            </w:r>
            <w:r>
              <w:rPr>
                <w:spacing w:val="-4"/>
                <w:sz w:val="21"/>
              </w:rPr>
              <w:t>条件：</w:t>
            </w:r>
          </w:p>
          <w:p>
            <w:pPr>
              <w:pStyle w:val="TableParagraph"/>
              <w:numPr>
                <w:ilvl w:val="0"/>
                <w:numId w:val="31"/>
              </w:numPr>
              <w:tabs>
                <w:tab w:pos="445" w:val="left" w:leader="none"/>
              </w:tabs>
              <w:spacing w:line="240" w:lineRule="auto" w:before="0" w:after="0"/>
              <w:ind w:left="445" w:right="0" w:hanging="318"/>
              <w:jc w:val="left"/>
              <w:rPr>
                <w:sz w:val="21"/>
              </w:rPr>
            </w:pPr>
            <w:r>
              <w:rPr>
                <w:spacing w:val="-3"/>
                <w:sz w:val="21"/>
              </w:rPr>
              <w:t>肺脏：肺部病变进而发展为肺间质纤维化和肺动脉高压；</w:t>
            </w:r>
          </w:p>
          <w:p>
            <w:pPr>
              <w:pStyle w:val="TableParagraph"/>
              <w:numPr>
                <w:ilvl w:val="0"/>
                <w:numId w:val="31"/>
              </w:numPr>
              <w:tabs>
                <w:tab w:pos="476" w:val="left" w:leader="none"/>
              </w:tabs>
              <w:spacing w:line="278" w:lineRule="auto" w:before="43" w:after="0"/>
              <w:ind w:left="127" w:right="152" w:firstLine="0"/>
              <w:jc w:val="left"/>
              <w:rPr>
                <w:sz w:val="21"/>
              </w:rPr>
            </w:pPr>
            <w:r>
              <w:rPr>
                <w:spacing w:val="20"/>
                <w:sz w:val="21"/>
              </w:rPr>
              <w:t>心脏： 心功能受损达到美国纽约心脏病学会</w:t>
            </w:r>
            <w:r>
              <w:rPr>
                <w:sz w:val="21"/>
              </w:rPr>
              <w:t>（</w:t>
            </w:r>
            <w:r>
              <w:rPr>
                <w:spacing w:val="-70"/>
                <w:sz w:val="21"/>
              </w:rPr>
              <w:t> </w:t>
            </w:r>
            <w:r>
              <w:rPr>
                <w:sz w:val="21"/>
              </w:rPr>
              <w:t>New York </w:t>
            </w:r>
            <w:r>
              <w:rPr>
                <w:sz w:val="21"/>
              </w:rPr>
              <w:t>Heart </w:t>
            </w:r>
            <w:r>
              <w:rPr>
                <w:spacing w:val="-2"/>
                <w:sz w:val="21"/>
              </w:rPr>
              <w:t>Association，NYHA）心功能状态分级Ⅳ级；</w:t>
            </w:r>
          </w:p>
          <w:p>
            <w:pPr>
              <w:pStyle w:val="TableParagraph"/>
              <w:numPr>
                <w:ilvl w:val="0"/>
                <w:numId w:val="31"/>
              </w:numPr>
              <w:tabs>
                <w:tab w:pos="445" w:val="left" w:leader="none"/>
              </w:tabs>
              <w:spacing w:line="269" w:lineRule="exact" w:before="0" w:after="0"/>
              <w:ind w:left="445" w:right="0" w:hanging="318"/>
              <w:jc w:val="left"/>
              <w:rPr>
                <w:sz w:val="21"/>
              </w:rPr>
            </w:pPr>
            <w:r>
              <w:rPr>
                <w:spacing w:val="-3"/>
                <w:sz w:val="21"/>
              </w:rPr>
              <w:t>肾脏：肾脏受损导致双肾功能慢性不可逆衰竭，达到尿毒症期。</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2"/>
              <w:ind w:left="127"/>
              <w:rPr>
                <w:sz w:val="21"/>
              </w:rPr>
            </w:pPr>
            <w:r>
              <w:rPr>
                <w:color w:val="000000"/>
                <w:spacing w:val="-3"/>
                <w:sz w:val="21"/>
                <w:shd w:fill="A6A6A6" w:color="auto" w:val="clear"/>
              </w:rPr>
              <w:t>下列疾病不在保障范围内：</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(1)局部性硬皮病（如：带状硬皮病、硬斑病</w:t>
            </w:r>
            <w:r>
              <w:rPr>
                <w:color w:val="000000"/>
                <w:spacing w:val="-113"/>
                <w:sz w:val="21"/>
                <w:shd w:fill="A6A6A6" w:color="auto" w:val="clear"/>
              </w:rPr>
              <w:t>）</w:t>
            </w:r>
            <w:r>
              <w:rPr>
                <w:color w:val="000000"/>
                <w:spacing w:val="-5"/>
                <w:sz w:val="21"/>
                <w:shd w:fill="A6A6A6" w:color="auto" w:val="clear"/>
              </w:rPr>
              <w:t>；</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31" w:type="dxa"/>
          </w:tcPr>
          <w:p>
            <w:pPr>
              <w:pStyle w:val="TableParagraph"/>
              <w:spacing w:line="228" w:lineRule="exact" w:before="13"/>
              <w:ind w:left="127"/>
              <w:rPr>
                <w:sz w:val="21"/>
              </w:rPr>
            </w:pPr>
            <w:r>
              <w:rPr>
                <w:color w:val="000000"/>
                <w:spacing w:val="-2"/>
                <w:sz w:val="21"/>
                <w:shd w:fill="A6A6A6" w:color="auto" w:val="clear"/>
              </w:rPr>
              <w:t>(2</w:t>
            </w:r>
            <w:r>
              <w:rPr>
                <w:color w:val="000000"/>
                <w:spacing w:val="-3"/>
                <w:sz w:val="21"/>
                <w:shd w:fill="A6A6A6" w:color="auto" w:val="clear"/>
              </w:rPr>
              <w:t>)嗜酸性粒细胞性筋膜炎；</w:t>
            </w:r>
          </w:p>
        </w:tc>
      </w:tr>
    </w:tbl>
    <w:p>
      <w:pPr>
        <w:spacing w:after="0" w:line="228" w:lineRule="exact"/>
        <w:rPr>
          <w:sz w:val="21"/>
        </w:rPr>
        <w:sectPr>
          <w:pgSz w:w="11910" w:h="16840"/>
          <w:pgMar w:top="1460" w:bottom="1349"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6923"/>
      </w:tblGrid>
      <w:tr>
        <w:trPr>
          <w:trHeight w:val="33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line="232" w:lineRule="exact"/>
              <w:ind w:left="127"/>
              <w:rPr>
                <w:sz w:val="21"/>
              </w:rPr>
            </w:pPr>
            <w:r>
              <w:rPr>
                <w:color w:val="000000"/>
                <w:spacing w:val="-2"/>
                <w:sz w:val="21"/>
                <w:shd w:fill="A6A6A6" w:color="auto" w:val="clear"/>
              </w:rPr>
              <w:t>(3)CREST</w:t>
            </w:r>
            <w:r>
              <w:rPr>
                <w:color w:val="000000"/>
                <w:spacing w:val="-12"/>
                <w:sz w:val="21"/>
                <w:shd w:fill="A6A6A6" w:color="auto" w:val="clear"/>
              </w:rPr>
              <w:t> 综合征。</w:t>
            </w:r>
          </w:p>
        </w:tc>
      </w:tr>
      <w:tr>
        <w:trPr>
          <w:trHeight w:val="733" w:hRule="atLeast"/>
        </w:trPr>
        <w:tc>
          <w:tcPr>
            <w:tcW w:w="1005" w:type="dxa"/>
          </w:tcPr>
          <w:p>
            <w:pPr>
              <w:pStyle w:val="TableParagraph"/>
              <w:spacing w:before="17"/>
              <w:ind w:left="50"/>
              <w:rPr>
                <w:rFonts w:ascii="微软雅黑"/>
                <w:b/>
                <w:sz w:val="21"/>
              </w:rPr>
            </w:pPr>
            <w:r>
              <w:rPr>
                <w:rFonts w:ascii="微软雅黑"/>
                <w:b/>
                <w:spacing w:val="-2"/>
                <w:sz w:val="21"/>
              </w:rPr>
              <w:t>10.1.35</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急性坏死胰腺炎</w:t>
            </w:r>
            <w:r>
              <w:rPr>
                <w:rFonts w:ascii="微软雅黑" w:eastAsia="微软雅黑"/>
                <w:b/>
                <w:spacing w:val="-4"/>
                <w:sz w:val="21"/>
              </w:rPr>
              <w:t>开腹手术</w:t>
            </w:r>
          </w:p>
        </w:tc>
        <w:tc>
          <w:tcPr>
            <w:tcW w:w="6923" w:type="dxa"/>
          </w:tcPr>
          <w:p>
            <w:pPr>
              <w:pStyle w:val="TableParagraph"/>
              <w:spacing w:line="278" w:lineRule="auto" w:before="84"/>
              <w:ind w:left="127" w:right="47"/>
              <w:rPr>
                <w:sz w:val="21"/>
              </w:rPr>
            </w:pPr>
            <w:r>
              <w:rPr>
                <w:spacing w:val="-2"/>
                <w:sz w:val="21"/>
              </w:rPr>
              <w:t>指为治疗急性坏死性胰腺炎，实际实施了开腹手术治疗，以进行坏死组织</w:t>
            </w:r>
            <w:r>
              <w:rPr>
                <w:spacing w:val="-2"/>
                <w:sz w:val="21"/>
              </w:rPr>
              <w:t>清除、坏死病灶切除术或胰腺切除。</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before="51"/>
              <w:ind w:left="127"/>
              <w:rPr>
                <w:sz w:val="21"/>
              </w:rPr>
            </w:pPr>
            <w:r>
              <w:rPr>
                <w:color w:val="000000"/>
                <w:spacing w:val="-3"/>
                <w:sz w:val="21"/>
                <w:shd w:fill="A6A6A6" w:color="auto" w:val="clear"/>
              </w:rPr>
              <w:t>因酒精作用所致的急性胰腺炎以及腹腔镜手术不在保障范围内。</w:t>
            </w:r>
          </w:p>
        </w:tc>
      </w:tr>
      <w:tr>
        <w:trPr>
          <w:trHeight w:val="2294" w:hRule="atLeast"/>
        </w:trPr>
        <w:tc>
          <w:tcPr>
            <w:tcW w:w="1005" w:type="dxa"/>
          </w:tcPr>
          <w:p>
            <w:pPr>
              <w:pStyle w:val="TableParagraph"/>
              <w:spacing w:before="18"/>
              <w:ind w:left="50"/>
              <w:rPr>
                <w:rFonts w:ascii="微软雅黑"/>
                <w:b/>
                <w:sz w:val="21"/>
              </w:rPr>
            </w:pPr>
            <w:r>
              <w:rPr>
                <w:rFonts w:ascii="微软雅黑"/>
                <w:b/>
                <w:spacing w:val="-2"/>
                <w:sz w:val="21"/>
              </w:rPr>
              <w:t>10.1.36</w:t>
            </w:r>
          </w:p>
        </w:tc>
        <w:tc>
          <w:tcPr>
            <w:tcW w:w="1818" w:type="dxa"/>
          </w:tcPr>
          <w:p>
            <w:pPr>
              <w:pStyle w:val="TableParagraph"/>
              <w:spacing w:line="194" w:lineRule="auto" w:before="70"/>
              <w:ind w:left="214" w:right="123"/>
              <w:rPr>
                <w:rFonts w:ascii="微软雅黑" w:eastAsia="微软雅黑"/>
                <w:b/>
                <w:sz w:val="21"/>
              </w:rPr>
            </w:pPr>
            <w:r>
              <w:rPr>
                <w:rFonts w:ascii="微软雅黑" w:eastAsia="微软雅黑"/>
                <w:b/>
                <w:spacing w:val="-2"/>
                <w:sz w:val="21"/>
              </w:rPr>
              <w:t>严重原发性硬化</w:t>
            </w:r>
            <w:r>
              <w:rPr>
                <w:rFonts w:ascii="微软雅黑" w:eastAsia="微软雅黑"/>
                <w:b/>
                <w:spacing w:val="-4"/>
                <w:sz w:val="21"/>
              </w:rPr>
              <w:t>性胆管炎</w:t>
            </w:r>
          </w:p>
        </w:tc>
        <w:tc>
          <w:tcPr>
            <w:tcW w:w="6923" w:type="dxa"/>
          </w:tcPr>
          <w:p>
            <w:pPr>
              <w:pStyle w:val="TableParagraph"/>
              <w:spacing w:line="278" w:lineRule="auto" w:before="85"/>
              <w:ind w:left="127" w:right="47"/>
              <w:jc w:val="both"/>
              <w:rPr>
                <w:sz w:val="21"/>
              </w:rPr>
            </w:pPr>
            <w:r>
              <w:rPr>
                <w:spacing w:val="-2"/>
                <w:sz w:val="21"/>
              </w:rPr>
              <w:t>原发性硬化性胆管炎指一种胆汁淤积综合征，其特征是肝内、肝外胆道因</w:t>
            </w:r>
            <w:r>
              <w:rPr>
                <w:spacing w:val="-2"/>
                <w:sz w:val="21"/>
              </w:rPr>
              <w:t>非细菌性炎症、慢性纤维化逐渐狭窄，并最终导致完全阻塞而发展为胆汁</w:t>
            </w:r>
            <w:r>
              <w:rPr>
                <w:spacing w:val="-2"/>
                <w:sz w:val="21"/>
              </w:rPr>
              <w:t>於积性肝硬化。须满足下列全部条件：</w:t>
            </w:r>
          </w:p>
          <w:p>
            <w:pPr>
              <w:pStyle w:val="TableParagraph"/>
              <w:numPr>
                <w:ilvl w:val="0"/>
                <w:numId w:val="32"/>
              </w:numPr>
              <w:tabs>
                <w:tab w:pos="445" w:val="left" w:leader="none"/>
              </w:tabs>
              <w:spacing w:line="269" w:lineRule="exact" w:before="0" w:after="0"/>
              <w:ind w:left="445" w:right="0" w:hanging="318"/>
              <w:jc w:val="left"/>
              <w:rPr>
                <w:sz w:val="21"/>
              </w:rPr>
            </w:pPr>
            <w:r>
              <w:rPr>
                <w:spacing w:val="-4"/>
                <w:sz w:val="21"/>
              </w:rPr>
              <w:t>持续性黄疸病史；</w:t>
            </w:r>
          </w:p>
          <w:p>
            <w:pPr>
              <w:pStyle w:val="TableParagraph"/>
              <w:numPr>
                <w:ilvl w:val="0"/>
                <w:numId w:val="32"/>
              </w:numPr>
              <w:tabs>
                <w:tab w:pos="445" w:val="left" w:leader="none"/>
              </w:tabs>
              <w:spacing w:line="278" w:lineRule="auto" w:before="43" w:after="0"/>
              <w:ind w:left="127" w:right="1594" w:firstLine="0"/>
              <w:jc w:val="left"/>
              <w:rPr>
                <w:sz w:val="21"/>
              </w:rPr>
            </w:pPr>
            <w:r>
              <w:rPr>
                <w:spacing w:val="-5"/>
                <w:sz w:val="21"/>
              </w:rPr>
              <w:t>总胆红素和直接胆红素同时升高，血清 </w:t>
            </w:r>
            <w:r>
              <w:rPr>
                <w:spacing w:val="-2"/>
                <w:sz w:val="21"/>
              </w:rPr>
              <w:t>ALP&gt;200U/L； (3)经内镜逆行胰胆管造影（ERCP）影像学检查确诊； (4)出现胆汁於积性肝硬化或门脉高压。</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before="52"/>
              <w:ind w:left="127"/>
              <w:rPr>
                <w:sz w:val="21"/>
              </w:rPr>
            </w:pPr>
            <w:r>
              <w:rPr>
                <w:color w:val="000000"/>
                <w:spacing w:val="-3"/>
                <w:sz w:val="21"/>
                <w:shd w:fill="A6A6A6" w:color="auto" w:val="clear"/>
              </w:rPr>
              <w:t>因肿瘤或胆管损伤等继发性的硬化性胆管炎不在保障范围内。</w:t>
            </w:r>
          </w:p>
        </w:tc>
      </w:tr>
      <w:tr>
        <w:trPr>
          <w:trHeight w:val="734" w:hRule="atLeast"/>
        </w:trPr>
        <w:tc>
          <w:tcPr>
            <w:tcW w:w="1005" w:type="dxa"/>
          </w:tcPr>
          <w:p>
            <w:pPr>
              <w:pStyle w:val="TableParagraph"/>
              <w:spacing w:before="17"/>
              <w:ind w:left="50"/>
              <w:rPr>
                <w:rFonts w:ascii="微软雅黑"/>
                <w:b/>
                <w:sz w:val="21"/>
              </w:rPr>
            </w:pPr>
            <w:r>
              <w:rPr>
                <w:rFonts w:ascii="微软雅黑"/>
                <w:b/>
                <w:spacing w:val="-2"/>
                <w:sz w:val="21"/>
              </w:rPr>
              <w:t>10.1.37</w:t>
            </w:r>
          </w:p>
        </w:tc>
        <w:tc>
          <w:tcPr>
            <w:tcW w:w="1818" w:type="dxa"/>
          </w:tcPr>
          <w:p>
            <w:pPr>
              <w:pStyle w:val="TableParagraph"/>
              <w:spacing w:before="17"/>
              <w:ind w:left="214"/>
              <w:rPr>
                <w:rFonts w:ascii="微软雅黑" w:eastAsia="微软雅黑"/>
                <w:b/>
                <w:sz w:val="21"/>
              </w:rPr>
            </w:pPr>
            <w:r>
              <w:rPr>
                <w:rFonts w:ascii="微软雅黑" w:eastAsia="微软雅黑"/>
                <w:b/>
                <w:spacing w:val="-3"/>
                <w:sz w:val="21"/>
              </w:rPr>
              <w:t>颅脑手术</w:t>
            </w:r>
          </w:p>
        </w:tc>
        <w:tc>
          <w:tcPr>
            <w:tcW w:w="6923" w:type="dxa"/>
          </w:tcPr>
          <w:p>
            <w:pPr>
              <w:pStyle w:val="TableParagraph"/>
              <w:spacing w:line="278" w:lineRule="auto" w:before="84"/>
              <w:ind w:left="127" w:right="46"/>
              <w:rPr>
                <w:sz w:val="21"/>
              </w:rPr>
            </w:pPr>
            <w:r>
              <w:rPr>
                <w:spacing w:val="-2"/>
                <w:sz w:val="21"/>
              </w:rPr>
              <w:t>被保险人确已实施全麻下的开颅手术</w:t>
            </w:r>
            <w:r>
              <w:rPr>
                <w:color w:val="000000"/>
                <w:spacing w:val="-2"/>
                <w:sz w:val="21"/>
                <w:shd w:fill="A6A6A6" w:color="auto" w:val="clear"/>
              </w:rPr>
              <w:t>（不包括颅骨钻孔手术和经鼻蝶窦入</w:t>
            </w:r>
            <w:r>
              <w:rPr>
                <w:color w:val="000000"/>
                <w:spacing w:val="80"/>
                <w:w w:val="150"/>
                <w:sz w:val="21"/>
                <w:shd w:fill="A6A6A6" w:color="auto" w:val="clear"/>
              </w:rPr>
              <w:t>                                     </w:t>
            </w:r>
            <w:r>
              <w:rPr>
                <w:color w:val="000000"/>
                <w:spacing w:val="-4"/>
                <w:sz w:val="21"/>
                <w:shd w:fill="A6A6A6" w:color="auto" w:val="clear"/>
              </w:rPr>
              <w:t>颅手术</w:t>
            </w:r>
            <w:r>
              <w:rPr>
                <w:color w:val="000000"/>
                <w:spacing w:val="-106"/>
                <w:sz w:val="21"/>
                <w:shd w:fill="A6A6A6" w:color="auto" w:val="clear"/>
              </w:rPr>
              <w:t>）</w:t>
            </w:r>
            <w:r>
              <w:rPr>
                <w:color w:val="000000"/>
                <w:spacing w:val="-4"/>
                <w:sz w:val="21"/>
                <w:shd w:fill="A6A6A6" w:color="auto" w:val="clear"/>
              </w:rPr>
              <w:t>。</w:t>
            </w:r>
          </w:p>
        </w:tc>
      </w:tr>
      <w:tr>
        <w:trPr>
          <w:trHeight w:val="70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line="278" w:lineRule="auto" w:before="52"/>
              <w:ind w:left="127" w:right="47"/>
              <w:rPr>
                <w:sz w:val="21"/>
              </w:rPr>
            </w:pPr>
            <w:r>
              <w:rPr>
                <w:color w:val="000000"/>
                <w:spacing w:val="-2"/>
                <w:sz w:val="21"/>
                <w:shd w:fill="A6A6A6" w:color="auto" w:val="clear"/>
              </w:rPr>
              <w:t>因外伤及除脑垂体瘤、脑囊肿、颅内血管性疾病以外的良性颅内肿瘤而实</w:t>
            </w:r>
            <w:r>
              <w:rPr>
                <w:color w:val="000000"/>
                <w:spacing w:val="80"/>
                <w:w w:val="150"/>
                <w:sz w:val="21"/>
                <w:shd w:fill="A6A6A6" w:color="auto" w:val="clear"/>
              </w:rPr>
              <w:t>                                     </w:t>
            </w:r>
            <w:r>
              <w:rPr>
                <w:color w:val="000000"/>
                <w:spacing w:val="-2"/>
                <w:sz w:val="21"/>
                <w:shd w:fill="A6A6A6" w:color="auto" w:val="clear"/>
              </w:rPr>
              <w:t>施的脑外科手术不在保障范围内。</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before="51"/>
              <w:ind w:left="127"/>
              <w:rPr>
                <w:sz w:val="21"/>
              </w:rPr>
            </w:pPr>
            <w:r>
              <w:rPr>
                <w:color w:val="000000"/>
                <w:spacing w:val="-3"/>
                <w:sz w:val="21"/>
                <w:shd w:fill="A6A6A6" w:color="auto" w:val="clear"/>
              </w:rPr>
              <w:t>理赔时必须提供由神经外科医生出具的诊断书及手术报告。</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10.1.38</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系统性红斑狼疮</w:t>
            </w:r>
          </w:p>
        </w:tc>
        <w:tc>
          <w:tcPr>
            <w:tcW w:w="6923" w:type="dxa"/>
          </w:tcPr>
          <w:p>
            <w:pPr>
              <w:pStyle w:val="TableParagraph"/>
              <w:spacing w:before="84"/>
              <w:ind w:left="127"/>
              <w:rPr>
                <w:sz w:val="21"/>
              </w:rPr>
            </w:pPr>
            <w:r>
              <w:rPr>
                <w:spacing w:val="-3"/>
                <w:sz w:val="21"/>
              </w:rPr>
              <w:t>系统性红斑狼疮是由多种因素引起，累及多系统的自身免疫性疾病。其特</w:t>
            </w:r>
          </w:p>
        </w:tc>
      </w:tr>
      <w:tr>
        <w:trPr>
          <w:trHeight w:val="261" w:hRule="atLeast"/>
        </w:trPr>
        <w:tc>
          <w:tcPr>
            <w:tcW w:w="1005" w:type="dxa"/>
          </w:tcPr>
          <w:p>
            <w:pPr>
              <w:pStyle w:val="TableParagraph"/>
              <w:rPr>
                <w:rFonts w:ascii="Times New Roman"/>
                <w:sz w:val="18"/>
              </w:rPr>
            </w:pPr>
          </w:p>
        </w:tc>
        <w:tc>
          <w:tcPr>
            <w:tcW w:w="1818" w:type="dxa"/>
          </w:tcPr>
          <w:p>
            <w:pPr>
              <w:pStyle w:val="TableParagraph"/>
              <w:spacing w:line="242" w:lineRule="exact"/>
              <w:ind w:left="214"/>
              <w:rPr>
                <w:rFonts w:ascii="微软雅黑" w:hAnsi="微软雅黑" w:eastAsia="微软雅黑"/>
                <w:b/>
                <w:sz w:val="21"/>
              </w:rPr>
            </w:pPr>
            <w:r>
              <w:rPr>
                <w:rFonts w:ascii="微软雅黑" w:hAnsi="微软雅黑" w:eastAsia="微软雅黑"/>
                <w:b/>
                <w:spacing w:val="-2"/>
                <w:sz w:val="21"/>
              </w:rPr>
              <w:t>-Ⅲ型或以上狼</w:t>
            </w:r>
          </w:p>
        </w:tc>
        <w:tc>
          <w:tcPr>
            <w:tcW w:w="6923" w:type="dxa"/>
          </w:tcPr>
          <w:p>
            <w:pPr>
              <w:pStyle w:val="TableParagraph"/>
              <w:spacing w:line="228" w:lineRule="exact" w:before="13"/>
              <w:ind w:left="127"/>
              <w:rPr>
                <w:sz w:val="21"/>
              </w:rPr>
            </w:pPr>
            <w:r>
              <w:rPr>
                <w:spacing w:val="-3"/>
                <w:sz w:val="21"/>
              </w:rPr>
              <w:t>点是生成自身抗体对抗多种自身抗原。多见于育龄妇女。</w:t>
            </w:r>
          </w:p>
        </w:tc>
      </w:tr>
    </w:tbl>
    <w:p>
      <w:pPr>
        <w:spacing w:after="0" w:line="228" w:lineRule="exact"/>
        <w:rPr>
          <w:sz w:val="21"/>
        </w:rPr>
        <w:sectPr>
          <w:type w:val="continuous"/>
          <w:pgSz w:w="11910" w:h="16840"/>
          <w:pgMar w:top="1460" w:bottom="280" w:left="920" w:right="440"/>
        </w:sectPr>
      </w:pPr>
    </w:p>
    <w:p>
      <w:pPr>
        <w:pStyle w:val="Heading1"/>
        <w:spacing w:before="1"/>
        <w:ind w:firstLine="0"/>
      </w:pPr>
      <w:r>
        <w:rPr>
          <w:spacing w:val="-3"/>
        </w:rPr>
        <w:t>疮性肾炎</w:t>
      </w:r>
    </w:p>
    <w:p>
      <w:pPr>
        <w:pStyle w:val="BodyText"/>
        <w:spacing w:line="278" w:lineRule="auto" w:before="147"/>
        <w:ind w:left="846" w:right="683"/>
        <w:jc w:val="both"/>
      </w:pPr>
      <w:r>
        <w:rPr/>
        <w:br w:type="column"/>
      </w:r>
      <w:r>
        <w:rPr>
          <w:spacing w:val="-6"/>
        </w:rPr>
        <w:t>此处所指的系统性红斑狼疮仅限于累及肾脏</w:t>
      </w:r>
      <w:r>
        <w:rPr>
          <w:spacing w:val="-2"/>
        </w:rPr>
        <w:t>（</w:t>
      </w:r>
      <w:r>
        <w:rPr>
          <w:spacing w:val="-11"/>
        </w:rPr>
        <w:t>经肾脏活检确认的，符合 </w:t>
      </w:r>
      <w:r>
        <w:rPr>
          <w:spacing w:val="-2"/>
        </w:rPr>
        <w:t>WHO</w:t>
      </w:r>
      <w:r>
        <w:rPr>
          <w:spacing w:val="-2"/>
        </w:rPr>
        <w:t>诊断标准定义Ⅲ型至Ⅴ型狼疮性肾炎）的系统性红斑狼疮。</w:t>
      </w:r>
      <w:r>
        <w:rPr>
          <w:color w:val="000000"/>
          <w:spacing w:val="-2"/>
          <w:shd w:fill="A6A6A6" w:color="auto" w:val="clear"/>
        </w:rPr>
        <w:t>其他类型的红</w:t>
      </w:r>
      <w:r>
        <w:rPr>
          <w:color w:val="000000"/>
          <w:spacing w:val="40"/>
          <w:shd w:fill="A6A6A6" w:color="auto" w:val="clear"/>
        </w:rPr>
        <w:t> </w:t>
      </w:r>
      <w:r>
        <w:rPr>
          <w:color w:val="000000"/>
          <w:spacing w:val="-2"/>
          <w:shd w:fill="A6A6A6" w:color="auto" w:val="clear"/>
        </w:rPr>
        <w:t>斑性狼疮，如盘状狼疮、仅累及血液及关节的狼疮不在保障范围內。</w:t>
      </w:r>
    </w:p>
    <w:p>
      <w:pPr>
        <w:pStyle w:val="BodyText"/>
        <w:spacing w:line="278" w:lineRule="auto" w:before="77"/>
        <w:ind w:left="846" w:right="3542"/>
      </w:pPr>
      <w:r>
        <w:rPr>
          <w:spacing w:val="-2"/>
        </w:rPr>
        <w:t>世界卫生组织（WHO）狼疮性肾炎分型： </w:t>
      </w:r>
      <w:r>
        <w:rPr>
          <w:spacing w:val="-10"/>
        </w:rPr>
        <w:t>Ⅰ 型</w:t>
      </w:r>
      <w:r>
        <w:rPr/>
        <w:t>（微小病变型）镜下阴性，尿液正常</w:t>
      </w:r>
    </w:p>
    <w:p>
      <w:pPr>
        <w:pStyle w:val="BodyText"/>
        <w:spacing w:line="278" w:lineRule="auto"/>
        <w:ind w:left="846" w:right="2702"/>
      </w:pPr>
      <w:r>
        <w:rPr>
          <w:spacing w:val="-10"/>
        </w:rPr>
        <w:t>Ⅱ 型</w:t>
      </w:r>
      <w:r>
        <w:rPr/>
        <w:t>（系膜病变型）中度蛋白尿，偶有尿沉渣改变 Ⅲ 型（局灶及节段增生型）蛋白尿，尿沉渣改变</w:t>
      </w:r>
    </w:p>
    <w:p>
      <w:pPr>
        <w:pStyle w:val="BodyText"/>
        <w:spacing w:line="278" w:lineRule="auto"/>
        <w:ind w:left="846" w:right="1442"/>
      </w:pPr>
      <w:r>
        <w:rPr>
          <w:spacing w:val="-10"/>
        </w:rPr>
        <w:t>Ⅳ 型</w:t>
      </w:r>
      <w:r>
        <w:rPr/>
        <w:t>（弥漫增生型）急性肾炎伴有尿沉渣改变及／或肾病综合征 Ⅴ 型（膜型）肾病综合征或重度蛋白尿</w:t>
      </w:r>
    </w:p>
    <w:p>
      <w:pPr>
        <w:spacing w:after="0" w:line="278" w:lineRule="auto"/>
        <w:sectPr>
          <w:type w:val="continuous"/>
          <w:pgSz w:w="11910" w:h="16840"/>
          <w:pgMar w:top="680" w:bottom="280" w:left="920" w:right="440"/>
          <w:cols w:num="2" w:equalWidth="0">
            <w:col w:w="2227" w:space="40"/>
            <w:col w:w="8283"/>
          </w:cols>
        </w:sectPr>
      </w:pPr>
    </w:p>
    <w:p>
      <w:pPr>
        <w:pStyle w:val="Heading1"/>
        <w:numPr>
          <w:ilvl w:val="2"/>
          <w:numId w:val="33"/>
        </w:numPr>
        <w:tabs>
          <w:tab w:pos="1381" w:val="left" w:leader="none"/>
          <w:tab w:pos="1382" w:val="left" w:leader="none"/>
        </w:tabs>
        <w:spacing w:line="350" w:lineRule="exact" w:before="76" w:after="0"/>
        <w:ind w:left="1382" w:right="0" w:hanging="1170"/>
        <w:jc w:val="left"/>
      </w:pPr>
      <w:r>
        <w:rPr>
          <w:spacing w:val="-2"/>
        </w:rPr>
        <w:t>非阿尔茨海默病</w:t>
      </w:r>
    </w:p>
    <w:p>
      <w:pPr>
        <w:spacing w:line="350" w:lineRule="exact" w:before="0"/>
        <w:ind w:left="1382" w:right="0" w:firstLine="0"/>
        <w:jc w:val="left"/>
        <w:rPr>
          <w:rFonts w:ascii="微软雅黑" w:eastAsia="微软雅黑"/>
          <w:b/>
          <w:sz w:val="21"/>
        </w:rPr>
      </w:pPr>
      <w:r>
        <w:rPr>
          <w:rFonts w:ascii="微软雅黑" w:eastAsia="微软雅黑"/>
          <w:b/>
          <w:spacing w:val="-2"/>
          <w:sz w:val="21"/>
        </w:rPr>
        <w:t>所致严重痴呆</w:t>
      </w:r>
    </w:p>
    <w:p>
      <w:pPr>
        <w:pStyle w:val="BodyText"/>
        <w:spacing w:line="278" w:lineRule="auto" w:before="143"/>
        <w:ind w:left="212" w:right="683"/>
        <w:jc w:val="both"/>
      </w:pPr>
      <w:r>
        <w:rPr/>
        <w:br w:type="column"/>
      </w:r>
      <w:r>
        <w:rPr>
          <w:spacing w:val="-2"/>
        </w:rPr>
        <w:t>指因阿尔茨海默病以外的脑的器质性疾病造成脑功能衰竭导致永久不可逆</w:t>
      </w:r>
      <w:r>
        <w:rPr>
          <w:spacing w:val="-2"/>
        </w:rPr>
        <w:t>性的严重痴呆，临床表现为明显的认知能力障碍、行为异常和社交能力减</w:t>
      </w:r>
      <w:r>
        <w:rPr>
          <w:spacing w:val="-2"/>
        </w:rPr>
        <w:t>退。被保险人自主生活能力完全丧失，无法独立完成六项基本日常生活活</w:t>
      </w:r>
      <w:r>
        <w:rPr>
          <w:spacing w:val="-2"/>
        </w:rPr>
        <w:t>动中的三项或三项以上，日常生活必须持续受到他人监护。导致痴呆的疾</w:t>
      </w:r>
      <w:r>
        <w:rPr>
          <w:spacing w:val="-2"/>
        </w:rPr>
        <w:t>病必须明确诊断，并且由完整的临床、实验室和影像学检查结果证实。</w:t>
      </w:r>
    </w:p>
    <w:p>
      <w:pPr>
        <w:pStyle w:val="BodyText"/>
        <w:spacing w:before="77"/>
        <w:ind w:left="212"/>
      </w:pPr>
      <w:r>
        <w:rPr>
          <w:color w:val="000000"/>
          <w:spacing w:val="-3"/>
          <w:shd w:fill="A6A6A6" w:color="auto" w:val="clear"/>
        </w:rPr>
        <w:t>神经官能症、精神疾病及酒精中毒所致脑损害不在保障范围内。</w:t>
      </w:r>
    </w:p>
    <w:p>
      <w:pPr>
        <w:spacing w:after="0"/>
        <w:sectPr>
          <w:type w:val="continuous"/>
          <w:pgSz w:w="11910" w:h="16840"/>
          <w:pgMar w:top="680" w:bottom="280" w:left="920" w:right="440"/>
          <w:cols w:num="2" w:equalWidth="0">
            <w:col w:w="2861" w:space="40"/>
            <w:col w:w="7649"/>
          </w:cols>
        </w:sectPr>
      </w:pPr>
    </w:p>
    <w:p>
      <w:pPr>
        <w:pStyle w:val="BodyText"/>
        <w:spacing w:before="10"/>
        <w:ind w:left="0"/>
        <w:rPr>
          <w:sz w:val="8"/>
        </w:rPr>
      </w:pPr>
    </w:p>
    <w:p>
      <w:pPr>
        <w:spacing w:after="0"/>
        <w:rPr>
          <w:sz w:val="8"/>
        </w:rPr>
        <w:sectPr>
          <w:type w:val="continuous"/>
          <w:pgSz w:w="11910" w:h="16840"/>
          <w:pgMar w:top="680" w:bottom="280" w:left="920" w:right="440"/>
        </w:sectPr>
      </w:pPr>
    </w:p>
    <w:p>
      <w:pPr>
        <w:pStyle w:val="Heading1"/>
        <w:numPr>
          <w:ilvl w:val="2"/>
          <w:numId w:val="33"/>
        </w:numPr>
        <w:tabs>
          <w:tab w:pos="1381" w:val="left" w:leader="none"/>
          <w:tab w:pos="1382" w:val="left" w:leader="none"/>
        </w:tabs>
        <w:spacing w:line="350" w:lineRule="exact" w:before="5" w:after="0"/>
        <w:ind w:left="1382" w:right="0" w:hanging="1170"/>
        <w:jc w:val="left"/>
      </w:pPr>
      <w:r>
        <w:rPr>
          <w:spacing w:val="-2"/>
        </w:rPr>
        <w:t>经输血导致的人</w:t>
      </w:r>
    </w:p>
    <w:p>
      <w:pPr>
        <w:spacing w:line="194" w:lineRule="auto" w:before="15"/>
        <w:ind w:left="1382" w:right="0" w:firstLine="0"/>
        <w:jc w:val="left"/>
        <w:rPr>
          <w:rFonts w:ascii="微软雅黑" w:eastAsia="微软雅黑"/>
          <w:b/>
          <w:sz w:val="21"/>
        </w:rPr>
      </w:pPr>
      <w:r>
        <w:rPr>
          <w:rFonts w:ascii="微软雅黑" w:eastAsia="微软雅黑"/>
          <w:b/>
          <w:spacing w:val="-2"/>
          <w:sz w:val="21"/>
        </w:rPr>
        <w:t>类免疫缺陷病毒</w:t>
      </w:r>
      <w:r>
        <w:rPr>
          <w:rFonts w:ascii="微软雅黑" w:eastAsia="微软雅黑"/>
          <w:b/>
          <w:spacing w:val="-6"/>
          <w:sz w:val="21"/>
        </w:rPr>
        <w:t>感染</w:t>
      </w:r>
    </w:p>
    <w:p>
      <w:pPr>
        <w:pStyle w:val="BodyText"/>
        <w:spacing w:line="278" w:lineRule="auto" w:before="72"/>
        <w:ind w:left="212" w:right="1009"/>
      </w:pPr>
      <w:r>
        <w:rPr/>
        <w:br w:type="column"/>
      </w:r>
      <w:r>
        <w:rPr>
          <w:spacing w:val="-2"/>
        </w:rPr>
        <w:t>被保险人感染上人类免疫缺陷病毒（HIV）并且满足下列全部条件： </w:t>
      </w:r>
      <w:r>
        <w:rPr/>
        <w:t>(1)</w:t>
      </w:r>
      <w:r>
        <w:rPr>
          <w:spacing w:val="-2"/>
        </w:rPr>
        <w:t>在保障起始日或复效日之后，被保险人因输血而感染 </w:t>
      </w:r>
      <w:r>
        <w:rPr/>
        <w:t>HIV；</w:t>
      </w:r>
    </w:p>
    <w:p>
      <w:pPr>
        <w:pStyle w:val="ListParagraph"/>
        <w:numPr>
          <w:ilvl w:val="0"/>
          <w:numId w:val="34"/>
        </w:numPr>
        <w:tabs>
          <w:tab w:pos="532" w:val="left" w:leader="none"/>
        </w:tabs>
        <w:spacing w:line="278" w:lineRule="auto" w:before="0" w:after="0"/>
        <w:ind w:left="212" w:right="692" w:firstLine="0"/>
        <w:jc w:val="left"/>
        <w:rPr>
          <w:sz w:val="21"/>
        </w:rPr>
      </w:pPr>
      <w:r>
        <w:rPr>
          <w:spacing w:val="-2"/>
          <w:sz w:val="21"/>
        </w:rPr>
        <w:t>提供输血治疗的输血中心或医院出具该项输血感染属医疗责任事故的</w:t>
      </w:r>
      <w:r>
        <w:rPr>
          <w:spacing w:val="-2"/>
          <w:sz w:val="21"/>
        </w:rPr>
        <w:t>报告，或者法院终审裁定为医疗责任并且不准上诉；</w:t>
      </w:r>
    </w:p>
    <w:p>
      <w:pPr>
        <w:pStyle w:val="ListParagraph"/>
        <w:numPr>
          <w:ilvl w:val="0"/>
          <w:numId w:val="34"/>
        </w:numPr>
        <w:tabs>
          <w:tab w:pos="531" w:val="left" w:leader="none"/>
        </w:tabs>
        <w:spacing w:line="269" w:lineRule="exact" w:before="0" w:after="0"/>
        <w:ind w:left="530" w:right="0" w:hanging="319"/>
        <w:jc w:val="left"/>
        <w:rPr>
          <w:sz w:val="21"/>
        </w:rPr>
      </w:pPr>
      <w:r>
        <w:rPr>
          <w:spacing w:val="-3"/>
          <w:sz w:val="21"/>
        </w:rPr>
        <w:t>受感染的被保险人不是血友病患者。</w:t>
      </w:r>
    </w:p>
    <w:p>
      <w:pPr>
        <w:pStyle w:val="BodyText"/>
        <w:spacing w:before="122"/>
        <w:ind w:left="212"/>
      </w:pPr>
      <w:r>
        <w:rPr>
          <w:color w:val="000000"/>
          <w:spacing w:val="-2"/>
          <w:shd w:fill="A6A6A6" w:color="auto" w:val="clear"/>
        </w:rPr>
        <w:t>在任何治愈艾滋病（AIDS）</w:t>
      </w:r>
      <w:r>
        <w:rPr>
          <w:color w:val="000000"/>
          <w:spacing w:val="-9"/>
          <w:shd w:fill="A6A6A6" w:color="auto" w:val="clear"/>
        </w:rPr>
        <w:t>或阻止 </w:t>
      </w:r>
      <w:r>
        <w:rPr>
          <w:color w:val="000000"/>
          <w:spacing w:val="-2"/>
          <w:shd w:fill="A6A6A6" w:color="auto" w:val="clear"/>
        </w:rPr>
        <w:t>HIV</w:t>
      </w:r>
      <w:r>
        <w:rPr>
          <w:color w:val="000000"/>
          <w:spacing w:val="-8"/>
          <w:shd w:fill="A6A6A6" w:color="auto" w:val="clear"/>
        </w:rPr>
        <w:t> 病毒作用的疗法被发现以后，或能</w:t>
      </w:r>
    </w:p>
    <w:p>
      <w:pPr>
        <w:spacing w:after="0"/>
        <w:sectPr>
          <w:type w:val="continuous"/>
          <w:pgSz w:w="11910" w:h="16840"/>
          <w:pgMar w:top="680" w:bottom="280" w:left="920" w:right="440"/>
          <w:cols w:num="2" w:equalWidth="0">
            <w:col w:w="2861" w:space="40"/>
            <w:col w:w="7649"/>
          </w:cols>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31"/>
      </w:tblGrid>
      <w:tr>
        <w:trPr>
          <w:trHeight w:val="1345"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32" w:lineRule="exact"/>
              <w:ind w:left="127"/>
              <w:jc w:val="both"/>
              <w:rPr>
                <w:sz w:val="21"/>
              </w:rPr>
            </w:pPr>
            <w:r>
              <w:rPr>
                <w:color w:val="000000"/>
                <w:spacing w:val="-16"/>
                <w:sz w:val="21"/>
                <w:shd w:fill="A6A6A6" w:color="auto" w:val="clear"/>
              </w:rPr>
              <w:t>防止 </w:t>
            </w:r>
            <w:r>
              <w:rPr>
                <w:color w:val="000000"/>
                <w:spacing w:val="-2"/>
                <w:sz w:val="21"/>
                <w:shd w:fill="A6A6A6" w:color="auto" w:val="clear"/>
              </w:rPr>
              <w:t>AIDS</w:t>
            </w:r>
            <w:r>
              <w:rPr>
                <w:color w:val="000000"/>
                <w:spacing w:val="-10"/>
                <w:sz w:val="21"/>
                <w:shd w:fill="A6A6A6" w:color="auto" w:val="clear"/>
              </w:rPr>
              <w:t> 发生的医疗方法被研究出来以后，则我们不再予以赔付。</w:t>
            </w:r>
          </w:p>
          <w:p>
            <w:pPr>
              <w:pStyle w:val="TableParagraph"/>
              <w:spacing w:line="278" w:lineRule="auto" w:before="120"/>
              <w:ind w:left="127" w:right="151"/>
              <w:jc w:val="both"/>
              <w:rPr>
                <w:sz w:val="21"/>
              </w:rPr>
            </w:pPr>
            <w:r>
              <w:rPr>
                <w:color w:val="000000"/>
                <w:spacing w:val="-2"/>
                <w:sz w:val="21"/>
                <w:shd w:fill="A6A6A6" w:color="auto" w:val="clear"/>
              </w:rPr>
              <w:t>任何因其他传播方式（包括：性传播或静脉注射毒品）</w:t>
            </w:r>
            <w:r>
              <w:rPr>
                <w:color w:val="000000"/>
                <w:spacing w:val="-8"/>
                <w:sz w:val="21"/>
                <w:shd w:fill="A6A6A6" w:color="auto" w:val="clear"/>
              </w:rPr>
              <w:t>导致的 </w:t>
            </w:r>
            <w:r>
              <w:rPr>
                <w:color w:val="000000"/>
                <w:spacing w:val="-2"/>
                <w:sz w:val="21"/>
                <w:shd w:fill="A6A6A6" w:color="auto" w:val="clear"/>
              </w:rPr>
              <w:t>HIV</w:t>
            </w:r>
            <w:r>
              <w:rPr>
                <w:color w:val="000000"/>
                <w:spacing w:val="-8"/>
                <w:sz w:val="21"/>
                <w:shd w:fill="A6A6A6" w:color="auto" w:val="clear"/>
              </w:rPr>
              <w:t> 感染不</w:t>
            </w:r>
            <w:r>
              <w:rPr>
                <w:color w:val="000000"/>
                <w:spacing w:val="40"/>
                <w:sz w:val="21"/>
                <w:shd w:fill="A6A6A6" w:color="auto" w:val="clear"/>
              </w:rPr>
              <w:t> </w:t>
            </w:r>
            <w:r>
              <w:rPr>
                <w:color w:val="000000"/>
                <w:spacing w:val="-2"/>
                <w:sz w:val="21"/>
                <w:shd w:fill="A6A6A6" w:color="auto" w:val="clear"/>
              </w:rPr>
              <w:t>在保障范围内。我们必须拥有获得使用被保险人的所有血液样本的权利和</w:t>
            </w:r>
            <w:r>
              <w:rPr>
                <w:color w:val="000000"/>
                <w:spacing w:val="-2"/>
                <w:sz w:val="21"/>
                <w:shd w:fill="A6A6A6" w:color="auto" w:val="clear"/>
              </w:rPr>
              <w:t>能够对这些样本进行独立检验的权利。</w:t>
            </w:r>
          </w:p>
        </w:tc>
      </w:tr>
      <w:tr>
        <w:trPr>
          <w:trHeight w:val="1078" w:hRule="atLeast"/>
        </w:trPr>
        <w:tc>
          <w:tcPr>
            <w:tcW w:w="1005" w:type="dxa"/>
          </w:tcPr>
          <w:p>
            <w:pPr>
              <w:pStyle w:val="TableParagraph"/>
              <w:spacing w:before="17"/>
              <w:ind w:left="50"/>
              <w:rPr>
                <w:rFonts w:ascii="微软雅黑"/>
                <w:b/>
                <w:sz w:val="21"/>
              </w:rPr>
            </w:pPr>
            <w:r>
              <w:rPr>
                <w:rFonts w:ascii="微软雅黑"/>
                <w:b/>
                <w:spacing w:val="-2"/>
                <w:sz w:val="21"/>
              </w:rPr>
              <w:t>10.1.41</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丝虫病所致严重</w:t>
            </w:r>
            <w:r>
              <w:rPr>
                <w:rFonts w:ascii="微软雅黑" w:eastAsia="微软雅黑"/>
                <w:b/>
                <w:spacing w:val="-4"/>
                <w:sz w:val="21"/>
              </w:rPr>
              <w:t>象皮肿</w:t>
            </w:r>
          </w:p>
        </w:tc>
        <w:tc>
          <w:tcPr>
            <w:tcW w:w="7031" w:type="dxa"/>
          </w:tcPr>
          <w:p>
            <w:pPr>
              <w:pStyle w:val="TableParagraph"/>
              <w:spacing w:line="278" w:lineRule="auto" w:before="84"/>
              <w:ind w:left="127" w:right="48"/>
              <w:jc w:val="both"/>
              <w:rPr>
                <w:sz w:val="21"/>
              </w:rPr>
            </w:pPr>
            <w:r>
              <w:rPr>
                <w:spacing w:val="-2"/>
                <w:sz w:val="21"/>
              </w:rPr>
              <w:t>指因丝虫感染导致淋巴阻塞出现严重淋巴水肿，达到国际淋巴学会淋巴肿</w:t>
            </w:r>
            <w:r>
              <w:rPr>
                <w:sz w:val="21"/>
              </w:rPr>
              <w:t>分期第Ⅲ期，临床表现为肢体象皮肿，患肢较健肢增粗 30%以上，日常生</w:t>
            </w:r>
            <w:r>
              <w:rPr>
                <w:spacing w:val="-11"/>
                <w:sz w:val="21"/>
              </w:rPr>
              <w:t>活不能自理。此病症须经专科医生根据临床表现和微丝蚴的化验结果确诊。</w:t>
            </w:r>
          </w:p>
        </w:tc>
      </w:tr>
      <w:tr>
        <w:trPr>
          <w:trHeight w:val="734" w:hRule="atLeast"/>
        </w:trPr>
        <w:tc>
          <w:tcPr>
            <w:tcW w:w="1005" w:type="dxa"/>
          </w:tcPr>
          <w:p>
            <w:pPr>
              <w:pStyle w:val="TableParagraph"/>
              <w:spacing w:before="18"/>
              <w:ind w:left="50"/>
              <w:rPr>
                <w:rFonts w:ascii="微软雅黑"/>
                <w:b/>
                <w:sz w:val="21"/>
              </w:rPr>
            </w:pPr>
            <w:r>
              <w:rPr>
                <w:rFonts w:ascii="微软雅黑"/>
                <w:b/>
                <w:spacing w:val="-2"/>
                <w:sz w:val="21"/>
              </w:rPr>
              <w:t>10.1.42</w:t>
            </w:r>
          </w:p>
        </w:tc>
        <w:tc>
          <w:tcPr>
            <w:tcW w:w="1818" w:type="dxa"/>
          </w:tcPr>
          <w:p>
            <w:pPr>
              <w:pStyle w:val="TableParagraph"/>
              <w:spacing w:before="18"/>
              <w:ind w:left="214"/>
              <w:rPr>
                <w:rFonts w:ascii="微软雅黑" w:eastAsia="微软雅黑"/>
                <w:b/>
                <w:sz w:val="21"/>
              </w:rPr>
            </w:pPr>
            <w:r>
              <w:rPr>
                <w:rFonts w:ascii="微软雅黑" w:eastAsia="微软雅黑"/>
                <w:b/>
                <w:spacing w:val="-3"/>
                <w:sz w:val="21"/>
              </w:rPr>
              <w:t>胰腺移植</w:t>
            </w:r>
          </w:p>
        </w:tc>
        <w:tc>
          <w:tcPr>
            <w:tcW w:w="7031" w:type="dxa"/>
          </w:tcPr>
          <w:p>
            <w:pPr>
              <w:pStyle w:val="TableParagraph"/>
              <w:spacing w:line="278" w:lineRule="auto" w:before="85"/>
              <w:ind w:left="127" w:right="155"/>
              <w:rPr>
                <w:sz w:val="21"/>
              </w:rPr>
            </w:pPr>
            <w:r>
              <w:rPr>
                <w:spacing w:val="-2"/>
                <w:sz w:val="21"/>
              </w:rPr>
              <w:t>指因胰腺功能衰竭，已经实施了在全身麻醉下进行的胰腺的异体器官移植</w:t>
            </w:r>
            <w:r>
              <w:rPr>
                <w:spacing w:val="-4"/>
                <w:sz w:val="21"/>
              </w:rPr>
              <w:t>手术。</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pacing w:val="-3"/>
                <w:sz w:val="21"/>
                <w:shd w:fill="A6A6A6" w:color="auto" w:val="clear"/>
              </w:rPr>
              <w:t>单纯胰岛移植、部分胰腺组织或细胞的移植不在保障范围内。</w:t>
            </w:r>
          </w:p>
        </w:tc>
      </w:tr>
      <w:tr>
        <w:trPr>
          <w:trHeight w:val="2606" w:hRule="atLeast"/>
        </w:trPr>
        <w:tc>
          <w:tcPr>
            <w:tcW w:w="1005" w:type="dxa"/>
          </w:tcPr>
          <w:p>
            <w:pPr>
              <w:pStyle w:val="TableParagraph"/>
              <w:spacing w:before="17"/>
              <w:ind w:left="50"/>
              <w:rPr>
                <w:rFonts w:ascii="微软雅黑"/>
                <w:b/>
                <w:sz w:val="21"/>
              </w:rPr>
            </w:pPr>
            <w:r>
              <w:rPr>
                <w:rFonts w:ascii="微软雅黑"/>
                <w:b/>
                <w:spacing w:val="-2"/>
                <w:sz w:val="21"/>
              </w:rPr>
              <w:t>10.1.43</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严重慢性复发性</w:t>
            </w:r>
            <w:r>
              <w:rPr>
                <w:rFonts w:ascii="微软雅黑" w:eastAsia="微软雅黑"/>
                <w:b/>
                <w:spacing w:val="-4"/>
                <w:sz w:val="21"/>
              </w:rPr>
              <w:t>胰腺炎</w:t>
            </w:r>
          </w:p>
        </w:tc>
        <w:tc>
          <w:tcPr>
            <w:tcW w:w="7031" w:type="dxa"/>
          </w:tcPr>
          <w:p>
            <w:pPr>
              <w:pStyle w:val="TableParagraph"/>
              <w:spacing w:line="278" w:lineRule="auto" w:before="84"/>
              <w:ind w:left="127" w:right="46"/>
              <w:rPr>
                <w:sz w:val="21"/>
              </w:rPr>
            </w:pPr>
            <w:r>
              <w:rPr>
                <w:spacing w:val="-2"/>
                <w:sz w:val="21"/>
              </w:rPr>
              <w:t>指慢性反复发作（3</w:t>
            </w:r>
            <w:r>
              <w:rPr>
                <w:spacing w:val="-12"/>
                <w:sz w:val="21"/>
              </w:rPr>
              <w:t> 次及以上</w:t>
            </w:r>
            <w:r>
              <w:rPr>
                <w:spacing w:val="-2"/>
                <w:sz w:val="21"/>
              </w:rPr>
              <w:t>）的胰腺炎症导致胰腺的广泛纤维化、坏死、</w:t>
            </w:r>
            <w:r>
              <w:rPr>
                <w:spacing w:val="-2"/>
                <w:sz w:val="21"/>
              </w:rPr>
              <w:t>弥漫性钙化及假性囊肿形成，造成胰腺功能障碍出现严重糖尿病和营养不</w:t>
            </w:r>
            <w:r>
              <w:rPr>
                <w:spacing w:val="-2"/>
                <w:sz w:val="21"/>
              </w:rPr>
              <w:t>良。必须满足以下所有条件：</w:t>
            </w:r>
          </w:p>
          <w:p>
            <w:pPr>
              <w:pStyle w:val="TableParagraph"/>
              <w:numPr>
                <w:ilvl w:val="0"/>
                <w:numId w:val="35"/>
              </w:numPr>
              <w:tabs>
                <w:tab w:pos="447" w:val="left" w:leader="none"/>
              </w:tabs>
              <w:spacing w:line="278" w:lineRule="auto" w:before="0" w:after="0"/>
              <w:ind w:left="127" w:right="162" w:firstLine="0"/>
              <w:jc w:val="left"/>
              <w:rPr>
                <w:sz w:val="21"/>
              </w:rPr>
            </w:pPr>
            <w:r>
              <w:rPr>
                <w:spacing w:val="-2"/>
                <w:sz w:val="21"/>
              </w:rPr>
              <w:t>医疗记录证实存在有腹痛等典型症状的慢性胰腺炎急性反复发作超过</w:t>
            </w:r>
            <w:r>
              <w:rPr>
                <w:spacing w:val="-4"/>
                <w:sz w:val="21"/>
              </w:rPr>
              <w:t>三次；</w:t>
            </w:r>
          </w:p>
          <w:p>
            <w:pPr>
              <w:pStyle w:val="TableParagraph"/>
              <w:numPr>
                <w:ilvl w:val="0"/>
                <w:numId w:val="35"/>
              </w:numPr>
              <w:tabs>
                <w:tab w:pos="445" w:val="left" w:leader="none"/>
              </w:tabs>
              <w:spacing w:line="278" w:lineRule="auto" w:before="0" w:after="0"/>
              <w:ind w:left="127" w:right="154" w:firstLine="0"/>
              <w:jc w:val="left"/>
              <w:rPr>
                <w:sz w:val="21"/>
              </w:rPr>
            </w:pPr>
            <w:r>
              <w:rPr>
                <w:sz w:val="21"/>
              </w:rPr>
              <w:t>CT</w:t>
            </w:r>
            <w:r>
              <w:rPr>
                <w:spacing w:val="-4"/>
                <w:sz w:val="21"/>
              </w:rPr>
              <w:t> 显示胰腺广泛钙化或逆行胰胆管造影</w:t>
            </w:r>
            <w:r>
              <w:rPr>
                <w:sz w:val="21"/>
              </w:rPr>
              <w:t>（ERCP）显示胰管扭曲、扩张</w:t>
            </w:r>
            <w:r>
              <w:rPr>
                <w:spacing w:val="-4"/>
                <w:sz w:val="21"/>
              </w:rPr>
              <w:t>和狭窄；</w:t>
            </w:r>
          </w:p>
          <w:p>
            <w:pPr>
              <w:pStyle w:val="TableParagraph"/>
              <w:numPr>
                <w:ilvl w:val="0"/>
                <w:numId w:val="35"/>
              </w:numPr>
              <w:tabs>
                <w:tab w:pos="445" w:val="left" w:leader="none"/>
              </w:tabs>
              <w:spacing w:line="269" w:lineRule="exact" w:before="0" w:after="0"/>
              <w:ind w:left="445" w:right="0" w:hanging="318"/>
              <w:jc w:val="left"/>
              <w:rPr>
                <w:sz w:val="21"/>
              </w:rPr>
            </w:pPr>
            <w:r>
              <w:rPr>
                <w:spacing w:val="-5"/>
                <w:sz w:val="21"/>
              </w:rPr>
              <w:t>接受胰岛素替代治疗和酶替代治疗 </w:t>
            </w:r>
            <w:r>
              <w:rPr>
                <w:spacing w:val="-2"/>
                <w:sz w:val="21"/>
              </w:rPr>
              <w:t>180</w:t>
            </w:r>
            <w:r>
              <w:rPr>
                <w:spacing w:val="-14"/>
                <w:sz w:val="21"/>
              </w:rPr>
              <w:t> 天以上。</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2"/>
              <w:ind w:left="127"/>
              <w:rPr>
                <w:sz w:val="21"/>
              </w:rPr>
            </w:pPr>
            <w:r>
              <w:rPr>
                <w:color w:val="000000"/>
                <w:spacing w:val="-3"/>
                <w:sz w:val="21"/>
                <w:shd w:fill="A6A6A6" w:color="auto" w:val="clear"/>
              </w:rPr>
              <w:t>酒精导致的慢性复发性胰腺炎不在保障范围内。</w:t>
            </w:r>
          </w:p>
        </w:tc>
      </w:tr>
      <w:tr>
        <w:trPr>
          <w:trHeight w:val="1357" w:hRule="atLeast"/>
        </w:trPr>
        <w:tc>
          <w:tcPr>
            <w:tcW w:w="1005" w:type="dxa"/>
          </w:tcPr>
          <w:p>
            <w:pPr>
              <w:pStyle w:val="TableParagraph"/>
              <w:spacing w:before="17"/>
              <w:ind w:left="50"/>
              <w:rPr>
                <w:rFonts w:ascii="微软雅黑"/>
                <w:b/>
                <w:sz w:val="21"/>
              </w:rPr>
            </w:pPr>
            <w:r>
              <w:rPr>
                <w:rFonts w:ascii="微软雅黑"/>
                <w:b/>
                <w:spacing w:val="-2"/>
                <w:sz w:val="21"/>
              </w:rPr>
              <w:t>10.1.44</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严重肾髓质囊性</w:t>
            </w:r>
            <w:r>
              <w:rPr>
                <w:rFonts w:ascii="微软雅黑" w:eastAsia="微软雅黑"/>
                <w:b/>
                <w:spacing w:val="-10"/>
                <w:sz w:val="21"/>
              </w:rPr>
              <w:t>病</w:t>
            </w:r>
          </w:p>
        </w:tc>
        <w:tc>
          <w:tcPr>
            <w:tcW w:w="7031" w:type="dxa"/>
          </w:tcPr>
          <w:p>
            <w:pPr>
              <w:pStyle w:val="TableParagraph"/>
              <w:spacing w:before="84"/>
              <w:ind w:left="127"/>
              <w:rPr>
                <w:sz w:val="21"/>
              </w:rPr>
            </w:pPr>
            <w:r>
              <w:rPr>
                <w:spacing w:val="-3"/>
                <w:sz w:val="21"/>
              </w:rPr>
              <w:t>肾髓质囊性病的诊断须同时符合下列要求：</w:t>
            </w:r>
          </w:p>
          <w:p>
            <w:pPr>
              <w:pStyle w:val="TableParagraph"/>
              <w:spacing w:line="278" w:lineRule="auto" w:before="43"/>
              <w:ind w:left="127" w:right="1314"/>
              <w:rPr>
                <w:sz w:val="21"/>
              </w:rPr>
            </w:pPr>
            <w:r>
              <w:rPr>
                <w:spacing w:val="-2"/>
                <w:sz w:val="21"/>
              </w:rPr>
              <w:t>(1)肾髓质有囊肿、肾小管萎缩及间质纤维化等病理改变； (2)肾功能衰竭；</w:t>
            </w:r>
          </w:p>
          <w:p>
            <w:pPr>
              <w:pStyle w:val="TableParagraph"/>
              <w:ind w:left="127"/>
              <w:rPr>
                <w:sz w:val="21"/>
              </w:rPr>
            </w:pPr>
            <w:r>
              <w:rPr>
                <w:spacing w:val="-2"/>
                <w:sz w:val="21"/>
              </w:rPr>
              <w:t>(3)</w:t>
            </w:r>
            <w:r>
              <w:rPr>
                <w:spacing w:val="-3"/>
                <w:sz w:val="21"/>
              </w:rPr>
              <w:t>诊断须由肾组织活检确定。</w:t>
            </w:r>
          </w:p>
        </w:tc>
      </w:tr>
      <w:tr>
        <w:trPr>
          <w:trHeight w:val="1046"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1"/>
              <w:ind w:left="127" w:right="4220"/>
              <w:rPr>
                <w:sz w:val="21"/>
              </w:rPr>
            </w:pPr>
            <w:r>
              <w:rPr>
                <w:color w:val="000000"/>
                <w:spacing w:val="-2"/>
                <w:sz w:val="21"/>
                <w:shd w:fill="A6A6A6" w:color="auto" w:val="clear"/>
              </w:rPr>
              <w:t>以下情况不在保障范围内：</w:t>
            </w:r>
            <w:r>
              <w:rPr>
                <w:color w:val="000000"/>
                <w:spacing w:val="-2"/>
                <w:sz w:val="21"/>
              </w:rPr>
              <w:t> </w:t>
            </w:r>
            <w:r>
              <w:rPr>
                <w:color w:val="000000"/>
                <w:spacing w:val="-2"/>
                <w:sz w:val="21"/>
                <w:shd w:fill="A6A6A6" w:color="auto" w:val="clear"/>
              </w:rPr>
              <w:t>(1)多囊肾；</w:t>
            </w:r>
          </w:p>
          <w:p>
            <w:pPr>
              <w:pStyle w:val="TableParagraph"/>
              <w:spacing w:line="269" w:lineRule="exact"/>
              <w:ind w:left="127"/>
              <w:rPr>
                <w:sz w:val="21"/>
              </w:rPr>
            </w:pPr>
            <w:r>
              <w:rPr>
                <w:color w:val="000000"/>
                <w:spacing w:val="-2"/>
                <w:sz w:val="21"/>
                <w:shd w:fill="A6A6A6" w:color="auto" w:val="clear"/>
              </w:rPr>
              <w:t>(2)</w:t>
            </w:r>
            <w:r>
              <w:rPr>
                <w:color w:val="000000"/>
                <w:spacing w:val="-3"/>
                <w:sz w:val="21"/>
                <w:shd w:fill="A6A6A6" w:color="auto" w:val="clear"/>
              </w:rPr>
              <w:t>多囊性肾发育不良和髓质海绵肾。</w:t>
            </w:r>
          </w:p>
        </w:tc>
      </w:tr>
      <w:tr>
        <w:trPr>
          <w:trHeight w:val="1078" w:hRule="atLeast"/>
        </w:trPr>
        <w:tc>
          <w:tcPr>
            <w:tcW w:w="1005" w:type="dxa"/>
          </w:tcPr>
          <w:p>
            <w:pPr>
              <w:pStyle w:val="TableParagraph"/>
              <w:spacing w:before="18"/>
              <w:ind w:left="50"/>
              <w:rPr>
                <w:rFonts w:ascii="微软雅黑"/>
                <w:b/>
                <w:sz w:val="21"/>
              </w:rPr>
            </w:pPr>
            <w:r>
              <w:rPr>
                <w:rFonts w:ascii="微软雅黑"/>
                <w:b/>
                <w:spacing w:val="-2"/>
                <w:sz w:val="21"/>
              </w:rPr>
              <w:t>10.1.45</w:t>
            </w:r>
          </w:p>
        </w:tc>
        <w:tc>
          <w:tcPr>
            <w:tcW w:w="1818" w:type="dxa"/>
          </w:tcPr>
          <w:p>
            <w:pPr>
              <w:pStyle w:val="TableParagraph"/>
              <w:spacing w:before="18"/>
              <w:ind w:left="214"/>
              <w:rPr>
                <w:rFonts w:ascii="微软雅黑" w:eastAsia="微软雅黑"/>
                <w:b/>
                <w:sz w:val="21"/>
              </w:rPr>
            </w:pPr>
            <w:r>
              <w:rPr>
                <w:rFonts w:ascii="微软雅黑" w:eastAsia="微软雅黑"/>
                <w:b/>
                <w:spacing w:val="-2"/>
                <w:sz w:val="21"/>
              </w:rPr>
              <w:t>肺源性心脏病</w:t>
            </w:r>
          </w:p>
        </w:tc>
        <w:tc>
          <w:tcPr>
            <w:tcW w:w="7031" w:type="dxa"/>
          </w:tcPr>
          <w:p>
            <w:pPr>
              <w:pStyle w:val="TableParagraph"/>
              <w:spacing w:line="278" w:lineRule="auto" w:before="85"/>
              <w:ind w:left="127" w:right="46"/>
              <w:jc w:val="both"/>
              <w:rPr>
                <w:sz w:val="21"/>
              </w:rPr>
            </w:pPr>
            <w:r>
              <w:rPr>
                <w:spacing w:val="-2"/>
                <w:sz w:val="21"/>
              </w:rPr>
              <w:t>指被保人因慢性肺部疾病导致慢性心功能损害造成永久不可逆性的心功能</w:t>
            </w:r>
            <w:r>
              <w:rPr>
                <w:spacing w:val="-2"/>
                <w:sz w:val="21"/>
              </w:rPr>
              <w:t>衰竭。心功能衰竭程度达到纽约心脏病学会的心功能分级标准之心功能Ⅳ</w:t>
            </w:r>
            <w:r>
              <w:rPr>
                <w:spacing w:val="-4"/>
                <w:sz w:val="21"/>
              </w:rPr>
              <w:t>级。被保险人永久不可逆性的体力活动能力受限，不能从事任何体力活动。</w:t>
            </w:r>
          </w:p>
        </w:tc>
      </w:tr>
      <w:tr>
        <w:trPr>
          <w:trHeight w:val="2917" w:hRule="atLeast"/>
        </w:trPr>
        <w:tc>
          <w:tcPr>
            <w:tcW w:w="1005" w:type="dxa"/>
          </w:tcPr>
          <w:p>
            <w:pPr>
              <w:pStyle w:val="TableParagraph"/>
              <w:spacing w:before="17"/>
              <w:ind w:left="50"/>
              <w:rPr>
                <w:rFonts w:ascii="微软雅黑"/>
                <w:b/>
                <w:sz w:val="21"/>
              </w:rPr>
            </w:pPr>
            <w:r>
              <w:rPr>
                <w:rFonts w:ascii="微软雅黑"/>
                <w:b/>
                <w:spacing w:val="-2"/>
                <w:sz w:val="21"/>
              </w:rPr>
              <w:t>10.1.46</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特发性慢性肾上</w:t>
            </w:r>
            <w:r>
              <w:rPr>
                <w:rFonts w:ascii="微软雅黑" w:eastAsia="微软雅黑"/>
                <w:b/>
                <w:spacing w:val="-2"/>
                <w:sz w:val="21"/>
              </w:rPr>
              <w:t>腺皮质功能衰竭</w:t>
            </w:r>
          </w:p>
        </w:tc>
        <w:tc>
          <w:tcPr>
            <w:tcW w:w="7031" w:type="dxa"/>
          </w:tcPr>
          <w:p>
            <w:pPr>
              <w:pStyle w:val="TableParagraph"/>
              <w:spacing w:line="278" w:lineRule="auto" w:before="84"/>
              <w:ind w:left="127" w:right="155"/>
              <w:rPr>
                <w:sz w:val="21"/>
              </w:rPr>
            </w:pPr>
            <w:r>
              <w:rPr>
                <w:spacing w:val="-2"/>
                <w:sz w:val="21"/>
              </w:rPr>
              <w:t>指自身免疫性肾上腺炎（既往称：特发性肾上腺皮质萎缩）导致肾上腺萎</w:t>
            </w:r>
            <w:r>
              <w:rPr>
                <w:spacing w:val="-2"/>
                <w:sz w:val="21"/>
              </w:rPr>
              <w:t>缩和慢性肾上腺皮质功能减退。必须满足所有以下条件：</w:t>
            </w:r>
          </w:p>
          <w:p>
            <w:pPr>
              <w:pStyle w:val="TableParagraph"/>
              <w:numPr>
                <w:ilvl w:val="0"/>
                <w:numId w:val="36"/>
              </w:numPr>
              <w:tabs>
                <w:tab w:pos="445" w:val="left" w:leader="none"/>
              </w:tabs>
              <w:spacing w:line="269" w:lineRule="exact" w:before="0" w:after="0"/>
              <w:ind w:left="445" w:right="0" w:hanging="318"/>
              <w:jc w:val="left"/>
              <w:rPr>
                <w:sz w:val="21"/>
              </w:rPr>
            </w:pPr>
            <w:r>
              <w:rPr>
                <w:spacing w:val="-3"/>
                <w:sz w:val="21"/>
              </w:rPr>
              <w:t>必须由专科医生明确诊断，符合所有以下诊断标准：</w:t>
            </w:r>
          </w:p>
          <w:p>
            <w:pPr>
              <w:pStyle w:val="TableParagraph"/>
              <w:spacing w:before="43"/>
              <w:ind w:left="127"/>
              <w:rPr>
                <w:sz w:val="21"/>
              </w:rPr>
            </w:pPr>
            <w:r>
              <w:rPr>
                <w:spacing w:val="-2"/>
                <w:sz w:val="21"/>
              </w:rPr>
              <w:t>①血浆促肾上腺皮质激素（ACTH）水平测定，&gt;100pg/ml；</w:t>
            </w:r>
          </w:p>
          <w:p>
            <w:pPr>
              <w:pStyle w:val="TableParagraph"/>
              <w:spacing w:line="278" w:lineRule="auto" w:before="43"/>
              <w:ind w:left="127" w:right="155"/>
              <w:rPr>
                <w:sz w:val="21"/>
              </w:rPr>
            </w:pPr>
            <w:r>
              <w:rPr>
                <w:spacing w:val="-2"/>
                <w:sz w:val="21"/>
              </w:rPr>
              <w:t>②血浆肾素活性、血管紧张素Ⅱ和醛固酮测定，显示为原发性肾上腺皮质</w:t>
            </w:r>
            <w:r>
              <w:rPr>
                <w:spacing w:val="-2"/>
                <w:sz w:val="21"/>
              </w:rPr>
              <w:t>功能减退症；</w:t>
            </w:r>
          </w:p>
          <w:p>
            <w:pPr>
              <w:pStyle w:val="TableParagraph"/>
              <w:spacing w:line="278" w:lineRule="auto"/>
              <w:ind w:left="127" w:right="154"/>
              <w:rPr>
                <w:sz w:val="21"/>
              </w:rPr>
            </w:pPr>
            <w:r>
              <w:rPr>
                <w:spacing w:val="-2"/>
                <w:sz w:val="21"/>
              </w:rPr>
              <w:t>③促肾上腺皮质激素（ACTH）刺激试验显示为原发性肾上腺皮质功能减退</w:t>
            </w:r>
            <w:r>
              <w:rPr>
                <w:spacing w:val="-6"/>
                <w:sz w:val="21"/>
              </w:rPr>
              <w:t>症。</w:t>
            </w:r>
          </w:p>
          <w:p>
            <w:pPr>
              <w:pStyle w:val="TableParagraph"/>
              <w:numPr>
                <w:ilvl w:val="0"/>
                <w:numId w:val="36"/>
              </w:numPr>
              <w:tabs>
                <w:tab w:pos="445" w:val="left" w:leader="none"/>
              </w:tabs>
              <w:spacing w:line="269" w:lineRule="exact" w:before="0" w:after="0"/>
              <w:ind w:left="445" w:right="0" w:hanging="318"/>
              <w:jc w:val="left"/>
              <w:rPr>
                <w:sz w:val="21"/>
              </w:rPr>
            </w:pPr>
            <w:r>
              <w:rPr>
                <w:spacing w:val="-6"/>
                <w:sz w:val="21"/>
              </w:rPr>
              <w:t>已经采用皮质类固醇替代治疗 </w:t>
            </w:r>
            <w:r>
              <w:rPr>
                <w:spacing w:val="-2"/>
                <w:sz w:val="21"/>
              </w:rPr>
              <w:t>180</w:t>
            </w:r>
            <w:r>
              <w:rPr>
                <w:spacing w:val="-14"/>
                <w:sz w:val="21"/>
              </w:rPr>
              <w:t> 天以上。</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z w:val="21"/>
                <w:shd w:fill="A6A6A6" w:color="auto" w:val="clear"/>
              </w:rPr>
              <w:t>肾上腺结核、HIV</w:t>
            </w:r>
            <w:r>
              <w:rPr>
                <w:color w:val="000000"/>
                <w:spacing w:val="-5"/>
                <w:sz w:val="21"/>
                <w:shd w:fill="A6A6A6" w:color="auto" w:val="clear"/>
              </w:rPr>
              <w:t> 感染或艾滋病、感染、肿瘤所致的原发性肾上腺皮质功</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31" w:type="dxa"/>
          </w:tcPr>
          <w:p>
            <w:pPr>
              <w:pStyle w:val="TableParagraph"/>
              <w:spacing w:line="228" w:lineRule="exact" w:before="13"/>
              <w:ind w:left="127"/>
              <w:rPr>
                <w:sz w:val="21"/>
              </w:rPr>
            </w:pPr>
            <w:r>
              <w:rPr>
                <w:color w:val="000000"/>
                <w:spacing w:val="-3"/>
                <w:sz w:val="21"/>
                <w:shd w:fill="A6A6A6" w:color="auto" w:val="clear"/>
              </w:rPr>
              <w:t>能减退和继发性肾上腺皮质功能减退不在保障范围内。</w:t>
            </w:r>
          </w:p>
        </w:tc>
      </w:tr>
    </w:tbl>
    <w:p>
      <w:pPr>
        <w:spacing w:after="0" w:line="228" w:lineRule="exact"/>
        <w:rPr>
          <w:sz w:val="21"/>
        </w:rPr>
        <w:sectPr>
          <w:pgSz w:w="11910" w:h="16840"/>
          <w:pgMar w:top="1460" w:bottom="280" w:left="920" w:right="440"/>
        </w:sectPr>
      </w:pPr>
    </w:p>
    <w:p>
      <w:pPr>
        <w:pStyle w:val="ListParagraph"/>
        <w:numPr>
          <w:ilvl w:val="2"/>
          <w:numId w:val="37"/>
        </w:numPr>
        <w:tabs>
          <w:tab w:pos="1381" w:val="left" w:leader="none"/>
          <w:tab w:pos="1382" w:val="left" w:leader="none"/>
        </w:tabs>
        <w:spacing w:line="325" w:lineRule="exact" w:before="0" w:after="0"/>
        <w:ind w:left="1382" w:right="0" w:hanging="1170"/>
        <w:jc w:val="left"/>
        <w:rPr>
          <w:rFonts w:ascii="微软雅黑" w:eastAsia="微软雅黑"/>
          <w:b/>
          <w:sz w:val="21"/>
        </w:rPr>
      </w:pPr>
      <w:r>
        <w:rPr>
          <w:rFonts w:ascii="微软雅黑" w:eastAsia="微软雅黑"/>
          <w:b/>
          <w:spacing w:val="-2"/>
          <w:sz w:val="21"/>
        </w:rPr>
        <w:t>严重进行性核上</w:t>
      </w:r>
    </w:p>
    <w:p>
      <w:pPr>
        <w:spacing w:line="312" w:lineRule="exact" w:before="0"/>
        <w:ind w:left="1382" w:right="0" w:firstLine="0"/>
        <w:jc w:val="left"/>
        <w:rPr>
          <w:rFonts w:ascii="微软雅黑" w:eastAsia="微软雅黑"/>
          <w:b/>
          <w:sz w:val="21"/>
        </w:rPr>
      </w:pPr>
      <w:r>
        <w:rPr>
          <w:rFonts w:ascii="微软雅黑" w:eastAsia="微软雅黑"/>
          <w:b/>
          <w:spacing w:val="-4"/>
          <w:sz w:val="21"/>
        </w:rPr>
        <w:t>性麻痹</w:t>
      </w:r>
    </w:p>
    <w:p>
      <w:pPr>
        <w:spacing w:line="194" w:lineRule="auto" w:before="15"/>
        <w:ind w:left="1382" w:right="0" w:firstLine="0"/>
        <w:jc w:val="both"/>
        <w:rPr>
          <w:rFonts w:ascii="微软雅黑" w:eastAsia="微软雅黑"/>
          <w:b/>
          <w:sz w:val="21"/>
        </w:rPr>
      </w:pPr>
      <w:r>
        <w:rPr>
          <w:rFonts w:ascii="微软雅黑" w:eastAsia="微软雅黑"/>
          <w:b/>
          <w:spacing w:val="-2"/>
          <w:w w:val="95"/>
          <w:sz w:val="21"/>
        </w:rPr>
        <w:t>（Steele-Rchar </w:t>
      </w:r>
      <w:r>
        <w:rPr>
          <w:rFonts w:ascii="微软雅黑" w:eastAsia="微软雅黑"/>
          <w:b/>
          <w:spacing w:val="-2"/>
          <w:w w:val="85"/>
          <w:sz w:val="21"/>
        </w:rPr>
        <w:t>dson-Olszewski</w:t>
      </w:r>
      <w:r>
        <w:rPr>
          <w:rFonts w:ascii="微软雅黑" w:eastAsia="微软雅黑"/>
          <w:b/>
          <w:spacing w:val="-4"/>
          <w:sz w:val="21"/>
        </w:rPr>
        <w:t>综合征）</w:t>
      </w:r>
    </w:p>
    <w:p>
      <w:pPr>
        <w:pStyle w:val="BodyText"/>
        <w:spacing w:line="278" w:lineRule="auto" w:before="43"/>
        <w:ind w:left="210" w:right="683"/>
        <w:jc w:val="both"/>
      </w:pPr>
      <w:r>
        <w:rPr/>
        <w:br w:type="column"/>
      </w:r>
      <w:r>
        <w:rPr>
          <w:spacing w:val="-2"/>
        </w:rPr>
        <w:t>进行性核上性麻痹（PSP）</w:t>
      </w:r>
      <w:r>
        <w:rPr>
          <w:spacing w:val="-5"/>
        </w:rPr>
        <w:t>又称 </w:t>
      </w:r>
      <w:r>
        <w:rPr>
          <w:spacing w:val="-2"/>
        </w:rPr>
        <w:t>Steele-Rchardson-Olszewski</w:t>
      </w:r>
      <w:r>
        <w:rPr>
          <w:spacing w:val="-5"/>
        </w:rPr>
        <w:t> 综合征，是</w:t>
      </w:r>
      <w:r>
        <w:rPr>
          <w:spacing w:val="-2"/>
        </w:rPr>
        <w:t>一种少见的神经系统变性疾病，以假球麻痹、垂直性核上性眼肌麻痹、锥</w:t>
      </w:r>
      <w:r>
        <w:rPr/>
        <w:t>体外系肌僵直、步态共济失调和轻度痴呆为主要临床特征。PSP</w:t>
      </w:r>
      <w:r>
        <w:rPr>
          <w:spacing w:val="-3"/>
        </w:rPr>
        <w:t> 必须由三</w:t>
      </w:r>
      <w:r>
        <w:rPr>
          <w:spacing w:val="-2"/>
        </w:rPr>
        <w:t>级甲等医院的神经内科专科医生确诊，并且被保险人自主生活能力完全丧</w:t>
      </w:r>
      <w:r>
        <w:rPr>
          <w:spacing w:val="-2"/>
        </w:rPr>
        <w:t>失，无法独立完成六项基本日常生活活动中的三项或三项以上。</w:t>
      </w:r>
    </w:p>
    <w:p>
      <w:pPr>
        <w:spacing w:after="0" w:line="278" w:lineRule="auto"/>
        <w:jc w:val="both"/>
        <w:sectPr>
          <w:pgSz w:w="11910" w:h="16840"/>
          <w:pgMar w:top="1380" w:bottom="280" w:left="920" w:right="440"/>
          <w:cols w:num="2" w:equalWidth="0">
            <w:col w:w="2863" w:space="40"/>
            <w:col w:w="7647"/>
          </w:cols>
        </w:sectPr>
      </w:pPr>
    </w:p>
    <w:p>
      <w:pPr>
        <w:pStyle w:val="ListParagraph"/>
        <w:numPr>
          <w:ilvl w:val="2"/>
          <w:numId w:val="37"/>
        </w:numPr>
        <w:tabs>
          <w:tab w:pos="1381" w:val="left" w:leader="none"/>
          <w:tab w:pos="1382" w:val="left" w:leader="none"/>
          <w:tab w:pos="3112" w:val="left" w:leader="none"/>
        </w:tabs>
        <w:spacing w:line="383" w:lineRule="exact" w:before="74" w:after="0"/>
        <w:ind w:left="1382" w:right="0" w:hanging="1170"/>
        <w:jc w:val="left"/>
        <w:rPr>
          <w:sz w:val="21"/>
        </w:rPr>
      </w:pPr>
      <w:r>
        <w:rPr>
          <w:rFonts w:ascii="微软雅黑" w:eastAsia="微软雅黑"/>
          <w:b/>
          <w:sz w:val="21"/>
        </w:rPr>
        <w:t>严重哮</w:t>
      </w:r>
      <w:r>
        <w:rPr>
          <w:rFonts w:ascii="微软雅黑" w:eastAsia="微软雅黑"/>
          <w:b/>
          <w:spacing w:val="-10"/>
          <w:sz w:val="21"/>
        </w:rPr>
        <w:t>喘</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反</w:t>
      </w:r>
      <w:r>
        <w:rPr>
          <w:spacing w:val="-2"/>
          <w:sz w:val="21"/>
        </w:rPr>
        <w:t>复</w:t>
      </w:r>
      <w:r>
        <w:rPr>
          <w:spacing w:val="-2"/>
          <w:sz w:val="21"/>
        </w:rPr>
        <w:t>发</w:t>
      </w:r>
      <w:r>
        <w:rPr>
          <w:spacing w:val="-2"/>
          <w:sz w:val="21"/>
        </w:rPr>
        <w:t>作</w:t>
      </w:r>
      <w:r>
        <w:rPr>
          <w:spacing w:val="-2"/>
          <w:sz w:val="21"/>
        </w:rPr>
        <w:t>的</w:t>
      </w:r>
      <w:r>
        <w:rPr>
          <w:spacing w:val="-2"/>
          <w:sz w:val="21"/>
        </w:rPr>
        <w:t>严</w:t>
      </w:r>
      <w:r>
        <w:rPr>
          <w:spacing w:val="-2"/>
          <w:sz w:val="21"/>
        </w:rPr>
        <w:t>重</w:t>
      </w:r>
      <w:r>
        <w:rPr>
          <w:spacing w:val="-2"/>
          <w:sz w:val="21"/>
        </w:rPr>
        <w:t>支</w:t>
      </w:r>
      <w:r>
        <w:rPr>
          <w:spacing w:val="-2"/>
          <w:sz w:val="21"/>
        </w:rPr>
        <w:t>气</w:t>
      </w:r>
      <w:r>
        <w:rPr>
          <w:spacing w:val="-2"/>
          <w:sz w:val="21"/>
        </w:rPr>
        <w:t>管</w:t>
      </w:r>
      <w:r>
        <w:rPr>
          <w:spacing w:val="-2"/>
          <w:sz w:val="21"/>
        </w:rPr>
        <w:t>阻</w:t>
      </w:r>
      <w:r>
        <w:rPr>
          <w:spacing w:val="-2"/>
          <w:sz w:val="21"/>
        </w:rPr>
        <w:t>塞</w:t>
      </w:r>
      <w:r>
        <w:rPr>
          <w:spacing w:val="-2"/>
          <w:sz w:val="21"/>
        </w:rPr>
        <w:t>性</w:t>
      </w:r>
      <w:r>
        <w:rPr>
          <w:spacing w:val="-2"/>
          <w:sz w:val="21"/>
        </w:rPr>
        <w:t>疾</w:t>
      </w:r>
      <w:r>
        <w:rPr>
          <w:spacing w:val="-2"/>
          <w:sz w:val="21"/>
        </w:rPr>
        <w:t>病</w:t>
      </w:r>
      <w:r>
        <w:rPr>
          <w:spacing w:val="-2"/>
          <w:sz w:val="21"/>
        </w:rPr>
        <w:t>，</w:t>
      </w:r>
      <w:r>
        <w:rPr>
          <w:spacing w:val="-2"/>
          <w:sz w:val="21"/>
        </w:rPr>
        <w:t>经</w:t>
      </w:r>
      <w:r>
        <w:rPr>
          <w:spacing w:val="-2"/>
          <w:sz w:val="21"/>
        </w:rPr>
        <w:t>专</w:t>
      </w:r>
      <w:r>
        <w:rPr>
          <w:spacing w:val="-2"/>
          <w:sz w:val="21"/>
        </w:rPr>
        <w:t>科</w:t>
      </w:r>
      <w:r>
        <w:rPr>
          <w:spacing w:val="-2"/>
          <w:sz w:val="21"/>
        </w:rPr>
        <w:t>医</w:t>
      </w:r>
      <w:r>
        <w:rPr>
          <w:spacing w:val="-2"/>
          <w:sz w:val="21"/>
        </w:rPr>
        <w:t>生</w:t>
      </w:r>
      <w:r>
        <w:rPr>
          <w:spacing w:val="-2"/>
          <w:sz w:val="21"/>
        </w:rPr>
        <w:t>确</w:t>
      </w:r>
      <w:r>
        <w:rPr>
          <w:spacing w:val="-2"/>
          <w:sz w:val="21"/>
        </w:rPr>
        <w:t>诊</w:t>
      </w:r>
      <w:r>
        <w:rPr>
          <w:spacing w:val="-2"/>
          <w:sz w:val="21"/>
        </w:rPr>
        <w:t>，</w:t>
      </w:r>
      <w:r>
        <w:rPr>
          <w:spacing w:val="-2"/>
          <w:sz w:val="21"/>
        </w:rPr>
        <w:t>且</w:t>
      </w:r>
      <w:r>
        <w:rPr>
          <w:spacing w:val="-2"/>
          <w:sz w:val="21"/>
        </w:rPr>
        <w:t>必</w:t>
      </w:r>
      <w:r>
        <w:rPr>
          <w:spacing w:val="-2"/>
          <w:sz w:val="21"/>
        </w:rPr>
        <w:t>须</w:t>
      </w:r>
      <w:r>
        <w:rPr>
          <w:spacing w:val="-2"/>
          <w:sz w:val="21"/>
        </w:rPr>
        <w:t>同</w:t>
      </w:r>
      <w:r>
        <w:rPr>
          <w:spacing w:val="-10"/>
          <w:sz w:val="21"/>
        </w:rPr>
        <w:t>时</w:t>
      </w:r>
    </w:p>
    <w:p>
      <w:pPr>
        <w:pStyle w:val="BodyText"/>
        <w:spacing w:line="265" w:lineRule="exact"/>
      </w:pPr>
      <w:r>
        <w:rPr>
          <w:spacing w:val="-3"/>
        </w:rPr>
        <w:t>符合下列所有标准：</w:t>
      </w:r>
    </w:p>
    <w:p>
      <w:pPr>
        <w:pStyle w:val="ListParagraph"/>
        <w:numPr>
          <w:ilvl w:val="3"/>
          <w:numId w:val="37"/>
        </w:numPr>
        <w:tabs>
          <w:tab w:pos="3431" w:val="left" w:leader="none"/>
        </w:tabs>
        <w:spacing w:line="278" w:lineRule="auto" w:before="43" w:after="0"/>
        <w:ind w:left="3113" w:right="580" w:firstLine="0"/>
        <w:jc w:val="left"/>
        <w:rPr>
          <w:sz w:val="21"/>
        </w:rPr>
      </w:pPr>
      <w:r>
        <w:rPr>
          <w:spacing w:val="-7"/>
          <w:sz w:val="21"/>
        </w:rPr>
        <w:t>过去两年中曾因哮喘持续状态</w:t>
      </w:r>
      <w:r>
        <w:rPr>
          <w:sz w:val="21"/>
        </w:rPr>
        <w:t>（</w:t>
      </w:r>
      <w:r>
        <w:rPr>
          <w:spacing w:val="-7"/>
          <w:sz w:val="21"/>
        </w:rPr>
        <w:t>指哮喘持续发作 </w:t>
      </w:r>
      <w:r>
        <w:rPr>
          <w:sz w:val="21"/>
        </w:rPr>
        <w:t>24</w:t>
      </w:r>
      <w:r>
        <w:rPr>
          <w:spacing w:val="-8"/>
          <w:sz w:val="21"/>
        </w:rPr>
        <w:t> 小时以上不能缓解</w:t>
      </w:r>
      <w:r>
        <w:rPr>
          <w:sz w:val="21"/>
        </w:rPr>
        <w:t>）</w:t>
      </w:r>
      <w:r>
        <w:rPr>
          <w:spacing w:val="-2"/>
          <w:sz w:val="21"/>
        </w:rPr>
        <w:t>住院治疗；</w:t>
      </w:r>
    </w:p>
    <w:p>
      <w:pPr>
        <w:pStyle w:val="ListParagraph"/>
        <w:numPr>
          <w:ilvl w:val="3"/>
          <w:numId w:val="37"/>
        </w:numPr>
        <w:tabs>
          <w:tab w:pos="3431" w:val="left" w:leader="none"/>
        </w:tabs>
        <w:spacing w:line="278" w:lineRule="auto" w:before="0" w:after="0"/>
        <w:ind w:left="3113" w:right="3753" w:firstLine="0"/>
        <w:jc w:val="left"/>
        <w:rPr>
          <w:sz w:val="21"/>
        </w:rPr>
      </w:pPr>
      <w:r>
        <w:rPr>
          <w:spacing w:val="-2"/>
          <w:sz w:val="21"/>
        </w:rPr>
        <w:t>因慢性过度换气导致胸廓畸形；</w:t>
      </w:r>
      <w:r>
        <w:rPr>
          <w:spacing w:val="80"/>
          <w:w w:val="150"/>
          <w:sz w:val="21"/>
        </w:rPr>
        <w:t> </w:t>
      </w:r>
      <w:r>
        <w:rPr>
          <w:spacing w:val="-2"/>
          <w:sz w:val="21"/>
        </w:rPr>
        <w:t>(3)在家中需要医生处方的氧气治疗法；</w:t>
      </w:r>
    </w:p>
    <w:p>
      <w:pPr>
        <w:pStyle w:val="BodyText"/>
        <w:spacing w:line="269" w:lineRule="exact"/>
      </w:pPr>
      <w:r>
        <w:rPr>
          <w:spacing w:val="-2"/>
        </w:rPr>
        <w:t>(4)</w:t>
      </w:r>
      <w:r>
        <w:rPr>
          <w:spacing w:val="-3"/>
        </w:rPr>
        <w:t>持续日常服用口服类固醇激素治疗持续至少六个月。</w:t>
      </w:r>
    </w:p>
    <w:p>
      <w:pPr>
        <w:pStyle w:val="BodyText"/>
        <w:spacing w:before="10"/>
        <w:ind w:left="0"/>
        <w:rPr>
          <w:sz w:val="8"/>
        </w:rPr>
      </w:pPr>
    </w:p>
    <w:p>
      <w:pPr>
        <w:spacing w:after="0"/>
        <w:rPr>
          <w:sz w:val="8"/>
        </w:rPr>
        <w:sectPr>
          <w:type w:val="continuous"/>
          <w:pgSz w:w="11910" w:h="16840"/>
          <w:pgMar w:top="680" w:bottom="280" w:left="920" w:right="440"/>
        </w:sectPr>
      </w:pPr>
    </w:p>
    <w:p>
      <w:pPr>
        <w:pStyle w:val="Heading1"/>
        <w:numPr>
          <w:ilvl w:val="2"/>
          <w:numId w:val="37"/>
        </w:numPr>
        <w:tabs>
          <w:tab w:pos="1169" w:val="left" w:leader="none"/>
          <w:tab w:pos="1382" w:val="left" w:leader="none"/>
        </w:tabs>
        <w:spacing w:line="350" w:lineRule="exact" w:before="5" w:after="0"/>
        <w:ind w:left="1382" w:right="0" w:hanging="1382"/>
        <w:jc w:val="right"/>
      </w:pPr>
      <w:r>
        <w:rPr>
          <w:spacing w:val="-2"/>
        </w:rPr>
        <w:t>严重冠状动脉粥</w:t>
      </w:r>
    </w:p>
    <w:p>
      <w:pPr>
        <w:spacing w:line="350" w:lineRule="exact" w:before="0"/>
        <w:ind w:left="0" w:right="0" w:firstLine="0"/>
        <w:jc w:val="right"/>
        <w:rPr>
          <w:rFonts w:ascii="微软雅黑" w:eastAsia="微软雅黑"/>
          <w:b/>
          <w:sz w:val="21"/>
        </w:rPr>
      </w:pPr>
      <w:r>
        <w:rPr>
          <w:rFonts w:ascii="微软雅黑" w:eastAsia="微软雅黑"/>
          <w:b/>
          <w:spacing w:val="-2"/>
          <w:sz w:val="21"/>
        </w:rPr>
        <w:t>样硬化性心脏病</w:t>
      </w:r>
    </w:p>
    <w:p>
      <w:pPr>
        <w:pStyle w:val="BodyText"/>
        <w:spacing w:line="278" w:lineRule="auto" w:before="72"/>
        <w:ind w:left="212" w:right="684"/>
      </w:pPr>
      <w:r>
        <w:rPr/>
        <w:br w:type="column"/>
      </w:r>
      <w:r>
        <w:rPr>
          <w:spacing w:val="-2"/>
        </w:rPr>
        <w:t>指经冠状动脉造影检查明确诊断为主要血管严重狭窄性病变，须满足下列</w:t>
      </w:r>
      <w:r>
        <w:rPr>
          <w:spacing w:val="-2"/>
        </w:rPr>
        <w:t>至少一项条件：</w:t>
      </w:r>
    </w:p>
    <w:p>
      <w:pPr>
        <w:pStyle w:val="ListParagraph"/>
        <w:numPr>
          <w:ilvl w:val="0"/>
          <w:numId w:val="38"/>
        </w:numPr>
        <w:tabs>
          <w:tab w:pos="531" w:val="left" w:leader="none"/>
        </w:tabs>
        <w:spacing w:line="278" w:lineRule="auto" w:before="0" w:after="0"/>
        <w:ind w:left="212" w:right="683" w:firstLine="0"/>
        <w:jc w:val="left"/>
        <w:rPr>
          <w:sz w:val="21"/>
        </w:rPr>
      </w:pPr>
      <w:r>
        <w:rPr>
          <w:spacing w:val="-5"/>
          <w:sz w:val="21"/>
        </w:rPr>
        <w:t>左冠状动脉主干和右冠状动脉中，一支血管管腔堵塞 </w:t>
      </w:r>
      <w:r>
        <w:rPr>
          <w:spacing w:val="-2"/>
          <w:sz w:val="21"/>
        </w:rPr>
        <w:t>75%以上，另一支</w:t>
      </w:r>
      <w:r>
        <w:rPr>
          <w:spacing w:val="-6"/>
          <w:sz w:val="21"/>
        </w:rPr>
        <w:t>血管管腔堵塞 </w:t>
      </w:r>
      <w:r>
        <w:rPr>
          <w:sz w:val="21"/>
        </w:rPr>
        <w:t>60%以上；</w:t>
      </w:r>
    </w:p>
    <w:p>
      <w:pPr>
        <w:pStyle w:val="ListParagraph"/>
        <w:numPr>
          <w:ilvl w:val="0"/>
          <w:numId w:val="38"/>
        </w:numPr>
        <w:tabs>
          <w:tab w:pos="531" w:val="left" w:leader="none"/>
        </w:tabs>
        <w:spacing w:line="278" w:lineRule="auto" w:before="0" w:after="0"/>
        <w:ind w:left="212" w:right="655" w:firstLine="0"/>
        <w:jc w:val="left"/>
        <w:rPr>
          <w:sz w:val="21"/>
        </w:rPr>
      </w:pPr>
      <w:r>
        <w:rPr>
          <w:spacing w:val="-4"/>
          <w:sz w:val="21"/>
        </w:rPr>
        <w:t>左前降支、左旋支和右冠状动脉中，至少一支血管官腔堵塞 </w:t>
      </w:r>
      <w:r>
        <w:rPr>
          <w:spacing w:val="-2"/>
          <w:sz w:val="21"/>
        </w:rPr>
        <w:t>75%以上，</w:t>
      </w:r>
      <w:r>
        <w:rPr>
          <w:spacing w:val="-4"/>
          <w:sz w:val="21"/>
        </w:rPr>
        <w:t>其他两支血管官腔堵塞 </w:t>
      </w:r>
      <w:r>
        <w:rPr>
          <w:sz w:val="21"/>
        </w:rPr>
        <w:t>60%以上。</w:t>
      </w:r>
    </w:p>
    <w:p>
      <w:pPr>
        <w:pStyle w:val="BodyText"/>
        <w:spacing w:line="278" w:lineRule="auto" w:before="79"/>
        <w:ind w:left="212" w:right="684"/>
      </w:pPr>
      <w:r>
        <w:rPr>
          <w:color w:val="000000"/>
          <w:spacing w:val="-2"/>
          <w:shd w:fill="A6A6A6" w:color="auto" w:val="clear"/>
        </w:rPr>
        <w:t>左前降支的分支血管、左旋支的分支血管及右冠状动脉的分支血管的狭窄</w:t>
      </w:r>
      <w:r>
        <w:rPr>
          <w:color w:val="000000"/>
          <w:spacing w:val="80"/>
          <w:w w:val="150"/>
          <w:shd w:fill="A6A6A6" w:color="auto" w:val="clear"/>
        </w:rPr>
        <w:t>                                     </w:t>
      </w:r>
      <w:r>
        <w:rPr>
          <w:color w:val="000000"/>
          <w:spacing w:val="-2"/>
          <w:shd w:fill="A6A6A6" w:color="auto" w:val="clear"/>
        </w:rPr>
        <w:t>不作为本保障的衡量指标。</w:t>
      </w:r>
    </w:p>
    <w:p>
      <w:pPr>
        <w:spacing w:after="0" w:line="278" w:lineRule="auto"/>
        <w:sectPr>
          <w:type w:val="continuous"/>
          <w:pgSz w:w="11910" w:h="16840"/>
          <w:pgMar w:top="680" w:bottom="280" w:left="920" w:right="440"/>
          <w:cols w:num="2" w:equalWidth="0">
            <w:col w:w="2861" w:space="40"/>
            <w:col w:w="7649"/>
          </w:cols>
        </w:sectPr>
      </w:pPr>
    </w:p>
    <w:p>
      <w:pPr>
        <w:pStyle w:val="ListParagraph"/>
        <w:numPr>
          <w:ilvl w:val="2"/>
          <w:numId w:val="37"/>
        </w:numPr>
        <w:tabs>
          <w:tab w:pos="1382" w:val="left" w:leader="none"/>
          <w:tab w:pos="3112" w:val="left" w:leader="none"/>
        </w:tabs>
        <w:spacing w:line="383" w:lineRule="exact" w:before="74" w:after="0"/>
        <w:ind w:left="1382" w:right="0" w:hanging="1170"/>
        <w:jc w:val="both"/>
        <w:rPr>
          <w:sz w:val="21"/>
        </w:rPr>
      </w:pPr>
      <w:r>
        <w:rPr>
          <w:rFonts w:ascii="微软雅黑" w:eastAsia="微软雅黑"/>
          <w:b/>
          <w:sz w:val="21"/>
        </w:rPr>
        <w:t>植物人状</w:t>
      </w:r>
      <w:r>
        <w:rPr>
          <w:rFonts w:ascii="微软雅黑" w:eastAsia="微软雅黑"/>
          <w:b/>
          <w:spacing w:val="-10"/>
          <w:sz w:val="21"/>
        </w:rPr>
        <w:t>态</w:t>
      </w:r>
      <w:r>
        <w:rPr>
          <w:rFonts w:ascii="微软雅黑" w:eastAsia="微软雅黑"/>
          <w:b/>
          <w:sz w:val="21"/>
        </w:rPr>
        <w:tab/>
      </w:r>
      <w:r>
        <w:rPr>
          <w:sz w:val="21"/>
        </w:rPr>
        <w:t>植物人状态系指由于严重颅脑外伤造成大脑</w:t>
      </w:r>
      <w:r>
        <w:rPr>
          <w:spacing w:val="10"/>
          <w:sz w:val="21"/>
        </w:rPr>
        <w:t>和</w:t>
      </w:r>
      <w:r>
        <w:rPr>
          <w:sz w:val="21"/>
        </w:rPr>
        <w:t>/或脑干严重损害导致完</w:t>
      </w:r>
      <w:r>
        <w:rPr>
          <w:spacing w:val="-10"/>
          <w:sz w:val="21"/>
        </w:rPr>
        <w:t>全</w:t>
      </w:r>
    </w:p>
    <w:p>
      <w:pPr>
        <w:pStyle w:val="BodyText"/>
        <w:spacing w:line="278" w:lineRule="auto"/>
        <w:ind w:right="684"/>
        <w:jc w:val="both"/>
      </w:pPr>
      <w:r>
        <w:rPr>
          <w:spacing w:val="-2"/>
        </w:rPr>
        <w:t>永久性的对自身和环境的意识丧失和中枢神经系统功能丧失，仅残存植物</w:t>
      </w:r>
      <w:r>
        <w:rPr>
          <w:spacing w:val="-2"/>
        </w:rPr>
        <w:t>神经功能的疾病状态。诊断必须明确诊断并且具有严重颅脑外伤和脑损害</w:t>
      </w:r>
      <w:r>
        <w:rPr/>
        <w:t>的证据。</w:t>
      </w:r>
      <w:r>
        <w:rPr>
          <w:color w:val="000000"/>
          <w:spacing w:val="-3"/>
          <w:shd w:fill="A6A6A6" w:color="auto" w:val="clear"/>
        </w:rPr>
        <w:t>植物人状态必须持续 </w:t>
      </w:r>
      <w:r>
        <w:rPr>
          <w:color w:val="000000"/>
          <w:shd w:fill="A6A6A6" w:color="auto" w:val="clear"/>
        </w:rPr>
        <w:t>30</w:t>
      </w:r>
      <w:r>
        <w:rPr>
          <w:color w:val="000000"/>
          <w:spacing w:val="-5"/>
          <w:shd w:fill="A6A6A6" w:color="auto" w:val="clear"/>
        </w:rPr>
        <w:t> 天以上方可申请理赔。</w:t>
      </w:r>
    </w:p>
    <w:p>
      <w:pPr>
        <w:pStyle w:val="BodyText"/>
        <w:spacing w:before="73"/>
        <w:ind w:left="2239" w:right="2351"/>
        <w:jc w:val="center"/>
      </w:pPr>
      <w:r>
        <w:rPr>
          <w:color w:val="000000"/>
          <w:spacing w:val="-3"/>
          <w:shd w:fill="A6A6A6" w:color="auto" w:val="clear"/>
        </w:rPr>
        <w:t>由于酗酒或滥用药物所致的植物人状态除外。</w:t>
      </w:r>
    </w:p>
    <w:p>
      <w:pPr>
        <w:pStyle w:val="BodyText"/>
        <w:spacing w:before="10"/>
        <w:ind w:left="0"/>
        <w:rPr>
          <w:sz w:val="8"/>
        </w:rPr>
      </w:pPr>
    </w:p>
    <w:p>
      <w:pPr>
        <w:spacing w:after="0"/>
        <w:rPr>
          <w:sz w:val="8"/>
        </w:rPr>
        <w:sectPr>
          <w:type w:val="continuous"/>
          <w:pgSz w:w="11910" w:h="16840"/>
          <w:pgMar w:top="680" w:bottom="280" w:left="920" w:right="440"/>
        </w:sectPr>
      </w:pPr>
    </w:p>
    <w:p>
      <w:pPr>
        <w:pStyle w:val="Heading1"/>
        <w:numPr>
          <w:ilvl w:val="2"/>
          <w:numId w:val="37"/>
        </w:numPr>
        <w:tabs>
          <w:tab w:pos="1381" w:val="left" w:leader="none"/>
          <w:tab w:pos="1382" w:val="left" w:leader="none"/>
        </w:tabs>
        <w:spacing w:line="350" w:lineRule="exact" w:before="5" w:after="0"/>
        <w:ind w:left="1382" w:right="0" w:hanging="1170"/>
        <w:jc w:val="left"/>
      </w:pPr>
      <w:r>
        <w:rPr>
          <w:spacing w:val="-14"/>
        </w:rPr>
        <w:t>严重疯牛病</w:t>
      </w:r>
      <w:r>
        <w:rPr/>
        <w:t>（</w:t>
      </w:r>
      <w:r>
        <w:rPr>
          <w:spacing w:val="-5"/>
        </w:rPr>
        <w:t>克-</w:t>
      </w:r>
    </w:p>
    <w:p>
      <w:pPr>
        <w:spacing w:line="194" w:lineRule="auto" w:before="15"/>
        <w:ind w:left="1382" w:right="142" w:firstLine="0"/>
        <w:jc w:val="left"/>
        <w:rPr>
          <w:rFonts w:ascii="微软雅黑" w:eastAsia="微软雅黑"/>
          <w:b/>
          <w:sz w:val="21"/>
        </w:rPr>
      </w:pPr>
      <w:r>
        <w:rPr>
          <w:rFonts w:ascii="微软雅黑" w:eastAsia="微软雅黑"/>
          <w:b/>
          <w:spacing w:val="-2"/>
          <w:w w:val="95"/>
          <w:sz w:val="21"/>
        </w:rPr>
        <w:t>雅</w:t>
      </w:r>
      <w:r>
        <w:rPr>
          <w:rFonts w:ascii="微软雅黑" w:eastAsia="微软雅黑"/>
          <w:b/>
          <w:spacing w:val="-2"/>
          <w:w w:val="95"/>
          <w:sz w:val="21"/>
        </w:rPr>
        <w:t>氏</w:t>
      </w:r>
      <w:r>
        <w:rPr>
          <w:rFonts w:ascii="微软雅黑" w:eastAsia="微软雅黑"/>
          <w:b/>
          <w:spacing w:val="-2"/>
          <w:w w:val="95"/>
          <w:sz w:val="21"/>
        </w:rPr>
        <w:t>病</w:t>
      </w:r>
      <w:r>
        <w:rPr>
          <w:rFonts w:ascii="微软雅黑" w:eastAsia="微软雅黑"/>
          <w:b/>
          <w:spacing w:val="-2"/>
          <w:w w:val="95"/>
          <w:sz w:val="21"/>
        </w:rPr>
        <w:t>/CJD/</w:t>
      </w:r>
      <w:r>
        <w:rPr>
          <w:rFonts w:ascii="微软雅黑" w:eastAsia="微软雅黑"/>
          <w:b/>
          <w:spacing w:val="-2"/>
          <w:w w:val="95"/>
          <w:sz w:val="21"/>
        </w:rPr>
        <w:t>人</w:t>
      </w:r>
      <w:r>
        <w:rPr>
          <w:rFonts w:ascii="微软雅黑" w:eastAsia="微软雅黑"/>
          <w:b/>
          <w:spacing w:val="-2"/>
          <w:sz w:val="21"/>
        </w:rPr>
        <w:t>类疯牛病）</w:t>
      </w:r>
    </w:p>
    <w:p>
      <w:pPr>
        <w:pStyle w:val="BodyText"/>
        <w:spacing w:line="278" w:lineRule="auto" w:before="72"/>
        <w:ind w:left="173" w:right="683"/>
        <w:jc w:val="both"/>
      </w:pPr>
      <w:r>
        <w:rPr/>
        <w:br w:type="column"/>
      </w:r>
      <w:r>
        <w:rPr>
          <w:spacing w:val="-2"/>
        </w:rPr>
        <w:t>是一种传染性海绵状脑病，临床表现为快速进行性痴呆、肌阵挛和特征性</w:t>
      </w:r>
      <w:r>
        <w:rPr>
          <w:spacing w:val="-3"/>
        </w:rPr>
        <w:t>脑电图变化。本病须经三级医院的专科医生根据 </w:t>
      </w:r>
      <w:r>
        <w:rPr>
          <w:spacing w:val="-2"/>
        </w:rPr>
        <w:t>WHO</w:t>
      </w:r>
      <w:r>
        <w:rPr>
          <w:spacing w:val="-7"/>
        </w:rPr>
        <w:t> 诊断标准明确诊断，</w:t>
      </w:r>
      <w:r>
        <w:rPr>
          <w:spacing w:val="-2"/>
        </w:rPr>
        <w:t>并且被保险人自主生活能力完全丧失，无法独立完成六项基本日常生活活</w:t>
      </w:r>
      <w:r>
        <w:rPr>
          <w:spacing w:val="-2"/>
        </w:rPr>
        <w:t>动中的三项或三项以上。</w:t>
      </w:r>
    </w:p>
    <w:p>
      <w:pPr>
        <w:pStyle w:val="BodyText"/>
        <w:spacing w:before="79"/>
        <w:ind w:left="173"/>
      </w:pPr>
      <w:r>
        <w:rPr>
          <w:color w:val="000000"/>
          <w:spacing w:val="-3"/>
          <w:shd w:fill="A6A6A6" w:color="auto" w:val="clear"/>
        </w:rPr>
        <w:t>疑似病例不在保障范围内。</w:t>
      </w:r>
    </w:p>
    <w:p>
      <w:pPr>
        <w:spacing w:after="0"/>
        <w:sectPr>
          <w:type w:val="continuous"/>
          <w:pgSz w:w="11910" w:h="16840"/>
          <w:pgMar w:top="680" w:bottom="280" w:left="920" w:right="440"/>
          <w:cols w:num="2" w:equalWidth="0">
            <w:col w:w="2900" w:space="40"/>
            <w:col w:w="7610"/>
          </w:cols>
        </w:sectPr>
      </w:pPr>
    </w:p>
    <w:p>
      <w:pPr>
        <w:pStyle w:val="BodyText"/>
        <w:spacing w:before="10"/>
        <w:ind w:left="0"/>
        <w:rPr>
          <w:sz w:val="8"/>
        </w:rPr>
      </w:pPr>
    </w:p>
    <w:p>
      <w:pPr>
        <w:spacing w:after="0"/>
        <w:rPr>
          <w:sz w:val="8"/>
        </w:rPr>
        <w:sectPr>
          <w:type w:val="continuous"/>
          <w:pgSz w:w="11910" w:h="16840"/>
          <w:pgMar w:top="680" w:bottom="280" w:left="920" w:right="440"/>
        </w:sectPr>
      </w:pPr>
    </w:p>
    <w:p>
      <w:pPr>
        <w:pStyle w:val="Heading1"/>
        <w:numPr>
          <w:ilvl w:val="2"/>
          <w:numId w:val="37"/>
        </w:numPr>
        <w:tabs>
          <w:tab w:pos="1381" w:val="left" w:leader="none"/>
          <w:tab w:pos="1382" w:val="left" w:leader="none"/>
        </w:tabs>
        <w:spacing w:line="194" w:lineRule="auto" w:before="57" w:after="0"/>
        <w:ind w:left="1382" w:right="0" w:hanging="1170"/>
        <w:jc w:val="left"/>
      </w:pPr>
      <w:r>
        <w:rPr>
          <w:spacing w:val="-2"/>
        </w:rPr>
        <w:t>严重自身免疫性</w:t>
      </w:r>
      <w:r>
        <w:rPr>
          <w:spacing w:val="-6"/>
        </w:rPr>
        <w:t>肝炎</w:t>
      </w:r>
    </w:p>
    <w:p>
      <w:pPr>
        <w:pStyle w:val="BodyText"/>
        <w:spacing w:line="278" w:lineRule="auto" w:before="72"/>
        <w:ind w:left="212" w:right="684"/>
        <w:jc w:val="both"/>
      </w:pPr>
      <w:r>
        <w:rPr/>
        <w:br w:type="column"/>
      </w:r>
      <w:r>
        <w:rPr>
          <w:spacing w:val="-2"/>
        </w:rPr>
        <w:t>自身免疫性肝炎是一种原因不明的慢性肝脏的坏死性炎性疾病，机体免疫</w:t>
      </w:r>
      <w:r>
        <w:rPr>
          <w:spacing w:val="-2"/>
        </w:rPr>
        <w:t>机制被破坏，产生针对肝脏自身抗原的抗体导致自身免疫反应，从而破坏</w:t>
      </w:r>
      <w:r>
        <w:rPr>
          <w:spacing w:val="-2"/>
        </w:rPr>
        <w:t>肝细胞造成肝脏炎症坏死，进而发展为肝硬化。必须满足所有以下条件： (1)高γ球蛋白血症；</w:t>
      </w:r>
    </w:p>
    <w:p>
      <w:pPr>
        <w:pStyle w:val="ListParagraph"/>
        <w:numPr>
          <w:ilvl w:val="0"/>
          <w:numId w:val="39"/>
        </w:numPr>
        <w:tabs>
          <w:tab w:pos="531" w:val="left" w:leader="none"/>
        </w:tabs>
        <w:spacing w:line="278" w:lineRule="auto" w:before="0" w:after="0"/>
        <w:ind w:left="212" w:right="683" w:firstLine="0"/>
        <w:jc w:val="both"/>
        <w:rPr>
          <w:sz w:val="21"/>
        </w:rPr>
      </w:pPr>
      <w:r>
        <w:rPr>
          <w:spacing w:val="-4"/>
          <w:sz w:val="21"/>
        </w:rPr>
        <w:t>血液中存在高水平的自身免疫抗体，如 </w:t>
      </w:r>
      <w:r>
        <w:rPr>
          <w:spacing w:val="-2"/>
          <w:sz w:val="21"/>
        </w:rPr>
        <w:t>ANA（抗核抗体</w:t>
      </w:r>
      <w:r>
        <w:rPr>
          <w:spacing w:val="-108"/>
          <w:sz w:val="21"/>
        </w:rPr>
        <w:t>）</w:t>
      </w:r>
      <w:r>
        <w:rPr>
          <w:spacing w:val="-2"/>
          <w:sz w:val="21"/>
        </w:rPr>
        <w:t>、SMA（抗平滑</w:t>
      </w:r>
      <w:r>
        <w:rPr>
          <w:sz w:val="21"/>
        </w:rPr>
        <w:t>肌抗体</w:t>
      </w:r>
      <w:r>
        <w:rPr>
          <w:spacing w:val="-106"/>
          <w:sz w:val="21"/>
        </w:rPr>
        <w:t>）</w:t>
      </w:r>
      <w:r>
        <w:rPr>
          <w:spacing w:val="-5"/>
          <w:sz w:val="21"/>
        </w:rPr>
        <w:t>、抗 </w:t>
      </w:r>
      <w:r>
        <w:rPr>
          <w:sz w:val="21"/>
        </w:rPr>
        <w:t>LKM1</w:t>
      </w:r>
      <w:r>
        <w:rPr>
          <w:spacing w:val="-4"/>
          <w:sz w:val="21"/>
        </w:rPr>
        <w:t> 抗体或抗-</w:t>
      </w:r>
      <w:r>
        <w:rPr>
          <w:sz w:val="21"/>
        </w:rPr>
        <w:t>SLA/LP</w:t>
      </w:r>
      <w:r>
        <w:rPr>
          <w:spacing w:val="-6"/>
          <w:sz w:val="21"/>
        </w:rPr>
        <w:t> 抗体；</w:t>
      </w:r>
    </w:p>
    <w:p>
      <w:pPr>
        <w:pStyle w:val="ListParagraph"/>
        <w:numPr>
          <w:ilvl w:val="0"/>
          <w:numId w:val="39"/>
        </w:numPr>
        <w:tabs>
          <w:tab w:pos="531" w:val="left" w:leader="none"/>
        </w:tabs>
        <w:spacing w:line="269" w:lineRule="exact" w:before="0" w:after="0"/>
        <w:ind w:left="530" w:right="0" w:hanging="319"/>
        <w:jc w:val="left"/>
        <w:rPr>
          <w:sz w:val="21"/>
        </w:rPr>
      </w:pPr>
      <w:r>
        <w:rPr>
          <w:spacing w:val="-3"/>
          <w:sz w:val="21"/>
        </w:rPr>
        <w:t>肝脏活检证实免疫性肝炎；</w:t>
      </w:r>
    </w:p>
    <w:p>
      <w:pPr>
        <w:pStyle w:val="ListParagraph"/>
        <w:numPr>
          <w:ilvl w:val="0"/>
          <w:numId w:val="39"/>
        </w:numPr>
        <w:tabs>
          <w:tab w:pos="531" w:val="left" w:leader="none"/>
        </w:tabs>
        <w:spacing w:line="240" w:lineRule="auto" w:before="43" w:after="0"/>
        <w:ind w:left="530" w:right="0" w:hanging="319"/>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top="680" w:bottom="280" w:left="920" w:right="440"/>
          <w:cols w:num="2" w:equalWidth="0">
            <w:col w:w="2861" w:space="40"/>
            <w:col w:w="7649"/>
          </w:cols>
        </w:sectPr>
      </w:pPr>
    </w:p>
    <w:p>
      <w:pPr>
        <w:pStyle w:val="BodyText"/>
        <w:spacing w:before="10"/>
        <w:ind w:left="0"/>
        <w:rPr>
          <w:sz w:val="8"/>
        </w:rPr>
      </w:pPr>
    </w:p>
    <w:p>
      <w:pPr>
        <w:pStyle w:val="ListParagraph"/>
        <w:numPr>
          <w:ilvl w:val="2"/>
          <w:numId w:val="37"/>
        </w:numPr>
        <w:tabs>
          <w:tab w:pos="1381" w:val="left" w:leader="none"/>
          <w:tab w:pos="1382" w:val="left" w:leader="none"/>
          <w:tab w:pos="3112" w:val="left" w:leader="none"/>
        </w:tabs>
        <w:spacing w:line="383" w:lineRule="exact" w:before="5" w:after="0"/>
        <w:ind w:left="1382" w:right="0" w:hanging="1170"/>
        <w:jc w:val="left"/>
        <w:rPr>
          <w:sz w:val="21"/>
        </w:rPr>
      </w:pPr>
      <w:r>
        <w:rPr>
          <w:rFonts w:ascii="微软雅黑" w:eastAsia="微软雅黑"/>
          <w:b/>
          <w:sz w:val="21"/>
        </w:rPr>
        <w:t>一肢及单眼缺</w:t>
      </w:r>
      <w:r>
        <w:rPr>
          <w:rFonts w:ascii="微软雅黑" w:eastAsia="微软雅黑"/>
          <w:b/>
          <w:spacing w:val="-10"/>
          <w:sz w:val="21"/>
        </w:rPr>
        <w:t>失</w:t>
      </w:r>
      <w:r>
        <w:rPr>
          <w:rFonts w:ascii="微软雅黑" w:eastAsia="微软雅黑"/>
          <w:b/>
          <w:sz w:val="21"/>
        </w:rPr>
        <w:tab/>
      </w:r>
      <w:r>
        <w:rPr>
          <w:sz w:val="21"/>
        </w:rPr>
        <w:t>因疾病或意外伤害导致单眼视力丧失及任何一肢自腕关节或踝关节近</w:t>
      </w:r>
      <w:r>
        <w:rPr>
          <w:spacing w:val="-10"/>
          <w:sz w:val="21"/>
        </w:rPr>
        <w:t>端</w:t>
      </w:r>
    </w:p>
    <w:p>
      <w:pPr>
        <w:pStyle w:val="BodyText"/>
        <w:spacing w:line="265" w:lineRule="exact"/>
      </w:pPr>
      <w:r>
        <w:rPr>
          <w:spacing w:val="-2"/>
        </w:rPr>
        <w:t>（靠近躯干端）</w:t>
      </w:r>
      <w:r>
        <w:rPr>
          <w:spacing w:val="-4"/>
        </w:rPr>
        <w:t>以上完全性断离。</w:t>
      </w:r>
    </w:p>
    <w:p>
      <w:pPr>
        <w:pStyle w:val="BodyText"/>
        <w:spacing w:before="122"/>
      </w:pPr>
      <w:r>
        <w:rPr>
          <w:spacing w:val="-3"/>
        </w:rPr>
        <w:t>单眼视力丧失指单眼视力永久不可逆性丧失，患眼须满足下列至少一项条</w:t>
      </w:r>
    </w:p>
    <w:p>
      <w:pPr>
        <w:spacing w:after="0"/>
        <w:sectPr>
          <w:type w:val="continuous"/>
          <w:pgSz w:w="11910" w:h="16840"/>
          <w:pgMar w:top="68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05"/>
      </w:tblGrid>
      <w:tr>
        <w:trPr>
          <w:trHeight w:val="1548" w:hRule="atLeast"/>
        </w:trPr>
        <w:tc>
          <w:tcPr>
            <w:tcW w:w="2823" w:type="dxa"/>
            <w:gridSpan w:val="2"/>
            <w:vMerge w:val="restart"/>
          </w:tcPr>
          <w:p>
            <w:pPr>
              <w:pStyle w:val="TableParagraph"/>
              <w:rPr>
                <w:rFonts w:ascii="Times New Roman"/>
                <w:sz w:val="20"/>
              </w:rPr>
            </w:pPr>
          </w:p>
        </w:tc>
        <w:tc>
          <w:tcPr>
            <w:tcW w:w="7005" w:type="dxa"/>
          </w:tcPr>
          <w:p>
            <w:pPr>
              <w:pStyle w:val="TableParagraph"/>
              <w:spacing w:line="232" w:lineRule="exact"/>
              <w:ind w:left="127"/>
              <w:rPr>
                <w:sz w:val="21"/>
              </w:rPr>
            </w:pPr>
            <w:r>
              <w:rPr>
                <w:spacing w:val="-5"/>
                <w:sz w:val="21"/>
              </w:rPr>
              <w:t>件：</w:t>
            </w:r>
          </w:p>
          <w:p>
            <w:pPr>
              <w:pStyle w:val="TableParagraph"/>
              <w:numPr>
                <w:ilvl w:val="0"/>
                <w:numId w:val="40"/>
              </w:numPr>
              <w:tabs>
                <w:tab w:pos="445" w:val="left" w:leader="none"/>
              </w:tabs>
              <w:spacing w:line="240" w:lineRule="auto" w:before="43" w:after="0"/>
              <w:ind w:left="445" w:right="0" w:hanging="318"/>
              <w:jc w:val="left"/>
              <w:rPr>
                <w:sz w:val="21"/>
              </w:rPr>
            </w:pPr>
            <w:r>
              <w:rPr>
                <w:spacing w:val="-4"/>
                <w:sz w:val="21"/>
              </w:rPr>
              <w:t>眼球缺失或摘除；</w:t>
            </w:r>
          </w:p>
          <w:p>
            <w:pPr>
              <w:pStyle w:val="TableParagraph"/>
              <w:numPr>
                <w:ilvl w:val="0"/>
                <w:numId w:val="40"/>
              </w:numPr>
              <w:tabs>
                <w:tab w:pos="445" w:val="left" w:leader="none"/>
              </w:tabs>
              <w:spacing w:line="278" w:lineRule="auto" w:before="43" w:after="0"/>
              <w:ind w:left="127" w:right="128" w:firstLine="0"/>
              <w:jc w:val="left"/>
              <w:rPr>
                <w:sz w:val="21"/>
              </w:rPr>
            </w:pPr>
            <w:r>
              <w:rPr>
                <w:spacing w:val="-2"/>
                <w:sz w:val="21"/>
              </w:rPr>
              <w:t>矫正视力低于 </w:t>
            </w:r>
            <w:r>
              <w:rPr>
                <w:sz w:val="21"/>
              </w:rPr>
              <w:t>0.02（采用国际标准视力表，如果使用其他视力表应进</w:t>
            </w:r>
            <w:r>
              <w:rPr>
                <w:spacing w:val="-4"/>
                <w:sz w:val="21"/>
              </w:rPr>
              <w:t>行换算</w:t>
            </w:r>
            <w:r>
              <w:rPr>
                <w:spacing w:val="-106"/>
                <w:sz w:val="21"/>
              </w:rPr>
              <w:t>）</w:t>
            </w:r>
            <w:r>
              <w:rPr>
                <w:sz w:val="21"/>
              </w:rPr>
              <w:t>；</w:t>
            </w:r>
          </w:p>
          <w:p>
            <w:pPr>
              <w:pStyle w:val="TableParagraph"/>
              <w:numPr>
                <w:ilvl w:val="0"/>
                <w:numId w:val="40"/>
              </w:numPr>
              <w:tabs>
                <w:tab w:pos="445" w:val="left" w:leader="none"/>
              </w:tabs>
              <w:spacing w:line="269" w:lineRule="exact" w:before="0" w:after="0"/>
              <w:ind w:left="445" w:right="0" w:hanging="318"/>
              <w:jc w:val="left"/>
              <w:rPr>
                <w:sz w:val="21"/>
              </w:rPr>
            </w:pPr>
            <w:r>
              <w:rPr>
                <w:spacing w:val="-10"/>
                <w:sz w:val="21"/>
              </w:rPr>
              <w:t>视野半径小于 </w:t>
            </w:r>
            <w:r>
              <w:rPr>
                <w:spacing w:val="-2"/>
                <w:sz w:val="21"/>
              </w:rPr>
              <w:t>5</w:t>
            </w:r>
            <w:r>
              <w:rPr>
                <w:spacing w:val="-22"/>
                <w:sz w:val="21"/>
              </w:rPr>
              <w:t> 度。</w:t>
            </w:r>
          </w:p>
        </w:tc>
      </w:tr>
      <w:tr>
        <w:trPr>
          <w:trHeight w:val="702" w:hRule="atLeast"/>
        </w:trPr>
        <w:tc>
          <w:tcPr>
            <w:tcW w:w="2823" w:type="dxa"/>
            <w:gridSpan w:val="2"/>
            <w:vMerge/>
            <w:tcBorders>
              <w:top w:val="nil"/>
            </w:tcBorders>
          </w:tcPr>
          <w:p>
            <w:pPr>
              <w:rPr>
                <w:sz w:val="2"/>
                <w:szCs w:val="2"/>
              </w:rPr>
            </w:pPr>
          </w:p>
        </w:tc>
        <w:tc>
          <w:tcPr>
            <w:tcW w:w="7005" w:type="dxa"/>
          </w:tcPr>
          <w:p>
            <w:pPr>
              <w:pStyle w:val="TableParagraph"/>
              <w:spacing w:line="278" w:lineRule="auto" w:before="51"/>
              <w:ind w:left="127" w:right="129"/>
              <w:rPr>
                <w:sz w:val="21"/>
              </w:rPr>
            </w:pPr>
            <w:r>
              <w:rPr>
                <w:color w:val="000000"/>
                <w:spacing w:val="-2"/>
                <w:sz w:val="21"/>
                <w:shd w:fill="A6A6A6" w:color="auto" w:val="clear"/>
              </w:rPr>
              <w:t>除眼球缺失或摘除外，被保险人申请理赔时年龄必须年满三周岁，并且提</w:t>
            </w:r>
            <w:r>
              <w:rPr>
                <w:color w:val="000000"/>
                <w:spacing w:val="80"/>
                <w:w w:val="150"/>
                <w:sz w:val="21"/>
                <w:shd w:fill="A6A6A6" w:color="auto" w:val="clear"/>
              </w:rPr>
              <w:t>                                     </w:t>
            </w:r>
            <w:r>
              <w:rPr>
                <w:color w:val="000000"/>
                <w:spacing w:val="-2"/>
                <w:sz w:val="21"/>
                <w:shd w:fill="A6A6A6" w:color="auto" w:val="clear"/>
              </w:rPr>
              <w:t>供理赔当时的视力丧失诊断及检查证据。</w:t>
            </w:r>
          </w:p>
        </w:tc>
      </w:tr>
      <w:tr>
        <w:trPr>
          <w:trHeight w:val="422" w:hRule="atLeast"/>
        </w:trPr>
        <w:tc>
          <w:tcPr>
            <w:tcW w:w="2823" w:type="dxa"/>
            <w:gridSpan w:val="2"/>
            <w:vMerge/>
            <w:tcBorders>
              <w:top w:val="nil"/>
            </w:tcBorders>
          </w:tcPr>
          <w:p>
            <w:pPr>
              <w:rPr>
                <w:sz w:val="2"/>
                <w:szCs w:val="2"/>
              </w:rPr>
            </w:pPr>
          </w:p>
        </w:tc>
        <w:tc>
          <w:tcPr>
            <w:tcW w:w="7005" w:type="dxa"/>
          </w:tcPr>
          <w:p>
            <w:pPr>
              <w:pStyle w:val="TableParagraph"/>
              <w:spacing w:before="52"/>
              <w:ind w:left="127"/>
              <w:rPr>
                <w:sz w:val="21"/>
              </w:rPr>
            </w:pPr>
            <w:r>
              <w:rPr>
                <w:color w:val="000000"/>
                <w:spacing w:val="-3"/>
                <w:sz w:val="21"/>
                <w:shd w:fill="A6A6A6" w:color="auto" w:val="clear"/>
              </w:rPr>
              <w:t>投保时已有单眼缺失或有一肢缺失的不在保障范围内。</w:t>
            </w:r>
          </w:p>
        </w:tc>
      </w:tr>
      <w:tr>
        <w:trPr>
          <w:trHeight w:val="3541" w:hRule="atLeast"/>
        </w:trPr>
        <w:tc>
          <w:tcPr>
            <w:tcW w:w="1005" w:type="dxa"/>
          </w:tcPr>
          <w:p>
            <w:pPr>
              <w:pStyle w:val="TableParagraph"/>
              <w:spacing w:before="17"/>
              <w:ind w:left="50"/>
              <w:rPr>
                <w:rFonts w:ascii="微软雅黑"/>
                <w:b/>
                <w:sz w:val="21"/>
              </w:rPr>
            </w:pPr>
            <w:r>
              <w:rPr>
                <w:rFonts w:ascii="微软雅黑"/>
                <w:b/>
                <w:spacing w:val="-2"/>
                <w:sz w:val="21"/>
              </w:rPr>
              <w:t>10.1.54</w:t>
            </w:r>
          </w:p>
        </w:tc>
        <w:tc>
          <w:tcPr>
            <w:tcW w:w="1818" w:type="dxa"/>
          </w:tcPr>
          <w:p>
            <w:pPr>
              <w:pStyle w:val="TableParagraph"/>
              <w:spacing w:line="194" w:lineRule="auto" w:before="69"/>
              <w:ind w:left="214" w:right="123"/>
              <w:jc w:val="both"/>
              <w:rPr>
                <w:rFonts w:ascii="微软雅黑" w:eastAsia="微软雅黑"/>
                <w:b/>
                <w:sz w:val="21"/>
              </w:rPr>
            </w:pPr>
            <w:r>
              <w:rPr>
                <w:rFonts w:ascii="微软雅黑" w:eastAsia="微软雅黑"/>
                <w:b/>
                <w:spacing w:val="-2"/>
                <w:sz w:val="21"/>
              </w:rPr>
              <w:t>因职业关系导致</w:t>
            </w:r>
            <w:r>
              <w:rPr>
                <w:rFonts w:ascii="微软雅黑" w:eastAsia="微软雅黑"/>
                <w:b/>
                <w:spacing w:val="-2"/>
                <w:sz w:val="21"/>
              </w:rPr>
              <w:t>的人类免疫缺陷</w:t>
            </w:r>
            <w:r>
              <w:rPr>
                <w:rFonts w:ascii="微软雅黑" w:eastAsia="微软雅黑"/>
                <w:b/>
                <w:spacing w:val="-4"/>
                <w:sz w:val="21"/>
              </w:rPr>
              <w:t>病毒感染</w:t>
            </w:r>
          </w:p>
        </w:tc>
        <w:tc>
          <w:tcPr>
            <w:tcW w:w="7005" w:type="dxa"/>
          </w:tcPr>
          <w:p>
            <w:pPr>
              <w:pStyle w:val="TableParagraph"/>
              <w:spacing w:line="278" w:lineRule="auto" w:before="84"/>
              <w:ind w:left="127" w:right="128"/>
              <w:rPr>
                <w:sz w:val="21"/>
              </w:rPr>
            </w:pPr>
            <w:r>
              <w:rPr>
                <w:spacing w:val="-2"/>
                <w:sz w:val="21"/>
              </w:rPr>
              <w:t>被保险人在其常规职业工作过程中遭遇外伤，或者职业需要处理血液或者</w:t>
            </w:r>
            <w:r>
              <w:rPr>
                <w:spacing w:val="-2"/>
                <w:sz w:val="21"/>
              </w:rPr>
              <w:t>其他体液时感染上人类免疫缺陷病毒</w:t>
            </w:r>
            <w:r>
              <w:rPr>
                <w:spacing w:val="19"/>
                <w:sz w:val="21"/>
              </w:rPr>
              <w:t>（</w:t>
            </w:r>
            <w:r>
              <w:rPr>
                <w:spacing w:val="20"/>
                <w:sz w:val="21"/>
              </w:rPr>
              <w:t>H</w:t>
            </w:r>
            <w:r>
              <w:rPr>
                <w:spacing w:val="17"/>
                <w:sz w:val="21"/>
              </w:rPr>
              <w:t>I</w:t>
            </w:r>
            <w:r>
              <w:rPr>
                <w:spacing w:val="19"/>
                <w:sz w:val="21"/>
              </w:rPr>
              <w:t>V</w:t>
            </w:r>
            <w:r>
              <w:rPr>
                <w:spacing w:val="-86"/>
                <w:sz w:val="21"/>
              </w:rPr>
              <w:t>）</w:t>
            </w:r>
            <w:r>
              <w:rPr>
                <w:spacing w:val="-2"/>
                <w:sz w:val="21"/>
              </w:rPr>
              <w:t>。必须满足下列全部条件： (1)</w:t>
            </w:r>
            <w:r>
              <w:rPr>
                <w:spacing w:val="-6"/>
                <w:sz w:val="21"/>
              </w:rPr>
              <w:t>感染必须是在被保险人正在从事其职业工作中发生，该职业必须属于以</w:t>
            </w:r>
            <w:r>
              <w:rPr>
                <w:spacing w:val="-2"/>
                <w:sz w:val="21"/>
              </w:rPr>
              <w:t>下列职业：</w:t>
            </w:r>
          </w:p>
          <w:p>
            <w:pPr>
              <w:pStyle w:val="TableParagraph"/>
              <w:spacing w:line="278" w:lineRule="auto"/>
              <w:ind w:left="127" w:right="129"/>
              <w:rPr>
                <w:sz w:val="21"/>
              </w:rPr>
            </w:pPr>
            <w:r>
              <w:rPr>
                <w:spacing w:val="-2"/>
                <w:sz w:val="21"/>
              </w:rPr>
              <w:t>医生和牙科医生、护士、医院化验室工作人员、医院护工、医生助理和牙</w:t>
            </w:r>
            <w:r>
              <w:rPr>
                <w:spacing w:val="-2"/>
                <w:sz w:val="21"/>
              </w:rPr>
              <w:t>医助理、救护车工作人员、助产士、消防队员、警察、狱警。</w:t>
            </w:r>
          </w:p>
          <w:p>
            <w:pPr>
              <w:pStyle w:val="TableParagraph"/>
              <w:numPr>
                <w:ilvl w:val="0"/>
                <w:numId w:val="41"/>
              </w:numPr>
              <w:tabs>
                <w:tab w:pos="445" w:val="left" w:leader="none"/>
              </w:tabs>
              <w:spacing w:line="269" w:lineRule="exact" w:before="0" w:after="0"/>
              <w:ind w:left="445" w:right="0" w:hanging="318"/>
              <w:jc w:val="left"/>
              <w:rPr>
                <w:sz w:val="21"/>
              </w:rPr>
            </w:pPr>
            <w:r>
              <w:rPr>
                <w:spacing w:val="-5"/>
                <w:sz w:val="21"/>
              </w:rPr>
              <w:t>血清转化必须出现在事故发生后的 </w:t>
            </w:r>
            <w:r>
              <w:rPr>
                <w:spacing w:val="-2"/>
                <w:sz w:val="21"/>
              </w:rPr>
              <w:t>6</w:t>
            </w:r>
            <w:r>
              <w:rPr>
                <w:spacing w:val="-12"/>
                <w:sz w:val="21"/>
              </w:rPr>
              <w:t> 个月以内；</w:t>
            </w:r>
          </w:p>
          <w:p>
            <w:pPr>
              <w:pStyle w:val="TableParagraph"/>
              <w:numPr>
                <w:ilvl w:val="0"/>
                <w:numId w:val="41"/>
              </w:numPr>
              <w:tabs>
                <w:tab w:pos="445" w:val="left" w:leader="none"/>
              </w:tabs>
              <w:spacing w:line="278" w:lineRule="auto" w:before="43" w:after="0"/>
              <w:ind w:left="127" w:right="128" w:firstLine="0"/>
              <w:jc w:val="left"/>
              <w:rPr>
                <w:sz w:val="21"/>
              </w:rPr>
            </w:pPr>
            <w:r>
              <w:rPr>
                <w:spacing w:val="-5"/>
                <w:sz w:val="21"/>
              </w:rPr>
              <w:t>必须提供被保险人在所报事故发生后的 </w:t>
            </w:r>
            <w:r>
              <w:rPr>
                <w:spacing w:val="-2"/>
                <w:sz w:val="21"/>
              </w:rPr>
              <w:t>5</w:t>
            </w:r>
            <w:r>
              <w:rPr>
                <w:spacing w:val="-15"/>
                <w:sz w:val="21"/>
              </w:rPr>
              <w:t> 天以内进行的检查报告，该报</w:t>
            </w:r>
            <w:r>
              <w:rPr>
                <w:spacing w:val="-2"/>
                <w:sz w:val="21"/>
              </w:rPr>
              <w:t>告必须显示被保险人血液 </w:t>
            </w:r>
            <w:r>
              <w:rPr>
                <w:sz w:val="21"/>
              </w:rPr>
              <w:t>HIV</w:t>
            </w:r>
            <w:r>
              <w:rPr>
                <w:spacing w:val="-5"/>
                <w:sz w:val="21"/>
              </w:rPr>
              <w:t> 病毒阴性和/或 </w:t>
            </w:r>
            <w:r>
              <w:rPr>
                <w:sz w:val="21"/>
              </w:rPr>
              <w:t>HIV</w:t>
            </w:r>
            <w:r>
              <w:rPr>
                <w:spacing w:val="-4"/>
                <w:sz w:val="21"/>
              </w:rPr>
              <w:t> 抗体阴性；</w:t>
            </w:r>
          </w:p>
          <w:p>
            <w:pPr>
              <w:pStyle w:val="TableParagraph"/>
              <w:numPr>
                <w:ilvl w:val="0"/>
                <w:numId w:val="41"/>
              </w:numPr>
              <w:tabs>
                <w:tab w:pos="445" w:val="left" w:leader="none"/>
              </w:tabs>
              <w:spacing w:line="278" w:lineRule="auto" w:before="0" w:after="0"/>
              <w:ind w:left="127" w:right="125" w:firstLine="0"/>
              <w:jc w:val="left"/>
              <w:rPr>
                <w:sz w:val="21"/>
              </w:rPr>
            </w:pPr>
            <w:r>
              <w:rPr>
                <w:spacing w:val="-1"/>
                <w:sz w:val="21"/>
              </w:rPr>
              <w:t>必须在事故发生后的 </w:t>
            </w:r>
            <w:r>
              <w:rPr>
                <w:sz w:val="21"/>
              </w:rPr>
              <w:t>12</w:t>
            </w:r>
            <w:r>
              <w:rPr>
                <w:spacing w:val="-2"/>
                <w:sz w:val="21"/>
              </w:rPr>
              <w:t> 个月内证实被保险人体内存在 </w:t>
            </w:r>
            <w:r>
              <w:rPr>
                <w:sz w:val="21"/>
              </w:rPr>
              <w:t>HIV</w:t>
            </w:r>
            <w:r>
              <w:rPr>
                <w:spacing w:val="-2"/>
                <w:sz w:val="21"/>
              </w:rPr>
              <w:t> 病毒或者</w:t>
            </w:r>
            <w:r>
              <w:rPr>
                <w:sz w:val="21"/>
              </w:rPr>
              <w:t> HIV</w:t>
            </w:r>
            <w:r>
              <w:rPr>
                <w:spacing w:val="-12"/>
                <w:sz w:val="21"/>
              </w:rPr>
              <w:t> 抗体。</w:t>
            </w:r>
          </w:p>
        </w:tc>
      </w:tr>
      <w:tr>
        <w:trPr>
          <w:trHeight w:val="101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line="278" w:lineRule="auto" w:before="51"/>
              <w:ind w:left="127" w:right="128"/>
              <w:jc w:val="both"/>
              <w:rPr>
                <w:sz w:val="21"/>
              </w:rPr>
            </w:pPr>
            <w:r>
              <w:rPr>
                <w:color w:val="000000"/>
                <w:spacing w:val="-4"/>
                <w:sz w:val="21"/>
                <w:shd w:fill="A6A6A6" w:color="auto" w:val="clear"/>
              </w:rPr>
              <w:t>在任何治愈艾滋病（AIDS）或阻止人类免疫缺陷病毒（HIV）作用的疗法被</w:t>
            </w:r>
            <w:r>
              <w:rPr>
                <w:color w:val="000000"/>
                <w:spacing w:val="40"/>
                <w:sz w:val="21"/>
                <w:shd w:fill="A6A6A6" w:color="auto" w:val="clear"/>
              </w:rPr>
              <w:t> </w:t>
            </w:r>
            <w:r>
              <w:rPr>
                <w:color w:val="000000"/>
                <w:spacing w:val="-2"/>
                <w:sz w:val="21"/>
                <w:shd w:fill="A6A6A6" w:color="auto" w:val="clear"/>
              </w:rPr>
              <w:t>发现以后，或能防止艾滋病（AIDS）发生的医疗方法被研究出来以后，则</w:t>
            </w:r>
            <w:r>
              <w:rPr>
                <w:color w:val="000000"/>
                <w:spacing w:val="-2"/>
                <w:sz w:val="21"/>
                <w:shd w:fill="A6A6A6" w:color="auto" w:val="clear"/>
              </w:rPr>
              <w:t>我们不再予以赔付。</w:t>
            </w:r>
          </w:p>
        </w:tc>
      </w:tr>
      <w:tr>
        <w:trPr>
          <w:trHeight w:val="734"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line="278" w:lineRule="auto" w:before="53"/>
              <w:ind w:left="127" w:right="125"/>
              <w:rPr>
                <w:sz w:val="21"/>
              </w:rPr>
            </w:pPr>
            <w:r>
              <w:rPr>
                <w:color w:val="000000"/>
                <w:sz w:val="21"/>
                <w:shd w:fill="A6A6A6" w:color="auto" w:val="clear"/>
              </w:rPr>
              <w:t>任何因其他传播方式（包括：性传播或静脉注射毒品）</w:t>
            </w:r>
            <w:r>
              <w:rPr>
                <w:color w:val="000000"/>
                <w:spacing w:val="-11"/>
                <w:sz w:val="21"/>
                <w:shd w:fill="A6A6A6" w:color="auto" w:val="clear"/>
              </w:rPr>
              <w:t>导致的 </w:t>
            </w:r>
            <w:r>
              <w:rPr>
                <w:color w:val="000000"/>
                <w:sz w:val="21"/>
                <w:shd w:fill="A6A6A6" w:color="auto" w:val="clear"/>
              </w:rPr>
              <w:t>HIV</w:t>
            </w:r>
            <w:r>
              <w:rPr>
                <w:color w:val="000000"/>
                <w:spacing w:val="-12"/>
                <w:sz w:val="21"/>
                <w:shd w:fill="A6A6A6" w:color="auto" w:val="clear"/>
              </w:rPr>
              <w:t> 感染不</w:t>
            </w:r>
            <w:r>
              <w:rPr>
                <w:color w:val="000000"/>
                <w:spacing w:val="80"/>
                <w:w w:val="150"/>
                <w:sz w:val="21"/>
                <w:shd w:fill="A6A6A6" w:color="auto" w:val="clear"/>
              </w:rPr>
              <w:t>                                     </w:t>
            </w:r>
            <w:r>
              <w:rPr>
                <w:color w:val="000000"/>
                <w:spacing w:val="-2"/>
                <w:sz w:val="21"/>
                <w:shd w:fill="A6A6A6" w:color="auto" w:val="clear"/>
              </w:rPr>
              <w:t>在保障范围内。</w:t>
            </w:r>
          </w:p>
        </w:tc>
      </w:tr>
      <w:tr>
        <w:trPr>
          <w:trHeight w:val="2325" w:hRule="atLeast"/>
        </w:trPr>
        <w:tc>
          <w:tcPr>
            <w:tcW w:w="1005" w:type="dxa"/>
          </w:tcPr>
          <w:p>
            <w:pPr>
              <w:pStyle w:val="TableParagraph"/>
              <w:spacing w:before="17"/>
              <w:ind w:left="50"/>
              <w:rPr>
                <w:rFonts w:ascii="微软雅黑"/>
                <w:b/>
                <w:sz w:val="21"/>
              </w:rPr>
            </w:pPr>
            <w:r>
              <w:rPr>
                <w:rFonts w:ascii="微软雅黑"/>
                <w:b/>
                <w:spacing w:val="-2"/>
                <w:sz w:val="21"/>
              </w:rPr>
              <w:t>10.1.55</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严重瑞氏综合征</w:t>
            </w:r>
          </w:p>
        </w:tc>
        <w:tc>
          <w:tcPr>
            <w:tcW w:w="7005" w:type="dxa"/>
          </w:tcPr>
          <w:p>
            <w:pPr>
              <w:pStyle w:val="TableParagraph"/>
              <w:spacing w:line="278" w:lineRule="auto" w:before="84"/>
              <w:ind w:left="127" w:right="129"/>
              <w:jc w:val="both"/>
              <w:rPr>
                <w:sz w:val="21"/>
              </w:rPr>
            </w:pPr>
            <w:r>
              <w:rPr>
                <w:spacing w:val="-2"/>
                <w:sz w:val="21"/>
              </w:rPr>
              <w:t>瑞氏综合征是线粒体功能障碍性疾病。导致脂肪代谢障碍，引起短链脂肪</w:t>
            </w:r>
            <w:r>
              <w:rPr>
                <w:spacing w:val="-2"/>
                <w:sz w:val="21"/>
              </w:rPr>
              <w:t>酸、血氨升高，造成脑水肿。主要临床表现为急性发热、反复呕吐、惊厥</w:t>
            </w:r>
            <w:r>
              <w:rPr>
                <w:spacing w:val="-2"/>
                <w:sz w:val="21"/>
              </w:rPr>
              <w:t>及意识障碍等等。肝脏活检是确诊的重要手段。瑞氏综合征需由三级医院</w:t>
            </w:r>
            <w:r>
              <w:rPr>
                <w:spacing w:val="-2"/>
                <w:sz w:val="21"/>
              </w:rPr>
              <w:t>的儿科专科医生确诊，并符合下列所有条件：</w:t>
            </w:r>
          </w:p>
          <w:p>
            <w:pPr>
              <w:pStyle w:val="TableParagraph"/>
              <w:spacing w:line="278" w:lineRule="auto"/>
              <w:ind w:left="127" w:right="1306"/>
              <w:jc w:val="both"/>
              <w:rPr>
                <w:sz w:val="21"/>
              </w:rPr>
            </w:pPr>
            <w:r>
              <w:rPr>
                <w:spacing w:val="-2"/>
                <w:sz w:val="21"/>
              </w:rPr>
              <w:t>(1)有脑水肿和颅内压升高的脑脊液检查和影像学检查证据； </w:t>
            </w:r>
            <w:r>
              <w:rPr>
                <w:sz w:val="21"/>
              </w:rPr>
              <w:t>(2)</w:t>
            </w:r>
            <w:r>
              <w:rPr>
                <w:spacing w:val="-3"/>
                <w:sz w:val="21"/>
              </w:rPr>
              <w:t>血氨超过正常值的 </w:t>
            </w:r>
            <w:r>
              <w:rPr>
                <w:sz w:val="21"/>
              </w:rPr>
              <w:t>3</w:t>
            </w:r>
            <w:r>
              <w:rPr>
                <w:spacing w:val="-9"/>
                <w:sz w:val="21"/>
              </w:rPr>
              <w:t> 倍；</w:t>
            </w:r>
          </w:p>
          <w:p>
            <w:pPr>
              <w:pStyle w:val="TableParagraph"/>
              <w:spacing w:line="269" w:lineRule="exact"/>
              <w:ind w:left="127"/>
              <w:jc w:val="both"/>
              <w:rPr>
                <w:sz w:val="21"/>
              </w:rPr>
            </w:pPr>
            <w:r>
              <w:rPr>
                <w:spacing w:val="-2"/>
                <w:sz w:val="21"/>
              </w:rPr>
              <w:t>(3)</w:t>
            </w:r>
            <w:r>
              <w:rPr>
                <w:spacing w:val="-5"/>
                <w:sz w:val="21"/>
              </w:rPr>
              <w:t>临床出现昏迷，病程至少达到疾病分期第 </w:t>
            </w:r>
            <w:r>
              <w:rPr>
                <w:spacing w:val="-2"/>
                <w:sz w:val="21"/>
              </w:rPr>
              <w:t>3</w:t>
            </w:r>
            <w:r>
              <w:rPr>
                <w:spacing w:val="-20"/>
                <w:sz w:val="21"/>
              </w:rPr>
              <w:t> 期。</w:t>
            </w:r>
          </w:p>
        </w:tc>
      </w:tr>
      <w:tr>
        <w:trPr>
          <w:trHeight w:val="2014" w:hRule="atLeast"/>
        </w:trPr>
        <w:tc>
          <w:tcPr>
            <w:tcW w:w="1005" w:type="dxa"/>
          </w:tcPr>
          <w:p>
            <w:pPr>
              <w:pStyle w:val="TableParagraph"/>
              <w:spacing w:before="17"/>
              <w:ind w:left="50"/>
              <w:rPr>
                <w:rFonts w:ascii="微软雅黑"/>
                <w:b/>
                <w:sz w:val="21"/>
              </w:rPr>
            </w:pPr>
            <w:r>
              <w:rPr>
                <w:rFonts w:ascii="微软雅黑"/>
                <w:b/>
                <w:spacing w:val="-2"/>
                <w:sz w:val="21"/>
              </w:rPr>
              <w:t>10.1.56</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严重川崎病</w:t>
            </w:r>
          </w:p>
        </w:tc>
        <w:tc>
          <w:tcPr>
            <w:tcW w:w="7005" w:type="dxa"/>
          </w:tcPr>
          <w:p>
            <w:pPr>
              <w:pStyle w:val="TableParagraph"/>
              <w:spacing w:line="278" w:lineRule="auto" w:before="84"/>
              <w:ind w:left="127" w:right="129"/>
              <w:jc w:val="both"/>
              <w:rPr>
                <w:sz w:val="21"/>
              </w:rPr>
            </w:pPr>
            <w:r>
              <w:rPr>
                <w:spacing w:val="-2"/>
                <w:sz w:val="21"/>
              </w:rPr>
              <w:t>指一种原因未明的血管炎综合征，临床表现为急性发热，皮肤粘膜病损和</w:t>
            </w:r>
            <w:r>
              <w:rPr>
                <w:spacing w:val="-2"/>
                <w:sz w:val="21"/>
              </w:rPr>
              <w:t>淋巴结肿大。本病必须经专科医生明确诊断，且必须由血管造影或超声心</w:t>
            </w:r>
            <w:r>
              <w:rPr>
                <w:spacing w:val="-2"/>
                <w:sz w:val="21"/>
              </w:rPr>
              <w:t>动图检查证实，满足下列至少一项条件：</w:t>
            </w:r>
          </w:p>
          <w:p>
            <w:pPr>
              <w:pStyle w:val="TableParagraph"/>
              <w:numPr>
                <w:ilvl w:val="0"/>
                <w:numId w:val="42"/>
              </w:numPr>
              <w:tabs>
                <w:tab w:pos="447" w:val="left" w:leader="none"/>
              </w:tabs>
              <w:spacing w:line="278" w:lineRule="auto" w:before="0" w:after="0"/>
              <w:ind w:left="127" w:right="136" w:firstLine="0"/>
              <w:jc w:val="left"/>
              <w:rPr>
                <w:sz w:val="21"/>
              </w:rPr>
            </w:pPr>
            <w:r>
              <w:rPr>
                <w:spacing w:val="-2"/>
                <w:sz w:val="21"/>
              </w:rPr>
              <w:t>伴有冠状动脉瘤，且冠状动脉瘤于最初急性发病后持续至少一百八十</w:t>
            </w:r>
            <w:r>
              <w:rPr>
                <w:spacing w:val="-6"/>
                <w:sz w:val="21"/>
              </w:rPr>
              <w:t>天；</w:t>
            </w:r>
          </w:p>
          <w:p>
            <w:pPr>
              <w:pStyle w:val="TableParagraph"/>
              <w:numPr>
                <w:ilvl w:val="0"/>
                <w:numId w:val="42"/>
              </w:numPr>
              <w:tabs>
                <w:tab w:pos="445" w:val="left" w:leader="none"/>
              </w:tabs>
              <w:spacing w:line="269" w:lineRule="exact" w:before="0" w:after="0"/>
              <w:ind w:left="445" w:right="0" w:hanging="318"/>
              <w:jc w:val="left"/>
              <w:rPr>
                <w:sz w:val="21"/>
              </w:rPr>
            </w:pPr>
            <w:r>
              <w:rPr>
                <w:spacing w:val="-3"/>
                <w:sz w:val="21"/>
              </w:rPr>
              <w:t>伴有冠状动脉瘤，且实际接受了对冠状动脉瘤进行的手术治疗。</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10.1.57</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严重心肌炎</w:t>
            </w:r>
          </w:p>
        </w:tc>
        <w:tc>
          <w:tcPr>
            <w:tcW w:w="7005" w:type="dxa"/>
          </w:tcPr>
          <w:p>
            <w:pPr>
              <w:pStyle w:val="TableParagraph"/>
              <w:spacing w:before="84"/>
              <w:ind w:left="127"/>
              <w:rPr>
                <w:sz w:val="21"/>
              </w:rPr>
            </w:pPr>
            <w:r>
              <w:rPr>
                <w:spacing w:val="-3"/>
                <w:sz w:val="21"/>
              </w:rPr>
              <w:t>指被保险人因严重心肌炎性病变导致心功能损害造成持续的永久不可逆性</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3"/>
                <w:sz w:val="21"/>
              </w:rPr>
              <w:t>的心功能衰竭。必须满足所有以下条件：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2"/>
                <w:sz w:val="21"/>
              </w:rPr>
              <w:t>(1)</w:t>
            </w:r>
            <w:r>
              <w:rPr>
                <w:spacing w:val="-3"/>
                <w:sz w:val="21"/>
              </w:rPr>
              <w:t>心功能衰竭程度达到纽约心脏病学会的心功能分级标准之心功能Ⅳ级，</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7"/>
                <w:sz w:val="21"/>
              </w:rPr>
              <w:t>或左室射血分数低于 </w:t>
            </w:r>
            <w:r>
              <w:rPr>
                <w:spacing w:val="-4"/>
                <w:sz w:val="21"/>
              </w:rPr>
              <w:t>30%；</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05" w:type="dxa"/>
          </w:tcPr>
          <w:p>
            <w:pPr>
              <w:pStyle w:val="TableParagraph"/>
              <w:spacing w:line="228" w:lineRule="exact" w:before="13"/>
              <w:ind w:left="127"/>
              <w:rPr>
                <w:sz w:val="21"/>
              </w:rPr>
            </w:pPr>
            <w:r>
              <w:rPr>
                <w:spacing w:val="-2"/>
                <w:sz w:val="21"/>
              </w:rPr>
              <w:t>(2)</w:t>
            </w:r>
            <w:r>
              <w:rPr>
                <w:spacing w:val="-10"/>
                <w:sz w:val="21"/>
              </w:rPr>
              <w:t>持续不间断 </w:t>
            </w:r>
            <w:r>
              <w:rPr>
                <w:spacing w:val="-2"/>
                <w:sz w:val="21"/>
              </w:rPr>
              <w:t>180</w:t>
            </w:r>
            <w:r>
              <w:rPr>
                <w:spacing w:val="-14"/>
                <w:sz w:val="21"/>
              </w:rPr>
              <w:t> 天以上；</w:t>
            </w:r>
          </w:p>
        </w:tc>
      </w:tr>
    </w:tbl>
    <w:p>
      <w:pPr>
        <w:spacing w:after="0" w:line="228" w:lineRule="exact"/>
        <w:rPr>
          <w:sz w:val="21"/>
        </w:rPr>
        <w:sectPr>
          <w:pgSz w:w="11910" w:h="16840"/>
          <w:pgMar w:top="1460" w:bottom="1338"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05"/>
      </w:tblGrid>
      <w:tr>
        <w:trPr>
          <w:trHeight w:val="33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line="232" w:lineRule="exact"/>
              <w:ind w:left="127"/>
              <w:rPr>
                <w:sz w:val="21"/>
              </w:rPr>
            </w:pPr>
            <w:r>
              <w:rPr>
                <w:spacing w:val="-2"/>
                <w:sz w:val="21"/>
              </w:rPr>
              <w:t>(3)</w:t>
            </w:r>
            <w:r>
              <w:rPr>
                <w:spacing w:val="-3"/>
                <w:sz w:val="21"/>
              </w:rPr>
              <w:t>被保险人永久不可逆性的体力活动能力受限，不能从事任何体力活动。</w:t>
            </w:r>
          </w:p>
        </w:tc>
      </w:tr>
      <w:tr>
        <w:trPr>
          <w:trHeight w:val="1389" w:hRule="atLeast"/>
        </w:trPr>
        <w:tc>
          <w:tcPr>
            <w:tcW w:w="1005" w:type="dxa"/>
          </w:tcPr>
          <w:p>
            <w:pPr>
              <w:pStyle w:val="TableParagraph"/>
              <w:spacing w:before="17"/>
              <w:ind w:left="50"/>
              <w:rPr>
                <w:rFonts w:ascii="微软雅黑"/>
                <w:b/>
                <w:sz w:val="21"/>
              </w:rPr>
            </w:pPr>
            <w:r>
              <w:rPr>
                <w:rFonts w:ascii="微软雅黑"/>
                <w:b/>
                <w:spacing w:val="-2"/>
                <w:sz w:val="21"/>
              </w:rPr>
              <w:t>10.1.58</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需手术切除的嗜</w:t>
            </w:r>
            <w:r>
              <w:rPr>
                <w:rFonts w:ascii="微软雅黑" w:eastAsia="微软雅黑"/>
                <w:b/>
                <w:spacing w:val="-4"/>
                <w:sz w:val="21"/>
              </w:rPr>
              <w:t>铬细胞瘤</w:t>
            </w:r>
          </w:p>
        </w:tc>
        <w:tc>
          <w:tcPr>
            <w:tcW w:w="7005" w:type="dxa"/>
          </w:tcPr>
          <w:p>
            <w:pPr>
              <w:pStyle w:val="TableParagraph"/>
              <w:spacing w:line="278" w:lineRule="auto" w:before="84"/>
              <w:ind w:left="127" w:right="129"/>
              <w:rPr>
                <w:sz w:val="21"/>
              </w:rPr>
            </w:pPr>
            <w:r>
              <w:rPr>
                <w:spacing w:val="-2"/>
                <w:sz w:val="21"/>
              </w:rPr>
              <w:t>指发生在肾上腺或肾上腺外嗜铬组织的以分泌过多的儿茶酚胺为表现的神</w:t>
            </w:r>
            <w:r>
              <w:rPr>
                <w:spacing w:val="-2"/>
                <w:sz w:val="21"/>
              </w:rPr>
              <w:t>经内分泌肿瘤。嗜铬细胞瘤必须明确诊断，并且满足下列所有条件：</w:t>
            </w:r>
          </w:p>
          <w:p>
            <w:pPr>
              <w:pStyle w:val="TableParagraph"/>
              <w:numPr>
                <w:ilvl w:val="0"/>
                <w:numId w:val="43"/>
              </w:numPr>
              <w:tabs>
                <w:tab w:pos="445" w:val="left" w:leader="none"/>
              </w:tabs>
              <w:spacing w:line="269" w:lineRule="exact" w:before="0" w:after="0"/>
              <w:ind w:left="445" w:right="0" w:hanging="318"/>
              <w:jc w:val="left"/>
              <w:rPr>
                <w:sz w:val="21"/>
              </w:rPr>
            </w:pPr>
            <w:r>
              <w:rPr>
                <w:spacing w:val="-3"/>
                <w:sz w:val="21"/>
              </w:rPr>
              <w:t>临床有高血压症候群表现；</w:t>
            </w:r>
          </w:p>
          <w:p>
            <w:pPr>
              <w:pStyle w:val="TableParagraph"/>
              <w:numPr>
                <w:ilvl w:val="0"/>
                <w:numId w:val="43"/>
              </w:numPr>
              <w:tabs>
                <w:tab w:pos="445" w:val="left" w:leader="none"/>
              </w:tabs>
              <w:spacing w:line="240" w:lineRule="auto" w:before="43" w:after="0"/>
              <w:ind w:left="445" w:right="0" w:hanging="318"/>
              <w:jc w:val="left"/>
              <w:rPr>
                <w:sz w:val="21"/>
              </w:rPr>
            </w:pPr>
            <w:r>
              <w:rPr>
                <w:spacing w:val="-3"/>
                <w:sz w:val="21"/>
              </w:rPr>
              <w:t>已经实施了嗜铬细胞瘤切除手术。</w:t>
            </w:r>
          </w:p>
        </w:tc>
      </w:tr>
      <w:tr>
        <w:trPr>
          <w:trHeight w:val="1077" w:hRule="atLeast"/>
        </w:trPr>
        <w:tc>
          <w:tcPr>
            <w:tcW w:w="1005" w:type="dxa"/>
          </w:tcPr>
          <w:p>
            <w:pPr>
              <w:pStyle w:val="TableParagraph"/>
              <w:spacing w:before="17"/>
              <w:ind w:left="50"/>
              <w:rPr>
                <w:rFonts w:ascii="微软雅黑"/>
                <w:b/>
                <w:sz w:val="21"/>
              </w:rPr>
            </w:pPr>
            <w:r>
              <w:rPr>
                <w:rFonts w:ascii="微软雅黑"/>
                <w:b/>
                <w:spacing w:val="-2"/>
                <w:sz w:val="21"/>
              </w:rPr>
              <w:t>10.1.59</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严重肠道疾病并</w:t>
            </w:r>
            <w:r>
              <w:rPr>
                <w:rFonts w:ascii="微软雅黑" w:eastAsia="微软雅黑"/>
                <w:b/>
                <w:spacing w:val="-6"/>
                <w:sz w:val="21"/>
              </w:rPr>
              <w:t>发症</w:t>
            </w:r>
          </w:p>
        </w:tc>
        <w:tc>
          <w:tcPr>
            <w:tcW w:w="7005" w:type="dxa"/>
          </w:tcPr>
          <w:p>
            <w:pPr>
              <w:pStyle w:val="TableParagraph"/>
              <w:spacing w:line="278" w:lineRule="auto" w:before="84"/>
              <w:ind w:left="127" w:right="349"/>
              <w:rPr>
                <w:sz w:val="21"/>
              </w:rPr>
            </w:pPr>
            <w:r>
              <w:rPr>
                <w:spacing w:val="-2"/>
                <w:sz w:val="21"/>
              </w:rPr>
              <w:t>严重肠道疾病或外伤导致小肠损害并发症，必须满足以下所有条件： (1)至少切除了三分之二小肠；</w:t>
            </w:r>
          </w:p>
          <w:p>
            <w:pPr>
              <w:pStyle w:val="TableParagraph"/>
              <w:spacing w:line="269" w:lineRule="exact"/>
              <w:ind w:left="127"/>
              <w:rPr>
                <w:sz w:val="21"/>
              </w:rPr>
            </w:pPr>
            <w:r>
              <w:rPr>
                <w:spacing w:val="-2"/>
                <w:sz w:val="21"/>
              </w:rPr>
              <w:t>(2)</w:t>
            </w:r>
            <w:r>
              <w:rPr>
                <w:spacing w:val="-8"/>
                <w:sz w:val="21"/>
              </w:rPr>
              <w:t>完全肠外营养支持 </w:t>
            </w:r>
            <w:r>
              <w:rPr>
                <w:spacing w:val="-2"/>
                <w:sz w:val="21"/>
              </w:rPr>
              <w:t>3</w:t>
            </w:r>
            <w:r>
              <w:rPr>
                <w:spacing w:val="-12"/>
                <w:sz w:val="21"/>
              </w:rPr>
              <w:t> 个月以上。</w:t>
            </w:r>
          </w:p>
        </w:tc>
      </w:tr>
      <w:tr>
        <w:trPr>
          <w:trHeight w:val="2014" w:hRule="atLeast"/>
        </w:trPr>
        <w:tc>
          <w:tcPr>
            <w:tcW w:w="1005" w:type="dxa"/>
          </w:tcPr>
          <w:p>
            <w:pPr>
              <w:pStyle w:val="TableParagraph"/>
              <w:spacing w:before="17"/>
              <w:ind w:left="50"/>
              <w:rPr>
                <w:rFonts w:ascii="微软雅黑"/>
                <w:b/>
                <w:sz w:val="21"/>
              </w:rPr>
            </w:pPr>
            <w:r>
              <w:rPr>
                <w:rFonts w:ascii="微软雅黑"/>
                <w:b/>
                <w:spacing w:val="-2"/>
                <w:sz w:val="21"/>
              </w:rPr>
              <w:t>10.1.60</w:t>
            </w:r>
          </w:p>
        </w:tc>
        <w:tc>
          <w:tcPr>
            <w:tcW w:w="1818" w:type="dxa"/>
          </w:tcPr>
          <w:p>
            <w:pPr>
              <w:pStyle w:val="TableParagraph"/>
              <w:spacing w:line="194" w:lineRule="auto" w:before="69"/>
              <w:ind w:left="214" w:right="123"/>
              <w:rPr>
                <w:rFonts w:ascii="微软雅黑" w:hAnsi="微软雅黑" w:eastAsia="微软雅黑"/>
                <w:b/>
                <w:sz w:val="21"/>
              </w:rPr>
            </w:pPr>
            <w:r>
              <w:rPr>
                <w:rFonts w:ascii="微软雅黑" w:hAnsi="微软雅黑" w:eastAsia="微软雅黑"/>
                <w:b/>
                <w:spacing w:val="-2"/>
                <w:sz w:val="21"/>
              </w:rPr>
              <w:t>严重Ⅲ度房室传</w:t>
            </w:r>
            <w:r>
              <w:rPr>
                <w:rFonts w:ascii="微软雅黑" w:hAnsi="微软雅黑" w:eastAsia="微软雅黑"/>
                <w:b/>
                <w:spacing w:val="-4"/>
                <w:sz w:val="21"/>
              </w:rPr>
              <w:t>导阻滞</w:t>
            </w:r>
          </w:p>
        </w:tc>
        <w:tc>
          <w:tcPr>
            <w:tcW w:w="7005" w:type="dxa"/>
          </w:tcPr>
          <w:p>
            <w:pPr>
              <w:pStyle w:val="TableParagraph"/>
              <w:spacing w:line="278" w:lineRule="auto" w:before="84"/>
              <w:ind w:left="127" w:right="129"/>
              <w:rPr>
                <w:sz w:val="21"/>
              </w:rPr>
            </w:pPr>
            <w:r>
              <w:rPr>
                <w:spacing w:val="-2"/>
                <w:sz w:val="21"/>
              </w:rPr>
              <w:t>指心房激动在房室交界区、房室束及其分支内发生阻滞，不能正常地传到</w:t>
            </w:r>
            <w:r>
              <w:rPr>
                <w:spacing w:val="-2"/>
                <w:sz w:val="21"/>
              </w:rPr>
              <w:t>心室的心脏传导性疾病，须满足下列所有条件：</w:t>
            </w:r>
          </w:p>
          <w:p>
            <w:pPr>
              <w:pStyle w:val="TableParagraph"/>
              <w:spacing w:line="278" w:lineRule="auto"/>
              <w:ind w:left="127" w:right="1451"/>
              <w:rPr>
                <w:sz w:val="21"/>
              </w:rPr>
            </w:pPr>
            <w:r>
              <w:rPr>
                <w:spacing w:val="-2"/>
                <w:sz w:val="21"/>
              </w:rPr>
              <w:t>(1)心电图显示房室搏动彼此独立，心室率&lt;50</w:t>
            </w:r>
            <w:r>
              <w:rPr>
                <w:spacing w:val="-11"/>
                <w:sz w:val="21"/>
              </w:rPr>
              <w:t> 次/分钟；</w:t>
            </w:r>
            <w:r>
              <w:rPr>
                <w:spacing w:val="-2"/>
                <w:sz w:val="21"/>
              </w:rPr>
              <w:t> (2)出现阿-斯综合征或心力衰竭的表现；</w:t>
            </w:r>
          </w:p>
          <w:p>
            <w:pPr>
              <w:pStyle w:val="TableParagraph"/>
              <w:spacing w:line="278" w:lineRule="auto"/>
              <w:ind w:left="127" w:right="128"/>
              <w:rPr>
                <w:sz w:val="21"/>
              </w:rPr>
            </w:pPr>
            <w:r>
              <w:rPr>
                <w:spacing w:val="-2"/>
                <w:sz w:val="21"/>
              </w:rPr>
              <w:t>(3)</w:t>
            </w:r>
            <w:r>
              <w:rPr>
                <w:spacing w:val="-6"/>
                <w:sz w:val="21"/>
              </w:rPr>
              <w:t>必须持续性依赖心脏起搏器维持心脏正常功能，且已经放置永久性心脏</w:t>
            </w:r>
            <w:r>
              <w:rPr>
                <w:spacing w:val="-4"/>
                <w:sz w:val="21"/>
              </w:rPr>
              <w:t>起搏器。</w:t>
            </w:r>
          </w:p>
        </w:tc>
      </w:tr>
      <w:tr>
        <w:trPr>
          <w:trHeight w:val="2639" w:hRule="atLeast"/>
        </w:trPr>
        <w:tc>
          <w:tcPr>
            <w:tcW w:w="1005" w:type="dxa"/>
          </w:tcPr>
          <w:p>
            <w:pPr>
              <w:pStyle w:val="TableParagraph"/>
              <w:spacing w:before="17"/>
              <w:ind w:left="50"/>
              <w:rPr>
                <w:rFonts w:ascii="微软雅黑"/>
                <w:b/>
                <w:sz w:val="21"/>
              </w:rPr>
            </w:pPr>
            <w:r>
              <w:rPr>
                <w:rFonts w:ascii="微软雅黑"/>
                <w:b/>
                <w:spacing w:val="-2"/>
                <w:sz w:val="21"/>
              </w:rPr>
              <w:t>10.1.61</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重症手足口病</w:t>
            </w:r>
          </w:p>
        </w:tc>
        <w:tc>
          <w:tcPr>
            <w:tcW w:w="7005" w:type="dxa"/>
          </w:tcPr>
          <w:p>
            <w:pPr>
              <w:pStyle w:val="TableParagraph"/>
              <w:spacing w:line="278" w:lineRule="auto" w:before="84"/>
              <w:ind w:left="127" w:right="129"/>
              <w:jc w:val="both"/>
              <w:rPr>
                <w:sz w:val="21"/>
              </w:rPr>
            </w:pPr>
            <w:r>
              <w:rPr>
                <w:spacing w:val="-2"/>
                <w:sz w:val="21"/>
              </w:rPr>
              <w:t>指由肠道病毒引起的急性传染病，主要症状表现为手、足、口腔等部位的</w:t>
            </w:r>
            <w:r>
              <w:rPr>
                <w:spacing w:val="-2"/>
                <w:sz w:val="21"/>
              </w:rPr>
              <w:t>斑丘疹、疱疹。经儿科专科医生确诊为患有手足口病，并伴有下列三项中</w:t>
            </w:r>
            <w:r>
              <w:rPr>
                <w:spacing w:val="-2"/>
                <w:sz w:val="21"/>
              </w:rPr>
              <w:t>的任意一项并发症：</w:t>
            </w:r>
          </w:p>
          <w:p>
            <w:pPr>
              <w:pStyle w:val="TableParagraph"/>
              <w:numPr>
                <w:ilvl w:val="0"/>
                <w:numId w:val="44"/>
              </w:numPr>
              <w:tabs>
                <w:tab w:pos="445" w:val="left" w:leader="none"/>
              </w:tabs>
              <w:spacing w:line="278" w:lineRule="auto" w:before="0" w:after="0"/>
              <w:ind w:left="127" w:right="128" w:firstLine="0"/>
              <w:jc w:val="left"/>
              <w:rPr>
                <w:sz w:val="21"/>
              </w:rPr>
            </w:pPr>
            <w:r>
              <w:rPr>
                <w:spacing w:val="-10"/>
                <w:sz w:val="21"/>
              </w:rPr>
              <w:t>有脑膜炎或脑炎并发症，且导致意识障碍或瘫痪的临床表现及实验室检</w:t>
            </w:r>
            <w:r>
              <w:rPr>
                <w:spacing w:val="-4"/>
                <w:sz w:val="21"/>
              </w:rPr>
              <w:t>查证据；</w:t>
            </w:r>
          </w:p>
          <w:p>
            <w:pPr>
              <w:pStyle w:val="TableParagraph"/>
              <w:numPr>
                <w:ilvl w:val="0"/>
                <w:numId w:val="44"/>
              </w:numPr>
              <w:tabs>
                <w:tab w:pos="445" w:val="left" w:leader="none"/>
              </w:tabs>
              <w:spacing w:line="278" w:lineRule="auto" w:before="0" w:after="0"/>
              <w:ind w:left="127" w:right="126" w:firstLine="0"/>
              <w:jc w:val="left"/>
              <w:rPr>
                <w:sz w:val="21"/>
              </w:rPr>
            </w:pPr>
            <w:r>
              <w:rPr>
                <w:spacing w:val="-2"/>
                <w:sz w:val="21"/>
              </w:rPr>
              <w:t>有肺水肿并发症，且导致呼吸衰竭的临床表现及实验室检查证据；</w:t>
            </w:r>
            <w:r>
              <w:rPr>
                <w:spacing w:val="40"/>
                <w:sz w:val="21"/>
              </w:rPr>
              <w:t> </w:t>
            </w:r>
            <w:r>
              <w:rPr>
                <w:spacing w:val="-2"/>
                <w:sz w:val="21"/>
              </w:rPr>
              <w:t>(3)</w:t>
            </w:r>
            <w:r>
              <w:rPr>
                <w:spacing w:val="-11"/>
                <w:sz w:val="21"/>
              </w:rPr>
              <w:t>有心肌炎并发症，且导致心脏扩大或心力衰竭的临床表现及实验室检查</w:t>
            </w:r>
            <w:r>
              <w:rPr>
                <w:spacing w:val="-4"/>
                <w:sz w:val="21"/>
              </w:rPr>
              <w:t>证据。</w:t>
            </w:r>
          </w:p>
        </w:tc>
      </w:tr>
      <w:tr>
        <w:trPr>
          <w:trHeight w:val="3575" w:hRule="atLeast"/>
        </w:trPr>
        <w:tc>
          <w:tcPr>
            <w:tcW w:w="1005" w:type="dxa"/>
          </w:tcPr>
          <w:p>
            <w:pPr>
              <w:pStyle w:val="TableParagraph"/>
              <w:spacing w:before="18"/>
              <w:ind w:left="50"/>
              <w:rPr>
                <w:rFonts w:ascii="微软雅黑"/>
                <w:b/>
                <w:sz w:val="21"/>
              </w:rPr>
            </w:pPr>
            <w:r>
              <w:rPr>
                <w:rFonts w:ascii="微软雅黑"/>
                <w:b/>
                <w:spacing w:val="-2"/>
                <w:sz w:val="21"/>
              </w:rPr>
              <w:t>10.1.62</w:t>
            </w:r>
          </w:p>
        </w:tc>
        <w:tc>
          <w:tcPr>
            <w:tcW w:w="1818" w:type="dxa"/>
          </w:tcPr>
          <w:p>
            <w:pPr>
              <w:pStyle w:val="TableParagraph"/>
              <w:spacing w:line="194" w:lineRule="auto" w:before="71"/>
              <w:ind w:left="214" w:right="123"/>
              <w:rPr>
                <w:rFonts w:ascii="微软雅黑" w:eastAsia="微软雅黑"/>
                <w:b/>
                <w:sz w:val="21"/>
              </w:rPr>
            </w:pPr>
            <w:r>
              <w:rPr>
                <w:rFonts w:ascii="微软雅黑" w:eastAsia="微软雅黑"/>
                <w:b/>
                <w:spacing w:val="-2"/>
                <w:sz w:val="21"/>
              </w:rPr>
              <w:t>严重感染性心内</w:t>
            </w:r>
            <w:r>
              <w:rPr>
                <w:rFonts w:ascii="微软雅黑" w:eastAsia="微软雅黑"/>
                <w:b/>
                <w:spacing w:val="-6"/>
                <w:sz w:val="21"/>
              </w:rPr>
              <w:t>膜炎</w:t>
            </w:r>
          </w:p>
        </w:tc>
        <w:tc>
          <w:tcPr>
            <w:tcW w:w="7005" w:type="dxa"/>
          </w:tcPr>
          <w:p>
            <w:pPr>
              <w:pStyle w:val="TableParagraph"/>
              <w:spacing w:line="278" w:lineRule="auto" w:before="85"/>
              <w:ind w:left="127" w:right="973"/>
              <w:rPr>
                <w:sz w:val="21"/>
              </w:rPr>
            </w:pPr>
            <w:r>
              <w:rPr>
                <w:spacing w:val="-2"/>
                <w:sz w:val="21"/>
              </w:rPr>
              <w:t>指因感染性病原体造成心脏内膜发炎，并符合下列所有条件： (1)血液培养测试结果为阳性，证实存在感染病原体：</w:t>
            </w:r>
          </w:p>
          <w:p>
            <w:pPr>
              <w:pStyle w:val="TableParagraph"/>
              <w:spacing w:line="278" w:lineRule="auto"/>
              <w:ind w:left="127" w:right="129"/>
              <w:rPr>
                <w:sz w:val="21"/>
              </w:rPr>
            </w:pPr>
            <w:r>
              <w:rPr>
                <w:spacing w:val="-2"/>
                <w:sz w:val="21"/>
              </w:rPr>
              <w:t>①微生物：在赘生物、栓塞的赘生物或心脏内脓疡经培养或组织检查证实</w:t>
            </w:r>
            <w:r>
              <w:rPr>
                <w:spacing w:val="-2"/>
                <w:sz w:val="21"/>
              </w:rPr>
              <w:t>有微生物；或</w:t>
            </w:r>
          </w:p>
          <w:p>
            <w:pPr>
              <w:pStyle w:val="TableParagraph"/>
              <w:spacing w:line="278" w:lineRule="auto"/>
              <w:ind w:left="127" w:right="129"/>
              <w:rPr>
                <w:sz w:val="21"/>
              </w:rPr>
            </w:pPr>
            <w:r>
              <w:rPr>
                <w:spacing w:val="-2"/>
                <w:sz w:val="21"/>
              </w:rPr>
              <w:t>②病理性病灶：组织病理学检查证实赘生物或心脏内脓疡有活动性心内膜</w:t>
            </w:r>
            <w:r>
              <w:rPr>
                <w:spacing w:val="-4"/>
                <w:sz w:val="21"/>
              </w:rPr>
              <w:t>炎；或</w:t>
            </w:r>
          </w:p>
          <w:p>
            <w:pPr>
              <w:pStyle w:val="TableParagraph"/>
              <w:spacing w:line="269" w:lineRule="exact"/>
              <w:ind w:left="127"/>
              <w:rPr>
                <w:sz w:val="21"/>
              </w:rPr>
            </w:pPr>
            <w:r>
              <w:rPr>
                <w:spacing w:val="-3"/>
                <w:sz w:val="21"/>
              </w:rPr>
              <w:t>③分别两次血液培养证实有典型的病原体且与心内膜炎吻合；或</w:t>
            </w:r>
          </w:p>
          <w:p>
            <w:pPr>
              <w:pStyle w:val="TableParagraph"/>
              <w:spacing w:before="43"/>
              <w:ind w:left="127"/>
              <w:rPr>
                <w:sz w:val="21"/>
              </w:rPr>
            </w:pPr>
            <w:r>
              <w:rPr>
                <w:spacing w:val="-3"/>
                <w:sz w:val="21"/>
              </w:rPr>
              <w:t>④持续血液培养证实有病原体阳性反应，且与心内膜炎吻合。</w:t>
            </w:r>
          </w:p>
          <w:p>
            <w:pPr>
              <w:pStyle w:val="TableParagraph"/>
              <w:numPr>
                <w:ilvl w:val="0"/>
                <w:numId w:val="45"/>
              </w:numPr>
              <w:tabs>
                <w:tab w:pos="445" w:val="left" w:leader="none"/>
              </w:tabs>
              <w:spacing w:line="278" w:lineRule="auto" w:before="43" w:after="0"/>
              <w:ind w:left="127" w:right="128" w:firstLine="0"/>
              <w:jc w:val="left"/>
              <w:rPr>
                <w:sz w:val="21"/>
              </w:rPr>
            </w:pPr>
            <w:r>
              <w:rPr>
                <w:spacing w:val="-2"/>
                <w:sz w:val="21"/>
              </w:rPr>
              <w:t>心内膜炎引起中度心瓣膜闭锁不全（</w:t>
            </w:r>
            <w:r>
              <w:rPr>
                <w:spacing w:val="-11"/>
                <w:sz w:val="21"/>
              </w:rPr>
              <w:t>指返流分数 </w:t>
            </w:r>
            <w:r>
              <w:rPr>
                <w:spacing w:val="-2"/>
                <w:sz w:val="21"/>
              </w:rPr>
              <w:t>20%或以上）或中度心</w:t>
            </w:r>
            <w:r>
              <w:rPr>
                <w:sz w:val="21"/>
              </w:rPr>
              <w:t>瓣膜狭窄（</w:t>
            </w:r>
            <w:r>
              <w:rPr>
                <w:spacing w:val="-3"/>
                <w:sz w:val="21"/>
              </w:rPr>
              <w:t>指心瓣膜开口范围小于或等于正常的 </w:t>
            </w:r>
            <w:r>
              <w:rPr>
                <w:spacing w:val="19"/>
                <w:sz w:val="21"/>
              </w:rPr>
              <w:t>30</w:t>
            </w:r>
            <w:r>
              <w:rPr>
                <w:spacing w:val="22"/>
                <w:sz w:val="21"/>
              </w:rPr>
              <w:t>%</w:t>
            </w:r>
            <w:r>
              <w:rPr>
                <w:spacing w:val="-84"/>
                <w:sz w:val="21"/>
              </w:rPr>
              <w:t>）</w:t>
            </w:r>
            <w:r>
              <w:rPr>
                <w:spacing w:val="11"/>
                <w:sz w:val="21"/>
              </w:rPr>
              <w:t>；及</w:t>
            </w:r>
          </w:p>
          <w:p>
            <w:pPr>
              <w:pStyle w:val="TableParagraph"/>
              <w:numPr>
                <w:ilvl w:val="0"/>
                <w:numId w:val="45"/>
              </w:numPr>
              <w:tabs>
                <w:tab w:pos="445" w:val="left" w:leader="none"/>
              </w:tabs>
              <w:spacing w:line="269" w:lineRule="exact" w:before="0" w:after="0"/>
              <w:ind w:left="445" w:right="0" w:hanging="318"/>
              <w:jc w:val="left"/>
              <w:rPr>
                <w:sz w:val="21"/>
              </w:rPr>
            </w:pPr>
            <w:r>
              <w:rPr>
                <w:spacing w:val="-3"/>
                <w:sz w:val="21"/>
              </w:rPr>
              <w:t>心内膜炎及心瓣膜病损须经心脏专科医生确诊。</w:t>
            </w:r>
          </w:p>
        </w:tc>
      </w:tr>
      <w:tr>
        <w:trPr>
          <w:trHeight w:val="383" w:hRule="atLeast"/>
        </w:trPr>
        <w:tc>
          <w:tcPr>
            <w:tcW w:w="1005" w:type="dxa"/>
          </w:tcPr>
          <w:p>
            <w:pPr>
              <w:pStyle w:val="TableParagraph"/>
              <w:spacing w:line="346" w:lineRule="exact" w:before="17"/>
              <w:ind w:left="50"/>
              <w:rPr>
                <w:rFonts w:ascii="微软雅黑"/>
                <w:b/>
                <w:sz w:val="21"/>
              </w:rPr>
            </w:pPr>
            <w:r>
              <w:rPr>
                <w:rFonts w:ascii="微软雅黑"/>
                <w:b/>
                <w:spacing w:val="-2"/>
                <w:sz w:val="21"/>
              </w:rPr>
              <w:t>10.1.63</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败血症导致的多</w:t>
            </w:r>
          </w:p>
        </w:tc>
        <w:tc>
          <w:tcPr>
            <w:tcW w:w="7005" w:type="dxa"/>
          </w:tcPr>
          <w:p>
            <w:pPr>
              <w:pStyle w:val="TableParagraph"/>
              <w:spacing w:before="84"/>
              <w:ind w:left="127"/>
              <w:rPr>
                <w:sz w:val="21"/>
              </w:rPr>
            </w:pPr>
            <w:r>
              <w:rPr>
                <w:spacing w:val="-3"/>
                <w:sz w:val="21"/>
              </w:rPr>
              <w:t>指由专科医生确诊为败血症，并由血液或骨髓检查证实致病菌，伴发一个</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2"/>
                <w:sz w:val="21"/>
              </w:rPr>
              <w:t>器官功能障碍综</w:t>
            </w:r>
          </w:p>
        </w:tc>
        <w:tc>
          <w:tcPr>
            <w:tcW w:w="7005" w:type="dxa"/>
          </w:tcPr>
          <w:p>
            <w:pPr>
              <w:pStyle w:val="TableParagraph"/>
              <w:spacing w:before="13"/>
              <w:ind w:left="127"/>
              <w:rPr>
                <w:sz w:val="21"/>
              </w:rPr>
            </w:pPr>
            <w:r>
              <w:rPr>
                <w:spacing w:val="-1"/>
                <w:sz w:val="21"/>
              </w:rPr>
              <w:t>或多个器官系统生理功能障碍，并因该疾病入住重症监护病房至少 </w:t>
            </w:r>
            <w:r>
              <w:rPr>
                <w:sz w:val="21"/>
              </w:rPr>
              <w:t>96</w:t>
            </w:r>
            <w:r>
              <w:rPr>
                <w:spacing w:val="-8"/>
                <w:sz w:val="21"/>
              </w:rPr>
              <w:t> 小</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5"/>
                <w:sz w:val="21"/>
              </w:rPr>
              <w:t>合症</w:t>
            </w:r>
          </w:p>
        </w:tc>
        <w:tc>
          <w:tcPr>
            <w:tcW w:w="7005" w:type="dxa"/>
          </w:tcPr>
          <w:p>
            <w:pPr>
              <w:pStyle w:val="TableParagraph"/>
              <w:spacing w:before="13"/>
              <w:ind w:left="127"/>
              <w:rPr>
                <w:sz w:val="21"/>
              </w:rPr>
            </w:pPr>
            <w:r>
              <w:rPr>
                <w:spacing w:val="-3"/>
                <w:sz w:val="21"/>
              </w:rPr>
              <w:t>时，同时至少满足以下一条标准：</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2"/>
                <w:sz w:val="21"/>
              </w:rPr>
              <w:t>(1)</w:t>
            </w:r>
            <w:r>
              <w:rPr>
                <w:spacing w:val="-3"/>
                <w:sz w:val="21"/>
              </w:rPr>
              <w:t>呼吸衰竭，需要进行气管插管机械通气；</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2"/>
                <w:sz w:val="21"/>
              </w:rPr>
              <w:t>(2)凝血血小板计数&lt;50×10³/</w:t>
            </w:r>
            <w:r>
              <w:rPr>
                <w:spacing w:val="-5"/>
                <w:sz w:val="21"/>
              </w:rPr>
              <w:t>微升；</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2"/>
                <w:sz w:val="21"/>
              </w:rPr>
              <w:t>(3)肝功能不全，胆红素&gt;6mg/dl</w:t>
            </w:r>
            <w:r>
              <w:rPr>
                <w:spacing w:val="-14"/>
                <w:sz w:val="21"/>
              </w:rPr>
              <w:t> 或&gt;</w:t>
            </w:r>
            <w:r>
              <w:rPr>
                <w:spacing w:val="-2"/>
                <w:sz w:val="21"/>
              </w:rPr>
              <w:t>102μmol/L；</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05" w:type="dxa"/>
          </w:tcPr>
          <w:p>
            <w:pPr>
              <w:pStyle w:val="TableParagraph"/>
              <w:spacing w:before="13"/>
              <w:ind w:left="127"/>
              <w:rPr>
                <w:sz w:val="21"/>
              </w:rPr>
            </w:pPr>
            <w:r>
              <w:rPr>
                <w:spacing w:val="-2"/>
                <w:sz w:val="21"/>
              </w:rPr>
              <w:t>(4)</w:t>
            </w:r>
            <w:r>
              <w:rPr>
                <w:spacing w:val="-4"/>
                <w:sz w:val="21"/>
              </w:rPr>
              <w:t>已经使用强心剂；</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05" w:type="dxa"/>
          </w:tcPr>
          <w:p>
            <w:pPr>
              <w:pStyle w:val="TableParagraph"/>
              <w:spacing w:line="228" w:lineRule="exact" w:before="13"/>
              <w:ind w:left="127"/>
              <w:rPr>
                <w:sz w:val="21"/>
              </w:rPr>
            </w:pPr>
            <w:r>
              <w:rPr>
                <w:spacing w:val="-2"/>
                <w:sz w:val="21"/>
              </w:rPr>
              <w:t>(5)昏迷：格拉斯哥昏迷评分（GCS）&lt;=9；</w:t>
            </w:r>
          </w:p>
        </w:tc>
      </w:tr>
    </w:tbl>
    <w:p>
      <w:pPr>
        <w:spacing w:after="0" w:line="228" w:lineRule="exact"/>
        <w:rPr>
          <w:sz w:val="21"/>
        </w:rPr>
        <w:sectPr>
          <w:type w:val="continuous"/>
          <w:pgSz w:w="11910" w:h="16840"/>
          <w:pgMar w:top="146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31"/>
      </w:tblGrid>
      <w:tr>
        <w:trPr>
          <w:trHeight w:val="7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32" w:lineRule="exact"/>
              <w:ind w:left="127"/>
              <w:rPr>
                <w:sz w:val="21"/>
              </w:rPr>
            </w:pPr>
            <w:r>
              <w:rPr>
                <w:spacing w:val="-2"/>
                <w:sz w:val="21"/>
              </w:rPr>
              <w:t>(6)肾功能衰竭，血清肌酐&gt;300μmol/L</w:t>
            </w:r>
            <w:r>
              <w:rPr>
                <w:spacing w:val="-16"/>
                <w:sz w:val="21"/>
              </w:rPr>
              <w:t> 或</w:t>
            </w:r>
            <w:r>
              <w:rPr>
                <w:spacing w:val="-2"/>
                <w:sz w:val="21"/>
              </w:rPr>
              <w:t>&gt;3.5mg/dl</w:t>
            </w:r>
            <w:r>
              <w:rPr>
                <w:spacing w:val="-11"/>
                <w:sz w:val="21"/>
              </w:rPr>
              <w:t> 或尿量</w:t>
            </w:r>
            <w:r>
              <w:rPr>
                <w:spacing w:val="-2"/>
                <w:sz w:val="21"/>
              </w:rPr>
              <w:t>&lt;500ml/d</w:t>
            </w:r>
            <w:r>
              <w:rPr>
                <w:spacing w:val="-10"/>
                <w:sz w:val="21"/>
              </w:rPr>
              <w:t>。</w:t>
            </w:r>
          </w:p>
          <w:p>
            <w:pPr>
              <w:pStyle w:val="TableParagraph"/>
              <w:spacing w:before="120"/>
              <w:ind w:left="127"/>
              <w:rPr>
                <w:sz w:val="21"/>
              </w:rPr>
            </w:pPr>
            <w:r>
              <w:rPr>
                <w:color w:val="000000"/>
                <w:spacing w:val="-3"/>
                <w:sz w:val="21"/>
                <w:shd w:fill="A6A6A6" w:color="auto" w:val="clear"/>
              </w:rPr>
              <w:t>非败血症引起的多器官功能障碍综合征不在保障范围内。</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10.1.64</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器官移植导致的</w:t>
            </w:r>
          </w:p>
        </w:tc>
        <w:tc>
          <w:tcPr>
            <w:tcW w:w="7031" w:type="dxa"/>
          </w:tcPr>
          <w:p>
            <w:pPr>
              <w:pStyle w:val="TableParagraph"/>
              <w:spacing w:before="84"/>
              <w:ind w:left="127"/>
              <w:rPr>
                <w:sz w:val="21"/>
              </w:rPr>
            </w:pPr>
            <w:r>
              <w:rPr>
                <w:spacing w:val="-4"/>
                <w:sz w:val="21"/>
              </w:rPr>
              <w:t>被保险人因接受器官移植感染上人类免疫缺陷病毒（HIV）</w:t>
            </w:r>
            <w:r>
              <w:rPr>
                <w:spacing w:val="-5"/>
                <w:sz w:val="21"/>
              </w:rPr>
              <w:t>并且满足下列全</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2"/>
                <w:sz w:val="21"/>
              </w:rPr>
              <w:t>人类免疫缺陷病</w:t>
            </w:r>
          </w:p>
        </w:tc>
        <w:tc>
          <w:tcPr>
            <w:tcW w:w="7031" w:type="dxa"/>
          </w:tcPr>
          <w:p>
            <w:pPr>
              <w:pStyle w:val="TableParagraph"/>
              <w:spacing w:before="13"/>
              <w:ind w:left="127"/>
              <w:rPr>
                <w:sz w:val="21"/>
              </w:rPr>
            </w:pPr>
            <w:r>
              <w:rPr>
                <w:spacing w:val="-4"/>
                <w:sz w:val="21"/>
              </w:rPr>
              <w:t>部条件：</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4"/>
                <w:sz w:val="21"/>
              </w:rPr>
              <w:t>毒感染</w:t>
            </w:r>
          </w:p>
        </w:tc>
        <w:tc>
          <w:tcPr>
            <w:tcW w:w="7031" w:type="dxa"/>
          </w:tcPr>
          <w:p>
            <w:pPr>
              <w:pStyle w:val="TableParagraph"/>
              <w:spacing w:before="13"/>
              <w:ind w:left="127"/>
              <w:rPr>
                <w:sz w:val="21"/>
              </w:rPr>
            </w:pPr>
            <w:r>
              <w:rPr>
                <w:spacing w:val="-4"/>
                <w:sz w:val="21"/>
              </w:rPr>
              <w:t>(1)</w:t>
            </w:r>
            <w:r>
              <w:rPr>
                <w:spacing w:val="-5"/>
                <w:sz w:val="21"/>
              </w:rPr>
              <w:t>在保障起始日或复效日之后，被保险人接受器官移植，并因此感染人类</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免疫缺陷病毒</w:t>
            </w:r>
            <w:r>
              <w:rPr>
                <w:spacing w:val="29"/>
                <w:sz w:val="21"/>
              </w:rPr>
              <w:t>（</w:t>
            </w:r>
            <w:r>
              <w:rPr>
                <w:spacing w:val="32"/>
                <w:sz w:val="21"/>
              </w:rPr>
              <w:t>HIV</w:t>
            </w:r>
            <w:r>
              <w:rPr>
                <w:spacing w:val="-76"/>
                <w:sz w:val="21"/>
              </w:rPr>
              <w:t>）；</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w:t>
            </w:r>
            <w:r>
              <w:rPr>
                <w:spacing w:val="-6"/>
                <w:sz w:val="21"/>
              </w:rPr>
              <w:t>提供器官移植治疗的器官移植中心或医院出具该项器官移植感染，属于</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医疗责任事故的报告，或者法院终审裁定为医疗责任并且不准上诉；</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(3)</w:t>
            </w:r>
            <w:r>
              <w:rPr>
                <w:spacing w:val="-3"/>
                <w:sz w:val="21"/>
              </w:rPr>
              <w:t>提供器官移植治疗的器官移植中心或医院必须拥有合法经营执照。</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3"/>
              <w:ind w:left="127"/>
              <w:rPr>
                <w:sz w:val="21"/>
              </w:rPr>
            </w:pPr>
            <w:r>
              <w:rPr>
                <w:color w:val="000000"/>
                <w:spacing w:val="-4"/>
                <w:sz w:val="21"/>
                <w:shd w:fill="A6A6A6" w:color="auto" w:val="clear"/>
              </w:rPr>
              <w:t>在任何治愈艾滋病（AIDS）或阻止人类免疫缺陷病毒（HIV）</w:t>
            </w:r>
            <w:r>
              <w:rPr>
                <w:color w:val="000000"/>
                <w:spacing w:val="-5"/>
                <w:sz w:val="21"/>
                <w:shd w:fill="A6A6A6" w:color="auto" w:val="clear"/>
              </w:rPr>
              <w:t>作用的疗法被</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发现以后，或能防止艾滋病（AIDS）</w:t>
            </w:r>
            <w:r>
              <w:rPr>
                <w:color w:val="000000"/>
                <w:spacing w:val="-3"/>
                <w:sz w:val="21"/>
                <w:shd w:fill="A6A6A6" w:color="auto" w:val="clear"/>
              </w:rPr>
              <w:t>发生的医疗方法被研究出来以后，本</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3"/>
                <w:sz w:val="21"/>
                <w:shd w:fill="A6A6A6" w:color="auto" w:val="clear"/>
              </w:rPr>
              <w:t>保障将不再予以赔付。</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2"/>
              <w:ind w:left="127"/>
              <w:rPr>
                <w:sz w:val="21"/>
              </w:rPr>
            </w:pPr>
            <w:r>
              <w:rPr>
                <w:color w:val="000000"/>
                <w:spacing w:val="-2"/>
                <w:sz w:val="21"/>
                <w:shd w:fill="A6A6A6" w:color="auto" w:val="clear"/>
              </w:rPr>
              <w:t>任何因其他传播方式（包括：性传播或静脉注射毒品）</w:t>
            </w:r>
            <w:r>
              <w:rPr>
                <w:color w:val="000000"/>
                <w:spacing w:val="-9"/>
                <w:sz w:val="21"/>
                <w:shd w:fill="A6A6A6" w:color="auto" w:val="clear"/>
              </w:rPr>
              <w:t>导致的 </w:t>
            </w:r>
            <w:r>
              <w:rPr>
                <w:color w:val="000000"/>
                <w:spacing w:val="-2"/>
                <w:sz w:val="21"/>
                <w:shd w:fill="A6A6A6" w:color="auto" w:val="clear"/>
              </w:rPr>
              <w:t>HIV</w:t>
            </w:r>
            <w:r>
              <w:rPr>
                <w:color w:val="000000"/>
                <w:spacing w:val="-12"/>
                <w:sz w:val="21"/>
                <w:shd w:fill="A6A6A6" w:color="auto" w:val="clear"/>
              </w:rPr>
              <w:t> 感染不</w:t>
            </w:r>
          </w:p>
        </w:tc>
      </w:tr>
      <w:tr>
        <w:trPr>
          <w:trHeight w:val="384"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4"/>
                <w:sz w:val="21"/>
                <w:shd w:fill="A6A6A6" w:color="auto" w:val="clear"/>
              </w:rPr>
              <w:t>在保障范围内。</w:t>
            </w:r>
          </w:p>
        </w:tc>
      </w:tr>
      <w:tr>
        <w:trPr>
          <w:trHeight w:val="383" w:hRule="atLeast"/>
        </w:trPr>
        <w:tc>
          <w:tcPr>
            <w:tcW w:w="1005" w:type="dxa"/>
          </w:tcPr>
          <w:p>
            <w:pPr>
              <w:pStyle w:val="TableParagraph"/>
              <w:spacing w:line="346" w:lineRule="exact" w:before="18"/>
              <w:ind w:left="50"/>
              <w:rPr>
                <w:rFonts w:ascii="微软雅黑"/>
                <w:b/>
                <w:sz w:val="21"/>
              </w:rPr>
            </w:pPr>
            <w:r>
              <w:rPr>
                <w:rFonts w:ascii="微软雅黑"/>
                <w:b/>
                <w:spacing w:val="-2"/>
                <w:sz w:val="21"/>
              </w:rPr>
              <w:t>10.1.65</w:t>
            </w:r>
          </w:p>
        </w:tc>
        <w:tc>
          <w:tcPr>
            <w:tcW w:w="1818" w:type="dxa"/>
          </w:tcPr>
          <w:p>
            <w:pPr>
              <w:pStyle w:val="TableParagraph"/>
              <w:spacing w:line="346" w:lineRule="exact" w:before="18"/>
              <w:ind w:left="214"/>
              <w:rPr>
                <w:rFonts w:ascii="微软雅黑" w:eastAsia="微软雅黑"/>
                <w:b/>
                <w:sz w:val="21"/>
              </w:rPr>
            </w:pPr>
            <w:r>
              <w:rPr>
                <w:rFonts w:ascii="微软雅黑" w:eastAsia="微软雅黑"/>
                <w:b/>
                <w:spacing w:val="-2"/>
                <w:sz w:val="21"/>
              </w:rPr>
              <w:t>严重肺淋巴管肌</w:t>
            </w:r>
          </w:p>
        </w:tc>
        <w:tc>
          <w:tcPr>
            <w:tcW w:w="7031" w:type="dxa"/>
          </w:tcPr>
          <w:p>
            <w:pPr>
              <w:pStyle w:val="TableParagraph"/>
              <w:spacing w:before="85"/>
              <w:ind w:left="127"/>
              <w:rPr>
                <w:sz w:val="21"/>
              </w:rPr>
            </w:pPr>
            <w:r>
              <w:rPr>
                <w:spacing w:val="-5"/>
                <w:sz w:val="21"/>
              </w:rPr>
              <w:t>肺淋巴管肌瘤病是一种弥漫性肺部疾病，主要病理改变为肺间质、支气管、</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5"/>
                <w:sz w:val="21"/>
              </w:rPr>
              <w:t>瘤病</w:t>
            </w:r>
          </w:p>
        </w:tc>
        <w:tc>
          <w:tcPr>
            <w:tcW w:w="7031" w:type="dxa"/>
          </w:tcPr>
          <w:p>
            <w:pPr>
              <w:pStyle w:val="TableParagraph"/>
              <w:spacing w:before="13"/>
              <w:ind w:left="127"/>
              <w:rPr>
                <w:sz w:val="21"/>
              </w:rPr>
            </w:pPr>
            <w:r>
              <w:rPr>
                <w:spacing w:val="-7"/>
                <w:sz w:val="21"/>
              </w:rPr>
              <w:t>血管和淋巴管内出现未成熟的平滑肌异常增生，同时需满足下列全部条件：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w:t>
            </w:r>
            <w:r>
              <w:rPr>
                <w:spacing w:val="-3"/>
                <w:sz w:val="21"/>
              </w:rPr>
              <w:t>经组织病理学诊断；</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(2)CT</w:t>
            </w:r>
            <w:r>
              <w:rPr>
                <w:spacing w:val="-9"/>
                <w:sz w:val="21"/>
              </w:rPr>
              <w:t> 显示双肺弥漫性囊性改变；</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(3)</w:t>
            </w:r>
            <w:r>
              <w:rPr>
                <w:spacing w:val="-3"/>
                <w:sz w:val="21"/>
              </w:rPr>
              <w:t>休息时出现呼吸困难或并经专科医生认可有必要进行肺移植手术。</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10.1.66</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严重原发性骨髓</w:t>
            </w:r>
          </w:p>
        </w:tc>
        <w:tc>
          <w:tcPr>
            <w:tcW w:w="7031" w:type="dxa"/>
          </w:tcPr>
          <w:p>
            <w:pPr>
              <w:pStyle w:val="TableParagraph"/>
              <w:spacing w:before="84"/>
              <w:ind w:left="127"/>
              <w:rPr>
                <w:sz w:val="21"/>
              </w:rPr>
            </w:pPr>
            <w:r>
              <w:rPr>
                <w:spacing w:val="-3"/>
                <w:sz w:val="21"/>
              </w:rPr>
              <w:t>原发性骨髓纤维化为原因不明的骨髓中成纤维细胞增殖，伴有髓外造血，</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4"/>
                <w:sz w:val="21"/>
              </w:rPr>
              <w:t>纤维化</w:t>
            </w:r>
          </w:p>
        </w:tc>
        <w:tc>
          <w:tcPr>
            <w:tcW w:w="7031" w:type="dxa"/>
          </w:tcPr>
          <w:p>
            <w:pPr>
              <w:pStyle w:val="TableParagraph"/>
              <w:spacing w:before="13"/>
              <w:ind w:left="127"/>
              <w:rPr>
                <w:sz w:val="21"/>
              </w:rPr>
            </w:pPr>
            <w:r>
              <w:rPr>
                <w:spacing w:val="-3"/>
                <w:sz w:val="21"/>
              </w:rPr>
              <w:t>表现为进行性贫血、脾肿大等症状。本疾病须根据骨髓的活组织检查和周</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围血象检查由血液科专科医生明确诊断，并至少符合下列条件中的三项，</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6"/>
                <w:sz w:val="21"/>
              </w:rPr>
              <w:t>且符合条件的状态持续 </w:t>
            </w:r>
            <w:r>
              <w:rPr>
                <w:spacing w:val="-2"/>
                <w:sz w:val="21"/>
              </w:rPr>
              <w:t>180</w:t>
            </w:r>
            <w:r>
              <w:rPr>
                <w:spacing w:val="-14"/>
                <w:sz w:val="21"/>
              </w:rPr>
              <w:t> 天及以上，并已经实际实施了针对此症的治疗：</w:t>
            </w:r>
          </w:p>
        </w:tc>
      </w:tr>
      <w:tr>
        <w:trPr>
          <w:trHeight w:val="62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(1)血红蛋白&lt;100g/L；</w:t>
            </w:r>
          </w:p>
          <w:p>
            <w:pPr>
              <w:pStyle w:val="TableParagraph"/>
              <w:spacing w:before="33"/>
              <w:ind w:left="127"/>
              <w:rPr>
                <w:sz w:val="21"/>
              </w:rPr>
            </w:pPr>
            <w:r>
              <w:rPr>
                <w:spacing w:val="-2"/>
                <w:sz w:val="21"/>
              </w:rPr>
              <w:t>(2)白细胞计数&gt;25×10</w:t>
            </w:r>
            <w:r>
              <w:rPr>
                <w:spacing w:val="-2"/>
                <w:position w:val="11"/>
                <w:sz w:val="11"/>
              </w:rPr>
              <w:t>9</w:t>
            </w:r>
            <w:r>
              <w:rPr>
                <w:spacing w:val="-2"/>
                <w:sz w:val="21"/>
              </w:rPr>
              <w:t>/L；</w:t>
            </w:r>
          </w:p>
        </w:tc>
      </w:tr>
      <w:tr>
        <w:trPr>
          <w:trHeight w:val="66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68" w:lineRule="auto" w:before="13"/>
              <w:ind w:left="127" w:right="4220"/>
              <w:rPr>
                <w:sz w:val="21"/>
              </w:rPr>
            </w:pPr>
            <w:r>
              <w:rPr>
                <w:spacing w:val="-2"/>
                <w:sz w:val="21"/>
              </w:rPr>
              <w:t>(3)外周血原始细胞≥1%； (4)血小板计数&lt;100×10</w:t>
            </w:r>
            <w:r>
              <w:rPr>
                <w:spacing w:val="-2"/>
                <w:position w:val="11"/>
                <w:sz w:val="11"/>
              </w:rPr>
              <w:t>9</w:t>
            </w:r>
            <w:r>
              <w:rPr>
                <w:spacing w:val="-2"/>
                <w:sz w:val="21"/>
              </w:rPr>
              <w:t>/L</w:t>
            </w:r>
            <w:r>
              <w:rPr>
                <w:spacing w:val="-2"/>
                <w:sz w:val="21"/>
              </w:rPr>
              <w:t>。</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pacing w:val="-3"/>
                <w:sz w:val="21"/>
                <w:shd w:fill="A6A6A6" w:color="auto" w:val="clear"/>
              </w:rPr>
              <w:t>任何其他病因导致的继发性骨髓纤维化不在保障范围内。</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10.1.67</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严重骨髓增生异</w:t>
            </w:r>
          </w:p>
        </w:tc>
        <w:tc>
          <w:tcPr>
            <w:tcW w:w="7031" w:type="dxa"/>
          </w:tcPr>
          <w:p>
            <w:pPr>
              <w:pStyle w:val="TableParagraph"/>
              <w:spacing w:before="84"/>
              <w:ind w:left="127"/>
              <w:rPr>
                <w:sz w:val="21"/>
              </w:rPr>
            </w:pPr>
            <w:r>
              <w:rPr>
                <w:sz w:val="21"/>
              </w:rPr>
              <w:t>严重骨髓增生异常综合征（myelodysplastic</w:t>
            </w:r>
            <w:r>
              <w:rPr>
                <w:spacing w:val="-18"/>
                <w:sz w:val="21"/>
              </w:rPr>
              <w:t> </w:t>
            </w:r>
            <w:r>
              <w:rPr>
                <w:sz w:val="21"/>
              </w:rPr>
              <w:t>syndromes，MDS）</w:t>
            </w:r>
            <w:r>
              <w:rPr>
                <w:spacing w:val="-3"/>
                <w:sz w:val="21"/>
              </w:rPr>
              <w:t>是起源于</w:t>
            </w:r>
          </w:p>
        </w:tc>
      </w:tr>
      <w:tr>
        <w:trPr>
          <w:trHeight w:val="311"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3"/>
                <w:sz w:val="21"/>
              </w:rPr>
              <w:t>常综合征</w:t>
            </w:r>
          </w:p>
        </w:tc>
        <w:tc>
          <w:tcPr>
            <w:tcW w:w="7031" w:type="dxa"/>
          </w:tcPr>
          <w:p>
            <w:pPr>
              <w:pStyle w:val="TableParagraph"/>
              <w:spacing w:before="13"/>
              <w:ind w:left="127"/>
              <w:rPr>
                <w:sz w:val="21"/>
              </w:rPr>
            </w:pPr>
            <w:r>
              <w:rPr>
                <w:spacing w:val="-3"/>
                <w:sz w:val="21"/>
              </w:rPr>
              <w:t>造血干细胞的一组异质性髓系克隆性疾病，特点是髓系细胞发育异常，表</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现为无效造血、难治性血细胞减少，本合同所指的严重的骨髓异常增生综</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合征需由骨髓检查支持诊断，并由血液科专科医生确诊；同时须满足下列</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条件之一：</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w:t>
            </w:r>
            <w:r>
              <w:rPr>
                <w:spacing w:val="-3"/>
                <w:sz w:val="21"/>
              </w:rPr>
              <w:t>已接受至少累计三十日的化疗或已接受骨髓移植治疗；</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w:t>
            </w:r>
            <w:r>
              <w:rPr>
                <w:spacing w:val="-13"/>
                <w:sz w:val="21"/>
              </w:rPr>
              <w:t>根据“骨髓增生异常综合征修订国际预后积分系统</w:t>
            </w:r>
            <w:r>
              <w:rPr>
                <w:spacing w:val="-2"/>
                <w:sz w:val="21"/>
              </w:rPr>
              <w:t>（IPSS-</w:t>
            </w:r>
            <w:r>
              <w:rPr>
                <w:spacing w:val="-3"/>
                <w:sz w:val="21"/>
              </w:rPr>
              <w:t>R</w:t>
            </w:r>
            <w:r>
              <w:rPr>
                <w:spacing w:val="-106"/>
                <w:sz w:val="21"/>
              </w:rPr>
              <w:t>）</w:t>
            </w:r>
            <w:r>
              <w:rPr>
                <w:spacing w:val="-19"/>
                <w:sz w:val="21"/>
              </w:rPr>
              <w:t>”积分≥</w:t>
            </w:r>
            <w:r>
              <w:rPr>
                <w:spacing w:val="-5"/>
                <w:sz w:val="21"/>
              </w:rPr>
              <w:t>3，</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属于中危及以上组。</w:t>
            </w:r>
          </w:p>
        </w:tc>
      </w:tr>
      <w:tr>
        <w:trPr>
          <w:trHeight w:val="39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3"/>
              <w:ind w:left="127"/>
              <w:rPr>
                <w:sz w:val="21"/>
              </w:rPr>
            </w:pPr>
            <w:r>
              <w:rPr>
                <w:spacing w:val="-3"/>
                <w:sz w:val="21"/>
              </w:rPr>
              <w:t>化疗日数的计算以被保险人实际服用、注射化疗药物的天数为准。</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pacing w:val="-3"/>
                <w:sz w:val="21"/>
                <w:shd w:fill="A6A6A6" w:color="auto" w:val="clear"/>
              </w:rPr>
              <w:t>疑似病例不在保障范围内。</w:t>
            </w:r>
          </w:p>
        </w:tc>
      </w:tr>
      <w:tr>
        <w:trPr>
          <w:trHeight w:val="383" w:hRule="atLeast"/>
        </w:trPr>
        <w:tc>
          <w:tcPr>
            <w:tcW w:w="1005" w:type="dxa"/>
          </w:tcPr>
          <w:p>
            <w:pPr>
              <w:pStyle w:val="TableParagraph"/>
              <w:spacing w:line="346" w:lineRule="exact" w:before="18"/>
              <w:ind w:left="50"/>
              <w:rPr>
                <w:rFonts w:ascii="微软雅黑"/>
                <w:b/>
                <w:sz w:val="21"/>
              </w:rPr>
            </w:pPr>
            <w:r>
              <w:rPr>
                <w:rFonts w:ascii="微软雅黑"/>
                <w:b/>
                <w:spacing w:val="-2"/>
                <w:sz w:val="21"/>
              </w:rPr>
              <w:t>10.1.68</w:t>
            </w:r>
          </w:p>
        </w:tc>
        <w:tc>
          <w:tcPr>
            <w:tcW w:w="1818" w:type="dxa"/>
          </w:tcPr>
          <w:p>
            <w:pPr>
              <w:pStyle w:val="TableParagraph"/>
              <w:spacing w:line="346" w:lineRule="exact" w:before="18"/>
              <w:ind w:left="214"/>
              <w:rPr>
                <w:rFonts w:ascii="微软雅黑" w:eastAsia="微软雅黑"/>
                <w:b/>
                <w:sz w:val="21"/>
              </w:rPr>
            </w:pPr>
            <w:r>
              <w:rPr>
                <w:rFonts w:ascii="微软雅黑" w:eastAsia="微软雅黑"/>
                <w:b/>
                <w:spacing w:val="-2"/>
                <w:sz w:val="21"/>
              </w:rPr>
              <w:t>埃博拉病毒感染</w:t>
            </w:r>
          </w:p>
        </w:tc>
        <w:tc>
          <w:tcPr>
            <w:tcW w:w="7031" w:type="dxa"/>
          </w:tcPr>
          <w:p>
            <w:pPr>
              <w:pStyle w:val="TableParagraph"/>
              <w:spacing w:before="85"/>
              <w:ind w:left="127"/>
              <w:rPr>
                <w:sz w:val="21"/>
              </w:rPr>
            </w:pPr>
            <w:r>
              <w:rPr>
                <w:spacing w:val="-3"/>
                <w:sz w:val="21"/>
              </w:rPr>
              <w:t>埃博拉病毒感染指埃博拉病毒感染导致的急性出血性传染病。必须满足下</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列全部条件：</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31" w:type="dxa"/>
          </w:tcPr>
          <w:p>
            <w:pPr>
              <w:pStyle w:val="TableParagraph"/>
              <w:spacing w:line="228" w:lineRule="exact" w:before="13"/>
              <w:ind w:left="127"/>
              <w:rPr>
                <w:sz w:val="21"/>
              </w:rPr>
            </w:pPr>
            <w:r>
              <w:rPr>
                <w:spacing w:val="-2"/>
                <w:sz w:val="21"/>
              </w:rPr>
              <w:t>(1)</w:t>
            </w:r>
            <w:r>
              <w:rPr>
                <w:spacing w:val="-7"/>
                <w:sz w:val="21"/>
              </w:rPr>
              <w:t>有实验室检查证据证实存在埃博拉病毒感染，经国家认可的有合法资质</w:t>
            </w:r>
          </w:p>
        </w:tc>
      </w:tr>
    </w:tbl>
    <w:p>
      <w:pPr>
        <w:spacing w:after="0" w:line="228" w:lineRule="exact"/>
        <w:rPr>
          <w:sz w:val="21"/>
        </w:rPr>
        <w:sectPr>
          <w:pgSz w:w="11910" w:h="16840"/>
          <w:pgMar w:top="1460" w:bottom="1061"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29"/>
      </w:tblGrid>
      <w:tr>
        <w:trPr>
          <w:trHeight w:val="924"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line="232" w:lineRule="exact"/>
              <w:ind w:left="127"/>
              <w:rPr>
                <w:sz w:val="21"/>
              </w:rPr>
            </w:pPr>
            <w:r>
              <w:rPr>
                <w:spacing w:val="-3"/>
                <w:sz w:val="21"/>
              </w:rPr>
              <w:t>的传染病专家确诊、并上报国家疾病控制中心接受了隔离和治疗；</w:t>
            </w:r>
          </w:p>
          <w:p>
            <w:pPr>
              <w:pStyle w:val="TableParagraph"/>
              <w:spacing w:line="278" w:lineRule="auto" w:before="43"/>
              <w:ind w:left="127" w:right="4062"/>
              <w:rPr>
                <w:sz w:val="21"/>
              </w:rPr>
            </w:pPr>
            <w:r>
              <w:rPr>
                <w:spacing w:val="-2"/>
                <w:sz w:val="21"/>
              </w:rPr>
              <w:t>(2)存在广泛出血的临床表现；</w:t>
            </w:r>
            <w:r>
              <w:rPr>
                <w:spacing w:val="-2"/>
                <w:sz w:val="21"/>
              </w:rPr>
              <w:t> </w:t>
            </w:r>
            <w:r>
              <w:rPr>
                <w:sz w:val="21"/>
              </w:rPr>
              <w:t>(3)</w:t>
            </w:r>
            <w:r>
              <w:rPr>
                <w:spacing w:val="-5"/>
                <w:sz w:val="21"/>
              </w:rPr>
              <w:t>病程持续 </w:t>
            </w:r>
            <w:r>
              <w:rPr>
                <w:sz w:val="21"/>
              </w:rPr>
              <w:t>30</w:t>
            </w:r>
            <w:r>
              <w:rPr>
                <w:spacing w:val="-6"/>
                <w:sz w:val="21"/>
              </w:rPr>
              <w:t> 天以上。</w:t>
            </w:r>
          </w:p>
        </w:tc>
      </w:tr>
      <w:tr>
        <w:trPr>
          <w:trHeight w:val="73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line="278" w:lineRule="auto" w:before="51"/>
              <w:ind w:left="127" w:right="153"/>
              <w:rPr>
                <w:sz w:val="21"/>
              </w:rPr>
            </w:pPr>
            <w:r>
              <w:rPr>
                <w:color w:val="000000"/>
                <w:spacing w:val="-2"/>
                <w:sz w:val="21"/>
                <w:shd w:fill="A6A6A6" w:color="auto" w:val="clear"/>
              </w:rPr>
              <w:t>单纯实验室诊断但没有临床出血表现的或者在确诊之前已经死亡的不在保</w:t>
            </w:r>
            <w:r>
              <w:rPr>
                <w:color w:val="000000"/>
                <w:spacing w:val="80"/>
                <w:w w:val="150"/>
                <w:sz w:val="21"/>
                <w:shd w:fill="A6A6A6" w:color="auto" w:val="clear"/>
              </w:rPr>
              <w:t>                                     </w:t>
            </w:r>
            <w:r>
              <w:rPr>
                <w:color w:val="000000"/>
                <w:spacing w:val="-2"/>
                <w:sz w:val="21"/>
                <w:shd w:fill="A6A6A6" w:color="auto" w:val="clear"/>
              </w:rPr>
              <w:t>障范围内。</w:t>
            </w:r>
          </w:p>
        </w:tc>
      </w:tr>
      <w:tr>
        <w:trPr>
          <w:trHeight w:val="1390" w:hRule="atLeast"/>
        </w:trPr>
        <w:tc>
          <w:tcPr>
            <w:tcW w:w="1005" w:type="dxa"/>
          </w:tcPr>
          <w:p>
            <w:pPr>
              <w:pStyle w:val="TableParagraph"/>
              <w:spacing w:before="17"/>
              <w:ind w:left="50"/>
              <w:rPr>
                <w:rFonts w:ascii="微软雅黑"/>
                <w:b/>
                <w:sz w:val="21"/>
              </w:rPr>
            </w:pPr>
            <w:r>
              <w:rPr>
                <w:rFonts w:ascii="微软雅黑"/>
                <w:b/>
                <w:spacing w:val="-2"/>
                <w:sz w:val="21"/>
              </w:rPr>
              <w:t>10.1.69</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严重面部烧伤</w:t>
            </w:r>
          </w:p>
        </w:tc>
        <w:tc>
          <w:tcPr>
            <w:tcW w:w="7029" w:type="dxa"/>
          </w:tcPr>
          <w:p>
            <w:pPr>
              <w:pStyle w:val="TableParagraph"/>
              <w:spacing w:line="278" w:lineRule="auto" w:before="84"/>
              <w:ind w:left="127" w:right="153"/>
              <w:jc w:val="both"/>
              <w:rPr>
                <w:sz w:val="21"/>
              </w:rPr>
            </w:pPr>
            <w:r>
              <w:rPr>
                <w:spacing w:val="-1"/>
                <w:sz w:val="21"/>
              </w:rPr>
              <w:t>指面部烧伤程度为Ⅲ度，且Ⅲ度烧伤的面积达到面部表面积的 </w:t>
            </w:r>
            <w:r>
              <w:rPr>
                <w:sz w:val="21"/>
              </w:rPr>
              <w:t>80</w:t>
            </w:r>
            <w:r>
              <w:rPr>
                <w:spacing w:val="-3"/>
                <w:sz w:val="21"/>
              </w:rPr>
              <w:t>%或 </w:t>
            </w:r>
            <w:r>
              <w:rPr>
                <w:sz w:val="21"/>
              </w:rPr>
              <w:t>80%</w:t>
            </w:r>
            <w:r>
              <w:rPr>
                <w:spacing w:val="-2"/>
                <w:sz w:val="21"/>
              </w:rPr>
              <w:t>以上。面部的范围指上至发际、下至下颌下缘、两侧至下颌支后缘之间的</w:t>
            </w:r>
            <w:r>
              <w:rPr>
                <w:spacing w:val="-2"/>
                <w:sz w:val="21"/>
              </w:rPr>
              <w:t>区域，包括额部、眼部、眶部、鼻部、口唇部、颏部、颧部、颊部和腮腺</w:t>
            </w:r>
            <w:r>
              <w:rPr>
                <w:spacing w:val="-4"/>
                <w:sz w:val="21"/>
              </w:rPr>
              <w:t>咬肌部。</w:t>
            </w:r>
          </w:p>
        </w:tc>
      </w:tr>
      <w:tr>
        <w:trPr>
          <w:trHeight w:val="1079" w:hRule="atLeast"/>
        </w:trPr>
        <w:tc>
          <w:tcPr>
            <w:tcW w:w="1005" w:type="dxa"/>
          </w:tcPr>
          <w:p>
            <w:pPr>
              <w:pStyle w:val="TableParagraph"/>
              <w:spacing w:before="18"/>
              <w:ind w:left="50"/>
              <w:rPr>
                <w:rFonts w:ascii="微软雅黑"/>
                <w:b/>
                <w:sz w:val="21"/>
              </w:rPr>
            </w:pPr>
            <w:r>
              <w:rPr>
                <w:rFonts w:ascii="微软雅黑"/>
                <w:b/>
                <w:spacing w:val="-2"/>
                <w:sz w:val="21"/>
              </w:rPr>
              <w:t>10.1.70</w:t>
            </w:r>
          </w:p>
        </w:tc>
        <w:tc>
          <w:tcPr>
            <w:tcW w:w="1818" w:type="dxa"/>
          </w:tcPr>
          <w:p>
            <w:pPr>
              <w:pStyle w:val="TableParagraph"/>
              <w:spacing w:before="18"/>
              <w:ind w:left="214"/>
              <w:rPr>
                <w:rFonts w:ascii="微软雅黑" w:eastAsia="微软雅黑"/>
                <w:b/>
                <w:sz w:val="21"/>
              </w:rPr>
            </w:pPr>
            <w:r>
              <w:rPr>
                <w:rFonts w:ascii="微软雅黑" w:eastAsia="微软雅黑"/>
                <w:b/>
                <w:spacing w:val="-2"/>
                <w:sz w:val="21"/>
              </w:rPr>
              <w:t>主动脉夹层血肿</w:t>
            </w:r>
          </w:p>
        </w:tc>
        <w:tc>
          <w:tcPr>
            <w:tcW w:w="7029" w:type="dxa"/>
          </w:tcPr>
          <w:p>
            <w:pPr>
              <w:pStyle w:val="TableParagraph"/>
              <w:spacing w:line="278" w:lineRule="auto" w:before="85"/>
              <w:ind w:left="127" w:right="70"/>
              <w:jc w:val="both"/>
              <w:rPr>
                <w:sz w:val="21"/>
              </w:rPr>
            </w:pPr>
            <w:r>
              <w:rPr>
                <w:spacing w:val="3"/>
                <w:w w:val="100"/>
                <w:sz w:val="21"/>
              </w:rPr>
              <w:t>指主动脉腔内的血流通过主动脉内膜的破裂口进入主动脉内壁而形成血</w:t>
            </w:r>
            <w:r>
              <w:rPr>
                <w:spacing w:val="-6"/>
                <w:w w:val="100"/>
                <w:sz w:val="21"/>
              </w:rPr>
              <w:t>肿。被保险人需通过断层扫描</w:t>
            </w:r>
            <w:r>
              <w:rPr>
                <w:w w:val="100"/>
                <w:sz w:val="21"/>
              </w:rPr>
              <w:t>（</w:t>
            </w:r>
            <w:r>
              <w:rPr>
                <w:spacing w:val="-3"/>
                <w:w w:val="100"/>
                <w:sz w:val="21"/>
              </w:rPr>
              <w:t>C</w:t>
            </w:r>
            <w:r>
              <w:rPr>
                <w:w w:val="100"/>
                <w:sz w:val="21"/>
              </w:rPr>
              <w:t>T</w:t>
            </w:r>
            <w:r>
              <w:rPr>
                <w:spacing w:val="-106"/>
                <w:w w:val="100"/>
                <w:sz w:val="21"/>
              </w:rPr>
              <w:t>）</w:t>
            </w:r>
            <w:r>
              <w:rPr>
                <w:spacing w:val="-8"/>
                <w:w w:val="100"/>
                <w:sz w:val="21"/>
              </w:rPr>
              <w:t>、核磁共振检查</w:t>
            </w:r>
            <w:r>
              <w:rPr>
                <w:w w:val="100"/>
                <w:sz w:val="21"/>
              </w:rPr>
              <w:t>（MRI</w:t>
            </w:r>
            <w:r>
              <w:rPr>
                <w:spacing w:val="-106"/>
                <w:w w:val="100"/>
                <w:sz w:val="21"/>
              </w:rPr>
              <w:t>）</w:t>
            </w:r>
            <w:r>
              <w:rPr>
                <w:spacing w:val="-5"/>
                <w:w w:val="100"/>
                <w:sz w:val="21"/>
              </w:rPr>
              <w:t>、磁共振血管检验法</w:t>
            </w:r>
            <w:r>
              <w:rPr>
                <w:spacing w:val="-3"/>
                <w:w w:val="100"/>
                <w:sz w:val="21"/>
              </w:rPr>
              <w:t>（</w:t>
            </w:r>
            <w:r>
              <w:rPr>
                <w:w w:val="100"/>
                <w:sz w:val="21"/>
              </w:rPr>
              <w:t>MR</w:t>
            </w:r>
            <w:r>
              <w:rPr>
                <w:spacing w:val="-3"/>
                <w:w w:val="100"/>
                <w:sz w:val="21"/>
              </w:rPr>
              <w:t>A</w:t>
            </w:r>
            <w:r>
              <w:rPr>
                <w:w w:val="100"/>
                <w:sz w:val="21"/>
              </w:rPr>
              <w:t>）</w:t>
            </w:r>
            <w:r>
              <w:rPr>
                <w:spacing w:val="-3"/>
                <w:w w:val="100"/>
                <w:sz w:val="21"/>
              </w:rPr>
              <w:t>或血管扫描等检查，并且实施了胸腹切开的直视主动脉手术。</w:t>
            </w:r>
          </w:p>
        </w:tc>
      </w:tr>
      <w:tr>
        <w:trPr>
          <w:trHeight w:val="2917" w:hRule="atLeast"/>
        </w:trPr>
        <w:tc>
          <w:tcPr>
            <w:tcW w:w="1005" w:type="dxa"/>
          </w:tcPr>
          <w:p>
            <w:pPr>
              <w:pStyle w:val="TableParagraph"/>
              <w:spacing w:before="17"/>
              <w:ind w:left="50"/>
              <w:rPr>
                <w:rFonts w:ascii="微软雅黑"/>
                <w:b/>
                <w:sz w:val="21"/>
              </w:rPr>
            </w:pPr>
            <w:r>
              <w:rPr>
                <w:rFonts w:ascii="微软雅黑"/>
                <w:b/>
                <w:spacing w:val="-2"/>
                <w:sz w:val="21"/>
              </w:rPr>
              <w:t>10.1.71</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严重慢性缩窄型</w:t>
            </w:r>
            <w:r>
              <w:rPr>
                <w:rFonts w:ascii="微软雅黑" w:eastAsia="微软雅黑"/>
                <w:b/>
                <w:spacing w:val="-4"/>
                <w:sz w:val="21"/>
              </w:rPr>
              <w:t>心包炎</w:t>
            </w:r>
          </w:p>
        </w:tc>
        <w:tc>
          <w:tcPr>
            <w:tcW w:w="7029" w:type="dxa"/>
          </w:tcPr>
          <w:p>
            <w:pPr>
              <w:pStyle w:val="TableParagraph"/>
              <w:spacing w:line="278" w:lineRule="auto" w:before="84"/>
              <w:ind w:left="127" w:right="46"/>
              <w:rPr>
                <w:sz w:val="21"/>
              </w:rPr>
            </w:pPr>
            <w:r>
              <w:rPr>
                <w:spacing w:val="-2"/>
                <w:sz w:val="21"/>
              </w:rPr>
              <w:t>由于慢性心包炎症导致心包脏层和壁层广泛瘢痕粘连、增厚和钙化，心包</w:t>
            </w:r>
            <w:r>
              <w:rPr>
                <w:spacing w:val="-2"/>
                <w:sz w:val="21"/>
              </w:rPr>
              <w:t>腔闭塞，形成一个纤维瘢痕外壳，使心脏和大血管根部受压，阻碍心脏的</w:t>
            </w:r>
            <w:r>
              <w:rPr>
                <w:spacing w:val="-12"/>
                <w:sz w:val="21"/>
              </w:rPr>
              <w:t>舒张。被保险人被明确诊断为慢性缩窄性心包炎且必须满足以下所有条件：</w:t>
            </w:r>
            <w:r>
              <w:rPr>
                <w:spacing w:val="-2"/>
                <w:sz w:val="21"/>
              </w:rPr>
              <w:t> </w:t>
            </w:r>
            <w:r>
              <w:rPr>
                <w:sz w:val="21"/>
              </w:rPr>
              <w:t>(1)心功能衰竭达到美国纽约心脏病学会（New</w:t>
            </w:r>
            <w:r>
              <w:rPr>
                <w:spacing w:val="-3"/>
                <w:sz w:val="21"/>
              </w:rPr>
              <w:t> </w:t>
            </w:r>
            <w:r>
              <w:rPr>
                <w:sz w:val="21"/>
              </w:rPr>
              <w:t>York</w:t>
            </w:r>
            <w:r>
              <w:rPr>
                <w:spacing w:val="-6"/>
                <w:sz w:val="21"/>
              </w:rPr>
              <w:t> </w:t>
            </w:r>
            <w:r>
              <w:rPr>
                <w:sz w:val="21"/>
              </w:rPr>
              <w:t>Heart</w:t>
            </w:r>
            <w:r>
              <w:rPr>
                <w:spacing w:val="-3"/>
                <w:sz w:val="21"/>
              </w:rPr>
              <w:t> </w:t>
            </w:r>
            <w:r>
              <w:rPr>
                <w:sz w:val="21"/>
              </w:rPr>
              <w:t>Association， NYHA）</w:t>
            </w:r>
            <w:r>
              <w:rPr>
                <w:spacing w:val="-2"/>
                <w:sz w:val="21"/>
              </w:rPr>
              <w:t>心功能状态分级Ⅳ级，并持续 </w:t>
            </w:r>
            <w:r>
              <w:rPr>
                <w:sz w:val="21"/>
              </w:rPr>
              <w:t>180</w:t>
            </w:r>
            <w:r>
              <w:rPr>
                <w:spacing w:val="-6"/>
                <w:sz w:val="21"/>
              </w:rPr>
              <w:t> 天以上；</w:t>
            </w:r>
          </w:p>
          <w:p>
            <w:pPr>
              <w:pStyle w:val="TableParagraph"/>
              <w:spacing w:line="268" w:lineRule="exact"/>
              <w:ind w:left="127"/>
              <w:rPr>
                <w:sz w:val="21"/>
              </w:rPr>
            </w:pPr>
            <w:r>
              <w:rPr>
                <w:spacing w:val="-2"/>
                <w:sz w:val="21"/>
              </w:rPr>
              <w:t>(2)</w:t>
            </w:r>
            <w:r>
              <w:rPr>
                <w:spacing w:val="-3"/>
                <w:sz w:val="21"/>
              </w:rPr>
              <w:t>实际接受了以下任何一种手术路径的心包剥脱或心包切除手术：</w:t>
            </w:r>
          </w:p>
          <w:p>
            <w:pPr>
              <w:pStyle w:val="TableParagraph"/>
              <w:spacing w:before="43"/>
              <w:ind w:left="127"/>
              <w:rPr>
                <w:sz w:val="21"/>
              </w:rPr>
            </w:pPr>
            <w:r>
              <w:rPr>
                <w:spacing w:val="-4"/>
                <w:sz w:val="21"/>
              </w:rPr>
              <w:t>①胸骨正中切口；</w:t>
            </w:r>
          </w:p>
          <w:p>
            <w:pPr>
              <w:pStyle w:val="TableParagraph"/>
              <w:spacing w:before="43"/>
              <w:ind w:left="127"/>
              <w:rPr>
                <w:sz w:val="21"/>
              </w:rPr>
            </w:pPr>
            <w:r>
              <w:rPr>
                <w:spacing w:val="-4"/>
                <w:sz w:val="21"/>
              </w:rPr>
              <w:t>②双侧前胸切口；</w:t>
            </w:r>
          </w:p>
          <w:p>
            <w:pPr>
              <w:pStyle w:val="TableParagraph"/>
              <w:spacing w:before="43"/>
              <w:ind w:left="127"/>
              <w:rPr>
                <w:sz w:val="21"/>
              </w:rPr>
            </w:pPr>
            <w:r>
              <w:rPr>
                <w:spacing w:val="-3"/>
                <w:sz w:val="21"/>
              </w:rPr>
              <w:t>③左前胸肋间切口。</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1"/>
              <w:ind w:left="127"/>
              <w:rPr>
                <w:sz w:val="21"/>
              </w:rPr>
            </w:pPr>
            <w:r>
              <w:rPr>
                <w:color w:val="000000"/>
                <w:spacing w:val="-3"/>
                <w:sz w:val="21"/>
                <w:shd w:fill="A6A6A6" w:color="auto" w:val="clear"/>
              </w:rPr>
              <w:t>经胸腔镜、胸壁打孔进行的手术、心包粘连松解手术不在保障范围内。</w:t>
            </w:r>
          </w:p>
        </w:tc>
      </w:tr>
      <w:tr>
        <w:trPr>
          <w:trHeight w:val="1670" w:hRule="atLeast"/>
        </w:trPr>
        <w:tc>
          <w:tcPr>
            <w:tcW w:w="1005" w:type="dxa"/>
          </w:tcPr>
          <w:p>
            <w:pPr>
              <w:pStyle w:val="TableParagraph"/>
              <w:spacing w:before="17"/>
              <w:ind w:left="50"/>
              <w:rPr>
                <w:rFonts w:ascii="微软雅黑"/>
                <w:b/>
                <w:sz w:val="21"/>
              </w:rPr>
            </w:pPr>
            <w:r>
              <w:rPr>
                <w:rFonts w:ascii="微软雅黑"/>
                <w:b/>
                <w:spacing w:val="-2"/>
                <w:sz w:val="21"/>
              </w:rPr>
              <w:t>10.1.72</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艾森门格综合征</w:t>
            </w:r>
          </w:p>
        </w:tc>
        <w:tc>
          <w:tcPr>
            <w:tcW w:w="7029" w:type="dxa"/>
          </w:tcPr>
          <w:p>
            <w:pPr>
              <w:pStyle w:val="TableParagraph"/>
              <w:spacing w:line="278" w:lineRule="auto" w:before="84"/>
              <w:ind w:left="127" w:right="153"/>
              <w:rPr>
                <w:sz w:val="21"/>
              </w:rPr>
            </w:pPr>
            <w:r>
              <w:rPr>
                <w:spacing w:val="-2"/>
                <w:sz w:val="21"/>
              </w:rPr>
              <w:t>因心脏病导致的严重肺动脉高压及右向左分流。诊断必须由心脏专科医生</w:t>
            </w:r>
            <w:r>
              <w:rPr>
                <w:spacing w:val="-2"/>
                <w:sz w:val="21"/>
              </w:rPr>
              <w:t>经超声心动图和心导管检查证实及需符合以下所有标准：</w:t>
            </w:r>
          </w:p>
          <w:p>
            <w:pPr>
              <w:pStyle w:val="TableParagraph"/>
              <w:numPr>
                <w:ilvl w:val="0"/>
                <w:numId w:val="46"/>
              </w:numPr>
              <w:tabs>
                <w:tab w:pos="445" w:val="left" w:leader="none"/>
              </w:tabs>
              <w:spacing w:line="269" w:lineRule="exact" w:before="0" w:after="0"/>
              <w:ind w:left="445" w:right="0" w:hanging="318"/>
              <w:jc w:val="left"/>
              <w:rPr>
                <w:sz w:val="21"/>
              </w:rPr>
            </w:pPr>
            <w:r>
              <w:rPr>
                <w:spacing w:val="-8"/>
                <w:sz w:val="21"/>
              </w:rPr>
              <w:t>平均肺动脉压高于 </w:t>
            </w:r>
            <w:r>
              <w:rPr>
                <w:spacing w:val="-2"/>
                <w:sz w:val="21"/>
              </w:rPr>
              <w:t>40mmHg；</w:t>
            </w:r>
          </w:p>
          <w:p>
            <w:pPr>
              <w:pStyle w:val="TableParagraph"/>
              <w:numPr>
                <w:ilvl w:val="0"/>
                <w:numId w:val="46"/>
              </w:numPr>
              <w:tabs>
                <w:tab w:pos="445" w:val="left" w:leader="none"/>
              </w:tabs>
              <w:spacing w:line="278" w:lineRule="auto" w:before="43" w:after="0"/>
              <w:ind w:left="127" w:right="2696" w:firstLine="0"/>
              <w:jc w:val="left"/>
              <w:rPr>
                <w:sz w:val="21"/>
              </w:rPr>
            </w:pPr>
            <w:r>
              <w:rPr>
                <w:spacing w:val="-8"/>
                <w:sz w:val="21"/>
              </w:rPr>
              <w:t>肺血管阻力高于 </w:t>
            </w:r>
            <w:r>
              <w:rPr>
                <w:spacing w:val="-2"/>
                <w:sz w:val="21"/>
              </w:rPr>
              <w:t>3mm/L/min（Wood</w:t>
            </w:r>
            <w:r>
              <w:rPr>
                <w:spacing w:val="-18"/>
                <w:sz w:val="21"/>
              </w:rPr>
              <w:t> 单位</w:t>
            </w:r>
            <w:r>
              <w:rPr>
                <w:spacing w:val="-106"/>
                <w:sz w:val="21"/>
              </w:rPr>
              <w:t>）</w:t>
            </w:r>
            <w:r>
              <w:rPr>
                <w:sz w:val="21"/>
              </w:rPr>
              <w:t>；</w:t>
            </w:r>
            <w:r>
              <w:rPr>
                <w:spacing w:val="-53"/>
                <w:sz w:val="21"/>
              </w:rPr>
              <w:t> </w:t>
            </w:r>
            <w:r>
              <w:rPr>
                <w:sz w:val="21"/>
              </w:rPr>
              <w:t>(3)</w:t>
            </w:r>
            <w:r>
              <w:rPr>
                <w:spacing w:val="-4"/>
                <w:sz w:val="21"/>
              </w:rPr>
              <w:t>正常肺微血管楔压低于 </w:t>
            </w:r>
            <w:r>
              <w:rPr>
                <w:sz w:val="21"/>
              </w:rPr>
              <w:t>15mmHg。</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2"/>
              <w:ind w:left="127"/>
              <w:rPr>
                <w:sz w:val="21"/>
              </w:rPr>
            </w:pPr>
            <w:r>
              <w:rPr>
                <w:color w:val="000000"/>
                <w:spacing w:val="-3"/>
                <w:sz w:val="21"/>
                <w:shd w:fill="A6A6A6" w:color="auto" w:val="clear"/>
              </w:rPr>
              <w:t>先天性心脏病所致的艾森门格综合征不在保障范围内。</w:t>
            </w:r>
          </w:p>
        </w:tc>
      </w:tr>
      <w:tr>
        <w:trPr>
          <w:trHeight w:val="2326" w:hRule="atLeast"/>
        </w:trPr>
        <w:tc>
          <w:tcPr>
            <w:tcW w:w="1005" w:type="dxa"/>
          </w:tcPr>
          <w:p>
            <w:pPr>
              <w:pStyle w:val="TableParagraph"/>
              <w:spacing w:before="17"/>
              <w:ind w:left="50"/>
              <w:rPr>
                <w:rFonts w:ascii="微软雅黑"/>
                <w:b/>
                <w:sz w:val="21"/>
              </w:rPr>
            </w:pPr>
            <w:r>
              <w:rPr>
                <w:rFonts w:ascii="微软雅黑"/>
                <w:b/>
                <w:spacing w:val="-2"/>
                <w:sz w:val="21"/>
              </w:rPr>
              <w:t>10.1.73</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严重脊髓小脑变</w:t>
            </w:r>
            <w:r>
              <w:rPr>
                <w:rFonts w:ascii="微软雅黑" w:eastAsia="微软雅黑"/>
                <w:b/>
                <w:spacing w:val="-6"/>
                <w:sz w:val="21"/>
              </w:rPr>
              <w:t>性症</w:t>
            </w:r>
          </w:p>
        </w:tc>
        <w:tc>
          <w:tcPr>
            <w:tcW w:w="7029" w:type="dxa"/>
          </w:tcPr>
          <w:p>
            <w:pPr>
              <w:pStyle w:val="TableParagraph"/>
              <w:spacing w:line="278" w:lineRule="auto" w:before="84"/>
              <w:ind w:left="127" w:right="153"/>
              <w:rPr>
                <w:sz w:val="21"/>
              </w:rPr>
            </w:pPr>
            <w:r>
              <w:rPr>
                <w:spacing w:val="-2"/>
                <w:sz w:val="21"/>
              </w:rPr>
              <w:t>脊髓小脑变性症为一组以小脑萎缩和共济失调为主要临床特点的疾病。必</w:t>
            </w:r>
            <w:r>
              <w:rPr>
                <w:spacing w:val="-2"/>
                <w:sz w:val="21"/>
              </w:rPr>
              <w:t>须符合所有以下条件：</w:t>
            </w:r>
          </w:p>
          <w:p>
            <w:pPr>
              <w:pStyle w:val="TableParagraph"/>
              <w:numPr>
                <w:ilvl w:val="0"/>
                <w:numId w:val="47"/>
              </w:numPr>
              <w:tabs>
                <w:tab w:pos="445" w:val="left" w:leader="none"/>
              </w:tabs>
              <w:spacing w:line="269" w:lineRule="exact" w:before="0" w:after="0"/>
              <w:ind w:left="445" w:right="0" w:hanging="318"/>
              <w:jc w:val="left"/>
              <w:rPr>
                <w:sz w:val="21"/>
              </w:rPr>
            </w:pPr>
            <w:r>
              <w:rPr>
                <w:spacing w:val="-3"/>
                <w:sz w:val="21"/>
              </w:rPr>
              <w:t>脊髓小脑变性症必须由医院诊断，并有以下证据支持：</w:t>
            </w:r>
          </w:p>
          <w:p>
            <w:pPr>
              <w:pStyle w:val="TableParagraph"/>
              <w:spacing w:before="43"/>
              <w:ind w:left="127"/>
              <w:rPr>
                <w:sz w:val="21"/>
              </w:rPr>
            </w:pPr>
            <w:r>
              <w:rPr>
                <w:spacing w:val="-3"/>
                <w:sz w:val="21"/>
              </w:rPr>
              <w:t>①影像学检查证实存在小脑萎缩；</w:t>
            </w:r>
          </w:p>
          <w:p>
            <w:pPr>
              <w:pStyle w:val="TableParagraph"/>
              <w:spacing w:before="43"/>
              <w:ind w:left="127"/>
              <w:rPr>
                <w:sz w:val="21"/>
              </w:rPr>
            </w:pPr>
            <w:r>
              <w:rPr>
                <w:spacing w:val="-3"/>
                <w:sz w:val="21"/>
              </w:rPr>
              <w:t>②临床表现存在共济失调、语言障碍和肌张力异常。</w:t>
            </w:r>
          </w:p>
          <w:p>
            <w:pPr>
              <w:pStyle w:val="TableParagraph"/>
              <w:numPr>
                <w:ilvl w:val="0"/>
                <w:numId w:val="47"/>
              </w:numPr>
              <w:tabs>
                <w:tab w:pos="445" w:val="left" w:leader="none"/>
              </w:tabs>
              <w:spacing w:line="278" w:lineRule="auto" w:before="43" w:after="0"/>
              <w:ind w:left="127" w:right="152" w:firstLine="0"/>
              <w:jc w:val="left"/>
              <w:rPr>
                <w:sz w:val="21"/>
              </w:rPr>
            </w:pPr>
            <w:r>
              <w:rPr>
                <w:spacing w:val="-4"/>
                <w:sz w:val="21"/>
              </w:rPr>
              <w:t>被保险人运动功能严重障碍，自主生活能力完全丧失，无法独立完成六</w:t>
            </w:r>
            <w:r>
              <w:rPr>
                <w:spacing w:val="-2"/>
                <w:sz w:val="21"/>
              </w:rPr>
              <w:t>项基本日常生活活动中的三项或三项以上。</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10.1.74</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严重进行性多灶</w:t>
            </w:r>
          </w:p>
        </w:tc>
        <w:tc>
          <w:tcPr>
            <w:tcW w:w="7029" w:type="dxa"/>
          </w:tcPr>
          <w:p>
            <w:pPr>
              <w:pStyle w:val="TableParagraph"/>
              <w:spacing w:before="84"/>
              <w:ind w:left="127"/>
              <w:rPr>
                <w:sz w:val="21"/>
              </w:rPr>
            </w:pPr>
            <w:r>
              <w:rPr>
                <w:spacing w:val="-3"/>
                <w:sz w:val="21"/>
              </w:rPr>
              <w:t>是一种亚急性脱髓鞘脑病，其病原体多为乳头多瘤空泡病毒，常常发生于</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2"/>
                <w:sz w:val="21"/>
              </w:rPr>
              <w:t>性白质脑病</w:t>
            </w:r>
          </w:p>
        </w:tc>
        <w:tc>
          <w:tcPr>
            <w:tcW w:w="7029" w:type="dxa"/>
          </w:tcPr>
          <w:p>
            <w:pPr>
              <w:pStyle w:val="TableParagraph"/>
              <w:spacing w:before="13"/>
              <w:ind w:left="127"/>
              <w:rPr>
                <w:sz w:val="21"/>
              </w:rPr>
            </w:pPr>
            <w:r>
              <w:rPr>
                <w:spacing w:val="-3"/>
                <w:sz w:val="21"/>
              </w:rPr>
              <w:t>免疫缺陷病人。必须满足下列所有条件：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(1)</w:t>
            </w:r>
            <w:r>
              <w:rPr>
                <w:spacing w:val="-3"/>
                <w:sz w:val="21"/>
              </w:rPr>
              <w:t>根据脑组织活检确诊；</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(2)</w:t>
            </w:r>
            <w:r>
              <w:rPr>
                <w:spacing w:val="-9"/>
                <w:sz w:val="21"/>
              </w:rPr>
              <w:t>永久不可逆丧失自主生活能力，无法独立完成六项基本日常生活活动中</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29" w:type="dxa"/>
          </w:tcPr>
          <w:p>
            <w:pPr>
              <w:pStyle w:val="TableParagraph"/>
              <w:spacing w:line="228" w:lineRule="exact" w:before="13"/>
              <w:ind w:left="127"/>
              <w:rPr>
                <w:sz w:val="21"/>
              </w:rPr>
            </w:pPr>
            <w:r>
              <w:rPr>
                <w:spacing w:val="-3"/>
                <w:sz w:val="21"/>
              </w:rPr>
              <w:t>的三项或三项以上。</w:t>
            </w:r>
          </w:p>
        </w:tc>
      </w:tr>
    </w:tbl>
    <w:p>
      <w:pPr>
        <w:spacing w:after="0" w:line="228" w:lineRule="exact"/>
        <w:rPr>
          <w:sz w:val="21"/>
        </w:rPr>
        <w:sectPr>
          <w:type w:val="continuous"/>
          <w:pgSz w:w="11910" w:h="16840"/>
          <w:pgMar w:top="146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945"/>
        <w:gridCol w:w="6906"/>
      </w:tblGrid>
      <w:tr>
        <w:trPr>
          <w:trHeight w:val="1580" w:hRule="atLeast"/>
        </w:trPr>
        <w:tc>
          <w:tcPr>
            <w:tcW w:w="1005" w:type="dxa"/>
          </w:tcPr>
          <w:p>
            <w:pPr>
              <w:pStyle w:val="TableParagraph"/>
              <w:spacing w:line="283" w:lineRule="exact"/>
              <w:ind w:left="50"/>
              <w:rPr>
                <w:rFonts w:ascii="微软雅黑"/>
                <w:b/>
                <w:sz w:val="21"/>
              </w:rPr>
            </w:pPr>
            <w:r>
              <w:rPr>
                <w:rFonts w:ascii="微软雅黑"/>
                <w:b/>
                <w:spacing w:val="-2"/>
                <w:sz w:val="21"/>
              </w:rPr>
              <w:t>10.1.75</w:t>
            </w:r>
          </w:p>
        </w:tc>
        <w:tc>
          <w:tcPr>
            <w:tcW w:w="1945" w:type="dxa"/>
          </w:tcPr>
          <w:p>
            <w:pPr>
              <w:pStyle w:val="TableParagraph"/>
              <w:spacing w:line="245" w:lineRule="exact"/>
              <w:ind w:left="214"/>
              <w:rPr>
                <w:rFonts w:ascii="微软雅黑" w:eastAsia="微软雅黑"/>
                <w:b/>
                <w:sz w:val="21"/>
              </w:rPr>
            </w:pPr>
            <w:r>
              <w:rPr>
                <w:rFonts w:ascii="微软雅黑" w:eastAsia="微软雅黑"/>
                <w:b/>
                <w:spacing w:val="-2"/>
                <w:sz w:val="21"/>
              </w:rPr>
              <w:t>严重强直性脊柱</w:t>
            </w:r>
          </w:p>
          <w:p>
            <w:pPr>
              <w:pStyle w:val="TableParagraph"/>
              <w:spacing w:line="350" w:lineRule="exact"/>
              <w:ind w:left="214"/>
              <w:rPr>
                <w:rFonts w:ascii="微软雅黑" w:eastAsia="微软雅黑"/>
                <w:b/>
                <w:sz w:val="21"/>
              </w:rPr>
            </w:pPr>
            <w:r>
              <w:rPr>
                <w:rFonts w:ascii="微软雅黑" w:eastAsia="微软雅黑"/>
                <w:b/>
                <w:w w:val="100"/>
                <w:sz w:val="21"/>
              </w:rPr>
              <w:t>炎</w:t>
            </w:r>
          </w:p>
        </w:tc>
        <w:tc>
          <w:tcPr>
            <w:tcW w:w="6906" w:type="dxa"/>
          </w:tcPr>
          <w:p>
            <w:pPr>
              <w:pStyle w:val="TableParagraph"/>
              <w:spacing w:line="232" w:lineRule="exact"/>
              <w:rPr>
                <w:sz w:val="21"/>
              </w:rPr>
            </w:pPr>
            <w:r>
              <w:rPr>
                <w:spacing w:val="-3"/>
                <w:sz w:val="21"/>
              </w:rPr>
              <w:t>强直性脊柱炎是一种慢性全身性炎性疾病，主要侵犯脊柱导致脊柱畸形。</w:t>
            </w:r>
          </w:p>
          <w:p>
            <w:pPr>
              <w:pStyle w:val="TableParagraph"/>
              <w:spacing w:line="278" w:lineRule="auto" w:before="43"/>
              <w:ind w:right="1833"/>
              <w:rPr>
                <w:sz w:val="21"/>
              </w:rPr>
            </w:pPr>
            <w:r>
              <w:rPr>
                <w:spacing w:val="-2"/>
                <w:sz w:val="21"/>
              </w:rPr>
              <w:t>强直性脊柱炎必须明确诊断并且满足下列所有条件： (1)严重脊柱畸形；</w:t>
            </w:r>
          </w:p>
          <w:p>
            <w:pPr>
              <w:pStyle w:val="TableParagraph"/>
              <w:spacing w:line="278" w:lineRule="auto"/>
              <w:ind w:right="156"/>
              <w:rPr>
                <w:sz w:val="21"/>
              </w:rPr>
            </w:pPr>
            <w:r>
              <w:rPr>
                <w:spacing w:val="-2"/>
                <w:sz w:val="21"/>
              </w:rPr>
              <w:t>(2)</w:t>
            </w:r>
            <w:r>
              <w:rPr>
                <w:spacing w:val="-8"/>
                <w:sz w:val="21"/>
              </w:rPr>
              <w:t>永久不可逆丧失自主生活能力，无法独立完成六项基本日常生活活动中</w:t>
            </w:r>
            <w:r>
              <w:rPr>
                <w:spacing w:val="-2"/>
                <w:sz w:val="21"/>
              </w:rPr>
              <w:t>的三项或三项以上。</w:t>
            </w:r>
          </w:p>
        </w:tc>
      </w:tr>
      <w:tr>
        <w:trPr>
          <w:trHeight w:val="1077" w:hRule="atLeast"/>
        </w:trPr>
        <w:tc>
          <w:tcPr>
            <w:tcW w:w="1005" w:type="dxa"/>
          </w:tcPr>
          <w:p>
            <w:pPr>
              <w:pStyle w:val="TableParagraph"/>
              <w:spacing w:before="17"/>
              <w:ind w:left="50"/>
              <w:rPr>
                <w:rFonts w:ascii="微软雅黑"/>
                <w:b/>
                <w:sz w:val="21"/>
              </w:rPr>
            </w:pPr>
            <w:r>
              <w:rPr>
                <w:rFonts w:ascii="微软雅黑"/>
                <w:b/>
                <w:spacing w:val="-2"/>
                <w:sz w:val="21"/>
              </w:rPr>
              <w:t>10.1.76</w:t>
            </w:r>
          </w:p>
        </w:tc>
        <w:tc>
          <w:tcPr>
            <w:tcW w:w="1945" w:type="dxa"/>
          </w:tcPr>
          <w:p>
            <w:pPr>
              <w:pStyle w:val="TableParagraph"/>
              <w:spacing w:line="194" w:lineRule="auto" w:before="69"/>
              <w:ind w:left="214" w:right="250"/>
              <w:rPr>
                <w:rFonts w:ascii="微软雅黑" w:eastAsia="微软雅黑"/>
                <w:b/>
                <w:sz w:val="21"/>
              </w:rPr>
            </w:pPr>
            <w:r>
              <w:rPr>
                <w:rFonts w:ascii="微软雅黑" w:eastAsia="微软雅黑"/>
                <w:b/>
                <w:spacing w:val="-2"/>
                <w:sz w:val="21"/>
              </w:rPr>
              <w:t>严重多处臂丛神</w:t>
            </w:r>
            <w:r>
              <w:rPr>
                <w:rFonts w:ascii="微软雅黑" w:eastAsia="微软雅黑"/>
                <w:b/>
                <w:spacing w:val="-2"/>
                <w:sz w:val="21"/>
              </w:rPr>
              <w:t>经根性撕脱</w:t>
            </w:r>
          </w:p>
        </w:tc>
        <w:tc>
          <w:tcPr>
            <w:tcW w:w="6906" w:type="dxa"/>
          </w:tcPr>
          <w:p>
            <w:pPr>
              <w:pStyle w:val="TableParagraph"/>
              <w:spacing w:line="278" w:lineRule="auto" w:before="84"/>
              <w:ind w:right="153"/>
              <w:jc w:val="both"/>
              <w:rPr>
                <w:sz w:val="21"/>
              </w:rPr>
            </w:pPr>
            <w:r>
              <w:rPr>
                <w:spacing w:val="-3"/>
                <w:sz w:val="21"/>
              </w:rPr>
              <w:t>由于疾病或意外导致至少两根臂丛神经根性撕脱，且自确诊 </w:t>
            </w:r>
            <w:r>
              <w:rPr>
                <w:spacing w:val="-2"/>
                <w:sz w:val="21"/>
              </w:rPr>
              <w:t>180</w:t>
            </w:r>
            <w:r>
              <w:rPr>
                <w:spacing w:val="-7"/>
                <w:sz w:val="21"/>
              </w:rPr>
              <w:t> 天后仍遗</w:t>
            </w:r>
            <w:r>
              <w:rPr>
                <w:spacing w:val="-2"/>
                <w:sz w:val="21"/>
              </w:rPr>
              <w:t>留双侧手臂感觉功能与运动功能完全永久性丧失。须有电生理检查结果证</w:t>
            </w:r>
            <w:r>
              <w:rPr>
                <w:spacing w:val="-6"/>
                <w:sz w:val="21"/>
              </w:rPr>
              <w:t>实。</w:t>
            </w:r>
          </w:p>
        </w:tc>
      </w:tr>
      <w:tr>
        <w:trPr>
          <w:trHeight w:val="1728" w:hRule="atLeast"/>
        </w:trPr>
        <w:tc>
          <w:tcPr>
            <w:tcW w:w="1005" w:type="dxa"/>
          </w:tcPr>
          <w:p>
            <w:pPr>
              <w:pStyle w:val="TableParagraph"/>
              <w:spacing w:before="17"/>
              <w:ind w:left="50"/>
              <w:rPr>
                <w:rFonts w:ascii="微软雅黑"/>
                <w:b/>
                <w:sz w:val="21"/>
              </w:rPr>
            </w:pPr>
            <w:r>
              <w:rPr>
                <w:rFonts w:ascii="微软雅黑"/>
                <w:b/>
                <w:spacing w:val="-2"/>
                <w:sz w:val="21"/>
              </w:rPr>
              <w:t>10.1.77</w:t>
            </w:r>
          </w:p>
        </w:tc>
        <w:tc>
          <w:tcPr>
            <w:tcW w:w="1945" w:type="dxa"/>
          </w:tcPr>
          <w:p>
            <w:pPr>
              <w:pStyle w:val="TableParagraph"/>
              <w:spacing w:line="194" w:lineRule="auto" w:before="69"/>
              <w:ind w:left="214" w:right="250"/>
              <w:rPr>
                <w:rFonts w:ascii="微软雅黑" w:eastAsia="微软雅黑"/>
                <w:b/>
                <w:sz w:val="21"/>
              </w:rPr>
            </w:pPr>
            <w:r>
              <w:rPr>
                <w:rFonts w:ascii="微软雅黑" w:eastAsia="微软雅黑"/>
                <w:b/>
                <w:spacing w:val="-2"/>
                <w:sz w:val="21"/>
              </w:rPr>
              <w:t>溶血性尿毒综合</w:t>
            </w:r>
            <w:r>
              <w:rPr>
                <w:rFonts w:ascii="微软雅黑" w:eastAsia="微软雅黑"/>
                <w:b/>
                <w:spacing w:val="-10"/>
                <w:sz w:val="21"/>
              </w:rPr>
              <w:t>征</w:t>
            </w:r>
          </w:p>
        </w:tc>
        <w:tc>
          <w:tcPr>
            <w:tcW w:w="6906" w:type="dxa"/>
          </w:tcPr>
          <w:p>
            <w:pPr>
              <w:pStyle w:val="TableParagraph"/>
              <w:spacing w:line="278" w:lineRule="auto" w:before="84"/>
              <w:ind w:right="50"/>
              <w:rPr>
                <w:sz w:val="21"/>
              </w:rPr>
            </w:pPr>
            <w:r>
              <w:rPr>
                <w:spacing w:val="-4"/>
                <w:sz w:val="21"/>
              </w:rPr>
              <w:t>一种由于感染导致的急性综合征，引起红细胞溶血，肾功能衰竭及尿毒症。</w:t>
            </w:r>
            <w:r>
              <w:rPr>
                <w:spacing w:val="-2"/>
                <w:sz w:val="21"/>
              </w:rPr>
              <w:t>溶血尿毒综合征必须由血液和肾脏专科医生诊断，</w:t>
            </w:r>
            <w:r>
              <w:rPr>
                <w:color w:val="000000"/>
                <w:spacing w:val="-2"/>
                <w:sz w:val="21"/>
                <w:shd w:fill="A6A6A6" w:color="auto" w:val="clear"/>
              </w:rPr>
              <w:t>被保险人理赔时年龄须</w:t>
            </w:r>
            <w:r>
              <w:rPr>
                <w:color w:val="000000"/>
                <w:spacing w:val="80"/>
                <w:w w:val="150"/>
                <w:sz w:val="21"/>
                <w:shd w:fill="A6A6A6" w:color="auto" w:val="clear"/>
              </w:rPr>
              <w:t>                                     </w:t>
            </w:r>
            <w:r>
              <w:rPr>
                <w:color w:val="000000"/>
                <w:spacing w:val="-2"/>
                <w:sz w:val="21"/>
                <w:shd w:fill="A6A6A6" w:color="auto" w:val="clear"/>
              </w:rPr>
              <w:t>在二十五周岁以下</w:t>
            </w:r>
            <w:r>
              <w:rPr>
                <w:color w:val="000000"/>
                <w:spacing w:val="-2"/>
                <w:sz w:val="21"/>
              </w:rPr>
              <w:t>，并且满足下列所有条件：</w:t>
            </w:r>
          </w:p>
          <w:p>
            <w:pPr>
              <w:pStyle w:val="TableParagraph"/>
              <w:spacing w:line="278" w:lineRule="auto"/>
              <w:ind w:right="283"/>
              <w:rPr>
                <w:sz w:val="21"/>
              </w:rPr>
            </w:pPr>
            <w:r>
              <w:rPr>
                <w:spacing w:val="-2"/>
                <w:sz w:val="21"/>
              </w:rPr>
              <w:t>(1)实验室检查确认有溶血性贫血、血尿、尿毒症、血小板减少性紫癜； (2)因肾脏功能衰竭实施了肾脏透析治疗。</w:t>
            </w:r>
          </w:p>
        </w:tc>
      </w:tr>
      <w:tr>
        <w:trPr>
          <w:trHeight w:val="585" w:hRule="atLeast"/>
        </w:trPr>
        <w:tc>
          <w:tcPr>
            <w:tcW w:w="1005" w:type="dxa"/>
          </w:tcPr>
          <w:p>
            <w:pPr>
              <w:pStyle w:val="TableParagraph"/>
              <w:rPr>
                <w:rFonts w:ascii="Times New Roman"/>
                <w:sz w:val="20"/>
              </w:rPr>
            </w:pPr>
          </w:p>
        </w:tc>
        <w:tc>
          <w:tcPr>
            <w:tcW w:w="1945" w:type="dxa"/>
          </w:tcPr>
          <w:p>
            <w:pPr>
              <w:pStyle w:val="TableParagraph"/>
              <w:rPr>
                <w:rFonts w:ascii="Times New Roman"/>
                <w:sz w:val="20"/>
              </w:rPr>
            </w:pPr>
          </w:p>
        </w:tc>
        <w:tc>
          <w:tcPr>
            <w:tcW w:w="6906" w:type="dxa"/>
          </w:tcPr>
          <w:p>
            <w:pPr>
              <w:pStyle w:val="TableParagraph"/>
              <w:spacing w:line="264" w:lineRule="exact"/>
              <w:rPr>
                <w:sz w:val="21"/>
              </w:rPr>
            </w:pPr>
            <w:r>
              <w:rPr>
                <w:spacing w:val="-3"/>
                <w:sz w:val="21"/>
              </w:rPr>
              <w:t>任何非因感染导致的溶血性贫血，如：自身免疫性溶血性贫血、与红细胞</w:t>
            </w:r>
          </w:p>
          <w:p>
            <w:pPr>
              <w:pStyle w:val="TableParagraph"/>
              <w:spacing w:line="259" w:lineRule="exact" w:before="43"/>
              <w:rPr>
                <w:sz w:val="21"/>
              </w:rPr>
            </w:pPr>
            <w:r>
              <w:rPr>
                <w:spacing w:val="-5"/>
                <w:sz w:val="21"/>
              </w:rPr>
              <w:t>膜缺陷有关的溶血性贫血、红细胞酶病、血红蛋白病等，不在保障范围内。</w:t>
            </w:r>
          </w:p>
        </w:tc>
      </w:tr>
      <w:tr>
        <w:trPr>
          <w:trHeight w:val="1792" w:hRule="atLeast"/>
        </w:trPr>
        <w:tc>
          <w:tcPr>
            <w:tcW w:w="1005" w:type="dxa"/>
          </w:tcPr>
          <w:p>
            <w:pPr>
              <w:pStyle w:val="TableParagraph"/>
              <w:spacing w:before="107"/>
              <w:ind w:left="50"/>
              <w:rPr>
                <w:rFonts w:ascii="微软雅黑"/>
                <w:b/>
                <w:sz w:val="21"/>
              </w:rPr>
            </w:pPr>
            <w:r>
              <w:rPr>
                <w:rFonts w:ascii="微软雅黑"/>
                <w:b/>
                <w:spacing w:val="-2"/>
                <w:sz w:val="21"/>
              </w:rPr>
              <w:t>10.1.78</w:t>
            </w:r>
          </w:p>
        </w:tc>
        <w:tc>
          <w:tcPr>
            <w:tcW w:w="1945" w:type="dxa"/>
          </w:tcPr>
          <w:p>
            <w:pPr>
              <w:pStyle w:val="TableParagraph"/>
              <w:spacing w:before="107"/>
              <w:ind w:left="214"/>
              <w:rPr>
                <w:rFonts w:ascii="微软雅黑" w:eastAsia="微软雅黑"/>
                <w:b/>
                <w:sz w:val="21"/>
              </w:rPr>
            </w:pPr>
            <w:r>
              <w:rPr>
                <w:rFonts w:ascii="微软雅黑" w:eastAsia="微软雅黑"/>
                <w:b/>
                <w:w w:val="85"/>
                <w:sz w:val="21"/>
              </w:rPr>
              <w:t>Brugada</w:t>
            </w:r>
            <w:r>
              <w:rPr>
                <w:rFonts w:ascii="微软雅黑" w:eastAsia="微软雅黑"/>
                <w:b/>
                <w:spacing w:val="29"/>
                <w:sz w:val="21"/>
              </w:rPr>
              <w:t> </w:t>
            </w:r>
            <w:r>
              <w:rPr>
                <w:rFonts w:ascii="微软雅黑" w:eastAsia="微软雅黑"/>
                <w:b/>
                <w:w w:val="85"/>
                <w:sz w:val="21"/>
              </w:rPr>
              <w:t>综</w:t>
            </w:r>
            <w:r>
              <w:rPr>
                <w:rFonts w:ascii="微软雅黑" w:eastAsia="微软雅黑"/>
                <w:b/>
                <w:w w:val="85"/>
                <w:sz w:val="21"/>
              </w:rPr>
              <w:t>合</w:t>
            </w:r>
            <w:r>
              <w:rPr>
                <w:rFonts w:ascii="微软雅黑" w:eastAsia="微软雅黑"/>
                <w:b/>
                <w:spacing w:val="-10"/>
                <w:w w:val="85"/>
                <w:sz w:val="21"/>
              </w:rPr>
              <w:t>征</w:t>
            </w:r>
          </w:p>
        </w:tc>
        <w:tc>
          <w:tcPr>
            <w:tcW w:w="6906" w:type="dxa"/>
          </w:tcPr>
          <w:p>
            <w:pPr>
              <w:pStyle w:val="TableParagraph"/>
              <w:spacing w:line="278" w:lineRule="auto" w:before="175"/>
              <w:ind w:right="154"/>
              <w:rPr>
                <w:sz w:val="21"/>
              </w:rPr>
            </w:pPr>
            <w:r>
              <w:rPr>
                <w:spacing w:val="-4"/>
                <w:sz w:val="21"/>
              </w:rPr>
              <w:t>指由心脏专科医生诊断为夜间呼吸骤停（Brugada）综合征，且满足下列全</w:t>
            </w:r>
            <w:r>
              <w:rPr>
                <w:spacing w:val="-4"/>
                <w:sz w:val="21"/>
              </w:rPr>
              <w:t>部条件：</w:t>
            </w:r>
          </w:p>
          <w:p>
            <w:pPr>
              <w:pStyle w:val="TableParagraph"/>
              <w:spacing w:line="278" w:lineRule="auto"/>
              <w:ind w:right="1833"/>
              <w:rPr>
                <w:sz w:val="21"/>
              </w:rPr>
            </w:pPr>
            <w:r>
              <w:rPr>
                <w:spacing w:val="-2"/>
                <w:sz w:val="21"/>
              </w:rPr>
              <w:t>(1)有晕厥或心脏骤停病史，并提供完整的诊疗记录；</w:t>
            </w:r>
            <w:r>
              <w:rPr>
                <w:spacing w:val="-2"/>
                <w:sz w:val="21"/>
              </w:rPr>
              <w:t> </w:t>
            </w:r>
            <w:r>
              <w:rPr>
                <w:sz w:val="21"/>
              </w:rPr>
              <w:t>(2)</w:t>
            </w:r>
            <w:r>
              <w:rPr>
                <w:spacing w:val="-3"/>
                <w:sz w:val="21"/>
              </w:rPr>
              <w:t>心电图有典型的Ⅰ型 </w:t>
            </w:r>
            <w:r>
              <w:rPr>
                <w:sz w:val="21"/>
              </w:rPr>
              <w:t>Brugada</w:t>
            </w:r>
            <w:r>
              <w:rPr>
                <w:spacing w:val="-8"/>
                <w:sz w:val="21"/>
              </w:rPr>
              <w:t> 波；</w:t>
            </w:r>
          </w:p>
          <w:p>
            <w:pPr>
              <w:pStyle w:val="TableParagraph"/>
              <w:spacing w:line="269" w:lineRule="exact"/>
              <w:rPr>
                <w:sz w:val="21"/>
              </w:rPr>
            </w:pPr>
            <w:r>
              <w:rPr>
                <w:spacing w:val="-2"/>
                <w:sz w:val="21"/>
              </w:rPr>
              <w:t>(3)</w:t>
            </w:r>
            <w:r>
              <w:rPr>
                <w:spacing w:val="-3"/>
                <w:sz w:val="21"/>
              </w:rPr>
              <w:t>已经安装了永久性心脏除颤器。</w:t>
            </w:r>
          </w:p>
        </w:tc>
      </w:tr>
      <w:tr>
        <w:trPr>
          <w:trHeight w:val="2325" w:hRule="atLeast"/>
        </w:trPr>
        <w:tc>
          <w:tcPr>
            <w:tcW w:w="1005" w:type="dxa"/>
          </w:tcPr>
          <w:p>
            <w:pPr>
              <w:pStyle w:val="TableParagraph"/>
              <w:spacing w:before="17"/>
              <w:ind w:left="50"/>
              <w:rPr>
                <w:rFonts w:ascii="微软雅黑"/>
                <w:b/>
                <w:sz w:val="21"/>
              </w:rPr>
            </w:pPr>
            <w:r>
              <w:rPr>
                <w:rFonts w:ascii="微软雅黑"/>
                <w:b/>
                <w:spacing w:val="-2"/>
                <w:sz w:val="21"/>
              </w:rPr>
              <w:t>10.1.79</w:t>
            </w:r>
          </w:p>
        </w:tc>
        <w:tc>
          <w:tcPr>
            <w:tcW w:w="1945" w:type="dxa"/>
          </w:tcPr>
          <w:p>
            <w:pPr>
              <w:pStyle w:val="TableParagraph"/>
              <w:spacing w:line="194" w:lineRule="auto" w:before="69"/>
              <w:ind w:left="214" w:right="250"/>
              <w:rPr>
                <w:rFonts w:ascii="微软雅黑" w:eastAsia="微软雅黑"/>
                <w:b/>
                <w:sz w:val="21"/>
              </w:rPr>
            </w:pPr>
            <w:r>
              <w:rPr>
                <w:rFonts w:ascii="微软雅黑" w:eastAsia="微软雅黑"/>
                <w:b/>
                <w:spacing w:val="-2"/>
                <w:sz w:val="21"/>
              </w:rPr>
              <w:t>严重巨细胞动脉</w:t>
            </w:r>
            <w:r>
              <w:rPr>
                <w:rFonts w:ascii="微软雅黑" w:eastAsia="微软雅黑"/>
                <w:b/>
                <w:spacing w:val="-10"/>
                <w:sz w:val="21"/>
              </w:rPr>
              <w:t>炎</w:t>
            </w:r>
          </w:p>
        </w:tc>
        <w:tc>
          <w:tcPr>
            <w:tcW w:w="6906" w:type="dxa"/>
          </w:tcPr>
          <w:p>
            <w:pPr>
              <w:pStyle w:val="TableParagraph"/>
              <w:spacing w:line="278" w:lineRule="auto" w:before="84"/>
              <w:ind w:right="157"/>
              <w:jc w:val="both"/>
              <w:rPr>
                <w:sz w:val="21"/>
              </w:rPr>
            </w:pPr>
            <w:r>
              <w:rPr>
                <w:spacing w:val="-2"/>
                <w:sz w:val="21"/>
              </w:rPr>
              <w:t>巨细胞动脉炎又称颅动脉炎、颞动脉炎、肉芽肿性动脉炎，须经专科医生</w:t>
            </w:r>
            <w:r>
              <w:rPr>
                <w:spacing w:val="-2"/>
                <w:sz w:val="21"/>
              </w:rPr>
              <w:t>明确诊断，并造成永久不可逆性的单个肢体功能障碍或单眼失明。单眼失</w:t>
            </w:r>
            <w:r>
              <w:rPr>
                <w:spacing w:val="-2"/>
                <w:sz w:val="21"/>
              </w:rPr>
              <w:t>明指单眼视力永久不可逆性丧失，患眼须满足下列至少一项条件：</w:t>
            </w:r>
          </w:p>
          <w:p>
            <w:pPr>
              <w:pStyle w:val="TableParagraph"/>
              <w:numPr>
                <w:ilvl w:val="0"/>
                <w:numId w:val="48"/>
              </w:numPr>
              <w:tabs>
                <w:tab w:pos="318" w:val="left" w:leader="none"/>
              </w:tabs>
              <w:spacing w:line="240" w:lineRule="auto" w:before="0" w:after="0"/>
              <w:ind w:left="318" w:right="0" w:hanging="318"/>
              <w:jc w:val="left"/>
              <w:rPr>
                <w:sz w:val="21"/>
              </w:rPr>
            </w:pPr>
            <w:r>
              <w:rPr>
                <w:spacing w:val="-3"/>
                <w:sz w:val="21"/>
              </w:rPr>
              <w:t>眼球缺失或者摘除；</w:t>
            </w:r>
          </w:p>
          <w:p>
            <w:pPr>
              <w:pStyle w:val="TableParagraph"/>
              <w:numPr>
                <w:ilvl w:val="0"/>
                <w:numId w:val="48"/>
              </w:numPr>
              <w:tabs>
                <w:tab w:pos="318" w:val="left" w:leader="none"/>
              </w:tabs>
              <w:spacing w:line="278" w:lineRule="auto" w:before="43" w:after="0"/>
              <w:ind w:left="0" w:right="156" w:firstLine="0"/>
              <w:jc w:val="left"/>
              <w:rPr>
                <w:sz w:val="21"/>
              </w:rPr>
            </w:pPr>
            <w:r>
              <w:rPr>
                <w:spacing w:val="-2"/>
                <w:sz w:val="21"/>
              </w:rPr>
              <w:t>矫正视力低于 </w:t>
            </w:r>
            <w:r>
              <w:rPr>
                <w:sz w:val="21"/>
              </w:rPr>
              <w:t>0.02（采用国际标准视力表，如果使用其他视力表应进</w:t>
            </w:r>
            <w:r>
              <w:rPr>
                <w:spacing w:val="-4"/>
                <w:sz w:val="21"/>
              </w:rPr>
              <w:t>行换算</w:t>
            </w:r>
            <w:r>
              <w:rPr>
                <w:spacing w:val="-106"/>
                <w:sz w:val="21"/>
              </w:rPr>
              <w:t>）</w:t>
            </w:r>
            <w:r>
              <w:rPr>
                <w:sz w:val="21"/>
              </w:rPr>
              <w:t>；</w:t>
            </w:r>
          </w:p>
          <w:p>
            <w:pPr>
              <w:pStyle w:val="TableParagraph"/>
              <w:numPr>
                <w:ilvl w:val="0"/>
                <w:numId w:val="48"/>
              </w:numPr>
              <w:tabs>
                <w:tab w:pos="318" w:val="left" w:leader="none"/>
              </w:tabs>
              <w:spacing w:line="269" w:lineRule="exact" w:before="0" w:after="0"/>
              <w:ind w:left="318" w:right="0" w:hanging="318"/>
              <w:jc w:val="left"/>
              <w:rPr>
                <w:sz w:val="21"/>
              </w:rPr>
            </w:pPr>
            <w:r>
              <w:rPr>
                <w:spacing w:val="-10"/>
                <w:sz w:val="21"/>
              </w:rPr>
              <w:t>视野半径小于 </w:t>
            </w:r>
            <w:r>
              <w:rPr>
                <w:spacing w:val="-2"/>
                <w:sz w:val="21"/>
              </w:rPr>
              <w:t>5</w:t>
            </w:r>
            <w:r>
              <w:rPr>
                <w:spacing w:val="-22"/>
                <w:sz w:val="21"/>
              </w:rPr>
              <w:t> 度。</w:t>
            </w:r>
          </w:p>
        </w:tc>
      </w:tr>
      <w:tr>
        <w:trPr>
          <w:trHeight w:val="1358" w:hRule="atLeast"/>
        </w:trPr>
        <w:tc>
          <w:tcPr>
            <w:tcW w:w="1005" w:type="dxa"/>
          </w:tcPr>
          <w:p>
            <w:pPr>
              <w:pStyle w:val="TableParagraph"/>
              <w:spacing w:before="17"/>
              <w:ind w:left="50"/>
              <w:rPr>
                <w:rFonts w:ascii="微软雅黑"/>
                <w:b/>
                <w:sz w:val="21"/>
              </w:rPr>
            </w:pPr>
            <w:r>
              <w:rPr>
                <w:rFonts w:ascii="微软雅黑"/>
                <w:b/>
                <w:spacing w:val="-2"/>
                <w:sz w:val="21"/>
              </w:rPr>
              <w:t>10.1.80</w:t>
            </w:r>
          </w:p>
        </w:tc>
        <w:tc>
          <w:tcPr>
            <w:tcW w:w="1945" w:type="dxa"/>
          </w:tcPr>
          <w:p>
            <w:pPr>
              <w:pStyle w:val="TableParagraph"/>
              <w:spacing w:line="194" w:lineRule="auto" w:before="69"/>
              <w:ind w:left="214" w:right="250"/>
              <w:rPr>
                <w:rFonts w:ascii="微软雅黑" w:eastAsia="微软雅黑"/>
                <w:b/>
                <w:sz w:val="21"/>
              </w:rPr>
            </w:pPr>
            <w:r>
              <w:rPr>
                <w:rFonts w:ascii="微软雅黑" w:eastAsia="微软雅黑"/>
                <w:b/>
                <w:spacing w:val="-2"/>
                <w:sz w:val="21"/>
              </w:rPr>
              <w:t>严重继发性肺动</w:t>
            </w:r>
            <w:r>
              <w:rPr>
                <w:rFonts w:ascii="微软雅黑" w:eastAsia="微软雅黑"/>
                <w:b/>
                <w:spacing w:val="-4"/>
                <w:sz w:val="21"/>
              </w:rPr>
              <w:t>脉高压</w:t>
            </w:r>
          </w:p>
        </w:tc>
        <w:tc>
          <w:tcPr>
            <w:tcW w:w="6906" w:type="dxa"/>
          </w:tcPr>
          <w:p>
            <w:pPr>
              <w:pStyle w:val="TableParagraph"/>
              <w:spacing w:line="278" w:lineRule="auto" w:before="84"/>
              <w:ind w:right="156"/>
              <w:jc w:val="both"/>
              <w:rPr>
                <w:sz w:val="21"/>
              </w:rPr>
            </w:pPr>
            <w:r>
              <w:rPr>
                <w:spacing w:val="-2"/>
                <w:sz w:val="21"/>
              </w:rPr>
              <w:t>继发性肺动脉压力持续增高，导致右心室肥厚，已经造成永久不可逆性的</w:t>
            </w:r>
            <w:r>
              <w:rPr>
                <w:spacing w:val="26"/>
                <w:sz w:val="21"/>
              </w:rPr>
              <w:t>体力活动能力受限， 达到美国纽约心脏病学会</w:t>
            </w:r>
            <w:r>
              <w:rPr>
                <w:sz w:val="21"/>
              </w:rPr>
              <w:t>（</w:t>
            </w:r>
            <w:r>
              <w:rPr>
                <w:spacing w:val="-26"/>
                <w:sz w:val="21"/>
              </w:rPr>
              <w:t> </w:t>
            </w:r>
            <w:r>
              <w:rPr>
                <w:sz w:val="21"/>
              </w:rPr>
              <w:t>New</w:t>
            </w:r>
            <w:r>
              <w:rPr>
                <w:spacing w:val="-26"/>
                <w:sz w:val="21"/>
              </w:rPr>
              <w:t> </w:t>
            </w:r>
            <w:r>
              <w:rPr>
                <w:sz w:val="21"/>
              </w:rPr>
              <w:t>York</w:t>
            </w:r>
            <w:r>
              <w:rPr>
                <w:spacing w:val="27"/>
                <w:sz w:val="21"/>
              </w:rPr>
              <w:t> </w:t>
            </w:r>
            <w:r>
              <w:rPr>
                <w:sz w:val="21"/>
              </w:rPr>
              <w:t>Heart </w:t>
            </w:r>
            <w:r>
              <w:rPr>
                <w:spacing w:val="-4"/>
                <w:sz w:val="21"/>
              </w:rPr>
              <w:t>Association，NYHA）心功能状态分级Ⅳ级，且静息状态下肺动脉平均压在 </w:t>
            </w:r>
            <w:r>
              <w:rPr>
                <w:spacing w:val="-2"/>
                <w:sz w:val="21"/>
              </w:rPr>
              <w:t>36mmHg（含）以上。</w:t>
            </w:r>
          </w:p>
        </w:tc>
      </w:tr>
      <w:tr>
        <w:trPr>
          <w:trHeight w:val="422" w:hRule="atLeast"/>
        </w:trPr>
        <w:tc>
          <w:tcPr>
            <w:tcW w:w="1005" w:type="dxa"/>
          </w:tcPr>
          <w:p>
            <w:pPr>
              <w:pStyle w:val="TableParagraph"/>
              <w:rPr>
                <w:rFonts w:ascii="Times New Roman"/>
                <w:sz w:val="20"/>
              </w:rPr>
            </w:pPr>
          </w:p>
        </w:tc>
        <w:tc>
          <w:tcPr>
            <w:tcW w:w="1945" w:type="dxa"/>
          </w:tcPr>
          <w:p>
            <w:pPr>
              <w:pStyle w:val="TableParagraph"/>
              <w:rPr>
                <w:rFonts w:ascii="Times New Roman"/>
                <w:sz w:val="20"/>
              </w:rPr>
            </w:pPr>
          </w:p>
        </w:tc>
        <w:tc>
          <w:tcPr>
            <w:tcW w:w="6906" w:type="dxa"/>
          </w:tcPr>
          <w:p>
            <w:pPr>
              <w:pStyle w:val="TableParagraph"/>
              <w:spacing w:before="53"/>
              <w:rPr>
                <w:sz w:val="21"/>
              </w:rPr>
            </w:pPr>
            <w:r>
              <w:rPr>
                <w:color w:val="000000"/>
                <w:spacing w:val="-3"/>
                <w:sz w:val="21"/>
                <w:shd w:fill="A6A6A6" w:color="auto" w:val="clear"/>
              </w:rPr>
              <w:t>所有先天性心脏疾病直接或间接引起的肺动脉高压也不在保障范围内。</w:t>
            </w:r>
          </w:p>
        </w:tc>
      </w:tr>
      <w:tr>
        <w:trPr>
          <w:trHeight w:val="1357" w:hRule="atLeast"/>
        </w:trPr>
        <w:tc>
          <w:tcPr>
            <w:tcW w:w="1005" w:type="dxa"/>
          </w:tcPr>
          <w:p>
            <w:pPr>
              <w:pStyle w:val="TableParagraph"/>
              <w:spacing w:before="17"/>
              <w:ind w:left="50"/>
              <w:rPr>
                <w:rFonts w:ascii="微软雅黑"/>
                <w:b/>
                <w:sz w:val="21"/>
              </w:rPr>
            </w:pPr>
            <w:r>
              <w:rPr>
                <w:rFonts w:ascii="微软雅黑"/>
                <w:b/>
                <w:spacing w:val="-2"/>
                <w:sz w:val="21"/>
              </w:rPr>
              <w:t>10.1.81</w:t>
            </w:r>
          </w:p>
        </w:tc>
        <w:tc>
          <w:tcPr>
            <w:tcW w:w="1945" w:type="dxa"/>
          </w:tcPr>
          <w:p>
            <w:pPr>
              <w:pStyle w:val="TableParagraph"/>
              <w:spacing w:before="17"/>
              <w:ind w:left="214"/>
              <w:rPr>
                <w:rFonts w:ascii="微软雅黑" w:eastAsia="微软雅黑"/>
                <w:b/>
                <w:sz w:val="21"/>
              </w:rPr>
            </w:pPr>
            <w:r>
              <w:rPr>
                <w:rFonts w:ascii="微软雅黑" w:eastAsia="微软雅黑"/>
                <w:b/>
                <w:spacing w:val="-3"/>
                <w:sz w:val="21"/>
              </w:rPr>
              <w:t>严重癫痫</w:t>
            </w:r>
          </w:p>
        </w:tc>
        <w:tc>
          <w:tcPr>
            <w:tcW w:w="6906" w:type="dxa"/>
          </w:tcPr>
          <w:p>
            <w:pPr>
              <w:pStyle w:val="TableParagraph"/>
              <w:spacing w:line="278" w:lineRule="auto" w:before="84"/>
              <w:ind w:right="156"/>
              <w:jc w:val="both"/>
              <w:rPr>
                <w:sz w:val="21"/>
              </w:rPr>
            </w:pPr>
            <w:r>
              <w:rPr>
                <w:spacing w:val="11"/>
                <w:sz w:val="21"/>
              </w:rPr>
              <w:t>本病的诊断须由神经科或儿科专科医生根据典型临床症状和脑电图及</w:t>
            </w:r>
            <w:r>
              <w:rPr>
                <w:sz w:val="21"/>
              </w:rPr>
              <w:t> </w:t>
            </w:r>
            <w:r>
              <w:rPr>
                <w:w w:val="95"/>
                <w:sz w:val="21"/>
              </w:rPr>
              <w:t>MRI、PET、CT 等影相学检</w:t>
            </w:r>
            <w:r>
              <w:rPr>
                <w:w w:val="95"/>
                <w:sz w:val="21"/>
              </w:rPr>
              <w:t>查</w:t>
            </w:r>
            <w:r>
              <w:rPr>
                <w:w w:val="95"/>
                <w:sz w:val="21"/>
              </w:rPr>
              <w:t>做</w:t>
            </w:r>
            <w:r>
              <w:rPr>
                <w:w w:val="95"/>
                <w:sz w:val="21"/>
              </w:rPr>
              <w:t>出。理赔时必</w:t>
            </w:r>
            <w:r>
              <w:rPr>
                <w:w w:val="95"/>
                <w:sz w:val="21"/>
              </w:rPr>
              <w:t>须</w:t>
            </w:r>
            <w:r>
              <w:rPr>
                <w:w w:val="95"/>
                <w:sz w:val="21"/>
              </w:rPr>
              <w:t>提</w:t>
            </w:r>
            <w:r>
              <w:rPr>
                <w:w w:val="95"/>
                <w:sz w:val="21"/>
              </w:rPr>
              <w:t>供 6 个月以上的相关病</w:t>
            </w:r>
            <w:r>
              <w:rPr>
                <w:w w:val="95"/>
                <w:sz w:val="21"/>
              </w:rPr>
              <w:t>历</w:t>
            </w:r>
            <w:r>
              <w:rPr>
                <w:spacing w:val="-2"/>
                <w:sz w:val="21"/>
              </w:rPr>
              <w:t>记录证明被保险人存在经抗癫痫药物治疗无效而反复发作的强直阵挛性发</w:t>
            </w:r>
            <w:r>
              <w:rPr>
                <w:spacing w:val="-2"/>
                <w:sz w:val="21"/>
              </w:rPr>
              <w:t>作或癫痫大发作，且已行神经外科手术以治疗反复发作的癫痫。</w:t>
            </w:r>
          </w:p>
        </w:tc>
      </w:tr>
      <w:tr>
        <w:trPr>
          <w:trHeight w:val="733" w:hRule="atLeast"/>
        </w:trPr>
        <w:tc>
          <w:tcPr>
            <w:tcW w:w="1005" w:type="dxa"/>
          </w:tcPr>
          <w:p>
            <w:pPr>
              <w:pStyle w:val="TableParagraph"/>
              <w:rPr>
                <w:rFonts w:ascii="Times New Roman"/>
                <w:sz w:val="20"/>
              </w:rPr>
            </w:pPr>
          </w:p>
        </w:tc>
        <w:tc>
          <w:tcPr>
            <w:tcW w:w="1945" w:type="dxa"/>
          </w:tcPr>
          <w:p>
            <w:pPr>
              <w:pStyle w:val="TableParagraph"/>
              <w:rPr>
                <w:rFonts w:ascii="Times New Roman"/>
                <w:sz w:val="20"/>
              </w:rPr>
            </w:pPr>
          </w:p>
        </w:tc>
        <w:tc>
          <w:tcPr>
            <w:tcW w:w="6906" w:type="dxa"/>
          </w:tcPr>
          <w:p>
            <w:pPr>
              <w:pStyle w:val="TableParagraph"/>
              <w:spacing w:line="278" w:lineRule="auto" w:before="51"/>
              <w:ind w:right="157"/>
              <w:rPr>
                <w:sz w:val="21"/>
              </w:rPr>
            </w:pPr>
            <w:r>
              <w:rPr>
                <w:color w:val="000000"/>
                <w:spacing w:val="-2"/>
                <w:sz w:val="21"/>
                <w:shd w:fill="A6A6A6" w:color="auto" w:val="clear"/>
              </w:rPr>
              <w:t>发热性惊厥以及没有全身性发作的失神发作（癫痫小发作）不在保障范围</w:t>
            </w:r>
            <w:r>
              <w:rPr>
                <w:color w:val="000000"/>
                <w:spacing w:val="-6"/>
                <w:sz w:val="21"/>
                <w:shd w:fill="A6A6A6" w:color="auto" w:val="clear"/>
              </w:rPr>
              <w:t>内。</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10.1.82</w:t>
            </w:r>
          </w:p>
        </w:tc>
        <w:tc>
          <w:tcPr>
            <w:tcW w:w="1945" w:type="dxa"/>
          </w:tcPr>
          <w:p>
            <w:pPr>
              <w:pStyle w:val="TableParagraph"/>
              <w:spacing w:line="346" w:lineRule="exact" w:before="17"/>
              <w:ind w:left="214"/>
              <w:rPr>
                <w:rFonts w:ascii="微软雅黑" w:eastAsia="微软雅黑"/>
                <w:b/>
                <w:sz w:val="21"/>
              </w:rPr>
            </w:pPr>
            <w:r>
              <w:rPr>
                <w:rFonts w:ascii="微软雅黑" w:eastAsia="微软雅黑"/>
                <w:b/>
                <w:spacing w:val="-2"/>
                <w:sz w:val="21"/>
              </w:rPr>
              <w:t>神经白塞病</w:t>
            </w:r>
          </w:p>
        </w:tc>
        <w:tc>
          <w:tcPr>
            <w:tcW w:w="6906" w:type="dxa"/>
          </w:tcPr>
          <w:p>
            <w:pPr>
              <w:pStyle w:val="TableParagraph"/>
              <w:spacing w:before="84"/>
              <w:rPr>
                <w:sz w:val="21"/>
              </w:rPr>
            </w:pPr>
            <w:r>
              <w:rPr>
                <w:spacing w:val="-3"/>
                <w:sz w:val="21"/>
              </w:rPr>
              <w:t>白塞病是一种慢性全身性血管炎症性疾病，主要表现为复发性口腔溃疡、</w:t>
            </w:r>
          </w:p>
        </w:tc>
      </w:tr>
      <w:tr>
        <w:trPr>
          <w:trHeight w:val="261" w:hRule="atLeast"/>
        </w:trPr>
        <w:tc>
          <w:tcPr>
            <w:tcW w:w="1005" w:type="dxa"/>
          </w:tcPr>
          <w:p>
            <w:pPr>
              <w:pStyle w:val="TableParagraph"/>
              <w:rPr>
                <w:rFonts w:ascii="Times New Roman"/>
                <w:sz w:val="18"/>
              </w:rPr>
            </w:pPr>
          </w:p>
        </w:tc>
        <w:tc>
          <w:tcPr>
            <w:tcW w:w="1945" w:type="dxa"/>
          </w:tcPr>
          <w:p>
            <w:pPr>
              <w:pStyle w:val="TableParagraph"/>
              <w:rPr>
                <w:rFonts w:ascii="Times New Roman"/>
                <w:sz w:val="18"/>
              </w:rPr>
            </w:pPr>
          </w:p>
        </w:tc>
        <w:tc>
          <w:tcPr>
            <w:tcW w:w="6906" w:type="dxa"/>
          </w:tcPr>
          <w:p>
            <w:pPr>
              <w:pStyle w:val="TableParagraph"/>
              <w:spacing w:line="228" w:lineRule="exact" w:before="13"/>
              <w:rPr>
                <w:sz w:val="21"/>
              </w:rPr>
            </w:pPr>
            <w:r>
              <w:rPr>
                <w:spacing w:val="-5"/>
                <w:sz w:val="21"/>
              </w:rPr>
              <w:t>生殖器溃疡、眼炎及皮肤损害，并可累及大血管、神经系统、消化道、肺、</w:t>
            </w:r>
          </w:p>
        </w:tc>
      </w:tr>
    </w:tbl>
    <w:p>
      <w:pPr>
        <w:rPr>
          <w:sz w:val="2"/>
          <w:szCs w:val="2"/>
        </w:rPr>
      </w:pPr>
      <w:r>
        <w:rPr/>
        <w:drawing>
          <wp:anchor distT="0" distB="0" distL="0" distR="0" allowOverlap="1" layoutInCell="1" locked="0" behindDoc="1" simplePos="0" relativeHeight="484495360">
            <wp:simplePos x="0" y="0"/>
            <wp:positionH relativeFrom="page">
              <wp:posOffset>2560954</wp:posOffset>
            </wp:positionH>
            <wp:positionV relativeFrom="page">
              <wp:posOffset>3719194</wp:posOffset>
            </wp:positionV>
            <wp:extent cx="4278686" cy="371475"/>
            <wp:effectExtent l="0" t="0" r="0" b="0"/>
            <wp:wrapNone/>
            <wp:docPr id="51" name="image9.png"/>
            <wp:cNvGraphicFramePr>
              <a:graphicFrameLocks noChangeAspect="1"/>
            </wp:cNvGraphicFramePr>
            <a:graphic>
              <a:graphicData uri="http://schemas.openxmlformats.org/drawingml/2006/picture">
                <pic:pic>
                  <pic:nvPicPr>
                    <pic:cNvPr id="52" name="image9.png"/>
                    <pic:cNvPicPr/>
                  </pic:nvPicPr>
                  <pic:blipFill>
                    <a:blip r:embed="rId13" cstate="print"/>
                    <a:stretch>
                      <a:fillRect/>
                    </a:stretch>
                  </pic:blipFill>
                  <pic:spPr>
                    <a:xfrm>
                      <a:off x="0" y="0"/>
                      <a:ext cx="4278686" cy="371475"/>
                    </a:xfrm>
                    <a:prstGeom prst="rect">
                      <a:avLst/>
                    </a:prstGeom>
                  </pic:spPr>
                </pic:pic>
              </a:graphicData>
            </a:graphic>
          </wp:anchor>
        </w:drawing>
      </w:r>
    </w:p>
    <w:p>
      <w:pPr>
        <w:spacing w:after="0"/>
        <w:rPr>
          <w:sz w:val="2"/>
          <w:szCs w:val="2"/>
        </w:rPr>
        <w:sectPr>
          <w:pgSz w:w="11910" w:h="16840"/>
          <w:pgMar w:top="1460" w:bottom="1649"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71"/>
        <w:gridCol w:w="6976"/>
      </w:tblGrid>
      <w:tr>
        <w:trPr>
          <w:trHeight w:val="261" w:hRule="atLeast"/>
        </w:trPr>
        <w:tc>
          <w:tcPr>
            <w:tcW w:w="1005" w:type="dxa"/>
          </w:tcPr>
          <w:p>
            <w:pPr>
              <w:pStyle w:val="TableParagraph"/>
              <w:rPr>
                <w:rFonts w:ascii="Times New Roman"/>
                <w:sz w:val="18"/>
              </w:rPr>
            </w:pPr>
          </w:p>
        </w:tc>
        <w:tc>
          <w:tcPr>
            <w:tcW w:w="1871" w:type="dxa"/>
          </w:tcPr>
          <w:p>
            <w:pPr>
              <w:pStyle w:val="TableParagraph"/>
              <w:rPr>
                <w:rFonts w:ascii="Times New Roman"/>
                <w:sz w:val="18"/>
              </w:rPr>
            </w:pPr>
          </w:p>
        </w:tc>
        <w:tc>
          <w:tcPr>
            <w:tcW w:w="6976" w:type="dxa"/>
          </w:tcPr>
          <w:p>
            <w:pPr>
              <w:pStyle w:val="TableParagraph"/>
              <w:spacing w:line="232" w:lineRule="exact"/>
              <w:ind w:left="74"/>
              <w:rPr>
                <w:sz w:val="21"/>
              </w:rPr>
            </w:pPr>
            <w:r>
              <w:rPr>
                <w:spacing w:val="-3"/>
                <w:sz w:val="21"/>
              </w:rPr>
              <w:t>肾等等。累及神经系统损害的白塞病称为神经白塞病。神经白塞病必须明</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3"/>
                <w:sz w:val="21"/>
              </w:rPr>
              <w:t>确诊断，并且已经造成永久不可逆的神经系统功能损害。永久不可逆的神</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5"/>
                <w:sz w:val="21"/>
              </w:rPr>
              <w:t>经系统损害指被保险人持续 </w:t>
            </w:r>
            <w:r>
              <w:rPr>
                <w:spacing w:val="-2"/>
                <w:sz w:val="21"/>
              </w:rPr>
              <w:t>180</w:t>
            </w:r>
            <w:r>
              <w:rPr>
                <w:spacing w:val="-9"/>
                <w:sz w:val="21"/>
              </w:rPr>
              <w:t> 天无法独立完成下列基本日常生活活动之</w:t>
            </w:r>
          </w:p>
        </w:tc>
      </w:tr>
      <w:tr>
        <w:trPr>
          <w:trHeight w:val="31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5"/>
                <w:sz w:val="21"/>
              </w:rPr>
              <w:t>一：</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(1)</w:t>
            </w:r>
            <w:r>
              <w:rPr>
                <w:spacing w:val="-3"/>
                <w:sz w:val="21"/>
              </w:rPr>
              <w:t>移动：自己从一个房间到另一个房间；</w:t>
            </w:r>
          </w:p>
        </w:tc>
      </w:tr>
      <w:tr>
        <w:trPr>
          <w:trHeight w:val="38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(2)</w:t>
            </w:r>
            <w:r>
              <w:rPr>
                <w:spacing w:val="-3"/>
                <w:sz w:val="21"/>
              </w:rPr>
              <w:t>进食：自己从已准备好的碗或碟中取食物放入口中。</w:t>
            </w:r>
          </w:p>
        </w:tc>
      </w:tr>
      <w:tr>
        <w:trPr>
          <w:trHeight w:val="453" w:hRule="atLeast"/>
        </w:trPr>
        <w:tc>
          <w:tcPr>
            <w:tcW w:w="1005" w:type="dxa"/>
          </w:tcPr>
          <w:p>
            <w:pPr>
              <w:pStyle w:val="TableParagraph"/>
              <w:spacing w:before="17"/>
              <w:ind w:left="50"/>
              <w:rPr>
                <w:rFonts w:ascii="微软雅黑"/>
                <w:b/>
                <w:sz w:val="21"/>
              </w:rPr>
            </w:pPr>
            <w:r>
              <w:rPr>
                <w:rFonts w:ascii="微软雅黑"/>
                <w:b/>
                <w:spacing w:val="-2"/>
                <w:sz w:val="21"/>
              </w:rPr>
              <w:t>10.1.83</w:t>
            </w:r>
          </w:p>
        </w:tc>
        <w:tc>
          <w:tcPr>
            <w:tcW w:w="1871" w:type="dxa"/>
          </w:tcPr>
          <w:p>
            <w:pPr>
              <w:pStyle w:val="TableParagraph"/>
              <w:spacing w:before="17"/>
              <w:ind w:left="214"/>
              <w:rPr>
                <w:rFonts w:ascii="微软雅黑" w:eastAsia="微软雅黑"/>
                <w:b/>
                <w:sz w:val="21"/>
              </w:rPr>
            </w:pPr>
            <w:r>
              <w:rPr>
                <w:rFonts w:ascii="微软雅黑" w:eastAsia="微软雅黑"/>
                <w:b/>
                <w:spacing w:val="-2"/>
                <w:sz w:val="21"/>
              </w:rPr>
              <w:t>室壁瘤切除手术</w:t>
            </w:r>
          </w:p>
        </w:tc>
        <w:tc>
          <w:tcPr>
            <w:tcW w:w="6976" w:type="dxa"/>
          </w:tcPr>
          <w:p>
            <w:pPr>
              <w:pStyle w:val="TableParagraph"/>
              <w:spacing w:before="84"/>
              <w:ind w:left="74"/>
              <w:rPr>
                <w:sz w:val="21"/>
              </w:rPr>
            </w:pPr>
            <w:r>
              <w:rPr>
                <w:spacing w:val="-3"/>
                <w:sz w:val="21"/>
              </w:rPr>
              <w:t>指因心肌梗死导致室壁瘤，实际实施了开胸开心室壁瘤切除手术治疗。</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10.1.84</w:t>
            </w:r>
          </w:p>
        </w:tc>
        <w:tc>
          <w:tcPr>
            <w:tcW w:w="1871" w:type="dxa"/>
          </w:tcPr>
          <w:p>
            <w:pPr>
              <w:pStyle w:val="TableParagraph"/>
              <w:spacing w:line="346" w:lineRule="exact" w:before="17"/>
              <w:ind w:left="214"/>
              <w:rPr>
                <w:rFonts w:ascii="微软雅黑" w:eastAsia="微软雅黑"/>
                <w:b/>
                <w:sz w:val="21"/>
              </w:rPr>
            </w:pPr>
            <w:r>
              <w:rPr>
                <w:rFonts w:ascii="微软雅黑" w:eastAsia="微软雅黑"/>
                <w:b/>
                <w:spacing w:val="-3"/>
                <w:sz w:val="21"/>
              </w:rPr>
              <w:t>脑型疟疾</w:t>
            </w:r>
          </w:p>
        </w:tc>
        <w:tc>
          <w:tcPr>
            <w:tcW w:w="6976" w:type="dxa"/>
          </w:tcPr>
          <w:p>
            <w:pPr>
              <w:pStyle w:val="TableParagraph"/>
              <w:spacing w:before="84"/>
              <w:ind w:left="74"/>
              <w:rPr>
                <w:sz w:val="21"/>
              </w:rPr>
            </w:pPr>
            <w:r>
              <w:rPr>
                <w:spacing w:val="-3"/>
                <w:sz w:val="21"/>
              </w:rPr>
              <w:t>恶性疟原虫严重感染导致的脑病或脑型疟疾，以昏迷为主要特征。脑型疟</w:t>
            </w:r>
          </w:p>
        </w:tc>
      </w:tr>
      <w:tr>
        <w:trPr>
          <w:trHeight w:val="35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3"/>
                <w:sz w:val="21"/>
              </w:rPr>
              <w:t>疾的诊断须由专科医生确认，且外周血涂片存在恶性疟原虫。</w:t>
            </w:r>
          </w:p>
        </w:tc>
      </w:tr>
      <w:tr>
        <w:trPr>
          <w:trHeight w:val="42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52"/>
              <w:ind w:left="74"/>
              <w:rPr>
                <w:sz w:val="21"/>
              </w:rPr>
            </w:pPr>
            <w:r>
              <w:rPr>
                <w:color w:val="000000"/>
                <w:spacing w:val="-3"/>
                <w:sz w:val="21"/>
                <w:shd w:fill="A6A6A6" w:color="auto" w:val="clear"/>
              </w:rPr>
              <w:t>其他明确病因导致的脑病不在保障范围内。</w:t>
            </w:r>
          </w:p>
        </w:tc>
      </w:tr>
      <w:tr>
        <w:trPr>
          <w:trHeight w:val="383"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10.1.85</w:t>
            </w:r>
          </w:p>
        </w:tc>
        <w:tc>
          <w:tcPr>
            <w:tcW w:w="1871" w:type="dxa"/>
          </w:tcPr>
          <w:p>
            <w:pPr>
              <w:pStyle w:val="TableParagraph"/>
              <w:spacing w:line="346" w:lineRule="exact" w:before="17"/>
              <w:ind w:left="214"/>
              <w:rPr>
                <w:rFonts w:ascii="微软雅黑" w:hAnsi="微软雅黑" w:eastAsia="微软雅黑"/>
                <w:b/>
                <w:sz w:val="21"/>
              </w:rPr>
            </w:pPr>
            <w:r>
              <w:rPr>
                <w:rFonts w:ascii="微软雅黑" w:hAnsi="微软雅黑" w:eastAsia="微软雅黑"/>
                <w:b/>
                <w:spacing w:val="-2"/>
                <w:sz w:val="21"/>
              </w:rPr>
              <w:t>严重Ⅲ度冻伤导</w:t>
            </w:r>
          </w:p>
        </w:tc>
        <w:tc>
          <w:tcPr>
            <w:tcW w:w="6976" w:type="dxa"/>
          </w:tcPr>
          <w:p>
            <w:pPr>
              <w:pStyle w:val="TableParagraph"/>
              <w:spacing w:before="84"/>
              <w:ind w:left="74"/>
              <w:rPr>
                <w:sz w:val="21"/>
              </w:rPr>
            </w:pPr>
            <w:r>
              <w:rPr>
                <w:spacing w:val="-3"/>
                <w:sz w:val="21"/>
              </w:rPr>
              <w:t>冻伤是由于寒冷潮湿作用引起的人体局部或全身损伤。指冻伤程度达到Ⅲ</w:t>
            </w:r>
          </w:p>
        </w:tc>
      </w:tr>
      <w:tr>
        <w:trPr>
          <w:trHeight w:val="312" w:hRule="atLeast"/>
        </w:trPr>
        <w:tc>
          <w:tcPr>
            <w:tcW w:w="1005" w:type="dxa"/>
          </w:tcPr>
          <w:p>
            <w:pPr>
              <w:pStyle w:val="TableParagraph"/>
              <w:rPr>
                <w:rFonts w:ascii="Times New Roman"/>
                <w:sz w:val="20"/>
              </w:rPr>
            </w:pPr>
          </w:p>
        </w:tc>
        <w:tc>
          <w:tcPr>
            <w:tcW w:w="1871" w:type="dxa"/>
          </w:tcPr>
          <w:p>
            <w:pPr>
              <w:pStyle w:val="TableParagraph"/>
              <w:spacing w:line="292" w:lineRule="exact"/>
              <w:ind w:left="214"/>
              <w:rPr>
                <w:rFonts w:ascii="微软雅黑" w:eastAsia="微软雅黑"/>
                <w:b/>
                <w:sz w:val="21"/>
              </w:rPr>
            </w:pPr>
            <w:r>
              <w:rPr>
                <w:rFonts w:ascii="微软雅黑" w:eastAsia="微软雅黑"/>
                <w:b/>
                <w:spacing w:val="-4"/>
                <w:sz w:val="21"/>
              </w:rPr>
              <w:t>致截肢</w:t>
            </w:r>
          </w:p>
        </w:tc>
        <w:tc>
          <w:tcPr>
            <w:tcW w:w="6976" w:type="dxa"/>
          </w:tcPr>
          <w:p>
            <w:pPr>
              <w:pStyle w:val="TableParagraph"/>
              <w:spacing w:before="13"/>
              <w:ind w:left="74"/>
              <w:rPr>
                <w:sz w:val="21"/>
              </w:rPr>
            </w:pPr>
            <w:r>
              <w:rPr>
                <w:spacing w:val="-2"/>
                <w:sz w:val="21"/>
              </w:rPr>
              <w:t>度，且导致一个或一个以上肢体自腕关节或踝关节近端（靠近躯干端）</w:t>
            </w:r>
            <w:r>
              <w:rPr>
                <w:spacing w:val="-10"/>
                <w:sz w:val="21"/>
              </w:rPr>
              <w:t>以</w:t>
            </w:r>
          </w:p>
        </w:tc>
      </w:tr>
      <w:tr>
        <w:trPr>
          <w:trHeight w:val="38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4"/>
                <w:sz w:val="21"/>
              </w:rPr>
              <w:t>上完全性断离。</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10.1.86</w:t>
            </w:r>
          </w:p>
        </w:tc>
        <w:tc>
          <w:tcPr>
            <w:tcW w:w="1871" w:type="dxa"/>
          </w:tcPr>
          <w:p>
            <w:pPr>
              <w:pStyle w:val="TableParagraph"/>
              <w:spacing w:line="346" w:lineRule="exact" w:before="17"/>
              <w:ind w:left="214"/>
              <w:rPr>
                <w:rFonts w:ascii="微软雅黑" w:eastAsia="微软雅黑"/>
                <w:b/>
                <w:sz w:val="21"/>
              </w:rPr>
            </w:pPr>
            <w:r>
              <w:rPr>
                <w:rFonts w:ascii="微软雅黑" w:eastAsia="微软雅黑"/>
                <w:b/>
                <w:spacing w:val="-2"/>
                <w:sz w:val="21"/>
              </w:rPr>
              <w:t>弥漫性血管内凝</w:t>
            </w:r>
          </w:p>
        </w:tc>
        <w:tc>
          <w:tcPr>
            <w:tcW w:w="6976" w:type="dxa"/>
          </w:tcPr>
          <w:p>
            <w:pPr>
              <w:pStyle w:val="TableParagraph"/>
              <w:spacing w:before="84"/>
              <w:ind w:left="74"/>
              <w:rPr>
                <w:sz w:val="21"/>
              </w:rPr>
            </w:pPr>
            <w:r>
              <w:rPr>
                <w:spacing w:val="-3"/>
                <w:sz w:val="21"/>
              </w:rPr>
              <w:t>指血液凝固系统和纤溶系统的过度活动导致微血管血栓形成、血小板及凝</w:t>
            </w:r>
          </w:p>
        </w:tc>
      </w:tr>
      <w:tr>
        <w:trPr>
          <w:trHeight w:val="312" w:hRule="atLeast"/>
        </w:trPr>
        <w:tc>
          <w:tcPr>
            <w:tcW w:w="1005" w:type="dxa"/>
          </w:tcPr>
          <w:p>
            <w:pPr>
              <w:pStyle w:val="TableParagraph"/>
              <w:rPr>
                <w:rFonts w:ascii="Times New Roman"/>
                <w:sz w:val="20"/>
              </w:rPr>
            </w:pPr>
          </w:p>
        </w:tc>
        <w:tc>
          <w:tcPr>
            <w:tcW w:w="1871" w:type="dxa"/>
          </w:tcPr>
          <w:p>
            <w:pPr>
              <w:pStyle w:val="TableParagraph"/>
              <w:spacing w:line="292" w:lineRule="exact"/>
              <w:ind w:left="214"/>
              <w:rPr>
                <w:rFonts w:ascii="微软雅黑" w:eastAsia="微软雅黑"/>
                <w:b/>
                <w:sz w:val="21"/>
              </w:rPr>
            </w:pPr>
            <w:r>
              <w:rPr>
                <w:rFonts w:ascii="微软雅黑" w:eastAsia="微软雅黑"/>
                <w:b/>
                <w:w w:val="100"/>
                <w:sz w:val="21"/>
              </w:rPr>
              <w:t>血</w:t>
            </w:r>
          </w:p>
        </w:tc>
        <w:tc>
          <w:tcPr>
            <w:tcW w:w="6976" w:type="dxa"/>
          </w:tcPr>
          <w:p>
            <w:pPr>
              <w:pStyle w:val="TableParagraph"/>
              <w:spacing w:before="13"/>
              <w:ind w:left="74"/>
              <w:rPr>
                <w:sz w:val="21"/>
              </w:rPr>
            </w:pPr>
            <w:r>
              <w:rPr>
                <w:spacing w:val="-3"/>
                <w:sz w:val="21"/>
              </w:rPr>
              <w:t>血因子耗竭和严重出血，需要输注血浆和浓缩血小板进行治疗。须提供同</w:t>
            </w:r>
          </w:p>
        </w:tc>
      </w:tr>
      <w:tr>
        <w:trPr>
          <w:trHeight w:val="624"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3"/>
                <w:sz w:val="21"/>
              </w:rPr>
              <w:t>时具有下列条件中的至少三项的检验报告：</w:t>
            </w:r>
          </w:p>
          <w:p>
            <w:pPr>
              <w:pStyle w:val="TableParagraph"/>
              <w:spacing w:before="33"/>
              <w:ind w:left="74"/>
              <w:rPr>
                <w:sz w:val="21"/>
              </w:rPr>
            </w:pPr>
            <w:r>
              <w:rPr>
                <w:spacing w:val="-2"/>
                <w:sz w:val="21"/>
              </w:rPr>
              <w:t>(1)血小板计数&lt;100×10</w:t>
            </w:r>
            <w:r>
              <w:rPr>
                <w:spacing w:val="-2"/>
                <w:position w:val="11"/>
                <w:sz w:val="11"/>
              </w:rPr>
              <w:t>9</w:t>
            </w:r>
            <w:r>
              <w:rPr>
                <w:spacing w:val="-2"/>
                <w:sz w:val="21"/>
              </w:rPr>
              <w:t>/L</w:t>
            </w:r>
            <w:r>
              <w:rPr>
                <w:spacing w:val="-9"/>
                <w:sz w:val="21"/>
              </w:rPr>
              <w:t> 或者呈进行性下降；</w:t>
            </w:r>
          </w:p>
        </w:tc>
      </w:tr>
      <w:tr>
        <w:trPr>
          <w:trHeight w:val="31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(2)血浆纤维蛋白原含量&lt;1.5g/L</w:t>
            </w:r>
            <w:r>
              <w:rPr>
                <w:spacing w:val="-16"/>
                <w:sz w:val="21"/>
              </w:rPr>
              <w:t> 或者</w:t>
            </w:r>
            <w:r>
              <w:rPr>
                <w:spacing w:val="-2"/>
                <w:sz w:val="21"/>
              </w:rPr>
              <w:t>&gt;4g/L</w:t>
            </w:r>
            <w:r>
              <w:rPr>
                <w:spacing w:val="-9"/>
                <w:sz w:val="21"/>
              </w:rPr>
              <w:t> 或者呈进行性下降；</w:t>
            </w:r>
          </w:p>
        </w:tc>
      </w:tr>
      <w:tr>
        <w:trPr>
          <w:trHeight w:val="31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z w:val="21"/>
              </w:rPr>
              <w:t>(3)3P</w:t>
            </w:r>
            <w:r>
              <w:rPr>
                <w:spacing w:val="-3"/>
                <w:sz w:val="21"/>
              </w:rPr>
              <w:t> 试验阳性或者血浆</w:t>
            </w:r>
            <w:r>
              <w:rPr>
                <w:spacing w:val="-2"/>
                <w:sz w:val="21"/>
              </w:rPr>
              <w:t>FDP&gt;20mg/L；</w:t>
            </w:r>
          </w:p>
        </w:tc>
      </w:tr>
      <w:tr>
        <w:trPr>
          <w:trHeight w:val="38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(4)凝血酶原时间&gt;15</w:t>
            </w:r>
            <w:r>
              <w:rPr>
                <w:spacing w:val="-13"/>
                <w:sz w:val="21"/>
              </w:rPr>
              <w:t> 秒或者超过对照组 </w:t>
            </w:r>
            <w:r>
              <w:rPr>
                <w:spacing w:val="-2"/>
                <w:sz w:val="21"/>
              </w:rPr>
              <w:t>3</w:t>
            </w:r>
            <w:r>
              <w:rPr>
                <w:spacing w:val="-14"/>
                <w:sz w:val="21"/>
              </w:rPr>
              <w:t> 秒以上。</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10.1.87</w:t>
            </w:r>
          </w:p>
        </w:tc>
        <w:tc>
          <w:tcPr>
            <w:tcW w:w="1871" w:type="dxa"/>
          </w:tcPr>
          <w:p>
            <w:pPr>
              <w:pStyle w:val="TableParagraph"/>
              <w:spacing w:line="346" w:lineRule="exact" w:before="17"/>
              <w:ind w:left="214"/>
              <w:rPr>
                <w:rFonts w:ascii="微软雅黑" w:eastAsia="微软雅黑"/>
                <w:b/>
                <w:sz w:val="21"/>
              </w:rPr>
            </w:pPr>
            <w:r>
              <w:rPr>
                <w:rFonts w:ascii="微软雅黑" w:eastAsia="微软雅黑"/>
                <w:b/>
                <w:sz w:val="21"/>
              </w:rPr>
              <w:t>急性肺损</w:t>
            </w:r>
            <w:r>
              <w:rPr>
                <w:rFonts w:ascii="微软雅黑" w:eastAsia="微软雅黑"/>
                <w:b/>
                <w:spacing w:val="-2"/>
                <w:sz w:val="21"/>
              </w:rPr>
              <w:t>（ALI）</w:t>
            </w:r>
          </w:p>
        </w:tc>
        <w:tc>
          <w:tcPr>
            <w:tcW w:w="6976" w:type="dxa"/>
          </w:tcPr>
          <w:p>
            <w:pPr>
              <w:pStyle w:val="TableParagraph"/>
              <w:spacing w:before="84"/>
              <w:ind w:left="74"/>
              <w:rPr>
                <w:sz w:val="21"/>
              </w:rPr>
            </w:pPr>
            <w:r>
              <w:rPr>
                <w:spacing w:val="-3"/>
                <w:sz w:val="21"/>
              </w:rPr>
              <w:t>指一种由于肺泡毛细血管和肺泡上皮细胞损伤引起的弥漫性肺间质及肺泡</w:t>
            </w:r>
          </w:p>
        </w:tc>
      </w:tr>
      <w:tr>
        <w:trPr>
          <w:trHeight w:val="312" w:hRule="atLeast"/>
        </w:trPr>
        <w:tc>
          <w:tcPr>
            <w:tcW w:w="1005" w:type="dxa"/>
          </w:tcPr>
          <w:p>
            <w:pPr>
              <w:pStyle w:val="TableParagraph"/>
              <w:rPr>
                <w:rFonts w:ascii="Times New Roman"/>
                <w:sz w:val="20"/>
              </w:rPr>
            </w:pPr>
          </w:p>
        </w:tc>
        <w:tc>
          <w:tcPr>
            <w:tcW w:w="1871" w:type="dxa"/>
          </w:tcPr>
          <w:p>
            <w:pPr>
              <w:pStyle w:val="TableParagraph"/>
              <w:spacing w:line="292" w:lineRule="exact"/>
              <w:ind w:left="214"/>
              <w:rPr>
                <w:rFonts w:ascii="微软雅黑" w:eastAsia="微软雅黑"/>
                <w:b/>
                <w:sz w:val="21"/>
              </w:rPr>
            </w:pPr>
            <w:r>
              <w:rPr>
                <w:rFonts w:ascii="微软雅黑" w:eastAsia="微软雅黑"/>
                <w:b/>
                <w:spacing w:val="-2"/>
                <w:sz w:val="21"/>
              </w:rPr>
              <w:t>或急性呼吸窘迫</w:t>
            </w:r>
          </w:p>
        </w:tc>
        <w:tc>
          <w:tcPr>
            <w:tcW w:w="6976" w:type="dxa"/>
          </w:tcPr>
          <w:p>
            <w:pPr>
              <w:pStyle w:val="TableParagraph"/>
              <w:spacing w:before="13"/>
              <w:ind w:left="74"/>
              <w:rPr>
                <w:sz w:val="21"/>
              </w:rPr>
            </w:pPr>
            <w:r>
              <w:rPr>
                <w:spacing w:val="-3"/>
                <w:sz w:val="21"/>
              </w:rPr>
              <w:t>水肿，以进行性低氧血症、呼吸窘迫为特征的急性呼吸综合征。须由呼吸</w:t>
            </w:r>
          </w:p>
        </w:tc>
      </w:tr>
      <w:tr>
        <w:trPr>
          <w:trHeight w:val="312" w:hRule="atLeast"/>
        </w:trPr>
        <w:tc>
          <w:tcPr>
            <w:tcW w:w="1005" w:type="dxa"/>
          </w:tcPr>
          <w:p>
            <w:pPr>
              <w:pStyle w:val="TableParagraph"/>
              <w:rPr>
                <w:rFonts w:ascii="Times New Roman"/>
                <w:sz w:val="20"/>
              </w:rPr>
            </w:pPr>
          </w:p>
        </w:tc>
        <w:tc>
          <w:tcPr>
            <w:tcW w:w="1871" w:type="dxa"/>
          </w:tcPr>
          <w:p>
            <w:pPr>
              <w:pStyle w:val="TableParagraph"/>
              <w:spacing w:line="292" w:lineRule="exact"/>
              <w:ind w:left="214"/>
              <w:rPr>
                <w:rFonts w:ascii="微软雅黑" w:eastAsia="微软雅黑"/>
                <w:b/>
                <w:sz w:val="21"/>
              </w:rPr>
            </w:pPr>
            <w:r>
              <w:rPr>
                <w:rFonts w:ascii="微软雅黑" w:eastAsia="微软雅黑"/>
                <w:b/>
                <w:sz w:val="21"/>
              </w:rPr>
              <w:t>综合征</w:t>
            </w:r>
            <w:r>
              <w:rPr>
                <w:rFonts w:ascii="微软雅黑" w:eastAsia="微软雅黑"/>
                <w:b/>
                <w:spacing w:val="-2"/>
                <w:sz w:val="21"/>
              </w:rPr>
              <w:t>（ARDS）</w:t>
            </w:r>
          </w:p>
        </w:tc>
        <w:tc>
          <w:tcPr>
            <w:tcW w:w="6976" w:type="dxa"/>
          </w:tcPr>
          <w:p>
            <w:pPr>
              <w:pStyle w:val="TableParagraph"/>
              <w:spacing w:before="13"/>
              <w:ind w:left="74"/>
              <w:rPr>
                <w:sz w:val="21"/>
              </w:rPr>
            </w:pPr>
            <w:r>
              <w:rPr>
                <w:spacing w:val="-3"/>
                <w:sz w:val="21"/>
              </w:rPr>
              <w:t>科或者重症监护室专科医生明确诊断，并须满足下列全部条件：</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(1)急性发作（</w:t>
            </w:r>
            <w:r>
              <w:rPr>
                <w:spacing w:val="-8"/>
                <w:sz w:val="21"/>
              </w:rPr>
              <w:t>原发疾病起病后 </w:t>
            </w:r>
            <w:r>
              <w:rPr>
                <w:spacing w:val="-2"/>
                <w:sz w:val="21"/>
              </w:rPr>
              <w:t>7</w:t>
            </w:r>
            <w:r>
              <w:rPr>
                <w:spacing w:val="-12"/>
                <w:sz w:val="21"/>
              </w:rPr>
              <w:t> 天内发病</w:t>
            </w:r>
            <w:r>
              <w:rPr>
                <w:spacing w:val="-111"/>
                <w:sz w:val="21"/>
              </w:rPr>
              <w:t>）</w:t>
            </w:r>
            <w:r>
              <w:rPr>
                <w:spacing w:val="-5"/>
                <w:sz w:val="21"/>
              </w:rPr>
              <w:t>；</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(2)</w:t>
            </w:r>
            <w:r>
              <w:rPr>
                <w:spacing w:val="-3"/>
                <w:sz w:val="21"/>
              </w:rPr>
              <w:t>影像学检查证实双肺浸润影；</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2"/>
              <w:ind w:left="74"/>
              <w:rPr>
                <w:sz w:val="21"/>
              </w:rPr>
            </w:pPr>
            <w:r>
              <w:rPr>
                <w:spacing w:val="-4"/>
                <w:position w:val="1"/>
                <w:sz w:val="21"/>
              </w:rPr>
              <w:t>(3)PEEP（呼气末正压）≥5cmH</w:t>
            </w:r>
            <w:r>
              <w:rPr>
                <w:spacing w:val="-4"/>
                <w:sz w:val="11"/>
              </w:rPr>
              <w:t>2</w:t>
            </w:r>
            <w:r>
              <w:rPr>
                <w:spacing w:val="-4"/>
                <w:position w:val="1"/>
                <w:sz w:val="21"/>
              </w:rPr>
              <w:t>O</w:t>
            </w:r>
            <w:r>
              <w:rPr>
                <w:spacing w:val="-8"/>
                <w:position w:val="1"/>
                <w:sz w:val="21"/>
              </w:rPr>
              <w:t> 时，</w:t>
            </w:r>
            <w:r>
              <w:rPr>
                <w:spacing w:val="-4"/>
                <w:position w:val="1"/>
                <w:sz w:val="21"/>
              </w:rPr>
              <w:t>PaO</w:t>
            </w:r>
            <w:r>
              <w:rPr>
                <w:spacing w:val="-4"/>
                <w:sz w:val="11"/>
              </w:rPr>
              <w:t>2</w:t>
            </w:r>
            <w:r>
              <w:rPr>
                <w:spacing w:val="-4"/>
                <w:position w:val="1"/>
                <w:sz w:val="21"/>
              </w:rPr>
              <w:t>/FiO</w:t>
            </w:r>
            <w:r>
              <w:rPr>
                <w:spacing w:val="-4"/>
                <w:sz w:val="11"/>
              </w:rPr>
              <w:t>2</w:t>
            </w:r>
            <w:r>
              <w:rPr>
                <w:spacing w:val="-4"/>
                <w:position w:val="1"/>
                <w:sz w:val="21"/>
              </w:rPr>
              <w:t>（动脉氧分压/吸入氧浓度</w:t>
            </w:r>
            <w:r>
              <w:rPr>
                <w:spacing w:val="-10"/>
                <w:position w:val="1"/>
                <w:sz w:val="21"/>
              </w:rPr>
              <w:t>）</w:t>
            </w:r>
          </w:p>
        </w:tc>
      </w:tr>
      <w:tr>
        <w:trPr>
          <w:trHeight w:val="31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18"/>
                <w:sz w:val="21"/>
              </w:rPr>
              <w:t>低于 </w:t>
            </w:r>
            <w:r>
              <w:rPr>
                <w:spacing w:val="-2"/>
                <w:sz w:val="21"/>
              </w:rPr>
              <w:t>200mmHg；</w:t>
            </w:r>
          </w:p>
        </w:tc>
      </w:tr>
      <w:tr>
        <w:trPr>
          <w:trHeight w:val="38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(4)</w:t>
            </w:r>
            <w:r>
              <w:rPr>
                <w:spacing w:val="-3"/>
                <w:sz w:val="21"/>
              </w:rPr>
              <w:t>非心源性导致的肺水肿。</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10.1.88</w:t>
            </w:r>
          </w:p>
        </w:tc>
        <w:tc>
          <w:tcPr>
            <w:tcW w:w="1871" w:type="dxa"/>
          </w:tcPr>
          <w:p>
            <w:pPr>
              <w:pStyle w:val="TableParagraph"/>
              <w:spacing w:line="346" w:lineRule="exact" w:before="17"/>
              <w:ind w:left="214"/>
              <w:rPr>
                <w:rFonts w:ascii="微软雅黑" w:eastAsia="微软雅黑"/>
                <w:b/>
                <w:sz w:val="21"/>
              </w:rPr>
            </w:pPr>
            <w:r>
              <w:rPr>
                <w:rFonts w:ascii="微软雅黑" w:eastAsia="微软雅黑"/>
                <w:b/>
                <w:spacing w:val="-2"/>
                <w:sz w:val="21"/>
              </w:rPr>
              <w:t>心脏粘液瘤</w:t>
            </w:r>
          </w:p>
        </w:tc>
        <w:tc>
          <w:tcPr>
            <w:tcW w:w="6976" w:type="dxa"/>
          </w:tcPr>
          <w:p>
            <w:pPr>
              <w:pStyle w:val="TableParagraph"/>
              <w:spacing w:before="84"/>
              <w:ind w:left="74"/>
              <w:rPr>
                <w:sz w:val="21"/>
              </w:rPr>
            </w:pPr>
            <w:r>
              <w:rPr>
                <w:spacing w:val="-3"/>
                <w:sz w:val="21"/>
              </w:rPr>
              <w:t>指经心脏专科医生确诊的心脏原发性良性心脏肿瘤，并经术后病理或细胞</w:t>
            </w:r>
          </w:p>
        </w:tc>
      </w:tr>
      <w:tr>
        <w:trPr>
          <w:trHeight w:val="38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4"/>
                <w:sz w:val="21"/>
              </w:rPr>
              <w:t>学诊断。</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10.1.89</w:t>
            </w:r>
          </w:p>
        </w:tc>
        <w:tc>
          <w:tcPr>
            <w:tcW w:w="1871" w:type="dxa"/>
          </w:tcPr>
          <w:p>
            <w:pPr>
              <w:pStyle w:val="TableParagraph"/>
              <w:spacing w:line="346" w:lineRule="exact" w:before="17"/>
              <w:ind w:left="214"/>
              <w:rPr>
                <w:rFonts w:ascii="微软雅黑" w:eastAsia="微软雅黑"/>
                <w:b/>
                <w:sz w:val="21"/>
              </w:rPr>
            </w:pPr>
            <w:r>
              <w:rPr>
                <w:rFonts w:ascii="微软雅黑" w:eastAsia="微软雅黑"/>
                <w:b/>
                <w:spacing w:val="-2"/>
                <w:sz w:val="21"/>
              </w:rPr>
              <w:t>范可尼综合征</w:t>
            </w:r>
          </w:p>
        </w:tc>
        <w:tc>
          <w:tcPr>
            <w:tcW w:w="6976" w:type="dxa"/>
          </w:tcPr>
          <w:p>
            <w:pPr>
              <w:pStyle w:val="TableParagraph"/>
              <w:spacing w:before="84"/>
              <w:ind w:left="74"/>
              <w:rPr>
                <w:sz w:val="21"/>
              </w:rPr>
            </w:pPr>
            <w:r>
              <w:rPr>
                <w:spacing w:val="-11"/>
                <w:sz w:val="21"/>
              </w:rPr>
              <w:t>也称 </w:t>
            </w:r>
            <w:r>
              <w:rPr>
                <w:spacing w:val="-2"/>
                <w:sz w:val="21"/>
              </w:rPr>
              <w:t>Fanconi</w:t>
            </w:r>
            <w:r>
              <w:rPr>
                <w:spacing w:val="-8"/>
                <w:sz w:val="21"/>
              </w:rPr>
              <w:t> 综合征，指近端肾小管的功能异常引起的一组症候群。须经</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3"/>
                <w:sz w:val="21"/>
              </w:rPr>
              <w:t>专科医生诊断，且须满足下列至少三项条件：</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(1)</w:t>
            </w:r>
            <w:r>
              <w:rPr>
                <w:spacing w:val="-3"/>
                <w:sz w:val="21"/>
              </w:rPr>
              <w:t>尿液检查出现肾性糖尿、全氨基酸糖尿或磷酸盐尿；</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(2)</w:t>
            </w:r>
            <w:r>
              <w:rPr>
                <w:spacing w:val="-3"/>
                <w:sz w:val="21"/>
              </w:rPr>
              <w:t>血液检查出现低磷血症、低尿酸血症或近端肾小管酸中毒；</w:t>
            </w:r>
          </w:p>
        </w:tc>
      </w:tr>
      <w:tr>
        <w:trPr>
          <w:trHeight w:val="31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2"/>
                <w:sz w:val="21"/>
              </w:rPr>
              <w:t>(3)</w:t>
            </w:r>
            <w:r>
              <w:rPr>
                <w:spacing w:val="-3"/>
                <w:sz w:val="21"/>
              </w:rPr>
              <w:t>出现骨质疏松、骨骼畸形或尿路结石；</w:t>
            </w:r>
          </w:p>
        </w:tc>
      </w:tr>
      <w:tr>
        <w:trPr>
          <w:trHeight w:val="31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4"/>
                <w:sz w:val="21"/>
              </w:rPr>
              <w:t>(4)</w:t>
            </w:r>
            <w:r>
              <w:rPr>
                <w:spacing w:val="-5"/>
                <w:sz w:val="21"/>
              </w:rPr>
              <w:t>通过骨髓片、白细胞、直肠黏膜中的结晶分析或裂隙灯检查角膜有胱氨</w:t>
            </w:r>
          </w:p>
        </w:tc>
      </w:tr>
      <w:tr>
        <w:trPr>
          <w:trHeight w:val="351"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13"/>
              <w:ind w:left="74"/>
              <w:rPr>
                <w:sz w:val="21"/>
              </w:rPr>
            </w:pPr>
            <w:r>
              <w:rPr>
                <w:spacing w:val="-4"/>
                <w:sz w:val="21"/>
              </w:rPr>
              <w:t>酸结晶。</w:t>
            </w:r>
          </w:p>
        </w:tc>
      </w:tr>
      <w:tr>
        <w:trPr>
          <w:trHeight w:val="422" w:hRule="atLeast"/>
        </w:trPr>
        <w:tc>
          <w:tcPr>
            <w:tcW w:w="1005" w:type="dxa"/>
          </w:tcPr>
          <w:p>
            <w:pPr>
              <w:pStyle w:val="TableParagraph"/>
              <w:rPr>
                <w:rFonts w:ascii="Times New Roman"/>
                <w:sz w:val="20"/>
              </w:rPr>
            </w:pPr>
          </w:p>
        </w:tc>
        <w:tc>
          <w:tcPr>
            <w:tcW w:w="1871" w:type="dxa"/>
          </w:tcPr>
          <w:p>
            <w:pPr>
              <w:pStyle w:val="TableParagraph"/>
              <w:rPr>
                <w:rFonts w:ascii="Times New Roman"/>
                <w:sz w:val="20"/>
              </w:rPr>
            </w:pPr>
          </w:p>
        </w:tc>
        <w:tc>
          <w:tcPr>
            <w:tcW w:w="6976" w:type="dxa"/>
          </w:tcPr>
          <w:p>
            <w:pPr>
              <w:pStyle w:val="TableParagraph"/>
              <w:spacing w:before="52"/>
              <w:ind w:left="74"/>
              <w:rPr>
                <w:sz w:val="21"/>
              </w:rPr>
            </w:pPr>
            <w:r>
              <w:rPr>
                <w:color w:val="000000"/>
                <w:spacing w:val="-3"/>
                <w:sz w:val="21"/>
                <w:shd w:fill="A6A6A6" w:color="auto" w:val="clear"/>
              </w:rPr>
              <w:t>被保险人在三周岁之前罹患该疾病，我们不承担保险责任。</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10.1.90</w:t>
            </w:r>
          </w:p>
        </w:tc>
        <w:tc>
          <w:tcPr>
            <w:tcW w:w="1871"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严重出血性登革</w:t>
            </w:r>
          </w:p>
        </w:tc>
        <w:tc>
          <w:tcPr>
            <w:tcW w:w="6976" w:type="dxa"/>
          </w:tcPr>
          <w:p>
            <w:pPr>
              <w:pStyle w:val="TableParagraph"/>
              <w:spacing w:before="84"/>
              <w:ind w:left="74"/>
              <w:rPr>
                <w:sz w:val="21"/>
              </w:rPr>
            </w:pPr>
            <w:r>
              <w:rPr>
                <w:spacing w:val="-3"/>
                <w:sz w:val="21"/>
              </w:rPr>
              <w:t>是由登革热病毒引起的急性传染病，须经专科医生明确诊断，并须出现下</w:t>
            </w:r>
          </w:p>
        </w:tc>
      </w:tr>
      <w:tr>
        <w:trPr>
          <w:trHeight w:val="261" w:hRule="atLeast"/>
        </w:trPr>
        <w:tc>
          <w:tcPr>
            <w:tcW w:w="1005" w:type="dxa"/>
          </w:tcPr>
          <w:p>
            <w:pPr>
              <w:pStyle w:val="TableParagraph"/>
              <w:rPr>
                <w:rFonts w:ascii="Times New Roman"/>
                <w:sz w:val="18"/>
              </w:rPr>
            </w:pPr>
          </w:p>
        </w:tc>
        <w:tc>
          <w:tcPr>
            <w:tcW w:w="1871" w:type="dxa"/>
          </w:tcPr>
          <w:p>
            <w:pPr>
              <w:pStyle w:val="TableParagraph"/>
              <w:spacing w:line="242" w:lineRule="exact"/>
              <w:ind w:left="214"/>
              <w:rPr>
                <w:rFonts w:ascii="微软雅黑" w:eastAsia="微软雅黑"/>
                <w:b/>
                <w:sz w:val="21"/>
              </w:rPr>
            </w:pPr>
            <w:r>
              <w:rPr>
                <w:rFonts w:ascii="微软雅黑" w:eastAsia="微软雅黑"/>
                <w:b/>
                <w:w w:val="100"/>
                <w:sz w:val="21"/>
              </w:rPr>
              <w:t>热</w:t>
            </w:r>
          </w:p>
        </w:tc>
        <w:tc>
          <w:tcPr>
            <w:tcW w:w="6976" w:type="dxa"/>
          </w:tcPr>
          <w:p>
            <w:pPr>
              <w:pStyle w:val="TableParagraph"/>
              <w:spacing w:line="228" w:lineRule="exact" w:before="13"/>
              <w:ind w:left="74"/>
              <w:rPr>
                <w:sz w:val="21"/>
              </w:rPr>
            </w:pPr>
            <w:r>
              <w:rPr>
                <w:spacing w:val="-3"/>
                <w:sz w:val="21"/>
              </w:rPr>
              <w:t>列一种或多种严重登革热的临床表现：</w:t>
            </w:r>
          </w:p>
        </w:tc>
      </w:tr>
    </w:tbl>
    <w:p>
      <w:pPr>
        <w:spacing w:after="0" w:line="228" w:lineRule="exact"/>
        <w:rPr>
          <w:sz w:val="21"/>
        </w:rPr>
        <w:sectPr>
          <w:type w:val="continuous"/>
          <w:pgSz w:w="11910" w:h="16840"/>
          <w:pgMar w:top="1460" w:bottom="952"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29"/>
      </w:tblGrid>
      <w:tr>
        <w:trPr>
          <w:trHeight w:val="1548"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numPr>
                <w:ilvl w:val="0"/>
                <w:numId w:val="49"/>
              </w:numPr>
              <w:tabs>
                <w:tab w:pos="445" w:val="left" w:leader="none"/>
              </w:tabs>
              <w:spacing w:line="232" w:lineRule="exact" w:before="0" w:after="0"/>
              <w:ind w:left="445" w:right="0" w:hanging="318"/>
              <w:jc w:val="left"/>
              <w:rPr>
                <w:sz w:val="21"/>
              </w:rPr>
            </w:pPr>
            <w:r>
              <w:rPr>
                <w:spacing w:val="-3"/>
                <w:sz w:val="21"/>
              </w:rPr>
              <w:t>血浆渗漏致休克或胸腔积液伴呼吸困难；</w:t>
            </w:r>
          </w:p>
          <w:p>
            <w:pPr>
              <w:pStyle w:val="TableParagraph"/>
              <w:numPr>
                <w:ilvl w:val="0"/>
                <w:numId w:val="49"/>
              </w:numPr>
              <w:tabs>
                <w:tab w:pos="445" w:val="left" w:leader="none"/>
              </w:tabs>
              <w:spacing w:line="240" w:lineRule="auto" w:before="43" w:after="0"/>
              <w:ind w:left="445" w:right="0" w:hanging="318"/>
              <w:jc w:val="left"/>
              <w:rPr>
                <w:sz w:val="21"/>
              </w:rPr>
            </w:pPr>
            <w:r>
              <w:rPr>
                <w:spacing w:val="-7"/>
                <w:sz w:val="21"/>
              </w:rPr>
              <w:t>严重出血：消化道出血、阴道大出血、颅内出血、肉眼血尿或皮下血肿</w:t>
            </w:r>
          </w:p>
          <w:p>
            <w:pPr>
              <w:pStyle w:val="TableParagraph"/>
              <w:spacing w:before="43"/>
              <w:ind w:left="127"/>
              <w:rPr>
                <w:sz w:val="21"/>
              </w:rPr>
            </w:pPr>
            <w:r>
              <w:rPr>
                <w:spacing w:val="-2"/>
                <w:sz w:val="21"/>
              </w:rPr>
              <w:t>（不包括皮下出血点</w:t>
            </w:r>
            <w:r>
              <w:rPr>
                <w:spacing w:val="-111"/>
                <w:sz w:val="21"/>
              </w:rPr>
              <w:t>）</w:t>
            </w:r>
            <w:r>
              <w:rPr>
                <w:spacing w:val="-5"/>
                <w:sz w:val="21"/>
              </w:rPr>
              <w:t>；</w:t>
            </w:r>
          </w:p>
          <w:p>
            <w:pPr>
              <w:pStyle w:val="TableParagraph"/>
              <w:numPr>
                <w:ilvl w:val="0"/>
                <w:numId w:val="49"/>
              </w:numPr>
              <w:tabs>
                <w:tab w:pos="445" w:val="left" w:leader="none"/>
              </w:tabs>
              <w:spacing w:line="278" w:lineRule="auto" w:before="43" w:after="0"/>
              <w:ind w:left="127" w:right="152" w:firstLine="0"/>
              <w:jc w:val="left"/>
              <w:rPr>
                <w:sz w:val="21"/>
              </w:rPr>
            </w:pPr>
            <w:r>
              <w:rPr>
                <w:spacing w:val="-4"/>
                <w:sz w:val="21"/>
              </w:rPr>
              <w:t>严重器官损害或衰竭：肝脏损伤（ALT</w:t>
            </w:r>
            <w:r>
              <w:rPr>
                <w:spacing w:val="-23"/>
                <w:sz w:val="21"/>
              </w:rPr>
              <w:t> 或 </w:t>
            </w:r>
            <w:r>
              <w:rPr>
                <w:spacing w:val="5"/>
                <w:sz w:val="21"/>
              </w:rPr>
              <w:t>A</w:t>
            </w:r>
            <w:r>
              <w:rPr>
                <w:spacing w:val="2"/>
                <w:sz w:val="21"/>
              </w:rPr>
              <w:t>S</w:t>
            </w:r>
            <w:r>
              <w:rPr>
                <w:spacing w:val="5"/>
                <w:sz w:val="21"/>
              </w:rPr>
              <w:t>T&gt;1</w:t>
            </w:r>
            <w:r>
              <w:rPr>
                <w:spacing w:val="2"/>
                <w:sz w:val="21"/>
              </w:rPr>
              <w:t>00</w:t>
            </w:r>
            <w:r>
              <w:rPr>
                <w:spacing w:val="5"/>
                <w:sz w:val="21"/>
              </w:rPr>
              <w:t>0IU/L</w:t>
            </w:r>
            <w:r>
              <w:rPr>
                <w:spacing w:val="-103"/>
                <w:sz w:val="21"/>
              </w:rPr>
              <w:t>）</w:t>
            </w:r>
            <w:r>
              <w:rPr>
                <w:spacing w:val="-4"/>
                <w:sz w:val="21"/>
              </w:rPr>
              <w:t>、ARDS（急性</w:t>
            </w:r>
            <w:r>
              <w:rPr>
                <w:spacing w:val="-2"/>
                <w:sz w:val="21"/>
              </w:rPr>
              <w:t>呼吸窘迫综合征</w:t>
            </w:r>
            <w:r>
              <w:rPr>
                <w:spacing w:val="-106"/>
                <w:sz w:val="21"/>
              </w:rPr>
              <w:t>）</w:t>
            </w:r>
            <w:r>
              <w:rPr>
                <w:spacing w:val="-2"/>
                <w:sz w:val="21"/>
              </w:rPr>
              <w:t>、急性心功能衰竭、急性肾功能衰竭、脑病。</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1"/>
              <w:ind w:left="127"/>
              <w:rPr>
                <w:sz w:val="21"/>
              </w:rPr>
            </w:pPr>
            <w:r>
              <w:rPr>
                <w:color w:val="000000"/>
                <w:spacing w:val="-3"/>
                <w:sz w:val="21"/>
                <w:shd w:fill="A6A6A6" w:color="auto" w:val="clear"/>
              </w:rPr>
              <w:t>非出血性登革热并不在保障范围内。</w:t>
            </w:r>
          </w:p>
        </w:tc>
      </w:tr>
      <w:tr>
        <w:trPr>
          <w:trHeight w:val="2327" w:hRule="atLeast"/>
        </w:trPr>
        <w:tc>
          <w:tcPr>
            <w:tcW w:w="1005" w:type="dxa"/>
          </w:tcPr>
          <w:p>
            <w:pPr>
              <w:pStyle w:val="TableParagraph"/>
              <w:spacing w:before="17"/>
              <w:ind w:left="50"/>
              <w:rPr>
                <w:rFonts w:ascii="微软雅黑"/>
                <w:b/>
                <w:sz w:val="21"/>
              </w:rPr>
            </w:pPr>
            <w:r>
              <w:rPr>
                <w:rFonts w:ascii="微软雅黑"/>
                <w:b/>
                <w:spacing w:val="-2"/>
                <w:sz w:val="21"/>
              </w:rPr>
              <w:t>10.1.91</w:t>
            </w:r>
          </w:p>
        </w:tc>
        <w:tc>
          <w:tcPr>
            <w:tcW w:w="1818" w:type="dxa"/>
          </w:tcPr>
          <w:p>
            <w:pPr>
              <w:pStyle w:val="TableParagraph"/>
              <w:spacing w:line="194" w:lineRule="auto" w:before="69"/>
              <w:ind w:left="214" w:right="123"/>
              <w:jc w:val="both"/>
              <w:rPr>
                <w:rFonts w:ascii="微软雅黑" w:eastAsia="微软雅黑"/>
                <w:b/>
                <w:sz w:val="21"/>
              </w:rPr>
            </w:pPr>
            <w:r>
              <w:rPr>
                <w:rFonts w:ascii="微软雅黑" w:eastAsia="微软雅黑"/>
                <w:b/>
                <w:spacing w:val="-2"/>
                <w:sz w:val="21"/>
              </w:rPr>
              <w:t>严重的脊髓空洞</w:t>
            </w:r>
            <w:r>
              <w:rPr>
                <w:rFonts w:ascii="微软雅黑" w:eastAsia="微软雅黑"/>
                <w:b/>
                <w:spacing w:val="-2"/>
                <w:sz w:val="21"/>
              </w:rPr>
              <w:t>症或严重的延髓</w:t>
            </w:r>
            <w:r>
              <w:rPr>
                <w:rFonts w:ascii="微软雅黑" w:eastAsia="微软雅黑"/>
                <w:b/>
                <w:spacing w:val="-4"/>
                <w:sz w:val="21"/>
              </w:rPr>
              <w:t>空洞症</w:t>
            </w:r>
          </w:p>
        </w:tc>
        <w:tc>
          <w:tcPr>
            <w:tcW w:w="7029" w:type="dxa"/>
          </w:tcPr>
          <w:p>
            <w:pPr>
              <w:pStyle w:val="TableParagraph"/>
              <w:spacing w:line="278" w:lineRule="auto" w:before="84"/>
              <w:ind w:left="127" w:right="150"/>
              <w:jc w:val="both"/>
              <w:rPr>
                <w:sz w:val="21"/>
              </w:rPr>
            </w:pPr>
            <w:r>
              <w:rPr>
                <w:spacing w:val="-2"/>
                <w:sz w:val="21"/>
              </w:rPr>
              <w:t>脊髓空洞症为慢性进行性的脊髓变性性疾病，其特征为脊髓内空洞形成。</w:t>
            </w:r>
            <w:r>
              <w:rPr>
                <w:spacing w:val="-2"/>
                <w:sz w:val="21"/>
              </w:rPr>
              <w:t>表现为感觉异常、肌萎缩及神经营养障碍。脊髓空洞症累及延髓称为延髓</w:t>
            </w:r>
            <w:r>
              <w:rPr>
                <w:spacing w:val="-2"/>
                <w:sz w:val="21"/>
              </w:rPr>
              <w:t>空洞症，表现为延髓麻痹。脊髓空洞症必须明确诊断并且造成永久不可逆</w:t>
            </w:r>
            <w:r>
              <w:rPr>
                <w:spacing w:val="-4"/>
                <w:sz w:val="21"/>
              </w:rPr>
              <w:t>的神经系统功能障碍，存在持续至少 </w:t>
            </w:r>
            <w:r>
              <w:rPr>
                <w:spacing w:val="-2"/>
                <w:sz w:val="21"/>
              </w:rPr>
              <w:t>180</w:t>
            </w:r>
            <w:r>
              <w:rPr>
                <w:spacing w:val="-7"/>
                <w:sz w:val="21"/>
              </w:rPr>
              <w:t> 天以上的神经系统功能缺失并满</w:t>
            </w:r>
            <w:r>
              <w:rPr>
                <w:spacing w:val="-2"/>
                <w:sz w:val="21"/>
              </w:rPr>
              <w:t>足下列任一条件：</w:t>
            </w:r>
          </w:p>
          <w:p>
            <w:pPr>
              <w:pStyle w:val="TableParagraph"/>
              <w:spacing w:line="278" w:lineRule="auto"/>
              <w:ind w:left="127" w:right="1539"/>
              <w:jc w:val="both"/>
              <w:rPr>
                <w:sz w:val="21"/>
              </w:rPr>
            </w:pPr>
            <w:r>
              <w:rPr>
                <w:spacing w:val="-2"/>
                <w:sz w:val="21"/>
              </w:rPr>
              <w:t>(1)延髓麻痹呈现显著舌肌萎缩、构音困难和吞咽困难；或</w:t>
            </w:r>
            <w:r>
              <w:rPr>
                <w:spacing w:val="-2"/>
                <w:sz w:val="21"/>
              </w:rPr>
              <w:t> </w:t>
            </w:r>
            <w:r>
              <w:rPr>
                <w:sz w:val="21"/>
              </w:rPr>
              <w:t>(2)</w:t>
            </w:r>
            <w:r>
              <w:rPr>
                <w:spacing w:val="-2"/>
                <w:sz w:val="21"/>
              </w:rPr>
              <w:t>双手萎缩呈“爪形手”，肌力 </w:t>
            </w:r>
            <w:r>
              <w:rPr>
                <w:sz w:val="21"/>
              </w:rPr>
              <w:t>2</w:t>
            </w:r>
            <w:r>
              <w:rPr>
                <w:spacing w:val="-5"/>
                <w:sz w:val="21"/>
              </w:rPr>
              <w:t> 级或以下。</w:t>
            </w:r>
          </w:p>
        </w:tc>
      </w:tr>
      <w:tr>
        <w:trPr>
          <w:trHeight w:val="2014" w:hRule="atLeast"/>
        </w:trPr>
        <w:tc>
          <w:tcPr>
            <w:tcW w:w="1005" w:type="dxa"/>
          </w:tcPr>
          <w:p>
            <w:pPr>
              <w:pStyle w:val="TableParagraph"/>
              <w:spacing w:before="18"/>
              <w:ind w:left="50"/>
              <w:rPr>
                <w:rFonts w:ascii="微软雅黑"/>
                <w:b/>
                <w:sz w:val="21"/>
              </w:rPr>
            </w:pPr>
            <w:r>
              <w:rPr>
                <w:rFonts w:ascii="微软雅黑"/>
                <w:b/>
                <w:spacing w:val="-2"/>
                <w:sz w:val="21"/>
              </w:rPr>
              <w:t>10.1.92</w:t>
            </w:r>
          </w:p>
        </w:tc>
        <w:tc>
          <w:tcPr>
            <w:tcW w:w="1818" w:type="dxa"/>
          </w:tcPr>
          <w:p>
            <w:pPr>
              <w:pStyle w:val="TableParagraph"/>
              <w:spacing w:line="194" w:lineRule="auto" w:before="70"/>
              <w:ind w:left="214" w:right="123"/>
              <w:rPr>
                <w:rFonts w:ascii="微软雅黑" w:eastAsia="微软雅黑"/>
                <w:b/>
                <w:sz w:val="21"/>
              </w:rPr>
            </w:pPr>
            <w:r>
              <w:rPr>
                <w:rFonts w:ascii="微软雅黑" w:eastAsia="微软雅黑"/>
                <w:b/>
                <w:spacing w:val="-2"/>
                <w:sz w:val="21"/>
              </w:rPr>
              <w:t>进行性风疹性全</w:t>
            </w:r>
            <w:r>
              <w:rPr>
                <w:rFonts w:ascii="微软雅黑" w:eastAsia="微软雅黑"/>
                <w:b/>
                <w:spacing w:val="-6"/>
                <w:sz w:val="21"/>
              </w:rPr>
              <w:t>脑炎</w:t>
            </w:r>
          </w:p>
        </w:tc>
        <w:tc>
          <w:tcPr>
            <w:tcW w:w="7029" w:type="dxa"/>
          </w:tcPr>
          <w:p>
            <w:pPr>
              <w:pStyle w:val="TableParagraph"/>
              <w:spacing w:line="278" w:lineRule="auto" w:before="85"/>
              <w:ind w:left="127" w:right="149"/>
              <w:rPr>
                <w:sz w:val="21"/>
              </w:rPr>
            </w:pPr>
            <w:r>
              <w:rPr>
                <w:spacing w:val="-2"/>
                <w:sz w:val="21"/>
              </w:rPr>
              <w:t>指由风疹病毒感染引起的儿童和青少年的慢性脑炎。疾病确诊 </w:t>
            </w:r>
            <w:r>
              <w:rPr>
                <w:sz w:val="21"/>
              </w:rPr>
              <w:t>180</w:t>
            </w:r>
            <w:r>
              <w:rPr>
                <w:spacing w:val="-12"/>
                <w:sz w:val="21"/>
              </w:rPr>
              <w:t> 天后，</w:t>
            </w:r>
            <w:r>
              <w:rPr>
                <w:spacing w:val="-2"/>
                <w:sz w:val="21"/>
              </w:rPr>
              <w:t>仍遗留下列一种或一种以上障碍：</w:t>
            </w:r>
          </w:p>
          <w:p>
            <w:pPr>
              <w:pStyle w:val="TableParagraph"/>
              <w:spacing w:line="278" w:lineRule="auto"/>
              <w:ind w:left="127" w:right="2977"/>
              <w:rPr>
                <w:sz w:val="21"/>
              </w:rPr>
            </w:pPr>
            <w:r>
              <w:rPr>
                <w:spacing w:val="-2"/>
                <w:sz w:val="21"/>
              </w:rPr>
              <w:t>(1)一肢或一肢以上肢体机能完全丧失；</w:t>
            </w:r>
            <w:r>
              <w:rPr>
                <w:spacing w:val="-2"/>
                <w:sz w:val="21"/>
              </w:rPr>
              <w:t> (2)</w:t>
            </w:r>
            <w:r>
              <w:rPr>
                <w:spacing w:val="-3"/>
                <w:sz w:val="21"/>
              </w:rPr>
              <w:t>语言能力或咀嚼吞咽能力完全丧失；</w:t>
            </w:r>
          </w:p>
          <w:p>
            <w:pPr>
              <w:pStyle w:val="TableParagraph"/>
              <w:spacing w:line="278" w:lineRule="auto"/>
              <w:ind w:left="127" w:right="152"/>
              <w:rPr>
                <w:sz w:val="21"/>
              </w:rPr>
            </w:pPr>
            <w:r>
              <w:rPr>
                <w:spacing w:val="-2"/>
                <w:sz w:val="21"/>
              </w:rPr>
              <w:t>(3)</w:t>
            </w:r>
            <w:r>
              <w:rPr>
                <w:spacing w:val="-10"/>
                <w:sz w:val="21"/>
              </w:rPr>
              <w:t>自主生活能力完全丧失，无法独立完成六项基本日常生活活动中的三项</w:t>
            </w:r>
            <w:r>
              <w:rPr>
                <w:spacing w:val="-2"/>
                <w:sz w:val="21"/>
              </w:rPr>
              <w:t>或三项以上。</w:t>
            </w:r>
          </w:p>
        </w:tc>
      </w:tr>
      <w:tr>
        <w:trPr>
          <w:trHeight w:val="2950" w:hRule="atLeast"/>
        </w:trPr>
        <w:tc>
          <w:tcPr>
            <w:tcW w:w="1005" w:type="dxa"/>
          </w:tcPr>
          <w:p>
            <w:pPr>
              <w:pStyle w:val="TableParagraph"/>
              <w:spacing w:before="17"/>
              <w:ind w:left="50"/>
              <w:rPr>
                <w:rFonts w:ascii="微软雅黑"/>
                <w:b/>
                <w:sz w:val="21"/>
              </w:rPr>
            </w:pPr>
            <w:r>
              <w:rPr>
                <w:rFonts w:ascii="微软雅黑"/>
                <w:b/>
                <w:spacing w:val="-2"/>
                <w:sz w:val="21"/>
              </w:rPr>
              <w:t>10.1.93</w:t>
            </w:r>
          </w:p>
        </w:tc>
        <w:tc>
          <w:tcPr>
            <w:tcW w:w="1818" w:type="dxa"/>
          </w:tcPr>
          <w:p>
            <w:pPr>
              <w:pStyle w:val="TableParagraph"/>
              <w:spacing w:line="194" w:lineRule="auto" w:before="69"/>
              <w:ind w:left="214" w:right="176"/>
              <w:rPr>
                <w:rFonts w:ascii="微软雅黑" w:eastAsia="微软雅黑"/>
                <w:b/>
                <w:sz w:val="21"/>
              </w:rPr>
            </w:pPr>
            <w:r>
              <w:rPr>
                <w:rFonts w:ascii="微软雅黑" w:eastAsia="微软雅黑"/>
                <w:b/>
                <w:spacing w:val="-2"/>
                <w:sz w:val="21"/>
              </w:rPr>
              <w:t>严重心脏衰竭</w:t>
            </w:r>
            <w:r>
              <w:rPr>
                <w:rFonts w:ascii="微软雅黑" w:eastAsia="微软雅黑"/>
                <w:b/>
                <w:spacing w:val="-2"/>
                <w:sz w:val="21"/>
              </w:rPr>
              <w:t> </w:t>
            </w:r>
            <w:r>
              <w:rPr>
                <w:rFonts w:ascii="微软雅黑" w:eastAsia="微软雅黑"/>
                <w:b/>
                <w:spacing w:val="-4"/>
                <w:w w:val="95"/>
                <w:sz w:val="21"/>
              </w:rPr>
              <w:t>CRT</w:t>
            </w:r>
            <w:r>
              <w:rPr>
                <w:rFonts w:ascii="微软雅黑" w:eastAsia="微软雅黑"/>
                <w:b/>
                <w:spacing w:val="-9"/>
                <w:w w:val="95"/>
                <w:sz w:val="21"/>
              </w:rPr>
              <w:t> </w:t>
            </w:r>
            <w:r>
              <w:rPr>
                <w:rFonts w:ascii="微软雅黑" w:eastAsia="微软雅黑"/>
                <w:b/>
                <w:spacing w:val="-4"/>
                <w:w w:val="95"/>
                <w:sz w:val="21"/>
              </w:rPr>
              <w:t>心</w:t>
            </w:r>
            <w:r>
              <w:rPr>
                <w:rFonts w:ascii="微软雅黑" w:eastAsia="微软雅黑"/>
                <w:b/>
                <w:spacing w:val="-4"/>
                <w:w w:val="95"/>
                <w:sz w:val="21"/>
              </w:rPr>
              <w:t>脏</w:t>
            </w:r>
            <w:r>
              <w:rPr>
                <w:rFonts w:ascii="微软雅黑" w:eastAsia="微软雅黑"/>
                <w:b/>
                <w:spacing w:val="-4"/>
                <w:w w:val="95"/>
                <w:sz w:val="21"/>
              </w:rPr>
              <w:t>再</w:t>
            </w:r>
            <w:r>
              <w:rPr>
                <w:rFonts w:ascii="微软雅黑" w:eastAsia="微软雅黑"/>
                <w:b/>
                <w:spacing w:val="-4"/>
                <w:w w:val="95"/>
                <w:sz w:val="21"/>
              </w:rPr>
              <w:t>同</w:t>
            </w:r>
            <w:r>
              <w:rPr>
                <w:rFonts w:ascii="微软雅黑" w:eastAsia="微软雅黑"/>
                <w:b/>
                <w:spacing w:val="-4"/>
                <w:w w:val="95"/>
                <w:sz w:val="21"/>
              </w:rPr>
              <w:t>步</w:t>
            </w:r>
            <w:r>
              <w:rPr>
                <w:rFonts w:ascii="微软雅黑" w:eastAsia="微软雅黑"/>
                <w:b/>
                <w:spacing w:val="-6"/>
                <w:sz w:val="21"/>
              </w:rPr>
              <w:t>治疗</w:t>
            </w:r>
          </w:p>
        </w:tc>
        <w:tc>
          <w:tcPr>
            <w:tcW w:w="7029" w:type="dxa"/>
          </w:tcPr>
          <w:p>
            <w:pPr>
              <w:pStyle w:val="TableParagraph"/>
              <w:spacing w:line="278" w:lineRule="auto" w:before="84"/>
              <w:ind w:left="127" w:right="150"/>
              <w:jc w:val="both"/>
              <w:rPr>
                <w:sz w:val="21"/>
              </w:rPr>
            </w:pPr>
            <w:r>
              <w:rPr>
                <w:spacing w:val="-2"/>
                <w:sz w:val="21"/>
              </w:rPr>
              <w:t>指因缺血性心脏病或扩张性心肌病导致慢性严重心脏衰竭，被保险人实际</w:t>
            </w:r>
            <w:r>
              <w:rPr>
                <w:spacing w:val="-8"/>
                <w:sz w:val="21"/>
              </w:rPr>
              <w:t>接受了 </w:t>
            </w:r>
            <w:r>
              <w:rPr>
                <w:spacing w:val="-2"/>
                <w:sz w:val="21"/>
              </w:rPr>
              <w:t>CRT</w:t>
            </w:r>
            <w:r>
              <w:rPr>
                <w:spacing w:val="-7"/>
                <w:sz w:val="21"/>
              </w:rPr>
              <w:t> 治疗，以矫正心室收缩不协调和改善心脏功能。接受治疗之前</w:t>
            </w:r>
            <w:r>
              <w:rPr>
                <w:spacing w:val="-2"/>
                <w:sz w:val="21"/>
              </w:rPr>
              <w:t>必须满足下列所有条件：</w:t>
            </w:r>
          </w:p>
          <w:p>
            <w:pPr>
              <w:pStyle w:val="TableParagraph"/>
              <w:numPr>
                <w:ilvl w:val="0"/>
                <w:numId w:val="50"/>
              </w:numPr>
              <w:tabs>
                <w:tab w:pos="447" w:val="left" w:leader="none"/>
              </w:tabs>
              <w:spacing w:line="278" w:lineRule="auto" w:before="0" w:after="0"/>
              <w:ind w:left="127" w:right="152" w:firstLine="0"/>
              <w:jc w:val="left"/>
              <w:rPr>
                <w:sz w:val="21"/>
              </w:rPr>
            </w:pPr>
            <w:r>
              <w:rPr>
                <w:sz w:val="21"/>
              </w:rPr>
              <w:t>心功能衰竭程度达到纽约心脏病学会的心功能分级标准之心功能Ⅲ级</w:t>
            </w:r>
            <w:r>
              <w:rPr>
                <w:spacing w:val="-4"/>
                <w:sz w:val="21"/>
              </w:rPr>
              <w:t>或Ⅳ级；</w:t>
            </w:r>
          </w:p>
          <w:p>
            <w:pPr>
              <w:pStyle w:val="TableParagraph"/>
              <w:numPr>
                <w:ilvl w:val="0"/>
                <w:numId w:val="50"/>
              </w:numPr>
              <w:tabs>
                <w:tab w:pos="445" w:val="left" w:leader="none"/>
              </w:tabs>
              <w:spacing w:line="278" w:lineRule="auto" w:before="0" w:after="0"/>
              <w:ind w:left="127" w:right="4062" w:firstLine="0"/>
              <w:jc w:val="left"/>
              <w:rPr>
                <w:sz w:val="21"/>
              </w:rPr>
            </w:pPr>
            <w:r>
              <w:rPr>
                <w:spacing w:val="-5"/>
                <w:sz w:val="21"/>
              </w:rPr>
              <w:t>左室射血分数低于 </w:t>
            </w:r>
            <w:r>
              <w:rPr>
                <w:sz w:val="21"/>
              </w:rPr>
              <w:t>35%； </w:t>
            </w:r>
            <w:r>
              <w:rPr>
                <w:spacing w:val="-2"/>
                <w:sz w:val="21"/>
              </w:rPr>
              <w:t>(3)左室舒张末期内径≥55mm</w:t>
            </w:r>
            <w:r>
              <w:rPr>
                <w:spacing w:val="-2"/>
                <w:sz w:val="21"/>
              </w:rPr>
              <w:t>；</w:t>
            </w:r>
            <w:r>
              <w:rPr>
                <w:spacing w:val="-2"/>
                <w:sz w:val="21"/>
              </w:rPr>
              <w:t> </w:t>
            </w:r>
            <w:r>
              <w:rPr>
                <w:sz w:val="21"/>
              </w:rPr>
              <w:t>(4)QRS</w:t>
            </w:r>
            <w:r>
              <w:rPr>
                <w:spacing w:val="-12"/>
                <w:sz w:val="21"/>
              </w:rPr>
              <w:t> 时间≥</w:t>
            </w:r>
            <w:r>
              <w:rPr>
                <w:sz w:val="21"/>
              </w:rPr>
              <w:t>130msec；</w:t>
            </w:r>
          </w:p>
          <w:p>
            <w:pPr>
              <w:pStyle w:val="TableParagraph"/>
              <w:spacing w:line="269" w:lineRule="exact"/>
              <w:ind w:left="127"/>
              <w:rPr>
                <w:sz w:val="21"/>
              </w:rPr>
            </w:pPr>
            <w:r>
              <w:rPr>
                <w:spacing w:val="-2"/>
                <w:sz w:val="21"/>
              </w:rPr>
              <w:t>(5)</w:t>
            </w:r>
            <w:r>
              <w:rPr>
                <w:spacing w:val="-3"/>
                <w:sz w:val="21"/>
              </w:rPr>
              <w:t>药物治疗效果不佳，仍有症状。</w:t>
            </w:r>
          </w:p>
        </w:tc>
      </w:tr>
      <w:tr>
        <w:trPr>
          <w:trHeight w:val="2013" w:hRule="atLeast"/>
        </w:trPr>
        <w:tc>
          <w:tcPr>
            <w:tcW w:w="1005" w:type="dxa"/>
          </w:tcPr>
          <w:p>
            <w:pPr>
              <w:pStyle w:val="TableParagraph"/>
              <w:spacing w:before="17"/>
              <w:ind w:left="50"/>
              <w:rPr>
                <w:rFonts w:ascii="微软雅黑"/>
                <w:b/>
                <w:sz w:val="21"/>
              </w:rPr>
            </w:pPr>
            <w:r>
              <w:rPr>
                <w:rFonts w:ascii="微软雅黑"/>
                <w:b/>
                <w:spacing w:val="-2"/>
                <w:sz w:val="21"/>
              </w:rPr>
              <w:t>10.1.94</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肺孢子菌肺炎</w:t>
            </w:r>
          </w:p>
        </w:tc>
        <w:tc>
          <w:tcPr>
            <w:tcW w:w="7029" w:type="dxa"/>
          </w:tcPr>
          <w:p>
            <w:pPr>
              <w:pStyle w:val="TableParagraph"/>
              <w:spacing w:line="278" w:lineRule="auto" w:before="84"/>
              <w:ind w:left="127" w:right="582"/>
              <w:rPr>
                <w:sz w:val="21"/>
              </w:rPr>
            </w:pPr>
            <w:r>
              <w:rPr>
                <w:spacing w:val="-2"/>
                <w:sz w:val="21"/>
              </w:rPr>
              <w:t>指由肺孢子菌引起的间质性浆细胞性肺炎，且满足下列全部条件： </w:t>
            </w:r>
            <w:r>
              <w:rPr>
                <w:sz w:val="21"/>
              </w:rPr>
              <w:t>(1)第一秒末用力呼气量（FEV1）</w:t>
            </w:r>
            <w:r>
              <w:rPr>
                <w:spacing w:val="-8"/>
                <w:sz w:val="21"/>
              </w:rPr>
              <w:t>小于 </w:t>
            </w:r>
            <w:r>
              <w:rPr>
                <w:sz w:val="21"/>
              </w:rPr>
              <w:t>1</w:t>
            </w:r>
            <w:r>
              <w:rPr>
                <w:spacing w:val="-8"/>
                <w:sz w:val="21"/>
              </w:rPr>
              <w:t> 升；</w:t>
            </w:r>
          </w:p>
          <w:p>
            <w:pPr>
              <w:pStyle w:val="TableParagraph"/>
              <w:spacing w:line="278" w:lineRule="auto"/>
              <w:ind w:left="127" w:right="2749"/>
              <w:rPr>
                <w:sz w:val="21"/>
              </w:rPr>
            </w:pPr>
            <w:r>
              <w:rPr>
                <w:spacing w:val="-2"/>
                <w:sz w:val="21"/>
              </w:rPr>
              <w:t>(2)</w:t>
            </w:r>
            <w:r>
              <w:rPr>
                <w:spacing w:val="-6"/>
                <w:sz w:val="21"/>
              </w:rPr>
              <w:t>气道内阻力增加，至少达到 </w:t>
            </w:r>
            <w:r>
              <w:rPr>
                <w:spacing w:val="-2"/>
                <w:sz w:val="21"/>
              </w:rPr>
              <w:t>0.5kPa/L/s； </w:t>
            </w:r>
            <w:r>
              <w:rPr>
                <w:sz w:val="21"/>
              </w:rPr>
              <w:t>(3)残气容积占肺总量（TLC）</w:t>
            </w:r>
            <w:r>
              <w:rPr>
                <w:spacing w:val="-23"/>
                <w:sz w:val="21"/>
              </w:rPr>
              <w:t>的 </w:t>
            </w:r>
            <w:r>
              <w:rPr>
                <w:sz w:val="21"/>
              </w:rPr>
              <w:t>60%以上； (4)</w:t>
            </w:r>
            <w:r>
              <w:rPr>
                <w:spacing w:val="-3"/>
                <w:sz w:val="21"/>
              </w:rPr>
              <w:t>胸内气体容积升高，超过基值的 </w:t>
            </w:r>
            <w:r>
              <w:rPr>
                <w:sz w:val="21"/>
              </w:rPr>
              <w:t>170%； </w:t>
            </w:r>
            <w:r>
              <w:rPr>
                <w:spacing w:val="-2"/>
                <w:position w:val="1"/>
                <w:sz w:val="21"/>
              </w:rPr>
              <w:t>(5)PaO</w:t>
            </w:r>
            <w:r>
              <w:rPr>
                <w:spacing w:val="-2"/>
                <w:sz w:val="11"/>
              </w:rPr>
              <w:t>2</w:t>
            </w:r>
            <w:r>
              <w:rPr>
                <w:spacing w:val="-2"/>
                <w:position w:val="1"/>
                <w:sz w:val="21"/>
              </w:rPr>
              <w:t>&lt;60mmHg，PaCO</w:t>
            </w:r>
            <w:r>
              <w:rPr>
                <w:spacing w:val="-2"/>
                <w:sz w:val="11"/>
              </w:rPr>
              <w:t>2</w:t>
            </w:r>
            <w:r>
              <w:rPr>
                <w:spacing w:val="-2"/>
                <w:position w:val="1"/>
                <w:sz w:val="21"/>
              </w:rPr>
              <w:t>&gt;50mmHg。</w:t>
            </w:r>
          </w:p>
        </w:tc>
      </w:tr>
      <w:tr>
        <w:trPr>
          <w:trHeight w:val="383" w:hRule="atLeast"/>
        </w:trPr>
        <w:tc>
          <w:tcPr>
            <w:tcW w:w="1005" w:type="dxa"/>
          </w:tcPr>
          <w:p>
            <w:pPr>
              <w:pStyle w:val="TableParagraph"/>
              <w:spacing w:line="346" w:lineRule="exact" w:before="17"/>
              <w:ind w:left="50"/>
              <w:rPr>
                <w:rFonts w:ascii="微软雅黑"/>
                <w:b/>
                <w:sz w:val="21"/>
              </w:rPr>
            </w:pPr>
            <w:r>
              <w:rPr>
                <w:rFonts w:ascii="微软雅黑"/>
                <w:b/>
                <w:spacing w:val="-2"/>
                <w:sz w:val="21"/>
              </w:rPr>
              <w:t>10.1.95</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严重席汉氏综合</w:t>
            </w:r>
          </w:p>
        </w:tc>
        <w:tc>
          <w:tcPr>
            <w:tcW w:w="7029" w:type="dxa"/>
          </w:tcPr>
          <w:p>
            <w:pPr>
              <w:pStyle w:val="TableParagraph"/>
              <w:spacing w:before="84"/>
              <w:ind w:left="127"/>
              <w:rPr>
                <w:sz w:val="21"/>
              </w:rPr>
            </w:pPr>
            <w:r>
              <w:rPr>
                <w:spacing w:val="-3"/>
                <w:sz w:val="21"/>
              </w:rPr>
              <w:t>指因产后大出血并发休克、全身循环衰竭、弥漫性血管内凝血导致脑垂体</w:t>
            </w:r>
          </w:p>
        </w:tc>
      </w:tr>
      <w:tr>
        <w:trPr>
          <w:trHeight w:val="312"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w w:val="100"/>
                <w:sz w:val="21"/>
              </w:rPr>
              <w:t>征</w:t>
            </w:r>
          </w:p>
        </w:tc>
        <w:tc>
          <w:tcPr>
            <w:tcW w:w="7029" w:type="dxa"/>
          </w:tcPr>
          <w:p>
            <w:pPr>
              <w:pStyle w:val="TableParagraph"/>
              <w:spacing w:before="13"/>
              <w:ind w:left="127"/>
              <w:rPr>
                <w:sz w:val="21"/>
              </w:rPr>
            </w:pPr>
            <w:r>
              <w:rPr>
                <w:spacing w:val="-5"/>
                <w:sz w:val="21"/>
              </w:rPr>
              <w:t>缺血坏死和垂体分泌激素不足，造成性腺、甲状腺、肾上腺皮质功能减退。</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3"/>
                <w:sz w:val="21"/>
              </w:rPr>
              <w:t>必须满足下列所有条件：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(1)</w:t>
            </w:r>
            <w:r>
              <w:rPr>
                <w:spacing w:val="-3"/>
                <w:sz w:val="21"/>
              </w:rPr>
              <w:t>产后大出血休克病史；</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(2)</w:t>
            </w:r>
            <w:r>
              <w:rPr>
                <w:spacing w:val="-3"/>
                <w:sz w:val="21"/>
              </w:rPr>
              <w:t>严重腺垂体功能破坏，破坏程度&gt;</w:t>
            </w:r>
            <w:r>
              <w:rPr>
                <w:spacing w:val="-4"/>
                <w:sz w:val="21"/>
              </w:rPr>
              <w:t>95%；</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(3)</w:t>
            </w:r>
            <w:r>
              <w:rPr>
                <w:spacing w:val="-3"/>
                <w:sz w:val="21"/>
              </w:rPr>
              <w:t>影像学检查显示脑垂体严重萎缩或消失；</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(4)</w:t>
            </w:r>
            <w:r>
              <w:rPr>
                <w:spacing w:val="-4"/>
                <w:sz w:val="21"/>
              </w:rPr>
              <w:t>实验室检查显示：</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29" w:type="dxa"/>
          </w:tcPr>
          <w:p>
            <w:pPr>
              <w:pStyle w:val="TableParagraph"/>
              <w:spacing w:line="228" w:lineRule="exact" w:before="13"/>
              <w:ind w:left="127"/>
              <w:rPr>
                <w:sz w:val="21"/>
              </w:rPr>
            </w:pPr>
            <w:r>
              <w:rPr>
                <w:spacing w:val="-3"/>
                <w:sz w:val="21"/>
              </w:rPr>
              <w:t>①垂体前叶激素全面低下；和</w:t>
            </w:r>
          </w:p>
        </w:tc>
      </w:tr>
    </w:tbl>
    <w:p>
      <w:pPr>
        <w:spacing w:after="0" w:line="228" w:lineRule="exact"/>
        <w:rPr>
          <w:sz w:val="21"/>
        </w:rPr>
        <w:sectPr>
          <w:type w:val="continuous"/>
          <w:pgSz w:w="11910" w:h="16840"/>
          <w:pgMar w:top="1460" w:bottom="280" w:left="920" w:right="440"/>
        </w:sectPr>
      </w:pPr>
    </w:p>
    <w:p>
      <w:pPr>
        <w:pStyle w:val="BodyText"/>
        <w:spacing w:line="278" w:lineRule="auto" w:before="43"/>
        <w:ind w:right="684"/>
      </w:pPr>
      <w:r>
        <w:rPr>
          <w:spacing w:val="-2"/>
        </w:rPr>
        <w:t>②性激素、甲状腺素、肾上腺皮质激素全面低下（包括生长激素、促甲状</w:t>
      </w:r>
      <w:r>
        <w:rPr>
          <w:spacing w:val="-2"/>
        </w:rPr>
        <w:t>腺素、促肾上腺皮质激素、卵泡刺激素和黄体生成素</w:t>
      </w:r>
      <w:r>
        <w:rPr>
          <w:spacing w:val="-106"/>
        </w:rPr>
        <w:t>）</w:t>
      </w:r>
      <w:r>
        <w:rPr/>
        <w:t>；</w:t>
      </w:r>
    </w:p>
    <w:p>
      <w:pPr>
        <w:pStyle w:val="ListParagraph"/>
        <w:numPr>
          <w:ilvl w:val="0"/>
          <w:numId w:val="39"/>
        </w:numPr>
        <w:tabs>
          <w:tab w:pos="3431" w:val="left" w:leader="none"/>
        </w:tabs>
        <w:spacing w:line="278" w:lineRule="auto" w:before="0" w:after="0"/>
        <w:ind w:left="3113" w:right="683" w:firstLine="0"/>
        <w:jc w:val="left"/>
        <w:rPr>
          <w:sz w:val="21"/>
        </w:rPr>
      </w:pPr>
      <w:r>
        <w:rPr>
          <w:spacing w:val="-7"/>
          <w:sz w:val="21"/>
        </w:rPr>
        <w:t>需要终身激素替代治疗以维持身体功能，持续服用各种替代激素超过一</w:t>
      </w:r>
      <w:r>
        <w:rPr>
          <w:spacing w:val="-6"/>
          <w:sz w:val="21"/>
        </w:rPr>
        <w:t>年。</w:t>
      </w:r>
    </w:p>
    <w:p>
      <w:pPr>
        <w:pStyle w:val="BodyText"/>
        <w:spacing w:before="76"/>
      </w:pPr>
      <w:r>
        <w:rPr>
          <w:color w:val="000000"/>
          <w:spacing w:val="-3"/>
          <w:shd w:fill="A6A6A6" w:color="auto" w:val="clear"/>
        </w:rPr>
        <w:t>垂体功能部分低下及其他原因所致垂体功能低下不在保障范围内。</w:t>
      </w:r>
    </w:p>
    <w:p>
      <w:pPr>
        <w:pStyle w:val="ListParagraph"/>
        <w:numPr>
          <w:ilvl w:val="2"/>
          <w:numId w:val="51"/>
        </w:numPr>
        <w:tabs>
          <w:tab w:pos="1381" w:val="left" w:leader="none"/>
          <w:tab w:pos="1382" w:val="left" w:leader="none"/>
          <w:tab w:pos="3112" w:val="left" w:leader="none"/>
        </w:tabs>
        <w:spacing w:line="393" w:lineRule="exact" w:before="118" w:after="0"/>
        <w:ind w:left="1382" w:right="0" w:hanging="1170"/>
        <w:jc w:val="left"/>
        <w:rPr>
          <w:sz w:val="21"/>
        </w:rPr>
      </w:pPr>
      <w:r>
        <w:rPr>
          <w:rFonts w:ascii="微软雅黑" w:eastAsia="微软雅黑"/>
          <w:b/>
          <w:sz w:val="21"/>
        </w:rPr>
        <w:t>皮质基底节变</w:t>
      </w:r>
      <w:r>
        <w:rPr>
          <w:rFonts w:ascii="微软雅黑" w:eastAsia="微软雅黑"/>
          <w:b/>
          <w:spacing w:val="-10"/>
          <w:sz w:val="21"/>
        </w:rPr>
        <w:t>性</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慢</w:t>
      </w:r>
      <w:r>
        <w:rPr>
          <w:spacing w:val="-2"/>
          <w:sz w:val="21"/>
        </w:rPr>
        <w:t>性</w:t>
      </w:r>
      <w:r>
        <w:rPr>
          <w:spacing w:val="-2"/>
          <w:sz w:val="21"/>
        </w:rPr>
        <w:t>进</w:t>
      </w:r>
      <w:r>
        <w:rPr>
          <w:spacing w:val="-2"/>
          <w:sz w:val="21"/>
        </w:rPr>
        <w:t>展</w:t>
      </w:r>
      <w:r>
        <w:rPr>
          <w:spacing w:val="-2"/>
          <w:sz w:val="21"/>
        </w:rPr>
        <w:t>性</w:t>
      </w:r>
      <w:r>
        <w:rPr>
          <w:spacing w:val="-2"/>
          <w:sz w:val="21"/>
        </w:rPr>
        <w:t>神</w:t>
      </w:r>
      <w:r>
        <w:rPr>
          <w:spacing w:val="-2"/>
          <w:sz w:val="21"/>
        </w:rPr>
        <w:t>经</w:t>
      </w:r>
      <w:r>
        <w:rPr>
          <w:spacing w:val="-2"/>
          <w:sz w:val="21"/>
        </w:rPr>
        <w:t>变</w:t>
      </w:r>
      <w:r>
        <w:rPr>
          <w:spacing w:val="-2"/>
          <w:sz w:val="21"/>
        </w:rPr>
        <w:t>性</w:t>
      </w:r>
      <w:r>
        <w:rPr>
          <w:spacing w:val="-2"/>
          <w:sz w:val="21"/>
        </w:rPr>
        <w:t>疾</w:t>
      </w:r>
      <w:r>
        <w:rPr>
          <w:spacing w:val="-2"/>
          <w:sz w:val="21"/>
        </w:rPr>
        <w:t>病</w:t>
      </w:r>
      <w:r>
        <w:rPr>
          <w:spacing w:val="-2"/>
          <w:sz w:val="21"/>
        </w:rPr>
        <w:t>，</w:t>
      </w:r>
      <w:r>
        <w:rPr>
          <w:spacing w:val="-2"/>
          <w:sz w:val="21"/>
        </w:rPr>
        <w:t>以</w:t>
      </w:r>
      <w:r>
        <w:rPr>
          <w:spacing w:val="-2"/>
          <w:sz w:val="21"/>
        </w:rPr>
        <w:t>不</w:t>
      </w:r>
      <w:r>
        <w:rPr>
          <w:spacing w:val="-2"/>
          <w:sz w:val="21"/>
        </w:rPr>
        <w:t>对</w:t>
      </w:r>
      <w:r>
        <w:rPr>
          <w:spacing w:val="-2"/>
          <w:sz w:val="21"/>
        </w:rPr>
        <w:t>称</w:t>
      </w:r>
      <w:r>
        <w:rPr>
          <w:spacing w:val="-2"/>
          <w:sz w:val="21"/>
        </w:rPr>
        <w:t>发</w:t>
      </w:r>
      <w:r>
        <w:rPr>
          <w:spacing w:val="-2"/>
          <w:sz w:val="21"/>
        </w:rPr>
        <w:t>作</w:t>
      </w:r>
      <w:r>
        <w:rPr>
          <w:spacing w:val="-2"/>
          <w:sz w:val="21"/>
        </w:rPr>
        <w:t>的</w:t>
      </w:r>
      <w:r>
        <w:rPr>
          <w:spacing w:val="-2"/>
          <w:sz w:val="21"/>
        </w:rPr>
        <w:t>无</w:t>
      </w:r>
      <w:r>
        <w:rPr>
          <w:spacing w:val="-2"/>
          <w:sz w:val="21"/>
        </w:rPr>
        <w:t>动</w:t>
      </w:r>
      <w:r>
        <w:rPr>
          <w:spacing w:val="-2"/>
          <w:sz w:val="21"/>
        </w:rPr>
        <w:t>性</w:t>
      </w:r>
      <w:r>
        <w:rPr>
          <w:spacing w:val="-2"/>
          <w:sz w:val="21"/>
        </w:rPr>
        <w:t>强</w:t>
      </w:r>
      <w:r>
        <w:rPr>
          <w:spacing w:val="-2"/>
          <w:sz w:val="21"/>
        </w:rPr>
        <w:t>直</w:t>
      </w:r>
      <w:r>
        <w:rPr>
          <w:spacing w:val="-2"/>
          <w:sz w:val="21"/>
        </w:rPr>
        <w:t>综</w:t>
      </w:r>
      <w:r>
        <w:rPr>
          <w:spacing w:val="-2"/>
          <w:sz w:val="21"/>
        </w:rPr>
        <w:t>合</w:t>
      </w:r>
      <w:r>
        <w:rPr>
          <w:spacing w:val="-2"/>
          <w:sz w:val="21"/>
        </w:rPr>
        <w:t>征</w:t>
      </w:r>
      <w:r>
        <w:rPr>
          <w:spacing w:val="-2"/>
          <w:sz w:val="21"/>
        </w:rPr>
        <w:t>、</w:t>
      </w:r>
      <w:r>
        <w:rPr>
          <w:spacing w:val="-10"/>
          <w:sz w:val="21"/>
        </w:rPr>
        <w:t>失</w:t>
      </w:r>
    </w:p>
    <w:p>
      <w:pPr>
        <w:pStyle w:val="BodyText"/>
        <w:spacing w:line="255" w:lineRule="exact"/>
      </w:pPr>
      <w:r>
        <w:rPr>
          <w:spacing w:val="-3"/>
        </w:rPr>
        <w:t>用、肌张力障碍及姿势异常为其临床特征。经专科医生明确诊断，被保险</w:t>
      </w:r>
    </w:p>
    <w:p>
      <w:pPr>
        <w:pStyle w:val="BodyText"/>
        <w:spacing w:line="278" w:lineRule="auto" w:before="43"/>
        <w:ind w:right="684"/>
      </w:pPr>
      <w:r>
        <w:rPr>
          <w:spacing w:val="-2"/>
        </w:rPr>
        <w:t>人自主生活能力完全丧失，无法独立完成六项基本日常生活活动中的三项</w:t>
      </w:r>
      <w:r>
        <w:rPr>
          <w:spacing w:val="-2"/>
        </w:rPr>
        <w:t>或三项以上，日常生活必须持续受到他人监护。</w:t>
      </w:r>
    </w:p>
    <w:p>
      <w:pPr>
        <w:pStyle w:val="ListParagraph"/>
        <w:numPr>
          <w:ilvl w:val="2"/>
          <w:numId w:val="51"/>
        </w:numPr>
        <w:tabs>
          <w:tab w:pos="1381" w:val="left" w:leader="none"/>
          <w:tab w:pos="1382" w:val="left" w:leader="none"/>
          <w:tab w:pos="3112" w:val="left" w:leader="none"/>
        </w:tabs>
        <w:spacing w:line="393" w:lineRule="exact" w:before="76" w:after="0"/>
        <w:ind w:left="1382" w:right="0" w:hanging="1170"/>
        <w:jc w:val="left"/>
        <w:rPr>
          <w:sz w:val="21"/>
        </w:rPr>
      </w:pPr>
      <w:r>
        <w:rPr>
          <w:rFonts w:ascii="微软雅黑" w:eastAsia="微软雅黑"/>
          <w:b/>
          <w:sz w:val="21"/>
        </w:rPr>
        <w:t>严重气性坏</w:t>
      </w:r>
      <w:r>
        <w:rPr>
          <w:rFonts w:ascii="微软雅黑" w:eastAsia="微软雅黑"/>
          <w:b/>
          <w:spacing w:val="-10"/>
          <w:sz w:val="21"/>
        </w:rPr>
        <w:t>疽</w:t>
      </w:r>
      <w:r>
        <w:rPr>
          <w:rFonts w:ascii="微软雅黑" w:eastAsia="微软雅黑"/>
          <w:b/>
          <w:sz w:val="21"/>
        </w:rPr>
        <w:tab/>
      </w:r>
      <w:r>
        <w:rPr>
          <w:spacing w:val="-2"/>
          <w:sz w:val="21"/>
        </w:rPr>
        <w:t>指</w:t>
      </w:r>
      <w:r>
        <w:rPr>
          <w:spacing w:val="-2"/>
          <w:sz w:val="21"/>
        </w:rPr>
        <w:t>由</w:t>
      </w:r>
      <w:r>
        <w:rPr>
          <w:spacing w:val="-2"/>
          <w:sz w:val="21"/>
        </w:rPr>
        <w:t>梭</w:t>
      </w:r>
      <w:r>
        <w:rPr>
          <w:spacing w:val="-2"/>
          <w:sz w:val="21"/>
        </w:rPr>
        <w:t>状</w:t>
      </w:r>
      <w:r>
        <w:rPr>
          <w:spacing w:val="-2"/>
          <w:sz w:val="21"/>
        </w:rPr>
        <w:t>芽</w:t>
      </w:r>
      <w:r>
        <w:rPr>
          <w:spacing w:val="-2"/>
          <w:sz w:val="21"/>
        </w:rPr>
        <w:t>胞</w:t>
      </w:r>
      <w:r>
        <w:rPr>
          <w:spacing w:val="-2"/>
          <w:sz w:val="21"/>
        </w:rPr>
        <w:t>杆</w:t>
      </w:r>
      <w:r>
        <w:rPr>
          <w:spacing w:val="-2"/>
          <w:sz w:val="21"/>
        </w:rPr>
        <w:t>菌</w:t>
      </w:r>
      <w:r>
        <w:rPr>
          <w:spacing w:val="-2"/>
          <w:sz w:val="21"/>
        </w:rPr>
        <w:t>所</w:t>
      </w:r>
      <w:r>
        <w:rPr>
          <w:spacing w:val="-2"/>
          <w:sz w:val="21"/>
        </w:rPr>
        <w:t>致</w:t>
      </w:r>
      <w:r>
        <w:rPr>
          <w:spacing w:val="-2"/>
          <w:sz w:val="21"/>
        </w:rPr>
        <w:t>的</w:t>
      </w:r>
      <w:r>
        <w:rPr>
          <w:spacing w:val="-2"/>
          <w:sz w:val="21"/>
        </w:rPr>
        <w:t>肌</w:t>
      </w:r>
      <w:r>
        <w:rPr>
          <w:spacing w:val="-2"/>
          <w:sz w:val="21"/>
        </w:rPr>
        <w:t>坏</w:t>
      </w:r>
      <w:r>
        <w:rPr>
          <w:spacing w:val="-2"/>
          <w:sz w:val="21"/>
        </w:rPr>
        <w:t>死</w:t>
      </w:r>
      <w:r>
        <w:rPr>
          <w:spacing w:val="-2"/>
          <w:sz w:val="21"/>
        </w:rPr>
        <w:t>或</w:t>
      </w:r>
      <w:r>
        <w:rPr>
          <w:spacing w:val="-2"/>
          <w:sz w:val="21"/>
        </w:rPr>
        <w:t>肌</w:t>
      </w:r>
      <w:r>
        <w:rPr>
          <w:spacing w:val="-2"/>
          <w:sz w:val="21"/>
        </w:rPr>
        <w:t>炎</w:t>
      </w:r>
      <w:r>
        <w:rPr>
          <w:spacing w:val="-2"/>
          <w:sz w:val="21"/>
        </w:rPr>
        <w:t>。</w:t>
      </w:r>
      <w:r>
        <w:rPr>
          <w:spacing w:val="-2"/>
          <w:sz w:val="21"/>
        </w:rPr>
        <w:t>须</w:t>
      </w:r>
      <w:r>
        <w:rPr>
          <w:spacing w:val="-2"/>
          <w:sz w:val="21"/>
        </w:rPr>
        <w:t>经</w:t>
      </w:r>
      <w:r>
        <w:rPr>
          <w:spacing w:val="-2"/>
          <w:sz w:val="21"/>
        </w:rPr>
        <w:t>专</w:t>
      </w:r>
      <w:r>
        <w:rPr>
          <w:spacing w:val="-2"/>
          <w:sz w:val="21"/>
        </w:rPr>
        <w:t>科</w:t>
      </w:r>
      <w:r>
        <w:rPr>
          <w:spacing w:val="-2"/>
          <w:sz w:val="21"/>
        </w:rPr>
        <w:t>医</w:t>
      </w:r>
      <w:r>
        <w:rPr>
          <w:spacing w:val="-2"/>
          <w:sz w:val="21"/>
        </w:rPr>
        <w:t>生</w:t>
      </w:r>
      <w:r>
        <w:rPr>
          <w:spacing w:val="-2"/>
          <w:sz w:val="21"/>
        </w:rPr>
        <w:t>明</w:t>
      </w:r>
      <w:r>
        <w:rPr>
          <w:spacing w:val="-2"/>
          <w:sz w:val="21"/>
        </w:rPr>
        <w:t>确</w:t>
      </w:r>
      <w:r>
        <w:rPr>
          <w:spacing w:val="-2"/>
          <w:sz w:val="21"/>
        </w:rPr>
        <w:t>诊</w:t>
      </w:r>
      <w:r>
        <w:rPr>
          <w:spacing w:val="-2"/>
          <w:sz w:val="21"/>
        </w:rPr>
        <w:t>断</w:t>
      </w:r>
      <w:r>
        <w:rPr>
          <w:spacing w:val="-2"/>
          <w:sz w:val="21"/>
        </w:rPr>
        <w:t>，且</w:t>
      </w:r>
      <w:r>
        <w:rPr>
          <w:spacing w:val="-2"/>
          <w:sz w:val="21"/>
        </w:rPr>
        <w:t>须</w:t>
      </w:r>
      <w:r>
        <w:rPr>
          <w:spacing w:val="-10"/>
          <w:sz w:val="21"/>
        </w:rPr>
        <w:t>满</w:t>
      </w:r>
    </w:p>
    <w:p>
      <w:pPr>
        <w:pStyle w:val="BodyText"/>
        <w:spacing w:line="255" w:lineRule="exact"/>
      </w:pPr>
      <w:r>
        <w:rPr>
          <w:spacing w:val="-4"/>
        </w:rPr>
        <w:t>足下列全部条件：</w:t>
      </w:r>
    </w:p>
    <w:p>
      <w:pPr>
        <w:pStyle w:val="ListParagraph"/>
        <w:numPr>
          <w:ilvl w:val="3"/>
          <w:numId w:val="51"/>
        </w:numPr>
        <w:tabs>
          <w:tab w:pos="3431" w:val="left" w:leader="none"/>
        </w:tabs>
        <w:spacing w:line="278" w:lineRule="auto" w:before="43" w:after="0"/>
        <w:ind w:left="3113" w:right="4174" w:firstLine="0"/>
        <w:jc w:val="left"/>
        <w:rPr>
          <w:sz w:val="21"/>
        </w:rPr>
      </w:pPr>
      <w:r>
        <w:rPr>
          <w:spacing w:val="-2"/>
          <w:sz w:val="21"/>
        </w:rPr>
        <w:t>符合气性坏疽的一般临床表现；</w:t>
      </w:r>
      <w:r>
        <w:rPr>
          <w:spacing w:val="-2"/>
          <w:sz w:val="21"/>
        </w:rPr>
        <w:t> (2)细菌培养检出致病菌；</w:t>
      </w:r>
    </w:p>
    <w:p>
      <w:pPr>
        <w:pStyle w:val="BodyText"/>
        <w:spacing w:line="348" w:lineRule="auto"/>
        <w:ind w:right="2808"/>
      </w:pPr>
      <w:r>
        <w:rPr>
          <w:spacing w:val="-2"/>
        </w:rPr>
        <w:t>(3)受感染肢体被截肢（自腕关节或踝关节近端</w:t>
      </w:r>
      <w:r>
        <w:rPr>
          <w:spacing w:val="-106"/>
        </w:rPr>
        <w:t>）</w:t>
      </w:r>
      <w:r>
        <w:rPr>
          <w:spacing w:val="-2"/>
        </w:rPr>
        <w:t>。</w:t>
      </w:r>
      <w:r>
        <w:rPr>
          <w:color w:val="000000"/>
          <w:spacing w:val="-2"/>
          <w:shd w:fill="A6A6A6" w:color="auto" w:val="clear"/>
        </w:rPr>
        <w:t>清创术不在保障范围内。</w:t>
      </w:r>
    </w:p>
    <w:p>
      <w:pPr>
        <w:pStyle w:val="ListParagraph"/>
        <w:numPr>
          <w:ilvl w:val="2"/>
          <w:numId w:val="51"/>
        </w:numPr>
        <w:tabs>
          <w:tab w:pos="1381" w:val="left" w:leader="none"/>
          <w:tab w:pos="1382" w:val="left" w:leader="none"/>
          <w:tab w:pos="3112" w:val="left" w:leader="none"/>
        </w:tabs>
        <w:spacing w:line="388" w:lineRule="exact" w:before="0" w:after="0"/>
        <w:ind w:left="1382" w:right="0" w:hanging="1170"/>
        <w:jc w:val="left"/>
        <w:rPr>
          <w:sz w:val="21"/>
        </w:rPr>
      </w:pPr>
      <w:r>
        <w:rPr>
          <w:rFonts w:ascii="微软雅黑" w:eastAsia="微软雅黑"/>
          <w:b/>
          <w:sz w:val="21"/>
        </w:rPr>
        <w:t>严重亚历山大</w:t>
      </w:r>
      <w:r>
        <w:rPr>
          <w:rFonts w:ascii="微软雅黑" w:eastAsia="微软雅黑"/>
          <w:b/>
          <w:spacing w:val="-10"/>
          <w:sz w:val="21"/>
        </w:rPr>
        <w:t>病</w:t>
      </w:r>
      <w:r>
        <w:rPr>
          <w:rFonts w:ascii="微软雅黑" w:eastAsia="微软雅黑"/>
          <w:b/>
          <w:sz w:val="21"/>
        </w:rPr>
        <w:tab/>
      </w:r>
      <w:r>
        <w:rPr>
          <w:spacing w:val="-2"/>
          <w:sz w:val="21"/>
        </w:rPr>
        <w:t>亚</w:t>
      </w:r>
      <w:r>
        <w:rPr>
          <w:spacing w:val="-2"/>
          <w:sz w:val="21"/>
        </w:rPr>
        <w:t>历</w:t>
      </w:r>
      <w:r>
        <w:rPr>
          <w:spacing w:val="-2"/>
          <w:sz w:val="21"/>
        </w:rPr>
        <w:t>山大病（Alexander's</w:t>
      </w:r>
      <w:r>
        <w:rPr>
          <w:spacing w:val="-46"/>
          <w:sz w:val="21"/>
        </w:rPr>
        <w:t> </w:t>
      </w:r>
      <w:r>
        <w:rPr>
          <w:spacing w:val="-2"/>
          <w:sz w:val="21"/>
        </w:rPr>
        <w:t>Disease）是一种遗传性中</w:t>
      </w:r>
      <w:r>
        <w:rPr>
          <w:spacing w:val="-2"/>
          <w:sz w:val="21"/>
        </w:rPr>
        <w:t>枢</w:t>
      </w:r>
      <w:r>
        <w:rPr>
          <w:spacing w:val="-2"/>
          <w:sz w:val="21"/>
        </w:rPr>
        <w:t>神</w:t>
      </w:r>
      <w:r>
        <w:rPr>
          <w:spacing w:val="-2"/>
          <w:sz w:val="21"/>
        </w:rPr>
        <w:t>经系统退行</w:t>
      </w:r>
      <w:r>
        <w:rPr>
          <w:spacing w:val="-2"/>
          <w:sz w:val="21"/>
        </w:rPr>
        <w:t>性</w:t>
      </w:r>
      <w:r>
        <w:rPr>
          <w:spacing w:val="-10"/>
          <w:sz w:val="21"/>
        </w:rPr>
        <w:t>病</w:t>
      </w:r>
    </w:p>
    <w:p>
      <w:pPr>
        <w:pStyle w:val="BodyText"/>
        <w:spacing w:line="255" w:lineRule="exact"/>
      </w:pPr>
      <w:r>
        <w:rPr>
          <w:spacing w:val="-5"/>
        </w:rPr>
        <w:t>变，特点为脑白质营养不良性。临床表现为惊厥发作、智力下降、球麻痹、</w:t>
      </w:r>
    </w:p>
    <w:p>
      <w:pPr>
        <w:pStyle w:val="BodyText"/>
        <w:spacing w:line="278" w:lineRule="auto" w:before="43"/>
        <w:ind w:right="684"/>
        <w:jc w:val="both"/>
      </w:pPr>
      <w:r>
        <w:rPr>
          <w:spacing w:val="-2"/>
        </w:rPr>
        <w:t>共济失调、痉性瘫痪。亚历山大病必须被明确诊断，并且造成永久性神经</w:t>
      </w:r>
      <w:r>
        <w:rPr>
          <w:spacing w:val="-2"/>
        </w:rPr>
        <w:t>系统功能障碍。被保险人自主生活能力完全丧失，无法独立完成六项基本</w:t>
      </w:r>
      <w:r>
        <w:rPr>
          <w:spacing w:val="-2"/>
        </w:rPr>
        <w:t>日常生活活动中的三项或三项以上，日常生活必须持续接受他人护理。</w:t>
      </w:r>
    </w:p>
    <w:p>
      <w:pPr>
        <w:pStyle w:val="BodyText"/>
        <w:spacing w:before="79"/>
      </w:pPr>
      <w:r>
        <w:rPr>
          <w:color w:val="000000"/>
          <w:spacing w:val="-3"/>
          <w:shd w:fill="A6A6A6" w:color="auto" w:val="clear"/>
        </w:rPr>
        <w:t>未明确诊断的疑似病例不在保障范围内。</w:t>
      </w:r>
    </w:p>
    <w:p>
      <w:pPr>
        <w:pStyle w:val="BodyText"/>
        <w:spacing w:before="11"/>
        <w:ind w:left="0"/>
        <w:rPr>
          <w:sz w:val="8"/>
        </w:rPr>
      </w:pPr>
    </w:p>
    <w:p>
      <w:pPr>
        <w:spacing w:after="0"/>
        <w:rPr>
          <w:sz w:val="8"/>
        </w:rPr>
        <w:sectPr>
          <w:pgSz w:w="11910" w:h="16840"/>
          <w:pgMar w:top="1380" w:bottom="280" w:left="920" w:right="440"/>
        </w:sectPr>
      </w:pPr>
    </w:p>
    <w:p>
      <w:pPr>
        <w:pStyle w:val="Heading1"/>
        <w:numPr>
          <w:ilvl w:val="2"/>
          <w:numId w:val="51"/>
        </w:numPr>
        <w:tabs>
          <w:tab w:pos="1381" w:val="left" w:leader="none"/>
          <w:tab w:pos="1382" w:val="left" w:leader="none"/>
        </w:tabs>
        <w:spacing w:line="184" w:lineRule="auto" w:before="63" w:after="0"/>
        <w:ind w:left="1382" w:right="0" w:hanging="1170"/>
        <w:jc w:val="left"/>
      </w:pPr>
      <w:r>
        <w:rPr>
          <w:spacing w:val="-2"/>
        </w:rPr>
        <w:t>严重骨生长不全</w:t>
      </w:r>
      <w:r>
        <w:rPr>
          <w:spacing w:val="-10"/>
        </w:rPr>
        <w:t>症</w:t>
      </w:r>
    </w:p>
    <w:p>
      <w:pPr>
        <w:pStyle w:val="BodyText"/>
        <w:spacing w:line="278" w:lineRule="auto" w:before="71"/>
        <w:ind w:left="212" w:right="681"/>
        <w:jc w:val="both"/>
      </w:pPr>
      <w:r>
        <w:rPr/>
        <w:br w:type="column"/>
      </w:r>
      <w:r>
        <w:rPr>
          <w:spacing w:val="-3"/>
        </w:rPr>
        <w:t>是一种胶原病，特征为骨易碎，骨质疏松和易骨折。该病有 </w:t>
      </w:r>
      <w:r>
        <w:rPr>
          <w:spacing w:val="-2"/>
        </w:rPr>
        <w:t>4</w:t>
      </w:r>
      <w:r>
        <w:rPr>
          <w:spacing w:val="-7"/>
        </w:rPr>
        <w:t> 种类型：Ⅰ</w:t>
      </w:r>
      <w:r>
        <w:rPr>
          <w:spacing w:val="-2"/>
        </w:rPr>
        <w:t>型、Ⅱ型、Ⅲ型、Ⅳ型。</w:t>
      </w:r>
      <w:r>
        <w:rPr>
          <w:color w:val="000000"/>
          <w:spacing w:val="-2"/>
          <w:shd w:fill="A6A6A6" w:color="auto" w:val="clear"/>
        </w:rPr>
        <w:t>本合同只保障Ⅲ型成骨不全的情形</w:t>
      </w:r>
      <w:r>
        <w:rPr>
          <w:color w:val="000000"/>
          <w:spacing w:val="-2"/>
        </w:rPr>
        <w:t>，其主要临床</w:t>
      </w:r>
      <w:r>
        <w:rPr>
          <w:color w:val="000000"/>
          <w:spacing w:val="-2"/>
        </w:rPr>
        <w:t>特点有：发展迟缓、多发性骨折、进行性脊柱后侧凸及听力损害。Ⅲ型成</w:t>
      </w:r>
      <w:r>
        <w:rPr>
          <w:color w:val="000000"/>
        </w:rPr>
        <w:t>骨不全的诊断必须根据身体检查，家族史，X</w:t>
      </w:r>
      <w:r>
        <w:rPr>
          <w:color w:val="000000"/>
          <w:spacing w:val="-2"/>
        </w:rPr>
        <w:t> 线检查和皮肤活检报告资料</w:t>
      </w:r>
      <w:r>
        <w:rPr>
          <w:color w:val="000000"/>
          <w:spacing w:val="-4"/>
        </w:rPr>
        <w:t>确诊。</w:t>
      </w:r>
    </w:p>
    <w:p>
      <w:pPr>
        <w:spacing w:after="0" w:line="278" w:lineRule="auto"/>
        <w:jc w:val="both"/>
        <w:sectPr>
          <w:type w:val="continuous"/>
          <w:pgSz w:w="11910" w:h="16840"/>
          <w:pgMar w:top="680" w:bottom="280" w:left="920" w:right="440"/>
          <w:cols w:num="2" w:equalWidth="0">
            <w:col w:w="2861" w:space="40"/>
            <w:col w:w="7649"/>
          </w:cols>
        </w:sectPr>
      </w:pPr>
    </w:p>
    <w:p>
      <w:pPr>
        <w:pStyle w:val="Heading1"/>
        <w:numPr>
          <w:ilvl w:val="2"/>
          <w:numId w:val="51"/>
        </w:numPr>
        <w:tabs>
          <w:tab w:pos="1381" w:val="left" w:leader="none"/>
          <w:tab w:pos="1382" w:val="left" w:leader="none"/>
        </w:tabs>
        <w:spacing w:line="358" w:lineRule="exact" w:before="79" w:after="0"/>
        <w:ind w:left="1382" w:right="0" w:hanging="1170"/>
        <w:jc w:val="left"/>
      </w:pPr>
      <w:r>
        <w:rPr>
          <w:spacing w:val="-2"/>
          <w:position w:val="2"/>
        </w:rPr>
        <w:t>严重肾上腺脑白</w:t>
      </w:r>
    </w:p>
    <w:p>
      <w:pPr>
        <w:spacing w:line="338" w:lineRule="exact" w:before="0"/>
        <w:ind w:left="1382" w:right="0" w:firstLine="0"/>
        <w:jc w:val="left"/>
        <w:rPr>
          <w:rFonts w:ascii="微软雅黑" w:eastAsia="微软雅黑"/>
          <w:b/>
          <w:sz w:val="21"/>
        </w:rPr>
      </w:pPr>
      <w:r>
        <w:rPr>
          <w:rFonts w:ascii="微软雅黑" w:eastAsia="微软雅黑"/>
          <w:b/>
          <w:spacing w:val="-2"/>
          <w:sz w:val="21"/>
        </w:rPr>
        <w:t>质营养不良</w:t>
      </w:r>
    </w:p>
    <w:p>
      <w:pPr>
        <w:pStyle w:val="BodyText"/>
        <w:spacing w:line="278" w:lineRule="auto" w:before="142"/>
        <w:ind w:left="212" w:right="578"/>
      </w:pPr>
      <w:r>
        <w:rPr/>
        <w:br w:type="column"/>
      </w:r>
      <w:r>
        <w:rPr>
          <w:spacing w:val="-2"/>
        </w:rPr>
        <w:t>指一种最常见的过氧化物酶体病，主要累及肾上腺和脑白质，主要表现为</w:t>
      </w:r>
      <w:r>
        <w:rPr>
          <w:spacing w:val="-4"/>
        </w:rPr>
        <w:t>进行性的精神运动障碍，视力及听力下降和（或）肾上腺皮质功能低下等。</w:t>
      </w:r>
      <w:r>
        <w:rPr>
          <w:spacing w:val="-2"/>
        </w:rPr>
        <w:t>须经专科医生诊断，且已经造成自主生活能力完全丧失，无法独立完成六</w:t>
      </w:r>
      <w:r>
        <w:rPr>
          <w:spacing w:val="-1"/>
        </w:rPr>
        <w:t>项基本日常生活活动中的三项或三项以上，持续至少 </w:t>
      </w:r>
      <w:r>
        <w:rPr/>
        <w:t>180</w:t>
      </w:r>
      <w:r>
        <w:rPr>
          <w:spacing w:val="-2"/>
        </w:rPr>
        <w:t> 天。</w:t>
      </w:r>
      <w:r>
        <w:rPr>
          <w:color w:val="000000"/>
          <w:shd w:fill="A6A6A6" w:color="auto" w:val="clear"/>
        </w:rPr>
        <w:t>本合同仅对</w:t>
      </w:r>
      <w:r>
        <w:rPr>
          <w:color w:val="000000"/>
          <w:spacing w:val="80"/>
          <w:w w:val="150"/>
          <w:shd w:fill="A6A6A6" w:color="auto" w:val="clear"/>
        </w:rPr>
        <w:t>                                     </w:t>
      </w:r>
      <w:r>
        <w:rPr>
          <w:color w:val="000000"/>
          <w:spacing w:val="-2"/>
          <w:shd w:fill="A6A6A6" w:color="auto" w:val="clear"/>
        </w:rPr>
        <w:t>三周岁以上的被保险人予以理赔。</w:t>
      </w:r>
    </w:p>
    <w:p>
      <w:pPr>
        <w:spacing w:after="0" w:line="278" w:lineRule="auto"/>
        <w:sectPr>
          <w:type w:val="continuous"/>
          <w:pgSz w:w="11910" w:h="16840"/>
          <w:pgMar w:top="680" w:bottom="280" w:left="920" w:right="440"/>
          <w:cols w:num="2" w:equalWidth="0">
            <w:col w:w="2861" w:space="40"/>
            <w:col w:w="7649"/>
          </w:cols>
        </w:sectPr>
      </w:pPr>
    </w:p>
    <w:p>
      <w:pPr>
        <w:pStyle w:val="Heading1"/>
        <w:numPr>
          <w:ilvl w:val="2"/>
          <w:numId w:val="51"/>
        </w:numPr>
        <w:tabs>
          <w:tab w:pos="1381" w:val="left" w:leader="none"/>
          <w:tab w:pos="1382" w:val="left" w:leader="none"/>
        </w:tabs>
        <w:spacing w:line="194" w:lineRule="auto" w:before="126" w:after="0"/>
        <w:ind w:left="1382" w:right="0" w:hanging="1170"/>
        <w:jc w:val="left"/>
      </w:pPr>
      <w:r>
        <w:rPr>
          <w:spacing w:val="-2"/>
        </w:rPr>
        <w:t>肺泡蛋白质沉积</w:t>
      </w:r>
      <w:r>
        <w:rPr>
          <w:spacing w:val="-10"/>
        </w:rPr>
        <w:t>症</w:t>
      </w:r>
    </w:p>
    <w:p>
      <w:pPr>
        <w:pStyle w:val="BodyText"/>
        <w:spacing w:line="278" w:lineRule="auto" w:before="141"/>
        <w:ind w:left="212" w:right="684"/>
        <w:jc w:val="both"/>
      </w:pPr>
      <w:r>
        <w:rPr/>
        <w:br w:type="column"/>
      </w:r>
      <w:r>
        <w:rPr>
          <w:spacing w:val="-2"/>
        </w:rPr>
        <w:t>肺泡蛋白质沉积症是一种弥漫性肺部疾病，其组织学特征为肺泡腔内及终</w:t>
      </w:r>
      <w:r>
        <w:rPr>
          <w:spacing w:val="-2"/>
        </w:rPr>
        <w:t>末细支气管内堆积过量的磷脂蛋白样物质。理赔时须满足下列所有条件： </w:t>
      </w:r>
      <w:r>
        <w:rPr/>
        <w:t>(1</w:t>
      </w:r>
      <w:r>
        <w:rPr>
          <w:spacing w:val="-1"/>
        </w:rPr>
        <w:t>)支气管镜活检或开胸肺活检病理检查证实肺泡内充满有过碘酸雪夫</w:t>
      </w:r>
    </w:p>
    <w:p>
      <w:pPr>
        <w:pStyle w:val="BodyText"/>
        <w:ind w:left="212"/>
      </w:pPr>
      <w:r>
        <w:rPr>
          <w:spacing w:val="-2"/>
        </w:rPr>
        <w:t>（PAS）</w:t>
      </w:r>
      <w:r>
        <w:rPr>
          <w:spacing w:val="-3"/>
        </w:rPr>
        <w:t>染色阳性的蛋白样物质；</w:t>
      </w:r>
    </w:p>
    <w:p>
      <w:pPr>
        <w:pStyle w:val="BodyText"/>
        <w:spacing w:line="278" w:lineRule="auto" w:before="43"/>
        <w:ind w:left="212" w:right="692"/>
      </w:pPr>
      <w:r>
        <w:rPr>
          <w:spacing w:val="-2"/>
        </w:rPr>
        <w:t>(2)被保人因中重度呼吸困难或低氧血症而实际已行全身麻醉下的全肺灌</w:t>
      </w:r>
      <w:r>
        <w:rPr>
          <w:spacing w:val="-4"/>
        </w:rPr>
        <w:t>洗治疗。</w:t>
      </w:r>
    </w:p>
    <w:p>
      <w:pPr>
        <w:spacing w:after="0" w:line="278" w:lineRule="auto"/>
        <w:sectPr>
          <w:type w:val="continuous"/>
          <w:pgSz w:w="11910" w:h="16840"/>
          <w:pgMar w:top="680" w:bottom="280" w:left="920" w:right="440"/>
          <w:cols w:num="2" w:equalWidth="0">
            <w:col w:w="2861" w:space="40"/>
            <w:col w:w="7649"/>
          </w:cols>
        </w:sectPr>
      </w:pPr>
    </w:p>
    <w:p>
      <w:pPr>
        <w:pStyle w:val="ListParagraph"/>
        <w:numPr>
          <w:ilvl w:val="2"/>
          <w:numId w:val="51"/>
        </w:numPr>
        <w:tabs>
          <w:tab w:pos="1381" w:val="left" w:leader="none"/>
          <w:tab w:pos="1382" w:val="left" w:leader="none"/>
          <w:tab w:pos="3112" w:val="left" w:leader="none"/>
        </w:tabs>
        <w:spacing w:line="383" w:lineRule="exact" w:before="74" w:after="0"/>
        <w:ind w:left="1382" w:right="0" w:hanging="1170"/>
        <w:jc w:val="left"/>
        <w:rPr>
          <w:sz w:val="21"/>
        </w:rPr>
      </w:pPr>
      <w:r>
        <w:rPr>
          <w:rFonts w:ascii="微软雅黑" w:eastAsia="微软雅黑"/>
          <w:b/>
          <w:sz w:val="21"/>
        </w:rPr>
        <w:t>严重脊髓灰质</w:t>
      </w:r>
      <w:r>
        <w:rPr>
          <w:rFonts w:ascii="微软雅黑" w:eastAsia="微软雅黑"/>
          <w:b/>
          <w:spacing w:val="-10"/>
          <w:sz w:val="21"/>
        </w:rPr>
        <w:t>炎</w:t>
      </w:r>
      <w:r>
        <w:rPr>
          <w:rFonts w:ascii="微软雅黑" w:eastAsia="微软雅黑"/>
          <w:b/>
          <w:sz w:val="21"/>
        </w:rPr>
        <w:tab/>
      </w:r>
      <w:r>
        <w:rPr>
          <w:spacing w:val="-2"/>
          <w:sz w:val="21"/>
        </w:rPr>
        <w:t>脊</w:t>
      </w:r>
      <w:r>
        <w:rPr>
          <w:spacing w:val="-2"/>
          <w:sz w:val="21"/>
        </w:rPr>
        <w:t>髓</w:t>
      </w:r>
      <w:r>
        <w:rPr>
          <w:spacing w:val="-2"/>
          <w:sz w:val="21"/>
        </w:rPr>
        <w:t>灰</w:t>
      </w:r>
      <w:r>
        <w:rPr>
          <w:spacing w:val="-2"/>
          <w:sz w:val="21"/>
        </w:rPr>
        <w:t>质</w:t>
      </w:r>
      <w:r>
        <w:rPr>
          <w:spacing w:val="-2"/>
          <w:sz w:val="21"/>
        </w:rPr>
        <w:t>炎</w:t>
      </w:r>
      <w:r>
        <w:rPr>
          <w:spacing w:val="-2"/>
          <w:sz w:val="21"/>
        </w:rPr>
        <w:t>是</w:t>
      </w:r>
      <w:r>
        <w:rPr>
          <w:spacing w:val="-2"/>
          <w:sz w:val="21"/>
        </w:rPr>
        <w:t>由</w:t>
      </w:r>
      <w:r>
        <w:rPr>
          <w:spacing w:val="-2"/>
          <w:sz w:val="21"/>
        </w:rPr>
        <w:t>于</w:t>
      </w:r>
      <w:r>
        <w:rPr>
          <w:spacing w:val="-2"/>
          <w:sz w:val="21"/>
        </w:rPr>
        <w:t>脊</w:t>
      </w:r>
      <w:r>
        <w:rPr>
          <w:spacing w:val="-2"/>
          <w:sz w:val="21"/>
        </w:rPr>
        <w:t>髓</w:t>
      </w:r>
      <w:r>
        <w:rPr>
          <w:spacing w:val="-2"/>
          <w:sz w:val="21"/>
        </w:rPr>
        <w:t>灰</w:t>
      </w:r>
      <w:r>
        <w:rPr>
          <w:spacing w:val="-2"/>
          <w:sz w:val="21"/>
        </w:rPr>
        <w:t>质</w:t>
      </w:r>
      <w:r>
        <w:rPr>
          <w:spacing w:val="-2"/>
          <w:sz w:val="21"/>
        </w:rPr>
        <w:t>炎</w:t>
      </w:r>
      <w:r>
        <w:rPr>
          <w:spacing w:val="-2"/>
          <w:sz w:val="21"/>
        </w:rPr>
        <w:t>病</w:t>
      </w:r>
      <w:r>
        <w:rPr>
          <w:spacing w:val="-2"/>
          <w:sz w:val="21"/>
        </w:rPr>
        <w:t>毒</w:t>
      </w:r>
      <w:r>
        <w:rPr>
          <w:spacing w:val="-2"/>
          <w:sz w:val="21"/>
        </w:rPr>
        <w:t>感</w:t>
      </w:r>
      <w:r>
        <w:rPr>
          <w:spacing w:val="-2"/>
          <w:sz w:val="21"/>
        </w:rPr>
        <w:t>染</w:t>
      </w:r>
      <w:r>
        <w:rPr>
          <w:spacing w:val="-2"/>
          <w:sz w:val="21"/>
        </w:rPr>
        <w:t>所</w:t>
      </w:r>
      <w:r>
        <w:rPr>
          <w:spacing w:val="-2"/>
          <w:sz w:val="21"/>
        </w:rPr>
        <w:t>致</w:t>
      </w:r>
      <w:r>
        <w:rPr>
          <w:spacing w:val="-2"/>
          <w:sz w:val="21"/>
        </w:rPr>
        <w:t>的</w:t>
      </w:r>
      <w:r>
        <w:rPr>
          <w:spacing w:val="-2"/>
          <w:sz w:val="21"/>
        </w:rPr>
        <w:t>瘫</w:t>
      </w:r>
      <w:r>
        <w:rPr>
          <w:spacing w:val="-2"/>
          <w:sz w:val="21"/>
        </w:rPr>
        <w:t>痪</w:t>
      </w:r>
      <w:r>
        <w:rPr>
          <w:spacing w:val="-2"/>
          <w:sz w:val="21"/>
        </w:rPr>
        <w:t>性</w:t>
      </w:r>
      <w:r>
        <w:rPr>
          <w:spacing w:val="-2"/>
          <w:sz w:val="21"/>
        </w:rPr>
        <w:t>疾</w:t>
      </w:r>
      <w:r>
        <w:rPr>
          <w:spacing w:val="-2"/>
          <w:sz w:val="21"/>
        </w:rPr>
        <w:t>病</w:t>
      </w:r>
      <w:r>
        <w:rPr>
          <w:spacing w:val="-2"/>
          <w:sz w:val="21"/>
        </w:rPr>
        <w:t>，</w:t>
      </w:r>
      <w:r>
        <w:rPr>
          <w:spacing w:val="-2"/>
          <w:sz w:val="21"/>
        </w:rPr>
        <w:t>临</w:t>
      </w:r>
      <w:r>
        <w:rPr>
          <w:spacing w:val="-2"/>
          <w:sz w:val="21"/>
        </w:rPr>
        <w:t>床</w:t>
      </w:r>
      <w:r>
        <w:rPr>
          <w:spacing w:val="-2"/>
          <w:sz w:val="21"/>
        </w:rPr>
        <w:t>表</w:t>
      </w:r>
      <w:r>
        <w:rPr>
          <w:spacing w:val="-2"/>
          <w:sz w:val="21"/>
        </w:rPr>
        <w:t>现</w:t>
      </w:r>
      <w:r>
        <w:rPr>
          <w:spacing w:val="-2"/>
          <w:sz w:val="21"/>
        </w:rPr>
        <w:t>为</w:t>
      </w:r>
      <w:r>
        <w:rPr>
          <w:spacing w:val="-10"/>
          <w:sz w:val="21"/>
        </w:rPr>
        <w:t>运</w:t>
      </w:r>
    </w:p>
    <w:p>
      <w:pPr>
        <w:pStyle w:val="BodyText"/>
        <w:spacing w:line="278" w:lineRule="auto"/>
        <w:ind w:right="683"/>
      </w:pPr>
      <w:r>
        <w:rPr>
          <w:spacing w:val="-2"/>
        </w:rPr>
        <w:t>动功能损害或呼吸无力。脊髓灰质炎必须明确诊断。</w:t>
      </w:r>
      <w:r>
        <w:rPr>
          <w:color w:val="000000"/>
          <w:spacing w:val="-2"/>
          <w:shd w:fill="A6A6A6" w:color="auto" w:val="clear"/>
        </w:rPr>
        <w:t>本合同仅对脊髓灰质</w:t>
      </w:r>
      <w:r>
        <w:rPr>
          <w:color w:val="000000"/>
          <w:spacing w:val="80"/>
          <w:w w:val="150"/>
          <w:shd w:fill="A6A6A6" w:color="auto" w:val="clear"/>
        </w:rPr>
        <w:t>                                     </w:t>
      </w:r>
      <w:r>
        <w:rPr>
          <w:color w:val="000000"/>
          <w:spacing w:val="-3"/>
          <w:shd w:fill="A6A6A6" w:color="auto" w:val="clear"/>
        </w:rPr>
        <w:t>炎造成的神经系统功能损害导致被保险人一肢或一肢以上肢体机能永久完</w:t>
      </w:r>
    </w:p>
    <w:p>
      <w:pPr>
        <w:spacing w:after="0" w:line="278" w:lineRule="auto"/>
        <w:sectPr>
          <w:type w:val="continuous"/>
          <w:pgSz w:w="11910" w:h="16840"/>
          <w:pgMar w:top="68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8"/>
        <w:gridCol w:w="1838"/>
        <w:gridCol w:w="6960"/>
      </w:tblGrid>
      <w:tr>
        <w:trPr>
          <w:trHeight w:val="644" w:hRule="atLeast"/>
        </w:trPr>
        <w:tc>
          <w:tcPr>
            <w:tcW w:w="2896" w:type="dxa"/>
            <w:gridSpan w:val="2"/>
          </w:tcPr>
          <w:p>
            <w:pPr>
              <w:pStyle w:val="TableParagraph"/>
              <w:rPr>
                <w:rFonts w:ascii="Times New Roman"/>
                <w:sz w:val="20"/>
              </w:rPr>
            </w:pPr>
          </w:p>
        </w:tc>
        <w:tc>
          <w:tcPr>
            <w:tcW w:w="6960" w:type="dxa"/>
          </w:tcPr>
          <w:p>
            <w:pPr>
              <w:pStyle w:val="TableParagraph"/>
              <w:spacing w:line="232" w:lineRule="exact"/>
              <w:ind w:left="54"/>
              <w:rPr>
                <w:sz w:val="21"/>
              </w:rPr>
            </w:pPr>
            <w:r>
              <w:rPr>
                <w:color w:val="000000"/>
                <w:spacing w:val="-2"/>
                <w:sz w:val="21"/>
                <w:shd w:fill="A6A6A6" w:color="auto" w:val="clear"/>
              </w:rPr>
              <w:t>全丧失的情况予以理赔。</w:t>
            </w:r>
            <w:r>
              <w:rPr>
                <w:color w:val="000000"/>
                <w:spacing w:val="-4"/>
                <w:sz w:val="21"/>
              </w:rPr>
              <w:t>肢体机能永久完全丧失，指疾病确诊 </w:t>
            </w:r>
            <w:r>
              <w:rPr>
                <w:color w:val="000000"/>
                <w:spacing w:val="-2"/>
                <w:sz w:val="21"/>
              </w:rPr>
              <w:t>180</w:t>
            </w:r>
            <w:r>
              <w:rPr>
                <w:color w:val="000000"/>
                <w:spacing w:val="-12"/>
                <w:sz w:val="21"/>
              </w:rPr>
              <w:t> 天后，</w:t>
            </w:r>
          </w:p>
          <w:p>
            <w:pPr>
              <w:pStyle w:val="TableParagraph"/>
              <w:spacing w:before="43"/>
              <w:ind w:left="54"/>
              <w:rPr>
                <w:sz w:val="21"/>
              </w:rPr>
            </w:pPr>
            <w:r>
              <w:rPr>
                <w:spacing w:val="-3"/>
                <w:sz w:val="21"/>
              </w:rPr>
              <w:t>每肢三大关节中的两大关节仍然完全僵硬，或不能随意识活动。</w:t>
            </w:r>
          </w:p>
        </w:tc>
      </w:tr>
      <w:tr>
        <w:trPr>
          <w:trHeight w:val="1981" w:hRule="atLeast"/>
        </w:trPr>
        <w:tc>
          <w:tcPr>
            <w:tcW w:w="1058" w:type="dxa"/>
          </w:tcPr>
          <w:p>
            <w:pPr>
              <w:pStyle w:val="TableParagraph"/>
              <w:spacing w:before="17"/>
              <w:ind w:left="50"/>
              <w:rPr>
                <w:rFonts w:ascii="微软雅黑"/>
                <w:b/>
                <w:sz w:val="21"/>
              </w:rPr>
            </w:pPr>
            <w:r>
              <w:rPr>
                <w:rFonts w:ascii="微软雅黑"/>
                <w:b/>
                <w:spacing w:val="-2"/>
                <w:sz w:val="21"/>
              </w:rPr>
              <w:t>10.1.103</w:t>
            </w:r>
          </w:p>
        </w:tc>
        <w:tc>
          <w:tcPr>
            <w:tcW w:w="1838" w:type="dxa"/>
          </w:tcPr>
          <w:p>
            <w:pPr>
              <w:pStyle w:val="TableParagraph"/>
              <w:spacing w:line="194" w:lineRule="auto" w:before="69"/>
              <w:ind w:left="161" w:right="196"/>
              <w:rPr>
                <w:rFonts w:ascii="微软雅黑" w:eastAsia="微软雅黑"/>
                <w:b/>
                <w:sz w:val="21"/>
              </w:rPr>
            </w:pPr>
            <w:r>
              <w:rPr>
                <w:rFonts w:ascii="微软雅黑" w:eastAsia="微软雅黑"/>
                <w:b/>
                <w:spacing w:val="-2"/>
                <w:sz w:val="21"/>
              </w:rPr>
              <w:t>严重原发性心肌</w:t>
            </w:r>
            <w:r>
              <w:rPr>
                <w:rFonts w:ascii="微软雅黑" w:eastAsia="微软雅黑"/>
                <w:b/>
                <w:spacing w:val="-10"/>
                <w:sz w:val="21"/>
              </w:rPr>
              <w:t>病</w:t>
            </w:r>
          </w:p>
        </w:tc>
        <w:tc>
          <w:tcPr>
            <w:tcW w:w="6960" w:type="dxa"/>
          </w:tcPr>
          <w:p>
            <w:pPr>
              <w:pStyle w:val="TableParagraph"/>
              <w:spacing w:line="278" w:lineRule="auto" w:before="84"/>
              <w:ind w:left="54" w:right="154"/>
              <w:jc w:val="both"/>
              <w:rPr>
                <w:sz w:val="21"/>
              </w:rPr>
            </w:pPr>
            <w:r>
              <w:rPr>
                <w:spacing w:val="-2"/>
                <w:sz w:val="21"/>
              </w:rPr>
              <w:t>指不明原因引起的一类心肌病变，包括原发性扩张型心肌病、原发性肥厚</w:t>
            </w:r>
            <w:r>
              <w:rPr>
                <w:spacing w:val="-2"/>
                <w:sz w:val="21"/>
              </w:rPr>
              <w:t>型心肌病及原发性限制型心肌病三种，病变必须已造成事实上心室功能障</w:t>
            </w:r>
            <w:r>
              <w:rPr>
                <w:w w:val="95"/>
                <w:sz w:val="21"/>
              </w:rPr>
              <w:t>碍</w:t>
            </w:r>
            <w:r>
              <w:rPr>
                <w:w w:val="95"/>
                <w:sz w:val="21"/>
              </w:rPr>
              <w:t>而</w:t>
            </w:r>
            <w:r>
              <w:rPr>
                <w:w w:val="95"/>
                <w:sz w:val="21"/>
              </w:rPr>
              <w:t>出现明显的心功能衰竭（指按照美国纽约心脏</w:t>
            </w:r>
            <w:r>
              <w:rPr>
                <w:w w:val="95"/>
                <w:sz w:val="21"/>
              </w:rPr>
              <w:t>病</w:t>
            </w:r>
            <w:r>
              <w:rPr>
                <w:w w:val="95"/>
                <w:sz w:val="21"/>
              </w:rPr>
              <w:t>学</w:t>
            </w:r>
            <w:r>
              <w:rPr>
                <w:w w:val="95"/>
                <w:sz w:val="21"/>
              </w:rPr>
              <w:t>会（New York Heart </w:t>
            </w:r>
            <w:r>
              <w:rPr>
                <w:spacing w:val="-4"/>
                <w:sz w:val="21"/>
              </w:rPr>
              <w:t>Association，NYHA）提出的新功能状态分级的标准判定，心功能状态已达</w:t>
            </w:r>
            <w:r>
              <w:rPr>
                <w:spacing w:val="-4"/>
                <w:sz w:val="21"/>
              </w:rPr>
              <w:t> </w:t>
            </w:r>
            <w:r>
              <w:rPr>
                <w:w w:val="95"/>
                <w:sz w:val="21"/>
              </w:rPr>
              <w:t>Ⅳ</w:t>
            </w:r>
            <w:r>
              <w:rPr>
                <w:w w:val="95"/>
                <w:sz w:val="21"/>
              </w:rPr>
              <w:t>级</w:t>
            </w:r>
            <w:r>
              <w:rPr>
                <w:spacing w:val="-75"/>
                <w:w w:val="95"/>
                <w:sz w:val="21"/>
              </w:rPr>
              <w:t>）</w:t>
            </w:r>
            <w:r>
              <w:rPr>
                <w:spacing w:val="-12"/>
                <w:w w:val="95"/>
                <w:sz w:val="21"/>
              </w:rPr>
              <w:t>，且Ⅳ级心功能</w:t>
            </w:r>
            <w:r>
              <w:rPr>
                <w:w w:val="95"/>
                <w:sz w:val="21"/>
              </w:rPr>
              <w:t>衰</w:t>
            </w:r>
            <w:r>
              <w:rPr>
                <w:w w:val="95"/>
                <w:sz w:val="21"/>
              </w:rPr>
              <w:t>竭</w:t>
            </w:r>
            <w:r>
              <w:rPr>
                <w:w w:val="95"/>
                <w:sz w:val="21"/>
              </w:rPr>
              <w:t>状</w:t>
            </w:r>
            <w:r>
              <w:rPr>
                <w:w w:val="95"/>
                <w:sz w:val="21"/>
              </w:rPr>
              <w:t>态</w:t>
            </w:r>
            <w:r>
              <w:rPr>
                <w:w w:val="95"/>
                <w:sz w:val="21"/>
              </w:rPr>
              <w:t>已持</w:t>
            </w:r>
            <w:r>
              <w:rPr>
                <w:w w:val="95"/>
                <w:sz w:val="21"/>
              </w:rPr>
              <w:t>续</w:t>
            </w:r>
            <w:r>
              <w:rPr>
                <w:w w:val="95"/>
                <w:sz w:val="21"/>
              </w:rPr>
              <w:t>至</w:t>
            </w:r>
            <w:r>
              <w:rPr>
                <w:w w:val="95"/>
                <w:sz w:val="21"/>
              </w:rPr>
              <w:t>少</w:t>
            </w:r>
            <w:r>
              <w:rPr>
                <w:spacing w:val="35"/>
                <w:sz w:val="21"/>
              </w:rPr>
              <w:t> </w:t>
            </w:r>
            <w:r>
              <w:rPr>
                <w:w w:val="95"/>
                <w:sz w:val="21"/>
              </w:rPr>
              <w:t>180</w:t>
            </w:r>
            <w:r>
              <w:rPr>
                <w:sz w:val="21"/>
              </w:rPr>
              <w:t> </w:t>
            </w:r>
            <w:r>
              <w:rPr>
                <w:w w:val="95"/>
                <w:sz w:val="21"/>
              </w:rPr>
              <w:t>日。</w:t>
            </w:r>
            <w:r>
              <w:rPr>
                <w:w w:val="95"/>
                <w:sz w:val="21"/>
              </w:rPr>
              <w:t>本</w:t>
            </w:r>
            <w:r>
              <w:rPr>
                <w:w w:val="95"/>
                <w:sz w:val="21"/>
              </w:rPr>
              <w:t>病</w:t>
            </w:r>
            <w:r>
              <w:rPr>
                <w:w w:val="95"/>
                <w:sz w:val="21"/>
              </w:rPr>
              <w:t>须经专科医生明</w:t>
            </w:r>
            <w:r>
              <w:rPr>
                <w:w w:val="95"/>
                <w:sz w:val="21"/>
              </w:rPr>
              <w:t>确</w:t>
            </w:r>
            <w:r>
              <w:rPr>
                <w:spacing w:val="-4"/>
                <w:sz w:val="21"/>
              </w:rPr>
              <w:t>诊断。</w:t>
            </w:r>
          </w:p>
        </w:tc>
      </w:tr>
      <w:tr>
        <w:trPr>
          <w:trHeight w:val="422" w:hRule="atLeast"/>
        </w:trPr>
        <w:tc>
          <w:tcPr>
            <w:tcW w:w="1058" w:type="dxa"/>
          </w:tcPr>
          <w:p>
            <w:pPr>
              <w:pStyle w:val="TableParagraph"/>
              <w:rPr>
                <w:rFonts w:ascii="Times New Roman"/>
                <w:sz w:val="20"/>
              </w:rPr>
            </w:pPr>
          </w:p>
        </w:tc>
        <w:tc>
          <w:tcPr>
            <w:tcW w:w="1838" w:type="dxa"/>
          </w:tcPr>
          <w:p>
            <w:pPr>
              <w:pStyle w:val="TableParagraph"/>
              <w:rPr>
                <w:rFonts w:ascii="Times New Roman"/>
                <w:sz w:val="20"/>
              </w:rPr>
            </w:pPr>
          </w:p>
        </w:tc>
        <w:tc>
          <w:tcPr>
            <w:tcW w:w="6960" w:type="dxa"/>
          </w:tcPr>
          <w:p>
            <w:pPr>
              <w:pStyle w:val="TableParagraph"/>
              <w:spacing w:before="51"/>
              <w:ind w:left="54"/>
              <w:rPr>
                <w:sz w:val="21"/>
              </w:rPr>
            </w:pPr>
            <w:r>
              <w:rPr>
                <w:color w:val="000000"/>
                <w:spacing w:val="-3"/>
                <w:sz w:val="21"/>
                <w:shd w:fill="A6A6A6" w:color="auto" w:val="clear"/>
              </w:rPr>
              <w:t>继发于全身性疾病或其他器官系统疾病造成的心肌病变不在保障范围内。</w:t>
            </w:r>
          </w:p>
        </w:tc>
      </w:tr>
      <w:tr>
        <w:trPr>
          <w:trHeight w:val="2015" w:hRule="atLeast"/>
        </w:trPr>
        <w:tc>
          <w:tcPr>
            <w:tcW w:w="1058" w:type="dxa"/>
          </w:tcPr>
          <w:p>
            <w:pPr>
              <w:pStyle w:val="TableParagraph"/>
              <w:spacing w:before="18"/>
              <w:ind w:left="50"/>
              <w:rPr>
                <w:rFonts w:ascii="微软雅黑"/>
                <w:b/>
                <w:sz w:val="21"/>
              </w:rPr>
            </w:pPr>
            <w:r>
              <w:rPr>
                <w:rFonts w:ascii="微软雅黑"/>
                <w:b/>
                <w:spacing w:val="-2"/>
                <w:sz w:val="21"/>
              </w:rPr>
              <w:t>10.1.104</w:t>
            </w:r>
          </w:p>
        </w:tc>
        <w:tc>
          <w:tcPr>
            <w:tcW w:w="1838" w:type="dxa"/>
          </w:tcPr>
          <w:p>
            <w:pPr>
              <w:pStyle w:val="TableParagraph"/>
              <w:spacing w:line="194" w:lineRule="auto" w:before="70"/>
              <w:ind w:left="161" w:right="52"/>
              <w:rPr>
                <w:rFonts w:ascii="微软雅黑" w:eastAsia="微软雅黑"/>
                <w:b/>
                <w:sz w:val="21"/>
              </w:rPr>
            </w:pPr>
            <w:r>
              <w:rPr>
                <w:rFonts w:ascii="微软雅黑" w:eastAsia="微软雅黑"/>
                <w:b/>
                <w:spacing w:val="-16"/>
                <w:sz w:val="21"/>
              </w:rPr>
              <w:t>严重全身性</w:t>
            </w:r>
            <w:r>
              <w:rPr>
                <w:rFonts w:ascii="微软雅黑" w:eastAsia="微软雅黑"/>
                <w:b/>
                <w:spacing w:val="-2"/>
                <w:sz w:val="21"/>
              </w:rPr>
              <w:t>（型</w:t>
            </w:r>
            <w:r>
              <w:rPr>
                <w:rFonts w:ascii="微软雅黑" w:eastAsia="微软雅黑"/>
                <w:b/>
                <w:spacing w:val="-2"/>
                <w:sz w:val="21"/>
              </w:rPr>
              <w:t>）</w:t>
            </w:r>
            <w:r>
              <w:rPr>
                <w:rFonts w:ascii="微软雅黑" w:eastAsia="微软雅黑"/>
                <w:b/>
                <w:spacing w:val="-2"/>
                <w:sz w:val="21"/>
              </w:rPr>
              <w:t>重症肌无力</w:t>
            </w:r>
          </w:p>
        </w:tc>
        <w:tc>
          <w:tcPr>
            <w:tcW w:w="6960" w:type="dxa"/>
          </w:tcPr>
          <w:p>
            <w:pPr>
              <w:pStyle w:val="TableParagraph"/>
              <w:spacing w:line="278" w:lineRule="auto" w:before="85"/>
              <w:ind w:left="54" w:right="157"/>
              <w:jc w:val="both"/>
              <w:rPr>
                <w:sz w:val="21"/>
              </w:rPr>
            </w:pPr>
            <w:r>
              <w:rPr>
                <w:spacing w:val="-2"/>
                <w:sz w:val="21"/>
              </w:rPr>
              <w:t>重症肌无力是一种神经肌肉接头传递障碍所致的疾病，表现为局部或全身</w:t>
            </w:r>
            <w:r>
              <w:rPr>
                <w:spacing w:val="-2"/>
                <w:sz w:val="21"/>
              </w:rPr>
              <w:t>骨骼肌（特别是眼外肌）极易疲劳。疾病可以累及呼吸肌、上肢或下肢的</w:t>
            </w:r>
            <w:r>
              <w:rPr>
                <w:spacing w:val="-2"/>
                <w:sz w:val="21"/>
              </w:rPr>
              <w:t>近端肌群或全身肌肉，必须满足下列全部条件：</w:t>
            </w:r>
          </w:p>
          <w:p>
            <w:pPr>
              <w:pStyle w:val="TableParagraph"/>
              <w:numPr>
                <w:ilvl w:val="0"/>
                <w:numId w:val="52"/>
              </w:numPr>
              <w:tabs>
                <w:tab w:pos="372" w:val="left" w:leader="none"/>
              </w:tabs>
              <w:spacing w:line="240" w:lineRule="auto" w:before="0" w:after="0"/>
              <w:ind w:left="372" w:right="0" w:hanging="318"/>
              <w:jc w:val="left"/>
              <w:rPr>
                <w:sz w:val="21"/>
              </w:rPr>
            </w:pPr>
            <w:r>
              <w:rPr>
                <w:spacing w:val="-3"/>
                <w:sz w:val="21"/>
              </w:rPr>
              <w:t>经药物治疗和胸腺切除治疗一年以上仍无法控制病情；</w:t>
            </w:r>
          </w:p>
          <w:p>
            <w:pPr>
              <w:pStyle w:val="TableParagraph"/>
              <w:numPr>
                <w:ilvl w:val="0"/>
                <w:numId w:val="52"/>
              </w:numPr>
              <w:tabs>
                <w:tab w:pos="372" w:val="left" w:leader="none"/>
              </w:tabs>
              <w:spacing w:line="278" w:lineRule="auto" w:before="43" w:after="0"/>
              <w:ind w:left="54" w:right="156" w:firstLine="0"/>
              <w:jc w:val="left"/>
              <w:rPr>
                <w:sz w:val="21"/>
              </w:rPr>
            </w:pPr>
            <w:r>
              <w:rPr>
                <w:spacing w:val="-10"/>
                <w:sz w:val="21"/>
              </w:rPr>
              <w:t>自主生活能力完全丧失，无法独立完成六项基本日常生活活动中的三项</w:t>
            </w:r>
            <w:r>
              <w:rPr>
                <w:spacing w:val="-2"/>
                <w:sz w:val="21"/>
              </w:rPr>
              <w:t>或三项以上。</w:t>
            </w:r>
          </w:p>
        </w:tc>
      </w:tr>
      <w:tr>
        <w:trPr>
          <w:trHeight w:val="2325" w:hRule="atLeast"/>
        </w:trPr>
        <w:tc>
          <w:tcPr>
            <w:tcW w:w="1058" w:type="dxa"/>
          </w:tcPr>
          <w:p>
            <w:pPr>
              <w:pStyle w:val="TableParagraph"/>
              <w:spacing w:before="17"/>
              <w:ind w:left="50"/>
              <w:rPr>
                <w:rFonts w:ascii="微软雅黑"/>
                <w:b/>
                <w:sz w:val="21"/>
              </w:rPr>
            </w:pPr>
            <w:r>
              <w:rPr>
                <w:rFonts w:ascii="微软雅黑"/>
                <w:b/>
                <w:spacing w:val="-2"/>
                <w:sz w:val="21"/>
              </w:rPr>
              <w:t>10.1.105</w:t>
            </w:r>
          </w:p>
        </w:tc>
        <w:tc>
          <w:tcPr>
            <w:tcW w:w="1838" w:type="dxa"/>
          </w:tcPr>
          <w:p>
            <w:pPr>
              <w:pStyle w:val="TableParagraph"/>
              <w:spacing w:line="194" w:lineRule="auto" w:before="69"/>
              <w:ind w:left="161" w:right="196"/>
              <w:rPr>
                <w:rFonts w:ascii="微软雅黑" w:eastAsia="微软雅黑"/>
                <w:b/>
                <w:sz w:val="21"/>
              </w:rPr>
            </w:pPr>
            <w:r>
              <w:rPr>
                <w:rFonts w:ascii="微软雅黑" w:eastAsia="微软雅黑"/>
                <w:b/>
                <w:spacing w:val="-2"/>
                <w:sz w:val="21"/>
              </w:rPr>
              <w:t>严重肌营养不良</w:t>
            </w:r>
            <w:r>
              <w:rPr>
                <w:rFonts w:ascii="微软雅黑" w:eastAsia="微软雅黑"/>
                <w:b/>
                <w:spacing w:val="-10"/>
                <w:sz w:val="21"/>
              </w:rPr>
              <w:t>症</w:t>
            </w:r>
          </w:p>
        </w:tc>
        <w:tc>
          <w:tcPr>
            <w:tcW w:w="6960" w:type="dxa"/>
          </w:tcPr>
          <w:p>
            <w:pPr>
              <w:pStyle w:val="TableParagraph"/>
              <w:spacing w:line="278" w:lineRule="auto" w:before="84"/>
              <w:ind w:left="54" w:right="157"/>
              <w:rPr>
                <w:sz w:val="21"/>
              </w:rPr>
            </w:pPr>
            <w:r>
              <w:rPr>
                <w:spacing w:val="-2"/>
                <w:sz w:val="21"/>
              </w:rPr>
              <w:t>指一组遗传性肌肉变性病变，临床特征为与神经系统无关的骨骼肌肉对称</w:t>
            </w:r>
            <w:r>
              <w:rPr>
                <w:spacing w:val="-2"/>
                <w:sz w:val="21"/>
              </w:rPr>
              <w:t>地进行性无力和萎缩。其诊断需满足下列全部条件：</w:t>
            </w:r>
          </w:p>
          <w:p>
            <w:pPr>
              <w:pStyle w:val="TableParagraph"/>
              <w:numPr>
                <w:ilvl w:val="0"/>
                <w:numId w:val="53"/>
              </w:numPr>
              <w:tabs>
                <w:tab w:pos="372" w:val="left" w:leader="none"/>
              </w:tabs>
              <w:spacing w:line="269" w:lineRule="exact" w:before="0" w:after="0"/>
              <w:ind w:left="372" w:right="0" w:hanging="318"/>
              <w:jc w:val="left"/>
              <w:rPr>
                <w:sz w:val="21"/>
              </w:rPr>
            </w:pPr>
            <w:r>
              <w:rPr>
                <w:spacing w:val="-3"/>
                <w:sz w:val="21"/>
              </w:rPr>
              <w:t>肌电图显示典型肌营养不良症的阳性改变；</w:t>
            </w:r>
          </w:p>
          <w:p>
            <w:pPr>
              <w:pStyle w:val="TableParagraph"/>
              <w:numPr>
                <w:ilvl w:val="0"/>
                <w:numId w:val="53"/>
              </w:numPr>
              <w:tabs>
                <w:tab w:pos="372" w:val="left" w:leader="none"/>
              </w:tabs>
              <w:spacing w:line="278" w:lineRule="auto" w:before="43" w:after="0"/>
              <w:ind w:left="54" w:right="156" w:firstLine="0"/>
              <w:jc w:val="left"/>
              <w:rPr>
                <w:sz w:val="21"/>
              </w:rPr>
            </w:pPr>
            <w:r>
              <w:rPr>
                <w:spacing w:val="-2"/>
                <w:sz w:val="21"/>
              </w:rPr>
              <w:t>肌肉活检的病理学诊断符合肌营养不良症的肌肉细胞变性\坏死等阳性</w:t>
            </w:r>
            <w:r>
              <w:rPr>
                <w:spacing w:val="-4"/>
                <w:sz w:val="21"/>
              </w:rPr>
              <w:t>改变；</w:t>
            </w:r>
          </w:p>
          <w:p>
            <w:pPr>
              <w:pStyle w:val="TableParagraph"/>
              <w:numPr>
                <w:ilvl w:val="0"/>
                <w:numId w:val="53"/>
              </w:numPr>
              <w:tabs>
                <w:tab w:pos="374" w:val="left" w:leader="none"/>
              </w:tabs>
              <w:spacing w:line="278" w:lineRule="auto" w:before="0" w:after="0"/>
              <w:ind w:left="54" w:right="158" w:firstLine="0"/>
              <w:jc w:val="left"/>
              <w:rPr>
                <w:sz w:val="21"/>
              </w:rPr>
            </w:pPr>
            <w:r>
              <w:rPr>
                <w:spacing w:val="-2"/>
                <w:sz w:val="21"/>
              </w:rPr>
              <w:t>已导致被保险人持续超过三个月无法独立完成六项基本日常生活活动</w:t>
            </w:r>
            <w:r>
              <w:rPr>
                <w:spacing w:val="-2"/>
                <w:sz w:val="21"/>
              </w:rPr>
              <w:t>中的三项或三项以上。</w:t>
            </w:r>
          </w:p>
        </w:tc>
      </w:tr>
      <w:tr>
        <w:trPr>
          <w:trHeight w:val="2950" w:hRule="atLeast"/>
        </w:trPr>
        <w:tc>
          <w:tcPr>
            <w:tcW w:w="1058" w:type="dxa"/>
          </w:tcPr>
          <w:p>
            <w:pPr>
              <w:pStyle w:val="TableParagraph"/>
              <w:spacing w:before="17"/>
              <w:ind w:left="50"/>
              <w:rPr>
                <w:rFonts w:ascii="微软雅黑"/>
                <w:b/>
                <w:sz w:val="21"/>
              </w:rPr>
            </w:pPr>
            <w:r>
              <w:rPr>
                <w:rFonts w:ascii="微软雅黑"/>
                <w:b/>
                <w:spacing w:val="-2"/>
                <w:sz w:val="21"/>
              </w:rPr>
              <w:t>10.1.106</w:t>
            </w:r>
          </w:p>
        </w:tc>
        <w:tc>
          <w:tcPr>
            <w:tcW w:w="1838" w:type="dxa"/>
          </w:tcPr>
          <w:p>
            <w:pPr>
              <w:pStyle w:val="TableParagraph"/>
              <w:spacing w:before="17"/>
              <w:ind w:left="161"/>
              <w:rPr>
                <w:rFonts w:ascii="微软雅黑" w:eastAsia="微软雅黑"/>
                <w:b/>
                <w:sz w:val="21"/>
              </w:rPr>
            </w:pPr>
            <w:r>
              <w:rPr>
                <w:rFonts w:ascii="微软雅黑" w:eastAsia="微软雅黑"/>
                <w:b/>
                <w:spacing w:val="-2"/>
                <w:sz w:val="21"/>
              </w:rPr>
              <w:t>肝豆状核变性</w:t>
            </w:r>
          </w:p>
        </w:tc>
        <w:tc>
          <w:tcPr>
            <w:tcW w:w="6960" w:type="dxa"/>
          </w:tcPr>
          <w:p>
            <w:pPr>
              <w:pStyle w:val="TableParagraph"/>
              <w:spacing w:line="278" w:lineRule="auto" w:before="84"/>
              <w:ind w:left="54" w:right="157"/>
              <w:jc w:val="both"/>
              <w:rPr>
                <w:sz w:val="21"/>
              </w:rPr>
            </w:pPr>
            <w:r>
              <w:rPr>
                <w:spacing w:val="-2"/>
                <w:sz w:val="21"/>
              </w:rPr>
              <w:t>肝豆状核变性是一种遗传性铜代谢障碍疾病。表现为体内的铜离子在肝、</w:t>
            </w:r>
            <w:r>
              <w:rPr>
                <w:spacing w:val="-2"/>
                <w:sz w:val="21"/>
              </w:rPr>
              <w:t>脑、肾、角膜等处沉积，引起进行性加重的肝硬化、锥体外系症状、精神</w:t>
            </w:r>
            <w:r>
              <w:rPr>
                <w:spacing w:val="-2"/>
                <w:sz w:val="21"/>
              </w:rPr>
              <w:t>症状、肾损害及角膜色素环。肝豆状核变性必须明确诊断并且满足以下条</w:t>
            </w:r>
            <w:r>
              <w:rPr>
                <w:spacing w:val="-4"/>
                <w:sz w:val="21"/>
              </w:rPr>
              <w:t>件之一：</w:t>
            </w:r>
          </w:p>
          <w:p>
            <w:pPr>
              <w:pStyle w:val="TableParagraph"/>
              <w:numPr>
                <w:ilvl w:val="0"/>
                <w:numId w:val="54"/>
              </w:numPr>
              <w:tabs>
                <w:tab w:pos="372" w:val="left" w:leader="none"/>
              </w:tabs>
              <w:spacing w:line="278" w:lineRule="auto" w:before="0" w:after="0"/>
              <w:ind w:left="54" w:right="156" w:firstLine="0"/>
              <w:jc w:val="left"/>
              <w:rPr>
                <w:sz w:val="21"/>
              </w:rPr>
            </w:pPr>
            <w:r>
              <w:rPr>
                <w:spacing w:val="-4"/>
                <w:sz w:val="21"/>
              </w:rPr>
              <w:t>帕金森综合征或其他神经系统功能损害，自主生活能力完全丧失，无法</w:t>
            </w:r>
            <w:r>
              <w:rPr>
                <w:spacing w:val="-2"/>
                <w:sz w:val="21"/>
              </w:rPr>
              <w:t>独立完成六项基本日常生活活动中的三项或三项以上；</w:t>
            </w:r>
          </w:p>
          <w:p>
            <w:pPr>
              <w:pStyle w:val="TableParagraph"/>
              <w:numPr>
                <w:ilvl w:val="0"/>
                <w:numId w:val="54"/>
              </w:numPr>
              <w:tabs>
                <w:tab w:pos="372" w:val="left" w:leader="none"/>
              </w:tabs>
              <w:spacing w:line="278" w:lineRule="auto" w:before="0" w:after="0"/>
              <w:ind w:left="54" w:right="74" w:firstLine="0"/>
              <w:jc w:val="left"/>
              <w:rPr>
                <w:sz w:val="21"/>
              </w:rPr>
            </w:pPr>
            <w:r>
              <w:rPr>
                <w:spacing w:val="-2"/>
                <w:sz w:val="21"/>
              </w:rPr>
              <w:t>失代偿性肝硬化，临床已经出现腹水、食道静脉曲张和脾肿大等表现； (3)慢性肾功能衰竭，已开始肾脏透析治疗；</w:t>
            </w:r>
          </w:p>
          <w:p>
            <w:pPr>
              <w:pStyle w:val="TableParagraph"/>
              <w:spacing w:line="269" w:lineRule="exact"/>
              <w:ind w:left="54"/>
              <w:rPr>
                <w:sz w:val="21"/>
              </w:rPr>
            </w:pPr>
            <w:r>
              <w:rPr>
                <w:spacing w:val="-2"/>
                <w:sz w:val="21"/>
              </w:rPr>
              <w:t>(4)</w:t>
            </w:r>
            <w:r>
              <w:rPr>
                <w:spacing w:val="-3"/>
                <w:sz w:val="21"/>
              </w:rPr>
              <w:t>接受了肝移植或肾移植手术。</w:t>
            </w:r>
          </w:p>
        </w:tc>
      </w:tr>
      <w:tr>
        <w:trPr>
          <w:trHeight w:val="1390" w:hRule="atLeast"/>
        </w:trPr>
        <w:tc>
          <w:tcPr>
            <w:tcW w:w="1058" w:type="dxa"/>
          </w:tcPr>
          <w:p>
            <w:pPr>
              <w:pStyle w:val="TableParagraph"/>
              <w:spacing w:before="17"/>
              <w:ind w:left="50"/>
              <w:rPr>
                <w:rFonts w:ascii="微软雅黑"/>
                <w:b/>
                <w:sz w:val="21"/>
              </w:rPr>
            </w:pPr>
            <w:r>
              <w:rPr>
                <w:rFonts w:ascii="微软雅黑"/>
                <w:b/>
                <w:spacing w:val="-2"/>
                <w:sz w:val="21"/>
              </w:rPr>
              <w:t>10.1.107</w:t>
            </w:r>
          </w:p>
        </w:tc>
        <w:tc>
          <w:tcPr>
            <w:tcW w:w="1838" w:type="dxa"/>
          </w:tcPr>
          <w:p>
            <w:pPr>
              <w:pStyle w:val="TableParagraph"/>
              <w:spacing w:before="17"/>
              <w:ind w:left="161"/>
              <w:rPr>
                <w:rFonts w:ascii="微软雅黑" w:eastAsia="微软雅黑"/>
                <w:b/>
                <w:sz w:val="21"/>
              </w:rPr>
            </w:pPr>
            <w:r>
              <w:rPr>
                <w:rFonts w:ascii="微软雅黑" w:eastAsia="微软雅黑"/>
                <w:b/>
                <w:spacing w:val="-2"/>
                <w:sz w:val="21"/>
              </w:rPr>
              <w:t>闭锁综合征</w:t>
            </w:r>
          </w:p>
        </w:tc>
        <w:tc>
          <w:tcPr>
            <w:tcW w:w="6960" w:type="dxa"/>
          </w:tcPr>
          <w:p>
            <w:pPr>
              <w:pStyle w:val="TableParagraph"/>
              <w:spacing w:line="278" w:lineRule="auto" w:before="84"/>
              <w:ind w:left="54" w:right="157"/>
              <w:jc w:val="both"/>
              <w:rPr>
                <w:sz w:val="21"/>
              </w:rPr>
            </w:pPr>
            <w:r>
              <w:rPr>
                <w:spacing w:val="-2"/>
                <w:sz w:val="21"/>
              </w:rPr>
              <w:t>由于双侧脑桥基底部病变，脑干腹侧的皮质核束和皮质脊髓束受损，而导</w:t>
            </w:r>
            <w:r>
              <w:rPr>
                <w:spacing w:val="-2"/>
                <w:sz w:val="21"/>
              </w:rPr>
              <w:t>致的缄默和四肢瘫痪。临床表现为意识清醒或仅有轻微损害，除睁闭眼和</w:t>
            </w:r>
            <w:r>
              <w:rPr>
                <w:spacing w:val="-2"/>
                <w:sz w:val="21"/>
              </w:rPr>
              <w:t>眼球上下运动外其他全部运动、吞咽、语言功能均丧失。诊断必须经神经</w:t>
            </w:r>
            <w:r>
              <w:rPr>
                <w:spacing w:val="-2"/>
                <w:sz w:val="21"/>
              </w:rPr>
              <w:t>科医生确认，并必须持续至少一个月病史记录。</w:t>
            </w:r>
          </w:p>
        </w:tc>
      </w:tr>
      <w:tr>
        <w:trPr>
          <w:trHeight w:val="382" w:hRule="atLeast"/>
        </w:trPr>
        <w:tc>
          <w:tcPr>
            <w:tcW w:w="1058" w:type="dxa"/>
          </w:tcPr>
          <w:p>
            <w:pPr>
              <w:pStyle w:val="TableParagraph"/>
              <w:spacing w:line="346" w:lineRule="exact" w:before="17"/>
              <w:ind w:left="50"/>
              <w:rPr>
                <w:rFonts w:ascii="微软雅黑"/>
                <w:b/>
                <w:sz w:val="21"/>
              </w:rPr>
            </w:pPr>
            <w:r>
              <w:rPr>
                <w:rFonts w:ascii="微软雅黑"/>
                <w:b/>
                <w:spacing w:val="-2"/>
                <w:sz w:val="21"/>
              </w:rPr>
              <w:t>10.1.108</w:t>
            </w:r>
          </w:p>
        </w:tc>
        <w:tc>
          <w:tcPr>
            <w:tcW w:w="1838" w:type="dxa"/>
          </w:tcPr>
          <w:p>
            <w:pPr>
              <w:pStyle w:val="TableParagraph"/>
              <w:spacing w:line="346" w:lineRule="exact" w:before="17"/>
              <w:ind w:left="161"/>
              <w:rPr>
                <w:rFonts w:ascii="微软雅黑" w:eastAsia="微软雅黑"/>
                <w:b/>
                <w:sz w:val="21"/>
              </w:rPr>
            </w:pPr>
            <w:r>
              <w:rPr>
                <w:rFonts w:ascii="微软雅黑" w:eastAsia="微软雅黑"/>
                <w:b/>
                <w:spacing w:val="-4"/>
                <w:sz w:val="21"/>
              </w:rPr>
              <w:t>脊柱裂</w:t>
            </w:r>
          </w:p>
        </w:tc>
        <w:tc>
          <w:tcPr>
            <w:tcW w:w="6960" w:type="dxa"/>
          </w:tcPr>
          <w:p>
            <w:pPr>
              <w:pStyle w:val="TableParagraph"/>
              <w:spacing w:before="84"/>
              <w:ind w:left="54"/>
              <w:rPr>
                <w:sz w:val="21"/>
              </w:rPr>
            </w:pPr>
            <w:r>
              <w:rPr>
                <w:spacing w:val="-4"/>
                <w:sz w:val="21"/>
              </w:rPr>
              <w:t>指脊椎或颅骨不完全闭合，导致脊髓脊膜突出，脑（脊）</w:t>
            </w:r>
            <w:r>
              <w:rPr>
                <w:spacing w:val="-5"/>
                <w:sz w:val="21"/>
              </w:rPr>
              <w:t>膜突出或脑膨出，</w:t>
            </w:r>
          </w:p>
        </w:tc>
      </w:tr>
      <w:tr>
        <w:trPr>
          <w:trHeight w:val="312" w:hRule="atLeast"/>
        </w:trPr>
        <w:tc>
          <w:tcPr>
            <w:tcW w:w="2896" w:type="dxa"/>
            <w:gridSpan w:val="2"/>
            <w:vMerge w:val="restart"/>
          </w:tcPr>
          <w:p>
            <w:pPr>
              <w:pStyle w:val="TableParagraph"/>
              <w:rPr>
                <w:rFonts w:ascii="Times New Roman"/>
                <w:sz w:val="20"/>
              </w:rPr>
            </w:pPr>
          </w:p>
        </w:tc>
        <w:tc>
          <w:tcPr>
            <w:tcW w:w="6960" w:type="dxa"/>
          </w:tcPr>
          <w:p>
            <w:pPr>
              <w:pStyle w:val="TableParagraph"/>
              <w:spacing w:before="13"/>
              <w:ind w:left="54"/>
              <w:rPr>
                <w:sz w:val="21"/>
              </w:rPr>
            </w:pPr>
            <w:r>
              <w:rPr>
                <w:spacing w:val="-3"/>
                <w:sz w:val="21"/>
              </w:rPr>
              <w:t>并至少合并下列异常中的一项：</w:t>
            </w:r>
          </w:p>
        </w:tc>
      </w:tr>
      <w:tr>
        <w:trPr>
          <w:trHeight w:val="311" w:hRule="atLeast"/>
        </w:trPr>
        <w:tc>
          <w:tcPr>
            <w:tcW w:w="2896" w:type="dxa"/>
            <w:gridSpan w:val="2"/>
            <w:vMerge/>
            <w:tcBorders>
              <w:top w:val="nil"/>
            </w:tcBorders>
          </w:tcPr>
          <w:p>
            <w:pPr>
              <w:rPr>
                <w:sz w:val="2"/>
                <w:szCs w:val="2"/>
              </w:rPr>
            </w:pPr>
          </w:p>
        </w:tc>
        <w:tc>
          <w:tcPr>
            <w:tcW w:w="6960" w:type="dxa"/>
          </w:tcPr>
          <w:p>
            <w:pPr>
              <w:pStyle w:val="TableParagraph"/>
              <w:spacing w:before="13"/>
              <w:ind w:left="54"/>
              <w:rPr>
                <w:sz w:val="21"/>
              </w:rPr>
            </w:pPr>
            <w:r>
              <w:rPr>
                <w:spacing w:val="-2"/>
                <w:sz w:val="21"/>
              </w:rPr>
              <w:t>(1)</w:t>
            </w:r>
            <w:r>
              <w:rPr>
                <w:spacing w:val="-4"/>
                <w:sz w:val="21"/>
              </w:rPr>
              <w:t>大小便失禁；</w:t>
            </w:r>
          </w:p>
        </w:tc>
      </w:tr>
      <w:tr>
        <w:trPr>
          <w:trHeight w:val="312" w:hRule="atLeast"/>
        </w:trPr>
        <w:tc>
          <w:tcPr>
            <w:tcW w:w="2896" w:type="dxa"/>
            <w:gridSpan w:val="2"/>
            <w:vMerge/>
            <w:tcBorders>
              <w:top w:val="nil"/>
            </w:tcBorders>
          </w:tcPr>
          <w:p>
            <w:pPr>
              <w:rPr>
                <w:sz w:val="2"/>
                <w:szCs w:val="2"/>
              </w:rPr>
            </w:pPr>
          </w:p>
        </w:tc>
        <w:tc>
          <w:tcPr>
            <w:tcW w:w="6960" w:type="dxa"/>
          </w:tcPr>
          <w:p>
            <w:pPr>
              <w:pStyle w:val="TableParagraph"/>
              <w:spacing w:before="13"/>
              <w:ind w:left="54"/>
              <w:rPr>
                <w:sz w:val="21"/>
              </w:rPr>
            </w:pPr>
            <w:r>
              <w:rPr>
                <w:spacing w:val="-2"/>
                <w:sz w:val="21"/>
              </w:rPr>
              <w:t>(2)</w:t>
            </w:r>
            <w:r>
              <w:rPr>
                <w:spacing w:val="-3"/>
                <w:sz w:val="21"/>
              </w:rPr>
              <w:t>部分或完全性下肢瘫痪或畸形等神经学上的异常。</w:t>
            </w:r>
          </w:p>
        </w:tc>
      </w:tr>
      <w:tr>
        <w:trPr>
          <w:trHeight w:val="311" w:hRule="atLeast"/>
        </w:trPr>
        <w:tc>
          <w:tcPr>
            <w:tcW w:w="2896" w:type="dxa"/>
            <w:gridSpan w:val="2"/>
            <w:vMerge/>
            <w:tcBorders>
              <w:top w:val="nil"/>
            </w:tcBorders>
          </w:tcPr>
          <w:p>
            <w:pPr>
              <w:rPr>
                <w:sz w:val="2"/>
                <w:szCs w:val="2"/>
              </w:rPr>
            </w:pPr>
          </w:p>
        </w:tc>
        <w:tc>
          <w:tcPr>
            <w:tcW w:w="6960" w:type="dxa"/>
          </w:tcPr>
          <w:p>
            <w:pPr>
              <w:pStyle w:val="TableParagraph"/>
              <w:spacing w:before="13"/>
              <w:ind w:left="54"/>
              <w:rPr>
                <w:sz w:val="21"/>
              </w:rPr>
            </w:pPr>
            <w:r>
              <w:rPr>
                <w:spacing w:val="-7"/>
                <w:sz w:val="21"/>
              </w:rPr>
              <w:t>但不包括由 </w:t>
            </w:r>
            <w:r>
              <w:rPr>
                <w:spacing w:val="-2"/>
                <w:sz w:val="21"/>
              </w:rPr>
              <w:t>X</w:t>
            </w:r>
            <w:r>
              <w:rPr>
                <w:spacing w:val="-8"/>
                <w:sz w:val="21"/>
              </w:rPr>
              <w:t> 线摄片发现的没有合并脊椎脊膜突出或脑</w:t>
            </w:r>
            <w:r>
              <w:rPr>
                <w:spacing w:val="-2"/>
                <w:sz w:val="21"/>
              </w:rPr>
              <w:t>（脊）</w:t>
            </w:r>
            <w:r>
              <w:rPr>
                <w:spacing w:val="-4"/>
                <w:sz w:val="21"/>
              </w:rPr>
              <w:t>膜突出的隐</w:t>
            </w:r>
          </w:p>
        </w:tc>
      </w:tr>
      <w:tr>
        <w:trPr>
          <w:trHeight w:val="261" w:hRule="atLeast"/>
        </w:trPr>
        <w:tc>
          <w:tcPr>
            <w:tcW w:w="2896" w:type="dxa"/>
            <w:gridSpan w:val="2"/>
            <w:vMerge/>
            <w:tcBorders>
              <w:top w:val="nil"/>
            </w:tcBorders>
          </w:tcPr>
          <w:p>
            <w:pPr>
              <w:rPr>
                <w:sz w:val="2"/>
                <w:szCs w:val="2"/>
              </w:rPr>
            </w:pPr>
          </w:p>
        </w:tc>
        <w:tc>
          <w:tcPr>
            <w:tcW w:w="6960" w:type="dxa"/>
          </w:tcPr>
          <w:p>
            <w:pPr>
              <w:pStyle w:val="TableParagraph"/>
              <w:spacing w:line="228" w:lineRule="exact" w:before="13"/>
              <w:ind w:left="54"/>
              <w:rPr>
                <w:sz w:val="21"/>
              </w:rPr>
            </w:pPr>
            <w:r>
              <w:rPr>
                <w:spacing w:val="-4"/>
                <w:sz w:val="21"/>
              </w:rPr>
              <w:t>形脊椎裂。</w:t>
            </w:r>
          </w:p>
        </w:tc>
      </w:tr>
    </w:tbl>
    <w:p>
      <w:pPr>
        <w:spacing w:after="0" w:line="228" w:lineRule="exact"/>
        <w:rPr>
          <w:sz w:val="21"/>
        </w:rPr>
        <w:sectPr>
          <w:pgSz w:w="11910" w:h="16840"/>
          <w:pgMar w:top="1460" w:bottom="1285"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8"/>
        <w:gridCol w:w="1766"/>
        <w:gridCol w:w="7032"/>
      </w:tblGrid>
      <w:tr>
        <w:trPr>
          <w:trHeight w:val="956" w:hRule="atLeast"/>
        </w:trPr>
        <w:tc>
          <w:tcPr>
            <w:tcW w:w="1058" w:type="dxa"/>
          </w:tcPr>
          <w:p>
            <w:pPr>
              <w:pStyle w:val="TableParagraph"/>
              <w:spacing w:line="283" w:lineRule="exact"/>
              <w:ind w:left="50"/>
              <w:rPr>
                <w:rFonts w:ascii="微软雅黑"/>
                <w:b/>
                <w:sz w:val="21"/>
              </w:rPr>
            </w:pPr>
            <w:r>
              <w:rPr>
                <w:rFonts w:ascii="微软雅黑"/>
                <w:b/>
                <w:spacing w:val="-2"/>
                <w:sz w:val="21"/>
              </w:rPr>
              <w:t>10.1.109</w:t>
            </w:r>
          </w:p>
        </w:tc>
        <w:tc>
          <w:tcPr>
            <w:tcW w:w="1766" w:type="dxa"/>
          </w:tcPr>
          <w:p>
            <w:pPr>
              <w:pStyle w:val="TableParagraph"/>
              <w:spacing w:line="283" w:lineRule="exact"/>
              <w:ind w:left="161"/>
              <w:rPr>
                <w:rFonts w:ascii="微软雅黑" w:eastAsia="微软雅黑"/>
                <w:b/>
                <w:sz w:val="21"/>
              </w:rPr>
            </w:pPr>
            <w:r>
              <w:rPr>
                <w:rFonts w:ascii="微软雅黑" w:eastAsia="微软雅黑"/>
                <w:b/>
                <w:spacing w:val="-4"/>
                <w:sz w:val="21"/>
              </w:rPr>
              <w:t>库鲁病</w:t>
            </w:r>
          </w:p>
        </w:tc>
        <w:tc>
          <w:tcPr>
            <w:tcW w:w="7032" w:type="dxa"/>
          </w:tcPr>
          <w:p>
            <w:pPr>
              <w:pStyle w:val="TableParagraph"/>
              <w:spacing w:line="232" w:lineRule="exact"/>
              <w:ind w:left="126"/>
              <w:rPr>
                <w:sz w:val="21"/>
              </w:rPr>
            </w:pPr>
            <w:r>
              <w:rPr>
                <w:spacing w:val="-5"/>
                <w:sz w:val="21"/>
              </w:rPr>
              <w:t>指一种亚急性传染性朊蛋白病。临床表现为共济失调、震颤、不自主运动，</w:t>
            </w:r>
          </w:p>
          <w:p>
            <w:pPr>
              <w:pStyle w:val="TableParagraph"/>
              <w:spacing w:line="278" w:lineRule="auto" w:before="43"/>
              <w:ind w:left="126" w:right="157"/>
              <w:rPr>
                <w:sz w:val="21"/>
              </w:rPr>
            </w:pPr>
            <w:r>
              <w:rPr>
                <w:spacing w:val="-2"/>
                <w:sz w:val="21"/>
              </w:rPr>
              <w:t>在病程晚期出现进行性加重的痴呆，神经异常。该病必须由专科医生根据</w:t>
            </w:r>
            <w:r>
              <w:rPr>
                <w:spacing w:val="-2"/>
                <w:sz w:val="21"/>
              </w:rPr>
              <w:t>检测出的脑组织中的致病蛋白而明确诊断。</w:t>
            </w:r>
          </w:p>
        </w:tc>
      </w:tr>
      <w:tr>
        <w:trPr>
          <w:trHeight w:val="1045" w:hRule="atLeast"/>
        </w:trPr>
        <w:tc>
          <w:tcPr>
            <w:tcW w:w="1058" w:type="dxa"/>
          </w:tcPr>
          <w:p>
            <w:pPr>
              <w:pStyle w:val="TableParagraph"/>
              <w:spacing w:before="17"/>
              <w:ind w:left="50"/>
              <w:rPr>
                <w:rFonts w:ascii="微软雅黑"/>
                <w:b/>
                <w:sz w:val="21"/>
              </w:rPr>
            </w:pPr>
            <w:r>
              <w:rPr>
                <w:rFonts w:ascii="微软雅黑"/>
                <w:b/>
                <w:spacing w:val="-2"/>
                <w:sz w:val="21"/>
              </w:rPr>
              <w:t>10.1.110</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自身免疫性脑炎</w:t>
            </w:r>
          </w:p>
        </w:tc>
        <w:tc>
          <w:tcPr>
            <w:tcW w:w="7032" w:type="dxa"/>
          </w:tcPr>
          <w:p>
            <w:pPr>
              <w:pStyle w:val="TableParagraph"/>
              <w:spacing w:line="278" w:lineRule="auto" w:before="84"/>
              <w:ind w:left="126" w:right="156"/>
              <w:jc w:val="both"/>
              <w:rPr>
                <w:sz w:val="21"/>
              </w:rPr>
            </w:pPr>
            <w:r>
              <w:rPr>
                <w:spacing w:val="-2"/>
                <w:sz w:val="21"/>
              </w:rPr>
              <w:t>自身免疫性脑炎（Autoimmune</w:t>
            </w:r>
            <w:r>
              <w:rPr>
                <w:spacing w:val="-25"/>
                <w:sz w:val="21"/>
              </w:rPr>
              <w:t> </w:t>
            </w:r>
            <w:r>
              <w:rPr>
                <w:spacing w:val="-2"/>
                <w:sz w:val="21"/>
              </w:rPr>
              <w:t>Encephalitis，AE）泛指一类由自身免疫机</w:t>
            </w:r>
            <w:r>
              <w:rPr>
                <w:spacing w:val="-2"/>
                <w:sz w:val="21"/>
              </w:rPr>
              <w:t>制介导的脑炎。临床以精神行为异常、癫痫发作、近事记忆障碍等多灶或</w:t>
            </w:r>
            <w:r>
              <w:rPr>
                <w:spacing w:val="-2"/>
                <w:sz w:val="21"/>
              </w:rPr>
              <w:t>弥漫性脑损害为主要表现。</w:t>
            </w:r>
          </w:p>
        </w:tc>
      </w:tr>
      <w:tr>
        <w:trPr>
          <w:trHeight w:val="6663"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32" w:type="dxa"/>
          </w:tcPr>
          <w:p>
            <w:pPr>
              <w:pStyle w:val="TableParagraph"/>
              <w:spacing w:before="51"/>
              <w:ind w:left="126"/>
              <w:rPr>
                <w:sz w:val="21"/>
              </w:rPr>
            </w:pPr>
            <w:r>
              <w:rPr>
                <w:spacing w:val="-3"/>
                <w:sz w:val="21"/>
              </w:rPr>
              <w:t>自身免疫性脑炎须经专科医生明确诊断，并须满足下列全部条件：</w:t>
            </w:r>
          </w:p>
          <w:p>
            <w:pPr>
              <w:pStyle w:val="TableParagraph"/>
              <w:numPr>
                <w:ilvl w:val="0"/>
                <w:numId w:val="55"/>
              </w:numPr>
              <w:tabs>
                <w:tab w:pos="444" w:val="left" w:leader="none"/>
              </w:tabs>
              <w:spacing w:line="278" w:lineRule="auto" w:before="43" w:after="0"/>
              <w:ind w:left="126" w:right="156" w:firstLine="0"/>
              <w:jc w:val="left"/>
              <w:rPr>
                <w:sz w:val="21"/>
              </w:rPr>
            </w:pPr>
            <w:r>
              <w:rPr>
                <w:spacing w:val="-1"/>
                <w:sz w:val="21"/>
              </w:rPr>
              <w:t>急性或亚急性起病，具备以下 </w:t>
            </w:r>
            <w:r>
              <w:rPr>
                <w:sz w:val="21"/>
              </w:rPr>
              <w:t>1</w:t>
            </w:r>
            <w:r>
              <w:rPr>
                <w:spacing w:val="-3"/>
                <w:sz w:val="21"/>
              </w:rPr>
              <w:t> 个或多个神经与精神症状或临床综合</w:t>
            </w:r>
            <w:r>
              <w:rPr>
                <w:spacing w:val="-6"/>
                <w:sz w:val="21"/>
              </w:rPr>
              <w:t>征。</w:t>
            </w:r>
          </w:p>
          <w:p>
            <w:pPr>
              <w:pStyle w:val="TableParagraph"/>
              <w:spacing w:line="278" w:lineRule="auto"/>
              <w:ind w:left="126" w:right="156"/>
              <w:rPr>
                <w:sz w:val="21"/>
              </w:rPr>
            </w:pPr>
            <w:r>
              <w:rPr>
                <w:sz w:val="21"/>
              </w:rPr>
              <w:t>①边缘系统症状：近事记忆减退、癫痫发作、精神行为异常，3</w:t>
            </w:r>
            <w:r>
              <w:rPr>
                <w:spacing w:val="-3"/>
                <w:sz w:val="21"/>
              </w:rPr>
              <w:t> 个症状中</w:t>
            </w:r>
            <w:r>
              <w:rPr>
                <w:spacing w:val="-11"/>
                <w:sz w:val="21"/>
              </w:rPr>
              <w:t>的 </w:t>
            </w:r>
            <w:r>
              <w:rPr>
                <w:sz w:val="21"/>
              </w:rPr>
              <w:t>1</w:t>
            </w:r>
            <w:r>
              <w:rPr>
                <w:spacing w:val="-5"/>
                <w:sz w:val="21"/>
              </w:rPr>
              <w:t> 个或多个；</w:t>
            </w:r>
          </w:p>
          <w:p>
            <w:pPr>
              <w:pStyle w:val="TableParagraph"/>
              <w:spacing w:line="269" w:lineRule="exact"/>
              <w:ind w:left="126"/>
              <w:rPr>
                <w:sz w:val="21"/>
              </w:rPr>
            </w:pPr>
            <w:r>
              <w:rPr>
                <w:spacing w:val="-3"/>
                <w:sz w:val="21"/>
              </w:rPr>
              <w:t>②脑炎综合征：弥漫性或多灶性脑损害的临床表现；</w:t>
            </w:r>
          </w:p>
          <w:p>
            <w:pPr>
              <w:pStyle w:val="TableParagraph"/>
              <w:spacing w:before="44"/>
              <w:ind w:left="126"/>
              <w:rPr>
                <w:sz w:val="21"/>
              </w:rPr>
            </w:pPr>
            <w:r>
              <w:rPr>
                <w:spacing w:val="-2"/>
                <w:sz w:val="21"/>
              </w:rPr>
              <w:t>③基底核和（或）</w:t>
            </w:r>
            <w:r>
              <w:rPr>
                <w:spacing w:val="-3"/>
                <w:sz w:val="21"/>
              </w:rPr>
              <w:t>间脑/下丘脑受累的临床表现；</w:t>
            </w:r>
          </w:p>
          <w:p>
            <w:pPr>
              <w:pStyle w:val="TableParagraph"/>
              <w:spacing w:before="42"/>
              <w:ind w:left="126"/>
              <w:rPr>
                <w:sz w:val="21"/>
              </w:rPr>
            </w:pPr>
            <w:r>
              <w:rPr>
                <w:spacing w:val="-3"/>
                <w:sz w:val="21"/>
              </w:rPr>
              <w:t>④精神障碍，且精神心理专科认为不符合非器质疾病。</w:t>
            </w:r>
          </w:p>
          <w:p>
            <w:pPr>
              <w:pStyle w:val="TableParagraph"/>
              <w:numPr>
                <w:ilvl w:val="0"/>
                <w:numId w:val="55"/>
              </w:numPr>
              <w:tabs>
                <w:tab w:pos="444" w:val="left" w:leader="none"/>
              </w:tabs>
              <w:spacing w:line="240" w:lineRule="auto" w:before="43" w:after="0"/>
              <w:ind w:left="444" w:right="0" w:hanging="318"/>
              <w:jc w:val="left"/>
              <w:rPr>
                <w:sz w:val="21"/>
              </w:rPr>
            </w:pPr>
            <w:r>
              <w:rPr>
                <w:spacing w:val="-11"/>
                <w:sz w:val="21"/>
              </w:rPr>
              <w:t>具有以下 </w:t>
            </w:r>
            <w:r>
              <w:rPr>
                <w:spacing w:val="-2"/>
                <w:sz w:val="21"/>
              </w:rPr>
              <w:t>1</w:t>
            </w:r>
            <w:r>
              <w:rPr>
                <w:spacing w:val="-10"/>
                <w:sz w:val="21"/>
              </w:rPr>
              <w:t> 个或多个的辅助检查发现，或者合并相关肿瘤。</w:t>
            </w:r>
          </w:p>
          <w:p>
            <w:pPr>
              <w:pStyle w:val="TableParagraph"/>
              <w:spacing w:line="278" w:lineRule="auto" w:before="43"/>
              <w:ind w:left="126" w:right="48"/>
              <w:rPr>
                <w:sz w:val="21"/>
              </w:rPr>
            </w:pPr>
            <w:r>
              <w:rPr>
                <w:spacing w:val="-4"/>
                <w:sz w:val="21"/>
              </w:rPr>
              <w:t>①脑脊液异常：脑脊液白细胞增多；或者脑脊液细胞学呈淋巴细胞性炎症；</w:t>
            </w:r>
            <w:r>
              <w:rPr>
                <w:spacing w:val="-2"/>
                <w:sz w:val="21"/>
              </w:rPr>
              <w:t>或者脑脊液寡克隆区带阳性；</w:t>
            </w:r>
          </w:p>
          <w:p>
            <w:pPr>
              <w:pStyle w:val="TableParagraph"/>
              <w:spacing w:line="278" w:lineRule="auto"/>
              <w:ind w:left="126" w:right="50"/>
              <w:rPr>
                <w:sz w:val="21"/>
              </w:rPr>
            </w:pPr>
            <w:r>
              <w:rPr>
                <w:sz w:val="21"/>
              </w:rPr>
              <w:t>②神经影像学或电生理异常：MRI</w:t>
            </w:r>
            <w:r>
              <w:rPr>
                <w:spacing w:val="-16"/>
                <w:sz w:val="21"/>
              </w:rPr>
              <w:t> 边缘系统 </w:t>
            </w:r>
            <w:r>
              <w:rPr>
                <w:sz w:val="21"/>
              </w:rPr>
              <w:t>T2</w:t>
            </w:r>
            <w:r>
              <w:rPr>
                <w:spacing w:val="-23"/>
                <w:sz w:val="21"/>
              </w:rPr>
              <w:t> 或者 </w:t>
            </w:r>
            <w:r>
              <w:rPr>
                <w:sz w:val="21"/>
              </w:rPr>
              <w:t>FLAIR</w:t>
            </w:r>
            <w:r>
              <w:rPr>
                <w:spacing w:val="-7"/>
                <w:sz w:val="21"/>
              </w:rPr>
              <w:t> 异常信号，单侧</w:t>
            </w:r>
            <w:r>
              <w:rPr>
                <w:spacing w:val="-5"/>
                <w:sz w:val="21"/>
              </w:rPr>
              <w:t>或双侧，或者其他区域的 </w:t>
            </w:r>
            <w:r>
              <w:rPr>
                <w:sz w:val="21"/>
              </w:rPr>
              <w:t>T2</w:t>
            </w:r>
            <w:r>
              <w:rPr>
                <w:spacing w:val="-36"/>
                <w:sz w:val="21"/>
              </w:rPr>
              <w:t> 或 </w:t>
            </w:r>
            <w:r>
              <w:rPr>
                <w:sz w:val="21"/>
              </w:rPr>
              <w:t>FLAIR</w:t>
            </w:r>
            <w:r>
              <w:rPr>
                <w:spacing w:val="-12"/>
                <w:sz w:val="21"/>
              </w:rPr>
              <w:t> 异常信号</w:t>
            </w:r>
            <w:r>
              <w:rPr>
                <w:sz w:val="21"/>
              </w:rPr>
              <w:t>（除外非特异性白质改变和卒中</w:t>
            </w:r>
            <w:r>
              <w:rPr>
                <w:spacing w:val="-65"/>
                <w:sz w:val="21"/>
              </w:rPr>
              <w:t>）</w:t>
            </w:r>
            <w:r>
              <w:rPr>
                <w:spacing w:val="-28"/>
                <w:sz w:val="21"/>
              </w:rPr>
              <w:t>；或者 </w:t>
            </w:r>
            <w:r>
              <w:rPr>
                <w:sz w:val="21"/>
              </w:rPr>
              <w:t>PET</w:t>
            </w:r>
            <w:r>
              <w:rPr>
                <w:spacing w:val="-7"/>
                <w:sz w:val="21"/>
              </w:rPr>
              <w:t> 边缘系统高代谢改变，或者多发的皮质和</w:t>
            </w:r>
            <w:r>
              <w:rPr>
                <w:sz w:val="21"/>
              </w:rPr>
              <w:t>（或）基底核高</w:t>
            </w:r>
            <w:r>
              <w:rPr>
                <w:spacing w:val="-17"/>
                <w:sz w:val="21"/>
              </w:rPr>
              <w:t>代谢；或者脑电图异常：局灶性癫痫或癫痫样放电</w:t>
            </w:r>
            <w:r>
              <w:rPr>
                <w:spacing w:val="-2"/>
                <w:sz w:val="21"/>
              </w:rPr>
              <w:t>（位于颞叶或颞叶以外</w:t>
            </w:r>
            <w:r>
              <w:rPr>
                <w:spacing w:val="-106"/>
                <w:sz w:val="21"/>
              </w:rPr>
              <w:t>）</w:t>
            </w:r>
            <w:r>
              <w:rPr>
                <w:sz w:val="21"/>
              </w:rPr>
              <w:t>，</w:t>
            </w:r>
            <w:r>
              <w:rPr>
                <w:spacing w:val="-2"/>
                <w:sz w:val="21"/>
              </w:rPr>
              <w:t>或者弥漫或多灶分布的慢波节律；</w:t>
            </w:r>
          </w:p>
          <w:p>
            <w:pPr>
              <w:pStyle w:val="TableParagraph"/>
              <w:spacing w:line="278" w:lineRule="auto"/>
              <w:ind w:left="126" w:right="156"/>
              <w:rPr>
                <w:sz w:val="21"/>
              </w:rPr>
            </w:pPr>
            <w:r>
              <w:rPr>
                <w:spacing w:val="-2"/>
                <w:sz w:val="21"/>
              </w:rPr>
              <w:t>③与自身免疫性脑炎相关的特定类型的肿瘤，如边缘性脑炎合并小细胞肺</w:t>
            </w:r>
            <w:r>
              <w:rPr>
                <w:spacing w:val="-6"/>
                <w:sz w:val="21"/>
              </w:rPr>
              <w:t>癌，抗 </w:t>
            </w:r>
            <w:r>
              <w:rPr>
                <w:sz w:val="21"/>
              </w:rPr>
              <w:t>NMDAR</w:t>
            </w:r>
            <w:r>
              <w:rPr>
                <w:spacing w:val="-5"/>
                <w:sz w:val="21"/>
              </w:rPr>
              <w:t> 脑炎合并畸胎瘤。</w:t>
            </w:r>
          </w:p>
          <w:p>
            <w:pPr>
              <w:pStyle w:val="TableParagraph"/>
              <w:numPr>
                <w:ilvl w:val="0"/>
                <w:numId w:val="55"/>
              </w:numPr>
              <w:tabs>
                <w:tab w:pos="444" w:val="left" w:leader="none"/>
              </w:tabs>
              <w:spacing w:line="278" w:lineRule="auto" w:before="0" w:after="0"/>
              <w:ind w:left="126" w:right="156" w:firstLine="0"/>
              <w:jc w:val="left"/>
              <w:rPr>
                <w:sz w:val="21"/>
              </w:rPr>
            </w:pPr>
            <w:r>
              <w:rPr>
                <w:spacing w:val="-9"/>
                <w:sz w:val="21"/>
              </w:rPr>
              <w:t>抗神经元表面抗原的自身抗体阳性，其中抗 </w:t>
            </w:r>
            <w:r>
              <w:rPr>
                <w:spacing w:val="-2"/>
                <w:sz w:val="21"/>
              </w:rPr>
              <w:t>NMDAR</w:t>
            </w:r>
            <w:r>
              <w:rPr>
                <w:spacing w:val="-8"/>
                <w:sz w:val="21"/>
              </w:rPr>
              <w:t> 抗体检测主要以脑脊</w:t>
            </w:r>
            <w:r>
              <w:rPr>
                <w:spacing w:val="-2"/>
                <w:sz w:val="21"/>
              </w:rPr>
              <w:t>液阳性为准。</w:t>
            </w:r>
          </w:p>
          <w:p>
            <w:pPr>
              <w:pStyle w:val="TableParagraph"/>
              <w:numPr>
                <w:ilvl w:val="0"/>
                <w:numId w:val="55"/>
              </w:numPr>
              <w:tabs>
                <w:tab w:pos="444" w:val="left" w:leader="none"/>
              </w:tabs>
              <w:spacing w:line="269" w:lineRule="exact" w:before="0" w:after="0"/>
              <w:ind w:left="444" w:right="0" w:hanging="318"/>
              <w:jc w:val="left"/>
              <w:rPr>
                <w:sz w:val="21"/>
              </w:rPr>
            </w:pPr>
            <w:r>
              <w:rPr>
                <w:spacing w:val="-3"/>
                <w:sz w:val="21"/>
              </w:rPr>
              <w:t>合理地排除其他病因。</w:t>
            </w:r>
          </w:p>
        </w:tc>
      </w:tr>
      <w:tr>
        <w:trPr>
          <w:trHeight w:val="2014" w:hRule="atLeast"/>
        </w:trPr>
        <w:tc>
          <w:tcPr>
            <w:tcW w:w="1058" w:type="dxa"/>
          </w:tcPr>
          <w:p>
            <w:pPr>
              <w:pStyle w:val="TableParagraph"/>
              <w:spacing w:before="18"/>
              <w:ind w:left="50"/>
              <w:rPr>
                <w:rFonts w:ascii="微软雅黑"/>
                <w:b/>
                <w:sz w:val="21"/>
              </w:rPr>
            </w:pPr>
            <w:r>
              <w:rPr>
                <w:rFonts w:ascii="微软雅黑"/>
                <w:b/>
                <w:spacing w:val="-2"/>
                <w:sz w:val="21"/>
              </w:rPr>
              <w:t>10.1.111</w:t>
            </w:r>
          </w:p>
        </w:tc>
        <w:tc>
          <w:tcPr>
            <w:tcW w:w="1766" w:type="dxa"/>
          </w:tcPr>
          <w:p>
            <w:pPr>
              <w:pStyle w:val="TableParagraph"/>
              <w:spacing w:before="18"/>
              <w:ind w:left="161"/>
              <w:rPr>
                <w:rFonts w:ascii="微软雅黑" w:eastAsia="微软雅黑"/>
                <w:b/>
                <w:sz w:val="21"/>
              </w:rPr>
            </w:pPr>
            <w:r>
              <w:rPr>
                <w:rFonts w:ascii="微软雅黑" w:eastAsia="微软雅黑"/>
                <w:b/>
                <w:spacing w:val="-2"/>
                <w:sz w:val="21"/>
              </w:rPr>
              <w:t>严重肺结节病</w:t>
            </w:r>
          </w:p>
        </w:tc>
        <w:tc>
          <w:tcPr>
            <w:tcW w:w="7032" w:type="dxa"/>
          </w:tcPr>
          <w:p>
            <w:pPr>
              <w:pStyle w:val="TableParagraph"/>
              <w:spacing w:line="278" w:lineRule="auto" w:before="85"/>
              <w:ind w:left="126" w:right="157"/>
              <w:jc w:val="both"/>
              <w:rPr>
                <w:sz w:val="21"/>
              </w:rPr>
            </w:pPr>
            <w:r>
              <w:rPr>
                <w:spacing w:val="-2"/>
                <w:sz w:val="21"/>
              </w:rPr>
              <w:t>结节病是一种原因未明的慢性肉芽肿病，可侵犯全身多个器官，以肺和淋</w:t>
            </w:r>
            <w:r>
              <w:rPr>
                <w:spacing w:val="-2"/>
                <w:sz w:val="21"/>
              </w:rPr>
              <w:t>巴结受累最为常见。严重肺结节病表现为肺的广泛纤维化导致慢性呼吸功</w:t>
            </w:r>
            <w:r>
              <w:rPr>
                <w:spacing w:val="-2"/>
                <w:sz w:val="21"/>
              </w:rPr>
              <w:t>能衰竭。必须满足下列所有条件：</w:t>
            </w:r>
          </w:p>
          <w:p>
            <w:pPr>
              <w:pStyle w:val="TableParagraph"/>
              <w:numPr>
                <w:ilvl w:val="0"/>
                <w:numId w:val="56"/>
              </w:numPr>
              <w:tabs>
                <w:tab w:pos="444" w:val="left" w:leader="none"/>
              </w:tabs>
              <w:spacing w:line="269" w:lineRule="exact" w:before="0" w:after="0"/>
              <w:ind w:left="444" w:right="0" w:hanging="318"/>
              <w:jc w:val="both"/>
              <w:rPr>
                <w:sz w:val="21"/>
              </w:rPr>
            </w:pPr>
            <w:r>
              <w:rPr>
                <w:spacing w:val="-11"/>
                <w:sz w:val="21"/>
              </w:rPr>
              <w:t>肺结节病的 </w:t>
            </w:r>
            <w:r>
              <w:rPr>
                <w:spacing w:val="-2"/>
                <w:sz w:val="21"/>
              </w:rPr>
              <w:t>X</w:t>
            </w:r>
            <w:r>
              <w:rPr>
                <w:spacing w:val="-10"/>
                <w:sz w:val="21"/>
              </w:rPr>
              <w:t> 线分期为Ⅳ期，即广泛肺纤维化；</w:t>
            </w:r>
          </w:p>
          <w:p>
            <w:pPr>
              <w:pStyle w:val="TableParagraph"/>
              <w:numPr>
                <w:ilvl w:val="0"/>
                <w:numId w:val="56"/>
              </w:numPr>
              <w:tabs>
                <w:tab w:pos="451" w:val="left" w:leader="none"/>
              </w:tabs>
              <w:spacing w:line="240" w:lineRule="auto" w:before="43" w:after="0"/>
              <w:ind w:left="450" w:right="0" w:hanging="325"/>
              <w:jc w:val="both"/>
              <w:rPr>
                <w:sz w:val="21"/>
              </w:rPr>
            </w:pPr>
            <w:r>
              <w:rPr>
                <w:sz w:val="21"/>
              </w:rPr>
              <w:t>永久不可逆性的慢性呼吸功能衰竭，临床持续</w:t>
            </w:r>
            <w:r>
              <w:rPr>
                <w:spacing w:val="43"/>
                <w:w w:val="150"/>
                <w:sz w:val="21"/>
              </w:rPr>
              <w:t> </w:t>
            </w:r>
            <w:r>
              <w:rPr>
                <w:sz w:val="21"/>
              </w:rPr>
              <w:t>180</w:t>
            </w:r>
            <w:r>
              <w:rPr>
                <w:spacing w:val="42"/>
                <w:w w:val="150"/>
                <w:sz w:val="21"/>
              </w:rPr>
              <w:t> </w:t>
            </w:r>
            <w:r>
              <w:rPr>
                <w:spacing w:val="-2"/>
                <w:sz w:val="21"/>
              </w:rPr>
              <w:t>天动脉血氧分压</w:t>
            </w:r>
          </w:p>
          <w:p>
            <w:pPr>
              <w:pStyle w:val="TableParagraph"/>
              <w:spacing w:before="42"/>
              <w:ind w:left="126"/>
              <w:jc w:val="both"/>
              <w:rPr>
                <w:sz w:val="21"/>
              </w:rPr>
            </w:pPr>
            <w:r>
              <w:rPr>
                <w:spacing w:val="-2"/>
                <w:position w:val="1"/>
                <w:sz w:val="21"/>
              </w:rPr>
              <w:t>（PaO</w:t>
            </w:r>
            <w:r>
              <w:rPr>
                <w:spacing w:val="-2"/>
                <w:sz w:val="11"/>
              </w:rPr>
              <w:t>2</w:t>
            </w:r>
            <w:r>
              <w:rPr>
                <w:spacing w:val="-2"/>
                <w:position w:val="1"/>
                <w:sz w:val="21"/>
              </w:rPr>
              <w:t>）&lt;50mmHg</w:t>
            </w:r>
            <w:r>
              <w:rPr>
                <w:spacing w:val="-7"/>
                <w:position w:val="1"/>
                <w:sz w:val="21"/>
              </w:rPr>
              <w:t> 和动脉血氧饱和度</w:t>
            </w:r>
            <w:r>
              <w:rPr>
                <w:spacing w:val="-2"/>
                <w:position w:val="1"/>
                <w:sz w:val="21"/>
              </w:rPr>
              <w:t>（SaO</w:t>
            </w:r>
            <w:r>
              <w:rPr>
                <w:spacing w:val="-2"/>
                <w:sz w:val="11"/>
              </w:rPr>
              <w:t>2</w:t>
            </w:r>
            <w:r>
              <w:rPr>
                <w:spacing w:val="-2"/>
                <w:position w:val="1"/>
                <w:sz w:val="21"/>
              </w:rPr>
              <w:t>）&lt;80</w:t>
            </w:r>
            <w:r>
              <w:rPr>
                <w:spacing w:val="-6"/>
                <w:position w:val="1"/>
                <w:sz w:val="21"/>
              </w:rPr>
              <w:t>%。</w:t>
            </w:r>
          </w:p>
        </w:tc>
      </w:tr>
      <w:tr>
        <w:trPr>
          <w:trHeight w:val="2014" w:hRule="atLeast"/>
        </w:trPr>
        <w:tc>
          <w:tcPr>
            <w:tcW w:w="1058" w:type="dxa"/>
          </w:tcPr>
          <w:p>
            <w:pPr>
              <w:pStyle w:val="TableParagraph"/>
              <w:spacing w:before="17"/>
              <w:ind w:left="50"/>
              <w:rPr>
                <w:rFonts w:ascii="微软雅黑"/>
                <w:b/>
                <w:sz w:val="21"/>
              </w:rPr>
            </w:pPr>
            <w:r>
              <w:rPr>
                <w:rFonts w:ascii="微软雅黑"/>
                <w:b/>
                <w:spacing w:val="-2"/>
                <w:sz w:val="21"/>
              </w:rPr>
              <w:t>10.1.112</w:t>
            </w:r>
          </w:p>
        </w:tc>
        <w:tc>
          <w:tcPr>
            <w:tcW w:w="1766" w:type="dxa"/>
          </w:tcPr>
          <w:p>
            <w:pPr>
              <w:pStyle w:val="TableParagraph"/>
              <w:spacing w:line="194" w:lineRule="auto" w:before="69"/>
              <w:ind w:left="161" w:right="124"/>
              <w:rPr>
                <w:rFonts w:ascii="微软雅黑" w:eastAsia="微软雅黑"/>
                <w:b/>
                <w:sz w:val="21"/>
              </w:rPr>
            </w:pPr>
            <w:r>
              <w:rPr>
                <w:rFonts w:ascii="微软雅黑" w:eastAsia="微软雅黑"/>
                <w:b/>
                <w:spacing w:val="-2"/>
                <w:sz w:val="21"/>
              </w:rPr>
              <w:t>严重脊髓血管病</w:t>
            </w:r>
            <w:r>
              <w:rPr>
                <w:rFonts w:ascii="微软雅黑" w:eastAsia="微软雅黑"/>
                <w:b/>
                <w:spacing w:val="-4"/>
                <w:sz w:val="21"/>
              </w:rPr>
              <w:t>后遗症</w:t>
            </w:r>
          </w:p>
        </w:tc>
        <w:tc>
          <w:tcPr>
            <w:tcW w:w="7032" w:type="dxa"/>
          </w:tcPr>
          <w:p>
            <w:pPr>
              <w:pStyle w:val="TableParagraph"/>
              <w:spacing w:line="278" w:lineRule="auto" w:before="84"/>
              <w:ind w:left="126" w:right="154"/>
              <w:jc w:val="both"/>
              <w:rPr>
                <w:sz w:val="21"/>
              </w:rPr>
            </w:pPr>
            <w:r>
              <w:rPr>
                <w:spacing w:val="-2"/>
                <w:sz w:val="21"/>
              </w:rPr>
              <w:t>指脊髓血管的突发病变引起脊髓梗塞或脊髓出血，导致永久性不可逆的神</w:t>
            </w:r>
            <w:r>
              <w:rPr>
                <w:spacing w:val="-2"/>
                <w:sz w:val="21"/>
              </w:rPr>
              <w:t>经系统功能损害，表现为截瘫或四肢瘫。永久性不可逆的神经系统功能损</w:t>
            </w:r>
            <w:r>
              <w:rPr>
                <w:spacing w:val="-6"/>
                <w:sz w:val="21"/>
              </w:rPr>
              <w:t>害指疾病确诊 </w:t>
            </w:r>
            <w:r>
              <w:rPr>
                <w:spacing w:val="-2"/>
                <w:sz w:val="21"/>
              </w:rPr>
              <w:t>180</w:t>
            </w:r>
            <w:r>
              <w:rPr>
                <w:spacing w:val="-7"/>
                <w:sz w:val="21"/>
              </w:rPr>
              <w:t> 天后，仍然遗留后遗症并且无法独立完成下列基本日常</w:t>
            </w:r>
            <w:r>
              <w:rPr>
                <w:spacing w:val="-2"/>
                <w:sz w:val="21"/>
              </w:rPr>
              <w:t>生活活动之一：</w:t>
            </w:r>
          </w:p>
          <w:p>
            <w:pPr>
              <w:pStyle w:val="TableParagraph"/>
              <w:numPr>
                <w:ilvl w:val="0"/>
                <w:numId w:val="57"/>
              </w:numPr>
              <w:tabs>
                <w:tab w:pos="444" w:val="left" w:leader="none"/>
              </w:tabs>
              <w:spacing w:line="240" w:lineRule="auto" w:before="0" w:after="0"/>
              <w:ind w:left="444" w:right="0" w:hanging="318"/>
              <w:jc w:val="left"/>
              <w:rPr>
                <w:sz w:val="21"/>
              </w:rPr>
            </w:pPr>
            <w:r>
              <w:rPr>
                <w:spacing w:val="-3"/>
                <w:sz w:val="21"/>
              </w:rPr>
              <w:t>移动：自己从一个房间到另一个房间；</w:t>
            </w:r>
          </w:p>
          <w:p>
            <w:pPr>
              <w:pStyle w:val="TableParagraph"/>
              <w:numPr>
                <w:ilvl w:val="0"/>
                <w:numId w:val="57"/>
              </w:numPr>
              <w:tabs>
                <w:tab w:pos="444" w:val="left" w:leader="none"/>
              </w:tabs>
              <w:spacing w:line="240" w:lineRule="auto" w:before="43" w:after="0"/>
              <w:ind w:left="444" w:right="0" w:hanging="318"/>
              <w:jc w:val="left"/>
              <w:rPr>
                <w:sz w:val="21"/>
              </w:rPr>
            </w:pPr>
            <w:r>
              <w:rPr>
                <w:spacing w:val="-3"/>
                <w:sz w:val="21"/>
              </w:rPr>
              <w:t>进食：自己从已准备好的碗或碟中取食物放入口中。</w:t>
            </w:r>
          </w:p>
        </w:tc>
      </w:tr>
      <w:tr>
        <w:trPr>
          <w:trHeight w:val="733" w:hRule="atLeast"/>
        </w:trPr>
        <w:tc>
          <w:tcPr>
            <w:tcW w:w="1058" w:type="dxa"/>
          </w:tcPr>
          <w:p>
            <w:pPr>
              <w:pStyle w:val="TableParagraph"/>
              <w:spacing w:before="17"/>
              <w:ind w:left="50"/>
              <w:rPr>
                <w:rFonts w:ascii="微软雅黑"/>
                <w:b/>
                <w:sz w:val="21"/>
              </w:rPr>
            </w:pPr>
            <w:r>
              <w:rPr>
                <w:rFonts w:ascii="微软雅黑"/>
                <w:b/>
                <w:spacing w:val="-2"/>
                <w:sz w:val="21"/>
              </w:rPr>
              <w:t>10.1.113</w:t>
            </w:r>
          </w:p>
        </w:tc>
        <w:tc>
          <w:tcPr>
            <w:tcW w:w="1766" w:type="dxa"/>
          </w:tcPr>
          <w:p>
            <w:pPr>
              <w:pStyle w:val="TableParagraph"/>
              <w:spacing w:line="194" w:lineRule="auto" w:before="69"/>
              <w:ind w:left="161" w:right="124"/>
              <w:rPr>
                <w:rFonts w:ascii="微软雅黑" w:eastAsia="微软雅黑"/>
                <w:b/>
                <w:sz w:val="21"/>
              </w:rPr>
            </w:pPr>
            <w:r>
              <w:rPr>
                <w:rFonts w:ascii="微软雅黑" w:eastAsia="微软雅黑"/>
                <w:b/>
                <w:spacing w:val="-2"/>
                <w:sz w:val="21"/>
              </w:rPr>
              <w:t>特定的横贯性脊</w:t>
            </w:r>
            <w:r>
              <w:rPr>
                <w:rFonts w:ascii="微软雅黑" w:eastAsia="微软雅黑"/>
                <w:b/>
                <w:spacing w:val="-2"/>
                <w:sz w:val="21"/>
              </w:rPr>
              <w:t>髓炎后遗症</w:t>
            </w:r>
          </w:p>
        </w:tc>
        <w:tc>
          <w:tcPr>
            <w:tcW w:w="7032" w:type="dxa"/>
          </w:tcPr>
          <w:p>
            <w:pPr>
              <w:pStyle w:val="TableParagraph"/>
              <w:spacing w:line="278" w:lineRule="auto" w:before="84"/>
              <w:ind w:left="126" w:right="50"/>
              <w:rPr>
                <w:sz w:val="21"/>
              </w:rPr>
            </w:pPr>
            <w:r>
              <w:rPr>
                <w:spacing w:val="-8"/>
                <w:sz w:val="21"/>
              </w:rPr>
              <w:t>脊髓炎是一种炎症性脊髓疾病。横贯性脊髓炎是指炎症扩展横贯整个脊髓，</w:t>
            </w:r>
            <w:r>
              <w:rPr>
                <w:spacing w:val="-2"/>
                <w:sz w:val="21"/>
              </w:rPr>
              <w:t>表现为运动障碍、感觉障碍和自主神经功能障碍。</w:t>
            </w:r>
          </w:p>
        </w:tc>
      </w:tr>
      <w:tr>
        <w:trPr>
          <w:trHeight w:val="299"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32" w:type="dxa"/>
          </w:tcPr>
          <w:p>
            <w:pPr>
              <w:pStyle w:val="TableParagraph"/>
              <w:spacing w:line="228" w:lineRule="exact" w:before="51"/>
              <w:ind w:left="126"/>
              <w:rPr>
                <w:sz w:val="21"/>
              </w:rPr>
            </w:pPr>
            <w:r>
              <w:rPr>
                <w:spacing w:val="-3"/>
                <w:sz w:val="21"/>
              </w:rPr>
              <w:t>特定的横贯性脊髓炎后遗症指诊断为横贯性脊髓炎且已经造成永久不可逆</w:t>
            </w:r>
          </w:p>
        </w:tc>
      </w:tr>
    </w:tbl>
    <w:p>
      <w:pPr>
        <w:spacing w:after="0" w:line="228" w:lineRule="exact"/>
        <w:rPr>
          <w:sz w:val="21"/>
        </w:rPr>
        <w:sectPr>
          <w:type w:val="continuous"/>
          <w:pgSz w:w="11910" w:h="16840"/>
          <w:pgMar w:top="1460" w:bottom="1177"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8"/>
        <w:gridCol w:w="1766"/>
        <w:gridCol w:w="7029"/>
      </w:tblGrid>
      <w:tr>
        <w:trPr>
          <w:trHeight w:val="956"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line="232" w:lineRule="exact"/>
              <w:ind w:left="126"/>
              <w:rPr>
                <w:sz w:val="21"/>
              </w:rPr>
            </w:pPr>
            <w:r>
              <w:rPr>
                <w:spacing w:val="-3"/>
                <w:sz w:val="21"/>
              </w:rPr>
              <w:t>的神经系统功能障碍，无法独立完成下列基本日常生活活动之一：</w:t>
            </w:r>
          </w:p>
          <w:p>
            <w:pPr>
              <w:pStyle w:val="TableParagraph"/>
              <w:numPr>
                <w:ilvl w:val="0"/>
                <w:numId w:val="58"/>
              </w:numPr>
              <w:tabs>
                <w:tab w:pos="444" w:val="left" w:leader="none"/>
              </w:tabs>
              <w:spacing w:line="240" w:lineRule="auto" w:before="43" w:after="0"/>
              <w:ind w:left="444" w:right="0" w:hanging="318"/>
              <w:jc w:val="left"/>
              <w:rPr>
                <w:sz w:val="21"/>
              </w:rPr>
            </w:pPr>
            <w:r>
              <w:rPr>
                <w:spacing w:val="-3"/>
                <w:sz w:val="21"/>
              </w:rPr>
              <w:t>移动：自己从一个房间到另一个房间；</w:t>
            </w:r>
          </w:p>
          <w:p>
            <w:pPr>
              <w:pStyle w:val="TableParagraph"/>
              <w:numPr>
                <w:ilvl w:val="0"/>
                <w:numId w:val="58"/>
              </w:numPr>
              <w:tabs>
                <w:tab w:pos="444" w:val="left" w:leader="none"/>
              </w:tabs>
              <w:spacing w:line="240" w:lineRule="auto" w:before="43" w:after="0"/>
              <w:ind w:left="444" w:right="0" w:hanging="318"/>
              <w:jc w:val="left"/>
              <w:rPr>
                <w:sz w:val="21"/>
              </w:rPr>
            </w:pPr>
            <w:r>
              <w:rPr>
                <w:spacing w:val="-3"/>
                <w:sz w:val="21"/>
              </w:rPr>
              <w:t>进食：自己从已准备好的碗或碟中取食物放入口中。</w:t>
            </w:r>
          </w:p>
        </w:tc>
      </w:tr>
      <w:tr>
        <w:trPr>
          <w:trHeight w:val="2013" w:hRule="atLeast"/>
        </w:trPr>
        <w:tc>
          <w:tcPr>
            <w:tcW w:w="1058" w:type="dxa"/>
          </w:tcPr>
          <w:p>
            <w:pPr>
              <w:pStyle w:val="TableParagraph"/>
              <w:spacing w:before="17"/>
              <w:ind w:left="50"/>
              <w:rPr>
                <w:rFonts w:ascii="微软雅黑"/>
                <w:b/>
                <w:sz w:val="21"/>
              </w:rPr>
            </w:pPr>
            <w:r>
              <w:rPr>
                <w:rFonts w:ascii="微软雅黑"/>
                <w:b/>
                <w:spacing w:val="-2"/>
                <w:sz w:val="21"/>
              </w:rPr>
              <w:t>10.1.114</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特发性肺纤维化</w:t>
            </w:r>
          </w:p>
        </w:tc>
        <w:tc>
          <w:tcPr>
            <w:tcW w:w="7029" w:type="dxa"/>
          </w:tcPr>
          <w:p>
            <w:pPr>
              <w:pStyle w:val="TableParagraph"/>
              <w:spacing w:line="278" w:lineRule="auto" w:before="84"/>
              <w:ind w:left="126" w:right="153"/>
              <w:jc w:val="both"/>
              <w:rPr>
                <w:sz w:val="21"/>
              </w:rPr>
            </w:pPr>
            <w:r>
              <w:rPr>
                <w:spacing w:val="-2"/>
                <w:sz w:val="21"/>
              </w:rPr>
              <w:t>是一种原因不明的、进行性的、局限于肺部的以纤维化伴蜂窝状改变为特</w:t>
            </w:r>
            <w:r>
              <w:rPr>
                <w:spacing w:val="-2"/>
                <w:sz w:val="21"/>
              </w:rPr>
              <w:t>征的疾病，可表现为呼吸困难、咳嗽咳痰、消瘦、乏力，终末期可出现呼</w:t>
            </w:r>
            <w:r>
              <w:rPr>
                <w:spacing w:val="2"/>
                <w:sz w:val="21"/>
              </w:rPr>
              <w:t>吸衰竭和右心衰竭体征。诊断需经外科肺活检病理证实或高分辨率  </w:t>
            </w:r>
            <w:r>
              <w:rPr>
                <w:spacing w:val="-5"/>
                <w:sz w:val="21"/>
              </w:rPr>
              <w:t>CT</w:t>
            </w:r>
          </w:p>
          <w:p>
            <w:pPr>
              <w:pStyle w:val="TableParagraph"/>
              <w:spacing w:line="278" w:lineRule="auto"/>
              <w:ind w:left="126" w:right="153"/>
              <w:jc w:val="both"/>
              <w:rPr>
                <w:sz w:val="21"/>
              </w:rPr>
            </w:pPr>
            <w:r>
              <w:rPr>
                <w:spacing w:val="-4"/>
                <w:sz w:val="21"/>
              </w:rPr>
              <w:t>（HRCT）证实为典型的普通型间质性肺炎</w:t>
            </w:r>
            <w:r>
              <w:rPr>
                <w:spacing w:val="15"/>
                <w:sz w:val="21"/>
              </w:rPr>
              <w:t>（</w:t>
            </w:r>
            <w:r>
              <w:rPr>
                <w:spacing w:val="18"/>
                <w:sz w:val="21"/>
              </w:rPr>
              <w:t>UI</w:t>
            </w:r>
            <w:r>
              <w:rPr>
                <w:spacing w:val="15"/>
                <w:sz w:val="21"/>
              </w:rPr>
              <w:t>P</w:t>
            </w:r>
            <w:r>
              <w:rPr>
                <w:spacing w:val="-86"/>
                <w:sz w:val="21"/>
              </w:rPr>
              <w:t>）</w:t>
            </w:r>
            <w:r>
              <w:rPr>
                <w:spacing w:val="-4"/>
                <w:sz w:val="21"/>
              </w:rPr>
              <w:t>。</w:t>
            </w:r>
            <w:r>
              <w:rPr>
                <w:color w:val="000000"/>
                <w:spacing w:val="-4"/>
                <w:sz w:val="21"/>
                <w:shd w:fill="A6A6A6" w:color="auto" w:val="clear"/>
              </w:rPr>
              <w:t>其他已知原因（例如环</w:t>
            </w:r>
            <w:r>
              <w:rPr>
                <w:color w:val="000000"/>
                <w:spacing w:val="40"/>
                <w:sz w:val="21"/>
                <w:shd w:fill="A6A6A6" w:color="auto" w:val="clear"/>
              </w:rPr>
              <w:t> </w:t>
            </w:r>
            <w:r>
              <w:rPr>
                <w:color w:val="000000"/>
                <w:spacing w:val="-4"/>
                <w:sz w:val="21"/>
                <w:shd w:fill="A6A6A6" w:color="auto" w:val="clear"/>
              </w:rPr>
              <w:t>境和职业暴露、结缔组织病、药物毒性）导致的间质性肺疾病（ILD）不在</w:t>
            </w:r>
            <w:r>
              <w:rPr>
                <w:color w:val="000000"/>
                <w:spacing w:val="-2"/>
                <w:sz w:val="21"/>
                <w:shd w:fill="A6A6A6" w:color="auto" w:val="clear"/>
              </w:rPr>
              <w:t>保障范围内。</w:t>
            </w:r>
          </w:p>
        </w:tc>
      </w:tr>
      <w:tr>
        <w:trPr>
          <w:trHeight w:val="1670" w:hRule="atLeast"/>
        </w:trPr>
        <w:tc>
          <w:tcPr>
            <w:tcW w:w="1058" w:type="dxa"/>
          </w:tcPr>
          <w:p>
            <w:pPr>
              <w:pStyle w:val="TableParagraph"/>
              <w:spacing w:before="17"/>
              <w:ind w:left="50"/>
              <w:rPr>
                <w:rFonts w:ascii="微软雅黑"/>
                <w:b/>
                <w:sz w:val="21"/>
              </w:rPr>
            </w:pPr>
            <w:r>
              <w:rPr>
                <w:rFonts w:ascii="微软雅黑"/>
                <w:b/>
                <w:spacing w:val="-2"/>
                <w:sz w:val="21"/>
              </w:rPr>
              <w:t>10.1.115</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严重血管性痴呆</w:t>
            </w:r>
          </w:p>
        </w:tc>
        <w:tc>
          <w:tcPr>
            <w:tcW w:w="7029" w:type="dxa"/>
          </w:tcPr>
          <w:p>
            <w:pPr>
              <w:pStyle w:val="TableParagraph"/>
              <w:spacing w:line="278" w:lineRule="auto" w:before="84"/>
              <w:ind w:left="126" w:right="154"/>
              <w:jc w:val="both"/>
              <w:rPr>
                <w:sz w:val="21"/>
              </w:rPr>
            </w:pPr>
            <w:r>
              <w:rPr>
                <w:spacing w:val="-2"/>
                <w:sz w:val="21"/>
              </w:rPr>
              <w:t>指由缺血性卒中、出血性卒中和造成记忆、认知和行为等脑区低灌注的脑</w:t>
            </w:r>
            <w:r>
              <w:rPr>
                <w:spacing w:val="-2"/>
                <w:sz w:val="21"/>
              </w:rPr>
              <w:t>血管疾病所致的严重认知功能障碍综合征。被保险人自主生活能力完全丧</w:t>
            </w:r>
            <w:r>
              <w:rPr>
                <w:spacing w:val="-2"/>
                <w:sz w:val="21"/>
              </w:rPr>
              <w:t>失，无法独立完成六项基本日常生活活动中的三项或三项以上，日常生活</w:t>
            </w:r>
            <w:r>
              <w:rPr>
                <w:spacing w:val="-2"/>
                <w:sz w:val="21"/>
              </w:rPr>
              <w:t>必须持续受到他人监护。导致痴呆的疾病必须明确诊断，并且有完整的临</w:t>
            </w:r>
            <w:r>
              <w:rPr>
                <w:spacing w:val="-2"/>
                <w:sz w:val="21"/>
              </w:rPr>
              <w:t>床、实验室和影像学检查结果证实。</w:t>
            </w:r>
          </w:p>
        </w:tc>
      </w:tr>
      <w:tr>
        <w:trPr>
          <w:trHeight w:val="422"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53"/>
              <w:ind w:left="126"/>
              <w:rPr>
                <w:sz w:val="21"/>
              </w:rPr>
            </w:pPr>
            <w:r>
              <w:rPr>
                <w:color w:val="000000"/>
                <w:spacing w:val="-3"/>
                <w:sz w:val="21"/>
                <w:shd w:fill="A6A6A6" w:color="auto" w:val="clear"/>
              </w:rPr>
              <w:t>神经官能症，精神疾病及酒精中毒所致脑损害不在保障范围内。</w:t>
            </w:r>
          </w:p>
        </w:tc>
      </w:tr>
      <w:tr>
        <w:trPr>
          <w:trHeight w:val="1669" w:hRule="atLeast"/>
        </w:trPr>
        <w:tc>
          <w:tcPr>
            <w:tcW w:w="1058" w:type="dxa"/>
          </w:tcPr>
          <w:p>
            <w:pPr>
              <w:pStyle w:val="TableParagraph"/>
              <w:spacing w:before="17"/>
              <w:ind w:left="50"/>
              <w:rPr>
                <w:rFonts w:ascii="微软雅黑"/>
                <w:b/>
                <w:sz w:val="21"/>
              </w:rPr>
            </w:pPr>
            <w:r>
              <w:rPr>
                <w:rFonts w:ascii="微软雅黑"/>
                <w:b/>
                <w:spacing w:val="-2"/>
                <w:sz w:val="21"/>
              </w:rPr>
              <w:t>10.1.116</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严重额颞叶痴呆</w:t>
            </w:r>
          </w:p>
        </w:tc>
        <w:tc>
          <w:tcPr>
            <w:tcW w:w="7029" w:type="dxa"/>
          </w:tcPr>
          <w:p>
            <w:pPr>
              <w:pStyle w:val="TableParagraph"/>
              <w:spacing w:line="278" w:lineRule="auto" w:before="84"/>
              <w:ind w:left="126" w:right="47"/>
              <w:rPr>
                <w:sz w:val="21"/>
              </w:rPr>
            </w:pPr>
            <w:r>
              <w:rPr>
                <w:spacing w:val="-2"/>
                <w:sz w:val="21"/>
              </w:rPr>
              <w:t>指一组以额颞叶萎缩为特征的痴呆综合征，临床以明显的人格、行为改变</w:t>
            </w:r>
            <w:r>
              <w:rPr>
                <w:spacing w:val="-2"/>
                <w:sz w:val="21"/>
              </w:rPr>
              <w:t>和认知障碍为特征。被保险人自主生活能力完全丧失，无法独立完成六项</w:t>
            </w:r>
            <w:r>
              <w:rPr>
                <w:spacing w:val="-7"/>
                <w:sz w:val="21"/>
              </w:rPr>
              <w:t>基本日常生活活动中的三项或三项以上，日常生活必须持续受到他人监护。</w:t>
            </w:r>
            <w:r>
              <w:rPr>
                <w:spacing w:val="-2"/>
                <w:sz w:val="21"/>
              </w:rPr>
              <w:t>导致痴呆的疾病必须明确诊断，并且有完整的临床、实验室和影像学检查</w:t>
            </w:r>
            <w:r>
              <w:rPr>
                <w:spacing w:val="-2"/>
                <w:sz w:val="21"/>
              </w:rPr>
              <w:t>结果证实。</w:t>
            </w:r>
          </w:p>
        </w:tc>
      </w:tr>
      <w:tr>
        <w:trPr>
          <w:trHeight w:val="421"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51"/>
              <w:ind w:left="126"/>
              <w:rPr>
                <w:sz w:val="21"/>
              </w:rPr>
            </w:pPr>
            <w:r>
              <w:rPr>
                <w:color w:val="000000"/>
                <w:spacing w:val="-3"/>
                <w:sz w:val="21"/>
                <w:shd w:fill="A6A6A6" w:color="auto" w:val="clear"/>
              </w:rPr>
              <w:t>神经官能症，精神疾病及酒精中毒所致脑损害不在保障范围内。</w:t>
            </w:r>
          </w:p>
        </w:tc>
      </w:tr>
      <w:tr>
        <w:trPr>
          <w:trHeight w:val="1670" w:hRule="atLeast"/>
        </w:trPr>
        <w:tc>
          <w:tcPr>
            <w:tcW w:w="1058" w:type="dxa"/>
          </w:tcPr>
          <w:p>
            <w:pPr>
              <w:pStyle w:val="TableParagraph"/>
              <w:spacing w:before="17"/>
              <w:ind w:left="50"/>
              <w:rPr>
                <w:rFonts w:ascii="微软雅黑"/>
                <w:b/>
                <w:sz w:val="21"/>
              </w:rPr>
            </w:pPr>
            <w:r>
              <w:rPr>
                <w:rFonts w:ascii="微软雅黑"/>
                <w:b/>
                <w:spacing w:val="-2"/>
                <w:sz w:val="21"/>
              </w:rPr>
              <w:t>10.1.117</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严重路易体痴呆</w:t>
            </w:r>
          </w:p>
        </w:tc>
        <w:tc>
          <w:tcPr>
            <w:tcW w:w="7029" w:type="dxa"/>
          </w:tcPr>
          <w:p>
            <w:pPr>
              <w:pStyle w:val="TableParagraph"/>
              <w:spacing w:line="278" w:lineRule="auto" w:before="84"/>
              <w:ind w:left="126" w:right="47"/>
              <w:rPr>
                <w:sz w:val="21"/>
              </w:rPr>
            </w:pPr>
            <w:r>
              <w:rPr>
                <w:spacing w:val="-2"/>
                <w:sz w:val="21"/>
              </w:rPr>
              <w:t>指一组在临床和病理表现上以波动性认知功能障碍、视幻觉和帕金森综合</w:t>
            </w:r>
            <w:r>
              <w:rPr>
                <w:spacing w:val="-2"/>
                <w:sz w:val="21"/>
              </w:rPr>
              <w:t>征为临床特点，以路易体为病理特征的神经变性疾病。被保险人自主生活</w:t>
            </w:r>
            <w:r>
              <w:rPr>
                <w:spacing w:val="-11"/>
                <w:sz w:val="21"/>
              </w:rPr>
              <w:t>能力完全丧失，无法独立完成六项基本日常生活活动中的三项或三项以上，</w:t>
            </w:r>
            <w:r>
              <w:rPr>
                <w:spacing w:val="-2"/>
                <w:sz w:val="21"/>
              </w:rPr>
              <w:t>日常生活必须持续受到他人监护。导致痴呆的疾病必须明确诊断，并且有</w:t>
            </w:r>
            <w:r>
              <w:rPr>
                <w:spacing w:val="-2"/>
                <w:sz w:val="21"/>
              </w:rPr>
              <w:t>完整的临床、实验室和影像学检查结果证实。</w:t>
            </w:r>
          </w:p>
        </w:tc>
      </w:tr>
      <w:tr>
        <w:trPr>
          <w:trHeight w:val="422"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53"/>
              <w:ind w:left="126"/>
              <w:rPr>
                <w:sz w:val="21"/>
              </w:rPr>
            </w:pPr>
            <w:r>
              <w:rPr>
                <w:color w:val="000000"/>
                <w:spacing w:val="-3"/>
                <w:sz w:val="21"/>
                <w:shd w:fill="A6A6A6" w:color="auto" w:val="clear"/>
              </w:rPr>
              <w:t>神经官能症，精神疾病及酒精中毒所致脑损害不在保障范围内。</w:t>
            </w:r>
          </w:p>
        </w:tc>
      </w:tr>
      <w:tr>
        <w:trPr>
          <w:trHeight w:val="1701" w:hRule="atLeast"/>
        </w:trPr>
        <w:tc>
          <w:tcPr>
            <w:tcW w:w="1058" w:type="dxa"/>
          </w:tcPr>
          <w:p>
            <w:pPr>
              <w:pStyle w:val="TableParagraph"/>
              <w:spacing w:before="17"/>
              <w:ind w:left="50"/>
              <w:rPr>
                <w:rFonts w:ascii="微软雅黑"/>
                <w:b/>
                <w:sz w:val="21"/>
              </w:rPr>
            </w:pPr>
            <w:r>
              <w:rPr>
                <w:rFonts w:ascii="微软雅黑"/>
                <w:b/>
                <w:spacing w:val="-2"/>
                <w:sz w:val="21"/>
              </w:rPr>
              <w:t>10.1.118</w:t>
            </w:r>
          </w:p>
        </w:tc>
        <w:tc>
          <w:tcPr>
            <w:tcW w:w="1766" w:type="dxa"/>
          </w:tcPr>
          <w:p>
            <w:pPr>
              <w:pStyle w:val="TableParagraph"/>
              <w:spacing w:line="194" w:lineRule="auto" w:before="69"/>
              <w:ind w:left="161" w:right="124"/>
              <w:rPr>
                <w:rFonts w:ascii="微软雅黑" w:eastAsia="微软雅黑"/>
                <w:b/>
                <w:sz w:val="21"/>
              </w:rPr>
            </w:pPr>
            <w:r>
              <w:rPr>
                <w:rFonts w:ascii="微软雅黑" w:eastAsia="微软雅黑"/>
                <w:b/>
                <w:spacing w:val="-2"/>
                <w:sz w:val="21"/>
              </w:rPr>
              <w:t>创伤弧菌感染截</w:t>
            </w:r>
            <w:r>
              <w:rPr>
                <w:rFonts w:ascii="微软雅黑" w:eastAsia="微软雅黑"/>
                <w:b/>
                <w:spacing w:val="-10"/>
                <w:sz w:val="21"/>
              </w:rPr>
              <w:t>肢</w:t>
            </w:r>
          </w:p>
        </w:tc>
        <w:tc>
          <w:tcPr>
            <w:tcW w:w="7029" w:type="dxa"/>
          </w:tcPr>
          <w:p>
            <w:pPr>
              <w:pStyle w:val="TableParagraph"/>
              <w:spacing w:line="278" w:lineRule="auto" w:before="84"/>
              <w:ind w:left="126" w:right="582"/>
              <w:rPr>
                <w:sz w:val="21"/>
              </w:rPr>
            </w:pPr>
            <w:r>
              <w:rPr>
                <w:spacing w:val="-2"/>
                <w:sz w:val="21"/>
              </w:rPr>
              <w:t>因创伤弧菌感染导致败血症和肢体损害。必须满足下列所有条件： (1)近期被海鲜刺伤或肢体创口接触海水史；</w:t>
            </w:r>
          </w:p>
          <w:p>
            <w:pPr>
              <w:pStyle w:val="TableParagraph"/>
              <w:spacing w:line="278" w:lineRule="auto"/>
              <w:ind w:left="126" w:right="2977"/>
              <w:rPr>
                <w:sz w:val="21"/>
              </w:rPr>
            </w:pPr>
            <w:r>
              <w:rPr>
                <w:spacing w:val="-2"/>
                <w:sz w:val="21"/>
              </w:rPr>
              <w:t>(2)病原学检查证实致病菌为创伤弧菌；</w:t>
            </w:r>
            <w:r>
              <w:rPr>
                <w:spacing w:val="-2"/>
                <w:sz w:val="21"/>
              </w:rPr>
              <w:t> (3)出现脓毒败血症或休克；</w:t>
            </w:r>
          </w:p>
          <w:p>
            <w:pPr>
              <w:pStyle w:val="TableParagraph"/>
              <w:spacing w:line="269" w:lineRule="exact"/>
              <w:ind w:left="126"/>
              <w:rPr>
                <w:sz w:val="21"/>
              </w:rPr>
            </w:pPr>
            <w:r>
              <w:rPr>
                <w:spacing w:val="-2"/>
                <w:sz w:val="21"/>
              </w:rPr>
              <w:t>(4)受感染肢体被截肢（自腕关节或踝关节近端</w:t>
            </w:r>
            <w:r>
              <w:rPr>
                <w:spacing w:val="-106"/>
                <w:sz w:val="21"/>
              </w:rPr>
              <w:t>）</w:t>
            </w:r>
            <w:r>
              <w:rPr>
                <w:spacing w:val="-10"/>
                <w:sz w:val="21"/>
              </w:rPr>
              <w:t>。</w:t>
            </w:r>
          </w:p>
        </w:tc>
      </w:tr>
      <w:tr>
        <w:trPr>
          <w:trHeight w:val="383" w:hRule="atLeast"/>
        </w:trPr>
        <w:tc>
          <w:tcPr>
            <w:tcW w:w="1058" w:type="dxa"/>
          </w:tcPr>
          <w:p>
            <w:pPr>
              <w:pStyle w:val="TableParagraph"/>
              <w:spacing w:line="346" w:lineRule="exact" w:before="17"/>
              <w:ind w:left="50"/>
              <w:rPr>
                <w:rFonts w:ascii="微软雅黑"/>
                <w:b/>
                <w:sz w:val="21"/>
              </w:rPr>
            </w:pPr>
            <w:r>
              <w:rPr>
                <w:rFonts w:ascii="微软雅黑"/>
                <w:b/>
                <w:spacing w:val="-2"/>
                <w:sz w:val="21"/>
              </w:rPr>
              <w:t>10.1.119</w:t>
            </w:r>
          </w:p>
        </w:tc>
        <w:tc>
          <w:tcPr>
            <w:tcW w:w="1766" w:type="dxa"/>
          </w:tcPr>
          <w:p>
            <w:pPr>
              <w:pStyle w:val="TableParagraph"/>
              <w:spacing w:line="346" w:lineRule="exact" w:before="17"/>
              <w:ind w:left="161"/>
              <w:rPr>
                <w:rFonts w:ascii="微软雅黑" w:eastAsia="微软雅黑"/>
                <w:b/>
                <w:sz w:val="21"/>
              </w:rPr>
            </w:pPr>
            <w:r>
              <w:rPr>
                <w:rFonts w:ascii="微软雅黑" w:eastAsia="微软雅黑"/>
                <w:b/>
                <w:spacing w:val="-2"/>
                <w:sz w:val="21"/>
              </w:rPr>
              <w:t>重症心肌炎伴充</w:t>
            </w:r>
          </w:p>
        </w:tc>
        <w:tc>
          <w:tcPr>
            <w:tcW w:w="7029" w:type="dxa"/>
          </w:tcPr>
          <w:p>
            <w:pPr>
              <w:pStyle w:val="TableParagraph"/>
              <w:spacing w:before="84"/>
              <w:ind w:left="126"/>
              <w:rPr>
                <w:sz w:val="21"/>
              </w:rPr>
            </w:pPr>
            <w:r>
              <w:rPr>
                <w:spacing w:val="-3"/>
                <w:sz w:val="21"/>
              </w:rPr>
              <w:t>指心肌的局限性或弥漫性炎性病变，心肌纤维发生变性和坏死，导致心脏</w:t>
            </w:r>
          </w:p>
        </w:tc>
      </w:tr>
      <w:tr>
        <w:trPr>
          <w:trHeight w:val="312" w:hRule="atLeast"/>
        </w:trPr>
        <w:tc>
          <w:tcPr>
            <w:tcW w:w="1058" w:type="dxa"/>
          </w:tcPr>
          <w:p>
            <w:pPr>
              <w:pStyle w:val="TableParagraph"/>
              <w:rPr>
                <w:rFonts w:ascii="Times New Roman"/>
                <w:sz w:val="20"/>
              </w:rPr>
            </w:pPr>
          </w:p>
        </w:tc>
        <w:tc>
          <w:tcPr>
            <w:tcW w:w="1766" w:type="dxa"/>
          </w:tcPr>
          <w:p>
            <w:pPr>
              <w:pStyle w:val="TableParagraph"/>
              <w:spacing w:line="292" w:lineRule="exact"/>
              <w:ind w:left="161"/>
              <w:rPr>
                <w:rFonts w:ascii="微软雅黑" w:eastAsia="微软雅黑"/>
                <w:b/>
                <w:sz w:val="21"/>
              </w:rPr>
            </w:pPr>
            <w:r>
              <w:rPr>
                <w:rFonts w:ascii="微软雅黑" w:eastAsia="微软雅黑"/>
                <w:b/>
                <w:spacing w:val="-2"/>
                <w:sz w:val="21"/>
              </w:rPr>
              <w:t>血性心力衰竭</w:t>
            </w:r>
          </w:p>
        </w:tc>
        <w:tc>
          <w:tcPr>
            <w:tcW w:w="7029" w:type="dxa"/>
          </w:tcPr>
          <w:p>
            <w:pPr>
              <w:pStyle w:val="TableParagraph"/>
              <w:spacing w:before="13"/>
              <w:ind w:left="126"/>
              <w:rPr>
                <w:sz w:val="21"/>
              </w:rPr>
            </w:pPr>
            <w:r>
              <w:rPr>
                <w:spacing w:val="-3"/>
                <w:sz w:val="21"/>
              </w:rPr>
              <w:t>功能衰竭，但先天性疾病造成的除外。其诊断标准必须同时符合下列所有</w:t>
            </w:r>
          </w:p>
        </w:tc>
      </w:tr>
      <w:tr>
        <w:trPr>
          <w:trHeight w:val="311"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13"/>
              <w:ind w:left="126"/>
              <w:rPr>
                <w:sz w:val="21"/>
              </w:rPr>
            </w:pPr>
            <w:r>
              <w:rPr>
                <w:spacing w:val="-4"/>
                <w:sz w:val="21"/>
              </w:rPr>
              <w:t>条件：</w:t>
            </w:r>
          </w:p>
        </w:tc>
      </w:tr>
      <w:tr>
        <w:trPr>
          <w:trHeight w:val="312"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13"/>
              <w:ind w:left="126"/>
              <w:rPr>
                <w:sz w:val="21"/>
              </w:rPr>
            </w:pPr>
            <w:r>
              <w:rPr>
                <w:spacing w:val="-2"/>
                <w:sz w:val="21"/>
              </w:rPr>
              <w:t>(1)</w:t>
            </w:r>
            <w:r>
              <w:rPr>
                <w:spacing w:val="-3"/>
                <w:sz w:val="21"/>
              </w:rPr>
              <w:t>明确的心肌炎诊断，须同时具备下列临床表现及检查结果：</w:t>
            </w:r>
          </w:p>
        </w:tc>
      </w:tr>
      <w:tr>
        <w:trPr>
          <w:trHeight w:val="312"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13"/>
              <w:ind w:left="126"/>
              <w:rPr>
                <w:sz w:val="21"/>
              </w:rPr>
            </w:pPr>
            <w:r>
              <w:rPr>
                <w:spacing w:val="-3"/>
                <w:sz w:val="21"/>
              </w:rPr>
              <w:t>①胸痛、心悸、全身乏力的症状；</w:t>
            </w:r>
          </w:p>
        </w:tc>
      </w:tr>
      <w:tr>
        <w:trPr>
          <w:trHeight w:val="311"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13"/>
              <w:ind w:left="126"/>
              <w:rPr>
                <w:sz w:val="21"/>
              </w:rPr>
            </w:pPr>
            <w:r>
              <w:rPr>
                <w:spacing w:val="-3"/>
                <w:sz w:val="21"/>
              </w:rPr>
              <w:t>②新近的心电图改变提示心肌炎；</w:t>
            </w:r>
          </w:p>
        </w:tc>
      </w:tr>
      <w:tr>
        <w:trPr>
          <w:trHeight w:val="311"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13"/>
              <w:ind w:left="126"/>
              <w:rPr>
                <w:sz w:val="21"/>
              </w:rPr>
            </w:pPr>
            <w:r>
              <w:rPr>
                <w:spacing w:val="-3"/>
                <w:sz w:val="21"/>
              </w:rPr>
              <w:t>③体检有心脏扩大、心音减弱、心动过速或过缓等体征。</w:t>
            </w:r>
          </w:p>
        </w:tc>
      </w:tr>
      <w:tr>
        <w:trPr>
          <w:trHeight w:val="311" w:hRule="atLeast"/>
        </w:trPr>
        <w:tc>
          <w:tcPr>
            <w:tcW w:w="1058" w:type="dxa"/>
          </w:tcPr>
          <w:p>
            <w:pPr>
              <w:pStyle w:val="TableParagraph"/>
              <w:rPr>
                <w:rFonts w:ascii="Times New Roman"/>
                <w:sz w:val="20"/>
              </w:rPr>
            </w:pPr>
          </w:p>
        </w:tc>
        <w:tc>
          <w:tcPr>
            <w:tcW w:w="1766" w:type="dxa"/>
          </w:tcPr>
          <w:p>
            <w:pPr>
              <w:pStyle w:val="TableParagraph"/>
              <w:rPr>
                <w:rFonts w:ascii="Times New Roman"/>
                <w:sz w:val="20"/>
              </w:rPr>
            </w:pPr>
          </w:p>
        </w:tc>
        <w:tc>
          <w:tcPr>
            <w:tcW w:w="7029" w:type="dxa"/>
          </w:tcPr>
          <w:p>
            <w:pPr>
              <w:pStyle w:val="TableParagraph"/>
              <w:spacing w:before="13"/>
              <w:ind w:left="126"/>
              <w:rPr>
                <w:sz w:val="21"/>
              </w:rPr>
            </w:pPr>
            <w:r>
              <w:rPr>
                <w:spacing w:val="-2"/>
                <w:sz w:val="21"/>
              </w:rPr>
              <w:t>(2)</w:t>
            </w:r>
            <w:r>
              <w:rPr>
                <w:spacing w:val="-5"/>
                <w:sz w:val="21"/>
              </w:rPr>
              <w:t>心力衰竭诊断，满足下列临床表现及检查结果达 </w:t>
            </w:r>
            <w:r>
              <w:rPr>
                <w:spacing w:val="-2"/>
                <w:sz w:val="21"/>
              </w:rPr>
              <w:t>4</w:t>
            </w:r>
            <w:r>
              <w:rPr>
                <w:spacing w:val="-19"/>
                <w:sz w:val="21"/>
              </w:rPr>
              <w:t> 项：</w:t>
            </w:r>
          </w:p>
        </w:tc>
      </w:tr>
      <w:tr>
        <w:trPr>
          <w:trHeight w:val="261" w:hRule="atLeast"/>
        </w:trPr>
        <w:tc>
          <w:tcPr>
            <w:tcW w:w="1058" w:type="dxa"/>
          </w:tcPr>
          <w:p>
            <w:pPr>
              <w:pStyle w:val="TableParagraph"/>
              <w:rPr>
                <w:rFonts w:ascii="Times New Roman"/>
                <w:sz w:val="18"/>
              </w:rPr>
            </w:pPr>
          </w:p>
        </w:tc>
        <w:tc>
          <w:tcPr>
            <w:tcW w:w="1766" w:type="dxa"/>
          </w:tcPr>
          <w:p>
            <w:pPr>
              <w:pStyle w:val="TableParagraph"/>
              <w:rPr>
                <w:rFonts w:ascii="Times New Roman"/>
                <w:sz w:val="18"/>
              </w:rPr>
            </w:pPr>
          </w:p>
        </w:tc>
        <w:tc>
          <w:tcPr>
            <w:tcW w:w="7029" w:type="dxa"/>
          </w:tcPr>
          <w:p>
            <w:pPr>
              <w:pStyle w:val="TableParagraph"/>
              <w:spacing w:line="228" w:lineRule="exact" w:before="13"/>
              <w:ind w:left="126"/>
              <w:rPr>
                <w:sz w:val="21"/>
              </w:rPr>
            </w:pPr>
            <w:r>
              <w:rPr>
                <w:spacing w:val="-4"/>
                <w:sz w:val="21"/>
              </w:rPr>
              <w:t>①突发呼吸困难；</w:t>
            </w:r>
          </w:p>
        </w:tc>
      </w:tr>
    </w:tbl>
    <w:p>
      <w:pPr>
        <w:spacing w:after="0" w:line="228" w:lineRule="exact"/>
        <w:rPr>
          <w:sz w:val="21"/>
        </w:rPr>
        <w:sectPr>
          <w:type w:val="continuous"/>
          <w:pgSz w:w="11910" w:h="16840"/>
          <w:pgMar w:top="1460" w:bottom="280" w:left="920" w:right="440"/>
        </w:sect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6"/>
        <w:gridCol w:w="1766"/>
        <w:gridCol w:w="6979"/>
      </w:tblGrid>
      <w:tr>
        <w:trPr>
          <w:trHeight w:val="2204" w:hRule="atLeast"/>
        </w:trPr>
        <w:tc>
          <w:tcPr>
            <w:tcW w:w="1116" w:type="dxa"/>
          </w:tcPr>
          <w:p>
            <w:pPr>
              <w:pStyle w:val="TableParagraph"/>
              <w:rPr>
                <w:rFonts w:ascii="Times New Roman"/>
                <w:sz w:val="20"/>
              </w:rPr>
            </w:pPr>
          </w:p>
        </w:tc>
        <w:tc>
          <w:tcPr>
            <w:tcW w:w="1766" w:type="dxa"/>
          </w:tcPr>
          <w:p>
            <w:pPr>
              <w:pStyle w:val="TableParagraph"/>
              <w:rPr>
                <w:rFonts w:ascii="Times New Roman"/>
                <w:sz w:val="20"/>
              </w:rPr>
            </w:pPr>
          </w:p>
        </w:tc>
        <w:tc>
          <w:tcPr>
            <w:tcW w:w="6979" w:type="dxa"/>
          </w:tcPr>
          <w:p>
            <w:pPr>
              <w:pStyle w:val="TableParagraph"/>
              <w:spacing w:line="232" w:lineRule="exact"/>
              <w:ind w:left="126"/>
              <w:rPr>
                <w:sz w:val="21"/>
              </w:rPr>
            </w:pPr>
            <w:r>
              <w:rPr>
                <w:spacing w:val="-3"/>
                <w:sz w:val="21"/>
              </w:rPr>
              <w:t>②心动过速、室性奔马律；</w:t>
            </w:r>
          </w:p>
          <w:p>
            <w:pPr>
              <w:pStyle w:val="TableParagraph"/>
              <w:spacing w:before="43"/>
              <w:ind w:left="126"/>
              <w:rPr>
                <w:sz w:val="21"/>
              </w:rPr>
            </w:pPr>
            <w:r>
              <w:rPr>
                <w:spacing w:val="-3"/>
                <w:sz w:val="21"/>
              </w:rPr>
              <w:t>③心脏肿大、肺部啰音；</w:t>
            </w:r>
          </w:p>
          <w:p>
            <w:pPr>
              <w:pStyle w:val="TableParagraph"/>
              <w:spacing w:before="43"/>
              <w:ind w:left="126"/>
              <w:rPr>
                <w:sz w:val="21"/>
              </w:rPr>
            </w:pPr>
            <w:r>
              <w:rPr>
                <w:spacing w:val="-2"/>
                <w:sz w:val="21"/>
              </w:rPr>
              <w:t>④颈静脉压&gt;2.1KPa</w:t>
            </w:r>
            <w:r>
              <w:rPr>
                <w:spacing w:val="-9"/>
                <w:sz w:val="21"/>
              </w:rPr>
              <w:t> 并有肝肿大或身体水肿；</w:t>
            </w:r>
          </w:p>
          <w:p>
            <w:pPr>
              <w:pStyle w:val="TableParagraph"/>
              <w:spacing w:before="43"/>
              <w:ind w:left="126"/>
              <w:rPr>
                <w:sz w:val="21"/>
              </w:rPr>
            </w:pPr>
            <w:r>
              <w:rPr>
                <w:spacing w:val="-3"/>
                <w:sz w:val="21"/>
              </w:rPr>
              <w:t>⑤新近的心电图改变提示心力衰竭；</w:t>
            </w:r>
          </w:p>
          <w:p>
            <w:pPr>
              <w:pStyle w:val="TableParagraph"/>
              <w:spacing w:before="43"/>
              <w:ind w:left="126"/>
              <w:rPr>
                <w:sz w:val="21"/>
              </w:rPr>
            </w:pPr>
            <w:r>
              <w:rPr>
                <w:spacing w:val="-2"/>
                <w:sz w:val="21"/>
              </w:rPr>
              <w:t>⑥X</w:t>
            </w:r>
            <w:r>
              <w:rPr>
                <w:spacing w:val="-10"/>
                <w:sz w:val="21"/>
              </w:rPr>
              <w:t> 线胸片：肺淤血或心影扩大；</w:t>
            </w:r>
          </w:p>
          <w:p>
            <w:pPr>
              <w:pStyle w:val="TableParagraph"/>
              <w:spacing w:line="278" w:lineRule="auto" w:before="43"/>
              <w:ind w:left="126" w:right="104"/>
              <w:rPr>
                <w:sz w:val="21"/>
              </w:rPr>
            </w:pPr>
            <w:r>
              <w:rPr>
                <w:spacing w:val="-2"/>
                <w:sz w:val="21"/>
              </w:rPr>
              <w:t>⑦超声心动图检查：心脏及大血管的解剖结构改变、血液动力学改变、心</w:t>
            </w:r>
            <w:r>
              <w:rPr>
                <w:spacing w:val="-2"/>
                <w:sz w:val="21"/>
              </w:rPr>
              <w:t>功能情况改变提示心力衰竭。</w:t>
            </w:r>
          </w:p>
        </w:tc>
      </w:tr>
      <w:tr>
        <w:trPr>
          <w:trHeight w:val="1357" w:hRule="atLeast"/>
        </w:trPr>
        <w:tc>
          <w:tcPr>
            <w:tcW w:w="1116" w:type="dxa"/>
          </w:tcPr>
          <w:p>
            <w:pPr>
              <w:pStyle w:val="TableParagraph"/>
              <w:spacing w:before="17"/>
              <w:ind w:left="107"/>
              <w:rPr>
                <w:rFonts w:ascii="微软雅黑"/>
                <w:b/>
                <w:sz w:val="21"/>
              </w:rPr>
            </w:pPr>
            <w:r>
              <w:rPr>
                <w:rFonts w:ascii="微软雅黑"/>
                <w:b/>
                <w:spacing w:val="-2"/>
                <w:sz w:val="21"/>
              </w:rPr>
              <w:t>10.1.120</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严重大动脉炎</w:t>
            </w:r>
          </w:p>
        </w:tc>
        <w:tc>
          <w:tcPr>
            <w:tcW w:w="6979" w:type="dxa"/>
          </w:tcPr>
          <w:p>
            <w:pPr>
              <w:pStyle w:val="TableParagraph"/>
              <w:spacing w:line="278" w:lineRule="auto" w:before="84"/>
              <w:ind w:left="126" w:right="110"/>
              <w:rPr>
                <w:sz w:val="21"/>
              </w:rPr>
            </w:pPr>
            <w:r>
              <w:rPr>
                <w:spacing w:val="-2"/>
                <w:sz w:val="21"/>
              </w:rPr>
              <w:t>指经心脏或血管外科专科医生确诊的大动脉炎，须满足下列全部条件： </w:t>
            </w:r>
            <w:r>
              <w:rPr>
                <w:sz w:val="21"/>
              </w:rPr>
              <w:t>(1)</w:t>
            </w:r>
            <w:r>
              <w:rPr>
                <w:spacing w:val="-4"/>
                <w:sz w:val="21"/>
              </w:rPr>
              <w:t>红细胞沉降率及 </w:t>
            </w:r>
            <w:r>
              <w:rPr>
                <w:sz w:val="21"/>
              </w:rPr>
              <w:t>C</w:t>
            </w:r>
            <w:r>
              <w:rPr>
                <w:spacing w:val="-5"/>
                <w:sz w:val="21"/>
              </w:rPr>
              <w:t> 反应蛋白高于正常值；</w:t>
            </w:r>
          </w:p>
          <w:p>
            <w:pPr>
              <w:pStyle w:val="TableParagraph"/>
              <w:spacing w:line="278" w:lineRule="auto"/>
              <w:ind w:left="126" w:right="107"/>
              <w:rPr>
                <w:sz w:val="21"/>
              </w:rPr>
            </w:pPr>
            <w:r>
              <w:rPr>
                <w:sz w:val="21"/>
              </w:rPr>
              <w:t>(2)超声检查、CTA 检查或血管造影检查证实主动脉及其主要分支存在狭</w:t>
            </w:r>
            <w:r>
              <w:rPr>
                <w:spacing w:val="-6"/>
                <w:sz w:val="21"/>
              </w:rPr>
              <w:t>窄。</w:t>
            </w:r>
          </w:p>
        </w:tc>
      </w:tr>
      <w:tr>
        <w:trPr>
          <w:trHeight w:val="1047" w:hRule="atLeast"/>
        </w:trPr>
        <w:tc>
          <w:tcPr>
            <w:tcW w:w="1116" w:type="dxa"/>
          </w:tcPr>
          <w:p>
            <w:pPr>
              <w:pStyle w:val="TableParagraph"/>
              <w:rPr>
                <w:rFonts w:ascii="Times New Roman"/>
                <w:sz w:val="20"/>
              </w:rPr>
            </w:pPr>
          </w:p>
        </w:tc>
        <w:tc>
          <w:tcPr>
            <w:tcW w:w="1766" w:type="dxa"/>
          </w:tcPr>
          <w:p>
            <w:pPr>
              <w:pStyle w:val="TableParagraph"/>
              <w:rPr>
                <w:rFonts w:ascii="Times New Roman"/>
                <w:sz w:val="20"/>
              </w:rPr>
            </w:pPr>
          </w:p>
        </w:tc>
        <w:tc>
          <w:tcPr>
            <w:tcW w:w="6979" w:type="dxa"/>
          </w:tcPr>
          <w:p>
            <w:pPr>
              <w:pStyle w:val="TableParagraph"/>
              <w:spacing w:line="278" w:lineRule="auto" w:before="51"/>
              <w:ind w:left="126" w:right="103"/>
              <w:jc w:val="both"/>
              <w:rPr>
                <w:sz w:val="21"/>
              </w:rPr>
            </w:pPr>
            <w:r>
              <w:rPr>
                <w:spacing w:val="-2"/>
                <w:sz w:val="21"/>
              </w:rPr>
              <w:t>这里的“主动脉及其主要分支”指：升主动脉、主动脉弓及其分支（头臂</w:t>
            </w:r>
            <w:r>
              <w:rPr>
                <w:spacing w:val="-4"/>
                <w:sz w:val="21"/>
              </w:rPr>
              <w:t>干、左颈总动脉、左锁骨下动脉</w:t>
            </w:r>
            <w:r>
              <w:rPr>
                <w:spacing w:val="-106"/>
                <w:sz w:val="21"/>
              </w:rPr>
              <w:t>）</w:t>
            </w:r>
            <w:r>
              <w:rPr>
                <w:spacing w:val="-4"/>
                <w:sz w:val="21"/>
              </w:rPr>
              <w:t>、胸主动脉、腹主动脉及其主要分支（腹</w:t>
            </w:r>
            <w:r>
              <w:rPr>
                <w:spacing w:val="-2"/>
                <w:sz w:val="21"/>
              </w:rPr>
              <w:t>腔干、肠系膜上动脉、肠系膜下动脉、肾动脉</w:t>
            </w:r>
            <w:r>
              <w:rPr>
                <w:spacing w:val="-106"/>
                <w:sz w:val="21"/>
              </w:rPr>
              <w:t>）</w:t>
            </w:r>
            <w:r>
              <w:rPr>
                <w:spacing w:val="-2"/>
                <w:sz w:val="21"/>
              </w:rPr>
              <w:t>。</w:t>
            </w:r>
          </w:p>
        </w:tc>
      </w:tr>
      <w:tr>
        <w:trPr>
          <w:trHeight w:val="382" w:hRule="atLeast"/>
        </w:trPr>
        <w:tc>
          <w:tcPr>
            <w:tcW w:w="1116" w:type="dxa"/>
            <w:tcBorders>
              <w:bottom w:val="single" w:sz="12" w:space="0" w:color="000000"/>
            </w:tcBorders>
          </w:tcPr>
          <w:p>
            <w:pPr>
              <w:pStyle w:val="TableParagraph"/>
              <w:spacing w:line="347" w:lineRule="exact" w:before="16"/>
              <w:ind w:left="107"/>
              <w:rPr>
                <w:rFonts w:ascii="Microsoft JhengHei" w:eastAsia="Microsoft JhengHei"/>
                <w:b/>
                <w:sz w:val="21"/>
              </w:rPr>
            </w:pPr>
            <w:r>
              <w:rPr>
                <w:rFonts w:ascii="Microsoft JhengHei" w:eastAsia="Microsoft JhengHei"/>
                <w:b/>
                <w:spacing w:val="-5"/>
                <w:sz w:val="21"/>
              </w:rPr>
              <w:t>11．</w:t>
            </w:r>
          </w:p>
        </w:tc>
        <w:tc>
          <w:tcPr>
            <w:tcW w:w="1766" w:type="dxa"/>
            <w:tcBorders>
              <w:bottom w:val="single" w:sz="12" w:space="0" w:color="000000"/>
            </w:tcBorders>
          </w:tcPr>
          <w:p>
            <w:pPr>
              <w:pStyle w:val="TableParagraph"/>
              <w:spacing w:line="347" w:lineRule="exact" w:before="16"/>
              <w:ind w:left="161"/>
              <w:rPr>
                <w:rFonts w:ascii="Microsoft JhengHei" w:eastAsia="Microsoft JhengHei"/>
                <w:b/>
                <w:sz w:val="21"/>
              </w:rPr>
            </w:pPr>
            <w:r>
              <w:rPr>
                <w:rFonts w:ascii="Microsoft JhengHei" w:eastAsia="Microsoft JhengHei"/>
                <w:b/>
                <w:spacing w:val="-2"/>
                <w:sz w:val="21"/>
              </w:rPr>
              <w:t>中症疾病的定义</w:t>
            </w:r>
          </w:p>
        </w:tc>
        <w:tc>
          <w:tcPr>
            <w:tcW w:w="6979" w:type="dxa"/>
            <w:tcBorders>
              <w:bottom w:val="single" w:sz="12" w:space="0" w:color="000000"/>
            </w:tcBorders>
          </w:tcPr>
          <w:p>
            <w:pPr>
              <w:pStyle w:val="TableParagraph"/>
              <w:rPr>
                <w:rFonts w:ascii="Times New Roman"/>
                <w:sz w:val="20"/>
              </w:rPr>
            </w:pPr>
          </w:p>
        </w:tc>
      </w:tr>
      <w:tr>
        <w:trPr>
          <w:trHeight w:val="1119" w:hRule="atLeast"/>
        </w:trPr>
        <w:tc>
          <w:tcPr>
            <w:tcW w:w="1116" w:type="dxa"/>
            <w:tcBorders>
              <w:top w:val="single" w:sz="12" w:space="0" w:color="000000"/>
            </w:tcBorders>
          </w:tcPr>
          <w:p>
            <w:pPr>
              <w:pStyle w:val="TableParagraph"/>
              <w:spacing w:before="59"/>
              <w:ind w:left="107"/>
              <w:rPr>
                <w:rFonts w:ascii="微软雅黑"/>
                <w:b/>
                <w:sz w:val="21"/>
              </w:rPr>
            </w:pPr>
            <w:r>
              <w:rPr>
                <w:rFonts w:ascii="微软雅黑"/>
                <w:b/>
                <w:spacing w:val="-4"/>
                <w:sz w:val="21"/>
              </w:rPr>
              <w:t>11.1</w:t>
            </w:r>
          </w:p>
        </w:tc>
        <w:tc>
          <w:tcPr>
            <w:tcW w:w="1766" w:type="dxa"/>
            <w:tcBorders>
              <w:top w:val="single" w:sz="12" w:space="0" w:color="000000"/>
            </w:tcBorders>
          </w:tcPr>
          <w:p>
            <w:pPr>
              <w:pStyle w:val="TableParagraph"/>
              <w:spacing w:before="59"/>
              <w:ind w:left="161"/>
              <w:rPr>
                <w:rFonts w:ascii="微软雅黑" w:eastAsia="微软雅黑"/>
                <w:b/>
                <w:sz w:val="21"/>
              </w:rPr>
            </w:pPr>
            <w:r>
              <w:rPr>
                <w:rFonts w:ascii="微软雅黑" w:eastAsia="微软雅黑"/>
                <w:b/>
                <w:spacing w:val="-2"/>
                <w:sz w:val="21"/>
              </w:rPr>
              <w:t>中症疾病的定义</w:t>
            </w:r>
          </w:p>
        </w:tc>
        <w:tc>
          <w:tcPr>
            <w:tcW w:w="6979" w:type="dxa"/>
            <w:tcBorders>
              <w:top w:val="single" w:sz="12" w:space="0" w:color="000000"/>
            </w:tcBorders>
          </w:tcPr>
          <w:p>
            <w:pPr>
              <w:pStyle w:val="TableParagraph"/>
              <w:spacing w:line="278" w:lineRule="auto" w:before="126"/>
              <w:ind w:left="126" w:right="101" w:firstLine="2"/>
              <w:jc w:val="both"/>
              <w:rPr>
                <w:sz w:val="21"/>
              </w:rPr>
            </w:pPr>
            <w:r>
              <w:rPr>
                <w:spacing w:val="-2"/>
                <w:sz w:val="21"/>
              </w:rPr>
              <w:t>本合同所保障的中症疾病，是指被保险人在约定医院经专科医生明确诊断</w:t>
            </w:r>
            <w:r>
              <w:rPr>
                <w:spacing w:val="-2"/>
                <w:sz w:val="21"/>
              </w:rPr>
              <w:t>患下列疾病或达到下列疾病状态或在约定医院接受下列手术</w:t>
            </w:r>
            <w:r>
              <w:rPr>
                <w:color w:val="000000"/>
                <w:spacing w:val="-2"/>
                <w:sz w:val="21"/>
                <w:shd w:fill="A6A6A6" w:color="auto" w:val="clear"/>
              </w:rPr>
              <w:t>（以下疾病名</w:t>
            </w:r>
            <w:r>
              <w:rPr>
                <w:color w:val="000000"/>
                <w:spacing w:val="40"/>
                <w:sz w:val="21"/>
                <w:shd w:fill="A6A6A6" w:color="auto" w:val="clear"/>
              </w:rPr>
              <w:t> </w:t>
            </w:r>
            <w:r>
              <w:rPr>
                <w:color w:val="000000"/>
                <w:spacing w:val="-2"/>
                <w:sz w:val="21"/>
                <w:shd w:fill="A6A6A6" w:color="auto" w:val="clear"/>
              </w:rPr>
              <w:t>称仅供理解使用，具体保障范围以每项疾病具体定义为准</w:t>
            </w:r>
            <w:r>
              <w:rPr>
                <w:color w:val="000000"/>
                <w:spacing w:val="-106"/>
                <w:sz w:val="21"/>
                <w:shd w:fill="A6A6A6" w:color="auto" w:val="clear"/>
              </w:rPr>
              <w:t>）</w:t>
            </w:r>
            <w:r>
              <w:rPr>
                <w:color w:val="000000"/>
                <w:sz w:val="21"/>
              </w:rPr>
              <w:t>：</w:t>
            </w:r>
          </w:p>
        </w:tc>
      </w:tr>
      <w:tr>
        <w:trPr>
          <w:trHeight w:val="2293" w:hRule="atLeast"/>
        </w:trPr>
        <w:tc>
          <w:tcPr>
            <w:tcW w:w="1116" w:type="dxa"/>
          </w:tcPr>
          <w:p>
            <w:pPr>
              <w:pStyle w:val="TableParagraph"/>
              <w:spacing w:before="17"/>
              <w:ind w:left="107"/>
              <w:rPr>
                <w:rFonts w:ascii="微软雅黑"/>
                <w:b/>
                <w:sz w:val="21"/>
              </w:rPr>
            </w:pPr>
            <w:r>
              <w:rPr>
                <w:rFonts w:ascii="微软雅黑"/>
                <w:b/>
                <w:spacing w:val="-2"/>
                <w:sz w:val="21"/>
              </w:rPr>
              <w:t>11.1.1</w:t>
            </w:r>
          </w:p>
        </w:tc>
        <w:tc>
          <w:tcPr>
            <w:tcW w:w="1766" w:type="dxa"/>
          </w:tcPr>
          <w:p>
            <w:pPr>
              <w:pStyle w:val="TableParagraph"/>
              <w:spacing w:line="194" w:lineRule="auto" w:before="69"/>
              <w:ind w:left="161" w:right="124"/>
              <w:rPr>
                <w:rFonts w:ascii="微软雅黑" w:eastAsia="微软雅黑"/>
                <w:b/>
                <w:sz w:val="21"/>
              </w:rPr>
            </w:pPr>
            <w:r>
              <w:rPr>
                <w:rFonts w:ascii="微软雅黑" w:eastAsia="微软雅黑"/>
                <w:b/>
                <w:spacing w:val="-2"/>
                <w:sz w:val="21"/>
              </w:rPr>
              <w:t>中度严重溃疡性</w:t>
            </w:r>
            <w:r>
              <w:rPr>
                <w:rFonts w:ascii="微软雅黑" w:eastAsia="微软雅黑"/>
                <w:b/>
                <w:spacing w:val="-4"/>
                <w:sz w:val="21"/>
              </w:rPr>
              <w:t>结肠炎</w:t>
            </w:r>
          </w:p>
        </w:tc>
        <w:tc>
          <w:tcPr>
            <w:tcW w:w="6979" w:type="dxa"/>
          </w:tcPr>
          <w:p>
            <w:pPr>
              <w:pStyle w:val="TableParagraph"/>
              <w:spacing w:line="278" w:lineRule="auto" w:before="84"/>
              <w:ind w:left="126" w:right="104"/>
              <w:jc w:val="both"/>
              <w:rPr>
                <w:sz w:val="21"/>
              </w:rPr>
            </w:pPr>
            <w:r>
              <w:rPr>
                <w:spacing w:val="-2"/>
                <w:sz w:val="21"/>
              </w:rPr>
              <w:t>溃疡性结肠炎指伴有致命性电解质紊乱的急性暴发性溃疡性结肠炎，病变</w:t>
            </w:r>
            <w:r>
              <w:rPr>
                <w:spacing w:val="-2"/>
                <w:sz w:val="21"/>
              </w:rPr>
              <w:t>已经累及全结肠，表现为严重的血便和系统性症状体征，须根据组织病理</w:t>
            </w:r>
            <w:r>
              <w:rPr>
                <w:spacing w:val="-2"/>
                <w:sz w:val="21"/>
              </w:rPr>
              <w:t>学特点诊断，满足下列所有条件，但未达到“严重溃疡性结肠炎”的给付</w:t>
            </w:r>
            <w:r>
              <w:rPr>
                <w:spacing w:val="-4"/>
                <w:sz w:val="21"/>
              </w:rPr>
              <w:t>标准：</w:t>
            </w:r>
          </w:p>
          <w:p>
            <w:pPr>
              <w:pStyle w:val="TableParagraph"/>
              <w:numPr>
                <w:ilvl w:val="0"/>
                <w:numId w:val="59"/>
              </w:numPr>
              <w:tabs>
                <w:tab w:pos="444" w:val="left" w:leader="none"/>
              </w:tabs>
              <w:spacing w:line="278" w:lineRule="auto" w:before="0" w:after="0"/>
              <w:ind w:left="126" w:right="103" w:firstLine="0"/>
              <w:jc w:val="left"/>
              <w:rPr>
                <w:sz w:val="21"/>
              </w:rPr>
            </w:pPr>
            <w:r>
              <w:rPr>
                <w:spacing w:val="-6"/>
                <w:sz w:val="21"/>
              </w:rPr>
              <w:t>须经由内窥镜检查证实该疾病侵犯全部结肠及直肠，并经病理学组织切</w:t>
            </w:r>
            <w:r>
              <w:rPr>
                <w:spacing w:val="-2"/>
                <w:sz w:val="21"/>
              </w:rPr>
              <w:t>片检查证实为溃疡性结肠炎；</w:t>
            </w:r>
          </w:p>
          <w:p>
            <w:pPr>
              <w:pStyle w:val="TableParagraph"/>
              <w:numPr>
                <w:ilvl w:val="0"/>
                <w:numId w:val="59"/>
              </w:numPr>
              <w:tabs>
                <w:tab w:pos="444" w:val="left" w:leader="none"/>
              </w:tabs>
              <w:spacing w:line="240" w:lineRule="auto" w:before="0" w:after="0"/>
              <w:ind w:left="444" w:right="0" w:hanging="318"/>
              <w:jc w:val="left"/>
              <w:rPr>
                <w:sz w:val="21"/>
              </w:rPr>
            </w:pPr>
            <w:r>
              <w:rPr>
                <w:spacing w:val="-5"/>
                <w:sz w:val="21"/>
              </w:rPr>
              <w:t>经专科医生以类固醇或免疫抑制剂连续治疗 </w:t>
            </w:r>
            <w:r>
              <w:rPr>
                <w:spacing w:val="-2"/>
                <w:sz w:val="21"/>
              </w:rPr>
              <w:t>6</w:t>
            </w:r>
            <w:r>
              <w:rPr>
                <w:spacing w:val="-16"/>
                <w:sz w:val="21"/>
              </w:rPr>
              <w:t> 个月。</w:t>
            </w:r>
          </w:p>
        </w:tc>
      </w:tr>
      <w:tr>
        <w:trPr>
          <w:trHeight w:val="422" w:hRule="atLeast"/>
        </w:trPr>
        <w:tc>
          <w:tcPr>
            <w:tcW w:w="1116" w:type="dxa"/>
          </w:tcPr>
          <w:p>
            <w:pPr>
              <w:pStyle w:val="TableParagraph"/>
              <w:rPr>
                <w:rFonts w:ascii="Times New Roman"/>
                <w:sz w:val="20"/>
              </w:rPr>
            </w:pPr>
          </w:p>
        </w:tc>
        <w:tc>
          <w:tcPr>
            <w:tcW w:w="1766" w:type="dxa"/>
          </w:tcPr>
          <w:p>
            <w:pPr>
              <w:pStyle w:val="TableParagraph"/>
              <w:rPr>
                <w:rFonts w:ascii="Times New Roman"/>
                <w:sz w:val="20"/>
              </w:rPr>
            </w:pPr>
          </w:p>
        </w:tc>
        <w:tc>
          <w:tcPr>
            <w:tcW w:w="6979" w:type="dxa"/>
          </w:tcPr>
          <w:p>
            <w:pPr>
              <w:pStyle w:val="TableParagraph"/>
              <w:spacing w:before="51"/>
              <w:ind w:left="126"/>
              <w:rPr>
                <w:sz w:val="21"/>
              </w:rPr>
            </w:pPr>
            <w:r>
              <w:rPr>
                <w:spacing w:val="-3"/>
                <w:sz w:val="21"/>
              </w:rPr>
              <w:t>诊断及治疗均须由专科医生认为是医疗必须的情况下进行。</w:t>
            </w:r>
          </w:p>
        </w:tc>
      </w:tr>
      <w:tr>
        <w:trPr>
          <w:trHeight w:val="1358" w:hRule="atLeast"/>
        </w:trPr>
        <w:tc>
          <w:tcPr>
            <w:tcW w:w="1116" w:type="dxa"/>
          </w:tcPr>
          <w:p>
            <w:pPr>
              <w:pStyle w:val="TableParagraph"/>
              <w:spacing w:before="18"/>
              <w:ind w:left="107"/>
              <w:rPr>
                <w:rFonts w:ascii="微软雅黑"/>
                <w:b/>
                <w:sz w:val="21"/>
              </w:rPr>
            </w:pPr>
            <w:r>
              <w:rPr>
                <w:rFonts w:ascii="微软雅黑"/>
                <w:b/>
                <w:spacing w:val="-2"/>
                <w:sz w:val="21"/>
              </w:rPr>
              <w:t>11.1.2</w:t>
            </w:r>
          </w:p>
        </w:tc>
        <w:tc>
          <w:tcPr>
            <w:tcW w:w="1766" w:type="dxa"/>
          </w:tcPr>
          <w:p>
            <w:pPr>
              <w:pStyle w:val="TableParagraph"/>
              <w:spacing w:line="194" w:lineRule="auto" w:before="70"/>
              <w:ind w:left="161" w:right="124"/>
              <w:rPr>
                <w:rFonts w:ascii="微软雅黑" w:eastAsia="微软雅黑"/>
                <w:b/>
                <w:sz w:val="21"/>
              </w:rPr>
            </w:pPr>
            <w:r>
              <w:rPr>
                <w:rFonts w:ascii="微软雅黑" w:eastAsia="微软雅黑"/>
                <w:b/>
                <w:spacing w:val="-2"/>
                <w:sz w:val="21"/>
              </w:rPr>
              <w:t>中度肠道疾病并</w:t>
            </w:r>
            <w:r>
              <w:rPr>
                <w:rFonts w:ascii="微软雅黑" w:eastAsia="微软雅黑"/>
                <w:b/>
                <w:spacing w:val="-6"/>
                <w:sz w:val="21"/>
              </w:rPr>
              <w:t>发症</w:t>
            </w:r>
          </w:p>
        </w:tc>
        <w:tc>
          <w:tcPr>
            <w:tcW w:w="6979" w:type="dxa"/>
          </w:tcPr>
          <w:p>
            <w:pPr>
              <w:pStyle w:val="TableParagraph"/>
              <w:spacing w:line="278" w:lineRule="auto" w:before="85"/>
              <w:ind w:left="126" w:right="104"/>
              <w:rPr>
                <w:sz w:val="21"/>
              </w:rPr>
            </w:pPr>
            <w:r>
              <w:rPr>
                <w:spacing w:val="-2"/>
                <w:sz w:val="21"/>
              </w:rPr>
              <w:t>严重肠道疾病或外伤导致小肠损害并发症，本疾病须满足以下所有条件，</w:t>
            </w:r>
            <w:r>
              <w:rPr>
                <w:spacing w:val="-2"/>
                <w:sz w:val="21"/>
              </w:rPr>
              <w:t>但未达到“严重肠道疾病并发症”的给付标准：</w:t>
            </w:r>
          </w:p>
          <w:p>
            <w:pPr>
              <w:pStyle w:val="TableParagraph"/>
              <w:spacing w:line="278" w:lineRule="auto"/>
              <w:ind w:left="126" w:right="3593"/>
              <w:rPr>
                <w:sz w:val="21"/>
              </w:rPr>
            </w:pPr>
            <w:r>
              <w:rPr>
                <w:spacing w:val="-2"/>
                <w:sz w:val="21"/>
              </w:rPr>
              <w:t>(1)至少切除了二分之一小肠；</w:t>
            </w:r>
            <w:r>
              <w:rPr>
                <w:spacing w:val="80"/>
                <w:w w:val="150"/>
                <w:sz w:val="21"/>
              </w:rPr>
              <w:t> </w:t>
            </w:r>
            <w:r>
              <w:rPr>
                <w:spacing w:val="-2"/>
                <w:sz w:val="21"/>
              </w:rPr>
              <w:t>(2)完全肠外营养支持二个月以上。</w:t>
            </w:r>
          </w:p>
        </w:tc>
      </w:tr>
      <w:tr>
        <w:trPr>
          <w:trHeight w:val="421" w:hRule="atLeast"/>
        </w:trPr>
        <w:tc>
          <w:tcPr>
            <w:tcW w:w="1116" w:type="dxa"/>
          </w:tcPr>
          <w:p>
            <w:pPr>
              <w:pStyle w:val="TableParagraph"/>
              <w:rPr>
                <w:rFonts w:ascii="Times New Roman"/>
                <w:sz w:val="20"/>
              </w:rPr>
            </w:pPr>
          </w:p>
        </w:tc>
        <w:tc>
          <w:tcPr>
            <w:tcW w:w="1766" w:type="dxa"/>
          </w:tcPr>
          <w:p>
            <w:pPr>
              <w:pStyle w:val="TableParagraph"/>
              <w:rPr>
                <w:rFonts w:ascii="Times New Roman"/>
                <w:sz w:val="20"/>
              </w:rPr>
            </w:pPr>
          </w:p>
        </w:tc>
        <w:tc>
          <w:tcPr>
            <w:tcW w:w="6979" w:type="dxa"/>
          </w:tcPr>
          <w:p>
            <w:pPr>
              <w:pStyle w:val="TableParagraph"/>
              <w:spacing w:before="51"/>
              <w:ind w:left="126"/>
              <w:rPr>
                <w:sz w:val="21"/>
              </w:rPr>
            </w:pPr>
            <w:r>
              <w:rPr>
                <w:color w:val="000000"/>
                <w:spacing w:val="-3"/>
                <w:sz w:val="21"/>
                <w:shd w:fill="A6A6A6" w:color="auto" w:val="clear"/>
              </w:rPr>
              <w:t>因克罗恩病所致“中度肠道疾病并发症”不在保障范围内。</w:t>
            </w:r>
          </w:p>
        </w:tc>
      </w:tr>
      <w:tr>
        <w:trPr>
          <w:trHeight w:val="1078" w:hRule="atLeast"/>
        </w:trPr>
        <w:tc>
          <w:tcPr>
            <w:tcW w:w="1116" w:type="dxa"/>
          </w:tcPr>
          <w:p>
            <w:pPr>
              <w:pStyle w:val="TableParagraph"/>
              <w:spacing w:before="17"/>
              <w:ind w:left="107"/>
              <w:rPr>
                <w:rFonts w:ascii="微软雅黑"/>
                <w:b/>
                <w:sz w:val="21"/>
              </w:rPr>
            </w:pPr>
            <w:r>
              <w:rPr>
                <w:rFonts w:ascii="微软雅黑"/>
                <w:b/>
                <w:spacing w:val="-2"/>
                <w:sz w:val="21"/>
              </w:rPr>
              <w:t>11.1.3</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中度克罗恩病</w:t>
            </w:r>
          </w:p>
        </w:tc>
        <w:tc>
          <w:tcPr>
            <w:tcW w:w="6979" w:type="dxa"/>
          </w:tcPr>
          <w:p>
            <w:pPr>
              <w:pStyle w:val="TableParagraph"/>
              <w:spacing w:line="278" w:lineRule="auto" w:before="84"/>
              <w:ind w:left="126" w:right="104"/>
              <w:jc w:val="both"/>
              <w:rPr>
                <w:sz w:val="21"/>
              </w:rPr>
            </w:pPr>
            <w:r>
              <w:rPr>
                <w:sz w:val="21"/>
              </w:rPr>
              <w:t>指一种慢性肉芽肿性肠炎，具有特征性的克罗恩病（Crohn</w:t>
            </w:r>
            <w:r>
              <w:rPr>
                <w:spacing w:val="-6"/>
                <w:sz w:val="21"/>
              </w:rPr>
              <w:t> 病</w:t>
            </w:r>
            <w:r>
              <w:rPr>
                <w:sz w:val="21"/>
              </w:rPr>
              <w:t>）病理组织</w:t>
            </w:r>
            <w:r>
              <w:rPr>
                <w:spacing w:val="-2"/>
                <w:sz w:val="21"/>
              </w:rPr>
              <w:t>学变化，须根据组织病理学特点诊断，并因病情需要以类固醇或免疫抑制</w:t>
            </w:r>
            <w:r>
              <w:rPr>
                <w:spacing w:val="-4"/>
                <w:sz w:val="21"/>
              </w:rPr>
              <w:t>剂连续治疗 </w:t>
            </w:r>
            <w:r>
              <w:rPr>
                <w:sz w:val="21"/>
              </w:rPr>
              <w:t>180</w:t>
            </w:r>
            <w:r>
              <w:rPr>
                <w:spacing w:val="-5"/>
                <w:sz w:val="21"/>
              </w:rPr>
              <w:t> 天以上，但未达到“严重克罗恩病”的给付标准。</w:t>
            </w:r>
          </w:p>
        </w:tc>
      </w:tr>
      <w:tr>
        <w:trPr>
          <w:trHeight w:val="1046" w:hRule="atLeast"/>
        </w:trPr>
        <w:tc>
          <w:tcPr>
            <w:tcW w:w="1116" w:type="dxa"/>
          </w:tcPr>
          <w:p>
            <w:pPr>
              <w:pStyle w:val="TableParagraph"/>
              <w:spacing w:before="17"/>
              <w:ind w:left="107"/>
              <w:rPr>
                <w:rFonts w:ascii="微软雅黑"/>
                <w:b/>
                <w:sz w:val="21"/>
              </w:rPr>
            </w:pPr>
            <w:r>
              <w:rPr>
                <w:rFonts w:ascii="微软雅黑"/>
                <w:b/>
                <w:spacing w:val="-2"/>
                <w:sz w:val="21"/>
              </w:rPr>
              <w:t>11.1.4</w:t>
            </w:r>
          </w:p>
        </w:tc>
        <w:tc>
          <w:tcPr>
            <w:tcW w:w="1766" w:type="dxa"/>
          </w:tcPr>
          <w:p>
            <w:pPr>
              <w:pStyle w:val="TableParagraph"/>
              <w:spacing w:before="17"/>
              <w:ind w:left="161"/>
              <w:rPr>
                <w:rFonts w:ascii="微软雅黑" w:eastAsia="微软雅黑"/>
                <w:b/>
                <w:sz w:val="21"/>
              </w:rPr>
            </w:pPr>
            <w:r>
              <w:rPr>
                <w:rFonts w:ascii="微软雅黑" w:eastAsia="微软雅黑"/>
                <w:b/>
                <w:spacing w:val="-2"/>
                <w:sz w:val="21"/>
              </w:rPr>
              <w:t>中度脑损伤</w:t>
            </w:r>
          </w:p>
        </w:tc>
        <w:tc>
          <w:tcPr>
            <w:tcW w:w="6979" w:type="dxa"/>
          </w:tcPr>
          <w:p>
            <w:pPr>
              <w:pStyle w:val="TableParagraph"/>
              <w:spacing w:line="278" w:lineRule="auto" w:before="84"/>
              <w:ind w:left="126" w:right="103"/>
              <w:jc w:val="both"/>
              <w:rPr>
                <w:sz w:val="21"/>
              </w:rPr>
            </w:pPr>
            <w:r>
              <w:rPr>
                <w:spacing w:val="-2"/>
                <w:sz w:val="21"/>
              </w:rPr>
              <w:t>指因头部遭受机械性外力，引起脑重要部位损伤，导致神经系统永久性的</w:t>
            </w:r>
            <w:r>
              <w:rPr>
                <w:spacing w:val="-4"/>
                <w:sz w:val="21"/>
              </w:rPr>
              <w:t>功能障碍。须由头颅断层扫描</w:t>
            </w:r>
            <w:r>
              <w:rPr>
                <w:spacing w:val="22"/>
                <w:sz w:val="21"/>
              </w:rPr>
              <w:t>（C</w:t>
            </w:r>
            <w:r>
              <w:rPr>
                <w:spacing w:val="19"/>
                <w:sz w:val="21"/>
              </w:rPr>
              <w:t>T</w:t>
            </w:r>
            <w:r>
              <w:rPr>
                <w:spacing w:val="-82"/>
                <w:sz w:val="21"/>
              </w:rPr>
              <w:t>）</w:t>
            </w:r>
            <w:r>
              <w:rPr>
                <w:spacing w:val="-4"/>
                <w:sz w:val="21"/>
              </w:rPr>
              <w:t>、核磁共振检查（MRI）或正电子发射</w:t>
            </w:r>
            <w:r>
              <w:rPr>
                <w:spacing w:val="-2"/>
                <w:sz w:val="21"/>
              </w:rPr>
              <w:t>断层扫描（PET）等影像学检查证实。</w:t>
            </w:r>
          </w:p>
        </w:tc>
      </w:tr>
      <w:tr>
        <w:trPr>
          <w:trHeight w:val="351" w:hRule="atLeast"/>
        </w:trPr>
        <w:tc>
          <w:tcPr>
            <w:tcW w:w="1116" w:type="dxa"/>
          </w:tcPr>
          <w:p>
            <w:pPr>
              <w:pStyle w:val="TableParagraph"/>
              <w:rPr>
                <w:rFonts w:ascii="Times New Roman"/>
                <w:sz w:val="20"/>
              </w:rPr>
            </w:pPr>
          </w:p>
        </w:tc>
        <w:tc>
          <w:tcPr>
            <w:tcW w:w="1766" w:type="dxa"/>
          </w:tcPr>
          <w:p>
            <w:pPr>
              <w:pStyle w:val="TableParagraph"/>
              <w:rPr>
                <w:rFonts w:ascii="Times New Roman"/>
                <w:sz w:val="20"/>
              </w:rPr>
            </w:pPr>
          </w:p>
        </w:tc>
        <w:tc>
          <w:tcPr>
            <w:tcW w:w="6979" w:type="dxa"/>
          </w:tcPr>
          <w:p>
            <w:pPr>
              <w:pStyle w:val="TableParagraph"/>
              <w:spacing w:before="53"/>
              <w:ind w:left="126"/>
              <w:rPr>
                <w:sz w:val="21"/>
              </w:rPr>
            </w:pPr>
            <w:r>
              <w:rPr>
                <w:spacing w:val="-4"/>
                <w:sz w:val="21"/>
              </w:rPr>
              <w:t>神经系统永久性的功能障碍，指脑损伤 </w:t>
            </w:r>
            <w:r>
              <w:rPr>
                <w:spacing w:val="-2"/>
                <w:sz w:val="21"/>
              </w:rPr>
              <w:t>180</w:t>
            </w:r>
            <w:r>
              <w:rPr>
                <w:spacing w:val="-9"/>
                <w:sz w:val="21"/>
              </w:rPr>
              <w:t> 天后，仍部分丧失自主生活能</w:t>
            </w:r>
          </w:p>
        </w:tc>
      </w:tr>
      <w:tr>
        <w:trPr>
          <w:trHeight w:val="311" w:hRule="atLeast"/>
        </w:trPr>
        <w:tc>
          <w:tcPr>
            <w:tcW w:w="1116" w:type="dxa"/>
          </w:tcPr>
          <w:p>
            <w:pPr>
              <w:pStyle w:val="TableParagraph"/>
              <w:rPr>
                <w:rFonts w:ascii="Times New Roman"/>
                <w:sz w:val="20"/>
              </w:rPr>
            </w:pPr>
          </w:p>
        </w:tc>
        <w:tc>
          <w:tcPr>
            <w:tcW w:w="1766" w:type="dxa"/>
          </w:tcPr>
          <w:p>
            <w:pPr>
              <w:pStyle w:val="TableParagraph"/>
              <w:rPr>
                <w:rFonts w:ascii="Times New Roman"/>
                <w:sz w:val="20"/>
              </w:rPr>
            </w:pPr>
          </w:p>
        </w:tc>
        <w:tc>
          <w:tcPr>
            <w:tcW w:w="6979" w:type="dxa"/>
          </w:tcPr>
          <w:p>
            <w:pPr>
              <w:pStyle w:val="TableParagraph"/>
              <w:spacing w:before="13"/>
              <w:ind w:left="126"/>
              <w:rPr>
                <w:sz w:val="21"/>
              </w:rPr>
            </w:pPr>
            <w:r>
              <w:rPr>
                <w:spacing w:val="-3"/>
                <w:sz w:val="21"/>
              </w:rPr>
              <w:t>力，无法独立完成六项基本日常生活活动中的二项，但未达到“严重脑损</w:t>
            </w:r>
          </w:p>
        </w:tc>
      </w:tr>
      <w:tr>
        <w:trPr>
          <w:trHeight w:val="261" w:hRule="atLeast"/>
        </w:trPr>
        <w:tc>
          <w:tcPr>
            <w:tcW w:w="1116" w:type="dxa"/>
          </w:tcPr>
          <w:p>
            <w:pPr>
              <w:pStyle w:val="TableParagraph"/>
              <w:rPr>
                <w:rFonts w:ascii="Times New Roman"/>
                <w:sz w:val="18"/>
              </w:rPr>
            </w:pPr>
          </w:p>
        </w:tc>
        <w:tc>
          <w:tcPr>
            <w:tcW w:w="1766" w:type="dxa"/>
          </w:tcPr>
          <w:p>
            <w:pPr>
              <w:pStyle w:val="TableParagraph"/>
              <w:rPr>
                <w:rFonts w:ascii="Times New Roman"/>
                <w:sz w:val="18"/>
              </w:rPr>
            </w:pPr>
          </w:p>
        </w:tc>
        <w:tc>
          <w:tcPr>
            <w:tcW w:w="6979" w:type="dxa"/>
          </w:tcPr>
          <w:p>
            <w:pPr>
              <w:pStyle w:val="TableParagraph"/>
              <w:spacing w:line="228" w:lineRule="exact" w:before="13"/>
              <w:ind w:left="126"/>
              <w:rPr>
                <w:sz w:val="21"/>
              </w:rPr>
            </w:pPr>
            <w:r>
              <w:rPr>
                <w:spacing w:val="-4"/>
                <w:sz w:val="21"/>
              </w:rPr>
              <w:t>伤”的给付标准。</w:t>
            </w:r>
          </w:p>
        </w:tc>
      </w:tr>
    </w:tbl>
    <w:p>
      <w:pPr>
        <w:spacing w:after="0" w:line="228" w:lineRule="exact"/>
        <w:rPr>
          <w:sz w:val="21"/>
        </w:rPr>
        <w:sectPr>
          <w:type w:val="continuous"/>
          <w:pgSz w:w="11910" w:h="16840"/>
          <w:pgMar w:top="1460" w:bottom="280" w:left="920" w:right="440"/>
        </w:sectPr>
      </w:pPr>
    </w:p>
    <w:p>
      <w:pPr>
        <w:pStyle w:val="ListParagraph"/>
        <w:numPr>
          <w:ilvl w:val="2"/>
          <w:numId w:val="60"/>
        </w:numPr>
        <w:tabs>
          <w:tab w:pos="1381" w:val="left" w:leader="none"/>
          <w:tab w:pos="1382" w:val="left" w:leader="none"/>
          <w:tab w:pos="3112" w:val="left" w:leader="none"/>
        </w:tabs>
        <w:spacing w:line="359" w:lineRule="exact" w:before="0" w:after="0"/>
        <w:ind w:left="1382" w:right="0" w:hanging="1170"/>
        <w:jc w:val="left"/>
        <w:rPr>
          <w:sz w:val="21"/>
        </w:rPr>
      </w:pPr>
      <w:r>
        <w:rPr>
          <w:rFonts w:ascii="微软雅黑" w:eastAsia="微软雅黑"/>
          <w:b/>
          <w:sz w:val="21"/>
        </w:rPr>
        <w:t>单个肢体缺</w:t>
      </w:r>
      <w:r>
        <w:rPr>
          <w:rFonts w:ascii="微软雅黑" w:eastAsia="微软雅黑"/>
          <w:b/>
          <w:spacing w:val="-10"/>
          <w:sz w:val="21"/>
        </w:rPr>
        <w:t>失</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一</w:t>
      </w:r>
      <w:r>
        <w:rPr>
          <w:spacing w:val="-2"/>
          <w:sz w:val="21"/>
        </w:rPr>
        <w:t>个</w:t>
      </w:r>
      <w:r>
        <w:rPr>
          <w:spacing w:val="-2"/>
          <w:sz w:val="21"/>
        </w:rPr>
        <w:t>肢</w:t>
      </w:r>
      <w:r>
        <w:rPr>
          <w:spacing w:val="-2"/>
          <w:sz w:val="21"/>
        </w:rPr>
        <w:t>体</w:t>
      </w:r>
      <w:r>
        <w:rPr>
          <w:spacing w:val="-2"/>
          <w:sz w:val="21"/>
        </w:rPr>
        <w:t>自</w:t>
      </w:r>
      <w:r>
        <w:rPr>
          <w:spacing w:val="-2"/>
          <w:sz w:val="21"/>
        </w:rPr>
        <w:t>腕</w:t>
      </w:r>
      <w:r>
        <w:rPr>
          <w:spacing w:val="-2"/>
          <w:sz w:val="21"/>
        </w:rPr>
        <w:t>关</w:t>
      </w:r>
      <w:r>
        <w:rPr>
          <w:spacing w:val="-2"/>
          <w:sz w:val="21"/>
        </w:rPr>
        <w:t>节</w:t>
      </w:r>
      <w:r>
        <w:rPr>
          <w:spacing w:val="-2"/>
          <w:sz w:val="21"/>
        </w:rPr>
        <w:t>或</w:t>
      </w:r>
      <w:r>
        <w:rPr>
          <w:spacing w:val="-2"/>
          <w:sz w:val="21"/>
        </w:rPr>
        <w:t>踝</w:t>
      </w:r>
      <w:r>
        <w:rPr>
          <w:spacing w:val="-2"/>
          <w:sz w:val="21"/>
        </w:rPr>
        <w:t>关</w:t>
      </w:r>
      <w:r>
        <w:rPr>
          <w:spacing w:val="-2"/>
          <w:sz w:val="21"/>
        </w:rPr>
        <w:t>节</w:t>
      </w:r>
      <w:r>
        <w:rPr>
          <w:spacing w:val="-2"/>
          <w:sz w:val="21"/>
        </w:rPr>
        <w:t>近</w:t>
      </w:r>
      <w:r>
        <w:rPr>
          <w:spacing w:val="-2"/>
          <w:sz w:val="21"/>
        </w:rPr>
        <w:t>端</w:t>
      </w:r>
      <w:r>
        <w:rPr>
          <w:spacing w:val="-2"/>
          <w:sz w:val="21"/>
        </w:rPr>
        <w:t>（</w:t>
      </w:r>
      <w:r>
        <w:rPr>
          <w:spacing w:val="-2"/>
          <w:sz w:val="21"/>
        </w:rPr>
        <w:t>靠</w:t>
      </w:r>
      <w:r>
        <w:rPr>
          <w:spacing w:val="-2"/>
          <w:sz w:val="21"/>
        </w:rPr>
        <w:t>近</w:t>
      </w:r>
      <w:r>
        <w:rPr>
          <w:spacing w:val="-2"/>
          <w:sz w:val="21"/>
        </w:rPr>
        <w:t>躯</w:t>
      </w:r>
      <w:r>
        <w:rPr>
          <w:spacing w:val="-2"/>
          <w:sz w:val="21"/>
        </w:rPr>
        <w:t>干</w:t>
      </w:r>
      <w:r>
        <w:rPr>
          <w:spacing w:val="-2"/>
          <w:sz w:val="21"/>
        </w:rPr>
        <w:t>端</w:t>
      </w:r>
      <w:r>
        <w:rPr>
          <w:spacing w:val="-10"/>
          <w:sz w:val="21"/>
        </w:rPr>
        <w:t>）</w:t>
      </w:r>
    </w:p>
    <w:p>
      <w:pPr>
        <w:pStyle w:val="BodyText"/>
        <w:spacing w:line="348" w:lineRule="auto"/>
        <w:ind w:right="1965"/>
      </w:pPr>
      <w:r>
        <w:rPr>
          <w:spacing w:val="-2"/>
        </w:rPr>
        <w:t>以上完全性断离，但未达到“多个肢体缺失”的给付标准。</w:t>
      </w:r>
      <w:r>
        <w:rPr>
          <w:color w:val="000000"/>
          <w:spacing w:val="-3"/>
          <w:shd w:fill="A6A6A6" w:color="auto" w:val="clear"/>
        </w:rPr>
        <w:t>因糖尿病或恶性肿瘤引致的单个肢体缺失不在保障范围内。</w:t>
      </w:r>
    </w:p>
    <w:p>
      <w:pPr>
        <w:spacing w:after="0" w:line="348" w:lineRule="auto"/>
        <w:sectPr>
          <w:pgSz w:w="11910" w:h="16840"/>
          <w:pgMar w:top="1380" w:bottom="280" w:left="920" w:right="440"/>
        </w:sectPr>
      </w:pPr>
    </w:p>
    <w:p>
      <w:pPr>
        <w:pStyle w:val="Heading1"/>
        <w:numPr>
          <w:ilvl w:val="2"/>
          <w:numId w:val="60"/>
        </w:numPr>
        <w:tabs>
          <w:tab w:pos="1382" w:val="left" w:leader="none"/>
        </w:tabs>
        <w:spacing w:line="194" w:lineRule="auto" w:before="44" w:after="0"/>
        <w:ind w:left="1382" w:right="0" w:hanging="1170"/>
        <w:jc w:val="both"/>
      </w:pPr>
      <w:r>
        <w:rPr>
          <w:spacing w:val="-2"/>
        </w:rPr>
        <w:t>中度脑炎后遗症</w:t>
      </w:r>
      <w:r>
        <w:rPr>
          <w:spacing w:val="-2"/>
        </w:rPr>
        <w:t>或中度脑膜炎后</w:t>
      </w:r>
      <w:r>
        <w:rPr>
          <w:spacing w:val="-6"/>
        </w:rPr>
        <w:t>遗症</w:t>
      </w:r>
    </w:p>
    <w:p>
      <w:pPr>
        <w:pStyle w:val="BodyText"/>
        <w:spacing w:line="278" w:lineRule="auto" w:before="58"/>
        <w:ind w:left="212" w:right="681"/>
        <w:jc w:val="both"/>
      </w:pPr>
      <w:r>
        <w:rPr/>
        <w:br w:type="column"/>
      </w:r>
      <w:r>
        <w:rPr>
          <w:spacing w:val="-3"/>
        </w:rPr>
        <w:t>指因患脑炎或者脑膜炎导致的神经系统的功能障碍。疾病确诊 </w:t>
      </w:r>
      <w:r>
        <w:rPr>
          <w:spacing w:val="-2"/>
        </w:rPr>
        <w:t>180</w:t>
      </w:r>
      <w:r>
        <w:rPr>
          <w:spacing w:val="-8"/>
        </w:rPr>
        <w:t> 天后，</w:t>
      </w:r>
      <w:r>
        <w:rPr>
          <w:spacing w:val="-2"/>
        </w:rPr>
        <w:t>仍存在自主生活能力完全丧失，无法独立完成六项基本日常生活活动中的</w:t>
      </w:r>
      <w:r>
        <w:rPr>
          <w:spacing w:val="-2"/>
        </w:rPr>
        <w:t>两项，但未达到“严重脑炎后遗症或严重脑膜炎后遗症”的给付标准。</w:t>
      </w:r>
    </w:p>
    <w:p>
      <w:pPr>
        <w:spacing w:after="0" w:line="278" w:lineRule="auto"/>
        <w:jc w:val="both"/>
        <w:sectPr>
          <w:type w:val="continuous"/>
          <w:pgSz w:w="11910" w:h="16840"/>
          <w:pgMar w:top="680" w:bottom="280" w:left="920" w:right="440"/>
          <w:cols w:num="2" w:equalWidth="0">
            <w:col w:w="2861" w:space="40"/>
            <w:col w:w="7649"/>
          </w:cols>
        </w:sectPr>
      </w:pPr>
    </w:p>
    <w:p>
      <w:pPr>
        <w:pStyle w:val="Heading1"/>
        <w:numPr>
          <w:ilvl w:val="2"/>
          <w:numId w:val="60"/>
        </w:numPr>
        <w:tabs>
          <w:tab w:pos="1381" w:val="left" w:leader="none"/>
          <w:tab w:pos="1382" w:val="left" w:leader="none"/>
        </w:tabs>
        <w:spacing w:line="194" w:lineRule="auto" w:before="129" w:after="0"/>
        <w:ind w:left="1382" w:right="0" w:hanging="1170"/>
        <w:jc w:val="left"/>
      </w:pPr>
      <w:r>
        <w:rPr>
          <w:spacing w:val="-2"/>
        </w:rPr>
        <w:t>中度运动神经元</w:t>
      </w:r>
      <w:r>
        <w:rPr>
          <w:spacing w:val="-10"/>
        </w:rPr>
        <w:t>病</w:t>
      </w:r>
    </w:p>
    <w:p>
      <w:pPr>
        <w:pStyle w:val="BodyText"/>
        <w:spacing w:line="278" w:lineRule="auto" w:before="144"/>
        <w:ind w:left="212" w:right="684"/>
        <w:jc w:val="both"/>
      </w:pPr>
      <w:r>
        <w:rPr/>
        <w:br w:type="column"/>
      </w:r>
      <w:r>
        <w:rPr>
          <w:spacing w:val="-2"/>
        </w:rPr>
        <w:t>是一组中枢神经系统运动神经元的进行性变性疾病，进行性脊肌萎缩症、</w:t>
      </w:r>
      <w:r>
        <w:rPr>
          <w:spacing w:val="-2"/>
        </w:rPr>
        <w:t>进行性延髓麻痹症、原发性侧索硬化症、肌萎缩性侧索硬化症。须满足自</w:t>
      </w:r>
      <w:r>
        <w:rPr>
          <w:spacing w:val="-2"/>
        </w:rPr>
        <w:t>主生活能力部分丧失，无法独立完成六项基本日常生活活动中的两项，但</w:t>
      </w:r>
      <w:r>
        <w:rPr>
          <w:spacing w:val="-2"/>
        </w:rPr>
        <w:t>未达到“严重运动神经元病”的给付标准。</w:t>
      </w:r>
    </w:p>
    <w:p>
      <w:pPr>
        <w:spacing w:after="0" w:line="278" w:lineRule="auto"/>
        <w:jc w:val="both"/>
        <w:sectPr>
          <w:type w:val="continuous"/>
          <w:pgSz w:w="11910" w:h="16840"/>
          <w:pgMar w:top="680" w:bottom="280" w:left="920" w:right="440"/>
          <w:cols w:num="2" w:equalWidth="0">
            <w:col w:w="2861" w:space="40"/>
            <w:col w:w="7649"/>
          </w:cols>
        </w:sectPr>
      </w:pPr>
    </w:p>
    <w:p>
      <w:pPr>
        <w:pStyle w:val="Heading1"/>
        <w:numPr>
          <w:ilvl w:val="2"/>
          <w:numId w:val="60"/>
        </w:numPr>
        <w:tabs>
          <w:tab w:pos="1381" w:val="left" w:leader="none"/>
          <w:tab w:pos="1382" w:val="left" w:leader="none"/>
        </w:tabs>
        <w:spacing w:line="194" w:lineRule="auto" w:before="126" w:after="0"/>
        <w:ind w:left="1382" w:right="0" w:hanging="1170"/>
        <w:jc w:val="left"/>
      </w:pPr>
      <w:r>
        <w:rPr>
          <w:spacing w:val="-2"/>
        </w:rPr>
        <w:t>中度原发性帕金</w:t>
      </w:r>
      <w:r>
        <w:rPr>
          <w:spacing w:val="-6"/>
        </w:rPr>
        <w:t>森病</w:t>
      </w:r>
    </w:p>
    <w:p>
      <w:pPr>
        <w:pStyle w:val="BodyText"/>
        <w:spacing w:line="278" w:lineRule="auto" w:before="141"/>
        <w:ind w:left="212" w:right="684"/>
      </w:pPr>
      <w:r>
        <w:rPr/>
        <w:br w:type="column"/>
      </w:r>
      <w:r>
        <w:rPr>
          <w:spacing w:val="-2"/>
        </w:rPr>
        <w:t>是一种中枢神经系统的退行性疾病，临床表现为震颤麻痹、共济失调等。</w:t>
      </w:r>
      <w:r>
        <w:rPr>
          <w:spacing w:val="-2"/>
        </w:rPr>
        <w:t>须满足下列全部条件，但未达到“严重原发性帕金森病”的给付标准： (1)药物治疗无法控制病情；</w:t>
      </w:r>
    </w:p>
    <w:p>
      <w:pPr>
        <w:pStyle w:val="BodyText"/>
        <w:spacing w:line="278" w:lineRule="auto"/>
        <w:ind w:left="212" w:right="687"/>
      </w:pPr>
      <w:r>
        <w:rPr>
          <w:spacing w:val="-2"/>
        </w:rPr>
        <w:t>(2)自主生活能力完全丧失，无法独立完成六项基本日常生活活动中的两</w:t>
      </w:r>
      <w:r>
        <w:rPr>
          <w:spacing w:val="-6"/>
        </w:rPr>
        <w:t>项。</w:t>
      </w:r>
    </w:p>
    <w:p>
      <w:pPr>
        <w:pStyle w:val="BodyText"/>
        <w:spacing w:before="77"/>
        <w:ind w:left="212"/>
      </w:pPr>
      <w:r>
        <w:rPr>
          <w:color w:val="000000"/>
          <w:spacing w:val="-3"/>
          <w:shd w:fill="A6A6A6" w:color="auto" w:val="clear"/>
        </w:rPr>
        <w:t>继发性帕金森综合征不在保障范围内。</w:t>
      </w:r>
    </w:p>
    <w:p>
      <w:pPr>
        <w:spacing w:after="0"/>
        <w:sectPr>
          <w:type w:val="continuous"/>
          <w:pgSz w:w="11910" w:h="16840"/>
          <w:pgMar w:top="680" w:bottom="280" w:left="920" w:right="440"/>
          <w:cols w:num="2" w:equalWidth="0">
            <w:col w:w="2861" w:space="40"/>
            <w:col w:w="7649"/>
          </w:cols>
        </w:sectPr>
      </w:pPr>
    </w:p>
    <w:p>
      <w:pPr>
        <w:pStyle w:val="BodyText"/>
        <w:spacing w:before="10"/>
        <w:ind w:left="0"/>
        <w:rPr>
          <w:sz w:val="8"/>
        </w:rPr>
      </w:pPr>
    </w:p>
    <w:p>
      <w:pPr>
        <w:spacing w:after="0"/>
        <w:rPr>
          <w:sz w:val="8"/>
        </w:rPr>
        <w:sectPr>
          <w:type w:val="continuous"/>
          <w:pgSz w:w="11910" w:h="16840"/>
          <w:pgMar w:top="680" w:bottom="280" w:left="920" w:right="440"/>
        </w:sectPr>
      </w:pPr>
    </w:p>
    <w:p>
      <w:pPr>
        <w:pStyle w:val="Heading1"/>
        <w:numPr>
          <w:ilvl w:val="2"/>
          <w:numId w:val="60"/>
        </w:numPr>
        <w:tabs>
          <w:tab w:pos="1381" w:val="left" w:leader="none"/>
          <w:tab w:pos="1382" w:val="left" w:leader="none"/>
        </w:tabs>
        <w:spacing w:line="194" w:lineRule="auto" w:before="57" w:after="0"/>
        <w:ind w:left="1382" w:right="0" w:hanging="1170"/>
        <w:jc w:val="left"/>
      </w:pPr>
      <w:r>
        <w:rPr>
          <w:spacing w:val="-2"/>
        </w:rPr>
        <w:t>中度结核性脊髓</w:t>
      </w:r>
      <w:r>
        <w:rPr>
          <w:spacing w:val="-4"/>
        </w:rPr>
        <w:t>炎后遗症</w:t>
      </w:r>
    </w:p>
    <w:p>
      <w:pPr>
        <w:pStyle w:val="BodyText"/>
        <w:spacing w:line="278" w:lineRule="auto" w:before="72"/>
        <w:ind w:left="212" w:right="684"/>
      </w:pPr>
      <w:r>
        <w:rPr/>
        <w:br w:type="column"/>
      </w:r>
      <w:r>
        <w:rPr>
          <w:spacing w:val="-2"/>
        </w:rPr>
        <w:t>指因结核杆菌引起的脊髓炎，导致永久性神经系统功能中度障碍，即疾病</w:t>
      </w:r>
      <w:r>
        <w:rPr>
          <w:spacing w:val="-5"/>
        </w:rPr>
        <w:t>首次确诊 </w:t>
      </w:r>
      <w:r>
        <w:rPr/>
        <w:t>180</w:t>
      </w:r>
      <w:r>
        <w:rPr>
          <w:spacing w:val="-5"/>
        </w:rPr>
        <w:t> 天后，仍遗留下列障碍：</w:t>
      </w:r>
    </w:p>
    <w:p>
      <w:pPr>
        <w:pStyle w:val="BodyText"/>
        <w:spacing w:line="278" w:lineRule="auto"/>
        <w:ind w:left="212" w:right="684"/>
      </w:pPr>
      <w:r>
        <w:rPr>
          <w:spacing w:val="-2"/>
        </w:rPr>
        <w:t>自主生活能力部分丧失，无法独立完成六项基本日常生活活动中的二项或</w:t>
      </w:r>
      <w:r>
        <w:rPr>
          <w:spacing w:val="-2"/>
        </w:rPr>
        <w:t>二项以上。</w:t>
      </w:r>
    </w:p>
    <w:p>
      <w:pPr>
        <w:pStyle w:val="BodyText"/>
        <w:spacing w:line="278" w:lineRule="auto" w:before="78"/>
        <w:ind w:left="212" w:right="684"/>
      </w:pPr>
      <w:r>
        <w:rPr>
          <w:spacing w:val="-2"/>
        </w:rPr>
        <w:t>该诊断必须由神经专科医生证实，并必须由适当的检查证明为结核性脊髓</w:t>
      </w:r>
      <w:r>
        <w:rPr>
          <w:spacing w:val="-6"/>
        </w:rPr>
        <w:t>炎。</w:t>
      </w:r>
    </w:p>
    <w:p>
      <w:pPr>
        <w:spacing w:after="0" w:line="278" w:lineRule="auto"/>
        <w:sectPr>
          <w:type w:val="continuous"/>
          <w:pgSz w:w="11910" w:h="16840"/>
          <w:pgMar w:top="680" w:bottom="280" w:left="920" w:right="440"/>
          <w:cols w:num="2" w:equalWidth="0">
            <w:col w:w="2861" w:space="40"/>
            <w:col w:w="7649"/>
          </w:cols>
        </w:sectPr>
      </w:pPr>
    </w:p>
    <w:p>
      <w:pPr>
        <w:pStyle w:val="ListParagraph"/>
        <w:numPr>
          <w:ilvl w:val="2"/>
          <w:numId w:val="60"/>
        </w:numPr>
        <w:tabs>
          <w:tab w:pos="1382" w:val="left" w:leader="none"/>
        </w:tabs>
        <w:spacing w:line="383" w:lineRule="exact" w:before="75" w:after="0"/>
        <w:ind w:left="1382" w:right="0" w:hanging="1170"/>
        <w:jc w:val="both"/>
        <w:rPr>
          <w:sz w:val="21"/>
        </w:rPr>
      </w:pPr>
      <w:r>
        <w:rPr>
          <w:rFonts w:ascii="微软雅黑" w:eastAsia="微软雅黑"/>
          <w:b/>
          <w:spacing w:val="21"/>
          <w:sz w:val="21"/>
        </w:rPr>
        <w:t>中度脊髓灰质炎 </w:t>
      </w:r>
      <w:r>
        <w:rPr>
          <w:spacing w:val="-1"/>
          <w:sz w:val="21"/>
        </w:rPr>
        <w:t>脊髓灰质炎是由于脊髓灰质炎病毒感染所致的瘫痪性疾病，临床表现为运</w:t>
      </w:r>
    </w:p>
    <w:p>
      <w:pPr>
        <w:pStyle w:val="BodyText"/>
        <w:spacing w:line="278" w:lineRule="auto"/>
        <w:ind w:right="681"/>
        <w:jc w:val="both"/>
      </w:pPr>
      <w:r>
        <w:rPr>
          <w:spacing w:val="-2"/>
        </w:rPr>
        <w:t>动功能损害或呼吸无力。</w:t>
      </w:r>
      <w:r>
        <w:rPr>
          <w:color w:val="000000"/>
          <w:spacing w:val="-4"/>
          <w:shd w:fill="A6A6A6" w:color="auto" w:val="clear"/>
        </w:rPr>
        <w:t>本合同仅对脊髓灰质炎确诊 </w:t>
      </w:r>
      <w:r>
        <w:rPr>
          <w:color w:val="000000"/>
          <w:spacing w:val="-2"/>
          <w:shd w:fill="A6A6A6" w:color="auto" w:val="clear"/>
        </w:rPr>
        <w:t>180</w:t>
      </w:r>
      <w:r>
        <w:rPr>
          <w:color w:val="000000"/>
          <w:spacing w:val="-7"/>
          <w:shd w:fill="A6A6A6" w:color="auto" w:val="clear"/>
        </w:rPr>
        <w:t> 天后，仍遗留一</w:t>
      </w:r>
      <w:r>
        <w:rPr>
          <w:color w:val="000000"/>
          <w:spacing w:val="40"/>
          <w:shd w:fill="A6A6A6" w:color="auto" w:val="clear"/>
        </w:rPr>
        <w:t> </w:t>
      </w:r>
      <w:r>
        <w:rPr>
          <w:color w:val="000000"/>
          <w:spacing w:val="-2"/>
          <w:shd w:fill="A6A6A6" w:color="auto" w:val="clear"/>
        </w:rPr>
        <w:t>肢肢体三大关节中的至少一个大关节仍然完全僵硬，或不能随意识活动，</w:t>
      </w:r>
      <w:r>
        <w:rPr>
          <w:color w:val="000000"/>
          <w:spacing w:val="-2"/>
          <w:shd w:fill="A6A6A6" w:color="auto" w:val="clear"/>
        </w:rPr>
        <w:t>但未达到“严重脊髓灰质炎”的给付标准的情况予以理赔。</w:t>
      </w:r>
    </w:p>
    <w:p>
      <w:pPr>
        <w:pStyle w:val="ListParagraph"/>
        <w:numPr>
          <w:ilvl w:val="2"/>
          <w:numId w:val="60"/>
        </w:numPr>
        <w:tabs>
          <w:tab w:pos="1382" w:val="left" w:leader="none"/>
        </w:tabs>
        <w:spacing w:line="240" w:lineRule="auto" w:before="70" w:after="0"/>
        <w:ind w:left="1382" w:right="0" w:hanging="1170"/>
        <w:jc w:val="both"/>
        <w:rPr>
          <w:sz w:val="21"/>
        </w:rPr>
      </w:pPr>
      <w:r>
        <w:rPr>
          <w:rFonts w:ascii="微软雅黑" w:eastAsia="微软雅黑"/>
          <w:b/>
          <w:spacing w:val="52"/>
          <w:sz w:val="21"/>
        </w:rPr>
        <w:t>单侧肺脏切除 </w:t>
      </w:r>
      <w:r>
        <w:rPr>
          <w:spacing w:val="-1"/>
          <w:sz w:val="21"/>
        </w:rPr>
        <w:t>指因疾病或意外事故实际实施的肺脏左叶或右叶全部切除。</w:t>
      </w:r>
    </w:p>
    <w:p>
      <w:pPr>
        <w:pStyle w:val="BodyText"/>
        <w:spacing w:line="278" w:lineRule="auto" w:before="72"/>
        <w:ind w:right="3196"/>
      </w:pPr>
      <w:r>
        <w:rPr>
          <w:color w:val="000000"/>
          <w:spacing w:val="-2"/>
          <w:shd w:fill="A6A6A6" w:color="auto" w:val="clear"/>
        </w:rPr>
        <w:t>以下的肺脏切除不在本合同保障范围之列：</w:t>
      </w:r>
      <w:r>
        <w:rPr>
          <w:color w:val="000000"/>
          <w:spacing w:val="-2"/>
        </w:rPr>
        <w:t> </w:t>
      </w:r>
      <w:r>
        <w:rPr>
          <w:color w:val="000000"/>
          <w:spacing w:val="-2"/>
          <w:shd w:fill="A6A6A6" w:color="auto" w:val="clear"/>
        </w:rPr>
        <w:t>(1)肺脏左叶或右叶部分切除；</w:t>
      </w:r>
    </w:p>
    <w:p>
      <w:pPr>
        <w:pStyle w:val="BodyText"/>
        <w:spacing w:line="278" w:lineRule="auto"/>
        <w:ind w:right="2913"/>
      </w:pPr>
      <w:r>
        <w:rPr>
          <w:color w:val="000000"/>
          <w:spacing w:val="-2"/>
          <w:shd w:fill="A6A6A6" w:color="auto" w:val="clear"/>
        </w:rPr>
        <w:t>(2)因捐献肺脏引起的肺脏左叶或右叶全部切除；</w:t>
      </w:r>
      <w:r>
        <w:rPr>
          <w:color w:val="000000"/>
          <w:spacing w:val="-2"/>
        </w:rPr>
        <w:t> </w:t>
      </w:r>
      <w:r>
        <w:rPr>
          <w:color w:val="000000"/>
          <w:spacing w:val="-2"/>
          <w:shd w:fill="A6A6A6" w:color="auto" w:val="clear"/>
        </w:rPr>
        <w:t>(3)因恶性肿瘤进行的肺脏切除手术。</w:t>
      </w:r>
    </w:p>
    <w:p>
      <w:pPr>
        <w:spacing w:after="0" w:line="278" w:lineRule="auto"/>
        <w:sectPr>
          <w:type w:val="continuous"/>
          <w:pgSz w:w="11910" w:h="16840"/>
          <w:pgMar w:top="680" w:bottom="280" w:left="920" w:right="440"/>
        </w:sectPr>
      </w:pPr>
    </w:p>
    <w:p>
      <w:pPr>
        <w:pStyle w:val="Heading1"/>
        <w:numPr>
          <w:ilvl w:val="2"/>
          <w:numId w:val="60"/>
        </w:numPr>
        <w:tabs>
          <w:tab w:pos="1381" w:val="left" w:leader="none"/>
          <w:tab w:pos="1382" w:val="left" w:leader="none"/>
        </w:tabs>
        <w:spacing w:line="350" w:lineRule="exact" w:before="74" w:after="0"/>
        <w:ind w:left="1382" w:right="0" w:hanging="1170"/>
        <w:jc w:val="left"/>
      </w:pPr>
      <w:r>
        <w:rPr>
          <w:spacing w:val="-2"/>
        </w:rPr>
        <w:t>中度进行性核上</w:t>
      </w:r>
    </w:p>
    <w:p>
      <w:pPr>
        <w:spacing w:line="350" w:lineRule="exact" w:before="0"/>
        <w:ind w:left="1382" w:right="0" w:firstLine="0"/>
        <w:jc w:val="left"/>
        <w:rPr>
          <w:rFonts w:ascii="微软雅黑" w:eastAsia="微软雅黑"/>
          <w:b/>
          <w:sz w:val="21"/>
        </w:rPr>
      </w:pPr>
      <w:r>
        <w:rPr>
          <w:rFonts w:ascii="微软雅黑" w:eastAsia="微软雅黑"/>
          <w:b/>
          <w:spacing w:val="-4"/>
          <w:sz w:val="21"/>
        </w:rPr>
        <w:t>性麻痹</w:t>
      </w:r>
    </w:p>
    <w:p>
      <w:pPr>
        <w:pStyle w:val="BodyText"/>
        <w:spacing w:line="278" w:lineRule="auto" w:before="141"/>
        <w:ind w:left="212" w:right="684"/>
      </w:pPr>
      <w:r>
        <w:rPr/>
        <w:br w:type="column"/>
      </w:r>
      <w:r>
        <w:rPr>
          <w:spacing w:val="-2"/>
        </w:rPr>
        <w:t>指一种少见的神经系统变性疾病，以假球麻痹、垂直性核上性眼肌麻痹、</w:t>
      </w:r>
      <w:r>
        <w:rPr>
          <w:spacing w:val="-2"/>
        </w:rPr>
        <w:t>锥体外系肌僵直、步态共济失调和轻度痴呆为主要临床特征。</w:t>
      </w:r>
    </w:p>
    <w:p>
      <w:pPr>
        <w:pStyle w:val="BodyText"/>
        <w:spacing w:line="278" w:lineRule="auto" w:before="77"/>
        <w:ind w:left="212" w:right="648"/>
      </w:pPr>
      <w:r>
        <w:rPr>
          <w:spacing w:val="-2"/>
        </w:rPr>
        <w:t>须由专科医生确诊，且满足自主生活能力完全丧失，无法独立完成六项基</w:t>
      </w:r>
      <w:r>
        <w:rPr>
          <w:spacing w:val="19"/>
        </w:rPr>
        <w:t>本日常生活活动中的两项， 但未达到“ 严重进行性核上性麻痹</w:t>
      </w:r>
      <w:r>
        <w:rPr>
          <w:spacing w:val="-10"/>
        </w:rPr>
        <w:t> </w:t>
      </w:r>
    </w:p>
    <w:p>
      <w:pPr>
        <w:pStyle w:val="BodyText"/>
        <w:spacing w:line="269" w:lineRule="exact"/>
        <w:ind w:left="212"/>
      </w:pPr>
      <w:r>
        <w:rPr>
          <w:spacing w:val="-2"/>
        </w:rPr>
        <w:t>（Steele-Rchardson-Olszewski</w:t>
      </w:r>
      <w:r>
        <w:rPr>
          <w:spacing w:val="-6"/>
        </w:rPr>
        <w:t> 综合征</w:t>
      </w:r>
      <w:r>
        <w:rPr>
          <w:spacing w:val="-109"/>
        </w:rPr>
        <w:t>）</w:t>
      </w:r>
      <w:r>
        <w:rPr>
          <w:spacing w:val="-4"/>
        </w:rPr>
        <w:t>”的给付标准。</w:t>
      </w:r>
    </w:p>
    <w:p>
      <w:pPr>
        <w:spacing w:after="0" w:line="269" w:lineRule="exact"/>
        <w:sectPr>
          <w:type w:val="continuous"/>
          <w:pgSz w:w="11910" w:h="16840"/>
          <w:pgMar w:top="680" w:bottom="280" w:left="920" w:right="440"/>
          <w:cols w:num="2" w:equalWidth="0">
            <w:col w:w="2861" w:space="40"/>
            <w:col w:w="7649"/>
          </w:cols>
        </w:sectPr>
      </w:pPr>
    </w:p>
    <w:p>
      <w:pPr>
        <w:pStyle w:val="BodyText"/>
        <w:ind w:left="0"/>
        <w:rPr>
          <w:sz w:val="9"/>
        </w:rPr>
      </w:pPr>
    </w:p>
    <w:p>
      <w:pPr>
        <w:pStyle w:val="ListParagraph"/>
        <w:numPr>
          <w:ilvl w:val="2"/>
          <w:numId w:val="60"/>
        </w:numPr>
        <w:tabs>
          <w:tab w:pos="1381" w:val="left" w:leader="none"/>
          <w:tab w:pos="1382" w:val="left" w:leader="none"/>
          <w:tab w:pos="3112" w:val="left" w:leader="none"/>
        </w:tabs>
        <w:spacing w:line="383" w:lineRule="exact" w:before="4" w:after="0"/>
        <w:ind w:left="1382" w:right="0" w:hanging="1170"/>
        <w:jc w:val="left"/>
        <w:rPr>
          <w:sz w:val="21"/>
        </w:rPr>
      </w:pPr>
      <w:r>
        <w:rPr>
          <w:rFonts w:ascii="微软雅黑" w:eastAsia="微软雅黑"/>
          <w:b/>
          <w:sz w:val="21"/>
        </w:rPr>
        <w:t>中度克雅氏</w:t>
      </w:r>
      <w:r>
        <w:rPr>
          <w:rFonts w:ascii="微软雅黑" w:eastAsia="微软雅黑"/>
          <w:b/>
          <w:spacing w:val="-10"/>
          <w:sz w:val="21"/>
        </w:rPr>
        <w:t>病</w:t>
      </w:r>
      <w:r>
        <w:rPr>
          <w:rFonts w:ascii="微软雅黑" w:eastAsia="微软雅黑"/>
          <w:b/>
          <w:sz w:val="21"/>
        </w:rPr>
        <w:tab/>
      </w:r>
      <w:r>
        <w:rPr>
          <w:spacing w:val="-2"/>
          <w:sz w:val="21"/>
        </w:rPr>
        <w:t>是</w:t>
      </w:r>
      <w:r>
        <w:rPr>
          <w:spacing w:val="-2"/>
          <w:sz w:val="21"/>
        </w:rPr>
        <w:t>一</w:t>
      </w:r>
      <w:r>
        <w:rPr>
          <w:spacing w:val="-2"/>
          <w:sz w:val="21"/>
        </w:rPr>
        <w:t>种</w:t>
      </w:r>
      <w:r>
        <w:rPr>
          <w:spacing w:val="-2"/>
          <w:sz w:val="21"/>
        </w:rPr>
        <w:t>传</w:t>
      </w:r>
      <w:r>
        <w:rPr>
          <w:spacing w:val="-2"/>
          <w:sz w:val="21"/>
        </w:rPr>
        <w:t>染</w:t>
      </w:r>
      <w:r>
        <w:rPr>
          <w:spacing w:val="-2"/>
          <w:sz w:val="21"/>
        </w:rPr>
        <w:t>性</w:t>
      </w:r>
      <w:r>
        <w:rPr>
          <w:spacing w:val="-2"/>
          <w:sz w:val="21"/>
        </w:rPr>
        <w:t>海</w:t>
      </w:r>
      <w:r>
        <w:rPr>
          <w:spacing w:val="-2"/>
          <w:sz w:val="21"/>
        </w:rPr>
        <w:t>绵</w:t>
      </w:r>
      <w:r>
        <w:rPr>
          <w:spacing w:val="-2"/>
          <w:sz w:val="21"/>
        </w:rPr>
        <w:t>状</w:t>
      </w:r>
      <w:r>
        <w:rPr>
          <w:spacing w:val="-2"/>
          <w:sz w:val="21"/>
        </w:rPr>
        <w:t>脑</w:t>
      </w:r>
      <w:r>
        <w:rPr>
          <w:spacing w:val="-2"/>
          <w:sz w:val="21"/>
        </w:rPr>
        <w:t>病，</w:t>
      </w:r>
      <w:r>
        <w:rPr>
          <w:spacing w:val="-2"/>
          <w:sz w:val="21"/>
        </w:rPr>
        <w:t>临</w:t>
      </w:r>
      <w:r>
        <w:rPr>
          <w:spacing w:val="-2"/>
          <w:sz w:val="21"/>
        </w:rPr>
        <w:t>床</w:t>
      </w:r>
      <w:r>
        <w:rPr>
          <w:spacing w:val="-2"/>
          <w:sz w:val="21"/>
        </w:rPr>
        <w:t>表</w:t>
      </w:r>
      <w:r>
        <w:rPr>
          <w:spacing w:val="-2"/>
          <w:sz w:val="21"/>
        </w:rPr>
        <w:t>现</w:t>
      </w:r>
      <w:r>
        <w:rPr>
          <w:spacing w:val="-2"/>
          <w:sz w:val="21"/>
        </w:rPr>
        <w:t>为</w:t>
      </w:r>
      <w:r>
        <w:rPr>
          <w:spacing w:val="-2"/>
          <w:sz w:val="21"/>
        </w:rPr>
        <w:t>快</w:t>
      </w:r>
      <w:r>
        <w:rPr>
          <w:spacing w:val="-2"/>
          <w:sz w:val="21"/>
        </w:rPr>
        <w:t>速</w:t>
      </w:r>
      <w:r>
        <w:rPr>
          <w:spacing w:val="-2"/>
          <w:sz w:val="21"/>
        </w:rPr>
        <w:t>进</w:t>
      </w:r>
      <w:r>
        <w:rPr>
          <w:spacing w:val="-2"/>
          <w:sz w:val="21"/>
        </w:rPr>
        <w:t>行</w:t>
      </w:r>
      <w:r>
        <w:rPr>
          <w:spacing w:val="-2"/>
          <w:sz w:val="21"/>
        </w:rPr>
        <w:t>性</w:t>
      </w:r>
      <w:r>
        <w:rPr>
          <w:spacing w:val="-2"/>
          <w:sz w:val="21"/>
        </w:rPr>
        <w:t>痴</w:t>
      </w:r>
      <w:r>
        <w:rPr>
          <w:spacing w:val="-2"/>
          <w:sz w:val="21"/>
        </w:rPr>
        <w:t>呆</w:t>
      </w:r>
      <w:r>
        <w:rPr>
          <w:spacing w:val="-2"/>
          <w:sz w:val="21"/>
        </w:rPr>
        <w:t>、</w:t>
      </w:r>
      <w:r>
        <w:rPr>
          <w:spacing w:val="-2"/>
          <w:sz w:val="21"/>
        </w:rPr>
        <w:t>肌</w:t>
      </w:r>
      <w:r>
        <w:rPr>
          <w:spacing w:val="-2"/>
          <w:sz w:val="21"/>
        </w:rPr>
        <w:t>阵</w:t>
      </w:r>
      <w:r>
        <w:rPr>
          <w:spacing w:val="-2"/>
          <w:sz w:val="21"/>
        </w:rPr>
        <w:t>挛</w:t>
      </w:r>
      <w:r>
        <w:rPr>
          <w:spacing w:val="-2"/>
          <w:sz w:val="21"/>
        </w:rPr>
        <w:t>和</w:t>
      </w:r>
      <w:r>
        <w:rPr>
          <w:spacing w:val="-2"/>
          <w:sz w:val="21"/>
        </w:rPr>
        <w:t>特</w:t>
      </w:r>
      <w:r>
        <w:rPr>
          <w:spacing w:val="-2"/>
          <w:sz w:val="21"/>
        </w:rPr>
        <w:t>征</w:t>
      </w:r>
      <w:r>
        <w:rPr>
          <w:spacing w:val="-10"/>
          <w:sz w:val="21"/>
        </w:rPr>
        <w:t>性</w:t>
      </w:r>
    </w:p>
    <w:p>
      <w:pPr>
        <w:pStyle w:val="BodyText"/>
        <w:spacing w:line="278" w:lineRule="auto"/>
        <w:ind w:right="681"/>
      </w:pPr>
      <w:r>
        <w:rPr>
          <w:spacing w:val="-3"/>
        </w:rPr>
        <w:t>脑电图变化。须由专科医生根据 </w:t>
      </w:r>
      <w:r>
        <w:rPr/>
        <w:t>WHO</w:t>
      </w:r>
      <w:r>
        <w:rPr>
          <w:spacing w:val="-7"/>
        </w:rPr>
        <w:t> 诊断标准明确诊断，并且自主生活能</w:t>
      </w:r>
      <w:r>
        <w:rPr>
          <w:spacing w:val="-15"/>
        </w:rPr>
        <w:t>力完全丧失，无法独立完成六项基本日常生活活动中的两项，但未达到“严</w:t>
      </w:r>
    </w:p>
    <w:p>
      <w:pPr>
        <w:spacing w:after="0" w:line="278" w:lineRule="auto"/>
        <w:sectPr>
          <w:type w:val="continuous"/>
          <w:pgSz w:w="11910" w:h="16840"/>
          <w:pgMar w:top="68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6926"/>
      </w:tblGrid>
      <w:tr>
        <w:trPr>
          <w:trHeight w:val="332" w:hRule="atLeast"/>
        </w:trPr>
        <w:tc>
          <w:tcPr>
            <w:tcW w:w="2823" w:type="dxa"/>
            <w:gridSpan w:val="2"/>
          </w:tcPr>
          <w:p>
            <w:pPr>
              <w:pStyle w:val="TableParagraph"/>
              <w:rPr>
                <w:rFonts w:ascii="Times New Roman"/>
                <w:sz w:val="20"/>
              </w:rPr>
            </w:pPr>
          </w:p>
        </w:tc>
        <w:tc>
          <w:tcPr>
            <w:tcW w:w="6926" w:type="dxa"/>
          </w:tcPr>
          <w:p>
            <w:pPr>
              <w:pStyle w:val="TableParagraph"/>
              <w:spacing w:line="232" w:lineRule="exact"/>
              <w:ind w:left="127"/>
              <w:rPr>
                <w:sz w:val="21"/>
              </w:rPr>
            </w:pPr>
            <w:r>
              <w:rPr>
                <w:spacing w:val="-2"/>
                <w:sz w:val="21"/>
              </w:rPr>
              <w:t>重疯牛病（克-雅氏病/CJD/人类疯牛病</w:t>
            </w:r>
            <w:r>
              <w:rPr>
                <w:spacing w:val="-106"/>
                <w:sz w:val="21"/>
              </w:rPr>
              <w:t>）</w:t>
            </w:r>
            <w:r>
              <w:rPr>
                <w:spacing w:val="-5"/>
                <w:sz w:val="21"/>
              </w:rPr>
              <w:t>”的给付标准。</w:t>
            </w:r>
          </w:p>
        </w:tc>
      </w:tr>
      <w:tr>
        <w:trPr>
          <w:trHeight w:val="1701" w:hRule="atLeast"/>
        </w:trPr>
        <w:tc>
          <w:tcPr>
            <w:tcW w:w="1005" w:type="dxa"/>
          </w:tcPr>
          <w:p>
            <w:pPr>
              <w:pStyle w:val="TableParagraph"/>
              <w:spacing w:before="17"/>
              <w:ind w:left="50"/>
              <w:rPr>
                <w:rFonts w:ascii="微软雅黑"/>
                <w:b/>
                <w:sz w:val="21"/>
              </w:rPr>
            </w:pPr>
            <w:r>
              <w:rPr>
                <w:rFonts w:ascii="微软雅黑"/>
                <w:b/>
                <w:spacing w:val="-2"/>
                <w:sz w:val="21"/>
              </w:rPr>
              <w:t>11.1.14</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中度强直性脊柱</w:t>
            </w:r>
            <w:r>
              <w:rPr>
                <w:rFonts w:ascii="微软雅黑" w:eastAsia="微软雅黑"/>
                <w:b/>
                <w:spacing w:val="-10"/>
                <w:sz w:val="21"/>
              </w:rPr>
              <w:t>炎</w:t>
            </w:r>
          </w:p>
        </w:tc>
        <w:tc>
          <w:tcPr>
            <w:tcW w:w="6926" w:type="dxa"/>
          </w:tcPr>
          <w:p>
            <w:pPr>
              <w:pStyle w:val="TableParagraph"/>
              <w:spacing w:line="278" w:lineRule="auto" w:before="84"/>
              <w:ind w:left="127" w:right="50"/>
              <w:rPr>
                <w:sz w:val="21"/>
              </w:rPr>
            </w:pPr>
            <w:r>
              <w:rPr>
                <w:spacing w:val="-2"/>
                <w:sz w:val="21"/>
              </w:rPr>
              <w:t>是一种慢性全身性炎性疾病，主要侵犯脊柱导致脊柱畸形。必须明确诊断</w:t>
            </w:r>
            <w:r>
              <w:rPr>
                <w:spacing w:val="-2"/>
                <w:sz w:val="21"/>
              </w:rPr>
              <w:t>并且满足下列所有条件，但未达到“严重强直性脊柱炎”的给付标准： (1)严重脊柱畸形；</w:t>
            </w:r>
          </w:p>
          <w:p>
            <w:pPr>
              <w:pStyle w:val="TableParagraph"/>
              <w:spacing w:line="278" w:lineRule="auto"/>
              <w:ind w:left="127" w:right="53"/>
              <w:rPr>
                <w:sz w:val="21"/>
              </w:rPr>
            </w:pPr>
            <w:r>
              <w:rPr>
                <w:spacing w:val="-2"/>
                <w:sz w:val="21"/>
              </w:rPr>
              <w:t>(2)自主生活能力完全丧失，无法独立完成六项基本日常生活活动中的两</w:t>
            </w:r>
            <w:r>
              <w:rPr>
                <w:spacing w:val="-6"/>
                <w:sz w:val="21"/>
              </w:rPr>
              <w:t>项。</w:t>
            </w:r>
          </w:p>
        </w:tc>
      </w:tr>
      <w:tr>
        <w:trPr>
          <w:trHeight w:val="2326" w:hRule="atLeast"/>
        </w:trPr>
        <w:tc>
          <w:tcPr>
            <w:tcW w:w="1005" w:type="dxa"/>
          </w:tcPr>
          <w:p>
            <w:pPr>
              <w:pStyle w:val="TableParagraph"/>
              <w:spacing w:before="17"/>
              <w:ind w:left="50"/>
              <w:rPr>
                <w:rFonts w:ascii="微软雅黑"/>
                <w:b/>
                <w:sz w:val="21"/>
              </w:rPr>
            </w:pPr>
            <w:r>
              <w:rPr>
                <w:rFonts w:ascii="微软雅黑"/>
                <w:b/>
                <w:spacing w:val="-2"/>
                <w:sz w:val="21"/>
              </w:rPr>
              <w:t>11.1.15</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中度肌营养不良</w:t>
            </w:r>
            <w:r>
              <w:rPr>
                <w:rFonts w:ascii="微软雅黑" w:eastAsia="微软雅黑"/>
                <w:b/>
                <w:spacing w:val="-10"/>
                <w:sz w:val="21"/>
              </w:rPr>
              <w:t>症</w:t>
            </w:r>
          </w:p>
        </w:tc>
        <w:tc>
          <w:tcPr>
            <w:tcW w:w="6926" w:type="dxa"/>
          </w:tcPr>
          <w:p>
            <w:pPr>
              <w:pStyle w:val="TableParagraph"/>
              <w:spacing w:line="278" w:lineRule="auto" w:before="84"/>
              <w:ind w:left="127" w:right="50"/>
              <w:jc w:val="both"/>
              <w:rPr>
                <w:sz w:val="21"/>
              </w:rPr>
            </w:pPr>
            <w:r>
              <w:rPr>
                <w:spacing w:val="-2"/>
                <w:sz w:val="21"/>
              </w:rPr>
              <w:t>指一组原发于肌肉的遗传性疾病，临床表现为与神经系统无关的肌肉无力</w:t>
            </w:r>
            <w:r>
              <w:rPr>
                <w:spacing w:val="-2"/>
                <w:sz w:val="21"/>
              </w:rPr>
              <w:t>和肌肉萎缩。须满足下列全部条件，但未达到“严重肌营养不良症”的给</w:t>
            </w:r>
            <w:r>
              <w:rPr>
                <w:spacing w:val="-4"/>
                <w:sz w:val="21"/>
              </w:rPr>
              <w:t>付标准：</w:t>
            </w:r>
          </w:p>
          <w:p>
            <w:pPr>
              <w:pStyle w:val="TableParagraph"/>
              <w:numPr>
                <w:ilvl w:val="0"/>
                <w:numId w:val="61"/>
              </w:numPr>
              <w:tabs>
                <w:tab w:pos="447" w:val="left" w:leader="none"/>
              </w:tabs>
              <w:spacing w:line="278" w:lineRule="auto" w:before="0" w:after="0"/>
              <w:ind w:left="127" w:right="57" w:firstLine="0"/>
              <w:jc w:val="left"/>
              <w:rPr>
                <w:sz w:val="21"/>
              </w:rPr>
            </w:pPr>
            <w:r>
              <w:rPr>
                <w:spacing w:val="-2"/>
                <w:sz w:val="21"/>
              </w:rPr>
              <w:t>肌肉组织活检结果满足肌营养不良症的肌肉细胞变性、坏死等阳性改</w:t>
            </w:r>
            <w:r>
              <w:rPr>
                <w:spacing w:val="-6"/>
                <w:sz w:val="21"/>
              </w:rPr>
              <w:t>变；</w:t>
            </w:r>
          </w:p>
          <w:p>
            <w:pPr>
              <w:pStyle w:val="TableParagraph"/>
              <w:numPr>
                <w:ilvl w:val="0"/>
                <w:numId w:val="61"/>
              </w:numPr>
              <w:tabs>
                <w:tab w:pos="447" w:val="left" w:leader="none"/>
              </w:tabs>
              <w:spacing w:line="278" w:lineRule="auto" w:before="0" w:after="0"/>
              <w:ind w:left="127" w:right="53" w:firstLine="0"/>
              <w:jc w:val="left"/>
              <w:rPr>
                <w:sz w:val="21"/>
              </w:rPr>
            </w:pPr>
            <w:r>
              <w:rPr>
                <w:spacing w:val="-2"/>
                <w:sz w:val="21"/>
              </w:rPr>
              <w:t>自主生活能力严重丧失，无法独立完成六项基本日常生活活动中的两</w:t>
            </w:r>
            <w:r>
              <w:rPr>
                <w:spacing w:val="-6"/>
                <w:sz w:val="21"/>
              </w:rPr>
              <w:t>项。</w:t>
            </w:r>
          </w:p>
        </w:tc>
      </w:tr>
      <w:tr>
        <w:trPr>
          <w:trHeight w:val="1077" w:hRule="atLeast"/>
        </w:trPr>
        <w:tc>
          <w:tcPr>
            <w:tcW w:w="1005" w:type="dxa"/>
          </w:tcPr>
          <w:p>
            <w:pPr>
              <w:pStyle w:val="TableParagraph"/>
              <w:spacing w:before="17"/>
              <w:ind w:left="50"/>
              <w:rPr>
                <w:rFonts w:ascii="微软雅黑"/>
                <w:b/>
                <w:sz w:val="21"/>
              </w:rPr>
            </w:pPr>
            <w:r>
              <w:rPr>
                <w:rFonts w:ascii="微软雅黑"/>
                <w:b/>
                <w:spacing w:val="-2"/>
                <w:sz w:val="21"/>
              </w:rPr>
              <w:t>11.1.16</w:t>
            </w:r>
          </w:p>
        </w:tc>
        <w:tc>
          <w:tcPr>
            <w:tcW w:w="1818" w:type="dxa"/>
          </w:tcPr>
          <w:p>
            <w:pPr>
              <w:pStyle w:val="TableParagraph"/>
              <w:spacing w:line="194" w:lineRule="auto" w:before="69"/>
              <w:ind w:left="214" w:right="123"/>
              <w:rPr>
                <w:rFonts w:ascii="微软雅黑" w:hAnsi="微软雅黑" w:eastAsia="微软雅黑"/>
                <w:b/>
                <w:sz w:val="21"/>
              </w:rPr>
            </w:pPr>
            <w:r>
              <w:rPr>
                <w:rFonts w:ascii="微软雅黑" w:hAnsi="微软雅黑" w:eastAsia="微软雅黑"/>
                <w:b/>
                <w:spacing w:val="-2"/>
                <w:sz w:val="21"/>
              </w:rPr>
              <w:t>中度面积Ⅲ度烧</w:t>
            </w:r>
            <w:r>
              <w:rPr>
                <w:rFonts w:ascii="微软雅黑" w:hAnsi="微软雅黑" w:eastAsia="微软雅黑"/>
                <w:b/>
                <w:spacing w:val="-10"/>
                <w:sz w:val="21"/>
              </w:rPr>
              <w:t>伤</w:t>
            </w:r>
          </w:p>
        </w:tc>
        <w:tc>
          <w:tcPr>
            <w:tcW w:w="6926" w:type="dxa"/>
          </w:tcPr>
          <w:p>
            <w:pPr>
              <w:pStyle w:val="TableParagraph"/>
              <w:spacing w:line="278" w:lineRule="auto" w:before="84"/>
              <w:ind w:left="127" w:right="49"/>
              <w:jc w:val="both"/>
              <w:rPr>
                <w:sz w:val="21"/>
              </w:rPr>
            </w:pPr>
            <w:r>
              <w:rPr>
                <w:spacing w:val="-2"/>
                <w:sz w:val="21"/>
              </w:rPr>
              <w:t>指烧伤程度为Ⅲ度，即全层皮肤烧伤，包括表皮、真皮和皮下组织，且Ⅲ</w:t>
            </w:r>
            <w:r>
              <w:rPr>
                <w:w w:val="95"/>
                <w:sz w:val="21"/>
              </w:rPr>
              <w:t>度</w:t>
            </w:r>
            <w:r>
              <w:rPr>
                <w:w w:val="95"/>
                <w:sz w:val="21"/>
              </w:rPr>
              <w:t>烧</w:t>
            </w:r>
            <w:r>
              <w:rPr>
                <w:w w:val="95"/>
                <w:sz w:val="21"/>
              </w:rPr>
              <w:t>伤的面积达到全身体</w:t>
            </w:r>
            <w:r>
              <w:rPr>
                <w:w w:val="95"/>
                <w:sz w:val="21"/>
              </w:rPr>
              <w:t>表</w:t>
            </w:r>
            <w:r>
              <w:rPr>
                <w:w w:val="95"/>
                <w:sz w:val="21"/>
              </w:rPr>
              <w:t>面</w:t>
            </w:r>
            <w:r>
              <w:rPr>
                <w:w w:val="95"/>
                <w:sz w:val="21"/>
              </w:rPr>
              <w:t>积的 15%或 15%以上，</w:t>
            </w:r>
            <w:r>
              <w:rPr>
                <w:w w:val="95"/>
                <w:sz w:val="21"/>
              </w:rPr>
              <w:t>但</w:t>
            </w:r>
            <w:r>
              <w:rPr>
                <w:w w:val="95"/>
                <w:sz w:val="21"/>
              </w:rPr>
              <w:t>未</w:t>
            </w:r>
            <w:r>
              <w:rPr>
                <w:w w:val="95"/>
                <w:sz w:val="21"/>
              </w:rPr>
              <w:t>达到“严重Ⅲ度</w:t>
            </w:r>
            <w:r>
              <w:rPr>
                <w:w w:val="95"/>
                <w:sz w:val="21"/>
              </w:rPr>
              <w:t>烧</w:t>
            </w:r>
            <w:r>
              <w:rPr>
                <w:spacing w:val="-2"/>
                <w:sz w:val="21"/>
              </w:rPr>
              <w:t>伤”的给付标准。体表面积根据《中国新九分法》计算。</w:t>
            </w:r>
          </w:p>
        </w:tc>
      </w:tr>
      <w:tr>
        <w:trPr>
          <w:trHeight w:val="1390" w:hRule="atLeast"/>
        </w:trPr>
        <w:tc>
          <w:tcPr>
            <w:tcW w:w="1005" w:type="dxa"/>
          </w:tcPr>
          <w:p>
            <w:pPr>
              <w:pStyle w:val="TableParagraph"/>
              <w:spacing w:before="17"/>
              <w:ind w:left="50"/>
              <w:rPr>
                <w:rFonts w:ascii="微软雅黑"/>
                <w:b/>
                <w:sz w:val="21"/>
              </w:rPr>
            </w:pPr>
            <w:r>
              <w:rPr>
                <w:rFonts w:ascii="微软雅黑"/>
                <w:b/>
                <w:spacing w:val="-2"/>
                <w:sz w:val="21"/>
              </w:rPr>
              <w:t>11.1.17</w:t>
            </w:r>
          </w:p>
        </w:tc>
        <w:tc>
          <w:tcPr>
            <w:tcW w:w="1818" w:type="dxa"/>
          </w:tcPr>
          <w:p>
            <w:pPr>
              <w:pStyle w:val="TableParagraph"/>
              <w:spacing w:line="194" w:lineRule="auto" w:before="69"/>
              <w:ind w:left="214" w:right="123"/>
              <w:rPr>
                <w:rFonts w:ascii="微软雅黑" w:hAnsi="微软雅黑" w:eastAsia="微软雅黑"/>
                <w:b/>
                <w:sz w:val="21"/>
              </w:rPr>
            </w:pPr>
            <w:r>
              <w:rPr>
                <w:rFonts w:ascii="微软雅黑" w:hAnsi="微软雅黑" w:eastAsia="微软雅黑"/>
                <w:b/>
                <w:spacing w:val="-2"/>
                <w:sz w:val="21"/>
              </w:rPr>
              <w:t>中度面部Ⅲ度烧</w:t>
            </w:r>
            <w:r>
              <w:rPr>
                <w:rFonts w:ascii="微软雅黑" w:hAnsi="微软雅黑" w:eastAsia="微软雅黑"/>
                <w:b/>
                <w:spacing w:val="-10"/>
                <w:sz w:val="21"/>
              </w:rPr>
              <w:t>伤</w:t>
            </w:r>
          </w:p>
        </w:tc>
        <w:tc>
          <w:tcPr>
            <w:tcW w:w="6926" w:type="dxa"/>
          </w:tcPr>
          <w:p>
            <w:pPr>
              <w:pStyle w:val="TableParagraph"/>
              <w:spacing w:line="278" w:lineRule="auto" w:before="84"/>
              <w:ind w:left="127" w:right="49"/>
              <w:jc w:val="both"/>
              <w:rPr>
                <w:sz w:val="21"/>
              </w:rPr>
            </w:pPr>
            <w:r>
              <w:rPr>
                <w:spacing w:val="-1"/>
                <w:sz w:val="21"/>
              </w:rPr>
              <w:t>指面部烧伤程度为Ⅲ度，且面部Ⅲ度烧伤的面积达到面部表面积的 </w:t>
            </w:r>
            <w:r>
              <w:rPr>
                <w:sz w:val="21"/>
              </w:rPr>
              <w:t>60%</w:t>
            </w:r>
            <w:r>
              <w:rPr>
                <w:sz w:val="21"/>
              </w:rPr>
              <w:t>及</w:t>
            </w:r>
            <w:r>
              <w:rPr>
                <w:spacing w:val="-2"/>
                <w:sz w:val="21"/>
              </w:rPr>
              <w:t>以上，但未达到“严重面部烧伤”的给付标准。面部的范围指上至发际、</w:t>
            </w:r>
            <w:r>
              <w:rPr>
                <w:spacing w:val="-2"/>
                <w:sz w:val="21"/>
              </w:rPr>
              <w:t>下至下颌下缘、两侧至下颌支后缘之间的区域，包括额部、眼部、眶部、</w:t>
            </w:r>
            <w:r>
              <w:rPr>
                <w:spacing w:val="-2"/>
                <w:sz w:val="21"/>
              </w:rPr>
              <w:t>鼻部、口唇部、颏部、颧部、颊部和腮腺咬肌部。</w:t>
            </w:r>
          </w:p>
        </w:tc>
      </w:tr>
      <w:tr>
        <w:trPr>
          <w:trHeight w:val="1358" w:hRule="atLeast"/>
        </w:trPr>
        <w:tc>
          <w:tcPr>
            <w:tcW w:w="1005" w:type="dxa"/>
          </w:tcPr>
          <w:p>
            <w:pPr>
              <w:pStyle w:val="TableParagraph"/>
              <w:spacing w:before="18"/>
              <w:ind w:left="50"/>
              <w:rPr>
                <w:rFonts w:ascii="微软雅黑"/>
                <w:b/>
                <w:sz w:val="21"/>
              </w:rPr>
            </w:pPr>
            <w:r>
              <w:rPr>
                <w:rFonts w:ascii="微软雅黑"/>
                <w:b/>
                <w:spacing w:val="-2"/>
                <w:sz w:val="21"/>
              </w:rPr>
              <w:t>11.1.18</w:t>
            </w:r>
          </w:p>
        </w:tc>
        <w:tc>
          <w:tcPr>
            <w:tcW w:w="1818" w:type="dxa"/>
          </w:tcPr>
          <w:p>
            <w:pPr>
              <w:pStyle w:val="TableParagraph"/>
              <w:spacing w:before="18"/>
              <w:ind w:left="214"/>
              <w:rPr>
                <w:rFonts w:ascii="微软雅黑" w:eastAsia="微软雅黑"/>
                <w:b/>
                <w:sz w:val="21"/>
              </w:rPr>
            </w:pPr>
            <w:r>
              <w:rPr>
                <w:rFonts w:ascii="微软雅黑" w:eastAsia="微软雅黑"/>
                <w:b/>
                <w:w w:val="95"/>
                <w:sz w:val="21"/>
              </w:rPr>
              <w:t>昏</w:t>
            </w:r>
            <w:r>
              <w:rPr>
                <w:rFonts w:ascii="微软雅黑" w:eastAsia="微软雅黑"/>
                <w:b/>
                <w:w w:val="95"/>
                <w:sz w:val="21"/>
              </w:rPr>
              <w:t>迷</w:t>
            </w:r>
            <w:r>
              <w:rPr>
                <w:rFonts w:ascii="微软雅黑" w:eastAsia="微软雅黑"/>
                <w:b/>
                <w:spacing w:val="-10"/>
                <w:w w:val="95"/>
                <w:sz w:val="21"/>
              </w:rPr>
              <w:t> </w:t>
            </w:r>
            <w:r>
              <w:rPr>
                <w:rFonts w:ascii="微软雅黑" w:eastAsia="微软雅黑"/>
                <w:b/>
                <w:w w:val="95"/>
                <w:sz w:val="21"/>
              </w:rPr>
              <w:t>72</w:t>
            </w:r>
            <w:r>
              <w:rPr>
                <w:rFonts w:ascii="微软雅黑" w:eastAsia="微软雅黑"/>
                <w:b/>
                <w:spacing w:val="-9"/>
                <w:w w:val="95"/>
                <w:sz w:val="21"/>
              </w:rPr>
              <w:t> </w:t>
            </w:r>
            <w:r>
              <w:rPr>
                <w:rFonts w:ascii="微软雅黑" w:eastAsia="微软雅黑"/>
                <w:b/>
                <w:w w:val="95"/>
                <w:sz w:val="21"/>
              </w:rPr>
              <w:t>小</w:t>
            </w:r>
            <w:r>
              <w:rPr>
                <w:rFonts w:ascii="微软雅黑" w:eastAsia="微软雅黑"/>
                <w:b/>
                <w:spacing w:val="-10"/>
                <w:w w:val="95"/>
                <w:sz w:val="21"/>
              </w:rPr>
              <w:t>时</w:t>
            </w:r>
          </w:p>
        </w:tc>
        <w:tc>
          <w:tcPr>
            <w:tcW w:w="6926" w:type="dxa"/>
          </w:tcPr>
          <w:p>
            <w:pPr>
              <w:pStyle w:val="TableParagraph"/>
              <w:spacing w:line="278" w:lineRule="auto" w:before="85"/>
              <w:ind w:left="127" w:right="49"/>
              <w:jc w:val="both"/>
              <w:rPr>
                <w:sz w:val="21"/>
              </w:rPr>
            </w:pPr>
            <w:r>
              <w:rPr>
                <w:spacing w:val="-2"/>
                <w:sz w:val="21"/>
              </w:rPr>
              <w:t>指因疾病或意外伤害导致意识丧失，对外界刺激和体内需求均无反应，昏</w:t>
            </w:r>
            <w:r>
              <w:rPr>
                <w:w w:val="95"/>
                <w:sz w:val="21"/>
              </w:rPr>
              <w:t>迷</w:t>
            </w:r>
            <w:r>
              <w:rPr>
                <w:w w:val="95"/>
                <w:sz w:val="21"/>
              </w:rPr>
              <w:t>程</w:t>
            </w:r>
            <w:r>
              <w:rPr>
                <w:w w:val="95"/>
                <w:sz w:val="21"/>
              </w:rPr>
              <w:t>度按照格拉斯哥昏迷</w:t>
            </w:r>
            <w:r>
              <w:rPr>
                <w:w w:val="95"/>
                <w:sz w:val="21"/>
              </w:rPr>
              <w:t>分</w:t>
            </w:r>
            <w:r>
              <w:rPr>
                <w:w w:val="95"/>
                <w:sz w:val="21"/>
              </w:rPr>
              <w:t>级</w:t>
            </w:r>
            <w:r>
              <w:rPr>
                <w:w w:val="95"/>
                <w:sz w:val="21"/>
              </w:rPr>
              <w:t>（GCS，Glasgow Coma Scale）结</w:t>
            </w:r>
            <w:r>
              <w:rPr>
                <w:w w:val="95"/>
                <w:sz w:val="21"/>
              </w:rPr>
              <w:t>果</w:t>
            </w:r>
            <w:r>
              <w:rPr>
                <w:w w:val="95"/>
                <w:sz w:val="21"/>
              </w:rPr>
              <w:t>为</w:t>
            </w:r>
            <w:r>
              <w:rPr>
                <w:w w:val="95"/>
                <w:sz w:val="21"/>
              </w:rPr>
              <w:t> 5 </w:t>
            </w:r>
            <w:r>
              <w:rPr>
                <w:w w:val="95"/>
                <w:sz w:val="21"/>
              </w:rPr>
              <w:t>分</w:t>
            </w:r>
            <w:r>
              <w:rPr>
                <w:w w:val="95"/>
                <w:sz w:val="21"/>
              </w:rPr>
              <w:t>或</w:t>
            </w:r>
            <w:r>
              <w:rPr>
                <w:spacing w:val="40"/>
                <w:sz w:val="21"/>
              </w:rPr>
              <w:t> </w:t>
            </w:r>
            <w:r>
              <w:rPr>
                <w:w w:val="95"/>
                <w:sz w:val="21"/>
              </w:rPr>
              <w:t>5 分以下，且已经持续</w:t>
            </w:r>
            <w:r>
              <w:rPr>
                <w:w w:val="95"/>
                <w:sz w:val="21"/>
              </w:rPr>
              <w:t>使</w:t>
            </w:r>
            <w:r>
              <w:rPr>
                <w:w w:val="95"/>
                <w:sz w:val="21"/>
              </w:rPr>
              <w:t>用</w:t>
            </w:r>
            <w:r>
              <w:rPr>
                <w:w w:val="95"/>
                <w:sz w:val="21"/>
              </w:rPr>
              <w:t>呼</w:t>
            </w:r>
            <w:r>
              <w:rPr>
                <w:w w:val="95"/>
                <w:sz w:val="21"/>
              </w:rPr>
              <w:t>吸</w:t>
            </w:r>
            <w:r>
              <w:rPr>
                <w:w w:val="95"/>
                <w:sz w:val="21"/>
              </w:rPr>
              <w:t>机及其他生命维持系统 72 小时以上，但</w:t>
            </w:r>
            <w:r>
              <w:rPr>
                <w:w w:val="95"/>
                <w:sz w:val="21"/>
              </w:rPr>
              <w:t>未</w:t>
            </w:r>
            <w:r>
              <w:rPr>
                <w:spacing w:val="-2"/>
                <w:sz w:val="21"/>
              </w:rPr>
              <w:t>达到“深度昏迷”的给付标准。</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51"/>
              <w:ind w:left="127"/>
              <w:rPr>
                <w:sz w:val="21"/>
              </w:rPr>
            </w:pPr>
            <w:r>
              <w:rPr>
                <w:color w:val="000000"/>
                <w:spacing w:val="-3"/>
                <w:sz w:val="21"/>
                <w:shd w:fill="A6A6A6" w:color="auto" w:val="clear"/>
              </w:rPr>
              <w:t>因酗酒或药物滥用导致的昏迷不在保障范围内。</w:t>
            </w:r>
          </w:p>
        </w:tc>
      </w:tr>
      <w:tr>
        <w:trPr>
          <w:trHeight w:val="2013" w:hRule="atLeast"/>
        </w:trPr>
        <w:tc>
          <w:tcPr>
            <w:tcW w:w="1005" w:type="dxa"/>
          </w:tcPr>
          <w:p>
            <w:pPr>
              <w:pStyle w:val="TableParagraph"/>
              <w:spacing w:before="17"/>
              <w:ind w:left="50"/>
              <w:rPr>
                <w:rFonts w:ascii="微软雅黑"/>
                <w:b/>
                <w:sz w:val="21"/>
              </w:rPr>
            </w:pPr>
            <w:r>
              <w:rPr>
                <w:rFonts w:ascii="微软雅黑"/>
                <w:b/>
                <w:spacing w:val="-2"/>
                <w:sz w:val="21"/>
              </w:rPr>
              <w:t>11.1.19</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中度重症肌无力</w:t>
            </w:r>
          </w:p>
        </w:tc>
        <w:tc>
          <w:tcPr>
            <w:tcW w:w="6926" w:type="dxa"/>
          </w:tcPr>
          <w:p>
            <w:pPr>
              <w:pStyle w:val="TableParagraph"/>
              <w:spacing w:line="278" w:lineRule="auto" w:before="84"/>
              <w:ind w:left="127" w:right="47"/>
              <w:jc w:val="both"/>
              <w:rPr>
                <w:sz w:val="21"/>
              </w:rPr>
            </w:pPr>
            <w:r>
              <w:rPr>
                <w:spacing w:val="-2"/>
                <w:sz w:val="21"/>
              </w:rPr>
              <w:t>是一种神经与肌肉接头部位传递障碍的自身免疫性疾病，临床特征是局部</w:t>
            </w:r>
            <w:r>
              <w:rPr>
                <w:spacing w:val="-2"/>
                <w:sz w:val="21"/>
              </w:rPr>
              <w:t>或全身横纹肌于活动时易于疲劳无力，颅神经眼外肌最易累及，也可涉及</w:t>
            </w:r>
            <w:r>
              <w:rPr>
                <w:spacing w:val="-2"/>
                <w:sz w:val="21"/>
              </w:rPr>
              <w:t>呼吸肌、下肢近端肌群以至全身肌肉。该病必须由专科医生明确诊断，且</w:t>
            </w:r>
            <w:r>
              <w:rPr>
                <w:spacing w:val="-7"/>
                <w:sz w:val="21"/>
              </w:rPr>
              <w:t>疾病确诊 </w:t>
            </w:r>
            <w:r>
              <w:rPr>
                <w:spacing w:val="-2"/>
                <w:sz w:val="21"/>
              </w:rPr>
              <w:t>180</w:t>
            </w:r>
            <w:r>
              <w:rPr>
                <w:spacing w:val="-7"/>
                <w:sz w:val="21"/>
              </w:rPr>
              <w:t> 天后，仍然存在自主生活能力部分丧失，无法独立完成六项</w:t>
            </w:r>
            <w:r>
              <w:rPr>
                <w:spacing w:val="-2"/>
                <w:sz w:val="21"/>
              </w:rPr>
              <w:t>基本日常生活活动中的二项，但未达到“严重全身性（型）重症肌无力”</w:t>
            </w:r>
            <w:r>
              <w:rPr>
                <w:spacing w:val="-2"/>
                <w:sz w:val="21"/>
              </w:rPr>
              <w:t>的给付标准。</w:t>
            </w:r>
          </w:p>
        </w:tc>
      </w:tr>
      <w:tr>
        <w:trPr>
          <w:trHeight w:val="1983" w:hRule="atLeast"/>
        </w:trPr>
        <w:tc>
          <w:tcPr>
            <w:tcW w:w="1005" w:type="dxa"/>
          </w:tcPr>
          <w:p>
            <w:pPr>
              <w:pStyle w:val="TableParagraph"/>
              <w:spacing w:before="17"/>
              <w:ind w:left="50"/>
              <w:rPr>
                <w:rFonts w:ascii="微软雅黑"/>
                <w:b/>
                <w:sz w:val="21"/>
              </w:rPr>
            </w:pPr>
            <w:r>
              <w:rPr>
                <w:rFonts w:ascii="微软雅黑"/>
                <w:b/>
                <w:spacing w:val="-2"/>
                <w:sz w:val="21"/>
              </w:rPr>
              <w:t>11.1.20</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中度阿尔茨海默</w:t>
            </w:r>
            <w:r>
              <w:rPr>
                <w:rFonts w:ascii="微软雅黑" w:eastAsia="微软雅黑"/>
                <w:b/>
                <w:spacing w:val="-10"/>
                <w:sz w:val="21"/>
              </w:rPr>
              <w:t>病</w:t>
            </w:r>
          </w:p>
        </w:tc>
        <w:tc>
          <w:tcPr>
            <w:tcW w:w="6926" w:type="dxa"/>
          </w:tcPr>
          <w:p>
            <w:pPr>
              <w:pStyle w:val="TableParagraph"/>
              <w:spacing w:line="278" w:lineRule="auto" w:before="84"/>
              <w:ind w:left="127" w:right="49"/>
              <w:jc w:val="both"/>
              <w:rPr>
                <w:sz w:val="21"/>
              </w:rPr>
            </w:pPr>
            <w:r>
              <w:rPr>
                <w:spacing w:val="-2"/>
                <w:sz w:val="21"/>
              </w:rPr>
              <w:t>指因大脑进行性、不可逆性改变导致智能严重衰退或丧失，临床表现为明</w:t>
            </w:r>
            <w:r>
              <w:rPr>
                <w:spacing w:val="-2"/>
                <w:sz w:val="21"/>
              </w:rPr>
              <w:t>显的认知能力障碍、行为异常和社交能力减退，其日常生活必须持续受到</w:t>
            </w:r>
            <w:r>
              <w:rPr>
                <w:spacing w:val="-4"/>
                <w:sz w:val="21"/>
              </w:rPr>
              <w:t>他人监护。须由头颅断层扫描</w:t>
            </w:r>
            <w:r>
              <w:rPr>
                <w:spacing w:val="22"/>
                <w:sz w:val="21"/>
              </w:rPr>
              <w:t>（C</w:t>
            </w:r>
            <w:r>
              <w:rPr>
                <w:spacing w:val="19"/>
                <w:sz w:val="21"/>
              </w:rPr>
              <w:t>T</w:t>
            </w:r>
            <w:r>
              <w:rPr>
                <w:spacing w:val="-82"/>
                <w:sz w:val="21"/>
              </w:rPr>
              <w:t>）</w:t>
            </w:r>
            <w:r>
              <w:rPr>
                <w:spacing w:val="-4"/>
                <w:sz w:val="21"/>
              </w:rPr>
              <w:t>、核磁共振检查（MRI）或正电子发射</w:t>
            </w:r>
            <w:r>
              <w:rPr>
                <w:spacing w:val="-4"/>
                <w:sz w:val="21"/>
              </w:rPr>
              <w:t>断层扫描（PET）等影像学检查证实，且自主生活能力严重丧失，无法独立</w:t>
            </w:r>
            <w:r>
              <w:rPr>
                <w:spacing w:val="-2"/>
                <w:sz w:val="21"/>
              </w:rPr>
              <w:t>完成六项基本日常生活活动中的两项，但未达到“严重阿尔茨海默病”的</w:t>
            </w:r>
            <w:r>
              <w:rPr>
                <w:spacing w:val="-2"/>
                <w:sz w:val="21"/>
              </w:rPr>
              <w:t>给付标准。</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52"/>
              <w:ind w:left="127"/>
              <w:rPr>
                <w:sz w:val="21"/>
              </w:rPr>
            </w:pPr>
            <w:r>
              <w:rPr>
                <w:color w:val="000000"/>
                <w:spacing w:val="-3"/>
                <w:sz w:val="21"/>
                <w:shd w:fill="A6A6A6" w:color="auto" w:val="clear"/>
              </w:rPr>
              <w:t>以下情况不在保障范围内：</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13"/>
              <w:ind w:left="127"/>
              <w:rPr>
                <w:sz w:val="21"/>
              </w:rPr>
            </w:pPr>
            <w:r>
              <w:rPr>
                <w:color w:val="000000"/>
                <w:spacing w:val="-4"/>
                <w:sz w:val="21"/>
                <w:shd w:fill="A6A6A6" w:color="auto" w:val="clear"/>
              </w:rPr>
              <w:t>(1)存在酒精滥用、药物滥用或获得性免疫缺陷综合征（AIDS）</w:t>
            </w:r>
            <w:r>
              <w:rPr>
                <w:color w:val="000000"/>
                <w:spacing w:val="-6"/>
                <w:sz w:val="21"/>
                <w:shd w:fill="A6A6A6" w:color="auto" w:val="clear"/>
              </w:rPr>
              <w:t>情况下的痴</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6" w:type="dxa"/>
          </w:tcPr>
          <w:p>
            <w:pPr>
              <w:pStyle w:val="TableParagraph"/>
              <w:spacing w:before="13"/>
              <w:ind w:left="127"/>
              <w:rPr>
                <w:sz w:val="21"/>
              </w:rPr>
            </w:pPr>
            <w:r>
              <w:rPr>
                <w:color w:val="000000"/>
                <w:spacing w:val="-5"/>
                <w:sz w:val="21"/>
                <w:shd w:fill="A6A6A6" w:color="auto" w:val="clear"/>
              </w:rPr>
              <w:t>呆；</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6926" w:type="dxa"/>
          </w:tcPr>
          <w:p>
            <w:pPr>
              <w:pStyle w:val="TableParagraph"/>
              <w:spacing w:line="228" w:lineRule="exact" w:before="13"/>
              <w:ind w:left="127"/>
              <w:rPr>
                <w:sz w:val="21"/>
              </w:rPr>
            </w:pPr>
            <w:r>
              <w:rPr>
                <w:color w:val="000000"/>
                <w:spacing w:val="-2"/>
                <w:sz w:val="21"/>
                <w:shd w:fill="A6A6A6" w:color="auto" w:val="clear"/>
              </w:rPr>
              <w:t>(2)</w:t>
            </w:r>
            <w:r>
              <w:rPr>
                <w:color w:val="000000"/>
                <w:spacing w:val="-3"/>
                <w:sz w:val="21"/>
                <w:shd w:fill="A6A6A6" w:color="auto" w:val="clear"/>
              </w:rPr>
              <w:t>神经官能症和精神疾病。</w:t>
            </w:r>
          </w:p>
        </w:tc>
      </w:tr>
    </w:tbl>
    <w:p>
      <w:pPr>
        <w:spacing w:after="0" w:line="228" w:lineRule="exact"/>
        <w:rPr>
          <w:sz w:val="21"/>
        </w:rPr>
        <w:sectPr>
          <w:pgSz w:w="11910" w:h="16840"/>
          <w:pgMar w:top="1460" w:bottom="1414" w:left="920" w:right="440"/>
        </w:sect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0"/>
        <w:gridCol w:w="1871"/>
        <w:gridCol w:w="6979"/>
      </w:tblGrid>
      <w:tr>
        <w:trPr>
          <w:trHeight w:val="260" w:hRule="atLeast"/>
        </w:trPr>
        <w:tc>
          <w:tcPr>
            <w:tcW w:w="1010" w:type="dxa"/>
            <w:tcBorders>
              <w:bottom w:val="single" w:sz="12" w:space="0" w:color="000000"/>
            </w:tcBorders>
          </w:tcPr>
          <w:p>
            <w:pPr>
              <w:pStyle w:val="TableParagraph"/>
              <w:spacing w:line="240" w:lineRule="exact"/>
              <w:ind w:left="107"/>
              <w:rPr>
                <w:rFonts w:ascii="Microsoft JhengHei" w:eastAsia="Microsoft JhengHei"/>
                <w:b/>
                <w:sz w:val="21"/>
              </w:rPr>
            </w:pPr>
            <w:r>
              <w:rPr>
                <w:rFonts w:ascii="Microsoft JhengHei" w:eastAsia="Microsoft JhengHei"/>
                <w:b/>
                <w:spacing w:val="-5"/>
                <w:sz w:val="21"/>
              </w:rPr>
              <w:t>12．</w:t>
            </w:r>
          </w:p>
        </w:tc>
        <w:tc>
          <w:tcPr>
            <w:tcW w:w="1871" w:type="dxa"/>
            <w:tcBorders>
              <w:bottom w:val="single" w:sz="12" w:space="0" w:color="000000"/>
            </w:tcBorders>
          </w:tcPr>
          <w:p>
            <w:pPr>
              <w:pStyle w:val="TableParagraph"/>
              <w:spacing w:line="240" w:lineRule="exact"/>
              <w:ind w:left="267"/>
              <w:rPr>
                <w:rFonts w:ascii="Microsoft JhengHei" w:eastAsia="Microsoft JhengHei"/>
                <w:b/>
                <w:sz w:val="21"/>
              </w:rPr>
            </w:pPr>
            <w:r>
              <w:rPr>
                <w:rFonts w:ascii="Microsoft JhengHei" w:eastAsia="Microsoft JhengHei"/>
                <w:b/>
                <w:spacing w:val="-2"/>
                <w:sz w:val="21"/>
              </w:rPr>
              <w:t>轻症疾病的定义</w:t>
            </w:r>
          </w:p>
        </w:tc>
        <w:tc>
          <w:tcPr>
            <w:tcW w:w="6979" w:type="dxa"/>
            <w:tcBorders>
              <w:bottom w:val="single" w:sz="12" w:space="0" w:color="000000"/>
            </w:tcBorders>
          </w:tcPr>
          <w:p>
            <w:pPr>
              <w:pStyle w:val="TableParagraph"/>
              <w:rPr>
                <w:rFonts w:ascii="Times New Roman"/>
                <w:sz w:val="18"/>
              </w:rPr>
            </w:pPr>
          </w:p>
        </w:tc>
      </w:tr>
      <w:tr>
        <w:trPr>
          <w:trHeight w:val="1119" w:hRule="atLeast"/>
        </w:trPr>
        <w:tc>
          <w:tcPr>
            <w:tcW w:w="1010" w:type="dxa"/>
            <w:tcBorders>
              <w:top w:val="single" w:sz="12" w:space="0" w:color="000000"/>
            </w:tcBorders>
          </w:tcPr>
          <w:p>
            <w:pPr>
              <w:pStyle w:val="TableParagraph"/>
              <w:spacing w:before="68"/>
              <w:ind w:left="107"/>
              <w:rPr>
                <w:rFonts w:ascii="微软雅黑"/>
                <w:b/>
                <w:sz w:val="21"/>
              </w:rPr>
            </w:pPr>
            <w:r>
              <w:rPr>
                <w:rFonts w:ascii="微软雅黑"/>
                <w:b/>
                <w:spacing w:val="-4"/>
                <w:sz w:val="21"/>
              </w:rPr>
              <w:t>12.1</w:t>
            </w:r>
          </w:p>
        </w:tc>
        <w:tc>
          <w:tcPr>
            <w:tcW w:w="1871" w:type="dxa"/>
            <w:tcBorders>
              <w:top w:val="single" w:sz="12" w:space="0" w:color="000000"/>
            </w:tcBorders>
          </w:tcPr>
          <w:p>
            <w:pPr>
              <w:pStyle w:val="TableParagraph"/>
              <w:spacing w:before="68"/>
              <w:ind w:left="267"/>
              <w:rPr>
                <w:rFonts w:ascii="微软雅黑" w:eastAsia="微软雅黑"/>
                <w:b/>
                <w:sz w:val="21"/>
              </w:rPr>
            </w:pPr>
            <w:r>
              <w:rPr>
                <w:rFonts w:ascii="微软雅黑" w:eastAsia="微软雅黑"/>
                <w:b/>
                <w:spacing w:val="-2"/>
                <w:sz w:val="21"/>
              </w:rPr>
              <w:t>轻症疾病的定义</w:t>
            </w:r>
          </w:p>
        </w:tc>
        <w:tc>
          <w:tcPr>
            <w:tcW w:w="6979" w:type="dxa"/>
            <w:tcBorders>
              <w:top w:val="single" w:sz="12" w:space="0" w:color="000000"/>
            </w:tcBorders>
          </w:tcPr>
          <w:p>
            <w:pPr>
              <w:pStyle w:val="TableParagraph"/>
              <w:spacing w:line="278" w:lineRule="auto" w:before="135"/>
              <w:ind w:left="127" w:right="100" w:firstLine="2"/>
              <w:jc w:val="both"/>
              <w:rPr>
                <w:sz w:val="21"/>
              </w:rPr>
            </w:pPr>
            <w:r>
              <w:rPr>
                <w:spacing w:val="-2"/>
                <w:sz w:val="21"/>
              </w:rPr>
              <w:t>本合同所保障的轻症疾病，是指被保险人在约定医院经专科医生明确诊断</w:t>
            </w:r>
            <w:r>
              <w:rPr>
                <w:spacing w:val="-2"/>
                <w:sz w:val="21"/>
              </w:rPr>
              <w:t>患下列疾病或达到下列疾病状态或在约定医院接受下列手术</w:t>
            </w:r>
            <w:r>
              <w:rPr>
                <w:color w:val="000000"/>
                <w:spacing w:val="-2"/>
                <w:sz w:val="21"/>
                <w:shd w:fill="A6A6A6" w:color="auto" w:val="clear"/>
              </w:rPr>
              <w:t>（以下疾病名</w:t>
            </w:r>
            <w:r>
              <w:rPr>
                <w:color w:val="000000"/>
                <w:spacing w:val="40"/>
                <w:sz w:val="21"/>
                <w:shd w:fill="A6A6A6" w:color="auto" w:val="clear"/>
              </w:rPr>
              <w:t> </w:t>
            </w:r>
            <w:r>
              <w:rPr>
                <w:color w:val="000000"/>
                <w:spacing w:val="-2"/>
                <w:sz w:val="21"/>
                <w:shd w:fill="A6A6A6" w:color="auto" w:val="clear"/>
              </w:rPr>
              <w:t>称仅供理解使用，具体保障范围以每项疾病具体定义为准</w:t>
            </w:r>
            <w:r>
              <w:rPr>
                <w:color w:val="000000"/>
                <w:spacing w:val="-106"/>
                <w:sz w:val="21"/>
                <w:shd w:fill="A6A6A6" w:color="auto" w:val="clear"/>
              </w:rPr>
              <w:t>）</w:t>
            </w:r>
            <w:r>
              <w:rPr>
                <w:color w:val="000000"/>
                <w:sz w:val="21"/>
              </w:rPr>
              <w:t>：</w:t>
            </w:r>
          </w:p>
        </w:tc>
      </w:tr>
      <w:tr>
        <w:trPr>
          <w:trHeight w:val="4479" w:hRule="atLeast"/>
        </w:trPr>
        <w:tc>
          <w:tcPr>
            <w:tcW w:w="1010" w:type="dxa"/>
          </w:tcPr>
          <w:p>
            <w:pPr>
              <w:pStyle w:val="TableParagraph"/>
              <w:spacing w:before="25"/>
              <w:ind w:left="107"/>
              <w:rPr>
                <w:rFonts w:ascii="微软雅黑"/>
                <w:b/>
                <w:sz w:val="21"/>
              </w:rPr>
            </w:pPr>
            <w:r>
              <w:rPr>
                <w:rFonts w:ascii="微软雅黑"/>
                <w:b/>
                <w:spacing w:val="-2"/>
                <w:sz w:val="21"/>
              </w:rPr>
              <w:t>12.1.1</w:t>
            </w:r>
          </w:p>
        </w:tc>
        <w:tc>
          <w:tcPr>
            <w:tcW w:w="1871" w:type="dxa"/>
          </w:tcPr>
          <w:p>
            <w:pPr>
              <w:pStyle w:val="TableParagraph"/>
              <w:spacing w:line="194" w:lineRule="auto" w:before="78"/>
              <w:ind w:left="267" w:right="123"/>
              <w:rPr>
                <w:rFonts w:ascii="微软雅黑" w:hAnsi="微软雅黑" w:eastAsia="微软雅黑"/>
                <w:b/>
                <w:sz w:val="21"/>
              </w:rPr>
            </w:pPr>
            <w:r>
              <w:rPr>
                <w:rFonts w:ascii="微软雅黑" w:hAnsi="微软雅黑" w:eastAsia="微软雅黑"/>
                <w:b/>
                <w:spacing w:val="-2"/>
                <w:w w:val="95"/>
                <w:sz w:val="21"/>
              </w:rPr>
              <w:t>恶</w:t>
            </w:r>
            <w:r>
              <w:rPr>
                <w:rFonts w:ascii="微软雅黑" w:hAnsi="微软雅黑" w:eastAsia="微软雅黑"/>
                <w:b/>
                <w:spacing w:val="-2"/>
                <w:w w:val="95"/>
                <w:sz w:val="21"/>
              </w:rPr>
              <w:t>性</w:t>
            </w:r>
            <w:r>
              <w:rPr>
                <w:rFonts w:ascii="微软雅黑" w:hAnsi="微软雅黑" w:eastAsia="微软雅黑"/>
                <w:b/>
                <w:spacing w:val="-2"/>
                <w:w w:val="95"/>
                <w:sz w:val="21"/>
              </w:rPr>
              <w:t>肿</w:t>
            </w:r>
            <w:r>
              <w:rPr>
                <w:rFonts w:ascii="微软雅黑" w:hAnsi="微软雅黑" w:eastAsia="微软雅黑"/>
                <w:b/>
                <w:spacing w:val="-2"/>
                <w:w w:val="95"/>
                <w:sz w:val="21"/>
              </w:rPr>
              <w:t>瘤</w:t>
            </w:r>
            <w:r>
              <w:rPr>
                <w:rFonts w:ascii="微软雅黑" w:hAnsi="微软雅黑" w:eastAsia="微软雅黑"/>
                <w:b/>
                <w:spacing w:val="-2"/>
                <w:w w:val="95"/>
                <w:sz w:val="21"/>
              </w:rPr>
              <w:t>——轻</w:t>
            </w:r>
            <w:r>
              <w:rPr>
                <w:rFonts w:ascii="微软雅黑" w:hAnsi="微软雅黑" w:eastAsia="微软雅黑"/>
                <w:b/>
                <w:spacing w:val="-10"/>
                <w:sz w:val="21"/>
              </w:rPr>
              <w:t>度</w:t>
            </w:r>
          </w:p>
        </w:tc>
        <w:tc>
          <w:tcPr>
            <w:tcW w:w="6979" w:type="dxa"/>
          </w:tcPr>
          <w:p>
            <w:pPr>
              <w:pStyle w:val="TableParagraph"/>
              <w:spacing w:line="278" w:lineRule="auto" w:before="92"/>
              <w:ind w:left="127" w:right="-15"/>
              <w:rPr>
                <w:sz w:val="21"/>
              </w:rPr>
            </w:pPr>
            <w:r>
              <w:rPr>
                <w:spacing w:val="-3"/>
                <w:w w:val="100"/>
                <w:sz w:val="21"/>
              </w:rPr>
              <w:t>指恶性细胞不受控制的进行性增长和扩散，浸润和破坏周围正常组织，可以经血管、淋巴管和体腔扩散转移到身体其他部位，病灶经组织病理学检</w:t>
            </w:r>
            <w:r>
              <w:rPr>
                <w:spacing w:val="-3"/>
                <w:w w:val="100"/>
                <w:sz w:val="21"/>
              </w:rPr>
              <w:t> </w:t>
            </w:r>
            <w:r>
              <w:rPr>
                <w:spacing w:val="-99"/>
                <w:w w:val="100"/>
                <w:sz w:val="21"/>
              </w:rPr>
              <w:t>查</w:t>
            </w:r>
            <w:r>
              <w:rPr>
                <w:spacing w:val="-3"/>
                <w:w w:val="100"/>
                <w:sz w:val="21"/>
              </w:rPr>
              <w:t>（涵盖骨髓病理学检查</w:t>
            </w:r>
            <w:r>
              <w:rPr>
                <w:spacing w:val="-101"/>
                <w:w w:val="100"/>
                <w:sz w:val="21"/>
              </w:rPr>
              <w:t>）</w:t>
            </w:r>
            <w:r>
              <w:rPr>
                <w:spacing w:val="-17"/>
                <w:w w:val="100"/>
                <w:sz w:val="21"/>
              </w:rPr>
              <w:t>结果明确诊断，临床诊断属于世界卫生组织</w:t>
            </w:r>
            <w:r>
              <w:rPr>
                <w:spacing w:val="-1"/>
                <w:w w:val="100"/>
                <w:sz w:val="21"/>
              </w:rPr>
              <w:t>（</w:t>
            </w:r>
            <w:r>
              <w:rPr>
                <w:spacing w:val="-3"/>
                <w:w w:val="100"/>
                <w:sz w:val="21"/>
              </w:rPr>
              <w:t>W</w:t>
            </w:r>
            <w:r>
              <w:rPr>
                <w:w w:val="100"/>
                <w:sz w:val="21"/>
              </w:rPr>
              <w:t>H</w:t>
            </w:r>
            <w:r>
              <w:rPr>
                <w:spacing w:val="-1"/>
                <w:w w:val="100"/>
                <w:sz w:val="21"/>
              </w:rPr>
              <w:t>O</w:t>
            </w:r>
            <w:r>
              <w:rPr>
                <w:w w:val="100"/>
                <w:sz w:val="21"/>
              </w:rPr>
              <w:t>， World</w:t>
            </w:r>
            <w:r>
              <w:rPr>
                <w:sz w:val="21"/>
              </w:rPr>
              <w:t> </w:t>
            </w:r>
            <w:r>
              <w:rPr>
                <w:spacing w:val="-3"/>
                <w:w w:val="100"/>
                <w:sz w:val="21"/>
              </w:rPr>
              <w:t>H</w:t>
            </w:r>
            <w:r>
              <w:rPr>
                <w:w w:val="100"/>
                <w:sz w:val="21"/>
              </w:rPr>
              <w:t>eal</w:t>
            </w:r>
            <w:r>
              <w:rPr>
                <w:spacing w:val="-3"/>
                <w:w w:val="100"/>
                <w:sz w:val="21"/>
              </w:rPr>
              <w:t>t</w:t>
            </w:r>
            <w:r>
              <w:rPr>
                <w:w w:val="100"/>
                <w:sz w:val="21"/>
              </w:rPr>
              <w:t>h</w:t>
            </w:r>
            <w:r>
              <w:rPr>
                <w:sz w:val="21"/>
              </w:rPr>
              <w:t> </w:t>
            </w:r>
            <w:r>
              <w:rPr>
                <w:w w:val="100"/>
                <w:sz w:val="21"/>
              </w:rPr>
              <w:t>Org</w:t>
            </w:r>
            <w:r>
              <w:rPr>
                <w:spacing w:val="-3"/>
                <w:w w:val="100"/>
                <w:sz w:val="21"/>
              </w:rPr>
              <w:t>a</w:t>
            </w:r>
            <w:r>
              <w:rPr>
                <w:w w:val="100"/>
                <w:sz w:val="21"/>
              </w:rPr>
              <w:t>niz</w:t>
            </w:r>
            <w:r>
              <w:rPr>
                <w:spacing w:val="-3"/>
                <w:w w:val="100"/>
                <w:sz w:val="21"/>
              </w:rPr>
              <w:t>a</w:t>
            </w:r>
            <w:r>
              <w:rPr>
                <w:w w:val="100"/>
                <w:sz w:val="21"/>
              </w:rPr>
              <w:t>t</w:t>
            </w:r>
            <w:r>
              <w:rPr>
                <w:spacing w:val="-3"/>
                <w:w w:val="100"/>
                <w:sz w:val="21"/>
              </w:rPr>
              <w:t>i</w:t>
            </w:r>
            <w:r>
              <w:rPr>
                <w:w w:val="100"/>
                <w:sz w:val="21"/>
              </w:rPr>
              <w:t>on</w:t>
            </w:r>
            <w:r>
              <w:rPr>
                <w:spacing w:val="-104"/>
                <w:w w:val="100"/>
                <w:sz w:val="21"/>
              </w:rPr>
              <w:t>）</w:t>
            </w:r>
            <w:r>
              <w:rPr>
                <w:spacing w:val="-1"/>
                <w:w w:val="100"/>
                <w:sz w:val="21"/>
              </w:rPr>
              <w:t>《疾病和有关健康问题的国际统计分类》第十次修订版（I</w:t>
            </w:r>
            <w:r>
              <w:rPr>
                <w:spacing w:val="-3"/>
                <w:w w:val="100"/>
                <w:sz w:val="21"/>
              </w:rPr>
              <w:t>C</w:t>
            </w:r>
            <w:r>
              <w:rPr>
                <w:spacing w:val="-1"/>
                <w:w w:val="100"/>
                <w:sz w:val="21"/>
              </w:rPr>
              <w:t>D</w:t>
            </w:r>
            <w:r>
              <w:rPr>
                <w:w w:val="100"/>
                <w:sz w:val="21"/>
              </w:rPr>
              <w:t>-10）</w:t>
            </w:r>
            <w:r>
              <w:rPr>
                <w:spacing w:val="-3"/>
                <w:w w:val="100"/>
                <w:sz w:val="21"/>
              </w:rPr>
              <w:t>的恶性肿瘤类别及《国际疾病分类肿瘤学专辑》第</w:t>
            </w:r>
            <w:r>
              <w:rPr>
                <w:spacing w:val="-4"/>
                <w:w w:val="100"/>
                <w:sz w:val="21"/>
              </w:rPr>
              <w:t>三版</w:t>
            </w:r>
            <w:r>
              <w:rPr>
                <w:w w:val="100"/>
                <w:sz w:val="21"/>
              </w:rPr>
              <w:t>（</w:t>
            </w:r>
            <w:r>
              <w:rPr>
                <w:spacing w:val="-3"/>
                <w:w w:val="100"/>
                <w:sz w:val="21"/>
              </w:rPr>
              <w:t>I</w:t>
            </w:r>
            <w:r>
              <w:rPr>
                <w:w w:val="100"/>
                <w:sz w:val="21"/>
              </w:rPr>
              <w:t>C</w:t>
            </w:r>
            <w:r>
              <w:rPr>
                <w:spacing w:val="-1"/>
                <w:w w:val="100"/>
                <w:sz w:val="21"/>
              </w:rPr>
              <w:t>D</w:t>
            </w:r>
            <w:r>
              <w:rPr>
                <w:w w:val="100"/>
                <w:sz w:val="21"/>
              </w:rPr>
              <w:t>-</w:t>
            </w:r>
            <w:r>
              <w:rPr>
                <w:spacing w:val="-3"/>
                <w:w w:val="100"/>
                <w:sz w:val="21"/>
              </w:rPr>
              <w:t>O</w:t>
            </w:r>
            <w:r>
              <w:rPr>
                <w:w w:val="100"/>
                <w:sz w:val="21"/>
              </w:rPr>
              <w:t>-3</w:t>
            </w:r>
            <w:r>
              <w:rPr>
                <w:spacing w:val="-8"/>
                <w:w w:val="100"/>
                <w:sz w:val="21"/>
              </w:rPr>
              <w:t>）</w:t>
            </w:r>
            <w:r>
              <w:rPr>
                <w:spacing w:val="-3"/>
                <w:w w:val="100"/>
                <w:sz w:val="21"/>
              </w:rPr>
              <w:t>的肿瘤形态学编码属于</w:t>
            </w:r>
            <w:r>
              <w:rPr>
                <w:spacing w:val="-53"/>
                <w:sz w:val="21"/>
              </w:rPr>
              <w:t> </w:t>
            </w:r>
            <w:r>
              <w:rPr>
                <w:spacing w:val="-3"/>
                <w:w w:val="100"/>
                <w:sz w:val="21"/>
              </w:rPr>
              <w:t>3</w:t>
            </w:r>
            <w:r>
              <w:rPr>
                <w:spacing w:val="-5"/>
                <w:w w:val="100"/>
                <w:sz w:val="21"/>
              </w:rPr>
              <w:t>、</w:t>
            </w:r>
            <w:r>
              <w:rPr>
                <w:w w:val="100"/>
                <w:sz w:val="21"/>
              </w:rPr>
              <w:t>6</w:t>
            </w:r>
            <w:r>
              <w:rPr>
                <w:spacing w:val="-5"/>
                <w:w w:val="100"/>
                <w:sz w:val="21"/>
              </w:rPr>
              <w:t>、9</w:t>
            </w:r>
            <w:r>
              <w:rPr>
                <w:spacing w:val="-3"/>
                <w:w w:val="100"/>
                <w:sz w:val="21"/>
              </w:rPr>
              <w:t>（恶性肿瘤</w:t>
            </w:r>
            <w:r>
              <w:rPr>
                <w:spacing w:val="-5"/>
                <w:w w:val="100"/>
                <w:sz w:val="21"/>
              </w:rPr>
              <w:t>）</w:t>
            </w:r>
            <w:r>
              <w:rPr>
                <w:spacing w:val="-3"/>
                <w:w w:val="100"/>
                <w:sz w:val="21"/>
              </w:rPr>
              <w:t>范畴，但不在“恶性肿瘤——重度”保障范围的疾病。且特指下列六项之一：</w:t>
            </w:r>
          </w:p>
          <w:p>
            <w:pPr>
              <w:pStyle w:val="TableParagraph"/>
              <w:spacing w:line="278" w:lineRule="auto"/>
              <w:ind w:left="127" w:right="3293"/>
              <w:rPr>
                <w:sz w:val="21"/>
              </w:rPr>
            </w:pPr>
            <w:r>
              <w:rPr>
                <w:sz w:val="21"/>
              </w:rPr>
              <w:t>(1)TNM</w:t>
            </w:r>
            <w:r>
              <w:rPr>
                <w:spacing w:val="-7"/>
                <w:sz w:val="21"/>
              </w:rPr>
              <w:t> 分期为Ⅰ期的甲状腺癌；</w:t>
            </w:r>
            <w:r>
              <w:rPr>
                <w:sz w:val="21"/>
              </w:rPr>
              <w:t> </w:t>
            </w:r>
            <w:r>
              <w:rPr>
                <w:spacing w:val="-2"/>
                <w:position w:val="1"/>
                <w:sz w:val="21"/>
              </w:rPr>
              <w:t>(2)TNM</w:t>
            </w:r>
            <w:r>
              <w:rPr>
                <w:spacing w:val="-21"/>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7"/>
                <w:sz w:val="11"/>
              </w:rPr>
              <w:t> </w:t>
            </w:r>
            <w:r>
              <w:rPr>
                <w:spacing w:val="-2"/>
                <w:position w:val="1"/>
                <w:sz w:val="21"/>
              </w:rPr>
              <w:t>期的前列腺癌；</w:t>
            </w:r>
          </w:p>
          <w:p>
            <w:pPr>
              <w:pStyle w:val="TableParagraph"/>
              <w:spacing w:line="278" w:lineRule="auto"/>
              <w:ind w:left="127" w:right="898"/>
              <w:rPr>
                <w:sz w:val="21"/>
              </w:rPr>
            </w:pPr>
            <w:r>
              <w:rPr>
                <w:spacing w:val="-2"/>
                <w:sz w:val="21"/>
              </w:rPr>
              <w:t>(3)黑色素瘤以外的未发生淋巴结和远处转移的皮肤恶性肿瘤； </w:t>
            </w:r>
            <w:r>
              <w:rPr>
                <w:sz w:val="21"/>
              </w:rPr>
              <w:t>(4)</w:t>
            </w:r>
            <w:r>
              <w:rPr>
                <w:spacing w:val="-5"/>
                <w:sz w:val="21"/>
              </w:rPr>
              <w:t>相当于 </w:t>
            </w:r>
            <w:r>
              <w:rPr>
                <w:sz w:val="21"/>
              </w:rPr>
              <w:t>Binet</w:t>
            </w:r>
            <w:r>
              <w:rPr>
                <w:spacing w:val="-6"/>
                <w:sz w:val="21"/>
              </w:rPr>
              <w:t> 分期方案 </w:t>
            </w:r>
            <w:r>
              <w:rPr>
                <w:sz w:val="21"/>
              </w:rPr>
              <w:t>A</w:t>
            </w:r>
            <w:r>
              <w:rPr>
                <w:spacing w:val="-4"/>
                <w:sz w:val="21"/>
              </w:rPr>
              <w:t> 期程度的慢性淋巴细胞白血病；</w:t>
            </w:r>
            <w:r>
              <w:rPr>
                <w:sz w:val="21"/>
              </w:rPr>
              <w:t> (5)</w:t>
            </w:r>
            <w:r>
              <w:rPr>
                <w:spacing w:val="-4"/>
                <w:sz w:val="21"/>
              </w:rPr>
              <w:t>相当于 </w:t>
            </w:r>
            <w:r>
              <w:rPr>
                <w:sz w:val="21"/>
              </w:rPr>
              <w:t>Ann Arbor</w:t>
            </w:r>
            <w:r>
              <w:rPr>
                <w:spacing w:val="-4"/>
                <w:sz w:val="21"/>
              </w:rPr>
              <w:t> 分期方案Ⅰ期程度的何杰金氏病；</w:t>
            </w:r>
          </w:p>
          <w:p>
            <w:pPr>
              <w:pStyle w:val="TableParagraph"/>
              <w:spacing w:line="269" w:lineRule="exact"/>
              <w:ind w:left="127"/>
              <w:rPr>
                <w:sz w:val="21"/>
              </w:rPr>
            </w:pPr>
            <w:r>
              <w:rPr>
                <w:spacing w:val="-2"/>
                <w:sz w:val="21"/>
              </w:rPr>
              <w:t>(6)</w:t>
            </w:r>
            <w:r>
              <w:rPr>
                <w:spacing w:val="-6"/>
                <w:sz w:val="21"/>
              </w:rPr>
              <w:t>未发生淋巴结和远处转移且 </w:t>
            </w:r>
            <w:r>
              <w:rPr>
                <w:spacing w:val="-2"/>
                <w:sz w:val="21"/>
              </w:rPr>
              <w:t>WHO</w:t>
            </w:r>
            <w:r>
              <w:rPr>
                <w:spacing w:val="-24"/>
                <w:sz w:val="21"/>
              </w:rPr>
              <w:t> 分级为 </w:t>
            </w:r>
            <w:r>
              <w:rPr>
                <w:spacing w:val="-2"/>
                <w:sz w:val="21"/>
              </w:rPr>
              <w:t>G1</w:t>
            </w:r>
            <w:r>
              <w:rPr>
                <w:spacing w:val="-20"/>
                <w:sz w:val="21"/>
              </w:rPr>
              <w:t> 级别</w:t>
            </w:r>
            <w:r>
              <w:rPr>
                <w:spacing w:val="-2"/>
                <w:sz w:val="21"/>
              </w:rPr>
              <w:t>（核分裂像＜10/50</w:t>
            </w:r>
            <w:r>
              <w:rPr>
                <w:spacing w:val="-52"/>
                <w:sz w:val="21"/>
              </w:rPr>
              <w:t> </w:t>
            </w:r>
            <w:r>
              <w:rPr>
                <w:spacing w:val="-5"/>
                <w:sz w:val="21"/>
              </w:rPr>
              <w:t>HPF</w:t>
            </w:r>
          </w:p>
          <w:p>
            <w:pPr>
              <w:pStyle w:val="TableParagraph"/>
              <w:spacing w:before="43"/>
              <w:ind w:left="127"/>
              <w:rPr>
                <w:sz w:val="21"/>
              </w:rPr>
            </w:pPr>
            <w:r>
              <w:rPr>
                <w:spacing w:val="-20"/>
                <w:sz w:val="21"/>
              </w:rPr>
              <w:t>和 </w:t>
            </w:r>
            <w:r>
              <w:rPr>
                <w:spacing w:val="-2"/>
                <w:sz w:val="21"/>
              </w:rPr>
              <w:t>ki-67≤2%）</w:t>
            </w:r>
            <w:r>
              <w:rPr>
                <w:spacing w:val="-3"/>
                <w:sz w:val="21"/>
              </w:rPr>
              <w:t>的神经内分泌肿瘤。</w:t>
            </w:r>
          </w:p>
        </w:tc>
      </w:tr>
      <w:tr>
        <w:trPr>
          <w:trHeight w:val="1982" w:hRule="atLeast"/>
        </w:trPr>
        <w:tc>
          <w:tcPr>
            <w:tcW w:w="1010" w:type="dxa"/>
          </w:tcPr>
          <w:p>
            <w:pPr>
              <w:pStyle w:val="TableParagraph"/>
              <w:rPr>
                <w:rFonts w:ascii="Times New Roman"/>
                <w:sz w:val="20"/>
              </w:rPr>
            </w:pPr>
          </w:p>
        </w:tc>
        <w:tc>
          <w:tcPr>
            <w:tcW w:w="1871" w:type="dxa"/>
          </w:tcPr>
          <w:p>
            <w:pPr>
              <w:pStyle w:val="TableParagraph"/>
              <w:rPr>
                <w:rFonts w:ascii="Times New Roman"/>
                <w:sz w:val="20"/>
              </w:rPr>
            </w:pPr>
          </w:p>
        </w:tc>
        <w:tc>
          <w:tcPr>
            <w:tcW w:w="6979" w:type="dxa"/>
          </w:tcPr>
          <w:p>
            <w:pPr>
              <w:pStyle w:val="TableParagraph"/>
              <w:spacing w:before="61"/>
              <w:ind w:left="127"/>
              <w:rPr>
                <w:sz w:val="21"/>
              </w:rPr>
            </w:pPr>
            <w:r>
              <w:rPr>
                <w:color w:val="000000"/>
                <w:spacing w:val="-10"/>
                <w:sz w:val="21"/>
                <w:shd w:fill="A6A6A6" w:color="auto" w:val="clear"/>
              </w:rPr>
              <w:t>下列疾病不属于“恶性肿瘤——轻度”，不在保障范围内：</w:t>
            </w:r>
          </w:p>
          <w:p>
            <w:pPr>
              <w:pStyle w:val="TableParagraph"/>
              <w:spacing w:line="278" w:lineRule="auto" w:before="43"/>
              <w:ind w:left="127" w:right="101"/>
              <w:rPr>
                <w:sz w:val="21"/>
              </w:rPr>
            </w:pPr>
            <w:r>
              <w:rPr>
                <w:color w:val="000000"/>
                <w:spacing w:val="-4"/>
                <w:sz w:val="21"/>
                <w:shd w:fill="A6A6A6" w:color="auto" w:val="clear"/>
              </w:rPr>
              <w:t>ICD-O-3</w:t>
            </w:r>
            <w:r>
              <w:rPr>
                <w:color w:val="000000"/>
                <w:spacing w:val="-13"/>
                <w:sz w:val="21"/>
                <w:shd w:fill="A6A6A6" w:color="auto" w:val="clear"/>
              </w:rPr>
              <w:t> 肿瘤形态学编码属于 </w:t>
            </w:r>
            <w:r>
              <w:rPr>
                <w:color w:val="000000"/>
                <w:spacing w:val="-4"/>
                <w:sz w:val="21"/>
                <w:shd w:fill="A6A6A6" w:color="auto" w:val="clear"/>
              </w:rPr>
              <w:t>0（良性肿瘤</w:t>
            </w:r>
            <w:r>
              <w:rPr>
                <w:color w:val="000000"/>
                <w:spacing w:val="-106"/>
                <w:sz w:val="21"/>
                <w:shd w:fill="A6A6A6" w:color="auto" w:val="clear"/>
              </w:rPr>
              <w:t>）</w:t>
            </w:r>
            <w:r>
              <w:rPr>
                <w:color w:val="000000"/>
                <w:spacing w:val="-4"/>
                <w:sz w:val="21"/>
                <w:shd w:fill="A6A6A6" w:color="auto" w:val="clear"/>
              </w:rPr>
              <w:t>、1（动态未定性肿瘤</w:t>
            </w:r>
            <w:r>
              <w:rPr>
                <w:color w:val="000000"/>
                <w:spacing w:val="-106"/>
                <w:sz w:val="21"/>
                <w:shd w:fill="A6A6A6" w:color="auto" w:val="clear"/>
              </w:rPr>
              <w:t>）</w:t>
            </w:r>
            <w:r>
              <w:rPr>
                <w:color w:val="000000"/>
                <w:spacing w:val="-4"/>
                <w:sz w:val="21"/>
                <w:shd w:fill="A6A6A6" w:color="auto" w:val="clear"/>
              </w:rPr>
              <w:t>、2（原</w:t>
            </w:r>
            <w:r>
              <w:rPr>
                <w:color w:val="000000"/>
                <w:spacing w:val="80"/>
                <w:w w:val="150"/>
                <w:sz w:val="21"/>
                <w:shd w:fill="A6A6A6" w:color="auto" w:val="clear"/>
              </w:rPr>
              <w:t>                                     </w:t>
            </w:r>
            <w:r>
              <w:rPr>
                <w:color w:val="000000"/>
                <w:spacing w:val="-2"/>
                <w:sz w:val="21"/>
                <w:shd w:fill="A6A6A6" w:color="auto" w:val="clear"/>
              </w:rPr>
              <w:t>位癌和非侵袭性癌）范畴的疾病，如：</w:t>
            </w:r>
          </w:p>
          <w:p>
            <w:pPr>
              <w:pStyle w:val="TableParagraph"/>
              <w:numPr>
                <w:ilvl w:val="0"/>
                <w:numId w:val="62"/>
              </w:numPr>
              <w:tabs>
                <w:tab w:pos="340" w:val="left" w:leader="none"/>
              </w:tabs>
              <w:spacing w:line="278" w:lineRule="auto" w:before="0" w:after="0"/>
              <w:ind w:left="127" w:right="-15" w:firstLine="0"/>
              <w:jc w:val="left"/>
              <w:rPr>
                <w:sz w:val="21"/>
              </w:rPr>
            </w:pPr>
            <w:r>
              <w:rPr>
                <w:color w:val="000000"/>
                <w:spacing w:val="-4"/>
                <w:sz w:val="21"/>
                <w:shd w:fill="A6A6A6" w:color="auto" w:val="clear"/>
              </w:rPr>
              <w:t>原位癌，癌前病变，非浸润性癌，非侵袭性癌，肿瘤细胞未侵犯基底层，</w:t>
            </w:r>
            <w:r>
              <w:rPr>
                <w:color w:val="000000"/>
                <w:spacing w:val="13230"/>
                <w:sz w:val="21"/>
                <w:shd w:fill="A6A6A6" w:color="auto" w:val="clear"/>
              </w:rPr>
              <w:t> </w:t>
            </w:r>
            <w:r>
              <w:rPr>
                <w:color w:val="000000"/>
                <w:spacing w:val="-2"/>
                <w:sz w:val="21"/>
                <w:shd w:fill="A6A6A6" w:color="auto" w:val="clear"/>
              </w:rPr>
              <w:t>上皮内瘤变，细胞不典型性增生等；</w:t>
            </w:r>
          </w:p>
          <w:p>
            <w:pPr>
              <w:pStyle w:val="TableParagraph"/>
              <w:numPr>
                <w:ilvl w:val="0"/>
                <w:numId w:val="62"/>
              </w:numPr>
              <w:tabs>
                <w:tab w:pos="340" w:val="left" w:leader="none"/>
              </w:tabs>
              <w:spacing w:line="240" w:lineRule="auto" w:before="0" w:after="0"/>
              <w:ind w:left="339" w:right="-15" w:hanging="213"/>
              <w:jc w:val="left"/>
              <w:rPr>
                <w:sz w:val="21"/>
              </w:rPr>
            </w:pPr>
            <w:r>
              <w:rPr>
                <w:color w:val="000000"/>
                <w:spacing w:val="-7"/>
                <w:sz w:val="21"/>
                <w:shd w:fill="A6A6A6" w:color="auto" w:val="clear"/>
              </w:rPr>
              <w:t>交界性肿瘤，交界恶性肿瘤，肿瘤低度恶性潜能，潜在低度恶性肿瘤等。</w:t>
            </w:r>
          </w:p>
        </w:tc>
      </w:tr>
      <w:tr>
        <w:trPr>
          <w:trHeight w:val="3229" w:hRule="atLeast"/>
        </w:trPr>
        <w:tc>
          <w:tcPr>
            <w:tcW w:w="1010" w:type="dxa"/>
          </w:tcPr>
          <w:p>
            <w:pPr>
              <w:pStyle w:val="TableParagraph"/>
              <w:spacing w:before="25"/>
              <w:ind w:left="107"/>
              <w:rPr>
                <w:rFonts w:ascii="微软雅黑"/>
                <w:b/>
                <w:sz w:val="21"/>
              </w:rPr>
            </w:pPr>
            <w:r>
              <w:rPr>
                <w:rFonts w:ascii="微软雅黑"/>
                <w:b/>
                <w:spacing w:val="-2"/>
                <w:sz w:val="21"/>
              </w:rPr>
              <w:t>12.1.2</w:t>
            </w:r>
          </w:p>
        </w:tc>
        <w:tc>
          <w:tcPr>
            <w:tcW w:w="1871" w:type="dxa"/>
          </w:tcPr>
          <w:p>
            <w:pPr>
              <w:pStyle w:val="TableParagraph"/>
              <w:spacing w:line="194" w:lineRule="auto" w:before="78"/>
              <w:ind w:left="267" w:right="123"/>
              <w:rPr>
                <w:rFonts w:ascii="微软雅黑" w:eastAsia="微软雅黑"/>
                <w:b/>
                <w:sz w:val="21"/>
              </w:rPr>
            </w:pPr>
            <w:r>
              <w:rPr>
                <w:rFonts w:ascii="微软雅黑" w:eastAsia="微软雅黑"/>
                <w:b/>
                <w:spacing w:val="-2"/>
                <w:sz w:val="21"/>
              </w:rPr>
              <w:t>较轻急性心肌梗</w:t>
            </w:r>
            <w:r>
              <w:rPr>
                <w:rFonts w:ascii="微软雅黑" w:eastAsia="微软雅黑"/>
                <w:b/>
                <w:spacing w:val="-10"/>
                <w:sz w:val="21"/>
              </w:rPr>
              <w:t>死</w:t>
            </w:r>
          </w:p>
        </w:tc>
        <w:tc>
          <w:tcPr>
            <w:tcW w:w="6979" w:type="dxa"/>
          </w:tcPr>
          <w:p>
            <w:pPr>
              <w:pStyle w:val="TableParagraph"/>
              <w:spacing w:line="278" w:lineRule="auto" w:before="92"/>
              <w:ind w:left="127" w:right="103"/>
              <w:jc w:val="both"/>
              <w:rPr>
                <w:sz w:val="21"/>
              </w:rPr>
            </w:pPr>
            <w:r>
              <w:rPr>
                <w:spacing w:val="-2"/>
                <w:sz w:val="21"/>
              </w:rPr>
              <w:t>急性心肌梗死指由于冠状动脉闭塞或梗阻引起部分心肌严重的持久性缺血</w:t>
            </w:r>
            <w:r>
              <w:rPr>
                <w:spacing w:val="-2"/>
                <w:sz w:val="21"/>
              </w:rPr>
              <w:t>造成急性心肌坏死。急性心肌梗死的诊断必须依据国际国内诊断标准，符</w:t>
            </w:r>
            <w:r>
              <w:rPr>
                <w:spacing w:val="-6"/>
                <w:sz w:val="21"/>
              </w:rPr>
              <w:t>合：</w:t>
            </w:r>
          </w:p>
          <w:p>
            <w:pPr>
              <w:pStyle w:val="TableParagraph"/>
              <w:numPr>
                <w:ilvl w:val="0"/>
                <w:numId w:val="63"/>
              </w:numPr>
              <w:tabs>
                <w:tab w:pos="445" w:val="left" w:leader="none"/>
              </w:tabs>
              <w:spacing w:line="278" w:lineRule="auto" w:before="0" w:after="0"/>
              <w:ind w:left="127" w:right="102" w:firstLine="0"/>
              <w:jc w:val="left"/>
              <w:rPr>
                <w:sz w:val="21"/>
              </w:rPr>
            </w:pPr>
            <w:r>
              <w:rPr>
                <w:spacing w:val="-2"/>
                <w:sz w:val="21"/>
              </w:rPr>
              <w:t>检测到肌酸激酶同工酶（CK-MB）或肌钙蛋白（cTn）升高和/或降低的</w:t>
            </w:r>
            <w:r>
              <w:rPr>
                <w:spacing w:val="-2"/>
                <w:sz w:val="21"/>
              </w:rPr>
              <w:t>动态变化，至少一次达到或超过心肌梗死的临床诊断标准；</w:t>
            </w:r>
          </w:p>
          <w:p>
            <w:pPr>
              <w:pStyle w:val="TableParagraph"/>
              <w:numPr>
                <w:ilvl w:val="0"/>
                <w:numId w:val="63"/>
              </w:numPr>
              <w:tabs>
                <w:tab w:pos="445" w:val="left" w:leader="none"/>
              </w:tabs>
              <w:spacing w:line="278" w:lineRule="auto" w:before="0" w:after="0"/>
              <w:ind w:left="127" w:right="99" w:firstLine="0"/>
              <w:jc w:val="both"/>
              <w:rPr>
                <w:sz w:val="21"/>
              </w:rPr>
            </w:pPr>
            <w:r>
              <w:rPr>
                <w:spacing w:val="-4"/>
                <w:sz w:val="21"/>
              </w:rPr>
              <w:t>同时存在下列之一的证据，包括：缺血性胸痛症状、新发生的缺血性心</w:t>
            </w:r>
            <w:r>
              <w:rPr>
                <w:spacing w:val="-4"/>
                <w:sz w:val="21"/>
              </w:rPr>
              <w:t>电图改变、新生成的病理性 </w:t>
            </w:r>
            <w:r>
              <w:rPr>
                <w:spacing w:val="-2"/>
                <w:sz w:val="21"/>
              </w:rPr>
              <w:t>Q</w:t>
            </w:r>
            <w:r>
              <w:rPr>
                <w:spacing w:val="-7"/>
                <w:sz w:val="21"/>
              </w:rPr>
              <w:t> 波、影像学证据显示有新出现的心肌活性丧</w:t>
            </w:r>
            <w:r>
              <w:rPr>
                <w:spacing w:val="-2"/>
                <w:sz w:val="21"/>
              </w:rPr>
              <w:t>失或新出现局部室壁运动异常、冠脉造影证实存在冠状动脉血栓。</w:t>
            </w:r>
          </w:p>
          <w:p>
            <w:pPr>
              <w:pStyle w:val="TableParagraph"/>
              <w:spacing w:line="269" w:lineRule="exact"/>
              <w:ind w:left="127"/>
              <w:rPr>
                <w:sz w:val="21"/>
              </w:rPr>
            </w:pPr>
            <w:r>
              <w:rPr>
                <w:spacing w:val="-3"/>
                <w:sz w:val="21"/>
              </w:rPr>
              <w:t>较轻急性心肌梗死指依照上述标准被明确诊断为急性心肌梗死，但未达到</w:t>
            </w:r>
          </w:p>
          <w:p>
            <w:pPr>
              <w:pStyle w:val="TableParagraph"/>
              <w:spacing w:before="43"/>
              <w:ind w:left="127"/>
              <w:rPr>
                <w:sz w:val="21"/>
              </w:rPr>
            </w:pPr>
            <w:r>
              <w:rPr>
                <w:spacing w:val="-3"/>
                <w:sz w:val="21"/>
              </w:rPr>
              <w:t>“较重急性心肌梗死”的给付标准。</w:t>
            </w:r>
          </w:p>
        </w:tc>
      </w:tr>
      <w:tr>
        <w:trPr>
          <w:trHeight w:val="422" w:hRule="atLeast"/>
        </w:trPr>
        <w:tc>
          <w:tcPr>
            <w:tcW w:w="1010" w:type="dxa"/>
          </w:tcPr>
          <w:p>
            <w:pPr>
              <w:pStyle w:val="TableParagraph"/>
              <w:rPr>
                <w:rFonts w:ascii="Times New Roman"/>
                <w:sz w:val="20"/>
              </w:rPr>
            </w:pPr>
          </w:p>
        </w:tc>
        <w:tc>
          <w:tcPr>
            <w:tcW w:w="1871" w:type="dxa"/>
          </w:tcPr>
          <w:p>
            <w:pPr>
              <w:pStyle w:val="TableParagraph"/>
              <w:rPr>
                <w:rFonts w:ascii="Times New Roman"/>
                <w:sz w:val="20"/>
              </w:rPr>
            </w:pPr>
          </w:p>
        </w:tc>
        <w:tc>
          <w:tcPr>
            <w:tcW w:w="6979" w:type="dxa"/>
          </w:tcPr>
          <w:p>
            <w:pPr>
              <w:pStyle w:val="TableParagraph"/>
              <w:spacing w:before="60"/>
              <w:ind w:left="127"/>
              <w:rPr>
                <w:sz w:val="21"/>
              </w:rPr>
            </w:pPr>
            <w:r>
              <w:rPr>
                <w:color w:val="000000"/>
                <w:spacing w:val="-2"/>
                <w:sz w:val="21"/>
                <w:shd w:fill="A6A6A6" w:color="auto" w:val="clear"/>
              </w:rPr>
              <w:t>其他非冠状动脉阻塞性疾病引起的肌钙蛋白（cTn）</w:t>
            </w:r>
            <w:r>
              <w:rPr>
                <w:color w:val="000000"/>
                <w:spacing w:val="-3"/>
                <w:sz w:val="21"/>
                <w:shd w:fill="A6A6A6" w:color="auto" w:val="clear"/>
              </w:rPr>
              <w:t>升高不在保障范围内。</w:t>
            </w:r>
          </w:p>
        </w:tc>
      </w:tr>
      <w:tr>
        <w:trPr>
          <w:trHeight w:val="383" w:hRule="atLeast"/>
        </w:trPr>
        <w:tc>
          <w:tcPr>
            <w:tcW w:w="1010" w:type="dxa"/>
          </w:tcPr>
          <w:p>
            <w:pPr>
              <w:pStyle w:val="TableParagraph"/>
              <w:spacing w:line="337" w:lineRule="exact" w:before="26"/>
              <w:ind w:left="107"/>
              <w:rPr>
                <w:rFonts w:ascii="微软雅黑"/>
                <w:b/>
                <w:sz w:val="21"/>
              </w:rPr>
            </w:pPr>
            <w:r>
              <w:rPr>
                <w:rFonts w:ascii="微软雅黑"/>
                <w:b/>
                <w:spacing w:val="-2"/>
                <w:sz w:val="21"/>
              </w:rPr>
              <w:t>12.1.3</w:t>
            </w:r>
          </w:p>
        </w:tc>
        <w:tc>
          <w:tcPr>
            <w:tcW w:w="1871" w:type="dxa"/>
          </w:tcPr>
          <w:p>
            <w:pPr>
              <w:pStyle w:val="TableParagraph"/>
              <w:spacing w:line="337" w:lineRule="exact" w:before="26"/>
              <w:ind w:left="267"/>
              <w:rPr>
                <w:rFonts w:ascii="微软雅黑" w:eastAsia="微软雅黑"/>
                <w:b/>
                <w:sz w:val="21"/>
              </w:rPr>
            </w:pPr>
            <w:r>
              <w:rPr>
                <w:rFonts w:ascii="微软雅黑" w:eastAsia="微软雅黑"/>
                <w:b/>
                <w:spacing w:val="-2"/>
                <w:sz w:val="21"/>
              </w:rPr>
              <w:t>轻度脑中风后遗</w:t>
            </w:r>
          </w:p>
        </w:tc>
        <w:tc>
          <w:tcPr>
            <w:tcW w:w="6979" w:type="dxa"/>
          </w:tcPr>
          <w:p>
            <w:pPr>
              <w:pStyle w:val="TableParagraph"/>
              <w:spacing w:before="94"/>
              <w:ind w:left="127"/>
              <w:rPr>
                <w:sz w:val="21"/>
              </w:rPr>
            </w:pPr>
            <w:r>
              <w:rPr>
                <w:spacing w:val="-3"/>
                <w:sz w:val="21"/>
              </w:rPr>
              <w:t>指因脑血管的突发病变引起脑血管出血、栓塞或梗塞，须由头颅断层扫描</w:t>
            </w:r>
          </w:p>
        </w:tc>
      </w:tr>
      <w:tr>
        <w:trPr>
          <w:trHeight w:val="312" w:hRule="atLeast"/>
        </w:trPr>
        <w:tc>
          <w:tcPr>
            <w:tcW w:w="1010" w:type="dxa"/>
          </w:tcPr>
          <w:p>
            <w:pPr>
              <w:pStyle w:val="TableParagraph"/>
              <w:rPr>
                <w:rFonts w:ascii="Times New Roman"/>
                <w:sz w:val="20"/>
              </w:rPr>
            </w:pPr>
          </w:p>
        </w:tc>
        <w:tc>
          <w:tcPr>
            <w:tcW w:w="1871" w:type="dxa"/>
          </w:tcPr>
          <w:p>
            <w:pPr>
              <w:pStyle w:val="TableParagraph"/>
              <w:spacing w:line="292" w:lineRule="exact"/>
              <w:ind w:left="267"/>
              <w:rPr>
                <w:rFonts w:ascii="微软雅黑" w:eastAsia="微软雅黑"/>
                <w:b/>
                <w:sz w:val="21"/>
              </w:rPr>
            </w:pPr>
            <w:r>
              <w:rPr>
                <w:rFonts w:ascii="微软雅黑" w:eastAsia="微软雅黑"/>
                <w:b/>
                <w:w w:val="100"/>
                <w:sz w:val="21"/>
              </w:rPr>
              <w:t>症</w:t>
            </w:r>
          </w:p>
        </w:tc>
        <w:tc>
          <w:tcPr>
            <w:tcW w:w="6979" w:type="dxa"/>
          </w:tcPr>
          <w:p>
            <w:pPr>
              <w:pStyle w:val="TableParagraph"/>
              <w:spacing w:before="22"/>
              <w:ind w:left="127"/>
              <w:rPr>
                <w:sz w:val="21"/>
              </w:rPr>
            </w:pPr>
            <w:r>
              <w:rPr>
                <w:spacing w:val="22"/>
                <w:sz w:val="21"/>
              </w:rPr>
              <w:t>（CT</w:t>
            </w:r>
            <w:r>
              <w:rPr>
                <w:spacing w:val="-82"/>
                <w:sz w:val="21"/>
              </w:rPr>
              <w:t>）</w:t>
            </w:r>
            <w:r>
              <w:rPr>
                <w:spacing w:val="-4"/>
                <w:sz w:val="21"/>
              </w:rPr>
              <w:t>、核磁共振检查（MRI）</w:t>
            </w:r>
            <w:r>
              <w:rPr>
                <w:spacing w:val="-5"/>
                <w:sz w:val="21"/>
              </w:rPr>
              <w:t>等影像学检查证实，并导致神经系统永久性</w:t>
            </w:r>
          </w:p>
        </w:tc>
      </w:tr>
      <w:tr>
        <w:trPr>
          <w:trHeight w:val="311" w:hRule="atLeast"/>
        </w:trPr>
        <w:tc>
          <w:tcPr>
            <w:tcW w:w="1010" w:type="dxa"/>
          </w:tcPr>
          <w:p>
            <w:pPr>
              <w:pStyle w:val="TableParagraph"/>
              <w:rPr>
                <w:rFonts w:ascii="Times New Roman"/>
                <w:sz w:val="20"/>
              </w:rPr>
            </w:pPr>
          </w:p>
        </w:tc>
        <w:tc>
          <w:tcPr>
            <w:tcW w:w="1871" w:type="dxa"/>
          </w:tcPr>
          <w:p>
            <w:pPr>
              <w:pStyle w:val="TableParagraph"/>
              <w:rPr>
                <w:rFonts w:ascii="Times New Roman"/>
                <w:sz w:val="20"/>
              </w:rPr>
            </w:pPr>
          </w:p>
        </w:tc>
        <w:tc>
          <w:tcPr>
            <w:tcW w:w="6979" w:type="dxa"/>
          </w:tcPr>
          <w:p>
            <w:pPr>
              <w:pStyle w:val="TableParagraph"/>
              <w:spacing w:before="22"/>
              <w:ind w:left="127"/>
              <w:rPr>
                <w:sz w:val="21"/>
              </w:rPr>
            </w:pPr>
            <w:r>
              <w:rPr>
                <w:spacing w:val="-8"/>
                <w:sz w:val="21"/>
              </w:rPr>
              <w:t>的功能障碍，但未达到“严重脑中风后遗症”的给付标准，在疾病确诊 </w:t>
            </w:r>
            <w:r>
              <w:rPr>
                <w:spacing w:val="-6"/>
                <w:sz w:val="21"/>
              </w:rPr>
              <w:t>180</w:t>
            </w:r>
          </w:p>
        </w:tc>
      </w:tr>
      <w:tr>
        <w:trPr>
          <w:trHeight w:val="312" w:hRule="atLeast"/>
        </w:trPr>
        <w:tc>
          <w:tcPr>
            <w:tcW w:w="1010" w:type="dxa"/>
          </w:tcPr>
          <w:p>
            <w:pPr>
              <w:pStyle w:val="TableParagraph"/>
              <w:rPr>
                <w:rFonts w:ascii="Times New Roman"/>
                <w:sz w:val="20"/>
              </w:rPr>
            </w:pPr>
          </w:p>
        </w:tc>
        <w:tc>
          <w:tcPr>
            <w:tcW w:w="1871" w:type="dxa"/>
          </w:tcPr>
          <w:p>
            <w:pPr>
              <w:pStyle w:val="TableParagraph"/>
              <w:rPr>
                <w:rFonts w:ascii="Times New Roman"/>
                <w:sz w:val="20"/>
              </w:rPr>
            </w:pPr>
          </w:p>
        </w:tc>
        <w:tc>
          <w:tcPr>
            <w:tcW w:w="6979" w:type="dxa"/>
          </w:tcPr>
          <w:p>
            <w:pPr>
              <w:pStyle w:val="TableParagraph"/>
              <w:spacing w:before="22"/>
              <w:ind w:left="127"/>
              <w:rPr>
                <w:sz w:val="21"/>
              </w:rPr>
            </w:pPr>
            <w:r>
              <w:rPr>
                <w:spacing w:val="-3"/>
                <w:sz w:val="21"/>
              </w:rPr>
              <w:t>天后，仍遗留下列至少一种障碍：</w:t>
            </w:r>
          </w:p>
        </w:tc>
      </w:tr>
      <w:tr>
        <w:trPr>
          <w:trHeight w:val="311" w:hRule="atLeast"/>
        </w:trPr>
        <w:tc>
          <w:tcPr>
            <w:tcW w:w="1010" w:type="dxa"/>
          </w:tcPr>
          <w:p>
            <w:pPr>
              <w:pStyle w:val="TableParagraph"/>
              <w:rPr>
                <w:rFonts w:ascii="Times New Roman"/>
                <w:sz w:val="20"/>
              </w:rPr>
            </w:pPr>
          </w:p>
        </w:tc>
        <w:tc>
          <w:tcPr>
            <w:tcW w:w="1871" w:type="dxa"/>
          </w:tcPr>
          <w:p>
            <w:pPr>
              <w:pStyle w:val="TableParagraph"/>
              <w:rPr>
                <w:rFonts w:ascii="Times New Roman"/>
                <w:sz w:val="20"/>
              </w:rPr>
            </w:pPr>
          </w:p>
        </w:tc>
        <w:tc>
          <w:tcPr>
            <w:tcW w:w="6979" w:type="dxa"/>
          </w:tcPr>
          <w:p>
            <w:pPr>
              <w:pStyle w:val="TableParagraph"/>
              <w:spacing w:before="22"/>
              <w:ind w:left="127"/>
              <w:rPr>
                <w:sz w:val="21"/>
              </w:rPr>
            </w:pPr>
            <w:r>
              <w:rPr>
                <w:spacing w:val="-2"/>
                <w:sz w:val="21"/>
              </w:rPr>
              <w:t>(1)一肢（含）</w:t>
            </w:r>
            <w:r>
              <w:rPr>
                <w:spacing w:val="-8"/>
                <w:sz w:val="21"/>
              </w:rPr>
              <w:t>以上肢体肌力为 </w:t>
            </w:r>
            <w:r>
              <w:rPr>
                <w:spacing w:val="-2"/>
                <w:sz w:val="21"/>
              </w:rPr>
              <w:t>3</w:t>
            </w:r>
            <w:r>
              <w:rPr>
                <w:spacing w:val="-20"/>
                <w:sz w:val="21"/>
              </w:rPr>
              <w:t> 级；</w:t>
            </w:r>
          </w:p>
        </w:tc>
      </w:tr>
      <w:tr>
        <w:trPr>
          <w:trHeight w:val="311" w:hRule="atLeast"/>
        </w:trPr>
        <w:tc>
          <w:tcPr>
            <w:tcW w:w="1010" w:type="dxa"/>
          </w:tcPr>
          <w:p>
            <w:pPr>
              <w:pStyle w:val="TableParagraph"/>
              <w:rPr>
                <w:rFonts w:ascii="Times New Roman"/>
                <w:sz w:val="20"/>
              </w:rPr>
            </w:pPr>
          </w:p>
        </w:tc>
        <w:tc>
          <w:tcPr>
            <w:tcW w:w="1871" w:type="dxa"/>
          </w:tcPr>
          <w:p>
            <w:pPr>
              <w:pStyle w:val="TableParagraph"/>
              <w:rPr>
                <w:rFonts w:ascii="Times New Roman"/>
                <w:sz w:val="20"/>
              </w:rPr>
            </w:pPr>
          </w:p>
        </w:tc>
        <w:tc>
          <w:tcPr>
            <w:tcW w:w="6979" w:type="dxa"/>
          </w:tcPr>
          <w:p>
            <w:pPr>
              <w:pStyle w:val="TableParagraph"/>
              <w:spacing w:before="22"/>
              <w:ind w:left="127"/>
              <w:rPr>
                <w:sz w:val="21"/>
              </w:rPr>
            </w:pPr>
            <w:r>
              <w:rPr>
                <w:sz w:val="21"/>
              </w:rPr>
              <w:t>(2</w:t>
            </w:r>
            <w:r>
              <w:rPr>
                <w:spacing w:val="-1"/>
                <w:sz w:val="21"/>
              </w:rPr>
              <w:t>)自主生活能力部分丧失，无法独立完成六项基本日常生活活动中的两</w:t>
            </w:r>
          </w:p>
        </w:tc>
      </w:tr>
      <w:tr>
        <w:trPr>
          <w:trHeight w:val="261" w:hRule="atLeast"/>
        </w:trPr>
        <w:tc>
          <w:tcPr>
            <w:tcW w:w="1010" w:type="dxa"/>
          </w:tcPr>
          <w:p>
            <w:pPr>
              <w:pStyle w:val="TableParagraph"/>
              <w:rPr>
                <w:rFonts w:ascii="Times New Roman"/>
                <w:sz w:val="18"/>
              </w:rPr>
            </w:pPr>
          </w:p>
        </w:tc>
        <w:tc>
          <w:tcPr>
            <w:tcW w:w="1871" w:type="dxa"/>
          </w:tcPr>
          <w:p>
            <w:pPr>
              <w:pStyle w:val="TableParagraph"/>
              <w:rPr>
                <w:rFonts w:ascii="Times New Roman"/>
                <w:sz w:val="18"/>
              </w:rPr>
            </w:pPr>
          </w:p>
        </w:tc>
        <w:tc>
          <w:tcPr>
            <w:tcW w:w="6979" w:type="dxa"/>
          </w:tcPr>
          <w:p>
            <w:pPr>
              <w:pStyle w:val="TableParagraph"/>
              <w:spacing w:line="220" w:lineRule="exact" w:before="22"/>
              <w:ind w:left="127"/>
              <w:rPr>
                <w:sz w:val="21"/>
              </w:rPr>
            </w:pPr>
            <w:r>
              <w:rPr>
                <w:spacing w:val="-5"/>
                <w:sz w:val="21"/>
              </w:rPr>
              <w:t>项。</w:t>
            </w:r>
          </w:p>
        </w:tc>
      </w:tr>
    </w:tbl>
    <w:p>
      <w:pPr>
        <w:spacing w:after="0" w:line="220" w:lineRule="exact"/>
        <w:rPr>
          <w:sz w:val="21"/>
        </w:rPr>
        <w:sectPr>
          <w:type w:val="continuous"/>
          <w:pgSz w:w="11910" w:h="16840"/>
          <w:pgMar w:top="1580" w:bottom="280" w:left="920" w:right="440"/>
        </w:sectPr>
      </w:pPr>
    </w:p>
    <w:p>
      <w:pPr>
        <w:pStyle w:val="Heading1"/>
        <w:numPr>
          <w:ilvl w:val="2"/>
          <w:numId w:val="64"/>
        </w:numPr>
        <w:tabs>
          <w:tab w:pos="1381" w:val="left" w:leader="none"/>
          <w:tab w:pos="1382" w:val="left" w:leader="none"/>
        </w:tabs>
        <w:spacing w:line="194" w:lineRule="auto" w:before="30" w:after="0"/>
        <w:ind w:left="1382" w:right="0" w:hanging="1170"/>
        <w:jc w:val="left"/>
      </w:pPr>
      <w:r>
        <w:rPr>
          <w:spacing w:val="-2"/>
        </w:rPr>
        <w:t>冠状动脉介入手</w:t>
      </w:r>
      <w:r>
        <w:rPr>
          <w:spacing w:val="-10"/>
        </w:rPr>
        <w:t>术</w:t>
      </w:r>
    </w:p>
    <w:p>
      <w:pPr>
        <w:pStyle w:val="BodyText"/>
        <w:spacing w:line="278" w:lineRule="auto" w:before="44"/>
        <w:ind w:left="212" w:right="578"/>
      </w:pPr>
      <w:r>
        <w:rPr/>
        <w:br w:type="column"/>
      </w:r>
      <w:r>
        <w:rPr>
          <w:spacing w:val="-7"/>
        </w:rPr>
        <w:t>为了治疗明显的冠状动脉狭窄性疾病，首次实际实施了冠状动脉介入手术，</w:t>
      </w:r>
      <w:r>
        <w:rPr>
          <w:spacing w:val="-2"/>
        </w:rPr>
        <w:t>包括冠状动脉球囊扩张成形术、冠状动脉支架植入术、冠状动脉粥肿斑块</w:t>
      </w:r>
      <w:r>
        <w:rPr>
          <w:spacing w:val="-2"/>
        </w:rPr>
        <w:t>切除术或激光冠状动脉成形术，但未达到“较重急性心肌梗死”和“冠状</w:t>
      </w:r>
      <w:r>
        <w:rPr>
          <w:spacing w:val="-2"/>
        </w:rPr>
        <w:t>动脉搭桥术（或称冠状动脉旁路移植术</w:t>
      </w:r>
      <w:r>
        <w:rPr>
          <w:spacing w:val="-108"/>
        </w:rPr>
        <w:t>）</w:t>
      </w:r>
      <w:r>
        <w:rPr>
          <w:spacing w:val="-2"/>
        </w:rPr>
        <w:t>”的给付标准。</w:t>
      </w:r>
    </w:p>
    <w:p>
      <w:pPr>
        <w:pStyle w:val="BodyText"/>
        <w:spacing w:line="278" w:lineRule="auto" w:before="77"/>
        <w:ind w:left="212" w:right="684"/>
        <w:jc w:val="both"/>
      </w:pPr>
      <w:r>
        <w:rPr>
          <w:color w:val="000000"/>
          <w:spacing w:val="-16"/>
          <w:shd w:fill="A6A6A6" w:color="auto" w:val="clear"/>
        </w:rPr>
        <w:t>我们对“较轻急性心肌梗死”、“冠状动脉介入手术”和“激光心肌血运重</w:t>
      </w:r>
      <w:r>
        <w:rPr>
          <w:color w:val="000000"/>
          <w:spacing w:val="40"/>
          <w:shd w:fill="A6A6A6" w:color="auto" w:val="clear"/>
        </w:rPr>
        <w:t> </w:t>
      </w:r>
      <w:r>
        <w:rPr>
          <w:color w:val="000000"/>
          <w:spacing w:val="-2"/>
          <w:shd w:fill="A6A6A6" w:color="auto" w:val="clear"/>
        </w:rPr>
        <w:t>建术”三项中的其中一项承担保险责任，给付其中一项保险金后，对其他</w:t>
      </w:r>
      <w:r>
        <w:rPr>
          <w:color w:val="000000"/>
          <w:spacing w:val="-2"/>
          <w:shd w:fill="A6A6A6" w:color="auto" w:val="clear"/>
        </w:rPr>
        <w:t>两项轻症疾病保险责任同时终止。</w:t>
      </w:r>
    </w:p>
    <w:p>
      <w:pPr>
        <w:spacing w:after="0" w:line="278" w:lineRule="auto"/>
        <w:jc w:val="both"/>
        <w:sectPr>
          <w:pgSz w:w="11910" w:h="16840"/>
          <w:pgMar w:top="1520" w:bottom="280" w:left="920" w:right="440"/>
          <w:cols w:num="2" w:equalWidth="0">
            <w:col w:w="2861" w:space="40"/>
            <w:col w:w="7649"/>
          </w:cols>
        </w:sectPr>
      </w:pPr>
    </w:p>
    <w:p>
      <w:pPr>
        <w:pStyle w:val="Heading1"/>
        <w:numPr>
          <w:ilvl w:val="2"/>
          <w:numId w:val="64"/>
        </w:numPr>
        <w:tabs>
          <w:tab w:pos="1381" w:val="left" w:leader="none"/>
          <w:tab w:pos="1382" w:val="left" w:leader="none"/>
        </w:tabs>
        <w:spacing w:line="194" w:lineRule="auto" w:before="129" w:after="0"/>
        <w:ind w:left="1382" w:right="0" w:hanging="1170"/>
        <w:jc w:val="left"/>
      </w:pPr>
      <w:r>
        <w:rPr>
          <w:spacing w:val="-2"/>
        </w:rPr>
        <w:t>激光心肌血运重</w:t>
      </w:r>
      <w:r>
        <w:rPr>
          <w:spacing w:val="-6"/>
        </w:rPr>
        <w:t>建术</w:t>
      </w:r>
    </w:p>
    <w:p>
      <w:pPr>
        <w:pStyle w:val="BodyText"/>
        <w:spacing w:line="278" w:lineRule="auto" w:before="144"/>
        <w:ind w:left="212" w:right="684"/>
        <w:jc w:val="both"/>
      </w:pPr>
      <w:r>
        <w:rPr/>
        <w:br w:type="column"/>
      </w:r>
      <w:r>
        <w:rPr>
          <w:spacing w:val="-2"/>
        </w:rPr>
        <w:t>指患有顽固性心绞痛，经持续药物治疗后无改善，冠状动脉搭桥手术及经</w:t>
      </w:r>
      <w:r>
        <w:rPr>
          <w:spacing w:val="-2"/>
        </w:rPr>
        <w:t>皮血管成形手术已失败或者被认为不适合。实际进行了开胸手术下或者胸</w:t>
      </w:r>
      <w:r>
        <w:rPr>
          <w:spacing w:val="-2"/>
        </w:rPr>
        <w:t>腔镜下的激光心肌血运重建术，但未达到“较重急性心肌梗死”的给付标</w:t>
      </w:r>
      <w:r>
        <w:rPr>
          <w:spacing w:val="-6"/>
        </w:rPr>
        <w:t>准。</w:t>
      </w:r>
    </w:p>
    <w:p>
      <w:pPr>
        <w:pStyle w:val="BodyText"/>
        <w:spacing w:line="278" w:lineRule="auto" w:before="76"/>
        <w:ind w:left="212" w:right="684"/>
        <w:jc w:val="both"/>
      </w:pPr>
      <w:r>
        <w:rPr>
          <w:color w:val="000000"/>
          <w:spacing w:val="-16"/>
          <w:shd w:fill="A6A6A6" w:color="auto" w:val="clear"/>
        </w:rPr>
        <w:t>我们对“较轻急性心肌梗死”、“冠状动脉介入手术”和“激光心肌血运重</w:t>
      </w:r>
      <w:r>
        <w:rPr>
          <w:color w:val="000000"/>
          <w:spacing w:val="-2"/>
          <w:shd w:fill="A6A6A6" w:color="auto" w:val="clear"/>
        </w:rPr>
        <w:t>建术”三项中的其中一项承担保险责任，给付其中一项保险金后，对其他</w:t>
      </w:r>
      <w:r>
        <w:rPr>
          <w:color w:val="000000"/>
          <w:spacing w:val="40"/>
          <w:shd w:fill="A6A6A6" w:color="auto" w:val="clear"/>
        </w:rPr>
        <w:t> </w:t>
      </w:r>
      <w:r>
        <w:rPr>
          <w:color w:val="000000"/>
          <w:spacing w:val="-2"/>
          <w:shd w:fill="A6A6A6" w:color="auto" w:val="clear"/>
        </w:rPr>
        <w:t>两项轻症疾病保险责任同时终止。</w:t>
      </w:r>
    </w:p>
    <w:p>
      <w:pPr>
        <w:spacing w:after="0" w:line="278" w:lineRule="auto"/>
        <w:jc w:val="both"/>
        <w:sectPr>
          <w:type w:val="continuous"/>
          <w:pgSz w:w="11910" w:h="16840"/>
          <w:pgMar w:top="680" w:bottom="280" w:left="920" w:right="440"/>
          <w:cols w:num="2" w:equalWidth="0">
            <w:col w:w="2861" w:space="40"/>
            <w:col w:w="7649"/>
          </w:cols>
        </w:sectPr>
      </w:pPr>
    </w:p>
    <w:p>
      <w:pPr>
        <w:pStyle w:val="Heading1"/>
        <w:numPr>
          <w:ilvl w:val="2"/>
          <w:numId w:val="64"/>
        </w:numPr>
        <w:tabs>
          <w:tab w:pos="1381" w:val="left" w:leader="none"/>
          <w:tab w:pos="1382" w:val="left" w:leader="none"/>
        </w:tabs>
        <w:spacing w:line="350" w:lineRule="exact" w:before="75" w:after="0"/>
        <w:ind w:left="1382" w:right="0" w:hanging="1170"/>
        <w:jc w:val="left"/>
      </w:pPr>
      <w:r>
        <w:rPr>
          <w:spacing w:val="-2"/>
        </w:rPr>
        <w:t>心脏瓣膜手术</w:t>
      </w:r>
    </w:p>
    <w:p>
      <w:pPr>
        <w:spacing w:line="194" w:lineRule="auto" w:before="15"/>
        <w:ind w:left="1382" w:right="0" w:firstLine="0"/>
        <w:jc w:val="left"/>
        <w:rPr>
          <w:rFonts w:ascii="微软雅黑" w:eastAsia="微软雅黑"/>
          <w:b/>
          <w:sz w:val="21"/>
        </w:rPr>
      </w:pPr>
      <w:r>
        <w:rPr>
          <w:rFonts w:ascii="微软雅黑" w:eastAsia="微软雅黑"/>
          <w:b/>
          <w:spacing w:val="-2"/>
          <w:sz w:val="21"/>
        </w:rPr>
        <w:t>（非切开心脏手</w:t>
      </w:r>
      <w:r>
        <w:rPr>
          <w:rFonts w:ascii="微软雅黑" w:eastAsia="微软雅黑"/>
          <w:b/>
          <w:spacing w:val="-6"/>
          <w:sz w:val="21"/>
        </w:rPr>
        <w:t>术）</w:t>
      </w:r>
    </w:p>
    <w:p>
      <w:pPr>
        <w:pStyle w:val="BodyText"/>
        <w:spacing w:line="278" w:lineRule="auto" w:before="142"/>
        <w:ind w:left="212" w:right="684"/>
      </w:pPr>
      <w:r>
        <w:rPr/>
        <w:br w:type="column"/>
      </w:r>
      <w:r>
        <w:rPr>
          <w:spacing w:val="-2"/>
        </w:rPr>
        <w:t>指为了治疗心脏瓣膜疾病，被保险人实际接受了非切开心脏的心脏瓣膜置</w:t>
      </w:r>
      <w:r>
        <w:rPr>
          <w:spacing w:val="-2"/>
        </w:rPr>
        <w:t>换或修复手术。</w:t>
      </w:r>
    </w:p>
    <w:p>
      <w:pPr>
        <w:spacing w:after="0" w:line="278" w:lineRule="auto"/>
        <w:sectPr>
          <w:type w:val="continuous"/>
          <w:pgSz w:w="11910" w:h="16840"/>
          <w:pgMar w:top="680" w:bottom="280" w:left="920" w:right="440"/>
          <w:cols w:num="2" w:equalWidth="0">
            <w:col w:w="2861" w:space="40"/>
            <w:col w:w="7649"/>
          </w:cols>
        </w:sectPr>
      </w:pPr>
    </w:p>
    <w:p>
      <w:pPr>
        <w:pStyle w:val="ListParagraph"/>
        <w:numPr>
          <w:ilvl w:val="2"/>
          <w:numId w:val="64"/>
        </w:numPr>
        <w:tabs>
          <w:tab w:pos="1381" w:val="left" w:leader="none"/>
          <w:tab w:pos="1382" w:val="left" w:leader="none"/>
          <w:tab w:pos="3112" w:val="left" w:leader="none"/>
        </w:tabs>
        <w:spacing w:line="383" w:lineRule="exact" w:before="86" w:after="0"/>
        <w:ind w:left="1382" w:right="0" w:hanging="1170"/>
        <w:jc w:val="left"/>
        <w:rPr>
          <w:sz w:val="21"/>
        </w:rPr>
      </w:pPr>
      <w:r>
        <w:rPr>
          <w:rFonts w:ascii="微软雅黑" w:eastAsia="微软雅黑"/>
          <w:b/>
          <w:sz w:val="21"/>
        </w:rPr>
        <w:t>中度听力受</w:t>
      </w:r>
      <w:r>
        <w:rPr>
          <w:rFonts w:ascii="微软雅黑" w:eastAsia="微软雅黑"/>
          <w:b/>
          <w:spacing w:val="-10"/>
          <w:sz w:val="21"/>
        </w:rPr>
        <w:t>损</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双</w:t>
      </w:r>
      <w:r>
        <w:rPr>
          <w:spacing w:val="-2"/>
          <w:sz w:val="21"/>
        </w:rPr>
        <w:t>耳</w:t>
      </w:r>
      <w:r>
        <w:rPr>
          <w:spacing w:val="-2"/>
          <w:sz w:val="21"/>
        </w:rPr>
        <w:t>听力永久不可逆性丧失，在</w:t>
      </w:r>
      <w:r>
        <w:rPr>
          <w:spacing w:val="-29"/>
          <w:sz w:val="21"/>
        </w:rPr>
        <w:t> </w:t>
      </w:r>
      <w:r>
        <w:rPr>
          <w:spacing w:val="-2"/>
          <w:sz w:val="21"/>
        </w:rPr>
        <w:t>500</w:t>
      </w:r>
      <w:r>
        <w:rPr>
          <w:spacing w:val="-31"/>
          <w:sz w:val="21"/>
        </w:rPr>
        <w:t> </w:t>
      </w:r>
      <w:r>
        <w:rPr>
          <w:spacing w:val="-2"/>
          <w:sz w:val="21"/>
        </w:rPr>
        <w:t>赫兹，1000</w:t>
      </w:r>
    </w:p>
    <w:p>
      <w:pPr>
        <w:pStyle w:val="BodyText"/>
        <w:spacing w:line="278" w:lineRule="auto"/>
        <w:ind w:right="580"/>
      </w:pPr>
      <w:r>
        <w:rPr>
          <w:spacing w:val="-15"/>
        </w:rPr>
        <w:t>赫兹和 </w:t>
      </w:r>
      <w:r>
        <w:rPr>
          <w:spacing w:val="-4"/>
        </w:rPr>
        <w:t>2000</w:t>
      </w:r>
      <w:r>
        <w:rPr>
          <w:spacing w:val="-14"/>
        </w:rPr>
        <w:t> 赫兹语音频率下，平均听阈大于 </w:t>
      </w:r>
      <w:r>
        <w:rPr>
          <w:spacing w:val="-4"/>
        </w:rPr>
        <w:t>80</w:t>
      </w:r>
      <w:r>
        <w:rPr>
          <w:spacing w:val="-11"/>
        </w:rPr>
        <w:t> 分贝。需有纯音听力测试、</w:t>
      </w:r>
      <w:r>
        <w:rPr>
          <w:spacing w:val="-2"/>
        </w:rPr>
        <w:t>声道抗检测或听觉诱发电位检测等证实，但未达到“双耳失聪”的给付标</w:t>
      </w:r>
      <w:r>
        <w:rPr>
          <w:spacing w:val="-6"/>
        </w:rPr>
        <w:t>准。</w:t>
      </w:r>
    </w:p>
    <w:p>
      <w:pPr>
        <w:pStyle w:val="BodyText"/>
        <w:spacing w:line="278" w:lineRule="auto" w:before="74"/>
        <w:ind w:right="684"/>
      </w:pPr>
      <w:r>
        <w:rPr>
          <w:color w:val="000000"/>
          <w:spacing w:val="-2"/>
          <w:shd w:fill="A6A6A6" w:color="auto" w:val="clear"/>
        </w:rPr>
        <w:t>被保险人申请理赔时年龄必须年满三周岁，并且提供理赔当时的听力丧失</w:t>
      </w:r>
      <w:r>
        <w:rPr>
          <w:color w:val="000000"/>
          <w:spacing w:val="80"/>
          <w:w w:val="150"/>
          <w:shd w:fill="A6A6A6" w:color="auto" w:val="clear"/>
        </w:rPr>
        <w:t>                                     </w:t>
      </w:r>
      <w:r>
        <w:rPr>
          <w:color w:val="000000"/>
          <w:spacing w:val="-2"/>
          <w:shd w:fill="A6A6A6" w:color="auto" w:val="clear"/>
        </w:rPr>
        <w:t>诊断及检查证据。</w:t>
      </w:r>
    </w:p>
    <w:p>
      <w:pPr>
        <w:pStyle w:val="BodyText"/>
        <w:spacing w:line="278" w:lineRule="auto" w:before="77"/>
        <w:ind w:right="684"/>
        <w:jc w:val="both"/>
      </w:pPr>
      <w:r>
        <w:rPr>
          <w:color w:val="000000"/>
          <w:spacing w:val="-24"/>
          <w:shd w:fill="A6A6A6" w:color="auto" w:val="clear"/>
        </w:rPr>
        <w:t>我们对“中度听力受损”、“单耳失聪”、“人工耳蜗植入术”三项中的其中</w:t>
      </w:r>
      <w:r>
        <w:rPr>
          <w:color w:val="000000"/>
          <w:spacing w:val="40"/>
          <w:shd w:fill="A6A6A6" w:color="auto" w:val="clear"/>
        </w:rPr>
        <w:t> </w:t>
      </w:r>
      <w:r>
        <w:rPr>
          <w:color w:val="000000"/>
          <w:spacing w:val="-2"/>
          <w:shd w:fill="A6A6A6" w:color="auto" w:val="clear"/>
        </w:rPr>
        <w:t>一项承担保险责任，给付其中一项保险金后，对另两项轻症疾病保险责任</w:t>
      </w:r>
      <w:r>
        <w:rPr>
          <w:color w:val="000000"/>
          <w:spacing w:val="-2"/>
          <w:shd w:fill="A6A6A6" w:color="auto" w:val="clear"/>
        </w:rPr>
        <w:t>同时终止。</w:t>
      </w:r>
    </w:p>
    <w:p>
      <w:pPr>
        <w:pStyle w:val="ListParagraph"/>
        <w:numPr>
          <w:ilvl w:val="2"/>
          <w:numId w:val="64"/>
        </w:numPr>
        <w:tabs>
          <w:tab w:pos="1382" w:val="left" w:leader="none"/>
          <w:tab w:pos="3112" w:val="left" w:leader="none"/>
        </w:tabs>
        <w:spacing w:line="383" w:lineRule="exact" w:before="77" w:after="0"/>
        <w:ind w:left="1382" w:right="0" w:hanging="1170"/>
        <w:jc w:val="both"/>
        <w:rPr>
          <w:sz w:val="21"/>
        </w:rPr>
      </w:pPr>
      <w:r>
        <w:rPr>
          <w:rFonts w:ascii="微软雅黑" w:eastAsia="微软雅黑"/>
          <w:b/>
          <w:sz w:val="21"/>
        </w:rPr>
        <w:t>单耳失</w:t>
      </w:r>
      <w:r>
        <w:rPr>
          <w:rFonts w:ascii="微软雅黑" w:eastAsia="微软雅黑"/>
          <w:b/>
          <w:spacing w:val="-10"/>
          <w:sz w:val="21"/>
        </w:rPr>
        <w:t>聪</w:t>
      </w:r>
      <w:r>
        <w:rPr>
          <w:rFonts w:ascii="微软雅黑" w:eastAsia="微软雅黑"/>
          <w:b/>
          <w:sz w:val="21"/>
        </w:rPr>
        <w:tab/>
      </w:r>
      <w:r>
        <w:rPr>
          <w:spacing w:val="-2"/>
          <w:sz w:val="21"/>
        </w:rPr>
        <w:t>指</w:t>
      </w:r>
      <w:r>
        <w:rPr>
          <w:spacing w:val="-2"/>
          <w:sz w:val="21"/>
        </w:rPr>
        <w:t>因</w:t>
      </w:r>
      <w:r>
        <w:rPr>
          <w:spacing w:val="-2"/>
          <w:sz w:val="21"/>
        </w:rPr>
        <w:t>疾病或者意外伤害导</w:t>
      </w:r>
      <w:r>
        <w:rPr>
          <w:spacing w:val="-2"/>
          <w:sz w:val="21"/>
        </w:rPr>
        <w:t>致</w:t>
      </w:r>
      <w:r>
        <w:rPr>
          <w:spacing w:val="-2"/>
          <w:sz w:val="21"/>
        </w:rPr>
        <w:t>单</w:t>
      </w:r>
      <w:r>
        <w:rPr>
          <w:spacing w:val="-2"/>
          <w:sz w:val="21"/>
        </w:rPr>
        <w:t>耳听力永久不可逆性</w:t>
      </w:r>
      <w:r>
        <w:rPr>
          <w:spacing w:val="-2"/>
          <w:sz w:val="21"/>
        </w:rPr>
        <w:t>丧</w:t>
      </w:r>
      <w:r>
        <w:rPr>
          <w:spacing w:val="-2"/>
          <w:sz w:val="21"/>
        </w:rPr>
        <w:t>失</w:t>
      </w:r>
      <w:r>
        <w:rPr>
          <w:spacing w:val="-97"/>
          <w:sz w:val="21"/>
        </w:rPr>
        <w:t>，</w:t>
      </w:r>
      <w:r>
        <w:rPr>
          <w:spacing w:val="-2"/>
          <w:sz w:val="21"/>
        </w:rPr>
        <w:t>在</w:t>
      </w:r>
      <w:r>
        <w:rPr>
          <w:spacing w:val="-40"/>
          <w:sz w:val="21"/>
        </w:rPr>
        <w:t> </w:t>
      </w:r>
      <w:r>
        <w:rPr>
          <w:spacing w:val="-2"/>
          <w:sz w:val="21"/>
        </w:rPr>
        <w:t>500</w:t>
      </w:r>
      <w:r>
        <w:rPr>
          <w:spacing w:val="-41"/>
          <w:sz w:val="21"/>
        </w:rPr>
        <w:t> </w:t>
      </w:r>
      <w:r>
        <w:rPr>
          <w:spacing w:val="-2"/>
          <w:sz w:val="21"/>
        </w:rPr>
        <w:t>赫兹</w:t>
      </w:r>
      <w:r>
        <w:rPr>
          <w:spacing w:val="-94"/>
          <w:sz w:val="21"/>
        </w:rPr>
        <w:t>、</w:t>
      </w:r>
      <w:r>
        <w:rPr>
          <w:spacing w:val="-4"/>
          <w:sz w:val="21"/>
        </w:rPr>
        <w:t>1000</w:t>
      </w:r>
    </w:p>
    <w:p>
      <w:pPr>
        <w:pStyle w:val="BodyText"/>
        <w:spacing w:line="278" w:lineRule="auto"/>
        <w:ind w:right="683"/>
        <w:jc w:val="both"/>
      </w:pPr>
      <w:r>
        <w:rPr>
          <w:w w:val="95"/>
        </w:rPr>
        <w:t>赫</w:t>
      </w:r>
      <w:r>
        <w:rPr>
          <w:w w:val="95"/>
        </w:rPr>
        <w:t>兹</w:t>
      </w:r>
      <w:r>
        <w:rPr>
          <w:w w:val="95"/>
        </w:rPr>
        <w:t>和</w:t>
      </w:r>
      <w:r>
        <w:rPr>
          <w:w w:val="95"/>
        </w:rPr>
        <w:t> 2000 赫兹语音</w:t>
      </w:r>
      <w:r>
        <w:rPr>
          <w:w w:val="95"/>
        </w:rPr>
        <w:t>频</w:t>
      </w:r>
      <w:r>
        <w:rPr>
          <w:w w:val="95"/>
        </w:rPr>
        <w:t>率</w:t>
      </w:r>
      <w:r>
        <w:rPr>
          <w:w w:val="95"/>
        </w:rPr>
        <w:t>下</w:t>
      </w:r>
      <w:r>
        <w:rPr>
          <w:w w:val="95"/>
        </w:rPr>
        <w:t>，平均听阈大于等于 91 </w:t>
      </w:r>
      <w:r>
        <w:rPr>
          <w:w w:val="95"/>
        </w:rPr>
        <w:t>分</w:t>
      </w:r>
      <w:r>
        <w:rPr>
          <w:w w:val="95"/>
        </w:rPr>
        <w:t>贝</w:t>
      </w:r>
      <w:r>
        <w:rPr>
          <w:w w:val="95"/>
        </w:rPr>
        <w:t>，且经纯音</w:t>
      </w:r>
      <w:r>
        <w:rPr>
          <w:w w:val="95"/>
        </w:rPr>
        <w:t>听</w:t>
      </w:r>
      <w:r>
        <w:rPr>
          <w:w w:val="95"/>
        </w:rPr>
        <w:t>力</w:t>
      </w:r>
      <w:r>
        <w:rPr>
          <w:spacing w:val="-2"/>
        </w:rPr>
        <w:t>测试、声导抗检测或听觉诱发电位检测等证实，但未达到“双耳失聪”的</w:t>
      </w:r>
      <w:r>
        <w:rPr>
          <w:spacing w:val="-2"/>
        </w:rPr>
        <w:t>给付标准。</w:t>
      </w:r>
    </w:p>
    <w:p>
      <w:pPr>
        <w:pStyle w:val="BodyText"/>
        <w:spacing w:line="278" w:lineRule="auto" w:before="72"/>
        <w:ind w:right="684"/>
      </w:pPr>
      <w:r>
        <w:rPr>
          <w:color w:val="000000"/>
          <w:spacing w:val="-2"/>
          <w:shd w:fill="A6A6A6" w:color="auto" w:val="clear"/>
        </w:rPr>
        <w:t>被保险人申请理赔时年龄必须年满三周岁，并且提供理赔当时的听力丧失</w:t>
      </w:r>
      <w:r>
        <w:rPr>
          <w:color w:val="000000"/>
          <w:spacing w:val="80"/>
          <w:w w:val="150"/>
          <w:shd w:fill="A6A6A6" w:color="auto" w:val="clear"/>
        </w:rPr>
        <w:t>                                     </w:t>
      </w:r>
      <w:r>
        <w:rPr>
          <w:color w:val="000000"/>
          <w:spacing w:val="-2"/>
          <w:shd w:fill="A6A6A6" w:color="auto" w:val="clear"/>
        </w:rPr>
        <w:t>诊断及检查证据。</w:t>
      </w:r>
    </w:p>
    <w:p>
      <w:pPr>
        <w:pStyle w:val="BodyText"/>
        <w:spacing w:line="278" w:lineRule="auto" w:before="79"/>
        <w:ind w:right="684"/>
        <w:jc w:val="both"/>
      </w:pPr>
      <w:r>
        <w:rPr>
          <w:color w:val="000000"/>
          <w:spacing w:val="-24"/>
          <w:shd w:fill="A6A6A6" w:color="auto" w:val="clear"/>
        </w:rPr>
        <w:t>我们对“中度听力受损”、“单耳失聪”、“人工耳蜗植入术”三项中的其中</w:t>
      </w:r>
      <w:r>
        <w:rPr>
          <w:color w:val="000000"/>
          <w:spacing w:val="40"/>
          <w:shd w:fill="A6A6A6" w:color="auto" w:val="clear"/>
        </w:rPr>
        <w:t> </w:t>
      </w:r>
      <w:r>
        <w:rPr>
          <w:color w:val="000000"/>
          <w:spacing w:val="-2"/>
          <w:shd w:fill="A6A6A6" w:color="auto" w:val="clear"/>
        </w:rPr>
        <w:t>一项承担保险责任，给付其中一项保险金后，对另两项轻症疾病保险责任</w:t>
      </w:r>
      <w:r>
        <w:rPr>
          <w:color w:val="000000"/>
          <w:spacing w:val="-2"/>
          <w:shd w:fill="A6A6A6" w:color="auto" w:val="clear"/>
        </w:rPr>
        <w:t>同时终止。</w:t>
      </w:r>
    </w:p>
    <w:p>
      <w:pPr>
        <w:pStyle w:val="ListParagraph"/>
        <w:numPr>
          <w:ilvl w:val="2"/>
          <w:numId w:val="64"/>
        </w:numPr>
        <w:tabs>
          <w:tab w:pos="1381" w:val="left" w:leader="none"/>
          <w:tab w:pos="1382" w:val="left" w:leader="none"/>
          <w:tab w:pos="3112" w:val="left" w:leader="none"/>
        </w:tabs>
        <w:spacing w:line="383" w:lineRule="exact" w:before="75" w:after="0"/>
        <w:ind w:left="1382" w:right="0" w:hanging="1170"/>
        <w:jc w:val="left"/>
        <w:rPr>
          <w:sz w:val="21"/>
        </w:rPr>
      </w:pPr>
      <w:r>
        <w:rPr>
          <w:rFonts w:ascii="微软雅黑" w:eastAsia="微软雅黑"/>
          <w:b/>
          <w:sz w:val="21"/>
        </w:rPr>
        <w:t>人工耳蜗植入</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由</w:t>
      </w:r>
      <w:r>
        <w:rPr>
          <w:spacing w:val="-2"/>
          <w:sz w:val="21"/>
        </w:rPr>
        <w:t>于</w:t>
      </w:r>
      <w:r>
        <w:rPr>
          <w:spacing w:val="-2"/>
          <w:sz w:val="21"/>
        </w:rPr>
        <w:t>耳</w:t>
      </w:r>
      <w:r>
        <w:rPr>
          <w:spacing w:val="-2"/>
          <w:sz w:val="21"/>
        </w:rPr>
        <w:t>蜗</w:t>
      </w:r>
      <w:r>
        <w:rPr>
          <w:spacing w:val="-2"/>
          <w:sz w:val="21"/>
        </w:rPr>
        <w:t>的</w:t>
      </w:r>
      <w:r>
        <w:rPr>
          <w:spacing w:val="-2"/>
          <w:sz w:val="21"/>
        </w:rPr>
        <w:t>永</w:t>
      </w:r>
      <w:r>
        <w:rPr>
          <w:spacing w:val="-2"/>
          <w:sz w:val="21"/>
        </w:rPr>
        <w:t>久</w:t>
      </w:r>
      <w:r>
        <w:rPr>
          <w:spacing w:val="-2"/>
          <w:sz w:val="21"/>
        </w:rPr>
        <w:t>损</w:t>
      </w:r>
      <w:r>
        <w:rPr>
          <w:spacing w:val="-2"/>
          <w:sz w:val="21"/>
        </w:rPr>
        <w:t>害</w:t>
      </w:r>
      <w:r>
        <w:rPr>
          <w:spacing w:val="-2"/>
          <w:sz w:val="21"/>
        </w:rPr>
        <w:t>而</w:t>
      </w:r>
      <w:r>
        <w:rPr>
          <w:spacing w:val="-2"/>
          <w:sz w:val="21"/>
        </w:rPr>
        <w:t>实</w:t>
      </w:r>
      <w:r>
        <w:rPr>
          <w:spacing w:val="-2"/>
          <w:sz w:val="21"/>
        </w:rPr>
        <w:t>际</w:t>
      </w:r>
      <w:r>
        <w:rPr>
          <w:spacing w:val="-2"/>
          <w:sz w:val="21"/>
        </w:rPr>
        <w:t>实</w:t>
      </w:r>
      <w:r>
        <w:rPr>
          <w:spacing w:val="-2"/>
          <w:sz w:val="21"/>
        </w:rPr>
        <w:t>施</w:t>
      </w:r>
      <w:r>
        <w:rPr>
          <w:spacing w:val="-2"/>
          <w:sz w:val="21"/>
        </w:rPr>
        <w:t>了</w:t>
      </w:r>
      <w:r>
        <w:rPr>
          <w:spacing w:val="-2"/>
          <w:sz w:val="21"/>
        </w:rPr>
        <w:t>人</w:t>
      </w:r>
      <w:r>
        <w:rPr>
          <w:spacing w:val="-2"/>
          <w:sz w:val="21"/>
        </w:rPr>
        <w:t>工</w:t>
      </w:r>
      <w:r>
        <w:rPr>
          <w:spacing w:val="-2"/>
          <w:sz w:val="21"/>
        </w:rPr>
        <w:t>耳</w:t>
      </w:r>
      <w:r>
        <w:rPr>
          <w:spacing w:val="-2"/>
          <w:sz w:val="21"/>
        </w:rPr>
        <w:t>蜗</w:t>
      </w:r>
      <w:r>
        <w:rPr>
          <w:spacing w:val="-2"/>
          <w:sz w:val="21"/>
        </w:rPr>
        <w:t>植</w:t>
      </w:r>
      <w:r>
        <w:rPr>
          <w:spacing w:val="-2"/>
          <w:sz w:val="21"/>
        </w:rPr>
        <w:t>入</w:t>
      </w:r>
      <w:r>
        <w:rPr>
          <w:spacing w:val="-2"/>
          <w:sz w:val="21"/>
        </w:rPr>
        <w:t>手</w:t>
      </w:r>
      <w:r>
        <w:rPr>
          <w:spacing w:val="-2"/>
          <w:sz w:val="21"/>
        </w:rPr>
        <w:t>术</w:t>
      </w:r>
      <w:r>
        <w:rPr>
          <w:spacing w:val="-2"/>
          <w:sz w:val="21"/>
        </w:rPr>
        <w:t>。</w:t>
      </w:r>
      <w:r>
        <w:rPr>
          <w:spacing w:val="-2"/>
          <w:sz w:val="21"/>
        </w:rPr>
        <w:t>需</w:t>
      </w:r>
      <w:r>
        <w:rPr>
          <w:spacing w:val="-2"/>
          <w:sz w:val="21"/>
        </w:rPr>
        <w:t>经</w:t>
      </w:r>
      <w:r>
        <w:rPr>
          <w:spacing w:val="-2"/>
          <w:sz w:val="21"/>
        </w:rPr>
        <w:t>专</w:t>
      </w:r>
      <w:r>
        <w:rPr>
          <w:spacing w:val="-2"/>
          <w:sz w:val="21"/>
        </w:rPr>
        <w:t>科</w:t>
      </w:r>
      <w:r>
        <w:rPr>
          <w:spacing w:val="-2"/>
          <w:sz w:val="21"/>
        </w:rPr>
        <w:t>医</w:t>
      </w:r>
      <w:r>
        <w:rPr>
          <w:spacing w:val="-2"/>
          <w:sz w:val="21"/>
        </w:rPr>
        <w:t>生</w:t>
      </w:r>
      <w:r>
        <w:rPr>
          <w:spacing w:val="-10"/>
          <w:sz w:val="21"/>
        </w:rPr>
        <w:t>确</w:t>
      </w:r>
    </w:p>
    <w:p>
      <w:pPr>
        <w:pStyle w:val="BodyText"/>
        <w:spacing w:line="278" w:lineRule="auto"/>
        <w:ind w:right="684"/>
      </w:pPr>
      <w:r>
        <w:rPr>
          <w:spacing w:val="-2"/>
        </w:rPr>
        <w:t>认手术在医学上是必要的，且在植入手术之前已经符合下列全部条件，但</w:t>
      </w:r>
      <w:r>
        <w:rPr>
          <w:spacing w:val="-2"/>
        </w:rPr>
        <w:t>未达到“双耳失聪”的给付标准：</w:t>
      </w:r>
    </w:p>
    <w:p>
      <w:pPr>
        <w:pStyle w:val="ListParagraph"/>
        <w:numPr>
          <w:ilvl w:val="3"/>
          <w:numId w:val="64"/>
        </w:numPr>
        <w:tabs>
          <w:tab w:pos="3431" w:val="left" w:leader="none"/>
        </w:tabs>
        <w:spacing w:line="278" w:lineRule="auto" w:before="0" w:after="0"/>
        <w:ind w:left="3113" w:right="3017" w:firstLine="0"/>
        <w:jc w:val="left"/>
        <w:rPr>
          <w:sz w:val="21"/>
        </w:rPr>
      </w:pPr>
      <w:r>
        <w:rPr>
          <w:spacing w:val="-12"/>
          <w:sz w:val="21"/>
        </w:rPr>
        <w:t>双耳持续 </w:t>
      </w:r>
      <w:r>
        <w:rPr>
          <w:spacing w:val="-2"/>
          <w:sz w:val="21"/>
        </w:rPr>
        <w:t>12</w:t>
      </w:r>
      <w:r>
        <w:rPr>
          <w:spacing w:val="-10"/>
          <w:sz w:val="21"/>
        </w:rPr>
        <w:t> 个月以上重度感音神经性耳聋；</w:t>
      </w:r>
      <w:r>
        <w:rPr>
          <w:spacing w:val="-2"/>
          <w:sz w:val="21"/>
        </w:rPr>
        <w:t> (2)使用相应的听力辅助设备效果不佳。</w:t>
      </w:r>
    </w:p>
    <w:p>
      <w:pPr>
        <w:spacing w:after="0" w:line="278" w:lineRule="auto"/>
        <w:jc w:val="left"/>
        <w:rPr>
          <w:sz w:val="21"/>
        </w:rPr>
        <w:sectPr>
          <w:type w:val="continuous"/>
          <w:pgSz w:w="11910" w:h="16840"/>
          <w:pgMar w:top="68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31"/>
      </w:tblGrid>
      <w:tr>
        <w:trPr>
          <w:trHeight w:val="956" w:hRule="atLeast"/>
        </w:trPr>
        <w:tc>
          <w:tcPr>
            <w:tcW w:w="2823" w:type="dxa"/>
            <w:gridSpan w:val="2"/>
          </w:tcPr>
          <w:p>
            <w:pPr>
              <w:pStyle w:val="TableParagraph"/>
              <w:rPr>
                <w:rFonts w:ascii="Times New Roman"/>
                <w:sz w:val="20"/>
              </w:rPr>
            </w:pPr>
          </w:p>
        </w:tc>
        <w:tc>
          <w:tcPr>
            <w:tcW w:w="7031" w:type="dxa"/>
          </w:tcPr>
          <w:p>
            <w:pPr>
              <w:pStyle w:val="TableParagraph"/>
              <w:spacing w:line="232" w:lineRule="exact"/>
              <w:ind w:left="127"/>
              <w:rPr>
                <w:sz w:val="21"/>
              </w:rPr>
            </w:pPr>
            <w:r>
              <w:rPr>
                <w:color w:val="000000"/>
                <w:spacing w:val="-24"/>
                <w:sz w:val="21"/>
                <w:shd w:fill="A6A6A6" w:color="auto" w:val="clear"/>
              </w:rPr>
              <w:t>我们对“中度听力受损”、“单耳失聪”、“人工耳蜗植入术”三项中的其中</w:t>
            </w:r>
          </w:p>
          <w:p>
            <w:pPr>
              <w:pStyle w:val="TableParagraph"/>
              <w:spacing w:line="278" w:lineRule="auto" w:before="43"/>
              <w:ind w:left="127" w:right="155"/>
              <w:rPr>
                <w:sz w:val="21"/>
              </w:rPr>
            </w:pPr>
            <w:r>
              <w:rPr>
                <w:color w:val="000000"/>
                <w:spacing w:val="-2"/>
                <w:sz w:val="21"/>
                <w:shd w:fill="A6A6A6" w:color="auto" w:val="clear"/>
              </w:rPr>
              <w:t>一项承担保险责任，给付其中一项保险金后，对其他两项轻症疾病保险责</w:t>
            </w:r>
            <w:r>
              <w:rPr>
                <w:color w:val="000000"/>
                <w:spacing w:val="80"/>
                <w:w w:val="150"/>
                <w:sz w:val="21"/>
                <w:shd w:fill="A6A6A6" w:color="auto" w:val="clear"/>
              </w:rPr>
              <w:t>                                     </w:t>
            </w:r>
            <w:r>
              <w:rPr>
                <w:color w:val="000000"/>
                <w:spacing w:val="-2"/>
                <w:sz w:val="21"/>
                <w:shd w:fill="A6A6A6" w:color="auto" w:val="clear"/>
              </w:rPr>
              <w:t>任同时终止。</w:t>
            </w:r>
          </w:p>
        </w:tc>
      </w:tr>
      <w:tr>
        <w:trPr>
          <w:trHeight w:val="1669" w:hRule="atLeast"/>
        </w:trPr>
        <w:tc>
          <w:tcPr>
            <w:tcW w:w="1005" w:type="dxa"/>
          </w:tcPr>
          <w:p>
            <w:pPr>
              <w:pStyle w:val="TableParagraph"/>
              <w:spacing w:before="17"/>
              <w:ind w:left="50"/>
              <w:rPr>
                <w:rFonts w:ascii="微软雅黑"/>
                <w:b/>
                <w:sz w:val="21"/>
              </w:rPr>
            </w:pPr>
            <w:r>
              <w:rPr>
                <w:rFonts w:ascii="微软雅黑"/>
                <w:b/>
                <w:spacing w:val="-2"/>
                <w:sz w:val="21"/>
              </w:rPr>
              <w:t>12.1.10</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视力严重受损</w:t>
            </w:r>
          </w:p>
        </w:tc>
        <w:tc>
          <w:tcPr>
            <w:tcW w:w="7031" w:type="dxa"/>
          </w:tcPr>
          <w:p>
            <w:pPr>
              <w:pStyle w:val="TableParagraph"/>
              <w:spacing w:line="278" w:lineRule="auto" w:before="84"/>
              <w:ind w:left="127" w:right="48"/>
              <w:rPr>
                <w:sz w:val="21"/>
              </w:rPr>
            </w:pPr>
            <w:r>
              <w:rPr>
                <w:spacing w:val="-2"/>
                <w:sz w:val="21"/>
              </w:rPr>
              <w:t>指被保险人因疾病或意外伤害导致双眼视力永久不可逆性丧失，但未达到</w:t>
            </w:r>
            <w:r>
              <w:rPr>
                <w:spacing w:val="-2"/>
                <w:sz w:val="21"/>
              </w:rPr>
              <w:t> </w:t>
            </w:r>
            <w:r>
              <w:rPr>
                <w:spacing w:val="-4"/>
                <w:sz w:val="21"/>
              </w:rPr>
              <w:t>“双目失明”和“严重巨细胞动脉炎”的给付标准，且满足下列条件之一： </w:t>
            </w:r>
            <w:r>
              <w:rPr>
                <w:sz w:val="21"/>
              </w:rPr>
              <w:t>(1)</w:t>
            </w:r>
            <w:r>
              <w:rPr>
                <w:spacing w:val="-4"/>
                <w:sz w:val="21"/>
              </w:rPr>
              <w:t>双眼中较好眼矫正视力低于 </w:t>
            </w:r>
            <w:r>
              <w:rPr>
                <w:sz w:val="21"/>
              </w:rPr>
              <w:t>0.1（采用国际标准视力表，如果使用其他</w:t>
            </w:r>
            <w:r>
              <w:rPr>
                <w:spacing w:val="-2"/>
                <w:sz w:val="21"/>
              </w:rPr>
              <w:t>视力表应进行换算</w:t>
            </w:r>
            <w:r>
              <w:rPr>
                <w:spacing w:val="-108"/>
                <w:sz w:val="21"/>
              </w:rPr>
              <w:t>）</w:t>
            </w:r>
            <w:r>
              <w:rPr>
                <w:sz w:val="21"/>
              </w:rPr>
              <w:t>；</w:t>
            </w:r>
          </w:p>
          <w:p>
            <w:pPr>
              <w:pStyle w:val="TableParagraph"/>
              <w:spacing w:line="269" w:lineRule="exact"/>
              <w:ind w:left="127"/>
              <w:rPr>
                <w:sz w:val="21"/>
              </w:rPr>
            </w:pPr>
            <w:r>
              <w:rPr>
                <w:spacing w:val="-2"/>
                <w:sz w:val="21"/>
              </w:rPr>
              <w:t>(2)</w:t>
            </w:r>
            <w:r>
              <w:rPr>
                <w:spacing w:val="-6"/>
                <w:sz w:val="21"/>
              </w:rPr>
              <w:t>双眼中较好眼视野半径小于 </w:t>
            </w:r>
            <w:r>
              <w:rPr>
                <w:spacing w:val="-2"/>
                <w:sz w:val="21"/>
              </w:rPr>
              <w:t>20</w:t>
            </w:r>
            <w:r>
              <w:rPr>
                <w:spacing w:val="-20"/>
                <w:sz w:val="21"/>
              </w:rPr>
              <w:t> 度。</w:t>
            </w:r>
          </w:p>
        </w:tc>
      </w:tr>
      <w:tr>
        <w:trPr>
          <w:trHeight w:val="70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1"/>
              <w:ind w:left="127" w:right="155"/>
              <w:rPr>
                <w:sz w:val="21"/>
              </w:rPr>
            </w:pPr>
            <w:r>
              <w:rPr>
                <w:color w:val="000000"/>
                <w:spacing w:val="-2"/>
                <w:sz w:val="21"/>
                <w:shd w:fill="A6A6A6" w:color="auto" w:val="clear"/>
              </w:rPr>
              <w:t>被保险人申请理赔时年龄必须年满三周岁，并且提供理赔当时的视力丧失</w:t>
            </w:r>
            <w:r>
              <w:rPr>
                <w:color w:val="000000"/>
                <w:spacing w:val="-2"/>
                <w:sz w:val="21"/>
                <w:shd w:fill="A6A6A6" w:color="auto" w:val="clear"/>
              </w:rPr>
              <w:t>诊断及检查证据。</w:t>
            </w:r>
          </w:p>
        </w:tc>
      </w:tr>
      <w:tr>
        <w:trPr>
          <w:trHeight w:val="1047"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2"/>
              <w:ind w:left="127" w:right="155"/>
              <w:jc w:val="both"/>
              <w:rPr>
                <w:sz w:val="21"/>
              </w:rPr>
            </w:pPr>
            <w:r>
              <w:rPr>
                <w:color w:val="000000"/>
                <w:spacing w:val="-24"/>
                <w:sz w:val="21"/>
                <w:shd w:fill="A6A6A6" w:color="auto" w:val="clear"/>
              </w:rPr>
              <w:t>我们对“视力严重受损”、“角膜移植”、“单眼失明”三项中的其中一项承</w:t>
            </w:r>
            <w:r>
              <w:rPr>
                <w:color w:val="000000"/>
                <w:spacing w:val="40"/>
                <w:sz w:val="21"/>
                <w:shd w:fill="A6A6A6" w:color="auto" w:val="clear"/>
              </w:rPr>
              <w:t> </w:t>
            </w:r>
            <w:r>
              <w:rPr>
                <w:color w:val="000000"/>
                <w:spacing w:val="-2"/>
                <w:sz w:val="21"/>
                <w:shd w:fill="A6A6A6" w:color="auto" w:val="clear"/>
              </w:rPr>
              <w:t>担保险责任，给付其中一项保险金后，对其他两项轻症疾病保险责任同时</w:t>
            </w:r>
            <w:r>
              <w:rPr>
                <w:color w:val="000000"/>
                <w:spacing w:val="-4"/>
                <w:sz w:val="21"/>
                <w:shd w:fill="A6A6A6" w:color="auto" w:val="clear"/>
              </w:rPr>
              <w:t>终止。</w:t>
            </w:r>
          </w:p>
        </w:tc>
      </w:tr>
      <w:tr>
        <w:trPr>
          <w:trHeight w:val="1046" w:hRule="atLeast"/>
        </w:trPr>
        <w:tc>
          <w:tcPr>
            <w:tcW w:w="1005" w:type="dxa"/>
          </w:tcPr>
          <w:p>
            <w:pPr>
              <w:pStyle w:val="TableParagraph"/>
              <w:spacing w:before="17"/>
              <w:ind w:left="50"/>
              <w:rPr>
                <w:rFonts w:ascii="微软雅黑"/>
                <w:b/>
                <w:sz w:val="21"/>
              </w:rPr>
            </w:pPr>
            <w:r>
              <w:rPr>
                <w:rFonts w:ascii="微软雅黑"/>
                <w:b/>
                <w:spacing w:val="-2"/>
                <w:sz w:val="21"/>
              </w:rPr>
              <w:t>12.1.11</w:t>
            </w:r>
          </w:p>
        </w:tc>
        <w:tc>
          <w:tcPr>
            <w:tcW w:w="1818" w:type="dxa"/>
          </w:tcPr>
          <w:p>
            <w:pPr>
              <w:pStyle w:val="TableParagraph"/>
              <w:spacing w:before="17"/>
              <w:ind w:left="214"/>
              <w:rPr>
                <w:rFonts w:ascii="微软雅黑" w:eastAsia="微软雅黑"/>
                <w:b/>
                <w:sz w:val="21"/>
              </w:rPr>
            </w:pPr>
            <w:r>
              <w:rPr>
                <w:rFonts w:ascii="微软雅黑" w:eastAsia="微软雅黑"/>
                <w:b/>
                <w:spacing w:val="-3"/>
                <w:sz w:val="21"/>
              </w:rPr>
              <w:t>角膜移植</w:t>
            </w:r>
          </w:p>
        </w:tc>
        <w:tc>
          <w:tcPr>
            <w:tcW w:w="7031" w:type="dxa"/>
          </w:tcPr>
          <w:p>
            <w:pPr>
              <w:pStyle w:val="TableParagraph"/>
              <w:spacing w:line="278" w:lineRule="auto" w:before="84"/>
              <w:ind w:left="127" w:right="155"/>
              <w:jc w:val="both"/>
              <w:rPr>
                <w:sz w:val="21"/>
              </w:rPr>
            </w:pPr>
            <w:r>
              <w:rPr>
                <w:spacing w:val="-2"/>
                <w:sz w:val="21"/>
              </w:rPr>
              <w:t>指为增进视力或治疗某些角膜疾患，已经实施了异体的角膜移植手术，但</w:t>
            </w:r>
            <w:r>
              <w:rPr>
                <w:spacing w:val="-2"/>
                <w:sz w:val="21"/>
              </w:rPr>
              <w:t>未达到“双目失明”和“严重巨细胞动脉炎”的给付标准。此手术必须由</w:t>
            </w:r>
            <w:r>
              <w:rPr>
                <w:spacing w:val="-2"/>
                <w:sz w:val="21"/>
              </w:rPr>
              <w:t>专科医生认为是医疗必须的情况下进行。</w:t>
            </w:r>
          </w:p>
        </w:tc>
      </w:tr>
      <w:tr>
        <w:trPr>
          <w:trHeight w:val="1046"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2"/>
              <w:ind w:left="127" w:right="155"/>
              <w:jc w:val="both"/>
              <w:rPr>
                <w:sz w:val="21"/>
              </w:rPr>
            </w:pPr>
            <w:r>
              <w:rPr>
                <w:color w:val="000000"/>
                <w:spacing w:val="-24"/>
                <w:sz w:val="21"/>
                <w:shd w:fill="A6A6A6" w:color="auto" w:val="clear"/>
              </w:rPr>
              <w:t>我们对“视力严重受损”、“角膜移植”、“单眼失明”三项中的其中一项承</w:t>
            </w:r>
            <w:r>
              <w:rPr>
                <w:color w:val="000000"/>
                <w:spacing w:val="40"/>
                <w:sz w:val="21"/>
                <w:shd w:fill="A6A6A6" w:color="auto" w:val="clear"/>
              </w:rPr>
              <w:t> </w:t>
            </w:r>
            <w:r>
              <w:rPr>
                <w:color w:val="000000"/>
                <w:spacing w:val="-2"/>
                <w:sz w:val="21"/>
                <w:shd w:fill="A6A6A6" w:color="auto" w:val="clear"/>
              </w:rPr>
              <w:t>担保险责任，给付其中一项保险金后，对其他两项轻症疾病保险责任同时</w:t>
            </w:r>
            <w:r>
              <w:rPr>
                <w:color w:val="000000"/>
                <w:spacing w:val="-4"/>
                <w:sz w:val="21"/>
                <w:shd w:fill="A6A6A6" w:color="auto" w:val="clear"/>
              </w:rPr>
              <w:t>终止。</w:t>
            </w:r>
          </w:p>
        </w:tc>
      </w:tr>
      <w:tr>
        <w:trPr>
          <w:trHeight w:val="1981" w:hRule="atLeast"/>
        </w:trPr>
        <w:tc>
          <w:tcPr>
            <w:tcW w:w="1005" w:type="dxa"/>
          </w:tcPr>
          <w:p>
            <w:pPr>
              <w:pStyle w:val="TableParagraph"/>
              <w:spacing w:before="17"/>
              <w:ind w:left="50"/>
              <w:rPr>
                <w:rFonts w:ascii="微软雅黑"/>
                <w:b/>
                <w:sz w:val="21"/>
              </w:rPr>
            </w:pPr>
            <w:r>
              <w:rPr>
                <w:rFonts w:ascii="微软雅黑"/>
                <w:b/>
                <w:spacing w:val="-2"/>
                <w:sz w:val="21"/>
              </w:rPr>
              <w:t>12.1.12</w:t>
            </w:r>
          </w:p>
        </w:tc>
        <w:tc>
          <w:tcPr>
            <w:tcW w:w="1818" w:type="dxa"/>
          </w:tcPr>
          <w:p>
            <w:pPr>
              <w:pStyle w:val="TableParagraph"/>
              <w:spacing w:before="17"/>
              <w:ind w:left="214"/>
              <w:rPr>
                <w:rFonts w:ascii="微软雅黑" w:eastAsia="微软雅黑"/>
                <w:b/>
                <w:sz w:val="21"/>
              </w:rPr>
            </w:pPr>
            <w:r>
              <w:rPr>
                <w:rFonts w:ascii="微软雅黑" w:eastAsia="微软雅黑"/>
                <w:b/>
                <w:spacing w:val="-3"/>
                <w:sz w:val="21"/>
              </w:rPr>
              <w:t>单眼失明</w:t>
            </w:r>
          </w:p>
        </w:tc>
        <w:tc>
          <w:tcPr>
            <w:tcW w:w="7031" w:type="dxa"/>
          </w:tcPr>
          <w:p>
            <w:pPr>
              <w:pStyle w:val="TableParagraph"/>
              <w:spacing w:line="278" w:lineRule="auto" w:before="84"/>
              <w:ind w:left="127" w:right="155"/>
              <w:jc w:val="both"/>
              <w:rPr>
                <w:sz w:val="21"/>
              </w:rPr>
            </w:pPr>
            <w:r>
              <w:rPr>
                <w:spacing w:val="-2"/>
                <w:sz w:val="21"/>
              </w:rPr>
              <w:t>指因疾病或意外伤害导致单眼视力永久不可逆性丧失，但未达到“双目失</w:t>
            </w:r>
            <w:r>
              <w:rPr>
                <w:spacing w:val="-2"/>
                <w:sz w:val="21"/>
              </w:rPr>
              <w:t>明”和“严重巨细胞动脉炎”的给付标准，且须满足下列至少一项条件： (1)眼球缺失或摘除；</w:t>
            </w:r>
          </w:p>
          <w:p>
            <w:pPr>
              <w:pStyle w:val="TableParagraph"/>
              <w:numPr>
                <w:ilvl w:val="0"/>
                <w:numId w:val="65"/>
              </w:numPr>
              <w:tabs>
                <w:tab w:pos="445" w:val="left" w:leader="none"/>
              </w:tabs>
              <w:spacing w:line="278" w:lineRule="auto" w:before="0" w:after="0"/>
              <w:ind w:left="127" w:right="154" w:firstLine="0"/>
              <w:jc w:val="both"/>
              <w:rPr>
                <w:sz w:val="21"/>
              </w:rPr>
            </w:pPr>
            <w:r>
              <w:rPr>
                <w:spacing w:val="-2"/>
                <w:sz w:val="21"/>
              </w:rPr>
              <w:t>矫正视力低于 </w:t>
            </w:r>
            <w:r>
              <w:rPr>
                <w:sz w:val="21"/>
              </w:rPr>
              <w:t>0.02（采用国际标准视力表，如果使用其他视力表应进</w:t>
            </w:r>
            <w:r>
              <w:rPr>
                <w:spacing w:val="-4"/>
                <w:sz w:val="21"/>
              </w:rPr>
              <w:t>行换算</w:t>
            </w:r>
            <w:r>
              <w:rPr>
                <w:spacing w:val="-106"/>
                <w:sz w:val="21"/>
              </w:rPr>
              <w:t>）</w:t>
            </w:r>
            <w:r>
              <w:rPr>
                <w:sz w:val="21"/>
              </w:rPr>
              <w:t>；</w:t>
            </w:r>
          </w:p>
          <w:p>
            <w:pPr>
              <w:pStyle w:val="TableParagraph"/>
              <w:numPr>
                <w:ilvl w:val="0"/>
                <w:numId w:val="65"/>
              </w:numPr>
              <w:tabs>
                <w:tab w:pos="445" w:val="left" w:leader="none"/>
              </w:tabs>
              <w:spacing w:line="269" w:lineRule="exact" w:before="0" w:after="0"/>
              <w:ind w:left="445" w:right="0" w:hanging="318"/>
              <w:jc w:val="both"/>
              <w:rPr>
                <w:sz w:val="21"/>
              </w:rPr>
            </w:pPr>
            <w:r>
              <w:rPr>
                <w:spacing w:val="-10"/>
                <w:sz w:val="21"/>
              </w:rPr>
              <w:t>视野半径小于 </w:t>
            </w:r>
            <w:r>
              <w:rPr>
                <w:spacing w:val="-2"/>
                <w:sz w:val="21"/>
              </w:rPr>
              <w:t>5</w:t>
            </w:r>
            <w:r>
              <w:rPr>
                <w:spacing w:val="-22"/>
                <w:sz w:val="21"/>
              </w:rPr>
              <w:t> 度。</w:t>
            </w:r>
          </w:p>
        </w:tc>
      </w:tr>
      <w:tr>
        <w:trPr>
          <w:trHeight w:val="70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1"/>
              <w:ind w:left="127" w:right="155"/>
              <w:rPr>
                <w:sz w:val="21"/>
              </w:rPr>
            </w:pPr>
            <w:r>
              <w:rPr>
                <w:color w:val="000000"/>
                <w:spacing w:val="-2"/>
                <w:sz w:val="21"/>
                <w:shd w:fill="A6A6A6" w:color="auto" w:val="clear"/>
              </w:rPr>
              <w:t>除眼球缺失或摘除外，被保险人申请理赔时年龄必须年满三周岁，并且提</w:t>
            </w:r>
            <w:r>
              <w:rPr>
                <w:color w:val="000000"/>
                <w:spacing w:val="80"/>
                <w:w w:val="150"/>
                <w:sz w:val="21"/>
                <w:shd w:fill="A6A6A6" w:color="auto" w:val="clear"/>
              </w:rPr>
              <w:t>                                     </w:t>
            </w:r>
            <w:r>
              <w:rPr>
                <w:color w:val="000000"/>
                <w:spacing w:val="-2"/>
                <w:sz w:val="21"/>
                <w:shd w:fill="A6A6A6" w:color="auto" w:val="clear"/>
              </w:rPr>
              <w:t>供理赔当时的视力丧失诊断及检查证据。</w:t>
            </w:r>
          </w:p>
        </w:tc>
      </w:tr>
      <w:tr>
        <w:trPr>
          <w:trHeight w:val="1046"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78" w:lineRule="auto" w:before="52"/>
              <w:ind w:left="127" w:right="155"/>
              <w:jc w:val="both"/>
              <w:rPr>
                <w:sz w:val="21"/>
              </w:rPr>
            </w:pPr>
            <w:r>
              <w:rPr>
                <w:color w:val="000000"/>
                <w:spacing w:val="-24"/>
                <w:sz w:val="21"/>
                <w:shd w:fill="A6A6A6" w:color="auto" w:val="clear"/>
              </w:rPr>
              <w:t>我们对“视力严重受损”、“角膜移植”、“单眼失明”三项中的其中一项承</w:t>
            </w:r>
            <w:r>
              <w:rPr>
                <w:color w:val="000000"/>
                <w:spacing w:val="40"/>
                <w:sz w:val="21"/>
                <w:shd w:fill="A6A6A6" w:color="auto" w:val="clear"/>
              </w:rPr>
              <w:t> </w:t>
            </w:r>
            <w:r>
              <w:rPr>
                <w:color w:val="000000"/>
                <w:spacing w:val="-2"/>
                <w:sz w:val="21"/>
                <w:shd w:fill="A6A6A6" w:color="auto" w:val="clear"/>
              </w:rPr>
              <w:t>担保险责任，给付其中一项保险金后，对其他两项轻症疾病保险责任同时</w:t>
            </w:r>
            <w:r>
              <w:rPr>
                <w:color w:val="000000"/>
                <w:spacing w:val="-4"/>
                <w:sz w:val="21"/>
                <w:shd w:fill="A6A6A6" w:color="auto" w:val="clear"/>
              </w:rPr>
              <w:t>终止。</w:t>
            </w:r>
          </w:p>
        </w:tc>
      </w:tr>
      <w:tr>
        <w:trPr>
          <w:trHeight w:val="1390" w:hRule="atLeast"/>
        </w:trPr>
        <w:tc>
          <w:tcPr>
            <w:tcW w:w="1005" w:type="dxa"/>
          </w:tcPr>
          <w:p>
            <w:pPr>
              <w:pStyle w:val="TableParagraph"/>
              <w:spacing w:before="17"/>
              <w:ind w:left="50"/>
              <w:rPr>
                <w:rFonts w:ascii="微软雅黑"/>
                <w:b/>
                <w:sz w:val="21"/>
              </w:rPr>
            </w:pPr>
            <w:r>
              <w:rPr>
                <w:rFonts w:ascii="微软雅黑"/>
                <w:b/>
                <w:spacing w:val="-2"/>
                <w:sz w:val="21"/>
              </w:rPr>
              <w:t>12.1.13</w:t>
            </w:r>
          </w:p>
        </w:tc>
        <w:tc>
          <w:tcPr>
            <w:tcW w:w="1818" w:type="dxa"/>
          </w:tcPr>
          <w:p>
            <w:pPr>
              <w:pStyle w:val="TableParagraph"/>
              <w:spacing w:line="350" w:lineRule="exact" w:before="17"/>
              <w:ind w:left="214"/>
              <w:rPr>
                <w:rFonts w:ascii="微软雅黑" w:eastAsia="微软雅黑"/>
                <w:b/>
                <w:sz w:val="21"/>
              </w:rPr>
            </w:pPr>
            <w:r>
              <w:rPr>
                <w:rFonts w:ascii="微软雅黑" w:eastAsia="微软雅黑"/>
                <w:b/>
                <w:spacing w:val="-2"/>
                <w:sz w:val="21"/>
              </w:rPr>
              <w:t>主动脉内手术</w:t>
            </w:r>
          </w:p>
          <w:p>
            <w:pPr>
              <w:pStyle w:val="TableParagraph"/>
              <w:spacing w:line="194" w:lineRule="auto" w:before="15"/>
              <w:ind w:left="214" w:right="123"/>
              <w:rPr>
                <w:rFonts w:ascii="微软雅黑" w:eastAsia="微软雅黑"/>
                <w:b/>
                <w:sz w:val="21"/>
              </w:rPr>
            </w:pPr>
            <w:r>
              <w:rPr>
                <w:rFonts w:ascii="微软雅黑" w:eastAsia="微软雅黑"/>
                <w:b/>
                <w:spacing w:val="-2"/>
                <w:sz w:val="21"/>
              </w:rPr>
              <w:t>（非开胸开腹手</w:t>
            </w:r>
            <w:r>
              <w:rPr>
                <w:rFonts w:ascii="微软雅黑" w:eastAsia="微软雅黑"/>
                <w:b/>
                <w:spacing w:val="-6"/>
                <w:sz w:val="21"/>
              </w:rPr>
              <w:t>术）</w:t>
            </w:r>
          </w:p>
        </w:tc>
        <w:tc>
          <w:tcPr>
            <w:tcW w:w="7031" w:type="dxa"/>
          </w:tcPr>
          <w:p>
            <w:pPr>
              <w:pStyle w:val="TableParagraph"/>
              <w:spacing w:line="278" w:lineRule="auto" w:before="84"/>
              <w:ind w:left="127" w:right="46"/>
              <w:rPr>
                <w:sz w:val="21"/>
              </w:rPr>
            </w:pPr>
            <w:r>
              <w:rPr>
                <w:spacing w:val="-4"/>
                <w:sz w:val="21"/>
              </w:rPr>
              <w:t>指为治疗主动脉疾病或主动脉创伤，已经实施了非开胸开腹的切除、置换、</w:t>
            </w:r>
            <w:r>
              <w:rPr>
                <w:spacing w:val="-2"/>
                <w:sz w:val="21"/>
              </w:rPr>
              <w:t>修补病损主动脉血管、主动脉创伤后修复的手术。主动脉指升主动脉、主</w:t>
            </w:r>
            <w:r>
              <w:rPr>
                <w:spacing w:val="-2"/>
                <w:sz w:val="21"/>
              </w:rPr>
              <w:t>动脉弓和降主动脉（含胸主动脉和腹主动脉</w:t>
            </w:r>
            <w:r>
              <w:rPr>
                <w:spacing w:val="-68"/>
                <w:sz w:val="21"/>
              </w:rPr>
              <w:t>）</w:t>
            </w:r>
            <w:r>
              <w:rPr>
                <w:spacing w:val="-11"/>
                <w:sz w:val="21"/>
              </w:rPr>
              <w:t>，不包括升主动脉、主动脉弓</w:t>
            </w:r>
            <w:r>
              <w:rPr>
                <w:spacing w:val="-2"/>
                <w:sz w:val="21"/>
              </w:rPr>
              <w:t>和降主动脉的分支血管。</w:t>
            </w:r>
          </w:p>
        </w:tc>
      </w:tr>
      <w:tr>
        <w:trPr>
          <w:trHeight w:val="734" w:hRule="atLeast"/>
        </w:trPr>
        <w:tc>
          <w:tcPr>
            <w:tcW w:w="1005" w:type="dxa"/>
          </w:tcPr>
          <w:p>
            <w:pPr>
              <w:pStyle w:val="TableParagraph"/>
              <w:spacing w:before="17"/>
              <w:ind w:left="50"/>
              <w:rPr>
                <w:rFonts w:ascii="微软雅黑"/>
                <w:b/>
                <w:sz w:val="21"/>
              </w:rPr>
            </w:pPr>
            <w:r>
              <w:rPr>
                <w:rFonts w:ascii="微软雅黑"/>
                <w:b/>
                <w:spacing w:val="-2"/>
                <w:sz w:val="21"/>
              </w:rPr>
              <w:t>12.1.14</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肝脏整叶切除</w:t>
            </w:r>
          </w:p>
        </w:tc>
        <w:tc>
          <w:tcPr>
            <w:tcW w:w="7031" w:type="dxa"/>
          </w:tcPr>
          <w:p>
            <w:pPr>
              <w:pStyle w:val="TableParagraph"/>
              <w:spacing w:line="278" w:lineRule="auto" w:before="84"/>
              <w:ind w:left="127" w:right="155"/>
              <w:rPr>
                <w:sz w:val="21"/>
              </w:rPr>
            </w:pPr>
            <w:r>
              <w:rPr>
                <w:spacing w:val="-2"/>
                <w:sz w:val="21"/>
              </w:rPr>
              <w:t>指因疾病或意外事故实际实施的肝脏部分切除术，手术切除最少一整叶左</w:t>
            </w:r>
            <w:r>
              <w:rPr>
                <w:spacing w:val="-2"/>
                <w:sz w:val="21"/>
              </w:rPr>
              <w:t>肝脏或一整叶右肝脏。</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2"/>
              <w:ind w:left="127"/>
              <w:rPr>
                <w:sz w:val="21"/>
              </w:rPr>
            </w:pPr>
            <w:r>
              <w:rPr>
                <w:color w:val="000000"/>
                <w:spacing w:val="-3"/>
                <w:sz w:val="21"/>
                <w:shd w:fill="A6A6A6" w:color="auto" w:val="clear"/>
              </w:rPr>
              <w:t>以下的肝脏切除不在保障范围内：</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(1)</w:t>
            </w:r>
            <w:r>
              <w:rPr>
                <w:color w:val="000000"/>
                <w:spacing w:val="-3"/>
                <w:sz w:val="21"/>
                <w:shd w:fill="A6A6A6" w:color="auto" w:val="clear"/>
              </w:rPr>
              <w:t>因治疗酒精或滥用药物导致的疾病或肝脏紊乱所致的肝脏整叶切除；</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(2)</w:t>
            </w:r>
            <w:r>
              <w:rPr>
                <w:color w:val="000000"/>
                <w:spacing w:val="-3"/>
                <w:sz w:val="21"/>
                <w:shd w:fill="A6A6A6" w:color="auto" w:val="clear"/>
              </w:rPr>
              <w:t>因捐赠肝脏而所需的肝脏手术不在保障范围内；</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31" w:type="dxa"/>
          </w:tcPr>
          <w:p>
            <w:pPr>
              <w:pStyle w:val="TableParagraph"/>
              <w:spacing w:line="228" w:lineRule="exact" w:before="13"/>
              <w:ind w:left="127"/>
              <w:rPr>
                <w:sz w:val="21"/>
              </w:rPr>
            </w:pPr>
            <w:r>
              <w:rPr>
                <w:color w:val="000000"/>
                <w:spacing w:val="-2"/>
                <w:sz w:val="21"/>
                <w:shd w:fill="A6A6A6" w:color="auto" w:val="clear"/>
              </w:rPr>
              <w:t>(3)</w:t>
            </w:r>
            <w:r>
              <w:rPr>
                <w:color w:val="000000"/>
                <w:spacing w:val="-3"/>
                <w:sz w:val="21"/>
                <w:shd w:fill="A6A6A6" w:color="auto" w:val="clear"/>
              </w:rPr>
              <w:t>因恶性肿瘤进行的肝脏切除手术。</w:t>
            </w:r>
          </w:p>
        </w:tc>
      </w:tr>
    </w:tbl>
    <w:p>
      <w:pPr>
        <w:spacing w:after="0" w:line="228" w:lineRule="exact"/>
        <w:rPr>
          <w:sz w:val="21"/>
        </w:rPr>
        <w:sectPr>
          <w:pgSz w:w="11910" w:h="16840"/>
          <w:pgMar w:top="1460" w:bottom="280"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6923"/>
      </w:tblGrid>
      <w:tr>
        <w:trPr>
          <w:trHeight w:val="1268" w:hRule="atLeast"/>
        </w:trPr>
        <w:tc>
          <w:tcPr>
            <w:tcW w:w="1005" w:type="dxa"/>
          </w:tcPr>
          <w:p>
            <w:pPr>
              <w:pStyle w:val="TableParagraph"/>
              <w:spacing w:line="283" w:lineRule="exact"/>
              <w:ind w:left="50"/>
              <w:rPr>
                <w:rFonts w:ascii="微软雅黑"/>
                <w:b/>
                <w:sz w:val="21"/>
              </w:rPr>
            </w:pPr>
            <w:r>
              <w:rPr>
                <w:rFonts w:ascii="微软雅黑"/>
                <w:b/>
                <w:spacing w:val="-2"/>
                <w:sz w:val="21"/>
              </w:rPr>
              <w:t>12.1.15</w:t>
            </w:r>
          </w:p>
        </w:tc>
        <w:tc>
          <w:tcPr>
            <w:tcW w:w="1818" w:type="dxa"/>
          </w:tcPr>
          <w:p>
            <w:pPr>
              <w:pStyle w:val="TableParagraph"/>
              <w:spacing w:line="245" w:lineRule="exact"/>
              <w:ind w:left="214"/>
              <w:rPr>
                <w:rFonts w:ascii="微软雅黑" w:eastAsia="微软雅黑"/>
                <w:b/>
                <w:sz w:val="21"/>
              </w:rPr>
            </w:pPr>
            <w:r>
              <w:rPr>
                <w:rFonts w:ascii="微软雅黑" w:eastAsia="微软雅黑"/>
                <w:b/>
                <w:spacing w:val="-2"/>
                <w:sz w:val="21"/>
              </w:rPr>
              <w:t>继发性肺动脉高</w:t>
            </w:r>
          </w:p>
          <w:p>
            <w:pPr>
              <w:pStyle w:val="TableParagraph"/>
              <w:spacing w:line="350" w:lineRule="exact"/>
              <w:ind w:left="214"/>
              <w:rPr>
                <w:rFonts w:ascii="微软雅黑" w:eastAsia="微软雅黑"/>
                <w:b/>
                <w:sz w:val="21"/>
              </w:rPr>
            </w:pPr>
            <w:r>
              <w:rPr>
                <w:rFonts w:ascii="微软雅黑" w:eastAsia="微软雅黑"/>
                <w:b/>
                <w:w w:val="100"/>
                <w:sz w:val="21"/>
              </w:rPr>
              <w:t>压</w:t>
            </w:r>
          </w:p>
        </w:tc>
        <w:tc>
          <w:tcPr>
            <w:tcW w:w="6923" w:type="dxa"/>
          </w:tcPr>
          <w:p>
            <w:pPr>
              <w:pStyle w:val="TableParagraph"/>
              <w:spacing w:line="232" w:lineRule="exact"/>
              <w:ind w:left="127"/>
              <w:rPr>
                <w:sz w:val="21"/>
              </w:rPr>
            </w:pPr>
            <w:r>
              <w:rPr>
                <w:spacing w:val="-3"/>
                <w:sz w:val="21"/>
              </w:rPr>
              <w:t>指继发性肺动脉压力持续增高，导致右心室肥厚，已经造成永久不可逆性</w:t>
            </w:r>
          </w:p>
          <w:p>
            <w:pPr>
              <w:pStyle w:val="TableParagraph"/>
              <w:spacing w:line="278" w:lineRule="auto" w:before="43"/>
              <w:ind w:left="127" w:right="46"/>
              <w:jc w:val="both"/>
              <w:rPr>
                <w:sz w:val="21"/>
              </w:rPr>
            </w:pPr>
            <w:r>
              <w:rPr>
                <w:spacing w:val="18"/>
                <w:sz w:val="21"/>
              </w:rPr>
              <w:t>的体力活动能力受限， 达到美国纽约心脏病学会</w:t>
            </w:r>
            <w:r>
              <w:rPr>
                <w:sz w:val="21"/>
              </w:rPr>
              <w:t>（</w:t>
            </w:r>
            <w:r>
              <w:rPr>
                <w:spacing w:val="-26"/>
                <w:sz w:val="21"/>
              </w:rPr>
              <w:t> </w:t>
            </w:r>
            <w:r>
              <w:rPr>
                <w:sz w:val="21"/>
              </w:rPr>
              <w:t>New</w:t>
            </w:r>
            <w:r>
              <w:rPr>
                <w:spacing w:val="-26"/>
                <w:sz w:val="21"/>
              </w:rPr>
              <w:t> </w:t>
            </w:r>
            <w:r>
              <w:rPr>
                <w:sz w:val="21"/>
              </w:rPr>
              <w:t>York</w:t>
            </w:r>
            <w:r>
              <w:rPr>
                <w:spacing w:val="-26"/>
                <w:sz w:val="21"/>
              </w:rPr>
              <w:t> </w:t>
            </w:r>
            <w:r>
              <w:rPr>
                <w:sz w:val="21"/>
              </w:rPr>
              <w:t>Heart </w:t>
            </w:r>
            <w:r>
              <w:rPr>
                <w:spacing w:val="-4"/>
                <w:sz w:val="21"/>
              </w:rPr>
              <w:t>Association，NYHA）心功能状态分级Ⅲ级，且静息状态下肺动脉平均压在 </w:t>
            </w:r>
            <w:r>
              <w:rPr>
                <w:spacing w:val="-2"/>
                <w:sz w:val="21"/>
              </w:rPr>
              <w:t>25mmHg（含）以上，但未达到“严重继发性肺动脉高压”的给付标准。</w:t>
            </w:r>
          </w:p>
        </w:tc>
      </w:tr>
      <w:tr>
        <w:trPr>
          <w:trHeight w:val="1701" w:hRule="atLeast"/>
        </w:trPr>
        <w:tc>
          <w:tcPr>
            <w:tcW w:w="1005" w:type="dxa"/>
          </w:tcPr>
          <w:p>
            <w:pPr>
              <w:pStyle w:val="TableParagraph"/>
              <w:spacing w:before="17"/>
              <w:ind w:left="50"/>
              <w:rPr>
                <w:rFonts w:ascii="微软雅黑"/>
                <w:b/>
                <w:sz w:val="21"/>
              </w:rPr>
            </w:pPr>
            <w:r>
              <w:rPr>
                <w:rFonts w:ascii="微软雅黑"/>
                <w:b/>
                <w:spacing w:val="-2"/>
                <w:sz w:val="21"/>
              </w:rPr>
              <w:t>12.1.16</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轻度特发性肺动</w:t>
            </w:r>
            <w:r>
              <w:rPr>
                <w:rFonts w:ascii="微软雅黑" w:eastAsia="微软雅黑"/>
                <w:b/>
                <w:spacing w:val="-4"/>
                <w:sz w:val="21"/>
              </w:rPr>
              <w:t>脉高压</w:t>
            </w:r>
          </w:p>
        </w:tc>
        <w:tc>
          <w:tcPr>
            <w:tcW w:w="6923" w:type="dxa"/>
          </w:tcPr>
          <w:p>
            <w:pPr>
              <w:pStyle w:val="TableParagraph"/>
              <w:spacing w:line="278" w:lineRule="auto" w:before="84"/>
              <w:ind w:left="127" w:right="46"/>
              <w:jc w:val="both"/>
              <w:rPr>
                <w:sz w:val="21"/>
              </w:rPr>
            </w:pPr>
            <w:r>
              <w:rPr>
                <w:spacing w:val="-2"/>
                <w:sz w:val="21"/>
              </w:rPr>
              <w:t>指不明原因的肺动脉压力持续性增高，进行性发展而导致的慢性疾病，已</w:t>
            </w:r>
            <w:r>
              <w:rPr>
                <w:spacing w:val="-4"/>
                <w:sz w:val="21"/>
              </w:rPr>
              <w:t>经造成永久不可逆性的体力活动能力受限，达到美国纽约心脏病学会（New </w:t>
            </w:r>
            <w:r>
              <w:rPr>
                <w:sz w:val="21"/>
              </w:rPr>
              <w:t>York</w:t>
            </w:r>
            <w:r>
              <w:rPr>
                <w:spacing w:val="-6"/>
                <w:sz w:val="21"/>
              </w:rPr>
              <w:t> </w:t>
            </w:r>
            <w:r>
              <w:rPr>
                <w:sz w:val="21"/>
              </w:rPr>
              <w:t>Heart</w:t>
            </w:r>
            <w:r>
              <w:rPr>
                <w:spacing w:val="-6"/>
                <w:sz w:val="21"/>
              </w:rPr>
              <w:t> </w:t>
            </w:r>
            <w:r>
              <w:rPr>
                <w:sz w:val="21"/>
              </w:rPr>
              <w:t>Association，NYHA）心功能状态分级Ⅲ级，且静息状态下肺</w:t>
            </w:r>
            <w:r>
              <w:rPr>
                <w:spacing w:val="-6"/>
                <w:sz w:val="21"/>
              </w:rPr>
              <w:t>动脉平均压在 </w:t>
            </w:r>
            <w:r>
              <w:rPr>
                <w:spacing w:val="-2"/>
                <w:sz w:val="21"/>
              </w:rPr>
              <w:t>25mmHg（含）以上，但未达到“严重特发性肺动脉高压”的</w:t>
            </w:r>
            <w:r>
              <w:rPr>
                <w:spacing w:val="-2"/>
                <w:sz w:val="21"/>
              </w:rPr>
              <w:t>给付标准。</w:t>
            </w:r>
          </w:p>
        </w:tc>
      </w:tr>
      <w:tr>
        <w:trPr>
          <w:trHeight w:val="1077" w:hRule="atLeast"/>
        </w:trPr>
        <w:tc>
          <w:tcPr>
            <w:tcW w:w="1005" w:type="dxa"/>
          </w:tcPr>
          <w:p>
            <w:pPr>
              <w:pStyle w:val="TableParagraph"/>
              <w:spacing w:before="17"/>
              <w:ind w:left="50"/>
              <w:rPr>
                <w:rFonts w:ascii="微软雅黑"/>
                <w:b/>
                <w:sz w:val="21"/>
              </w:rPr>
            </w:pPr>
            <w:r>
              <w:rPr>
                <w:rFonts w:ascii="微软雅黑"/>
                <w:b/>
                <w:spacing w:val="-2"/>
                <w:sz w:val="21"/>
              </w:rPr>
              <w:t>12.1.17</w:t>
            </w:r>
          </w:p>
        </w:tc>
        <w:tc>
          <w:tcPr>
            <w:tcW w:w="1818" w:type="dxa"/>
          </w:tcPr>
          <w:p>
            <w:pPr>
              <w:pStyle w:val="TableParagraph"/>
              <w:spacing w:line="194" w:lineRule="auto" w:before="69"/>
              <w:ind w:left="214" w:right="123"/>
              <w:jc w:val="both"/>
              <w:rPr>
                <w:rFonts w:ascii="微软雅黑" w:eastAsia="微软雅黑"/>
                <w:b/>
                <w:sz w:val="21"/>
              </w:rPr>
            </w:pPr>
            <w:r>
              <w:rPr>
                <w:rFonts w:ascii="微软雅黑" w:eastAsia="微软雅黑"/>
                <w:b/>
                <w:spacing w:val="-2"/>
                <w:sz w:val="21"/>
              </w:rPr>
              <w:t>因肾上腺腺瘤所</w:t>
            </w:r>
            <w:r>
              <w:rPr>
                <w:rFonts w:ascii="微软雅黑" w:eastAsia="微软雅黑"/>
                <w:b/>
                <w:spacing w:val="-2"/>
                <w:sz w:val="21"/>
              </w:rPr>
              <w:t>致的肾上腺切除</w:t>
            </w:r>
            <w:r>
              <w:rPr>
                <w:rFonts w:ascii="微软雅黑" w:eastAsia="微软雅黑"/>
                <w:b/>
                <w:spacing w:val="-10"/>
                <w:sz w:val="21"/>
              </w:rPr>
              <w:t>术</w:t>
            </w:r>
          </w:p>
        </w:tc>
        <w:tc>
          <w:tcPr>
            <w:tcW w:w="6923" w:type="dxa"/>
          </w:tcPr>
          <w:p>
            <w:pPr>
              <w:pStyle w:val="TableParagraph"/>
              <w:spacing w:line="278" w:lineRule="auto" w:before="84"/>
              <w:ind w:left="127" w:right="46"/>
              <w:jc w:val="both"/>
              <w:rPr>
                <w:sz w:val="21"/>
              </w:rPr>
            </w:pPr>
            <w:r>
              <w:rPr>
                <w:spacing w:val="-2"/>
                <w:sz w:val="21"/>
              </w:rPr>
              <w:t>指因肾上腺腺瘤所导致醛固酮分泌过多而产生的续发性恶性系统高血压而</w:t>
            </w:r>
            <w:r>
              <w:rPr>
                <w:spacing w:val="-2"/>
                <w:sz w:val="21"/>
              </w:rPr>
              <w:t>接受肾上腺切除术。恶性高血压无法由药物控制。</w:t>
            </w:r>
            <w:r>
              <w:rPr>
                <w:color w:val="000000"/>
                <w:spacing w:val="-2"/>
                <w:sz w:val="21"/>
                <w:shd w:fill="A6A6A6" w:color="auto" w:val="clear"/>
              </w:rPr>
              <w:t>此肾上腺切除术需由专</w:t>
            </w:r>
            <w:r>
              <w:rPr>
                <w:color w:val="000000"/>
                <w:spacing w:val="40"/>
                <w:sz w:val="21"/>
                <w:shd w:fill="A6A6A6" w:color="auto" w:val="clear"/>
              </w:rPr>
              <w:t> </w:t>
            </w:r>
            <w:r>
              <w:rPr>
                <w:color w:val="000000"/>
                <w:spacing w:val="-2"/>
                <w:sz w:val="21"/>
                <w:shd w:fill="A6A6A6" w:color="auto" w:val="clear"/>
              </w:rPr>
              <w:t>科医生确诊为处理控制不佳高血压的必要治疗行为。</w:t>
            </w:r>
          </w:p>
        </w:tc>
      </w:tr>
      <w:tr>
        <w:trPr>
          <w:trHeight w:val="1389" w:hRule="atLeast"/>
        </w:trPr>
        <w:tc>
          <w:tcPr>
            <w:tcW w:w="1005" w:type="dxa"/>
          </w:tcPr>
          <w:p>
            <w:pPr>
              <w:pStyle w:val="TableParagraph"/>
              <w:spacing w:before="17"/>
              <w:ind w:left="50"/>
              <w:rPr>
                <w:rFonts w:ascii="微软雅黑"/>
                <w:b/>
                <w:sz w:val="21"/>
              </w:rPr>
            </w:pPr>
            <w:r>
              <w:rPr>
                <w:rFonts w:ascii="微软雅黑"/>
                <w:b/>
                <w:spacing w:val="-2"/>
                <w:sz w:val="21"/>
              </w:rPr>
              <w:t>12.1.18</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丝虫病所致早期</w:t>
            </w:r>
            <w:r>
              <w:rPr>
                <w:rFonts w:ascii="微软雅黑" w:eastAsia="微软雅黑"/>
                <w:b/>
                <w:spacing w:val="-4"/>
                <w:sz w:val="21"/>
              </w:rPr>
              <w:t>象皮肿</w:t>
            </w:r>
          </w:p>
        </w:tc>
        <w:tc>
          <w:tcPr>
            <w:tcW w:w="6923" w:type="dxa"/>
          </w:tcPr>
          <w:p>
            <w:pPr>
              <w:pStyle w:val="TableParagraph"/>
              <w:spacing w:line="278" w:lineRule="auto" w:before="84"/>
              <w:ind w:left="127" w:right="46"/>
              <w:jc w:val="both"/>
              <w:rPr>
                <w:sz w:val="21"/>
              </w:rPr>
            </w:pPr>
            <w:r>
              <w:rPr>
                <w:spacing w:val="-2"/>
                <w:sz w:val="21"/>
              </w:rPr>
              <w:t>指因丝虫感染导致淋巴阻塞出现严重淋巴水肿，达到国际淋巴学会淋巴肿</w:t>
            </w:r>
            <w:r>
              <w:rPr>
                <w:spacing w:val="-2"/>
                <w:sz w:val="21"/>
              </w:rPr>
              <w:t>分期第Ⅱ期，临床表现为肢体象皮肿，夜间卧床休息后不能消退，患肢较</w:t>
            </w:r>
            <w:r>
              <w:rPr>
                <w:spacing w:val="-3"/>
                <w:sz w:val="21"/>
              </w:rPr>
              <w:t>健肢增粗 </w:t>
            </w:r>
            <w:r>
              <w:rPr>
                <w:sz w:val="21"/>
              </w:rPr>
              <w:t>20%以上，但未达到“丝虫病所致严重象皮肿”的给付标准。</w:t>
            </w:r>
            <w:r>
              <w:rPr>
                <w:color w:val="000000"/>
                <w:sz w:val="21"/>
                <w:shd w:fill="A6A6A6" w:color="auto" w:val="clear"/>
              </w:rPr>
              <w:t>此</w:t>
            </w:r>
            <w:r>
              <w:rPr>
                <w:color w:val="000000"/>
                <w:spacing w:val="40"/>
                <w:sz w:val="21"/>
                <w:shd w:fill="A6A6A6" w:color="auto" w:val="clear"/>
              </w:rPr>
              <w:t> </w:t>
            </w:r>
            <w:r>
              <w:rPr>
                <w:color w:val="000000"/>
                <w:spacing w:val="-2"/>
                <w:sz w:val="21"/>
                <w:shd w:fill="A6A6A6" w:color="auto" w:val="clear"/>
              </w:rPr>
              <w:t>病症须经专科医生根据临床表现和微丝蚴的化验结果确诊。</w:t>
            </w:r>
          </w:p>
        </w:tc>
      </w:tr>
      <w:tr>
        <w:trPr>
          <w:trHeight w:val="3575" w:hRule="atLeast"/>
        </w:trPr>
        <w:tc>
          <w:tcPr>
            <w:tcW w:w="1005" w:type="dxa"/>
          </w:tcPr>
          <w:p>
            <w:pPr>
              <w:pStyle w:val="TableParagraph"/>
              <w:spacing w:before="17"/>
              <w:ind w:left="50"/>
              <w:rPr>
                <w:rFonts w:ascii="微软雅黑"/>
                <w:b/>
                <w:sz w:val="21"/>
              </w:rPr>
            </w:pPr>
            <w:r>
              <w:rPr>
                <w:rFonts w:ascii="微软雅黑"/>
                <w:b/>
                <w:spacing w:val="-2"/>
                <w:sz w:val="21"/>
              </w:rPr>
              <w:t>12.1.19</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中度系统性红斑</w:t>
            </w:r>
            <w:r>
              <w:rPr>
                <w:rFonts w:ascii="微软雅黑" w:eastAsia="微软雅黑"/>
                <w:b/>
                <w:spacing w:val="-6"/>
                <w:sz w:val="21"/>
              </w:rPr>
              <w:t>狼疮</w:t>
            </w:r>
          </w:p>
        </w:tc>
        <w:tc>
          <w:tcPr>
            <w:tcW w:w="6923" w:type="dxa"/>
          </w:tcPr>
          <w:p>
            <w:pPr>
              <w:pStyle w:val="TableParagraph"/>
              <w:spacing w:line="278" w:lineRule="auto" w:before="84"/>
              <w:ind w:left="127" w:right="46"/>
              <w:jc w:val="both"/>
              <w:rPr>
                <w:sz w:val="21"/>
              </w:rPr>
            </w:pPr>
            <w:r>
              <w:rPr>
                <w:spacing w:val="-2"/>
                <w:sz w:val="21"/>
              </w:rPr>
              <w:t>系统性红斑狼疮为一种自身免疫性疾病，是由于病理性的自生抗体及免疫</w:t>
            </w:r>
            <w:r>
              <w:rPr>
                <w:spacing w:val="-2"/>
                <w:sz w:val="21"/>
              </w:rPr>
              <w:t>综合体出现沉积，而导致身体组织及细胞受损。其诊断须满足下列全部条</w:t>
            </w:r>
            <w:r>
              <w:rPr>
                <w:spacing w:val="-4"/>
                <w:sz w:val="21"/>
              </w:rPr>
              <w:t>件，但未达到“系统性红斑狼疮-Ⅲ型或以上狼疮性肾炎”和“严重慢性肾</w:t>
            </w:r>
            <w:r>
              <w:rPr>
                <w:spacing w:val="-2"/>
                <w:sz w:val="21"/>
              </w:rPr>
              <w:t>衰竭”的给付标准：</w:t>
            </w:r>
          </w:p>
          <w:p>
            <w:pPr>
              <w:pStyle w:val="TableParagraph"/>
              <w:numPr>
                <w:ilvl w:val="0"/>
                <w:numId w:val="66"/>
              </w:numPr>
              <w:tabs>
                <w:tab w:pos="445" w:val="left" w:leader="none"/>
              </w:tabs>
              <w:spacing w:line="269" w:lineRule="exact" w:before="0" w:after="0"/>
              <w:ind w:left="445" w:right="0" w:hanging="318"/>
              <w:jc w:val="both"/>
              <w:rPr>
                <w:sz w:val="21"/>
              </w:rPr>
            </w:pPr>
            <w:r>
              <w:rPr>
                <w:spacing w:val="-15"/>
                <w:sz w:val="21"/>
              </w:rPr>
              <w:t>在下列 </w:t>
            </w:r>
            <w:r>
              <w:rPr>
                <w:spacing w:val="-2"/>
                <w:sz w:val="21"/>
              </w:rPr>
              <w:t>5</w:t>
            </w:r>
            <w:r>
              <w:rPr>
                <w:spacing w:val="-14"/>
                <w:sz w:val="21"/>
              </w:rPr>
              <w:t> 项情况中出现最少 </w:t>
            </w:r>
            <w:r>
              <w:rPr>
                <w:spacing w:val="-2"/>
                <w:sz w:val="21"/>
              </w:rPr>
              <w:t>3</w:t>
            </w:r>
            <w:r>
              <w:rPr>
                <w:spacing w:val="-22"/>
                <w:sz w:val="21"/>
              </w:rPr>
              <w:t> 项：</w:t>
            </w:r>
          </w:p>
          <w:p>
            <w:pPr>
              <w:pStyle w:val="TableParagraph"/>
              <w:spacing w:before="43"/>
              <w:ind w:left="127"/>
              <w:rPr>
                <w:sz w:val="21"/>
              </w:rPr>
            </w:pPr>
            <w:r>
              <w:rPr>
                <w:spacing w:val="-3"/>
                <w:sz w:val="21"/>
              </w:rPr>
              <w:t>①关节炎：非磨损性关节炎，需涉及两个或以上关节；</w:t>
            </w:r>
          </w:p>
          <w:p>
            <w:pPr>
              <w:pStyle w:val="TableParagraph"/>
              <w:spacing w:before="43"/>
              <w:ind w:left="127"/>
              <w:rPr>
                <w:sz w:val="21"/>
              </w:rPr>
            </w:pPr>
            <w:r>
              <w:rPr>
                <w:spacing w:val="-3"/>
                <w:sz w:val="21"/>
              </w:rPr>
              <w:t>②浆膜炎：胸膜炎或心包炎；</w:t>
            </w:r>
          </w:p>
          <w:p>
            <w:pPr>
              <w:pStyle w:val="TableParagraph"/>
              <w:spacing w:before="43"/>
              <w:ind w:left="127"/>
              <w:rPr>
                <w:sz w:val="21"/>
              </w:rPr>
            </w:pPr>
            <w:r>
              <w:rPr>
                <w:spacing w:val="-2"/>
                <w:sz w:val="21"/>
              </w:rPr>
              <w:t>③肾病：24</w:t>
            </w:r>
            <w:r>
              <w:rPr>
                <w:spacing w:val="-13"/>
                <w:sz w:val="21"/>
              </w:rPr>
              <w:t> 小时尿蛋白定量达到 </w:t>
            </w:r>
            <w:r>
              <w:rPr>
                <w:spacing w:val="-2"/>
                <w:sz w:val="21"/>
              </w:rPr>
              <w:t>0.5</w:t>
            </w:r>
            <w:r>
              <w:rPr>
                <w:spacing w:val="-10"/>
                <w:sz w:val="21"/>
              </w:rPr>
              <w:t> 克，或尿液检查出现细胞管型；</w:t>
            </w:r>
          </w:p>
          <w:p>
            <w:pPr>
              <w:pStyle w:val="TableParagraph"/>
              <w:spacing w:before="43"/>
              <w:ind w:left="127"/>
              <w:rPr>
                <w:sz w:val="21"/>
              </w:rPr>
            </w:pPr>
            <w:r>
              <w:rPr>
                <w:spacing w:val="-3"/>
                <w:sz w:val="21"/>
              </w:rPr>
              <w:t>④血液学异常：溶血性贫血、白细胞减少、或血小板减少；</w:t>
            </w:r>
          </w:p>
          <w:p>
            <w:pPr>
              <w:pStyle w:val="TableParagraph"/>
              <w:spacing w:before="43"/>
              <w:ind w:left="127"/>
              <w:rPr>
                <w:sz w:val="21"/>
              </w:rPr>
            </w:pPr>
            <w:r>
              <w:rPr>
                <w:spacing w:val="-7"/>
                <w:sz w:val="21"/>
              </w:rPr>
              <w:t>⑤抗核抗体阳性、或抗 </w:t>
            </w:r>
            <w:r>
              <w:rPr>
                <w:spacing w:val="-2"/>
                <w:sz w:val="21"/>
              </w:rPr>
              <w:t>dsDNA</w:t>
            </w:r>
            <w:r>
              <w:rPr>
                <w:spacing w:val="-17"/>
                <w:sz w:val="21"/>
              </w:rPr>
              <w:t> 阳性，或抗 </w:t>
            </w:r>
            <w:r>
              <w:rPr>
                <w:spacing w:val="-2"/>
                <w:sz w:val="21"/>
              </w:rPr>
              <w:t>Smith</w:t>
            </w:r>
            <w:r>
              <w:rPr>
                <w:spacing w:val="-12"/>
                <w:sz w:val="21"/>
              </w:rPr>
              <w:t> 抗体阳性。</w:t>
            </w:r>
          </w:p>
          <w:p>
            <w:pPr>
              <w:pStyle w:val="TableParagraph"/>
              <w:numPr>
                <w:ilvl w:val="0"/>
                <w:numId w:val="66"/>
              </w:numPr>
              <w:tabs>
                <w:tab w:pos="445" w:val="left" w:leader="none"/>
              </w:tabs>
              <w:spacing w:line="240" w:lineRule="auto" w:before="43" w:after="0"/>
              <w:ind w:left="445" w:right="0" w:hanging="318"/>
              <w:jc w:val="left"/>
              <w:rPr>
                <w:sz w:val="21"/>
              </w:rPr>
            </w:pPr>
            <w:r>
              <w:rPr>
                <w:spacing w:val="-3"/>
                <w:sz w:val="21"/>
              </w:rPr>
              <w:t>系统性红斑狼疮的诊断必须由风湿科或免疫系统专科医生确定。</w:t>
            </w:r>
          </w:p>
        </w:tc>
      </w:tr>
      <w:tr>
        <w:trPr>
          <w:trHeight w:val="2014" w:hRule="atLeast"/>
        </w:trPr>
        <w:tc>
          <w:tcPr>
            <w:tcW w:w="1005" w:type="dxa"/>
          </w:tcPr>
          <w:p>
            <w:pPr>
              <w:pStyle w:val="TableParagraph"/>
              <w:spacing w:before="18"/>
              <w:ind w:left="50"/>
              <w:rPr>
                <w:rFonts w:ascii="微软雅黑"/>
                <w:b/>
                <w:sz w:val="21"/>
              </w:rPr>
            </w:pPr>
            <w:r>
              <w:rPr>
                <w:rFonts w:ascii="微软雅黑"/>
                <w:b/>
                <w:spacing w:val="-2"/>
                <w:sz w:val="21"/>
              </w:rPr>
              <w:t>12.1.20</w:t>
            </w:r>
          </w:p>
        </w:tc>
        <w:tc>
          <w:tcPr>
            <w:tcW w:w="1818" w:type="dxa"/>
          </w:tcPr>
          <w:p>
            <w:pPr>
              <w:pStyle w:val="TableParagraph"/>
              <w:spacing w:line="194" w:lineRule="auto" w:before="70"/>
              <w:ind w:left="214" w:right="123"/>
              <w:rPr>
                <w:rFonts w:ascii="微软雅黑" w:eastAsia="微软雅黑"/>
                <w:b/>
                <w:sz w:val="21"/>
              </w:rPr>
            </w:pPr>
            <w:r>
              <w:rPr>
                <w:rFonts w:ascii="微软雅黑" w:eastAsia="微软雅黑"/>
                <w:b/>
                <w:spacing w:val="-2"/>
                <w:sz w:val="21"/>
              </w:rPr>
              <w:t>颈动脉狭窄介入</w:t>
            </w:r>
            <w:r>
              <w:rPr>
                <w:rFonts w:ascii="微软雅黑" w:eastAsia="微软雅黑"/>
                <w:b/>
                <w:spacing w:val="-6"/>
                <w:sz w:val="21"/>
              </w:rPr>
              <w:t>手术</w:t>
            </w:r>
          </w:p>
        </w:tc>
        <w:tc>
          <w:tcPr>
            <w:tcW w:w="6923" w:type="dxa"/>
          </w:tcPr>
          <w:p>
            <w:pPr>
              <w:pStyle w:val="TableParagraph"/>
              <w:spacing w:line="278" w:lineRule="auto" w:before="85"/>
              <w:ind w:left="127" w:right="47"/>
              <w:jc w:val="both"/>
              <w:rPr>
                <w:sz w:val="21"/>
              </w:rPr>
            </w:pPr>
            <w:r>
              <w:rPr>
                <w:spacing w:val="-2"/>
                <w:sz w:val="21"/>
              </w:rPr>
              <w:t>颈动脉血管介入治疗术是对一条或以上的颈动脉狭窄的治疗，疾病的诊断</w:t>
            </w:r>
            <w:r>
              <w:rPr>
                <w:spacing w:val="-2"/>
                <w:sz w:val="21"/>
              </w:rPr>
              <w:t>及治疗均须由专科医生认为是医疗必须的情况下进行。理赔时必须同时符</w:t>
            </w:r>
            <w:r>
              <w:rPr>
                <w:spacing w:val="-2"/>
                <w:sz w:val="21"/>
              </w:rPr>
              <w:t>合下列所有条件：</w:t>
            </w:r>
          </w:p>
          <w:p>
            <w:pPr>
              <w:pStyle w:val="TableParagraph"/>
              <w:numPr>
                <w:ilvl w:val="0"/>
                <w:numId w:val="67"/>
              </w:numPr>
              <w:tabs>
                <w:tab w:pos="445" w:val="left" w:leader="none"/>
              </w:tabs>
              <w:spacing w:line="269" w:lineRule="exact" w:before="0" w:after="0"/>
              <w:ind w:left="445" w:right="0" w:hanging="318"/>
              <w:jc w:val="left"/>
              <w:rPr>
                <w:sz w:val="21"/>
              </w:rPr>
            </w:pPr>
            <w:r>
              <w:rPr>
                <w:spacing w:val="-4"/>
                <w:sz w:val="21"/>
              </w:rPr>
              <w:t>经由血管造影术证明一条或以上的颈动脉存在 </w:t>
            </w:r>
            <w:r>
              <w:rPr>
                <w:spacing w:val="-2"/>
                <w:sz w:val="21"/>
              </w:rPr>
              <w:t>50</w:t>
            </w:r>
            <w:r>
              <w:rPr>
                <w:spacing w:val="-4"/>
                <w:sz w:val="21"/>
              </w:rPr>
              <w:t>%或以上狭窄；</w:t>
            </w:r>
          </w:p>
          <w:p>
            <w:pPr>
              <w:pStyle w:val="TableParagraph"/>
              <w:numPr>
                <w:ilvl w:val="0"/>
                <w:numId w:val="67"/>
              </w:numPr>
              <w:tabs>
                <w:tab w:pos="445" w:val="left" w:leader="none"/>
              </w:tabs>
              <w:spacing w:line="278" w:lineRule="auto" w:before="43" w:after="0"/>
              <w:ind w:left="127" w:right="46" w:firstLine="0"/>
              <w:jc w:val="left"/>
              <w:rPr>
                <w:sz w:val="21"/>
              </w:rPr>
            </w:pPr>
            <w:r>
              <w:rPr>
                <w:spacing w:val="-6"/>
                <w:sz w:val="21"/>
              </w:rPr>
              <w:t>确实已针对以上狭窄血管进行介入治疗以减轻症状，介入治疗包括血管</w:t>
            </w:r>
            <w:r>
              <w:rPr>
                <w:spacing w:val="-2"/>
                <w:sz w:val="21"/>
              </w:rPr>
              <w:t>成形术及/或进行植入支架或颈动脉粥肿斑块清除手术。</w:t>
            </w:r>
          </w:p>
        </w:tc>
      </w:tr>
      <w:tr>
        <w:trPr>
          <w:trHeight w:val="1669" w:hRule="atLeast"/>
        </w:trPr>
        <w:tc>
          <w:tcPr>
            <w:tcW w:w="1005" w:type="dxa"/>
          </w:tcPr>
          <w:p>
            <w:pPr>
              <w:pStyle w:val="TableParagraph"/>
              <w:spacing w:before="17"/>
              <w:ind w:left="50"/>
              <w:rPr>
                <w:rFonts w:ascii="微软雅黑"/>
                <w:b/>
                <w:sz w:val="21"/>
              </w:rPr>
            </w:pPr>
            <w:r>
              <w:rPr>
                <w:rFonts w:ascii="微软雅黑"/>
                <w:b/>
                <w:spacing w:val="-2"/>
                <w:sz w:val="21"/>
              </w:rPr>
              <w:t>12.1.21</w:t>
            </w:r>
          </w:p>
        </w:tc>
        <w:tc>
          <w:tcPr>
            <w:tcW w:w="1818" w:type="dxa"/>
          </w:tcPr>
          <w:p>
            <w:pPr>
              <w:pStyle w:val="TableParagraph"/>
              <w:spacing w:line="194" w:lineRule="auto" w:before="69"/>
              <w:ind w:left="214" w:right="123"/>
              <w:jc w:val="both"/>
              <w:rPr>
                <w:rFonts w:ascii="微软雅黑" w:eastAsia="微软雅黑"/>
                <w:b/>
                <w:sz w:val="21"/>
              </w:rPr>
            </w:pPr>
            <w:r>
              <w:rPr>
                <w:rFonts w:ascii="微软雅黑" w:eastAsia="微软雅黑"/>
                <w:b/>
                <w:spacing w:val="-2"/>
                <w:sz w:val="21"/>
              </w:rPr>
              <w:t>特定周围动脉疾</w:t>
            </w:r>
            <w:r>
              <w:rPr>
                <w:rFonts w:ascii="微软雅黑" w:eastAsia="微软雅黑"/>
                <w:b/>
                <w:spacing w:val="-2"/>
                <w:sz w:val="21"/>
              </w:rPr>
              <w:t>病的血管介入治</w:t>
            </w:r>
            <w:r>
              <w:rPr>
                <w:rFonts w:ascii="微软雅黑" w:eastAsia="微软雅黑"/>
                <w:b/>
                <w:spacing w:val="-10"/>
                <w:sz w:val="21"/>
              </w:rPr>
              <w:t>疗</w:t>
            </w:r>
          </w:p>
        </w:tc>
        <w:tc>
          <w:tcPr>
            <w:tcW w:w="6923" w:type="dxa"/>
          </w:tcPr>
          <w:p>
            <w:pPr>
              <w:pStyle w:val="TableParagraph"/>
              <w:spacing w:line="278" w:lineRule="auto" w:before="84"/>
              <w:ind w:left="127" w:right="47"/>
              <w:rPr>
                <w:sz w:val="21"/>
              </w:rPr>
            </w:pPr>
            <w:r>
              <w:rPr>
                <w:spacing w:val="-2"/>
                <w:sz w:val="21"/>
              </w:rPr>
              <w:t>周围动脉疾病的血管介入治疗是指一条或以上的下列血管存在狭窄。本疾</w:t>
            </w:r>
            <w:r>
              <w:rPr>
                <w:spacing w:val="-2"/>
                <w:sz w:val="21"/>
              </w:rPr>
              <w:t>病的诊断及治疗均须由专科医生认为是医疗必须的情况下进行：</w:t>
            </w:r>
          </w:p>
          <w:p>
            <w:pPr>
              <w:pStyle w:val="TableParagraph"/>
              <w:spacing w:line="278" w:lineRule="auto"/>
              <w:ind w:left="127" w:right="686"/>
              <w:rPr>
                <w:sz w:val="21"/>
              </w:rPr>
            </w:pPr>
            <w:r>
              <w:rPr>
                <w:spacing w:val="-2"/>
                <w:sz w:val="21"/>
              </w:rPr>
              <w:t>(1)为下肢或上肢供血的动脉（如髂、股、腘、肱、桡动脉等</w:t>
            </w:r>
            <w:r>
              <w:rPr>
                <w:spacing w:val="-108"/>
                <w:sz w:val="21"/>
              </w:rPr>
              <w:t>）</w:t>
            </w:r>
            <w:r>
              <w:rPr>
                <w:sz w:val="21"/>
              </w:rPr>
              <w:t>；</w:t>
            </w:r>
            <w:r>
              <w:rPr>
                <w:spacing w:val="-54"/>
                <w:sz w:val="21"/>
              </w:rPr>
              <w:t> </w:t>
            </w:r>
            <w:r>
              <w:rPr>
                <w:spacing w:val="-2"/>
                <w:sz w:val="21"/>
              </w:rPr>
              <w:t>(2)肾动脉；</w:t>
            </w:r>
          </w:p>
          <w:p>
            <w:pPr>
              <w:pStyle w:val="TableParagraph"/>
              <w:spacing w:line="269" w:lineRule="exact"/>
              <w:ind w:left="127"/>
              <w:rPr>
                <w:sz w:val="21"/>
              </w:rPr>
            </w:pPr>
            <w:r>
              <w:rPr>
                <w:spacing w:val="-2"/>
                <w:sz w:val="21"/>
              </w:rPr>
              <w:t>(3)</w:t>
            </w:r>
            <w:r>
              <w:rPr>
                <w:spacing w:val="-4"/>
                <w:sz w:val="21"/>
              </w:rPr>
              <w:t>肠系膜动脉。</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before="51"/>
              <w:ind w:left="127"/>
              <w:rPr>
                <w:sz w:val="21"/>
              </w:rPr>
            </w:pPr>
            <w:r>
              <w:rPr>
                <w:spacing w:val="-3"/>
                <w:sz w:val="21"/>
              </w:rPr>
              <w:t>理赔时必须同符合下列所有条件：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6923" w:type="dxa"/>
          </w:tcPr>
          <w:p>
            <w:pPr>
              <w:pStyle w:val="TableParagraph"/>
              <w:spacing w:before="13"/>
              <w:ind w:left="127"/>
              <w:rPr>
                <w:sz w:val="21"/>
              </w:rPr>
            </w:pPr>
            <w:r>
              <w:rPr>
                <w:spacing w:val="-2"/>
                <w:sz w:val="21"/>
              </w:rPr>
              <w:t>(1)</w:t>
            </w:r>
            <w:r>
              <w:rPr>
                <w:spacing w:val="-4"/>
                <w:sz w:val="21"/>
              </w:rPr>
              <w:t>经血管造影术证明一条或以上的血管存在 </w:t>
            </w:r>
            <w:r>
              <w:rPr>
                <w:spacing w:val="-2"/>
                <w:sz w:val="21"/>
              </w:rPr>
              <w:t>50</w:t>
            </w:r>
            <w:r>
              <w:rPr>
                <w:spacing w:val="-4"/>
                <w:sz w:val="21"/>
              </w:rPr>
              <w:t>%或以上狭窄；</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6923" w:type="dxa"/>
          </w:tcPr>
          <w:p>
            <w:pPr>
              <w:pStyle w:val="TableParagraph"/>
              <w:spacing w:line="228" w:lineRule="exact" w:before="13"/>
              <w:ind w:left="127"/>
              <w:rPr>
                <w:sz w:val="21"/>
              </w:rPr>
            </w:pPr>
            <w:r>
              <w:rPr>
                <w:spacing w:val="-2"/>
                <w:sz w:val="21"/>
              </w:rPr>
              <w:t>(2)</w:t>
            </w:r>
            <w:r>
              <w:rPr>
                <w:spacing w:val="-7"/>
                <w:sz w:val="21"/>
              </w:rPr>
              <w:t>确实已针对以上狭窄血管进行介入治疗以减轻症状，介入治疗包括血管</w:t>
            </w:r>
          </w:p>
        </w:tc>
      </w:tr>
    </w:tbl>
    <w:p>
      <w:pPr>
        <w:spacing w:after="0" w:line="228" w:lineRule="exact"/>
        <w:rPr>
          <w:sz w:val="21"/>
        </w:rPr>
        <w:sectPr>
          <w:pgSz w:w="11910" w:h="16840"/>
          <w:pgMar w:top="1460" w:bottom="1598"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29"/>
      </w:tblGrid>
      <w:tr>
        <w:trPr>
          <w:trHeight w:val="33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line="232" w:lineRule="exact"/>
              <w:ind w:left="127"/>
              <w:rPr>
                <w:sz w:val="21"/>
              </w:rPr>
            </w:pPr>
            <w:r>
              <w:rPr>
                <w:spacing w:val="-3"/>
                <w:sz w:val="21"/>
              </w:rPr>
              <w:t>成形术及/或进行植入支架或动脉粥样斑块清除手术。</w:t>
            </w:r>
          </w:p>
        </w:tc>
      </w:tr>
      <w:tr>
        <w:trPr>
          <w:trHeight w:val="383" w:hRule="atLeast"/>
        </w:trPr>
        <w:tc>
          <w:tcPr>
            <w:tcW w:w="1005" w:type="dxa"/>
          </w:tcPr>
          <w:p>
            <w:pPr>
              <w:pStyle w:val="TableParagraph"/>
              <w:spacing w:line="346" w:lineRule="exact" w:before="17"/>
              <w:ind w:left="50"/>
              <w:rPr>
                <w:rFonts w:ascii="微软雅黑"/>
                <w:b/>
                <w:sz w:val="21"/>
              </w:rPr>
            </w:pPr>
            <w:r>
              <w:rPr>
                <w:rFonts w:ascii="微软雅黑"/>
                <w:b/>
                <w:spacing w:val="-2"/>
                <w:sz w:val="21"/>
              </w:rPr>
              <w:t>12.1.22</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心包膜切除术</w:t>
            </w:r>
          </w:p>
        </w:tc>
        <w:tc>
          <w:tcPr>
            <w:tcW w:w="7029" w:type="dxa"/>
          </w:tcPr>
          <w:p>
            <w:pPr>
              <w:pStyle w:val="TableParagraph"/>
              <w:spacing w:before="84"/>
              <w:ind w:left="127"/>
              <w:rPr>
                <w:sz w:val="21"/>
              </w:rPr>
            </w:pPr>
            <w:r>
              <w:rPr>
                <w:spacing w:val="-2"/>
                <w:sz w:val="21"/>
              </w:rPr>
              <w:t>因心包膜疾病导致已经接受心包膜切除术。</w:t>
            </w:r>
            <w:r>
              <w:rPr>
                <w:color w:val="000000"/>
                <w:spacing w:val="-3"/>
                <w:sz w:val="21"/>
                <w:shd w:fill="A6A6A6" w:color="auto" w:val="clear"/>
              </w:rPr>
              <w:t>手术必须由心脏专科医生认为</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3"/>
                <w:sz w:val="21"/>
                <w:shd w:fill="A6A6A6" w:color="auto" w:val="clear"/>
              </w:rPr>
              <w:t>是医学上必须的情况下进行。</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12.1.23</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植入腔静脉过滤</w:t>
            </w:r>
          </w:p>
        </w:tc>
        <w:tc>
          <w:tcPr>
            <w:tcW w:w="7029" w:type="dxa"/>
          </w:tcPr>
          <w:p>
            <w:pPr>
              <w:pStyle w:val="TableParagraph"/>
              <w:spacing w:before="84"/>
              <w:ind w:left="127"/>
              <w:rPr>
                <w:sz w:val="21"/>
              </w:rPr>
            </w:pPr>
            <w:r>
              <w:rPr>
                <w:spacing w:val="-10"/>
                <w:sz w:val="21"/>
              </w:rPr>
              <w:t>指患者因反复肺栓塞发作，抗凝血疗法无效而接受手术植入腔静脉过滤器。</w:t>
            </w:r>
          </w:p>
        </w:tc>
      </w:tr>
      <w:tr>
        <w:trPr>
          <w:trHeight w:val="382" w:hRule="atLeast"/>
        </w:trPr>
        <w:tc>
          <w:tcPr>
            <w:tcW w:w="1005" w:type="dxa"/>
          </w:tcPr>
          <w:p>
            <w:pPr>
              <w:pStyle w:val="TableParagraph"/>
              <w:rPr>
                <w:rFonts w:ascii="Times New Roman"/>
                <w:sz w:val="20"/>
              </w:rPr>
            </w:pPr>
          </w:p>
        </w:tc>
        <w:tc>
          <w:tcPr>
            <w:tcW w:w="1818" w:type="dxa"/>
          </w:tcPr>
          <w:p>
            <w:pPr>
              <w:pStyle w:val="TableParagraph"/>
              <w:spacing w:line="333" w:lineRule="exact"/>
              <w:ind w:left="214"/>
              <w:rPr>
                <w:rFonts w:ascii="微软雅黑" w:eastAsia="微软雅黑"/>
                <w:b/>
                <w:sz w:val="21"/>
              </w:rPr>
            </w:pPr>
            <w:r>
              <w:rPr>
                <w:rFonts w:ascii="微软雅黑" w:eastAsia="微软雅黑"/>
                <w:b/>
                <w:w w:val="100"/>
                <w:sz w:val="21"/>
              </w:rPr>
              <w:t>器</w:t>
            </w:r>
          </w:p>
        </w:tc>
        <w:tc>
          <w:tcPr>
            <w:tcW w:w="7029" w:type="dxa"/>
          </w:tcPr>
          <w:p>
            <w:pPr>
              <w:pStyle w:val="TableParagraph"/>
              <w:spacing w:before="13"/>
              <w:ind w:left="127"/>
              <w:rPr>
                <w:sz w:val="21"/>
              </w:rPr>
            </w:pPr>
            <w:r>
              <w:rPr>
                <w:color w:val="000000"/>
                <w:spacing w:val="-3"/>
                <w:sz w:val="21"/>
                <w:shd w:fill="A6A6A6" w:color="auto" w:val="clear"/>
              </w:rPr>
              <w:t>此手术须由专科医生认为是医疗必须的情况下进行。</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12.1.24</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单侧肾脏切除</w:t>
            </w:r>
          </w:p>
        </w:tc>
        <w:tc>
          <w:tcPr>
            <w:tcW w:w="7029" w:type="dxa"/>
          </w:tcPr>
          <w:p>
            <w:pPr>
              <w:pStyle w:val="TableParagraph"/>
              <w:spacing w:before="84"/>
              <w:ind w:left="127"/>
              <w:rPr>
                <w:sz w:val="21"/>
              </w:rPr>
            </w:pPr>
            <w:r>
              <w:rPr>
                <w:spacing w:val="-3"/>
                <w:sz w:val="21"/>
              </w:rPr>
              <w:t>指因疾病或意外伤害导致肾脏严重损害，已经实际接受了左侧全肾切除手</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3"/>
                <w:sz w:val="21"/>
              </w:rPr>
              <w:t>术或右侧全肾切除手术。</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2"/>
              <w:ind w:left="127"/>
              <w:rPr>
                <w:sz w:val="21"/>
              </w:rPr>
            </w:pPr>
            <w:r>
              <w:rPr>
                <w:color w:val="000000"/>
                <w:spacing w:val="-3"/>
                <w:sz w:val="21"/>
                <w:shd w:fill="A6A6A6" w:color="auto" w:val="clear"/>
              </w:rPr>
              <w:t>下列情况不在保障范围内：</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(1)</w:t>
            </w:r>
            <w:r>
              <w:rPr>
                <w:color w:val="000000"/>
                <w:spacing w:val="-4"/>
                <w:sz w:val="21"/>
                <w:shd w:fill="A6A6A6" w:color="auto" w:val="clear"/>
              </w:rPr>
              <w:t>部分肾切除手术；</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(2)</w:t>
            </w:r>
            <w:r>
              <w:rPr>
                <w:color w:val="000000"/>
                <w:spacing w:val="-3"/>
                <w:sz w:val="21"/>
                <w:shd w:fill="A6A6A6" w:color="auto" w:val="clear"/>
              </w:rPr>
              <w:t>作为器官捐献者而实施的肾切除手术；</w:t>
            </w:r>
          </w:p>
        </w:tc>
      </w:tr>
      <w:tr>
        <w:trPr>
          <w:trHeight w:val="38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(3)</w:t>
            </w:r>
            <w:r>
              <w:rPr>
                <w:color w:val="000000"/>
                <w:spacing w:val="-3"/>
                <w:sz w:val="21"/>
                <w:shd w:fill="A6A6A6" w:color="auto" w:val="clear"/>
              </w:rPr>
              <w:t>因恶性肿瘤进行的肾切除手术。</w:t>
            </w:r>
          </w:p>
        </w:tc>
      </w:tr>
      <w:tr>
        <w:trPr>
          <w:trHeight w:val="383" w:hRule="atLeast"/>
        </w:trPr>
        <w:tc>
          <w:tcPr>
            <w:tcW w:w="1005" w:type="dxa"/>
          </w:tcPr>
          <w:p>
            <w:pPr>
              <w:pStyle w:val="TableParagraph"/>
              <w:spacing w:line="346" w:lineRule="exact" w:before="17"/>
              <w:ind w:left="50"/>
              <w:rPr>
                <w:rFonts w:ascii="微软雅黑"/>
                <w:b/>
                <w:sz w:val="21"/>
              </w:rPr>
            </w:pPr>
            <w:r>
              <w:rPr>
                <w:rFonts w:ascii="微软雅黑"/>
                <w:b/>
                <w:spacing w:val="-2"/>
                <w:sz w:val="21"/>
              </w:rPr>
              <w:t>12.1.25</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双侧卵巢切除术</w:t>
            </w:r>
          </w:p>
        </w:tc>
        <w:tc>
          <w:tcPr>
            <w:tcW w:w="7029" w:type="dxa"/>
          </w:tcPr>
          <w:p>
            <w:pPr>
              <w:pStyle w:val="TableParagraph"/>
              <w:spacing w:before="84"/>
              <w:ind w:left="127"/>
              <w:rPr>
                <w:sz w:val="21"/>
              </w:rPr>
            </w:pPr>
            <w:r>
              <w:rPr>
                <w:spacing w:val="-3"/>
                <w:sz w:val="21"/>
              </w:rPr>
              <w:t>指为治疗疾病实际接受了经腹部切开或腹腔镜进行的双侧卵巢完全切除手</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5"/>
                <w:sz w:val="21"/>
              </w:rPr>
              <w:t>术。</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1"/>
              <w:ind w:left="127"/>
              <w:rPr>
                <w:sz w:val="21"/>
              </w:rPr>
            </w:pPr>
            <w:r>
              <w:rPr>
                <w:color w:val="000000"/>
                <w:spacing w:val="-3"/>
                <w:sz w:val="21"/>
                <w:shd w:fill="A6A6A6" w:color="auto" w:val="clear"/>
              </w:rPr>
              <w:t>下列情况不在保障范围内：</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(1)</w:t>
            </w:r>
            <w:r>
              <w:rPr>
                <w:color w:val="000000"/>
                <w:spacing w:val="-4"/>
                <w:sz w:val="21"/>
                <w:shd w:fill="A6A6A6" w:color="auto" w:val="clear"/>
              </w:rPr>
              <w:t>部分卵巢切除；</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(2)</w:t>
            </w:r>
            <w:r>
              <w:rPr>
                <w:color w:val="000000"/>
                <w:spacing w:val="-3"/>
                <w:sz w:val="21"/>
                <w:shd w:fill="A6A6A6" w:color="auto" w:val="clear"/>
              </w:rPr>
              <w:t>因恶性肿瘤进行的卵巢切除术；</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(3)</w:t>
            </w:r>
            <w:r>
              <w:rPr>
                <w:color w:val="000000"/>
                <w:spacing w:val="-4"/>
                <w:sz w:val="21"/>
                <w:shd w:fill="A6A6A6" w:color="auto" w:val="clear"/>
              </w:rPr>
              <w:t>预防性卵巢切除；</w:t>
            </w:r>
          </w:p>
        </w:tc>
      </w:tr>
      <w:tr>
        <w:trPr>
          <w:trHeight w:val="38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(4)</w:t>
            </w:r>
            <w:r>
              <w:rPr>
                <w:color w:val="000000"/>
                <w:spacing w:val="-4"/>
                <w:sz w:val="21"/>
                <w:shd w:fill="A6A6A6" w:color="auto" w:val="clear"/>
              </w:rPr>
              <w:t>变性手术。</w:t>
            </w:r>
          </w:p>
        </w:tc>
      </w:tr>
      <w:tr>
        <w:trPr>
          <w:trHeight w:val="384" w:hRule="atLeast"/>
        </w:trPr>
        <w:tc>
          <w:tcPr>
            <w:tcW w:w="1005" w:type="dxa"/>
          </w:tcPr>
          <w:p>
            <w:pPr>
              <w:pStyle w:val="TableParagraph"/>
              <w:spacing w:line="346" w:lineRule="exact" w:before="18"/>
              <w:ind w:left="50"/>
              <w:rPr>
                <w:rFonts w:ascii="微软雅黑"/>
                <w:b/>
                <w:sz w:val="21"/>
              </w:rPr>
            </w:pPr>
            <w:r>
              <w:rPr>
                <w:rFonts w:ascii="微软雅黑"/>
                <w:b/>
                <w:spacing w:val="-2"/>
                <w:sz w:val="21"/>
              </w:rPr>
              <w:t>12.1.26</w:t>
            </w:r>
          </w:p>
        </w:tc>
        <w:tc>
          <w:tcPr>
            <w:tcW w:w="1818" w:type="dxa"/>
          </w:tcPr>
          <w:p>
            <w:pPr>
              <w:pStyle w:val="TableParagraph"/>
              <w:spacing w:line="346" w:lineRule="exact" w:before="18"/>
              <w:ind w:left="214"/>
              <w:rPr>
                <w:rFonts w:ascii="微软雅黑" w:eastAsia="微软雅黑"/>
                <w:b/>
                <w:sz w:val="21"/>
              </w:rPr>
            </w:pPr>
            <w:r>
              <w:rPr>
                <w:rFonts w:ascii="微软雅黑" w:eastAsia="微软雅黑"/>
                <w:b/>
                <w:spacing w:val="-2"/>
                <w:sz w:val="21"/>
              </w:rPr>
              <w:t>双侧睾丸切除术</w:t>
            </w:r>
          </w:p>
        </w:tc>
        <w:tc>
          <w:tcPr>
            <w:tcW w:w="7029" w:type="dxa"/>
          </w:tcPr>
          <w:p>
            <w:pPr>
              <w:pStyle w:val="TableParagraph"/>
              <w:spacing w:before="85"/>
              <w:ind w:left="127"/>
              <w:rPr>
                <w:sz w:val="21"/>
              </w:rPr>
            </w:pPr>
            <w:r>
              <w:rPr>
                <w:spacing w:val="-3"/>
                <w:sz w:val="21"/>
              </w:rPr>
              <w:t>指为治疗疾病实际接受了经腹部切开或腹腔镜进行的双侧睾丸完全切除手</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5"/>
                <w:sz w:val="21"/>
              </w:rPr>
              <w:t>术。</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1"/>
              <w:ind w:left="127"/>
              <w:rPr>
                <w:sz w:val="21"/>
              </w:rPr>
            </w:pPr>
            <w:r>
              <w:rPr>
                <w:color w:val="000000"/>
                <w:spacing w:val="-3"/>
                <w:sz w:val="21"/>
                <w:shd w:fill="A6A6A6" w:color="auto" w:val="clear"/>
              </w:rPr>
              <w:t>下列情况不在保障范围内：</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(1)</w:t>
            </w:r>
            <w:r>
              <w:rPr>
                <w:color w:val="000000"/>
                <w:spacing w:val="-4"/>
                <w:sz w:val="21"/>
                <w:shd w:fill="A6A6A6" w:color="auto" w:val="clear"/>
              </w:rPr>
              <w:t>部分睾丸切除；</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(2)</w:t>
            </w:r>
            <w:r>
              <w:rPr>
                <w:color w:val="000000"/>
                <w:spacing w:val="-3"/>
                <w:sz w:val="21"/>
                <w:shd w:fill="A6A6A6" w:color="auto" w:val="clear"/>
              </w:rPr>
              <w:t>因恶性肿瘤进行的睾丸切除术；</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(3)</w:t>
            </w:r>
            <w:r>
              <w:rPr>
                <w:color w:val="000000"/>
                <w:spacing w:val="-4"/>
                <w:sz w:val="21"/>
                <w:shd w:fill="A6A6A6" w:color="auto" w:val="clear"/>
              </w:rPr>
              <w:t>预防性睾丸切除；</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2"/>
                <w:sz w:val="21"/>
                <w:shd w:fill="A6A6A6" w:color="auto" w:val="clear"/>
              </w:rPr>
              <w:t>(4)</w:t>
            </w:r>
            <w:r>
              <w:rPr>
                <w:color w:val="000000"/>
                <w:spacing w:val="-4"/>
                <w:sz w:val="21"/>
                <w:shd w:fill="A6A6A6" w:color="auto" w:val="clear"/>
              </w:rPr>
              <w:t>变性手术。</w:t>
            </w:r>
          </w:p>
        </w:tc>
      </w:tr>
      <w:tr>
        <w:trPr>
          <w:trHeight w:val="382" w:hRule="atLeast"/>
        </w:trPr>
        <w:tc>
          <w:tcPr>
            <w:tcW w:w="1005" w:type="dxa"/>
          </w:tcPr>
          <w:p>
            <w:pPr>
              <w:pStyle w:val="TableParagraph"/>
              <w:spacing w:line="346" w:lineRule="exact" w:before="17"/>
              <w:ind w:left="50"/>
              <w:rPr>
                <w:rFonts w:ascii="微软雅黑"/>
                <w:b/>
                <w:sz w:val="21"/>
              </w:rPr>
            </w:pPr>
            <w:r>
              <w:rPr>
                <w:rFonts w:ascii="微软雅黑"/>
                <w:b/>
                <w:spacing w:val="-2"/>
                <w:sz w:val="21"/>
              </w:rPr>
              <w:t>12.1.27</w:t>
            </w:r>
          </w:p>
        </w:tc>
        <w:tc>
          <w:tcPr>
            <w:tcW w:w="1818" w:type="dxa"/>
          </w:tcPr>
          <w:p>
            <w:pPr>
              <w:pStyle w:val="TableParagraph"/>
              <w:spacing w:line="346" w:lineRule="exact" w:before="17"/>
              <w:ind w:left="214"/>
              <w:rPr>
                <w:rFonts w:ascii="微软雅黑" w:eastAsia="微软雅黑"/>
                <w:b/>
                <w:sz w:val="21"/>
              </w:rPr>
            </w:pPr>
            <w:r>
              <w:rPr>
                <w:rFonts w:ascii="微软雅黑" w:eastAsia="微软雅黑"/>
                <w:b/>
                <w:spacing w:val="-2"/>
                <w:sz w:val="21"/>
              </w:rPr>
              <w:t>严重阻塞性睡眠</w:t>
            </w:r>
          </w:p>
        </w:tc>
        <w:tc>
          <w:tcPr>
            <w:tcW w:w="7029" w:type="dxa"/>
          </w:tcPr>
          <w:p>
            <w:pPr>
              <w:pStyle w:val="TableParagraph"/>
              <w:spacing w:before="84"/>
              <w:ind w:left="127"/>
              <w:rPr>
                <w:sz w:val="21"/>
              </w:rPr>
            </w:pPr>
            <w:r>
              <w:rPr>
                <w:spacing w:val="-3"/>
                <w:sz w:val="21"/>
              </w:rPr>
              <w:t>须由相关专科医生，经多导睡眠监测仪检查明确诊断为严重阻塞性睡眠呼</w:t>
            </w:r>
          </w:p>
        </w:tc>
      </w:tr>
      <w:tr>
        <w:trPr>
          <w:trHeight w:val="311"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2"/>
                <w:sz w:val="21"/>
              </w:rPr>
              <w:t>呼吸暂停综合征</w:t>
            </w:r>
          </w:p>
        </w:tc>
        <w:tc>
          <w:tcPr>
            <w:tcW w:w="7029" w:type="dxa"/>
          </w:tcPr>
          <w:p>
            <w:pPr>
              <w:pStyle w:val="TableParagraph"/>
              <w:spacing w:before="13"/>
              <w:ind w:left="127"/>
              <w:rPr>
                <w:sz w:val="21"/>
              </w:rPr>
            </w:pPr>
            <w:r>
              <w:rPr>
                <w:spacing w:val="-6"/>
                <w:sz w:val="21"/>
              </w:rPr>
              <w:t>吸暂停综合征</w:t>
            </w:r>
            <w:r>
              <w:rPr>
                <w:spacing w:val="9"/>
                <w:sz w:val="21"/>
              </w:rPr>
              <w:t>（</w:t>
            </w:r>
            <w:r>
              <w:rPr>
                <w:spacing w:val="12"/>
                <w:sz w:val="21"/>
              </w:rPr>
              <w:t>OSA</w:t>
            </w:r>
            <w:r>
              <w:rPr>
                <w:spacing w:val="-96"/>
                <w:sz w:val="21"/>
              </w:rPr>
              <w:t>）</w:t>
            </w:r>
            <w:r>
              <w:rPr>
                <w:spacing w:val="-7"/>
                <w:sz w:val="21"/>
              </w:rPr>
              <w:t>，并必须符合以下两项条件：</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(1)被保险人必须现正接受持续气道正压呼吸器（CPAP）</w:t>
            </w:r>
            <w:r>
              <w:rPr>
                <w:spacing w:val="-4"/>
                <w:sz w:val="21"/>
              </w:rPr>
              <w:t>之夜间治疗；</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z w:val="21"/>
              </w:rPr>
              <w:t>(2)必须提供睡眠测试的文件证明，显示呼吸暂停低通气指数</w:t>
            </w:r>
            <w:r>
              <w:rPr>
                <w:spacing w:val="-2"/>
                <w:sz w:val="21"/>
              </w:rPr>
              <w:t>（AHI）&gt;30</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spacing w:val="-2"/>
                <w:sz w:val="21"/>
              </w:rPr>
              <w:t>及夜间血氧饱和度平均值持续&lt;85</w:t>
            </w:r>
            <w:r>
              <w:rPr>
                <w:spacing w:val="-6"/>
                <w:sz w:val="21"/>
              </w:rPr>
              <w:t>%。</w:t>
            </w:r>
          </w:p>
        </w:tc>
      </w:tr>
      <w:tr>
        <w:trPr>
          <w:trHeight w:val="694" w:hRule="atLeast"/>
        </w:trPr>
        <w:tc>
          <w:tcPr>
            <w:tcW w:w="1005" w:type="dxa"/>
          </w:tcPr>
          <w:p>
            <w:pPr>
              <w:pStyle w:val="TableParagraph"/>
              <w:spacing w:before="41"/>
              <w:ind w:left="50"/>
              <w:rPr>
                <w:rFonts w:ascii="微软雅黑"/>
                <w:b/>
                <w:sz w:val="21"/>
              </w:rPr>
            </w:pPr>
            <w:r>
              <w:rPr>
                <w:rFonts w:ascii="微软雅黑"/>
                <w:b/>
                <w:spacing w:val="-2"/>
                <w:sz w:val="21"/>
              </w:rPr>
              <w:t>12.1.28</w:t>
            </w:r>
          </w:p>
        </w:tc>
        <w:tc>
          <w:tcPr>
            <w:tcW w:w="1818" w:type="dxa"/>
          </w:tcPr>
          <w:p>
            <w:pPr>
              <w:pStyle w:val="TableParagraph"/>
              <w:spacing w:line="312" w:lineRule="exact" w:before="44"/>
              <w:ind w:left="214" w:right="123"/>
              <w:rPr>
                <w:rFonts w:ascii="微软雅黑" w:eastAsia="微软雅黑"/>
                <w:b/>
                <w:sz w:val="21"/>
              </w:rPr>
            </w:pPr>
            <w:r>
              <w:rPr>
                <w:rFonts w:ascii="微软雅黑" w:eastAsia="微软雅黑"/>
                <w:b/>
                <w:spacing w:val="-2"/>
                <w:sz w:val="21"/>
              </w:rPr>
              <w:t>永久性心脏起搏</w:t>
            </w:r>
            <w:r>
              <w:rPr>
                <w:rFonts w:ascii="微软雅黑" w:eastAsia="微软雅黑"/>
                <w:b/>
                <w:spacing w:val="-4"/>
                <w:sz w:val="21"/>
              </w:rPr>
              <w:t>器植入</w:t>
            </w:r>
          </w:p>
        </w:tc>
        <w:tc>
          <w:tcPr>
            <w:tcW w:w="7029" w:type="dxa"/>
          </w:tcPr>
          <w:p>
            <w:pPr>
              <w:pStyle w:val="TableParagraph"/>
              <w:spacing w:line="310" w:lineRule="atLeast" w:before="43"/>
              <w:ind w:left="127" w:right="152"/>
              <w:rPr>
                <w:sz w:val="21"/>
              </w:rPr>
            </w:pPr>
            <w:r>
              <w:rPr>
                <w:spacing w:val="-2"/>
                <w:sz w:val="21"/>
              </w:rPr>
              <w:t>因严重心律失常而于心腔内进行植入永久性心脏起搏器的手术，此严重心</w:t>
            </w:r>
            <w:r>
              <w:rPr>
                <w:spacing w:val="-2"/>
                <w:sz w:val="21"/>
              </w:rPr>
              <w:t>律失常并不能以其他方法治疗。</w:t>
            </w:r>
            <w:r>
              <w:rPr>
                <w:color w:val="000000"/>
                <w:spacing w:val="-3"/>
                <w:sz w:val="21"/>
                <w:shd w:fill="A6A6A6" w:color="auto" w:val="clear"/>
              </w:rPr>
              <w:t>必须由相关专科医生确认植入心脏起搏器</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4"/>
                <w:sz w:val="21"/>
                <w:shd w:fill="A6A6A6" w:color="auto" w:val="clear"/>
              </w:rPr>
              <w:t>为医疗所须。</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3"/>
              <w:ind w:left="127"/>
              <w:rPr>
                <w:sz w:val="21"/>
              </w:rPr>
            </w:pPr>
            <w:r>
              <w:rPr>
                <w:color w:val="000000"/>
                <w:spacing w:val="-3"/>
                <w:sz w:val="21"/>
                <w:shd w:fill="A6A6A6" w:color="auto" w:val="clear"/>
              </w:rPr>
              <w:t>临时心脏起搏器安装除外。</w:t>
            </w:r>
          </w:p>
        </w:tc>
      </w:tr>
      <w:tr>
        <w:trPr>
          <w:trHeight w:val="694" w:hRule="atLeast"/>
        </w:trPr>
        <w:tc>
          <w:tcPr>
            <w:tcW w:w="1005" w:type="dxa"/>
          </w:tcPr>
          <w:p>
            <w:pPr>
              <w:pStyle w:val="TableParagraph"/>
              <w:spacing w:before="41"/>
              <w:ind w:left="50"/>
              <w:rPr>
                <w:rFonts w:ascii="微软雅黑"/>
                <w:b/>
                <w:sz w:val="21"/>
              </w:rPr>
            </w:pPr>
            <w:r>
              <w:rPr>
                <w:rFonts w:ascii="微软雅黑"/>
                <w:b/>
                <w:spacing w:val="-2"/>
                <w:sz w:val="21"/>
              </w:rPr>
              <w:t>12.1.29</w:t>
            </w:r>
          </w:p>
        </w:tc>
        <w:tc>
          <w:tcPr>
            <w:tcW w:w="1818" w:type="dxa"/>
          </w:tcPr>
          <w:p>
            <w:pPr>
              <w:pStyle w:val="TableParagraph"/>
              <w:spacing w:line="312" w:lineRule="exact" w:before="44"/>
              <w:ind w:left="214" w:right="123"/>
              <w:rPr>
                <w:rFonts w:ascii="微软雅黑" w:eastAsia="微软雅黑"/>
                <w:b/>
                <w:sz w:val="21"/>
              </w:rPr>
            </w:pPr>
            <w:r>
              <w:rPr>
                <w:rFonts w:ascii="微软雅黑" w:eastAsia="微软雅黑"/>
                <w:b/>
                <w:spacing w:val="-2"/>
                <w:sz w:val="21"/>
              </w:rPr>
              <w:t>永久性心脏除颤</w:t>
            </w:r>
            <w:r>
              <w:rPr>
                <w:rFonts w:ascii="微软雅黑" w:eastAsia="微软雅黑"/>
                <w:b/>
                <w:spacing w:val="-4"/>
                <w:sz w:val="21"/>
              </w:rPr>
              <w:t>器植入</w:t>
            </w:r>
          </w:p>
        </w:tc>
        <w:tc>
          <w:tcPr>
            <w:tcW w:w="7029" w:type="dxa"/>
          </w:tcPr>
          <w:p>
            <w:pPr>
              <w:pStyle w:val="TableParagraph"/>
              <w:spacing w:line="310" w:lineRule="atLeast" w:before="43"/>
              <w:ind w:left="127" w:right="152"/>
              <w:rPr>
                <w:sz w:val="21"/>
              </w:rPr>
            </w:pPr>
            <w:r>
              <w:rPr>
                <w:spacing w:val="-2"/>
                <w:sz w:val="21"/>
              </w:rPr>
              <w:t>因严重心律失常而于心腔内进行植入永久性心脏除颤器的手术，此严重心</w:t>
            </w:r>
            <w:r>
              <w:rPr>
                <w:spacing w:val="-2"/>
                <w:sz w:val="21"/>
              </w:rPr>
              <w:t>律失常并不能以其他方法治疗。</w:t>
            </w:r>
            <w:r>
              <w:rPr>
                <w:color w:val="000000"/>
                <w:spacing w:val="-3"/>
                <w:sz w:val="21"/>
                <w:shd w:fill="A6A6A6" w:color="auto" w:val="clear"/>
              </w:rPr>
              <w:t>必须由相关专科医生确认植入心脏除颤器</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13"/>
              <w:ind w:left="127"/>
              <w:rPr>
                <w:sz w:val="21"/>
              </w:rPr>
            </w:pPr>
            <w:r>
              <w:rPr>
                <w:color w:val="000000"/>
                <w:spacing w:val="-4"/>
                <w:sz w:val="21"/>
                <w:shd w:fill="A6A6A6" w:color="auto" w:val="clear"/>
              </w:rPr>
              <w:t>为医疗所须。</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29" w:type="dxa"/>
          </w:tcPr>
          <w:p>
            <w:pPr>
              <w:pStyle w:val="TableParagraph"/>
              <w:spacing w:before="53"/>
              <w:ind w:left="127"/>
              <w:rPr>
                <w:sz w:val="21"/>
              </w:rPr>
            </w:pPr>
            <w:r>
              <w:rPr>
                <w:color w:val="000000"/>
                <w:spacing w:val="-2"/>
                <w:sz w:val="21"/>
                <w:shd w:fill="A6A6A6" w:color="auto" w:val="clear"/>
              </w:rPr>
              <w:t>体外心脏电复律（心脏电除颤</w:t>
            </w:r>
            <w:r>
              <w:rPr>
                <w:color w:val="000000"/>
                <w:spacing w:val="-108"/>
                <w:sz w:val="21"/>
                <w:shd w:fill="A6A6A6" w:color="auto" w:val="clear"/>
              </w:rPr>
              <w:t>）</w:t>
            </w:r>
            <w:r>
              <w:rPr>
                <w:color w:val="000000"/>
                <w:spacing w:val="-3"/>
                <w:sz w:val="21"/>
                <w:shd w:fill="A6A6A6" w:color="auto" w:val="clear"/>
              </w:rPr>
              <w:t>、临时性埋藏式心脏复律除颤器安装除外。</w:t>
            </w:r>
          </w:p>
        </w:tc>
      </w:tr>
      <w:tr>
        <w:trPr>
          <w:trHeight w:val="356" w:hRule="atLeast"/>
        </w:trPr>
        <w:tc>
          <w:tcPr>
            <w:tcW w:w="1005" w:type="dxa"/>
          </w:tcPr>
          <w:p>
            <w:pPr>
              <w:pStyle w:val="TableParagraph"/>
              <w:spacing w:line="296" w:lineRule="exact" w:before="40"/>
              <w:ind w:left="50"/>
              <w:rPr>
                <w:rFonts w:ascii="微软雅黑"/>
                <w:b/>
                <w:sz w:val="21"/>
              </w:rPr>
            </w:pPr>
            <w:r>
              <w:rPr>
                <w:rFonts w:ascii="微软雅黑"/>
                <w:b/>
                <w:spacing w:val="-2"/>
                <w:sz w:val="21"/>
              </w:rPr>
              <w:t>12.1.30</w:t>
            </w:r>
          </w:p>
        </w:tc>
        <w:tc>
          <w:tcPr>
            <w:tcW w:w="1818" w:type="dxa"/>
          </w:tcPr>
          <w:p>
            <w:pPr>
              <w:pStyle w:val="TableParagraph"/>
              <w:spacing w:line="320" w:lineRule="exact" w:before="16"/>
              <w:ind w:left="214"/>
              <w:rPr>
                <w:rFonts w:ascii="微软雅黑" w:eastAsia="微软雅黑"/>
                <w:b/>
                <w:sz w:val="21"/>
              </w:rPr>
            </w:pPr>
            <w:r>
              <w:rPr>
                <w:rFonts w:ascii="微软雅黑" w:eastAsia="微软雅黑"/>
                <w:b/>
                <w:spacing w:val="-2"/>
                <w:sz w:val="21"/>
              </w:rPr>
              <w:t>胆道系统重建手</w:t>
            </w:r>
          </w:p>
        </w:tc>
        <w:tc>
          <w:tcPr>
            <w:tcW w:w="7029" w:type="dxa"/>
          </w:tcPr>
          <w:p>
            <w:pPr>
              <w:pStyle w:val="TableParagraph"/>
              <w:spacing w:line="250" w:lineRule="exact" w:before="86"/>
              <w:ind w:left="127"/>
              <w:rPr>
                <w:sz w:val="21"/>
              </w:rPr>
            </w:pPr>
            <w:r>
              <w:rPr>
                <w:spacing w:val="-3"/>
                <w:sz w:val="21"/>
              </w:rPr>
              <w:t>因疾病或胆道创伤导致包含胆道肠道人工造管术的胆道重建手术。手术必</w:t>
            </w:r>
          </w:p>
        </w:tc>
      </w:tr>
    </w:tbl>
    <w:p>
      <w:pPr>
        <w:spacing w:after="0" w:line="250" w:lineRule="exact"/>
        <w:rPr>
          <w:sz w:val="21"/>
        </w:rPr>
        <w:sectPr>
          <w:type w:val="continuous"/>
          <w:pgSz w:w="11910" w:h="16840"/>
          <w:pgMar w:top="1460" w:bottom="1277"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31"/>
      </w:tblGrid>
      <w:tr>
        <w:trPr>
          <w:trHeight w:val="721" w:hRule="atLeast"/>
        </w:trPr>
        <w:tc>
          <w:tcPr>
            <w:tcW w:w="1005" w:type="dxa"/>
          </w:tcPr>
          <w:p>
            <w:pPr>
              <w:pStyle w:val="TableParagraph"/>
              <w:rPr>
                <w:rFonts w:ascii="Times New Roman"/>
                <w:sz w:val="20"/>
              </w:rPr>
            </w:pPr>
          </w:p>
        </w:tc>
        <w:tc>
          <w:tcPr>
            <w:tcW w:w="1818" w:type="dxa"/>
          </w:tcPr>
          <w:p>
            <w:pPr>
              <w:pStyle w:val="TableParagraph"/>
              <w:spacing w:line="283" w:lineRule="exact"/>
              <w:ind w:left="214"/>
              <w:rPr>
                <w:rFonts w:ascii="微软雅黑" w:eastAsia="微软雅黑"/>
                <w:b/>
                <w:sz w:val="21"/>
              </w:rPr>
            </w:pPr>
            <w:r>
              <w:rPr>
                <w:rFonts w:ascii="微软雅黑" w:eastAsia="微软雅黑"/>
                <w:b/>
                <w:w w:val="100"/>
                <w:sz w:val="21"/>
              </w:rPr>
              <w:t>术</w:t>
            </w:r>
          </w:p>
        </w:tc>
        <w:tc>
          <w:tcPr>
            <w:tcW w:w="7031" w:type="dxa"/>
          </w:tcPr>
          <w:p>
            <w:pPr>
              <w:pStyle w:val="TableParagraph"/>
              <w:spacing w:line="232" w:lineRule="exact"/>
              <w:ind w:left="127"/>
              <w:rPr>
                <w:sz w:val="21"/>
              </w:rPr>
            </w:pPr>
            <w:r>
              <w:rPr>
                <w:spacing w:val="-3"/>
                <w:sz w:val="21"/>
              </w:rPr>
              <w:t>须由专科医生确认为医学上所必须的情况下进行。</w:t>
            </w:r>
          </w:p>
          <w:p>
            <w:pPr>
              <w:pStyle w:val="TableParagraph"/>
              <w:spacing w:before="120"/>
              <w:ind w:left="127"/>
              <w:rPr>
                <w:sz w:val="21"/>
              </w:rPr>
            </w:pPr>
            <w:r>
              <w:rPr>
                <w:color w:val="000000"/>
                <w:spacing w:val="-3"/>
                <w:sz w:val="21"/>
                <w:shd w:fill="A6A6A6" w:color="auto" w:val="clear"/>
              </w:rPr>
              <w:t>胆道闭锁不在保障范围内。</w:t>
            </w:r>
          </w:p>
        </w:tc>
      </w:tr>
      <w:tr>
        <w:trPr>
          <w:trHeight w:val="694" w:hRule="atLeast"/>
        </w:trPr>
        <w:tc>
          <w:tcPr>
            <w:tcW w:w="1005" w:type="dxa"/>
          </w:tcPr>
          <w:p>
            <w:pPr>
              <w:pStyle w:val="TableParagraph"/>
              <w:spacing w:before="41"/>
              <w:ind w:left="50"/>
              <w:rPr>
                <w:rFonts w:ascii="微软雅黑"/>
                <w:b/>
                <w:sz w:val="21"/>
              </w:rPr>
            </w:pPr>
            <w:r>
              <w:rPr>
                <w:rFonts w:ascii="微软雅黑"/>
                <w:b/>
                <w:spacing w:val="-2"/>
                <w:sz w:val="21"/>
              </w:rPr>
              <w:t>12.1.31</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早期肝硬化</w:t>
            </w:r>
          </w:p>
        </w:tc>
        <w:tc>
          <w:tcPr>
            <w:tcW w:w="7031" w:type="dxa"/>
          </w:tcPr>
          <w:p>
            <w:pPr>
              <w:pStyle w:val="TableParagraph"/>
              <w:spacing w:line="310" w:lineRule="atLeast" w:before="43"/>
              <w:ind w:left="127" w:right="155"/>
              <w:rPr>
                <w:sz w:val="21"/>
              </w:rPr>
            </w:pPr>
            <w:r>
              <w:rPr>
                <w:spacing w:val="-2"/>
                <w:sz w:val="21"/>
              </w:rPr>
              <w:t>肝硬化须由专科医生明确诊断。必须由活检证实有再生的肝细胞结节和典</w:t>
            </w:r>
            <w:r>
              <w:rPr>
                <w:spacing w:val="-10"/>
                <w:sz w:val="21"/>
              </w:rPr>
              <w:t>型的肝组织纤维化。但未达到“严重原发性硬化性胆管炎”、“严重自身免</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疫性肝炎”和“肝豆状核变性”的给付标准，且下列条件必须全部满足并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至少持续一年：</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w:t>
            </w:r>
            <w:r>
              <w:rPr>
                <w:spacing w:val="-5"/>
                <w:sz w:val="21"/>
              </w:rPr>
              <w:t>持续性黄疸，胆红素水平升高超过 </w:t>
            </w:r>
            <w:r>
              <w:rPr>
                <w:spacing w:val="-2"/>
                <w:sz w:val="21"/>
              </w:rPr>
              <w:t>50μmol/L；</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w:t>
            </w:r>
            <w:r>
              <w:rPr>
                <w:spacing w:val="-5"/>
                <w:sz w:val="21"/>
              </w:rPr>
              <w:t>蛋白质合成异常，白蛋白水平低于 </w:t>
            </w:r>
            <w:r>
              <w:rPr>
                <w:spacing w:val="-2"/>
                <w:sz w:val="21"/>
              </w:rPr>
              <w:t>27g/L；</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(3)</w:t>
            </w:r>
            <w:r>
              <w:rPr>
                <w:spacing w:val="-7"/>
                <w:sz w:val="21"/>
              </w:rPr>
              <w:t>异常凝血功能，凝血酶原时间超过正常上限的 </w:t>
            </w:r>
            <w:r>
              <w:rPr>
                <w:spacing w:val="-4"/>
                <w:sz w:val="21"/>
              </w:rPr>
              <w:t>2</w:t>
            </w:r>
            <w:r>
              <w:rPr>
                <w:spacing w:val="-11"/>
                <w:sz w:val="21"/>
              </w:rPr>
              <w:t> 倍或以上，或者国际正</w:t>
            </w:r>
          </w:p>
        </w:tc>
      </w:tr>
      <w:tr>
        <w:trPr>
          <w:trHeight w:val="384"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常化比率（INR）</w:t>
            </w:r>
            <w:r>
              <w:rPr>
                <w:spacing w:val="-25"/>
                <w:sz w:val="21"/>
              </w:rPr>
              <w:t>在 </w:t>
            </w:r>
            <w:r>
              <w:rPr>
                <w:spacing w:val="-2"/>
                <w:sz w:val="21"/>
              </w:rPr>
              <w:t>2.0</w:t>
            </w:r>
            <w:r>
              <w:rPr>
                <w:spacing w:val="-16"/>
                <w:sz w:val="21"/>
              </w:rPr>
              <w:t> 以上。</w:t>
            </w:r>
          </w:p>
        </w:tc>
      </w:tr>
      <w:tr>
        <w:trPr>
          <w:trHeight w:val="696" w:hRule="atLeast"/>
        </w:trPr>
        <w:tc>
          <w:tcPr>
            <w:tcW w:w="1005" w:type="dxa"/>
          </w:tcPr>
          <w:p>
            <w:pPr>
              <w:pStyle w:val="TableParagraph"/>
              <w:spacing w:before="42"/>
              <w:ind w:left="50"/>
              <w:rPr>
                <w:rFonts w:ascii="微软雅黑"/>
                <w:b/>
                <w:sz w:val="21"/>
              </w:rPr>
            </w:pPr>
            <w:r>
              <w:rPr>
                <w:rFonts w:ascii="微软雅黑"/>
                <w:b/>
                <w:spacing w:val="-2"/>
                <w:sz w:val="21"/>
              </w:rPr>
              <w:t>12.1.32</w:t>
            </w:r>
          </w:p>
        </w:tc>
        <w:tc>
          <w:tcPr>
            <w:tcW w:w="1818" w:type="dxa"/>
          </w:tcPr>
          <w:p>
            <w:pPr>
              <w:pStyle w:val="TableParagraph"/>
              <w:spacing w:line="312" w:lineRule="exact" w:before="45"/>
              <w:ind w:left="214" w:right="123"/>
              <w:rPr>
                <w:rFonts w:ascii="微软雅黑" w:eastAsia="微软雅黑"/>
                <w:b/>
                <w:sz w:val="21"/>
              </w:rPr>
            </w:pPr>
            <w:r>
              <w:rPr>
                <w:rFonts w:ascii="微软雅黑" w:eastAsia="微软雅黑"/>
                <w:b/>
                <w:spacing w:val="-2"/>
                <w:sz w:val="21"/>
              </w:rPr>
              <w:t>早期系统性硬皮</w:t>
            </w:r>
            <w:r>
              <w:rPr>
                <w:rFonts w:ascii="微软雅黑" w:eastAsia="微软雅黑"/>
                <w:b/>
                <w:spacing w:val="-10"/>
                <w:sz w:val="21"/>
              </w:rPr>
              <w:t>病</w:t>
            </w:r>
          </w:p>
        </w:tc>
        <w:tc>
          <w:tcPr>
            <w:tcW w:w="7031" w:type="dxa"/>
          </w:tcPr>
          <w:p>
            <w:pPr>
              <w:pStyle w:val="TableParagraph"/>
              <w:spacing w:line="310" w:lineRule="atLeast" w:before="44"/>
              <w:ind w:left="127" w:right="46"/>
              <w:rPr>
                <w:sz w:val="21"/>
              </w:rPr>
            </w:pPr>
            <w:r>
              <w:rPr>
                <w:spacing w:val="-2"/>
                <w:sz w:val="21"/>
              </w:rPr>
              <w:t>指一种以局限性或弥漫性皮肤增厚和皮肤、血管、内脏器官异常纤维化为</w:t>
            </w:r>
            <w:r>
              <w:rPr>
                <w:spacing w:val="-4"/>
                <w:sz w:val="21"/>
              </w:rPr>
              <w:t>特征的结缔组织病。本病须经专科医生明确诊断，并须满足下列所有条件，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但未达到“严重系统性硬皮病”的给付标准：</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(1)必须是经由风湿学专科医生根据美国风湿病学会（ACR）</w:t>
            </w:r>
            <w:r>
              <w:rPr>
                <w:spacing w:val="-4"/>
                <w:sz w:val="21"/>
              </w:rPr>
              <w:t>及欧洲抗风湿</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病联盟（EULAR）</w:t>
            </w:r>
            <w:r>
              <w:rPr>
                <w:spacing w:val="-15"/>
                <w:sz w:val="21"/>
              </w:rPr>
              <w:t>在 </w:t>
            </w:r>
            <w:r>
              <w:rPr>
                <w:spacing w:val="-2"/>
                <w:sz w:val="21"/>
              </w:rPr>
              <w:t>2013</w:t>
            </w:r>
            <w:r>
              <w:rPr>
                <w:spacing w:val="-8"/>
                <w:sz w:val="21"/>
              </w:rPr>
              <w:t> 年发布的系统性硬皮病诊断标准确认达到确诊标</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z w:val="21"/>
              </w:rPr>
              <w:t>准（总分值由每一个分类中的最高比重（分值）相加而成，总分≥9</w:t>
            </w:r>
            <w:r>
              <w:rPr>
                <w:spacing w:val="-9"/>
                <w:sz w:val="21"/>
              </w:rPr>
              <w:t> 分的</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患者被分类为系统性硬皮病</w:t>
            </w:r>
            <w:r>
              <w:rPr>
                <w:spacing w:val="-111"/>
                <w:sz w:val="21"/>
              </w:rPr>
              <w:t>）</w:t>
            </w:r>
            <w:r>
              <w:rPr>
                <w:spacing w:val="-5"/>
                <w:sz w:val="21"/>
              </w:rPr>
              <w:t>；</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w:t>
            </w:r>
            <w:r>
              <w:rPr>
                <w:spacing w:val="-3"/>
                <w:sz w:val="21"/>
              </w:rPr>
              <w:t>须提供明确的病理活检及自身抗体免疫血清学证据支持。</w:t>
            </w:r>
          </w:p>
        </w:tc>
      </w:tr>
      <w:tr>
        <w:trPr>
          <w:trHeight w:val="35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pacing w:val="-3"/>
                <w:sz w:val="21"/>
                <w:shd w:fill="A6A6A6" w:color="auto" w:val="clear"/>
              </w:rPr>
              <w:t>以下情况不在保障范围内：</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(1)局限性硬皮病（带状硬皮病或斑状损害</w:t>
            </w:r>
            <w:r>
              <w:rPr>
                <w:color w:val="000000"/>
                <w:spacing w:val="-111"/>
                <w:sz w:val="21"/>
                <w:shd w:fill="A6A6A6" w:color="auto" w:val="clear"/>
              </w:rPr>
              <w:t>）</w:t>
            </w:r>
            <w:r>
              <w:rPr>
                <w:color w:val="000000"/>
                <w:spacing w:val="-5"/>
                <w:sz w:val="21"/>
                <w:shd w:fill="A6A6A6" w:color="auto" w:val="clear"/>
              </w:rPr>
              <w:t>；</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(2)</w:t>
            </w:r>
            <w:r>
              <w:rPr>
                <w:color w:val="000000"/>
                <w:spacing w:val="-4"/>
                <w:sz w:val="21"/>
                <w:shd w:fill="A6A6A6" w:color="auto" w:val="clear"/>
              </w:rPr>
              <w:t>嗜酸性筋膜炎；</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2"/>
                <w:sz w:val="21"/>
                <w:shd w:fill="A6A6A6" w:color="auto" w:val="clear"/>
              </w:rPr>
              <w:t>(3)CREST</w:t>
            </w:r>
            <w:r>
              <w:rPr>
                <w:color w:val="000000"/>
                <w:spacing w:val="-12"/>
                <w:sz w:val="21"/>
                <w:shd w:fill="A6A6A6" w:color="auto" w:val="clear"/>
              </w:rPr>
              <w:t> 综合征。</w:t>
            </w:r>
          </w:p>
        </w:tc>
      </w:tr>
      <w:tr>
        <w:trPr>
          <w:trHeight w:val="695" w:hRule="atLeast"/>
        </w:trPr>
        <w:tc>
          <w:tcPr>
            <w:tcW w:w="1005" w:type="dxa"/>
          </w:tcPr>
          <w:p>
            <w:pPr>
              <w:pStyle w:val="TableParagraph"/>
              <w:spacing w:before="41"/>
              <w:ind w:left="50"/>
              <w:rPr>
                <w:rFonts w:ascii="微软雅黑"/>
                <w:b/>
                <w:sz w:val="21"/>
              </w:rPr>
            </w:pPr>
            <w:r>
              <w:rPr>
                <w:rFonts w:ascii="微软雅黑"/>
                <w:b/>
                <w:spacing w:val="-2"/>
                <w:sz w:val="21"/>
              </w:rPr>
              <w:t>12.1.33</w:t>
            </w:r>
          </w:p>
        </w:tc>
        <w:tc>
          <w:tcPr>
            <w:tcW w:w="1818" w:type="dxa"/>
          </w:tcPr>
          <w:p>
            <w:pPr>
              <w:pStyle w:val="TableParagraph"/>
              <w:spacing w:line="312" w:lineRule="exact" w:before="44"/>
              <w:ind w:left="214" w:right="123"/>
              <w:rPr>
                <w:rFonts w:ascii="微软雅黑" w:eastAsia="微软雅黑"/>
                <w:b/>
                <w:sz w:val="21"/>
              </w:rPr>
            </w:pPr>
            <w:r>
              <w:rPr>
                <w:rFonts w:ascii="微软雅黑" w:eastAsia="微软雅黑"/>
                <w:b/>
                <w:spacing w:val="-2"/>
                <w:sz w:val="21"/>
              </w:rPr>
              <w:t>脑垂体瘤、脑囊</w:t>
            </w:r>
            <w:r>
              <w:rPr>
                <w:rFonts w:ascii="微软雅黑" w:eastAsia="微软雅黑"/>
                <w:b/>
                <w:spacing w:val="-2"/>
                <w:sz w:val="21"/>
              </w:rPr>
              <w:t>肿、脑动脉瘤及</w:t>
            </w:r>
          </w:p>
        </w:tc>
        <w:tc>
          <w:tcPr>
            <w:tcW w:w="7031" w:type="dxa"/>
          </w:tcPr>
          <w:p>
            <w:pPr>
              <w:pStyle w:val="TableParagraph"/>
              <w:spacing w:line="310" w:lineRule="atLeast" w:before="43"/>
              <w:ind w:left="127" w:right="154"/>
              <w:rPr>
                <w:sz w:val="21"/>
              </w:rPr>
            </w:pPr>
            <w:r>
              <w:rPr>
                <w:spacing w:val="-4"/>
                <w:sz w:val="21"/>
              </w:rPr>
              <w:t>指被保险人经头颅断层扫描</w:t>
            </w:r>
            <w:r>
              <w:rPr>
                <w:spacing w:val="22"/>
                <w:sz w:val="21"/>
              </w:rPr>
              <w:t>（CT</w:t>
            </w:r>
            <w:r>
              <w:rPr>
                <w:spacing w:val="-84"/>
                <w:sz w:val="21"/>
              </w:rPr>
              <w:t>）</w:t>
            </w:r>
            <w:r>
              <w:rPr>
                <w:spacing w:val="-4"/>
                <w:sz w:val="21"/>
              </w:rPr>
              <w:t>、核磁共振（MRI）或其他影像学检查被</w:t>
            </w:r>
            <w:r>
              <w:rPr>
                <w:spacing w:val="-3"/>
                <w:sz w:val="21"/>
              </w:rPr>
              <w:t>确诊为下列病变，并实际接受了手术或放射治疗，但未达到“颅脑手术”</w:t>
            </w:r>
          </w:p>
        </w:tc>
      </w:tr>
      <w:tr>
        <w:trPr>
          <w:trHeight w:val="311" w:hRule="atLeast"/>
        </w:trPr>
        <w:tc>
          <w:tcPr>
            <w:tcW w:w="1005" w:type="dxa"/>
          </w:tcPr>
          <w:p>
            <w:pPr>
              <w:pStyle w:val="TableParagraph"/>
              <w:rPr>
                <w:rFonts w:ascii="Times New Roman"/>
                <w:sz w:val="20"/>
              </w:rPr>
            </w:pPr>
          </w:p>
        </w:tc>
        <w:tc>
          <w:tcPr>
            <w:tcW w:w="1818" w:type="dxa"/>
          </w:tcPr>
          <w:p>
            <w:pPr>
              <w:pStyle w:val="TableParagraph"/>
              <w:spacing w:line="292" w:lineRule="exact"/>
              <w:ind w:left="214"/>
              <w:rPr>
                <w:rFonts w:ascii="微软雅黑" w:eastAsia="微软雅黑"/>
                <w:b/>
                <w:sz w:val="21"/>
              </w:rPr>
            </w:pPr>
            <w:r>
              <w:rPr>
                <w:rFonts w:ascii="微软雅黑" w:eastAsia="微软雅黑"/>
                <w:b/>
                <w:spacing w:val="-3"/>
                <w:sz w:val="21"/>
              </w:rPr>
              <w:t>脑血管瘤</w:t>
            </w:r>
          </w:p>
        </w:tc>
        <w:tc>
          <w:tcPr>
            <w:tcW w:w="7031" w:type="dxa"/>
          </w:tcPr>
          <w:p>
            <w:pPr>
              <w:pStyle w:val="TableParagraph"/>
              <w:spacing w:before="13"/>
              <w:ind w:left="127"/>
              <w:rPr>
                <w:sz w:val="21"/>
              </w:rPr>
            </w:pPr>
            <w:r>
              <w:rPr>
                <w:spacing w:val="-4"/>
                <w:sz w:val="21"/>
              </w:rPr>
              <w:t>的给付标准。</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w:t>
            </w:r>
            <w:r>
              <w:rPr>
                <w:spacing w:val="-4"/>
                <w:sz w:val="21"/>
              </w:rPr>
              <w:t>脑垂体瘤；</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w:t>
            </w:r>
            <w:r>
              <w:rPr>
                <w:spacing w:val="-4"/>
                <w:sz w:val="21"/>
              </w:rPr>
              <w:t>脑囊肿；</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(3)</w:t>
            </w:r>
            <w:r>
              <w:rPr>
                <w:spacing w:val="-3"/>
                <w:sz w:val="21"/>
              </w:rPr>
              <w:t>脑动脉瘤、脑血管瘤。</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3"/>
              <w:ind w:left="127"/>
              <w:rPr>
                <w:sz w:val="21"/>
              </w:rPr>
            </w:pPr>
            <w:r>
              <w:rPr>
                <w:color w:val="000000"/>
                <w:spacing w:val="-17"/>
                <w:sz w:val="21"/>
                <w:shd w:fill="A6A6A6" w:color="auto" w:val="clear"/>
              </w:rPr>
              <w:t>我们对“轻度颅脑手术”、“脑垂体瘤、脑囊肿、脑动脉瘤及脑血管瘤”和</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3"/>
                <w:sz w:val="21"/>
                <w:shd w:fill="A6A6A6" w:color="auto" w:val="clear"/>
              </w:rPr>
              <w:t>“植入大脑内分流器”三项中的其中一项承担保险责任，给付其中一项保</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3"/>
                <w:sz w:val="21"/>
                <w:shd w:fill="A6A6A6" w:color="auto" w:val="clear"/>
              </w:rPr>
              <w:t>险金后，对其他两项轻症疾病保险责任同时终止。</w:t>
            </w:r>
          </w:p>
        </w:tc>
      </w:tr>
      <w:tr>
        <w:trPr>
          <w:trHeight w:val="733" w:hRule="atLeast"/>
        </w:trPr>
        <w:tc>
          <w:tcPr>
            <w:tcW w:w="1005" w:type="dxa"/>
          </w:tcPr>
          <w:p>
            <w:pPr>
              <w:pStyle w:val="TableParagraph"/>
              <w:spacing w:before="41"/>
              <w:ind w:left="50"/>
              <w:rPr>
                <w:rFonts w:ascii="微软雅黑"/>
                <w:b/>
                <w:sz w:val="21"/>
              </w:rPr>
            </w:pPr>
            <w:r>
              <w:rPr>
                <w:rFonts w:ascii="微软雅黑"/>
                <w:b/>
                <w:spacing w:val="-2"/>
                <w:sz w:val="21"/>
              </w:rPr>
              <w:t>12.1.34</w:t>
            </w:r>
          </w:p>
        </w:tc>
        <w:tc>
          <w:tcPr>
            <w:tcW w:w="1818" w:type="dxa"/>
          </w:tcPr>
          <w:p>
            <w:pPr>
              <w:pStyle w:val="TableParagraph"/>
              <w:spacing w:line="194" w:lineRule="auto" w:before="69"/>
              <w:ind w:left="214" w:right="123"/>
              <w:rPr>
                <w:rFonts w:ascii="微软雅黑" w:eastAsia="微软雅黑"/>
                <w:b/>
                <w:sz w:val="21"/>
              </w:rPr>
            </w:pPr>
            <w:r>
              <w:rPr>
                <w:rFonts w:ascii="微软雅黑" w:eastAsia="微软雅黑"/>
                <w:b/>
                <w:spacing w:val="-2"/>
                <w:sz w:val="21"/>
              </w:rPr>
              <w:t>植入大脑内分流</w:t>
            </w:r>
            <w:r>
              <w:rPr>
                <w:rFonts w:ascii="微软雅黑" w:eastAsia="微软雅黑"/>
                <w:b/>
                <w:spacing w:val="-10"/>
                <w:sz w:val="21"/>
              </w:rPr>
              <w:t>器</w:t>
            </w:r>
          </w:p>
        </w:tc>
        <w:tc>
          <w:tcPr>
            <w:tcW w:w="7031" w:type="dxa"/>
          </w:tcPr>
          <w:p>
            <w:pPr>
              <w:pStyle w:val="TableParagraph"/>
              <w:spacing w:line="278" w:lineRule="auto" w:before="84"/>
              <w:ind w:left="127" w:right="155"/>
              <w:rPr>
                <w:sz w:val="21"/>
              </w:rPr>
            </w:pPr>
            <w:r>
              <w:rPr>
                <w:spacing w:val="-2"/>
                <w:sz w:val="21"/>
              </w:rPr>
              <w:t>植入大脑内分流器是指确实在脑室进行分流器植入手术，以缓解升高的脑</w:t>
            </w:r>
            <w:r>
              <w:rPr>
                <w:spacing w:val="-2"/>
                <w:sz w:val="21"/>
              </w:rPr>
              <w:t>脊液压力。必须由脑神经专科医生证实植入分流器为医疗所需。</w:t>
            </w:r>
          </w:p>
        </w:tc>
      </w:tr>
      <w:tr>
        <w:trPr>
          <w:trHeight w:val="390"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pacing w:val="-3"/>
                <w:sz w:val="21"/>
                <w:shd w:fill="A6A6A6" w:color="auto" w:val="clear"/>
              </w:rPr>
              <w:t>先天性脑积水不在保障范围内。</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3"/>
              <w:ind w:left="127"/>
              <w:rPr>
                <w:sz w:val="21"/>
              </w:rPr>
            </w:pPr>
            <w:r>
              <w:rPr>
                <w:color w:val="000000"/>
                <w:spacing w:val="-3"/>
                <w:sz w:val="21"/>
                <w:shd w:fill="A6A6A6" w:color="auto" w:val="clear"/>
              </w:rPr>
              <w:t>我们对“轻度颅脑手术”及“植入大脑内分流器”两项中的其中一项承担</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5"/>
                <w:sz w:val="21"/>
                <w:shd w:fill="A6A6A6" w:color="auto" w:val="clear"/>
              </w:rPr>
              <w:t>保险责任，给付其中一项保险金后，对另一项轻症疾病保险责任同时终止。</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3"/>
                <w:sz w:val="21"/>
                <w:shd w:fill="A6A6A6" w:color="auto" w:val="clear"/>
              </w:rPr>
              <w:t>因治疗“脑垂体瘤、脑囊肿、脑动脉瘤及脑血管瘤”所致植入大脑内分流</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color w:val="000000"/>
                <w:spacing w:val="-3"/>
                <w:sz w:val="21"/>
                <w:shd w:fill="A6A6A6" w:color="auto" w:val="clear"/>
              </w:rPr>
              <w:t>器不在保障范围内。</w:t>
            </w:r>
          </w:p>
        </w:tc>
      </w:tr>
      <w:tr>
        <w:trPr>
          <w:trHeight w:val="734" w:hRule="atLeast"/>
        </w:trPr>
        <w:tc>
          <w:tcPr>
            <w:tcW w:w="1005" w:type="dxa"/>
          </w:tcPr>
          <w:p>
            <w:pPr>
              <w:pStyle w:val="TableParagraph"/>
              <w:spacing w:before="41"/>
              <w:ind w:left="50"/>
              <w:rPr>
                <w:rFonts w:ascii="微软雅黑"/>
                <w:b/>
                <w:sz w:val="21"/>
              </w:rPr>
            </w:pPr>
            <w:r>
              <w:rPr>
                <w:rFonts w:ascii="微软雅黑"/>
                <w:b/>
                <w:spacing w:val="-2"/>
                <w:sz w:val="21"/>
              </w:rPr>
              <w:t>12.1.35</w:t>
            </w:r>
          </w:p>
        </w:tc>
        <w:tc>
          <w:tcPr>
            <w:tcW w:w="1818" w:type="dxa"/>
          </w:tcPr>
          <w:p>
            <w:pPr>
              <w:pStyle w:val="TableParagraph"/>
              <w:spacing w:before="17"/>
              <w:ind w:left="214"/>
              <w:rPr>
                <w:rFonts w:ascii="微软雅黑" w:eastAsia="微软雅黑"/>
                <w:b/>
                <w:sz w:val="21"/>
              </w:rPr>
            </w:pPr>
            <w:r>
              <w:rPr>
                <w:rFonts w:ascii="微软雅黑" w:eastAsia="微软雅黑"/>
                <w:b/>
                <w:spacing w:val="-2"/>
                <w:sz w:val="21"/>
              </w:rPr>
              <w:t>轻度颅脑手术</w:t>
            </w:r>
          </w:p>
        </w:tc>
        <w:tc>
          <w:tcPr>
            <w:tcW w:w="7031" w:type="dxa"/>
          </w:tcPr>
          <w:p>
            <w:pPr>
              <w:pStyle w:val="TableParagraph"/>
              <w:spacing w:line="278" w:lineRule="auto" w:before="84"/>
              <w:ind w:left="127" w:right="155"/>
              <w:rPr>
                <w:sz w:val="21"/>
              </w:rPr>
            </w:pPr>
            <w:r>
              <w:rPr>
                <w:spacing w:val="-2"/>
                <w:sz w:val="21"/>
              </w:rPr>
              <w:t>被保险人确已实施全麻下的颅骨钻孔手术或经鼻蝶窦入颅手术，但未达到 “颅脑手术”的给付标准。</w:t>
            </w:r>
            <w:r>
              <w:rPr>
                <w:color w:val="000000"/>
                <w:spacing w:val="-3"/>
                <w:sz w:val="21"/>
                <w:shd w:fill="A6A6A6" w:color="auto" w:val="clear"/>
              </w:rPr>
              <w:t>因外伤而实施的脑外科手术不在保障范围内。</w:t>
            </w:r>
          </w:p>
        </w:tc>
      </w:tr>
      <w:tr>
        <w:trPr>
          <w:trHeight w:val="30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line="228" w:lineRule="exact" w:before="52"/>
              <w:ind w:left="127"/>
              <w:rPr>
                <w:sz w:val="21"/>
              </w:rPr>
            </w:pPr>
            <w:r>
              <w:rPr>
                <w:color w:val="000000"/>
                <w:spacing w:val="-3"/>
                <w:sz w:val="21"/>
                <w:shd w:fill="A6A6A6" w:color="auto" w:val="clear"/>
              </w:rPr>
              <w:t>我们对“轻度颅脑手术”及“植入大脑内分流器”两项中的其中一项承担</w:t>
            </w:r>
          </w:p>
        </w:tc>
      </w:tr>
    </w:tbl>
    <w:p>
      <w:pPr>
        <w:spacing w:after="0" w:line="228" w:lineRule="exact"/>
        <w:rPr>
          <w:sz w:val="21"/>
        </w:rPr>
        <w:sectPr>
          <w:type w:val="continuous"/>
          <w:pgSz w:w="11910" w:h="16840"/>
          <w:pgMar w:top="1460" w:bottom="1006" w:left="920" w:right="44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5"/>
        <w:gridCol w:w="1818"/>
        <w:gridCol w:w="7031"/>
      </w:tblGrid>
      <w:tr>
        <w:trPr>
          <w:trHeight w:val="1033" w:hRule="atLeast"/>
        </w:trPr>
        <w:tc>
          <w:tcPr>
            <w:tcW w:w="2823" w:type="dxa"/>
            <w:gridSpan w:val="2"/>
          </w:tcPr>
          <w:p>
            <w:pPr>
              <w:pStyle w:val="TableParagraph"/>
              <w:rPr>
                <w:rFonts w:ascii="Times New Roman"/>
                <w:sz w:val="20"/>
              </w:rPr>
            </w:pPr>
          </w:p>
        </w:tc>
        <w:tc>
          <w:tcPr>
            <w:tcW w:w="7031" w:type="dxa"/>
          </w:tcPr>
          <w:p>
            <w:pPr>
              <w:pStyle w:val="TableParagraph"/>
              <w:spacing w:line="232" w:lineRule="exact"/>
              <w:ind w:left="127"/>
              <w:rPr>
                <w:sz w:val="21"/>
              </w:rPr>
            </w:pPr>
            <w:r>
              <w:rPr>
                <w:color w:val="000000"/>
                <w:spacing w:val="-5"/>
                <w:sz w:val="21"/>
                <w:shd w:fill="A6A6A6" w:color="auto" w:val="clear"/>
              </w:rPr>
              <w:t>保险责任，给付其中一项保险金后，对另一项轻症疾病保险责任同时终止。</w:t>
            </w:r>
          </w:p>
          <w:p>
            <w:pPr>
              <w:pStyle w:val="TableParagraph"/>
              <w:spacing w:line="278" w:lineRule="auto" w:before="120"/>
              <w:ind w:left="127" w:right="155"/>
              <w:rPr>
                <w:sz w:val="21"/>
              </w:rPr>
            </w:pPr>
            <w:r>
              <w:rPr>
                <w:color w:val="000000"/>
                <w:spacing w:val="-2"/>
                <w:sz w:val="21"/>
                <w:shd w:fill="A6A6A6" w:color="auto" w:val="clear"/>
              </w:rPr>
              <w:t>因治疗“脑垂体瘤、脑囊肿、脑动脉瘤及脑血管瘤”所致轻度颅脑手术不</w:t>
            </w:r>
            <w:r>
              <w:rPr>
                <w:color w:val="000000"/>
                <w:spacing w:val="-2"/>
                <w:sz w:val="21"/>
                <w:shd w:fill="A6A6A6" w:color="auto" w:val="clear"/>
              </w:rPr>
              <w:t>在保障范围内。</w:t>
            </w:r>
          </w:p>
        </w:tc>
      </w:tr>
      <w:tr>
        <w:trPr>
          <w:trHeight w:val="694" w:hRule="atLeast"/>
        </w:trPr>
        <w:tc>
          <w:tcPr>
            <w:tcW w:w="1005" w:type="dxa"/>
          </w:tcPr>
          <w:p>
            <w:pPr>
              <w:pStyle w:val="TableParagraph"/>
              <w:spacing w:before="41"/>
              <w:ind w:left="50"/>
              <w:rPr>
                <w:rFonts w:ascii="微软雅黑"/>
                <w:b/>
                <w:sz w:val="21"/>
              </w:rPr>
            </w:pPr>
            <w:r>
              <w:rPr>
                <w:rFonts w:ascii="微软雅黑"/>
                <w:b/>
                <w:spacing w:val="-2"/>
                <w:sz w:val="21"/>
              </w:rPr>
              <w:t>12.1.36</w:t>
            </w:r>
          </w:p>
        </w:tc>
        <w:tc>
          <w:tcPr>
            <w:tcW w:w="1818" w:type="dxa"/>
          </w:tcPr>
          <w:p>
            <w:pPr>
              <w:pStyle w:val="TableParagraph"/>
              <w:spacing w:line="312" w:lineRule="exact" w:before="44"/>
              <w:ind w:left="214" w:right="123"/>
              <w:rPr>
                <w:rFonts w:ascii="微软雅黑" w:eastAsia="微软雅黑"/>
                <w:b/>
                <w:sz w:val="21"/>
              </w:rPr>
            </w:pPr>
            <w:r>
              <w:rPr>
                <w:rFonts w:ascii="微软雅黑" w:eastAsia="微软雅黑"/>
                <w:b/>
                <w:spacing w:val="-2"/>
                <w:sz w:val="21"/>
              </w:rPr>
              <w:t>骨质疏松骨折髋</w:t>
            </w:r>
            <w:r>
              <w:rPr>
                <w:rFonts w:ascii="微软雅黑" w:eastAsia="微软雅黑"/>
                <w:b/>
                <w:spacing w:val="-2"/>
                <w:sz w:val="21"/>
              </w:rPr>
              <w:t>关节置换手术</w:t>
            </w:r>
          </w:p>
        </w:tc>
        <w:tc>
          <w:tcPr>
            <w:tcW w:w="7031" w:type="dxa"/>
          </w:tcPr>
          <w:p>
            <w:pPr>
              <w:pStyle w:val="TableParagraph"/>
              <w:spacing w:line="310" w:lineRule="atLeast" w:before="43"/>
              <w:ind w:left="127" w:right="46"/>
              <w:rPr>
                <w:sz w:val="21"/>
              </w:rPr>
            </w:pPr>
            <w:r>
              <w:rPr>
                <w:spacing w:val="-2"/>
                <w:sz w:val="21"/>
              </w:rPr>
              <w:t>骨质疏松是一种系统性疾病。其特征为骨质量减少，骨小梁数目减少、变</w:t>
            </w:r>
            <w:r>
              <w:rPr>
                <w:spacing w:val="-25"/>
                <w:sz w:val="21"/>
              </w:rPr>
              <w:t>细和骨皮质变薄，导致骨脆性增加，骨折危险增加。根据世界卫生组织</w:t>
            </w:r>
            <w:r>
              <w:rPr>
                <w:spacing w:val="-2"/>
                <w:sz w:val="21"/>
              </w:rPr>
              <w:t>（WHO）</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建议，骨密度（BMD）</w:t>
            </w:r>
            <w:r>
              <w:rPr>
                <w:spacing w:val="-8"/>
                <w:sz w:val="21"/>
              </w:rPr>
              <w:t>较正常成人骨密度平均值降低 </w:t>
            </w:r>
            <w:r>
              <w:rPr>
                <w:spacing w:val="-4"/>
                <w:sz w:val="21"/>
              </w:rPr>
              <w:t>2.5</w:t>
            </w:r>
            <w:r>
              <w:rPr>
                <w:spacing w:val="-11"/>
                <w:sz w:val="21"/>
              </w:rPr>
              <w:t> 个标准差为骨质疏</w:t>
            </w:r>
          </w:p>
        </w:tc>
      </w:tr>
      <w:tr>
        <w:trPr>
          <w:trHeight w:val="31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松症。必须满足下列所有条件：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w:t>
            </w:r>
            <w:r>
              <w:rPr>
                <w:spacing w:val="-3"/>
                <w:sz w:val="21"/>
              </w:rPr>
              <w:t>依照诊断标准确诊为骨质疏松症；</w:t>
            </w:r>
          </w:p>
        </w:tc>
      </w:tr>
      <w:tr>
        <w:trPr>
          <w:trHeight w:val="383"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w:t>
            </w:r>
            <w:r>
              <w:rPr>
                <w:spacing w:val="-3"/>
                <w:sz w:val="21"/>
              </w:rPr>
              <w:t>实际发生了股骨颈骨折并接受了髋关节置换手术。</w:t>
            </w:r>
          </w:p>
        </w:tc>
      </w:tr>
      <w:tr>
        <w:trPr>
          <w:trHeight w:val="696" w:hRule="atLeast"/>
        </w:trPr>
        <w:tc>
          <w:tcPr>
            <w:tcW w:w="1005" w:type="dxa"/>
          </w:tcPr>
          <w:p>
            <w:pPr>
              <w:pStyle w:val="TableParagraph"/>
              <w:spacing w:before="42"/>
              <w:ind w:left="50"/>
              <w:rPr>
                <w:rFonts w:ascii="微软雅黑"/>
                <w:b/>
                <w:sz w:val="21"/>
              </w:rPr>
            </w:pPr>
            <w:r>
              <w:rPr>
                <w:rFonts w:ascii="微软雅黑"/>
                <w:b/>
                <w:spacing w:val="-2"/>
                <w:sz w:val="21"/>
              </w:rPr>
              <w:t>12.1.37</w:t>
            </w:r>
          </w:p>
        </w:tc>
        <w:tc>
          <w:tcPr>
            <w:tcW w:w="1818" w:type="dxa"/>
          </w:tcPr>
          <w:p>
            <w:pPr>
              <w:pStyle w:val="TableParagraph"/>
              <w:spacing w:line="312" w:lineRule="exact" w:before="45"/>
              <w:ind w:left="214" w:right="123"/>
              <w:rPr>
                <w:rFonts w:ascii="微软雅黑" w:eastAsia="微软雅黑"/>
                <w:b/>
                <w:sz w:val="21"/>
              </w:rPr>
            </w:pPr>
            <w:r>
              <w:rPr>
                <w:rFonts w:ascii="微软雅黑" w:eastAsia="微软雅黑"/>
                <w:b/>
                <w:spacing w:val="-2"/>
                <w:sz w:val="21"/>
              </w:rPr>
              <w:t>急性肾衰竭肾脏</w:t>
            </w:r>
            <w:r>
              <w:rPr>
                <w:rFonts w:ascii="微软雅黑" w:eastAsia="微软雅黑"/>
                <w:b/>
                <w:spacing w:val="-4"/>
                <w:sz w:val="21"/>
              </w:rPr>
              <w:t>透析治疗</w:t>
            </w:r>
          </w:p>
        </w:tc>
        <w:tc>
          <w:tcPr>
            <w:tcW w:w="7031" w:type="dxa"/>
          </w:tcPr>
          <w:p>
            <w:pPr>
              <w:pStyle w:val="TableParagraph"/>
              <w:spacing w:line="310" w:lineRule="atLeast" w:before="44"/>
              <w:ind w:left="127" w:right="72"/>
              <w:rPr>
                <w:sz w:val="21"/>
              </w:rPr>
            </w:pPr>
            <w:r>
              <w:rPr>
                <w:spacing w:val="-2"/>
                <w:sz w:val="21"/>
              </w:rPr>
              <w:t>急性肾衰竭（ARF）是指各种病因引起的肾功能在短期内（数小时或数周）</w:t>
            </w:r>
            <w:r>
              <w:rPr>
                <w:spacing w:val="-2"/>
                <w:sz w:val="21"/>
              </w:rPr>
              <w:t>急剧进行性下降，导致体内氮质产物潴留而出现的临床综合征，国际上近</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年来改称为急性肾损伤</w:t>
            </w:r>
            <w:r>
              <w:rPr>
                <w:spacing w:val="17"/>
                <w:sz w:val="21"/>
              </w:rPr>
              <w:t>（</w:t>
            </w:r>
            <w:r>
              <w:rPr>
                <w:spacing w:val="14"/>
                <w:sz w:val="21"/>
              </w:rPr>
              <w:t>A</w:t>
            </w:r>
            <w:r>
              <w:rPr>
                <w:spacing w:val="17"/>
                <w:sz w:val="21"/>
              </w:rPr>
              <w:t>K</w:t>
            </w:r>
            <w:r>
              <w:rPr>
                <w:spacing w:val="16"/>
                <w:sz w:val="21"/>
              </w:rPr>
              <w:t>I</w:t>
            </w:r>
            <w:r>
              <w:rPr>
                <w:spacing w:val="-87"/>
                <w:sz w:val="21"/>
              </w:rPr>
              <w:t>）</w:t>
            </w:r>
            <w:r>
              <w:rPr>
                <w:spacing w:val="-5"/>
                <w:sz w:val="21"/>
              </w:rPr>
              <w:t>。急性肾衰竭肾脏透析治疗指诊断为急性肾</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3"/>
                <w:sz w:val="21"/>
              </w:rPr>
              <w:t>衰竭，且满足下列全部条件：</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(1)</w:t>
            </w:r>
            <w:r>
              <w:rPr>
                <w:spacing w:val="-11"/>
                <w:sz w:val="21"/>
              </w:rPr>
              <w:t>少尿或无尿 </w:t>
            </w:r>
            <w:r>
              <w:rPr>
                <w:spacing w:val="-2"/>
                <w:sz w:val="21"/>
              </w:rPr>
              <w:t>2</w:t>
            </w:r>
            <w:r>
              <w:rPr>
                <w:spacing w:val="-14"/>
                <w:sz w:val="21"/>
              </w:rPr>
              <w:t> 天以上；</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(2)血肌酐（Scr）&gt;5mg/dl</w:t>
            </w:r>
            <w:r>
              <w:rPr>
                <w:spacing w:val="-13"/>
                <w:sz w:val="21"/>
              </w:rPr>
              <w:t> 或&gt;</w:t>
            </w:r>
            <w:r>
              <w:rPr>
                <w:spacing w:val="-2"/>
                <w:sz w:val="21"/>
              </w:rPr>
              <w:t>442umol/L；</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(3)血钾&gt;6.5mmol/L；</w:t>
            </w:r>
          </w:p>
        </w:tc>
      </w:tr>
      <w:tr>
        <w:trPr>
          <w:trHeight w:val="38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2"/>
                <w:sz w:val="21"/>
              </w:rPr>
              <w:t>(4)</w:t>
            </w:r>
            <w:r>
              <w:rPr>
                <w:spacing w:val="-3"/>
                <w:sz w:val="21"/>
              </w:rPr>
              <w:t>接受了血液透析治疗。</w:t>
            </w:r>
          </w:p>
        </w:tc>
      </w:tr>
      <w:tr>
        <w:trPr>
          <w:trHeight w:val="694" w:hRule="atLeast"/>
        </w:trPr>
        <w:tc>
          <w:tcPr>
            <w:tcW w:w="1005" w:type="dxa"/>
          </w:tcPr>
          <w:p>
            <w:pPr>
              <w:pStyle w:val="TableParagraph"/>
              <w:spacing w:before="41"/>
              <w:ind w:left="50"/>
              <w:rPr>
                <w:rFonts w:ascii="微软雅黑"/>
                <w:b/>
                <w:sz w:val="21"/>
              </w:rPr>
            </w:pPr>
            <w:r>
              <w:rPr>
                <w:rFonts w:ascii="微软雅黑"/>
                <w:b/>
                <w:spacing w:val="-2"/>
                <w:sz w:val="21"/>
              </w:rPr>
              <w:t>12.1.38</w:t>
            </w:r>
          </w:p>
        </w:tc>
        <w:tc>
          <w:tcPr>
            <w:tcW w:w="1818" w:type="dxa"/>
          </w:tcPr>
          <w:p>
            <w:pPr>
              <w:pStyle w:val="TableParagraph"/>
              <w:spacing w:line="312" w:lineRule="exact" w:before="44"/>
              <w:ind w:left="214" w:right="123"/>
              <w:rPr>
                <w:rFonts w:ascii="微软雅黑" w:eastAsia="微软雅黑"/>
                <w:b/>
                <w:sz w:val="21"/>
              </w:rPr>
            </w:pPr>
            <w:r>
              <w:rPr>
                <w:rFonts w:ascii="微软雅黑" w:eastAsia="微软雅黑"/>
                <w:b/>
                <w:spacing w:val="-2"/>
                <w:sz w:val="21"/>
              </w:rPr>
              <w:t>急性出血坏死性</w:t>
            </w:r>
            <w:r>
              <w:rPr>
                <w:rFonts w:ascii="微软雅黑" w:eastAsia="微软雅黑"/>
                <w:b/>
                <w:spacing w:val="-2"/>
                <w:sz w:val="21"/>
              </w:rPr>
              <w:t>胰腺炎腹腔镜手</w:t>
            </w:r>
          </w:p>
        </w:tc>
        <w:tc>
          <w:tcPr>
            <w:tcW w:w="7031" w:type="dxa"/>
          </w:tcPr>
          <w:p>
            <w:pPr>
              <w:pStyle w:val="TableParagraph"/>
              <w:spacing w:line="310" w:lineRule="atLeast" w:before="43"/>
              <w:ind w:left="127" w:right="155"/>
              <w:rPr>
                <w:sz w:val="21"/>
              </w:rPr>
            </w:pPr>
            <w:r>
              <w:rPr>
                <w:spacing w:val="-2"/>
                <w:sz w:val="21"/>
              </w:rPr>
              <w:t>指被保险人确诊为急性出血性坏死性胰腺炎，并实际接受了腹腔镜手术治</w:t>
            </w:r>
            <w:r>
              <w:rPr>
                <w:spacing w:val="-3"/>
                <w:sz w:val="21"/>
              </w:rPr>
              <w:t>疗，以进行坏死组织清除、坏死病灶切除或胰腺切除，但未达到“急性坏</w:t>
            </w:r>
          </w:p>
        </w:tc>
      </w:tr>
      <w:tr>
        <w:trPr>
          <w:trHeight w:val="350" w:hRule="atLeast"/>
        </w:trPr>
        <w:tc>
          <w:tcPr>
            <w:tcW w:w="1005" w:type="dxa"/>
          </w:tcPr>
          <w:p>
            <w:pPr>
              <w:pStyle w:val="TableParagraph"/>
              <w:rPr>
                <w:rFonts w:ascii="Times New Roman"/>
                <w:sz w:val="20"/>
              </w:rPr>
            </w:pPr>
          </w:p>
        </w:tc>
        <w:tc>
          <w:tcPr>
            <w:tcW w:w="1818" w:type="dxa"/>
          </w:tcPr>
          <w:p>
            <w:pPr>
              <w:pStyle w:val="TableParagraph"/>
              <w:spacing w:line="330" w:lineRule="exact"/>
              <w:ind w:left="214"/>
              <w:rPr>
                <w:rFonts w:ascii="微软雅黑" w:eastAsia="微软雅黑"/>
                <w:b/>
                <w:sz w:val="21"/>
              </w:rPr>
            </w:pPr>
            <w:r>
              <w:rPr>
                <w:rFonts w:ascii="微软雅黑" w:eastAsia="微软雅黑"/>
                <w:b/>
                <w:w w:val="100"/>
                <w:sz w:val="21"/>
              </w:rPr>
              <w:t>术</w:t>
            </w:r>
          </w:p>
        </w:tc>
        <w:tc>
          <w:tcPr>
            <w:tcW w:w="7031" w:type="dxa"/>
          </w:tcPr>
          <w:p>
            <w:pPr>
              <w:pStyle w:val="TableParagraph"/>
              <w:spacing w:before="13"/>
              <w:ind w:left="127"/>
              <w:rPr>
                <w:sz w:val="21"/>
              </w:rPr>
            </w:pPr>
            <w:r>
              <w:rPr>
                <w:spacing w:val="-3"/>
                <w:sz w:val="21"/>
              </w:rPr>
              <w:t>死胰腺炎开腹手术”的给付标准。</w:t>
            </w:r>
          </w:p>
        </w:tc>
      </w:tr>
      <w:tr>
        <w:trPr>
          <w:trHeight w:val="42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1"/>
              <w:ind w:left="127"/>
              <w:rPr>
                <w:sz w:val="21"/>
              </w:rPr>
            </w:pPr>
            <w:r>
              <w:rPr>
                <w:color w:val="000000"/>
                <w:spacing w:val="-3"/>
                <w:sz w:val="21"/>
                <w:shd w:fill="A6A6A6" w:color="auto" w:val="clear"/>
              </w:rPr>
              <w:t>因酗酒或饮酒过量所致的急性坏死胰腺炎不在保障范围内。</w:t>
            </w:r>
          </w:p>
        </w:tc>
      </w:tr>
      <w:tr>
        <w:trPr>
          <w:trHeight w:val="695" w:hRule="atLeast"/>
        </w:trPr>
        <w:tc>
          <w:tcPr>
            <w:tcW w:w="1005" w:type="dxa"/>
          </w:tcPr>
          <w:p>
            <w:pPr>
              <w:pStyle w:val="TableParagraph"/>
              <w:spacing w:before="41"/>
              <w:ind w:left="50"/>
              <w:rPr>
                <w:rFonts w:ascii="微软雅黑"/>
                <w:b/>
                <w:sz w:val="21"/>
              </w:rPr>
            </w:pPr>
            <w:r>
              <w:rPr>
                <w:rFonts w:ascii="微软雅黑"/>
                <w:b/>
                <w:spacing w:val="-2"/>
                <w:sz w:val="21"/>
              </w:rPr>
              <w:t>12.1.39</w:t>
            </w:r>
          </w:p>
        </w:tc>
        <w:tc>
          <w:tcPr>
            <w:tcW w:w="1818" w:type="dxa"/>
          </w:tcPr>
          <w:p>
            <w:pPr>
              <w:pStyle w:val="TableParagraph"/>
              <w:spacing w:before="17"/>
              <w:ind w:left="214"/>
              <w:rPr>
                <w:rFonts w:ascii="微软雅黑" w:eastAsia="微软雅黑"/>
                <w:b/>
                <w:sz w:val="21"/>
              </w:rPr>
            </w:pPr>
            <w:r>
              <w:rPr>
                <w:rFonts w:ascii="微软雅黑" w:eastAsia="微软雅黑"/>
                <w:b/>
                <w:w w:val="95"/>
                <w:sz w:val="21"/>
              </w:rPr>
              <w:t>昏</w:t>
            </w:r>
            <w:r>
              <w:rPr>
                <w:rFonts w:ascii="微软雅黑" w:eastAsia="微软雅黑"/>
                <w:b/>
                <w:w w:val="95"/>
                <w:sz w:val="21"/>
              </w:rPr>
              <w:t>迷</w:t>
            </w:r>
            <w:r>
              <w:rPr>
                <w:rFonts w:ascii="微软雅黑" w:eastAsia="微软雅黑"/>
                <w:b/>
                <w:spacing w:val="-10"/>
                <w:w w:val="95"/>
                <w:sz w:val="21"/>
              </w:rPr>
              <w:t> </w:t>
            </w:r>
            <w:r>
              <w:rPr>
                <w:rFonts w:ascii="微软雅黑" w:eastAsia="微软雅黑"/>
                <w:b/>
                <w:w w:val="95"/>
                <w:sz w:val="21"/>
              </w:rPr>
              <w:t>48</w:t>
            </w:r>
            <w:r>
              <w:rPr>
                <w:rFonts w:ascii="微软雅黑" w:eastAsia="微软雅黑"/>
                <w:b/>
                <w:spacing w:val="-9"/>
                <w:w w:val="95"/>
                <w:sz w:val="21"/>
              </w:rPr>
              <w:t> </w:t>
            </w:r>
            <w:r>
              <w:rPr>
                <w:rFonts w:ascii="微软雅黑" w:eastAsia="微软雅黑"/>
                <w:b/>
                <w:w w:val="95"/>
                <w:sz w:val="21"/>
              </w:rPr>
              <w:t>小</w:t>
            </w:r>
            <w:r>
              <w:rPr>
                <w:rFonts w:ascii="微软雅黑" w:eastAsia="微软雅黑"/>
                <w:b/>
                <w:spacing w:val="-10"/>
                <w:w w:val="95"/>
                <w:sz w:val="21"/>
              </w:rPr>
              <w:t>时</w:t>
            </w:r>
          </w:p>
        </w:tc>
        <w:tc>
          <w:tcPr>
            <w:tcW w:w="7031" w:type="dxa"/>
          </w:tcPr>
          <w:p>
            <w:pPr>
              <w:pStyle w:val="TableParagraph"/>
              <w:spacing w:line="310" w:lineRule="atLeast" w:before="43"/>
              <w:ind w:left="127" w:right="155"/>
              <w:rPr>
                <w:sz w:val="21"/>
              </w:rPr>
            </w:pPr>
            <w:r>
              <w:rPr>
                <w:spacing w:val="-2"/>
                <w:sz w:val="21"/>
              </w:rPr>
              <w:t>指因疾病或意外伤害导致意识丧失，对外界刺激和体内需求均无反应，昏</w:t>
            </w:r>
            <w:r>
              <w:rPr>
                <w:spacing w:val="-2"/>
                <w:sz w:val="21"/>
              </w:rPr>
              <w:t>迷程度按照格拉斯哥昏迷分级（GCS，Glasgow</w:t>
            </w:r>
            <w:r>
              <w:rPr>
                <w:spacing w:val="-31"/>
                <w:sz w:val="21"/>
              </w:rPr>
              <w:t> </w:t>
            </w:r>
            <w:r>
              <w:rPr>
                <w:spacing w:val="-2"/>
                <w:sz w:val="21"/>
              </w:rPr>
              <w:t>Coma</w:t>
            </w:r>
            <w:r>
              <w:rPr>
                <w:spacing w:val="-31"/>
                <w:sz w:val="21"/>
              </w:rPr>
              <w:t> </w:t>
            </w:r>
            <w:r>
              <w:rPr>
                <w:spacing w:val="-2"/>
                <w:sz w:val="21"/>
              </w:rPr>
              <w:t>Scale）</w:t>
            </w:r>
            <w:r>
              <w:rPr>
                <w:spacing w:val="-13"/>
                <w:sz w:val="21"/>
              </w:rPr>
              <w:t>结果为 </w:t>
            </w:r>
            <w:r>
              <w:rPr>
                <w:spacing w:val="-2"/>
                <w:sz w:val="21"/>
              </w:rPr>
              <w:t>5</w:t>
            </w:r>
            <w:r>
              <w:rPr>
                <w:spacing w:val="-18"/>
                <w:sz w:val="21"/>
              </w:rPr>
              <w:t> 分或</w:t>
            </w:r>
          </w:p>
        </w:tc>
      </w:tr>
      <w:tr>
        <w:trPr>
          <w:trHeight w:val="31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4"/>
                <w:sz w:val="21"/>
              </w:rPr>
              <w:t>5</w:t>
            </w:r>
            <w:r>
              <w:rPr>
                <w:spacing w:val="-11"/>
                <w:sz w:val="21"/>
              </w:rPr>
              <w:t> 分以下，且已经持续使用呼吸机及其他生命维持系统 </w:t>
            </w:r>
            <w:r>
              <w:rPr>
                <w:spacing w:val="-4"/>
                <w:sz w:val="21"/>
              </w:rPr>
              <w:t>48</w:t>
            </w:r>
            <w:r>
              <w:rPr>
                <w:spacing w:val="-10"/>
                <w:sz w:val="21"/>
              </w:rPr>
              <w:t> 小时以上，但未</w:t>
            </w:r>
          </w:p>
        </w:tc>
      </w:tr>
      <w:tr>
        <w:trPr>
          <w:trHeight w:val="351"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13"/>
              <w:ind w:left="127"/>
              <w:rPr>
                <w:sz w:val="21"/>
              </w:rPr>
            </w:pPr>
            <w:r>
              <w:rPr>
                <w:spacing w:val="-18"/>
                <w:sz w:val="21"/>
              </w:rPr>
              <w:t>达到 </w:t>
            </w:r>
            <w:r>
              <w:rPr>
                <w:spacing w:val="-2"/>
                <w:sz w:val="21"/>
              </w:rPr>
              <w:t>72</w:t>
            </w:r>
            <w:r>
              <w:rPr>
                <w:spacing w:val="-16"/>
                <w:sz w:val="21"/>
              </w:rPr>
              <w:t> 小时。</w:t>
            </w:r>
          </w:p>
        </w:tc>
      </w:tr>
      <w:tr>
        <w:trPr>
          <w:trHeight w:val="422" w:hRule="atLeast"/>
        </w:trPr>
        <w:tc>
          <w:tcPr>
            <w:tcW w:w="1005" w:type="dxa"/>
          </w:tcPr>
          <w:p>
            <w:pPr>
              <w:pStyle w:val="TableParagraph"/>
              <w:rPr>
                <w:rFonts w:ascii="Times New Roman"/>
                <w:sz w:val="20"/>
              </w:rPr>
            </w:pPr>
          </w:p>
        </w:tc>
        <w:tc>
          <w:tcPr>
            <w:tcW w:w="1818" w:type="dxa"/>
          </w:tcPr>
          <w:p>
            <w:pPr>
              <w:pStyle w:val="TableParagraph"/>
              <w:rPr>
                <w:rFonts w:ascii="Times New Roman"/>
                <w:sz w:val="20"/>
              </w:rPr>
            </w:pPr>
          </w:p>
        </w:tc>
        <w:tc>
          <w:tcPr>
            <w:tcW w:w="7031" w:type="dxa"/>
          </w:tcPr>
          <w:p>
            <w:pPr>
              <w:pStyle w:val="TableParagraph"/>
              <w:spacing w:before="53"/>
              <w:ind w:left="127"/>
              <w:rPr>
                <w:sz w:val="21"/>
              </w:rPr>
            </w:pPr>
            <w:r>
              <w:rPr>
                <w:color w:val="000000"/>
                <w:spacing w:val="-3"/>
                <w:sz w:val="21"/>
                <w:shd w:fill="A6A6A6" w:color="auto" w:val="clear"/>
              </w:rPr>
              <w:t>因酗酒或药物滥用导致的昏迷不在保障范围内。</w:t>
            </w:r>
          </w:p>
        </w:tc>
      </w:tr>
      <w:tr>
        <w:trPr>
          <w:trHeight w:val="694" w:hRule="atLeast"/>
        </w:trPr>
        <w:tc>
          <w:tcPr>
            <w:tcW w:w="1005" w:type="dxa"/>
          </w:tcPr>
          <w:p>
            <w:pPr>
              <w:pStyle w:val="TableParagraph"/>
              <w:spacing w:before="41"/>
              <w:ind w:left="50"/>
              <w:rPr>
                <w:rFonts w:ascii="微软雅黑"/>
                <w:b/>
                <w:sz w:val="21"/>
              </w:rPr>
            </w:pPr>
            <w:r>
              <w:rPr>
                <w:rFonts w:ascii="微软雅黑"/>
                <w:b/>
                <w:spacing w:val="-2"/>
                <w:sz w:val="21"/>
              </w:rPr>
              <w:t>12.1.40</w:t>
            </w:r>
          </w:p>
        </w:tc>
        <w:tc>
          <w:tcPr>
            <w:tcW w:w="1818" w:type="dxa"/>
          </w:tcPr>
          <w:p>
            <w:pPr>
              <w:pStyle w:val="TableParagraph"/>
              <w:spacing w:line="312" w:lineRule="exact" w:before="44"/>
              <w:ind w:left="214" w:right="123"/>
              <w:rPr>
                <w:rFonts w:ascii="微软雅黑" w:hAnsi="微软雅黑" w:eastAsia="微软雅黑"/>
                <w:b/>
                <w:sz w:val="21"/>
              </w:rPr>
            </w:pPr>
            <w:r>
              <w:rPr>
                <w:rFonts w:ascii="微软雅黑" w:hAnsi="微软雅黑" w:eastAsia="微软雅黑"/>
                <w:b/>
                <w:spacing w:val="-2"/>
                <w:sz w:val="21"/>
              </w:rPr>
              <w:t>较轻面积Ⅲ度烧</w:t>
            </w:r>
            <w:r>
              <w:rPr>
                <w:rFonts w:ascii="微软雅黑" w:hAnsi="微软雅黑" w:eastAsia="微软雅黑"/>
                <w:b/>
                <w:spacing w:val="-10"/>
                <w:sz w:val="21"/>
              </w:rPr>
              <w:t>伤</w:t>
            </w:r>
          </w:p>
        </w:tc>
        <w:tc>
          <w:tcPr>
            <w:tcW w:w="7031" w:type="dxa"/>
          </w:tcPr>
          <w:p>
            <w:pPr>
              <w:pStyle w:val="TableParagraph"/>
              <w:spacing w:line="310" w:lineRule="atLeast" w:before="43"/>
              <w:ind w:left="127" w:right="154"/>
              <w:rPr>
                <w:sz w:val="21"/>
              </w:rPr>
            </w:pPr>
            <w:r>
              <w:rPr>
                <w:spacing w:val="-2"/>
                <w:sz w:val="21"/>
              </w:rPr>
              <w:t>指烧伤程度为Ⅲ度，即全层皮肤烧伤，包括表皮、真皮和皮下组织，且Ⅲ</w:t>
            </w:r>
            <w:r>
              <w:rPr>
                <w:spacing w:val="-6"/>
                <w:sz w:val="21"/>
              </w:rPr>
              <w:t>度烧伤的面积达到全身体表面积的 </w:t>
            </w:r>
            <w:r>
              <w:rPr>
                <w:spacing w:val="-4"/>
                <w:sz w:val="21"/>
              </w:rPr>
              <w:t>10</w:t>
            </w:r>
            <w:r>
              <w:rPr>
                <w:spacing w:val="-14"/>
                <w:sz w:val="21"/>
              </w:rPr>
              <w:t>%或 </w:t>
            </w:r>
            <w:r>
              <w:rPr>
                <w:spacing w:val="-4"/>
                <w:sz w:val="21"/>
              </w:rPr>
              <w:t>10</w:t>
            </w:r>
            <w:r>
              <w:rPr>
                <w:spacing w:val="-7"/>
                <w:sz w:val="21"/>
              </w:rPr>
              <w:t>%以上且未达到 </w:t>
            </w:r>
            <w:r>
              <w:rPr>
                <w:spacing w:val="-4"/>
                <w:sz w:val="21"/>
              </w:rPr>
              <w:t>15</w:t>
            </w:r>
            <w:r>
              <w:rPr>
                <w:spacing w:val="-5"/>
                <w:sz w:val="21"/>
              </w:rPr>
              <w:t>%。体表面积</w:t>
            </w:r>
          </w:p>
        </w:tc>
      </w:tr>
      <w:tr>
        <w:trPr>
          <w:trHeight w:val="261" w:hRule="atLeast"/>
        </w:trPr>
        <w:tc>
          <w:tcPr>
            <w:tcW w:w="1005" w:type="dxa"/>
          </w:tcPr>
          <w:p>
            <w:pPr>
              <w:pStyle w:val="TableParagraph"/>
              <w:rPr>
                <w:rFonts w:ascii="Times New Roman"/>
                <w:sz w:val="18"/>
              </w:rPr>
            </w:pPr>
          </w:p>
        </w:tc>
        <w:tc>
          <w:tcPr>
            <w:tcW w:w="1818" w:type="dxa"/>
          </w:tcPr>
          <w:p>
            <w:pPr>
              <w:pStyle w:val="TableParagraph"/>
              <w:rPr>
                <w:rFonts w:ascii="Times New Roman"/>
                <w:sz w:val="18"/>
              </w:rPr>
            </w:pPr>
          </w:p>
        </w:tc>
        <w:tc>
          <w:tcPr>
            <w:tcW w:w="7031" w:type="dxa"/>
          </w:tcPr>
          <w:p>
            <w:pPr>
              <w:pStyle w:val="TableParagraph"/>
              <w:spacing w:line="228" w:lineRule="exact" w:before="13"/>
              <w:ind w:left="127"/>
              <w:rPr>
                <w:sz w:val="21"/>
              </w:rPr>
            </w:pPr>
            <w:r>
              <w:rPr>
                <w:spacing w:val="-3"/>
                <w:sz w:val="21"/>
              </w:rPr>
              <w:t>根据《中国新九分法》计算。</w:t>
            </w:r>
          </w:p>
        </w:tc>
      </w:tr>
    </w:tbl>
    <w:p>
      <w:pPr>
        <w:pStyle w:val="BodyText"/>
        <w:spacing w:before="1"/>
        <w:ind w:left="0"/>
        <w:rPr>
          <w:sz w:val="11"/>
        </w:rPr>
      </w:pPr>
    </w:p>
    <w:p>
      <w:pPr>
        <w:pStyle w:val="Heading1"/>
        <w:numPr>
          <w:ilvl w:val="0"/>
          <w:numId w:val="68"/>
        </w:numPr>
        <w:tabs>
          <w:tab w:pos="1381" w:val="left" w:leader="none"/>
          <w:tab w:pos="1382" w:val="left" w:leader="none"/>
        </w:tabs>
        <w:spacing w:line="240" w:lineRule="auto" w:before="5" w:after="0"/>
        <w:ind w:left="1382" w:right="0" w:hanging="1170"/>
        <w:jc w:val="left"/>
      </w:pPr>
      <w:r>
        <w:rPr/>
        <w:drawing>
          <wp:anchor distT="0" distB="0" distL="0" distR="0" allowOverlap="1" layoutInCell="1" locked="0" behindDoc="0" simplePos="0" relativeHeight="15743488">
            <wp:simplePos x="0" y="0"/>
            <wp:positionH relativeFrom="page">
              <wp:posOffset>650748</wp:posOffset>
            </wp:positionH>
            <wp:positionV relativeFrom="paragraph">
              <wp:posOffset>229465</wp:posOffset>
            </wp:positionV>
            <wp:extent cx="6261861" cy="18287"/>
            <wp:effectExtent l="0" t="0" r="0" b="0"/>
            <wp:wrapNone/>
            <wp:docPr id="53" name="image2.png"/>
            <wp:cNvGraphicFramePr>
              <a:graphicFrameLocks noChangeAspect="1"/>
            </wp:cNvGraphicFramePr>
            <a:graphic>
              <a:graphicData uri="http://schemas.openxmlformats.org/drawingml/2006/picture">
                <pic:pic>
                  <pic:nvPicPr>
                    <pic:cNvPr id="54" name="image2.png"/>
                    <pic:cNvPicPr/>
                  </pic:nvPicPr>
                  <pic:blipFill>
                    <a:blip r:embed="rId6" cstate="print"/>
                    <a:stretch>
                      <a:fillRect/>
                    </a:stretch>
                  </pic:blipFill>
                  <pic:spPr>
                    <a:xfrm>
                      <a:off x="0" y="0"/>
                      <a:ext cx="6261861" cy="18287"/>
                    </a:xfrm>
                    <a:prstGeom prst="rect">
                      <a:avLst/>
                    </a:prstGeom>
                  </pic:spPr>
                </pic:pic>
              </a:graphicData>
            </a:graphic>
          </wp:anchor>
        </w:drawing>
      </w:r>
      <w:r>
        <w:rPr>
          <w:spacing w:val="-2"/>
        </w:rPr>
        <w:t>特定重大疾病的定义</w:t>
      </w:r>
    </w:p>
    <w:p>
      <w:pPr>
        <w:spacing w:after="0" w:line="240" w:lineRule="auto"/>
        <w:jc w:val="left"/>
        <w:sectPr>
          <w:type w:val="continuous"/>
          <w:pgSz w:w="11910" w:h="16840"/>
          <w:pgMar w:top="1460" w:bottom="280" w:left="920" w:right="440"/>
        </w:sectPr>
      </w:pPr>
    </w:p>
    <w:p>
      <w:pPr>
        <w:pStyle w:val="ListParagraph"/>
        <w:numPr>
          <w:ilvl w:val="1"/>
          <w:numId w:val="68"/>
        </w:numPr>
        <w:tabs>
          <w:tab w:pos="1381" w:val="left" w:leader="none"/>
          <w:tab w:pos="1382" w:val="left" w:leader="none"/>
        </w:tabs>
        <w:spacing w:line="194" w:lineRule="auto" w:before="8" w:after="0"/>
        <w:ind w:left="1382" w:right="0" w:hanging="1170"/>
        <w:jc w:val="left"/>
        <w:rPr>
          <w:rFonts w:ascii="微软雅黑" w:eastAsia="微软雅黑"/>
          <w:b/>
          <w:sz w:val="21"/>
        </w:rPr>
      </w:pPr>
      <w:r>
        <w:rPr>
          <w:rFonts w:ascii="微软雅黑" w:eastAsia="微软雅黑"/>
          <w:b/>
          <w:spacing w:val="-2"/>
          <w:sz w:val="21"/>
        </w:rPr>
        <w:t>特定重大疾病的</w:t>
      </w:r>
      <w:r>
        <w:rPr>
          <w:rFonts w:ascii="微软雅黑" w:eastAsia="微软雅黑"/>
          <w:b/>
          <w:spacing w:val="-6"/>
          <w:sz w:val="21"/>
        </w:rPr>
        <w:t>定义</w:t>
      </w:r>
    </w:p>
    <w:p>
      <w:pPr>
        <w:pStyle w:val="BodyText"/>
        <w:spacing w:line="278" w:lineRule="auto" w:before="23"/>
        <w:ind w:left="212" w:right="682" w:firstLine="2"/>
      </w:pPr>
      <w:r>
        <w:rPr/>
        <w:br w:type="column"/>
      </w:r>
      <w:r>
        <w:rPr>
          <w:spacing w:val="-2"/>
        </w:rPr>
        <w:t>本合同所保障的特定重大疾病，是指被保险人在约定医院经专科医生明确</w:t>
      </w:r>
      <w:r>
        <w:rPr>
          <w:spacing w:val="-2"/>
        </w:rPr>
        <w:t>诊断患下列疾病或初次达到下列疾病状态或在约定医院接受下列手术：</w:t>
      </w:r>
    </w:p>
    <w:p>
      <w:pPr>
        <w:spacing w:after="0" w:line="278" w:lineRule="auto"/>
        <w:sectPr>
          <w:type w:val="continuous"/>
          <w:pgSz w:w="11910" w:h="16840"/>
          <w:pgMar w:top="680" w:bottom="280" w:left="920" w:right="440"/>
          <w:cols w:num="2" w:equalWidth="0">
            <w:col w:w="2861" w:space="40"/>
            <w:col w:w="7649"/>
          </w:cols>
        </w:sectPr>
      </w:pPr>
    </w:p>
    <w:tbl>
      <w:tblPr>
        <w:tblW w:w="0" w:type="auto"/>
        <w:jc w:val="left"/>
        <w:tblInd w:w="3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71"/>
        <w:gridCol w:w="2071"/>
        <w:gridCol w:w="2326"/>
      </w:tblGrid>
      <w:tr>
        <w:trPr>
          <w:trHeight w:val="311" w:hRule="atLeast"/>
        </w:trPr>
        <w:tc>
          <w:tcPr>
            <w:tcW w:w="2071" w:type="dxa"/>
          </w:tcPr>
          <w:p>
            <w:pPr>
              <w:pStyle w:val="TableParagraph"/>
              <w:spacing w:line="292" w:lineRule="exact"/>
              <w:ind w:left="107"/>
              <w:rPr>
                <w:rFonts w:ascii="微软雅黑" w:eastAsia="微软雅黑"/>
                <w:b/>
                <w:sz w:val="21"/>
              </w:rPr>
            </w:pPr>
            <w:r>
              <w:rPr>
                <w:rFonts w:ascii="微软雅黑" w:eastAsia="微软雅黑"/>
                <w:b/>
                <w:spacing w:val="-2"/>
                <w:sz w:val="21"/>
              </w:rPr>
              <w:t>男性特定重大疾病</w:t>
            </w:r>
          </w:p>
        </w:tc>
        <w:tc>
          <w:tcPr>
            <w:tcW w:w="2071" w:type="dxa"/>
          </w:tcPr>
          <w:p>
            <w:pPr>
              <w:pStyle w:val="TableParagraph"/>
              <w:spacing w:line="292" w:lineRule="exact"/>
              <w:ind w:left="108"/>
              <w:rPr>
                <w:rFonts w:ascii="微软雅黑" w:eastAsia="微软雅黑"/>
                <w:b/>
                <w:sz w:val="21"/>
              </w:rPr>
            </w:pPr>
            <w:r>
              <w:rPr>
                <w:rFonts w:ascii="微软雅黑" w:eastAsia="微软雅黑"/>
                <w:b/>
                <w:spacing w:val="-2"/>
                <w:sz w:val="21"/>
              </w:rPr>
              <w:t>女性特定重大疾病</w:t>
            </w:r>
          </w:p>
        </w:tc>
        <w:tc>
          <w:tcPr>
            <w:tcW w:w="2326" w:type="dxa"/>
          </w:tcPr>
          <w:p>
            <w:pPr>
              <w:pStyle w:val="TableParagraph"/>
              <w:spacing w:line="292" w:lineRule="exact"/>
              <w:ind w:left="106"/>
              <w:rPr>
                <w:rFonts w:ascii="微软雅黑" w:eastAsia="微软雅黑"/>
                <w:b/>
                <w:sz w:val="21"/>
              </w:rPr>
            </w:pPr>
            <w:r>
              <w:rPr>
                <w:rFonts w:ascii="微软雅黑" w:eastAsia="微软雅黑"/>
                <w:b/>
                <w:spacing w:val="-2"/>
                <w:sz w:val="21"/>
              </w:rPr>
              <w:t>少儿特定重大疾病</w:t>
            </w:r>
          </w:p>
        </w:tc>
      </w:tr>
      <w:tr>
        <w:trPr>
          <w:trHeight w:val="312" w:hRule="atLeast"/>
        </w:trPr>
        <w:tc>
          <w:tcPr>
            <w:tcW w:w="2071" w:type="dxa"/>
          </w:tcPr>
          <w:p>
            <w:pPr>
              <w:pStyle w:val="TableParagraph"/>
              <w:ind w:left="107"/>
              <w:rPr>
                <w:sz w:val="21"/>
              </w:rPr>
            </w:pPr>
            <w:r>
              <w:rPr>
                <w:spacing w:val="-4"/>
                <w:sz w:val="21"/>
              </w:rPr>
              <w:t>前列腺癌</w:t>
            </w:r>
          </w:p>
        </w:tc>
        <w:tc>
          <w:tcPr>
            <w:tcW w:w="2071" w:type="dxa"/>
          </w:tcPr>
          <w:p>
            <w:pPr>
              <w:pStyle w:val="TableParagraph"/>
              <w:ind w:left="108"/>
              <w:rPr>
                <w:sz w:val="21"/>
              </w:rPr>
            </w:pPr>
            <w:r>
              <w:rPr>
                <w:spacing w:val="-4"/>
                <w:sz w:val="21"/>
              </w:rPr>
              <w:t>乳腺癌</w:t>
            </w:r>
          </w:p>
        </w:tc>
        <w:tc>
          <w:tcPr>
            <w:tcW w:w="2326" w:type="dxa"/>
          </w:tcPr>
          <w:p>
            <w:pPr>
              <w:pStyle w:val="TableParagraph"/>
              <w:spacing w:line="292" w:lineRule="exact"/>
              <w:ind w:left="106"/>
              <w:rPr>
                <w:rFonts w:ascii="微软雅黑" w:eastAsia="微软雅黑"/>
                <w:b/>
                <w:sz w:val="11"/>
              </w:rPr>
            </w:pPr>
            <w:r>
              <w:rPr>
                <w:rFonts w:ascii="微软雅黑" w:eastAsia="微软雅黑"/>
                <w:b/>
                <w:sz w:val="21"/>
              </w:rPr>
              <w:t>白血病</w:t>
            </w:r>
            <w:r>
              <w:rPr>
                <w:rFonts w:ascii="微软雅黑" w:eastAsia="微软雅黑"/>
                <w:b/>
                <w:spacing w:val="-5"/>
                <w:position w:val="11"/>
                <w:sz w:val="11"/>
              </w:rPr>
              <w:t>30</w:t>
            </w:r>
          </w:p>
        </w:tc>
      </w:tr>
      <w:tr>
        <w:trPr>
          <w:trHeight w:val="311" w:hRule="atLeast"/>
        </w:trPr>
        <w:tc>
          <w:tcPr>
            <w:tcW w:w="2071" w:type="dxa"/>
          </w:tcPr>
          <w:p>
            <w:pPr>
              <w:pStyle w:val="TableParagraph"/>
              <w:spacing w:line="269" w:lineRule="exact"/>
              <w:ind w:left="107"/>
              <w:rPr>
                <w:sz w:val="21"/>
              </w:rPr>
            </w:pPr>
            <w:r>
              <w:rPr>
                <w:spacing w:val="-4"/>
                <w:sz w:val="21"/>
              </w:rPr>
              <w:t>阴茎癌</w:t>
            </w:r>
          </w:p>
        </w:tc>
        <w:tc>
          <w:tcPr>
            <w:tcW w:w="2071" w:type="dxa"/>
          </w:tcPr>
          <w:p>
            <w:pPr>
              <w:pStyle w:val="TableParagraph"/>
              <w:spacing w:line="269" w:lineRule="exact"/>
              <w:ind w:left="108"/>
              <w:rPr>
                <w:sz w:val="21"/>
              </w:rPr>
            </w:pPr>
            <w:r>
              <w:rPr>
                <w:spacing w:val="-4"/>
                <w:sz w:val="21"/>
              </w:rPr>
              <w:t>子宫癌</w:t>
            </w:r>
          </w:p>
        </w:tc>
        <w:tc>
          <w:tcPr>
            <w:tcW w:w="2326" w:type="dxa"/>
          </w:tcPr>
          <w:p>
            <w:pPr>
              <w:pStyle w:val="TableParagraph"/>
              <w:spacing w:line="269" w:lineRule="exact"/>
              <w:ind w:left="106"/>
              <w:rPr>
                <w:sz w:val="21"/>
              </w:rPr>
            </w:pPr>
            <w:r>
              <w:rPr>
                <w:spacing w:val="-4"/>
                <w:sz w:val="21"/>
              </w:rPr>
              <w:t>重症手足口病</w:t>
            </w:r>
          </w:p>
        </w:tc>
      </w:tr>
      <w:tr>
        <w:trPr>
          <w:trHeight w:val="311" w:hRule="atLeast"/>
        </w:trPr>
        <w:tc>
          <w:tcPr>
            <w:tcW w:w="2071" w:type="dxa"/>
          </w:tcPr>
          <w:p>
            <w:pPr>
              <w:pStyle w:val="TableParagraph"/>
              <w:spacing w:line="269" w:lineRule="exact"/>
              <w:ind w:left="107"/>
              <w:rPr>
                <w:sz w:val="21"/>
              </w:rPr>
            </w:pPr>
            <w:r>
              <w:rPr>
                <w:spacing w:val="-4"/>
                <w:sz w:val="21"/>
              </w:rPr>
              <w:t>睾丸癌</w:t>
            </w:r>
          </w:p>
        </w:tc>
        <w:tc>
          <w:tcPr>
            <w:tcW w:w="2071" w:type="dxa"/>
          </w:tcPr>
          <w:p>
            <w:pPr>
              <w:pStyle w:val="TableParagraph"/>
              <w:spacing w:line="269" w:lineRule="exact"/>
              <w:ind w:left="108"/>
              <w:rPr>
                <w:sz w:val="21"/>
              </w:rPr>
            </w:pPr>
            <w:r>
              <w:rPr>
                <w:spacing w:val="-4"/>
                <w:sz w:val="21"/>
              </w:rPr>
              <w:t>宫颈癌</w:t>
            </w:r>
          </w:p>
        </w:tc>
        <w:tc>
          <w:tcPr>
            <w:tcW w:w="2326" w:type="dxa"/>
          </w:tcPr>
          <w:p>
            <w:pPr>
              <w:pStyle w:val="TableParagraph"/>
              <w:spacing w:line="269" w:lineRule="exact"/>
              <w:ind w:left="106"/>
              <w:rPr>
                <w:sz w:val="21"/>
              </w:rPr>
            </w:pPr>
            <w:r>
              <w:rPr>
                <w:spacing w:val="-4"/>
                <w:sz w:val="21"/>
              </w:rPr>
              <w:t>严重心肌病</w:t>
            </w:r>
          </w:p>
        </w:tc>
      </w:tr>
      <w:tr>
        <w:trPr>
          <w:trHeight w:val="313" w:hRule="atLeast"/>
        </w:trPr>
        <w:tc>
          <w:tcPr>
            <w:tcW w:w="2071" w:type="dxa"/>
          </w:tcPr>
          <w:p>
            <w:pPr>
              <w:pStyle w:val="TableParagraph"/>
              <w:spacing w:before="2"/>
              <w:ind w:left="107"/>
              <w:rPr>
                <w:sz w:val="21"/>
              </w:rPr>
            </w:pPr>
            <w:r>
              <w:rPr>
                <w:spacing w:val="-4"/>
                <w:sz w:val="21"/>
              </w:rPr>
              <w:t>附睾癌</w:t>
            </w:r>
          </w:p>
        </w:tc>
        <w:tc>
          <w:tcPr>
            <w:tcW w:w="2071" w:type="dxa"/>
          </w:tcPr>
          <w:p>
            <w:pPr>
              <w:pStyle w:val="TableParagraph"/>
              <w:spacing w:before="2"/>
              <w:ind w:left="108"/>
              <w:rPr>
                <w:sz w:val="21"/>
              </w:rPr>
            </w:pPr>
            <w:r>
              <w:rPr>
                <w:spacing w:val="-4"/>
                <w:sz w:val="21"/>
              </w:rPr>
              <w:t>卵巢癌</w:t>
            </w:r>
          </w:p>
        </w:tc>
        <w:tc>
          <w:tcPr>
            <w:tcW w:w="2326" w:type="dxa"/>
          </w:tcPr>
          <w:p>
            <w:pPr>
              <w:pStyle w:val="TableParagraph"/>
              <w:spacing w:before="2"/>
              <w:ind w:left="106"/>
              <w:rPr>
                <w:sz w:val="21"/>
              </w:rPr>
            </w:pPr>
            <w:r>
              <w:rPr>
                <w:spacing w:val="-4"/>
                <w:sz w:val="21"/>
              </w:rPr>
              <w:t>瑞氏综合征</w:t>
            </w:r>
          </w:p>
        </w:tc>
      </w:tr>
    </w:tbl>
    <w:p>
      <w:pPr>
        <w:pStyle w:val="BodyText"/>
        <w:spacing w:before="11"/>
        <w:ind w:left="0"/>
        <w:rPr>
          <w:sz w:val="14"/>
        </w:rPr>
      </w:pPr>
      <w:r>
        <w:rPr/>
        <w:drawing>
          <wp:anchor distT="0" distB="0" distL="0" distR="0" allowOverlap="1" layoutInCell="1" locked="0" behindDoc="0" simplePos="0" relativeHeight="28">
            <wp:simplePos x="0" y="0"/>
            <wp:positionH relativeFrom="page">
              <wp:posOffset>719327</wp:posOffset>
            </wp:positionH>
            <wp:positionV relativeFrom="paragraph">
              <wp:posOffset>136494</wp:posOffset>
            </wp:positionV>
            <wp:extent cx="1829358" cy="9143"/>
            <wp:effectExtent l="0" t="0" r="0" b="0"/>
            <wp:wrapTopAndBottom/>
            <wp:docPr id="55" name="image3.png"/>
            <wp:cNvGraphicFramePr>
              <a:graphicFrameLocks noChangeAspect="1"/>
            </wp:cNvGraphicFramePr>
            <a:graphic>
              <a:graphicData uri="http://schemas.openxmlformats.org/drawingml/2006/picture">
                <pic:pic>
                  <pic:nvPicPr>
                    <pic:cNvPr id="56" name="image3.png"/>
                    <pic:cNvPicPr/>
                  </pic:nvPicPr>
                  <pic:blipFill>
                    <a:blip r:embed="rId7" cstate="print"/>
                    <a:stretch>
                      <a:fillRect/>
                    </a:stretch>
                  </pic:blipFill>
                  <pic:spPr>
                    <a:xfrm>
                      <a:off x="0" y="0"/>
                      <a:ext cx="1829358" cy="9143"/>
                    </a:xfrm>
                    <a:prstGeom prst="rect">
                      <a:avLst/>
                    </a:prstGeom>
                  </pic:spPr>
                </pic:pic>
              </a:graphicData>
            </a:graphic>
          </wp:anchor>
        </w:drawing>
      </w:r>
    </w:p>
    <w:p>
      <w:pPr>
        <w:spacing w:line="311" w:lineRule="exact" w:before="41"/>
        <w:ind w:left="212" w:right="0" w:firstLine="0"/>
        <w:jc w:val="left"/>
        <w:rPr>
          <w:sz w:val="18"/>
        </w:rPr>
      </w:pPr>
      <w:r>
        <w:rPr>
          <w:rFonts w:ascii="Calibri" w:hAnsi="Calibri" w:eastAsia="Calibri"/>
          <w:b/>
          <w:spacing w:val="-2"/>
          <w:position w:val="5"/>
          <w:sz w:val="12"/>
        </w:rPr>
        <w:t>30</w:t>
      </w:r>
      <w:r>
        <w:rPr>
          <w:rFonts w:ascii="微软雅黑" w:hAnsi="微软雅黑" w:eastAsia="微软雅黑"/>
          <w:b/>
          <w:spacing w:val="-2"/>
          <w:sz w:val="18"/>
        </w:rPr>
        <w:t>白血病：</w:t>
      </w:r>
      <w:r>
        <w:rPr>
          <w:spacing w:val="-2"/>
          <w:sz w:val="18"/>
        </w:rPr>
        <w:t>是一种造血系统的恶性肿瘤（属于“10.1.1恶性肿瘤——重度”范畴）</w:t>
      </w:r>
      <w:r>
        <w:rPr>
          <w:spacing w:val="-3"/>
          <w:sz w:val="18"/>
        </w:rPr>
        <w:t>，其主要表现为白血病细胞在骨髓或其他</w:t>
      </w:r>
    </w:p>
    <w:p>
      <w:pPr>
        <w:spacing w:line="210" w:lineRule="exact" w:before="0"/>
        <w:ind w:left="212" w:right="0" w:firstLine="0"/>
        <w:jc w:val="left"/>
        <w:rPr>
          <w:sz w:val="18"/>
        </w:rPr>
      </w:pPr>
      <w:r>
        <w:rPr>
          <w:spacing w:val="-3"/>
          <w:sz w:val="18"/>
        </w:rPr>
        <w:t>造血组织中大量克隆、异常增生，大量聚集的白细胞抑制正常造血并浸润全身器官和组织。周围白细胞有质和量的变化，出</w:t>
      </w:r>
    </w:p>
    <w:p>
      <w:pPr>
        <w:spacing w:line="244" w:lineRule="auto" w:before="2"/>
        <w:ind w:left="212" w:right="688" w:firstLine="0"/>
        <w:jc w:val="left"/>
        <w:rPr>
          <w:sz w:val="18"/>
        </w:rPr>
      </w:pPr>
      <w:r>
        <w:rPr>
          <w:spacing w:val="-2"/>
          <w:sz w:val="18"/>
        </w:rPr>
        <w:t>现相应临床表现。被保险人所患白血病必须根据骨髓的活组织检查和周围血象由儿科、血液科或肿瘤科的专科医生确诊。</w:t>
      </w:r>
      <w:r>
        <w:rPr>
          <w:color w:val="000000"/>
          <w:spacing w:val="-2"/>
          <w:sz w:val="18"/>
          <w:shd w:fill="A6A6A6" w:color="auto" w:val="clear"/>
        </w:rPr>
        <w:t>相</w:t>
      </w:r>
      <w:r>
        <w:rPr>
          <w:color w:val="000000"/>
          <w:spacing w:val="80"/>
          <w:w w:val="150"/>
          <w:sz w:val="18"/>
          <w:shd w:fill="A6A6A6" w:color="auto" w:val="clear"/>
        </w:rPr>
        <w:t>                                                          </w:t>
      </w:r>
      <w:r>
        <w:rPr>
          <w:color w:val="000000"/>
          <w:spacing w:val="-2"/>
          <w:sz w:val="18"/>
          <w:shd w:fill="A6A6A6" w:color="auto" w:val="clear"/>
        </w:rPr>
        <w:t>当于Binet分期方案A期程度的慢性淋巴细胞白血病不在保障范围内。</w:t>
      </w:r>
    </w:p>
    <w:p>
      <w:pPr>
        <w:spacing w:after="0" w:line="244" w:lineRule="auto"/>
        <w:jc w:val="left"/>
        <w:rPr>
          <w:sz w:val="18"/>
        </w:rPr>
        <w:sectPr>
          <w:type w:val="continuous"/>
          <w:pgSz w:w="11910" w:h="16840"/>
          <w:pgMar w:top="680" w:bottom="280" w:left="920" w:right="440"/>
        </w:sectPr>
      </w:pPr>
    </w:p>
    <w:tbl>
      <w:tblPr>
        <w:tblW w:w="0" w:type="auto"/>
        <w:jc w:val="left"/>
        <w:tblInd w:w="3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71"/>
        <w:gridCol w:w="2071"/>
        <w:gridCol w:w="2326"/>
      </w:tblGrid>
      <w:tr>
        <w:trPr>
          <w:trHeight w:val="623" w:hRule="atLeast"/>
        </w:trPr>
        <w:tc>
          <w:tcPr>
            <w:tcW w:w="2071" w:type="dxa"/>
          </w:tcPr>
          <w:p>
            <w:pPr>
              <w:pStyle w:val="TableParagraph"/>
              <w:spacing w:before="22"/>
              <w:ind w:left="107"/>
              <w:rPr>
                <w:sz w:val="21"/>
              </w:rPr>
            </w:pPr>
            <w:r>
              <w:rPr>
                <w:spacing w:val="-4"/>
                <w:sz w:val="21"/>
              </w:rPr>
              <w:t>输精管癌</w:t>
            </w:r>
          </w:p>
        </w:tc>
        <w:tc>
          <w:tcPr>
            <w:tcW w:w="2071" w:type="dxa"/>
          </w:tcPr>
          <w:p>
            <w:pPr>
              <w:pStyle w:val="TableParagraph"/>
              <w:spacing w:before="22"/>
              <w:ind w:left="108"/>
              <w:rPr>
                <w:sz w:val="21"/>
              </w:rPr>
            </w:pPr>
            <w:r>
              <w:rPr>
                <w:spacing w:val="-4"/>
                <w:sz w:val="21"/>
              </w:rPr>
              <w:t>输卵管癌</w:t>
            </w:r>
          </w:p>
        </w:tc>
        <w:tc>
          <w:tcPr>
            <w:tcW w:w="2326" w:type="dxa"/>
          </w:tcPr>
          <w:p>
            <w:pPr>
              <w:pStyle w:val="TableParagraph"/>
              <w:spacing w:before="22"/>
              <w:ind w:left="106"/>
              <w:rPr>
                <w:sz w:val="21"/>
              </w:rPr>
            </w:pPr>
            <w:r>
              <w:rPr>
                <w:spacing w:val="-1"/>
                <w:sz w:val="21"/>
              </w:rPr>
              <w:t>严重幼年型类风湿性关</w:t>
            </w:r>
          </w:p>
          <w:p>
            <w:pPr>
              <w:pStyle w:val="TableParagraph"/>
              <w:spacing w:before="44"/>
              <w:ind w:left="106"/>
              <w:rPr>
                <w:sz w:val="21"/>
              </w:rPr>
            </w:pPr>
            <w:r>
              <w:rPr>
                <w:spacing w:val="-5"/>
                <w:sz w:val="21"/>
              </w:rPr>
              <w:t>节炎</w:t>
            </w:r>
          </w:p>
        </w:tc>
      </w:tr>
      <w:tr>
        <w:trPr>
          <w:trHeight w:val="311" w:hRule="atLeast"/>
        </w:trPr>
        <w:tc>
          <w:tcPr>
            <w:tcW w:w="2071" w:type="dxa"/>
          </w:tcPr>
          <w:p>
            <w:pPr>
              <w:pStyle w:val="TableParagraph"/>
              <w:rPr>
                <w:rFonts w:ascii="Times New Roman"/>
                <w:sz w:val="20"/>
              </w:rPr>
            </w:pPr>
          </w:p>
        </w:tc>
        <w:tc>
          <w:tcPr>
            <w:tcW w:w="2071" w:type="dxa"/>
          </w:tcPr>
          <w:p>
            <w:pPr>
              <w:pStyle w:val="TableParagraph"/>
              <w:spacing w:before="22"/>
              <w:ind w:left="108"/>
              <w:rPr>
                <w:sz w:val="21"/>
              </w:rPr>
            </w:pPr>
            <w:r>
              <w:rPr>
                <w:spacing w:val="-4"/>
                <w:sz w:val="21"/>
              </w:rPr>
              <w:t>阴道癌</w:t>
            </w:r>
          </w:p>
        </w:tc>
        <w:tc>
          <w:tcPr>
            <w:tcW w:w="2326" w:type="dxa"/>
          </w:tcPr>
          <w:p>
            <w:pPr>
              <w:pStyle w:val="TableParagraph"/>
              <w:spacing w:before="22"/>
              <w:ind w:left="106"/>
              <w:rPr>
                <w:sz w:val="21"/>
              </w:rPr>
            </w:pPr>
            <w:r>
              <w:rPr>
                <w:spacing w:val="-4"/>
                <w:sz w:val="21"/>
              </w:rPr>
              <w:t>严重川崎病</w:t>
            </w:r>
          </w:p>
        </w:tc>
      </w:tr>
      <w:tr>
        <w:trPr>
          <w:trHeight w:val="311" w:hRule="atLeast"/>
        </w:trPr>
        <w:tc>
          <w:tcPr>
            <w:tcW w:w="2071" w:type="dxa"/>
          </w:tcPr>
          <w:p>
            <w:pPr>
              <w:pStyle w:val="TableParagraph"/>
              <w:rPr>
                <w:rFonts w:ascii="Times New Roman"/>
                <w:sz w:val="20"/>
              </w:rPr>
            </w:pPr>
          </w:p>
        </w:tc>
        <w:tc>
          <w:tcPr>
            <w:tcW w:w="2071" w:type="dxa"/>
          </w:tcPr>
          <w:p>
            <w:pPr>
              <w:pStyle w:val="TableParagraph"/>
              <w:spacing w:before="22"/>
              <w:ind w:left="108"/>
              <w:rPr>
                <w:sz w:val="21"/>
              </w:rPr>
            </w:pPr>
            <w:r>
              <w:rPr>
                <w:spacing w:val="-4"/>
                <w:sz w:val="21"/>
              </w:rPr>
              <w:t>外阴癌</w:t>
            </w:r>
          </w:p>
        </w:tc>
        <w:tc>
          <w:tcPr>
            <w:tcW w:w="2326" w:type="dxa"/>
          </w:tcPr>
          <w:p>
            <w:pPr>
              <w:pStyle w:val="TableParagraph"/>
              <w:spacing w:before="22"/>
              <w:ind w:left="106"/>
              <w:rPr>
                <w:sz w:val="21"/>
              </w:rPr>
            </w:pPr>
            <w:r>
              <w:rPr>
                <w:spacing w:val="-4"/>
                <w:sz w:val="21"/>
              </w:rPr>
              <w:t>严重哮喘</w:t>
            </w:r>
          </w:p>
        </w:tc>
      </w:tr>
      <w:tr>
        <w:trPr>
          <w:trHeight w:val="311" w:hRule="atLeast"/>
        </w:trPr>
        <w:tc>
          <w:tcPr>
            <w:tcW w:w="2071" w:type="dxa"/>
          </w:tcPr>
          <w:p>
            <w:pPr>
              <w:pStyle w:val="TableParagraph"/>
              <w:rPr>
                <w:rFonts w:ascii="Times New Roman"/>
                <w:sz w:val="20"/>
              </w:rPr>
            </w:pPr>
          </w:p>
        </w:tc>
        <w:tc>
          <w:tcPr>
            <w:tcW w:w="2071" w:type="dxa"/>
          </w:tcPr>
          <w:p>
            <w:pPr>
              <w:pStyle w:val="TableParagraph"/>
              <w:rPr>
                <w:rFonts w:ascii="Times New Roman"/>
                <w:sz w:val="20"/>
              </w:rPr>
            </w:pPr>
          </w:p>
        </w:tc>
        <w:tc>
          <w:tcPr>
            <w:tcW w:w="2326" w:type="dxa"/>
          </w:tcPr>
          <w:p>
            <w:pPr>
              <w:pStyle w:val="TableParagraph"/>
              <w:spacing w:before="22"/>
              <w:ind w:left="106"/>
              <w:rPr>
                <w:sz w:val="21"/>
              </w:rPr>
            </w:pPr>
            <w:r>
              <w:rPr>
                <w:spacing w:val="-4"/>
                <w:sz w:val="21"/>
              </w:rPr>
              <w:t>骨生长不全症</w:t>
            </w:r>
          </w:p>
        </w:tc>
      </w:tr>
      <w:tr>
        <w:trPr>
          <w:trHeight w:val="313" w:hRule="atLeast"/>
        </w:trPr>
        <w:tc>
          <w:tcPr>
            <w:tcW w:w="2071" w:type="dxa"/>
          </w:tcPr>
          <w:p>
            <w:pPr>
              <w:pStyle w:val="TableParagraph"/>
              <w:rPr>
                <w:rFonts w:ascii="Times New Roman"/>
                <w:sz w:val="20"/>
              </w:rPr>
            </w:pPr>
          </w:p>
        </w:tc>
        <w:tc>
          <w:tcPr>
            <w:tcW w:w="2071" w:type="dxa"/>
          </w:tcPr>
          <w:p>
            <w:pPr>
              <w:pStyle w:val="TableParagraph"/>
              <w:rPr>
                <w:rFonts w:ascii="Times New Roman"/>
                <w:sz w:val="20"/>
              </w:rPr>
            </w:pPr>
          </w:p>
        </w:tc>
        <w:tc>
          <w:tcPr>
            <w:tcW w:w="2326" w:type="dxa"/>
          </w:tcPr>
          <w:p>
            <w:pPr>
              <w:pStyle w:val="TableParagraph"/>
              <w:spacing w:before="25"/>
              <w:ind w:left="106"/>
              <w:rPr>
                <w:sz w:val="21"/>
              </w:rPr>
            </w:pPr>
            <w:r>
              <w:rPr>
                <w:spacing w:val="-3"/>
                <w:sz w:val="21"/>
              </w:rPr>
              <w:t>婴儿进行性脊肌萎缩症</w:t>
            </w:r>
          </w:p>
        </w:tc>
      </w:tr>
      <w:tr>
        <w:trPr>
          <w:trHeight w:val="311" w:hRule="atLeast"/>
        </w:trPr>
        <w:tc>
          <w:tcPr>
            <w:tcW w:w="2071" w:type="dxa"/>
          </w:tcPr>
          <w:p>
            <w:pPr>
              <w:pStyle w:val="TableParagraph"/>
              <w:rPr>
                <w:rFonts w:ascii="Times New Roman"/>
                <w:sz w:val="20"/>
              </w:rPr>
            </w:pPr>
          </w:p>
        </w:tc>
        <w:tc>
          <w:tcPr>
            <w:tcW w:w="2071" w:type="dxa"/>
          </w:tcPr>
          <w:p>
            <w:pPr>
              <w:pStyle w:val="TableParagraph"/>
              <w:rPr>
                <w:rFonts w:ascii="Times New Roman"/>
                <w:sz w:val="20"/>
              </w:rPr>
            </w:pPr>
          </w:p>
        </w:tc>
        <w:tc>
          <w:tcPr>
            <w:tcW w:w="2326" w:type="dxa"/>
          </w:tcPr>
          <w:p>
            <w:pPr>
              <w:pStyle w:val="TableParagraph"/>
              <w:spacing w:before="22"/>
              <w:ind w:left="106"/>
              <w:rPr>
                <w:sz w:val="21"/>
              </w:rPr>
            </w:pPr>
            <w:r>
              <w:rPr>
                <w:spacing w:val="-4"/>
                <w:sz w:val="21"/>
              </w:rPr>
              <w:t>脊柱裂</w:t>
            </w:r>
          </w:p>
        </w:tc>
      </w:tr>
    </w:tbl>
    <w:p>
      <w:pPr>
        <w:pStyle w:val="BodyText"/>
        <w:spacing w:before="27"/>
        <w:ind w:left="3115"/>
      </w:pPr>
      <w:r>
        <w:rPr>
          <w:spacing w:val="-5"/>
        </w:rPr>
        <w:t>注：</w:t>
      </w:r>
    </w:p>
    <w:p>
      <w:pPr>
        <w:pStyle w:val="ListParagraph"/>
        <w:numPr>
          <w:ilvl w:val="2"/>
          <w:numId w:val="68"/>
        </w:numPr>
        <w:tabs>
          <w:tab w:pos="3431" w:val="left" w:leader="none"/>
        </w:tabs>
        <w:spacing w:line="278" w:lineRule="auto" w:before="42" w:after="0"/>
        <w:ind w:left="3113" w:right="681" w:firstLine="0"/>
        <w:jc w:val="both"/>
        <w:rPr>
          <w:sz w:val="21"/>
        </w:rPr>
      </w:pPr>
      <w:r>
        <w:rPr>
          <w:spacing w:val="-4"/>
          <w:sz w:val="21"/>
        </w:rPr>
        <w:t>前列腺癌、阴茎癌、睾丸癌、附睾癌、输精管癌、乳腺癌、子宫癌、宫</w:t>
      </w:r>
      <w:r>
        <w:rPr>
          <w:spacing w:val="-3"/>
          <w:sz w:val="21"/>
        </w:rPr>
        <w:t>颈癌、卵巢癌、输卵管癌、阴道癌、外阴癌 </w:t>
      </w:r>
      <w:r>
        <w:rPr>
          <w:spacing w:val="-2"/>
          <w:sz w:val="21"/>
        </w:rPr>
        <w:t>12</w:t>
      </w:r>
      <w:r>
        <w:rPr>
          <w:spacing w:val="-6"/>
          <w:sz w:val="21"/>
        </w:rPr>
        <w:t> 种疾病</w:t>
      </w:r>
      <w:r>
        <w:rPr>
          <w:color w:val="000000"/>
          <w:spacing w:val="-2"/>
          <w:sz w:val="21"/>
          <w:shd w:fill="A6A6A6" w:color="auto" w:val="clear"/>
        </w:rPr>
        <w:t>须符合“10.1.1</w:t>
      </w:r>
      <w:r>
        <w:rPr>
          <w:color w:val="000000"/>
          <w:spacing w:val="-7"/>
          <w:sz w:val="21"/>
          <w:shd w:fill="A6A6A6" w:color="auto" w:val="clear"/>
        </w:rPr>
        <w:t> 恶</w:t>
      </w:r>
      <w:r>
        <w:rPr>
          <w:color w:val="000000"/>
          <w:spacing w:val="13020"/>
          <w:sz w:val="21"/>
          <w:shd w:fill="A6A6A6" w:color="auto" w:val="clear"/>
        </w:rPr>
        <w:t> </w:t>
      </w:r>
      <w:r>
        <w:rPr>
          <w:color w:val="000000"/>
          <w:spacing w:val="-2"/>
          <w:sz w:val="21"/>
          <w:shd w:fill="A6A6A6" w:color="auto" w:val="clear"/>
        </w:rPr>
        <w:t>性肿瘤——重度”的定义；</w:t>
      </w:r>
    </w:p>
    <w:p>
      <w:pPr>
        <w:pStyle w:val="ListParagraph"/>
        <w:numPr>
          <w:ilvl w:val="2"/>
          <w:numId w:val="68"/>
        </w:numPr>
        <w:tabs>
          <w:tab w:pos="3431" w:val="left" w:leader="none"/>
        </w:tabs>
        <w:spacing w:line="269" w:lineRule="exact" w:before="0" w:after="0"/>
        <w:ind w:left="3430" w:right="0" w:hanging="318"/>
        <w:jc w:val="left"/>
        <w:rPr>
          <w:sz w:val="21"/>
        </w:rPr>
      </w:pPr>
      <w:r>
        <w:rPr>
          <w:spacing w:val="-3"/>
          <w:sz w:val="21"/>
        </w:rPr>
        <w:t>白血病须符合脚注的定义；</w:t>
      </w:r>
    </w:p>
    <w:p>
      <w:pPr>
        <w:pStyle w:val="ListParagraph"/>
        <w:numPr>
          <w:ilvl w:val="2"/>
          <w:numId w:val="68"/>
        </w:numPr>
        <w:tabs>
          <w:tab w:pos="3431" w:val="left" w:leader="none"/>
        </w:tabs>
        <w:spacing w:line="240" w:lineRule="auto" w:before="44" w:after="0"/>
        <w:ind w:left="3430" w:right="0" w:hanging="318"/>
        <w:jc w:val="left"/>
        <w:rPr>
          <w:sz w:val="21"/>
        </w:rPr>
      </w:pPr>
      <w:r>
        <w:rPr>
          <w:spacing w:val="-7"/>
          <w:sz w:val="21"/>
        </w:rPr>
        <w:t>其他种类疾病定义和 </w:t>
      </w:r>
      <w:r>
        <w:rPr>
          <w:spacing w:val="-2"/>
          <w:sz w:val="21"/>
        </w:rPr>
        <w:t>10.1</w:t>
      </w:r>
      <w:r>
        <w:rPr>
          <w:spacing w:val="-10"/>
          <w:sz w:val="21"/>
        </w:rPr>
        <w:t> 对应的疾病定义一致。</w:t>
      </w:r>
    </w:p>
    <w:p>
      <w:pPr>
        <w:pStyle w:val="Heading1"/>
        <w:numPr>
          <w:ilvl w:val="0"/>
          <w:numId w:val="68"/>
        </w:numPr>
        <w:tabs>
          <w:tab w:pos="1381" w:val="left" w:leader="none"/>
          <w:tab w:pos="1382" w:val="left" w:leader="none"/>
        </w:tabs>
        <w:spacing w:line="240" w:lineRule="auto" w:before="115" w:after="0"/>
        <w:ind w:left="1382" w:right="0" w:hanging="1170"/>
        <w:jc w:val="left"/>
        <w:rPr>
          <w:rFonts w:ascii="Microsoft JhengHei" w:eastAsia="Microsoft JhengHei"/>
        </w:rPr>
      </w:pPr>
      <w:r>
        <w:rPr/>
        <w:drawing>
          <wp:anchor distT="0" distB="0" distL="0" distR="0" allowOverlap="1" layoutInCell="1" locked="0" behindDoc="0" simplePos="0" relativeHeight="15744000">
            <wp:simplePos x="0" y="0"/>
            <wp:positionH relativeFrom="page">
              <wp:posOffset>650748</wp:posOffset>
            </wp:positionH>
            <wp:positionV relativeFrom="paragraph">
              <wp:posOffset>300683</wp:posOffset>
            </wp:positionV>
            <wp:extent cx="6261861" cy="18288"/>
            <wp:effectExtent l="0" t="0" r="0" b="0"/>
            <wp:wrapNone/>
            <wp:docPr id="57" name="image2.png"/>
            <wp:cNvGraphicFramePr>
              <a:graphicFrameLocks noChangeAspect="1"/>
            </wp:cNvGraphicFramePr>
            <a:graphic>
              <a:graphicData uri="http://schemas.openxmlformats.org/drawingml/2006/picture">
                <pic:pic>
                  <pic:nvPicPr>
                    <pic:cNvPr id="58" name="image2.png"/>
                    <pic:cNvPicPr/>
                  </pic:nvPicPr>
                  <pic:blipFill>
                    <a:blip r:embed="rId6" cstate="print"/>
                    <a:stretch>
                      <a:fillRect/>
                    </a:stretch>
                  </pic:blipFill>
                  <pic:spPr>
                    <a:xfrm>
                      <a:off x="0" y="0"/>
                      <a:ext cx="6261861" cy="18288"/>
                    </a:xfrm>
                    <a:prstGeom prst="rect">
                      <a:avLst/>
                    </a:prstGeom>
                  </pic:spPr>
                </pic:pic>
              </a:graphicData>
            </a:graphic>
          </wp:anchor>
        </w:drawing>
      </w:r>
      <w:r>
        <w:rPr>
          <w:rFonts w:ascii="Microsoft JhengHei" w:eastAsia="Microsoft JhengHei"/>
          <w:spacing w:val="-2"/>
        </w:rPr>
        <w:t>疾病定义来源及术语</w:t>
      </w:r>
    </w:p>
    <w:p>
      <w:pPr>
        <w:pStyle w:val="ListParagraph"/>
        <w:numPr>
          <w:ilvl w:val="1"/>
          <w:numId w:val="68"/>
        </w:numPr>
        <w:tabs>
          <w:tab w:pos="1381" w:val="left" w:leader="none"/>
          <w:tab w:pos="1382" w:val="left" w:leader="none"/>
          <w:tab w:pos="3112" w:val="left" w:leader="none"/>
        </w:tabs>
        <w:spacing w:line="383" w:lineRule="exact" w:before="70" w:after="0"/>
        <w:ind w:left="1382" w:right="0" w:hanging="1170"/>
        <w:jc w:val="left"/>
        <w:rPr>
          <w:sz w:val="21"/>
        </w:rPr>
      </w:pPr>
      <w:r>
        <w:rPr>
          <w:rFonts w:ascii="微软雅黑" w:hAnsi="微软雅黑" w:eastAsia="微软雅黑"/>
          <w:b/>
          <w:sz w:val="21"/>
        </w:rPr>
        <w:t>定义来</w:t>
      </w:r>
      <w:r>
        <w:rPr>
          <w:rFonts w:ascii="微软雅黑" w:hAnsi="微软雅黑" w:eastAsia="微软雅黑"/>
          <w:b/>
          <w:spacing w:val="-10"/>
          <w:sz w:val="21"/>
        </w:rPr>
        <w:t>源</w:t>
      </w:r>
      <w:r>
        <w:rPr>
          <w:rFonts w:ascii="微软雅黑" w:hAnsi="微软雅黑" w:eastAsia="微软雅黑"/>
          <w:b/>
          <w:sz w:val="21"/>
        </w:rPr>
        <w:tab/>
      </w:r>
      <w:r>
        <w:rPr>
          <w:spacing w:val="-2"/>
          <w:sz w:val="21"/>
        </w:rPr>
        <w:t>“10.1.1</w:t>
      </w:r>
      <w:r>
        <w:rPr>
          <w:spacing w:val="-40"/>
          <w:sz w:val="21"/>
        </w:rPr>
        <w:t> </w:t>
      </w:r>
      <w:r>
        <w:rPr>
          <w:spacing w:val="-2"/>
          <w:sz w:val="21"/>
        </w:rPr>
        <w:t>恶性肿瘤——重</w:t>
      </w:r>
      <w:r>
        <w:rPr>
          <w:spacing w:val="-2"/>
          <w:sz w:val="21"/>
        </w:rPr>
        <w:t>度</w:t>
      </w:r>
      <w:r>
        <w:rPr>
          <w:spacing w:val="-2"/>
          <w:sz w:val="21"/>
        </w:rPr>
        <w:t>”至“10.1.28</w:t>
      </w:r>
      <w:r>
        <w:rPr>
          <w:spacing w:val="-37"/>
          <w:sz w:val="21"/>
        </w:rPr>
        <w:t> </w:t>
      </w:r>
      <w:r>
        <w:rPr>
          <w:spacing w:val="-2"/>
          <w:sz w:val="21"/>
        </w:rPr>
        <w:t>严重溃</w:t>
      </w:r>
      <w:r>
        <w:rPr>
          <w:spacing w:val="-2"/>
          <w:sz w:val="21"/>
        </w:rPr>
        <w:t>疡</w:t>
      </w:r>
      <w:r>
        <w:rPr>
          <w:spacing w:val="-2"/>
          <w:sz w:val="21"/>
        </w:rPr>
        <w:t>性</w:t>
      </w:r>
      <w:r>
        <w:rPr>
          <w:spacing w:val="-2"/>
          <w:sz w:val="21"/>
        </w:rPr>
        <w:t>结肠炎”所列重</w:t>
      </w:r>
      <w:r>
        <w:rPr>
          <w:spacing w:val="-10"/>
          <w:sz w:val="21"/>
        </w:rPr>
        <w:t>大</w:t>
      </w:r>
    </w:p>
    <w:p>
      <w:pPr>
        <w:pStyle w:val="BodyText"/>
        <w:spacing w:line="278" w:lineRule="auto"/>
        <w:ind w:right="604"/>
      </w:pPr>
      <w:r>
        <w:rPr>
          <w:spacing w:val="-2"/>
        </w:rPr>
        <w:t>疾病定义和“12.1.1</w:t>
      </w:r>
      <w:r>
        <w:rPr>
          <w:spacing w:val="-8"/>
        </w:rPr>
        <w:t> 恶性肿瘤——轻度”至“</w:t>
      </w:r>
      <w:r>
        <w:rPr>
          <w:spacing w:val="-2"/>
        </w:rPr>
        <w:t>12.1.3</w:t>
      </w:r>
      <w:r>
        <w:rPr>
          <w:spacing w:val="-8"/>
        </w:rPr>
        <w:t> 轻度脑中风后遗症”</w:t>
      </w:r>
      <w:r>
        <w:rPr>
          <w:spacing w:val="-2"/>
        </w:rPr>
        <w:t>所列轻症疾病定义是根据中国保险行业协会 </w:t>
      </w:r>
      <w:r>
        <w:rPr/>
        <w:t>2020</w:t>
      </w:r>
      <w:r>
        <w:rPr>
          <w:spacing w:val="-12"/>
        </w:rPr>
        <w:t> 年公布的《重大疾病保险</w:t>
      </w:r>
      <w:r>
        <w:rPr/>
        <w:t>的疾病定义使用规范（2020</w:t>
      </w:r>
      <w:r>
        <w:rPr>
          <w:spacing w:val="-10"/>
        </w:rPr>
        <w:t> 年修订版</w:t>
      </w:r>
      <w:r>
        <w:rPr>
          <w:spacing w:val="-106"/>
        </w:rPr>
        <w:t>）</w:t>
      </w:r>
      <w:r>
        <w:rPr/>
        <w:t>》作出，其他疾病由我们增加，其</w:t>
      </w:r>
      <w:r>
        <w:rPr>
          <w:spacing w:val="-2"/>
        </w:rPr>
        <w:t>定义由我们根据通行的医学标准制定。</w:t>
      </w:r>
    </w:p>
    <w:p>
      <w:pPr>
        <w:pStyle w:val="ListParagraph"/>
        <w:numPr>
          <w:ilvl w:val="1"/>
          <w:numId w:val="68"/>
        </w:numPr>
        <w:tabs>
          <w:tab w:pos="1381" w:val="left" w:leader="none"/>
          <w:tab w:pos="1382" w:val="left" w:leader="none"/>
          <w:tab w:pos="3112" w:val="left" w:leader="none"/>
        </w:tabs>
        <w:spacing w:line="383" w:lineRule="exact" w:before="70" w:after="0"/>
        <w:ind w:left="1382" w:right="0" w:hanging="1170"/>
        <w:jc w:val="left"/>
        <w:rPr>
          <w:sz w:val="21"/>
        </w:rPr>
      </w:pPr>
      <w:r>
        <w:rPr>
          <w:rFonts w:ascii="微软雅黑" w:eastAsia="微软雅黑"/>
          <w:b/>
          <w:w w:val="70"/>
          <w:sz w:val="21"/>
        </w:rPr>
        <w:t>TNM</w:t>
      </w:r>
      <w:r>
        <w:rPr>
          <w:rFonts w:ascii="微软雅黑" w:eastAsia="微软雅黑"/>
          <w:b/>
          <w:sz w:val="21"/>
        </w:rPr>
        <w:t> </w:t>
      </w:r>
      <w:r>
        <w:rPr>
          <w:rFonts w:ascii="微软雅黑" w:eastAsia="微软雅黑"/>
          <w:b/>
          <w:w w:val="70"/>
          <w:sz w:val="21"/>
        </w:rPr>
        <w:t>分</w:t>
      </w:r>
      <w:r>
        <w:rPr>
          <w:rFonts w:ascii="微软雅黑" w:eastAsia="微软雅黑"/>
          <w:b/>
          <w:spacing w:val="-10"/>
          <w:w w:val="70"/>
          <w:sz w:val="21"/>
        </w:rPr>
        <w:t>期</w:t>
      </w:r>
      <w:r>
        <w:rPr>
          <w:rFonts w:ascii="微软雅黑" w:eastAsia="微软雅黑"/>
          <w:b/>
          <w:sz w:val="21"/>
        </w:rPr>
        <w:tab/>
      </w:r>
      <w:r>
        <w:rPr>
          <w:spacing w:val="-4"/>
          <w:sz w:val="21"/>
        </w:rPr>
        <w:t>TNM</w:t>
      </w:r>
      <w:r>
        <w:rPr>
          <w:spacing w:val="-34"/>
          <w:sz w:val="21"/>
        </w:rPr>
        <w:t> </w:t>
      </w:r>
      <w:r>
        <w:rPr>
          <w:spacing w:val="-4"/>
          <w:sz w:val="21"/>
        </w:rPr>
        <w:t>分期采用</w:t>
      </w:r>
      <w:r>
        <w:rPr>
          <w:spacing w:val="-31"/>
          <w:sz w:val="21"/>
        </w:rPr>
        <w:t> </w:t>
      </w:r>
      <w:r>
        <w:rPr>
          <w:spacing w:val="-4"/>
          <w:sz w:val="21"/>
        </w:rPr>
        <w:t>AJCC</w:t>
      </w:r>
      <w:r>
        <w:rPr>
          <w:spacing w:val="-33"/>
          <w:sz w:val="21"/>
        </w:rPr>
        <w:t> </w:t>
      </w:r>
      <w:r>
        <w:rPr>
          <w:spacing w:val="-4"/>
          <w:sz w:val="21"/>
        </w:rPr>
        <w:t>癌症分</w:t>
      </w:r>
      <w:r>
        <w:rPr>
          <w:spacing w:val="-4"/>
          <w:sz w:val="21"/>
        </w:rPr>
        <w:t>期</w:t>
      </w:r>
      <w:r>
        <w:rPr>
          <w:spacing w:val="-4"/>
          <w:sz w:val="21"/>
        </w:rPr>
        <w:t>手</w:t>
      </w:r>
      <w:r>
        <w:rPr>
          <w:spacing w:val="-4"/>
          <w:sz w:val="21"/>
        </w:rPr>
        <w:t>册标准。该标准由美</w:t>
      </w:r>
      <w:r>
        <w:rPr>
          <w:spacing w:val="-4"/>
          <w:sz w:val="21"/>
        </w:rPr>
        <w:t>国</w:t>
      </w:r>
      <w:r>
        <w:rPr>
          <w:spacing w:val="-4"/>
          <w:sz w:val="21"/>
        </w:rPr>
        <w:t>癌</w:t>
      </w:r>
      <w:r>
        <w:rPr>
          <w:spacing w:val="-4"/>
          <w:sz w:val="21"/>
        </w:rPr>
        <w:t>症联合委员会与</w:t>
      </w:r>
      <w:r>
        <w:rPr>
          <w:spacing w:val="-10"/>
          <w:sz w:val="21"/>
        </w:rPr>
        <w:t>国</w:t>
      </w:r>
    </w:p>
    <w:p>
      <w:pPr>
        <w:pStyle w:val="BodyText"/>
        <w:spacing w:line="278" w:lineRule="auto"/>
        <w:ind w:right="578"/>
      </w:pPr>
      <w:r>
        <w:rPr>
          <w:spacing w:val="-8"/>
        </w:rPr>
        <w:t>际抗癌联合会 </w:t>
      </w:r>
      <w:r>
        <w:rPr/>
        <w:t>TNM</w:t>
      </w:r>
      <w:r>
        <w:rPr>
          <w:spacing w:val="-13"/>
        </w:rPr>
        <w:t> 委员会联合制定，是目前肿瘤医学分期的国际通用标准。</w:t>
      </w:r>
      <w:r>
        <w:rPr/>
        <w:t> T</w:t>
      </w:r>
      <w:r>
        <w:rPr>
          <w:spacing w:val="-6"/>
        </w:rPr>
        <w:t> 指原发肿瘤的大小、形态等；</w:t>
      </w:r>
      <w:r>
        <w:rPr/>
        <w:t>N</w:t>
      </w:r>
      <w:r>
        <w:rPr>
          <w:spacing w:val="-6"/>
        </w:rPr>
        <w:t> 指淋巴结的转移情况；</w:t>
      </w:r>
      <w:r>
        <w:rPr/>
        <w:t>M</w:t>
      </w:r>
      <w:r>
        <w:rPr>
          <w:spacing w:val="-6"/>
        </w:rPr>
        <w:t> 指有无其他脏器</w:t>
      </w:r>
      <w:r>
        <w:rPr>
          <w:spacing w:val="-2"/>
        </w:rPr>
        <w:t>的转移情况。</w:t>
      </w:r>
    </w:p>
    <w:p>
      <w:pPr>
        <w:spacing w:after="0" w:line="278" w:lineRule="auto"/>
        <w:sectPr>
          <w:pgSz w:w="11910" w:h="16840"/>
          <w:pgMar w:top="1400" w:bottom="280" w:left="920" w:right="440"/>
        </w:sectPr>
      </w:pPr>
    </w:p>
    <w:p>
      <w:pPr>
        <w:pStyle w:val="Heading1"/>
        <w:numPr>
          <w:ilvl w:val="1"/>
          <w:numId w:val="68"/>
        </w:numPr>
        <w:tabs>
          <w:tab w:pos="1381" w:val="left" w:leader="none"/>
          <w:tab w:pos="1382" w:val="left" w:leader="none"/>
        </w:tabs>
        <w:spacing w:line="194" w:lineRule="auto" w:before="125" w:after="0"/>
        <w:ind w:left="1382" w:right="38" w:hanging="1170"/>
        <w:jc w:val="left"/>
      </w:pPr>
      <w:r>
        <w:rPr>
          <w:w w:val="85"/>
        </w:rPr>
        <w:t>甲</w:t>
      </w:r>
      <w:r>
        <w:rPr>
          <w:w w:val="85"/>
        </w:rPr>
        <w:t>状</w:t>
      </w:r>
      <w:r>
        <w:rPr>
          <w:w w:val="85"/>
        </w:rPr>
        <w:t>腺</w:t>
      </w:r>
      <w:r>
        <w:rPr>
          <w:w w:val="85"/>
        </w:rPr>
        <w:t>癌</w:t>
      </w:r>
      <w:r>
        <w:rPr>
          <w:w w:val="85"/>
        </w:rPr>
        <w:t>的</w:t>
      </w:r>
      <w:r>
        <w:rPr>
          <w:spacing w:val="-4"/>
          <w:w w:val="85"/>
        </w:rPr>
        <w:t> </w:t>
      </w:r>
      <w:r>
        <w:rPr>
          <w:w w:val="85"/>
        </w:rPr>
        <w:t>TNM</w:t>
      </w:r>
      <w:r>
        <w:rPr>
          <w:spacing w:val="-6"/>
        </w:rPr>
        <w:t>分期</w:t>
      </w:r>
    </w:p>
    <w:p>
      <w:pPr>
        <w:pStyle w:val="BodyText"/>
        <w:spacing w:line="278" w:lineRule="auto" w:before="140"/>
        <w:ind w:left="212" w:right="683"/>
        <w:jc w:val="both"/>
      </w:pPr>
      <w:r>
        <w:rPr/>
        <w:br w:type="column"/>
      </w:r>
      <w:r>
        <w:rPr>
          <w:w w:val="95"/>
        </w:rPr>
        <w:t>甲</w:t>
      </w:r>
      <w:r>
        <w:rPr>
          <w:w w:val="95"/>
        </w:rPr>
        <w:t>状</w:t>
      </w:r>
      <w:r>
        <w:rPr>
          <w:w w:val="95"/>
        </w:rPr>
        <w:t>腺</w:t>
      </w:r>
      <w:r>
        <w:rPr>
          <w:w w:val="95"/>
        </w:rPr>
        <w:t>癌</w:t>
      </w:r>
      <w:r>
        <w:rPr>
          <w:w w:val="95"/>
        </w:rPr>
        <w:t>的 TNM 分期采用</w:t>
      </w:r>
      <w:r>
        <w:rPr>
          <w:w w:val="95"/>
        </w:rPr>
        <w:t>目</w:t>
      </w:r>
      <w:r>
        <w:rPr>
          <w:w w:val="95"/>
        </w:rPr>
        <w:t>前</w:t>
      </w:r>
      <w:r>
        <w:rPr>
          <w:w w:val="95"/>
        </w:rPr>
        <w:t>现</w:t>
      </w:r>
      <w:r>
        <w:rPr>
          <w:w w:val="95"/>
        </w:rPr>
        <w:t>行</w:t>
      </w:r>
      <w:r>
        <w:rPr>
          <w:w w:val="95"/>
        </w:rPr>
        <w:t>的 AJCC 第八</w:t>
      </w:r>
      <w:r>
        <w:rPr>
          <w:w w:val="95"/>
        </w:rPr>
        <w:t>版</w:t>
      </w:r>
      <w:r>
        <w:rPr>
          <w:w w:val="95"/>
        </w:rPr>
        <w:t>定</w:t>
      </w:r>
      <w:r>
        <w:rPr>
          <w:w w:val="95"/>
        </w:rPr>
        <w:t>义</w:t>
      </w:r>
      <w:r>
        <w:rPr>
          <w:w w:val="95"/>
        </w:rPr>
        <w:t>标</w:t>
      </w:r>
      <w:r>
        <w:rPr>
          <w:spacing w:val="-13"/>
          <w:w w:val="95"/>
        </w:rPr>
        <w:t>准，我国国家卫</w:t>
      </w:r>
      <w:r>
        <w:rPr>
          <w:w w:val="95"/>
        </w:rPr>
        <w:t>生</w:t>
      </w:r>
      <w:r>
        <w:rPr>
          <w:w w:val="95"/>
        </w:rPr>
        <w:t>健</w:t>
      </w:r>
      <w:r>
        <w:rPr>
          <w:w w:val="95"/>
        </w:rPr>
        <w:t>康</w:t>
      </w:r>
      <w:r>
        <w:rPr>
          <w:w w:val="95"/>
        </w:rPr>
        <w:t>委</w:t>
      </w:r>
      <w:r>
        <w:rPr>
          <w:w w:val="95"/>
        </w:rPr>
        <w:t>员</w:t>
      </w:r>
      <w:r>
        <w:rPr>
          <w:w w:val="95"/>
        </w:rPr>
        <w:t>会 2018 年发布的</w:t>
      </w:r>
      <w:r>
        <w:rPr>
          <w:w w:val="95"/>
        </w:rPr>
        <w:t>《</w:t>
      </w:r>
      <w:r>
        <w:rPr>
          <w:w w:val="95"/>
        </w:rPr>
        <w:t>甲</w:t>
      </w:r>
      <w:r>
        <w:rPr>
          <w:w w:val="95"/>
        </w:rPr>
        <w:t>状腺癌诊疗规范（2018 年版</w:t>
      </w:r>
      <w:r>
        <w:rPr>
          <w:spacing w:val="-106"/>
          <w:w w:val="95"/>
        </w:rPr>
        <w:t>）</w:t>
      </w:r>
      <w:r>
        <w:rPr>
          <w:w w:val="95"/>
        </w:rPr>
        <w:t>》也采用此</w:t>
      </w:r>
      <w:r>
        <w:rPr>
          <w:w w:val="95"/>
        </w:rPr>
        <w:t>定</w:t>
      </w:r>
      <w:r>
        <w:rPr>
          <w:spacing w:val="-2"/>
        </w:rPr>
        <w:t>义标准，具体见下：</w:t>
      </w:r>
    </w:p>
    <w:p>
      <w:pPr>
        <w:pStyle w:val="BodyText"/>
        <w:spacing w:line="278" w:lineRule="auto"/>
        <w:ind w:left="212" w:right="1387"/>
      </w:pPr>
      <w:r>
        <w:rPr/>
        <w:t>甲状腺乳头状癌、滤泡癌、低分化癌、Hürthle</w:t>
      </w:r>
      <w:r>
        <w:rPr>
          <w:spacing w:val="-8"/>
        </w:rPr>
        <w:t> 细胞癌和未分化癌</w:t>
      </w:r>
      <w:r>
        <w:rPr/>
        <w:t> </w:t>
      </w:r>
      <w:r>
        <w:rPr>
          <w:spacing w:val="-2"/>
          <w:position w:val="1"/>
        </w:rPr>
        <w:t>pT</w:t>
      </w:r>
      <w:r>
        <w:rPr>
          <w:spacing w:val="-2"/>
          <w:sz w:val="11"/>
        </w:rPr>
        <w:t>X</w:t>
      </w:r>
      <w:r>
        <w:rPr>
          <w:spacing w:val="-2"/>
          <w:position w:val="1"/>
        </w:rPr>
        <w:t>：原发肿瘤不能评估</w:t>
      </w:r>
    </w:p>
    <w:p>
      <w:pPr>
        <w:pStyle w:val="BodyText"/>
        <w:spacing w:line="268" w:lineRule="exact"/>
        <w:ind w:left="212"/>
      </w:pPr>
      <w:r>
        <w:rPr>
          <w:spacing w:val="-2"/>
          <w:position w:val="1"/>
        </w:rPr>
        <w:t>pT</w:t>
      </w:r>
      <w:r>
        <w:rPr>
          <w:spacing w:val="-2"/>
          <w:sz w:val="11"/>
        </w:rPr>
        <w:t>0</w:t>
      </w:r>
      <w:r>
        <w:rPr>
          <w:spacing w:val="-4"/>
          <w:position w:val="1"/>
        </w:rPr>
        <w:t>：无肿瘤证据</w:t>
      </w:r>
    </w:p>
    <w:p>
      <w:pPr>
        <w:pStyle w:val="BodyText"/>
        <w:spacing w:line="278" w:lineRule="auto" w:before="43"/>
        <w:ind w:left="637" w:right="3555" w:hanging="425"/>
      </w:pPr>
      <w:r>
        <w:rPr>
          <w:spacing w:val="-2"/>
          <w:position w:val="1"/>
        </w:rPr>
        <w:t>pT</w:t>
      </w:r>
      <w:r>
        <w:rPr>
          <w:spacing w:val="-2"/>
          <w:sz w:val="11"/>
        </w:rPr>
        <w:t>1</w:t>
      </w:r>
      <w:r>
        <w:rPr>
          <w:spacing w:val="-2"/>
          <w:position w:val="1"/>
        </w:rPr>
        <w:t>：肿瘤局限在甲状腺内，最大径≤2c</w:t>
      </w:r>
      <w:r>
        <w:rPr>
          <w:spacing w:val="-2"/>
          <w:position w:val="1"/>
        </w:rPr>
        <w:t>m </w:t>
      </w:r>
      <w:r>
        <w:rPr>
          <w:position w:val="1"/>
        </w:rPr>
        <w:t>T</w:t>
      </w:r>
      <w:r>
        <w:rPr>
          <w:sz w:val="11"/>
        </w:rPr>
        <w:t>1a</w:t>
      </w:r>
      <w:r>
        <w:rPr>
          <w:spacing w:val="-29"/>
          <w:sz w:val="11"/>
        </w:rPr>
        <w:t> </w:t>
      </w:r>
      <w:r>
        <w:rPr>
          <w:position w:val="1"/>
        </w:rPr>
        <w:t>肿瘤最大径≤1cm</w:t>
      </w:r>
    </w:p>
    <w:p>
      <w:pPr>
        <w:pStyle w:val="BodyText"/>
        <w:spacing w:line="278" w:lineRule="auto"/>
        <w:ind w:left="212" w:right="4443" w:firstLine="424"/>
      </w:pPr>
      <w:r>
        <w:rPr>
          <w:position w:val="1"/>
        </w:rPr>
        <w:t>T</w:t>
      </w:r>
      <w:r>
        <w:rPr>
          <w:sz w:val="11"/>
        </w:rPr>
        <w:t>1b</w:t>
      </w:r>
      <w:r>
        <w:rPr>
          <w:spacing w:val="-29"/>
          <w:sz w:val="11"/>
        </w:rPr>
        <w:t> </w:t>
      </w:r>
      <w:r>
        <w:rPr>
          <w:position w:val="1"/>
        </w:rPr>
        <w:t>肿瘤最大径＞1cm，≤2cm pT</w:t>
      </w:r>
      <w:r>
        <w:rPr>
          <w:sz w:val="11"/>
        </w:rPr>
        <w:t>2</w:t>
      </w:r>
      <w:r>
        <w:rPr>
          <w:spacing w:val="-11"/>
          <w:position w:val="1"/>
        </w:rPr>
        <w:t>：肿瘤 </w:t>
      </w:r>
      <w:r>
        <w:rPr>
          <w:position w:val="1"/>
        </w:rPr>
        <w:t>2～4cm</w:t>
      </w:r>
    </w:p>
    <w:p>
      <w:pPr>
        <w:pStyle w:val="BodyText"/>
        <w:spacing w:line="278" w:lineRule="auto"/>
        <w:ind w:left="212" w:right="1805"/>
      </w:pPr>
      <w:r>
        <w:rPr>
          <w:spacing w:val="-2"/>
          <w:position w:val="1"/>
        </w:rPr>
        <w:t>pT</w:t>
      </w:r>
      <w:r>
        <w:rPr>
          <w:spacing w:val="-2"/>
          <w:sz w:val="11"/>
        </w:rPr>
        <w:t>3</w:t>
      </w:r>
      <w:r>
        <w:rPr>
          <w:spacing w:val="-2"/>
          <w:position w:val="1"/>
        </w:rPr>
        <w:t>：肿瘤＞4cm，局限于甲状腺内或大体侵犯甲状腺外带状肌</w:t>
      </w:r>
      <w:r>
        <w:rPr>
          <w:spacing w:val="-2"/>
          <w:position w:val="1"/>
        </w:rPr>
        <w:t> pT</w:t>
      </w:r>
      <w:r>
        <w:rPr>
          <w:spacing w:val="-2"/>
          <w:sz w:val="11"/>
        </w:rPr>
        <w:t>3a</w:t>
      </w:r>
      <w:r>
        <w:rPr>
          <w:spacing w:val="-2"/>
          <w:position w:val="1"/>
        </w:rPr>
        <w:t>：肿瘤＞4cm，局限于甲状腺内</w:t>
      </w:r>
    </w:p>
    <w:p>
      <w:pPr>
        <w:pStyle w:val="BodyText"/>
        <w:ind w:left="212"/>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left="212" w:right="768" w:firstLine="566"/>
      </w:pPr>
      <w:r>
        <w:rPr>
          <w:spacing w:val="-2"/>
        </w:rPr>
        <w:t>带状肌包括：胸骨舌骨肌、胸骨甲状肌、甲状舌骨肌、肩胛舌骨肌</w:t>
      </w:r>
      <w:r>
        <w:rPr>
          <w:spacing w:val="-2"/>
        </w:rPr>
        <w:t> </w:t>
      </w:r>
      <w:r>
        <w:rPr>
          <w:spacing w:val="-2"/>
          <w:position w:val="1"/>
        </w:rPr>
        <w:t>pT</w:t>
      </w:r>
      <w:r>
        <w:rPr>
          <w:spacing w:val="-2"/>
          <w:sz w:val="11"/>
        </w:rPr>
        <w:t>4</w:t>
      </w:r>
      <w:r>
        <w:rPr>
          <w:spacing w:val="-2"/>
          <w:position w:val="1"/>
        </w:rPr>
        <w:t>：大体侵犯甲状腺外带状肌外</w:t>
      </w:r>
    </w:p>
    <w:p>
      <w:pPr>
        <w:pStyle w:val="BodyText"/>
        <w:spacing w:line="278" w:lineRule="auto"/>
        <w:ind w:left="212" w:right="2697"/>
      </w:pPr>
      <w:r>
        <w:rPr>
          <w:spacing w:val="-2"/>
          <w:position w:val="1"/>
        </w:rPr>
        <w:t>pT</w:t>
      </w:r>
      <w:r>
        <w:rPr>
          <w:spacing w:val="-2"/>
          <w:sz w:val="11"/>
        </w:rPr>
        <w:t>4a</w:t>
      </w:r>
      <w:r>
        <w:rPr>
          <w:spacing w:val="-2"/>
          <w:position w:val="1"/>
        </w:rPr>
        <w:t>：侵犯喉、气管、食管、喉反神经及皮下软组织</w:t>
      </w:r>
      <w:r>
        <w:rPr>
          <w:spacing w:val="-2"/>
          <w:position w:val="1"/>
        </w:rPr>
        <w:t> pT</w:t>
      </w:r>
      <w:r>
        <w:rPr>
          <w:spacing w:val="-2"/>
          <w:sz w:val="11"/>
        </w:rPr>
        <w:t>4b</w:t>
      </w:r>
      <w:r>
        <w:rPr>
          <w:spacing w:val="-2"/>
          <w:position w:val="1"/>
        </w:rPr>
        <w:t>：侵犯椎前筋膜，或包裹颈动脉、纵隔血管</w:t>
      </w:r>
    </w:p>
    <w:p>
      <w:pPr>
        <w:pStyle w:val="BodyText"/>
        <w:ind w:left="212"/>
      </w:pPr>
      <w:r>
        <w:rPr>
          <w:spacing w:val="-4"/>
        </w:rPr>
        <w:t>甲状腺髓样癌</w:t>
      </w:r>
    </w:p>
    <w:p>
      <w:pPr>
        <w:pStyle w:val="BodyText"/>
        <w:spacing w:before="42"/>
        <w:ind w:left="212"/>
      </w:pPr>
      <w:r>
        <w:rPr>
          <w:spacing w:val="-2"/>
          <w:position w:val="1"/>
        </w:rPr>
        <w:t>pT</w:t>
      </w:r>
      <w:r>
        <w:rPr>
          <w:spacing w:val="-2"/>
          <w:sz w:val="11"/>
        </w:rPr>
        <w:t>X</w:t>
      </w:r>
      <w:r>
        <w:rPr>
          <w:spacing w:val="-3"/>
          <w:position w:val="1"/>
        </w:rPr>
        <w:t>：原发肿瘤不能评估</w:t>
      </w:r>
    </w:p>
    <w:p>
      <w:pPr>
        <w:spacing w:after="0"/>
        <w:sectPr>
          <w:type w:val="continuous"/>
          <w:pgSz w:w="11910" w:h="16840"/>
          <w:pgMar w:top="680" w:bottom="280" w:left="920" w:right="440"/>
          <w:cols w:num="2" w:equalWidth="0">
            <w:col w:w="2848" w:space="52"/>
            <w:col w:w="7650"/>
          </w:cols>
        </w:sectPr>
      </w:pPr>
    </w:p>
    <w:p>
      <w:pPr>
        <w:pStyle w:val="BodyText"/>
        <w:spacing w:before="42"/>
      </w:pPr>
      <w:r>
        <w:rPr>
          <w:spacing w:val="-2"/>
          <w:position w:val="1"/>
        </w:rPr>
        <w:t>pT</w:t>
      </w:r>
      <w:r>
        <w:rPr>
          <w:spacing w:val="-2"/>
          <w:sz w:val="11"/>
        </w:rPr>
        <w:t>0</w:t>
      </w:r>
      <w:r>
        <w:rPr>
          <w:spacing w:val="-4"/>
          <w:position w:val="1"/>
        </w:rPr>
        <w:t>：无肿瘤证据</w:t>
      </w:r>
    </w:p>
    <w:p>
      <w:pPr>
        <w:pStyle w:val="BodyText"/>
        <w:spacing w:line="278" w:lineRule="auto" w:before="43"/>
        <w:ind w:left="3537" w:right="3555" w:hanging="425"/>
      </w:pPr>
      <w:r>
        <w:rPr>
          <w:spacing w:val="-2"/>
          <w:position w:val="1"/>
        </w:rPr>
        <w:t>pT</w:t>
      </w:r>
      <w:r>
        <w:rPr>
          <w:spacing w:val="-2"/>
          <w:sz w:val="11"/>
        </w:rPr>
        <w:t>1</w:t>
      </w:r>
      <w:r>
        <w:rPr>
          <w:spacing w:val="-2"/>
          <w:position w:val="1"/>
        </w:rPr>
        <w:t>：肿瘤局限在甲状腺内，最大径≤2c</w:t>
      </w:r>
      <w:r>
        <w:rPr>
          <w:spacing w:val="-2"/>
          <w:position w:val="1"/>
        </w:rPr>
        <w:t>m </w:t>
      </w:r>
      <w:r>
        <w:rPr>
          <w:position w:val="1"/>
        </w:rPr>
        <w:t>T</w:t>
      </w:r>
      <w:r>
        <w:rPr>
          <w:sz w:val="11"/>
        </w:rPr>
        <w:t>1a</w:t>
      </w:r>
      <w:r>
        <w:rPr>
          <w:spacing w:val="-29"/>
          <w:sz w:val="11"/>
        </w:rPr>
        <w:t> </w:t>
      </w:r>
      <w:r>
        <w:rPr>
          <w:position w:val="1"/>
        </w:rPr>
        <w:t>肿瘤最大径≤1cm</w:t>
      </w:r>
    </w:p>
    <w:p>
      <w:pPr>
        <w:pStyle w:val="BodyText"/>
        <w:spacing w:line="278" w:lineRule="auto"/>
        <w:ind w:right="4277" w:firstLine="424"/>
      </w:pPr>
      <w:r>
        <w:rPr>
          <w:spacing w:val="-2"/>
          <w:position w:val="1"/>
        </w:rPr>
        <w:t>T</w:t>
      </w:r>
      <w:r>
        <w:rPr>
          <w:spacing w:val="-2"/>
          <w:sz w:val="11"/>
        </w:rPr>
        <w:t>1b</w:t>
      </w:r>
      <w:r>
        <w:rPr>
          <w:spacing w:val="-29"/>
          <w:sz w:val="11"/>
        </w:rPr>
        <w:t> </w:t>
      </w:r>
      <w:r>
        <w:rPr>
          <w:spacing w:val="-2"/>
          <w:position w:val="1"/>
        </w:rPr>
        <w:t>肿瘤最大径＞1cm，≤2cm </w:t>
      </w:r>
      <w:r>
        <w:rPr>
          <w:position w:val="1"/>
        </w:rPr>
        <w:t>pT</w:t>
      </w:r>
      <w:r>
        <w:rPr>
          <w:sz w:val="11"/>
        </w:rPr>
        <w:t>2</w:t>
      </w:r>
      <w:r>
        <w:rPr>
          <w:spacing w:val="-11"/>
          <w:position w:val="1"/>
        </w:rPr>
        <w:t>：肿瘤 </w:t>
      </w:r>
      <w:r>
        <w:rPr>
          <w:position w:val="1"/>
        </w:rPr>
        <w:t>2～4cm</w:t>
      </w:r>
    </w:p>
    <w:p>
      <w:pPr>
        <w:pStyle w:val="BodyText"/>
        <w:spacing w:line="278" w:lineRule="auto"/>
        <w:ind w:right="1805"/>
      </w:pPr>
      <w:r>
        <w:rPr>
          <w:spacing w:val="-2"/>
          <w:position w:val="1"/>
        </w:rPr>
        <w:t>pT</w:t>
      </w:r>
      <w:r>
        <w:rPr>
          <w:spacing w:val="-2"/>
          <w:sz w:val="11"/>
        </w:rPr>
        <w:t>3</w:t>
      </w:r>
      <w:r>
        <w:rPr>
          <w:spacing w:val="-2"/>
          <w:position w:val="1"/>
        </w:rPr>
        <w:t>：肿瘤＞4cm，局限于甲状腺内或大体侵犯甲状腺外带状肌</w:t>
      </w:r>
      <w:r>
        <w:rPr>
          <w:spacing w:val="-2"/>
          <w:position w:val="1"/>
        </w:rPr>
        <w:t> pT</w:t>
      </w:r>
      <w:r>
        <w:rPr>
          <w:spacing w:val="-2"/>
          <w:sz w:val="11"/>
        </w:rPr>
        <w:t>3a</w:t>
      </w:r>
      <w:r>
        <w:rPr>
          <w:spacing w:val="-2"/>
          <w:position w:val="1"/>
        </w:rPr>
        <w:t>：肿瘤＞4cm，局限于甲状腺内</w:t>
      </w:r>
    </w:p>
    <w:p>
      <w:pPr>
        <w:pStyle w:val="BodyText"/>
        <w:spacing w:line="269" w:lineRule="exact"/>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right="768" w:firstLine="566"/>
      </w:pPr>
      <w:r>
        <w:rPr>
          <w:spacing w:val="-2"/>
        </w:rPr>
        <w:t>带状肌包括：胸骨舌骨肌、胸骨甲状肌、甲状舌骨肌、肩胛舌骨肌</w:t>
      </w:r>
      <w:r>
        <w:rPr>
          <w:spacing w:val="-2"/>
        </w:rPr>
        <w:t> </w:t>
      </w:r>
      <w:r>
        <w:rPr>
          <w:spacing w:val="-2"/>
          <w:position w:val="1"/>
        </w:rPr>
        <w:t>pT</w:t>
      </w:r>
      <w:r>
        <w:rPr>
          <w:spacing w:val="-2"/>
          <w:sz w:val="11"/>
        </w:rPr>
        <w:t>4</w:t>
      </w:r>
      <w:r>
        <w:rPr>
          <w:spacing w:val="-2"/>
          <w:position w:val="1"/>
        </w:rPr>
        <w:t>：进展期病变</w:t>
      </w:r>
    </w:p>
    <w:p>
      <w:pPr>
        <w:pStyle w:val="BodyText"/>
        <w:spacing w:line="278" w:lineRule="auto"/>
        <w:ind w:right="597"/>
      </w:pPr>
      <w:r>
        <w:rPr>
          <w:spacing w:val="-2"/>
          <w:position w:val="1"/>
        </w:rPr>
        <w:t>pT</w:t>
      </w:r>
      <w:r>
        <w:rPr>
          <w:spacing w:val="-2"/>
          <w:sz w:val="11"/>
        </w:rPr>
        <w:t>4a</w:t>
      </w:r>
      <w:r>
        <w:rPr>
          <w:spacing w:val="-2"/>
          <w:position w:val="1"/>
        </w:rPr>
        <w:t>：中度进展，任何大小的肿瘤，侵犯甲状腺外颈部周围器官和软组织，</w:t>
      </w:r>
      <w:r>
        <w:rPr>
          <w:spacing w:val="-2"/>
        </w:rPr>
        <w:t>如喉、气管、食管、喉反神经及皮下软组织</w:t>
      </w:r>
    </w:p>
    <w:p>
      <w:pPr>
        <w:pStyle w:val="BodyText"/>
        <w:spacing w:line="278" w:lineRule="auto"/>
        <w:ind w:right="684"/>
      </w:pPr>
      <w:r>
        <w:rPr>
          <w:spacing w:val="-4"/>
          <w:position w:val="1"/>
        </w:rPr>
        <w:t>pT</w:t>
      </w:r>
      <w:r>
        <w:rPr>
          <w:spacing w:val="-4"/>
          <w:sz w:val="11"/>
        </w:rPr>
        <w:t>4b</w:t>
      </w:r>
      <w:r>
        <w:rPr>
          <w:spacing w:val="-4"/>
          <w:position w:val="1"/>
        </w:rPr>
        <w:t>：重度进展，任何大小的肿瘤，侵犯椎前筋膜，或包裹颈动脉、纵隔血</w:t>
      </w:r>
      <w:r>
        <w:rPr>
          <w:spacing w:val="-10"/>
        </w:rPr>
        <w:t>管</w:t>
      </w:r>
    </w:p>
    <w:p>
      <w:pPr>
        <w:pStyle w:val="BodyText"/>
        <w:spacing w:line="278" w:lineRule="auto"/>
        <w:ind w:right="4277"/>
      </w:pPr>
      <w:r>
        <w:rPr>
          <w:spacing w:val="-2"/>
        </w:rPr>
        <w:t>区域淋巴结：适用于所有甲状腺癌 </w:t>
      </w:r>
      <w:r>
        <w:rPr>
          <w:spacing w:val="-2"/>
          <w:position w:val="1"/>
        </w:rPr>
        <w:t>pN</w:t>
      </w:r>
      <w:r>
        <w:rPr>
          <w:spacing w:val="-2"/>
          <w:sz w:val="11"/>
        </w:rPr>
        <w:t>x</w:t>
      </w:r>
      <w:r>
        <w:rPr>
          <w:spacing w:val="-2"/>
          <w:position w:val="1"/>
        </w:rPr>
        <w:t>：区域淋巴结无法评估</w:t>
      </w:r>
    </w:p>
    <w:p>
      <w:pPr>
        <w:pStyle w:val="BodyText"/>
        <w:spacing w:line="278" w:lineRule="auto"/>
        <w:ind w:right="5273"/>
      </w:pPr>
      <w:r>
        <w:rPr>
          <w:spacing w:val="-2"/>
          <w:position w:val="1"/>
        </w:rPr>
        <w:t>pN</w:t>
      </w:r>
      <w:r>
        <w:rPr>
          <w:spacing w:val="-2"/>
          <w:sz w:val="11"/>
        </w:rPr>
        <w:t>0</w:t>
      </w:r>
      <w:r>
        <w:rPr>
          <w:spacing w:val="-2"/>
          <w:position w:val="1"/>
        </w:rPr>
        <w:t>：无淋巴结转移证据 pN</w:t>
      </w:r>
      <w:r>
        <w:rPr>
          <w:spacing w:val="-2"/>
          <w:sz w:val="11"/>
        </w:rPr>
        <w:t>1</w:t>
      </w:r>
      <w:r>
        <w:rPr>
          <w:spacing w:val="-2"/>
          <w:position w:val="1"/>
        </w:rPr>
        <w:t>：区域淋巴结转移</w:t>
      </w:r>
    </w:p>
    <w:p>
      <w:pPr>
        <w:pStyle w:val="BodyText"/>
        <w:spacing w:line="278" w:lineRule="auto"/>
        <w:ind w:right="652"/>
      </w:pPr>
      <w:r>
        <w:rPr>
          <w:position w:val="1"/>
        </w:rPr>
        <w:t>pN</w:t>
      </w:r>
      <w:r>
        <w:rPr>
          <w:sz w:val="11"/>
        </w:rPr>
        <w:t>1a</w:t>
      </w:r>
      <w:r>
        <w:rPr>
          <w:position w:val="1"/>
        </w:rPr>
        <w:t>：转移至Ⅵ、Ⅶ区（包括气管旁、气管前、喉前/Delphian</w:t>
      </w:r>
      <w:r>
        <w:rPr>
          <w:spacing w:val="-12"/>
          <w:position w:val="1"/>
        </w:rPr>
        <w:t> 或上纵隔</w:t>
      </w:r>
      <w:r>
        <w:rPr>
          <w:position w:val="1"/>
        </w:rPr>
        <w:t>）</w:t>
      </w:r>
      <w:r>
        <w:rPr>
          <w:spacing w:val="-2"/>
        </w:rPr>
        <w:t>淋巴结，可以为单侧或双侧。</w:t>
      </w:r>
    </w:p>
    <w:p>
      <w:pPr>
        <w:pStyle w:val="BodyText"/>
        <w:spacing w:line="278" w:lineRule="auto"/>
        <w:ind w:right="684"/>
      </w:pPr>
      <w:r>
        <w:rPr>
          <w:spacing w:val="-4"/>
          <w:position w:val="1"/>
        </w:rPr>
        <w:t>pN</w:t>
      </w:r>
      <w:r>
        <w:rPr>
          <w:spacing w:val="-4"/>
          <w:sz w:val="11"/>
        </w:rPr>
        <w:t>1b</w:t>
      </w:r>
      <w:r>
        <w:rPr>
          <w:spacing w:val="-4"/>
          <w:position w:val="1"/>
        </w:rPr>
        <w:t>：单侧、双侧或对侧颈淋巴结转移（包括Ⅰ、Ⅱ、Ⅲ、Ⅳ或Ⅴ区）淋巴</w:t>
      </w:r>
      <w:r>
        <w:rPr>
          <w:spacing w:val="-2"/>
        </w:rPr>
        <w:t>结或咽后淋巴结转移。</w:t>
      </w:r>
    </w:p>
    <w:p>
      <w:pPr>
        <w:pStyle w:val="BodyText"/>
        <w:spacing w:line="278" w:lineRule="auto"/>
        <w:ind w:right="4486"/>
      </w:pPr>
      <w:r>
        <w:rPr>
          <w:spacing w:val="-2"/>
        </w:rPr>
        <w:t>远处转移：适用于所有甲状腺癌 </w:t>
      </w:r>
      <w:r>
        <w:rPr>
          <w:spacing w:val="-2"/>
          <w:position w:val="1"/>
        </w:rPr>
        <w:t>M</w:t>
      </w:r>
      <w:r>
        <w:rPr>
          <w:spacing w:val="-2"/>
          <w:sz w:val="11"/>
        </w:rPr>
        <w:t>0</w:t>
      </w:r>
      <w:r>
        <w:rPr>
          <w:spacing w:val="-2"/>
          <w:position w:val="1"/>
        </w:rPr>
        <w:t>：无远处转移</w:t>
      </w:r>
    </w:p>
    <w:p>
      <w:pPr>
        <w:pStyle w:val="BodyText"/>
        <w:spacing w:line="268" w:lineRule="exact" w:after="21"/>
      </w:pPr>
      <w:r>
        <w:rPr>
          <w:spacing w:val="-2"/>
          <w:position w:val="1"/>
        </w:rPr>
        <w:t>M</w:t>
      </w:r>
      <w:r>
        <w:rPr>
          <w:spacing w:val="-2"/>
          <w:sz w:val="11"/>
        </w:rPr>
        <w:t>1</w:t>
      </w:r>
      <w:r>
        <w:rPr>
          <w:spacing w:val="-4"/>
          <w:position w:val="1"/>
        </w:rPr>
        <w:t>：有远处转移</w:t>
      </w:r>
    </w:p>
    <w:tbl>
      <w:tblPr>
        <w:tblW w:w="0" w:type="auto"/>
        <w:jc w:val="left"/>
        <w:tblInd w:w="3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96"/>
        <w:gridCol w:w="1455"/>
        <w:gridCol w:w="1285"/>
        <w:gridCol w:w="1301"/>
      </w:tblGrid>
      <w:tr>
        <w:trPr>
          <w:trHeight w:val="311" w:hRule="atLeast"/>
        </w:trPr>
        <w:tc>
          <w:tcPr>
            <w:tcW w:w="6737" w:type="dxa"/>
            <w:gridSpan w:val="4"/>
          </w:tcPr>
          <w:p>
            <w:pPr>
              <w:pStyle w:val="TableParagraph"/>
              <w:spacing w:before="22"/>
              <w:ind w:left="107"/>
              <w:rPr>
                <w:sz w:val="21"/>
              </w:rPr>
            </w:pPr>
            <w:r>
              <w:rPr>
                <w:spacing w:val="-2"/>
                <w:sz w:val="21"/>
              </w:rPr>
              <w:t>乳头状或滤泡状癌（分化型</w:t>
            </w:r>
            <w:r>
              <w:rPr>
                <w:spacing w:val="-10"/>
                <w:sz w:val="21"/>
              </w:rPr>
              <w:t>）</w:t>
            </w:r>
          </w:p>
        </w:tc>
      </w:tr>
      <w:tr>
        <w:trPr>
          <w:trHeight w:val="311" w:hRule="atLeast"/>
        </w:trPr>
        <w:tc>
          <w:tcPr>
            <w:tcW w:w="6737" w:type="dxa"/>
            <w:gridSpan w:val="4"/>
          </w:tcPr>
          <w:p>
            <w:pPr>
              <w:pStyle w:val="TableParagraph"/>
              <w:spacing w:before="22"/>
              <w:ind w:left="107"/>
              <w:rPr>
                <w:sz w:val="21"/>
              </w:rPr>
            </w:pPr>
            <w:r>
              <w:rPr>
                <w:spacing w:val="-2"/>
                <w:sz w:val="21"/>
              </w:rPr>
              <w:t>年龄＜55</w:t>
            </w:r>
            <w:r>
              <w:rPr>
                <w:spacing w:val="-29"/>
                <w:sz w:val="21"/>
              </w:rPr>
              <w:t> 岁</w:t>
            </w:r>
          </w:p>
        </w:tc>
      </w:tr>
      <w:tr>
        <w:trPr>
          <w:trHeight w:val="311" w:hRule="atLeast"/>
        </w:trPr>
        <w:tc>
          <w:tcPr>
            <w:tcW w:w="2696" w:type="dxa"/>
          </w:tcPr>
          <w:p>
            <w:pPr>
              <w:pStyle w:val="TableParagraph"/>
              <w:rPr>
                <w:rFonts w:ascii="Times New Roman"/>
                <w:sz w:val="20"/>
              </w:rPr>
            </w:pPr>
          </w:p>
        </w:tc>
        <w:tc>
          <w:tcPr>
            <w:tcW w:w="1455" w:type="dxa"/>
          </w:tcPr>
          <w:p>
            <w:pPr>
              <w:pStyle w:val="TableParagraph"/>
              <w:spacing w:before="22"/>
              <w:ind w:left="107"/>
              <w:rPr>
                <w:sz w:val="21"/>
              </w:rPr>
            </w:pPr>
            <w:r>
              <w:rPr>
                <w:w w:val="100"/>
                <w:sz w:val="21"/>
              </w:rPr>
              <w:t>T</w:t>
            </w:r>
          </w:p>
        </w:tc>
        <w:tc>
          <w:tcPr>
            <w:tcW w:w="1285" w:type="dxa"/>
          </w:tcPr>
          <w:p>
            <w:pPr>
              <w:pStyle w:val="TableParagraph"/>
              <w:spacing w:before="22"/>
              <w:ind w:left="106"/>
              <w:rPr>
                <w:sz w:val="21"/>
              </w:rPr>
            </w:pPr>
            <w:r>
              <w:rPr>
                <w:w w:val="100"/>
                <w:sz w:val="21"/>
              </w:rPr>
              <w:t>N</w:t>
            </w:r>
          </w:p>
        </w:tc>
        <w:tc>
          <w:tcPr>
            <w:tcW w:w="1301" w:type="dxa"/>
          </w:tcPr>
          <w:p>
            <w:pPr>
              <w:pStyle w:val="TableParagraph"/>
              <w:spacing w:before="22"/>
              <w:ind w:left="106"/>
              <w:rPr>
                <w:sz w:val="21"/>
              </w:rPr>
            </w:pPr>
            <w:r>
              <w:rPr>
                <w:w w:val="100"/>
                <w:sz w:val="21"/>
              </w:rPr>
              <w:t>M</w:t>
            </w:r>
          </w:p>
        </w:tc>
      </w:tr>
      <w:tr>
        <w:trPr>
          <w:trHeight w:val="311" w:hRule="atLeast"/>
        </w:trPr>
        <w:tc>
          <w:tcPr>
            <w:tcW w:w="2696" w:type="dxa"/>
          </w:tcPr>
          <w:p>
            <w:pPr>
              <w:pStyle w:val="TableParagraph"/>
              <w:spacing w:before="22"/>
              <w:ind w:left="107"/>
              <w:rPr>
                <w:sz w:val="21"/>
              </w:rPr>
            </w:pPr>
            <w:r>
              <w:rPr>
                <w:spacing w:val="-5"/>
                <w:sz w:val="21"/>
              </w:rPr>
              <w:t>Ⅰ期</w:t>
            </w:r>
          </w:p>
        </w:tc>
        <w:tc>
          <w:tcPr>
            <w:tcW w:w="1455" w:type="dxa"/>
          </w:tcPr>
          <w:p>
            <w:pPr>
              <w:pStyle w:val="TableParagraph"/>
              <w:spacing w:before="22"/>
              <w:ind w:left="107"/>
              <w:rPr>
                <w:sz w:val="21"/>
              </w:rPr>
            </w:pPr>
            <w:r>
              <w:rPr>
                <w:spacing w:val="-5"/>
                <w:sz w:val="21"/>
              </w:rPr>
              <w:t>任何</w:t>
            </w:r>
          </w:p>
        </w:tc>
        <w:tc>
          <w:tcPr>
            <w:tcW w:w="1285" w:type="dxa"/>
          </w:tcPr>
          <w:p>
            <w:pPr>
              <w:pStyle w:val="TableParagraph"/>
              <w:spacing w:before="22"/>
              <w:ind w:left="106"/>
              <w:rPr>
                <w:sz w:val="21"/>
              </w:rPr>
            </w:pPr>
            <w:r>
              <w:rPr>
                <w:spacing w:val="-5"/>
                <w:sz w:val="21"/>
              </w:rPr>
              <w:t>任何</w:t>
            </w:r>
          </w:p>
        </w:tc>
        <w:tc>
          <w:tcPr>
            <w:tcW w:w="1301" w:type="dxa"/>
          </w:tcPr>
          <w:p>
            <w:pPr>
              <w:pStyle w:val="TableParagraph"/>
              <w:spacing w:before="22"/>
              <w:ind w:left="106"/>
              <w:rPr>
                <w:sz w:val="21"/>
              </w:rPr>
            </w:pPr>
            <w:r>
              <w:rPr>
                <w:w w:val="100"/>
                <w:sz w:val="21"/>
              </w:rPr>
              <w:t>0</w:t>
            </w:r>
          </w:p>
        </w:tc>
      </w:tr>
      <w:tr>
        <w:trPr>
          <w:trHeight w:val="314" w:hRule="atLeast"/>
        </w:trPr>
        <w:tc>
          <w:tcPr>
            <w:tcW w:w="2696" w:type="dxa"/>
          </w:tcPr>
          <w:p>
            <w:pPr>
              <w:pStyle w:val="TableParagraph"/>
              <w:spacing w:before="25"/>
              <w:ind w:left="107"/>
              <w:rPr>
                <w:sz w:val="21"/>
              </w:rPr>
            </w:pPr>
            <w:r>
              <w:rPr>
                <w:spacing w:val="-5"/>
                <w:sz w:val="21"/>
              </w:rPr>
              <w:t>Ⅱ期</w:t>
            </w:r>
          </w:p>
        </w:tc>
        <w:tc>
          <w:tcPr>
            <w:tcW w:w="1455" w:type="dxa"/>
          </w:tcPr>
          <w:p>
            <w:pPr>
              <w:pStyle w:val="TableParagraph"/>
              <w:spacing w:before="25"/>
              <w:ind w:left="107"/>
              <w:rPr>
                <w:sz w:val="21"/>
              </w:rPr>
            </w:pPr>
            <w:r>
              <w:rPr>
                <w:spacing w:val="-5"/>
                <w:sz w:val="21"/>
              </w:rPr>
              <w:t>任何</w:t>
            </w:r>
          </w:p>
        </w:tc>
        <w:tc>
          <w:tcPr>
            <w:tcW w:w="1285" w:type="dxa"/>
          </w:tcPr>
          <w:p>
            <w:pPr>
              <w:pStyle w:val="TableParagraph"/>
              <w:spacing w:before="25"/>
              <w:ind w:left="106"/>
              <w:rPr>
                <w:sz w:val="21"/>
              </w:rPr>
            </w:pPr>
            <w:r>
              <w:rPr>
                <w:spacing w:val="-5"/>
                <w:sz w:val="21"/>
              </w:rPr>
              <w:t>任何</w:t>
            </w:r>
          </w:p>
        </w:tc>
        <w:tc>
          <w:tcPr>
            <w:tcW w:w="1301" w:type="dxa"/>
          </w:tcPr>
          <w:p>
            <w:pPr>
              <w:pStyle w:val="TableParagraph"/>
              <w:spacing w:before="25"/>
              <w:ind w:left="106"/>
              <w:rPr>
                <w:sz w:val="21"/>
              </w:rPr>
            </w:pPr>
            <w:r>
              <w:rPr>
                <w:w w:val="100"/>
                <w:sz w:val="21"/>
              </w:rPr>
              <w:t>1</w:t>
            </w:r>
          </w:p>
        </w:tc>
      </w:tr>
      <w:tr>
        <w:trPr>
          <w:trHeight w:val="311" w:hRule="atLeast"/>
        </w:trPr>
        <w:tc>
          <w:tcPr>
            <w:tcW w:w="6737" w:type="dxa"/>
            <w:gridSpan w:val="4"/>
          </w:tcPr>
          <w:p>
            <w:pPr>
              <w:pStyle w:val="TableParagraph"/>
              <w:spacing w:before="22"/>
              <w:ind w:left="107"/>
              <w:rPr>
                <w:sz w:val="21"/>
              </w:rPr>
            </w:pPr>
            <w:r>
              <w:rPr>
                <w:spacing w:val="-2"/>
                <w:sz w:val="21"/>
              </w:rPr>
              <w:t>年龄≥55</w:t>
            </w:r>
            <w:r>
              <w:rPr>
                <w:spacing w:val="-29"/>
                <w:sz w:val="21"/>
              </w:rPr>
              <w:t> 岁</w:t>
            </w:r>
          </w:p>
        </w:tc>
      </w:tr>
      <w:tr>
        <w:trPr>
          <w:trHeight w:val="311" w:hRule="atLeast"/>
        </w:trPr>
        <w:tc>
          <w:tcPr>
            <w:tcW w:w="2696" w:type="dxa"/>
            <w:vMerge w:val="restart"/>
          </w:tcPr>
          <w:p>
            <w:pPr>
              <w:pStyle w:val="TableParagraph"/>
              <w:spacing w:before="4"/>
              <w:rPr>
                <w:sz w:val="14"/>
              </w:rPr>
            </w:pPr>
          </w:p>
          <w:p>
            <w:pPr>
              <w:pStyle w:val="TableParagraph"/>
              <w:ind w:left="107"/>
              <w:rPr>
                <w:sz w:val="21"/>
              </w:rPr>
            </w:pPr>
            <w:r>
              <w:rPr>
                <w:spacing w:val="-5"/>
                <w:sz w:val="21"/>
              </w:rPr>
              <w:t>Ⅰ期</w:t>
            </w:r>
          </w:p>
        </w:tc>
        <w:tc>
          <w:tcPr>
            <w:tcW w:w="1455" w:type="dxa"/>
          </w:tcPr>
          <w:p>
            <w:pPr>
              <w:pStyle w:val="TableParagraph"/>
              <w:spacing w:before="22"/>
              <w:ind w:left="107"/>
              <w:rPr>
                <w:sz w:val="21"/>
              </w:rPr>
            </w:pPr>
            <w:r>
              <w:rPr>
                <w:w w:val="100"/>
                <w:sz w:val="21"/>
              </w:rPr>
              <w:t>1</w:t>
            </w:r>
          </w:p>
        </w:tc>
        <w:tc>
          <w:tcPr>
            <w:tcW w:w="1285" w:type="dxa"/>
          </w:tcPr>
          <w:p>
            <w:pPr>
              <w:pStyle w:val="TableParagraph"/>
              <w:spacing w:before="22"/>
              <w:ind w:left="106"/>
              <w:rPr>
                <w:sz w:val="21"/>
              </w:rPr>
            </w:pPr>
            <w:r>
              <w:rPr>
                <w:spacing w:val="-5"/>
                <w:sz w:val="21"/>
              </w:rPr>
              <w:t>0/x</w:t>
            </w:r>
          </w:p>
        </w:tc>
        <w:tc>
          <w:tcPr>
            <w:tcW w:w="1301" w:type="dxa"/>
          </w:tcPr>
          <w:p>
            <w:pPr>
              <w:pStyle w:val="TableParagraph"/>
              <w:spacing w:before="22"/>
              <w:ind w:left="106"/>
              <w:rPr>
                <w:sz w:val="21"/>
              </w:rPr>
            </w:pPr>
            <w:r>
              <w:rPr>
                <w:w w:val="100"/>
                <w:sz w:val="21"/>
              </w:rPr>
              <w:t>0</w:t>
            </w:r>
          </w:p>
        </w:tc>
      </w:tr>
      <w:tr>
        <w:trPr>
          <w:trHeight w:val="311" w:hRule="atLeast"/>
        </w:trPr>
        <w:tc>
          <w:tcPr>
            <w:tcW w:w="2696" w:type="dxa"/>
            <w:vMerge/>
            <w:tcBorders>
              <w:top w:val="nil"/>
            </w:tcBorders>
          </w:tcPr>
          <w:p>
            <w:pPr>
              <w:rPr>
                <w:sz w:val="2"/>
                <w:szCs w:val="2"/>
              </w:rPr>
            </w:pPr>
          </w:p>
        </w:tc>
        <w:tc>
          <w:tcPr>
            <w:tcW w:w="1455" w:type="dxa"/>
          </w:tcPr>
          <w:p>
            <w:pPr>
              <w:pStyle w:val="TableParagraph"/>
              <w:spacing w:before="22"/>
              <w:ind w:left="107"/>
              <w:rPr>
                <w:sz w:val="21"/>
              </w:rPr>
            </w:pPr>
            <w:r>
              <w:rPr>
                <w:w w:val="100"/>
                <w:sz w:val="21"/>
              </w:rPr>
              <w:t>2</w:t>
            </w:r>
          </w:p>
        </w:tc>
        <w:tc>
          <w:tcPr>
            <w:tcW w:w="1285" w:type="dxa"/>
          </w:tcPr>
          <w:p>
            <w:pPr>
              <w:pStyle w:val="TableParagraph"/>
              <w:spacing w:before="22"/>
              <w:ind w:left="106"/>
              <w:rPr>
                <w:sz w:val="21"/>
              </w:rPr>
            </w:pPr>
            <w:r>
              <w:rPr>
                <w:spacing w:val="-5"/>
                <w:sz w:val="21"/>
              </w:rPr>
              <w:t>0/x</w:t>
            </w:r>
          </w:p>
        </w:tc>
        <w:tc>
          <w:tcPr>
            <w:tcW w:w="1301" w:type="dxa"/>
          </w:tcPr>
          <w:p>
            <w:pPr>
              <w:pStyle w:val="TableParagraph"/>
              <w:spacing w:before="22"/>
              <w:ind w:left="106"/>
              <w:rPr>
                <w:sz w:val="21"/>
              </w:rPr>
            </w:pPr>
            <w:r>
              <w:rPr>
                <w:w w:val="100"/>
                <w:sz w:val="21"/>
              </w:rPr>
              <w:t>0</w:t>
            </w:r>
          </w:p>
        </w:tc>
      </w:tr>
      <w:tr>
        <w:trPr>
          <w:trHeight w:val="311" w:hRule="atLeast"/>
        </w:trPr>
        <w:tc>
          <w:tcPr>
            <w:tcW w:w="2696" w:type="dxa"/>
            <w:vMerge w:val="restart"/>
          </w:tcPr>
          <w:p>
            <w:pPr>
              <w:pStyle w:val="TableParagraph"/>
              <w:spacing w:before="4"/>
              <w:rPr>
                <w:sz w:val="14"/>
              </w:rPr>
            </w:pPr>
          </w:p>
          <w:p>
            <w:pPr>
              <w:pStyle w:val="TableParagraph"/>
              <w:ind w:left="107"/>
              <w:rPr>
                <w:sz w:val="21"/>
              </w:rPr>
            </w:pPr>
            <w:r>
              <w:rPr>
                <w:spacing w:val="-5"/>
                <w:sz w:val="21"/>
              </w:rPr>
              <w:t>Ⅱ期</w:t>
            </w:r>
          </w:p>
        </w:tc>
        <w:tc>
          <w:tcPr>
            <w:tcW w:w="1455" w:type="dxa"/>
          </w:tcPr>
          <w:p>
            <w:pPr>
              <w:pStyle w:val="TableParagraph"/>
              <w:spacing w:before="22"/>
              <w:ind w:left="107"/>
              <w:rPr>
                <w:sz w:val="21"/>
              </w:rPr>
            </w:pPr>
            <w:r>
              <w:rPr>
                <w:spacing w:val="-5"/>
                <w:sz w:val="21"/>
              </w:rPr>
              <w:t>1～2</w:t>
            </w:r>
          </w:p>
        </w:tc>
        <w:tc>
          <w:tcPr>
            <w:tcW w:w="1285" w:type="dxa"/>
          </w:tcPr>
          <w:p>
            <w:pPr>
              <w:pStyle w:val="TableParagraph"/>
              <w:spacing w:before="22"/>
              <w:ind w:left="106"/>
              <w:rPr>
                <w:sz w:val="21"/>
              </w:rPr>
            </w:pPr>
            <w:r>
              <w:rPr>
                <w:w w:val="100"/>
                <w:sz w:val="21"/>
              </w:rPr>
              <w:t>1</w:t>
            </w:r>
          </w:p>
        </w:tc>
        <w:tc>
          <w:tcPr>
            <w:tcW w:w="1301" w:type="dxa"/>
          </w:tcPr>
          <w:p>
            <w:pPr>
              <w:pStyle w:val="TableParagraph"/>
              <w:spacing w:before="22"/>
              <w:ind w:left="106"/>
              <w:rPr>
                <w:sz w:val="21"/>
              </w:rPr>
            </w:pPr>
            <w:r>
              <w:rPr>
                <w:w w:val="100"/>
                <w:sz w:val="21"/>
              </w:rPr>
              <w:t>0</w:t>
            </w:r>
          </w:p>
        </w:tc>
      </w:tr>
      <w:tr>
        <w:trPr>
          <w:trHeight w:val="311" w:hRule="atLeast"/>
        </w:trPr>
        <w:tc>
          <w:tcPr>
            <w:tcW w:w="2696" w:type="dxa"/>
            <w:vMerge/>
            <w:tcBorders>
              <w:top w:val="nil"/>
            </w:tcBorders>
          </w:tcPr>
          <w:p>
            <w:pPr>
              <w:rPr>
                <w:sz w:val="2"/>
                <w:szCs w:val="2"/>
              </w:rPr>
            </w:pPr>
          </w:p>
        </w:tc>
        <w:tc>
          <w:tcPr>
            <w:tcW w:w="1455" w:type="dxa"/>
          </w:tcPr>
          <w:p>
            <w:pPr>
              <w:pStyle w:val="TableParagraph"/>
              <w:spacing w:before="22"/>
              <w:ind w:left="107"/>
              <w:rPr>
                <w:sz w:val="21"/>
              </w:rPr>
            </w:pPr>
            <w:r>
              <w:rPr>
                <w:spacing w:val="-2"/>
                <w:sz w:val="21"/>
              </w:rPr>
              <w:t>3a～3b</w:t>
            </w:r>
          </w:p>
        </w:tc>
        <w:tc>
          <w:tcPr>
            <w:tcW w:w="1285" w:type="dxa"/>
          </w:tcPr>
          <w:p>
            <w:pPr>
              <w:pStyle w:val="TableParagraph"/>
              <w:spacing w:before="22"/>
              <w:ind w:left="106"/>
              <w:rPr>
                <w:sz w:val="21"/>
              </w:rPr>
            </w:pPr>
            <w:r>
              <w:rPr>
                <w:spacing w:val="-5"/>
                <w:sz w:val="21"/>
              </w:rPr>
              <w:t>任何</w:t>
            </w:r>
          </w:p>
        </w:tc>
        <w:tc>
          <w:tcPr>
            <w:tcW w:w="1301" w:type="dxa"/>
          </w:tcPr>
          <w:p>
            <w:pPr>
              <w:pStyle w:val="TableParagraph"/>
              <w:spacing w:before="22"/>
              <w:ind w:left="106"/>
              <w:rPr>
                <w:sz w:val="21"/>
              </w:rPr>
            </w:pPr>
            <w:r>
              <w:rPr>
                <w:w w:val="100"/>
                <w:sz w:val="21"/>
              </w:rPr>
              <w:t>0</w:t>
            </w:r>
          </w:p>
        </w:tc>
      </w:tr>
      <w:tr>
        <w:trPr>
          <w:trHeight w:val="314" w:hRule="atLeast"/>
        </w:trPr>
        <w:tc>
          <w:tcPr>
            <w:tcW w:w="2696" w:type="dxa"/>
          </w:tcPr>
          <w:p>
            <w:pPr>
              <w:pStyle w:val="TableParagraph"/>
              <w:spacing w:before="25"/>
              <w:ind w:left="107"/>
              <w:rPr>
                <w:sz w:val="21"/>
              </w:rPr>
            </w:pPr>
            <w:r>
              <w:rPr>
                <w:spacing w:val="-5"/>
                <w:sz w:val="21"/>
              </w:rPr>
              <w:t>Ⅲ期</w:t>
            </w:r>
          </w:p>
        </w:tc>
        <w:tc>
          <w:tcPr>
            <w:tcW w:w="1455" w:type="dxa"/>
          </w:tcPr>
          <w:p>
            <w:pPr>
              <w:pStyle w:val="TableParagraph"/>
              <w:spacing w:before="25"/>
              <w:ind w:left="107"/>
              <w:rPr>
                <w:sz w:val="21"/>
              </w:rPr>
            </w:pPr>
            <w:r>
              <w:rPr>
                <w:spacing w:val="-5"/>
                <w:sz w:val="21"/>
              </w:rPr>
              <w:t>4a</w:t>
            </w:r>
          </w:p>
        </w:tc>
        <w:tc>
          <w:tcPr>
            <w:tcW w:w="1285" w:type="dxa"/>
          </w:tcPr>
          <w:p>
            <w:pPr>
              <w:pStyle w:val="TableParagraph"/>
              <w:spacing w:before="25"/>
              <w:ind w:left="106"/>
              <w:rPr>
                <w:sz w:val="21"/>
              </w:rPr>
            </w:pPr>
            <w:r>
              <w:rPr>
                <w:spacing w:val="-5"/>
                <w:sz w:val="21"/>
              </w:rPr>
              <w:t>任何</w:t>
            </w:r>
          </w:p>
        </w:tc>
        <w:tc>
          <w:tcPr>
            <w:tcW w:w="1301" w:type="dxa"/>
          </w:tcPr>
          <w:p>
            <w:pPr>
              <w:pStyle w:val="TableParagraph"/>
              <w:spacing w:before="25"/>
              <w:ind w:left="106"/>
              <w:rPr>
                <w:sz w:val="21"/>
              </w:rPr>
            </w:pPr>
            <w:r>
              <w:rPr>
                <w:w w:val="100"/>
                <w:sz w:val="21"/>
              </w:rPr>
              <w:t>0</w:t>
            </w:r>
          </w:p>
        </w:tc>
      </w:tr>
      <w:tr>
        <w:trPr>
          <w:trHeight w:val="312" w:hRule="atLeast"/>
        </w:trPr>
        <w:tc>
          <w:tcPr>
            <w:tcW w:w="2696" w:type="dxa"/>
          </w:tcPr>
          <w:p>
            <w:pPr>
              <w:pStyle w:val="TableParagraph"/>
              <w:spacing w:before="23"/>
              <w:ind w:left="107"/>
              <w:rPr>
                <w:sz w:val="21"/>
              </w:rPr>
            </w:pPr>
            <w:r>
              <w:rPr>
                <w:sz w:val="21"/>
              </w:rPr>
              <w:t>ⅣA</w:t>
            </w:r>
            <w:r>
              <w:rPr>
                <w:spacing w:val="-32"/>
                <w:sz w:val="21"/>
              </w:rPr>
              <w:t> 期</w:t>
            </w:r>
          </w:p>
        </w:tc>
        <w:tc>
          <w:tcPr>
            <w:tcW w:w="1455" w:type="dxa"/>
          </w:tcPr>
          <w:p>
            <w:pPr>
              <w:pStyle w:val="TableParagraph"/>
              <w:spacing w:before="23"/>
              <w:ind w:left="107"/>
              <w:rPr>
                <w:sz w:val="21"/>
              </w:rPr>
            </w:pPr>
            <w:r>
              <w:rPr>
                <w:spacing w:val="-5"/>
                <w:sz w:val="21"/>
              </w:rPr>
              <w:t>4b</w:t>
            </w:r>
          </w:p>
        </w:tc>
        <w:tc>
          <w:tcPr>
            <w:tcW w:w="1285" w:type="dxa"/>
          </w:tcPr>
          <w:p>
            <w:pPr>
              <w:pStyle w:val="TableParagraph"/>
              <w:spacing w:before="23"/>
              <w:ind w:left="106"/>
              <w:rPr>
                <w:sz w:val="21"/>
              </w:rPr>
            </w:pPr>
            <w:r>
              <w:rPr>
                <w:spacing w:val="-5"/>
                <w:sz w:val="21"/>
              </w:rPr>
              <w:t>任何</w:t>
            </w:r>
          </w:p>
        </w:tc>
        <w:tc>
          <w:tcPr>
            <w:tcW w:w="1301" w:type="dxa"/>
          </w:tcPr>
          <w:p>
            <w:pPr>
              <w:pStyle w:val="TableParagraph"/>
              <w:spacing w:before="23"/>
              <w:ind w:left="106"/>
              <w:rPr>
                <w:sz w:val="21"/>
              </w:rPr>
            </w:pPr>
            <w:r>
              <w:rPr>
                <w:w w:val="100"/>
                <w:sz w:val="21"/>
              </w:rPr>
              <w:t>0</w:t>
            </w:r>
          </w:p>
        </w:tc>
      </w:tr>
      <w:tr>
        <w:trPr>
          <w:trHeight w:val="311" w:hRule="atLeast"/>
        </w:trPr>
        <w:tc>
          <w:tcPr>
            <w:tcW w:w="2696" w:type="dxa"/>
          </w:tcPr>
          <w:p>
            <w:pPr>
              <w:pStyle w:val="TableParagraph"/>
              <w:spacing w:before="22"/>
              <w:ind w:left="107"/>
              <w:rPr>
                <w:sz w:val="21"/>
              </w:rPr>
            </w:pPr>
            <w:r>
              <w:rPr>
                <w:sz w:val="21"/>
              </w:rPr>
              <w:t>ⅣB</w:t>
            </w:r>
            <w:r>
              <w:rPr>
                <w:spacing w:val="-32"/>
                <w:sz w:val="21"/>
              </w:rPr>
              <w:t> 期</w:t>
            </w:r>
          </w:p>
        </w:tc>
        <w:tc>
          <w:tcPr>
            <w:tcW w:w="1455" w:type="dxa"/>
          </w:tcPr>
          <w:p>
            <w:pPr>
              <w:pStyle w:val="TableParagraph"/>
              <w:spacing w:before="22"/>
              <w:ind w:left="107"/>
              <w:rPr>
                <w:sz w:val="21"/>
              </w:rPr>
            </w:pPr>
            <w:r>
              <w:rPr>
                <w:spacing w:val="-5"/>
                <w:sz w:val="21"/>
              </w:rPr>
              <w:t>任何</w:t>
            </w:r>
          </w:p>
        </w:tc>
        <w:tc>
          <w:tcPr>
            <w:tcW w:w="1285" w:type="dxa"/>
          </w:tcPr>
          <w:p>
            <w:pPr>
              <w:pStyle w:val="TableParagraph"/>
              <w:spacing w:before="22"/>
              <w:ind w:left="106"/>
              <w:rPr>
                <w:sz w:val="21"/>
              </w:rPr>
            </w:pPr>
            <w:r>
              <w:rPr>
                <w:spacing w:val="-5"/>
                <w:sz w:val="21"/>
              </w:rPr>
              <w:t>任何</w:t>
            </w:r>
          </w:p>
        </w:tc>
        <w:tc>
          <w:tcPr>
            <w:tcW w:w="1301" w:type="dxa"/>
          </w:tcPr>
          <w:p>
            <w:pPr>
              <w:pStyle w:val="TableParagraph"/>
              <w:spacing w:before="22"/>
              <w:ind w:left="106"/>
              <w:rPr>
                <w:sz w:val="21"/>
              </w:rPr>
            </w:pPr>
            <w:r>
              <w:rPr>
                <w:w w:val="100"/>
                <w:sz w:val="21"/>
              </w:rPr>
              <w:t>1</w:t>
            </w:r>
          </w:p>
        </w:tc>
      </w:tr>
      <w:tr>
        <w:trPr>
          <w:trHeight w:val="311" w:hRule="atLeast"/>
        </w:trPr>
        <w:tc>
          <w:tcPr>
            <w:tcW w:w="6737" w:type="dxa"/>
            <w:gridSpan w:val="4"/>
          </w:tcPr>
          <w:p>
            <w:pPr>
              <w:pStyle w:val="TableParagraph"/>
              <w:spacing w:before="22"/>
              <w:ind w:left="107"/>
              <w:rPr>
                <w:sz w:val="21"/>
              </w:rPr>
            </w:pPr>
            <w:r>
              <w:rPr>
                <w:spacing w:val="-2"/>
                <w:sz w:val="21"/>
              </w:rPr>
              <w:t>髓样癌（所有年龄组</w:t>
            </w:r>
            <w:r>
              <w:rPr>
                <w:spacing w:val="-10"/>
                <w:sz w:val="21"/>
              </w:rPr>
              <w:t>）</w:t>
            </w:r>
          </w:p>
        </w:tc>
      </w:tr>
      <w:tr>
        <w:trPr>
          <w:trHeight w:val="311" w:hRule="atLeast"/>
        </w:trPr>
        <w:tc>
          <w:tcPr>
            <w:tcW w:w="2696" w:type="dxa"/>
          </w:tcPr>
          <w:p>
            <w:pPr>
              <w:pStyle w:val="TableParagraph"/>
              <w:spacing w:before="22"/>
              <w:ind w:left="107"/>
              <w:rPr>
                <w:sz w:val="21"/>
              </w:rPr>
            </w:pPr>
            <w:r>
              <w:rPr>
                <w:spacing w:val="-5"/>
                <w:sz w:val="21"/>
              </w:rPr>
              <w:t>Ⅰ期</w:t>
            </w:r>
          </w:p>
        </w:tc>
        <w:tc>
          <w:tcPr>
            <w:tcW w:w="1455" w:type="dxa"/>
          </w:tcPr>
          <w:p>
            <w:pPr>
              <w:pStyle w:val="TableParagraph"/>
              <w:spacing w:before="22"/>
              <w:ind w:left="107"/>
              <w:rPr>
                <w:sz w:val="21"/>
              </w:rPr>
            </w:pPr>
            <w:r>
              <w:rPr>
                <w:w w:val="100"/>
                <w:sz w:val="21"/>
              </w:rPr>
              <w:t>1</w:t>
            </w:r>
          </w:p>
        </w:tc>
        <w:tc>
          <w:tcPr>
            <w:tcW w:w="1285" w:type="dxa"/>
          </w:tcPr>
          <w:p>
            <w:pPr>
              <w:pStyle w:val="TableParagraph"/>
              <w:spacing w:before="22"/>
              <w:ind w:left="106"/>
              <w:rPr>
                <w:sz w:val="21"/>
              </w:rPr>
            </w:pPr>
            <w:r>
              <w:rPr>
                <w:w w:val="100"/>
                <w:sz w:val="21"/>
              </w:rPr>
              <w:t>0</w:t>
            </w:r>
          </w:p>
        </w:tc>
        <w:tc>
          <w:tcPr>
            <w:tcW w:w="1301" w:type="dxa"/>
          </w:tcPr>
          <w:p>
            <w:pPr>
              <w:pStyle w:val="TableParagraph"/>
              <w:spacing w:before="22"/>
              <w:ind w:left="106"/>
              <w:rPr>
                <w:sz w:val="21"/>
              </w:rPr>
            </w:pPr>
            <w:r>
              <w:rPr>
                <w:w w:val="100"/>
                <w:sz w:val="21"/>
              </w:rPr>
              <w:t>0</w:t>
            </w:r>
          </w:p>
        </w:tc>
      </w:tr>
      <w:tr>
        <w:trPr>
          <w:trHeight w:val="311" w:hRule="atLeast"/>
        </w:trPr>
        <w:tc>
          <w:tcPr>
            <w:tcW w:w="2696" w:type="dxa"/>
          </w:tcPr>
          <w:p>
            <w:pPr>
              <w:pStyle w:val="TableParagraph"/>
              <w:spacing w:before="22"/>
              <w:ind w:left="107"/>
              <w:rPr>
                <w:sz w:val="21"/>
              </w:rPr>
            </w:pPr>
            <w:r>
              <w:rPr>
                <w:spacing w:val="-5"/>
                <w:sz w:val="21"/>
              </w:rPr>
              <w:t>Ⅱ期</w:t>
            </w:r>
          </w:p>
        </w:tc>
        <w:tc>
          <w:tcPr>
            <w:tcW w:w="1455" w:type="dxa"/>
          </w:tcPr>
          <w:p>
            <w:pPr>
              <w:pStyle w:val="TableParagraph"/>
              <w:spacing w:before="22"/>
              <w:ind w:left="107"/>
              <w:rPr>
                <w:sz w:val="21"/>
              </w:rPr>
            </w:pPr>
            <w:r>
              <w:rPr>
                <w:spacing w:val="-5"/>
                <w:sz w:val="21"/>
              </w:rPr>
              <w:t>2～3</w:t>
            </w:r>
          </w:p>
        </w:tc>
        <w:tc>
          <w:tcPr>
            <w:tcW w:w="1285" w:type="dxa"/>
          </w:tcPr>
          <w:p>
            <w:pPr>
              <w:pStyle w:val="TableParagraph"/>
              <w:spacing w:before="22"/>
              <w:ind w:left="106"/>
              <w:rPr>
                <w:sz w:val="21"/>
              </w:rPr>
            </w:pPr>
            <w:r>
              <w:rPr>
                <w:w w:val="100"/>
                <w:sz w:val="21"/>
              </w:rPr>
              <w:t>0</w:t>
            </w:r>
          </w:p>
        </w:tc>
        <w:tc>
          <w:tcPr>
            <w:tcW w:w="1301" w:type="dxa"/>
          </w:tcPr>
          <w:p>
            <w:pPr>
              <w:pStyle w:val="TableParagraph"/>
              <w:spacing w:before="22"/>
              <w:ind w:left="106"/>
              <w:rPr>
                <w:sz w:val="21"/>
              </w:rPr>
            </w:pPr>
            <w:r>
              <w:rPr>
                <w:w w:val="100"/>
                <w:sz w:val="21"/>
              </w:rPr>
              <w:t>0</w:t>
            </w:r>
          </w:p>
        </w:tc>
      </w:tr>
      <w:tr>
        <w:trPr>
          <w:trHeight w:val="314" w:hRule="atLeast"/>
        </w:trPr>
        <w:tc>
          <w:tcPr>
            <w:tcW w:w="2696" w:type="dxa"/>
          </w:tcPr>
          <w:p>
            <w:pPr>
              <w:pStyle w:val="TableParagraph"/>
              <w:spacing w:before="25"/>
              <w:ind w:left="107"/>
              <w:rPr>
                <w:sz w:val="21"/>
              </w:rPr>
            </w:pPr>
            <w:r>
              <w:rPr>
                <w:spacing w:val="-5"/>
                <w:sz w:val="21"/>
              </w:rPr>
              <w:t>Ⅲ期</w:t>
            </w:r>
          </w:p>
        </w:tc>
        <w:tc>
          <w:tcPr>
            <w:tcW w:w="1455" w:type="dxa"/>
          </w:tcPr>
          <w:p>
            <w:pPr>
              <w:pStyle w:val="TableParagraph"/>
              <w:spacing w:before="25"/>
              <w:ind w:left="107"/>
              <w:rPr>
                <w:sz w:val="21"/>
              </w:rPr>
            </w:pPr>
            <w:r>
              <w:rPr>
                <w:spacing w:val="-5"/>
                <w:sz w:val="21"/>
              </w:rPr>
              <w:t>1～3</w:t>
            </w:r>
          </w:p>
        </w:tc>
        <w:tc>
          <w:tcPr>
            <w:tcW w:w="1285" w:type="dxa"/>
          </w:tcPr>
          <w:p>
            <w:pPr>
              <w:pStyle w:val="TableParagraph"/>
              <w:spacing w:before="25"/>
              <w:ind w:left="106"/>
              <w:rPr>
                <w:sz w:val="21"/>
              </w:rPr>
            </w:pPr>
            <w:r>
              <w:rPr>
                <w:spacing w:val="-5"/>
                <w:sz w:val="21"/>
              </w:rPr>
              <w:t>1a</w:t>
            </w:r>
          </w:p>
        </w:tc>
        <w:tc>
          <w:tcPr>
            <w:tcW w:w="1301" w:type="dxa"/>
          </w:tcPr>
          <w:p>
            <w:pPr>
              <w:pStyle w:val="TableParagraph"/>
              <w:spacing w:before="25"/>
              <w:ind w:left="106"/>
              <w:rPr>
                <w:sz w:val="21"/>
              </w:rPr>
            </w:pPr>
            <w:r>
              <w:rPr>
                <w:w w:val="100"/>
                <w:sz w:val="21"/>
              </w:rPr>
              <w:t>0</w:t>
            </w:r>
          </w:p>
        </w:tc>
      </w:tr>
      <w:tr>
        <w:trPr>
          <w:trHeight w:val="311" w:hRule="atLeast"/>
        </w:trPr>
        <w:tc>
          <w:tcPr>
            <w:tcW w:w="2696" w:type="dxa"/>
            <w:vMerge w:val="restart"/>
          </w:tcPr>
          <w:p>
            <w:pPr>
              <w:pStyle w:val="TableParagraph"/>
              <w:spacing w:before="3"/>
              <w:rPr>
                <w:sz w:val="14"/>
              </w:rPr>
            </w:pPr>
          </w:p>
          <w:p>
            <w:pPr>
              <w:pStyle w:val="TableParagraph"/>
              <w:spacing w:before="1"/>
              <w:ind w:left="107"/>
              <w:rPr>
                <w:sz w:val="21"/>
              </w:rPr>
            </w:pPr>
            <w:r>
              <w:rPr>
                <w:sz w:val="21"/>
              </w:rPr>
              <w:t>ⅣA</w:t>
            </w:r>
            <w:r>
              <w:rPr>
                <w:spacing w:val="-32"/>
                <w:sz w:val="21"/>
              </w:rPr>
              <w:t> 期</w:t>
            </w:r>
          </w:p>
        </w:tc>
        <w:tc>
          <w:tcPr>
            <w:tcW w:w="1455" w:type="dxa"/>
          </w:tcPr>
          <w:p>
            <w:pPr>
              <w:pStyle w:val="TableParagraph"/>
              <w:spacing w:before="22"/>
              <w:ind w:left="107"/>
              <w:rPr>
                <w:sz w:val="21"/>
              </w:rPr>
            </w:pPr>
            <w:r>
              <w:rPr>
                <w:spacing w:val="-5"/>
                <w:sz w:val="21"/>
              </w:rPr>
              <w:t>4a</w:t>
            </w:r>
          </w:p>
        </w:tc>
        <w:tc>
          <w:tcPr>
            <w:tcW w:w="1285" w:type="dxa"/>
          </w:tcPr>
          <w:p>
            <w:pPr>
              <w:pStyle w:val="TableParagraph"/>
              <w:spacing w:before="22"/>
              <w:ind w:left="106"/>
              <w:rPr>
                <w:sz w:val="21"/>
              </w:rPr>
            </w:pPr>
            <w:r>
              <w:rPr>
                <w:spacing w:val="-5"/>
                <w:sz w:val="21"/>
              </w:rPr>
              <w:t>任何</w:t>
            </w:r>
          </w:p>
        </w:tc>
        <w:tc>
          <w:tcPr>
            <w:tcW w:w="1301" w:type="dxa"/>
          </w:tcPr>
          <w:p>
            <w:pPr>
              <w:pStyle w:val="TableParagraph"/>
              <w:spacing w:before="22"/>
              <w:ind w:left="106"/>
              <w:rPr>
                <w:sz w:val="21"/>
              </w:rPr>
            </w:pPr>
            <w:r>
              <w:rPr>
                <w:w w:val="100"/>
                <w:sz w:val="21"/>
              </w:rPr>
              <w:t>0</w:t>
            </w:r>
          </w:p>
        </w:tc>
      </w:tr>
      <w:tr>
        <w:trPr>
          <w:trHeight w:val="311" w:hRule="atLeast"/>
        </w:trPr>
        <w:tc>
          <w:tcPr>
            <w:tcW w:w="2696" w:type="dxa"/>
            <w:vMerge/>
            <w:tcBorders>
              <w:top w:val="nil"/>
            </w:tcBorders>
          </w:tcPr>
          <w:p>
            <w:pPr>
              <w:rPr>
                <w:sz w:val="2"/>
                <w:szCs w:val="2"/>
              </w:rPr>
            </w:pPr>
          </w:p>
        </w:tc>
        <w:tc>
          <w:tcPr>
            <w:tcW w:w="1455" w:type="dxa"/>
          </w:tcPr>
          <w:p>
            <w:pPr>
              <w:pStyle w:val="TableParagraph"/>
              <w:spacing w:before="22"/>
              <w:ind w:left="107"/>
              <w:rPr>
                <w:sz w:val="21"/>
              </w:rPr>
            </w:pPr>
            <w:r>
              <w:rPr>
                <w:spacing w:val="-5"/>
                <w:sz w:val="21"/>
              </w:rPr>
              <w:t>1～3</w:t>
            </w:r>
          </w:p>
        </w:tc>
        <w:tc>
          <w:tcPr>
            <w:tcW w:w="1285" w:type="dxa"/>
          </w:tcPr>
          <w:p>
            <w:pPr>
              <w:pStyle w:val="TableParagraph"/>
              <w:spacing w:before="22"/>
              <w:ind w:left="106"/>
              <w:rPr>
                <w:sz w:val="21"/>
              </w:rPr>
            </w:pPr>
            <w:r>
              <w:rPr>
                <w:spacing w:val="-5"/>
                <w:sz w:val="21"/>
              </w:rPr>
              <w:t>1b</w:t>
            </w:r>
          </w:p>
        </w:tc>
        <w:tc>
          <w:tcPr>
            <w:tcW w:w="1301" w:type="dxa"/>
          </w:tcPr>
          <w:p>
            <w:pPr>
              <w:pStyle w:val="TableParagraph"/>
              <w:spacing w:before="22"/>
              <w:ind w:left="106"/>
              <w:rPr>
                <w:sz w:val="21"/>
              </w:rPr>
            </w:pPr>
            <w:r>
              <w:rPr>
                <w:w w:val="100"/>
                <w:sz w:val="21"/>
              </w:rPr>
              <w:t>0</w:t>
            </w:r>
          </w:p>
        </w:tc>
      </w:tr>
    </w:tbl>
    <w:p>
      <w:pPr>
        <w:spacing w:after="0"/>
        <w:rPr>
          <w:sz w:val="21"/>
        </w:rPr>
        <w:sectPr>
          <w:pgSz w:w="11910" w:h="16840"/>
          <w:pgMar w:top="1380" w:bottom="1365" w:left="920" w:right="440"/>
        </w:sectPr>
      </w:pPr>
    </w:p>
    <w:tbl>
      <w:tblPr>
        <w:tblW w:w="0" w:type="auto"/>
        <w:jc w:val="left"/>
        <w:tblInd w:w="3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96"/>
        <w:gridCol w:w="1455"/>
        <w:gridCol w:w="1285"/>
        <w:gridCol w:w="1301"/>
      </w:tblGrid>
      <w:tr>
        <w:trPr>
          <w:trHeight w:val="309" w:hRule="atLeast"/>
        </w:trPr>
        <w:tc>
          <w:tcPr>
            <w:tcW w:w="2696" w:type="dxa"/>
            <w:tcBorders>
              <w:bottom w:val="single" w:sz="6" w:space="0" w:color="000000"/>
            </w:tcBorders>
          </w:tcPr>
          <w:p>
            <w:pPr>
              <w:pStyle w:val="TableParagraph"/>
              <w:spacing w:line="267" w:lineRule="exact" w:before="22"/>
              <w:ind w:left="107"/>
              <w:rPr>
                <w:sz w:val="21"/>
              </w:rPr>
            </w:pPr>
            <w:r>
              <w:rPr>
                <w:sz w:val="21"/>
              </w:rPr>
              <w:t>ⅣB</w:t>
            </w:r>
            <w:r>
              <w:rPr>
                <w:spacing w:val="-32"/>
                <w:sz w:val="21"/>
              </w:rPr>
              <w:t> 期</w:t>
            </w:r>
          </w:p>
        </w:tc>
        <w:tc>
          <w:tcPr>
            <w:tcW w:w="1455" w:type="dxa"/>
            <w:tcBorders>
              <w:bottom w:val="single" w:sz="6" w:space="0" w:color="000000"/>
            </w:tcBorders>
          </w:tcPr>
          <w:p>
            <w:pPr>
              <w:pStyle w:val="TableParagraph"/>
              <w:spacing w:line="267" w:lineRule="exact" w:before="22"/>
              <w:ind w:left="107"/>
              <w:rPr>
                <w:sz w:val="21"/>
              </w:rPr>
            </w:pPr>
            <w:r>
              <w:rPr>
                <w:spacing w:val="-5"/>
                <w:sz w:val="21"/>
              </w:rPr>
              <w:t>4b</w:t>
            </w:r>
          </w:p>
        </w:tc>
        <w:tc>
          <w:tcPr>
            <w:tcW w:w="1285" w:type="dxa"/>
            <w:tcBorders>
              <w:bottom w:val="single" w:sz="6" w:space="0" w:color="000000"/>
            </w:tcBorders>
          </w:tcPr>
          <w:p>
            <w:pPr>
              <w:pStyle w:val="TableParagraph"/>
              <w:spacing w:line="267" w:lineRule="exact" w:before="22"/>
              <w:ind w:left="106"/>
              <w:rPr>
                <w:sz w:val="21"/>
              </w:rPr>
            </w:pPr>
            <w:r>
              <w:rPr>
                <w:spacing w:val="-5"/>
                <w:sz w:val="21"/>
              </w:rPr>
              <w:t>任何</w:t>
            </w:r>
          </w:p>
        </w:tc>
        <w:tc>
          <w:tcPr>
            <w:tcW w:w="1301" w:type="dxa"/>
            <w:tcBorders>
              <w:bottom w:val="single" w:sz="6" w:space="0" w:color="000000"/>
            </w:tcBorders>
          </w:tcPr>
          <w:p>
            <w:pPr>
              <w:pStyle w:val="TableParagraph"/>
              <w:spacing w:line="267" w:lineRule="exact" w:before="22"/>
              <w:ind w:left="106"/>
              <w:rPr>
                <w:sz w:val="21"/>
              </w:rPr>
            </w:pPr>
            <w:r>
              <w:rPr>
                <w:w w:val="100"/>
                <w:sz w:val="21"/>
              </w:rPr>
              <w:t>0</w:t>
            </w:r>
          </w:p>
        </w:tc>
      </w:tr>
      <w:tr>
        <w:trPr>
          <w:trHeight w:val="309" w:hRule="atLeast"/>
        </w:trPr>
        <w:tc>
          <w:tcPr>
            <w:tcW w:w="2696" w:type="dxa"/>
            <w:tcBorders>
              <w:top w:val="single" w:sz="6" w:space="0" w:color="000000"/>
            </w:tcBorders>
          </w:tcPr>
          <w:p>
            <w:pPr>
              <w:pStyle w:val="TableParagraph"/>
              <w:spacing w:before="20"/>
              <w:ind w:left="107"/>
              <w:rPr>
                <w:sz w:val="21"/>
              </w:rPr>
            </w:pPr>
            <w:r>
              <w:rPr>
                <w:sz w:val="21"/>
              </w:rPr>
              <w:t>ⅣC</w:t>
            </w:r>
            <w:r>
              <w:rPr>
                <w:spacing w:val="-32"/>
                <w:sz w:val="21"/>
              </w:rPr>
              <w:t> 期</w:t>
            </w:r>
          </w:p>
        </w:tc>
        <w:tc>
          <w:tcPr>
            <w:tcW w:w="1455" w:type="dxa"/>
            <w:tcBorders>
              <w:top w:val="single" w:sz="6" w:space="0" w:color="000000"/>
            </w:tcBorders>
          </w:tcPr>
          <w:p>
            <w:pPr>
              <w:pStyle w:val="TableParagraph"/>
              <w:spacing w:before="20"/>
              <w:ind w:left="107"/>
              <w:rPr>
                <w:sz w:val="21"/>
              </w:rPr>
            </w:pPr>
            <w:r>
              <w:rPr>
                <w:spacing w:val="-5"/>
                <w:sz w:val="21"/>
              </w:rPr>
              <w:t>任何</w:t>
            </w:r>
          </w:p>
        </w:tc>
        <w:tc>
          <w:tcPr>
            <w:tcW w:w="1285" w:type="dxa"/>
            <w:tcBorders>
              <w:top w:val="single" w:sz="6" w:space="0" w:color="000000"/>
            </w:tcBorders>
          </w:tcPr>
          <w:p>
            <w:pPr>
              <w:pStyle w:val="TableParagraph"/>
              <w:spacing w:before="20"/>
              <w:ind w:left="106"/>
              <w:rPr>
                <w:sz w:val="21"/>
              </w:rPr>
            </w:pPr>
            <w:r>
              <w:rPr>
                <w:spacing w:val="-5"/>
                <w:sz w:val="21"/>
              </w:rPr>
              <w:t>任何</w:t>
            </w:r>
          </w:p>
        </w:tc>
        <w:tc>
          <w:tcPr>
            <w:tcW w:w="1301" w:type="dxa"/>
            <w:tcBorders>
              <w:top w:val="single" w:sz="6" w:space="0" w:color="000000"/>
            </w:tcBorders>
          </w:tcPr>
          <w:p>
            <w:pPr>
              <w:pStyle w:val="TableParagraph"/>
              <w:spacing w:before="20"/>
              <w:ind w:left="106"/>
              <w:rPr>
                <w:sz w:val="21"/>
              </w:rPr>
            </w:pPr>
            <w:r>
              <w:rPr>
                <w:w w:val="100"/>
                <w:sz w:val="21"/>
              </w:rPr>
              <w:t>1</w:t>
            </w:r>
          </w:p>
        </w:tc>
      </w:tr>
      <w:tr>
        <w:trPr>
          <w:trHeight w:val="311" w:hRule="atLeast"/>
        </w:trPr>
        <w:tc>
          <w:tcPr>
            <w:tcW w:w="6737" w:type="dxa"/>
            <w:gridSpan w:val="4"/>
          </w:tcPr>
          <w:p>
            <w:pPr>
              <w:pStyle w:val="TableParagraph"/>
              <w:spacing w:before="22"/>
              <w:ind w:left="107"/>
              <w:rPr>
                <w:sz w:val="21"/>
              </w:rPr>
            </w:pPr>
            <w:r>
              <w:rPr>
                <w:spacing w:val="-2"/>
                <w:sz w:val="21"/>
              </w:rPr>
              <w:t>未分化癌（所有年龄组</w:t>
            </w:r>
            <w:r>
              <w:rPr>
                <w:spacing w:val="-10"/>
                <w:sz w:val="21"/>
              </w:rPr>
              <w:t>）</w:t>
            </w:r>
          </w:p>
        </w:tc>
      </w:tr>
      <w:tr>
        <w:trPr>
          <w:trHeight w:val="311" w:hRule="atLeast"/>
        </w:trPr>
        <w:tc>
          <w:tcPr>
            <w:tcW w:w="2696" w:type="dxa"/>
          </w:tcPr>
          <w:p>
            <w:pPr>
              <w:pStyle w:val="TableParagraph"/>
              <w:spacing w:before="22"/>
              <w:ind w:left="107"/>
              <w:rPr>
                <w:sz w:val="21"/>
              </w:rPr>
            </w:pPr>
            <w:r>
              <w:rPr>
                <w:sz w:val="21"/>
              </w:rPr>
              <w:t>ⅣA</w:t>
            </w:r>
            <w:r>
              <w:rPr>
                <w:spacing w:val="-32"/>
                <w:sz w:val="21"/>
              </w:rPr>
              <w:t> 期</w:t>
            </w:r>
          </w:p>
        </w:tc>
        <w:tc>
          <w:tcPr>
            <w:tcW w:w="1455" w:type="dxa"/>
          </w:tcPr>
          <w:p>
            <w:pPr>
              <w:pStyle w:val="TableParagraph"/>
              <w:spacing w:before="22"/>
              <w:ind w:left="107"/>
              <w:rPr>
                <w:sz w:val="21"/>
              </w:rPr>
            </w:pPr>
            <w:r>
              <w:rPr>
                <w:spacing w:val="-4"/>
                <w:sz w:val="21"/>
              </w:rPr>
              <w:t>1～3a</w:t>
            </w:r>
          </w:p>
        </w:tc>
        <w:tc>
          <w:tcPr>
            <w:tcW w:w="1285" w:type="dxa"/>
          </w:tcPr>
          <w:p>
            <w:pPr>
              <w:pStyle w:val="TableParagraph"/>
              <w:spacing w:before="22"/>
              <w:ind w:left="106"/>
              <w:rPr>
                <w:sz w:val="21"/>
              </w:rPr>
            </w:pPr>
            <w:r>
              <w:rPr>
                <w:spacing w:val="-5"/>
                <w:sz w:val="21"/>
              </w:rPr>
              <w:t>0/x</w:t>
            </w:r>
          </w:p>
        </w:tc>
        <w:tc>
          <w:tcPr>
            <w:tcW w:w="1301" w:type="dxa"/>
          </w:tcPr>
          <w:p>
            <w:pPr>
              <w:pStyle w:val="TableParagraph"/>
              <w:spacing w:before="22"/>
              <w:ind w:left="106"/>
              <w:rPr>
                <w:sz w:val="21"/>
              </w:rPr>
            </w:pPr>
            <w:r>
              <w:rPr>
                <w:w w:val="100"/>
                <w:sz w:val="21"/>
              </w:rPr>
              <w:t>0</w:t>
            </w:r>
          </w:p>
        </w:tc>
      </w:tr>
      <w:tr>
        <w:trPr>
          <w:trHeight w:val="313" w:hRule="atLeast"/>
        </w:trPr>
        <w:tc>
          <w:tcPr>
            <w:tcW w:w="2696" w:type="dxa"/>
            <w:vMerge w:val="restart"/>
          </w:tcPr>
          <w:p>
            <w:pPr>
              <w:pStyle w:val="TableParagraph"/>
              <w:spacing w:before="6"/>
              <w:rPr>
                <w:sz w:val="14"/>
              </w:rPr>
            </w:pPr>
          </w:p>
          <w:p>
            <w:pPr>
              <w:pStyle w:val="TableParagraph"/>
              <w:ind w:left="107"/>
              <w:rPr>
                <w:sz w:val="21"/>
              </w:rPr>
            </w:pPr>
            <w:r>
              <w:rPr>
                <w:sz w:val="21"/>
              </w:rPr>
              <w:t>ⅣB</w:t>
            </w:r>
            <w:r>
              <w:rPr>
                <w:spacing w:val="-32"/>
                <w:sz w:val="21"/>
              </w:rPr>
              <w:t> 期</w:t>
            </w:r>
          </w:p>
        </w:tc>
        <w:tc>
          <w:tcPr>
            <w:tcW w:w="1455" w:type="dxa"/>
          </w:tcPr>
          <w:p>
            <w:pPr>
              <w:pStyle w:val="TableParagraph"/>
              <w:spacing w:before="25"/>
              <w:ind w:left="107"/>
              <w:rPr>
                <w:sz w:val="21"/>
              </w:rPr>
            </w:pPr>
            <w:r>
              <w:rPr>
                <w:spacing w:val="-4"/>
                <w:sz w:val="21"/>
              </w:rPr>
              <w:t>1～3a</w:t>
            </w:r>
          </w:p>
        </w:tc>
        <w:tc>
          <w:tcPr>
            <w:tcW w:w="1285" w:type="dxa"/>
          </w:tcPr>
          <w:p>
            <w:pPr>
              <w:pStyle w:val="TableParagraph"/>
              <w:spacing w:before="25"/>
              <w:ind w:left="106"/>
              <w:rPr>
                <w:sz w:val="21"/>
              </w:rPr>
            </w:pPr>
            <w:r>
              <w:rPr>
                <w:w w:val="100"/>
                <w:sz w:val="21"/>
              </w:rPr>
              <w:t>1</w:t>
            </w:r>
          </w:p>
        </w:tc>
        <w:tc>
          <w:tcPr>
            <w:tcW w:w="1301" w:type="dxa"/>
          </w:tcPr>
          <w:p>
            <w:pPr>
              <w:pStyle w:val="TableParagraph"/>
              <w:spacing w:before="25"/>
              <w:ind w:left="106"/>
              <w:rPr>
                <w:sz w:val="21"/>
              </w:rPr>
            </w:pPr>
            <w:r>
              <w:rPr>
                <w:w w:val="100"/>
                <w:sz w:val="21"/>
              </w:rPr>
              <w:t>0</w:t>
            </w:r>
          </w:p>
        </w:tc>
      </w:tr>
      <w:tr>
        <w:trPr>
          <w:trHeight w:val="311" w:hRule="atLeast"/>
        </w:trPr>
        <w:tc>
          <w:tcPr>
            <w:tcW w:w="2696" w:type="dxa"/>
            <w:vMerge/>
            <w:tcBorders>
              <w:top w:val="nil"/>
            </w:tcBorders>
          </w:tcPr>
          <w:p>
            <w:pPr>
              <w:rPr>
                <w:sz w:val="2"/>
                <w:szCs w:val="2"/>
              </w:rPr>
            </w:pPr>
          </w:p>
        </w:tc>
        <w:tc>
          <w:tcPr>
            <w:tcW w:w="1455" w:type="dxa"/>
          </w:tcPr>
          <w:p>
            <w:pPr>
              <w:pStyle w:val="TableParagraph"/>
              <w:spacing w:before="22"/>
              <w:ind w:left="107"/>
              <w:rPr>
                <w:sz w:val="21"/>
              </w:rPr>
            </w:pPr>
            <w:r>
              <w:rPr>
                <w:spacing w:val="-4"/>
                <w:sz w:val="21"/>
              </w:rPr>
              <w:t>3b～4</w:t>
            </w:r>
          </w:p>
        </w:tc>
        <w:tc>
          <w:tcPr>
            <w:tcW w:w="1285" w:type="dxa"/>
          </w:tcPr>
          <w:p>
            <w:pPr>
              <w:pStyle w:val="TableParagraph"/>
              <w:spacing w:before="22"/>
              <w:ind w:left="106"/>
              <w:rPr>
                <w:sz w:val="21"/>
              </w:rPr>
            </w:pPr>
            <w:r>
              <w:rPr>
                <w:spacing w:val="-5"/>
                <w:sz w:val="21"/>
              </w:rPr>
              <w:t>任何</w:t>
            </w:r>
          </w:p>
        </w:tc>
        <w:tc>
          <w:tcPr>
            <w:tcW w:w="1301" w:type="dxa"/>
          </w:tcPr>
          <w:p>
            <w:pPr>
              <w:pStyle w:val="TableParagraph"/>
              <w:spacing w:before="22"/>
              <w:ind w:left="106"/>
              <w:rPr>
                <w:sz w:val="21"/>
              </w:rPr>
            </w:pPr>
            <w:r>
              <w:rPr>
                <w:w w:val="100"/>
                <w:sz w:val="21"/>
              </w:rPr>
              <w:t>0</w:t>
            </w:r>
          </w:p>
        </w:tc>
      </w:tr>
      <w:tr>
        <w:trPr>
          <w:trHeight w:val="311" w:hRule="atLeast"/>
        </w:trPr>
        <w:tc>
          <w:tcPr>
            <w:tcW w:w="2696" w:type="dxa"/>
          </w:tcPr>
          <w:p>
            <w:pPr>
              <w:pStyle w:val="TableParagraph"/>
              <w:spacing w:before="22"/>
              <w:ind w:left="107"/>
              <w:rPr>
                <w:sz w:val="21"/>
              </w:rPr>
            </w:pPr>
            <w:r>
              <w:rPr>
                <w:sz w:val="21"/>
              </w:rPr>
              <w:t>ⅣC</w:t>
            </w:r>
            <w:r>
              <w:rPr>
                <w:spacing w:val="-32"/>
                <w:sz w:val="21"/>
              </w:rPr>
              <w:t> 期</w:t>
            </w:r>
          </w:p>
        </w:tc>
        <w:tc>
          <w:tcPr>
            <w:tcW w:w="1455" w:type="dxa"/>
          </w:tcPr>
          <w:p>
            <w:pPr>
              <w:pStyle w:val="TableParagraph"/>
              <w:spacing w:before="22"/>
              <w:ind w:left="107"/>
              <w:rPr>
                <w:sz w:val="21"/>
              </w:rPr>
            </w:pPr>
            <w:r>
              <w:rPr>
                <w:spacing w:val="-5"/>
                <w:sz w:val="21"/>
              </w:rPr>
              <w:t>任何</w:t>
            </w:r>
          </w:p>
        </w:tc>
        <w:tc>
          <w:tcPr>
            <w:tcW w:w="1285" w:type="dxa"/>
          </w:tcPr>
          <w:p>
            <w:pPr>
              <w:pStyle w:val="TableParagraph"/>
              <w:spacing w:before="22"/>
              <w:ind w:left="106"/>
              <w:rPr>
                <w:sz w:val="21"/>
              </w:rPr>
            </w:pPr>
            <w:r>
              <w:rPr>
                <w:spacing w:val="-5"/>
                <w:sz w:val="21"/>
              </w:rPr>
              <w:t>任何</w:t>
            </w:r>
          </w:p>
        </w:tc>
        <w:tc>
          <w:tcPr>
            <w:tcW w:w="1301" w:type="dxa"/>
          </w:tcPr>
          <w:p>
            <w:pPr>
              <w:pStyle w:val="TableParagraph"/>
              <w:spacing w:before="22"/>
              <w:ind w:left="106"/>
              <w:rPr>
                <w:sz w:val="21"/>
              </w:rPr>
            </w:pPr>
            <w:r>
              <w:rPr>
                <w:w w:val="100"/>
                <w:sz w:val="21"/>
              </w:rPr>
              <w:t>1</w:t>
            </w:r>
          </w:p>
        </w:tc>
      </w:tr>
    </w:tbl>
    <w:p>
      <w:pPr>
        <w:pStyle w:val="BodyText"/>
        <w:spacing w:before="26"/>
      </w:pPr>
      <w:r>
        <w:rPr>
          <w:spacing w:val="-3"/>
        </w:rPr>
        <w:t>注：以上表格中“年龄”指患者病理组织标本获取日期时的年龄。</w:t>
      </w:r>
    </w:p>
    <w:sectPr>
      <w:type w:val="continuous"/>
      <w:pgSz w:w="11910" w:h="16840"/>
      <w:pgMar w:top="1400" w:bottom="280" w:left="92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7">
    <w:multiLevelType w:val="hybridMultilevel"/>
    <w:lvl w:ilvl="0">
      <w:start w:val="13"/>
      <w:numFmt w:val="decimal"/>
      <w:lvlText w:val="%1."/>
      <w:lvlJc w:val="left"/>
      <w:pPr>
        <w:ind w:left="1382" w:hanging="1170"/>
        <w:jc w:val="left"/>
      </w:pPr>
      <w:rPr>
        <w:rFonts w:hint="default"/>
        <w:w w:val="81"/>
        <w:lang w:val="en-US" w:eastAsia="zh-CN" w:bidi="ar-SA"/>
      </w:rPr>
    </w:lvl>
    <w:lvl w:ilvl="1">
      <w:start w:val="1"/>
      <w:numFmt w:val="decimal"/>
      <w:lvlText w:val="%1.%2"/>
      <w:lvlJc w:val="left"/>
      <w:pPr>
        <w:ind w:left="1382" w:hanging="1170"/>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3)"/>
      <w:lvlJc w:val="left"/>
      <w:pPr>
        <w:ind w:left="3113" w:hanging="318"/>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062" w:hanging="318"/>
      </w:pPr>
      <w:rPr>
        <w:rFonts w:hint="default"/>
        <w:lang w:val="en-US" w:eastAsia="zh-CN" w:bidi="ar-SA"/>
      </w:rPr>
    </w:lvl>
    <w:lvl w:ilvl="4">
      <w:start w:val="0"/>
      <w:numFmt w:val="bullet"/>
      <w:lvlText w:val="•"/>
      <w:lvlJc w:val="left"/>
      <w:pPr>
        <w:ind w:left="3033" w:hanging="318"/>
      </w:pPr>
      <w:rPr>
        <w:rFonts w:hint="default"/>
        <w:lang w:val="en-US" w:eastAsia="zh-CN" w:bidi="ar-SA"/>
      </w:rPr>
    </w:lvl>
    <w:lvl w:ilvl="5">
      <w:start w:val="0"/>
      <w:numFmt w:val="bullet"/>
      <w:lvlText w:val="•"/>
      <w:lvlJc w:val="left"/>
      <w:pPr>
        <w:ind w:left="3004" w:hanging="318"/>
      </w:pPr>
      <w:rPr>
        <w:rFonts w:hint="default"/>
        <w:lang w:val="en-US" w:eastAsia="zh-CN" w:bidi="ar-SA"/>
      </w:rPr>
    </w:lvl>
    <w:lvl w:ilvl="6">
      <w:start w:val="0"/>
      <w:numFmt w:val="bullet"/>
      <w:lvlText w:val="•"/>
      <w:lvlJc w:val="left"/>
      <w:pPr>
        <w:ind w:left="2975" w:hanging="318"/>
      </w:pPr>
      <w:rPr>
        <w:rFonts w:hint="default"/>
        <w:lang w:val="en-US" w:eastAsia="zh-CN" w:bidi="ar-SA"/>
      </w:rPr>
    </w:lvl>
    <w:lvl w:ilvl="7">
      <w:start w:val="0"/>
      <w:numFmt w:val="bullet"/>
      <w:lvlText w:val="•"/>
      <w:lvlJc w:val="left"/>
      <w:pPr>
        <w:ind w:left="2946" w:hanging="318"/>
      </w:pPr>
      <w:rPr>
        <w:rFonts w:hint="default"/>
        <w:lang w:val="en-US" w:eastAsia="zh-CN" w:bidi="ar-SA"/>
      </w:rPr>
    </w:lvl>
    <w:lvl w:ilvl="8">
      <w:start w:val="0"/>
      <w:numFmt w:val="bullet"/>
      <w:lvlText w:val="•"/>
      <w:lvlJc w:val="left"/>
      <w:pPr>
        <w:ind w:left="2918" w:hanging="318"/>
      </w:pPr>
      <w:rPr>
        <w:rFonts w:hint="default"/>
        <w:lang w:val="en-US" w:eastAsia="zh-CN" w:bidi="ar-SA"/>
      </w:rPr>
    </w:lvl>
  </w:abstractNum>
  <w:abstractNum w:abstractNumId="66">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88" w:hanging="318"/>
      </w:pPr>
      <w:rPr>
        <w:rFonts w:hint="default"/>
        <w:lang w:val="en-US" w:eastAsia="zh-CN" w:bidi="ar-SA"/>
      </w:rPr>
    </w:lvl>
    <w:lvl w:ilvl="2">
      <w:start w:val="0"/>
      <w:numFmt w:val="bullet"/>
      <w:lvlText w:val="•"/>
      <w:lvlJc w:val="left"/>
      <w:pPr>
        <w:ind w:left="1736" w:hanging="318"/>
      </w:pPr>
      <w:rPr>
        <w:rFonts w:hint="default"/>
        <w:lang w:val="en-US" w:eastAsia="zh-CN" w:bidi="ar-SA"/>
      </w:rPr>
    </w:lvl>
    <w:lvl w:ilvl="3">
      <w:start w:val="0"/>
      <w:numFmt w:val="bullet"/>
      <w:lvlText w:val="•"/>
      <w:lvlJc w:val="left"/>
      <w:pPr>
        <w:ind w:left="2384" w:hanging="318"/>
      </w:pPr>
      <w:rPr>
        <w:rFonts w:hint="default"/>
        <w:lang w:val="en-US" w:eastAsia="zh-CN" w:bidi="ar-SA"/>
      </w:rPr>
    </w:lvl>
    <w:lvl w:ilvl="4">
      <w:start w:val="0"/>
      <w:numFmt w:val="bullet"/>
      <w:lvlText w:val="•"/>
      <w:lvlJc w:val="left"/>
      <w:pPr>
        <w:ind w:left="3033" w:hanging="318"/>
      </w:pPr>
      <w:rPr>
        <w:rFonts w:hint="default"/>
        <w:lang w:val="en-US" w:eastAsia="zh-CN" w:bidi="ar-SA"/>
      </w:rPr>
    </w:lvl>
    <w:lvl w:ilvl="5">
      <w:start w:val="0"/>
      <w:numFmt w:val="bullet"/>
      <w:lvlText w:val="•"/>
      <w:lvlJc w:val="left"/>
      <w:pPr>
        <w:ind w:left="3681" w:hanging="318"/>
      </w:pPr>
      <w:rPr>
        <w:rFonts w:hint="default"/>
        <w:lang w:val="en-US" w:eastAsia="zh-CN" w:bidi="ar-SA"/>
      </w:rPr>
    </w:lvl>
    <w:lvl w:ilvl="6">
      <w:start w:val="0"/>
      <w:numFmt w:val="bullet"/>
      <w:lvlText w:val="•"/>
      <w:lvlJc w:val="left"/>
      <w:pPr>
        <w:ind w:left="4329" w:hanging="318"/>
      </w:pPr>
      <w:rPr>
        <w:rFonts w:hint="default"/>
        <w:lang w:val="en-US" w:eastAsia="zh-CN" w:bidi="ar-SA"/>
      </w:rPr>
    </w:lvl>
    <w:lvl w:ilvl="7">
      <w:start w:val="0"/>
      <w:numFmt w:val="bullet"/>
      <w:lvlText w:val="•"/>
      <w:lvlJc w:val="left"/>
      <w:pPr>
        <w:ind w:left="4978" w:hanging="318"/>
      </w:pPr>
      <w:rPr>
        <w:rFonts w:hint="default"/>
        <w:lang w:val="en-US" w:eastAsia="zh-CN" w:bidi="ar-SA"/>
      </w:rPr>
    </w:lvl>
    <w:lvl w:ilvl="8">
      <w:start w:val="0"/>
      <w:numFmt w:val="bullet"/>
      <w:lvlText w:val="•"/>
      <w:lvlJc w:val="left"/>
      <w:pPr>
        <w:ind w:left="5626" w:hanging="318"/>
      </w:pPr>
      <w:rPr>
        <w:rFonts w:hint="default"/>
        <w:lang w:val="en-US" w:eastAsia="zh-CN" w:bidi="ar-SA"/>
      </w:rPr>
    </w:lvl>
  </w:abstractNum>
  <w:abstractNum w:abstractNumId="65">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88" w:hanging="318"/>
      </w:pPr>
      <w:rPr>
        <w:rFonts w:hint="default"/>
        <w:lang w:val="en-US" w:eastAsia="zh-CN" w:bidi="ar-SA"/>
      </w:rPr>
    </w:lvl>
    <w:lvl w:ilvl="2">
      <w:start w:val="0"/>
      <w:numFmt w:val="bullet"/>
      <w:lvlText w:val="•"/>
      <w:lvlJc w:val="left"/>
      <w:pPr>
        <w:ind w:left="1736" w:hanging="318"/>
      </w:pPr>
      <w:rPr>
        <w:rFonts w:hint="default"/>
        <w:lang w:val="en-US" w:eastAsia="zh-CN" w:bidi="ar-SA"/>
      </w:rPr>
    </w:lvl>
    <w:lvl w:ilvl="3">
      <w:start w:val="0"/>
      <w:numFmt w:val="bullet"/>
      <w:lvlText w:val="•"/>
      <w:lvlJc w:val="left"/>
      <w:pPr>
        <w:ind w:left="2384" w:hanging="318"/>
      </w:pPr>
      <w:rPr>
        <w:rFonts w:hint="default"/>
        <w:lang w:val="en-US" w:eastAsia="zh-CN" w:bidi="ar-SA"/>
      </w:rPr>
    </w:lvl>
    <w:lvl w:ilvl="4">
      <w:start w:val="0"/>
      <w:numFmt w:val="bullet"/>
      <w:lvlText w:val="•"/>
      <w:lvlJc w:val="left"/>
      <w:pPr>
        <w:ind w:left="3033" w:hanging="318"/>
      </w:pPr>
      <w:rPr>
        <w:rFonts w:hint="default"/>
        <w:lang w:val="en-US" w:eastAsia="zh-CN" w:bidi="ar-SA"/>
      </w:rPr>
    </w:lvl>
    <w:lvl w:ilvl="5">
      <w:start w:val="0"/>
      <w:numFmt w:val="bullet"/>
      <w:lvlText w:val="•"/>
      <w:lvlJc w:val="left"/>
      <w:pPr>
        <w:ind w:left="3681" w:hanging="318"/>
      </w:pPr>
      <w:rPr>
        <w:rFonts w:hint="default"/>
        <w:lang w:val="en-US" w:eastAsia="zh-CN" w:bidi="ar-SA"/>
      </w:rPr>
    </w:lvl>
    <w:lvl w:ilvl="6">
      <w:start w:val="0"/>
      <w:numFmt w:val="bullet"/>
      <w:lvlText w:val="•"/>
      <w:lvlJc w:val="left"/>
      <w:pPr>
        <w:ind w:left="4329" w:hanging="318"/>
      </w:pPr>
      <w:rPr>
        <w:rFonts w:hint="default"/>
        <w:lang w:val="en-US" w:eastAsia="zh-CN" w:bidi="ar-SA"/>
      </w:rPr>
    </w:lvl>
    <w:lvl w:ilvl="7">
      <w:start w:val="0"/>
      <w:numFmt w:val="bullet"/>
      <w:lvlText w:val="•"/>
      <w:lvlJc w:val="left"/>
      <w:pPr>
        <w:ind w:left="4978" w:hanging="318"/>
      </w:pPr>
      <w:rPr>
        <w:rFonts w:hint="default"/>
        <w:lang w:val="en-US" w:eastAsia="zh-CN" w:bidi="ar-SA"/>
      </w:rPr>
    </w:lvl>
    <w:lvl w:ilvl="8">
      <w:start w:val="0"/>
      <w:numFmt w:val="bullet"/>
      <w:lvlText w:val="•"/>
      <w:lvlJc w:val="left"/>
      <w:pPr>
        <w:ind w:left="5626" w:hanging="318"/>
      </w:pPr>
      <w:rPr>
        <w:rFonts w:hint="default"/>
        <w:lang w:val="en-US" w:eastAsia="zh-CN" w:bidi="ar-SA"/>
      </w:rPr>
    </w:lvl>
  </w:abstractNum>
  <w:abstractNum w:abstractNumId="64">
    <w:multiLevelType w:val="hybridMultilevel"/>
    <w:lvl w:ilvl="0">
      <w:start w:val="2"/>
      <w:numFmt w:val="decimal"/>
      <w:lvlText w:val="(%1)"/>
      <w:lvlJc w:val="left"/>
      <w:pPr>
        <w:ind w:left="12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11" w:hanging="318"/>
      </w:pPr>
      <w:rPr>
        <w:rFonts w:hint="default"/>
        <w:lang w:val="en-US" w:eastAsia="zh-CN" w:bidi="ar-SA"/>
      </w:rPr>
    </w:lvl>
    <w:lvl w:ilvl="2">
      <w:start w:val="0"/>
      <w:numFmt w:val="bullet"/>
      <w:lvlText w:val="•"/>
      <w:lvlJc w:val="left"/>
      <w:pPr>
        <w:ind w:left="1502" w:hanging="318"/>
      </w:pPr>
      <w:rPr>
        <w:rFonts w:hint="default"/>
        <w:lang w:val="en-US" w:eastAsia="zh-CN" w:bidi="ar-SA"/>
      </w:rPr>
    </w:lvl>
    <w:lvl w:ilvl="3">
      <w:start w:val="0"/>
      <w:numFmt w:val="bullet"/>
      <w:lvlText w:val="•"/>
      <w:lvlJc w:val="left"/>
      <w:pPr>
        <w:ind w:left="2193" w:hanging="318"/>
      </w:pPr>
      <w:rPr>
        <w:rFonts w:hint="default"/>
        <w:lang w:val="en-US" w:eastAsia="zh-CN" w:bidi="ar-SA"/>
      </w:rPr>
    </w:lvl>
    <w:lvl w:ilvl="4">
      <w:start w:val="0"/>
      <w:numFmt w:val="bullet"/>
      <w:lvlText w:val="•"/>
      <w:lvlJc w:val="left"/>
      <w:pPr>
        <w:ind w:left="2884" w:hanging="318"/>
      </w:pPr>
      <w:rPr>
        <w:rFonts w:hint="default"/>
        <w:lang w:val="en-US" w:eastAsia="zh-CN" w:bidi="ar-SA"/>
      </w:rPr>
    </w:lvl>
    <w:lvl w:ilvl="5">
      <w:start w:val="0"/>
      <w:numFmt w:val="bullet"/>
      <w:lvlText w:val="•"/>
      <w:lvlJc w:val="left"/>
      <w:pPr>
        <w:ind w:left="3575" w:hanging="318"/>
      </w:pPr>
      <w:rPr>
        <w:rFonts w:hint="default"/>
        <w:lang w:val="en-US" w:eastAsia="zh-CN" w:bidi="ar-SA"/>
      </w:rPr>
    </w:lvl>
    <w:lvl w:ilvl="6">
      <w:start w:val="0"/>
      <w:numFmt w:val="bullet"/>
      <w:lvlText w:val="•"/>
      <w:lvlJc w:val="left"/>
      <w:pPr>
        <w:ind w:left="4266" w:hanging="318"/>
      </w:pPr>
      <w:rPr>
        <w:rFonts w:hint="default"/>
        <w:lang w:val="en-US" w:eastAsia="zh-CN" w:bidi="ar-SA"/>
      </w:rPr>
    </w:lvl>
    <w:lvl w:ilvl="7">
      <w:start w:val="0"/>
      <w:numFmt w:val="bullet"/>
      <w:lvlText w:val="•"/>
      <w:lvlJc w:val="left"/>
      <w:pPr>
        <w:ind w:left="4957" w:hanging="318"/>
      </w:pPr>
      <w:rPr>
        <w:rFonts w:hint="default"/>
        <w:lang w:val="en-US" w:eastAsia="zh-CN" w:bidi="ar-SA"/>
      </w:rPr>
    </w:lvl>
    <w:lvl w:ilvl="8">
      <w:start w:val="0"/>
      <w:numFmt w:val="bullet"/>
      <w:lvlText w:val="•"/>
      <w:lvlJc w:val="left"/>
      <w:pPr>
        <w:ind w:left="5648" w:hanging="318"/>
      </w:pPr>
      <w:rPr>
        <w:rFonts w:hint="default"/>
        <w:lang w:val="en-US" w:eastAsia="zh-CN" w:bidi="ar-SA"/>
      </w:rPr>
    </w:lvl>
  </w:abstractNum>
  <w:abstractNum w:abstractNumId="63">
    <w:multiLevelType w:val="hybridMultilevel"/>
    <w:lvl w:ilvl="0">
      <w:start w:val="12"/>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4"/>
      <w:numFmt w:val="decimal"/>
      <w:lvlText w:val="%1.%2.%3"/>
      <w:lvlJc w:val="left"/>
      <w:pPr>
        <w:ind w:left="1382" w:hanging="1170"/>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113" w:hanging="318"/>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3033" w:hanging="318"/>
      </w:pPr>
      <w:rPr>
        <w:rFonts w:hint="default"/>
        <w:lang w:val="en-US" w:eastAsia="zh-CN" w:bidi="ar-SA"/>
      </w:rPr>
    </w:lvl>
    <w:lvl w:ilvl="5">
      <w:start w:val="0"/>
      <w:numFmt w:val="bullet"/>
      <w:lvlText w:val="•"/>
      <w:lvlJc w:val="left"/>
      <w:pPr>
        <w:ind w:left="3004" w:hanging="318"/>
      </w:pPr>
      <w:rPr>
        <w:rFonts w:hint="default"/>
        <w:lang w:val="en-US" w:eastAsia="zh-CN" w:bidi="ar-SA"/>
      </w:rPr>
    </w:lvl>
    <w:lvl w:ilvl="6">
      <w:start w:val="0"/>
      <w:numFmt w:val="bullet"/>
      <w:lvlText w:val="•"/>
      <w:lvlJc w:val="left"/>
      <w:pPr>
        <w:ind w:left="2975" w:hanging="318"/>
      </w:pPr>
      <w:rPr>
        <w:rFonts w:hint="default"/>
        <w:lang w:val="en-US" w:eastAsia="zh-CN" w:bidi="ar-SA"/>
      </w:rPr>
    </w:lvl>
    <w:lvl w:ilvl="7">
      <w:start w:val="0"/>
      <w:numFmt w:val="bullet"/>
      <w:lvlText w:val="•"/>
      <w:lvlJc w:val="left"/>
      <w:pPr>
        <w:ind w:left="2946" w:hanging="318"/>
      </w:pPr>
      <w:rPr>
        <w:rFonts w:hint="default"/>
        <w:lang w:val="en-US" w:eastAsia="zh-CN" w:bidi="ar-SA"/>
      </w:rPr>
    </w:lvl>
    <w:lvl w:ilvl="8">
      <w:start w:val="0"/>
      <w:numFmt w:val="bullet"/>
      <w:lvlText w:val="•"/>
      <w:lvlJc w:val="left"/>
      <w:pPr>
        <w:ind w:left="2918" w:hanging="318"/>
      </w:pPr>
      <w:rPr>
        <w:rFonts w:hint="default"/>
        <w:lang w:val="en-US" w:eastAsia="zh-CN" w:bidi="ar-SA"/>
      </w:rPr>
    </w:lvl>
  </w:abstractNum>
  <w:abstractNum w:abstractNumId="62">
    <w:multiLevelType w:val="hybridMultilevel"/>
    <w:lvl w:ilvl="0">
      <w:start w:val="1"/>
      <w:numFmt w:val="decimal"/>
      <w:lvlText w:val="(%1)"/>
      <w:lvlJc w:val="left"/>
      <w:pPr>
        <w:ind w:left="12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5" w:hanging="318"/>
      </w:pPr>
      <w:rPr>
        <w:rFonts w:hint="default"/>
        <w:lang w:val="en-US" w:eastAsia="zh-CN" w:bidi="ar-SA"/>
      </w:rPr>
    </w:lvl>
    <w:lvl w:ilvl="2">
      <w:start w:val="0"/>
      <w:numFmt w:val="bullet"/>
      <w:lvlText w:val="•"/>
      <w:lvlJc w:val="left"/>
      <w:pPr>
        <w:ind w:left="1491" w:hanging="318"/>
      </w:pPr>
      <w:rPr>
        <w:rFonts w:hint="default"/>
        <w:lang w:val="en-US" w:eastAsia="zh-CN" w:bidi="ar-SA"/>
      </w:rPr>
    </w:lvl>
    <w:lvl w:ilvl="3">
      <w:start w:val="0"/>
      <w:numFmt w:val="bullet"/>
      <w:lvlText w:val="•"/>
      <w:lvlJc w:val="left"/>
      <w:pPr>
        <w:ind w:left="2177" w:hanging="318"/>
      </w:pPr>
      <w:rPr>
        <w:rFonts w:hint="default"/>
        <w:lang w:val="en-US" w:eastAsia="zh-CN" w:bidi="ar-SA"/>
      </w:rPr>
    </w:lvl>
    <w:lvl w:ilvl="4">
      <w:start w:val="0"/>
      <w:numFmt w:val="bullet"/>
      <w:lvlText w:val="•"/>
      <w:lvlJc w:val="left"/>
      <w:pPr>
        <w:ind w:left="2863" w:hanging="318"/>
      </w:pPr>
      <w:rPr>
        <w:rFonts w:hint="default"/>
        <w:lang w:val="en-US" w:eastAsia="zh-CN" w:bidi="ar-SA"/>
      </w:rPr>
    </w:lvl>
    <w:lvl w:ilvl="5">
      <w:start w:val="0"/>
      <w:numFmt w:val="bullet"/>
      <w:lvlText w:val="•"/>
      <w:lvlJc w:val="left"/>
      <w:pPr>
        <w:ind w:left="3549" w:hanging="318"/>
      </w:pPr>
      <w:rPr>
        <w:rFonts w:hint="default"/>
        <w:lang w:val="en-US" w:eastAsia="zh-CN" w:bidi="ar-SA"/>
      </w:rPr>
    </w:lvl>
    <w:lvl w:ilvl="6">
      <w:start w:val="0"/>
      <w:numFmt w:val="bullet"/>
      <w:lvlText w:val="•"/>
      <w:lvlJc w:val="left"/>
      <w:pPr>
        <w:ind w:left="4235" w:hanging="318"/>
      </w:pPr>
      <w:rPr>
        <w:rFonts w:hint="default"/>
        <w:lang w:val="en-US" w:eastAsia="zh-CN" w:bidi="ar-SA"/>
      </w:rPr>
    </w:lvl>
    <w:lvl w:ilvl="7">
      <w:start w:val="0"/>
      <w:numFmt w:val="bullet"/>
      <w:lvlText w:val="•"/>
      <w:lvlJc w:val="left"/>
      <w:pPr>
        <w:ind w:left="4921" w:hanging="318"/>
      </w:pPr>
      <w:rPr>
        <w:rFonts w:hint="default"/>
        <w:lang w:val="en-US" w:eastAsia="zh-CN" w:bidi="ar-SA"/>
      </w:rPr>
    </w:lvl>
    <w:lvl w:ilvl="8">
      <w:start w:val="0"/>
      <w:numFmt w:val="bullet"/>
      <w:lvlText w:val="•"/>
      <w:lvlJc w:val="left"/>
      <w:pPr>
        <w:ind w:left="5607" w:hanging="318"/>
      </w:pPr>
      <w:rPr>
        <w:rFonts w:hint="default"/>
        <w:lang w:val="en-US" w:eastAsia="zh-CN" w:bidi="ar-SA"/>
      </w:rPr>
    </w:lvl>
  </w:abstractNum>
  <w:abstractNum w:abstractNumId="61">
    <w:multiLevelType w:val="hybridMultilevel"/>
    <w:lvl w:ilvl="0">
      <w:start w:val="1"/>
      <w:numFmt w:val="lowerLetter"/>
      <w:lvlText w:val="%1."/>
      <w:lvlJc w:val="left"/>
      <w:pPr>
        <w:ind w:left="127" w:hanging="213"/>
        <w:jc w:val="left"/>
      </w:pPr>
      <w:rPr>
        <w:rFonts w:hint="default" w:ascii="宋体" w:hAnsi="宋体" w:eastAsia="宋体" w:cs="宋体"/>
        <w:b w:val="0"/>
        <w:bCs w:val="0"/>
        <w:i w:val="0"/>
        <w:iCs w:val="0"/>
        <w:w w:val="100"/>
        <w:sz w:val="19"/>
        <w:szCs w:val="19"/>
        <w:shd w:fill="A6A6A6" w:color="auto" w:val="clear"/>
        <w:lang w:val="en-US" w:eastAsia="zh-CN" w:bidi="ar-SA"/>
      </w:rPr>
    </w:lvl>
    <w:lvl w:ilvl="1">
      <w:start w:val="0"/>
      <w:numFmt w:val="bullet"/>
      <w:lvlText w:val="•"/>
      <w:lvlJc w:val="left"/>
      <w:pPr>
        <w:ind w:left="805" w:hanging="213"/>
      </w:pPr>
      <w:rPr>
        <w:rFonts w:hint="default"/>
        <w:lang w:val="en-US" w:eastAsia="zh-CN" w:bidi="ar-SA"/>
      </w:rPr>
    </w:lvl>
    <w:lvl w:ilvl="2">
      <w:start w:val="0"/>
      <w:numFmt w:val="bullet"/>
      <w:lvlText w:val="•"/>
      <w:lvlJc w:val="left"/>
      <w:pPr>
        <w:ind w:left="1491" w:hanging="213"/>
      </w:pPr>
      <w:rPr>
        <w:rFonts w:hint="default"/>
        <w:lang w:val="en-US" w:eastAsia="zh-CN" w:bidi="ar-SA"/>
      </w:rPr>
    </w:lvl>
    <w:lvl w:ilvl="3">
      <w:start w:val="0"/>
      <w:numFmt w:val="bullet"/>
      <w:lvlText w:val="•"/>
      <w:lvlJc w:val="left"/>
      <w:pPr>
        <w:ind w:left="2177" w:hanging="213"/>
      </w:pPr>
      <w:rPr>
        <w:rFonts w:hint="default"/>
        <w:lang w:val="en-US" w:eastAsia="zh-CN" w:bidi="ar-SA"/>
      </w:rPr>
    </w:lvl>
    <w:lvl w:ilvl="4">
      <w:start w:val="0"/>
      <w:numFmt w:val="bullet"/>
      <w:lvlText w:val="•"/>
      <w:lvlJc w:val="left"/>
      <w:pPr>
        <w:ind w:left="2863" w:hanging="213"/>
      </w:pPr>
      <w:rPr>
        <w:rFonts w:hint="default"/>
        <w:lang w:val="en-US" w:eastAsia="zh-CN" w:bidi="ar-SA"/>
      </w:rPr>
    </w:lvl>
    <w:lvl w:ilvl="5">
      <w:start w:val="0"/>
      <w:numFmt w:val="bullet"/>
      <w:lvlText w:val="•"/>
      <w:lvlJc w:val="left"/>
      <w:pPr>
        <w:ind w:left="3549" w:hanging="213"/>
      </w:pPr>
      <w:rPr>
        <w:rFonts w:hint="default"/>
        <w:lang w:val="en-US" w:eastAsia="zh-CN" w:bidi="ar-SA"/>
      </w:rPr>
    </w:lvl>
    <w:lvl w:ilvl="6">
      <w:start w:val="0"/>
      <w:numFmt w:val="bullet"/>
      <w:lvlText w:val="•"/>
      <w:lvlJc w:val="left"/>
      <w:pPr>
        <w:ind w:left="4235" w:hanging="213"/>
      </w:pPr>
      <w:rPr>
        <w:rFonts w:hint="default"/>
        <w:lang w:val="en-US" w:eastAsia="zh-CN" w:bidi="ar-SA"/>
      </w:rPr>
    </w:lvl>
    <w:lvl w:ilvl="7">
      <w:start w:val="0"/>
      <w:numFmt w:val="bullet"/>
      <w:lvlText w:val="•"/>
      <w:lvlJc w:val="left"/>
      <w:pPr>
        <w:ind w:left="4921" w:hanging="213"/>
      </w:pPr>
      <w:rPr>
        <w:rFonts w:hint="default"/>
        <w:lang w:val="en-US" w:eastAsia="zh-CN" w:bidi="ar-SA"/>
      </w:rPr>
    </w:lvl>
    <w:lvl w:ilvl="8">
      <w:start w:val="0"/>
      <w:numFmt w:val="bullet"/>
      <w:lvlText w:val="•"/>
      <w:lvlJc w:val="left"/>
      <w:pPr>
        <w:ind w:left="5607" w:hanging="213"/>
      </w:pPr>
      <w:rPr>
        <w:rFonts w:hint="default"/>
        <w:lang w:val="en-US" w:eastAsia="zh-CN" w:bidi="ar-SA"/>
      </w:rPr>
    </w:lvl>
  </w:abstractNum>
  <w:abstractNum w:abstractNumId="60">
    <w:multiLevelType w:val="hybridMultilevel"/>
    <w:lvl w:ilvl="0">
      <w:start w:val="1"/>
      <w:numFmt w:val="decimal"/>
      <w:lvlText w:val="(%1)"/>
      <w:lvlJc w:val="left"/>
      <w:pPr>
        <w:ind w:left="127" w:hanging="32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0" w:hanging="320"/>
      </w:pPr>
      <w:rPr>
        <w:rFonts w:hint="default"/>
        <w:lang w:val="en-US" w:eastAsia="zh-CN" w:bidi="ar-SA"/>
      </w:rPr>
    </w:lvl>
    <w:lvl w:ilvl="2">
      <w:start w:val="0"/>
      <w:numFmt w:val="bullet"/>
      <w:lvlText w:val="•"/>
      <w:lvlJc w:val="left"/>
      <w:pPr>
        <w:ind w:left="1481" w:hanging="320"/>
      </w:pPr>
      <w:rPr>
        <w:rFonts w:hint="default"/>
        <w:lang w:val="en-US" w:eastAsia="zh-CN" w:bidi="ar-SA"/>
      </w:rPr>
    </w:lvl>
    <w:lvl w:ilvl="3">
      <w:start w:val="0"/>
      <w:numFmt w:val="bullet"/>
      <w:lvlText w:val="•"/>
      <w:lvlJc w:val="left"/>
      <w:pPr>
        <w:ind w:left="2161" w:hanging="320"/>
      </w:pPr>
      <w:rPr>
        <w:rFonts w:hint="default"/>
        <w:lang w:val="en-US" w:eastAsia="zh-CN" w:bidi="ar-SA"/>
      </w:rPr>
    </w:lvl>
    <w:lvl w:ilvl="4">
      <w:start w:val="0"/>
      <w:numFmt w:val="bullet"/>
      <w:lvlText w:val="•"/>
      <w:lvlJc w:val="left"/>
      <w:pPr>
        <w:ind w:left="2842" w:hanging="320"/>
      </w:pPr>
      <w:rPr>
        <w:rFonts w:hint="default"/>
        <w:lang w:val="en-US" w:eastAsia="zh-CN" w:bidi="ar-SA"/>
      </w:rPr>
    </w:lvl>
    <w:lvl w:ilvl="5">
      <w:start w:val="0"/>
      <w:numFmt w:val="bullet"/>
      <w:lvlText w:val="•"/>
      <w:lvlJc w:val="left"/>
      <w:pPr>
        <w:ind w:left="3523" w:hanging="320"/>
      </w:pPr>
      <w:rPr>
        <w:rFonts w:hint="default"/>
        <w:lang w:val="en-US" w:eastAsia="zh-CN" w:bidi="ar-SA"/>
      </w:rPr>
    </w:lvl>
    <w:lvl w:ilvl="6">
      <w:start w:val="0"/>
      <w:numFmt w:val="bullet"/>
      <w:lvlText w:val="•"/>
      <w:lvlJc w:val="left"/>
      <w:pPr>
        <w:ind w:left="4203" w:hanging="320"/>
      </w:pPr>
      <w:rPr>
        <w:rFonts w:hint="default"/>
        <w:lang w:val="en-US" w:eastAsia="zh-CN" w:bidi="ar-SA"/>
      </w:rPr>
    </w:lvl>
    <w:lvl w:ilvl="7">
      <w:start w:val="0"/>
      <w:numFmt w:val="bullet"/>
      <w:lvlText w:val="•"/>
      <w:lvlJc w:val="left"/>
      <w:pPr>
        <w:ind w:left="4884" w:hanging="320"/>
      </w:pPr>
      <w:rPr>
        <w:rFonts w:hint="default"/>
        <w:lang w:val="en-US" w:eastAsia="zh-CN" w:bidi="ar-SA"/>
      </w:rPr>
    </w:lvl>
    <w:lvl w:ilvl="8">
      <w:start w:val="0"/>
      <w:numFmt w:val="bullet"/>
      <w:lvlText w:val="•"/>
      <w:lvlJc w:val="left"/>
      <w:pPr>
        <w:ind w:left="5564" w:hanging="320"/>
      </w:pPr>
      <w:rPr>
        <w:rFonts w:hint="default"/>
        <w:lang w:val="en-US" w:eastAsia="zh-CN" w:bidi="ar-SA"/>
      </w:rPr>
    </w:lvl>
  </w:abstractNum>
  <w:abstractNum w:abstractNumId="59">
    <w:multiLevelType w:val="hybridMultilevel"/>
    <w:lvl w:ilvl="0">
      <w:start w:val="11"/>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5"/>
      <w:numFmt w:val="decimal"/>
      <w:lvlText w:val="%1.%2.%3"/>
      <w:lvlJc w:val="left"/>
      <w:pPr>
        <w:ind w:left="1382" w:hanging="1170"/>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4129" w:hanging="1170"/>
      </w:pPr>
      <w:rPr>
        <w:rFonts w:hint="default"/>
        <w:lang w:val="en-US" w:eastAsia="zh-CN" w:bidi="ar-SA"/>
      </w:rPr>
    </w:lvl>
    <w:lvl w:ilvl="4">
      <w:start w:val="0"/>
      <w:numFmt w:val="bullet"/>
      <w:lvlText w:val="•"/>
      <w:lvlJc w:val="left"/>
      <w:pPr>
        <w:ind w:left="5046" w:hanging="1170"/>
      </w:pPr>
      <w:rPr>
        <w:rFonts w:hint="default"/>
        <w:lang w:val="en-US" w:eastAsia="zh-CN" w:bidi="ar-SA"/>
      </w:rPr>
    </w:lvl>
    <w:lvl w:ilvl="5">
      <w:start w:val="0"/>
      <w:numFmt w:val="bullet"/>
      <w:lvlText w:val="•"/>
      <w:lvlJc w:val="left"/>
      <w:pPr>
        <w:ind w:left="5963" w:hanging="1170"/>
      </w:pPr>
      <w:rPr>
        <w:rFonts w:hint="default"/>
        <w:lang w:val="en-US" w:eastAsia="zh-CN" w:bidi="ar-SA"/>
      </w:rPr>
    </w:lvl>
    <w:lvl w:ilvl="6">
      <w:start w:val="0"/>
      <w:numFmt w:val="bullet"/>
      <w:lvlText w:val="•"/>
      <w:lvlJc w:val="left"/>
      <w:pPr>
        <w:ind w:left="6879" w:hanging="1170"/>
      </w:pPr>
      <w:rPr>
        <w:rFonts w:hint="default"/>
        <w:lang w:val="en-US" w:eastAsia="zh-CN" w:bidi="ar-SA"/>
      </w:rPr>
    </w:lvl>
    <w:lvl w:ilvl="7">
      <w:start w:val="0"/>
      <w:numFmt w:val="bullet"/>
      <w:lvlText w:val="•"/>
      <w:lvlJc w:val="left"/>
      <w:pPr>
        <w:ind w:left="7796" w:hanging="1170"/>
      </w:pPr>
      <w:rPr>
        <w:rFonts w:hint="default"/>
        <w:lang w:val="en-US" w:eastAsia="zh-CN" w:bidi="ar-SA"/>
      </w:rPr>
    </w:lvl>
    <w:lvl w:ilvl="8">
      <w:start w:val="0"/>
      <w:numFmt w:val="bullet"/>
      <w:lvlText w:val="•"/>
      <w:lvlJc w:val="left"/>
      <w:pPr>
        <w:ind w:left="8713" w:hanging="1170"/>
      </w:pPr>
      <w:rPr>
        <w:rFonts w:hint="default"/>
        <w:lang w:val="en-US" w:eastAsia="zh-CN" w:bidi="ar-SA"/>
      </w:rPr>
    </w:lvl>
  </w:abstractNum>
  <w:abstractNum w:abstractNumId="58">
    <w:multiLevelType w:val="hybridMultilevel"/>
    <w:lvl w:ilvl="0">
      <w:start w:val="1"/>
      <w:numFmt w:val="decimal"/>
      <w:lvlText w:val="(%1)"/>
      <w:lvlJc w:val="left"/>
      <w:pPr>
        <w:ind w:left="12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5" w:hanging="318"/>
      </w:pPr>
      <w:rPr>
        <w:rFonts w:hint="default"/>
        <w:lang w:val="en-US" w:eastAsia="zh-CN" w:bidi="ar-SA"/>
      </w:rPr>
    </w:lvl>
    <w:lvl w:ilvl="2">
      <w:start w:val="0"/>
      <w:numFmt w:val="bullet"/>
      <w:lvlText w:val="•"/>
      <w:lvlJc w:val="left"/>
      <w:pPr>
        <w:ind w:left="1491" w:hanging="318"/>
      </w:pPr>
      <w:rPr>
        <w:rFonts w:hint="default"/>
        <w:lang w:val="en-US" w:eastAsia="zh-CN" w:bidi="ar-SA"/>
      </w:rPr>
    </w:lvl>
    <w:lvl w:ilvl="3">
      <w:start w:val="0"/>
      <w:numFmt w:val="bullet"/>
      <w:lvlText w:val="•"/>
      <w:lvlJc w:val="left"/>
      <w:pPr>
        <w:ind w:left="2177" w:hanging="318"/>
      </w:pPr>
      <w:rPr>
        <w:rFonts w:hint="default"/>
        <w:lang w:val="en-US" w:eastAsia="zh-CN" w:bidi="ar-SA"/>
      </w:rPr>
    </w:lvl>
    <w:lvl w:ilvl="4">
      <w:start w:val="0"/>
      <w:numFmt w:val="bullet"/>
      <w:lvlText w:val="•"/>
      <w:lvlJc w:val="left"/>
      <w:pPr>
        <w:ind w:left="2863" w:hanging="318"/>
      </w:pPr>
      <w:rPr>
        <w:rFonts w:hint="default"/>
        <w:lang w:val="en-US" w:eastAsia="zh-CN" w:bidi="ar-SA"/>
      </w:rPr>
    </w:lvl>
    <w:lvl w:ilvl="5">
      <w:start w:val="0"/>
      <w:numFmt w:val="bullet"/>
      <w:lvlText w:val="•"/>
      <w:lvlJc w:val="left"/>
      <w:pPr>
        <w:ind w:left="3549" w:hanging="318"/>
      </w:pPr>
      <w:rPr>
        <w:rFonts w:hint="default"/>
        <w:lang w:val="en-US" w:eastAsia="zh-CN" w:bidi="ar-SA"/>
      </w:rPr>
    </w:lvl>
    <w:lvl w:ilvl="6">
      <w:start w:val="0"/>
      <w:numFmt w:val="bullet"/>
      <w:lvlText w:val="•"/>
      <w:lvlJc w:val="left"/>
      <w:pPr>
        <w:ind w:left="4235" w:hanging="318"/>
      </w:pPr>
      <w:rPr>
        <w:rFonts w:hint="default"/>
        <w:lang w:val="en-US" w:eastAsia="zh-CN" w:bidi="ar-SA"/>
      </w:rPr>
    </w:lvl>
    <w:lvl w:ilvl="7">
      <w:start w:val="0"/>
      <w:numFmt w:val="bullet"/>
      <w:lvlText w:val="•"/>
      <w:lvlJc w:val="left"/>
      <w:pPr>
        <w:ind w:left="4921" w:hanging="318"/>
      </w:pPr>
      <w:rPr>
        <w:rFonts w:hint="default"/>
        <w:lang w:val="en-US" w:eastAsia="zh-CN" w:bidi="ar-SA"/>
      </w:rPr>
    </w:lvl>
    <w:lvl w:ilvl="8">
      <w:start w:val="0"/>
      <w:numFmt w:val="bullet"/>
      <w:lvlText w:val="•"/>
      <w:lvlJc w:val="left"/>
      <w:pPr>
        <w:ind w:left="5607" w:hanging="318"/>
      </w:pPr>
      <w:rPr>
        <w:rFonts w:hint="default"/>
        <w:lang w:val="en-US" w:eastAsia="zh-CN" w:bidi="ar-SA"/>
      </w:rPr>
    </w:lvl>
  </w:abstractNum>
  <w:abstractNum w:abstractNumId="57">
    <w:multiLevelType w:val="hybridMultilevel"/>
    <w:lvl w:ilvl="0">
      <w:start w:val="1"/>
      <w:numFmt w:val="decimal"/>
      <w:lvlText w:val="(%1)"/>
      <w:lvlJc w:val="left"/>
      <w:pPr>
        <w:ind w:left="444"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8" w:hanging="318"/>
      </w:pPr>
      <w:rPr>
        <w:rFonts w:hint="default"/>
        <w:lang w:val="en-US" w:eastAsia="zh-CN" w:bidi="ar-SA"/>
      </w:rPr>
    </w:lvl>
    <w:lvl w:ilvl="2">
      <w:start w:val="0"/>
      <w:numFmt w:val="bullet"/>
      <w:lvlText w:val="•"/>
      <w:lvlJc w:val="left"/>
      <w:pPr>
        <w:ind w:left="1757" w:hanging="318"/>
      </w:pPr>
      <w:rPr>
        <w:rFonts w:hint="default"/>
        <w:lang w:val="en-US" w:eastAsia="zh-CN" w:bidi="ar-SA"/>
      </w:rPr>
    </w:lvl>
    <w:lvl w:ilvl="3">
      <w:start w:val="0"/>
      <w:numFmt w:val="bullet"/>
      <w:lvlText w:val="•"/>
      <w:lvlJc w:val="left"/>
      <w:pPr>
        <w:ind w:left="2416" w:hanging="318"/>
      </w:pPr>
      <w:rPr>
        <w:rFonts w:hint="default"/>
        <w:lang w:val="en-US" w:eastAsia="zh-CN" w:bidi="ar-SA"/>
      </w:rPr>
    </w:lvl>
    <w:lvl w:ilvl="4">
      <w:start w:val="0"/>
      <w:numFmt w:val="bullet"/>
      <w:lvlText w:val="•"/>
      <w:lvlJc w:val="left"/>
      <w:pPr>
        <w:ind w:left="3075" w:hanging="318"/>
      </w:pPr>
      <w:rPr>
        <w:rFonts w:hint="default"/>
        <w:lang w:val="en-US" w:eastAsia="zh-CN" w:bidi="ar-SA"/>
      </w:rPr>
    </w:lvl>
    <w:lvl w:ilvl="5">
      <w:start w:val="0"/>
      <w:numFmt w:val="bullet"/>
      <w:lvlText w:val="•"/>
      <w:lvlJc w:val="left"/>
      <w:pPr>
        <w:ind w:left="3734" w:hanging="318"/>
      </w:pPr>
      <w:rPr>
        <w:rFonts w:hint="default"/>
        <w:lang w:val="en-US" w:eastAsia="zh-CN" w:bidi="ar-SA"/>
      </w:rPr>
    </w:lvl>
    <w:lvl w:ilvl="6">
      <w:start w:val="0"/>
      <w:numFmt w:val="bullet"/>
      <w:lvlText w:val="•"/>
      <w:lvlJc w:val="left"/>
      <w:pPr>
        <w:ind w:left="4393" w:hanging="318"/>
      </w:pPr>
      <w:rPr>
        <w:rFonts w:hint="default"/>
        <w:lang w:val="en-US" w:eastAsia="zh-CN" w:bidi="ar-SA"/>
      </w:rPr>
    </w:lvl>
    <w:lvl w:ilvl="7">
      <w:start w:val="0"/>
      <w:numFmt w:val="bullet"/>
      <w:lvlText w:val="•"/>
      <w:lvlJc w:val="left"/>
      <w:pPr>
        <w:ind w:left="5052" w:hanging="318"/>
      </w:pPr>
      <w:rPr>
        <w:rFonts w:hint="default"/>
        <w:lang w:val="en-US" w:eastAsia="zh-CN" w:bidi="ar-SA"/>
      </w:rPr>
    </w:lvl>
    <w:lvl w:ilvl="8">
      <w:start w:val="0"/>
      <w:numFmt w:val="bullet"/>
      <w:lvlText w:val="•"/>
      <w:lvlJc w:val="left"/>
      <w:pPr>
        <w:ind w:left="5711" w:hanging="318"/>
      </w:pPr>
      <w:rPr>
        <w:rFonts w:hint="default"/>
        <w:lang w:val="en-US" w:eastAsia="zh-CN" w:bidi="ar-SA"/>
      </w:rPr>
    </w:lvl>
  </w:abstractNum>
  <w:abstractNum w:abstractNumId="56">
    <w:multiLevelType w:val="hybridMultilevel"/>
    <w:lvl w:ilvl="0">
      <w:start w:val="1"/>
      <w:numFmt w:val="decimal"/>
      <w:lvlText w:val="(%1)"/>
      <w:lvlJc w:val="left"/>
      <w:pPr>
        <w:ind w:left="444"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9" w:hanging="318"/>
      </w:pPr>
      <w:rPr>
        <w:rFonts w:hint="default"/>
        <w:lang w:val="en-US" w:eastAsia="zh-CN" w:bidi="ar-SA"/>
      </w:rPr>
    </w:lvl>
    <w:lvl w:ilvl="2">
      <w:start w:val="0"/>
      <w:numFmt w:val="bullet"/>
      <w:lvlText w:val="•"/>
      <w:lvlJc w:val="left"/>
      <w:pPr>
        <w:ind w:left="1758" w:hanging="318"/>
      </w:pPr>
      <w:rPr>
        <w:rFonts w:hint="default"/>
        <w:lang w:val="en-US" w:eastAsia="zh-CN" w:bidi="ar-SA"/>
      </w:rPr>
    </w:lvl>
    <w:lvl w:ilvl="3">
      <w:start w:val="0"/>
      <w:numFmt w:val="bullet"/>
      <w:lvlText w:val="•"/>
      <w:lvlJc w:val="left"/>
      <w:pPr>
        <w:ind w:left="2417" w:hanging="318"/>
      </w:pPr>
      <w:rPr>
        <w:rFonts w:hint="default"/>
        <w:lang w:val="en-US" w:eastAsia="zh-CN" w:bidi="ar-SA"/>
      </w:rPr>
    </w:lvl>
    <w:lvl w:ilvl="4">
      <w:start w:val="0"/>
      <w:numFmt w:val="bullet"/>
      <w:lvlText w:val="•"/>
      <w:lvlJc w:val="left"/>
      <w:pPr>
        <w:ind w:left="3076" w:hanging="318"/>
      </w:pPr>
      <w:rPr>
        <w:rFonts w:hint="default"/>
        <w:lang w:val="en-US" w:eastAsia="zh-CN" w:bidi="ar-SA"/>
      </w:rPr>
    </w:lvl>
    <w:lvl w:ilvl="5">
      <w:start w:val="0"/>
      <w:numFmt w:val="bullet"/>
      <w:lvlText w:val="•"/>
      <w:lvlJc w:val="left"/>
      <w:pPr>
        <w:ind w:left="3736" w:hanging="318"/>
      </w:pPr>
      <w:rPr>
        <w:rFonts w:hint="default"/>
        <w:lang w:val="en-US" w:eastAsia="zh-CN" w:bidi="ar-SA"/>
      </w:rPr>
    </w:lvl>
    <w:lvl w:ilvl="6">
      <w:start w:val="0"/>
      <w:numFmt w:val="bullet"/>
      <w:lvlText w:val="•"/>
      <w:lvlJc w:val="left"/>
      <w:pPr>
        <w:ind w:left="4395" w:hanging="318"/>
      </w:pPr>
      <w:rPr>
        <w:rFonts w:hint="default"/>
        <w:lang w:val="en-US" w:eastAsia="zh-CN" w:bidi="ar-SA"/>
      </w:rPr>
    </w:lvl>
    <w:lvl w:ilvl="7">
      <w:start w:val="0"/>
      <w:numFmt w:val="bullet"/>
      <w:lvlText w:val="•"/>
      <w:lvlJc w:val="left"/>
      <w:pPr>
        <w:ind w:left="5054" w:hanging="318"/>
      </w:pPr>
      <w:rPr>
        <w:rFonts w:hint="default"/>
        <w:lang w:val="en-US" w:eastAsia="zh-CN" w:bidi="ar-SA"/>
      </w:rPr>
    </w:lvl>
    <w:lvl w:ilvl="8">
      <w:start w:val="0"/>
      <w:numFmt w:val="bullet"/>
      <w:lvlText w:val="•"/>
      <w:lvlJc w:val="left"/>
      <w:pPr>
        <w:ind w:left="5713" w:hanging="318"/>
      </w:pPr>
      <w:rPr>
        <w:rFonts w:hint="default"/>
        <w:lang w:val="en-US" w:eastAsia="zh-CN" w:bidi="ar-SA"/>
      </w:rPr>
    </w:lvl>
  </w:abstractNum>
  <w:abstractNum w:abstractNumId="55">
    <w:multiLevelType w:val="hybridMultilevel"/>
    <w:lvl w:ilvl="0">
      <w:start w:val="1"/>
      <w:numFmt w:val="decimal"/>
      <w:lvlText w:val="(%1)"/>
      <w:lvlJc w:val="left"/>
      <w:pPr>
        <w:ind w:left="444"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9" w:hanging="318"/>
      </w:pPr>
      <w:rPr>
        <w:rFonts w:hint="default"/>
        <w:lang w:val="en-US" w:eastAsia="zh-CN" w:bidi="ar-SA"/>
      </w:rPr>
    </w:lvl>
    <w:lvl w:ilvl="2">
      <w:start w:val="0"/>
      <w:numFmt w:val="bullet"/>
      <w:lvlText w:val="•"/>
      <w:lvlJc w:val="left"/>
      <w:pPr>
        <w:ind w:left="1758" w:hanging="318"/>
      </w:pPr>
      <w:rPr>
        <w:rFonts w:hint="default"/>
        <w:lang w:val="en-US" w:eastAsia="zh-CN" w:bidi="ar-SA"/>
      </w:rPr>
    </w:lvl>
    <w:lvl w:ilvl="3">
      <w:start w:val="0"/>
      <w:numFmt w:val="bullet"/>
      <w:lvlText w:val="•"/>
      <w:lvlJc w:val="left"/>
      <w:pPr>
        <w:ind w:left="2417" w:hanging="318"/>
      </w:pPr>
      <w:rPr>
        <w:rFonts w:hint="default"/>
        <w:lang w:val="en-US" w:eastAsia="zh-CN" w:bidi="ar-SA"/>
      </w:rPr>
    </w:lvl>
    <w:lvl w:ilvl="4">
      <w:start w:val="0"/>
      <w:numFmt w:val="bullet"/>
      <w:lvlText w:val="•"/>
      <w:lvlJc w:val="left"/>
      <w:pPr>
        <w:ind w:left="3076" w:hanging="318"/>
      </w:pPr>
      <w:rPr>
        <w:rFonts w:hint="default"/>
        <w:lang w:val="en-US" w:eastAsia="zh-CN" w:bidi="ar-SA"/>
      </w:rPr>
    </w:lvl>
    <w:lvl w:ilvl="5">
      <w:start w:val="0"/>
      <w:numFmt w:val="bullet"/>
      <w:lvlText w:val="•"/>
      <w:lvlJc w:val="left"/>
      <w:pPr>
        <w:ind w:left="3736" w:hanging="318"/>
      </w:pPr>
      <w:rPr>
        <w:rFonts w:hint="default"/>
        <w:lang w:val="en-US" w:eastAsia="zh-CN" w:bidi="ar-SA"/>
      </w:rPr>
    </w:lvl>
    <w:lvl w:ilvl="6">
      <w:start w:val="0"/>
      <w:numFmt w:val="bullet"/>
      <w:lvlText w:val="•"/>
      <w:lvlJc w:val="left"/>
      <w:pPr>
        <w:ind w:left="4395" w:hanging="318"/>
      </w:pPr>
      <w:rPr>
        <w:rFonts w:hint="default"/>
        <w:lang w:val="en-US" w:eastAsia="zh-CN" w:bidi="ar-SA"/>
      </w:rPr>
    </w:lvl>
    <w:lvl w:ilvl="7">
      <w:start w:val="0"/>
      <w:numFmt w:val="bullet"/>
      <w:lvlText w:val="•"/>
      <w:lvlJc w:val="left"/>
      <w:pPr>
        <w:ind w:left="5054" w:hanging="318"/>
      </w:pPr>
      <w:rPr>
        <w:rFonts w:hint="default"/>
        <w:lang w:val="en-US" w:eastAsia="zh-CN" w:bidi="ar-SA"/>
      </w:rPr>
    </w:lvl>
    <w:lvl w:ilvl="8">
      <w:start w:val="0"/>
      <w:numFmt w:val="bullet"/>
      <w:lvlText w:val="•"/>
      <w:lvlJc w:val="left"/>
      <w:pPr>
        <w:ind w:left="5713" w:hanging="318"/>
      </w:pPr>
      <w:rPr>
        <w:rFonts w:hint="default"/>
        <w:lang w:val="en-US" w:eastAsia="zh-CN" w:bidi="ar-SA"/>
      </w:rPr>
    </w:lvl>
  </w:abstractNum>
  <w:abstractNum w:abstractNumId="54">
    <w:multiLevelType w:val="hybridMultilevel"/>
    <w:lvl w:ilvl="0">
      <w:start w:val="1"/>
      <w:numFmt w:val="decimal"/>
      <w:lvlText w:val="(%1)"/>
      <w:lvlJc w:val="left"/>
      <w:pPr>
        <w:ind w:left="12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11" w:hanging="318"/>
      </w:pPr>
      <w:rPr>
        <w:rFonts w:hint="default"/>
        <w:lang w:val="en-US" w:eastAsia="zh-CN" w:bidi="ar-SA"/>
      </w:rPr>
    </w:lvl>
    <w:lvl w:ilvl="2">
      <w:start w:val="0"/>
      <w:numFmt w:val="bullet"/>
      <w:lvlText w:val="•"/>
      <w:lvlJc w:val="left"/>
      <w:pPr>
        <w:ind w:left="1502" w:hanging="318"/>
      </w:pPr>
      <w:rPr>
        <w:rFonts w:hint="default"/>
        <w:lang w:val="en-US" w:eastAsia="zh-CN" w:bidi="ar-SA"/>
      </w:rPr>
    </w:lvl>
    <w:lvl w:ilvl="3">
      <w:start w:val="0"/>
      <w:numFmt w:val="bullet"/>
      <w:lvlText w:val="•"/>
      <w:lvlJc w:val="left"/>
      <w:pPr>
        <w:ind w:left="2193" w:hanging="318"/>
      </w:pPr>
      <w:rPr>
        <w:rFonts w:hint="default"/>
        <w:lang w:val="en-US" w:eastAsia="zh-CN" w:bidi="ar-SA"/>
      </w:rPr>
    </w:lvl>
    <w:lvl w:ilvl="4">
      <w:start w:val="0"/>
      <w:numFmt w:val="bullet"/>
      <w:lvlText w:val="•"/>
      <w:lvlJc w:val="left"/>
      <w:pPr>
        <w:ind w:left="2884" w:hanging="318"/>
      </w:pPr>
      <w:rPr>
        <w:rFonts w:hint="default"/>
        <w:lang w:val="en-US" w:eastAsia="zh-CN" w:bidi="ar-SA"/>
      </w:rPr>
    </w:lvl>
    <w:lvl w:ilvl="5">
      <w:start w:val="0"/>
      <w:numFmt w:val="bullet"/>
      <w:lvlText w:val="•"/>
      <w:lvlJc w:val="left"/>
      <w:pPr>
        <w:ind w:left="3576" w:hanging="318"/>
      </w:pPr>
      <w:rPr>
        <w:rFonts w:hint="default"/>
        <w:lang w:val="en-US" w:eastAsia="zh-CN" w:bidi="ar-SA"/>
      </w:rPr>
    </w:lvl>
    <w:lvl w:ilvl="6">
      <w:start w:val="0"/>
      <w:numFmt w:val="bullet"/>
      <w:lvlText w:val="•"/>
      <w:lvlJc w:val="left"/>
      <w:pPr>
        <w:ind w:left="4267" w:hanging="318"/>
      </w:pPr>
      <w:rPr>
        <w:rFonts w:hint="default"/>
        <w:lang w:val="en-US" w:eastAsia="zh-CN" w:bidi="ar-SA"/>
      </w:rPr>
    </w:lvl>
    <w:lvl w:ilvl="7">
      <w:start w:val="0"/>
      <w:numFmt w:val="bullet"/>
      <w:lvlText w:val="•"/>
      <w:lvlJc w:val="left"/>
      <w:pPr>
        <w:ind w:left="4958" w:hanging="318"/>
      </w:pPr>
      <w:rPr>
        <w:rFonts w:hint="default"/>
        <w:lang w:val="en-US" w:eastAsia="zh-CN" w:bidi="ar-SA"/>
      </w:rPr>
    </w:lvl>
    <w:lvl w:ilvl="8">
      <w:start w:val="0"/>
      <w:numFmt w:val="bullet"/>
      <w:lvlText w:val="•"/>
      <w:lvlJc w:val="left"/>
      <w:pPr>
        <w:ind w:left="5649" w:hanging="318"/>
      </w:pPr>
      <w:rPr>
        <w:rFonts w:hint="default"/>
        <w:lang w:val="en-US" w:eastAsia="zh-CN" w:bidi="ar-SA"/>
      </w:rPr>
    </w:lvl>
  </w:abstractNum>
  <w:abstractNum w:abstractNumId="53">
    <w:multiLevelType w:val="hybridMultilevel"/>
    <w:lvl w:ilvl="0">
      <w:start w:val="1"/>
      <w:numFmt w:val="decimal"/>
      <w:lvlText w:val="(%1)"/>
      <w:lvlJc w:val="left"/>
      <w:pPr>
        <w:ind w:left="54"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750" w:hanging="318"/>
      </w:pPr>
      <w:rPr>
        <w:rFonts w:hint="default"/>
        <w:lang w:val="en-US" w:eastAsia="zh-CN" w:bidi="ar-SA"/>
      </w:rPr>
    </w:lvl>
    <w:lvl w:ilvl="2">
      <w:start w:val="0"/>
      <w:numFmt w:val="bullet"/>
      <w:lvlText w:val="•"/>
      <w:lvlJc w:val="left"/>
      <w:pPr>
        <w:ind w:left="1440" w:hanging="318"/>
      </w:pPr>
      <w:rPr>
        <w:rFonts w:hint="default"/>
        <w:lang w:val="en-US" w:eastAsia="zh-CN" w:bidi="ar-SA"/>
      </w:rPr>
    </w:lvl>
    <w:lvl w:ilvl="3">
      <w:start w:val="0"/>
      <w:numFmt w:val="bullet"/>
      <w:lvlText w:val="•"/>
      <w:lvlJc w:val="left"/>
      <w:pPr>
        <w:ind w:left="2130" w:hanging="318"/>
      </w:pPr>
      <w:rPr>
        <w:rFonts w:hint="default"/>
        <w:lang w:val="en-US" w:eastAsia="zh-CN" w:bidi="ar-SA"/>
      </w:rPr>
    </w:lvl>
    <w:lvl w:ilvl="4">
      <w:start w:val="0"/>
      <w:numFmt w:val="bullet"/>
      <w:lvlText w:val="•"/>
      <w:lvlJc w:val="left"/>
      <w:pPr>
        <w:ind w:left="2820" w:hanging="318"/>
      </w:pPr>
      <w:rPr>
        <w:rFonts w:hint="default"/>
        <w:lang w:val="en-US" w:eastAsia="zh-CN" w:bidi="ar-SA"/>
      </w:rPr>
    </w:lvl>
    <w:lvl w:ilvl="5">
      <w:start w:val="0"/>
      <w:numFmt w:val="bullet"/>
      <w:lvlText w:val="•"/>
      <w:lvlJc w:val="left"/>
      <w:pPr>
        <w:ind w:left="3510" w:hanging="318"/>
      </w:pPr>
      <w:rPr>
        <w:rFonts w:hint="default"/>
        <w:lang w:val="en-US" w:eastAsia="zh-CN" w:bidi="ar-SA"/>
      </w:rPr>
    </w:lvl>
    <w:lvl w:ilvl="6">
      <w:start w:val="0"/>
      <w:numFmt w:val="bullet"/>
      <w:lvlText w:val="•"/>
      <w:lvlJc w:val="left"/>
      <w:pPr>
        <w:ind w:left="4200" w:hanging="318"/>
      </w:pPr>
      <w:rPr>
        <w:rFonts w:hint="default"/>
        <w:lang w:val="en-US" w:eastAsia="zh-CN" w:bidi="ar-SA"/>
      </w:rPr>
    </w:lvl>
    <w:lvl w:ilvl="7">
      <w:start w:val="0"/>
      <w:numFmt w:val="bullet"/>
      <w:lvlText w:val="•"/>
      <w:lvlJc w:val="left"/>
      <w:pPr>
        <w:ind w:left="4890" w:hanging="318"/>
      </w:pPr>
      <w:rPr>
        <w:rFonts w:hint="default"/>
        <w:lang w:val="en-US" w:eastAsia="zh-CN" w:bidi="ar-SA"/>
      </w:rPr>
    </w:lvl>
    <w:lvl w:ilvl="8">
      <w:start w:val="0"/>
      <w:numFmt w:val="bullet"/>
      <w:lvlText w:val="•"/>
      <w:lvlJc w:val="left"/>
      <w:pPr>
        <w:ind w:left="5580" w:hanging="318"/>
      </w:pPr>
      <w:rPr>
        <w:rFonts w:hint="default"/>
        <w:lang w:val="en-US" w:eastAsia="zh-CN" w:bidi="ar-SA"/>
      </w:rPr>
    </w:lvl>
  </w:abstractNum>
  <w:abstractNum w:abstractNumId="52">
    <w:multiLevelType w:val="hybridMultilevel"/>
    <w:lvl w:ilvl="0">
      <w:start w:val="1"/>
      <w:numFmt w:val="decimal"/>
      <w:lvlText w:val="(%1)"/>
      <w:lvlJc w:val="left"/>
      <w:pPr>
        <w:ind w:left="372"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38" w:hanging="318"/>
      </w:pPr>
      <w:rPr>
        <w:rFonts w:hint="default"/>
        <w:lang w:val="en-US" w:eastAsia="zh-CN" w:bidi="ar-SA"/>
      </w:rPr>
    </w:lvl>
    <w:lvl w:ilvl="2">
      <w:start w:val="0"/>
      <w:numFmt w:val="bullet"/>
      <w:lvlText w:val="•"/>
      <w:lvlJc w:val="left"/>
      <w:pPr>
        <w:ind w:left="1696" w:hanging="318"/>
      </w:pPr>
      <w:rPr>
        <w:rFonts w:hint="default"/>
        <w:lang w:val="en-US" w:eastAsia="zh-CN" w:bidi="ar-SA"/>
      </w:rPr>
    </w:lvl>
    <w:lvl w:ilvl="3">
      <w:start w:val="0"/>
      <w:numFmt w:val="bullet"/>
      <w:lvlText w:val="•"/>
      <w:lvlJc w:val="left"/>
      <w:pPr>
        <w:ind w:left="2354" w:hanging="318"/>
      </w:pPr>
      <w:rPr>
        <w:rFonts w:hint="default"/>
        <w:lang w:val="en-US" w:eastAsia="zh-CN" w:bidi="ar-SA"/>
      </w:rPr>
    </w:lvl>
    <w:lvl w:ilvl="4">
      <w:start w:val="0"/>
      <w:numFmt w:val="bullet"/>
      <w:lvlText w:val="•"/>
      <w:lvlJc w:val="left"/>
      <w:pPr>
        <w:ind w:left="3012" w:hanging="318"/>
      </w:pPr>
      <w:rPr>
        <w:rFonts w:hint="default"/>
        <w:lang w:val="en-US" w:eastAsia="zh-CN" w:bidi="ar-SA"/>
      </w:rPr>
    </w:lvl>
    <w:lvl w:ilvl="5">
      <w:start w:val="0"/>
      <w:numFmt w:val="bullet"/>
      <w:lvlText w:val="•"/>
      <w:lvlJc w:val="left"/>
      <w:pPr>
        <w:ind w:left="3670" w:hanging="318"/>
      </w:pPr>
      <w:rPr>
        <w:rFonts w:hint="default"/>
        <w:lang w:val="en-US" w:eastAsia="zh-CN" w:bidi="ar-SA"/>
      </w:rPr>
    </w:lvl>
    <w:lvl w:ilvl="6">
      <w:start w:val="0"/>
      <w:numFmt w:val="bullet"/>
      <w:lvlText w:val="•"/>
      <w:lvlJc w:val="left"/>
      <w:pPr>
        <w:ind w:left="4328" w:hanging="318"/>
      </w:pPr>
      <w:rPr>
        <w:rFonts w:hint="default"/>
        <w:lang w:val="en-US" w:eastAsia="zh-CN" w:bidi="ar-SA"/>
      </w:rPr>
    </w:lvl>
    <w:lvl w:ilvl="7">
      <w:start w:val="0"/>
      <w:numFmt w:val="bullet"/>
      <w:lvlText w:val="•"/>
      <w:lvlJc w:val="left"/>
      <w:pPr>
        <w:ind w:left="4986" w:hanging="318"/>
      </w:pPr>
      <w:rPr>
        <w:rFonts w:hint="default"/>
        <w:lang w:val="en-US" w:eastAsia="zh-CN" w:bidi="ar-SA"/>
      </w:rPr>
    </w:lvl>
    <w:lvl w:ilvl="8">
      <w:start w:val="0"/>
      <w:numFmt w:val="bullet"/>
      <w:lvlText w:val="•"/>
      <w:lvlJc w:val="left"/>
      <w:pPr>
        <w:ind w:left="5644" w:hanging="318"/>
      </w:pPr>
      <w:rPr>
        <w:rFonts w:hint="default"/>
        <w:lang w:val="en-US" w:eastAsia="zh-CN" w:bidi="ar-SA"/>
      </w:rPr>
    </w:lvl>
  </w:abstractNum>
  <w:abstractNum w:abstractNumId="51">
    <w:multiLevelType w:val="hybridMultilevel"/>
    <w:lvl w:ilvl="0">
      <w:start w:val="1"/>
      <w:numFmt w:val="decimal"/>
      <w:lvlText w:val="(%1)"/>
      <w:lvlJc w:val="left"/>
      <w:pPr>
        <w:ind w:left="372"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38" w:hanging="318"/>
      </w:pPr>
      <w:rPr>
        <w:rFonts w:hint="default"/>
        <w:lang w:val="en-US" w:eastAsia="zh-CN" w:bidi="ar-SA"/>
      </w:rPr>
    </w:lvl>
    <w:lvl w:ilvl="2">
      <w:start w:val="0"/>
      <w:numFmt w:val="bullet"/>
      <w:lvlText w:val="•"/>
      <w:lvlJc w:val="left"/>
      <w:pPr>
        <w:ind w:left="1696" w:hanging="318"/>
      </w:pPr>
      <w:rPr>
        <w:rFonts w:hint="default"/>
        <w:lang w:val="en-US" w:eastAsia="zh-CN" w:bidi="ar-SA"/>
      </w:rPr>
    </w:lvl>
    <w:lvl w:ilvl="3">
      <w:start w:val="0"/>
      <w:numFmt w:val="bullet"/>
      <w:lvlText w:val="•"/>
      <w:lvlJc w:val="left"/>
      <w:pPr>
        <w:ind w:left="2354" w:hanging="318"/>
      </w:pPr>
      <w:rPr>
        <w:rFonts w:hint="default"/>
        <w:lang w:val="en-US" w:eastAsia="zh-CN" w:bidi="ar-SA"/>
      </w:rPr>
    </w:lvl>
    <w:lvl w:ilvl="4">
      <w:start w:val="0"/>
      <w:numFmt w:val="bullet"/>
      <w:lvlText w:val="•"/>
      <w:lvlJc w:val="left"/>
      <w:pPr>
        <w:ind w:left="3012" w:hanging="318"/>
      </w:pPr>
      <w:rPr>
        <w:rFonts w:hint="default"/>
        <w:lang w:val="en-US" w:eastAsia="zh-CN" w:bidi="ar-SA"/>
      </w:rPr>
    </w:lvl>
    <w:lvl w:ilvl="5">
      <w:start w:val="0"/>
      <w:numFmt w:val="bullet"/>
      <w:lvlText w:val="•"/>
      <w:lvlJc w:val="left"/>
      <w:pPr>
        <w:ind w:left="3670" w:hanging="318"/>
      </w:pPr>
      <w:rPr>
        <w:rFonts w:hint="default"/>
        <w:lang w:val="en-US" w:eastAsia="zh-CN" w:bidi="ar-SA"/>
      </w:rPr>
    </w:lvl>
    <w:lvl w:ilvl="6">
      <w:start w:val="0"/>
      <w:numFmt w:val="bullet"/>
      <w:lvlText w:val="•"/>
      <w:lvlJc w:val="left"/>
      <w:pPr>
        <w:ind w:left="4328" w:hanging="318"/>
      </w:pPr>
      <w:rPr>
        <w:rFonts w:hint="default"/>
        <w:lang w:val="en-US" w:eastAsia="zh-CN" w:bidi="ar-SA"/>
      </w:rPr>
    </w:lvl>
    <w:lvl w:ilvl="7">
      <w:start w:val="0"/>
      <w:numFmt w:val="bullet"/>
      <w:lvlText w:val="•"/>
      <w:lvlJc w:val="left"/>
      <w:pPr>
        <w:ind w:left="4986" w:hanging="318"/>
      </w:pPr>
      <w:rPr>
        <w:rFonts w:hint="default"/>
        <w:lang w:val="en-US" w:eastAsia="zh-CN" w:bidi="ar-SA"/>
      </w:rPr>
    </w:lvl>
    <w:lvl w:ilvl="8">
      <w:start w:val="0"/>
      <w:numFmt w:val="bullet"/>
      <w:lvlText w:val="•"/>
      <w:lvlJc w:val="left"/>
      <w:pPr>
        <w:ind w:left="5644" w:hanging="318"/>
      </w:pPr>
      <w:rPr>
        <w:rFonts w:hint="default"/>
        <w:lang w:val="en-US" w:eastAsia="zh-CN" w:bidi="ar-SA"/>
      </w:rPr>
    </w:lvl>
  </w:abstractNum>
  <w:abstractNum w:abstractNumId="50">
    <w:multiLevelType w:val="hybridMultilevel"/>
    <w:lvl w:ilvl="0">
      <w:start w:val="10"/>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96"/>
      <w:numFmt w:val="decimal"/>
      <w:lvlText w:val="%1.%2.%3"/>
      <w:lvlJc w:val="left"/>
      <w:pPr>
        <w:ind w:left="1382" w:hanging="1170"/>
        <w:jc w:val="left"/>
      </w:pPr>
      <w:rPr>
        <w:rFonts w:hint="default" w:ascii="微软雅黑" w:hAnsi="微软雅黑" w:eastAsia="微软雅黑" w:cs="微软雅黑"/>
        <w:b/>
        <w:bCs/>
        <w:i w:val="0"/>
        <w:iCs w:val="0"/>
        <w:w w:val="81"/>
        <w:position w:val="-1"/>
        <w:sz w:val="21"/>
        <w:szCs w:val="21"/>
        <w:lang w:val="en-US" w:eastAsia="zh-CN" w:bidi="ar-SA"/>
      </w:rPr>
    </w:lvl>
    <w:lvl w:ilvl="3">
      <w:start w:val="1"/>
      <w:numFmt w:val="decimal"/>
      <w:lvlText w:val="(%4)"/>
      <w:lvlJc w:val="left"/>
      <w:pPr>
        <w:ind w:left="3113" w:hanging="318"/>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5595" w:hanging="318"/>
      </w:pPr>
      <w:rPr>
        <w:rFonts w:hint="default"/>
        <w:lang w:val="en-US" w:eastAsia="zh-CN" w:bidi="ar-SA"/>
      </w:rPr>
    </w:lvl>
    <w:lvl w:ilvl="5">
      <w:start w:val="0"/>
      <w:numFmt w:val="bullet"/>
      <w:lvlText w:val="•"/>
      <w:lvlJc w:val="left"/>
      <w:pPr>
        <w:ind w:left="6420" w:hanging="318"/>
      </w:pPr>
      <w:rPr>
        <w:rFonts w:hint="default"/>
        <w:lang w:val="en-US" w:eastAsia="zh-CN" w:bidi="ar-SA"/>
      </w:rPr>
    </w:lvl>
    <w:lvl w:ilvl="6">
      <w:start w:val="0"/>
      <w:numFmt w:val="bullet"/>
      <w:lvlText w:val="•"/>
      <w:lvlJc w:val="left"/>
      <w:pPr>
        <w:ind w:left="7245" w:hanging="318"/>
      </w:pPr>
      <w:rPr>
        <w:rFonts w:hint="default"/>
        <w:lang w:val="en-US" w:eastAsia="zh-CN" w:bidi="ar-SA"/>
      </w:rPr>
    </w:lvl>
    <w:lvl w:ilvl="7">
      <w:start w:val="0"/>
      <w:numFmt w:val="bullet"/>
      <w:lvlText w:val="•"/>
      <w:lvlJc w:val="left"/>
      <w:pPr>
        <w:ind w:left="8070" w:hanging="318"/>
      </w:pPr>
      <w:rPr>
        <w:rFonts w:hint="default"/>
        <w:lang w:val="en-US" w:eastAsia="zh-CN" w:bidi="ar-SA"/>
      </w:rPr>
    </w:lvl>
    <w:lvl w:ilvl="8">
      <w:start w:val="0"/>
      <w:numFmt w:val="bullet"/>
      <w:lvlText w:val="•"/>
      <w:lvlJc w:val="left"/>
      <w:pPr>
        <w:ind w:left="8896" w:hanging="318"/>
      </w:pPr>
      <w:rPr>
        <w:rFonts w:hint="default"/>
        <w:lang w:val="en-US" w:eastAsia="zh-CN" w:bidi="ar-SA"/>
      </w:rPr>
    </w:lvl>
  </w:abstractNum>
  <w:abstractNum w:abstractNumId="49">
    <w:multiLevelType w:val="hybridMultilevel"/>
    <w:lvl w:ilvl="0">
      <w:start w:val="1"/>
      <w:numFmt w:val="decimal"/>
      <w:lvlText w:val="(%1)"/>
      <w:lvlJc w:val="left"/>
      <w:pPr>
        <w:ind w:left="127" w:hanging="32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10" w:hanging="320"/>
      </w:pPr>
      <w:rPr>
        <w:rFonts w:hint="default"/>
        <w:lang w:val="en-US" w:eastAsia="zh-CN" w:bidi="ar-SA"/>
      </w:rPr>
    </w:lvl>
    <w:lvl w:ilvl="2">
      <w:start w:val="0"/>
      <w:numFmt w:val="bullet"/>
      <w:lvlText w:val="•"/>
      <w:lvlJc w:val="left"/>
      <w:pPr>
        <w:ind w:left="1501" w:hanging="320"/>
      </w:pPr>
      <w:rPr>
        <w:rFonts w:hint="default"/>
        <w:lang w:val="en-US" w:eastAsia="zh-CN" w:bidi="ar-SA"/>
      </w:rPr>
    </w:lvl>
    <w:lvl w:ilvl="3">
      <w:start w:val="0"/>
      <w:numFmt w:val="bullet"/>
      <w:lvlText w:val="•"/>
      <w:lvlJc w:val="left"/>
      <w:pPr>
        <w:ind w:left="2192" w:hanging="320"/>
      </w:pPr>
      <w:rPr>
        <w:rFonts w:hint="default"/>
        <w:lang w:val="en-US" w:eastAsia="zh-CN" w:bidi="ar-SA"/>
      </w:rPr>
    </w:lvl>
    <w:lvl w:ilvl="4">
      <w:start w:val="0"/>
      <w:numFmt w:val="bullet"/>
      <w:lvlText w:val="•"/>
      <w:lvlJc w:val="left"/>
      <w:pPr>
        <w:ind w:left="2883" w:hanging="320"/>
      </w:pPr>
      <w:rPr>
        <w:rFonts w:hint="default"/>
        <w:lang w:val="en-US" w:eastAsia="zh-CN" w:bidi="ar-SA"/>
      </w:rPr>
    </w:lvl>
    <w:lvl w:ilvl="5">
      <w:start w:val="0"/>
      <w:numFmt w:val="bullet"/>
      <w:lvlText w:val="•"/>
      <w:lvlJc w:val="left"/>
      <w:pPr>
        <w:ind w:left="3574" w:hanging="320"/>
      </w:pPr>
      <w:rPr>
        <w:rFonts w:hint="default"/>
        <w:lang w:val="en-US" w:eastAsia="zh-CN" w:bidi="ar-SA"/>
      </w:rPr>
    </w:lvl>
    <w:lvl w:ilvl="6">
      <w:start w:val="0"/>
      <w:numFmt w:val="bullet"/>
      <w:lvlText w:val="•"/>
      <w:lvlJc w:val="left"/>
      <w:pPr>
        <w:ind w:left="4265" w:hanging="320"/>
      </w:pPr>
      <w:rPr>
        <w:rFonts w:hint="default"/>
        <w:lang w:val="en-US" w:eastAsia="zh-CN" w:bidi="ar-SA"/>
      </w:rPr>
    </w:lvl>
    <w:lvl w:ilvl="7">
      <w:start w:val="0"/>
      <w:numFmt w:val="bullet"/>
      <w:lvlText w:val="•"/>
      <w:lvlJc w:val="left"/>
      <w:pPr>
        <w:ind w:left="4956" w:hanging="320"/>
      </w:pPr>
      <w:rPr>
        <w:rFonts w:hint="default"/>
        <w:lang w:val="en-US" w:eastAsia="zh-CN" w:bidi="ar-SA"/>
      </w:rPr>
    </w:lvl>
    <w:lvl w:ilvl="8">
      <w:start w:val="0"/>
      <w:numFmt w:val="bullet"/>
      <w:lvlText w:val="•"/>
      <w:lvlJc w:val="left"/>
      <w:pPr>
        <w:ind w:left="5647" w:hanging="320"/>
      </w:pPr>
      <w:rPr>
        <w:rFonts w:hint="default"/>
        <w:lang w:val="en-US" w:eastAsia="zh-CN" w:bidi="ar-SA"/>
      </w:rPr>
    </w:lvl>
  </w:abstractNum>
  <w:abstractNum w:abstractNumId="48">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8" w:hanging="318"/>
      </w:pPr>
      <w:rPr>
        <w:rFonts w:hint="default"/>
        <w:lang w:val="en-US" w:eastAsia="zh-CN" w:bidi="ar-SA"/>
      </w:rPr>
    </w:lvl>
    <w:lvl w:ilvl="2">
      <w:start w:val="0"/>
      <w:numFmt w:val="bullet"/>
      <w:lvlText w:val="•"/>
      <w:lvlJc w:val="left"/>
      <w:pPr>
        <w:ind w:left="1757" w:hanging="318"/>
      </w:pPr>
      <w:rPr>
        <w:rFonts w:hint="default"/>
        <w:lang w:val="en-US" w:eastAsia="zh-CN" w:bidi="ar-SA"/>
      </w:rPr>
    </w:lvl>
    <w:lvl w:ilvl="3">
      <w:start w:val="0"/>
      <w:numFmt w:val="bullet"/>
      <w:lvlText w:val="•"/>
      <w:lvlJc w:val="left"/>
      <w:pPr>
        <w:ind w:left="2416" w:hanging="318"/>
      </w:pPr>
      <w:rPr>
        <w:rFonts w:hint="default"/>
        <w:lang w:val="en-US" w:eastAsia="zh-CN" w:bidi="ar-SA"/>
      </w:rPr>
    </w:lvl>
    <w:lvl w:ilvl="4">
      <w:start w:val="0"/>
      <w:numFmt w:val="bullet"/>
      <w:lvlText w:val="•"/>
      <w:lvlJc w:val="left"/>
      <w:pPr>
        <w:ind w:left="3075" w:hanging="318"/>
      </w:pPr>
      <w:rPr>
        <w:rFonts w:hint="default"/>
        <w:lang w:val="en-US" w:eastAsia="zh-CN" w:bidi="ar-SA"/>
      </w:rPr>
    </w:lvl>
    <w:lvl w:ilvl="5">
      <w:start w:val="0"/>
      <w:numFmt w:val="bullet"/>
      <w:lvlText w:val="•"/>
      <w:lvlJc w:val="left"/>
      <w:pPr>
        <w:ind w:left="3734" w:hanging="318"/>
      </w:pPr>
      <w:rPr>
        <w:rFonts w:hint="default"/>
        <w:lang w:val="en-US" w:eastAsia="zh-CN" w:bidi="ar-SA"/>
      </w:rPr>
    </w:lvl>
    <w:lvl w:ilvl="6">
      <w:start w:val="0"/>
      <w:numFmt w:val="bullet"/>
      <w:lvlText w:val="•"/>
      <w:lvlJc w:val="left"/>
      <w:pPr>
        <w:ind w:left="4393" w:hanging="318"/>
      </w:pPr>
      <w:rPr>
        <w:rFonts w:hint="default"/>
        <w:lang w:val="en-US" w:eastAsia="zh-CN" w:bidi="ar-SA"/>
      </w:rPr>
    </w:lvl>
    <w:lvl w:ilvl="7">
      <w:start w:val="0"/>
      <w:numFmt w:val="bullet"/>
      <w:lvlText w:val="•"/>
      <w:lvlJc w:val="left"/>
      <w:pPr>
        <w:ind w:left="5052" w:hanging="318"/>
      </w:pPr>
      <w:rPr>
        <w:rFonts w:hint="default"/>
        <w:lang w:val="en-US" w:eastAsia="zh-CN" w:bidi="ar-SA"/>
      </w:rPr>
    </w:lvl>
    <w:lvl w:ilvl="8">
      <w:start w:val="0"/>
      <w:numFmt w:val="bullet"/>
      <w:lvlText w:val="•"/>
      <w:lvlJc w:val="left"/>
      <w:pPr>
        <w:ind w:left="5711" w:hanging="318"/>
      </w:pPr>
      <w:rPr>
        <w:rFonts w:hint="default"/>
        <w:lang w:val="en-US" w:eastAsia="zh-CN" w:bidi="ar-SA"/>
      </w:rPr>
    </w:lvl>
  </w:abstractNum>
  <w:abstractNum w:abstractNumId="47">
    <w:multiLevelType w:val="hybridMultilevel"/>
    <w:lvl w:ilvl="0">
      <w:start w:val="1"/>
      <w:numFmt w:val="decimal"/>
      <w:lvlText w:val="(%1)"/>
      <w:lvlJc w:val="left"/>
      <w:pPr>
        <w:ind w:left="318"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78" w:hanging="318"/>
      </w:pPr>
      <w:rPr>
        <w:rFonts w:hint="default"/>
        <w:lang w:val="en-US" w:eastAsia="zh-CN" w:bidi="ar-SA"/>
      </w:rPr>
    </w:lvl>
    <w:lvl w:ilvl="2">
      <w:start w:val="0"/>
      <w:numFmt w:val="bullet"/>
      <w:lvlText w:val="•"/>
      <w:lvlJc w:val="left"/>
      <w:pPr>
        <w:ind w:left="1637" w:hanging="318"/>
      </w:pPr>
      <w:rPr>
        <w:rFonts w:hint="default"/>
        <w:lang w:val="en-US" w:eastAsia="zh-CN" w:bidi="ar-SA"/>
      </w:rPr>
    </w:lvl>
    <w:lvl w:ilvl="3">
      <w:start w:val="0"/>
      <w:numFmt w:val="bullet"/>
      <w:lvlText w:val="•"/>
      <w:lvlJc w:val="left"/>
      <w:pPr>
        <w:ind w:left="2295" w:hanging="318"/>
      </w:pPr>
      <w:rPr>
        <w:rFonts w:hint="default"/>
        <w:lang w:val="en-US" w:eastAsia="zh-CN" w:bidi="ar-SA"/>
      </w:rPr>
    </w:lvl>
    <w:lvl w:ilvl="4">
      <w:start w:val="0"/>
      <w:numFmt w:val="bullet"/>
      <w:lvlText w:val="•"/>
      <w:lvlJc w:val="left"/>
      <w:pPr>
        <w:ind w:left="2954" w:hanging="318"/>
      </w:pPr>
      <w:rPr>
        <w:rFonts w:hint="default"/>
        <w:lang w:val="en-US" w:eastAsia="zh-CN" w:bidi="ar-SA"/>
      </w:rPr>
    </w:lvl>
    <w:lvl w:ilvl="5">
      <w:start w:val="0"/>
      <w:numFmt w:val="bullet"/>
      <w:lvlText w:val="•"/>
      <w:lvlJc w:val="left"/>
      <w:pPr>
        <w:ind w:left="3613" w:hanging="318"/>
      </w:pPr>
      <w:rPr>
        <w:rFonts w:hint="default"/>
        <w:lang w:val="en-US" w:eastAsia="zh-CN" w:bidi="ar-SA"/>
      </w:rPr>
    </w:lvl>
    <w:lvl w:ilvl="6">
      <w:start w:val="0"/>
      <w:numFmt w:val="bullet"/>
      <w:lvlText w:val="•"/>
      <w:lvlJc w:val="left"/>
      <w:pPr>
        <w:ind w:left="4271" w:hanging="318"/>
      </w:pPr>
      <w:rPr>
        <w:rFonts w:hint="default"/>
        <w:lang w:val="en-US" w:eastAsia="zh-CN" w:bidi="ar-SA"/>
      </w:rPr>
    </w:lvl>
    <w:lvl w:ilvl="7">
      <w:start w:val="0"/>
      <w:numFmt w:val="bullet"/>
      <w:lvlText w:val="•"/>
      <w:lvlJc w:val="left"/>
      <w:pPr>
        <w:ind w:left="4930" w:hanging="318"/>
      </w:pPr>
      <w:rPr>
        <w:rFonts w:hint="default"/>
        <w:lang w:val="en-US" w:eastAsia="zh-CN" w:bidi="ar-SA"/>
      </w:rPr>
    </w:lvl>
    <w:lvl w:ilvl="8">
      <w:start w:val="0"/>
      <w:numFmt w:val="bullet"/>
      <w:lvlText w:val="•"/>
      <w:lvlJc w:val="left"/>
      <w:pPr>
        <w:ind w:left="5588" w:hanging="318"/>
      </w:pPr>
      <w:rPr>
        <w:rFonts w:hint="default"/>
        <w:lang w:val="en-US" w:eastAsia="zh-CN" w:bidi="ar-SA"/>
      </w:rPr>
    </w:lvl>
  </w:abstractNum>
  <w:abstractNum w:abstractNumId="46">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8" w:hanging="318"/>
      </w:pPr>
      <w:rPr>
        <w:rFonts w:hint="default"/>
        <w:lang w:val="en-US" w:eastAsia="zh-CN" w:bidi="ar-SA"/>
      </w:rPr>
    </w:lvl>
    <w:lvl w:ilvl="2">
      <w:start w:val="0"/>
      <w:numFmt w:val="bullet"/>
      <w:lvlText w:val="•"/>
      <w:lvlJc w:val="left"/>
      <w:pPr>
        <w:ind w:left="1757" w:hanging="318"/>
      </w:pPr>
      <w:rPr>
        <w:rFonts w:hint="default"/>
        <w:lang w:val="en-US" w:eastAsia="zh-CN" w:bidi="ar-SA"/>
      </w:rPr>
    </w:lvl>
    <w:lvl w:ilvl="3">
      <w:start w:val="0"/>
      <w:numFmt w:val="bullet"/>
      <w:lvlText w:val="•"/>
      <w:lvlJc w:val="left"/>
      <w:pPr>
        <w:ind w:left="2416" w:hanging="318"/>
      </w:pPr>
      <w:rPr>
        <w:rFonts w:hint="default"/>
        <w:lang w:val="en-US" w:eastAsia="zh-CN" w:bidi="ar-SA"/>
      </w:rPr>
    </w:lvl>
    <w:lvl w:ilvl="4">
      <w:start w:val="0"/>
      <w:numFmt w:val="bullet"/>
      <w:lvlText w:val="•"/>
      <w:lvlJc w:val="left"/>
      <w:pPr>
        <w:ind w:left="3075" w:hanging="318"/>
      </w:pPr>
      <w:rPr>
        <w:rFonts w:hint="default"/>
        <w:lang w:val="en-US" w:eastAsia="zh-CN" w:bidi="ar-SA"/>
      </w:rPr>
    </w:lvl>
    <w:lvl w:ilvl="5">
      <w:start w:val="0"/>
      <w:numFmt w:val="bullet"/>
      <w:lvlText w:val="•"/>
      <w:lvlJc w:val="left"/>
      <w:pPr>
        <w:ind w:left="3734" w:hanging="318"/>
      </w:pPr>
      <w:rPr>
        <w:rFonts w:hint="default"/>
        <w:lang w:val="en-US" w:eastAsia="zh-CN" w:bidi="ar-SA"/>
      </w:rPr>
    </w:lvl>
    <w:lvl w:ilvl="6">
      <w:start w:val="0"/>
      <w:numFmt w:val="bullet"/>
      <w:lvlText w:val="•"/>
      <w:lvlJc w:val="left"/>
      <w:pPr>
        <w:ind w:left="4393" w:hanging="318"/>
      </w:pPr>
      <w:rPr>
        <w:rFonts w:hint="default"/>
        <w:lang w:val="en-US" w:eastAsia="zh-CN" w:bidi="ar-SA"/>
      </w:rPr>
    </w:lvl>
    <w:lvl w:ilvl="7">
      <w:start w:val="0"/>
      <w:numFmt w:val="bullet"/>
      <w:lvlText w:val="•"/>
      <w:lvlJc w:val="left"/>
      <w:pPr>
        <w:ind w:left="5052" w:hanging="318"/>
      </w:pPr>
      <w:rPr>
        <w:rFonts w:hint="default"/>
        <w:lang w:val="en-US" w:eastAsia="zh-CN" w:bidi="ar-SA"/>
      </w:rPr>
    </w:lvl>
    <w:lvl w:ilvl="8">
      <w:start w:val="0"/>
      <w:numFmt w:val="bullet"/>
      <w:lvlText w:val="•"/>
      <w:lvlJc w:val="left"/>
      <w:pPr>
        <w:ind w:left="5711" w:hanging="318"/>
      </w:pPr>
      <w:rPr>
        <w:rFonts w:hint="default"/>
        <w:lang w:val="en-US" w:eastAsia="zh-CN" w:bidi="ar-SA"/>
      </w:rPr>
    </w:lvl>
  </w:abstractNum>
  <w:abstractNum w:abstractNumId="45">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8" w:hanging="318"/>
      </w:pPr>
      <w:rPr>
        <w:rFonts w:hint="default"/>
        <w:lang w:val="en-US" w:eastAsia="zh-CN" w:bidi="ar-SA"/>
      </w:rPr>
    </w:lvl>
    <w:lvl w:ilvl="2">
      <w:start w:val="0"/>
      <w:numFmt w:val="bullet"/>
      <w:lvlText w:val="•"/>
      <w:lvlJc w:val="left"/>
      <w:pPr>
        <w:ind w:left="1757" w:hanging="318"/>
      </w:pPr>
      <w:rPr>
        <w:rFonts w:hint="default"/>
        <w:lang w:val="en-US" w:eastAsia="zh-CN" w:bidi="ar-SA"/>
      </w:rPr>
    </w:lvl>
    <w:lvl w:ilvl="3">
      <w:start w:val="0"/>
      <w:numFmt w:val="bullet"/>
      <w:lvlText w:val="•"/>
      <w:lvlJc w:val="left"/>
      <w:pPr>
        <w:ind w:left="2416" w:hanging="318"/>
      </w:pPr>
      <w:rPr>
        <w:rFonts w:hint="default"/>
        <w:lang w:val="en-US" w:eastAsia="zh-CN" w:bidi="ar-SA"/>
      </w:rPr>
    </w:lvl>
    <w:lvl w:ilvl="4">
      <w:start w:val="0"/>
      <w:numFmt w:val="bullet"/>
      <w:lvlText w:val="•"/>
      <w:lvlJc w:val="left"/>
      <w:pPr>
        <w:ind w:left="3075" w:hanging="318"/>
      </w:pPr>
      <w:rPr>
        <w:rFonts w:hint="default"/>
        <w:lang w:val="en-US" w:eastAsia="zh-CN" w:bidi="ar-SA"/>
      </w:rPr>
    </w:lvl>
    <w:lvl w:ilvl="5">
      <w:start w:val="0"/>
      <w:numFmt w:val="bullet"/>
      <w:lvlText w:val="•"/>
      <w:lvlJc w:val="left"/>
      <w:pPr>
        <w:ind w:left="3734" w:hanging="318"/>
      </w:pPr>
      <w:rPr>
        <w:rFonts w:hint="default"/>
        <w:lang w:val="en-US" w:eastAsia="zh-CN" w:bidi="ar-SA"/>
      </w:rPr>
    </w:lvl>
    <w:lvl w:ilvl="6">
      <w:start w:val="0"/>
      <w:numFmt w:val="bullet"/>
      <w:lvlText w:val="•"/>
      <w:lvlJc w:val="left"/>
      <w:pPr>
        <w:ind w:left="4393" w:hanging="318"/>
      </w:pPr>
      <w:rPr>
        <w:rFonts w:hint="default"/>
        <w:lang w:val="en-US" w:eastAsia="zh-CN" w:bidi="ar-SA"/>
      </w:rPr>
    </w:lvl>
    <w:lvl w:ilvl="7">
      <w:start w:val="0"/>
      <w:numFmt w:val="bullet"/>
      <w:lvlText w:val="•"/>
      <w:lvlJc w:val="left"/>
      <w:pPr>
        <w:ind w:left="5052" w:hanging="318"/>
      </w:pPr>
      <w:rPr>
        <w:rFonts w:hint="default"/>
        <w:lang w:val="en-US" w:eastAsia="zh-CN" w:bidi="ar-SA"/>
      </w:rPr>
    </w:lvl>
    <w:lvl w:ilvl="8">
      <w:start w:val="0"/>
      <w:numFmt w:val="bullet"/>
      <w:lvlText w:val="•"/>
      <w:lvlJc w:val="left"/>
      <w:pPr>
        <w:ind w:left="5711" w:hanging="318"/>
      </w:pPr>
      <w:rPr>
        <w:rFonts w:hint="default"/>
        <w:lang w:val="en-US" w:eastAsia="zh-CN" w:bidi="ar-SA"/>
      </w:rPr>
    </w:lvl>
  </w:abstractNum>
  <w:abstractNum w:abstractNumId="44">
    <w:multiLevelType w:val="hybridMultilevel"/>
    <w:lvl w:ilvl="0">
      <w:start w:val="2"/>
      <w:numFmt w:val="decimal"/>
      <w:lvlText w:val="(%1)"/>
      <w:lvlJc w:val="left"/>
      <w:pPr>
        <w:ind w:left="12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8" w:hanging="318"/>
      </w:pPr>
      <w:rPr>
        <w:rFonts w:hint="default"/>
        <w:lang w:val="en-US" w:eastAsia="zh-CN" w:bidi="ar-SA"/>
      </w:rPr>
    </w:lvl>
    <w:lvl w:ilvl="2">
      <w:start w:val="0"/>
      <w:numFmt w:val="bullet"/>
      <w:lvlText w:val="•"/>
      <w:lvlJc w:val="left"/>
      <w:pPr>
        <w:ind w:left="1497" w:hanging="318"/>
      </w:pPr>
      <w:rPr>
        <w:rFonts w:hint="default"/>
        <w:lang w:val="en-US" w:eastAsia="zh-CN" w:bidi="ar-SA"/>
      </w:rPr>
    </w:lvl>
    <w:lvl w:ilvl="3">
      <w:start w:val="0"/>
      <w:numFmt w:val="bullet"/>
      <w:lvlText w:val="•"/>
      <w:lvlJc w:val="left"/>
      <w:pPr>
        <w:ind w:left="2185" w:hanging="318"/>
      </w:pPr>
      <w:rPr>
        <w:rFonts w:hint="default"/>
        <w:lang w:val="en-US" w:eastAsia="zh-CN" w:bidi="ar-SA"/>
      </w:rPr>
    </w:lvl>
    <w:lvl w:ilvl="4">
      <w:start w:val="0"/>
      <w:numFmt w:val="bullet"/>
      <w:lvlText w:val="•"/>
      <w:lvlJc w:val="left"/>
      <w:pPr>
        <w:ind w:left="2874" w:hanging="318"/>
      </w:pPr>
      <w:rPr>
        <w:rFonts w:hint="default"/>
        <w:lang w:val="en-US" w:eastAsia="zh-CN" w:bidi="ar-SA"/>
      </w:rPr>
    </w:lvl>
    <w:lvl w:ilvl="5">
      <w:start w:val="0"/>
      <w:numFmt w:val="bullet"/>
      <w:lvlText w:val="•"/>
      <w:lvlJc w:val="left"/>
      <w:pPr>
        <w:ind w:left="3562" w:hanging="318"/>
      </w:pPr>
      <w:rPr>
        <w:rFonts w:hint="default"/>
        <w:lang w:val="en-US" w:eastAsia="zh-CN" w:bidi="ar-SA"/>
      </w:rPr>
    </w:lvl>
    <w:lvl w:ilvl="6">
      <w:start w:val="0"/>
      <w:numFmt w:val="bullet"/>
      <w:lvlText w:val="•"/>
      <w:lvlJc w:val="left"/>
      <w:pPr>
        <w:ind w:left="4251" w:hanging="318"/>
      </w:pPr>
      <w:rPr>
        <w:rFonts w:hint="default"/>
        <w:lang w:val="en-US" w:eastAsia="zh-CN" w:bidi="ar-SA"/>
      </w:rPr>
    </w:lvl>
    <w:lvl w:ilvl="7">
      <w:start w:val="0"/>
      <w:numFmt w:val="bullet"/>
      <w:lvlText w:val="•"/>
      <w:lvlJc w:val="left"/>
      <w:pPr>
        <w:ind w:left="4939" w:hanging="318"/>
      </w:pPr>
      <w:rPr>
        <w:rFonts w:hint="default"/>
        <w:lang w:val="en-US" w:eastAsia="zh-CN" w:bidi="ar-SA"/>
      </w:rPr>
    </w:lvl>
    <w:lvl w:ilvl="8">
      <w:start w:val="0"/>
      <w:numFmt w:val="bullet"/>
      <w:lvlText w:val="•"/>
      <w:lvlJc w:val="left"/>
      <w:pPr>
        <w:ind w:left="5628" w:hanging="318"/>
      </w:pPr>
      <w:rPr>
        <w:rFonts w:hint="default"/>
        <w:lang w:val="en-US" w:eastAsia="zh-CN" w:bidi="ar-SA"/>
      </w:rPr>
    </w:lvl>
  </w:abstractNum>
  <w:abstractNum w:abstractNumId="43">
    <w:multiLevelType w:val="hybridMultilevel"/>
    <w:lvl w:ilvl="0">
      <w:start w:val="1"/>
      <w:numFmt w:val="decimal"/>
      <w:lvlText w:val="(%1)"/>
      <w:lvlJc w:val="left"/>
      <w:pPr>
        <w:ind w:left="12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8" w:hanging="318"/>
      </w:pPr>
      <w:rPr>
        <w:rFonts w:hint="default"/>
        <w:lang w:val="en-US" w:eastAsia="zh-CN" w:bidi="ar-SA"/>
      </w:rPr>
    </w:lvl>
    <w:lvl w:ilvl="2">
      <w:start w:val="0"/>
      <w:numFmt w:val="bullet"/>
      <w:lvlText w:val="•"/>
      <w:lvlJc w:val="left"/>
      <w:pPr>
        <w:ind w:left="1497" w:hanging="318"/>
      </w:pPr>
      <w:rPr>
        <w:rFonts w:hint="default"/>
        <w:lang w:val="en-US" w:eastAsia="zh-CN" w:bidi="ar-SA"/>
      </w:rPr>
    </w:lvl>
    <w:lvl w:ilvl="3">
      <w:start w:val="0"/>
      <w:numFmt w:val="bullet"/>
      <w:lvlText w:val="•"/>
      <w:lvlJc w:val="left"/>
      <w:pPr>
        <w:ind w:left="2185" w:hanging="318"/>
      </w:pPr>
      <w:rPr>
        <w:rFonts w:hint="default"/>
        <w:lang w:val="en-US" w:eastAsia="zh-CN" w:bidi="ar-SA"/>
      </w:rPr>
    </w:lvl>
    <w:lvl w:ilvl="4">
      <w:start w:val="0"/>
      <w:numFmt w:val="bullet"/>
      <w:lvlText w:val="•"/>
      <w:lvlJc w:val="left"/>
      <w:pPr>
        <w:ind w:left="2874" w:hanging="318"/>
      </w:pPr>
      <w:rPr>
        <w:rFonts w:hint="default"/>
        <w:lang w:val="en-US" w:eastAsia="zh-CN" w:bidi="ar-SA"/>
      </w:rPr>
    </w:lvl>
    <w:lvl w:ilvl="5">
      <w:start w:val="0"/>
      <w:numFmt w:val="bullet"/>
      <w:lvlText w:val="•"/>
      <w:lvlJc w:val="left"/>
      <w:pPr>
        <w:ind w:left="3562" w:hanging="318"/>
      </w:pPr>
      <w:rPr>
        <w:rFonts w:hint="default"/>
        <w:lang w:val="en-US" w:eastAsia="zh-CN" w:bidi="ar-SA"/>
      </w:rPr>
    </w:lvl>
    <w:lvl w:ilvl="6">
      <w:start w:val="0"/>
      <w:numFmt w:val="bullet"/>
      <w:lvlText w:val="•"/>
      <w:lvlJc w:val="left"/>
      <w:pPr>
        <w:ind w:left="4251" w:hanging="318"/>
      </w:pPr>
      <w:rPr>
        <w:rFonts w:hint="default"/>
        <w:lang w:val="en-US" w:eastAsia="zh-CN" w:bidi="ar-SA"/>
      </w:rPr>
    </w:lvl>
    <w:lvl w:ilvl="7">
      <w:start w:val="0"/>
      <w:numFmt w:val="bullet"/>
      <w:lvlText w:val="•"/>
      <w:lvlJc w:val="left"/>
      <w:pPr>
        <w:ind w:left="4939" w:hanging="318"/>
      </w:pPr>
      <w:rPr>
        <w:rFonts w:hint="default"/>
        <w:lang w:val="en-US" w:eastAsia="zh-CN" w:bidi="ar-SA"/>
      </w:rPr>
    </w:lvl>
    <w:lvl w:ilvl="8">
      <w:start w:val="0"/>
      <w:numFmt w:val="bullet"/>
      <w:lvlText w:val="•"/>
      <w:lvlJc w:val="left"/>
      <w:pPr>
        <w:ind w:left="5628" w:hanging="318"/>
      </w:pPr>
      <w:rPr>
        <w:rFonts w:hint="default"/>
        <w:lang w:val="en-US" w:eastAsia="zh-CN" w:bidi="ar-SA"/>
      </w:rPr>
    </w:lvl>
  </w:abstractNum>
  <w:abstractNum w:abstractNumId="42">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6" w:hanging="318"/>
      </w:pPr>
      <w:rPr>
        <w:rFonts w:hint="default"/>
        <w:lang w:val="en-US" w:eastAsia="zh-CN" w:bidi="ar-SA"/>
      </w:rPr>
    </w:lvl>
    <w:lvl w:ilvl="2">
      <w:start w:val="0"/>
      <w:numFmt w:val="bullet"/>
      <w:lvlText w:val="•"/>
      <w:lvlJc w:val="left"/>
      <w:pPr>
        <w:ind w:left="1753" w:hanging="318"/>
      </w:pPr>
      <w:rPr>
        <w:rFonts w:hint="default"/>
        <w:lang w:val="en-US" w:eastAsia="zh-CN" w:bidi="ar-SA"/>
      </w:rPr>
    </w:lvl>
    <w:lvl w:ilvl="3">
      <w:start w:val="0"/>
      <w:numFmt w:val="bullet"/>
      <w:lvlText w:val="•"/>
      <w:lvlJc w:val="left"/>
      <w:pPr>
        <w:ind w:left="2409" w:hanging="318"/>
      </w:pPr>
      <w:rPr>
        <w:rFonts w:hint="default"/>
        <w:lang w:val="en-US" w:eastAsia="zh-CN" w:bidi="ar-SA"/>
      </w:rPr>
    </w:lvl>
    <w:lvl w:ilvl="4">
      <w:start w:val="0"/>
      <w:numFmt w:val="bullet"/>
      <w:lvlText w:val="•"/>
      <w:lvlJc w:val="left"/>
      <w:pPr>
        <w:ind w:left="3066" w:hanging="318"/>
      </w:pPr>
      <w:rPr>
        <w:rFonts w:hint="default"/>
        <w:lang w:val="en-US" w:eastAsia="zh-CN" w:bidi="ar-SA"/>
      </w:rPr>
    </w:lvl>
    <w:lvl w:ilvl="5">
      <w:start w:val="0"/>
      <w:numFmt w:val="bullet"/>
      <w:lvlText w:val="•"/>
      <w:lvlJc w:val="left"/>
      <w:pPr>
        <w:ind w:left="3722" w:hanging="318"/>
      </w:pPr>
      <w:rPr>
        <w:rFonts w:hint="default"/>
        <w:lang w:val="en-US" w:eastAsia="zh-CN" w:bidi="ar-SA"/>
      </w:rPr>
    </w:lvl>
    <w:lvl w:ilvl="6">
      <w:start w:val="0"/>
      <w:numFmt w:val="bullet"/>
      <w:lvlText w:val="•"/>
      <w:lvlJc w:val="left"/>
      <w:pPr>
        <w:ind w:left="4379" w:hanging="318"/>
      </w:pPr>
      <w:rPr>
        <w:rFonts w:hint="default"/>
        <w:lang w:val="en-US" w:eastAsia="zh-CN" w:bidi="ar-SA"/>
      </w:rPr>
    </w:lvl>
    <w:lvl w:ilvl="7">
      <w:start w:val="0"/>
      <w:numFmt w:val="bullet"/>
      <w:lvlText w:val="•"/>
      <w:lvlJc w:val="left"/>
      <w:pPr>
        <w:ind w:left="5035" w:hanging="318"/>
      </w:pPr>
      <w:rPr>
        <w:rFonts w:hint="default"/>
        <w:lang w:val="en-US" w:eastAsia="zh-CN" w:bidi="ar-SA"/>
      </w:rPr>
    </w:lvl>
    <w:lvl w:ilvl="8">
      <w:start w:val="0"/>
      <w:numFmt w:val="bullet"/>
      <w:lvlText w:val="•"/>
      <w:lvlJc w:val="left"/>
      <w:pPr>
        <w:ind w:left="5692" w:hanging="318"/>
      </w:pPr>
      <w:rPr>
        <w:rFonts w:hint="default"/>
        <w:lang w:val="en-US" w:eastAsia="zh-CN" w:bidi="ar-SA"/>
      </w:rPr>
    </w:lvl>
  </w:abstractNum>
  <w:abstractNum w:abstractNumId="41">
    <w:multiLevelType w:val="hybridMultilevel"/>
    <w:lvl w:ilvl="0">
      <w:start w:val="1"/>
      <w:numFmt w:val="decimal"/>
      <w:lvlText w:val="(%1)"/>
      <w:lvlJc w:val="left"/>
      <w:pPr>
        <w:ind w:left="127" w:hanging="32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8" w:hanging="320"/>
      </w:pPr>
      <w:rPr>
        <w:rFonts w:hint="default"/>
        <w:lang w:val="en-US" w:eastAsia="zh-CN" w:bidi="ar-SA"/>
      </w:rPr>
    </w:lvl>
    <w:lvl w:ilvl="2">
      <w:start w:val="0"/>
      <w:numFmt w:val="bullet"/>
      <w:lvlText w:val="•"/>
      <w:lvlJc w:val="left"/>
      <w:pPr>
        <w:ind w:left="1497" w:hanging="320"/>
      </w:pPr>
      <w:rPr>
        <w:rFonts w:hint="default"/>
        <w:lang w:val="en-US" w:eastAsia="zh-CN" w:bidi="ar-SA"/>
      </w:rPr>
    </w:lvl>
    <w:lvl w:ilvl="3">
      <w:start w:val="0"/>
      <w:numFmt w:val="bullet"/>
      <w:lvlText w:val="•"/>
      <w:lvlJc w:val="left"/>
      <w:pPr>
        <w:ind w:left="2185" w:hanging="320"/>
      </w:pPr>
      <w:rPr>
        <w:rFonts w:hint="default"/>
        <w:lang w:val="en-US" w:eastAsia="zh-CN" w:bidi="ar-SA"/>
      </w:rPr>
    </w:lvl>
    <w:lvl w:ilvl="4">
      <w:start w:val="0"/>
      <w:numFmt w:val="bullet"/>
      <w:lvlText w:val="•"/>
      <w:lvlJc w:val="left"/>
      <w:pPr>
        <w:ind w:left="2874" w:hanging="320"/>
      </w:pPr>
      <w:rPr>
        <w:rFonts w:hint="default"/>
        <w:lang w:val="en-US" w:eastAsia="zh-CN" w:bidi="ar-SA"/>
      </w:rPr>
    </w:lvl>
    <w:lvl w:ilvl="5">
      <w:start w:val="0"/>
      <w:numFmt w:val="bullet"/>
      <w:lvlText w:val="•"/>
      <w:lvlJc w:val="left"/>
      <w:pPr>
        <w:ind w:left="3562" w:hanging="320"/>
      </w:pPr>
      <w:rPr>
        <w:rFonts w:hint="default"/>
        <w:lang w:val="en-US" w:eastAsia="zh-CN" w:bidi="ar-SA"/>
      </w:rPr>
    </w:lvl>
    <w:lvl w:ilvl="6">
      <w:start w:val="0"/>
      <w:numFmt w:val="bullet"/>
      <w:lvlText w:val="•"/>
      <w:lvlJc w:val="left"/>
      <w:pPr>
        <w:ind w:left="4251" w:hanging="320"/>
      </w:pPr>
      <w:rPr>
        <w:rFonts w:hint="default"/>
        <w:lang w:val="en-US" w:eastAsia="zh-CN" w:bidi="ar-SA"/>
      </w:rPr>
    </w:lvl>
    <w:lvl w:ilvl="7">
      <w:start w:val="0"/>
      <w:numFmt w:val="bullet"/>
      <w:lvlText w:val="•"/>
      <w:lvlJc w:val="left"/>
      <w:pPr>
        <w:ind w:left="4939" w:hanging="320"/>
      </w:pPr>
      <w:rPr>
        <w:rFonts w:hint="default"/>
        <w:lang w:val="en-US" w:eastAsia="zh-CN" w:bidi="ar-SA"/>
      </w:rPr>
    </w:lvl>
    <w:lvl w:ilvl="8">
      <w:start w:val="0"/>
      <w:numFmt w:val="bullet"/>
      <w:lvlText w:val="•"/>
      <w:lvlJc w:val="left"/>
      <w:pPr>
        <w:ind w:left="5628" w:hanging="320"/>
      </w:pPr>
      <w:rPr>
        <w:rFonts w:hint="default"/>
        <w:lang w:val="en-US" w:eastAsia="zh-CN" w:bidi="ar-SA"/>
      </w:rPr>
    </w:lvl>
  </w:abstractNum>
  <w:abstractNum w:abstractNumId="40">
    <w:multiLevelType w:val="hybridMultilevel"/>
    <w:lvl w:ilvl="0">
      <w:start w:val="2"/>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6" w:hanging="318"/>
      </w:pPr>
      <w:rPr>
        <w:rFonts w:hint="default"/>
        <w:lang w:val="en-US" w:eastAsia="zh-CN" w:bidi="ar-SA"/>
      </w:rPr>
    </w:lvl>
    <w:lvl w:ilvl="2">
      <w:start w:val="0"/>
      <w:numFmt w:val="bullet"/>
      <w:lvlText w:val="•"/>
      <w:lvlJc w:val="left"/>
      <w:pPr>
        <w:ind w:left="1753" w:hanging="318"/>
      </w:pPr>
      <w:rPr>
        <w:rFonts w:hint="default"/>
        <w:lang w:val="en-US" w:eastAsia="zh-CN" w:bidi="ar-SA"/>
      </w:rPr>
    </w:lvl>
    <w:lvl w:ilvl="3">
      <w:start w:val="0"/>
      <w:numFmt w:val="bullet"/>
      <w:lvlText w:val="•"/>
      <w:lvlJc w:val="left"/>
      <w:pPr>
        <w:ind w:left="2409" w:hanging="318"/>
      </w:pPr>
      <w:rPr>
        <w:rFonts w:hint="default"/>
        <w:lang w:val="en-US" w:eastAsia="zh-CN" w:bidi="ar-SA"/>
      </w:rPr>
    </w:lvl>
    <w:lvl w:ilvl="4">
      <w:start w:val="0"/>
      <w:numFmt w:val="bullet"/>
      <w:lvlText w:val="•"/>
      <w:lvlJc w:val="left"/>
      <w:pPr>
        <w:ind w:left="3066" w:hanging="318"/>
      </w:pPr>
      <w:rPr>
        <w:rFonts w:hint="default"/>
        <w:lang w:val="en-US" w:eastAsia="zh-CN" w:bidi="ar-SA"/>
      </w:rPr>
    </w:lvl>
    <w:lvl w:ilvl="5">
      <w:start w:val="0"/>
      <w:numFmt w:val="bullet"/>
      <w:lvlText w:val="•"/>
      <w:lvlJc w:val="left"/>
      <w:pPr>
        <w:ind w:left="3722" w:hanging="318"/>
      </w:pPr>
      <w:rPr>
        <w:rFonts w:hint="default"/>
        <w:lang w:val="en-US" w:eastAsia="zh-CN" w:bidi="ar-SA"/>
      </w:rPr>
    </w:lvl>
    <w:lvl w:ilvl="6">
      <w:start w:val="0"/>
      <w:numFmt w:val="bullet"/>
      <w:lvlText w:val="•"/>
      <w:lvlJc w:val="left"/>
      <w:pPr>
        <w:ind w:left="4379" w:hanging="318"/>
      </w:pPr>
      <w:rPr>
        <w:rFonts w:hint="default"/>
        <w:lang w:val="en-US" w:eastAsia="zh-CN" w:bidi="ar-SA"/>
      </w:rPr>
    </w:lvl>
    <w:lvl w:ilvl="7">
      <w:start w:val="0"/>
      <w:numFmt w:val="bullet"/>
      <w:lvlText w:val="•"/>
      <w:lvlJc w:val="left"/>
      <w:pPr>
        <w:ind w:left="5035" w:hanging="318"/>
      </w:pPr>
      <w:rPr>
        <w:rFonts w:hint="default"/>
        <w:lang w:val="en-US" w:eastAsia="zh-CN" w:bidi="ar-SA"/>
      </w:rPr>
    </w:lvl>
    <w:lvl w:ilvl="8">
      <w:start w:val="0"/>
      <w:numFmt w:val="bullet"/>
      <w:lvlText w:val="•"/>
      <w:lvlJc w:val="left"/>
      <w:pPr>
        <w:ind w:left="5692" w:hanging="318"/>
      </w:pPr>
      <w:rPr>
        <w:rFonts w:hint="default"/>
        <w:lang w:val="en-US" w:eastAsia="zh-CN" w:bidi="ar-SA"/>
      </w:rPr>
    </w:lvl>
  </w:abstractNum>
  <w:abstractNum w:abstractNumId="39">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6" w:hanging="318"/>
      </w:pPr>
      <w:rPr>
        <w:rFonts w:hint="default"/>
        <w:lang w:val="en-US" w:eastAsia="zh-CN" w:bidi="ar-SA"/>
      </w:rPr>
    </w:lvl>
    <w:lvl w:ilvl="2">
      <w:start w:val="0"/>
      <w:numFmt w:val="bullet"/>
      <w:lvlText w:val="•"/>
      <w:lvlJc w:val="left"/>
      <w:pPr>
        <w:ind w:left="1753" w:hanging="318"/>
      </w:pPr>
      <w:rPr>
        <w:rFonts w:hint="default"/>
        <w:lang w:val="en-US" w:eastAsia="zh-CN" w:bidi="ar-SA"/>
      </w:rPr>
    </w:lvl>
    <w:lvl w:ilvl="3">
      <w:start w:val="0"/>
      <w:numFmt w:val="bullet"/>
      <w:lvlText w:val="•"/>
      <w:lvlJc w:val="left"/>
      <w:pPr>
        <w:ind w:left="2409" w:hanging="318"/>
      </w:pPr>
      <w:rPr>
        <w:rFonts w:hint="default"/>
        <w:lang w:val="en-US" w:eastAsia="zh-CN" w:bidi="ar-SA"/>
      </w:rPr>
    </w:lvl>
    <w:lvl w:ilvl="4">
      <w:start w:val="0"/>
      <w:numFmt w:val="bullet"/>
      <w:lvlText w:val="•"/>
      <w:lvlJc w:val="left"/>
      <w:pPr>
        <w:ind w:left="3066" w:hanging="318"/>
      </w:pPr>
      <w:rPr>
        <w:rFonts w:hint="default"/>
        <w:lang w:val="en-US" w:eastAsia="zh-CN" w:bidi="ar-SA"/>
      </w:rPr>
    </w:lvl>
    <w:lvl w:ilvl="5">
      <w:start w:val="0"/>
      <w:numFmt w:val="bullet"/>
      <w:lvlText w:val="•"/>
      <w:lvlJc w:val="left"/>
      <w:pPr>
        <w:ind w:left="3722" w:hanging="318"/>
      </w:pPr>
      <w:rPr>
        <w:rFonts w:hint="default"/>
        <w:lang w:val="en-US" w:eastAsia="zh-CN" w:bidi="ar-SA"/>
      </w:rPr>
    </w:lvl>
    <w:lvl w:ilvl="6">
      <w:start w:val="0"/>
      <w:numFmt w:val="bullet"/>
      <w:lvlText w:val="•"/>
      <w:lvlJc w:val="left"/>
      <w:pPr>
        <w:ind w:left="4379" w:hanging="318"/>
      </w:pPr>
      <w:rPr>
        <w:rFonts w:hint="default"/>
        <w:lang w:val="en-US" w:eastAsia="zh-CN" w:bidi="ar-SA"/>
      </w:rPr>
    </w:lvl>
    <w:lvl w:ilvl="7">
      <w:start w:val="0"/>
      <w:numFmt w:val="bullet"/>
      <w:lvlText w:val="•"/>
      <w:lvlJc w:val="left"/>
      <w:pPr>
        <w:ind w:left="5035" w:hanging="318"/>
      </w:pPr>
      <w:rPr>
        <w:rFonts w:hint="default"/>
        <w:lang w:val="en-US" w:eastAsia="zh-CN" w:bidi="ar-SA"/>
      </w:rPr>
    </w:lvl>
    <w:lvl w:ilvl="8">
      <w:start w:val="0"/>
      <w:numFmt w:val="bullet"/>
      <w:lvlText w:val="•"/>
      <w:lvlJc w:val="left"/>
      <w:pPr>
        <w:ind w:left="5692" w:hanging="318"/>
      </w:pPr>
      <w:rPr>
        <w:rFonts w:hint="default"/>
        <w:lang w:val="en-US" w:eastAsia="zh-CN" w:bidi="ar-SA"/>
      </w:rPr>
    </w:lvl>
  </w:abstractNum>
  <w:abstractNum w:abstractNumId="38">
    <w:multiLevelType w:val="hybridMultilevel"/>
    <w:lvl w:ilvl="0">
      <w:start w:val="2"/>
      <w:numFmt w:val="decimal"/>
      <w:lvlText w:val="(%1)"/>
      <w:lvlJc w:val="left"/>
      <w:pPr>
        <w:ind w:left="212" w:hanging="318"/>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62" w:hanging="318"/>
      </w:pPr>
      <w:rPr>
        <w:rFonts w:hint="default"/>
        <w:lang w:val="en-US" w:eastAsia="zh-CN" w:bidi="ar-SA"/>
      </w:rPr>
    </w:lvl>
    <w:lvl w:ilvl="2">
      <w:start w:val="0"/>
      <w:numFmt w:val="bullet"/>
      <w:lvlText w:val="•"/>
      <w:lvlJc w:val="left"/>
      <w:pPr>
        <w:ind w:left="1705" w:hanging="318"/>
      </w:pPr>
      <w:rPr>
        <w:rFonts w:hint="default"/>
        <w:lang w:val="en-US" w:eastAsia="zh-CN" w:bidi="ar-SA"/>
      </w:rPr>
    </w:lvl>
    <w:lvl w:ilvl="3">
      <w:start w:val="0"/>
      <w:numFmt w:val="bullet"/>
      <w:lvlText w:val="•"/>
      <w:lvlJc w:val="left"/>
      <w:pPr>
        <w:ind w:left="2447" w:hanging="318"/>
      </w:pPr>
      <w:rPr>
        <w:rFonts w:hint="default"/>
        <w:lang w:val="en-US" w:eastAsia="zh-CN" w:bidi="ar-SA"/>
      </w:rPr>
    </w:lvl>
    <w:lvl w:ilvl="4">
      <w:start w:val="0"/>
      <w:numFmt w:val="bullet"/>
      <w:lvlText w:val="•"/>
      <w:lvlJc w:val="left"/>
      <w:pPr>
        <w:ind w:left="3190" w:hanging="318"/>
      </w:pPr>
      <w:rPr>
        <w:rFonts w:hint="default"/>
        <w:lang w:val="en-US" w:eastAsia="zh-CN" w:bidi="ar-SA"/>
      </w:rPr>
    </w:lvl>
    <w:lvl w:ilvl="5">
      <w:start w:val="0"/>
      <w:numFmt w:val="bullet"/>
      <w:lvlText w:val="•"/>
      <w:lvlJc w:val="left"/>
      <w:pPr>
        <w:ind w:left="3933" w:hanging="318"/>
      </w:pPr>
      <w:rPr>
        <w:rFonts w:hint="default"/>
        <w:lang w:val="en-US" w:eastAsia="zh-CN" w:bidi="ar-SA"/>
      </w:rPr>
    </w:lvl>
    <w:lvl w:ilvl="6">
      <w:start w:val="0"/>
      <w:numFmt w:val="bullet"/>
      <w:lvlText w:val="•"/>
      <w:lvlJc w:val="left"/>
      <w:pPr>
        <w:ind w:left="4675" w:hanging="318"/>
      </w:pPr>
      <w:rPr>
        <w:rFonts w:hint="default"/>
        <w:lang w:val="en-US" w:eastAsia="zh-CN" w:bidi="ar-SA"/>
      </w:rPr>
    </w:lvl>
    <w:lvl w:ilvl="7">
      <w:start w:val="0"/>
      <w:numFmt w:val="bullet"/>
      <w:lvlText w:val="•"/>
      <w:lvlJc w:val="left"/>
      <w:pPr>
        <w:ind w:left="5418" w:hanging="318"/>
      </w:pPr>
      <w:rPr>
        <w:rFonts w:hint="default"/>
        <w:lang w:val="en-US" w:eastAsia="zh-CN" w:bidi="ar-SA"/>
      </w:rPr>
    </w:lvl>
    <w:lvl w:ilvl="8">
      <w:start w:val="0"/>
      <w:numFmt w:val="bullet"/>
      <w:lvlText w:val="•"/>
      <w:lvlJc w:val="left"/>
      <w:pPr>
        <w:ind w:left="6160" w:hanging="318"/>
      </w:pPr>
      <w:rPr>
        <w:rFonts w:hint="default"/>
        <w:lang w:val="en-US" w:eastAsia="zh-CN" w:bidi="ar-SA"/>
      </w:rPr>
    </w:lvl>
  </w:abstractNum>
  <w:abstractNum w:abstractNumId="37">
    <w:multiLevelType w:val="hybridMultilevel"/>
    <w:lvl w:ilvl="0">
      <w:start w:val="1"/>
      <w:numFmt w:val="decimal"/>
      <w:lvlText w:val="(%1)"/>
      <w:lvlJc w:val="left"/>
      <w:pPr>
        <w:ind w:left="212"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62" w:hanging="318"/>
      </w:pPr>
      <w:rPr>
        <w:rFonts w:hint="default"/>
        <w:lang w:val="en-US" w:eastAsia="zh-CN" w:bidi="ar-SA"/>
      </w:rPr>
    </w:lvl>
    <w:lvl w:ilvl="2">
      <w:start w:val="0"/>
      <w:numFmt w:val="bullet"/>
      <w:lvlText w:val="•"/>
      <w:lvlJc w:val="left"/>
      <w:pPr>
        <w:ind w:left="1705" w:hanging="318"/>
      </w:pPr>
      <w:rPr>
        <w:rFonts w:hint="default"/>
        <w:lang w:val="en-US" w:eastAsia="zh-CN" w:bidi="ar-SA"/>
      </w:rPr>
    </w:lvl>
    <w:lvl w:ilvl="3">
      <w:start w:val="0"/>
      <w:numFmt w:val="bullet"/>
      <w:lvlText w:val="•"/>
      <w:lvlJc w:val="left"/>
      <w:pPr>
        <w:ind w:left="2447" w:hanging="318"/>
      </w:pPr>
      <w:rPr>
        <w:rFonts w:hint="default"/>
        <w:lang w:val="en-US" w:eastAsia="zh-CN" w:bidi="ar-SA"/>
      </w:rPr>
    </w:lvl>
    <w:lvl w:ilvl="4">
      <w:start w:val="0"/>
      <w:numFmt w:val="bullet"/>
      <w:lvlText w:val="•"/>
      <w:lvlJc w:val="left"/>
      <w:pPr>
        <w:ind w:left="3190" w:hanging="318"/>
      </w:pPr>
      <w:rPr>
        <w:rFonts w:hint="default"/>
        <w:lang w:val="en-US" w:eastAsia="zh-CN" w:bidi="ar-SA"/>
      </w:rPr>
    </w:lvl>
    <w:lvl w:ilvl="5">
      <w:start w:val="0"/>
      <w:numFmt w:val="bullet"/>
      <w:lvlText w:val="•"/>
      <w:lvlJc w:val="left"/>
      <w:pPr>
        <w:ind w:left="3933" w:hanging="318"/>
      </w:pPr>
      <w:rPr>
        <w:rFonts w:hint="default"/>
        <w:lang w:val="en-US" w:eastAsia="zh-CN" w:bidi="ar-SA"/>
      </w:rPr>
    </w:lvl>
    <w:lvl w:ilvl="6">
      <w:start w:val="0"/>
      <w:numFmt w:val="bullet"/>
      <w:lvlText w:val="•"/>
      <w:lvlJc w:val="left"/>
      <w:pPr>
        <w:ind w:left="4675" w:hanging="318"/>
      </w:pPr>
      <w:rPr>
        <w:rFonts w:hint="default"/>
        <w:lang w:val="en-US" w:eastAsia="zh-CN" w:bidi="ar-SA"/>
      </w:rPr>
    </w:lvl>
    <w:lvl w:ilvl="7">
      <w:start w:val="0"/>
      <w:numFmt w:val="bullet"/>
      <w:lvlText w:val="•"/>
      <w:lvlJc w:val="left"/>
      <w:pPr>
        <w:ind w:left="5418" w:hanging="318"/>
      </w:pPr>
      <w:rPr>
        <w:rFonts w:hint="default"/>
        <w:lang w:val="en-US" w:eastAsia="zh-CN" w:bidi="ar-SA"/>
      </w:rPr>
    </w:lvl>
    <w:lvl w:ilvl="8">
      <w:start w:val="0"/>
      <w:numFmt w:val="bullet"/>
      <w:lvlText w:val="•"/>
      <w:lvlJc w:val="left"/>
      <w:pPr>
        <w:ind w:left="6160" w:hanging="318"/>
      </w:pPr>
      <w:rPr>
        <w:rFonts w:hint="default"/>
        <w:lang w:val="en-US" w:eastAsia="zh-CN" w:bidi="ar-SA"/>
      </w:rPr>
    </w:lvl>
  </w:abstractNum>
  <w:abstractNum w:abstractNumId="36">
    <w:multiLevelType w:val="hybridMultilevel"/>
    <w:lvl w:ilvl="0">
      <w:start w:val="10"/>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47"/>
      <w:numFmt w:val="decimal"/>
      <w:lvlText w:val="%1.%2.%3"/>
      <w:lvlJc w:val="left"/>
      <w:pPr>
        <w:ind w:left="1382" w:hanging="1170"/>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113" w:hanging="318"/>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3034" w:hanging="318"/>
      </w:pPr>
      <w:rPr>
        <w:rFonts w:hint="default"/>
        <w:lang w:val="en-US" w:eastAsia="zh-CN" w:bidi="ar-SA"/>
      </w:rPr>
    </w:lvl>
    <w:lvl w:ilvl="5">
      <w:start w:val="0"/>
      <w:numFmt w:val="bullet"/>
      <w:lvlText w:val="•"/>
      <w:lvlJc w:val="left"/>
      <w:pPr>
        <w:ind w:left="3005" w:hanging="318"/>
      </w:pPr>
      <w:rPr>
        <w:rFonts w:hint="default"/>
        <w:lang w:val="en-US" w:eastAsia="zh-CN" w:bidi="ar-SA"/>
      </w:rPr>
    </w:lvl>
    <w:lvl w:ilvl="6">
      <w:start w:val="0"/>
      <w:numFmt w:val="bullet"/>
      <w:lvlText w:val="•"/>
      <w:lvlJc w:val="left"/>
      <w:pPr>
        <w:ind w:left="2977" w:hanging="318"/>
      </w:pPr>
      <w:rPr>
        <w:rFonts w:hint="default"/>
        <w:lang w:val="en-US" w:eastAsia="zh-CN" w:bidi="ar-SA"/>
      </w:rPr>
    </w:lvl>
    <w:lvl w:ilvl="7">
      <w:start w:val="0"/>
      <w:numFmt w:val="bullet"/>
      <w:lvlText w:val="•"/>
      <w:lvlJc w:val="left"/>
      <w:pPr>
        <w:ind w:left="2948" w:hanging="318"/>
      </w:pPr>
      <w:rPr>
        <w:rFonts w:hint="default"/>
        <w:lang w:val="en-US" w:eastAsia="zh-CN" w:bidi="ar-SA"/>
      </w:rPr>
    </w:lvl>
    <w:lvl w:ilvl="8">
      <w:start w:val="0"/>
      <w:numFmt w:val="bullet"/>
      <w:lvlText w:val="•"/>
      <w:lvlJc w:val="left"/>
      <w:pPr>
        <w:ind w:left="2919" w:hanging="318"/>
      </w:pPr>
      <w:rPr>
        <w:rFonts w:hint="default"/>
        <w:lang w:val="en-US" w:eastAsia="zh-CN" w:bidi="ar-SA"/>
      </w:rPr>
    </w:lvl>
  </w:abstractNum>
  <w:abstractNum w:abstractNumId="35">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9" w:hanging="318"/>
      </w:pPr>
      <w:rPr>
        <w:rFonts w:hint="default"/>
        <w:lang w:val="en-US" w:eastAsia="zh-CN" w:bidi="ar-SA"/>
      </w:rPr>
    </w:lvl>
    <w:lvl w:ilvl="2">
      <w:start w:val="0"/>
      <w:numFmt w:val="bullet"/>
      <w:lvlText w:val="•"/>
      <w:lvlJc w:val="left"/>
      <w:pPr>
        <w:ind w:left="1758" w:hanging="318"/>
      </w:pPr>
      <w:rPr>
        <w:rFonts w:hint="default"/>
        <w:lang w:val="en-US" w:eastAsia="zh-CN" w:bidi="ar-SA"/>
      </w:rPr>
    </w:lvl>
    <w:lvl w:ilvl="3">
      <w:start w:val="0"/>
      <w:numFmt w:val="bullet"/>
      <w:lvlText w:val="•"/>
      <w:lvlJc w:val="left"/>
      <w:pPr>
        <w:ind w:left="2417" w:hanging="318"/>
      </w:pPr>
      <w:rPr>
        <w:rFonts w:hint="default"/>
        <w:lang w:val="en-US" w:eastAsia="zh-CN" w:bidi="ar-SA"/>
      </w:rPr>
    </w:lvl>
    <w:lvl w:ilvl="4">
      <w:start w:val="0"/>
      <w:numFmt w:val="bullet"/>
      <w:lvlText w:val="•"/>
      <w:lvlJc w:val="left"/>
      <w:pPr>
        <w:ind w:left="3076" w:hanging="318"/>
      </w:pPr>
      <w:rPr>
        <w:rFonts w:hint="default"/>
        <w:lang w:val="en-US" w:eastAsia="zh-CN" w:bidi="ar-SA"/>
      </w:rPr>
    </w:lvl>
    <w:lvl w:ilvl="5">
      <w:start w:val="0"/>
      <w:numFmt w:val="bullet"/>
      <w:lvlText w:val="•"/>
      <w:lvlJc w:val="left"/>
      <w:pPr>
        <w:ind w:left="3735" w:hanging="318"/>
      </w:pPr>
      <w:rPr>
        <w:rFonts w:hint="default"/>
        <w:lang w:val="en-US" w:eastAsia="zh-CN" w:bidi="ar-SA"/>
      </w:rPr>
    </w:lvl>
    <w:lvl w:ilvl="6">
      <w:start w:val="0"/>
      <w:numFmt w:val="bullet"/>
      <w:lvlText w:val="•"/>
      <w:lvlJc w:val="left"/>
      <w:pPr>
        <w:ind w:left="4394" w:hanging="318"/>
      </w:pPr>
      <w:rPr>
        <w:rFonts w:hint="default"/>
        <w:lang w:val="en-US" w:eastAsia="zh-CN" w:bidi="ar-SA"/>
      </w:rPr>
    </w:lvl>
    <w:lvl w:ilvl="7">
      <w:start w:val="0"/>
      <w:numFmt w:val="bullet"/>
      <w:lvlText w:val="•"/>
      <w:lvlJc w:val="left"/>
      <w:pPr>
        <w:ind w:left="5053" w:hanging="318"/>
      </w:pPr>
      <w:rPr>
        <w:rFonts w:hint="default"/>
        <w:lang w:val="en-US" w:eastAsia="zh-CN" w:bidi="ar-SA"/>
      </w:rPr>
    </w:lvl>
    <w:lvl w:ilvl="8">
      <w:start w:val="0"/>
      <w:numFmt w:val="bullet"/>
      <w:lvlText w:val="•"/>
      <w:lvlJc w:val="left"/>
      <w:pPr>
        <w:ind w:left="5712" w:hanging="318"/>
      </w:pPr>
      <w:rPr>
        <w:rFonts w:hint="default"/>
        <w:lang w:val="en-US" w:eastAsia="zh-CN" w:bidi="ar-SA"/>
      </w:rPr>
    </w:lvl>
  </w:abstractNum>
  <w:abstractNum w:abstractNumId="34">
    <w:multiLevelType w:val="hybridMultilevel"/>
    <w:lvl w:ilvl="0">
      <w:start w:val="1"/>
      <w:numFmt w:val="decimal"/>
      <w:lvlText w:val="(%1)"/>
      <w:lvlJc w:val="left"/>
      <w:pPr>
        <w:ind w:left="127" w:hanging="32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11" w:hanging="320"/>
      </w:pPr>
      <w:rPr>
        <w:rFonts w:hint="default"/>
        <w:lang w:val="en-US" w:eastAsia="zh-CN" w:bidi="ar-SA"/>
      </w:rPr>
    </w:lvl>
    <w:lvl w:ilvl="2">
      <w:start w:val="0"/>
      <w:numFmt w:val="bullet"/>
      <w:lvlText w:val="•"/>
      <w:lvlJc w:val="left"/>
      <w:pPr>
        <w:ind w:left="1502" w:hanging="320"/>
      </w:pPr>
      <w:rPr>
        <w:rFonts w:hint="default"/>
        <w:lang w:val="en-US" w:eastAsia="zh-CN" w:bidi="ar-SA"/>
      </w:rPr>
    </w:lvl>
    <w:lvl w:ilvl="3">
      <w:start w:val="0"/>
      <w:numFmt w:val="bullet"/>
      <w:lvlText w:val="•"/>
      <w:lvlJc w:val="left"/>
      <w:pPr>
        <w:ind w:left="2193" w:hanging="320"/>
      </w:pPr>
      <w:rPr>
        <w:rFonts w:hint="default"/>
        <w:lang w:val="en-US" w:eastAsia="zh-CN" w:bidi="ar-SA"/>
      </w:rPr>
    </w:lvl>
    <w:lvl w:ilvl="4">
      <w:start w:val="0"/>
      <w:numFmt w:val="bullet"/>
      <w:lvlText w:val="•"/>
      <w:lvlJc w:val="left"/>
      <w:pPr>
        <w:ind w:left="2884" w:hanging="320"/>
      </w:pPr>
      <w:rPr>
        <w:rFonts w:hint="default"/>
        <w:lang w:val="en-US" w:eastAsia="zh-CN" w:bidi="ar-SA"/>
      </w:rPr>
    </w:lvl>
    <w:lvl w:ilvl="5">
      <w:start w:val="0"/>
      <w:numFmt w:val="bullet"/>
      <w:lvlText w:val="•"/>
      <w:lvlJc w:val="left"/>
      <w:pPr>
        <w:ind w:left="3575" w:hanging="320"/>
      </w:pPr>
      <w:rPr>
        <w:rFonts w:hint="default"/>
        <w:lang w:val="en-US" w:eastAsia="zh-CN" w:bidi="ar-SA"/>
      </w:rPr>
    </w:lvl>
    <w:lvl w:ilvl="6">
      <w:start w:val="0"/>
      <w:numFmt w:val="bullet"/>
      <w:lvlText w:val="•"/>
      <w:lvlJc w:val="left"/>
      <w:pPr>
        <w:ind w:left="4266" w:hanging="320"/>
      </w:pPr>
      <w:rPr>
        <w:rFonts w:hint="default"/>
        <w:lang w:val="en-US" w:eastAsia="zh-CN" w:bidi="ar-SA"/>
      </w:rPr>
    </w:lvl>
    <w:lvl w:ilvl="7">
      <w:start w:val="0"/>
      <w:numFmt w:val="bullet"/>
      <w:lvlText w:val="•"/>
      <w:lvlJc w:val="left"/>
      <w:pPr>
        <w:ind w:left="4957" w:hanging="320"/>
      </w:pPr>
      <w:rPr>
        <w:rFonts w:hint="default"/>
        <w:lang w:val="en-US" w:eastAsia="zh-CN" w:bidi="ar-SA"/>
      </w:rPr>
    </w:lvl>
    <w:lvl w:ilvl="8">
      <w:start w:val="0"/>
      <w:numFmt w:val="bullet"/>
      <w:lvlText w:val="•"/>
      <w:lvlJc w:val="left"/>
      <w:pPr>
        <w:ind w:left="5648" w:hanging="320"/>
      </w:pPr>
      <w:rPr>
        <w:rFonts w:hint="default"/>
        <w:lang w:val="en-US" w:eastAsia="zh-CN" w:bidi="ar-SA"/>
      </w:rPr>
    </w:lvl>
  </w:abstractNum>
  <w:abstractNum w:abstractNumId="33">
    <w:multiLevelType w:val="hybridMultilevel"/>
    <w:lvl w:ilvl="0">
      <w:start w:val="2"/>
      <w:numFmt w:val="decimal"/>
      <w:lvlText w:val="(%1)"/>
      <w:lvlJc w:val="left"/>
      <w:pPr>
        <w:ind w:left="212" w:hanging="32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62" w:hanging="320"/>
      </w:pPr>
      <w:rPr>
        <w:rFonts w:hint="default"/>
        <w:lang w:val="en-US" w:eastAsia="zh-CN" w:bidi="ar-SA"/>
      </w:rPr>
    </w:lvl>
    <w:lvl w:ilvl="2">
      <w:start w:val="0"/>
      <w:numFmt w:val="bullet"/>
      <w:lvlText w:val="•"/>
      <w:lvlJc w:val="left"/>
      <w:pPr>
        <w:ind w:left="1705" w:hanging="320"/>
      </w:pPr>
      <w:rPr>
        <w:rFonts w:hint="default"/>
        <w:lang w:val="en-US" w:eastAsia="zh-CN" w:bidi="ar-SA"/>
      </w:rPr>
    </w:lvl>
    <w:lvl w:ilvl="3">
      <w:start w:val="0"/>
      <w:numFmt w:val="bullet"/>
      <w:lvlText w:val="•"/>
      <w:lvlJc w:val="left"/>
      <w:pPr>
        <w:ind w:left="2447" w:hanging="320"/>
      </w:pPr>
      <w:rPr>
        <w:rFonts w:hint="default"/>
        <w:lang w:val="en-US" w:eastAsia="zh-CN" w:bidi="ar-SA"/>
      </w:rPr>
    </w:lvl>
    <w:lvl w:ilvl="4">
      <w:start w:val="0"/>
      <w:numFmt w:val="bullet"/>
      <w:lvlText w:val="•"/>
      <w:lvlJc w:val="left"/>
      <w:pPr>
        <w:ind w:left="3190" w:hanging="320"/>
      </w:pPr>
      <w:rPr>
        <w:rFonts w:hint="default"/>
        <w:lang w:val="en-US" w:eastAsia="zh-CN" w:bidi="ar-SA"/>
      </w:rPr>
    </w:lvl>
    <w:lvl w:ilvl="5">
      <w:start w:val="0"/>
      <w:numFmt w:val="bullet"/>
      <w:lvlText w:val="•"/>
      <w:lvlJc w:val="left"/>
      <w:pPr>
        <w:ind w:left="3933" w:hanging="320"/>
      </w:pPr>
      <w:rPr>
        <w:rFonts w:hint="default"/>
        <w:lang w:val="en-US" w:eastAsia="zh-CN" w:bidi="ar-SA"/>
      </w:rPr>
    </w:lvl>
    <w:lvl w:ilvl="6">
      <w:start w:val="0"/>
      <w:numFmt w:val="bullet"/>
      <w:lvlText w:val="•"/>
      <w:lvlJc w:val="left"/>
      <w:pPr>
        <w:ind w:left="4675" w:hanging="320"/>
      </w:pPr>
      <w:rPr>
        <w:rFonts w:hint="default"/>
        <w:lang w:val="en-US" w:eastAsia="zh-CN" w:bidi="ar-SA"/>
      </w:rPr>
    </w:lvl>
    <w:lvl w:ilvl="7">
      <w:start w:val="0"/>
      <w:numFmt w:val="bullet"/>
      <w:lvlText w:val="•"/>
      <w:lvlJc w:val="left"/>
      <w:pPr>
        <w:ind w:left="5418" w:hanging="320"/>
      </w:pPr>
      <w:rPr>
        <w:rFonts w:hint="default"/>
        <w:lang w:val="en-US" w:eastAsia="zh-CN" w:bidi="ar-SA"/>
      </w:rPr>
    </w:lvl>
    <w:lvl w:ilvl="8">
      <w:start w:val="0"/>
      <w:numFmt w:val="bullet"/>
      <w:lvlText w:val="•"/>
      <w:lvlJc w:val="left"/>
      <w:pPr>
        <w:ind w:left="6160" w:hanging="320"/>
      </w:pPr>
      <w:rPr>
        <w:rFonts w:hint="default"/>
        <w:lang w:val="en-US" w:eastAsia="zh-CN" w:bidi="ar-SA"/>
      </w:rPr>
    </w:lvl>
  </w:abstractNum>
  <w:abstractNum w:abstractNumId="32">
    <w:multiLevelType w:val="hybridMultilevel"/>
    <w:lvl w:ilvl="0">
      <w:start w:val="10"/>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39"/>
      <w:numFmt w:val="decimal"/>
      <w:lvlText w:val="%1.%2.%3"/>
      <w:lvlJc w:val="left"/>
      <w:pPr>
        <w:ind w:left="1382" w:hanging="1170"/>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824" w:hanging="1170"/>
      </w:pPr>
      <w:rPr>
        <w:rFonts w:hint="default"/>
        <w:lang w:val="en-US" w:eastAsia="zh-CN" w:bidi="ar-SA"/>
      </w:rPr>
    </w:lvl>
    <w:lvl w:ilvl="4">
      <w:start w:val="0"/>
      <w:numFmt w:val="bullet"/>
      <w:lvlText w:val="•"/>
      <w:lvlJc w:val="left"/>
      <w:pPr>
        <w:ind w:left="1972" w:hanging="1170"/>
      </w:pPr>
      <w:rPr>
        <w:rFonts w:hint="default"/>
        <w:lang w:val="en-US" w:eastAsia="zh-CN" w:bidi="ar-SA"/>
      </w:rPr>
    </w:lvl>
    <w:lvl w:ilvl="5">
      <w:start w:val="0"/>
      <w:numFmt w:val="bullet"/>
      <w:lvlText w:val="•"/>
      <w:lvlJc w:val="left"/>
      <w:pPr>
        <w:ind w:left="2120" w:hanging="1170"/>
      </w:pPr>
      <w:rPr>
        <w:rFonts w:hint="default"/>
        <w:lang w:val="en-US" w:eastAsia="zh-CN" w:bidi="ar-SA"/>
      </w:rPr>
    </w:lvl>
    <w:lvl w:ilvl="6">
      <w:start w:val="0"/>
      <w:numFmt w:val="bullet"/>
      <w:lvlText w:val="•"/>
      <w:lvlJc w:val="left"/>
      <w:pPr>
        <w:ind w:left="2268" w:hanging="1170"/>
      </w:pPr>
      <w:rPr>
        <w:rFonts w:hint="default"/>
        <w:lang w:val="en-US" w:eastAsia="zh-CN" w:bidi="ar-SA"/>
      </w:rPr>
    </w:lvl>
    <w:lvl w:ilvl="7">
      <w:start w:val="0"/>
      <w:numFmt w:val="bullet"/>
      <w:lvlText w:val="•"/>
      <w:lvlJc w:val="left"/>
      <w:pPr>
        <w:ind w:left="2416" w:hanging="1170"/>
      </w:pPr>
      <w:rPr>
        <w:rFonts w:hint="default"/>
        <w:lang w:val="en-US" w:eastAsia="zh-CN" w:bidi="ar-SA"/>
      </w:rPr>
    </w:lvl>
    <w:lvl w:ilvl="8">
      <w:start w:val="0"/>
      <w:numFmt w:val="bullet"/>
      <w:lvlText w:val="•"/>
      <w:lvlJc w:val="left"/>
      <w:pPr>
        <w:ind w:left="2564" w:hanging="1170"/>
      </w:pPr>
      <w:rPr>
        <w:rFonts w:hint="default"/>
        <w:lang w:val="en-US" w:eastAsia="zh-CN" w:bidi="ar-SA"/>
      </w:rPr>
    </w:lvl>
  </w:abstractNum>
  <w:abstractNum w:abstractNumId="31">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88" w:hanging="318"/>
      </w:pPr>
      <w:rPr>
        <w:rFonts w:hint="default"/>
        <w:lang w:val="en-US" w:eastAsia="zh-CN" w:bidi="ar-SA"/>
      </w:rPr>
    </w:lvl>
    <w:lvl w:ilvl="2">
      <w:start w:val="0"/>
      <w:numFmt w:val="bullet"/>
      <w:lvlText w:val="•"/>
      <w:lvlJc w:val="left"/>
      <w:pPr>
        <w:ind w:left="1736" w:hanging="318"/>
      </w:pPr>
      <w:rPr>
        <w:rFonts w:hint="default"/>
        <w:lang w:val="en-US" w:eastAsia="zh-CN" w:bidi="ar-SA"/>
      </w:rPr>
    </w:lvl>
    <w:lvl w:ilvl="3">
      <w:start w:val="0"/>
      <w:numFmt w:val="bullet"/>
      <w:lvlText w:val="•"/>
      <w:lvlJc w:val="left"/>
      <w:pPr>
        <w:ind w:left="2384" w:hanging="318"/>
      </w:pPr>
      <w:rPr>
        <w:rFonts w:hint="default"/>
        <w:lang w:val="en-US" w:eastAsia="zh-CN" w:bidi="ar-SA"/>
      </w:rPr>
    </w:lvl>
    <w:lvl w:ilvl="4">
      <w:start w:val="0"/>
      <w:numFmt w:val="bullet"/>
      <w:lvlText w:val="•"/>
      <w:lvlJc w:val="left"/>
      <w:pPr>
        <w:ind w:left="3033" w:hanging="318"/>
      </w:pPr>
      <w:rPr>
        <w:rFonts w:hint="default"/>
        <w:lang w:val="en-US" w:eastAsia="zh-CN" w:bidi="ar-SA"/>
      </w:rPr>
    </w:lvl>
    <w:lvl w:ilvl="5">
      <w:start w:val="0"/>
      <w:numFmt w:val="bullet"/>
      <w:lvlText w:val="•"/>
      <w:lvlJc w:val="left"/>
      <w:pPr>
        <w:ind w:left="3681" w:hanging="318"/>
      </w:pPr>
      <w:rPr>
        <w:rFonts w:hint="default"/>
        <w:lang w:val="en-US" w:eastAsia="zh-CN" w:bidi="ar-SA"/>
      </w:rPr>
    </w:lvl>
    <w:lvl w:ilvl="6">
      <w:start w:val="0"/>
      <w:numFmt w:val="bullet"/>
      <w:lvlText w:val="•"/>
      <w:lvlJc w:val="left"/>
      <w:pPr>
        <w:ind w:left="4329" w:hanging="318"/>
      </w:pPr>
      <w:rPr>
        <w:rFonts w:hint="default"/>
        <w:lang w:val="en-US" w:eastAsia="zh-CN" w:bidi="ar-SA"/>
      </w:rPr>
    </w:lvl>
    <w:lvl w:ilvl="7">
      <w:start w:val="0"/>
      <w:numFmt w:val="bullet"/>
      <w:lvlText w:val="•"/>
      <w:lvlJc w:val="left"/>
      <w:pPr>
        <w:ind w:left="4978" w:hanging="318"/>
      </w:pPr>
      <w:rPr>
        <w:rFonts w:hint="default"/>
        <w:lang w:val="en-US" w:eastAsia="zh-CN" w:bidi="ar-SA"/>
      </w:rPr>
    </w:lvl>
    <w:lvl w:ilvl="8">
      <w:start w:val="0"/>
      <w:numFmt w:val="bullet"/>
      <w:lvlText w:val="•"/>
      <w:lvlJc w:val="left"/>
      <w:pPr>
        <w:ind w:left="5626" w:hanging="318"/>
      </w:pPr>
      <w:rPr>
        <w:rFonts w:hint="default"/>
        <w:lang w:val="en-US" w:eastAsia="zh-CN" w:bidi="ar-SA"/>
      </w:rPr>
    </w:lvl>
  </w:abstractNum>
  <w:abstractNum w:abstractNumId="30">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9" w:hanging="318"/>
      </w:pPr>
      <w:rPr>
        <w:rFonts w:hint="default"/>
        <w:lang w:val="en-US" w:eastAsia="zh-CN" w:bidi="ar-SA"/>
      </w:rPr>
    </w:lvl>
    <w:lvl w:ilvl="2">
      <w:start w:val="0"/>
      <w:numFmt w:val="bullet"/>
      <w:lvlText w:val="•"/>
      <w:lvlJc w:val="left"/>
      <w:pPr>
        <w:ind w:left="1758" w:hanging="318"/>
      </w:pPr>
      <w:rPr>
        <w:rFonts w:hint="default"/>
        <w:lang w:val="en-US" w:eastAsia="zh-CN" w:bidi="ar-SA"/>
      </w:rPr>
    </w:lvl>
    <w:lvl w:ilvl="3">
      <w:start w:val="0"/>
      <w:numFmt w:val="bullet"/>
      <w:lvlText w:val="•"/>
      <w:lvlJc w:val="left"/>
      <w:pPr>
        <w:ind w:left="2417" w:hanging="318"/>
      </w:pPr>
      <w:rPr>
        <w:rFonts w:hint="default"/>
        <w:lang w:val="en-US" w:eastAsia="zh-CN" w:bidi="ar-SA"/>
      </w:rPr>
    </w:lvl>
    <w:lvl w:ilvl="4">
      <w:start w:val="0"/>
      <w:numFmt w:val="bullet"/>
      <w:lvlText w:val="•"/>
      <w:lvlJc w:val="left"/>
      <w:pPr>
        <w:ind w:left="3076" w:hanging="318"/>
      </w:pPr>
      <w:rPr>
        <w:rFonts w:hint="default"/>
        <w:lang w:val="en-US" w:eastAsia="zh-CN" w:bidi="ar-SA"/>
      </w:rPr>
    </w:lvl>
    <w:lvl w:ilvl="5">
      <w:start w:val="0"/>
      <w:numFmt w:val="bullet"/>
      <w:lvlText w:val="•"/>
      <w:lvlJc w:val="left"/>
      <w:pPr>
        <w:ind w:left="3735" w:hanging="318"/>
      </w:pPr>
      <w:rPr>
        <w:rFonts w:hint="default"/>
        <w:lang w:val="en-US" w:eastAsia="zh-CN" w:bidi="ar-SA"/>
      </w:rPr>
    </w:lvl>
    <w:lvl w:ilvl="6">
      <w:start w:val="0"/>
      <w:numFmt w:val="bullet"/>
      <w:lvlText w:val="•"/>
      <w:lvlJc w:val="left"/>
      <w:pPr>
        <w:ind w:left="4394" w:hanging="318"/>
      </w:pPr>
      <w:rPr>
        <w:rFonts w:hint="default"/>
        <w:lang w:val="en-US" w:eastAsia="zh-CN" w:bidi="ar-SA"/>
      </w:rPr>
    </w:lvl>
    <w:lvl w:ilvl="7">
      <w:start w:val="0"/>
      <w:numFmt w:val="bullet"/>
      <w:lvlText w:val="•"/>
      <w:lvlJc w:val="left"/>
      <w:pPr>
        <w:ind w:left="5053" w:hanging="318"/>
      </w:pPr>
      <w:rPr>
        <w:rFonts w:hint="default"/>
        <w:lang w:val="en-US" w:eastAsia="zh-CN" w:bidi="ar-SA"/>
      </w:rPr>
    </w:lvl>
    <w:lvl w:ilvl="8">
      <w:start w:val="0"/>
      <w:numFmt w:val="bullet"/>
      <w:lvlText w:val="•"/>
      <w:lvlJc w:val="left"/>
      <w:pPr>
        <w:ind w:left="5712" w:hanging="318"/>
      </w:pPr>
      <w:rPr>
        <w:rFonts w:hint="default"/>
        <w:lang w:val="en-US" w:eastAsia="zh-CN" w:bidi="ar-SA"/>
      </w:rPr>
    </w:lvl>
  </w:abstractNum>
  <w:abstractNum w:abstractNumId="29">
    <w:multiLevelType w:val="hybridMultilevel"/>
    <w:lvl w:ilvl="0">
      <w:start w:val="4"/>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9" w:hanging="318"/>
      </w:pPr>
      <w:rPr>
        <w:rFonts w:hint="default"/>
        <w:lang w:val="en-US" w:eastAsia="zh-CN" w:bidi="ar-SA"/>
      </w:rPr>
    </w:lvl>
    <w:lvl w:ilvl="2">
      <w:start w:val="0"/>
      <w:numFmt w:val="bullet"/>
      <w:lvlText w:val="•"/>
      <w:lvlJc w:val="left"/>
      <w:pPr>
        <w:ind w:left="1758" w:hanging="318"/>
      </w:pPr>
      <w:rPr>
        <w:rFonts w:hint="default"/>
        <w:lang w:val="en-US" w:eastAsia="zh-CN" w:bidi="ar-SA"/>
      </w:rPr>
    </w:lvl>
    <w:lvl w:ilvl="3">
      <w:start w:val="0"/>
      <w:numFmt w:val="bullet"/>
      <w:lvlText w:val="•"/>
      <w:lvlJc w:val="left"/>
      <w:pPr>
        <w:ind w:left="2417" w:hanging="318"/>
      </w:pPr>
      <w:rPr>
        <w:rFonts w:hint="default"/>
        <w:lang w:val="en-US" w:eastAsia="zh-CN" w:bidi="ar-SA"/>
      </w:rPr>
    </w:lvl>
    <w:lvl w:ilvl="4">
      <w:start w:val="0"/>
      <w:numFmt w:val="bullet"/>
      <w:lvlText w:val="•"/>
      <w:lvlJc w:val="left"/>
      <w:pPr>
        <w:ind w:left="3076" w:hanging="318"/>
      </w:pPr>
      <w:rPr>
        <w:rFonts w:hint="default"/>
        <w:lang w:val="en-US" w:eastAsia="zh-CN" w:bidi="ar-SA"/>
      </w:rPr>
    </w:lvl>
    <w:lvl w:ilvl="5">
      <w:start w:val="0"/>
      <w:numFmt w:val="bullet"/>
      <w:lvlText w:val="•"/>
      <w:lvlJc w:val="left"/>
      <w:pPr>
        <w:ind w:left="3735" w:hanging="318"/>
      </w:pPr>
      <w:rPr>
        <w:rFonts w:hint="default"/>
        <w:lang w:val="en-US" w:eastAsia="zh-CN" w:bidi="ar-SA"/>
      </w:rPr>
    </w:lvl>
    <w:lvl w:ilvl="6">
      <w:start w:val="0"/>
      <w:numFmt w:val="bullet"/>
      <w:lvlText w:val="•"/>
      <w:lvlJc w:val="left"/>
      <w:pPr>
        <w:ind w:left="4394" w:hanging="318"/>
      </w:pPr>
      <w:rPr>
        <w:rFonts w:hint="default"/>
        <w:lang w:val="en-US" w:eastAsia="zh-CN" w:bidi="ar-SA"/>
      </w:rPr>
    </w:lvl>
    <w:lvl w:ilvl="7">
      <w:start w:val="0"/>
      <w:numFmt w:val="bullet"/>
      <w:lvlText w:val="•"/>
      <w:lvlJc w:val="left"/>
      <w:pPr>
        <w:ind w:left="5053" w:hanging="318"/>
      </w:pPr>
      <w:rPr>
        <w:rFonts w:hint="default"/>
        <w:lang w:val="en-US" w:eastAsia="zh-CN" w:bidi="ar-SA"/>
      </w:rPr>
    </w:lvl>
    <w:lvl w:ilvl="8">
      <w:start w:val="0"/>
      <w:numFmt w:val="bullet"/>
      <w:lvlText w:val="•"/>
      <w:lvlJc w:val="left"/>
      <w:pPr>
        <w:ind w:left="5712" w:hanging="318"/>
      </w:pPr>
      <w:rPr>
        <w:rFonts w:hint="default"/>
        <w:lang w:val="en-US" w:eastAsia="zh-CN" w:bidi="ar-SA"/>
      </w:rPr>
    </w:lvl>
  </w:abstractNum>
  <w:abstractNum w:abstractNumId="28">
    <w:multiLevelType w:val="hybridMultilevel"/>
    <w:lvl w:ilvl="0">
      <w:start w:val="1"/>
      <w:numFmt w:val="decimal"/>
      <w:lvlText w:val="(%1)"/>
      <w:lvlJc w:val="left"/>
      <w:pPr>
        <w:ind w:left="44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9" w:hanging="318"/>
      </w:pPr>
      <w:rPr>
        <w:rFonts w:hint="default"/>
        <w:lang w:val="en-US" w:eastAsia="zh-CN" w:bidi="ar-SA"/>
      </w:rPr>
    </w:lvl>
    <w:lvl w:ilvl="2">
      <w:start w:val="0"/>
      <w:numFmt w:val="bullet"/>
      <w:lvlText w:val="•"/>
      <w:lvlJc w:val="left"/>
      <w:pPr>
        <w:ind w:left="1758" w:hanging="318"/>
      </w:pPr>
      <w:rPr>
        <w:rFonts w:hint="default"/>
        <w:lang w:val="en-US" w:eastAsia="zh-CN" w:bidi="ar-SA"/>
      </w:rPr>
    </w:lvl>
    <w:lvl w:ilvl="3">
      <w:start w:val="0"/>
      <w:numFmt w:val="bullet"/>
      <w:lvlText w:val="•"/>
      <w:lvlJc w:val="left"/>
      <w:pPr>
        <w:ind w:left="2417" w:hanging="318"/>
      </w:pPr>
      <w:rPr>
        <w:rFonts w:hint="default"/>
        <w:lang w:val="en-US" w:eastAsia="zh-CN" w:bidi="ar-SA"/>
      </w:rPr>
    </w:lvl>
    <w:lvl w:ilvl="4">
      <w:start w:val="0"/>
      <w:numFmt w:val="bullet"/>
      <w:lvlText w:val="•"/>
      <w:lvlJc w:val="left"/>
      <w:pPr>
        <w:ind w:left="3076" w:hanging="318"/>
      </w:pPr>
      <w:rPr>
        <w:rFonts w:hint="default"/>
        <w:lang w:val="en-US" w:eastAsia="zh-CN" w:bidi="ar-SA"/>
      </w:rPr>
    </w:lvl>
    <w:lvl w:ilvl="5">
      <w:start w:val="0"/>
      <w:numFmt w:val="bullet"/>
      <w:lvlText w:val="•"/>
      <w:lvlJc w:val="left"/>
      <w:pPr>
        <w:ind w:left="3735" w:hanging="318"/>
      </w:pPr>
      <w:rPr>
        <w:rFonts w:hint="default"/>
        <w:lang w:val="en-US" w:eastAsia="zh-CN" w:bidi="ar-SA"/>
      </w:rPr>
    </w:lvl>
    <w:lvl w:ilvl="6">
      <w:start w:val="0"/>
      <w:numFmt w:val="bullet"/>
      <w:lvlText w:val="•"/>
      <w:lvlJc w:val="left"/>
      <w:pPr>
        <w:ind w:left="4394" w:hanging="318"/>
      </w:pPr>
      <w:rPr>
        <w:rFonts w:hint="default"/>
        <w:lang w:val="en-US" w:eastAsia="zh-CN" w:bidi="ar-SA"/>
      </w:rPr>
    </w:lvl>
    <w:lvl w:ilvl="7">
      <w:start w:val="0"/>
      <w:numFmt w:val="bullet"/>
      <w:lvlText w:val="•"/>
      <w:lvlJc w:val="left"/>
      <w:pPr>
        <w:ind w:left="5053" w:hanging="318"/>
      </w:pPr>
      <w:rPr>
        <w:rFonts w:hint="default"/>
        <w:lang w:val="en-US" w:eastAsia="zh-CN" w:bidi="ar-SA"/>
      </w:rPr>
    </w:lvl>
    <w:lvl w:ilvl="8">
      <w:start w:val="0"/>
      <w:numFmt w:val="bullet"/>
      <w:lvlText w:val="•"/>
      <w:lvlJc w:val="left"/>
      <w:pPr>
        <w:ind w:left="5712" w:hanging="318"/>
      </w:pPr>
      <w:rPr>
        <w:rFonts w:hint="default"/>
        <w:lang w:val="en-US" w:eastAsia="zh-CN" w:bidi="ar-SA"/>
      </w:rPr>
    </w:lvl>
  </w:abstractNum>
  <w:abstractNum w:abstractNumId="27">
    <w:multiLevelType w:val="hybridMultilevel"/>
    <w:lvl w:ilvl="0">
      <w:start w:val="1"/>
      <w:numFmt w:val="decimal"/>
      <w:lvlText w:val="(%1)"/>
      <w:lvlJc w:val="left"/>
      <w:pPr>
        <w:ind w:left="212" w:hanging="324"/>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62" w:hanging="324"/>
      </w:pPr>
      <w:rPr>
        <w:rFonts w:hint="default"/>
        <w:lang w:val="en-US" w:eastAsia="zh-CN" w:bidi="ar-SA"/>
      </w:rPr>
    </w:lvl>
    <w:lvl w:ilvl="2">
      <w:start w:val="0"/>
      <w:numFmt w:val="bullet"/>
      <w:lvlText w:val="•"/>
      <w:lvlJc w:val="left"/>
      <w:pPr>
        <w:ind w:left="1705" w:hanging="324"/>
      </w:pPr>
      <w:rPr>
        <w:rFonts w:hint="default"/>
        <w:lang w:val="en-US" w:eastAsia="zh-CN" w:bidi="ar-SA"/>
      </w:rPr>
    </w:lvl>
    <w:lvl w:ilvl="3">
      <w:start w:val="0"/>
      <w:numFmt w:val="bullet"/>
      <w:lvlText w:val="•"/>
      <w:lvlJc w:val="left"/>
      <w:pPr>
        <w:ind w:left="2447" w:hanging="324"/>
      </w:pPr>
      <w:rPr>
        <w:rFonts w:hint="default"/>
        <w:lang w:val="en-US" w:eastAsia="zh-CN" w:bidi="ar-SA"/>
      </w:rPr>
    </w:lvl>
    <w:lvl w:ilvl="4">
      <w:start w:val="0"/>
      <w:numFmt w:val="bullet"/>
      <w:lvlText w:val="•"/>
      <w:lvlJc w:val="left"/>
      <w:pPr>
        <w:ind w:left="3190" w:hanging="324"/>
      </w:pPr>
      <w:rPr>
        <w:rFonts w:hint="default"/>
        <w:lang w:val="en-US" w:eastAsia="zh-CN" w:bidi="ar-SA"/>
      </w:rPr>
    </w:lvl>
    <w:lvl w:ilvl="5">
      <w:start w:val="0"/>
      <w:numFmt w:val="bullet"/>
      <w:lvlText w:val="•"/>
      <w:lvlJc w:val="left"/>
      <w:pPr>
        <w:ind w:left="3933" w:hanging="324"/>
      </w:pPr>
      <w:rPr>
        <w:rFonts w:hint="default"/>
        <w:lang w:val="en-US" w:eastAsia="zh-CN" w:bidi="ar-SA"/>
      </w:rPr>
    </w:lvl>
    <w:lvl w:ilvl="6">
      <w:start w:val="0"/>
      <w:numFmt w:val="bullet"/>
      <w:lvlText w:val="•"/>
      <w:lvlJc w:val="left"/>
      <w:pPr>
        <w:ind w:left="4675" w:hanging="324"/>
      </w:pPr>
      <w:rPr>
        <w:rFonts w:hint="default"/>
        <w:lang w:val="en-US" w:eastAsia="zh-CN" w:bidi="ar-SA"/>
      </w:rPr>
    </w:lvl>
    <w:lvl w:ilvl="7">
      <w:start w:val="0"/>
      <w:numFmt w:val="bullet"/>
      <w:lvlText w:val="•"/>
      <w:lvlJc w:val="left"/>
      <w:pPr>
        <w:ind w:left="5418" w:hanging="324"/>
      </w:pPr>
      <w:rPr>
        <w:rFonts w:hint="default"/>
        <w:lang w:val="en-US" w:eastAsia="zh-CN" w:bidi="ar-SA"/>
      </w:rPr>
    </w:lvl>
    <w:lvl w:ilvl="8">
      <w:start w:val="0"/>
      <w:numFmt w:val="bullet"/>
      <w:lvlText w:val="•"/>
      <w:lvlJc w:val="left"/>
      <w:pPr>
        <w:ind w:left="6160" w:hanging="324"/>
      </w:pPr>
      <w:rPr>
        <w:rFonts w:hint="default"/>
        <w:lang w:val="en-US" w:eastAsia="zh-CN" w:bidi="ar-SA"/>
      </w:rPr>
    </w:lvl>
  </w:abstractNum>
  <w:abstractNum w:abstractNumId="26">
    <w:multiLevelType w:val="hybridMultilevel"/>
    <w:lvl w:ilvl="0">
      <w:start w:val="10"/>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15"/>
      <w:numFmt w:val="decimal"/>
      <w:lvlText w:val="%1.%2.%3"/>
      <w:lvlJc w:val="left"/>
      <w:pPr>
        <w:ind w:left="1382" w:hanging="1170"/>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113" w:hanging="318"/>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5595" w:hanging="318"/>
      </w:pPr>
      <w:rPr>
        <w:rFonts w:hint="default"/>
        <w:lang w:val="en-US" w:eastAsia="zh-CN" w:bidi="ar-SA"/>
      </w:rPr>
    </w:lvl>
    <w:lvl w:ilvl="5">
      <w:start w:val="0"/>
      <w:numFmt w:val="bullet"/>
      <w:lvlText w:val="•"/>
      <w:lvlJc w:val="left"/>
      <w:pPr>
        <w:ind w:left="6420" w:hanging="318"/>
      </w:pPr>
      <w:rPr>
        <w:rFonts w:hint="default"/>
        <w:lang w:val="en-US" w:eastAsia="zh-CN" w:bidi="ar-SA"/>
      </w:rPr>
    </w:lvl>
    <w:lvl w:ilvl="6">
      <w:start w:val="0"/>
      <w:numFmt w:val="bullet"/>
      <w:lvlText w:val="•"/>
      <w:lvlJc w:val="left"/>
      <w:pPr>
        <w:ind w:left="7245" w:hanging="318"/>
      </w:pPr>
      <w:rPr>
        <w:rFonts w:hint="default"/>
        <w:lang w:val="en-US" w:eastAsia="zh-CN" w:bidi="ar-SA"/>
      </w:rPr>
    </w:lvl>
    <w:lvl w:ilvl="7">
      <w:start w:val="0"/>
      <w:numFmt w:val="bullet"/>
      <w:lvlText w:val="•"/>
      <w:lvlJc w:val="left"/>
      <w:pPr>
        <w:ind w:left="8070" w:hanging="318"/>
      </w:pPr>
      <w:rPr>
        <w:rFonts w:hint="default"/>
        <w:lang w:val="en-US" w:eastAsia="zh-CN" w:bidi="ar-SA"/>
      </w:rPr>
    </w:lvl>
    <w:lvl w:ilvl="8">
      <w:start w:val="0"/>
      <w:numFmt w:val="bullet"/>
      <w:lvlText w:val="•"/>
      <w:lvlJc w:val="left"/>
      <w:pPr>
        <w:ind w:left="8896" w:hanging="318"/>
      </w:pPr>
      <w:rPr>
        <w:rFonts w:hint="default"/>
        <w:lang w:val="en-US" w:eastAsia="zh-CN" w:bidi="ar-SA"/>
      </w:rPr>
    </w:lvl>
  </w:abstractNum>
  <w:abstractNum w:abstractNumId="25">
    <w:multiLevelType w:val="hybridMultilevel"/>
    <w:lvl w:ilvl="0">
      <w:start w:val="3"/>
      <w:numFmt w:val="decimal"/>
      <w:lvlText w:val="(%1)"/>
      <w:lvlJc w:val="left"/>
      <w:pPr>
        <w:ind w:left="127" w:hanging="324"/>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0" w:hanging="324"/>
      </w:pPr>
      <w:rPr>
        <w:rFonts w:hint="default"/>
        <w:lang w:val="en-US" w:eastAsia="zh-CN" w:bidi="ar-SA"/>
      </w:rPr>
    </w:lvl>
    <w:lvl w:ilvl="2">
      <w:start w:val="0"/>
      <w:numFmt w:val="bullet"/>
      <w:lvlText w:val="•"/>
      <w:lvlJc w:val="left"/>
      <w:pPr>
        <w:ind w:left="1481" w:hanging="324"/>
      </w:pPr>
      <w:rPr>
        <w:rFonts w:hint="default"/>
        <w:lang w:val="en-US" w:eastAsia="zh-CN" w:bidi="ar-SA"/>
      </w:rPr>
    </w:lvl>
    <w:lvl w:ilvl="3">
      <w:start w:val="0"/>
      <w:numFmt w:val="bullet"/>
      <w:lvlText w:val="•"/>
      <w:lvlJc w:val="left"/>
      <w:pPr>
        <w:ind w:left="2161" w:hanging="324"/>
      </w:pPr>
      <w:rPr>
        <w:rFonts w:hint="default"/>
        <w:lang w:val="en-US" w:eastAsia="zh-CN" w:bidi="ar-SA"/>
      </w:rPr>
    </w:lvl>
    <w:lvl w:ilvl="4">
      <w:start w:val="0"/>
      <w:numFmt w:val="bullet"/>
      <w:lvlText w:val="•"/>
      <w:lvlJc w:val="left"/>
      <w:pPr>
        <w:ind w:left="2842" w:hanging="324"/>
      </w:pPr>
      <w:rPr>
        <w:rFonts w:hint="default"/>
        <w:lang w:val="en-US" w:eastAsia="zh-CN" w:bidi="ar-SA"/>
      </w:rPr>
    </w:lvl>
    <w:lvl w:ilvl="5">
      <w:start w:val="0"/>
      <w:numFmt w:val="bullet"/>
      <w:lvlText w:val="•"/>
      <w:lvlJc w:val="left"/>
      <w:pPr>
        <w:ind w:left="3523" w:hanging="324"/>
      </w:pPr>
      <w:rPr>
        <w:rFonts w:hint="default"/>
        <w:lang w:val="en-US" w:eastAsia="zh-CN" w:bidi="ar-SA"/>
      </w:rPr>
    </w:lvl>
    <w:lvl w:ilvl="6">
      <w:start w:val="0"/>
      <w:numFmt w:val="bullet"/>
      <w:lvlText w:val="•"/>
      <w:lvlJc w:val="left"/>
      <w:pPr>
        <w:ind w:left="4203" w:hanging="324"/>
      </w:pPr>
      <w:rPr>
        <w:rFonts w:hint="default"/>
        <w:lang w:val="en-US" w:eastAsia="zh-CN" w:bidi="ar-SA"/>
      </w:rPr>
    </w:lvl>
    <w:lvl w:ilvl="7">
      <w:start w:val="0"/>
      <w:numFmt w:val="bullet"/>
      <w:lvlText w:val="•"/>
      <w:lvlJc w:val="left"/>
      <w:pPr>
        <w:ind w:left="4884" w:hanging="324"/>
      </w:pPr>
      <w:rPr>
        <w:rFonts w:hint="default"/>
        <w:lang w:val="en-US" w:eastAsia="zh-CN" w:bidi="ar-SA"/>
      </w:rPr>
    </w:lvl>
    <w:lvl w:ilvl="8">
      <w:start w:val="0"/>
      <w:numFmt w:val="bullet"/>
      <w:lvlText w:val="•"/>
      <w:lvlJc w:val="left"/>
      <w:pPr>
        <w:ind w:left="5564" w:hanging="324"/>
      </w:pPr>
      <w:rPr>
        <w:rFonts w:hint="default"/>
        <w:lang w:val="en-US" w:eastAsia="zh-CN" w:bidi="ar-SA"/>
      </w:rPr>
    </w:lvl>
  </w:abstractNum>
  <w:abstractNum w:abstractNumId="24">
    <w:multiLevelType w:val="hybridMultilevel"/>
    <w:lvl w:ilvl="0">
      <w:start w:val="2"/>
      <w:numFmt w:val="decimal"/>
      <w:lvlText w:val="(%1)"/>
      <w:lvlJc w:val="left"/>
      <w:pPr>
        <w:ind w:left="445" w:hanging="318"/>
        <w:jc w:val="left"/>
      </w:pPr>
      <w:rPr>
        <w:rFonts w:hint="default" w:ascii="宋体" w:hAnsi="宋体" w:eastAsia="宋体" w:cs="宋体"/>
        <w:b w:val="0"/>
        <w:bCs w:val="0"/>
        <w:i w:val="0"/>
        <w:iCs w:val="0"/>
        <w:w w:val="100"/>
        <w:sz w:val="19"/>
        <w:szCs w:val="19"/>
        <w:shd w:fill="A6A6A6" w:color="auto" w:val="clear"/>
        <w:lang w:val="en-US" w:eastAsia="zh-CN" w:bidi="ar-SA"/>
      </w:rPr>
    </w:lvl>
    <w:lvl w:ilvl="1">
      <w:start w:val="0"/>
      <w:numFmt w:val="bullet"/>
      <w:lvlText w:val="•"/>
      <w:lvlJc w:val="left"/>
      <w:pPr>
        <w:ind w:left="1088" w:hanging="318"/>
      </w:pPr>
      <w:rPr>
        <w:rFonts w:hint="default"/>
        <w:lang w:val="en-US" w:eastAsia="zh-CN" w:bidi="ar-SA"/>
      </w:rPr>
    </w:lvl>
    <w:lvl w:ilvl="2">
      <w:start w:val="0"/>
      <w:numFmt w:val="bullet"/>
      <w:lvlText w:val="•"/>
      <w:lvlJc w:val="left"/>
      <w:pPr>
        <w:ind w:left="1737" w:hanging="318"/>
      </w:pPr>
      <w:rPr>
        <w:rFonts w:hint="default"/>
        <w:lang w:val="en-US" w:eastAsia="zh-CN" w:bidi="ar-SA"/>
      </w:rPr>
    </w:lvl>
    <w:lvl w:ilvl="3">
      <w:start w:val="0"/>
      <w:numFmt w:val="bullet"/>
      <w:lvlText w:val="•"/>
      <w:lvlJc w:val="left"/>
      <w:pPr>
        <w:ind w:left="2385" w:hanging="318"/>
      </w:pPr>
      <w:rPr>
        <w:rFonts w:hint="default"/>
        <w:lang w:val="en-US" w:eastAsia="zh-CN" w:bidi="ar-SA"/>
      </w:rPr>
    </w:lvl>
    <w:lvl w:ilvl="4">
      <w:start w:val="0"/>
      <w:numFmt w:val="bullet"/>
      <w:lvlText w:val="•"/>
      <w:lvlJc w:val="left"/>
      <w:pPr>
        <w:ind w:left="3034" w:hanging="318"/>
      </w:pPr>
      <w:rPr>
        <w:rFonts w:hint="default"/>
        <w:lang w:val="en-US" w:eastAsia="zh-CN" w:bidi="ar-SA"/>
      </w:rPr>
    </w:lvl>
    <w:lvl w:ilvl="5">
      <w:start w:val="0"/>
      <w:numFmt w:val="bullet"/>
      <w:lvlText w:val="•"/>
      <w:lvlJc w:val="left"/>
      <w:pPr>
        <w:ind w:left="3683" w:hanging="318"/>
      </w:pPr>
      <w:rPr>
        <w:rFonts w:hint="default"/>
        <w:lang w:val="en-US" w:eastAsia="zh-CN" w:bidi="ar-SA"/>
      </w:rPr>
    </w:lvl>
    <w:lvl w:ilvl="6">
      <w:start w:val="0"/>
      <w:numFmt w:val="bullet"/>
      <w:lvlText w:val="•"/>
      <w:lvlJc w:val="left"/>
      <w:pPr>
        <w:ind w:left="4331" w:hanging="318"/>
      </w:pPr>
      <w:rPr>
        <w:rFonts w:hint="default"/>
        <w:lang w:val="en-US" w:eastAsia="zh-CN" w:bidi="ar-SA"/>
      </w:rPr>
    </w:lvl>
    <w:lvl w:ilvl="7">
      <w:start w:val="0"/>
      <w:numFmt w:val="bullet"/>
      <w:lvlText w:val="•"/>
      <w:lvlJc w:val="left"/>
      <w:pPr>
        <w:ind w:left="4980" w:hanging="318"/>
      </w:pPr>
      <w:rPr>
        <w:rFonts w:hint="default"/>
        <w:lang w:val="en-US" w:eastAsia="zh-CN" w:bidi="ar-SA"/>
      </w:rPr>
    </w:lvl>
    <w:lvl w:ilvl="8">
      <w:start w:val="0"/>
      <w:numFmt w:val="bullet"/>
      <w:lvlText w:val="•"/>
      <w:lvlJc w:val="left"/>
      <w:pPr>
        <w:ind w:left="5628" w:hanging="318"/>
      </w:pPr>
      <w:rPr>
        <w:rFonts w:hint="default"/>
        <w:lang w:val="en-US" w:eastAsia="zh-CN" w:bidi="ar-SA"/>
      </w:rPr>
    </w:lvl>
  </w:abstractNum>
  <w:abstractNum w:abstractNumId="23">
    <w:multiLevelType w:val="hybridMultilevel"/>
    <w:lvl w:ilvl="0">
      <w:start w:val="1"/>
      <w:numFmt w:val="decimal"/>
      <w:lvlText w:val="(%1)"/>
      <w:lvlJc w:val="left"/>
      <w:pPr>
        <w:ind w:left="212" w:hanging="318"/>
        <w:jc w:val="left"/>
      </w:pPr>
      <w:rPr>
        <w:rFonts w:hint="default" w:ascii="宋体" w:hAnsi="宋体" w:eastAsia="宋体" w:cs="宋体"/>
        <w:b w:val="0"/>
        <w:bCs w:val="0"/>
        <w:i w:val="0"/>
        <w:iCs w:val="0"/>
        <w:w w:val="100"/>
        <w:sz w:val="19"/>
        <w:szCs w:val="19"/>
        <w:lang w:val="en-US" w:eastAsia="zh-CN" w:bidi="ar-SA"/>
      </w:rPr>
    </w:lvl>
    <w:lvl w:ilvl="1">
      <w:start w:val="0"/>
      <w:numFmt w:val="decimal"/>
      <w:lvlText w:val="%2"/>
      <w:lvlJc w:val="left"/>
      <w:pPr>
        <w:ind w:left="890" w:hanging="137"/>
        <w:jc w:val="left"/>
      </w:pPr>
      <w:rPr>
        <w:rFonts w:hint="default" w:ascii="宋体" w:hAnsi="宋体" w:eastAsia="宋体" w:cs="宋体"/>
        <w:b w:val="0"/>
        <w:bCs w:val="0"/>
        <w:i w:val="0"/>
        <w:iCs w:val="0"/>
        <w:w w:val="100"/>
        <w:sz w:val="18"/>
        <w:szCs w:val="18"/>
        <w:lang w:val="en-US" w:eastAsia="zh-CN" w:bidi="ar-SA"/>
      </w:rPr>
    </w:lvl>
    <w:lvl w:ilvl="2">
      <w:start w:val="0"/>
      <w:numFmt w:val="bullet"/>
      <w:lvlText w:val="•"/>
      <w:lvlJc w:val="left"/>
      <w:pPr>
        <w:ind w:left="1649" w:hanging="137"/>
      </w:pPr>
      <w:rPr>
        <w:rFonts w:hint="default"/>
        <w:lang w:val="en-US" w:eastAsia="zh-CN" w:bidi="ar-SA"/>
      </w:rPr>
    </w:lvl>
    <w:lvl w:ilvl="3">
      <w:start w:val="0"/>
      <w:numFmt w:val="bullet"/>
      <w:lvlText w:val="•"/>
      <w:lvlJc w:val="left"/>
      <w:pPr>
        <w:ind w:left="2399" w:hanging="137"/>
      </w:pPr>
      <w:rPr>
        <w:rFonts w:hint="default"/>
        <w:lang w:val="en-US" w:eastAsia="zh-CN" w:bidi="ar-SA"/>
      </w:rPr>
    </w:lvl>
    <w:lvl w:ilvl="4">
      <w:start w:val="0"/>
      <w:numFmt w:val="bullet"/>
      <w:lvlText w:val="•"/>
      <w:lvlJc w:val="left"/>
      <w:pPr>
        <w:ind w:left="3148" w:hanging="137"/>
      </w:pPr>
      <w:rPr>
        <w:rFonts w:hint="default"/>
        <w:lang w:val="en-US" w:eastAsia="zh-CN" w:bidi="ar-SA"/>
      </w:rPr>
    </w:lvl>
    <w:lvl w:ilvl="5">
      <w:start w:val="0"/>
      <w:numFmt w:val="bullet"/>
      <w:lvlText w:val="•"/>
      <w:lvlJc w:val="left"/>
      <w:pPr>
        <w:ind w:left="3898" w:hanging="137"/>
      </w:pPr>
      <w:rPr>
        <w:rFonts w:hint="default"/>
        <w:lang w:val="en-US" w:eastAsia="zh-CN" w:bidi="ar-SA"/>
      </w:rPr>
    </w:lvl>
    <w:lvl w:ilvl="6">
      <w:start w:val="0"/>
      <w:numFmt w:val="bullet"/>
      <w:lvlText w:val="•"/>
      <w:lvlJc w:val="left"/>
      <w:pPr>
        <w:ind w:left="4647" w:hanging="137"/>
      </w:pPr>
      <w:rPr>
        <w:rFonts w:hint="default"/>
        <w:lang w:val="en-US" w:eastAsia="zh-CN" w:bidi="ar-SA"/>
      </w:rPr>
    </w:lvl>
    <w:lvl w:ilvl="7">
      <w:start w:val="0"/>
      <w:numFmt w:val="bullet"/>
      <w:lvlText w:val="•"/>
      <w:lvlJc w:val="left"/>
      <w:pPr>
        <w:ind w:left="5397" w:hanging="137"/>
      </w:pPr>
      <w:rPr>
        <w:rFonts w:hint="default"/>
        <w:lang w:val="en-US" w:eastAsia="zh-CN" w:bidi="ar-SA"/>
      </w:rPr>
    </w:lvl>
    <w:lvl w:ilvl="8">
      <w:start w:val="0"/>
      <w:numFmt w:val="bullet"/>
      <w:lvlText w:val="•"/>
      <w:lvlJc w:val="left"/>
      <w:pPr>
        <w:ind w:left="6146" w:hanging="137"/>
      </w:pPr>
      <w:rPr>
        <w:rFonts w:hint="default"/>
        <w:lang w:val="en-US" w:eastAsia="zh-CN" w:bidi="ar-SA"/>
      </w:rPr>
    </w:lvl>
  </w:abstractNum>
  <w:abstractNum w:abstractNumId="22">
    <w:multiLevelType w:val="hybridMultilevel"/>
    <w:lvl w:ilvl="0">
      <w:start w:val="1"/>
      <w:numFmt w:val="decimal"/>
      <w:lvlText w:val="(%1)"/>
      <w:lvlJc w:val="left"/>
      <w:pPr>
        <w:ind w:left="212"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62" w:hanging="318"/>
      </w:pPr>
      <w:rPr>
        <w:rFonts w:hint="default"/>
        <w:lang w:val="en-US" w:eastAsia="zh-CN" w:bidi="ar-SA"/>
      </w:rPr>
    </w:lvl>
    <w:lvl w:ilvl="2">
      <w:start w:val="0"/>
      <w:numFmt w:val="bullet"/>
      <w:lvlText w:val="•"/>
      <w:lvlJc w:val="left"/>
      <w:pPr>
        <w:ind w:left="1705" w:hanging="318"/>
      </w:pPr>
      <w:rPr>
        <w:rFonts w:hint="default"/>
        <w:lang w:val="en-US" w:eastAsia="zh-CN" w:bidi="ar-SA"/>
      </w:rPr>
    </w:lvl>
    <w:lvl w:ilvl="3">
      <w:start w:val="0"/>
      <w:numFmt w:val="bullet"/>
      <w:lvlText w:val="•"/>
      <w:lvlJc w:val="left"/>
      <w:pPr>
        <w:ind w:left="2447" w:hanging="318"/>
      </w:pPr>
      <w:rPr>
        <w:rFonts w:hint="default"/>
        <w:lang w:val="en-US" w:eastAsia="zh-CN" w:bidi="ar-SA"/>
      </w:rPr>
    </w:lvl>
    <w:lvl w:ilvl="4">
      <w:start w:val="0"/>
      <w:numFmt w:val="bullet"/>
      <w:lvlText w:val="•"/>
      <w:lvlJc w:val="left"/>
      <w:pPr>
        <w:ind w:left="3190" w:hanging="318"/>
      </w:pPr>
      <w:rPr>
        <w:rFonts w:hint="default"/>
        <w:lang w:val="en-US" w:eastAsia="zh-CN" w:bidi="ar-SA"/>
      </w:rPr>
    </w:lvl>
    <w:lvl w:ilvl="5">
      <w:start w:val="0"/>
      <w:numFmt w:val="bullet"/>
      <w:lvlText w:val="•"/>
      <w:lvlJc w:val="left"/>
      <w:pPr>
        <w:ind w:left="3933" w:hanging="318"/>
      </w:pPr>
      <w:rPr>
        <w:rFonts w:hint="default"/>
        <w:lang w:val="en-US" w:eastAsia="zh-CN" w:bidi="ar-SA"/>
      </w:rPr>
    </w:lvl>
    <w:lvl w:ilvl="6">
      <w:start w:val="0"/>
      <w:numFmt w:val="bullet"/>
      <w:lvlText w:val="•"/>
      <w:lvlJc w:val="left"/>
      <w:pPr>
        <w:ind w:left="4675" w:hanging="318"/>
      </w:pPr>
      <w:rPr>
        <w:rFonts w:hint="default"/>
        <w:lang w:val="en-US" w:eastAsia="zh-CN" w:bidi="ar-SA"/>
      </w:rPr>
    </w:lvl>
    <w:lvl w:ilvl="7">
      <w:start w:val="0"/>
      <w:numFmt w:val="bullet"/>
      <w:lvlText w:val="•"/>
      <w:lvlJc w:val="left"/>
      <w:pPr>
        <w:ind w:left="5418" w:hanging="318"/>
      </w:pPr>
      <w:rPr>
        <w:rFonts w:hint="default"/>
        <w:lang w:val="en-US" w:eastAsia="zh-CN" w:bidi="ar-SA"/>
      </w:rPr>
    </w:lvl>
    <w:lvl w:ilvl="8">
      <w:start w:val="0"/>
      <w:numFmt w:val="bullet"/>
      <w:lvlText w:val="•"/>
      <w:lvlJc w:val="left"/>
      <w:pPr>
        <w:ind w:left="6160" w:hanging="318"/>
      </w:pPr>
      <w:rPr>
        <w:rFonts w:hint="default"/>
        <w:lang w:val="en-US" w:eastAsia="zh-CN" w:bidi="ar-SA"/>
      </w:rPr>
    </w:lvl>
  </w:abstractNum>
  <w:abstractNum w:abstractNumId="21">
    <w:multiLevelType w:val="hybridMultilevel"/>
    <w:lvl w:ilvl="0">
      <w:start w:val="4"/>
      <w:numFmt w:val="decimal"/>
      <w:lvlText w:val="(%1)"/>
      <w:lvlJc w:val="left"/>
      <w:pPr>
        <w:ind w:left="486" w:hanging="275"/>
        <w:jc w:val="left"/>
      </w:pPr>
      <w:rPr>
        <w:rFonts w:hint="default" w:ascii="宋体" w:hAnsi="宋体" w:eastAsia="宋体" w:cs="宋体"/>
        <w:b w:val="0"/>
        <w:bCs w:val="0"/>
        <w:i w:val="0"/>
        <w:iCs w:val="0"/>
        <w:spacing w:val="1"/>
        <w:w w:val="100"/>
        <w:sz w:val="16"/>
        <w:szCs w:val="16"/>
        <w:lang w:val="en-US" w:eastAsia="zh-CN" w:bidi="ar-SA"/>
      </w:rPr>
    </w:lvl>
    <w:lvl w:ilvl="1">
      <w:start w:val="1"/>
      <w:numFmt w:val="decimal"/>
      <w:lvlText w:val="(%2)"/>
      <w:lvlJc w:val="left"/>
      <w:pPr>
        <w:ind w:left="3433" w:hanging="318"/>
        <w:jc w:val="left"/>
      </w:pPr>
      <w:rPr>
        <w:rFonts w:hint="default" w:ascii="宋体" w:hAnsi="宋体" w:eastAsia="宋体" w:cs="宋体"/>
        <w:b w:val="0"/>
        <w:bCs w:val="0"/>
        <w:i w:val="0"/>
        <w:iCs w:val="0"/>
        <w:w w:val="100"/>
        <w:sz w:val="19"/>
        <w:szCs w:val="19"/>
        <w:shd w:fill="A6A6A6" w:color="auto" w:val="clear"/>
        <w:lang w:val="en-US" w:eastAsia="zh-CN" w:bidi="ar-SA"/>
      </w:rPr>
    </w:lvl>
    <w:lvl w:ilvl="2">
      <w:start w:val="1"/>
      <w:numFmt w:val="lowerLetter"/>
      <w:lvlText w:val="%3."/>
      <w:lvlJc w:val="left"/>
      <w:pPr>
        <w:ind w:left="3113" w:hanging="213"/>
        <w:jc w:val="left"/>
      </w:pPr>
      <w:rPr>
        <w:rFonts w:hint="default" w:ascii="宋体" w:hAnsi="宋体" w:eastAsia="宋体" w:cs="宋体"/>
        <w:b w:val="0"/>
        <w:bCs w:val="0"/>
        <w:i w:val="0"/>
        <w:iCs w:val="0"/>
        <w:w w:val="100"/>
        <w:sz w:val="19"/>
        <w:szCs w:val="19"/>
        <w:shd w:fill="A6A6A6" w:color="auto" w:val="clear"/>
        <w:lang w:val="en-US" w:eastAsia="zh-CN" w:bidi="ar-SA"/>
      </w:rPr>
    </w:lvl>
    <w:lvl w:ilvl="3">
      <w:start w:val="0"/>
      <w:numFmt w:val="bullet"/>
      <w:lvlText w:val="•"/>
      <w:lvlJc w:val="left"/>
      <w:pPr>
        <w:ind w:left="4328" w:hanging="213"/>
      </w:pPr>
      <w:rPr>
        <w:rFonts w:hint="default"/>
        <w:lang w:val="en-US" w:eastAsia="zh-CN" w:bidi="ar-SA"/>
      </w:rPr>
    </w:lvl>
    <w:lvl w:ilvl="4">
      <w:start w:val="0"/>
      <w:numFmt w:val="bullet"/>
      <w:lvlText w:val="•"/>
      <w:lvlJc w:val="left"/>
      <w:pPr>
        <w:ind w:left="5216" w:hanging="213"/>
      </w:pPr>
      <w:rPr>
        <w:rFonts w:hint="default"/>
        <w:lang w:val="en-US" w:eastAsia="zh-CN" w:bidi="ar-SA"/>
      </w:rPr>
    </w:lvl>
    <w:lvl w:ilvl="5">
      <w:start w:val="0"/>
      <w:numFmt w:val="bullet"/>
      <w:lvlText w:val="•"/>
      <w:lvlJc w:val="left"/>
      <w:pPr>
        <w:ind w:left="6104" w:hanging="213"/>
      </w:pPr>
      <w:rPr>
        <w:rFonts w:hint="default"/>
        <w:lang w:val="en-US" w:eastAsia="zh-CN" w:bidi="ar-SA"/>
      </w:rPr>
    </w:lvl>
    <w:lvl w:ilvl="6">
      <w:start w:val="0"/>
      <w:numFmt w:val="bullet"/>
      <w:lvlText w:val="•"/>
      <w:lvlJc w:val="left"/>
      <w:pPr>
        <w:ind w:left="6993" w:hanging="213"/>
      </w:pPr>
      <w:rPr>
        <w:rFonts w:hint="default"/>
        <w:lang w:val="en-US" w:eastAsia="zh-CN" w:bidi="ar-SA"/>
      </w:rPr>
    </w:lvl>
    <w:lvl w:ilvl="7">
      <w:start w:val="0"/>
      <w:numFmt w:val="bullet"/>
      <w:lvlText w:val="•"/>
      <w:lvlJc w:val="left"/>
      <w:pPr>
        <w:ind w:left="7881" w:hanging="213"/>
      </w:pPr>
      <w:rPr>
        <w:rFonts w:hint="default"/>
        <w:lang w:val="en-US" w:eastAsia="zh-CN" w:bidi="ar-SA"/>
      </w:rPr>
    </w:lvl>
    <w:lvl w:ilvl="8">
      <w:start w:val="0"/>
      <w:numFmt w:val="bullet"/>
      <w:lvlText w:val="•"/>
      <w:lvlJc w:val="left"/>
      <w:pPr>
        <w:ind w:left="8769" w:hanging="213"/>
      </w:pPr>
      <w:rPr>
        <w:rFonts w:hint="default"/>
        <w:lang w:val="en-US" w:eastAsia="zh-CN" w:bidi="ar-SA"/>
      </w:rPr>
    </w:lvl>
  </w:abstractNum>
  <w:abstractNum w:abstractNumId="20">
    <w:multiLevelType w:val="hybridMultilevel"/>
    <w:lvl w:ilvl="0">
      <w:start w:val="1"/>
      <w:numFmt w:val="decimal"/>
      <w:lvlText w:val="(%1)"/>
      <w:lvlJc w:val="left"/>
      <w:pPr>
        <w:ind w:left="486" w:hanging="275"/>
        <w:jc w:val="left"/>
      </w:pPr>
      <w:rPr>
        <w:rFonts w:hint="default" w:ascii="宋体" w:hAnsi="宋体" w:eastAsia="宋体" w:cs="宋体"/>
        <w:b w:val="0"/>
        <w:bCs w:val="0"/>
        <w:i w:val="0"/>
        <w:iCs w:val="0"/>
        <w:spacing w:val="1"/>
        <w:w w:val="100"/>
        <w:sz w:val="16"/>
        <w:szCs w:val="16"/>
        <w:lang w:val="en-US" w:eastAsia="zh-CN" w:bidi="ar-SA"/>
      </w:rPr>
    </w:lvl>
    <w:lvl w:ilvl="1">
      <w:start w:val="0"/>
      <w:numFmt w:val="bullet"/>
      <w:lvlText w:val="•"/>
      <w:lvlJc w:val="left"/>
      <w:pPr>
        <w:ind w:left="1486" w:hanging="275"/>
      </w:pPr>
      <w:rPr>
        <w:rFonts w:hint="default"/>
        <w:lang w:val="en-US" w:eastAsia="zh-CN" w:bidi="ar-SA"/>
      </w:rPr>
    </w:lvl>
    <w:lvl w:ilvl="2">
      <w:start w:val="0"/>
      <w:numFmt w:val="bullet"/>
      <w:lvlText w:val="•"/>
      <w:lvlJc w:val="left"/>
      <w:pPr>
        <w:ind w:left="2493" w:hanging="275"/>
      </w:pPr>
      <w:rPr>
        <w:rFonts w:hint="default"/>
        <w:lang w:val="en-US" w:eastAsia="zh-CN" w:bidi="ar-SA"/>
      </w:rPr>
    </w:lvl>
    <w:lvl w:ilvl="3">
      <w:start w:val="0"/>
      <w:numFmt w:val="bullet"/>
      <w:lvlText w:val="•"/>
      <w:lvlJc w:val="left"/>
      <w:pPr>
        <w:ind w:left="3499" w:hanging="275"/>
      </w:pPr>
      <w:rPr>
        <w:rFonts w:hint="default"/>
        <w:lang w:val="en-US" w:eastAsia="zh-CN" w:bidi="ar-SA"/>
      </w:rPr>
    </w:lvl>
    <w:lvl w:ilvl="4">
      <w:start w:val="0"/>
      <w:numFmt w:val="bullet"/>
      <w:lvlText w:val="•"/>
      <w:lvlJc w:val="left"/>
      <w:pPr>
        <w:ind w:left="4506" w:hanging="275"/>
      </w:pPr>
      <w:rPr>
        <w:rFonts w:hint="default"/>
        <w:lang w:val="en-US" w:eastAsia="zh-CN" w:bidi="ar-SA"/>
      </w:rPr>
    </w:lvl>
    <w:lvl w:ilvl="5">
      <w:start w:val="0"/>
      <w:numFmt w:val="bullet"/>
      <w:lvlText w:val="•"/>
      <w:lvlJc w:val="left"/>
      <w:pPr>
        <w:ind w:left="5513" w:hanging="275"/>
      </w:pPr>
      <w:rPr>
        <w:rFonts w:hint="default"/>
        <w:lang w:val="en-US" w:eastAsia="zh-CN" w:bidi="ar-SA"/>
      </w:rPr>
    </w:lvl>
    <w:lvl w:ilvl="6">
      <w:start w:val="0"/>
      <w:numFmt w:val="bullet"/>
      <w:lvlText w:val="•"/>
      <w:lvlJc w:val="left"/>
      <w:pPr>
        <w:ind w:left="6519" w:hanging="275"/>
      </w:pPr>
      <w:rPr>
        <w:rFonts w:hint="default"/>
        <w:lang w:val="en-US" w:eastAsia="zh-CN" w:bidi="ar-SA"/>
      </w:rPr>
    </w:lvl>
    <w:lvl w:ilvl="7">
      <w:start w:val="0"/>
      <w:numFmt w:val="bullet"/>
      <w:lvlText w:val="•"/>
      <w:lvlJc w:val="left"/>
      <w:pPr>
        <w:ind w:left="7526" w:hanging="275"/>
      </w:pPr>
      <w:rPr>
        <w:rFonts w:hint="default"/>
        <w:lang w:val="en-US" w:eastAsia="zh-CN" w:bidi="ar-SA"/>
      </w:rPr>
    </w:lvl>
    <w:lvl w:ilvl="8">
      <w:start w:val="0"/>
      <w:numFmt w:val="bullet"/>
      <w:lvlText w:val="•"/>
      <w:lvlJc w:val="left"/>
      <w:pPr>
        <w:ind w:left="8533" w:hanging="275"/>
      </w:pPr>
      <w:rPr>
        <w:rFonts w:hint="default"/>
        <w:lang w:val="en-US" w:eastAsia="zh-CN" w:bidi="ar-SA"/>
      </w:rPr>
    </w:lvl>
  </w:abstractNum>
  <w:abstractNum w:abstractNumId="19">
    <w:multiLevelType w:val="hybridMultilevel"/>
    <w:lvl w:ilvl="0">
      <w:start w:val="10"/>
      <w:numFmt w:val="decimal"/>
      <w:lvlText w:val="%1"/>
      <w:lvlJc w:val="left"/>
      <w:pPr>
        <w:ind w:left="1382" w:hanging="1170"/>
        <w:jc w:val="left"/>
      </w:pPr>
      <w:rPr>
        <w:rFonts w:hint="default"/>
        <w:lang w:val="en-US" w:eastAsia="zh-CN" w:bidi="ar-SA"/>
      </w:rPr>
    </w:lvl>
    <w:lvl w:ilvl="1">
      <w:start w:val="1"/>
      <w:numFmt w:val="decimal"/>
      <w:lvlText w:val="%1.%2"/>
      <w:lvlJc w:val="left"/>
      <w:pPr>
        <w:ind w:left="1382" w:hanging="1170"/>
        <w:jc w:val="left"/>
      </w:pPr>
      <w:rPr>
        <w:rFonts w:hint="default"/>
        <w:lang w:val="en-US" w:eastAsia="zh-CN" w:bidi="ar-SA"/>
      </w:rPr>
    </w:lvl>
    <w:lvl w:ilvl="2">
      <w:start w:val="1"/>
      <w:numFmt w:val="decimal"/>
      <w:lvlText w:val="%1.%2.%3"/>
      <w:lvlJc w:val="left"/>
      <w:pPr>
        <w:ind w:left="1382" w:hanging="1170"/>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824" w:hanging="1170"/>
      </w:pPr>
      <w:rPr>
        <w:rFonts w:hint="default"/>
        <w:lang w:val="en-US" w:eastAsia="zh-CN" w:bidi="ar-SA"/>
      </w:rPr>
    </w:lvl>
    <w:lvl w:ilvl="4">
      <w:start w:val="0"/>
      <w:numFmt w:val="bullet"/>
      <w:lvlText w:val="•"/>
      <w:lvlJc w:val="left"/>
      <w:pPr>
        <w:ind w:left="1972" w:hanging="1170"/>
      </w:pPr>
      <w:rPr>
        <w:rFonts w:hint="default"/>
        <w:lang w:val="en-US" w:eastAsia="zh-CN" w:bidi="ar-SA"/>
      </w:rPr>
    </w:lvl>
    <w:lvl w:ilvl="5">
      <w:start w:val="0"/>
      <w:numFmt w:val="bullet"/>
      <w:lvlText w:val="•"/>
      <w:lvlJc w:val="left"/>
      <w:pPr>
        <w:ind w:left="2120" w:hanging="1170"/>
      </w:pPr>
      <w:rPr>
        <w:rFonts w:hint="default"/>
        <w:lang w:val="en-US" w:eastAsia="zh-CN" w:bidi="ar-SA"/>
      </w:rPr>
    </w:lvl>
    <w:lvl w:ilvl="6">
      <w:start w:val="0"/>
      <w:numFmt w:val="bullet"/>
      <w:lvlText w:val="•"/>
      <w:lvlJc w:val="left"/>
      <w:pPr>
        <w:ind w:left="2268" w:hanging="1170"/>
      </w:pPr>
      <w:rPr>
        <w:rFonts w:hint="default"/>
        <w:lang w:val="en-US" w:eastAsia="zh-CN" w:bidi="ar-SA"/>
      </w:rPr>
    </w:lvl>
    <w:lvl w:ilvl="7">
      <w:start w:val="0"/>
      <w:numFmt w:val="bullet"/>
      <w:lvlText w:val="•"/>
      <w:lvlJc w:val="left"/>
      <w:pPr>
        <w:ind w:left="2416" w:hanging="1170"/>
      </w:pPr>
      <w:rPr>
        <w:rFonts w:hint="default"/>
        <w:lang w:val="en-US" w:eastAsia="zh-CN" w:bidi="ar-SA"/>
      </w:rPr>
    </w:lvl>
    <w:lvl w:ilvl="8">
      <w:start w:val="0"/>
      <w:numFmt w:val="bullet"/>
      <w:lvlText w:val="•"/>
      <w:lvlJc w:val="left"/>
      <w:pPr>
        <w:ind w:left="2564" w:hanging="1170"/>
      </w:pPr>
      <w:rPr>
        <w:rFonts w:hint="default"/>
        <w:lang w:val="en-US" w:eastAsia="zh-CN" w:bidi="ar-SA"/>
      </w:rPr>
    </w:lvl>
  </w:abstractNum>
  <w:abstractNum w:abstractNumId="18">
    <w:multiLevelType w:val="hybridMultilevel"/>
    <w:lvl w:ilvl="0">
      <w:start w:val="1"/>
      <w:numFmt w:val="decimal"/>
      <w:lvlText w:val="(%1)"/>
      <w:lvlJc w:val="left"/>
      <w:pPr>
        <w:ind w:left="530"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50" w:hanging="318"/>
      </w:pPr>
      <w:rPr>
        <w:rFonts w:hint="default"/>
        <w:lang w:val="en-US" w:eastAsia="zh-CN" w:bidi="ar-SA"/>
      </w:rPr>
    </w:lvl>
    <w:lvl w:ilvl="2">
      <w:start w:val="0"/>
      <w:numFmt w:val="bullet"/>
      <w:lvlText w:val="•"/>
      <w:lvlJc w:val="left"/>
      <w:pPr>
        <w:ind w:left="1961" w:hanging="318"/>
      </w:pPr>
      <w:rPr>
        <w:rFonts w:hint="default"/>
        <w:lang w:val="en-US" w:eastAsia="zh-CN" w:bidi="ar-SA"/>
      </w:rPr>
    </w:lvl>
    <w:lvl w:ilvl="3">
      <w:start w:val="0"/>
      <w:numFmt w:val="bullet"/>
      <w:lvlText w:val="•"/>
      <w:lvlJc w:val="left"/>
      <w:pPr>
        <w:ind w:left="2671" w:hanging="318"/>
      </w:pPr>
      <w:rPr>
        <w:rFonts w:hint="default"/>
        <w:lang w:val="en-US" w:eastAsia="zh-CN" w:bidi="ar-SA"/>
      </w:rPr>
    </w:lvl>
    <w:lvl w:ilvl="4">
      <w:start w:val="0"/>
      <w:numFmt w:val="bullet"/>
      <w:lvlText w:val="•"/>
      <w:lvlJc w:val="left"/>
      <w:pPr>
        <w:ind w:left="3382" w:hanging="318"/>
      </w:pPr>
      <w:rPr>
        <w:rFonts w:hint="default"/>
        <w:lang w:val="en-US" w:eastAsia="zh-CN" w:bidi="ar-SA"/>
      </w:rPr>
    </w:lvl>
    <w:lvl w:ilvl="5">
      <w:start w:val="0"/>
      <w:numFmt w:val="bullet"/>
      <w:lvlText w:val="•"/>
      <w:lvlJc w:val="left"/>
      <w:pPr>
        <w:ind w:left="4093" w:hanging="318"/>
      </w:pPr>
      <w:rPr>
        <w:rFonts w:hint="default"/>
        <w:lang w:val="en-US" w:eastAsia="zh-CN" w:bidi="ar-SA"/>
      </w:rPr>
    </w:lvl>
    <w:lvl w:ilvl="6">
      <w:start w:val="0"/>
      <w:numFmt w:val="bullet"/>
      <w:lvlText w:val="•"/>
      <w:lvlJc w:val="left"/>
      <w:pPr>
        <w:ind w:left="4803" w:hanging="318"/>
      </w:pPr>
      <w:rPr>
        <w:rFonts w:hint="default"/>
        <w:lang w:val="en-US" w:eastAsia="zh-CN" w:bidi="ar-SA"/>
      </w:rPr>
    </w:lvl>
    <w:lvl w:ilvl="7">
      <w:start w:val="0"/>
      <w:numFmt w:val="bullet"/>
      <w:lvlText w:val="•"/>
      <w:lvlJc w:val="left"/>
      <w:pPr>
        <w:ind w:left="5514" w:hanging="318"/>
      </w:pPr>
      <w:rPr>
        <w:rFonts w:hint="default"/>
        <w:lang w:val="en-US" w:eastAsia="zh-CN" w:bidi="ar-SA"/>
      </w:rPr>
    </w:lvl>
    <w:lvl w:ilvl="8">
      <w:start w:val="0"/>
      <w:numFmt w:val="bullet"/>
      <w:lvlText w:val="•"/>
      <w:lvlJc w:val="left"/>
      <w:pPr>
        <w:ind w:left="6224" w:hanging="318"/>
      </w:pPr>
      <w:rPr>
        <w:rFonts w:hint="default"/>
        <w:lang w:val="en-US" w:eastAsia="zh-CN" w:bidi="ar-SA"/>
      </w:rPr>
    </w:lvl>
  </w:abstractNum>
  <w:abstractNum w:abstractNumId="17">
    <w:multiLevelType w:val="hybridMultilevel"/>
    <w:lvl w:ilvl="0">
      <w:start w:val="4"/>
      <w:numFmt w:val="decimal"/>
      <w:lvlText w:val="%1."/>
      <w:lvlJc w:val="left"/>
      <w:pPr>
        <w:ind w:left="1382" w:hanging="1170"/>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1382" w:hanging="117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113" w:hanging="318"/>
        <w:jc w:val="left"/>
      </w:pPr>
      <w:rPr>
        <w:rFonts w:hint="default"/>
        <w:w w:val="100"/>
        <w:lang w:val="en-US" w:eastAsia="zh-CN" w:bidi="ar-SA"/>
      </w:rPr>
    </w:lvl>
    <w:lvl w:ilvl="3">
      <w:start w:val="0"/>
      <w:numFmt w:val="bullet"/>
      <w:lvlText w:val="•"/>
      <w:lvlJc w:val="left"/>
      <w:pPr>
        <w:ind w:left="3062" w:hanging="318"/>
      </w:pPr>
      <w:rPr>
        <w:rFonts w:hint="default"/>
        <w:lang w:val="en-US" w:eastAsia="zh-CN" w:bidi="ar-SA"/>
      </w:rPr>
    </w:lvl>
    <w:lvl w:ilvl="4">
      <w:start w:val="0"/>
      <w:numFmt w:val="bullet"/>
      <w:lvlText w:val="•"/>
      <w:lvlJc w:val="left"/>
      <w:pPr>
        <w:ind w:left="3033" w:hanging="318"/>
      </w:pPr>
      <w:rPr>
        <w:rFonts w:hint="default"/>
        <w:lang w:val="en-US" w:eastAsia="zh-CN" w:bidi="ar-SA"/>
      </w:rPr>
    </w:lvl>
    <w:lvl w:ilvl="5">
      <w:start w:val="0"/>
      <w:numFmt w:val="bullet"/>
      <w:lvlText w:val="•"/>
      <w:lvlJc w:val="left"/>
      <w:pPr>
        <w:ind w:left="3004" w:hanging="318"/>
      </w:pPr>
      <w:rPr>
        <w:rFonts w:hint="default"/>
        <w:lang w:val="en-US" w:eastAsia="zh-CN" w:bidi="ar-SA"/>
      </w:rPr>
    </w:lvl>
    <w:lvl w:ilvl="6">
      <w:start w:val="0"/>
      <w:numFmt w:val="bullet"/>
      <w:lvlText w:val="•"/>
      <w:lvlJc w:val="left"/>
      <w:pPr>
        <w:ind w:left="2975" w:hanging="318"/>
      </w:pPr>
      <w:rPr>
        <w:rFonts w:hint="default"/>
        <w:lang w:val="en-US" w:eastAsia="zh-CN" w:bidi="ar-SA"/>
      </w:rPr>
    </w:lvl>
    <w:lvl w:ilvl="7">
      <w:start w:val="0"/>
      <w:numFmt w:val="bullet"/>
      <w:lvlText w:val="•"/>
      <w:lvlJc w:val="left"/>
      <w:pPr>
        <w:ind w:left="2946" w:hanging="318"/>
      </w:pPr>
      <w:rPr>
        <w:rFonts w:hint="default"/>
        <w:lang w:val="en-US" w:eastAsia="zh-CN" w:bidi="ar-SA"/>
      </w:rPr>
    </w:lvl>
    <w:lvl w:ilvl="8">
      <w:start w:val="0"/>
      <w:numFmt w:val="bullet"/>
      <w:lvlText w:val="•"/>
      <w:lvlJc w:val="left"/>
      <w:pPr>
        <w:ind w:left="2918" w:hanging="318"/>
      </w:pPr>
      <w:rPr>
        <w:rFonts w:hint="default"/>
        <w:lang w:val="en-US" w:eastAsia="zh-CN" w:bidi="ar-SA"/>
      </w:rPr>
    </w:lvl>
  </w:abstractNum>
  <w:abstractNum w:abstractNumId="16">
    <w:multiLevelType w:val="hybridMultilevel"/>
    <w:lvl w:ilvl="0">
      <w:start w:val="1"/>
      <w:numFmt w:val="decimal"/>
      <w:lvlText w:val="(%1)"/>
      <w:lvlJc w:val="left"/>
      <w:pPr>
        <w:ind w:left="486" w:hanging="275"/>
        <w:jc w:val="left"/>
      </w:pPr>
      <w:rPr>
        <w:rFonts w:hint="default" w:ascii="宋体" w:hAnsi="宋体" w:eastAsia="宋体" w:cs="宋体"/>
        <w:b w:val="0"/>
        <w:bCs w:val="0"/>
        <w:i w:val="0"/>
        <w:iCs w:val="0"/>
        <w:spacing w:val="1"/>
        <w:w w:val="100"/>
        <w:sz w:val="16"/>
        <w:szCs w:val="16"/>
        <w:lang w:val="en-US" w:eastAsia="zh-CN" w:bidi="ar-SA"/>
      </w:rPr>
    </w:lvl>
    <w:lvl w:ilvl="1">
      <w:start w:val="0"/>
      <w:numFmt w:val="bullet"/>
      <w:lvlText w:val="•"/>
      <w:lvlJc w:val="left"/>
      <w:pPr>
        <w:ind w:left="1486" w:hanging="275"/>
      </w:pPr>
      <w:rPr>
        <w:rFonts w:hint="default"/>
        <w:lang w:val="en-US" w:eastAsia="zh-CN" w:bidi="ar-SA"/>
      </w:rPr>
    </w:lvl>
    <w:lvl w:ilvl="2">
      <w:start w:val="0"/>
      <w:numFmt w:val="bullet"/>
      <w:lvlText w:val="•"/>
      <w:lvlJc w:val="left"/>
      <w:pPr>
        <w:ind w:left="2493" w:hanging="275"/>
      </w:pPr>
      <w:rPr>
        <w:rFonts w:hint="default"/>
        <w:lang w:val="en-US" w:eastAsia="zh-CN" w:bidi="ar-SA"/>
      </w:rPr>
    </w:lvl>
    <w:lvl w:ilvl="3">
      <w:start w:val="0"/>
      <w:numFmt w:val="bullet"/>
      <w:lvlText w:val="•"/>
      <w:lvlJc w:val="left"/>
      <w:pPr>
        <w:ind w:left="3499" w:hanging="275"/>
      </w:pPr>
      <w:rPr>
        <w:rFonts w:hint="default"/>
        <w:lang w:val="en-US" w:eastAsia="zh-CN" w:bidi="ar-SA"/>
      </w:rPr>
    </w:lvl>
    <w:lvl w:ilvl="4">
      <w:start w:val="0"/>
      <w:numFmt w:val="bullet"/>
      <w:lvlText w:val="•"/>
      <w:lvlJc w:val="left"/>
      <w:pPr>
        <w:ind w:left="4506" w:hanging="275"/>
      </w:pPr>
      <w:rPr>
        <w:rFonts w:hint="default"/>
        <w:lang w:val="en-US" w:eastAsia="zh-CN" w:bidi="ar-SA"/>
      </w:rPr>
    </w:lvl>
    <w:lvl w:ilvl="5">
      <w:start w:val="0"/>
      <w:numFmt w:val="bullet"/>
      <w:lvlText w:val="•"/>
      <w:lvlJc w:val="left"/>
      <w:pPr>
        <w:ind w:left="5513" w:hanging="275"/>
      </w:pPr>
      <w:rPr>
        <w:rFonts w:hint="default"/>
        <w:lang w:val="en-US" w:eastAsia="zh-CN" w:bidi="ar-SA"/>
      </w:rPr>
    </w:lvl>
    <w:lvl w:ilvl="6">
      <w:start w:val="0"/>
      <w:numFmt w:val="bullet"/>
      <w:lvlText w:val="•"/>
      <w:lvlJc w:val="left"/>
      <w:pPr>
        <w:ind w:left="6519" w:hanging="275"/>
      </w:pPr>
      <w:rPr>
        <w:rFonts w:hint="default"/>
        <w:lang w:val="en-US" w:eastAsia="zh-CN" w:bidi="ar-SA"/>
      </w:rPr>
    </w:lvl>
    <w:lvl w:ilvl="7">
      <w:start w:val="0"/>
      <w:numFmt w:val="bullet"/>
      <w:lvlText w:val="•"/>
      <w:lvlJc w:val="left"/>
      <w:pPr>
        <w:ind w:left="7526" w:hanging="275"/>
      </w:pPr>
      <w:rPr>
        <w:rFonts w:hint="default"/>
        <w:lang w:val="en-US" w:eastAsia="zh-CN" w:bidi="ar-SA"/>
      </w:rPr>
    </w:lvl>
    <w:lvl w:ilvl="8">
      <w:start w:val="0"/>
      <w:numFmt w:val="bullet"/>
      <w:lvlText w:val="•"/>
      <w:lvlJc w:val="left"/>
      <w:pPr>
        <w:ind w:left="8533" w:hanging="275"/>
      </w:pPr>
      <w:rPr>
        <w:rFonts w:hint="default"/>
        <w:lang w:val="en-US" w:eastAsia="zh-CN" w:bidi="ar-SA"/>
      </w:rPr>
    </w:lvl>
  </w:abstractNum>
  <w:abstractNum w:abstractNumId="15">
    <w:multiLevelType w:val="hybridMultilevel"/>
    <w:lvl w:ilvl="0">
      <w:start w:val="1"/>
      <w:numFmt w:val="decimal"/>
      <w:lvlText w:val="(%1)"/>
      <w:lvlJc w:val="left"/>
      <w:pPr>
        <w:ind w:left="486" w:hanging="275"/>
        <w:jc w:val="left"/>
      </w:pPr>
      <w:rPr>
        <w:rFonts w:hint="default" w:ascii="宋体" w:hAnsi="宋体" w:eastAsia="宋体" w:cs="宋体"/>
        <w:b w:val="0"/>
        <w:bCs w:val="0"/>
        <w:i w:val="0"/>
        <w:iCs w:val="0"/>
        <w:spacing w:val="1"/>
        <w:w w:val="100"/>
        <w:sz w:val="16"/>
        <w:szCs w:val="16"/>
        <w:lang w:val="en-US" w:eastAsia="zh-CN" w:bidi="ar-SA"/>
      </w:rPr>
    </w:lvl>
    <w:lvl w:ilvl="1">
      <w:start w:val="0"/>
      <w:numFmt w:val="bullet"/>
      <w:lvlText w:val="•"/>
      <w:lvlJc w:val="left"/>
      <w:pPr>
        <w:ind w:left="1486" w:hanging="275"/>
      </w:pPr>
      <w:rPr>
        <w:rFonts w:hint="default"/>
        <w:lang w:val="en-US" w:eastAsia="zh-CN" w:bidi="ar-SA"/>
      </w:rPr>
    </w:lvl>
    <w:lvl w:ilvl="2">
      <w:start w:val="0"/>
      <w:numFmt w:val="bullet"/>
      <w:lvlText w:val="•"/>
      <w:lvlJc w:val="left"/>
      <w:pPr>
        <w:ind w:left="2493" w:hanging="275"/>
      </w:pPr>
      <w:rPr>
        <w:rFonts w:hint="default"/>
        <w:lang w:val="en-US" w:eastAsia="zh-CN" w:bidi="ar-SA"/>
      </w:rPr>
    </w:lvl>
    <w:lvl w:ilvl="3">
      <w:start w:val="0"/>
      <w:numFmt w:val="bullet"/>
      <w:lvlText w:val="•"/>
      <w:lvlJc w:val="left"/>
      <w:pPr>
        <w:ind w:left="3499" w:hanging="275"/>
      </w:pPr>
      <w:rPr>
        <w:rFonts w:hint="default"/>
        <w:lang w:val="en-US" w:eastAsia="zh-CN" w:bidi="ar-SA"/>
      </w:rPr>
    </w:lvl>
    <w:lvl w:ilvl="4">
      <w:start w:val="0"/>
      <w:numFmt w:val="bullet"/>
      <w:lvlText w:val="•"/>
      <w:lvlJc w:val="left"/>
      <w:pPr>
        <w:ind w:left="4506" w:hanging="275"/>
      </w:pPr>
      <w:rPr>
        <w:rFonts w:hint="default"/>
        <w:lang w:val="en-US" w:eastAsia="zh-CN" w:bidi="ar-SA"/>
      </w:rPr>
    </w:lvl>
    <w:lvl w:ilvl="5">
      <w:start w:val="0"/>
      <w:numFmt w:val="bullet"/>
      <w:lvlText w:val="•"/>
      <w:lvlJc w:val="left"/>
      <w:pPr>
        <w:ind w:left="5513" w:hanging="275"/>
      </w:pPr>
      <w:rPr>
        <w:rFonts w:hint="default"/>
        <w:lang w:val="en-US" w:eastAsia="zh-CN" w:bidi="ar-SA"/>
      </w:rPr>
    </w:lvl>
    <w:lvl w:ilvl="6">
      <w:start w:val="0"/>
      <w:numFmt w:val="bullet"/>
      <w:lvlText w:val="•"/>
      <w:lvlJc w:val="left"/>
      <w:pPr>
        <w:ind w:left="6519" w:hanging="275"/>
      </w:pPr>
      <w:rPr>
        <w:rFonts w:hint="default"/>
        <w:lang w:val="en-US" w:eastAsia="zh-CN" w:bidi="ar-SA"/>
      </w:rPr>
    </w:lvl>
    <w:lvl w:ilvl="7">
      <w:start w:val="0"/>
      <w:numFmt w:val="bullet"/>
      <w:lvlText w:val="•"/>
      <w:lvlJc w:val="left"/>
      <w:pPr>
        <w:ind w:left="7526" w:hanging="275"/>
      </w:pPr>
      <w:rPr>
        <w:rFonts w:hint="default"/>
        <w:lang w:val="en-US" w:eastAsia="zh-CN" w:bidi="ar-SA"/>
      </w:rPr>
    </w:lvl>
    <w:lvl w:ilvl="8">
      <w:start w:val="0"/>
      <w:numFmt w:val="bullet"/>
      <w:lvlText w:val="•"/>
      <w:lvlJc w:val="left"/>
      <w:pPr>
        <w:ind w:left="8533" w:hanging="275"/>
      </w:pPr>
      <w:rPr>
        <w:rFonts w:hint="default"/>
        <w:lang w:val="en-US" w:eastAsia="zh-CN" w:bidi="ar-SA"/>
      </w:rPr>
    </w:lvl>
  </w:abstractNum>
  <w:abstractNum w:abstractNumId="14">
    <w:multiLevelType w:val="hybridMultilevel"/>
    <w:lvl w:ilvl="0">
      <w:start w:val="8"/>
      <w:numFmt w:val="decimal"/>
      <w:lvlText w:val="(%1)"/>
      <w:lvlJc w:val="left"/>
      <w:pPr>
        <w:ind w:left="3430" w:hanging="318"/>
        <w:jc w:val="left"/>
      </w:pPr>
      <w:rPr>
        <w:rFonts w:hint="default" w:ascii="宋体" w:hAnsi="宋体" w:eastAsia="宋体" w:cs="宋体"/>
        <w:b w:val="0"/>
        <w:bCs w:val="0"/>
        <w:i w:val="0"/>
        <w:iCs w:val="0"/>
        <w:w w:val="100"/>
        <w:sz w:val="19"/>
        <w:szCs w:val="19"/>
        <w:shd w:fill="A6A6A6" w:color="auto" w:val="clear"/>
        <w:lang w:val="en-US" w:eastAsia="zh-CN" w:bidi="ar-SA"/>
      </w:rPr>
    </w:lvl>
    <w:lvl w:ilvl="1">
      <w:start w:val="0"/>
      <w:numFmt w:val="bullet"/>
      <w:lvlText w:val="•"/>
      <w:lvlJc w:val="left"/>
      <w:pPr>
        <w:ind w:left="4150" w:hanging="318"/>
      </w:pPr>
      <w:rPr>
        <w:rFonts w:hint="default"/>
        <w:lang w:val="en-US" w:eastAsia="zh-CN" w:bidi="ar-SA"/>
      </w:rPr>
    </w:lvl>
    <w:lvl w:ilvl="2">
      <w:start w:val="0"/>
      <w:numFmt w:val="bullet"/>
      <w:lvlText w:val="•"/>
      <w:lvlJc w:val="left"/>
      <w:pPr>
        <w:ind w:left="4861" w:hanging="318"/>
      </w:pPr>
      <w:rPr>
        <w:rFonts w:hint="default"/>
        <w:lang w:val="en-US" w:eastAsia="zh-CN" w:bidi="ar-SA"/>
      </w:rPr>
    </w:lvl>
    <w:lvl w:ilvl="3">
      <w:start w:val="0"/>
      <w:numFmt w:val="bullet"/>
      <w:lvlText w:val="•"/>
      <w:lvlJc w:val="left"/>
      <w:pPr>
        <w:ind w:left="5571" w:hanging="318"/>
      </w:pPr>
      <w:rPr>
        <w:rFonts w:hint="default"/>
        <w:lang w:val="en-US" w:eastAsia="zh-CN" w:bidi="ar-SA"/>
      </w:rPr>
    </w:lvl>
    <w:lvl w:ilvl="4">
      <w:start w:val="0"/>
      <w:numFmt w:val="bullet"/>
      <w:lvlText w:val="•"/>
      <w:lvlJc w:val="left"/>
      <w:pPr>
        <w:ind w:left="6282" w:hanging="318"/>
      </w:pPr>
      <w:rPr>
        <w:rFonts w:hint="default"/>
        <w:lang w:val="en-US" w:eastAsia="zh-CN" w:bidi="ar-SA"/>
      </w:rPr>
    </w:lvl>
    <w:lvl w:ilvl="5">
      <w:start w:val="0"/>
      <w:numFmt w:val="bullet"/>
      <w:lvlText w:val="•"/>
      <w:lvlJc w:val="left"/>
      <w:pPr>
        <w:ind w:left="6993" w:hanging="318"/>
      </w:pPr>
      <w:rPr>
        <w:rFonts w:hint="default"/>
        <w:lang w:val="en-US" w:eastAsia="zh-CN" w:bidi="ar-SA"/>
      </w:rPr>
    </w:lvl>
    <w:lvl w:ilvl="6">
      <w:start w:val="0"/>
      <w:numFmt w:val="bullet"/>
      <w:lvlText w:val="•"/>
      <w:lvlJc w:val="left"/>
      <w:pPr>
        <w:ind w:left="7703" w:hanging="318"/>
      </w:pPr>
      <w:rPr>
        <w:rFonts w:hint="default"/>
        <w:lang w:val="en-US" w:eastAsia="zh-CN" w:bidi="ar-SA"/>
      </w:rPr>
    </w:lvl>
    <w:lvl w:ilvl="7">
      <w:start w:val="0"/>
      <w:numFmt w:val="bullet"/>
      <w:lvlText w:val="•"/>
      <w:lvlJc w:val="left"/>
      <w:pPr>
        <w:ind w:left="8414" w:hanging="318"/>
      </w:pPr>
      <w:rPr>
        <w:rFonts w:hint="default"/>
        <w:lang w:val="en-US" w:eastAsia="zh-CN" w:bidi="ar-SA"/>
      </w:rPr>
    </w:lvl>
    <w:lvl w:ilvl="8">
      <w:start w:val="0"/>
      <w:numFmt w:val="bullet"/>
      <w:lvlText w:val="•"/>
      <w:lvlJc w:val="left"/>
      <w:pPr>
        <w:ind w:left="9125" w:hanging="318"/>
      </w:pPr>
      <w:rPr>
        <w:rFonts w:hint="default"/>
        <w:lang w:val="en-US" w:eastAsia="zh-CN" w:bidi="ar-SA"/>
      </w:rPr>
    </w:lvl>
  </w:abstractNum>
  <w:abstractNum w:abstractNumId="13">
    <w:multiLevelType w:val="hybridMultilevel"/>
    <w:lvl w:ilvl="0">
      <w:start w:val="7"/>
      <w:numFmt w:val="decimal"/>
      <w:lvlText w:val="(%1)"/>
      <w:lvlJc w:val="left"/>
      <w:pPr>
        <w:ind w:left="486" w:hanging="275"/>
        <w:jc w:val="left"/>
      </w:pPr>
      <w:rPr>
        <w:rFonts w:hint="default" w:ascii="宋体" w:hAnsi="宋体" w:eastAsia="宋体" w:cs="宋体"/>
        <w:b w:val="0"/>
        <w:bCs w:val="0"/>
        <w:i w:val="0"/>
        <w:iCs w:val="0"/>
        <w:spacing w:val="1"/>
        <w:w w:val="100"/>
        <w:sz w:val="16"/>
        <w:szCs w:val="16"/>
        <w:lang w:val="en-US" w:eastAsia="zh-CN" w:bidi="ar-SA"/>
      </w:rPr>
    </w:lvl>
    <w:lvl w:ilvl="1">
      <w:start w:val="4"/>
      <w:numFmt w:val="decimal"/>
      <w:lvlText w:val="(%2)"/>
      <w:lvlJc w:val="left"/>
      <w:pPr>
        <w:ind w:left="3430" w:hanging="318"/>
        <w:jc w:val="left"/>
      </w:pPr>
      <w:rPr>
        <w:rFonts w:hint="default" w:ascii="宋体" w:hAnsi="宋体" w:eastAsia="宋体" w:cs="宋体"/>
        <w:b w:val="0"/>
        <w:bCs w:val="0"/>
        <w:i w:val="0"/>
        <w:iCs w:val="0"/>
        <w:w w:val="100"/>
        <w:sz w:val="19"/>
        <w:szCs w:val="19"/>
        <w:shd w:fill="A6A6A6" w:color="auto" w:val="clear"/>
        <w:lang w:val="en-US" w:eastAsia="zh-CN" w:bidi="ar-SA"/>
      </w:rPr>
    </w:lvl>
    <w:lvl w:ilvl="2">
      <w:start w:val="0"/>
      <w:numFmt w:val="bullet"/>
      <w:lvlText w:val="•"/>
      <w:lvlJc w:val="left"/>
      <w:pPr>
        <w:ind w:left="4229" w:hanging="318"/>
      </w:pPr>
      <w:rPr>
        <w:rFonts w:hint="default"/>
        <w:lang w:val="en-US" w:eastAsia="zh-CN" w:bidi="ar-SA"/>
      </w:rPr>
    </w:lvl>
    <w:lvl w:ilvl="3">
      <w:start w:val="0"/>
      <w:numFmt w:val="bullet"/>
      <w:lvlText w:val="•"/>
      <w:lvlJc w:val="left"/>
      <w:pPr>
        <w:ind w:left="5019" w:hanging="318"/>
      </w:pPr>
      <w:rPr>
        <w:rFonts w:hint="default"/>
        <w:lang w:val="en-US" w:eastAsia="zh-CN" w:bidi="ar-SA"/>
      </w:rPr>
    </w:lvl>
    <w:lvl w:ilvl="4">
      <w:start w:val="0"/>
      <w:numFmt w:val="bullet"/>
      <w:lvlText w:val="•"/>
      <w:lvlJc w:val="left"/>
      <w:pPr>
        <w:ind w:left="5808" w:hanging="318"/>
      </w:pPr>
      <w:rPr>
        <w:rFonts w:hint="default"/>
        <w:lang w:val="en-US" w:eastAsia="zh-CN" w:bidi="ar-SA"/>
      </w:rPr>
    </w:lvl>
    <w:lvl w:ilvl="5">
      <w:start w:val="0"/>
      <w:numFmt w:val="bullet"/>
      <w:lvlText w:val="•"/>
      <w:lvlJc w:val="left"/>
      <w:pPr>
        <w:ind w:left="6598" w:hanging="318"/>
      </w:pPr>
      <w:rPr>
        <w:rFonts w:hint="default"/>
        <w:lang w:val="en-US" w:eastAsia="zh-CN" w:bidi="ar-SA"/>
      </w:rPr>
    </w:lvl>
    <w:lvl w:ilvl="6">
      <w:start w:val="0"/>
      <w:numFmt w:val="bullet"/>
      <w:lvlText w:val="•"/>
      <w:lvlJc w:val="left"/>
      <w:pPr>
        <w:ind w:left="7388" w:hanging="318"/>
      </w:pPr>
      <w:rPr>
        <w:rFonts w:hint="default"/>
        <w:lang w:val="en-US" w:eastAsia="zh-CN" w:bidi="ar-SA"/>
      </w:rPr>
    </w:lvl>
    <w:lvl w:ilvl="7">
      <w:start w:val="0"/>
      <w:numFmt w:val="bullet"/>
      <w:lvlText w:val="•"/>
      <w:lvlJc w:val="left"/>
      <w:pPr>
        <w:ind w:left="8177" w:hanging="318"/>
      </w:pPr>
      <w:rPr>
        <w:rFonts w:hint="default"/>
        <w:lang w:val="en-US" w:eastAsia="zh-CN" w:bidi="ar-SA"/>
      </w:rPr>
    </w:lvl>
    <w:lvl w:ilvl="8">
      <w:start w:val="0"/>
      <w:numFmt w:val="bullet"/>
      <w:lvlText w:val="•"/>
      <w:lvlJc w:val="left"/>
      <w:pPr>
        <w:ind w:left="8967" w:hanging="318"/>
      </w:pPr>
      <w:rPr>
        <w:rFonts w:hint="default"/>
        <w:lang w:val="en-US" w:eastAsia="zh-CN" w:bidi="ar-SA"/>
      </w:rPr>
    </w:lvl>
  </w:abstractNum>
  <w:abstractNum w:abstractNumId="12">
    <w:multiLevelType w:val="hybridMultilevel"/>
    <w:lvl w:ilvl="0">
      <w:start w:val="1"/>
      <w:numFmt w:val="decimal"/>
      <w:lvlText w:val="(%1)"/>
      <w:lvlJc w:val="left"/>
      <w:pPr>
        <w:ind w:left="486" w:hanging="275"/>
        <w:jc w:val="left"/>
      </w:pPr>
      <w:rPr>
        <w:rFonts w:hint="default" w:ascii="宋体" w:hAnsi="宋体" w:eastAsia="宋体" w:cs="宋体"/>
        <w:b w:val="0"/>
        <w:bCs w:val="0"/>
        <w:i w:val="0"/>
        <w:iCs w:val="0"/>
        <w:spacing w:val="1"/>
        <w:w w:val="100"/>
        <w:sz w:val="16"/>
        <w:szCs w:val="16"/>
        <w:lang w:val="en-US" w:eastAsia="zh-CN" w:bidi="ar-SA"/>
      </w:rPr>
    </w:lvl>
    <w:lvl w:ilvl="1">
      <w:start w:val="0"/>
      <w:numFmt w:val="bullet"/>
      <w:lvlText w:val="•"/>
      <w:lvlJc w:val="left"/>
      <w:pPr>
        <w:ind w:left="1486" w:hanging="275"/>
      </w:pPr>
      <w:rPr>
        <w:rFonts w:hint="default"/>
        <w:lang w:val="en-US" w:eastAsia="zh-CN" w:bidi="ar-SA"/>
      </w:rPr>
    </w:lvl>
    <w:lvl w:ilvl="2">
      <w:start w:val="0"/>
      <w:numFmt w:val="bullet"/>
      <w:lvlText w:val="•"/>
      <w:lvlJc w:val="left"/>
      <w:pPr>
        <w:ind w:left="2493" w:hanging="275"/>
      </w:pPr>
      <w:rPr>
        <w:rFonts w:hint="default"/>
        <w:lang w:val="en-US" w:eastAsia="zh-CN" w:bidi="ar-SA"/>
      </w:rPr>
    </w:lvl>
    <w:lvl w:ilvl="3">
      <w:start w:val="0"/>
      <w:numFmt w:val="bullet"/>
      <w:lvlText w:val="•"/>
      <w:lvlJc w:val="left"/>
      <w:pPr>
        <w:ind w:left="3499" w:hanging="275"/>
      </w:pPr>
      <w:rPr>
        <w:rFonts w:hint="default"/>
        <w:lang w:val="en-US" w:eastAsia="zh-CN" w:bidi="ar-SA"/>
      </w:rPr>
    </w:lvl>
    <w:lvl w:ilvl="4">
      <w:start w:val="0"/>
      <w:numFmt w:val="bullet"/>
      <w:lvlText w:val="•"/>
      <w:lvlJc w:val="left"/>
      <w:pPr>
        <w:ind w:left="4506" w:hanging="275"/>
      </w:pPr>
      <w:rPr>
        <w:rFonts w:hint="default"/>
        <w:lang w:val="en-US" w:eastAsia="zh-CN" w:bidi="ar-SA"/>
      </w:rPr>
    </w:lvl>
    <w:lvl w:ilvl="5">
      <w:start w:val="0"/>
      <w:numFmt w:val="bullet"/>
      <w:lvlText w:val="•"/>
      <w:lvlJc w:val="left"/>
      <w:pPr>
        <w:ind w:left="5513" w:hanging="275"/>
      </w:pPr>
      <w:rPr>
        <w:rFonts w:hint="default"/>
        <w:lang w:val="en-US" w:eastAsia="zh-CN" w:bidi="ar-SA"/>
      </w:rPr>
    </w:lvl>
    <w:lvl w:ilvl="6">
      <w:start w:val="0"/>
      <w:numFmt w:val="bullet"/>
      <w:lvlText w:val="•"/>
      <w:lvlJc w:val="left"/>
      <w:pPr>
        <w:ind w:left="6519" w:hanging="275"/>
      </w:pPr>
      <w:rPr>
        <w:rFonts w:hint="default"/>
        <w:lang w:val="en-US" w:eastAsia="zh-CN" w:bidi="ar-SA"/>
      </w:rPr>
    </w:lvl>
    <w:lvl w:ilvl="7">
      <w:start w:val="0"/>
      <w:numFmt w:val="bullet"/>
      <w:lvlText w:val="•"/>
      <w:lvlJc w:val="left"/>
      <w:pPr>
        <w:ind w:left="7526" w:hanging="275"/>
      </w:pPr>
      <w:rPr>
        <w:rFonts w:hint="default"/>
        <w:lang w:val="en-US" w:eastAsia="zh-CN" w:bidi="ar-SA"/>
      </w:rPr>
    </w:lvl>
    <w:lvl w:ilvl="8">
      <w:start w:val="0"/>
      <w:numFmt w:val="bullet"/>
      <w:lvlText w:val="•"/>
      <w:lvlJc w:val="left"/>
      <w:pPr>
        <w:ind w:left="8533" w:hanging="275"/>
      </w:pPr>
      <w:rPr>
        <w:rFonts w:hint="default"/>
        <w:lang w:val="en-US" w:eastAsia="zh-CN" w:bidi="ar-SA"/>
      </w:rPr>
    </w:lvl>
  </w:abstractNum>
  <w:abstractNum w:abstractNumId="11">
    <w:multiLevelType w:val="hybridMultilevel"/>
    <w:lvl w:ilvl="0">
      <w:start w:val="1"/>
      <w:numFmt w:val="decimal"/>
      <w:lvlText w:val="(%1)"/>
      <w:lvlJc w:val="left"/>
      <w:pPr>
        <w:ind w:left="21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63" w:hanging="318"/>
      </w:pPr>
      <w:rPr>
        <w:rFonts w:hint="default"/>
        <w:lang w:val="en-US" w:eastAsia="zh-CN" w:bidi="ar-SA"/>
      </w:rPr>
    </w:lvl>
    <w:lvl w:ilvl="2">
      <w:start w:val="0"/>
      <w:numFmt w:val="bullet"/>
      <w:lvlText w:val="•"/>
      <w:lvlJc w:val="left"/>
      <w:pPr>
        <w:ind w:left="1706" w:hanging="318"/>
      </w:pPr>
      <w:rPr>
        <w:rFonts w:hint="default"/>
        <w:lang w:val="en-US" w:eastAsia="zh-CN" w:bidi="ar-SA"/>
      </w:rPr>
    </w:lvl>
    <w:lvl w:ilvl="3">
      <w:start w:val="0"/>
      <w:numFmt w:val="bullet"/>
      <w:lvlText w:val="•"/>
      <w:lvlJc w:val="left"/>
      <w:pPr>
        <w:ind w:left="2449" w:hanging="318"/>
      </w:pPr>
      <w:rPr>
        <w:rFonts w:hint="default"/>
        <w:lang w:val="en-US" w:eastAsia="zh-CN" w:bidi="ar-SA"/>
      </w:rPr>
    </w:lvl>
    <w:lvl w:ilvl="4">
      <w:start w:val="0"/>
      <w:numFmt w:val="bullet"/>
      <w:lvlText w:val="•"/>
      <w:lvlJc w:val="left"/>
      <w:pPr>
        <w:ind w:left="3192" w:hanging="318"/>
      </w:pPr>
      <w:rPr>
        <w:rFonts w:hint="default"/>
        <w:lang w:val="en-US" w:eastAsia="zh-CN" w:bidi="ar-SA"/>
      </w:rPr>
    </w:lvl>
    <w:lvl w:ilvl="5">
      <w:start w:val="0"/>
      <w:numFmt w:val="bullet"/>
      <w:lvlText w:val="•"/>
      <w:lvlJc w:val="left"/>
      <w:pPr>
        <w:ind w:left="3935" w:hanging="318"/>
      </w:pPr>
      <w:rPr>
        <w:rFonts w:hint="default"/>
        <w:lang w:val="en-US" w:eastAsia="zh-CN" w:bidi="ar-SA"/>
      </w:rPr>
    </w:lvl>
    <w:lvl w:ilvl="6">
      <w:start w:val="0"/>
      <w:numFmt w:val="bullet"/>
      <w:lvlText w:val="•"/>
      <w:lvlJc w:val="left"/>
      <w:pPr>
        <w:ind w:left="4678" w:hanging="318"/>
      </w:pPr>
      <w:rPr>
        <w:rFonts w:hint="default"/>
        <w:lang w:val="en-US" w:eastAsia="zh-CN" w:bidi="ar-SA"/>
      </w:rPr>
    </w:lvl>
    <w:lvl w:ilvl="7">
      <w:start w:val="0"/>
      <w:numFmt w:val="bullet"/>
      <w:lvlText w:val="•"/>
      <w:lvlJc w:val="left"/>
      <w:pPr>
        <w:ind w:left="5421" w:hanging="318"/>
      </w:pPr>
      <w:rPr>
        <w:rFonts w:hint="default"/>
        <w:lang w:val="en-US" w:eastAsia="zh-CN" w:bidi="ar-SA"/>
      </w:rPr>
    </w:lvl>
    <w:lvl w:ilvl="8">
      <w:start w:val="0"/>
      <w:numFmt w:val="bullet"/>
      <w:lvlText w:val="•"/>
      <w:lvlJc w:val="left"/>
      <w:pPr>
        <w:ind w:left="6164" w:hanging="318"/>
      </w:pPr>
      <w:rPr>
        <w:rFonts w:hint="default"/>
        <w:lang w:val="en-US" w:eastAsia="zh-CN" w:bidi="ar-SA"/>
      </w:rPr>
    </w:lvl>
  </w:abstractNum>
  <w:abstractNum w:abstractNumId="10">
    <w:multiLevelType w:val="hybridMultilevel"/>
    <w:lvl w:ilvl="0">
      <w:start w:val="1"/>
      <w:numFmt w:val="decimal"/>
      <w:lvlText w:val="(%1)"/>
      <w:lvlJc w:val="left"/>
      <w:pPr>
        <w:ind w:left="53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51" w:hanging="318"/>
      </w:pPr>
      <w:rPr>
        <w:rFonts w:hint="default"/>
        <w:lang w:val="en-US" w:eastAsia="zh-CN" w:bidi="ar-SA"/>
      </w:rPr>
    </w:lvl>
    <w:lvl w:ilvl="2">
      <w:start w:val="0"/>
      <w:numFmt w:val="bullet"/>
      <w:lvlText w:val="•"/>
      <w:lvlJc w:val="left"/>
      <w:pPr>
        <w:ind w:left="1962" w:hanging="318"/>
      </w:pPr>
      <w:rPr>
        <w:rFonts w:hint="default"/>
        <w:lang w:val="en-US" w:eastAsia="zh-CN" w:bidi="ar-SA"/>
      </w:rPr>
    </w:lvl>
    <w:lvl w:ilvl="3">
      <w:start w:val="0"/>
      <w:numFmt w:val="bullet"/>
      <w:lvlText w:val="•"/>
      <w:lvlJc w:val="left"/>
      <w:pPr>
        <w:ind w:left="2673" w:hanging="318"/>
      </w:pPr>
      <w:rPr>
        <w:rFonts w:hint="default"/>
        <w:lang w:val="en-US" w:eastAsia="zh-CN" w:bidi="ar-SA"/>
      </w:rPr>
    </w:lvl>
    <w:lvl w:ilvl="4">
      <w:start w:val="0"/>
      <w:numFmt w:val="bullet"/>
      <w:lvlText w:val="•"/>
      <w:lvlJc w:val="left"/>
      <w:pPr>
        <w:ind w:left="3384" w:hanging="318"/>
      </w:pPr>
      <w:rPr>
        <w:rFonts w:hint="default"/>
        <w:lang w:val="en-US" w:eastAsia="zh-CN" w:bidi="ar-SA"/>
      </w:rPr>
    </w:lvl>
    <w:lvl w:ilvl="5">
      <w:start w:val="0"/>
      <w:numFmt w:val="bullet"/>
      <w:lvlText w:val="•"/>
      <w:lvlJc w:val="left"/>
      <w:pPr>
        <w:ind w:left="4095" w:hanging="318"/>
      </w:pPr>
      <w:rPr>
        <w:rFonts w:hint="default"/>
        <w:lang w:val="en-US" w:eastAsia="zh-CN" w:bidi="ar-SA"/>
      </w:rPr>
    </w:lvl>
    <w:lvl w:ilvl="6">
      <w:start w:val="0"/>
      <w:numFmt w:val="bullet"/>
      <w:lvlText w:val="•"/>
      <w:lvlJc w:val="left"/>
      <w:pPr>
        <w:ind w:left="4806" w:hanging="318"/>
      </w:pPr>
      <w:rPr>
        <w:rFonts w:hint="default"/>
        <w:lang w:val="en-US" w:eastAsia="zh-CN" w:bidi="ar-SA"/>
      </w:rPr>
    </w:lvl>
    <w:lvl w:ilvl="7">
      <w:start w:val="0"/>
      <w:numFmt w:val="bullet"/>
      <w:lvlText w:val="•"/>
      <w:lvlJc w:val="left"/>
      <w:pPr>
        <w:ind w:left="5517" w:hanging="318"/>
      </w:pPr>
      <w:rPr>
        <w:rFonts w:hint="default"/>
        <w:lang w:val="en-US" w:eastAsia="zh-CN" w:bidi="ar-SA"/>
      </w:rPr>
    </w:lvl>
    <w:lvl w:ilvl="8">
      <w:start w:val="0"/>
      <w:numFmt w:val="bullet"/>
      <w:lvlText w:val="•"/>
      <w:lvlJc w:val="left"/>
      <w:pPr>
        <w:ind w:left="6228" w:hanging="318"/>
      </w:pPr>
      <w:rPr>
        <w:rFonts w:hint="default"/>
        <w:lang w:val="en-US" w:eastAsia="zh-CN" w:bidi="ar-SA"/>
      </w:rPr>
    </w:lvl>
  </w:abstractNum>
  <w:abstractNum w:abstractNumId="9">
    <w:multiLevelType w:val="hybridMultilevel"/>
    <w:lvl w:ilvl="0">
      <w:start w:val="2"/>
      <w:numFmt w:val="decimal"/>
      <w:lvlText w:val="(%1)"/>
      <w:lvlJc w:val="left"/>
      <w:pPr>
        <w:ind w:left="3430"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50" w:hanging="318"/>
      </w:pPr>
      <w:rPr>
        <w:rFonts w:hint="default"/>
        <w:lang w:val="en-US" w:eastAsia="zh-CN" w:bidi="ar-SA"/>
      </w:rPr>
    </w:lvl>
    <w:lvl w:ilvl="2">
      <w:start w:val="0"/>
      <w:numFmt w:val="bullet"/>
      <w:lvlText w:val="•"/>
      <w:lvlJc w:val="left"/>
      <w:pPr>
        <w:ind w:left="4861" w:hanging="318"/>
      </w:pPr>
      <w:rPr>
        <w:rFonts w:hint="default"/>
        <w:lang w:val="en-US" w:eastAsia="zh-CN" w:bidi="ar-SA"/>
      </w:rPr>
    </w:lvl>
    <w:lvl w:ilvl="3">
      <w:start w:val="0"/>
      <w:numFmt w:val="bullet"/>
      <w:lvlText w:val="•"/>
      <w:lvlJc w:val="left"/>
      <w:pPr>
        <w:ind w:left="5571" w:hanging="318"/>
      </w:pPr>
      <w:rPr>
        <w:rFonts w:hint="default"/>
        <w:lang w:val="en-US" w:eastAsia="zh-CN" w:bidi="ar-SA"/>
      </w:rPr>
    </w:lvl>
    <w:lvl w:ilvl="4">
      <w:start w:val="0"/>
      <w:numFmt w:val="bullet"/>
      <w:lvlText w:val="•"/>
      <w:lvlJc w:val="left"/>
      <w:pPr>
        <w:ind w:left="6282" w:hanging="318"/>
      </w:pPr>
      <w:rPr>
        <w:rFonts w:hint="default"/>
        <w:lang w:val="en-US" w:eastAsia="zh-CN" w:bidi="ar-SA"/>
      </w:rPr>
    </w:lvl>
    <w:lvl w:ilvl="5">
      <w:start w:val="0"/>
      <w:numFmt w:val="bullet"/>
      <w:lvlText w:val="•"/>
      <w:lvlJc w:val="left"/>
      <w:pPr>
        <w:ind w:left="6993" w:hanging="318"/>
      </w:pPr>
      <w:rPr>
        <w:rFonts w:hint="default"/>
        <w:lang w:val="en-US" w:eastAsia="zh-CN" w:bidi="ar-SA"/>
      </w:rPr>
    </w:lvl>
    <w:lvl w:ilvl="6">
      <w:start w:val="0"/>
      <w:numFmt w:val="bullet"/>
      <w:lvlText w:val="•"/>
      <w:lvlJc w:val="left"/>
      <w:pPr>
        <w:ind w:left="7703" w:hanging="318"/>
      </w:pPr>
      <w:rPr>
        <w:rFonts w:hint="default"/>
        <w:lang w:val="en-US" w:eastAsia="zh-CN" w:bidi="ar-SA"/>
      </w:rPr>
    </w:lvl>
    <w:lvl w:ilvl="7">
      <w:start w:val="0"/>
      <w:numFmt w:val="bullet"/>
      <w:lvlText w:val="•"/>
      <w:lvlJc w:val="left"/>
      <w:pPr>
        <w:ind w:left="8414" w:hanging="318"/>
      </w:pPr>
      <w:rPr>
        <w:rFonts w:hint="default"/>
        <w:lang w:val="en-US" w:eastAsia="zh-CN" w:bidi="ar-SA"/>
      </w:rPr>
    </w:lvl>
    <w:lvl w:ilvl="8">
      <w:start w:val="0"/>
      <w:numFmt w:val="bullet"/>
      <w:lvlText w:val="•"/>
      <w:lvlJc w:val="left"/>
      <w:pPr>
        <w:ind w:left="9125" w:hanging="318"/>
      </w:pPr>
      <w:rPr>
        <w:rFonts w:hint="default"/>
        <w:lang w:val="en-US" w:eastAsia="zh-CN" w:bidi="ar-SA"/>
      </w:rPr>
    </w:lvl>
  </w:abstractNum>
  <w:abstractNum w:abstractNumId="8">
    <w:multiLevelType w:val="hybridMultilevel"/>
    <w:lvl w:ilvl="0">
      <w:start w:val="1"/>
      <w:numFmt w:val="decimal"/>
      <w:lvlText w:val="%1."/>
      <w:lvlJc w:val="left"/>
      <w:pPr>
        <w:ind w:left="1382" w:hanging="1170"/>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1382" w:hanging="117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30" w:hanging="318"/>
        <w:jc w:val="left"/>
      </w:pPr>
      <w:rPr>
        <w:rFonts w:hint="default"/>
        <w:w w:val="100"/>
        <w:lang w:val="en-US" w:eastAsia="zh-CN" w:bidi="ar-SA"/>
      </w:rPr>
    </w:lvl>
    <w:lvl w:ilvl="3">
      <w:start w:val="0"/>
      <w:numFmt w:val="bullet"/>
      <w:lvlText w:val="•"/>
      <w:lvlJc w:val="left"/>
      <w:pPr>
        <w:ind w:left="5019" w:hanging="318"/>
      </w:pPr>
      <w:rPr>
        <w:rFonts w:hint="default"/>
        <w:lang w:val="en-US" w:eastAsia="zh-CN" w:bidi="ar-SA"/>
      </w:rPr>
    </w:lvl>
    <w:lvl w:ilvl="4">
      <w:start w:val="0"/>
      <w:numFmt w:val="bullet"/>
      <w:lvlText w:val="•"/>
      <w:lvlJc w:val="left"/>
      <w:pPr>
        <w:ind w:left="5808" w:hanging="318"/>
      </w:pPr>
      <w:rPr>
        <w:rFonts w:hint="default"/>
        <w:lang w:val="en-US" w:eastAsia="zh-CN" w:bidi="ar-SA"/>
      </w:rPr>
    </w:lvl>
    <w:lvl w:ilvl="5">
      <w:start w:val="0"/>
      <w:numFmt w:val="bullet"/>
      <w:lvlText w:val="•"/>
      <w:lvlJc w:val="left"/>
      <w:pPr>
        <w:ind w:left="6598" w:hanging="318"/>
      </w:pPr>
      <w:rPr>
        <w:rFonts w:hint="default"/>
        <w:lang w:val="en-US" w:eastAsia="zh-CN" w:bidi="ar-SA"/>
      </w:rPr>
    </w:lvl>
    <w:lvl w:ilvl="6">
      <w:start w:val="0"/>
      <w:numFmt w:val="bullet"/>
      <w:lvlText w:val="•"/>
      <w:lvlJc w:val="left"/>
      <w:pPr>
        <w:ind w:left="7388" w:hanging="318"/>
      </w:pPr>
      <w:rPr>
        <w:rFonts w:hint="default"/>
        <w:lang w:val="en-US" w:eastAsia="zh-CN" w:bidi="ar-SA"/>
      </w:rPr>
    </w:lvl>
    <w:lvl w:ilvl="7">
      <w:start w:val="0"/>
      <w:numFmt w:val="bullet"/>
      <w:lvlText w:val="•"/>
      <w:lvlJc w:val="left"/>
      <w:pPr>
        <w:ind w:left="8177" w:hanging="318"/>
      </w:pPr>
      <w:rPr>
        <w:rFonts w:hint="default"/>
        <w:lang w:val="en-US" w:eastAsia="zh-CN" w:bidi="ar-SA"/>
      </w:rPr>
    </w:lvl>
    <w:lvl w:ilvl="8">
      <w:start w:val="0"/>
      <w:numFmt w:val="bullet"/>
      <w:lvlText w:val="•"/>
      <w:lvlJc w:val="left"/>
      <w:pPr>
        <w:ind w:left="8967" w:hanging="318"/>
      </w:pPr>
      <w:rPr>
        <w:rFonts w:hint="default"/>
        <w:lang w:val="en-US" w:eastAsia="zh-CN" w:bidi="ar-SA"/>
      </w:rPr>
    </w:lvl>
  </w:abstractNum>
  <w:abstractNum w:abstractNumId="7">
    <w:multiLevelType w:val="hybridMultilevel"/>
    <w:lvl w:ilvl="0">
      <w:start w:val="14"/>
      <w:numFmt w:val="decimal"/>
      <w:lvlText w:val="%1."/>
      <w:lvlJc w:val="left"/>
      <w:pPr>
        <w:ind w:left="669" w:hanging="424"/>
        <w:jc w:val="left"/>
      </w:pPr>
      <w:rPr>
        <w:rFonts w:hint="default" w:ascii="宋体" w:hAnsi="宋体" w:eastAsia="宋体" w:cs="宋体"/>
        <w:b w:val="0"/>
        <w:bCs w:val="0"/>
        <w:i w:val="0"/>
        <w:iCs w:val="0"/>
        <w:w w:val="100"/>
        <w:sz w:val="19"/>
        <w:szCs w:val="19"/>
        <w:u w:val="single" w:color="000000"/>
        <w:lang w:val="en-US" w:eastAsia="zh-CN" w:bidi="ar-SA"/>
      </w:rPr>
    </w:lvl>
    <w:lvl w:ilvl="1">
      <w:start w:val="1"/>
      <w:numFmt w:val="decimal"/>
      <w:lvlText w:val="%1.%2"/>
      <w:lvlJc w:val="left"/>
      <w:pPr>
        <w:ind w:left="771"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11" w:hanging="526"/>
      </w:pPr>
      <w:rPr>
        <w:rFonts w:hint="default"/>
        <w:lang w:val="en-US" w:eastAsia="zh-CN" w:bidi="ar-SA"/>
      </w:rPr>
    </w:lvl>
    <w:lvl w:ilvl="3">
      <w:start w:val="0"/>
      <w:numFmt w:val="bullet"/>
      <w:lvlText w:val="•"/>
      <w:lvlJc w:val="left"/>
      <w:pPr>
        <w:ind w:left="1443" w:hanging="526"/>
      </w:pPr>
      <w:rPr>
        <w:rFonts w:hint="default"/>
        <w:lang w:val="en-US" w:eastAsia="zh-CN" w:bidi="ar-SA"/>
      </w:rPr>
    </w:lvl>
    <w:lvl w:ilvl="4">
      <w:start w:val="0"/>
      <w:numFmt w:val="bullet"/>
      <w:lvlText w:val="•"/>
      <w:lvlJc w:val="left"/>
      <w:pPr>
        <w:ind w:left="1775" w:hanging="526"/>
      </w:pPr>
      <w:rPr>
        <w:rFonts w:hint="default"/>
        <w:lang w:val="en-US" w:eastAsia="zh-CN" w:bidi="ar-SA"/>
      </w:rPr>
    </w:lvl>
    <w:lvl w:ilvl="5">
      <w:start w:val="0"/>
      <w:numFmt w:val="bullet"/>
      <w:lvlText w:val="•"/>
      <w:lvlJc w:val="left"/>
      <w:pPr>
        <w:ind w:left="2107" w:hanging="526"/>
      </w:pPr>
      <w:rPr>
        <w:rFonts w:hint="default"/>
        <w:lang w:val="en-US" w:eastAsia="zh-CN" w:bidi="ar-SA"/>
      </w:rPr>
    </w:lvl>
    <w:lvl w:ilvl="6">
      <w:start w:val="0"/>
      <w:numFmt w:val="bullet"/>
      <w:lvlText w:val="•"/>
      <w:lvlJc w:val="left"/>
      <w:pPr>
        <w:ind w:left="2439" w:hanging="526"/>
      </w:pPr>
      <w:rPr>
        <w:rFonts w:hint="default"/>
        <w:lang w:val="en-US" w:eastAsia="zh-CN" w:bidi="ar-SA"/>
      </w:rPr>
    </w:lvl>
    <w:lvl w:ilvl="7">
      <w:start w:val="0"/>
      <w:numFmt w:val="bullet"/>
      <w:lvlText w:val="•"/>
      <w:lvlJc w:val="left"/>
      <w:pPr>
        <w:ind w:left="2771" w:hanging="526"/>
      </w:pPr>
      <w:rPr>
        <w:rFonts w:hint="default"/>
        <w:lang w:val="en-US" w:eastAsia="zh-CN" w:bidi="ar-SA"/>
      </w:rPr>
    </w:lvl>
    <w:lvl w:ilvl="8">
      <w:start w:val="0"/>
      <w:numFmt w:val="bullet"/>
      <w:lvlText w:val="•"/>
      <w:lvlJc w:val="left"/>
      <w:pPr>
        <w:ind w:left="3102" w:hanging="526"/>
      </w:pPr>
      <w:rPr>
        <w:rFonts w:hint="default"/>
        <w:lang w:val="en-US" w:eastAsia="zh-CN" w:bidi="ar-SA"/>
      </w:rPr>
    </w:lvl>
  </w:abstractNum>
  <w:abstractNum w:abstractNumId="6">
    <w:multiLevelType w:val="hybridMultilevel"/>
    <w:lvl w:ilvl="0">
      <w:start w:val="8"/>
      <w:numFmt w:val="decimal"/>
      <w:lvlText w:val="%1."/>
      <w:lvlJc w:val="left"/>
      <w:pPr>
        <w:ind w:left="565" w:hanging="318"/>
        <w:jc w:val="left"/>
      </w:pPr>
      <w:rPr>
        <w:rFonts w:hint="default" w:ascii="宋体" w:hAnsi="宋体" w:eastAsia="宋体" w:cs="宋体"/>
        <w:b w:val="0"/>
        <w:bCs w:val="0"/>
        <w:i w:val="0"/>
        <w:iCs w:val="0"/>
        <w:w w:val="100"/>
        <w:sz w:val="19"/>
        <w:szCs w:val="19"/>
        <w:u w:val="single" w:color="000000"/>
        <w:lang w:val="en-US" w:eastAsia="zh-CN" w:bidi="ar-SA"/>
      </w:rPr>
    </w:lvl>
    <w:lvl w:ilvl="1">
      <w:start w:val="1"/>
      <w:numFmt w:val="decimal"/>
      <w:lvlText w:val="%1.%2"/>
      <w:lvlJc w:val="left"/>
      <w:pPr>
        <w:ind w:left="67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62" w:hanging="423"/>
      </w:pPr>
      <w:rPr>
        <w:rFonts w:hint="default"/>
        <w:lang w:val="en-US" w:eastAsia="zh-CN" w:bidi="ar-SA"/>
      </w:rPr>
    </w:lvl>
    <w:lvl w:ilvl="3">
      <w:start w:val="0"/>
      <w:numFmt w:val="bullet"/>
      <w:lvlText w:val="•"/>
      <w:lvlJc w:val="left"/>
      <w:pPr>
        <w:ind w:left="1245" w:hanging="423"/>
      </w:pPr>
      <w:rPr>
        <w:rFonts w:hint="default"/>
        <w:lang w:val="en-US" w:eastAsia="zh-CN" w:bidi="ar-SA"/>
      </w:rPr>
    </w:lvl>
    <w:lvl w:ilvl="4">
      <w:start w:val="0"/>
      <w:numFmt w:val="bullet"/>
      <w:lvlText w:val="•"/>
      <w:lvlJc w:val="left"/>
      <w:pPr>
        <w:ind w:left="1528" w:hanging="423"/>
      </w:pPr>
      <w:rPr>
        <w:rFonts w:hint="default"/>
        <w:lang w:val="en-US" w:eastAsia="zh-CN" w:bidi="ar-SA"/>
      </w:rPr>
    </w:lvl>
    <w:lvl w:ilvl="5">
      <w:start w:val="0"/>
      <w:numFmt w:val="bullet"/>
      <w:lvlText w:val="•"/>
      <w:lvlJc w:val="left"/>
      <w:pPr>
        <w:ind w:left="1810" w:hanging="423"/>
      </w:pPr>
      <w:rPr>
        <w:rFonts w:hint="default"/>
        <w:lang w:val="en-US" w:eastAsia="zh-CN" w:bidi="ar-SA"/>
      </w:rPr>
    </w:lvl>
    <w:lvl w:ilvl="6">
      <w:start w:val="0"/>
      <w:numFmt w:val="bullet"/>
      <w:lvlText w:val="•"/>
      <w:lvlJc w:val="left"/>
      <w:pPr>
        <w:ind w:left="2093" w:hanging="423"/>
      </w:pPr>
      <w:rPr>
        <w:rFonts w:hint="default"/>
        <w:lang w:val="en-US" w:eastAsia="zh-CN" w:bidi="ar-SA"/>
      </w:rPr>
    </w:lvl>
    <w:lvl w:ilvl="7">
      <w:start w:val="0"/>
      <w:numFmt w:val="bullet"/>
      <w:lvlText w:val="•"/>
      <w:lvlJc w:val="left"/>
      <w:pPr>
        <w:ind w:left="2376" w:hanging="423"/>
      </w:pPr>
      <w:rPr>
        <w:rFonts w:hint="default"/>
        <w:lang w:val="en-US" w:eastAsia="zh-CN" w:bidi="ar-SA"/>
      </w:rPr>
    </w:lvl>
    <w:lvl w:ilvl="8">
      <w:start w:val="0"/>
      <w:numFmt w:val="bullet"/>
      <w:lvlText w:val="•"/>
      <w:lvlJc w:val="left"/>
      <w:pPr>
        <w:ind w:left="2659" w:hanging="423"/>
      </w:pPr>
      <w:rPr>
        <w:rFonts w:hint="default"/>
        <w:lang w:val="en-US" w:eastAsia="zh-CN" w:bidi="ar-SA"/>
      </w:rPr>
    </w:lvl>
  </w:abstractNum>
  <w:abstractNum w:abstractNumId="5">
    <w:multiLevelType w:val="hybridMultilevel"/>
    <w:lvl w:ilvl="0">
      <w:start w:val="3"/>
      <w:numFmt w:val="decimal"/>
      <w:lvlText w:val="%1."/>
      <w:lvlJc w:val="left"/>
      <w:pPr>
        <w:ind w:left="814" w:hanging="318"/>
        <w:jc w:val="left"/>
      </w:pPr>
      <w:rPr>
        <w:rFonts w:hint="default" w:ascii="宋体" w:hAnsi="宋体" w:eastAsia="宋体" w:cs="宋体"/>
        <w:b w:val="0"/>
        <w:bCs w:val="0"/>
        <w:i w:val="0"/>
        <w:iCs w:val="0"/>
        <w:w w:val="100"/>
        <w:sz w:val="19"/>
        <w:szCs w:val="19"/>
        <w:u w:val="single" w:color="000000"/>
        <w:lang w:val="en-US" w:eastAsia="zh-CN" w:bidi="ar-SA"/>
      </w:rPr>
    </w:lvl>
    <w:lvl w:ilvl="1">
      <w:start w:val="1"/>
      <w:numFmt w:val="decimal"/>
      <w:lvlText w:val="%1.%2"/>
      <w:lvlJc w:val="left"/>
      <w:pPr>
        <w:ind w:left="91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03" w:hanging="423"/>
      </w:pPr>
      <w:rPr>
        <w:rFonts w:hint="default"/>
        <w:lang w:val="en-US" w:eastAsia="zh-CN" w:bidi="ar-SA"/>
      </w:rPr>
    </w:lvl>
    <w:lvl w:ilvl="3">
      <w:start w:val="0"/>
      <w:numFmt w:val="bullet"/>
      <w:lvlText w:val="•"/>
      <w:lvlJc w:val="left"/>
      <w:pPr>
        <w:ind w:left="1487" w:hanging="423"/>
      </w:pPr>
      <w:rPr>
        <w:rFonts w:hint="default"/>
        <w:lang w:val="en-US" w:eastAsia="zh-CN" w:bidi="ar-SA"/>
      </w:rPr>
    </w:lvl>
    <w:lvl w:ilvl="4">
      <w:start w:val="0"/>
      <w:numFmt w:val="bullet"/>
      <w:lvlText w:val="•"/>
      <w:lvlJc w:val="left"/>
      <w:pPr>
        <w:ind w:left="1771" w:hanging="423"/>
      </w:pPr>
      <w:rPr>
        <w:rFonts w:hint="default"/>
        <w:lang w:val="en-US" w:eastAsia="zh-CN" w:bidi="ar-SA"/>
      </w:rPr>
    </w:lvl>
    <w:lvl w:ilvl="5">
      <w:start w:val="0"/>
      <w:numFmt w:val="bullet"/>
      <w:lvlText w:val="•"/>
      <w:lvlJc w:val="left"/>
      <w:pPr>
        <w:ind w:left="2055" w:hanging="423"/>
      </w:pPr>
      <w:rPr>
        <w:rFonts w:hint="default"/>
        <w:lang w:val="en-US" w:eastAsia="zh-CN" w:bidi="ar-SA"/>
      </w:rPr>
    </w:lvl>
    <w:lvl w:ilvl="6">
      <w:start w:val="0"/>
      <w:numFmt w:val="bullet"/>
      <w:lvlText w:val="•"/>
      <w:lvlJc w:val="left"/>
      <w:pPr>
        <w:ind w:left="2339" w:hanging="423"/>
      </w:pPr>
      <w:rPr>
        <w:rFonts w:hint="default"/>
        <w:lang w:val="en-US" w:eastAsia="zh-CN" w:bidi="ar-SA"/>
      </w:rPr>
    </w:lvl>
    <w:lvl w:ilvl="7">
      <w:start w:val="0"/>
      <w:numFmt w:val="bullet"/>
      <w:lvlText w:val="•"/>
      <w:lvlJc w:val="left"/>
      <w:pPr>
        <w:ind w:left="2623" w:hanging="423"/>
      </w:pPr>
      <w:rPr>
        <w:rFonts w:hint="default"/>
        <w:lang w:val="en-US" w:eastAsia="zh-CN" w:bidi="ar-SA"/>
      </w:rPr>
    </w:lvl>
    <w:lvl w:ilvl="8">
      <w:start w:val="0"/>
      <w:numFmt w:val="bullet"/>
      <w:lvlText w:val="•"/>
      <w:lvlJc w:val="left"/>
      <w:pPr>
        <w:ind w:left="2907" w:hanging="423"/>
      </w:pPr>
      <w:rPr>
        <w:rFonts w:hint="default"/>
        <w:lang w:val="en-US" w:eastAsia="zh-CN" w:bidi="ar-SA"/>
      </w:rPr>
    </w:lvl>
  </w:abstractNum>
  <w:abstractNum w:abstractNumId="4">
    <w:multiLevelType w:val="hybridMultilevel"/>
    <w:lvl w:ilvl="0">
      <w:start w:val="9"/>
      <w:numFmt w:val="decimal"/>
      <w:lvlText w:val="%1."/>
      <w:lvlJc w:val="left"/>
      <w:pPr>
        <w:ind w:left="563" w:hanging="318"/>
        <w:jc w:val="left"/>
      </w:pPr>
      <w:rPr>
        <w:rFonts w:hint="default" w:ascii="宋体" w:hAnsi="宋体" w:eastAsia="宋体" w:cs="宋体"/>
        <w:b w:val="0"/>
        <w:bCs w:val="0"/>
        <w:i w:val="0"/>
        <w:iCs w:val="0"/>
        <w:w w:val="100"/>
        <w:sz w:val="19"/>
        <w:szCs w:val="19"/>
        <w:u w:val="single" w:color="000000"/>
        <w:lang w:val="en-US" w:eastAsia="zh-CN" w:bidi="ar-SA"/>
      </w:rPr>
    </w:lvl>
    <w:lvl w:ilvl="1">
      <w:start w:val="1"/>
      <w:numFmt w:val="decimal"/>
      <w:lvlText w:val="%1.%2"/>
      <w:lvlJc w:val="left"/>
      <w:pPr>
        <w:ind w:left="66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780" w:hanging="423"/>
      </w:pPr>
      <w:rPr>
        <w:rFonts w:hint="default"/>
        <w:lang w:val="en-US" w:eastAsia="zh-CN" w:bidi="ar-SA"/>
      </w:rPr>
    </w:lvl>
    <w:lvl w:ilvl="3">
      <w:start w:val="0"/>
      <w:numFmt w:val="bullet"/>
      <w:lvlText w:val="•"/>
      <w:lvlJc w:val="left"/>
      <w:pPr>
        <w:ind w:left="1153" w:hanging="423"/>
      </w:pPr>
      <w:rPr>
        <w:rFonts w:hint="default"/>
        <w:lang w:val="en-US" w:eastAsia="zh-CN" w:bidi="ar-SA"/>
      </w:rPr>
    </w:lvl>
    <w:lvl w:ilvl="4">
      <w:start w:val="0"/>
      <w:numFmt w:val="bullet"/>
      <w:lvlText w:val="•"/>
      <w:lvlJc w:val="left"/>
      <w:pPr>
        <w:ind w:left="1526" w:hanging="423"/>
      </w:pPr>
      <w:rPr>
        <w:rFonts w:hint="default"/>
        <w:lang w:val="en-US" w:eastAsia="zh-CN" w:bidi="ar-SA"/>
      </w:rPr>
    </w:lvl>
    <w:lvl w:ilvl="5">
      <w:start w:val="0"/>
      <w:numFmt w:val="bullet"/>
      <w:lvlText w:val="•"/>
      <w:lvlJc w:val="left"/>
      <w:pPr>
        <w:ind w:left="1899" w:hanging="423"/>
      </w:pPr>
      <w:rPr>
        <w:rFonts w:hint="default"/>
        <w:lang w:val="en-US" w:eastAsia="zh-CN" w:bidi="ar-SA"/>
      </w:rPr>
    </w:lvl>
    <w:lvl w:ilvl="6">
      <w:start w:val="0"/>
      <w:numFmt w:val="bullet"/>
      <w:lvlText w:val="•"/>
      <w:lvlJc w:val="left"/>
      <w:pPr>
        <w:ind w:left="2273" w:hanging="423"/>
      </w:pPr>
      <w:rPr>
        <w:rFonts w:hint="default"/>
        <w:lang w:val="en-US" w:eastAsia="zh-CN" w:bidi="ar-SA"/>
      </w:rPr>
    </w:lvl>
    <w:lvl w:ilvl="7">
      <w:start w:val="0"/>
      <w:numFmt w:val="bullet"/>
      <w:lvlText w:val="•"/>
      <w:lvlJc w:val="left"/>
      <w:pPr>
        <w:ind w:left="2646" w:hanging="423"/>
      </w:pPr>
      <w:rPr>
        <w:rFonts w:hint="default"/>
        <w:lang w:val="en-US" w:eastAsia="zh-CN" w:bidi="ar-SA"/>
      </w:rPr>
    </w:lvl>
    <w:lvl w:ilvl="8">
      <w:start w:val="0"/>
      <w:numFmt w:val="bullet"/>
      <w:lvlText w:val="•"/>
      <w:lvlJc w:val="left"/>
      <w:pPr>
        <w:ind w:left="3019" w:hanging="423"/>
      </w:pPr>
      <w:rPr>
        <w:rFonts w:hint="default"/>
        <w:lang w:val="en-US" w:eastAsia="zh-CN" w:bidi="ar-SA"/>
      </w:rPr>
    </w:lvl>
  </w:abstractNum>
  <w:abstractNum w:abstractNumId="3">
    <w:multiLevelType w:val="hybridMultilevel"/>
    <w:lvl w:ilvl="0">
      <w:start w:val="4"/>
      <w:numFmt w:val="decimal"/>
      <w:lvlText w:val="%1."/>
      <w:lvlJc w:val="left"/>
      <w:pPr>
        <w:ind w:left="562" w:hanging="317"/>
        <w:jc w:val="left"/>
      </w:pPr>
      <w:rPr>
        <w:rFonts w:hint="default" w:ascii="宋体" w:hAnsi="宋体" w:eastAsia="宋体" w:cs="宋体"/>
        <w:b w:val="0"/>
        <w:bCs w:val="0"/>
        <w:i w:val="0"/>
        <w:iCs w:val="0"/>
        <w:w w:val="100"/>
        <w:sz w:val="21"/>
        <w:szCs w:val="21"/>
        <w:u w:val="single" w:color="000000"/>
        <w:lang w:val="en-US" w:eastAsia="zh-CN" w:bidi="ar-SA"/>
      </w:rPr>
    </w:lvl>
    <w:lvl w:ilvl="1">
      <w:start w:val="1"/>
      <w:numFmt w:val="decimal"/>
      <w:lvlText w:val="%1.%2"/>
      <w:lvlJc w:val="left"/>
      <w:pPr>
        <w:ind w:left="66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4" w:hanging="423"/>
      </w:pPr>
      <w:rPr>
        <w:rFonts w:hint="default"/>
        <w:lang w:val="en-US" w:eastAsia="zh-CN" w:bidi="ar-SA"/>
      </w:rPr>
    </w:lvl>
    <w:lvl w:ilvl="3">
      <w:start w:val="0"/>
      <w:numFmt w:val="bullet"/>
      <w:lvlText w:val="•"/>
      <w:lvlJc w:val="left"/>
      <w:pPr>
        <w:ind w:left="1229" w:hanging="423"/>
      </w:pPr>
      <w:rPr>
        <w:rFonts w:hint="default"/>
        <w:lang w:val="en-US" w:eastAsia="zh-CN" w:bidi="ar-SA"/>
      </w:rPr>
    </w:lvl>
    <w:lvl w:ilvl="4">
      <w:start w:val="0"/>
      <w:numFmt w:val="bullet"/>
      <w:lvlText w:val="•"/>
      <w:lvlJc w:val="left"/>
      <w:pPr>
        <w:ind w:left="1514" w:hanging="423"/>
      </w:pPr>
      <w:rPr>
        <w:rFonts w:hint="default"/>
        <w:lang w:val="en-US" w:eastAsia="zh-CN" w:bidi="ar-SA"/>
      </w:rPr>
    </w:lvl>
    <w:lvl w:ilvl="5">
      <w:start w:val="0"/>
      <w:numFmt w:val="bullet"/>
      <w:lvlText w:val="•"/>
      <w:lvlJc w:val="left"/>
      <w:pPr>
        <w:ind w:left="1799" w:hanging="423"/>
      </w:pPr>
      <w:rPr>
        <w:rFonts w:hint="default"/>
        <w:lang w:val="en-US" w:eastAsia="zh-CN" w:bidi="ar-SA"/>
      </w:rPr>
    </w:lvl>
    <w:lvl w:ilvl="6">
      <w:start w:val="0"/>
      <w:numFmt w:val="bullet"/>
      <w:lvlText w:val="•"/>
      <w:lvlJc w:val="left"/>
      <w:pPr>
        <w:ind w:left="2084" w:hanging="423"/>
      </w:pPr>
      <w:rPr>
        <w:rFonts w:hint="default"/>
        <w:lang w:val="en-US" w:eastAsia="zh-CN" w:bidi="ar-SA"/>
      </w:rPr>
    </w:lvl>
    <w:lvl w:ilvl="7">
      <w:start w:val="0"/>
      <w:numFmt w:val="bullet"/>
      <w:lvlText w:val="•"/>
      <w:lvlJc w:val="left"/>
      <w:pPr>
        <w:ind w:left="2369" w:hanging="423"/>
      </w:pPr>
      <w:rPr>
        <w:rFonts w:hint="default"/>
        <w:lang w:val="en-US" w:eastAsia="zh-CN" w:bidi="ar-SA"/>
      </w:rPr>
    </w:lvl>
    <w:lvl w:ilvl="8">
      <w:start w:val="0"/>
      <w:numFmt w:val="bullet"/>
      <w:lvlText w:val="•"/>
      <w:lvlJc w:val="left"/>
      <w:pPr>
        <w:ind w:left="2654" w:hanging="423"/>
      </w:pPr>
      <w:rPr>
        <w:rFonts w:hint="default"/>
        <w:lang w:val="en-US" w:eastAsia="zh-CN" w:bidi="ar-SA"/>
      </w:rPr>
    </w:lvl>
  </w:abstractNum>
  <w:abstractNum w:abstractNumId="2">
    <w:multiLevelType w:val="hybridMultilevel"/>
    <w:lvl w:ilvl="0">
      <w:start w:val="3"/>
      <w:numFmt w:val="decimal"/>
      <w:lvlText w:val="%1"/>
      <w:lvlJc w:val="left"/>
      <w:pPr>
        <w:ind w:left="668" w:hanging="423"/>
        <w:jc w:val="left"/>
      </w:pPr>
      <w:rPr>
        <w:rFonts w:hint="default"/>
        <w:lang w:val="en-US" w:eastAsia="zh-CN" w:bidi="ar-SA"/>
      </w:rPr>
    </w:lvl>
    <w:lvl w:ilvl="1">
      <w:start w:val="4"/>
      <w:numFmt w:val="decimal"/>
      <w:lvlText w:val="%1.%2"/>
      <w:lvlJc w:val="left"/>
      <w:pPr>
        <w:ind w:left="66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72" w:hanging="423"/>
      </w:pPr>
      <w:rPr>
        <w:rFonts w:hint="default"/>
        <w:lang w:val="en-US" w:eastAsia="zh-CN" w:bidi="ar-SA"/>
      </w:rPr>
    </w:lvl>
    <w:lvl w:ilvl="3">
      <w:start w:val="0"/>
      <w:numFmt w:val="bullet"/>
      <w:lvlText w:val="•"/>
      <w:lvlJc w:val="left"/>
      <w:pPr>
        <w:ind w:left="1429" w:hanging="423"/>
      </w:pPr>
      <w:rPr>
        <w:rFonts w:hint="default"/>
        <w:lang w:val="en-US" w:eastAsia="zh-CN" w:bidi="ar-SA"/>
      </w:rPr>
    </w:lvl>
    <w:lvl w:ilvl="4">
      <w:start w:val="0"/>
      <w:numFmt w:val="bullet"/>
      <w:lvlText w:val="•"/>
      <w:lvlJc w:val="left"/>
      <w:pPr>
        <w:ind w:left="1685" w:hanging="423"/>
      </w:pPr>
      <w:rPr>
        <w:rFonts w:hint="default"/>
        <w:lang w:val="en-US" w:eastAsia="zh-CN" w:bidi="ar-SA"/>
      </w:rPr>
    </w:lvl>
    <w:lvl w:ilvl="5">
      <w:start w:val="0"/>
      <w:numFmt w:val="bullet"/>
      <w:lvlText w:val="•"/>
      <w:lvlJc w:val="left"/>
      <w:pPr>
        <w:ind w:left="1942" w:hanging="423"/>
      </w:pPr>
      <w:rPr>
        <w:rFonts w:hint="default"/>
        <w:lang w:val="en-US" w:eastAsia="zh-CN" w:bidi="ar-SA"/>
      </w:rPr>
    </w:lvl>
    <w:lvl w:ilvl="6">
      <w:start w:val="0"/>
      <w:numFmt w:val="bullet"/>
      <w:lvlText w:val="•"/>
      <w:lvlJc w:val="left"/>
      <w:pPr>
        <w:ind w:left="2198" w:hanging="423"/>
      </w:pPr>
      <w:rPr>
        <w:rFonts w:hint="default"/>
        <w:lang w:val="en-US" w:eastAsia="zh-CN" w:bidi="ar-SA"/>
      </w:rPr>
    </w:lvl>
    <w:lvl w:ilvl="7">
      <w:start w:val="0"/>
      <w:numFmt w:val="bullet"/>
      <w:lvlText w:val="•"/>
      <w:lvlJc w:val="left"/>
      <w:pPr>
        <w:ind w:left="2455" w:hanging="423"/>
      </w:pPr>
      <w:rPr>
        <w:rFonts w:hint="default"/>
        <w:lang w:val="en-US" w:eastAsia="zh-CN" w:bidi="ar-SA"/>
      </w:rPr>
    </w:lvl>
    <w:lvl w:ilvl="8">
      <w:start w:val="0"/>
      <w:numFmt w:val="bullet"/>
      <w:lvlText w:val="•"/>
      <w:lvlJc w:val="left"/>
      <w:pPr>
        <w:ind w:left="2711" w:hanging="423"/>
      </w:pPr>
      <w:rPr>
        <w:rFonts w:hint="default"/>
        <w:lang w:val="en-US" w:eastAsia="zh-CN" w:bidi="ar-SA"/>
      </w:rPr>
    </w:lvl>
  </w:abstractNum>
  <w:abstractNum w:abstractNumId="1">
    <w:multiLevelType w:val="hybridMultilevel"/>
    <w:lvl w:ilvl="0">
      <w:start w:val="1"/>
      <w:numFmt w:val="decimal"/>
      <w:lvlText w:val="%1."/>
      <w:lvlJc w:val="left"/>
      <w:pPr>
        <w:ind w:left="814" w:hanging="318"/>
        <w:jc w:val="left"/>
      </w:pPr>
      <w:rPr>
        <w:rFonts w:hint="default" w:ascii="宋体" w:hAnsi="宋体" w:eastAsia="宋体" w:cs="宋体"/>
        <w:b w:val="0"/>
        <w:bCs w:val="0"/>
        <w:i w:val="0"/>
        <w:iCs w:val="0"/>
        <w:w w:val="100"/>
        <w:sz w:val="19"/>
        <w:szCs w:val="19"/>
        <w:u w:val="single" w:color="000000"/>
        <w:lang w:val="en-US" w:eastAsia="zh-CN" w:bidi="ar-SA"/>
      </w:rPr>
    </w:lvl>
    <w:lvl w:ilvl="1">
      <w:start w:val="1"/>
      <w:numFmt w:val="decimal"/>
      <w:lvlText w:val="%1.%2"/>
      <w:lvlJc w:val="left"/>
      <w:pPr>
        <w:ind w:left="91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03" w:hanging="423"/>
      </w:pPr>
      <w:rPr>
        <w:rFonts w:hint="default"/>
        <w:lang w:val="en-US" w:eastAsia="zh-CN" w:bidi="ar-SA"/>
      </w:rPr>
    </w:lvl>
    <w:lvl w:ilvl="3">
      <w:start w:val="0"/>
      <w:numFmt w:val="bullet"/>
      <w:lvlText w:val="•"/>
      <w:lvlJc w:val="left"/>
      <w:pPr>
        <w:ind w:left="1487" w:hanging="423"/>
      </w:pPr>
      <w:rPr>
        <w:rFonts w:hint="default"/>
        <w:lang w:val="en-US" w:eastAsia="zh-CN" w:bidi="ar-SA"/>
      </w:rPr>
    </w:lvl>
    <w:lvl w:ilvl="4">
      <w:start w:val="0"/>
      <w:numFmt w:val="bullet"/>
      <w:lvlText w:val="•"/>
      <w:lvlJc w:val="left"/>
      <w:pPr>
        <w:ind w:left="1771" w:hanging="423"/>
      </w:pPr>
      <w:rPr>
        <w:rFonts w:hint="default"/>
        <w:lang w:val="en-US" w:eastAsia="zh-CN" w:bidi="ar-SA"/>
      </w:rPr>
    </w:lvl>
    <w:lvl w:ilvl="5">
      <w:start w:val="0"/>
      <w:numFmt w:val="bullet"/>
      <w:lvlText w:val="•"/>
      <w:lvlJc w:val="left"/>
      <w:pPr>
        <w:ind w:left="2055" w:hanging="423"/>
      </w:pPr>
      <w:rPr>
        <w:rFonts w:hint="default"/>
        <w:lang w:val="en-US" w:eastAsia="zh-CN" w:bidi="ar-SA"/>
      </w:rPr>
    </w:lvl>
    <w:lvl w:ilvl="6">
      <w:start w:val="0"/>
      <w:numFmt w:val="bullet"/>
      <w:lvlText w:val="•"/>
      <w:lvlJc w:val="left"/>
      <w:pPr>
        <w:ind w:left="2339" w:hanging="423"/>
      </w:pPr>
      <w:rPr>
        <w:rFonts w:hint="default"/>
        <w:lang w:val="en-US" w:eastAsia="zh-CN" w:bidi="ar-SA"/>
      </w:rPr>
    </w:lvl>
    <w:lvl w:ilvl="7">
      <w:start w:val="0"/>
      <w:numFmt w:val="bullet"/>
      <w:lvlText w:val="•"/>
      <w:lvlJc w:val="left"/>
      <w:pPr>
        <w:ind w:left="2623" w:hanging="423"/>
      </w:pPr>
      <w:rPr>
        <w:rFonts w:hint="default"/>
        <w:lang w:val="en-US" w:eastAsia="zh-CN" w:bidi="ar-SA"/>
      </w:rPr>
    </w:lvl>
    <w:lvl w:ilvl="8">
      <w:start w:val="0"/>
      <w:numFmt w:val="bullet"/>
      <w:lvlText w:val="•"/>
      <w:lvlJc w:val="left"/>
      <w:pPr>
        <w:ind w:left="2907" w:hanging="423"/>
      </w:pPr>
      <w:rPr>
        <w:rFonts w:hint="default"/>
        <w:lang w:val="en-US" w:eastAsia="zh-CN" w:bidi="ar-SA"/>
      </w:rPr>
    </w:lvl>
  </w:abstractNum>
  <w:abstractNum w:abstractNumId="0">
    <w:multiLevelType w:val="hybridMultilevel"/>
    <w:lvl w:ilvl="0">
      <w:start w:val="0"/>
      <w:numFmt w:val="bullet"/>
      <w:lvlText w:val=""/>
      <w:lvlJc w:val="left"/>
      <w:pPr>
        <w:ind w:left="950" w:hanging="454"/>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918" w:hanging="454"/>
      </w:pPr>
      <w:rPr>
        <w:rFonts w:hint="default"/>
        <w:lang w:val="en-US" w:eastAsia="zh-CN" w:bidi="ar-SA"/>
      </w:rPr>
    </w:lvl>
    <w:lvl w:ilvl="2">
      <w:start w:val="0"/>
      <w:numFmt w:val="bullet"/>
      <w:lvlText w:val="•"/>
      <w:lvlJc w:val="left"/>
      <w:pPr>
        <w:ind w:left="2877" w:hanging="454"/>
      </w:pPr>
      <w:rPr>
        <w:rFonts w:hint="default"/>
        <w:lang w:val="en-US" w:eastAsia="zh-CN" w:bidi="ar-SA"/>
      </w:rPr>
    </w:lvl>
    <w:lvl w:ilvl="3">
      <w:start w:val="0"/>
      <w:numFmt w:val="bullet"/>
      <w:lvlText w:val="•"/>
      <w:lvlJc w:val="left"/>
      <w:pPr>
        <w:ind w:left="3835" w:hanging="454"/>
      </w:pPr>
      <w:rPr>
        <w:rFonts w:hint="default"/>
        <w:lang w:val="en-US" w:eastAsia="zh-CN" w:bidi="ar-SA"/>
      </w:rPr>
    </w:lvl>
    <w:lvl w:ilvl="4">
      <w:start w:val="0"/>
      <w:numFmt w:val="bullet"/>
      <w:lvlText w:val="•"/>
      <w:lvlJc w:val="left"/>
      <w:pPr>
        <w:ind w:left="4794" w:hanging="454"/>
      </w:pPr>
      <w:rPr>
        <w:rFonts w:hint="default"/>
        <w:lang w:val="en-US" w:eastAsia="zh-CN" w:bidi="ar-SA"/>
      </w:rPr>
    </w:lvl>
    <w:lvl w:ilvl="5">
      <w:start w:val="0"/>
      <w:numFmt w:val="bullet"/>
      <w:lvlText w:val="•"/>
      <w:lvlJc w:val="left"/>
      <w:pPr>
        <w:ind w:left="5753" w:hanging="454"/>
      </w:pPr>
      <w:rPr>
        <w:rFonts w:hint="default"/>
        <w:lang w:val="en-US" w:eastAsia="zh-CN" w:bidi="ar-SA"/>
      </w:rPr>
    </w:lvl>
    <w:lvl w:ilvl="6">
      <w:start w:val="0"/>
      <w:numFmt w:val="bullet"/>
      <w:lvlText w:val="•"/>
      <w:lvlJc w:val="left"/>
      <w:pPr>
        <w:ind w:left="6711" w:hanging="454"/>
      </w:pPr>
      <w:rPr>
        <w:rFonts w:hint="default"/>
        <w:lang w:val="en-US" w:eastAsia="zh-CN" w:bidi="ar-SA"/>
      </w:rPr>
    </w:lvl>
    <w:lvl w:ilvl="7">
      <w:start w:val="0"/>
      <w:numFmt w:val="bullet"/>
      <w:lvlText w:val="•"/>
      <w:lvlJc w:val="left"/>
      <w:pPr>
        <w:ind w:left="7670" w:hanging="454"/>
      </w:pPr>
      <w:rPr>
        <w:rFonts w:hint="default"/>
        <w:lang w:val="en-US" w:eastAsia="zh-CN" w:bidi="ar-SA"/>
      </w:rPr>
    </w:lvl>
    <w:lvl w:ilvl="8">
      <w:start w:val="0"/>
      <w:numFmt w:val="bullet"/>
      <w:lvlText w:val="•"/>
      <w:lvlJc w:val="left"/>
      <w:pPr>
        <w:ind w:left="8629" w:hanging="454"/>
      </w:pPr>
      <w:rPr>
        <w:rFonts w:hint="default"/>
        <w:lang w:val="en-US" w:eastAsia="zh-CN" w:bidi="ar-SA"/>
      </w:rPr>
    </w:lvl>
  </w:abstract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3113"/>
    </w:pPr>
    <w:rPr>
      <w:rFonts w:ascii="宋体" w:hAnsi="宋体" w:eastAsia="宋体" w:cs="宋体"/>
      <w:sz w:val="21"/>
      <w:szCs w:val="21"/>
      <w:lang w:val="en-US" w:eastAsia="zh-CN" w:bidi="ar-SA"/>
    </w:rPr>
  </w:style>
  <w:style w:styleId="Heading1" w:type="paragraph">
    <w:name w:val="Heading 1"/>
    <w:basedOn w:val="Normal"/>
    <w:uiPriority w:val="1"/>
    <w:qFormat/>
    <w:pPr>
      <w:ind w:left="1382" w:hanging="1170"/>
      <w:outlineLvl w:val="1"/>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1382" w:hanging="117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2023-06-02T06:00:13Z</dcterms:created>
  <dcterms:modified xsi:type="dcterms:W3CDTF">2023-06-02T06:00:13Z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