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3"/>
        <w:ind w:left="0" w:right="99" w:firstLine="0"/>
        <w:jc w:val="right"/>
        <w:rPr>
          <w:sz w:val="20"/>
        </w:rPr>
      </w:pPr>
      <w:r>
        <w:rPr/>
        <w:drawing>
          <wp:anchor distT="0" distB="0" distL="0" distR="0" allowOverlap="1" layoutInCell="1" locked="0" behindDoc="0" simplePos="0" relativeHeight="15728640">
            <wp:simplePos x="0" y="0"/>
            <wp:positionH relativeFrom="page">
              <wp:posOffset>5963284</wp:posOffset>
            </wp:positionH>
            <wp:positionV relativeFrom="paragraph">
              <wp:posOffset>190754</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险〔2021</w:t>
      </w:r>
      <w:r>
        <w:rPr>
          <w:w w:val="95"/>
          <w:sz w:val="20"/>
        </w:rPr>
        <w:t>〕</w:t>
      </w:r>
      <w:r>
        <w:rPr>
          <w:w w:val="95"/>
          <w:sz w:val="20"/>
        </w:rPr>
        <w:t>疾</w:t>
      </w:r>
      <w:r>
        <w:rPr>
          <w:w w:val="95"/>
          <w:sz w:val="20"/>
        </w:rPr>
        <w:t>病</w:t>
      </w:r>
      <w:r>
        <w:rPr>
          <w:w w:val="95"/>
          <w:sz w:val="20"/>
        </w:rPr>
        <w:t>保</w:t>
      </w:r>
      <w:r>
        <w:rPr>
          <w:w w:val="95"/>
          <w:sz w:val="20"/>
        </w:rPr>
        <w:t>险</w:t>
      </w:r>
      <w:r>
        <w:rPr>
          <w:spacing w:val="10"/>
          <w:sz w:val="20"/>
        </w:rPr>
        <w:t> </w:t>
      </w:r>
      <w:r>
        <w:rPr>
          <w:w w:val="95"/>
          <w:sz w:val="20"/>
        </w:rPr>
        <w:t>052</w:t>
      </w:r>
      <w:r>
        <w:rPr>
          <w:spacing w:val="10"/>
          <w:sz w:val="20"/>
        </w:rPr>
        <w:t> </w:t>
      </w:r>
      <w:r>
        <w:rPr>
          <w:spacing w:val="-10"/>
          <w:w w:val="95"/>
          <w:sz w:val="20"/>
        </w:rPr>
        <w:t>号</w:t>
      </w:r>
    </w:p>
    <w:p>
      <w:pPr>
        <w:pStyle w:val="BodyText"/>
        <w:spacing w:before="8"/>
      </w:pPr>
    </w:p>
    <w:p>
      <w:pPr>
        <w:spacing w:after="0"/>
        <w:sectPr>
          <w:type w:val="continuous"/>
          <w:pgSz w:w="11910" w:h="16840"/>
          <w:pgMar w:top="600" w:bottom="280" w:left="860" w:right="340"/>
        </w:sectPr>
      </w:pPr>
    </w:p>
    <w:p>
      <w:pPr>
        <w:spacing w:before="58"/>
        <w:ind w:left="2223" w:right="32" w:firstLine="0"/>
        <w:jc w:val="center"/>
        <w:rPr>
          <w:rFonts w:ascii="黑体" w:eastAsia="黑体" w:hint="eastAsia"/>
          <w:b/>
          <w:sz w:val="30"/>
        </w:rPr>
      </w:pPr>
      <w:r>
        <w:rPr>
          <w:rFonts w:ascii="黑体" w:eastAsia="黑体" w:hint="eastAsia"/>
          <w:b/>
          <w:spacing w:val="-1"/>
          <w:w w:val="95"/>
          <w:sz w:val="30"/>
        </w:rPr>
        <w:t>信泰如意御护无忧重大疾病保险条款</w:t>
      </w:r>
    </w:p>
    <w:p>
      <w:pPr>
        <w:spacing w:before="240"/>
        <w:ind w:left="2224" w:right="32" w:firstLine="0"/>
        <w:jc w:val="center"/>
        <w:rPr>
          <w:rFonts w:ascii="黑体" w:eastAsia="黑体" w:hint="eastAsia"/>
          <w:b/>
          <w:sz w:val="30"/>
        </w:rPr>
      </w:pPr>
      <w:r>
        <w:rPr>
          <w:rFonts w:ascii="黑体" w:eastAsia="黑体" w:hint="eastAsia"/>
          <w:b/>
          <w:spacing w:val="-3"/>
          <w:w w:val="95"/>
          <w:sz w:val="30"/>
        </w:rPr>
        <w:t>阅读指引</w:t>
      </w:r>
    </w:p>
    <w:p>
      <w:pPr>
        <w:pStyle w:val="BodyText"/>
        <w:spacing w:line="182" w:lineRule="auto" w:before="171"/>
        <w:ind w:left="2287"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51"/>
        </w:rPr>
        <w:t>。</w:t>
      </w:r>
      <w:r>
        <w:rPr>
          <w:spacing w:val="-10"/>
          <w:position w:val="-7"/>
        </w:rPr>
        <w:t>．</w:t>
      </w:r>
    </w:p>
    <w:p>
      <w:pPr>
        <w:pStyle w:val="Heading2"/>
        <w:tabs>
          <w:tab w:pos="1170" w:val="left" w:leader="none"/>
        </w:tabs>
        <w:spacing w:line="396" w:lineRule="exact"/>
        <w:ind w:left="16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spacing w:line="240" w:lineRule="auto" w:before="0"/>
        <w:rPr>
          <w:b/>
          <w:sz w:val="20"/>
        </w:rPr>
      </w:pPr>
      <w:r>
        <w:rPr/>
        <w:br w:type="column"/>
      </w:r>
      <w:r>
        <w:rPr>
          <w:b/>
          <w:sz w:val="20"/>
        </w:rPr>
      </w:r>
    </w:p>
    <w:p>
      <w:pPr>
        <w:pStyle w:val="BodyText"/>
        <w:rPr>
          <w:b/>
          <w:sz w:val="20"/>
        </w:rPr>
      </w:pPr>
    </w:p>
    <w:p>
      <w:pPr>
        <w:pStyle w:val="BodyText"/>
        <w:spacing w:before="10"/>
        <w:rPr>
          <w:b/>
          <w:sz w:val="27"/>
        </w:rPr>
      </w:pPr>
    </w:p>
    <w:p>
      <w:pPr>
        <w:spacing w:before="0"/>
        <w:ind w:left="70"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860" w:right="340"/>
          <w:cols w:num="2" w:equalWidth="0">
            <w:col w:w="7994" w:space="40"/>
            <w:col w:w="2676"/>
          </w:cols>
        </w:sectPr>
      </w:pPr>
    </w:p>
    <w:sdt>
      <w:sdtPr>
        <w:docPartObj>
          <w:docPartGallery w:val="Table of Contents"/>
          <w:docPartUnique/>
        </w:docPartObj>
      </w:sdtPr>
      <w:sdtEndPr/>
      <w:sdtContent>
        <w:p>
          <w:pPr>
            <w:pStyle w:val="TOC1"/>
            <w:numPr>
              <w:ilvl w:val="0"/>
              <w:numId w:val="1"/>
            </w:numPr>
            <w:tabs>
              <w:tab w:pos="1552" w:val="left" w:leader="none"/>
              <w:tab w:pos="1553" w:val="left" w:leader="none"/>
              <w:tab w:pos="9877" w:val="right" w:leader="dot"/>
            </w:tabs>
            <w:spacing w:line="249" w:lineRule="exact" w:before="0" w:after="0"/>
            <w:ind w:left="1552" w:right="0" w:hanging="421"/>
            <w:jc w:val="left"/>
            <w:rPr>
              <w:rFonts w:ascii="宋体" w:hAnsi="宋体" w:eastAsia="宋体" w:hint="eastAsia"/>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hint="eastAsia"/>
              <w:b w:val="0"/>
              <w:spacing w:val="-5"/>
            </w:rPr>
            <w:t>1.5</w:t>
          </w:r>
        </w:p>
        <w:p>
          <w:pPr>
            <w:pStyle w:val="TOC2"/>
            <w:numPr>
              <w:ilvl w:val="0"/>
              <w:numId w:val="1"/>
            </w:numPr>
            <w:tabs>
              <w:tab w:pos="1552" w:val="left" w:leader="none"/>
              <w:tab w:pos="1553" w:val="left" w:leader="none"/>
              <w:tab w:pos="9855" w:val="right" w:leader="dot"/>
            </w:tabs>
            <w:spacing w:line="240" w:lineRule="auto" w:before="31" w:after="0"/>
            <w:ind w:left="1552" w:right="0" w:hanging="421"/>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2.7</w:t>
          </w:r>
        </w:p>
        <w:p>
          <w:pPr>
            <w:pStyle w:val="TOC2"/>
            <w:numPr>
              <w:ilvl w:val="0"/>
              <w:numId w:val="1"/>
            </w:numPr>
            <w:tabs>
              <w:tab w:pos="1552" w:val="left" w:leader="none"/>
              <w:tab w:pos="1553" w:val="left" w:leader="none"/>
              <w:tab w:pos="9644" w:val="right" w:leader="dot"/>
            </w:tabs>
            <w:spacing w:line="240" w:lineRule="auto" w:before="31" w:after="0"/>
            <w:ind w:left="1552" w:right="0" w:hanging="421"/>
            <w:jc w:val="left"/>
          </w:pPr>
          <w:r>
            <w:rPr>
              <w:spacing w:val="-2"/>
            </w:rPr>
            <w:t>您</w:t>
          </w:r>
          <w:r>
            <w:rPr>
              <w:spacing w:val="-2"/>
            </w:rPr>
            <w:t>有</w:t>
          </w:r>
          <w:r>
            <w:rPr>
              <w:spacing w:val="-2"/>
            </w:rPr>
            <w:t>按本合同约定申请保</w:t>
          </w:r>
          <w:r>
            <w:rPr>
              <w:spacing w:val="-2"/>
            </w:rPr>
            <w:t>单</w:t>
          </w:r>
          <w:r>
            <w:rPr>
              <w:spacing w:val="-2"/>
            </w:rPr>
            <w:t>质</w:t>
          </w:r>
          <w:r>
            <w:rPr>
              <w:spacing w:val="-2"/>
            </w:rPr>
            <w:t>押贷款和保险费的自</w:t>
          </w:r>
          <w:r>
            <w:rPr>
              <w:spacing w:val="-2"/>
            </w:rPr>
            <w:t>动</w:t>
          </w:r>
          <w:r>
            <w:rPr>
              <w:spacing w:val="-2"/>
            </w:rPr>
            <w:t>垫</w:t>
          </w:r>
          <w:r>
            <w:rPr>
              <w:spacing w:val="-2"/>
            </w:rPr>
            <w:t>交的权</w:t>
          </w:r>
          <w:r>
            <w:rPr>
              <w:spacing w:val="-10"/>
            </w:rPr>
            <w:t>利</w:t>
          </w:r>
          <w:r>
            <w:rPr>
              <w:rFonts w:ascii="Times New Roman" w:hAnsi="Times New Roman" w:eastAsia="Times New Roman"/>
            </w:rPr>
            <w:tab/>
          </w:r>
          <w:r>
            <w:rPr>
              <w:spacing w:val="-10"/>
            </w:rPr>
            <w:t>5</w:t>
          </w:r>
        </w:p>
        <w:p>
          <w:pPr>
            <w:pStyle w:val="TOC2"/>
            <w:numPr>
              <w:ilvl w:val="0"/>
              <w:numId w:val="1"/>
            </w:numPr>
            <w:tabs>
              <w:tab w:pos="1552" w:val="left" w:leader="none"/>
              <w:tab w:pos="1553" w:val="left" w:leader="none"/>
              <w:tab w:pos="9644" w:val="right" w:leader="dot"/>
            </w:tabs>
            <w:spacing w:line="240" w:lineRule="auto" w:before="31" w:after="0"/>
            <w:ind w:left="1552" w:right="0" w:hanging="421"/>
            <w:jc w:val="left"/>
          </w:pPr>
          <w:r>
            <w:rPr/>
            <w:pict>
              <v:shapetype id="_x0000_t202" o:spt="202" coordsize="21600,21600" path="m,l,21600r21600,l21600,xe">
                <v:stroke joinstyle="miter"/>
                <v:path gradientshapeok="t" o:connecttype="rect"/>
              </v:shapetype>
              <v:shape style="position:absolute;margin-left:51pt;margin-top:11.091495pt;width:24.55pt;height:27.5pt;mso-position-horizontal-relative:page;mso-position-vertical-relative:paragraph;z-index:15729664" type="#_x0000_t202" id="docshape1"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spacing w:before="30"/>
            <w:ind w:left="1170" w:firstLine="0"/>
            <w:rPr>
              <w:rFonts w:ascii="宋体" w:eastAsia="宋体" w:hint="eastAsia"/>
            </w:rPr>
          </w:pPr>
          <w:r>
            <w:rPr>
              <w:rFonts w:ascii="宋体" w:eastAsia="宋体" w:hint="eastAsia"/>
              <w:spacing w:val="-3"/>
            </w:rPr>
            <w:t>您需要特别注意的事项</w:t>
          </w:r>
        </w:p>
        <w:p>
          <w:pPr>
            <w:pStyle w:val="TOC1"/>
            <w:numPr>
              <w:ilvl w:val="0"/>
              <w:numId w:val="1"/>
            </w:numPr>
            <w:tabs>
              <w:tab w:pos="1552" w:val="left" w:leader="none"/>
              <w:tab w:pos="1553" w:val="left" w:leader="none"/>
              <w:tab w:pos="9857" w:val="right" w:leader="dot"/>
            </w:tabs>
            <w:spacing w:line="266" w:lineRule="auto" w:before="31" w:after="0"/>
            <w:ind w:left="1552" w:right="846" w:hanging="420"/>
            <w:jc w:val="left"/>
            <w:rPr>
              <w:rFonts w:ascii="宋体" w:hAnsi="宋体" w:eastAsia="宋体" w:hint="eastAsia"/>
              <w:b w:val="0"/>
            </w:rPr>
          </w:pPr>
          <w:r>
            <w:rPr>
              <w:spacing w:val="-2"/>
            </w:rPr>
            <w:t>发</w:t>
          </w:r>
          <w:r>
            <w:rPr>
              <w:spacing w:val="-2"/>
            </w:rPr>
            <w:t>生</w:t>
          </w:r>
          <w:r>
            <w:rPr>
              <w:spacing w:val="-2"/>
            </w:rPr>
            <w:t>本</w:t>
          </w:r>
          <w:r>
            <w:rPr>
              <w:spacing w:val="-2"/>
            </w:rPr>
            <w:t>合</w:t>
          </w:r>
          <w:r>
            <w:rPr>
              <w:spacing w:val="-2"/>
            </w:rPr>
            <w:t>同</w:t>
          </w:r>
          <w:r>
            <w:rPr>
              <w:spacing w:val="-2"/>
            </w:rPr>
            <w:t>约</w:t>
          </w:r>
          <w:r>
            <w:rPr>
              <w:spacing w:val="-2"/>
            </w:rPr>
            <w:t>定</w:t>
          </w:r>
          <w:r>
            <w:rPr>
              <w:spacing w:val="-2"/>
            </w:rPr>
            <w:t>的</w:t>
          </w:r>
          <w:r>
            <w:rPr>
              <w:spacing w:val="-2"/>
            </w:rPr>
            <w:t>责任免</w:t>
          </w:r>
          <w:r>
            <w:rPr>
              <w:spacing w:val="-2"/>
            </w:rPr>
            <w:t>除</w:t>
          </w:r>
          <w:r>
            <w:rPr>
              <w:spacing w:val="-2"/>
            </w:rPr>
            <w:t>情</w:t>
          </w:r>
          <w:r>
            <w:rPr>
              <w:spacing w:val="-2"/>
            </w:rPr>
            <w:t>形</w:t>
          </w:r>
          <w:r>
            <w:rPr>
              <w:spacing w:val="-2"/>
            </w:rPr>
            <w:t>之</w:t>
          </w:r>
          <w:r>
            <w:rPr>
              <w:spacing w:val="-2"/>
            </w:rPr>
            <w:t>一</w:t>
          </w:r>
          <w:r>
            <w:rPr>
              <w:spacing w:val="-2"/>
            </w:rPr>
            <w:t>导</w:t>
          </w:r>
          <w:r>
            <w:rPr>
              <w:spacing w:val="-2"/>
            </w:rPr>
            <w:t>致</w:t>
          </w:r>
          <w:r>
            <w:rPr>
              <w:spacing w:val="-2"/>
            </w:rPr>
            <w:t>被</w:t>
          </w:r>
          <w:r>
            <w:rPr>
              <w:spacing w:val="-2"/>
            </w:rPr>
            <w:t>保险人</w:t>
          </w:r>
          <w:r>
            <w:rPr>
              <w:spacing w:val="-2"/>
            </w:rPr>
            <w:t>发</w:t>
          </w:r>
          <w:r>
            <w:rPr>
              <w:spacing w:val="-2"/>
            </w:rPr>
            <w:t>生</w:t>
          </w:r>
          <w:r>
            <w:rPr>
              <w:spacing w:val="-2"/>
            </w:rPr>
            <w:t>本</w:t>
          </w:r>
          <w:r>
            <w:rPr>
              <w:spacing w:val="-2"/>
            </w:rPr>
            <w:t>合</w:t>
          </w:r>
          <w:r>
            <w:rPr>
              <w:spacing w:val="-2"/>
            </w:rPr>
            <w:t>同</w:t>
          </w:r>
          <w:r>
            <w:rPr>
              <w:spacing w:val="-2"/>
            </w:rPr>
            <w:t>所</w:t>
          </w:r>
          <w:r>
            <w:rPr>
              <w:spacing w:val="-2"/>
            </w:rPr>
            <w:t>定</w:t>
          </w:r>
          <w:r>
            <w:rPr>
              <w:spacing w:val="-2"/>
            </w:rPr>
            <w:t>义</w:t>
          </w:r>
          <w:r>
            <w:rPr>
              <w:spacing w:val="-2"/>
            </w:rPr>
            <w:t>的轻症</w:t>
          </w:r>
          <w:r>
            <w:rPr>
              <w:spacing w:val="-2"/>
            </w:rPr>
            <w:t>疾</w:t>
          </w:r>
          <w:r>
            <w:rPr>
              <w:spacing w:val="-2"/>
            </w:rPr>
            <w:t>病</w:t>
          </w:r>
          <w:r>
            <w:rPr>
              <w:spacing w:val="-2"/>
            </w:rPr>
            <w:t>、</w:t>
          </w:r>
          <w:r>
            <w:rPr>
              <w:spacing w:val="-2"/>
            </w:rPr>
            <w:t>中</w:t>
          </w:r>
          <w:r>
            <w:rPr>
              <w:spacing w:val="-2"/>
            </w:rPr>
            <w:t>症</w:t>
          </w:r>
          <w:r>
            <w:rPr>
              <w:spacing w:val="80"/>
              <w:w w:val="150"/>
            </w:rPr>
            <w:t> </w:t>
          </w:r>
          <w:r>
            <w:rPr>
              <w:spacing w:val="-2"/>
            </w:rPr>
            <w:t>疾</w:t>
          </w:r>
          <w:r>
            <w:rPr>
              <w:spacing w:val="-2"/>
            </w:rPr>
            <w:t>病</w:t>
          </w:r>
          <w:r>
            <w:rPr>
              <w:spacing w:val="-2"/>
            </w:rPr>
            <w:t>、</w:t>
          </w:r>
          <w:r>
            <w:rPr>
              <w:spacing w:val="-2"/>
            </w:rPr>
            <w:t>重</w:t>
          </w:r>
          <w:r>
            <w:rPr>
              <w:spacing w:val="-2"/>
            </w:rPr>
            <w:t>大</w:t>
          </w:r>
          <w:r>
            <w:rPr>
              <w:spacing w:val="-2"/>
            </w:rPr>
            <w:t>疾</w:t>
          </w:r>
          <w:r>
            <w:rPr>
              <w:spacing w:val="-2"/>
            </w:rPr>
            <w:t>病</w:t>
          </w:r>
          <w:r>
            <w:rPr>
              <w:spacing w:val="-2"/>
            </w:rPr>
            <w:t>，或导致</w:t>
          </w:r>
          <w:r>
            <w:rPr>
              <w:spacing w:val="-2"/>
            </w:rPr>
            <w:t>被</w:t>
          </w:r>
          <w:r>
            <w:rPr>
              <w:spacing w:val="-2"/>
            </w:rPr>
            <w:t>保</w:t>
          </w:r>
          <w:r>
            <w:rPr>
              <w:spacing w:val="-2"/>
            </w:rPr>
            <w:t>险</w:t>
          </w:r>
          <w:r>
            <w:rPr>
              <w:spacing w:val="-2"/>
            </w:rPr>
            <w:t>人</w:t>
          </w:r>
          <w:r>
            <w:rPr>
              <w:spacing w:val="-2"/>
            </w:rPr>
            <w:t>接</w:t>
          </w:r>
          <w:r>
            <w:rPr>
              <w:spacing w:val="-2"/>
            </w:rPr>
            <w:t>受</w:t>
          </w:r>
          <w:r>
            <w:rPr>
              <w:spacing w:val="-2"/>
            </w:rPr>
            <w:t>住</w:t>
          </w:r>
          <w:r>
            <w:rPr>
              <w:spacing w:val="-2"/>
            </w:rPr>
            <w:t>院</w:t>
          </w:r>
          <w:r>
            <w:rPr>
              <w:spacing w:val="-2"/>
            </w:rPr>
            <w:t>治疗、</w:t>
          </w:r>
          <w:r>
            <w:rPr>
              <w:spacing w:val="-2"/>
            </w:rPr>
            <w:t>身</w:t>
          </w:r>
          <w:r>
            <w:rPr>
              <w:spacing w:val="-2"/>
            </w:rPr>
            <w:t>故</w:t>
          </w:r>
          <w:r>
            <w:rPr>
              <w:spacing w:val="-2"/>
            </w:rPr>
            <w:t>或</w:t>
          </w:r>
          <w:r>
            <w:rPr>
              <w:spacing w:val="-2"/>
            </w:rPr>
            <w:t>全</w:t>
          </w:r>
          <w:r>
            <w:rPr>
              <w:spacing w:val="-2"/>
            </w:rPr>
            <w:t>残</w:t>
          </w:r>
          <w:r>
            <w:rPr>
              <w:spacing w:val="-2"/>
            </w:rPr>
            <w:t>的</w:t>
          </w:r>
          <w:r>
            <w:rPr>
              <w:spacing w:val="-2"/>
            </w:rPr>
            <w:t>，</w:t>
          </w:r>
          <w:r>
            <w:rPr>
              <w:spacing w:val="-2"/>
            </w:rPr>
            <w:t>我</w:t>
          </w:r>
          <w:r>
            <w:rPr>
              <w:spacing w:val="-2"/>
            </w:rPr>
            <w:t>们不承</w:t>
          </w:r>
          <w:r>
            <w:rPr>
              <w:spacing w:val="-2"/>
            </w:rPr>
            <w:t>担</w:t>
          </w:r>
          <w:r>
            <w:rPr>
              <w:spacing w:val="-2"/>
            </w:rPr>
            <w:t>给</w:t>
          </w:r>
          <w:r>
            <w:rPr>
              <w:spacing w:val="-2"/>
            </w:rPr>
            <w:t>付</w:t>
          </w:r>
          <w:r>
            <w:rPr>
              <w:spacing w:val="-2"/>
            </w:rPr>
            <w:t>保</w:t>
          </w:r>
          <w:r>
            <w:rPr>
              <w:spacing w:val="-2"/>
            </w:rPr>
            <w:t>险</w:t>
          </w:r>
          <w:r>
            <w:rPr>
              <w:spacing w:val="-2"/>
            </w:rPr>
            <w:t>金</w:t>
          </w:r>
          <w:r>
            <w:rPr>
              <w:spacing w:val="-4"/>
            </w:rPr>
            <w:t>的</w:t>
          </w:r>
          <w:r>
            <w:rPr>
              <w:spacing w:val="-4"/>
            </w:rPr>
            <w:t>责</w:t>
          </w:r>
          <w:r>
            <w:rPr>
              <w:spacing w:val="-4"/>
            </w:rPr>
            <w:t>任</w:t>
          </w:r>
          <w:r>
            <w:rPr>
              <w:rFonts w:ascii="Times New Roman" w:hAnsi="Times New Roman" w:eastAsia="Times New Roman"/>
              <w:b w:val="0"/>
            </w:rPr>
            <w:tab/>
          </w:r>
          <w:r>
            <w:rPr>
              <w:rFonts w:ascii="宋体" w:hAnsi="宋体" w:eastAsia="宋体" w:hint="eastAsia"/>
              <w:b w:val="0"/>
              <w:spacing w:val="-4"/>
            </w:rPr>
            <w:t>2.8</w:t>
          </w:r>
        </w:p>
        <w:p>
          <w:pPr>
            <w:pStyle w:val="TOC2"/>
            <w:numPr>
              <w:ilvl w:val="0"/>
              <w:numId w:val="1"/>
            </w:numPr>
            <w:tabs>
              <w:tab w:pos="1552" w:val="left" w:leader="none"/>
              <w:tab w:pos="1553" w:val="left" w:leader="none"/>
              <w:tab w:pos="9644" w:val="right" w:leader="dot"/>
            </w:tabs>
            <w:spacing w:line="240" w:lineRule="auto" w:before="5" w:after="0"/>
            <w:ind w:left="1552" w:right="0" w:hanging="421"/>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1"/>
            <w:numPr>
              <w:ilvl w:val="0"/>
              <w:numId w:val="1"/>
            </w:numPr>
            <w:tabs>
              <w:tab w:pos="1552" w:val="left" w:leader="none"/>
              <w:tab w:pos="1553" w:val="left" w:leader="none"/>
              <w:tab w:pos="9869" w:val="right" w:leader="dot"/>
            </w:tabs>
            <w:spacing w:line="240" w:lineRule="auto" w:before="31" w:after="0"/>
            <w:ind w:left="1552" w:right="0" w:hanging="421"/>
            <w:jc w:val="left"/>
            <w:rPr>
              <w:rFonts w:ascii="宋体" w:hAnsi="宋体" w:eastAsia="宋体" w:hint="eastAsia"/>
              <w:b w:val="0"/>
            </w:rPr>
          </w:pPr>
          <w:hyperlink w:history="true" w:anchor="_TOC_250000">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hint="eastAsia"/>
                <w:b w:val="0"/>
                <w:spacing w:val="-5"/>
              </w:rPr>
              <w:t>4.1</w:t>
            </w:r>
          </w:hyperlink>
        </w:p>
        <w:p>
          <w:pPr>
            <w:pStyle w:val="TOC3"/>
            <w:numPr>
              <w:ilvl w:val="0"/>
              <w:numId w:val="1"/>
            </w:numPr>
            <w:tabs>
              <w:tab w:pos="1552" w:val="left" w:leader="none"/>
              <w:tab w:pos="1553" w:val="left" w:leader="none"/>
              <w:tab w:pos="9862" w:val="right" w:leader="dot"/>
            </w:tabs>
            <w:spacing w:line="240" w:lineRule="auto" w:before="31" w:after="0"/>
            <w:ind w:left="1552" w:right="0" w:hanging="421"/>
            <w:jc w:val="left"/>
            <w:rPr>
              <w:rFonts w:ascii="宋体" w:hAnsi="宋体" w:eastAsia="宋体" w:hint="eastAsia"/>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hint="eastAsia"/>
              <w:b w:val="0"/>
              <w:i w:val="0"/>
              <w:spacing w:val="-5"/>
              <w:sz w:val="21"/>
            </w:rPr>
            <w:t>6.2</w:t>
          </w:r>
        </w:p>
        <w:p>
          <w:pPr>
            <w:pStyle w:val="TOC2"/>
            <w:numPr>
              <w:ilvl w:val="0"/>
              <w:numId w:val="1"/>
            </w:numPr>
            <w:tabs>
              <w:tab w:pos="1552" w:val="left" w:leader="none"/>
              <w:tab w:pos="1553" w:val="left" w:leader="none"/>
              <w:tab w:pos="9855" w:val="right" w:leader="dot"/>
            </w:tabs>
            <w:spacing w:line="240" w:lineRule="auto" w:before="31" w:after="0"/>
            <w:ind w:left="1552" w:right="0" w:hanging="421"/>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1"/>
            <w:numPr>
              <w:ilvl w:val="0"/>
              <w:numId w:val="1"/>
            </w:numPr>
            <w:tabs>
              <w:tab w:pos="1552" w:val="left" w:leader="none"/>
              <w:tab w:pos="1553" w:val="left" w:leader="none"/>
              <w:tab w:pos="9656" w:val="right" w:leader="dot"/>
            </w:tabs>
            <w:spacing w:line="240" w:lineRule="auto" w:before="31" w:after="0"/>
            <w:ind w:left="1552" w:right="0" w:hanging="421"/>
            <w:jc w:val="left"/>
            <w:rPr>
              <w:rFonts w:ascii="宋体" w:hAnsi="宋体" w:eastAsia="宋体" w:hint="eastAsia"/>
              <w:b w:val="0"/>
            </w:rPr>
          </w:pPr>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hint="eastAsia"/>
              <w:b w:val="0"/>
              <w:spacing w:val="-10"/>
            </w:rPr>
            <w:t>8</w:t>
          </w:r>
        </w:p>
        <w:p>
          <w:pPr>
            <w:pStyle w:val="TOC3"/>
            <w:numPr>
              <w:ilvl w:val="0"/>
              <w:numId w:val="1"/>
            </w:numPr>
            <w:tabs>
              <w:tab w:pos="1552" w:val="left" w:leader="none"/>
              <w:tab w:pos="1553" w:val="left" w:leader="none"/>
              <w:tab w:pos="9754" w:val="right" w:leader="dot"/>
            </w:tabs>
            <w:spacing w:line="240" w:lineRule="auto" w:before="31" w:after="0"/>
            <w:ind w:left="1552" w:right="0" w:hanging="421"/>
            <w:jc w:val="left"/>
            <w:rPr>
              <w:rFonts w:ascii="宋体" w:hAnsi="宋体" w:eastAsia="宋体" w:hint="eastAsia"/>
              <w:b w:val="0"/>
              <w:i w:val="0"/>
              <w:sz w:val="21"/>
            </w:rPr>
          </w:pPr>
          <w:r>
            <w:rPr>
              <w:i w:val="0"/>
              <w:sz w:val="21"/>
            </w:rPr>
            <w:t>本合同疾病定</w:t>
          </w:r>
          <w:r>
            <w:rPr>
              <w:i w:val="0"/>
              <w:spacing w:val="-10"/>
              <w:sz w:val="21"/>
            </w:rPr>
            <w:t>义</w:t>
          </w:r>
          <w:r>
            <w:rPr>
              <w:rFonts w:ascii="Times New Roman" w:hAnsi="Times New Roman" w:eastAsia="Times New Roman"/>
              <w:b w:val="0"/>
              <w:i w:val="0"/>
              <w:sz w:val="21"/>
            </w:rPr>
            <w:tab/>
          </w:r>
          <w:r>
            <w:rPr>
              <w:rFonts w:ascii="宋体" w:hAnsi="宋体" w:eastAsia="宋体" w:hint="eastAsia"/>
              <w:b w:val="0"/>
              <w:i w:val="0"/>
              <w:spacing w:val="-5"/>
              <w:sz w:val="21"/>
            </w:rPr>
            <w:t>10</w:t>
          </w:r>
        </w:p>
        <w:p>
          <w:pPr>
            <w:pStyle w:val="TOC2"/>
            <w:numPr>
              <w:ilvl w:val="0"/>
              <w:numId w:val="1"/>
            </w:numPr>
            <w:tabs>
              <w:tab w:pos="1552" w:val="left" w:leader="none"/>
              <w:tab w:pos="1553" w:val="left" w:leader="none"/>
              <w:tab w:pos="9749" w:val="right" w:leader="dot"/>
            </w:tabs>
            <w:spacing w:line="230" w:lineRule="exact" w:before="31" w:after="0"/>
            <w:ind w:left="1552" w:right="0" w:hanging="421"/>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11</w:t>
          </w:r>
        </w:p>
      </w:sdtContent>
    </w:sdt>
    <w:p>
      <w:pPr>
        <w:pStyle w:val="Heading2"/>
        <w:tabs>
          <w:tab w:pos="1170" w:val="left" w:leader="none"/>
        </w:tabs>
        <w:spacing w:line="385" w:lineRule="exact"/>
        <w:ind w:left="16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条款是保险合同的重要内容，为充分保障您的权益，请您仔细阅读本条款。</w:t>
      </w:r>
    </w:p>
    <w:p>
      <w:pPr>
        <w:tabs>
          <w:tab w:pos="1170" w:val="left" w:leader="none"/>
        </w:tabs>
        <w:spacing w:line="424" w:lineRule="exact" w:before="0"/>
        <w:ind w:left="160" w:right="0" w:firstLine="0"/>
        <w:jc w:val="left"/>
        <w:rPr>
          <w:b/>
          <w:sz w:val="21"/>
        </w:rPr>
      </w:pPr>
      <w:r>
        <w:rPr/>
        <w:drawing>
          <wp:anchor distT="0" distB="0" distL="0" distR="0" allowOverlap="1" layoutInCell="1" locked="0" behindDoc="1" simplePos="0" relativeHeight="485751808">
            <wp:simplePos x="0" y="0"/>
            <wp:positionH relativeFrom="page">
              <wp:posOffset>620077</wp:posOffset>
            </wp:positionH>
            <wp:positionV relativeFrom="paragraph">
              <wp:posOffset>210505</wp:posOffset>
            </wp:positionV>
            <wp:extent cx="6377305" cy="493903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77305" cy="493903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24" w:lineRule="exact"/>
        <w:jc w:val="left"/>
        <w:rPr>
          <w:sz w:val="21"/>
        </w:rPr>
        <w:sectPr>
          <w:type w:val="continuous"/>
          <w:pgSz w:w="11910" w:h="16840"/>
          <w:pgMar w:top="600" w:bottom="280" w:left="860" w:right="340"/>
        </w:sectPr>
      </w:pPr>
    </w:p>
    <w:p>
      <w:pPr>
        <w:pStyle w:val="Heading2"/>
        <w:numPr>
          <w:ilvl w:val="0"/>
          <w:numId w:val="2"/>
        </w:numPr>
        <w:tabs>
          <w:tab w:pos="702" w:val="left" w:leader="none"/>
        </w:tabs>
        <w:spacing w:line="259" w:lineRule="exact" w:before="2" w:after="0"/>
        <w:ind w:left="701" w:right="0" w:hanging="319"/>
        <w:jc w:val="left"/>
      </w:pPr>
      <w:r>
        <w:rPr>
          <w:spacing w:val="-2"/>
        </w:rPr>
        <w:t>您与我们的合同</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合同的构成</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合同成立与生效</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投保年龄</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保险期间</w:t>
      </w:r>
    </w:p>
    <w:p>
      <w:pPr>
        <w:pStyle w:val="ListParagraph"/>
        <w:numPr>
          <w:ilvl w:val="1"/>
          <w:numId w:val="2"/>
        </w:numPr>
        <w:tabs>
          <w:tab w:pos="1018" w:val="left" w:leader="none"/>
        </w:tabs>
        <w:spacing w:line="251" w:lineRule="exact" w:before="0" w:after="0"/>
        <w:ind w:left="1017" w:right="0" w:hanging="424"/>
        <w:jc w:val="left"/>
        <w:rPr>
          <w:sz w:val="21"/>
        </w:rPr>
      </w:pPr>
      <w:r>
        <w:rPr>
          <w:spacing w:val="-5"/>
          <w:sz w:val="21"/>
        </w:rPr>
        <w:t>犹豫期</w:t>
      </w:r>
    </w:p>
    <w:p>
      <w:pPr>
        <w:pStyle w:val="Heading2"/>
        <w:numPr>
          <w:ilvl w:val="0"/>
          <w:numId w:val="2"/>
        </w:numPr>
        <w:tabs>
          <w:tab w:pos="702" w:val="left" w:leader="none"/>
        </w:tabs>
        <w:spacing w:line="251" w:lineRule="exact" w:before="0" w:after="0"/>
        <w:ind w:left="701" w:right="0" w:hanging="319"/>
        <w:jc w:val="left"/>
      </w:pPr>
      <w:r>
        <w:rPr>
          <w:spacing w:val="-2"/>
        </w:rPr>
        <w:t>我们提供的保障</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基本保险金额</w:t>
      </w:r>
    </w:p>
    <w:p>
      <w:pPr>
        <w:pStyle w:val="ListParagraph"/>
        <w:numPr>
          <w:ilvl w:val="1"/>
          <w:numId w:val="2"/>
        </w:numPr>
        <w:tabs>
          <w:tab w:pos="1018" w:val="left" w:leader="none"/>
        </w:tabs>
        <w:spacing w:line="250" w:lineRule="exact" w:before="0" w:after="0"/>
        <w:ind w:left="1017" w:right="0" w:hanging="424"/>
        <w:jc w:val="left"/>
        <w:rPr>
          <w:sz w:val="21"/>
        </w:rPr>
      </w:pPr>
      <w:r>
        <w:rPr>
          <w:spacing w:val="-3"/>
          <w:sz w:val="21"/>
        </w:rPr>
        <w:t>未成年人身故保险金限制</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轻症疾病名称</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中症疾病名称</w:t>
      </w:r>
    </w:p>
    <w:p>
      <w:pPr>
        <w:pStyle w:val="ListParagraph"/>
        <w:numPr>
          <w:ilvl w:val="1"/>
          <w:numId w:val="2"/>
        </w:numPr>
        <w:tabs>
          <w:tab w:pos="1018" w:val="left" w:leader="none"/>
        </w:tabs>
        <w:spacing w:line="251" w:lineRule="exact" w:before="0" w:after="0"/>
        <w:ind w:left="1017" w:right="0" w:hanging="424"/>
        <w:jc w:val="left"/>
        <w:rPr>
          <w:sz w:val="21"/>
        </w:rPr>
      </w:pPr>
      <w:r>
        <w:rPr>
          <w:spacing w:val="-4"/>
          <w:sz w:val="21"/>
        </w:rPr>
        <w:t>重大疾病名称</w:t>
      </w:r>
    </w:p>
    <w:p>
      <w:pPr>
        <w:pStyle w:val="ListParagraph"/>
        <w:numPr>
          <w:ilvl w:val="1"/>
          <w:numId w:val="2"/>
        </w:numPr>
        <w:tabs>
          <w:tab w:pos="1018" w:val="left" w:leader="none"/>
        </w:tabs>
        <w:spacing w:line="251" w:lineRule="exact" w:before="0" w:after="0"/>
        <w:ind w:left="1017" w:right="0" w:hanging="424"/>
        <w:jc w:val="left"/>
        <w:rPr>
          <w:sz w:val="21"/>
        </w:rPr>
      </w:pPr>
      <w:r>
        <w:rPr>
          <w:spacing w:val="-5"/>
          <w:sz w:val="21"/>
        </w:rPr>
        <w:t>等待期</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保险责任</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责任免除</w:t>
      </w:r>
    </w:p>
    <w:p>
      <w:pPr>
        <w:pStyle w:val="ListParagraph"/>
        <w:numPr>
          <w:ilvl w:val="1"/>
          <w:numId w:val="2"/>
        </w:numPr>
        <w:tabs>
          <w:tab w:pos="1018" w:val="left" w:leader="none"/>
        </w:tabs>
        <w:spacing w:line="250" w:lineRule="exact" w:before="0" w:after="0"/>
        <w:ind w:left="1017" w:right="0" w:hanging="424"/>
        <w:jc w:val="left"/>
        <w:rPr>
          <w:sz w:val="21"/>
        </w:rPr>
      </w:pPr>
      <w:r>
        <w:rPr>
          <w:spacing w:val="-3"/>
          <w:sz w:val="21"/>
        </w:rPr>
        <w:t>其他免除保险责任条款</w:t>
      </w:r>
    </w:p>
    <w:p>
      <w:pPr>
        <w:pStyle w:val="Heading2"/>
        <w:numPr>
          <w:ilvl w:val="0"/>
          <w:numId w:val="2"/>
        </w:numPr>
        <w:tabs>
          <w:tab w:pos="702" w:val="left" w:leader="none"/>
        </w:tabs>
        <w:spacing w:line="250" w:lineRule="exact" w:before="0" w:after="0"/>
        <w:ind w:left="701" w:right="0" w:hanging="319"/>
        <w:jc w:val="left"/>
      </w:pPr>
      <w:r>
        <w:rPr>
          <w:spacing w:val="-2"/>
        </w:rPr>
        <w:t>如何支付保险费</w:t>
      </w:r>
    </w:p>
    <w:p>
      <w:pPr>
        <w:pStyle w:val="ListParagraph"/>
        <w:numPr>
          <w:ilvl w:val="1"/>
          <w:numId w:val="2"/>
        </w:numPr>
        <w:tabs>
          <w:tab w:pos="1018" w:val="left" w:leader="none"/>
        </w:tabs>
        <w:spacing w:line="251" w:lineRule="exact" w:before="0" w:after="0"/>
        <w:ind w:left="1017" w:right="0" w:hanging="424"/>
        <w:jc w:val="left"/>
        <w:rPr>
          <w:sz w:val="21"/>
        </w:rPr>
      </w:pPr>
      <w:r>
        <w:rPr>
          <w:spacing w:val="-4"/>
          <w:sz w:val="21"/>
        </w:rPr>
        <w:t>保险费的支付</w:t>
      </w:r>
    </w:p>
    <w:p>
      <w:pPr>
        <w:pStyle w:val="ListParagraph"/>
        <w:numPr>
          <w:ilvl w:val="1"/>
          <w:numId w:val="2"/>
        </w:numPr>
        <w:tabs>
          <w:tab w:pos="1018" w:val="left" w:leader="none"/>
        </w:tabs>
        <w:spacing w:line="251" w:lineRule="exact" w:before="0" w:after="0"/>
        <w:ind w:left="1017" w:right="0" w:hanging="424"/>
        <w:jc w:val="left"/>
        <w:rPr>
          <w:sz w:val="21"/>
        </w:rPr>
      </w:pPr>
      <w:r>
        <w:rPr>
          <w:spacing w:val="-5"/>
          <w:sz w:val="21"/>
        </w:rPr>
        <w:t>宽限期</w:t>
      </w:r>
    </w:p>
    <w:p>
      <w:pPr>
        <w:pStyle w:val="Heading2"/>
        <w:numPr>
          <w:ilvl w:val="0"/>
          <w:numId w:val="2"/>
        </w:numPr>
        <w:tabs>
          <w:tab w:pos="702" w:val="left" w:leader="none"/>
        </w:tabs>
        <w:spacing w:line="250" w:lineRule="exact" w:before="0" w:after="0"/>
        <w:ind w:left="701" w:right="0" w:hanging="319"/>
        <w:jc w:val="left"/>
      </w:pPr>
      <w:r>
        <w:rPr>
          <w:spacing w:val="-3"/>
        </w:rPr>
        <w:t>合同效力的中止及恢复</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合同效力的中止</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合同效力的恢复</w:t>
      </w:r>
    </w:p>
    <w:p>
      <w:pPr>
        <w:pStyle w:val="Heading2"/>
        <w:numPr>
          <w:ilvl w:val="0"/>
          <w:numId w:val="2"/>
        </w:numPr>
        <w:tabs>
          <w:tab w:pos="702" w:val="left" w:leader="none"/>
        </w:tabs>
        <w:spacing w:line="250" w:lineRule="exact" w:before="0" w:after="0"/>
        <w:ind w:left="701" w:right="0" w:hanging="319"/>
        <w:jc w:val="left"/>
      </w:pPr>
      <w:r>
        <w:rPr>
          <w:spacing w:val="-2"/>
        </w:rPr>
        <w:t>现金价值权益</w:t>
      </w:r>
    </w:p>
    <w:p>
      <w:pPr>
        <w:pStyle w:val="ListParagraph"/>
        <w:numPr>
          <w:ilvl w:val="1"/>
          <w:numId w:val="2"/>
        </w:numPr>
        <w:tabs>
          <w:tab w:pos="1018" w:val="left" w:leader="none"/>
        </w:tabs>
        <w:spacing w:line="251" w:lineRule="exact" w:before="0" w:after="0"/>
        <w:ind w:left="1017" w:right="0" w:hanging="424"/>
        <w:jc w:val="left"/>
        <w:rPr>
          <w:sz w:val="21"/>
        </w:rPr>
      </w:pPr>
      <w:r>
        <w:rPr>
          <w:spacing w:val="-4"/>
          <w:sz w:val="21"/>
        </w:rPr>
        <w:t>保单质押贷款</w:t>
      </w:r>
    </w:p>
    <w:p>
      <w:pPr>
        <w:pStyle w:val="ListParagraph"/>
        <w:numPr>
          <w:ilvl w:val="1"/>
          <w:numId w:val="2"/>
        </w:numPr>
        <w:tabs>
          <w:tab w:pos="1018" w:val="left" w:leader="none"/>
        </w:tabs>
        <w:spacing w:line="251" w:lineRule="exact" w:before="0" w:after="0"/>
        <w:ind w:left="1017" w:right="0" w:hanging="424"/>
        <w:jc w:val="left"/>
        <w:rPr>
          <w:sz w:val="21"/>
        </w:rPr>
      </w:pPr>
      <w:r>
        <w:rPr>
          <w:spacing w:val="-4"/>
          <w:sz w:val="21"/>
        </w:rPr>
        <w:t>保险费的自动垫交</w:t>
      </w:r>
    </w:p>
    <w:p>
      <w:pPr>
        <w:pStyle w:val="Heading2"/>
        <w:numPr>
          <w:ilvl w:val="0"/>
          <w:numId w:val="2"/>
        </w:numPr>
        <w:tabs>
          <w:tab w:pos="596" w:val="left" w:leader="none"/>
        </w:tabs>
        <w:spacing w:line="250" w:lineRule="exact" w:before="0" w:after="0"/>
        <w:ind w:left="595" w:right="0" w:hanging="213"/>
        <w:jc w:val="left"/>
      </w:pPr>
      <w:r>
        <w:rPr>
          <w:spacing w:val="-2"/>
        </w:rPr>
        <w:t>明确说明与如实告知</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明确说明</w:t>
      </w:r>
    </w:p>
    <w:p>
      <w:pPr>
        <w:pStyle w:val="ListParagraph"/>
        <w:numPr>
          <w:ilvl w:val="1"/>
          <w:numId w:val="2"/>
        </w:numPr>
        <w:tabs>
          <w:tab w:pos="1018" w:val="left" w:leader="none"/>
        </w:tabs>
        <w:spacing w:line="250" w:lineRule="exact" w:before="0" w:after="0"/>
        <w:ind w:left="1017" w:right="0" w:hanging="424"/>
        <w:jc w:val="left"/>
        <w:rPr>
          <w:sz w:val="21"/>
        </w:rPr>
      </w:pPr>
      <w:r>
        <w:rPr>
          <w:spacing w:val="-4"/>
          <w:sz w:val="21"/>
        </w:rPr>
        <w:t>如实告知</w:t>
      </w:r>
    </w:p>
    <w:p>
      <w:pPr>
        <w:pStyle w:val="ListParagraph"/>
        <w:numPr>
          <w:ilvl w:val="1"/>
          <w:numId w:val="2"/>
        </w:numPr>
        <w:tabs>
          <w:tab w:pos="1018" w:val="left" w:leader="none"/>
        </w:tabs>
        <w:spacing w:line="259" w:lineRule="exact" w:before="0" w:after="0"/>
        <w:ind w:left="1017" w:right="0" w:hanging="424"/>
        <w:jc w:val="left"/>
        <w:rPr>
          <w:sz w:val="21"/>
        </w:rPr>
      </w:pPr>
      <w:r>
        <w:rPr>
          <w:spacing w:val="-3"/>
          <w:sz w:val="21"/>
        </w:rPr>
        <w:t>本公司合同解除权的限制</w:t>
      </w:r>
    </w:p>
    <w:p>
      <w:pPr>
        <w:pStyle w:val="Heading2"/>
        <w:numPr>
          <w:ilvl w:val="0"/>
          <w:numId w:val="2"/>
        </w:numPr>
        <w:tabs>
          <w:tab w:pos="408" w:val="left" w:leader="none"/>
        </w:tabs>
        <w:spacing w:line="259" w:lineRule="exact" w:before="2" w:after="0"/>
        <w:ind w:left="407" w:right="0" w:hanging="319"/>
        <w:jc w:val="left"/>
      </w:pPr>
      <w:r>
        <w:rPr/>
        <w:br w:type="column"/>
      </w:r>
      <w:r>
        <w:rPr>
          <w:spacing w:val="-2"/>
        </w:rPr>
        <w:t>如何申请领取保险金</w:t>
      </w:r>
    </w:p>
    <w:p>
      <w:pPr>
        <w:pStyle w:val="ListParagraph"/>
        <w:numPr>
          <w:ilvl w:val="1"/>
          <w:numId w:val="2"/>
        </w:numPr>
        <w:tabs>
          <w:tab w:pos="724" w:val="left" w:leader="none"/>
        </w:tabs>
        <w:spacing w:line="250" w:lineRule="exact" w:before="0" w:after="0"/>
        <w:ind w:left="723" w:right="0" w:hanging="424"/>
        <w:jc w:val="left"/>
        <w:rPr>
          <w:sz w:val="21"/>
        </w:rPr>
      </w:pPr>
      <w:r>
        <w:rPr>
          <w:spacing w:val="-5"/>
          <w:sz w:val="21"/>
        </w:rPr>
        <w:t>受益人</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保险事故通知</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保险金申请</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保险事故鉴定</w:t>
      </w:r>
    </w:p>
    <w:p>
      <w:pPr>
        <w:pStyle w:val="ListParagraph"/>
        <w:numPr>
          <w:ilvl w:val="1"/>
          <w:numId w:val="2"/>
        </w:numPr>
        <w:tabs>
          <w:tab w:pos="724" w:val="left" w:leader="none"/>
        </w:tabs>
        <w:spacing w:line="251" w:lineRule="exact" w:before="0" w:after="0"/>
        <w:ind w:left="723" w:right="0" w:hanging="424"/>
        <w:jc w:val="left"/>
        <w:rPr>
          <w:sz w:val="21"/>
        </w:rPr>
      </w:pPr>
      <w:r>
        <w:rPr>
          <w:spacing w:val="-4"/>
          <w:sz w:val="21"/>
        </w:rPr>
        <w:t>保险金给付</w:t>
      </w:r>
    </w:p>
    <w:p>
      <w:pPr>
        <w:pStyle w:val="ListParagraph"/>
        <w:numPr>
          <w:ilvl w:val="1"/>
          <w:numId w:val="2"/>
        </w:numPr>
        <w:tabs>
          <w:tab w:pos="724" w:val="left" w:leader="none"/>
        </w:tabs>
        <w:spacing w:line="251" w:lineRule="exact" w:before="0" w:after="0"/>
        <w:ind w:left="723" w:right="0" w:hanging="424"/>
        <w:jc w:val="left"/>
        <w:rPr>
          <w:sz w:val="21"/>
        </w:rPr>
      </w:pPr>
      <w:r>
        <w:rPr>
          <w:spacing w:val="-4"/>
          <w:sz w:val="21"/>
        </w:rPr>
        <w:t>诉讼时效</w:t>
      </w:r>
    </w:p>
    <w:p>
      <w:pPr>
        <w:pStyle w:val="Heading2"/>
        <w:numPr>
          <w:ilvl w:val="0"/>
          <w:numId w:val="2"/>
        </w:numPr>
        <w:tabs>
          <w:tab w:pos="408" w:val="left" w:leader="none"/>
        </w:tabs>
        <w:spacing w:line="223" w:lineRule="auto" w:before="5" w:after="0"/>
        <w:ind w:left="89" w:right="0" w:firstLine="0"/>
        <w:jc w:val="left"/>
      </w:pPr>
      <w:r>
        <w:rPr>
          <w:spacing w:val="-2"/>
        </w:rPr>
        <w:t>您犹豫期后解除合同的手续</w:t>
      </w:r>
      <w:r>
        <w:rPr>
          <w:spacing w:val="-4"/>
        </w:rPr>
        <w:t>及风险</w:t>
      </w:r>
    </w:p>
    <w:p>
      <w:pPr>
        <w:pStyle w:val="BodyText"/>
        <w:spacing w:line="223" w:lineRule="auto"/>
        <w:ind w:left="89" w:right="38" w:firstLine="211"/>
      </w:pPr>
      <w:r>
        <w:rPr>
          <w:spacing w:val="-2"/>
        </w:rPr>
        <w:t>您犹豫期后解除合同的手续及</w:t>
      </w:r>
      <w:r>
        <w:rPr>
          <w:spacing w:val="-6"/>
        </w:rPr>
        <w:t>风险</w:t>
      </w:r>
    </w:p>
    <w:p>
      <w:pPr>
        <w:pStyle w:val="Heading2"/>
        <w:numPr>
          <w:ilvl w:val="0"/>
          <w:numId w:val="2"/>
        </w:numPr>
        <w:tabs>
          <w:tab w:pos="408" w:val="left" w:leader="none"/>
        </w:tabs>
        <w:spacing w:line="245" w:lineRule="exact" w:before="0" w:after="0"/>
        <w:ind w:left="407" w:right="0" w:hanging="319"/>
        <w:jc w:val="left"/>
      </w:pPr>
      <w:r>
        <w:rPr>
          <w:spacing w:val="-2"/>
        </w:rPr>
        <w:t>其他需要注意的事项</w:t>
      </w:r>
    </w:p>
    <w:p>
      <w:pPr>
        <w:pStyle w:val="ListParagraph"/>
        <w:numPr>
          <w:ilvl w:val="1"/>
          <w:numId w:val="2"/>
        </w:numPr>
        <w:tabs>
          <w:tab w:pos="724" w:val="left" w:leader="none"/>
        </w:tabs>
        <w:spacing w:line="251" w:lineRule="exact" w:before="0" w:after="0"/>
        <w:ind w:left="723" w:right="0" w:hanging="424"/>
        <w:jc w:val="left"/>
        <w:rPr>
          <w:sz w:val="21"/>
        </w:rPr>
      </w:pPr>
      <w:r>
        <w:rPr>
          <w:spacing w:val="-3"/>
          <w:sz w:val="21"/>
        </w:rPr>
        <w:t>年龄确定与错误处理</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地址变更</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宣告死亡处理</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未还款项的扣除</w:t>
      </w:r>
    </w:p>
    <w:p>
      <w:pPr>
        <w:pStyle w:val="ListParagraph"/>
        <w:numPr>
          <w:ilvl w:val="1"/>
          <w:numId w:val="2"/>
        </w:numPr>
        <w:tabs>
          <w:tab w:pos="724" w:val="left" w:leader="none"/>
        </w:tabs>
        <w:spacing w:line="250" w:lineRule="exact" w:before="0" w:after="0"/>
        <w:ind w:left="723" w:right="0" w:hanging="424"/>
        <w:jc w:val="left"/>
        <w:rPr>
          <w:sz w:val="21"/>
        </w:rPr>
      </w:pPr>
      <w:r>
        <w:rPr>
          <w:spacing w:val="-4"/>
          <w:sz w:val="21"/>
        </w:rPr>
        <w:t>合同内容的变更</w:t>
      </w:r>
    </w:p>
    <w:p>
      <w:pPr>
        <w:pStyle w:val="ListParagraph"/>
        <w:numPr>
          <w:ilvl w:val="1"/>
          <w:numId w:val="2"/>
        </w:numPr>
        <w:tabs>
          <w:tab w:pos="724" w:val="left" w:leader="none"/>
        </w:tabs>
        <w:spacing w:line="251" w:lineRule="exact" w:before="0" w:after="0"/>
        <w:ind w:left="723" w:right="0" w:hanging="424"/>
        <w:jc w:val="left"/>
        <w:rPr>
          <w:sz w:val="21"/>
        </w:rPr>
      </w:pPr>
      <w:r>
        <w:rPr>
          <w:spacing w:val="-4"/>
          <w:sz w:val="21"/>
        </w:rPr>
        <w:t>争议处理</w:t>
      </w:r>
    </w:p>
    <w:p>
      <w:pPr>
        <w:pStyle w:val="Heading2"/>
        <w:numPr>
          <w:ilvl w:val="0"/>
          <w:numId w:val="2"/>
        </w:numPr>
        <w:tabs>
          <w:tab w:pos="514" w:val="left" w:leader="none"/>
        </w:tabs>
        <w:spacing w:line="251" w:lineRule="exact" w:before="0" w:after="0"/>
        <w:ind w:left="513" w:right="0" w:hanging="425"/>
        <w:jc w:val="left"/>
      </w:pPr>
      <w:r>
        <w:rPr>
          <w:spacing w:val="-3"/>
        </w:rPr>
        <w:t>疾病定义</w:t>
      </w:r>
    </w:p>
    <w:p>
      <w:pPr>
        <w:pStyle w:val="ListParagraph"/>
        <w:numPr>
          <w:ilvl w:val="1"/>
          <w:numId w:val="2"/>
        </w:numPr>
        <w:tabs>
          <w:tab w:pos="827" w:val="left" w:leader="none"/>
        </w:tabs>
        <w:spacing w:line="250" w:lineRule="exact" w:before="0" w:after="0"/>
        <w:ind w:left="826" w:right="0" w:hanging="527"/>
        <w:jc w:val="left"/>
        <w:rPr>
          <w:sz w:val="21"/>
        </w:rPr>
      </w:pPr>
      <w:r>
        <w:rPr>
          <w:spacing w:val="-4"/>
          <w:sz w:val="21"/>
        </w:rPr>
        <w:t>轻症疾病定义</w:t>
      </w:r>
    </w:p>
    <w:p>
      <w:pPr>
        <w:pStyle w:val="ListParagraph"/>
        <w:numPr>
          <w:ilvl w:val="1"/>
          <w:numId w:val="2"/>
        </w:numPr>
        <w:tabs>
          <w:tab w:pos="827" w:val="left" w:leader="none"/>
        </w:tabs>
        <w:spacing w:line="250" w:lineRule="exact" w:before="0" w:after="0"/>
        <w:ind w:left="826" w:right="0" w:hanging="527"/>
        <w:jc w:val="left"/>
        <w:rPr>
          <w:sz w:val="21"/>
        </w:rPr>
      </w:pPr>
      <w:r>
        <w:rPr>
          <w:spacing w:val="-4"/>
          <w:sz w:val="21"/>
        </w:rPr>
        <w:t>中症疾病定义</w:t>
      </w:r>
    </w:p>
    <w:p>
      <w:pPr>
        <w:pStyle w:val="ListParagraph"/>
        <w:numPr>
          <w:ilvl w:val="1"/>
          <w:numId w:val="2"/>
        </w:numPr>
        <w:tabs>
          <w:tab w:pos="827" w:val="left" w:leader="none"/>
        </w:tabs>
        <w:spacing w:line="250" w:lineRule="exact" w:before="0" w:after="0"/>
        <w:ind w:left="826" w:right="0" w:hanging="527"/>
        <w:jc w:val="left"/>
        <w:rPr>
          <w:sz w:val="21"/>
        </w:rPr>
      </w:pPr>
      <w:r>
        <w:rPr>
          <w:spacing w:val="-4"/>
          <w:sz w:val="21"/>
        </w:rPr>
        <w:t>重大疾病定义</w:t>
      </w:r>
    </w:p>
    <w:p>
      <w:pPr>
        <w:pStyle w:val="Heading2"/>
        <w:numPr>
          <w:ilvl w:val="0"/>
          <w:numId w:val="2"/>
        </w:numPr>
        <w:tabs>
          <w:tab w:pos="514" w:val="left" w:leader="none"/>
        </w:tabs>
        <w:spacing w:line="250" w:lineRule="exact" w:before="0" w:after="0"/>
        <w:ind w:left="513" w:right="0" w:hanging="425"/>
        <w:jc w:val="left"/>
      </w:pPr>
      <w:r>
        <w:rPr>
          <w:spacing w:val="-5"/>
        </w:rPr>
        <w:t>释义</w:t>
      </w:r>
    </w:p>
    <w:p>
      <w:pPr>
        <w:pStyle w:val="ListParagraph"/>
        <w:numPr>
          <w:ilvl w:val="1"/>
          <w:numId w:val="2"/>
        </w:numPr>
        <w:tabs>
          <w:tab w:pos="827" w:val="left" w:leader="none"/>
        </w:tabs>
        <w:spacing w:line="251" w:lineRule="exact" w:before="0" w:after="0"/>
        <w:ind w:left="826" w:right="0" w:hanging="527"/>
        <w:jc w:val="left"/>
        <w:rPr>
          <w:sz w:val="21"/>
        </w:rPr>
      </w:pPr>
      <w:r>
        <w:rPr>
          <w:spacing w:val="-4"/>
          <w:sz w:val="21"/>
        </w:rPr>
        <w:t>保单年度</w:t>
      </w:r>
    </w:p>
    <w:p>
      <w:pPr>
        <w:pStyle w:val="ListParagraph"/>
        <w:numPr>
          <w:ilvl w:val="1"/>
          <w:numId w:val="2"/>
        </w:numPr>
        <w:tabs>
          <w:tab w:pos="827" w:val="left" w:leader="none"/>
        </w:tabs>
        <w:spacing w:line="251" w:lineRule="exact" w:before="0" w:after="0"/>
        <w:ind w:left="826" w:right="0" w:hanging="527"/>
        <w:jc w:val="left"/>
        <w:rPr>
          <w:sz w:val="21"/>
        </w:rPr>
      </w:pPr>
      <w:r>
        <w:rPr>
          <w:spacing w:val="-4"/>
          <w:sz w:val="21"/>
        </w:rPr>
        <w:t>保险费约定支付日</w:t>
      </w:r>
    </w:p>
    <w:p>
      <w:pPr>
        <w:pStyle w:val="ListParagraph"/>
        <w:numPr>
          <w:ilvl w:val="1"/>
          <w:numId w:val="2"/>
        </w:numPr>
        <w:tabs>
          <w:tab w:pos="827" w:val="left" w:leader="none"/>
        </w:tabs>
        <w:spacing w:line="250" w:lineRule="exact" w:before="0" w:after="0"/>
        <w:ind w:left="826" w:right="0" w:hanging="527"/>
        <w:jc w:val="left"/>
        <w:rPr>
          <w:sz w:val="21"/>
        </w:rPr>
      </w:pPr>
      <w:r>
        <w:rPr>
          <w:spacing w:val="-5"/>
          <w:sz w:val="21"/>
        </w:rPr>
        <w:t>周岁</w:t>
      </w:r>
    </w:p>
    <w:p>
      <w:pPr>
        <w:pStyle w:val="ListParagraph"/>
        <w:numPr>
          <w:ilvl w:val="1"/>
          <w:numId w:val="2"/>
        </w:numPr>
        <w:tabs>
          <w:tab w:pos="827" w:val="left" w:leader="none"/>
        </w:tabs>
        <w:spacing w:line="250" w:lineRule="exact" w:before="0" w:after="0"/>
        <w:ind w:left="826" w:right="0" w:hanging="527"/>
        <w:jc w:val="left"/>
        <w:rPr>
          <w:sz w:val="21"/>
        </w:rPr>
      </w:pPr>
      <w:r>
        <w:rPr>
          <w:spacing w:val="-4"/>
          <w:sz w:val="21"/>
        </w:rPr>
        <w:t>意外伤害</w:t>
      </w:r>
    </w:p>
    <w:p>
      <w:pPr>
        <w:pStyle w:val="ListParagraph"/>
        <w:numPr>
          <w:ilvl w:val="1"/>
          <w:numId w:val="2"/>
        </w:numPr>
        <w:tabs>
          <w:tab w:pos="827" w:val="left" w:leader="none"/>
        </w:tabs>
        <w:spacing w:line="223" w:lineRule="auto" w:before="3" w:after="0"/>
        <w:ind w:left="826" w:right="146" w:hanging="526"/>
        <w:jc w:val="left"/>
        <w:rPr>
          <w:sz w:val="21"/>
        </w:rPr>
      </w:pPr>
      <w:r>
        <w:rPr>
          <w:spacing w:val="-2"/>
          <w:sz w:val="21"/>
        </w:rPr>
        <w:t>初次患本合同所定义的</w:t>
      </w:r>
      <w:r>
        <w:rPr>
          <w:spacing w:val="-2"/>
          <w:sz w:val="21"/>
        </w:rPr>
        <w:t>中症疾病、轻症疾病</w:t>
      </w:r>
    </w:p>
    <w:p>
      <w:pPr>
        <w:pStyle w:val="ListParagraph"/>
        <w:numPr>
          <w:ilvl w:val="1"/>
          <w:numId w:val="2"/>
        </w:numPr>
        <w:tabs>
          <w:tab w:pos="700" w:val="left" w:leader="none"/>
        </w:tabs>
        <w:spacing w:line="237" w:lineRule="exact" w:before="0" w:after="0"/>
        <w:ind w:left="699" w:right="0" w:hanging="527"/>
        <w:jc w:val="left"/>
        <w:rPr>
          <w:sz w:val="21"/>
        </w:rPr>
      </w:pPr>
      <w:r>
        <w:rPr>
          <w:sz w:val="21"/>
        </w:rPr>
        <w:br w:type="column"/>
      </w:r>
      <w:r>
        <w:rPr>
          <w:spacing w:val="-3"/>
          <w:sz w:val="21"/>
        </w:rPr>
        <w:t>本公司认可的医疗机构</w:t>
      </w:r>
    </w:p>
    <w:p>
      <w:pPr>
        <w:pStyle w:val="ListParagraph"/>
        <w:numPr>
          <w:ilvl w:val="1"/>
          <w:numId w:val="2"/>
        </w:numPr>
        <w:tabs>
          <w:tab w:pos="700" w:val="left" w:leader="none"/>
        </w:tabs>
        <w:spacing w:line="250" w:lineRule="exact" w:before="0" w:after="0"/>
        <w:ind w:left="699" w:right="0" w:hanging="527"/>
        <w:jc w:val="left"/>
        <w:rPr>
          <w:sz w:val="21"/>
        </w:rPr>
      </w:pPr>
      <w:r>
        <w:rPr>
          <w:spacing w:val="-5"/>
          <w:sz w:val="21"/>
        </w:rPr>
        <w:t>住院</w:t>
      </w:r>
    </w:p>
    <w:p>
      <w:pPr>
        <w:pStyle w:val="ListParagraph"/>
        <w:numPr>
          <w:ilvl w:val="1"/>
          <w:numId w:val="2"/>
        </w:numPr>
        <w:tabs>
          <w:tab w:pos="700" w:val="left" w:leader="none"/>
        </w:tabs>
        <w:spacing w:line="250" w:lineRule="exact" w:before="0" w:after="0"/>
        <w:ind w:left="699" w:right="0" w:hanging="527"/>
        <w:jc w:val="left"/>
        <w:rPr>
          <w:sz w:val="21"/>
        </w:rPr>
      </w:pPr>
      <w:r>
        <w:rPr>
          <w:spacing w:val="-3"/>
          <w:sz w:val="21"/>
        </w:rPr>
        <w:t>初次患本合同所定义的重大疾病</w:t>
      </w:r>
    </w:p>
    <w:p>
      <w:pPr>
        <w:pStyle w:val="ListParagraph"/>
        <w:numPr>
          <w:ilvl w:val="1"/>
          <w:numId w:val="2"/>
        </w:numPr>
        <w:tabs>
          <w:tab w:pos="700" w:val="left" w:leader="none"/>
        </w:tabs>
        <w:spacing w:line="250" w:lineRule="exact" w:before="0" w:after="0"/>
        <w:ind w:left="699" w:right="0" w:hanging="527"/>
        <w:jc w:val="left"/>
        <w:rPr>
          <w:sz w:val="21"/>
        </w:rPr>
      </w:pPr>
      <w:r>
        <w:rPr>
          <w:spacing w:val="-5"/>
          <w:sz w:val="21"/>
        </w:rPr>
        <w:t>全残</w:t>
      </w:r>
    </w:p>
    <w:p>
      <w:pPr>
        <w:pStyle w:val="ListParagraph"/>
        <w:numPr>
          <w:ilvl w:val="1"/>
          <w:numId w:val="2"/>
        </w:numPr>
        <w:tabs>
          <w:tab w:pos="806" w:val="left" w:leader="none"/>
        </w:tabs>
        <w:spacing w:line="251" w:lineRule="exact" w:before="0" w:after="0"/>
        <w:ind w:left="805" w:right="0" w:hanging="633"/>
        <w:jc w:val="left"/>
        <w:rPr>
          <w:sz w:val="21"/>
        </w:rPr>
      </w:pPr>
      <w:r>
        <w:rPr>
          <w:spacing w:val="-4"/>
          <w:sz w:val="21"/>
        </w:rPr>
        <w:t>累计已交保险费</w:t>
      </w:r>
    </w:p>
    <w:p>
      <w:pPr>
        <w:pStyle w:val="ListParagraph"/>
        <w:numPr>
          <w:ilvl w:val="1"/>
          <w:numId w:val="2"/>
        </w:numPr>
        <w:tabs>
          <w:tab w:pos="806" w:val="left" w:leader="none"/>
        </w:tabs>
        <w:spacing w:line="251" w:lineRule="exact" w:before="0" w:after="0"/>
        <w:ind w:left="805" w:right="0" w:hanging="633"/>
        <w:jc w:val="left"/>
        <w:rPr>
          <w:sz w:val="21"/>
        </w:rPr>
      </w:pPr>
      <w:r>
        <w:rPr>
          <w:spacing w:val="-4"/>
          <w:sz w:val="21"/>
        </w:rPr>
        <w:t>专科医生</w:t>
      </w:r>
    </w:p>
    <w:p>
      <w:pPr>
        <w:pStyle w:val="ListParagraph"/>
        <w:numPr>
          <w:ilvl w:val="1"/>
          <w:numId w:val="2"/>
        </w:numPr>
        <w:tabs>
          <w:tab w:pos="806" w:val="left" w:leader="none"/>
        </w:tabs>
        <w:spacing w:line="250" w:lineRule="exact" w:before="0" w:after="0"/>
        <w:ind w:left="805" w:right="0" w:hanging="633"/>
        <w:jc w:val="left"/>
        <w:rPr>
          <w:sz w:val="21"/>
        </w:rPr>
      </w:pPr>
      <w:r>
        <w:rPr>
          <w:spacing w:val="-4"/>
          <w:sz w:val="21"/>
        </w:rPr>
        <w:t>实际住院天数</w:t>
      </w:r>
    </w:p>
    <w:p>
      <w:pPr>
        <w:pStyle w:val="ListParagraph"/>
        <w:numPr>
          <w:ilvl w:val="1"/>
          <w:numId w:val="2"/>
        </w:numPr>
        <w:tabs>
          <w:tab w:pos="806" w:val="left" w:leader="none"/>
        </w:tabs>
        <w:spacing w:line="250" w:lineRule="exact" w:before="0" w:after="0"/>
        <w:ind w:left="805" w:right="0" w:hanging="633"/>
        <w:jc w:val="left"/>
        <w:rPr>
          <w:sz w:val="21"/>
        </w:rPr>
      </w:pPr>
      <w:r>
        <w:rPr>
          <w:spacing w:val="-4"/>
          <w:sz w:val="21"/>
        </w:rPr>
        <w:t>现金价值</w:t>
      </w:r>
    </w:p>
    <w:p>
      <w:pPr>
        <w:pStyle w:val="ListParagraph"/>
        <w:numPr>
          <w:ilvl w:val="1"/>
          <w:numId w:val="2"/>
        </w:numPr>
        <w:tabs>
          <w:tab w:pos="806" w:val="left" w:leader="none"/>
        </w:tabs>
        <w:spacing w:line="250" w:lineRule="exact" w:before="0" w:after="0"/>
        <w:ind w:left="805" w:right="0" w:hanging="633"/>
        <w:jc w:val="left"/>
        <w:rPr>
          <w:sz w:val="21"/>
        </w:rPr>
      </w:pPr>
      <w:r>
        <w:rPr>
          <w:spacing w:val="-5"/>
          <w:sz w:val="21"/>
        </w:rPr>
        <w:t>毒品</w:t>
      </w:r>
    </w:p>
    <w:p>
      <w:pPr>
        <w:pStyle w:val="ListParagraph"/>
        <w:numPr>
          <w:ilvl w:val="1"/>
          <w:numId w:val="2"/>
        </w:numPr>
        <w:tabs>
          <w:tab w:pos="806" w:val="left" w:leader="none"/>
        </w:tabs>
        <w:spacing w:line="250" w:lineRule="exact" w:before="0" w:after="0"/>
        <w:ind w:left="805" w:right="0" w:hanging="633"/>
        <w:jc w:val="left"/>
        <w:rPr>
          <w:sz w:val="21"/>
        </w:rPr>
      </w:pPr>
      <w:r>
        <w:rPr>
          <w:spacing w:val="-4"/>
          <w:sz w:val="21"/>
        </w:rPr>
        <w:t>酒后驾驶</w:t>
      </w:r>
    </w:p>
    <w:p>
      <w:pPr>
        <w:pStyle w:val="ListParagraph"/>
        <w:numPr>
          <w:ilvl w:val="1"/>
          <w:numId w:val="2"/>
        </w:numPr>
        <w:tabs>
          <w:tab w:pos="806" w:val="left" w:leader="none"/>
        </w:tabs>
        <w:spacing w:line="251" w:lineRule="exact" w:before="0" w:after="0"/>
        <w:ind w:left="805" w:right="0" w:hanging="633"/>
        <w:jc w:val="left"/>
        <w:rPr>
          <w:sz w:val="21"/>
        </w:rPr>
      </w:pPr>
      <w:r>
        <w:rPr>
          <w:spacing w:val="-3"/>
          <w:sz w:val="21"/>
        </w:rPr>
        <w:t>无合法有效驾驶证驾驶</w:t>
      </w:r>
    </w:p>
    <w:p>
      <w:pPr>
        <w:pStyle w:val="ListParagraph"/>
        <w:numPr>
          <w:ilvl w:val="1"/>
          <w:numId w:val="2"/>
        </w:numPr>
        <w:tabs>
          <w:tab w:pos="806" w:val="left" w:leader="none"/>
        </w:tabs>
        <w:spacing w:line="251" w:lineRule="exact" w:before="0" w:after="0"/>
        <w:ind w:left="805" w:right="0" w:hanging="633"/>
        <w:jc w:val="left"/>
        <w:rPr>
          <w:sz w:val="21"/>
        </w:rPr>
      </w:pPr>
      <w:r>
        <w:rPr>
          <w:spacing w:val="-4"/>
          <w:sz w:val="21"/>
        </w:rPr>
        <w:t>无合法有效行驶证</w:t>
      </w:r>
    </w:p>
    <w:p>
      <w:pPr>
        <w:pStyle w:val="ListParagraph"/>
        <w:numPr>
          <w:ilvl w:val="1"/>
          <w:numId w:val="2"/>
        </w:numPr>
        <w:tabs>
          <w:tab w:pos="806" w:val="left" w:leader="none"/>
        </w:tabs>
        <w:spacing w:line="250" w:lineRule="exact" w:before="0" w:after="0"/>
        <w:ind w:left="805" w:right="0" w:hanging="633"/>
        <w:jc w:val="left"/>
        <w:rPr>
          <w:sz w:val="21"/>
        </w:rPr>
      </w:pPr>
      <w:r>
        <w:rPr>
          <w:spacing w:val="-3"/>
          <w:sz w:val="21"/>
        </w:rPr>
        <w:t>感染艾滋病病毒或患艾滋病</w:t>
      </w:r>
    </w:p>
    <w:p>
      <w:pPr>
        <w:pStyle w:val="ListParagraph"/>
        <w:numPr>
          <w:ilvl w:val="1"/>
          <w:numId w:val="2"/>
        </w:numPr>
        <w:tabs>
          <w:tab w:pos="806" w:val="left" w:leader="none"/>
        </w:tabs>
        <w:spacing w:line="250" w:lineRule="exact" w:before="0" w:after="0"/>
        <w:ind w:left="805" w:right="0" w:hanging="633"/>
        <w:jc w:val="left"/>
        <w:rPr>
          <w:sz w:val="21"/>
        </w:rPr>
      </w:pPr>
      <w:r>
        <w:rPr>
          <w:spacing w:val="-4"/>
          <w:sz w:val="21"/>
        </w:rPr>
        <w:t>遗传性疾病</w:t>
      </w:r>
    </w:p>
    <w:p>
      <w:pPr>
        <w:pStyle w:val="ListParagraph"/>
        <w:numPr>
          <w:ilvl w:val="1"/>
          <w:numId w:val="2"/>
        </w:numPr>
        <w:tabs>
          <w:tab w:pos="806" w:val="left" w:leader="none"/>
        </w:tabs>
        <w:spacing w:line="250" w:lineRule="exact" w:before="0" w:after="0"/>
        <w:ind w:left="805" w:right="0" w:hanging="633"/>
        <w:jc w:val="left"/>
        <w:rPr>
          <w:sz w:val="21"/>
        </w:rPr>
      </w:pPr>
      <w:r>
        <w:rPr>
          <w:spacing w:val="-13"/>
          <w:sz w:val="21"/>
        </w:rPr>
        <w:t>先天性畸形、变形或染色体异常</w:t>
      </w:r>
    </w:p>
    <w:p>
      <w:pPr>
        <w:pStyle w:val="ListParagraph"/>
        <w:numPr>
          <w:ilvl w:val="1"/>
          <w:numId w:val="2"/>
        </w:numPr>
        <w:tabs>
          <w:tab w:pos="806" w:val="left" w:leader="none"/>
        </w:tabs>
        <w:spacing w:line="250" w:lineRule="exact" w:before="0" w:after="0"/>
        <w:ind w:left="805" w:right="0" w:hanging="633"/>
        <w:jc w:val="left"/>
        <w:rPr>
          <w:sz w:val="21"/>
        </w:rPr>
      </w:pPr>
      <w:r>
        <w:rPr>
          <w:spacing w:val="-4"/>
          <w:sz w:val="21"/>
        </w:rPr>
        <w:t>本合同约定利率</w:t>
      </w:r>
    </w:p>
    <w:p>
      <w:pPr>
        <w:pStyle w:val="ListParagraph"/>
        <w:numPr>
          <w:ilvl w:val="1"/>
          <w:numId w:val="2"/>
        </w:numPr>
        <w:tabs>
          <w:tab w:pos="806" w:val="left" w:leader="none"/>
        </w:tabs>
        <w:spacing w:line="251" w:lineRule="exact" w:before="0" w:after="0"/>
        <w:ind w:left="805" w:right="0" w:hanging="633"/>
        <w:jc w:val="left"/>
        <w:rPr>
          <w:sz w:val="21"/>
        </w:rPr>
      </w:pPr>
      <w:r>
        <w:rPr>
          <w:spacing w:val="-4"/>
          <w:sz w:val="21"/>
        </w:rPr>
        <w:t>组织病理学检查</w:t>
      </w:r>
    </w:p>
    <w:p>
      <w:pPr>
        <w:pStyle w:val="ListParagraph"/>
        <w:numPr>
          <w:ilvl w:val="1"/>
          <w:numId w:val="2"/>
        </w:numPr>
        <w:tabs>
          <w:tab w:pos="806" w:val="left" w:leader="none"/>
        </w:tabs>
        <w:spacing w:line="251" w:lineRule="exact" w:before="0" w:after="0"/>
        <w:ind w:left="805" w:right="0" w:hanging="633"/>
        <w:jc w:val="left"/>
        <w:rPr>
          <w:sz w:val="21"/>
        </w:rPr>
      </w:pPr>
      <w:r>
        <w:rPr>
          <w:spacing w:val="-2"/>
          <w:sz w:val="21"/>
        </w:rPr>
        <w:t>ICD-</w:t>
      </w:r>
      <w:r>
        <w:rPr>
          <w:spacing w:val="-5"/>
          <w:sz w:val="21"/>
        </w:rPr>
        <w:t>10</w:t>
      </w:r>
    </w:p>
    <w:p>
      <w:pPr>
        <w:pStyle w:val="ListParagraph"/>
        <w:numPr>
          <w:ilvl w:val="1"/>
          <w:numId w:val="2"/>
        </w:numPr>
        <w:tabs>
          <w:tab w:pos="806" w:val="left" w:leader="none"/>
        </w:tabs>
        <w:spacing w:line="250" w:lineRule="exact" w:before="0" w:after="0"/>
        <w:ind w:left="805" w:right="0" w:hanging="633"/>
        <w:jc w:val="left"/>
        <w:rPr>
          <w:sz w:val="21"/>
        </w:rPr>
      </w:pPr>
      <w:r>
        <w:rPr>
          <w:spacing w:val="-2"/>
          <w:sz w:val="21"/>
        </w:rPr>
        <w:t>ICD-O-</w:t>
      </w:r>
      <w:r>
        <w:rPr>
          <w:spacing w:val="-10"/>
          <w:sz w:val="21"/>
        </w:rPr>
        <w:t>3</w:t>
      </w:r>
    </w:p>
    <w:p>
      <w:pPr>
        <w:pStyle w:val="ListParagraph"/>
        <w:numPr>
          <w:ilvl w:val="1"/>
          <w:numId w:val="2"/>
        </w:numPr>
        <w:tabs>
          <w:tab w:pos="806" w:val="left" w:leader="none"/>
        </w:tabs>
        <w:spacing w:line="250" w:lineRule="exact" w:before="0" w:after="0"/>
        <w:ind w:left="805" w:right="0" w:hanging="633"/>
        <w:jc w:val="left"/>
        <w:rPr>
          <w:sz w:val="21"/>
        </w:rPr>
      </w:pPr>
      <w:r>
        <w:rPr>
          <w:sz w:val="21"/>
        </w:rPr>
        <w:t>TNM</w:t>
      </w:r>
      <w:r>
        <w:rPr>
          <w:spacing w:val="-22"/>
          <w:sz w:val="21"/>
        </w:rPr>
        <w:t> 分期</w:t>
      </w:r>
    </w:p>
    <w:p>
      <w:pPr>
        <w:pStyle w:val="ListParagraph"/>
        <w:numPr>
          <w:ilvl w:val="1"/>
          <w:numId w:val="2"/>
        </w:numPr>
        <w:tabs>
          <w:tab w:pos="806" w:val="left" w:leader="none"/>
        </w:tabs>
        <w:spacing w:line="250" w:lineRule="exact" w:before="0" w:after="0"/>
        <w:ind w:left="805" w:right="0" w:hanging="633"/>
        <w:jc w:val="left"/>
        <w:rPr>
          <w:sz w:val="21"/>
        </w:rPr>
      </w:pPr>
      <w:r>
        <w:rPr>
          <w:spacing w:val="-5"/>
          <w:sz w:val="21"/>
        </w:rPr>
        <w:t>肢体</w:t>
      </w:r>
    </w:p>
    <w:p>
      <w:pPr>
        <w:pStyle w:val="ListParagraph"/>
        <w:numPr>
          <w:ilvl w:val="1"/>
          <w:numId w:val="2"/>
        </w:numPr>
        <w:tabs>
          <w:tab w:pos="806" w:val="left" w:leader="none"/>
        </w:tabs>
        <w:spacing w:line="250" w:lineRule="exact" w:before="0" w:after="0"/>
        <w:ind w:left="805" w:right="0" w:hanging="633"/>
        <w:jc w:val="left"/>
        <w:rPr>
          <w:sz w:val="21"/>
        </w:rPr>
      </w:pPr>
      <w:r>
        <w:rPr>
          <w:spacing w:val="-5"/>
          <w:sz w:val="21"/>
        </w:rPr>
        <w:t>肌力</w:t>
      </w:r>
    </w:p>
    <w:p>
      <w:pPr>
        <w:pStyle w:val="ListParagraph"/>
        <w:numPr>
          <w:ilvl w:val="1"/>
          <w:numId w:val="2"/>
        </w:numPr>
        <w:tabs>
          <w:tab w:pos="806" w:val="left" w:leader="none"/>
        </w:tabs>
        <w:spacing w:line="251" w:lineRule="exact" w:before="0" w:after="0"/>
        <w:ind w:left="805" w:right="0" w:hanging="633"/>
        <w:jc w:val="left"/>
        <w:rPr>
          <w:sz w:val="21"/>
        </w:rPr>
      </w:pPr>
      <w:r>
        <w:rPr>
          <w:spacing w:val="-3"/>
          <w:sz w:val="21"/>
        </w:rPr>
        <w:t>六项基本日常生活活动</w:t>
      </w:r>
    </w:p>
    <w:p>
      <w:pPr>
        <w:pStyle w:val="ListParagraph"/>
        <w:numPr>
          <w:ilvl w:val="1"/>
          <w:numId w:val="2"/>
        </w:numPr>
        <w:tabs>
          <w:tab w:pos="806" w:val="left" w:leader="none"/>
        </w:tabs>
        <w:spacing w:line="257" w:lineRule="exact" w:before="0" w:after="0"/>
        <w:ind w:left="805" w:right="0" w:hanging="633"/>
        <w:jc w:val="left"/>
        <w:rPr>
          <w:sz w:val="21"/>
        </w:rPr>
      </w:pPr>
      <w:r>
        <w:rPr>
          <w:spacing w:val="-4"/>
          <w:sz w:val="21"/>
        </w:rPr>
        <w:t>永久不可逆</w:t>
      </w:r>
    </w:p>
    <w:p>
      <w:pPr>
        <w:pStyle w:val="ListParagraph"/>
        <w:numPr>
          <w:ilvl w:val="1"/>
          <w:numId w:val="2"/>
        </w:numPr>
        <w:tabs>
          <w:tab w:pos="806" w:val="left" w:leader="none"/>
        </w:tabs>
        <w:spacing w:line="242" w:lineRule="auto" w:before="0" w:after="0"/>
        <w:ind w:left="802" w:right="570" w:hanging="629"/>
        <w:jc w:val="both"/>
        <w:rPr>
          <w:sz w:val="21"/>
        </w:rPr>
      </w:pPr>
      <w:r>
        <w:rPr>
          <w:spacing w:val="-6"/>
          <w:sz w:val="21"/>
        </w:rPr>
        <w:t>美国纽约心脏病学会（New</w:t>
      </w:r>
      <w:r>
        <w:rPr>
          <w:spacing w:val="-21"/>
          <w:sz w:val="21"/>
        </w:rPr>
        <w:t> </w:t>
      </w:r>
      <w:r>
        <w:rPr>
          <w:spacing w:val="-6"/>
          <w:sz w:val="21"/>
        </w:rPr>
        <w:t>York</w:t>
      </w:r>
      <w:r>
        <w:rPr>
          <w:spacing w:val="-6"/>
          <w:sz w:val="21"/>
        </w:rPr>
        <w:t> </w:t>
      </w:r>
      <w:r>
        <w:rPr>
          <w:sz w:val="21"/>
        </w:rPr>
        <w:t>Heart</w:t>
      </w:r>
      <w:r>
        <w:rPr>
          <w:spacing w:val="-22"/>
          <w:sz w:val="21"/>
        </w:rPr>
        <w:t> </w:t>
      </w:r>
      <w:r>
        <w:rPr>
          <w:sz w:val="21"/>
        </w:rPr>
        <w:t>Association，NYHA）心</w:t>
      </w:r>
      <w:r>
        <w:rPr>
          <w:spacing w:val="-2"/>
          <w:sz w:val="21"/>
        </w:rPr>
        <w:t>功能状态分级</w:t>
      </w:r>
    </w:p>
    <w:p>
      <w:pPr>
        <w:pStyle w:val="ListParagraph"/>
        <w:numPr>
          <w:ilvl w:val="1"/>
          <w:numId w:val="2"/>
        </w:numPr>
        <w:tabs>
          <w:tab w:pos="806" w:val="left" w:leader="none"/>
        </w:tabs>
        <w:spacing w:line="244" w:lineRule="auto" w:before="0" w:after="0"/>
        <w:ind w:left="802" w:right="570" w:hanging="629"/>
        <w:jc w:val="both"/>
        <w:rPr>
          <w:sz w:val="21"/>
        </w:rPr>
      </w:pPr>
      <w:r>
        <w:rPr>
          <w:spacing w:val="-12"/>
          <w:sz w:val="21"/>
        </w:rPr>
        <w:t>语言能力完全丧失，或严重咀嚼</w:t>
      </w:r>
      <w:r>
        <w:rPr>
          <w:spacing w:val="-2"/>
          <w:sz w:val="21"/>
        </w:rPr>
        <w:t>吞咽功能障碍</w:t>
      </w:r>
    </w:p>
    <w:p>
      <w:pPr>
        <w:spacing w:after="0" w:line="244" w:lineRule="auto"/>
        <w:jc w:val="both"/>
        <w:rPr>
          <w:sz w:val="21"/>
        </w:rPr>
        <w:sectPr>
          <w:type w:val="continuous"/>
          <w:pgSz w:w="11910" w:h="16840"/>
          <w:pgMar w:top="600" w:bottom="280" w:left="860" w:right="340"/>
          <w:cols w:num="3" w:equalWidth="0">
            <w:col w:w="3329" w:space="40"/>
            <w:col w:w="3076" w:space="39"/>
            <w:col w:w="4226"/>
          </w:cols>
        </w:sectPr>
      </w:pPr>
    </w:p>
    <w:p>
      <w:pPr>
        <w:spacing w:before="34"/>
        <w:ind w:left="2197" w:right="2717" w:firstLine="0"/>
        <w:jc w:val="center"/>
        <w:rPr>
          <w:rFonts w:ascii="黑体" w:eastAsia="黑体" w:hint="eastAsia"/>
          <w:b/>
          <w:sz w:val="30"/>
        </w:rPr>
      </w:pPr>
      <w:r>
        <w:rPr>
          <w:rFonts w:ascii="黑体" w:eastAsia="黑体" w:hint="eastAsia"/>
          <w:b/>
          <w:spacing w:val="-1"/>
          <w:w w:val="95"/>
          <w:sz w:val="30"/>
        </w:rPr>
        <w:t>信泰如意御护无忧重大疾病保险条款</w:t>
      </w:r>
    </w:p>
    <w:p>
      <w:pPr>
        <w:pStyle w:val="BodyText"/>
        <w:spacing w:before="10"/>
        <w:rPr>
          <w:rFonts w:ascii="黑体"/>
          <w:b/>
          <w:sz w:val="42"/>
        </w:rPr>
      </w:pPr>
    </w:p>
    <w:p>
      <w:pPr>
        <w:pStyle w:val="BodyText"/>
        <w:spacing w:line="278" w:lineRule="auto"/>
        <w:ind w:left="160" w:right="673"/>
      </w:pPr>
      <w:r>
        <w:rPr>
          <w:spacing w:val="-2"/>
        </w:rPr>
        <w:t>在本条款中，“您”指投保人，“我们”、“本公司”均指信泰人寿保险股份有限公司。“本合同”指您与</w:t>
      </w:r>
      <w:r>
        <w:rPr>
          <w:spacing w:val="-2"/>
        </w:rPr>
        <w:t>我们之间订立的“信泰如意御护无忧重大疾病保险合同”。</w:t>
      </w:r>
    </w:p>
    <w:p>
      <w:pPr>
        <w:tabs>
          <w:tab w:pos="1120" w:val="left" w:leader="none"/>
        </w:tabs>
        <w:spacing w:before="160"/>
        <w:ind w:left="267"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3"/>
        <w:rPr>
          <w:b/>
          <w:sz w:val="5"/>
        </w:rPr>
      </w:pPr>
      <w:r>
        <w:rPr/>
        <w:drawing>
          <wp:anchor distT="0" distB="0" distL="0" distR="0" allowOverlap="1" layoutInCell="1" locked="0" behindDoc="0" simplePos="0" relativeHeight="3">
            <wp:simplePos x="0" y="0"/>
            <wp:positionH relativeFrom="page">
              <wp:posOffset>647700</wp:posOffset>
            </wp:positionH>
            <wp:positionV relativeFrom="paragraph">
              <wp:posOffset>57994</wp:posOffset>
            </wp:positionV>
            <wp:extent cx="638738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7383" cy="12287"/>
                    </a:xfrm>
                    <a:prstGeom prst="rect">
                      <a:avLst/>
                    </a:prstGeom>
                  </pic:spPr>
                </pic:pic>
              </a:graphicData>
            </a:graphic>
          </wp:anchor>
        </w:drawing>
      </w:r>
    </w:p>
    <w:p>
      <w:pPr>
        <w:pStyle w:val="ListParagraph"/>
        <w:numPr>
          <w:ilvl w:val="1"/>
          <w:numId w:val="3"/>
        </w:numPr>
        <w:tabs>
          <w:tab w:pos="1121" w:val="left" w:leader="none"/>
        </w:tabs>
        <w:spacing w:line="278" w:lineRule="auto" w:before="231" w:after="0"/>
        <w:ind w:left="2738" w:right="563" w:hanging="2470"/>
        <w:jc w:val="both"/>
        <w:rPr>
          <w:sz w:val="21"/>
        </w:rPr>
      </w:pPr>
      <w:r>
        <w:rPr>
          <w:b/>
          <w:spacing w:val="75"/>
          <w:sz w:val="21"/>
        </w:rPr>
        <w:t>合同的构成 </w:t>
      </w:r>
      <w:r>
        <w:rPr>
          <w:sz w:val="21"/>
        </w:rPr>
        <w:t>本合同由保险单或其他保险凭证及所附保险条款、投保单、现金价值表、与本合</w:t>
      </w:r>
      <w:r>
        <w:rPr>
          <w:spacing w:val="-13"/>
          <w:sz w:val="21"/>
        </w:rPr>
        <w:t>同有关的其他投保文件、合法有效的声明、批注、批单及其他书面协议共同构成。</w:t>
      </w:r>
    </w:p>
    <w:p>
      <w:pPr>
        <w:pStyle w:val="BodyText"/>
        <w:spacing w:line="278" w:lineRule="auto" w:before="91"/>
        <w:ind w:left="2738" w:right="666"/>
        <w:jc w:val="both"/>
      </w:pPr>
      <w:r>
        <w:rPr>
          <w:spacing w:val="-5"/>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10"/>
        <w:rPr>
          <w:sz w:val="18"/>
        </w:rPr>
      </w:pPr>
    </w:p>
    <w:p>
      <w:pPr>
        <w:spacing w:after="0"/>
        <w:rPr>
          <w:sz w:val="18"/>
        </w:rPr>
        <w:sectPr>
          <w:footerReference w:type="default" r:id="rId7"/>
          <w:pgSz w:w="11910" w:h="16840"/>
          <w:pgMar w:footer="404" w:header="0" w:top="1200" w:bottom="600" w:left="860" w:right="340"/>
          <w:pgNumType w:start="1"/>
        </w:sectPr>
      </w:pPr>
    </w:p>
    <w:p>
      <w:pPr>
        <w:pStyle w:val="Heading2"/>
        <w:numPr>
          <w:ilvl w:val="1"/>
          <w:numId w:val="3"/>
        </w:numPr>
        <w:tabs>
          <w:tab w:pos="1120" w:val="left" w:leader="none"/>
          <w:tab w:pos="1121" w:val="left" w:leader="none"/>
        </w:tabs>
        <w:spacing w:line="278" w:lineRule="auto" w:before="72" w:after="0"/>
        <w:ind w:left="1120" w:right="38" w:hanging="853"/>
        <w:jc w:val="left"/>
      </w:pPr>
      <w:r>
        <w:rPr>
          <w:spacing w:val="-2"/>
        </w:rPr>
        <w:t>合同成立与生</w:t>
      </w:r>
      <w:r>
        <w:rPr>
          <w:spacing w:val="-10"/>
        </w:rPr>
        <w:t>效</w:t>
      </w:r>
    </w:p>
    <w:p>
      <w:pPr>
        <w:pStyle w:val="BodyText"/>
        <w:spacing w:before="72"/>
        <w:ind w:left="268"/>
      </w:pPr>
      <w:r>
        <w:rPr/>
        <w:br w:type="column"/>
      </w:r>
      <w:r>
        <w:rPr>
          <w:spacing w:val="-3"/>
        </w:rPr>
        <w:t>您提出保险申请，我们同意承保，本合同成立，本合同成立日载明于保险单上。</w:t>
      </w:r>
    </w:p>
    <w:p>
      <w:pPr>
        <w:pStyle w:val="BodyText"/>
        <w:spacing w:line="278" w:lineRule="auto" w:before="136"/>
        <w:ind w:left="268" w:right="561"/>
      </w:pPr>
      <w:r>
        <w:rPr>
          <w:spacing w:val="-16"/>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4"/>
        <w:ind w:left="268" w:right="666"/>
      </w:pPr>
      <w:r>
        <w:rPr>
          <w:spacing w:val="-2"/>
        </w:rPr>
        <w:t>本合同生效日以后每年的对应日为保单周年日。若当月无对应的同一日，则以该</w:t>
      </w:r>
      <w:r>
        <w:rPr>
          <w:spacing w:val="-2"/>
        </w:rPr>
        <w:t>月最后一日作为对应日。</w:t>
      </w:r>
    </w:p>
    <w:p>
      <w:pPr>
        <w:spacing w:before="83"/>
        <w:ind w:left="268" w:right="0" w:firstLine="0"/>
        <w:jc w:val="left"/>
        <w:rPr>
          <w:sz w:val="21"/>
        </w:rPr>
      </w:pPr>
      <w:r>
        <w:rPr>
          <w:b/>
          <w:spacing w:val="-9"/>
          <w:sz w:val="21"/>
        </w:rPr>
        <w:t>保单年度 </w:t>
      </w:r>
      <w:r>
        <w:rPr>
          <w:spacing w:val="-2"/>
          <w:position w:val="11"/>
          <w:sz w:val="11"/>
        </w:rPr>
        <w:t>11.1</w:t>
      </w:r>
      <w:r>
        <w:rPr>
          <w:spacing w:val="-2"/>
          <w:sz w:val="21"/>
        </w:rPr>
        <w:t>、</w:t>
      </w:r>
      <w:r>
        <w:rPr>
          <w:b/>
          <w:spacing w:val="-6"/>
          <w:sz w:val="21"/>
        </w:rPr>
        <w:t>保险费约定支付日 </w:t>
      </w:r>
      <w:r>
        <w:rPr>
          <w:spacing w:val="-2"/>
          <w:position w:val="11"/>
          <w:sz w:val="11"/>
        </w:rPr>
        <w:t>11.2</w:t>
      </w:r>
      <w:r>
        <w:rPr>
          <w:spacing w:val="-20"/>
          <w:position w:val="11"/>
          <w:sz w:val="11"/>
        </w:rPr>
        <w:t> </w:t>
      </w:r>
      <w:r>
        <w:rPr>
          <w:spacing w:val="-3"/>
          <w:sz w:val="21"/>
        </w:rPr>
        <w:t>均以本合同生效日计算。</w:t>
      </w:r>
    </w:p>
    <w:p>
      <w:pPr>
        <w:spacing w:after="0"/>
        <w:jc w:val="left"/>
        <w:rPr>
          <w:sz w:val="21"/>
        </w:rPr>
        <w:sectPr>
          <w:type w:val="continuous"/>
          <w:pgSz w:w="11910" w:h="16840"/>
          <w:pgMar w:header="0" w:footer="404" w:top="600" w:bottom="280" w:left="860" w:right="340"/>
          <w:cols w:num="2" w:equalWidth="0">
            <w:col w:w="2428" w:space="42"/>
            <w:col w:w="8240"/>
          </w:cols>
        </w:sectPr>
      </w:pPr>
    </w:p>
    <w:p>
      <w:pPr>
        <w:pStyle w:val="BodyText"/>
        <w:spacing w:before="5"/>
        <w:rPr>
          <w:sz w:val="27"/>
        </w:rPr>
      </w:pPr>
    </w:p>
    <w:p>
      <w:pPr>
        <w:pStyle w:val="ListParagraph"/>
        <w:numPr>
          <w:ilvl w:val="1"/>
          <w:numId w:val="3"/>
        </w:numPr>
        <w:tabs>
          <w:tab w:pos="1121" w:val="left" w:leader="none"/>
        </w:tabs>
        <w:spacing w:line="278" w:lineRule="auto" w:before="85" w:after="0"/>
        <w:ind w:left="2738" w:right="666" w:hanging="2470"/>
        <w:jc w:val="both"/>
        <w:rPr>
          <w:sz w:val="21"/>
        </w:rPr>
      </w:pPr>
      <w:r>
        <w:rPr>
          <w:b/>
          <w:sz w:val="21"/>
        </w:rPr>
        <w:t>投保年龄</w:t>
      </w:r>
      <w:r>
        <w:rPr>
          <w:b/>
          <w:spacing w:val="644"/>
          <w:sz w:val="21"/>
        </w:rPr>
        <w:t> </w:t>
      </w:r>
      <w:r>
        <w:rPr>
          <w:sz w:val="21"/>
        </w:rPr>
        <w:t>投保时被保险人的年龄为投保年龄。投保年龄以</w:t>
      </w:r>
      <w:r>
        <w:rPr>
          <w:b/>
          <w:spacing w:val="-4"/>
          <w:sz w:val="21"/>
        </w:rPr>
        <w:t>周岁 </w:t>
      </w:r>
      <w:r>
        <w:rPr>
          <w:position w:val="11"/>
          <w:sz w:val="11"/>
        </w:rPr>
        <w:t>11.3</w:t>
      </w:r>
      <w:r>
        <w:rPr>
          <w:spacing w:val="-14"/>
          <w:position w:val="11"/>
          <w:sz w:val="11"/>
        </w:rPr>
        <w:t> </w:t>
      </w:r>
      <w:r>
        <w:rPr>
          <w:sz w:val="21"/>
        </w:rPr>
        <w:t>计算，本公司接受的本</w:t>
      </w:r>
      <w:r>
        <w:rPr>
          <w:spacing w:val="-2"/>
          <w:sz w:val="21"/>
        </w:rPr>
        <w:t>合同投保年龄为出生满二十八日至六十周岁。</w:t>
      </w:r>
    </w:p>
    <w:p>
      <w:pPr>
        <w:pStyle w:val="BodyText"/>
        <w:spacing w:before="5"/>
        <w:rPr>
          <w:sz w:val="24"/>
        </w:rPr>
      </w:pPr>
    </w:p>
    <w:p>
      <w:pPr>
        <w:pStyle w:val="ListParagraph"/>
        <w:numPr>
          <w:ilvl w:val="1"/>
          <w:numId w:val="3"/>
        </w:numPr>
        <w:tabs>
          <w:tab w:pos="1121" w:val="left" w:leader="none"/>
        </w:tabs>
        <w:spacing w:line="278" w:lineRule="auto" w:before="0" w:after="0"/>
        <w:ind w:left="2738" w:right="666" w:hanging="2470"/>
        <w:jc w:val="both"/>
        <w:rPr>
          <w:sz w:val="21"/>
        </w:rPr>
      </w:pPr>
      <w:r>
        <w:rPr>
          <w:b/>
          <w:sz w:val="21"/>
        </w:rPr>
        <w:t>保险期间</w:t>
      </w:r>
      <w:r>
        <w:rPr>
          <w:b/>
          <w:spacing w:val="583"/>
          <w:sz w:val="21"/>
        </w:rPr>
        <w:t> </w:t>
      </w:r>
      <w:r>
        <w:rPr>
          <w:sz w:val="21"/>
        </w:rPr>
        <w:t>本合同保险期间为终身，自本合同生效日零时起至被保险人身故时止，并载明于</w:t>
      </w:r>
      <w:r>
        <w:rPr>
          <w:spacing w:val="-4"/>
          <w:sz w:val="21"/>
        </w:rPr>
        <w:t>保险单上。</w:t>
      </w:r>
    </w:p>
    <w:p>
      <w:pPr>
        <w:pStyle w:val="BodyText"/>
        <w:spacing w:before="4"/>
        <w:rPr>
          <w:sz w:val="24"/>
        </w:rPr>
      </w:pPr>
    </w:p>
    <w:p>
      <w:pPr>
        <w:pStyle w:val="ListParagraph"/>
        <w:numPr>
          <w:ilvl w:val="1"/>
          <w:numId w:val="3"/>
        </w:numPr>
        <w:tabs>
          <w:tab w:pos="1121" w:val="left" w:leader="none"/>
        </w:tabs>
        <w:spacing w:line="276" w:lineRule="auto" w:before="0" w:after="0"/>
        <w:ind w:left="2738" w:right="671" w:hanging="2470"/>
        <w:jc w:val="both"/>
        <w:rPr>
          <w:b/>
          <w:sz w:val="21"/>
        </w:rPr>
      </w:pPr>
      <w:r>
        <w:rPr>
          <w:b/>
          <w:sz w:val="21"/>
        </w:rPr>
        <w:t>犹豫期</w:t>
      </w:r>
      <w:r>
        <w:rPr>
          <w:b/>
          <w:spacing w:val="776"/>
          <w:sz w:val="21"/>
        </w:rPr>
        <w:t>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line="278" w:lineRule="auto" w:before="85"/>
        <w:ind w:left="2738" w:right="666" w:firstLine="0"/>
        <w:jc w:val="both"/>
        <w:rPr>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7"/>
          <w:sz w:val="21"/>
        </w:rPr>
        <w:t>工本费后退还您所支付的全部保险费，</w:t>
      </w:r>
      <w:r>
        <w:rPr>
          <w:b/>
          <w:spacing w:val="-2"/>
          <w:sz w:val="21"/>
        </w:rPr>
        <w:t>并且我们对本合同终止前发生的保险事故</w:t>
      </w:r>
      <w:r>
        <w:rPr>
          <w:b/>
          <w:spacing w:val="-2"/>
          <w:sz w:val="21"/>
        </w:rPr>
        <w:t>不承担保险责任。</w:t>
      </w:r>
    </w:p>
    <w:p>
      <w:pPr>
        <w:pStyle w:val="BodyText"/>
        <w:rPr>
          <w:b/>
          <w:sz w:val="20"/>
        </w:rPr>
      </w:pPr>
    </w:p>
    <w:p>
      <w:pPr>
        <w:tabs>
          <w:tab w:pos="1120" w:val="left" w:leader="none"/>
        </w:tabs>
        <w:spacing w:before="133"/>
        <w:ind w:left="26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1"/>
        <w:rPr>
          <w:b/>
          <w:sz w:val="6"/>
        </w:rPr>
      </w:pPr>
      <w:r>
        <w:rPr/>
        <w:drawing>
          <wp:anchor distT="0" distB="0" distL="0" distR="0" allowOverlap="1" layoutInCell="1" locked="0" behindDoc="0" simplePos="0" relativeHeight="4">
            <wp:simplePos x="0" y="0"/>
            <wp:positionH relativeFrom="page">
              <wp:posOffset>647700</wp:posOffset>
            </wp:positionH>
            <wp:positionV relativeFrom="paragraph">
              <wp:posOffset>64946</wp:posOffset>
            </wp:positionV>
            <wp:extent cx="633819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38199" cy="12192"/>
                    </a:xfrm>
                    <a:prstGeom prst="rect">
                      <a:avLst/>
                    </a:prstGeom>
                  </pic:spPr>
                </pic:pic>
              </a:graphicData>
            </a:graphic>
          </wp:anchor>
        </w:drawing>
      </w:r>
    </w:p>
    <w:p>
      <w:pPr>
        <w:pStyle w:val="ListParagraph"/>
        <w:numPr>
          <w:ilvl w:val="1"/>
          <w:numId w:val="4"/>
        </w:numPr>
        <w:tabs>
          <w:tab w:pos="1120" w:val="left" w:leader="none"/>
          <w:tab w:pos="1121" w:val="left" w:leader="none"/>
          <w:tab w:pos="2737" w:val="left" w:leader="none"/>
        </w:tabs>
        <w:spacing w:line="278" w:lineRule="auto" w:before="229" w:after="0"/>
        <w:ind w:left="2738" w:right="666" w:hanging="2470"/>
        <w:jc w:val="left"/>
        <w:rPr>
          <w:sz w:val="21"/>
        </w:rPr>
      </w:pPr>
      <w:r>
        <w:rPr>
          <w:b/>
          <w:w w:val="100"/>
          <w:sz w:val="21"/>
        </w:rPr>
        <w:t>基本保险金额</w:t>
      </w:r>
      <w:r>
        <w:rPr>
          <w:b/>
          <w:sz w:val="21"/>
        </w:rPr>
        <w:tab/>
      </w:r>
      <w:r>
        <w:rPr>
          <w:w w:val="100"/>
          <w:sz w:val="21"/>
        </w:rPr>
        <w:t>本合</w:t>
      </w:r>
      <w:r>
        <w:rPr>
          <w:spacing w:val="-3"/>
          <w:w w:val="100"/>
          <w:sz w:val="21"/>
        </w:rPr>
        <w:t>同</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由</w:t>
      </w:r>
      <w:r>
        <w:rPr>
          <w:w w:val="100"/>
          <w:sz w:val="21"/>
        </w:rPr>
        <w:t>您在</w:t>
      </w:r>
      <w:r>
        <w:rPr>
          <w:spacing w:val="-3"/>
          <w:w w:val="100"/>
          <w:sz w:val="21"/>
        </w:rPr>
        <w:t>投</w:t>
      </w:r>
      <w:r>
        <w:rPr>
          <w:w w:val="100"/>
          <w:sz w:val="21"/>
        </w:rPr>
        <w:t>保</w:t>
      </w:r>
      <w:r>
        <w:rPr>
          <w:spacing w:val="-3"/>
          <w:w w:val="100"/>
          <w:sz w:val="21"/>
        </w:rPr>
        <w:t>时</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2"/>
          <w:w w:val="100"/>
          <w:sz w:val="21"/>
        </w:rPr>
        <w:t>，</w:t>
      </w:r>
      <w:r>
        <w:rPr>
          <w:w w:val="100"/>
          <w:sz w:val="21"/>
        </w:rPr>
        <w:t>并载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r>
        <w:rPr>
          <w:spacing w:val="-31"/>
          <w:w w:val="100"/>
          <w:sz w:val="21"/>
        </w:rPr>
        <w:t>。</w:t>
      </w:r>
      <w:r>
        <w:rPr>
          <w:w w:val="100"/>
          <w:sz w:val="21"/>
        </w:rPr>
        <w:t>若</w:t>
      </w:r>
      <w:r>
        <w:rPr>
          <w:spacing w:val="-3"/>
          <w:w w:val="100"/>
          <w:sz w:val="21"/>
        </w:rPr>
        <w:t>您</w:t>
      </w:r>
      <w:r>
        <w:rPr>
          <w:w w:val="100"/>
          <w:sz w:val="21"/>
        </w:rPr>
        <w:t>后续变更</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w:t>
      </w:r>
      <w:r>
        <w:rPr>
          <w:w w:val="100"/>
          <w:sz w:val="21"/>
        </w:rPr>
        <w:t>我</w:t>
      </w:r>
      <w:r>
        <w:rPr>
          <w:spacing w:val="-3"/>
          <w:w w:val="100"/>
          <w:sz w:val="21"/>
        </w:rPr>
        <w:t>们</w:t>
      </w:r>
      <w:r>
        <w:rPr>
          <w:w w:val="100"/>
          <w:sz w:val="21"/>
        </w:rPr>
        <w:t>将按</w:t>
      </w:r>
      <w:r>
        <w:rPr>
          <w:spacing w:val="-3"/>
          <w:w w:val="100"/>
          <w:sz w:val="21"/>
        </w:rPr>
        <w:t>变</w:t>
      </w:r>
      <w:r>
        <w:rPr>
          <w:w w:val="100"/>
          <w:sz w:val="21"/>
        </w:rPr>
        <w:t>更</w:t>
      </w:r>
      <w:r>
        <w:rPr>
          <w:spacing w:val="-3"/>
          <w:w w:val="100"/>
          <w:sz w:val="21"/>
        </w:rPr>
        <w:t>后</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额计</w:t>
      </w:r>
      <w:r>
        <w:rPr>
          <w:spacing w:val="-3"/>
          <w:w w:val="100"/>
          <w:sz w:val="21"/>
        </w:rPr>
        <w:t>算</w:t>
      </w:r>
      <w:r>
        <w:rPr>
          <w:w w:val="100"/>
          <w:sz w:val="21"/>
        </w:rPr>
        <w:t>并</w:t>
      </w:r>
      <w:r>
        <w:rPr>
          <w:spacing w:val="-3"/>
          <w:w w:val="100"/>
          <w:sz w:val="21"/>
        </w:rPr>
        <w:t>承</w:t>
      </w:r>
      <w:r>
        <w:rPr>
          <w:w w:val="100"/>
          <w:sz w:val="21"/>
        </w:rPr>
        <w:t>担</w:t>
      </w:r>
      <w:r>
        <w:rPr>
          <w:spacing w:val="-3"/>
          <w:w w:val="100"/>
          <w:sz w:val="21"/>
        </w:rPr>
        <w:t>相</w:t>
      </w:r>
      <w:r>
        <w:rPr>
          <w:w w:val="100"/>
          <w:sz w:val="21"/>
        </w:rPr>
        <w:t>应</w:t>
      </w:r>
      <w:r>
        <w:rPr>
          <w:spacing w:val="-3"/>
          <w:w w:val="100"/>
          <w:sz w:val="21"/>
        </w:rPr>
        <w:t>的</w:t>
      </w:r>
      <w:r>
        <w:rPr>
          <w:w w:val="100"/>
          <w:sz w:val="21"/>
        </w:rPr>
        <w:t>保</w:t>
      </w:r>
      <w:r>
        <w:rPr>
          <w:spacing w:val="-3"/>
          <w:w w:val="100"/>
          <w:sz w:val="21"/>
        </w:rPr>
        <w:t>险</w:t>
      </w:r>
      <w:r>
        <w:rPr>
          <w:w w:val="100"/>
          <w:sz w:val="21"/>
        </w:rPr>
        <w:t>责任。</w:t>
      </w:r>
    </w:p>
    <w:p>
      <w:pPr>
        <w:pStyle w:val="BodyText"/>
        <w:spacing w:before="9"/>
        <w:rPr>
          <w:sz w:val="18"/>
        </w:rPr>
      </w:pPr>
    </w:p>
    <w:p>
      <w:pPr>
        <w:spacing w:after="0"/>
        <w:rPr>
          <w:sz w:val="18"/>
        </w:rPr>
        <w:sectPr>
          <w:type w:val="continuous"/>
          <w:pgSz w:w="11910" w:h="16840"/>
          <w:pgMar w:header="0" w:footer="404" w:top="600" w:bottom="280" w:left="860" w:right="340"/>
        </w:sectPr>
      </w:pPr>
    </w:p>
    <w:p>
      <w:pPr>
        <w:pStyle w:val="Heading2"/>
        <w:numPr>
          <w:ilvl w:val="1"/>
          <w:numId w:val="4"/>
        </w:numPr>
        <w:tabs>
          <w:tab w:pos="1120" w:val="left" w:leader="none"/>
          <w:tab w:pos="1121" w:val="left" w:leader="none"/>
        </w:tabs>
        <w:spacing w:line="278" w:lineRule="auto" w:before="72" w:after="0"/>
        <w:ind w:left="1120" w:right="38" w:hanging="853"/>
        <w:jc w:val="left"/>
      </w:pPr>
      <w:r>
        <w:rPr>
          <w:spacing w:val="-2"/>
        </w:rPr>
        <w:t>未成年人身故</w:t>
      </w:r>
      <w:r>
        <w:rPr>
          <w:spacing w:val="-2"/>
        </w:rPr>
        <w:t>保险金限制</w:t>
      </w:r>
    </w:p>
    <w:p>
      <w:pPr>
        <w:pStyle w:val="BodyText"/>
        <w:spacing w:line="278" w:lineRule="auto" w:before="72"/>
        <w:ind w:left="268" w:right="666"/>
        <w:jc w:val="both"/>
      </w:pPr>
      <w:r>
        <w:rPr/>
        <w:br w:type="column"/>
      </w:r>
      <w:r>
        <w:rPr>
          <w:spacing w:val="-6"/>
        </w:rPr>
        <w:t>为未成年子女投保的人身保险，约定的被保险人身故给付的保险金额总和不得超</w:t>
      </w:r>
      <w:r>
        <w:rPr>
          <w:spacing w:val="-5"/>
        </w:rPr>
        <w:t>过国务院保险监督管理机构规定的限额，被保险人身故时实际给付的保险金总和</w:t>
      </w:r>
      <w:r>
        <w:rPr>
          <w:spacing w:val="-2"/>
        </w:rPr>
        <w:t>也不得超过上述限额。</w:t>
      </w:r>
    </w:p>
    <w:p>
      <w:pPr>
        <w:spacing w:after="0" w:line="278" w:lineRule="auto"/>
        <w:jc w:val="both"/>
        <w:sectPr>
          <w:type w:val="continuous"/>
          <w:pgSz w:w="11910" w:h="16840"/>
          <w:pgMar w:header="0" w:footer="404" w:top="600" w:bottom="280" w:left="860" w:right="340"/>
          <w:cols w:num="2" w:equalWidth="0">
            <w:col w:w="2428" w:space="42"/>
            <w:col w:w="8240"/>
          </w:cols>
        </w:sectPr>
      </w:pPr>
    </w:p>
    <w:p>
      <w:pPr>
        <w:pStyle w:val="ListParagraph"/>
        <w:numPr>
          <w:ilvl w:val="1"/>
          <w:numId w:val="4"/>
        </w:numPr>
        <w:tabs>
          <w:tab w:pos="1121" w:val="left" w:leader="none"/>
        </w:tabs>
        <w:spacing w:line="278" w:lineRule="auto" w:before="57" w:after="0"/>
        <w:ind w:left="2738" w:right="666" w:hanging="2470"/>
        <w:jc w:val="both"/>
        <w:rPr>
          <w:sz w:val="21"/>
        </w:rPr>
      </w:pPr>
      <w:r>
        <w:rPr>
          <w:b/>
          <w:spacing w:val="23"/>
          <w:sz w:val="21"/>
        </w:rPr>
        <w:t>轻症疾病名称 </w:t>
      </w:r>
      <w:r>
        <w:rPr>
          <w:spacing w:val="-3"/>
          <w:sz w:val="21"/>
        </w:rPr>
        <w:t>本合同所保障的轻症疾病共 </w:t>
      </w:r>
      <w:r>
        <w:rPr>
          <w:sz w:val="21"/>
        </w:rPr>
        <w:t>55</w:t>
      </w:r>
      <w:r>
        <w:rPr>
          <w:spacing w:val="-8"/>
          <w:sz w:val="21"/>
        </w:rPr>
        <w:t> 种，其中前 </w:t>
      </w:r>
      <w:r>
        <w:rPr>
          <w:sz w:val="21"/>
        </w:rPr>
        <w:t>3</w:t>
      </w:r>
      <w:r>
        <w:rPr>
          <w:spacing w:val="-5"/>
          <w:sz w:val="21"/>
        </w:rPr>
        <w:t> 种轻症疾病与《重大疾病保险的疾</w:t>
      </w:r>
      <w:r>
        <w:rPr>
          <w:sz w:val="21"/>
        </w:rPr>
        <w:t>病定义使用规范（2020 年修订版）》中轻度疾病的疾病名称和疾病定义保持一</w:t>
      </w:r>
      <w:r>
        <w:rPr>
          <w:spacing w:val="-2"/>
          <w:sz w:val="21"/>
        </w:rPr>
        <w:t>致，其他轻症疾病为本公司增加的轻症疾病。</w:t>
      </w:r>
    </w:p>
    <w:p>
      <w:pPr>
        <w:pStyle w:val="Heading2"/>
        <w:spacing w:after="20"/>
        <w:ind w:left="2738"/>
        <w:jc w:val="both"/>
      </w:pPr>
      <w:r>
        <w:rPr/>
        <w:t>轻症疾病的定义详见“10.1</w:t>
      </w:r>
      <w:r>
        <w:rPr>
          <w:spacing w:val="-4"/>
        </w:rPr>
        <w:t> 轻症疾病定义”。</w:t>
      </w:r>
    </w:p>
    <w:tbl>
      <w:tblPr>
        <w:tblW w:w="0" w:type="auto"/>
        <w:jc w:val="left"/>
        <w:tblInd w:w="2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42"/>
        <w:gridCol w:w="2347"/>
      </w:tblGrid>
      <w:tr>
        <w:trPr>
          <w:trHeight w:val="314" w:hRule="atLeast"/>
        </w:trPr>
        <w:tc>
          <w:tcPr>
            <w:tcW w:w="7034" w:type="dxa"/>
            <w:gridSpan w:val="3"/>
          </w:tcPr>
          <w:p>
            <w:pPr>
              <w:pStyle w:val="TableParagraph"/>
              <w:spacing w:before="25"/>
              <w:ind w:left="2870" w:right="2861"/>
              <w:jc w:val="center"/>
              <w:rPr>
                <w:b/>
                <w:sz w:val="21"/>
              </w:rPr>
            </w:pPr>
            <w:r>
              <w:rPr>
                <w:b/>
                <w:spacing w:val="-2"/>
                <w:sz w:val="21"/>
              </w:rPr>
              <w:t>轻症疾病名称</w:t>
            </w:r>
          </w:p>
        </w:tc>
      </w:tr>
      <w:tr>
        <w:trPr>
          <w:trHeight w:val="239" w:hRule="atLeast"/>
        </w:trPr>
        <w:tc>
          <w:tcPr>
            <w:tcW w:w="2345" w:type="dxa"/>
          </w:tcPr>
          <w:p>
            <w:pPr>
              <w:pStyle w:val="TableParagraph"/>
              <w:spacing w:line="220" w:lineRule="exact"/>
              <w:rPr>
                <w:sz w:val="21"/>
              </w:rPr>
            </w:pPr>
            <w:r>
              <w:rPr>
                <w:spacing w:val="-2"/>
                <w:sz w:val="21"/>
              </w:rPr>
              <w:t>1.</w:t>
            </w:r>
            <w:r>
              <w:rPr>
                <w:spacing w:val="-4"/>
                <w:sz w:val="21"/>
              </w:rPr>
              <w:t>恶性肿瘤——轻度</w:t>
            </w:r>
          </w:p>
        </w:tc>
        <w:tc>
          <w:tcPr>
            <w:tcW w:w="2342" w:type="dxa"/>
          </w:tcPr>
          <w:p>
            <w:pPr>
              <w:pStyle w:val="TableParagraph"/>
              <w:spacing w:line="220" w:lineRule="exact"/>
              <w:rPr>
                <w:sz w:val="21"/>
              </w:rPr>
            </w:pPr>
            <w:r>
              <w:rPr>
                <w:spacing w:val="-2"/>
                <w:sz w:val="21"/>
              </w:rPr>
              <w:t>2.</w:t>
            </w:r>
            <w:r>
              <w:rPr>
                <w:spacing w:val="-4"/>
                <w:sz w:val="21"/>
              </w:rPr>
              <w:t>较轻急性心肌梗死</w:t>
            </w:r>
          </w:p>
        </w:tc>
        <w:tc>
          <w:tcPr>
            <w:tcW w:w="2347" w:type="dxa"/>
          </w:tcPr>
          <w:p>
            <w:pPr>
              <w:pStyle w:val="TableParagraph"/>
              <w:spacing w:line="220" w:lineRule="exact"/>
              <w:ind w:left="111"/>
              <w:rPr>
                <w:sz w:val="21"/>
              </w:rPr>
            </w:pPr>
            <w:r>
              <w:rPr>
                <w:spacing w:val="-2"/>
                <w:sz w:val="21"/>
              </w:rPr>
              <w:t>3.</w:t>
            </w:r>
            <w:r>
              <w:rPr>
                <w:spacing w:val="-4"/>
                <w:sz w:val="21"/>
              </w:rPr>
              <w:t>轻度脑中风后遗症</w:t>
            </w:r>
          </w:p>
        </w:tc>
      </w:tr>
      <w:tr>
        <w:trPr>
          <w:trHeight w:val="479" w:hRule="atLeast"/>
        </w:trPr>
        <w:tc>
          <w:tcPr>
            <w:tcW w:w="2345" w:type="dxa"/>
          </w:tcPr>
          <w:p>
            <w:pPr>
              <w:pStyle w:val="TableParagraph"/>
              <w:spacing w:before="106"/>
              <w:rPr>
                <w:sz w:val="21"/>
              </w:rPr>
            </w:pPr>
            <w:r>
              <w:rPr>
                <w:spacing w:val="-2"/>
                <w:sz w:val="21"/>
              </w:rPr>
              <w:t>4.</w:t>
            </w:r>
            <w:r>
              <w:rPr>
                <w:spacing w:val="-5"/>
                <w:sz w:val="21"/>
              </w:rPr>
              <w:t>原位癌</w:t>
            </w:r>
          </w:p>
        </w:tc>
        <w:tc>
          <w:tcPr>
            <w:tcW w:w="2342" w:type="dxa"/>
          </w:tcPr>
          <w:p>
            <w:pPr>
              <w:pStyle w:val="TableParagraph"/>
              <w:spacing w:line="240" w:lineRule="exact"/>
              <w:ind w:right="92"/>
              <w:rPr>
                <w:sz w:val="21"/>
              </w:rPr>
            </w:pPr>
            <w:r>
              <w:rPr>
                <w:spacing w:val="-2"/>
                <w:sz w:val="21"/>
              </w:rPr>
              <w:t>5.微创冠状动脉介入手</w:t>
            </w:r>
            <w:r>
              <w:rPr>
                <w:spacing w:val="-10"/>
                <w:sz w:val="21"/>
              </w:rPr>
              <w:t>术</w:t>
            </w:r>
          </w:p>
        </w:tc>
        <w:tc>
          <w:tcPr>
            <w:tcW w:w="2347" w:type="dxa"/>
          </w:tcPr>
          <w:p>
            <w:pPr>
              <w:pStyle w:val="TableParagraph"/>
              <w:spacing w:before="106"/>
              <w:ind w:left="111"/>
              <w:rPr>
                <w:sz w:val="21"/>
              </w:rPr>
            </w:pPr>
            <w:r>
              <w:rPr>
                <w:spacing w:val="-2"/>
                <w:sz w:val="21"/>
              </w:rPr>
              <w:t>6.</w:t>
            </w:r>
            <w:r>
              <w:rPr>
                <w:spacing w:val="-4"/>
                <w:sz w:val="21"/>
              </w:rPr>
              <w:t>激光心肌血运重建</w:t>
            </w:r>
          </w:p>
        </w:tc>
      </w:tr>
      <w:tr>
        <w:trPr>
          <w:trHeight w:val="479" w:hRule="atLeast"/>
        </w:trPr>
        <w:tc>
          <w:tcPr>
            <w:tcW w:w="2345" w:type="dxa"/>
          </w:tcPr>
          <w:p>
            <w:pPr>
              <w:pStyle w:val="TableParagraph"/>
              <w:spacing w:before="106"/>
              <w:rPr>
                <w:sz w:val="21"/>
              </w:rPr>
            </w:pPr>
            <w:r>
              <w:rPr>
                <w:spacing w:val="-2"/>
                <w:sz w:val="21"/>
              </w:rPr>
              <w:t>7.</w:t>
            </w:r>
            <w:r>
              <w:rPr>
                <w:spacing w:val="-4"/>
                <w:sz w:val="21"/>
              </w:rPr>
              <w:t>心脏瓣膜介入手术</w:t>
            </w:r>
          </w:p>
        </w:tc>
        <w:tc>
          <w:tcPr>
            <w:tcW w:w="2342" w:type="dxa"/>
          </w:tcPr>
          <w:p>
            <w:pPr>
              <w:pStyle w:val="TableParagraph"/>
              <w:spacing w:before="106"/>
              <w:rPr>
                <w:sz w:val="21"/>
              </w:rPr>
            </w:pPr>
            <w:r>
              <w:rPr>
                <w:spacing w:val="-2"/>
                <w:sz w:val="21"/>
              </w:rPr>
              <w:t>8.</w:t>
            </w:r>
            <w:r>
              <w:rPr>
                <w:spacing w:val="-4"/>
                <w:sz w:val="21"/>
              </w:rPr>
              <w:t>主动脉内手术</w:t>
            </w:r>
          </w:p>
        </w:tc>
        <w:tc>
          <w:tcPr>
            <w:tcW w:w="2347" w:type="dxa"/>
          </w:tcPr>
          <w:p>
            <w:pPr>
              <w:pStyle w:val="TableParagraph"/>
              <w:spacing w:line="240" w:lineRule="exact"/>
              <w:ind w:left="111" w:right="91"/>
              <w:rPr>
                <w:sz w:val="21"/>
              </w:rPr>
            </w:pPr>
            <w:r>
              <w:rPr>
                <w:spacing w:val="-2"/>
                <w:sz w:val="21"/>
              </w:rPr>
              <w:t>9.脑垂体瘤、脑囊肿、</w:t>
            </w:r>
            <w:r>
              <w:rPr>
                <w:spacing w:val="-2"/>
                <w:sz w:val="21"/>
              </w:rPr>
              <w:t>脑动脉瘤及脑血管瘤</w:t>
            </w:r>
          </w:p>
        </w:tc>
      </w:tr>
      <w:tr>
        <w:trPr>
          <w:trHeight w:val="478" w:hRule="atLeast"/>
        </w:trPr>
        <w:tc>
          <w:tcPr>
            <w:tcW w:w="2345" w:type="dxa"/>
          </w:tcPr>
          <w:p>
            <w:pPr>
              <w:pStyle w:val="TableParagraph"/>
              <w:spacing w:line="240" w:lineRule="exact"/>
              <w:ind w:right="94"/>
              <w:rPr>
                <w:sz w:val="21"/>
              </w:rPr>
            </w:pPr>
            <w:r>
              <w:rPr>
                <w:sz w:val="21"/>
              </w:rPr>
              <w:t>10</w:t>
            </w:r>
            <w:r>
              <w:rPr>
                <w:spacing w:val="7"/>
                <w:sz w:val="21"/>
              </w:rPr>
              <w:t>.无颅内压增高的微</w:t>
            </w:r>
            <w:r>
              <w:rPr>
                <w:spacing w:val="-2"/>
                <w:sz w:val="21"/>
              </w:rPr>
              <w:t>小良性脑肿瘤</w:t>
            </w:r>
          </w:p>
        </w:tc>
        <w:tc>
          <w:tcPr>
            <w:tcW w:w="2342" w:type="dxa"/>
          </w:tcPr>
          <w:p>
            <w:pPr>
              <w:pStyle w:val="TableParagraph"/>
              <w:spacing w:before="105"/>
              <w:rPr>
                <w:sz w:val="21"/>
              </w:rPr>
            </w:pPr>
            <w:r>
              <w:rPr>
                <w:spacing w:val="-2"/>
                <w:sz w:val="21"/>
              </w:rPr>
              <w:t>11.</w:t>
            </w:r>
            <w:r>
              <w:rPr>
                <w:spacing w:val="-4"/>
                <w:sz w:val="21"/>
              </w:rPr>
              <w:t>微创颅脑手术</w:t>
            </w:r>
          </w:p>
        </w:tc>
        <w:tc>
          <w:tcPr>
            <w:tcW w:w="2347" w:type="dxa"/>
          </w:tcPr>
          <w:p>
            <w:pPr>
              <w:pStyle w:val="TableParagraph"/>
              <w:spacing w:before="105"/>
              <w:ind w:left="111"/>
              <w:rPr>
                <w:sz w:val="21"/>
              </w:rPr>
            </w:pPr>
            <w:r>
              <w:rPr>
                <w:spacing w:val="-2"/>
                <w:sz w:val="21"/>
              </w:rPr>
              <w:t>12.</w:t>
            </w:r>
            <w:r>
              <w:rPr>
                <w:spacing w:val="-4"/>
                <w:sz w:val="21"/>
              </w:rPr>
              <w:t>植入大脑内分流器</w:t>
            </w:r>
          </w:p>
        </w:tc>
      </w:tr>
      <w:tr>
        <w:trPr>
          <w:trHeight w:val="238" w:hRule="atLeast"/>
        </w:trPr>
        <w:tc>
          <w:tcPr>
            <w:tcW w:w="2345" w:type="dxa"/>
          </w:tcPr>
          <w:p>
            <w:pPr>
              <w:pStyle w:val="TableParagraph"/>
              <w:spacing w:line="218" w:lineRule="exact"/>
              <w:rPr>
                <w:sz w:val="21"/>
              </w:rPr>
            </w:pPr>
            <w:r>
              <w:rPr>
                <w:spacing w:val="-2"/>
                <w:sz w:val="21"/>
              </w:rPr>
              <w:t>13.</w:t>
            </w:r>
            <w:r>
              <w:rPr>
                <w:spacing w:val="-4"/>
                <w:sz w:val="21"/>
              </w:rPr>
              <w:t>单眼失明</w:t>
            </w:r>
          </w:p>
        </w:tc>
        <w:tc>
          <w:tcPr>
            <w:tcW w:w="2342" w:type="dxa"/>
          </w:tcPr>
          <w:p>
            <w:pPr>
              <w:pStyle w:val="TableParagraph"/>
              <w:spacing w:line="218" w:lineRule="exact"/>
              <w:rPr>
                <w:sz w:val="21"/>
              </w:rPr>
            </w:pPr>
            <w:r>
              <w:rPr>
                <w:spacing w:val="-2"/>
                <w:sz w:val="21"/>
              </w:rPr>
              <w:t>14.</w:t>
            </w:r>
            <w:r>
              <w:rPr>
                <w:spacing w:val="-4"/>
                <w:sz w:val="21"/>
              </w:rPr>
              <w:t>轻度视力受损</w:t>
            </w:r>
          </w:p>
        </w:tc>
        <w:tc>
          <w:tcPr>
            <w:tcW w:w="2347" w:type="dxa"/>
          </w:tcPr>
          <w:p>
            <w:pPr>
              <w:pStyle w:val="TableParagraph"/>
              <w:spacing w:line="218" w:lineRule="exact"/>
              <w:ind w:left="111"/>
              <w:rPr>
                <w:sz w:val="21"/>
              </w:rPr>
            </w:pPr>
            <w:r>
              <w:rPr>
                <w:spacing w:val="-2"/>
                <w:sz w:val="21"/>
              </w:rPr>
              <w:t>15.</w:t>
            </w:r>
            <w:r>
              <w:rPr>
                <w:spacing w:val="-4"/>
                <w:sz w:val="21"/>
              </w:rPr>
              <w:t>角膜移植</w:t>
            </w:r>
          </w:p>
        </w:tc>
      </w:tr>
      <w:tr>
        <w:trPr>
          <w:trHeight w:val="242" w:hRule="atLeast"/>
        </w:trPr>
        <w:tc>
          <w:tcPr>
            <w:tcW w:w="2345" w:type="dxa"/>
          </w:tcPr>
          <w:p>
            <w:pPr>
              <w:pStyle w:val="TableParagraph"/>
              <w:spacing w:line="222" w:lineRule="exact"/>
              <w:rPr>
                <w:sz w:val="21"/>
              </w:rPr>
            </w:pPr>
            <w:r>
              <w:rPr>
                <w:spacing w:val="-2"/>
                <w:sz w:val="21"/>
              </w:rPr>
              <w:t>16.</w:t>
            </w:r>
            <w:r>
              <w:rPr>
                <w:spacing w:val="-4"/>
                <w:sz w:val="21"/>
              </w:rPr>
              <w:t>轻度听力受损</w:t>
            </w:r>
          </w:p>
        </w:tc>
        <w:tc>
          <w:tcPr>
            <w:tcW w:w="2342" w:type="dxa"/>
          </w:tcPr>
          <w:p>
            <w:pPr>
              <w:pStyle w:val="TableParagraph"/>
              <w:spacing w:line="222" w:lineRule="exact"/>
              <w:rPr>
                <w:sz w:val="21"/>
              </w:rPr>
            </w:pPr>
            <w:r>
              <w:rPr>
                <w:spacing w:val="-2"/>
                <w:sz w:val="21"/>
              </w:rPr>
              <w:t>17.</w:t>
            </w:r>
            <w:r>
              <w:rPr>
                <w:spacing w:val="-4"/>
                <w:sz w:val="21"/>
              </w:rPr>
              <w:t>单耳失聪</w:t>
            </w:r>
          </w:p>
        </w:tc>
        <w:tc>
          <w:tcPr>
            <w:tcW w:w="2347" w:type="dxa"/>
          </w:tcPr>
          <w:p>
            <w:pPr>
              <w:pStyle w:val="TableParagraph"/>
              <w:spacing w:line="222" w:lineRule="exact"/>
              <w:ind w:left="111"/>
              <w:rPr>
                <w:sz w:val="21"/>
              </w:rPr>
            </w:pPr>
            <w:r>
              <w:rPr>
                <w:spacing w:val="-2"/>
                <w:sz w:val="21"/>
              </w:rPr>
              <w:t>18.</w:t>
            </w:r>
            <w:r>
              <w:rPr>
                <w:spacing w:val="-4"/>
                <w:sz w:val="21"/>
              </w:rPr>
              <w:t>人工耳蜗植入术</w:t>
            </w:r>
          </w:p>
        </w:tc>
      </w:tr>
      <w:tr>
        <w:trPr>
          <w:trHeight w:val="239" w:hRule="atLeast"/>
        </w:trPr>
        <w:tc>
          <w:tcPr>
            <w:tcW w:w="2345" w:type="dxa"/>
          </w:tcPr>
          <w:p>
            <w:pPr>
              <w:pStyle w:val="TableParagraph"/>
              <w:spacing w:line="220" w:lineRule="exact"/>
              <w:rPr>
                <w:sz w:val="21"/>
              </w:rPr>
            </w:pPr>
            <w:r>
              <w:rPr>
                <w:spacing w:val="-2"/>
                <w:sz w:val="21"/>
              </w:rPr>
              <w:t>19.</w:t>
            </w:r>
            <w:r>
              <w:rPr>
                <w:spacing w:val="-4"/>
                <w:sz w:val="21"/>
              </w:rPr>
              <w:t>轻度Ⅲ度烧伤</w:t>
            </w:r>
          </w:p>
        </w:tc>
        <w:tc>
          <w:tcPr>
            <w:tcW w:w="2342" w:type="dxa"/>
          </w:tcPr>
          <w:p>
            <w:pPr>
              <w:pStyle w:val="TableParagraph"/>
              <w:spacing w:line="220" w:lineRule="exact"/>
              <w:rPr>
                <w:sz w:val="21"/>
              </w:rPr>
            </w:pPr>
            <w:r>
              <w:rPr>
                <w:spacing w:val="-2"/>
                <w:sz w:val="21"/>
              </w:rPr>
              <w:t>20.</w:t>
            </w:r>
            <w:r>
              <w:rPr>
                <w:spacing w:val="-4"/>
                <w:sz w:val="21"/>
              </w:rPr>
              <w:t>轻度面部烧伤</w:t>
            </w:r>
          </w:p>
        </w:tc>
        <w:tc>
          <w:tcPr>
            <w:tcW w:w="2347" w:type="dxa"/>
          </w:tcPr>
          <w:p>
            <w:pPr>
              <w:pStyle w:val="TableParagraph"/>
              <w:spacing w:line="220" w:lineRule="exact"/>
              <w:ind w:left="111"/>
              <w:rPr>
                <w:sz w:val="21"/>
              </w:rPr>
            </w:pPr>
            <w:r>
              <w:rPr>
                <w:spacing w:val="-2"/>
                <w:sz w:val="21"/>
              </w:rPr>
              <w:t>21.</w:t>
            </w:r>
            <w:r>
              <w:rPr>
                <w:spacing w:val="-4"/>
                <w:sz w:val="21"/>
              </w:rPr>
              <w:t>肝叶切除术</w:t>
            </w:r>
          </w:p>
        </w:tc>
      </w:tr>
      <w:tr>
        <w:trPr>
          <w:trHeight w:val="239" w:hRule="atLeast"/>
        </w:trPr>
        <w:tc>
          <w:tcPr>
            <w:tcW w:w="2345" w:type="dxa"/>
          </w:tcPr>
          <w:p>
            <w:pPr>
              <w:pStyle w:val="TableParagraph"/>
              <w:spacing w:line="220" w:lineRule="exact"/>
              <w:rPr>
                <w:sz w:val="21"/>
              </w:rPr>
            </w:pPr>
            <w:r>
              <w:rPr>
                <w:spacing w:val="-2"/>
                <w:sz w:val="21"/>
              </w:rPr>
              <w:t>22.</w:t>
            </w:r>
            <w:r>
              <w:rPr>
                <w:spacing w:val="-4"/>
                <w:sz w:val="21"/>
              </w:rPr>
              <w:t>单侧肾脏切除</w:t>
            </w:r>
          </w:p>
        </w:tc>
        <w:tc>
          <w:tcPr>
            <w:tcW w:w="2342" w:type="dxa"/>
          </w:tcPr>
          <w:p>
            <w:pPr>
              <w:pStyle w:val="TableParagraph"/>
              <w:spacing w:line="220" w:lineRule="exact"/>
              <w:rPr>
                <w:sz w:val="21"/>
              </w:rPr>
            </w:pPr>
            <w:r>
              <w:rPr>
                <w:spacing w:val="-2"/>
                <w:sz w:val="21"/>
              </w:rPr>
              <w:t>23.</w:t>
            </w:r>
            <w:r>
              <w:rPr>
                <w:spacing w:val="-4"/>
                <w:sz w:val="21"/>
              </w:rPr>
              <w:t>双侧睾丸切除术</w:t>
            </w:r>
          </w:p>
        </w:tc>
        <w:tc>
          <w:tcPr>
            <w:tcW w:w="2347" w:type="dxa"/>
          </w:tcPr>
          <w:p>
            <w:pPr>
              <w:pStyle w:val="TableParagraph"/>
              <w:spacing w:line="220" w:lineRule="exact"/>
              <w:ind w:left="111"/>
              <w:rPr>
                <w:sz w:val="21"/>
              </w:rPr>
            </w:pPr>
            <w:r>
              <w:rPr>
                <w:spacing w:val="-2"/>
                <w:sz w:val="21"/>
              </w:rPr>
              <w:t>24.</w:t>
            </w:r>
            <w:r>
              <w:rPr>
                <w:spacing w:val="-4"/>
                <w:sz w:val="21"/>
              </w:rPr>
              <w:t>双侧卵巢切除术</w:t>
            </w:r>
          </w:p>
        </w:tc>
      </w:tr>
      <w:tr>
        <w:trPr>
          <w:trHeight w:val="480" w:hRule="atLeast"/>
        </w:trPr>
        <w:tc>
          <w:tcPr>
            <w:tcW w:w="2345" w:type="dxa"/>
          </w:tcPr>
          <w:p>
            <w:pPr>
              <w:pStyle w:val="TableParagraph"/>
              <w:spacing w:line="240" w:lineRule="exact"/>
              <w:ind w:right="94"/>
              <w:rPr>
                <w:sz w:val="21"/>
              </w:rPr>
            </w:pPr>
            <w:r>
              <w:rPr>
                <w:sz w:val="21"/>
              </w:rPr>
              <w:t>25</w:t>
            </w:r>
            <w:r>
              <w:rPr>
                <w:spacing w:val="7"/>
                <w:sz w:val="21"/>
              </w:rPr>
              <w:t>.于颈动脉进行血管</w:t>
            </w:r>
            <w:r>
              <w:rPr>
                <w:spacing w:val="-2"/>
                <w:sz w:val="21"/>
              </w:rPr>
              <w:t>成形术或内膜切除术</w:t>
            </w:r>
          </w:p>
        </w:tc>
        <w:tc>
          <w:tcPr>
            <w:tcW w:w="2342" w:type="dxa"/>
          </w:tcPr>
          <w:p>
            <w:pPr>
              <w:pStyle w:val="TableParagraph"/>
              <w:spacing w:before="107"/>
              <w:rPr>
                <w:sz w:val="21"/>
              </w:rPr>
            </w:pPr>
            <w:r>
              <w:rPr>
                <w:spacing w:val="-2"/>
                <w:sz w:val="21"/>
              </w:rPr>
              <w:t>26.</w:t>
            </w:r>
            <w:r>
              <w:rPr>
                <w:spacing w:val="-4"/>
                <w:sz w:val="21"/>
              </w:rPr>
              <w:t>心包膜切除术</w:t>
            </w:r>
          </w:p>
        </w:tc>
        <w:tc>
          <w:tcPr>
            <w:tcW w:w="2347" w:type="dxa"/>
          </w:tcPr>
          <w:p>
            <w:pPr>
              <w:pStyle w:val="TableParagraph"/>
              <w:spacing w:before="107"/>
              <w:ind w:left="111"/>
              <w:rPr>
                <w:sz w:val="21"/>
              </w:rPr>
            </w:pPr>
            <w:r>
              <w:rPr>
                <w:spacing w:val="-2"/>
                <w:sz w:val="21"/>
              </w:rPr>
              <w:t>27.</w:t>
            </w:r>
            <w:r>
              <w:rPr>
                <w:spacing w:val="-4"/>
                <w:sz w:val="21"/>
              </w:rPr>
              <w:t>硬脑膜下血肿手术</w:t>
            </w:r>
          </w:p>
        </w:tc>
      </w:tr>
      <w:tr>
        <w:trPr>
          <w:trHeight w:val="479" w:hRule="atLeast"/>
        </w:trPr>
        <w:tc>
          <w:tcPr>
            <w:tcW w:w="2345" w:type="dxa"/>
          </w:tcPr>
          <w:p>
            <w:pPr>
              <w:pStyle w:val="TableParagraph"/>
              <w:spacing w:line="240" w:lineRule="exact"/>
              <w:ind w:right="94"/>
              <w:rPr>
                <w:sz w:val="21"/>
              </w:rPr>
            </w:pPr>
            <w:r>
              <w:rPr>
                <w:sz w:val="21"/>
              </w:rPr>
              <w:t>28</w:t>
            </w:r>
            <w:r>
              <w:rPr>
                <w:spacing w:val="7"/>
                <w:sz w:val="21"/>
              </w:rPr>
              <w:t>.特定周围动脉疾病</w:t>
            </w:r>
            <w:r>
              <w:rPr>
                <w:spacing w:val="-2"/>
                <w:sz w:val="21"/>
              </w:rPr>
              <w:t>的血管介入治疗</w:t>
            </w:r>
          </w:p>
        </w:tc>
        <w:tc>
          <w:tcPr>
            <w:tcW w:w="2342" w:type="dxa"/>
          </w:tcPr>
          <w:p>
            <w:pPr>
              <w:pStyle w:val="TableParagraph"/>
              <w:spacing w:before="106"/>
              <w:rPr>
                <w:sz w:val="21"/>
              </w:rPr>
            </w:pPr>
            <w:r>
              <w:rPr>
                <w:spacing w:val="-2"/>
                <w:sz w:val="21"/>
              </w:rPr>
              <w:t>29.</w:t>
            </w:r>
            <w:r>
              <w:rPr>
                <w:spacing w:val="-4"/>
                <w:sz w:val="21"/>
              </w:rPr>
              <w:t>植入腔静脉过滤器</w:t>
            </w:r>
          </w:p>
        </w:tc>
        <w:tc>
          <w:tcPr>
            <w:tcW w:w="2347" w:type="dxa"/>
          </w:tcPr>
          <w:p>
            <w:pPr>
              <w:pStyle w:val="TableParagraph"/>
              <w:spacing w:before="106"/>
              <w:ind w:left="111"/>
              <w:rPr>
                <w:sz w:val="21"/>
              </w:rPr>
            </w:pPr>
            <w:r>
              <w:rPr>
                <w:spacing w:val="-2"/>
                <w:sz w:val="21"/>
              </w:rPr>
              <w:t>30.</w:t>
            </w:r>
            <w:r>
              <w:rPr>
                <w:spacing w:val="-4"/>
                <w:sz w:val="21"/>
              </w:rPr>
              <w:t>早期象皮病</w:t>
            </w:r>
          </w:p>
        </w:tc>
      </w:tr>
      <w:tr>
        <w:trPr>
          <w:trHeight w:val="479" w:hRule="atLeast"/>
        </w:trPr>
        <w:tc>
          <w:tcPr>
            <w:tcW w:w="2345" w:type="dxa"/>
          </w:tcPr>
          <w:p>
            <w:pPr>
              <w:pStyle w:val="TableParagraph"/>
              <w:spacing w:before="106"/>
              <w:rPr>
                <w:sz w:val="21"/>
              </w:rPr>
            </w:pPr>
            <w:r>
              <w:rPr>
                <w:spacing w:val="-2"/>
                <w:sz w:val="21"/>
              </w:rPr>
              <w:t>31.</w:t>
            </w:r>
            <w:r>
              <w:rPr>
                <w:spacing w:val="-4"/>
                <w:sz w:val="21"/>
              </w:rPr>
              <w:t>心脏起搏器植入</w:t>
            </w:r>
          </w:p>
        </w:tc>
        <w:tc>
          <w:tcPr>
            <w:tcW w:w="2342" w:type="dxa"/>
          </w:tcPr>
          <w:p>
            <w:pPr>
              <w:pStyle w:val="TableParagraph"/>
              <w:spacing w:before="106"/>
              <w:rPr>
                <w:sz w:val="21"/>
              </w:rPr>
            </w:pPr>
            <w:r>
              <w:rPr>
                <w:spacing w:val="-2"/>
                <w:sz w:val="21"/>
              </w:rPr>
              <w:t>32.</w:t>
            </w:r>
            <w:r>
              <w:rPr>
                <w:spacing w:val="-4"/>
                <w:sz w:val="21"/>
              </w:rPr>
              <w:t>心脏除颤器植入</w:t>
            </w:r>
          </w:p>
        </w:tc>
        <w:tc>
          <w:tcPr>
            <w:tcW w:w="2347" w:type="dxa"/>
          </w:tcPr>
          <w:p>
            <w:pPr>
              <w:pStyle w:val="TableParagraph"/>
              <w:spacing w:line="240" w:lineRule="exact"/>
              <w:ind w:left="111" w:right="93"/>
              <w:rPr>
                <w:sz w:val="21"/>
              </w:rPr>
            </w:pPr>
            <w:r>
              <w:rPr>
                <w:sz w:val="21"/>
              </w:rPr>
              <w:t>33</w:t>
            </w:r>
            <w:r>
              <w:rPr>
                <w:spacing w:val="7"/>
                <w:sz w:val="21"/>
              </w:rPr>
              <w:t>.严重阻塞性睡眠窒</w:t>
            </w:r>
            <w:r>
              <w:rPr>
                <w:spacing w:val="-6"/>
                <w:sz w:val="21"/>
              </w:rPr>
              <w:t>息症</w:t>
            </w:r>
          </w:p>
        </w:tc>
      </w:tr>
      <w:tr>
        <w:trPr>
          <w:trHeight w:val="481" w:hRule="atLeast"/>
        </w:trPr>
        <w:tc>
          <w:tcPr>
            <w:tcW w:w="2345" w:type="dxa"/>
          </w:tcPr>
          <w:p>
            <w:pPr>
              <w:pStyle w:val="TableParagraph"/>
              <w:spacing w:before="108"/>
              <w:rPr>
                <w:sz w:val="21"/>
              </w:rPr>
            </w:pPr>
            <w:r>
              <w:rPr>
                <w:spacing w:val="-2"/>
                <w:sz w:val="21"/>
              </w:rPr>
              <w:t>34.</w:t>
            </w:r>
            <w:r>
              <w:rPr>
                <w:spacing w:val="-4"/>
                <w:sz w:val="21"/>
              </w:rPr>
              <w:t>面部重建手术</w:t>
            </w:r>
          </w:p>
        </w:tc>
        <w:tc>
          <w:tcPr>
            <w:tcW w:w="2342" w:type="dxa"/>
          </w:tcPr>
          <w:p>
            <w:pPr>
              <w:pStyle w:val="TableParagraph"/>
              <w:spacing w:line="240" w:lineRule="exact"/>
              <w:ind w:right="91"/>
              <w:rPr>
                <w:sz w:val="21"/>
              </w:rPr>
            </w:pPr>
            <w:r>
              <w:rPr>
                <w:sz w:val="21"/>
              </w:rPr>
              <w:t>35</w:t>
            </w:r>
            <w:r>
              <w:rPr>
                <w:spacing w:val="7"/>
                <w:sz w:val="21"/>
              </w:rPr>
              <w:t>.因意外毁容而施行</w:t>
            </w:r>
            <w:r>
              <w:rPr>
                <w:spacing w:val="-2"/>
                <w:sz w:val="21"/>
              </w:rPr>
              <w:t>的面部整形手术</w:t>
            </w:r>
          </w:p>
        </w:tc>
        <w:tc>
          <w:tcPr>
            <w:tcW w:w="2347" w:type="dxa"/>
          </w:tcPr>
          <w:p>
            <w:pPr>
              <w:pStyle w:val="TableParagraph"/>
              <w:spacing w:before="108"/>
              <w:ind w:left="111"/>
              <w:rPr>
                <w:sz w:val="21"/>
              </w:rPr>
            </w:pPr>
            <w:r>
              <w:rPr>
                <w:spacing w:val="-2"/>
                <w:sz w:val="21"/>
              </w:rPr>
              <w:t>36.</w:t>
            </w:r>
            <w:r>
              <w:rPr>
                <w:spacing w:val="-4"/>
                <w:sz w:val="21"/>
              </w:rPr>
              <w:t>系统性红斑狼疮</w:t>
            </w:r>
          </w:p>
        </w:tc>
      </w:tr>
      <w:tr>
        <w:trPr>
          <w:trHeight w:val="479" w:hRule="atLeast"/>
        </w:trPr>
        <w:tc>
          <w:tcPr>
            <w:tcW w:w="2345" w:type="dxa"/>
          </w:tcPr>
          <w:p>
            <w:pPr>
              <w:pStyle w:val="TableParagraph"/>
              <w:spacing w:line="240" w:lineRule="exact"/>
              <w:ind w:right="94"/>
              <w:rPr>
                <w:sz w:val="21"/>
              </w:rPr>
            </w:pPr>
            <w:r>
              <w:rPr>
                <w:sz w:val="21"/>
              </w:rPr>
              <w:t>37</w:t>
            </w:r>
            <w:r>
              <w:rPr>
                <w:spacing w:val="7"/>
                <w:sz w:val="21"/>
              </w:rPr>
              <w:t>.轻度特发性肺动脉</w:t>
            </w:r>
            <w:r>
              <w:rPr>
                <w:spacing w:val="-6"/>
                <w:sz w:val="21"/>
              </w:rPr>
              <w:t>高压</w:t>
            </w:r>
          </w:p>
        </w:tc>
        <w:tc>
          <w:tcPr>
            <w:tcW w:w="2342" w:type="dxa"/>
          </w:tcPr>
          <w:p>
            <w:pPr>
              <w:pStyle w:val="TableParagraph"/>
              <w:spacing w:line="240" w:lineRule="exact"/>
              <w:ind w:right="91"/>
              <w:rPr>
                <w:sz w:val="21"/>
              </w:rPr>
            </w:pPr>
            <w:r>
              <w:rPr>
                <w:sz w:val="21"/>
              </w:rPr>
              <w:t>38</w:t>
            </w:r>
            <w:r>
              <w:rPr>
                <w:spacing w:val="7"/>
                <w:sz w:val="21"/>
              </w:rPr>
              <w:t>.轻度继发性肺动脉</w:t>
            </w:r>
            <w:r>
              <w:rPr>
                <w:spacing w:val="-6"/>
                <w:sz w:val="21"/>
              </w:rPr>
              <w:t>高压</w:t>
            </w:r>
          </w:p>
        </w:tc>
        <w:tc>
          <w:tcPr>
            <w:tcW w:w="2347" w:type="dxa"/>
          </w:tcPr>
          <w:p>
            <w:pPr>
              <w:pStyle w:val="TableParagraph"/>
              <w:spacing w:before="106"/>
              <w:ind w:left="111"/>
              <w:rPr>
                <w:sz w:val="21"/>
              </w:rPr>
            </w:pPr>
            <w:r>
              <w:rPr>
                <w:spacing w:val="-2"/>
                <w:sz w:val="21"/>
              </w:rPr>
              <w:t>39.</w:t>
            </w:r>
            <w:r>
              <w:rPr>
                <w:spacing w:val="-4"/>
                <w:sz w:val="21"/>
              </w:rPr>
              <w:t>早期原发性心肌病</w:t>
            </w:r>
          </w:p>
        </w:tc>
      </w:tr>
      <w:tr>
        <w:trPr>
          <w:trHeight w:val="479" w:hRule="atLeast"/>
        </w:trPr>
        <w:tc>
          <w:tcPr>
            <w:tcW w:w="2345" w:type="dxa"/>
          </w:tcPr>
          <w:p>
            <w:pPr>
              <w:pStyle w:val="TableParagraph"/>
              <w:spacing w:before="106"/>
              <w:rPr>
                <w:sz w:val="21"/>
              </w:rPr>
            </w:pPr>
            <w:r>
              <w:rPr>
                <w:spacing w:val="-2"/>
                <w:sz w:val="21"/>
              </w:rPr>
              <w:t>40.</w:t>
            </w:r>
            <w:r>
              <w:rPr>
                <w:spacing w:val="-4"/>
                <w:sz w:val="21"/>
              </w:rPr>
              <w:t>轻度慢性肾衰竭</w:t>
            </w:r>
          </w:p>
        </w:tc>
        <w:tc>
          <w:tcPr>
            <w:tcW w:w="2342" w:type="dxa"/>
          </w:tcPr>
          <w:p>
            <w:pPr>
              <w:pStyle w:val="TableParagraph"/>
              <w:spacing w:line="240" w:lineRule="exact"/>
              <w:ind w:right="91"/>
              <w:rPr>
                <w:sz w:val="21"/>
              </w:rPr>
            </w:pPr>
            <w:r>
              <w:rPr>
                <w:sz w:val="21"/>
              </w:rPr>
              <w:t>41</w:t>
            </w:r>
            <w:r>
              <w:rPr>
                <w:spacing w:val="7"/>
                <w:sz w:val="21"/>
              </w:rPr>
              <w:t>.因肾上腺皮质腺瘤</w:t>
            </w:r>
            <w:r>
              <w:rPr>
                <w:spacing w:val="-2"/>
                <w:sz w:val="21"/>
              </w:rPr>
              <w:t>所致的肾上腺切除术</w:t>
            </w:r>
          </w:p>
        </w:tc>
        <w:tc>
          <w:tcPr>
            <w:tcW w:w="2347" w:type="dxa"/>
          </w:tcPr>
          <w:p>
            <w:pPr>
              <w:pStyle w:val="TableParagraph"/>
              <w:spacing w:before="106"/>
              <w:ind w:left="111"/>
              <w:rPr>
                <w:sz w:val="21"/>
              </w:rPr>
            </w:pPr>
            <w:r>
              <w:rPr>
                <w:spacing w:val="-2"/>
                <w:sz w:val="21"/>
              </w:rPr>
              <w:t>42.</w:t>
            </w:r>
            <w:r>
              <w:rPr>
                <w:spacing w:val="-4"/>
                <w:sz w:val="21"/>
              </w:rPr>
              <w:t>胆道系统重建手术</w:t>
            </w:r>
          </w:p>
        </w:tc>
      </w:tr>
      <w:tr>
        <w:trPr>
          <w:trHeight w:val="478" w:hRule="atLeast"/>
        </w:trPr>
        <w:tc>
          <w:tcPr>
            <w:tcW w:w="2345" w:type="dxa"/>
          </w:tcPr>
          <w:p>
            <w:pPr>
              <w:pStyle w:val="TableParagraph"/>
              <w:spacing w:before="105"/>
              <w:rPr>
                <w:sz w:val="21"/>
              </w:rPr>
            </w:pPr>
            <w:r>
              <w:rPr>
                <w:spacing w:val="-2"/>
                <w:sz w:val="21"/>
              </w:rPr>
              <w:t>43.</w:t>
            </w:r>
            <w:r>
              <w:rPr>
                <w:spacing w:val="-4"/>
                <w:sz w:val="21"/>
              </w:rPr>
              <w:t>早期肝硬化</w:t>
            </w:r>
          </w:p>
        </w:tc>
        <w:tc>
          <w:tcPr>
            <w:tcW w:w="2342" w:type="dxa"/>
          </w:tcPr>
          <w:p>
            <w:pPr>
              <w:pStyle w:val="TableParagraph"/>
              <w:spacing w:before="105"/>
              <w:rPr>
                <w:sz w:val="21"/>
              </w:rPr>
            </w:pPr>
            <w:r>
              <w:rPr>
                <w:spacing w:val="-2"/>
                <w:sz w:val="21"/>
              </w:rPr>
              <w:t>44.</w:t>
            </w:r>
            <w:r>
              <w:rPr>
                <w:spacing w:val="-4"/>
                <w:sz w:val="21"/>
              </w:rPr>
              <w:t>轻度慢性肝衰竭</w:t>
            </w:r>
          </w:p>
        </w:tc>
        <w:tc>
          <w:tcPr>
            <w:tcW w:w="2347" w:type="dxa"/>
          </w:tcPr>
          <w:p>
            <w:pPr>
              <w:pStyle w:val="TableParagraph"/>
              <w:spacing w:line="240" w:lineRule="exact"/>
              <w:ind w:left="111" w:right="93"/>
              <w:rPr>
                <w:sz w:val="21"/>
              </w:rPr>
            </w:pPr>
            <w:r>
              <w:rPr>
                <w:sz w:val="21"/>
              </w:rPr>
              <w:t>45</w:t>
            </w:r>
            <w:r>
              <w:rPr>
                <w:spacing w:val="7"/>
                <w:sz w:val="21"/>
              </w:rPr>
              <w:t>.急性出血坏死性胰</w:t>
            </w:r>
            <w:r>
              <w:rPr>
                <w:spacing w:val="-2"/>
                <w:sz w:val="21"/>
              </w:rPr>
              <w:t>腺炎腹腔镜手术</w:t>
            </w:r>
          </w:p>
        </w:tc>
      </w:tr>
      <w:tr>
        <w:trPr>
          <w:trHeight w:val="238" w:hRule="atLeast"/>
        </w:trPr>
        <w:tc>
          <w:tcPr>
            <w:tcW w:w="2345" w:type="dxa"/>
          </w:tcPr>
          <w:p>
            <w:pPr>
              <w:pStyle w:val="TableParagraph"/>
              <w:spacing w:line="218" w:lineRule="exact"/>
              <w:rPr>
                <w:sz w:val="21"/>
              </w:rPr>
            </w:pPr>
            <w:r>
              <w:rPr>
                <w:spacing w:val="-2"/>
                <w:sz w:val="21"/>
              </w:rPr>
              <w:t>46.</w:t>
            </w:r>
            <w:r>
              <w:rPr>
                <w:spacing w:val="-4"/>
                <w:sz w:val="21"/>
              </w:rPr>
              <w:t>慢性阻塞性肺病</w:t>
            </w:r>
          </w:p>
        </w:tc>
        <w:tc>
          <w:tcPr>
            <w:tcW w:w="2342" w:type="dxa"/>
          </w:tcPr>
          <w:p>
            <w:pPr>
              <w:pStyle w:val="TableParagraph"/>
              <w:spacing w:line="218" w:lineRule="exact"/>
              <w:rPr>
                <w:sz w:val="21"/>
              </w:rPr>
            </w:pPr>
            <w:r>
              <w:rPr>
                <w:spacing w:val="-2"/>
                <w:sz w:val="21"/>
              </w:rPr>
              <w:t>47.</w:t>
            </w:r>
            <w:r>
              <w:rPr>
                <w:spacing w:val="-4"/>
                <w:sz w:val="21"/>
              </w:rPr>
              <w:t>早期系统性硬皮病</w:t>
            </w:r>
          </w:p>
        </w:tc>
        <w:tc>
          <w:tcPr>
            <w:tcW w:w="2347" w:type="dxa"/>
          </w:tcPr>
          <w:p>
            <w:pPr>
              <w:pStyle w:val="TableParagraph"/>
              <w:spacing w:line="218" w:lineRule="exact"/>
              <w:ind w:left="111"/>
              <w:rPr>
                <w:sz w:val="21"/>
              </w:rPr>
            </w:pPr>
            <w:r>
              <w:rPr>
                <w:spacing w:val="-2"/>
                <w:sz w:val="21"/>
              </w:rPr>
              <w:t>48.</w:t>
            </w:r>
            <w:r>
              <w:rPr>
                <w:spacing w:val="-4"/>
                <w:sz w:val="21"/>
              </w:rPr>
              <w:t>中度昏迷</w:t>
            </w:r>
          </w:p>
        </w:tc>
      </w:tr>
      <w:tr>
        <w:trPr>
          <w:trHeight w:val="480" w:hRule="atLeast"/>
        </w:trPr>
        <w:tc>
          <w:tcPr>
            <w:tcW w:w="2345" w:type="dxa"/>
          </w:tcPr>
          <w:p>
            <w:pPr>
              <w:pStyle w:val="TableParagraph"/>
              <w:spacing w:line="240" w:lineRule="exact"/>
              <w:ind w:right="94"/>
              <w:rPr>
                <w:sz w:val="21"/>
              </w:rPr>
            </w:pPr>
            <w:r>
              <w:rPr>
                <w:sz w:val="21"/>
              </w:rPr>
              <w:t>49</w:t>
            </w:r>
            <w:r>
              <w:rPr>
                <w:spacing w:val="7"/>
                <w:sz w:val="21"/>
              </w:rPr>
              <w:t>.风湿热导致的心脏</w:t>
            </w:r>
            <w:r>
              <w:rPr>
                <w:spacing w:val="-4"/>
                <w:sz w:val="21"/>
              </w:rPr>
              <w:t>瓣膜疾病</w:t>
            </w:r>
          </w:p>
        </w:tc>
        <w:tc>
          <w:tcPr>
            <w:tcW w:w="2342" w:type="dxa"/>
          </w:tcPr>
          <w:p>
            <w:pPr>
              <w:pStyle w:val="TableParagraph"/>
              <w:spacing w:line="240" w:lineRule="exact"/>
              <w:ind w:right="91"/>
              <w:rPr>
                <w:sz w:val="21"/>
              </w:rPr>
            </w:pPr>
            <w:r>
              <w:rPr>
                <w:sz w:val="21"/>
              </w:rPr>
              <w:t>50</w:t>
            </w:r>
            <w:r>
              <w:rPr>
                <w:spacing w:val="7"/>
                <w:sz w:val="21"/>
              </w:rPr>
              <w:t>.骨质疏松骨折髋关</w:t>
            </w:r>
            <w:r>
              <w:rPr>
                <w:spacing w:val="-2"/>
                <w:sz w:val="21"/>
              </w:rPr>
              <w:t>节置换手术</w:t>
            </w:r>
          </w:p>
        </w:tc>
        <w:tc>
          <w:tcPr>
            <w:tcW w:w="2347" w:type="dxa"/>
          </w:tcPr>
          <w:p>
            <w:pPr>
              <w:pStyle w:val="TableParagraph"/>
              <w:spacing w:before="107"/>
              <w:ind w:left="111"/>
              <w:rPr>
                <w:sz w:val="21"/>
              </w:rPr>
            </w:pPr>
            <w:r>
              <w:rPr>
                <w:spacing w:val="-2"/>
                <w:sz w:val="21"/>
              </w:rPr>
              <w:t>51.</w:t>
            </w:r>
            <w:r>
              <w:rPr>
                <w:spacing w:val="-4"/>
                <w:sz w:val="21"/>
              </w:rPr>
              <w:t>多发肋骨骨折</w:t>
            </w:r>
          </w:p>
        </w:tc>
      </w:tr>
      <w:tr>
        <w:trPr>
          <w:trHeight w:val="482" w:hRule="atLeast"/>
        </w:trPr>
        <w:tc>
          <w:tcPr>
            <w:tcW w:w="2345" w:type="dxa"/>
          </w:tcPr>
          <w:p>
            <w:pPr>
              <w:pStyle w:val="TableParagraph"/>
              <w:spacing w:line="240" w:lineRule="exact"/>
              <w:ind w:right="94"/>
              <w:rPr>
                <w:sz w:val="21"/>
              </w:rPr>
            </w:pPr>
            <w:r>
              <w:rPr>
                <w:sz w:val="21"/>
              </w:rPr>
              <w:t>52</w:t>
            </w:r>
            <w:r>
              <w:rPr>
                <w:spacing w:val="7"/>
                <w:sz w:val="21"/>
              </w:rPr>
              <w:t>.糖尿病并发症导致</w:t>
            </w:r>
            <w:r>
              <w:rPr>
                <w:spacing w:val="-2"/>
                <w:sz w:val="21"/>
              </w:rPr>
              <w:t>的单足截除</w:t>
            </w:r>
          </w:p>
        </w:tc>
        <w:tc>
          <w:tcPr>
            <w:tcW w:w="2342" w:type="dxa"/>
          </w:tcPr>
          <w:p>
            <w:pPr>
              <w:pStyle w:val="TableParagraph"/>
              <w:spacing w:line="240" w:lineRule="exact"/>
              <w:ind w:right="91"/>
              <w:rPr>
                <w:sz w:val="21"/>
              </w:rPr>
            </w:pPr>
            <w:r>
              <w:rPr>
                <w:sz w:val="21"/>
              </w:rPr>
              <w:t>53</w:t>
            </w:r>
            <w:r>
              <w:rPr>
                <w:spacing w:val="7"/>
                <w:sz w:val="21"/>
              </w:rPr>
              <w:t>.糖尿病视网膜晚期</w:t>
            </w:r>
            <w:r>
              <w:rPr>
                <w:spacing w:val="-2"/>
                <w:sz w:val="21"/>
              </w:rPr>
              <w:t>增生性病变</w:t>
            </w:r>
          </w:p>
        </w:tc>
        <w:tc>
          <w:tcPr>
            <w:tcW w:w="2347" w:type="dxa"/>
          </w:tcPr>
          <w:p>
            <w:pPr>
              <w:pStyle w:val="TableParagraph"/>
              <w:spacing w:before="109"/>
              <w:ind w:left="111"/>
              <w:rPr>
                <w:sz w:val="21"/>
              </w:rPr>
            </w:pPr>
            <w:r>
              <w:rPr>
                <w:spacing w:val="-2"/>
                <w:sz w:val="21"/>
              </w:rPr>
              <w:t>54.</w:t>
            </w:r>
            <w:r>
              <w:rPr>
                <w:spacing w:val="-4"/>
                <w:sz w:val="21"/>
              </w:rPr>
              <w:t>轻度坏死性筋膜炎</w:t>
            </w:r>
          </w:p>
        </w:tc>
      </w:tr>
      <w:tr>
        <w:trPr>
          <w:trHeight w:val="479" w:hRule="atLeast"/>
        </w:trPr>
        <w:tc>
          <w:tcPr>
            <w:tcW w:w="2345" w:type="dxa"/>
          </w:tcPr>
          <w:p>
            <w:pPr>
              <w:pStyle w:val="TableParagraph"/>
              <w:spacing w:line="240" w:lineRule="exact"/>
              <w:ind w:right="94"/>
              <w:rPr>
                <w:sz w:val="21"/>
              </w:rPr>
            </w:pPr>
            <w:r>
              <w:rPr>
                <w:sz w:val="21"/>
              </w:rPr>
              <w:t>55</w:t>
            </w:r>
            <w:r>
              <w:rPr>
                <w:spacing w:val="7"/>
                <w:sz w:val="21"/>
              </w:rPr>
              <w:t>.肺泡蛋白沉积症肺</w:t>
            </w:r>
            <w:r>
              <w:rPr>
                <w:spacing w:val="-4"/>
                <w:sz w:val="21"/>
              </w:rPr>
              <w:t>灌流治疗</w:t>
            </w:r>
          </w:p>
        </w:tc>
        <w:tc>
          <w:tcPr>
            <w:tcW w:w="2342" w:type="dxa"/>
          </w:tcPr>
          <w:p>
            <w:pPr>
              <w:pStyle w:val="TableParagraph"/>
              <w:ind w:left="0"/>
              <w:rPr>
                <w:rFonts w:ascii="Times New Roman"/>
                <w:sz w:val="20"/>
              </w:rPr>
            </w:pPr>
          </w:p>
        </w:tc>
        <w:tc>
          <w:tcPr>
            <w:tcW w:w="2347" w:type="dxa"/>
          </w:tcPr>
          <w:p>
            <w:pPr>
              <w:pStyle w:val="TableParagraph"/>
              <w:ind w:left="0"/>
              <w:rPr>
                <w:rFonts w:ascii="Times New Roman"/>
                <w:sz w:val="20"/>
              </w:rPr>
            </w:pPr>
          </w:p>
        </w:tc>
      </w:tr>
    </w:tbl>
    <w:p>
      <w:pPr>
        <w:pStyle w:val="BodyText"/>
        <w:spacing w:before="9"/>
        <w:rPr>
          <w:b/>
          <w:sz w:val="26"/>
        </w:rPr>
      </w:pPr>
    </w:p>
    <w:p>
      <w:pPr>
        <w:pStyle w:val="ListParagraph"/>
        <w:numPr>
          <w:ilvl w:val="1"/>
          <w:numId w:val="4"/>
        </w:numPr>
        <w:tabs>
          <w:tab w:pos="1120" w:val="left" w:leader="none"/>
          <w:tab w:pos="1121" w:val="left" w:leader="none"/>
          <w:tab w:pos="2737" w:val="left" w:leader="none"/>
        </w:tabs>
        <w:spacing w:line="240" w:lineRule="auto" w:before="1" w:after="0"/>
        <w:ind w:left="1120" w:right="0" w:hanging="854"/>
        <w:jc w:val="left"/>
        <w:rPr>
          <w:sz w:val="21"/>
        </w:rPr>
      </w:pPr>
      <w:r>
        <w:rPr>
          <w:b/>
          <w:sz w:val="21"/>
        </w:rPr>
        <w:t>中症疾病名</w:t>
      </w:r>
      <w:r>
        <w:rPr>
          <w:b/>
          <w:spacing w:val="-10"/>
          <w:sz w:val="21"/>
        </w:rPr>
        <w:t>称</w:t>
      </w:r>
      <w:r>
        <w:rPr>
          <w:b/>
          <w:sz w:val="21"/>
        </w:rPr>
        <w:tab/>
      </w:r>
      <w:r>
        <w:rPr>
          <w:spacing w:val="-2"/>
          <w:sz w:val="21"/>
        </w:rPr>
        <w:t>本</w:t>
      </w:r>
      <w:r>
        <w:rPr>
          <w:spacing w:val="-2"/>
          <w:sz w:val="21"/>
        </w:rPr>
        <w:t>合</w:t>
      </w:r>
      <w:r>
        <w:rPr>
          <w:spacing w:val="-2"/>
          <w:sz w:val="21"/>
        </w:rPr>
        <w:t>同所保障的中症疾病共</w:t>
      </w:r>
      <w:r>
        <w:rPr>
          <w:spacing w:val="-48"/>
          <w:sz w:val="21"/>
        </w:rPr>
        <w:t> </w:t>
      </w:r>
      <w:r>
        <w:rPr>
          <w:spacing w:val="-2"/>
          <w:sz w:val="21"/>
        </w:rPr>
        <w:t>25</w:t>
      </w:r>
      <w:r>
        <w:rPr>
          <w:spacing w:val="-47"/>
          <w:sz w:val="21"/>
        </w:rPr>
        <w:t> </w:t>
      </w:r>
      <w:r>
        <w:rPr>
          <w:spacing w:val="-2"/>
          <w:sz w:val="21"/>
        </w:rPr>
        <w:t>种</w:t>
      </w:r>
      <w:r>
        <w:rPr>
          <w:spacing w:val="-10"/>
          <w:sz w:val="21"/>
        </w:rPr>
        <w:t>。</w:t>
      </w:r>
    </w:p>
    <w:p>
      <w:pPr>
        <w:pStyle w:val="Heading2"/>
        <w:spacing w:before="43" w:after="20"/>
        <w:ind w:left="2738"/>
        <w:jc w:val="both"/>
      </w:pPr>
      <w:r>
        <w:rPr/>
        <w:t>中症疾病的定义详见“10.2</w:t>
      </w:r>
      <w:r>
        <w:rPr>
          <w:spacing w:val="-4"/>
        </w:rPr>
        <w:t> 中症疾病定义”。</w:t>
      </w:r>
    </w:p>
    <w:tbl>
      <w:tblPr>
        <w:tblW w:w="0" w:type="auto"/>
        <w:jc w:val="left"/>
        <w:tblInd w:w="2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04"/>
        <w:gridCol w:w="2386"/>
      </w:tblGrid>
      <w:tr>
        <w:trPr>
          <w:trHeight w:val="311" w:hRule="atLeast"/>
        </w:trPr>
        <w:tc>
          <w:tcPr>
            <w:tcW w:w="7035" w:type="dxa"/>
            <w:gridSpan w:val="3"/>
          </w:tcPr>
          <w:p>
            <w:pPr>
              <w:pStyle w:val="TableParagraph"/>
              <w:spacing w:before="22"/>
              <w:ind w:left="2870" w:right="2862"/>
              <w:jc w:val="center"/>
              <w:rPr>
                <w:b/>
                <w:sz w:val="21"/>
              </w:rPr>
            </w:pPr>
            <w:r>
              <w:rPr>
                <w:b/>
                <w:spacing w:val="-2"/>
                <w:sz w:val="21"/>
              </w:rPr>
              <w:t>中症疾病名称</w:t>
            </w:r>
          </w:p>
        </w:tc>
      </w:tr>
      <w:tr>
        <w:trPr>
          <w:trHeight w:val="239" w:hRule="atLeast"/>
        </w:trPr>
        <w:tc>
          <w:tcPr>
            <w:tcW w:w="2345" w:type="dxa"/>
          </w:tcPr>
          <w:p>
            <w:pPr>
              <w:pStyle w:val="TableParagraph"/>
              <w:spacing w:line="220" w:lineRule="exact"/>
              <w:rPr>
                <w:sz w:val="21"/>
              </w:rPr>
            </w:pPr>
            <w:r>
              <w:rPr>
                <w:spacing w:val="-2"/>
                <w:sz w:val="21"/>
              </w:rPr>
              <w:t>1.</w:t>
            </w:r>
            <w:r>
              <w:rPr>
                <w:spacing w:val="-4"/>
                <w:sz w:val="21"/>
              </w:rPr>
              <w:t>单侧肺脏切除</w:t>
            </w:r>
          </w:p>
        </w:tc>
        <w:tc>
          <w:tcPr>
            <w:tcW w:w="2304" w:type="dxa"/>
          </w:tcPr>
          <w:p>
            <w:pPr>
              <w:pStyle w:val="TableParagraph"/>
              <w:spacing w:line="220" w:lineRule="exact"/>
              <w:rPr>
                <w:sz w:val="21"/>
              </w:rPr>
            </w:pPr>
            <w:r>
              <w:rPr>
                <w:spacing w:val="-2"/>
                <w:sz w:val="21"/>
              </w:rPr>
              <w:t>2.</w:t>
            </w:r>
            <w:r>
              <w:rPr>
                <w:spacing w:val="-4"/>
                <w:sz w:val="21"/>
              </w:rPr>
              <w:t>严重昏迷</w:t>
            </w:r>
          </w:p>
        </w:tc>
        <w:tc>
          <w:tcPr>
            <w:tcW w:w="2386" w:type="dxa"/>
          </w:tcPr>
          <w:p>
            <w:pPr>
              <w:pStyle w:val="TableParagraph"/>
              <w:spacing w:line="220" w:lineRule="exact"/>
              <w:rPr>
                <w:sz w:val="21"/>
              </w:rPr>
            </w:pPr>
            <w:r>
              <w:rPr>
                <w:spacing w:val="-2"/>
                <w:sz w:val="21"/>
              </w:rPr>
              <w:t>3.</w:t>
            </w:r>
            <w:r>
              <w:rPr>
                <w:spacing w:val="-4"/>
                <w:sz w:val="21"/>
              </w:rPr>
              <w:t>中度严重克罗恩病</w:t>
            </w:r>
          </w:p>
        </w:tc>
      </w:tr>
      <w:tr>
        <w:trPr>
          <w:trHeight w:val="479" w:hRule="atLeast"/>
        </w:trPr>
        <w:tc>
          <w:tcPr>
            <w:tcW w:w="2345" w:type="dxa"/>
          </w:tcPr>
          <w:p>
            <w:pPr>
              <w:pStyle w:val="TableParagraph"/>
              <w:spacing w:before="106"/>
              <w:rPr>
                <w:sz w:val="21"/>
              </w:rPr>
            </w:pPr>
            <w:r>
              <w:rPr>
                <w:spacing w:val="-2"/>
                <w:sz w:val="21"/>
              </w:rPr>
              <w:t>4.</w:t>
            </w:r>
            <w:r>
              <w:rPr>
                <w:spacing w:val="-4"/>
                <w:sz w:val="21"/>
              </w:rPr>
              <w:t>中度脑损伤</w:t>
            </w:r>
          </w:p>
        </w:tc>
        <w:tc>
          <w:tcPr>
            <w:tcW w:w="2304" w:type="dxa"/>
          </w:tcPr>
          <w:p>
            <w:pPr>
              <w:pStyle w:val="TableParagraph"/>
              <w:spacing w:line="240" w:lineRule="exact"/>
              <w:ind w:right="94"/>
              <w:rPr>
                <w:sz w:val="21"/>
              </w:rPr>
            </w:pPr>
            <w:r>
              <w:rPr>
                <w:sz w:val="21"/>
              </w:rPr>
              <w:t>5.</w:t>
            </w:r>
            <w:r>
              <w:rPr>
                <w:spacing w:val="6"/>
                <w:sz w:val="21"/>
              </w:rPr>
              <w:t> 中度运动神经元疾</w:t>
            </w:r>
            <w:r>
              <w:rPr>
                <w:spacing w:val="-10"/>
                <w:sz w:val="21"/>
              </w:rPr>
              <w:t>病</w:t>
            </w:r>
          </w:p>
        </w:tc>
        <w:tc>
          <w:tcPr>
            <w:tcW w:w="2386" w:type="dxa"/>
          </w:tcPr>
          <w:p>
            <w:pPr>
              <w:pStyle w:val="TableParagraph"/>
              <w:spacing w:line="240" w:lineRule="exact"/>
              <w:ind w:right="95"/>
              <w:rPr>
                <w:sz w:val="21"/>
              </w:rPr>
            </w:pPr>
            <w:r>
              <w:rPr>
                <w:spacing w:val="-2"/>
                <w:sz w:val="21"/>
              </w:rPr>
              <w:t>6.中度脑炎后遗症或中</w:t>
            </w:r>
            <w:r>
              <w:rPr>
                <w:spacing w:val="-2"/>
                <w:sz w:val="21"/>
              </w:rPr>
              <w:t>度脑膜炎后遗症</w:t>
            </w:r>
          </w:p>
        </w:tc>
      </w:tr>
      <w:tr>
        <w:trPr>
          <w:trHeight w:val="482" w:hRule="atLeast"/>
        </w:trPr>
        <w:tc>
          <w:tcPr>
            <w:tcW w:w="2345" w:type="dxa"/>
          </w:tcPr>
          <w:p>
            <w:pPr>
              <w:pStyle w:val="TableParagraph"/>
              <w:spacing w:before="109"/>
              <w:rPr>
                <w:sz w:val="21"/>
              </w:rPr>
            </w:pPr>
            <w:r>
              <w:rPr>
                <w:spacing w:val="-2"/>
                <w:sz w:val="21"/>
              </w:rPr>
              <w:t>7.</w:t>
            </w:r>
            <w:r>
              <w:rPr>
                <w:spacing w:val="-3"/>
                <w:sz w:val="21"/>
              </w:rPr>
              <w:t>中度原发性帕金森病</w:t>
            </w:r>
          </w:p>
        </w:tc>
        <w:tc>
          <w:tcPr>
            <w:tcW w:w="2304" w:type="dxa"/>
          </w:tcPr>
          <w:p>
            <w:pPr>
              <w:pStyle w:val="TableParagraph"/>
              <w:spacing w:before="109"/>
              <w:rPr>
                <w:sz w:val="21"/>
              </w:rPr>
            </w:pPr>
            <w:r>
              <w:rPr>
                <w:spacing w:val="-2"/>
                <w:sz w:val="21"/>
              </w:rPr>
              <w:t>8.</w:t>
            </w:r>
            <w:r>
              <w:rPr>
                <w:spacing w:val="-4"/>
                <w:sz w:val="21"/>
              </w:rPr>
              <w:t>中度阿尔茨海默病</w:t>
            </w:r>
          </w:p>
        </w:tc>
        <w:tc>
          <w:tcPr>
            <w:tcW w:w="2386" w:type="dxa"/>
          </w:tcPr>
          <w:p>
            <w:pPr>
              <w:pStyle w:val="TableParagraph"/>
              <w:spacing w:line="240" w:lineRule="exact"/>
              <w:ind w:right="95"/>
              <w:rPr>
                <w:sz w:val="21"/>
              </w:rPr>
            </w:pPr>
            <w:r>
              <w:rPr>
                <w:spacing w:val="-2"/>
                <w:sz w:val="21"/>
              </w:rPr>
              <w:t>9.可逆性再生障碍性贫</w:t>
            </w:r>
            <w:r>
              <w:rPr>
                <w:spacing w:val="-10"/>
                <w:sz w:val="21"/>
              </w:rPr>
              <w:t>血</w:t>
            </w:r>
          </w:p>
        </w:tc>
      </w:tr>
      <w:tr>
        <w:trPr>
          <w:trHeight w:val="479" w:hRule="atLeast"/>
        </w:trPr>
        <w:tc>
          <w:tcPr>
            <w:tcW w:w="2345" w:type="dxa"/>
          </w:tcPr>
          <w:p>
            <w:pPr>
              <w:pStyle w:val="TableParagraph"/>
              <w:spacing w:line="240" w:lineRule="exact"/>
              <w:ind w:right="94"/>
              <w:rPr>
                <w:sz w:val="21"/>
              </w:rPr>
            </w:pPr>
            <w:r>
              <w:rPr>
                <w:sz w:val="21"/>
              </w:rPr>
              <w:t>10</w:t>
            </w:r>
            <w:r>
              <w:rPr>
                <w:spacing w:val="7"/>
                <w:sz w:val="21"/>
              </w:rPr>
              <w:t>.中度严重溃疡性结</w:t>
            </w:r>
            <w:r>
              <w:rPr>
                <w:spacing w:val="-6"/>
                <w:sz w:val="21"/>
              </w:rPr>
              <w:t>肠炎</w:t>
            </w:r>
          </w:p>
        </w:tc>
        <w:tc>
          <w:tcPr>
            <w:tcW w:w="2304" w:type="dxa"/>
          </w:tcPr>
          <w:p>
            <w:pPr>
              <w:pStyle w:val="TableParagraph"/>
              <w:spacing w:before="106"/>
              <w:rPr>
                <w:sz w:val="21"/>
              </w:rPr>
            </w:pPr>
            <w:r>
              <w:rPr>
                <w:spacing w:val="-2"/>
                <w:sz w:val="21"/>
              </w:rPr>
              <w:t>11.</w:t>
            </w:r>
            <w:r>
              <w:rPr>
                <w:spacing w:val="-4"/>
                <w:sz w:val="21"/>
              </w:rPr>
              <w:t>中度肌营养不良症</w:t>
            </w:r>
          </w:p>
        </w:tc>
        <w:tc>
          <w:tcPr>
            <w:tcW w:w="2386" w:type="dxa"/>
          </w:tcPr>
          <w:p>
            <w:pPr>
              <w:pStyle w:val="TableParagraph"/>
              <w:spacing w:line="240" w:lineRule="exact"/>
              <w:ind w:right="94"/>
              <w:rPr>
                <w:sz w:val="21"/>
              </w:rPr>
            </w:pPr>
            <w:r>
              <w:rPr>
                <w:sz w:val="21"/>
              </w:rPr>
              <w:t>12.</w:t>
            </w:r>
            <w:r>
              <w:rPr>
                <w:spacing w:val="5"/>
                <w:sz w:val="21"/>
              </w:rPr>
              <w:t> 中度严重脊髓灰质</w:t>
            </w:r>
            <w:r>
              <w:rPr>
                <w:spacing w:val="-10"/>
                <w:sz w:val="21"/>
              </w:rPr>
              <w:t>炎</w:t>
            </w:r>
          </w:p>
        </w:tc>
      </w:tr>
      <w:tr>
        <w:trPr>
          <w:trHeight w:val="239" w:hRule="atLeast"/>
        </w:trPr>
        <w:tc>
          <w:tcPr>
            <w:tcW w:w="2345" w:type="dxa"/>
          </w:tcPr>
          <w:p>
            <w:pPr>
              <w:pStyle w:val="TableParagraph"/>
              <w:spacing w:line="219" w:lineRule="exact"/>
              <w:rPr>
                <w:sz w:val="21"/>
              </w:rPr>
            </w:pPr>
            <w:r>
              <w:rPr>
                <w:spacing w:val="-2"/>
                <w:sz w:val="21"/>
              </w:rPr>
              <w:t>13.</w:t>
            </w:r>
            <w:r>
              <w:rPr>
                <w:spacing w:val="-4"/>
                <w:sz w:val="21"/>
              </w:rPr>
              <w:t>出血性登革热</w:t>
            </w:r>
          </w:p>
        </w:tc>
        <w:tc>
          <w:tcPr>
            <w:tcW w:w="2304" w:type="dxa"/>
          </w:tcPr>
          <w:p>
            <w:pPr>
              <w:pStyle w:val="TableParagraph"/>
              <w:spacing w:line="219" w:lineRule="exact"/>
              <w:rPr>
                <w:sz w:val="21"/>
              </w:rPr>
            </w:pPr>
            <w:r>
              <w:rPr>
                <w:spacing w:val="-2"/>
                <w:sz w:val="21"/>
              </w:rPr>
              <w:t>14.</w:t>
            </w:r>
            <w:r>
              <w:rPr>
                <w:spacing w:val="-4"/>
                <w:sz w:val="21"/>
              </w:rPr>
              <w:t>结核性脊髓炎</w:t>
            </w:r>
          </w:p>
        </w:tc>
        <w:tc>
          <w:tcPr>
            <w:tcW w:w="2386" w:type="dxa"/>
          </w:tcPr>
          <w:p>
            <w:pPr>
              <w:pStyle w:val="TableParagraph"/>
              <w:spacing w:line="219" w:lineRule="exact"/>
              <w:rPr>
                <w:sz w:val="21"/>
              </w:rPr>
            </w:pPr>
            <w:r>
              <w:rPr>
                <w:spacing w:val="-2"/>
                <w:sz w:val="21"/>
              </w:rPr>
              <w:t>15.</w:t>
            </w:r>
            <w:r>
              <w:rPr>
                <w:spacing w:val="-4"/>
                <w:sz w:val="21"/>
              </w:rPr>
              <w:t>单个肢体缺失</w:t>
            </w:r>
          </w:p>
        </w:tc>
      </w:tr>
      <w:tr>
        <w:trPr>
          <w:trHeight w:val="479" w:hRule="atLeast"/>
        </w:trPr>
        <w:tc>
          <w:tcPr>
            <w:tcW w:w="2345" w:type="dxa"/>
          </w:tcPr>
          <w:p>
            <w:pPr>
              <w:pStyle w:val="TableParagraph"/>
              <w:spacing w:before="106"/>
              <w:rPr>
                <w:sz w:val="21"/>
              </w:rPr>
            </w:pPr>
            <w:r>
              <w:rPr>
                <w:spacing w:val="-2"/>
                <w:sz w:val="21"/>
              </w:rPr>
              <w:t>16.</w:t>
            </w:r>
            <w:r>
              <w:rPr>
                <w:spacing w:val="-4"/>
                <w:sz w:val="21"/>
              </w:rPr>
              <w:t>中度Ⅲ度烧伤</w:t>
            </w:r>
          </w:p>
        </w:tc>
        <w:tc>
          <w:tcPr>
            <w:tcW w:w="2304" w:type="dxa"/>
          </w:tcPr>
          <w:p>
            <w:pPr>
              <w:pStyle w:val="TableParagraph"/>
              <w:spacing w:before="106"/>
              <w:rPr>
                <w:sz w:val="21"/>
              </w:rPr>
            </w:pPr>
            <w:r>
              <w:rPr>
                <w:spacing w:val="-2"/>
                <w:sz w:val="21"/>
              </w:rPr>
              <w:t>17.</w:t>
            </w:r>
            <w:r>
              <w:rPr>
                <w:spacing w:val="-4"/>
                <w:sz w:val="21"/>
              </w:rPr>
              <w:t>中度面部烧伤</w:t>
            </w:r>
          </w:p>
        </w:tc>
        <w:tc>
          <w:tcPr>
            <w:tcW w:w="2386" w:type="dxa"/>
          </w:tcPr>
          <w:p>
            <w:pPr>
              <w:pStyle w:val="TableParagraph"/>
              <w:spacing w:line="240" w:lineRule="exact"/>
              <w:ind w:right="94"/>
              <w:rPr>
                <w:sz w:val="21"/>
              </w:rPr>
            </w:pPr>
            <w:r>
              <w:rPr>
                <w:sz w:val="21"/>
              </w:rPr>
              <w:t>18.</w:t>
            </w:r>
            <w:r>
              <w:rPr>
                <w:spacing w:val="5"/>
                <w:sz w:val="21"/>
              </w:rPr>
              <w:t> 中度类风湿性关节</w:t>
            </w:r>
            <w:r>
              <w:rPr>
                <w:spacing w:val="-10"/>
                <w:sz w:val="21"/>
              </w:rPr>
              <w:t>炎</w:t>
            </w:r>
          </w:p>
        </w:tc>
      </w:tr>
      <w:tr>
        <w:trPr>
          <w:trHeight w:val="479" w:hRule="atLeast"/>
        </w:trPr>
        <w:tc>
          <w:tcPr>
            <w:tcW w:w="2345" w:type="dxa"/>
          </w:tcPr>
          <w:p>
            <w:pPr>
              <w:pStyle w:val="TableParagraph"/>
              <w:spacing w:line="240" w:lineRule="exact"/>
              <w:ind w:right="94"/>
              <w:rPr>
                <w:sz w:val="21"/>
              </w:rPr>
            </w:pPr>
            <w:r>
              <w:rPr>
                <w:sz w:val="21"/>
              </w:rPr>
              <w:t>19</w:t>
            </w:r>
            <w:r>
              <w:rPr>
                <w:spacing w:val="7"/>
                <w:sz w:val="21"/>
              </w:rPr>
              <w:t>.中度肠道疾病并发</w:t>
            </w:r>
            <w:r>
              <w:rPr>
                <w:spacing w:val="-10"/>
                <w:sz w:val="21"/>
              </w:rPr>
              <w:t>症</w:t>
            </w:r>
          </w:p>
        </w:tc>
        <w:tc>
          <w:tcPr>
            <w:tcW w:w="2304" w:type="dxa"/>
          </w:tcPr>
          <w:p>
            <w:pPr>
              <w:pStyle w:val="TableParagraph"/>
              <w:spacing w:line="240" w:lineRule="exact"/>
              <w:ind w:right="94"/>
              <w:rPr>
                <w:sz w:val="21"/>
              </w:rPr>
            </w:pPr>
            <w:r>
              <w:rPr>
                <w:sz w:val="21"/>
              </w:rPr>
              <w:t>20.中度进行性核上性</w:t>
            </w:r>
            <w:r>
              <w:rPr>
                <w:spacing w:val="-6"/>
                <w:sz w:val="21"/>
              </w:rPr>
              <w:t>麻痹</w:t>
            </w:r>
          </w:p>
        </w:tc>
        <w:tc>
          <w:tcPr>
            <w:tcW w:w="2386" w:type="dxa"/>
          </w:tcPr>
          <w:p>
            <w:pPr>
              <w:pStyle w:val="TableParagraph"/>
              <w:spacing w:before="106"/>
              <w:rPr>
                <w:sz w:val="21"/>
              </w:rPr>
            </w:pPr>
            <w:r>
              <w:rPr>
                <w:spacing w:val="-2"/>
                <w:sz w:val="21"/>
              </w:rPr>
              <w:t>21.</w:t>
            </w:r>
            <w:r>
              <w:rPr>
                <w:spacing w:val="-4"/>
                <w:sz w:val="21"/>
              </w:rPr>
              <w:t>中度克雅氏症</w:t>
            </w:r>
          </w:p>
        </w:tc>
      </w:tr>
      <w:tr>
        <w:trPr>
          <w:trHeight w:val="478" w:hRule="atLeast"/>
        </w:trPr>
        <w:tc>
          <w:tcPr>
            <w:tcW w:w="2345" w:type="dxa"/>
          </w:tcPr>
          <w:p>
            <w:pPr>
              <w:pStyle w:val="TableParagraph"/>
              <w:spacing w:line="240" w:lineRule="exact"/>
              <w:ind w:right="94"/>
              <w:rPr>
                <w:sz w:val="21"/>
              </w:rPr>
            </w:pPr>
            <w:r>
              <w:rPr>
                <w:sz w:val="21"/>
              </w:rPr>
              <w:t>22</w:t>
            </w:r>
            <w:r>
              <w:rPr>
                <w:spacing w:val="7"/>
                <w:sz w:val="21"/>
              </w:rPr>
              <w:t>.中度脊髓小脑变性</w:t>
            </w:r>
            <w:r>
              <w:rPr>
                <w:spacing w:val="-10"/>
                <w:sz w:val="21"/>
              </w:rPr>
              <w:t>症</w:t>
            </w:r>
          </w:p>
        </w:tc>
        <w:tc>
          <w:tcPr>
            <w:tcW w:w="2304" w:type="dxa"/>
          </w:tcPr>
          <w:p>
            <w:pPr>
              <w:pStyle w:val="TableParagraph"/>
              <w:spacing w:before="105"/>
              <w:rPr>
                <w:sz w:val="21"/>
              </w:rPr>
            </w:pPr>
            <w:r>
              <w:rPr>
                <w:spacing w:val="-2"/>
                <w:sz w:val="21"/>
              </w:rPr>
              <w:t>23.</w:t>
            </w:r>
            <w:r>
              <w:rPr>
                <w:spacing w:val="-4"/>
                <w:sz w:val="21"/>
              </w:rPr>
              <w:t>中度强直性脊柱炎</w:t>
            </w:r>
          </w:p>
        </w:tc>
        <w:tc>
          <w:tcPr>
            <w:tcW w:w="2386" w:type="dxa"/>
          </w:tcPr>
          <w:p>
            <w:pPr>
              <w:pStyle w:val="TableParagraph"/>
              <w:spacing w:before="105"/>
              <w:rPr>
                <w:sz w:val="21"/>
              </w:rPr>
            </w:pPr>
            <w:r>
              <w:rPr>
                <w:spacing w:val="-2"/>
                <w:sz w:val="21"/>
              </w:rPr>
              <w:t>24.</w:t>
            </w:r>
            <w:r>
              <w:rPr>
                <w:spacing w:val="-4"/>
                <w:sz w:val="21"/>
              </w:rPr>
              <w:t>中度多发性硬化</w:t>
            </w:r>
          </w:p>
        </w:tc>
      </w:tr>
      <w:tr>
        <w:trPr>
          <w:trHeight w:val="329" w:hRule="atLeast"/>
        </w:trPr>
        <w:tc>
          <w:tcPr>
            <w:tcW w:w="2345" w:type="dxa"/>
          </w:tcPr>
          <w:p>
            <w:pPr>
              <w:pStyle w:val="TableParagraph"/>
              <w:spacing w:before="31"/>
              <w:rPr>
                <w:sz w:val="21"/>
              </w:rPr>
            </w:pPr>
            <w:r>
              <w:rPr>
                <w:spacing w:val="-2"/>
                <w:sz w:val="21"/>
              </w:rPr>
              <w:t>25.</w:t>
            </w:r>
            <w:r>
              <w:rPr>
                <w:spacing w:val="-4"/>
                <w:sz w:val="21"/>
              </w:rPr>
              <w:t>中度重症肌无力</w:t>
            </w:r>
          </w:p>
        </w:tc>
        <w:tc>
          <w:tcPr>
            <w:tcW w:w="2304" w:type="dxa"/>
          </w:tcPr>
          <w:p>
            <w:pPr>
              <w:pStyle w:val="TableParagraph"/>
              <w:ind w:left="0"/>
              <w:rPr>
                <w:rFonts w:ascii="Times New Roman"/>
                <w:sz w:val="20"/>
              </w:rPr>
            </w:pPr>
          </w:p>
        </w:tc>
        <w:tc>
          <w:tcPr>
            <w:tcW w:w="2386" w:type="dxa"/>
          </w:tcPr>
          <w:p>
            <w:pPr>
              <w:pStyle w:val="TableParagraph"/>
              <w:ind w:left="0"/>
              <w:rPr>
                <w:rFonts w:ascii="Times New Roman"/>
                <w:sz w:val="20"/>
              </w:rPr>
            </w:pPr>
          </w:p>
        </w:tc>
      </w:tr>
    </w:tbl>
    <w:p>
      <w:pPr>
        <w:spacing w:after="0"/>
        <w:rPr>
          <w:rFonts w:ascii="Times New Roman"/>
          <w:sz w:val="20"/>
        </w:rPr>
        <w:sectPr>
          <w:pgSz w:w="11910" w:h="16840"/>
          <w:pgMar w:header="0" w:footer="404" w:top="1080" w:bottom="600" w:left="860" w:right="340"/>
        </w:sectPr>
      </w:pPr>
    </w:p>
    <w:p>
      <w:pPr>
        <w:pStyle w:val="ListParagraph"/>
        <w:numPr>
          <w:ilvl w:val="1"/>
          <w:numId w:val="4"/>
        </w:numPr>
        <w:tabs>
          <w:tab w:pos="1121" w:val="left" w:leader="none"/>
        </w:tabs>
        <w:spacing w:line="278" w:lineRule="auto" w:before="49" w:after="0"/>
        <w:ind w:left="2738" w:right="666" w:hanging="2470"/>
        <w:jc w:val="both"/>
        <w:rPr>
          <w:sz w:val="21"/>
        </w:rPr>
      </w:pPr>
      <w:r>
        <w:rPr>
          <w:b/>
          <w:spacing w:val="23"/>
          <w:sz w:val="21"/>
        </w:rPr>
        <w:t>重大疾病名称 </w:t>
      </w:r>
      <w:r>
        <w:rPr>
          <w:spacing w:val="-3"/>
          <w:sz w:val="21"/>
        </w:rPr>
        <w:t>本合同所保障的重大疾病共 </w:t>
      </w:r>
      <w:r>
        <w:rPr>
          <w:sz w:val="21"/>
        </w:rPr>
        <w:t>110</w:t>
      </w:r>
      <w:r>
        <w:rPr>
          <w:spacing w:val="-8"/>
          <w:sz w:val="21"/>
        </w:rPr>
        <w:t> 种，其中前 </w:t>
      </w:r>
      <w:r>
        <w:rPr>
          <w:sz w:val="21"/>
        </w:rPr>
        <w:t>28</w:t>
      </w:r>
      <w:r>
        <w:rPr>
          <w:spacing w:val="-5"/>
          <w:sz w:val="21"/>
        </w:rPr>
        <w:t> 种重大疾病与《重大疾病保险的</w:t>
      </w:r>
      <w:r>
        <w:rPr>
          <w:sz w:val="21"/>
        </w:rPr>
        <w:t>疾病定义使用规范（2020 年修订版）》中重大疾病的疾病名称和疾病定义保持</w:t>
      </w:r>
      <w:r>
        <w:rPr>
          <w:spacing w:val="-2"/>
          <w:sz w:val="21"/>
        </w:rPr>
        <w:t>一致，其他重大疾病为本公司增加的重大疾病。</w:t>
      </w:r>
    </w:p>
    <w:p>
      <w:pPr>
        <w:pStyle w:val="Heading2"/>
        <w:spacing w:after="20"/>
        <w:ind w:left="2738"/>
        <w:jc w:val="both"/>
      </w:pPr>
      <w:r>
        <w:rPr/>
        <w:t>重大疾病的定义详见“10.3</w:t>
      </w:r>
      <w:r>
        <w:rPr>
          <w:spacing w:val="-4"/>
        </w:rPr>
        <w:t> 重大疾病定义”。</w:t>
      </w:r>
    </w:p>
    <w:tbl>
      <w:tblPr>
        <w:tblW w:w="0" w:type="auto"/>
        <w:jc w:val="left"/>
        <w:tblInd w:w="2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81"/>
        <w:gridCol w:w="2268"/>
        <w:gridCol w:w="2410"/>
      </w:tblGrid>
      <w:tr>
        <w:trPr>
          <w:trHeight w:val="313" w:hRule="atLeast"/>
        </w:trPr>
        <w:tc>
          <w:tcPr>
            <w:tcW w:w="7059" w:type="dxa"/>
            <w:gridSpan w:val="3"/>
          </w:tcPr>
          <w:p>
            <w:pPr>
              <w:pStyle w:val="TableParagraph"/>
              <w:spacing w:before="25"/>
              <w:ind w:left="2882" w:right="2874"/>
              <w:jc w:val="center"/>
              <w:rPr>
                <w:b/>
                <w:sz w:val="21"/>
              </w:rPr>
            </w:pPr>
            <w:r>
              <w:rPr>
                <w:b/>
                <w:spacing w:val="-2"/>
                <w:sz w:val="21"/>
              </w:rPr>
              <w:t>重大疾病名称</w:t>
            </w:r>
          </w:p>
        </w:tc>
      </w:tr>
      <w:tr>
        <w:trPr>
          <w:trHeight w:val="311" w:hRule="atLeast"/>
        </w:trPr>
        <w:tc>
          <w:tcPr>
            <w:tcW w:w="2381" w:type="dxa"/>
          </w:tcPr>
          <w:p>
            <w:pPr>
              <w:pStyle w:val="TableParagraph"/>
              <w:spacing w:before="22"/>
              <w:rPr>
                <w:sz w:val="21"/>
              </w:rPr>
            </w:pPr>
            <w:r>
              <w:rPr>
                <w:spacing w:val="-2"/>
                <w:sz w:val="21"/>
              </w:rPr>
              <w:t>1.</w:t>
            </w:r>
            <w:r>
              <w:rPr>
                <w:spacing w:val="-4"/>
                <w:sz w:val="21"/>
              </w:rPr>
              <w:t>恶性肿瘤——重度</w:t>
            </w:r>
          </w:p>
        </w:tc>
        <w:tc>
          <w:tcPr>
            <w:tcW w:w="2268" w:type="dxa"/>
          </w:tcPr>
          <w:p>
            <w:pPr>
              <w:pStyle w:val="TableParagraph"/>
              <w:spacing w:before="22"/>
              <w:rPr>
                <w:sz w:val="21"/>
              </w:rPr>
            </w:pPr>
            <w:r>
              <w:rPr>
                <w:spacing w:val="-2"/>
                <w:sz w:val="21"/>
              </w:rPr>
              <w:t>2.</w:t>
            </w:r>
            <w:r>
              <w:rPr>
                <w:spacing w:val="-4"/>
                <w:sz w:val="21"/>
              </w:rPr>
              <w:t>较重急性心肌梗死</w:t>
            </w:r>
          </w:p>
        </w:tc>
        <w:tc>
          <w:tcPr>
            <w:tcW w:w="2410" w:type="dxa"/>
          </w:tcPr>
          <w:p>
            <w:pPr>
              <w:pStyle w:val="TableParagraph"/>
              <w:spacing w:before="22"/>
              <w:rPr>
                <w:sz w:val="21"/>
              </w:rPr>
            </w:pPr>
            <w:r>
              <w:rPr>
                <w:spacing w:val="-2"/>
                <w:sz w:val="21"/>
              </w:rPr>
              <w:t>3.</w:t>
            </w:r>
            <w:r>
              <w:rPr>
                <w:spacing w:val="-4"/>
                <w:sz w:val="21"/>
              </w:rPr>
              <w:t>严重脑中风后遗症</w:t>
            </w:r>
          </w:p>
        </w:tc>
      </w:tr>
      <w:tr>
        <w:trPr>
          <w:trHeight w:val="935" w:hRule="atLeast"/>
        </w:trPr>
        <w:tc>
          <w:tcPr>
            <w:tcW w:w="2381" w:type="dxa"/>
          </w:tcPr>
          <w:p>
            <w:pPr>
              <w:pStyle w:val="TableParagraph"/>
              <w:spacing w:line="278" w:lineRule="auto" w:before="178"/>
              <w:ind w:right="94"/>
              <w:rPr>
                <w:sz w:val="21"/>
              </w:rPr>
            </w:pPr>
            <w:r>
              <w:rPr>
                <w:spacing w:val="-2"/>
                <w:sz w:val="21"/>
              </w:rPr>
              <w:t>4.重大器官移植术或造</w:t>
            </w:r>
            <w:r>
              <w:rPr>
                <w:spacing w:val="-2"/>
                <w:sz w:val="21"/>
              </w:rPr>
              <w:t>血干细胞移植术</w:t>
            </w:r>
          </w:p>
        </w:tc>
        <w:tc>
          <w:tcPr>
            <w:tcW w:w="2268" w:type="dxa"/>
          </w:tcPr>
          <w:p>
            <w:pPr>
              <w:pStyle w:val="TableParagraph"/>
              <w:spacing w:line="278" w:lineRule="auto" w:before="22"/>
              <w:ind w:right="74"/>
              <w:rPr>
                <w:sz w:val="21"/>
              </w:rPr>
            </w:pPr>
            <w:r>
              <w:rPr>
                <w:spacing w:val="-4"/>
                <w:sz w:val="21"/>
              </w:rPr>
              <w:t>5.冠状动脉搭桥术（或</w:t>
            </w:r>
            <w:r>
              <w:rPr>
                <w:spacing w:val="15"/>
                <w:sz w:val="21"/>
              </w:rPr>
              <w:t>称冠状动脉旁路移植</w:t>
            </w:r>
          </w:p>
          <w:p>
            <w:pPr>
              <w:pStyle w:val="TableParagraph"/>
              <w:spacing w:line="269" w:lineRule="exact"/>
              <w:rPr>
                <w:sz w:val="21"/>
              </w:rPr>
            </w:pPr>
            <w:r>
              <w:rPr>
                <w:sz w:val="21"/>
              </w:rPr>
              <w:t>术</w:t>
            </w:r>
            <w:r>
              <w:rPr>
                <w:spacing w:val="-10"/>
                <w:sz w:val="21"/>
              </w:rPr>
              <w:t>）</w:t>
            </w:r>
          </w:p>
        </w:tc>
        <w:tc>
          <w:tcPr>
            <w:tcW w:w="2410" w:type="dxa"/>
          </w:tcPr>
          <w:p>
            <w:pPr>
              <w:pStyle w:val="TableParagraph"/>
              <w:spacing w:before="1"/>
              <w:ind w:left="0"/>
              <w:rPr>
                <w:b/>
                <w:sz w:val="26"/>
              </w:rPr>
            </w:pPr>
          </w:p>
          <w:p>
            <w:pPr>
              <w:pStyle w:val="TableParagraph"/>
              <w:rPr>
                <w:sz w:val="21"/>
              </w:rPr>
            </w:pPr>
            <w:r>
              <w:rPr>
                <w:spacing w:val="-2"/>
                <w:sz w:val="21"/>
              </w:rPr>
              <w:t>6.</w:t>
            </w:r>
            <w:r>
              <w:rPr>
                <w:spacing w:val="-4"/>
                <w:sz w:val="21"/>
              </w:rPr>
              <w:t>严重慢性肾衰竭</w:t>
            </w:r>
          </w:p>
        </w:tc>
      </w:tr>
      <w:tr>
        <w:trPr>
          <w:trHeight w:val="623" w:hRule="atLeast"/>
        </w:trPr>
        <w:tc>
          <w:tcPr>
            <w:tcW w:w="2381" w:type="dxa"/>
          </w:tcPr>
          <w:p>
            <w:pPr>
              <w:pStyle w:val="TableParagraph"/>
              <w:spacing w:before="178"/>
              <w:rPr>
                <w:sz w:val="21"/>
              </w:rPr>
            </w:pPr>
            <w:r>
              <w:rPr>
                <w:spacing w:val="-2"/>
                <w:sz w:val="21"/>
              </w:rPr>
              <w:t>7.</w:t>
            </w:r>
            <w:r>
              <w:rPr>
                <w:spacing w:val="-4"/>
                <w:sz w:val="21"/>
              </w:rPr>
              <w:t>多个肢体缺失</w:t>
            </w:r>
          </w:p>
        </w:tc>
        <w:tc>
          <w:tcPr>
            <w:tcW w:w="2268" w:type="dxa"/>
          </w:tcPr>
          <w:p>
            <w:pPr>
              <w:pStyle w:val="TableParagraph"/>
              <w:spacing w:before="22"/>
              <w:rPr>
                <w:sz w:val="21"/>
              </w:rPr>
            </w:pPr>
            <w:r>
              <w:rPr>
                <w:sz w:val="21"/>
              </w:rPr>
              <w:t>8.</w:t>
            </w:r>
            <w:r>
              <w:rPr>
                <w:spacing w:val="4"/>
                <w:sz w:val="21"/>
              </w:rPr>
              <w:t> 急性重症肝炎或亚</w:t>
            </w:r>
          </w:p>
          <w:p>
            <w:pPr>
              <w:pStyle w:val="TableParagraph"/>
              <w:spacing w:before="43"/>
              <w:rPr>
                <w:sz w:val="21"/>
              </w:rPr>
            </w:pPr>
            <w:r>
              <w:rPr>
                <w:spacing w:val="-4"/>
                <w:sz w:val="21"/>
              </w:rPr>
              <w:t>急性重症肝炎</w:t>
            </w:r>
          </w:p>
        </w:tc>
        <w:tc>
          <w:tcPr>
            <w:tcW w:w="2410" w:type="dxa"/>
          </w:tcPr>
          <w:p>
            <w:pPr>
              <w:pStyle w:val="TableParagraph"/>
              <w:spacing w:before="178"/>
              <w:rPr>
                <w:sz w:val="21"/>
              </w:rPr>
            </w:pPr>
            <w:r>
              <w:rPr>
                <w:spacing w:val="-2"/>
                <w:sz w:val="21"/>
              </w:rPr>
              <w:t>9.</w:t>
            </w:r>
            <w:r>
              <w:rPr>
                <w:spacing w:val="-3"/>
                <w:sz w:val="21"/>
              </w:rPr>
              <w:t>严重非恶性颅内肿瘤</w:t>
            </w:r>
          </w:p>
        </w:tc>
      </w:tr>
      <w:tr>
        <w:trPr>
          <w:trHeight w:val="624" w:hRule="atLeast"/>
        </w:trPr>
        <w:tc>
          <w:tcPr>
            <w:tcW w:w="2381" w:type="dxa"/>
          </w:tcPr>
          <w:p>
            <w:pPr>
              <w:pStyle w:val="TableParagraph"/>
              <w:spacing w:before="178"/>
              <w:rPr>
                <w:sz w:val="21"/>
              </w:rPr>
            </w:pPr>
            <w:r>
              <w:rPr>
                <w:spacing w:val="-2"/>
                <w:sz w:val="21"/>
              </w:rPr>
              <w:t>10.</w:t>
            </w:r>
            <w:r>
              <w:rPr>
                <w:spacing w:val="-4"/>
                <w:sz w:val="21"/>
              </w:rPr>
              <w:t>严重慢性肝衰竭</w:t>
            </w:r>
          </w:p>
        </w:tc>
        <w:tc>
          <w:tcPr>
            <w:tcW w:w="2268" w:type="dxa"/>
          </w:tcPr>
          <w:p>
            <w:pPr>
              <w:pStyle w:val="TableParagraph"/>
              <w:spacing w:before="22"/>
              <w:rPr>
                <w:sz w:val="21"/>
              </w:rPr>
            </w:pPr>
            <w:r>
              <w:rPr>
                <w:sz w:val="21"/>
              </w:rPr>
              <w:t>11</w:t>
            </w:r>
            <w:r>
              <w:rPr>
                <w:spacing w:val="-2"/>
                <w:sz w:val="21"/>
              </w:rPr>
              <w:t>.严重脑炎后遗症或</w:t>
            </w:r>
          </w:p>
          <w:p>
            <w:pPr>
              <w:pStyle w:val="TableParagraph"/>
              <w:spacing w:before="44"/>
              <w:rPr>
                <w:sz w:val="21"/>
              </w:rPr>
            </w:pPr>
            <w:r>
              <w:rPr>
                <w:spacing w:val="-4"/>
                <w:sz w:val="21"/>
              </w:rPr>
              <w:t>严重脑膜炎后遗症</w:t>
            </w:r>
          </w:p>
        </w:tc>
        <w:tc>
          <w:tcPr>
            <w:tcW w:w="2410" w:type="dxa"/>
          </w:tcPr>
          <w:p>
            <w:pPr>
              <w:pStyle w:val="TableParagraph"/>
              <w:spacing w:before="178"/>
              <w:rPr>
                <w:sz w:val="21"/>
              </w:rPr>
            </w:pPr>
            <w:r>
              <w:rPr>
                <w:spacing w:val="-2"/>
                <w:sz w:val="21"/>
              </w:rPr>
              <w:t>12.</w:t>
            </w:r>
            <w:r>
              <w:rPr>
                <w:spacing w:val="-4"/>
                <w:sz w:val="21"/>
              </w:rPr>
              <w:t>深度昏迷</w:t>
            </w:r>
          </w:p>
        </w:tc>
      </w:tr>
      <w:tr>
        <w:trPr>
          <w:trHeight w:val="311" w:hRule="atLeast"/>
        </w:trPr>
        <w:tc>
          <w:tcPr>
            <w:tcW w:w="2381" w:type="dxa"/>
          </w:tcPr>
          <w:p>
            <w:pPr>
              <w:pStyle w:val="TableParagraph"/>
              <w:spacing w:before="22"/>
              <w:rPr>
                <w:sz w:val="21"/>
              </w:rPr>
            </w:pPr>
            <w:r>
              <w:rPr>
                <w:spacing w:val="-2"/>
                <w:sz w:val="21"/>
              </w:rPr>
              <w:t>13.</w:t>
            </w:r>
            <w:r>
              <w:rPr>
                <w:spacing w:val="-4"/>
                <w:sz w:val="21"/>
              </w:rPr>
              <w:t>双耳失聪</w:t>
            </w:r>
          </w:p>
        </w:tc>
        <w:tc>
          <w:tcPr>
            <w:tcW w:w="2268" w:type="dxa"/>
          </w:tcPr>
          <w:p>
            <w:pPr>
              <w:pStyle w:val="TableParagraph"/>
              <w:spacing w:before="22"/>
              <w:rPr>
                <w:sz w:val="21"/>
              </w:rPr>
            </w:pPr>
            <w:r>
              <w:rPr>
                <w:spacing w:val="-2"/>
                <w:sz w:val="21"/>
              </w:rPr>
              <w:t>14.</w:t>
            </w:r>
            <w:r>
              <w:rPr>
                <w:spacing w:val="-4"/>
                <w:sz w:val="21"/>
              </w:rPr>
              <w:t>双目失明</w:t>
            </w:r>
          </w:p>
        </w:tc>
        <w:tc>
          <w:tcPr>
            <w:tcW w:w="2410" w:type="dxa"/>
          </w:tcPr>
          <w:p>
            <w:pPr>
              <w:pStyle w:val="TableParagraph"/>
              <w:spacing w:before="22"/>
              <w:rPr>
                <w:sz w:val="21"/>
              </w:rPr>
            </w:pPr>
            <w:r>
              <w:rPr>
                <w:spacing w:val="-2"/>
                <w:sz w:val="21"/>
              </w:rPr>
              <w:t>15.</w:t>
            </w:r>
            <w:r>
              <w:rPr>
                <w:spacing w:val="-6"/>
                <w:sz w:val="21"/>
              </w:rPr>
              <w:t>瘫痪</w:t>
            </w:r>
          </w:p>
        </w:tc>
      </w:tr>
      <w:tr>
        <w:trPr>
          <w:trHeight w:val="314" w:hRule="atLeast"/>
        </w:trPr>
        <w:tc>
          <w:tcPr>
            <w:tcW w:w="2381" w:type="dxa"/>
          </w:tcPr>
          <w:p>
            <w:pPr>
              <w:pStyle w:val="TableParagraph"/>
              <w:spacing w:before="25"/>
              <w:rPr>
                <w:sz w:val="21"/>
              </w:rPr>
            </w:pPr>
            <w:r>
              <w:rPr>
                <w:spacing w:val="-2"/>
                <w:sz w:val="21"/>
              </w:rPr>
              <w:t>16.</w:t>
            </w:r>
            <w:r>
              <w:rPr>
                <w:spacing w:val="-4"/>
                <w:sz w:val="21"/>
              </w:rPr>
              <w:t>心脏瓣膜手术</w:t>
            </w:r>
          </w:p>
        </w:tc>
        <w:tc>
          <w:tcPr>
            <w:tcW w:w="2268" w:type="dxa"/>
          </w:tcPr>
          <w:p>
            <w:pPr>
              <w:pStyle w:val="TableParagraph"/>
              <w:spacing w:before="25"/>
              <w:rPr>
                <w:sz w:val="21"/>
              </w:rPr>
            </w:pPr>
            <w:r>
              <w:rPr>
                <w:spacing w:val="-2"/>
                <w:sz w:val="21"/>
              </w:rPr>
              <w:t>17.</w:t>
            </w:r>
            <w:r>
              <w:rPr>
                <w:spacing w:val="-4"/>
                <w:sz w:val="21"/>
              </w:rPr>
              <w:t>严重阿尔茨海默病</w:t>
            </w:r>
          </w:p>
        </w:tc>
        <w:tc>
          <w:tcPr>
            <w:tcW w:w="2410" w:type="dxa"/>
          </w:tcPr>
          <w:p>
            <w:pPr>
              <w:pStyle w:val="TableParagraph"/>
              <w:spacing w:before="25"/>
              <w:rPr>
                <w:sz w:val="21"/>
              </w:rPr>
            </w:pPr>
            <w:r>
              <w:rPr>
                <w:spacing w:val="-2"/>
                <w:sz w:val="21"/>
              </w:rPr>
              <w:t>18.</w:t>
            </w:r>
            <w:r>
              <w:rPr>
                <w:spacing w:val="-4"/>
                <w:sz w:val="21"/>
              </w:rPr>
              <w:t>严重脑损伤</w:t>
            </w:r>
          </w:p>
        </w:tc>
      </w:tr>
      <w:tr>
        <w:trPr>
          <w:trHeight w:val="623" w:hRule="atLeast"/>
        </w:trPr>
        <w:tc>
          <w:tcPr>
            <w:tcW w:w="2381" w:type="dxa"/>
          </w:tcPr>
          <w:p>
            <w:pPr>
              <w:pStyle w:val="TableParagraph"/>
              <w:spacing w:before="22"/>
              <w:rPr>
                <w:sz w:val="21"/>
              </w:rPr>
            </w:pPr>
            <w:r>
              <w:rPr>
                <w:sz w:val="21"/>
              </w:rPr>
              <w:t>19.</w:t>
            </w:r>
            <w:r>
              <w:rPr>
                <w:spacing w:val="2"/>
                <w:sz w:val="21"/>
              </w:rPr>
              <w:t> 严重原发性帕金森</w:t>
            </w:r>
          </w:p>
          <w:p>
            <w:pPr>
              <w:pStyle w:val="TableParagraph"/>
              <w:spacing w:before="43"/>
              <w:rPr>
                <w:sz w:val="21"/>
              </w:rPr>
            </w:pPr>
            <w:r>
              <w:rPr>
                <w:w w:val="100"/>
                <w:sz w:val="21"/>
              </w:rPr>
              <w:t>病</w:t>
            </w:r>
          </w:p>
        </w:tc>
        <w:tc>
          <w:tcPr>
            <w:tcW w:w="2268" w:type="dxa"/>
          </w:tcPr>
          <w:p>
            <w:pPr>
              <w:pStyle w:val="TableParagraph"/>
              <w:spacing w:before="178"/>
              <w:rPr>
                <w:sz w:val="21"/>
              </w:rPr>
            </w:pPr>
            <w:r>
              <w:rPr>
                <w:spacing w:val="-2"/>
                <w:sz w:val="21"/>
              </w:rPr>
              <w:t>20.</w:t>
            </w:r>
            <w:r>
              <w:rPr>
                <w:spacing w:val="-4"/>
                <w:sz w:val="21"/>
              </w:rPr>
              <w:t>严重Ⅲ度烧伤</w:t>
            </w:r>
          </w:p>
        </w:tc>
        <w:tc>
          <w:tcPr>
            <w:tcW w:w="2410" w:type="dxa"/>
          </w:tcPr>
          <w:p>
            <w:pPr>
              <w:pStyle w:val="TableParagraph"/>
              <w:spacing w:before="22"/>
              <w:rPr>
                <w:sz w:val="21"/>
              </w:rPr>
            </w:pPr>
            <w:r>
              <w:rPr>
                <w:sz w:val="21"/>
              </w:rPr>
              <w:t>21.</w:t>
            </w:r>
            <w:r>
              <w:rPr>
                <w:spacing w:val="6"/>
                <w:sz w:val="21"/>
              </w:rPr>
              <w:t> 严重特发性肺动脉</w:t>
            </w:r>
          </w:p>
          <w:p>
            <w:pPr>
              <w:pStyle w:val="TableParagraph"/>
              <w:spacing w:before="43"/>
              <w:rPr>
                <w:sz w:val="21"/>
              </w:rPr>
            </w:pPr>
            <w:r>
              <w:rPr>
                <w:spacing w:val="-5"/>
                <w:sz w:val="21"/>
              </w:rPr>
              <w:t>高压</w:t>
            </w:r>
          </w:p>
        </w:tc>
      </w:tr>
      <w:tr>
        <w:trPr>
          <w:trHeight w:val="623" w:hRule="atLeast"/>
        </w:trPr>
        <w:tc>
          <w:tcPr>
            <w:tcW w:w="2381" w:type="dxa"/>
          </w:tcPr>
          <w:p>
            <w:pPr>
              <w:pStyle w:val="TableParagraph"/>
              <w:spacing w:before="178"/>
              <w:rPr>
                <w:sz w:val="21"/>
              </w:rPr>
            </w:pPr>
            <w:r>
              <w:rPr>
                <w:spacing w:val="-2"/>
                <w:sz w:val="21"/>
              </w:rPr>
              <w:t>22.</w:t>
            </w:r>
            <w:r>
              <w:rPr>
                <w:spacing w:val="-4"/>
                <w:sz w:val="21"/>
              </w:rPr>
              <w:t>严重运动神经元病</w:t>
            </w:r>
          </w:p>
        </w:tc>
        <w:tc>
          <w:tcPr>
            <w:tcW w:w="2268" w:type="dxa"/>
          </w:tcPr>
          <w:p>
            <w:pPr>
              <w:pStyle w:val="TableParagraph"/>
              <w:spacing w:before="178"/>
              <w:rPr>
                <w:sz w:val="21"/>
              </w:rPr>
            </w:pPr>
            <w:r>
              <w:rPr>
                <w:spacing w:val="-2"/>
                <w:sz w:val="21"/>
              </w:rPr>
              <w:t>23.</w:t>
            </w:r>
            <w:r>
              <w:rPr>
                <w:spacing w:val="-4"/>
                <w:sz w:val="21"/>
              </w:rPr>
              <w:t>语言能力丧失</w:t>
            </w:r>
          </w:p>
        </w:tc>
        <w:tc>
          <w:tcPr>
            <w:tcW w:w="2410" w:type="dxa"/>
          </w:tcPr>
          <w:p>
            <w:pPr>
              <w:pStyle w:val="TableParagraph"/>
              <w:spacing w:before="22"/>
              <w:rPr>
                <w:sz w:val="21"/>
              </w:rPr>
            </w:pPr>
            <w:r>
              <w:rPr>
                <w:sz w:val="21"/>
              </w:rPr>
              <w:t>24.</w:t>
            </w:r>
            <w:r>
              <w:rPr>
                <w:spacing w:val="6"/>
                <w:sz w:val="21"/>
              </w:rPr>
              <w:t> 重型再生障碍性贫</w:t>
            </w:r>
          </w:p>
          <w:p>
            <w:pPr>
              <w:pStyle w:val="TableParagraph"/>
              <w:spacing w:before="43"/>
              <w:rPr>
                <w:sz w:val="21"/>
              </w:rPr>
            </w:pPr>
            <w:r>
              <w:rPr>
                <w:w w:val="100"/>
                <w:sz w:val="21"/>
              </w:rPr>
              <w:t>血</w:t>
            </w:r>
          </w:p>
        </w:tc>
      </w:tr>
      <w:tr>
        <w:trPr>
          <w:trHeight w:val="311" w:hRule="atLeast"/>
        </w:trPr>
        <w:tc>
          <w:tcPr>
            <w:tcW w:w="2381" w:type="dxa"/>
          </w:tcPr>
          <w:p>
            <w:pPr>
              <w:pStyle w:val="TableParagraph"/>
              <w:spacing w:before="22"/>
              <w:rPr>
                <w:sz w:val="21"/>
              </w:rPr>
            </w:pPr>
            <w:r>
              <w:rPr>
                <w:spacing w:val="-2"/>
                <w:sz w:val="21"/>
              </w:rPr>
              <w:t>25.</w:t>
            </w:r>
            <w:r>
              <w:rPr>
                <w:spacing w:val="-4"/>
                <w:sz w:val="21"/>
              </w:rPr>
              <w:t>主动脉手术</w:t>
            </w:r>
          </w:p>
        </w:tc>
        <w:tc>
          <w:tcPr>
            <w:tcW w:w="2268" w:type="dxa"/>
          </w:tcPr>
          <w:p>
            <w:pPr>
              <w:pStyle w:val="TableParagraph"/>
              <w:spacing w:before="22"/>
              <w:rPr>
                <w:sz w:val="21"/>
              </w:rPr>
            </w:pPr>
            <w:r>
              <w:rPr>
                <w:spacing w:val="-2"/>
                <w:sz w:val="21"/>
              </w:rPr>
              <w:t>26.</w:t>
            </w:r>
            <w:r>
              <w:rPr>
                <w:spacing w:val="-4"/>
                <w:sz w:val="21"/>
              </w:rPr>
              <w:t>严重慢性呼吸衰竭</w:t>
            </w:r>
          </w:p>
        </w:tc>
        <w:tc>
          <w:tcPr>
            <w:tcW w:w="2410" w:type="dxa"/>
          </w:tcPr>
          <w:p>
            <w:pPr>
              <w:pStyle w:val="TableParagraph"/>
              <w:spacing w:before="22"/>
              <w:rPr>
                <w:sz w:val="21"/>
              </w:rPr>
            </w:pPr>
            <w:r>
              <w:rPr>
                <w:spacing w:val="-2"/>
                <w:sz w:val="21"/>
              </w:rPr>
              <w:t>27.</w:t>
            </w:r>
            <w:r>
              <w:rPr>
                <w:spacing w:val="-4"/>
                <w:sz w:val="21"/>
              </w:rPr>
              <w:t>严重克罗恩病</w:t>
            </w:r>
          </w:p>
        </w:tc>
      </w:tr>
      <w:tr>
        <w:trPr>
          <w:trHeight w:val="623" w:hRule="atLeast"/>
        </w:trPr>
        <w:tc>
          <w:tcPr>
            <w:tcW w:w="2381" w:type="dxa"/>
          </w:tcPr>
          <w:p>
            <w:pPr>
              <w:pStyle w:val="TableParagraph"/>
              <w:spacing w:before="178"/>
              <w:rPr>
                <w:sz w:val="21"/>
              </w:rPr>
            </w:pPr>
            <w:r>
              <w:rPr>
                <w:spacing w:val="-2"/>
                <w:sz w:val="21"/>
              </w:rPr>
              <w:t>28.</w:t>
            </w:r>
            <w:r>
              <w:rPr>
                <w:spacing w:val="-4"/>
                <w:sz w:val="21"/>
              </w:rPr>
              <w:t>严重溃疡性结肠炎</w:t>
            </w:r>
          </w:p>
        </w:tc>
        <w:tc>
          <w:tcPr>
            <w:tcW w:w="2268" w:type="dxa"/>
          </w:tcPr>
          <w:p>
            <w:pPr>
              <w:pStyle w:val="TableParagraph"/>
              <w:spacing w:before="22"/>
              <w:rPr>
                <w:sz w:val="21"/>
              </w:rPr>
            </w:pPr>
            <w:r>
              <w:rPr>
                <w:sz w:val="21"/>
              </w:rPr>
              <w:t>29</w:t>
            </w:r>
            <w:r>
              <w:rPr>
                <w:spacing w:val="-2"/>
                <w:sz w:val="21"/>
              </w:rPr>
              <w:t>.严重冠状动脉粥样</w:t>
            </w:r>
          </w:p>
          <w:p>
            <w:pPr>
              <w:pStyle w:val="TableParagraph"/>
              <w:spacing w:before="43"/>
              <w:rPr>
                <w:sz w:val="21"/>
              </w:rPr>
            </w:pPr>
            <w:r>
              <w:rPr>
                <w:spacing w:val="-4"/>
                <w:sz w:val="21"/>
              </w:rPr>
              <w:t>硬化性心脏病</w:t>
            </w:r>
          </w:p>
        </w:tc>
        <w:tc>
          <w:tcPr>
            <w:tcW w:w="2410" w:type="dxa"/>
          </w:tcPr>
          <w:p>
            <w:pPr>
              <w:pStyle w:val="TableParagraph"/>
              <w:spacing w:before="178"/>
              <w:rPr>
                <w:sz w:val="21"/>
              </w:rPr>
            </w:pPr>
            <w:r>
              <w:rPr>
                <w:spacing w:val="-2"/>
                <w:sz w:val="21"/>
              </w:rPr>
              <w:t>30.</w:t>
            </w:r>
            <w:r>
              <w:rPr>
                <w:spacing w:val="-4"/>
                <w:sz w:val="21"/>
              </w:rPr>
              <w:t>严重心肌病</w:t>
            </w:r>
          </w:p>
        </w:tc>
      </w:tr>
      <w:tr>
        <w:trPr>
          <w:trHeight w:val="311" w:hRule="atLeast"/>
        </w:trPr>
        <w:tc>
          <w:tcPr>
            <w:tcW w:w="2381" w:type="dxa"/>
          </w:tcPr>
          <w:p>
            <w:pPr>
              <w:pStyle w:val="TableParagraph"/>
              <w:spacing w:before="22"/>
              <w:rPr>
                <w:sz w:val="21"/>
              </w:rPr>
            </w:pPr>
            <w:r>
              <w:rPr>
                <w:spacing w:val="-2"/>
                <w:sz w:val="21"/>
              </w:rPr>
              <w:t>31.</w:t>
            </w:r>
            <w:r>
              <w:rPr>
                <w:spacing w:val="-4"/>
                <w:sz w:val="21"/>
              </w:rPr>
              <w:t>严重心肌炎</w:t>
            </w:r>
          </w:p>
        </w:tc>
        <w:tc>
          <w:tcPr>
            <w:tcW w:w="2268" w:type="dxa"/>
          </w:tcPr>
          <w:p>
            <w:pPr>
              <w:pStyle w:val="TableParagraph"/>
              <w:spacing w:before="22"/>
              <w:rPr>
                <w:sz w:val="21"/>
              </w:rPr>
            </w:pPr>
            <w:r>
              <w:rPr>
                <w:spacing w:val="-2"/>
                <w:sz w:val="21"/>
              </w:rPr>
              <w:t>32.</w:t>
            </w:r>
            <w:r>
              <w:rPr>
                <w:spacing w:val="-4"/>
                <w:sz w:val="21"/>
              </w:rPr>
              <w:t>Ⅲ度房室传导阻滞</w:t>
            </w:r>
          </w:p>
        </w:tc>
        <w:tc>
          <w:tcPr>
            <w:tcW w:w="2410" w:type="dxa"/>
          </w:tcPr>
          <w:p>
            <w:pPr>
              <w:pStyle w:val="TableParagraph"/>
              <w:spacing w:before="22"/>
              <w:rPr>
                <w:sz w:val="21"/>
              </w:rPr>
            </w:pPr>
            <w:r>
              <w:rPr>
                <w:spacing w:val="-2"/>
                <w:sz w:val="21"/>
              </w:rPr>
              <w:t>33.</w:t>
            </w:r>
            <w:r>
              <w:rPr>
                <w:spacing w:val="-4"/>
                <w:sz w:val="21"/>
              </w:rPr>
              <w:t>感染性心内膜炎</w:t>
            </w:r>
          </w:p>
        </w:tc>
      </w:tr>
      <w:tr>
        <w:trPr>
          <w:trHeight w:val="626" w:hRule="atLeast"/>
        </w:trPr>
        <w:tc>
          <w:tcPr>
            <w:tcW w:w="2381" w:type="dxa"/>
          </w:tcPr>
          <w:p>
            <w:pPr>
              <w:pStyle w:val="TableParagraph"/>
              <w:spacing w:before="1"/>
              <w:ind w:left="0"/>
              <w:rPr>
                <w:b/>
                <w:sz w:val="14"/>
              </w:rPr>
            </w:pPr>
          </w:p>
          <w:p>
            <w:pPr>
              <w:pStyle w:val="TableParagraph"/>
              <w:rPr>
                <w:sz w:val="21"/>
              </w:rPr>
            </w:pPr>
            <w:r>
              <w:rPr>
                <w:spacing w:val="-2"/>
                <w:sz w:val="21"/>
              </w:rPr>
              <w:t>34.</w:t>
            </w:r>
            <w:r>
              <w:rPr>
                <w:spacing w:val="-4"/>
                <w:sz w:val="21"/>
              </w:rPr>
              <w:t>肺源性心脏病</w:t>
            </w:r>
          </w:p>
        </w:tc>
        <w:tc>
          <w:tcPr>
            <w:tcW w:w="2268" w:type="dxa"/>
          </w:tcPr>
          <w:p>
            <w:pPr>
              <w:pStyle w:val="TableParagraph"/>
              <w:spacing w:before="1"/>
              <w:ind w:left="0"/>
              <w:rPr>
                <w:b/>
                <w:sz w:val="14"/>
              </w:rPr>
            </w:pPr>
          </w:p>
          <w:p>
            <w:pPr>
              <w:pStyle w:val="TableParagraph"/>
              <w:rPr>
                <w:sz w:val="21"/>
              </w:rPr>
            </w:pPr>
            <w:r>
              <w:rPr>
                <w:spacing w:val="-2"/>
                <w:sz w:val="21"/>
              </w:rPr>
              <w:t>35.</w:t>
            </w:r>
            <w:r>
              <w:rPr>
                <w:spacing w:val="-4"/>
                <w:sz w:val="21"/>
              </w:rPr>
              <w:t>嗜铬细胞瘤</w:t>
            </w:r>
          </w:p>
        </w:tc>
        <w:tc>
          <w:tcPr>
            <w:tcW w:w="2410" w:type="dxa"/>
          </w:tcPr>
          <w:p>
            <w:pPr>
              <w:pStyle w:val="TableParagraph"/>
              <w:spacing w:before="25"/>
              <w:rPr>
                <w:sz w:val="21"/>
              </w:rPr>
            </w:pPr>
            <w:r>
              <w:rPr>
                <w:sz w:val="21"/>
              </w:rPr>
              <w:t>36.</w:t>
            </w:r>
            <w:r>
              <w:rPr>
                <w:spacing w:val="6"/>
                <w:sz w:val="21"/>
              </w:rPr>
              <w:t> 严重慢性缩窄性心</w:t>
            </w:r>
          </w:p>
          <w:p>
            <w:pPr>
              <w:pStyle w:val="TableParagraph"/>
              <w:spacing w:before="43"/>
              <w:rPr>
                <w:sz w:val="21"/>
              </w:rPr>
            </w:pPr>
            <w:r>
              <w:rPr>
                <w:spacing w:val="-5"/>
                <w:sz w:val="21"/>
              </w:rPr>
              <w:t>包炎</w:t>
            </w:r>
          </w:p>
        </w:tc>
      </w:tr>
      <w:tr>
        <w:trPr>
          <w:trHeight w:val="623" w:hRule="atLeast"/>
        </w:trPr>
        <w:tc>
          <w:tcPr>
            <w:tcW w:w="2381" w:type="dxa"/>
          </w:tcPr>
          <w:p>
            <w:pPr>
              <w:pStyle w:val="TableParagraph"/>
              <w:spacing w:before="178"/>
              <w:rPr>
                <w:sz w:val="21"/>
              </w:rPr>
            </w:pPr>
            <w:r>
              <w:rPr>
                <w:spacing w:val="-2"/>
                <w:sz w:val="21"/>
              </w:rPr>
              <w:t>37.</w:t>
            </w:r>
            <w:r>
              <w:rPr>
                <w:spacing w:val="-4"/>
                <w:sz w:val="21"/>
              </w:rPr>
              <w:t>主动脉夹层瘤</w:t>
            </w:r>
          </w:p>
        </w:tc>
        <w:tc>
          <w:tcPr>
            <w:tcW w:w="2268" w:type="dxa"/>
          </w:tcPr>
          <w:p>
            <w:pPr>
              <w:pStyle w:val="TableParagraph"/>
              <w:spacing w:before="178"/>
              <w:rPr>
                <w:sz w:val="21"/>
              </w:rPr>
            </w:pPr>
            <w:r>
              <w:rPr>
                <w:spacing w:val="-2"/>
                <w:sz w:val="21"/>
              </w:rPr>
              <w:t>38.</w:t>
            </w:r>
            <w:r>
              <w:rPr>
                <w:spacing w:val="-4"/>
                <w:sz w:val="21"/>
              </w:rPr>
              <w:t>艾森门格综合征</w:t>
            </w:r>
          </w:p>
        </w:tc>
        <w:tc>
          <w:tcPr>
            <w:tcW w:w="2410" w:type="dxa"/>
          </w:tcPr>
          <w:p>
            <w:pPr>
              <w:pStyle w:val="TableParagraph"/>
              <w:spacing w:before="22"/>
              <w:rPr>
                <w:sz w:val="21"/>
              </w:rPr>
            </w:pPr>
            <w:r>
              <w:rPr>
                <w:sz w:val="21"/>
              </w:rPr>
              <w:t>39.</w:t>
            </w:r>
            <w:r>
              <w:rPr>
                <w:spacing w:val="6"/>
                <w:sz w:val="21"/>
              </w:rPr>
              <w:t> 严重继发性肺动脉</w:t>
            </w:r>
          </w:p>
          <w:p>
            <w:pPr>
              <w:pStyle w:val="TableParagraph"/>
              <w:spacing w:before="43"/>
              <w:rPr>
                <w:sz w:val="21"/>
              </w:rPr>
            </w:pPr>
            <w:r>
              <w:rPr>
                <w:spacing w:val="-5"/>
                <w:sz w:val="21"/>
              </w:rPr>
              <w:t>高压</w:t>
            </w:r>
          </w:p>
        </w:tc>
      </w:tr>
      <w:tr>
        <w:trPr>
          <w:trHeight w:val="311" w:hRule="atLeast"/>
        </w:trPr>
        <w:tc>
          <w:tcPr>
            <w:tcW w:w="2381" w:type="dxa"/>
          </w:tcPr>
          <w:p>
            <w:pPr>
              <w:pStyle w:val="TableParagraph"/>
              <w:spacing w:before="22"/>
              <w:rPr>
                <w:sz w:val="21"/>
              </w:rPr>
            </w:pPr>
            <w:r>
              <w:rPr>
                <w:spacing w:val="-2"/>
                <w:sz w:val="21"/>
              </w:rPr>
              <w:t>40.</w:t>
            </w:r>
            <w:r>
              <w:rPr>
                <w:spacing w:val="-4"/>
                <w:sz w:val="21"/>
              </w:rPr>
              <w:t>主动脉夹层血肿</w:t>
            </w:r>
          </w:p>
        </w:tc>
        <w:tc>
          <w:tcPr>
            <w:tcW w:w="2268" w:type="dxa"/>
          </w:tcPr>
          <w:p>
            <w:pPr>
              <w:pStyle w:val="TableParagraph"/>
              <w:spacing w:before="22"/>
              <w:rPr>
                <w:sz w:val="21"/>
              </w:rPr>
            </w:pPr>
            <w:r>
              <w:rPr>
                <w:spacing w:val="-2"/>
                <w:sz w:val="21"/>
              </w:rPr>
              <w:t>41.</w:t>
            </w:r>
            <w:r>
              <w:rPr>
                <w:spacing w:val="-4"/>
                <w:sz w:val="21"/>
              </w:rPr>
              <w:t>严重大动脉炎</w:t>
            </w:r>
          </w:p>
        </w:tc>
        <w:tc>
          <w:tcPr>
            <w:tcW w:w="2410" w:type="dxa"/>
          </w:tcPr>
          <w:p>
            <w:pPr>
              <w:pStyle w:val="TableParagraph"/>
              <w:spacing w:before="22"/>
              <w:rPr>
                <w:sz w:val="21"/>
              </w:rPr>
            </w:pPr>
            <w:r>
              <w:rPr>
                <w:spacing w:val="-2"/>
                <w:sz w:val="21"/>
              </w:rPr>
              <w:t>42.</w:t>
            </w:r>
            <w:r>
              <w:rPr>
                <w:spacing w:val="-4"/>
                <w:sz w:val="21"/>
              </w:rPr>
              <w:t>皮质基底节变性</w:t>
            </w:r>
          </w:p>
        </w:tc>
      </w:tr>
      <w:tr>
        <w:trPr>
          <w:trHeight w:val="479" w:hRule="atLeast"/>
        </w:trPr>
        <w:tc>
          <w:tcPr>
            <w:tcW w:w="2381" w:type="dxa"/>
          </w:tcPr>
          <w:p>
            <w:pPr>
              <w:pStyle w:val="TableParagraph"/>
              <w:spacing w:line="240" w:lineRule="exact"/>
              <w:ind w:right="94"/>
              <w:rPr>
                <w:sz w:val="21"/>
              </w:rPr>
            </w:pPr>
            <w:r>
              <w:rPr>
                <w:sz w:val="21"/>
              </w:rPr>
              <w:t>43.</w:t>
            </w:r>
            <w:r>
              <w:rPr>
                <w:spacing w:val="3"/>
                <w:sz w:val="21"/>
              </w:rPr>
              <w:t> 破裂脑动脉瘤夹闭</w:t>
            </w:r>
            <w:r>
              <w:rPr>
                <w:spacing w:val="-6"/>
                <w:sz w:val="21"/>
              </w:rPr>
              <w:t>手术</w:t>
            </w:r>
          </w:p>
        </w:tc>
        <w:tc>
          <w:tcPr>
            <w:tcW w:w="2268" w:type="dxa"/>
          </w:tcPr>
          <w:p>
            <w:pPr>
              <w:pStyle w:val="TableParagraph"/>
              <w:spacing w:before="106"/>
              <w:rPr>
                <w:sz w:val="21"/>
              </w:rPr>
            </w:pPr>
            <w:r>
              <w:rPr>
                <w:spacing w:val="-2"/>
                <w:sz w:val="21"/>
              </w:rPr>
              <w:t>44.</w:t>
            </w:r>
            <w:r>
              <w:rPr>
                <w:spacing w:val="-4"/>
                <w:sz w:val="21"/>
              </w:rPr>
              <w:t>严重肌营养不良症</w:t>
            </w:r>
          </w:p>
        </w:tc>
        <w:tc>
          <w:tcPr>
            <w:tcW w:w="2410" w:type="dxa"/>
          </w:tcPr>
          <w:p>
            <w:pPr>
              <w:pStyle w:val="TableParagraph"/>
              <w:spacing w:before="106"/>
              <w:rPr>
                <w:sz w:val="21"/>
              </w:rPr>
            </w:pPr>
            <w:r>
              <w:rPr>
                <w:spacing w:val="-2"/>
                <w:sz w:val="21"/>
              </w:rPr>
              <w:t>45.</w:t>
            </w:r>
            <w:r>
              <w:rPr>
                <w:spacing w:val="-4"/>
                <w:sz w:val="21"/>
              </w:rPr>
              <w:t>脊髓灰质炎</w:t>
            </w:r>
          </w:p>
        </w:tc>
      </w:tr>
      <w:tr>
        <w:trPr>
          <w:trHeight w:val="479" w:hRule="atLeast"/>
        </w:trPr>
        <w:tc>
          <w:tcPr>
            <w:tcW w:w="2381" w:type="dxa"/>
          </w:tcPr>
          <w:p>
            <w:pPr>
              <w:pStyle w:val="TableParagraph"/>
              <w:spacing w:before="106"/>
              <w:rPr>
                <w:sz w:val="21"/>
              </w:rPr>
            </w:pPr>
            <w:r>
              <w:rPr>
                <w:spacing w:val="-2"/>
                <w:sz w:val="21"/>
              </w:rPr>
              <w:t>46.</w:t>
            </w:r>
            <w:r>
              <w:rPr>
                <w:spacing w:val="-4"/>
                <w:sz w:val="21"/>
              </w:rPr>
              <w:t>植物人状态</w:t>
            </w:r>
          </w:p>
        </w:tc>
        <w:tc>
          <w:tcPr>
            <w:tcW w:w="2268" w:type="dxa"/>
          </w:tcPr>
          <w:p>
            <w:pPr>
              <w:pStyle w:val="TableParagraph"/>
              <w:spacing w:line="240" w:lineRule="exact"/>
              <w:ind w:right="94"/>
              <w:rPr>
                <w:sz w:val="21"/>
              </w:rPr>
            </w:pPr>
            <w:r>
              <w:rPr>
                <w:spacing w:val="-2"/>
                <w:sz w:val="21"/>
              </w:rPr>
              <w:t>47.非阿尔茨海默病所</w:t>
            </w:r>
            <w:r>
              <w:rPr>
                <w:spacing w:val="-2"/>
                <w:sz w:val="21"/>
              </w:rPr>
              <w:t>致严重痴呆</w:t>
            </w:r>
          </w:p>
        </w:tc>
        <w:tc>
          <w:tcPr>
            <w:tcW w:w="2410" w:type="dxa"/>
          </w:tcPr>
          <w:p>
            <w:pPr>
              <w:pStyle w:val="TableParagraph"/>
              <w:spacing w:before="106"/>
              <w:rPr>
                <w:sz w:val="21"/>
              </w:rPr>
            </w:pPr>
            <w:r>
              <w:rPr>
                <w:spacing w:val="-2"/>
                <w:sz w:val="21"/>
              </w:rPr>
              <w:t>48.</w:t>
            </w:r>
            <w:r>
              <w:rPr>
                <w:spacing w:val="-4"/>
                <w:sz w:val="21"/>
              </w:rPr>
              <w:t>严重多发性硬化</w:t>
            </w:r>
          </w:p>
        </w:tc>
      </w:tr>
      <w:tr>
        <w:trPr>
          <w:trHeight w:val="478" w:hRule="atLeast"/>
        </w:trPr>
        <w:tc>
          <w:tcPr>
            <w:tcW w:w="2381" w:type="dxa"/>
          </w:tcPr>
          <w:p>
            <w:pPr>
              <w:pStyle w:val="TableParagraph"/>
              <w:spacing w:line="240" w:lineRule="exact"/>
              <w:ind w:right="94"/>
              <w:rPr>
                <w:sz w:val="21"/>
              </w:rPr>
            </w:pPr>
            <w:r>
              <w:rPr>
                <w:sz w:val="21"/>
              </w:rPr>
              <w:t>49.</w:t>
            </w:r>
            <w:r>
              <w:rPr>
                <w:spacing w:val="3"/>
                <w:sz w:val="21"/>
              </w:rPr>
              <w:t> 严重全身性重症肌</w:t>
            </w:r>
            <w:r>
              <w:rPr>
                <w:spacing w:val="-6"/>
                <w:sz w:val="21"/>
              </w:rPr>
              <w:t>无力</w:t>
            </w:r>
          </w:p>
        </w:tc>
        <w:tc>
          <w:tcPr>
            <w:tcW w:w="2268" w:type="dxa"/>
          </w:tcPr>
          <w:p>
            <w:pPr>
              <w:pStyle w:val="TableParagraph"/>
              <w:spacing w:before="105"/>
              <w:rPr>
                <w:sz w:val="21"/>
              </w:rPr>
            </w:pPr>
            <w:r>
              <w:rPr>
                <w:spacing w:val="-2"/>
                <w:sz w:val="21"/>
              </w:rPr>
              <w:t>50.</w:t>
            </w:r>
            <w:r>
              <w:rPr>
                <w:spacing w:val="-4"/>
                <w:sz w:val="21"/>
              </w:rPr>
              <w:t>进行性核上性麻痹</w:t>
            </w:r>
          </w:p>
        </w:tc>
        <w:tc>
          <w:tcPr>
            <w:tcW w:w="2410" w:type="dxa"/>
          </w:tcPr>
          <w:p>
            <w:pPr>
              <w:pStyle w:val="TableParagraph"/>
              <w:spacing w:before="105"/>
              <w:rPr>
                <w:sz w:val="21"/>
              </w:rPr>
            </w:pPr>
            <w:r>
              <w:rPr>
                <w:spacing w:val="-2"/>
                <w:sz w:val="21"/>
              </w:rPr>
              <w:t>51.</w:t>
            </w:r>
            <w:r>
              <w:rPr>
                <w:spacing w:val="-4"/>
                <w:sz w:val="21"/>
              </w:rPr>
              <w:t>颅脑手术</w:t>
            </w:r>
          </w:p>
        </w:tc>
      </w:tr>
      <w:tr>
        <w:trPr>
          <w:trHeight w:val="240" w:hRule="atLeast"/>
        </w:trPr>
        <w:tc>
          <w:tcPr>
            <w:tcW w:w="2381" w:type="dxa"/>
          </w:tcPr>
          <w:p>
            <w:pPr>
              <w:pStyle w:val="TableParagraph"/>
              <w:spacing w:line="221" w:lineRule="exact"/>
              <w:rPr>
                <w:sz w:val="21"/>
              </w:rPr>
            </w:pPr>
            <w:r>
              <w:rPr>
                <w:spacing w:val="-2"/>
                <w:sz w:val="21"/>
              </w:rPr>
              <w:t>52.</w:t>
            </w:r>
            <w:r>
              <w:rPr>
                <w:spacing w:val="-4"/>
                <w:sz w:val="21"/>
              </w:rPr>
              <w:t>骨生长不全症</w:t>
            </w:r>
          </w:p>
        </w:tc>
        <w:tc>
          <w:tcPr>
            <w:tcW w:w="2268" w:type="dxa"/>
          </w:tcPr>
          <w:p>
            <w:pPr>
              <w:pStyle w:val="TableParagraph"/>
              <w:spacing w:line="221" w:lineRule="exact"/>
              <w:rPr>
                <w:sz w:val="21"/>
              </w:rPr>
            </w:pPr>
            <w:r>
              <w:rPr>
                <w:spacing w:val="-2"/>
                <w:sz w:val="21"/>
              </w:rPr>
              <w:t>53.</w:t>
            </w:r>
            <w:r>
              <w:rPr>
                <w:spacing w:val="-4"/>
                <w:sz w:val="21"/>
              </w:rPr>
              <w:t>严重癫痫</w:t>
            </w:r>
          </w:p>
        </w:tc>
        <w:tc>
          <w:tcPr>
            <w:tcW w:w="2410" w:type="dxa"/>
          </w:tcPr>
          <w:p>
            <w:pPr>
              <w:pStyle w:val="TableParagraph"/>
              <w:spacing w:line="221" w:lineRule="exact"/>
              <w:rPr>
                <w:sz w:val="21"/>
              </w:rPr>
            </w:pPr>
            <w:r>
              <w:rPr>
                <w:spacing w:val="-2"/>
                <w:sz w:val="21"/>
              </w:rPr>
              <w:t>54.</w:t>
            </w:r>
            <w:r>
              <w:rPr>
                <w:spacing w:val="-4"/>
                <w:sz w:val="21"/>
              </w:rPr>
              <w:t>独立能力丧失</w:t>
            </w:r>
          </w:p>
        </w:tc>
      </w:tr>
      <w:tr>
        <w:trPr>
          <w:trHeight w:val="479" w:hRule="atLeast"/>
        </w:trPr>
        <w:tc>
          <w:tcPr>
            <w:tcW w:w="2381" w:type="dxa"/>
          </w:tcPr>
          <w:p>
            <w:pPr>
              <w:pStyle w:val="TableParagraph"/>
              <w:spacing w:line="240" w:lineRule="exact"/>
              <w:ind w:right="94"/>
              <w:rPr>
                <w:sz w:val="21"/>
              </w:rPr>
            </w:pPr>
            <w:r>
              <w:rPr>
                <w:sz w:val="21"/>
              </w:rPr>
              <w:t>55.</w:t>
            </w:r>
            <w:r>
              <w:rPr>
                <w:spacing w:val="3"/>
                <w:sz w:val="21"/>
              </w:rPr>
              <w:t> 肌萎缩脊髓侧索硬</w:t>
            </w:r>
            <w:r>
              <w:rPr>
                <w:spacing w:val="-4"/>
                <w:sz w:val="21"/>
              </w:rPr>
              <w:t>化后遗症</w:t>
            </w:r>
          </w:p>
        </w:tc>
        <w:tc>
          <w:tcPr>
            <w:tcW w:w="2268" w:type="dxa"/>
          </w:tcPr>
          <w:p>
            <w:pPr>
              <w:pStyle w:val="TableParagraph"/>
              <w:spacing w:before="106"/>
              <w:rPr>
                <w:sz w:val="21"/>
              </w:rPr>
            </w:pPr>
            <w:r>
              <w:rPr>
                <w:spacing w:val="-2"/>
                <w:sz w:val="21"/>
              </w:rPr>
              <w:t>56.</w:t>
            </w:r>
            <w:r>
              <w:rPr>
                <w:spacing w:val="-4"/>
                <w:sz w:val="21"/>
              </w:rPr>
              <w:t>严重结核性脑膜炎</w:t>
            </w:r>
          </w:p>
        </w:tc>
        <w:tc>
          <w:tcPr>
            <w:tcW w:w="2410" w:type="dxa"/>
          </w:tcPr>
          <w:p>
            <w:pPr>
              <w:pStyle w:val="TableParagraph"/>
              <w:spacing w:line="240" w:lineRule="exact"/>
              <w:ind w:right="93"/>
              <w:rPr>
                <w:sz w:val="21"/>
              </w:rPr>
            </w:pPr>
            <w:r>
              <w:rPr>
                <w:sz w:val="21"/>
              </w:rPr>
              <w:t>57.</w:t>
            </w:r>
            <w:r>
              <w:rPr>
                <w:spacing w:val="7"/>
                <w:sz w:val="21"/>
              </w:rPr>
              <w:t> 进行性多灶性白质</w:t>
            </w:r>
            <w:r>
              <w:rPr>
                <w:spacing w:val="-6"/>
                <w:sz w:val="21"/>
              </w:rPr>
              <w:t>脑病</w:t>
            </w:r>
          </w:p>
        </w:tc>
      </w:tr>
      <w:tr>
        <w:trPr>
          <w:trHeight w:val="480" w:hRule="atLeast"/>
        </w:trPr>
        <w:tc>
          <w:tcPr>
            <w:tcW w:w="2381" w:type="dxa"/>
          </w:tcPr>
          <w:p>
            <w:pPr>
              <w:pStyle w:val="TableParagraph"/>
              <w:spacing w:line="240" w:lineRule="exact"/>
              <w:ind w:right="94"/>
              <w:rPr>
                <w:sz w:val="21"/>
              </w:rPr>
            </w:pPr>
            <w:r>
              <w:rPr>
                <w:sz w:val="21"/>
              </w:rPr>
              <w:t>58.</w:t>
            </w:r>
            <w:r>
              <w:rPr>
                <w:spacing w:val="3"/>
                <w:sz w:val="21"/>
              </w:rPr>
              <w:t> 严重脊髓小脑变性</w:t>
            </w:r>
            <w:r>
              <w:rPr>
                <w:spacing w:val="-10"/>
                <w:sz w:val="21"/>
              </w:rPr>
              <w:t>症</w:t>
            </w:r>
          </w:p>
        </w:tc>
        <w:tc>
          <w:tcPr>
            <w:tcW w:w="2268" w:type="dxa"/>
          </w:tcPr>
          <w:p>
            <w:pPr>
              <w:pStyle w:val="TableParagraph"/>
              <w:spacing w:line="240" w:lineRule="exact"/>
              <w:ind w:right="94"/>
              <w:rPr>
                <w:sz w:val="21"/>
              </w:rPr>
            </w:pPr>
            <w:r>
              <w:rPr>
                <w:spacing w:val="-2"/>
                <w:sz w:val="21"/>
              </w:rPr>
              <w:t>59.婴儿进行性脊肌萎</w:t>
            </w:r>
            <w:r>
              <w:rPr>
                <w:spacing w:val="-6"/>
                <w:sz w:val="21"/>
              </w:rPr>
              <w:t>缩症</w:t>
            </w:r>
          </w:p>
        </w:tc>
        <w:tc>
          <w:tcPr>
            <w:tcW w:w="2410" w:type="dxa"/>
          </w:tcPr>
          <w:p>
            <w:pPr>
              <w:pStyle w:val="TableParagraph"/>
              <w:spacing w:line="240" w:lineRule="exact"/>
              <w:ind w:right="93"/>
              <w:rPr>
                <w:sz w:val="21"/>
              </w:rPr>
            </w:pPr>
            <w:r>
              <w:rPr>
                <w:sz w:val="21"/>
              </w:rPr>
              <w:t>60.</w:t>
            </w:r>
            <w:r>
              <w:rPr>
                <w:spacing w:val="7"/>
                <w:sz w:val="21"/>
              </w:rPr>
              <w:t> 多处臂丛神经根性</w:t>
            </w:r>
            <w:r>
              <w:rPr>
                <w:spacing w:val="-6"/>
                <w:sz w:val="21"/>
              </w:rPr>
              <w:t>撕脱</w:t>
            </w:r>
          </w:p>
        </w:tc>
      </w:tr>
      <w:tr>
        <w:trPr>
          <w:trHeight w:val="239" w:hRule="atLeast"/>
        </w:trPr>
        <w:tc>
          <w:tcPr>
            <w:tcW w:w="2381" w:type="dxa"/>
          </w:tcPr>
          <w:p>
            <w:pPr>
              <w:pStyle w:val="TableParagraph"/>
              <w:spacing w:line="219" w:lineRule="exact"/>
              <w:rPr>
                <w:sz w:val="21"/>
              </w:rPr>
            </w:pPr>
            <w:r>
              <w:rPr>
                <w:spacing w:val="-2"/>
                <w:sz w:val="21"/>
              </w:rPr>
              <w:t>61.</w:t>
            </w:r>
            <w:r>
              <w:rPr>
                <w:spacing w:val="-4"/>
                <w:sz w:val="21"/>
              </w:rPr>
              <w:t>细菌性脑脊髓膜炎</w:t>
            </w:r>
          </w:p>
        </w:tc>
        <w:tc>
          <w:tcPr>
            <w:tcW w:w="2268" w:type="dxa"/>
          </w:tcPr>
          <w:p>
            <w:pPr>
              <w:pStyle w:val="TableParagraph"/>
              <w:spacing w:line="219" w:lineRule="exact"/>
              <w:rPr>
                <w:sz w:val="21"/>
              </w:rPr>
            </w:pPr>
            <w:r>
              <w:rPr>
                <w:spacing w:val="-2"/>
                <w:sz w:val="21"/>
              </w:rPr>
              <w:t>62.</w:t>
            </w:r>
            <w:r>
              <w:rPr>
                <w:spacing w:val="-5"/>
                <w:sz w:val="21"/>
              </w:rPr>
              <w:t>脊柱裂</w:t>
            </w:r>
          </w:p>
        </w:tc>
        <w:tc>
          <w:tcPr>
            <w:tcW w:w="2410" w:type="dxa"/>
          </w:tcPr>
          <w:p>
            <w:pPr>
              <w:pStyle w:val="TableParagraph"/>
              <w:spacing w:line="219" w:lineRule="exact"/>
              <w:rPr>
                <w:sz w:val="21"/>
              </w:rPr>
            </w:pPr>
            <w:r>
              <w:rPr>
                <w:spacing w:val="-2"/>
                <w:sz w:val="21"/>
              </w:rPr>
              <w:t>63.</w:t>
            </w:r>
            <w:r>
              <w:rPr>
                <w:spacing w:val="-4"/>
                <w:sz w:val="21"/>
              </w:rPr>
              <w:t>血管性痴呆</w:t>
            </w:r>
          </w:p>
        </w:tc>
      </w:tr>
      <w:tr>
        <w:trPr>
          <w:trHeight w:val="479" w:hRule="atLeast"/>
        </w:trPr>
        <w:tc>
          <w:tcPr>
            <w:tcW w:w="2381" w:type="dxa"/>
          </w:tcPr>
          <w:p>
            <w:pPr>
              <w:pStyle w:val="TableParagraph"/>
              <w:spacing w:before="106"/>
              <w:rPr>
                <w:sz w:val="21"/>
              </w:rPr>
            </w:pPr>
            <w:r>
              <w:rPr>
                <w:spacing w:val="-2"/>
                <w:sz w:val="21"/>
              </w:rPr>
              <w:t>64.</w:t>
            </w:r>
            <w:r>
              <w:rPr>
                <w:spacing w:val="-4"/>
                <w:sz w:val="21"/>
              </w:rPr>
              <w:t>额颞叶痴呆</w:t>
            </w:r>
          </w:p>
        </w:tc>
        <w:tc>
          <w:tcPr>
            <w:tcW w:w="2268" w:type="dxa"/>
          </w:tcPr>
          <w:p>
            <w:pPr>
              <w:pStyle w:val="TableParagraph"/>
              <w:spacing w:before="106"/>
              <w:rPr>
                <w:sz w:val="21"/>
              </w:rPr>
            </w:pPr>
            <w:r>
              <w:rPr>
                <w:spacing w:val="-2"/>
                <w:sz w:val="21"/>
              </w:rPr>
              <w:t>65.</w:t>
            </w:r>
            <w:r>
              <w:rPr>
                <w:spacing w:val="-4"/>
                <w:sz w:val="21"/>
              </w:rPr>
              <w:t>路易体痴呆</w:t>
            </w:r>
          </w:p>
        </w:tc>
        <w:tc>
          <w:tcPr>
            <w:tcW w:w="2410" w:type="dxa"/>
          </w:tcPr>
          <w:p>
            <w:pPr>
              <w:pStyle w:val="TableParagraph"/>
              <w:spacing w:line="240" w:lineRule="exact"/>
              <w:ind w:right="93"/>
              <w:rPr>
                <w:sz w:val="21"/>
              </w:rPr>
            </w:pPr>
            <w:r>
              <w:rPr>
                <w:sz w:val="21"/>
              </w:rPr>
              <w:t>66.</w:t>
            </w:r>
            <w:r>
              <w:rPr>
                <w:spacing w:val="7"/>
                <w:sz w:val="21"/>
              </w:rPr>
              <w:t> 亚急性硬化性全脑</w:t>
            </w:r>
            <w:r>
              <w:rPr>
                <w:spacing w:val="-10"/>
                <w:sz w:val="21"/>
              </w:rPr>
              <w:t>炎</w:t>
            </w:r>
          </w:p>
        </w:tc>
      </w:tr>
      <w:tr>
        <w:trPr>
          <w:trHeight w:val="479" w:hRule="atLeast"/>
        </w:trPr>
        <w:tc>
          <w:tcPr>
            <w:tcW w:w="2381" w:type="dxa"/>
          </w:tcPr>
          <w:p>
            <w:pPr>
              <w:pStyle w:val="TableParagraph"/>
              <w:spacing w:line="240" w:lineRule="exact"/>
              <w:ind w:right="93"/>
              <w:rPr>
                <w:sz w:val="21"/>
              </w:rPr>
            </w:pPr>
            <w:r>
              <w:rPr>
                <w:sz w:val="21"/>
              </w:rPr>
              <w:t>67.</w:t>
            </w:r>
            <w:r>
              <w:rPr>
                <w:spacing w:val="3"/>
                <w:sz w:val="21"/>
              </w:rPr>
              <w:t> 进行性风疹性全脑</w:t>
            </w:r>
            <w:r>
              <w:rPr>
                <w:spacing w:val="-10"/>
                <w:sz w:val="21"/>
              </w:rPr>
              <w:t>炎</w:t>
            </w:r>
          </w:p>
        </w:tc>
        <w:tc>
          <w:tcPr>
            <w:tcW w:w="2268" w:type="dxa"/>
          </w:tcPr>
          <w:p>
            <w:pPr>
              <w:pStyle w:val="TableParagraph"/>
              <w:spacing w:line="240" w:lineRule="exact"/>
              <w:ind w:right="94"/>
              <w:rPr>
                <w:sz w:val="21"/>
              </w:rPr>
            </w:pPr>
            <w:r>
              <w:rPr>
                <w:spacing w:val="-2"/>
                <w:sz w:val="21"/>
              </w:rPr>
              <w:t>68.严重类风湿性关节</w:t>
            </w:r>
            <w:r>
              <w:rPr>
                <w:spacing w:val="-10"/>
                <w:sz w:val="21"/>
              </w:rPr>
              <w:t>炎</w:t>
            </w:r>
          </w:p>
        </w:tc>
        <w:tc>
          <w:tcPr>
            <w:tcW w:w="2410" w:type="dxa"/>
          </w:tcPr>
          <w:p>
            <w:pPr>
              <w:pStyle w:val="TableParagraph"/>
              <w:spacing w:line="240" w:lineRule="exact"/>
              <w:ind w:right="93"/>
              <w:rPr>
                <w:sz w:val="21"/>
              </w:rPr>
            </w:pPr>
            <w:r>
              <w:rPr>
                <w:sz w:val="21"/>
              </w:rPr>
              <w:t>69.</w:t>
            </w:r>
            <w:r>
              <w:rPr>
                <w:spacing w:val="7"/>
                <w:sz w:val="21"/>
              </w:rPr>
              <w:t> 重症幼年型类风湿</w:t>
            </w:r>
            <w:r>
              <w:rPr>
                <w:spacing w:val="-4"/>
                <w:sz w:val="21"/>
              </w:rPr>
              <w:t>性关节炎</w:t>
            </w:r>
          </w:p>
        </w:tc>
      </w:tr>
      <w:tr>
        <w:trPr>
          <w:trHeight w:val="241" w:hRule="atLeast"/>
        </w:trPr>
        <w:tc>
          <w:tcPr>
            <w:tcW w:w="2381" w:type="dxa"/>
          </w:tcPr>
          <w:p>
            <w:pPr>
              <w:pStyle w:val="TableParagraph"/>
              <w:spacing w:line="221" w:lineRule="exact"/>
              <w:rPr>
                <w:sz w:val="21"/>
              </w:rPr>
            </w:pPr>
            <w:r>
              <w:rPr>
                <w:spacing w:val="-2"/>
                <w:sz w:val="21"/>
              </w:rPr>
              <w:t>70.</w:t>
            </w:r>
            <w:r>
              <w:rPr>
                <w:spacing w:val="-4"/>
                <w:sz w:val="21"/>
              </w:rPr>
              <w:t>严重强直性脊柱炎</w:t>
            </w:r>
          </w:p>
        </w:tc>
        <w:tc>
          <w:tcPr>
            <w:tcW w:w="2268" w:type="dxa"/>
          </w:tcPr>
          <w:p>
            <w:pPr>
              <w:pStyle w:val="TableParagraph"/>
              <w:spacing w:line="221" w:lineRule="exact"/>
              <w:rPr>
                <w:sz w:val="21"/>
              </w:rPr>
            </w:pPr>
            <w:r>
              <w:rPr>
                <w:spacing w:val="-2"/>
                <w:sz w:val="21"/>
              </w:rPr>
              <w:t>71.</w:t>
            </w:r>
            <w:r>
              <w:rPr>
                <w:spacing w:val="-4"/>
                <w:sz w:val="21"/>
              </w:rPr>
              <w:t>脑型疟疾</w:t>
            </w:r>
          </w:p>
        </w:tc>
        <w:tc>
          <w:tcPr>
            <w:tcW w:w="2410" w:type="dxa"/>
          </w:tcPr>
          <w:p>
            <w:pPr>
              <w:pStyle w:val="TableParagraph"/>
              <w:spacing w:line="221" w:lineRule="exact"/>
              <w:rPr>
                <w:sz w:val="21"/>
              </w:rPr>
            </w:pPr>
            <w:r>
              <w:rPr>
                <w:spacing w:val="-2"/>
                <w:sz w:val="21"/>
              </w:rPr>
              <w:t>72.</w:t>
            </w:r>
            <w:r>
              <w:rPr>
                <w:spacing w:val="-4"/>
                <w:sz w:val="21"/>
              </w:rPr>
              <w:t>神经白塞病</w:t>
            </w:r>
          </w:p>
        </w:tc>
      </w:tr>
      <w:tr>
        <w:trPr>
          <w:trHeight w:val="239" w:hRule="atLeast"/>
        </w:trPr>
        <w:tc>
          <w:tcPr>
            <w:tcW w:w="2381" w:type="dxa"/>
          </w:tcPr>
          <w:p>
            <w:pPr>
              <w:pStyle w:val="TableParagraph"/>
              <w:spacing w:line="220" w:lineRule="exact"/>
              <w:rPr>
                <w:sz w:val="21"/>
              </w:rPr>
            </w:pPr>
            <w:r>
              <w:rPr>
                <w:spacing w:val="-2"/>
                <w:sz w:val="21"/>
              </w:rPr>
              <w:t>73.</w:t>
            </w:r>
            <w:r>
              <w:rPr>
                <w:spacing w:val="-5"/>
                <w:sz w:val="21"/>
              </w:rPr>
              <w:t>库鲁病</w:t>
            </w:r>
          </w:p>
        </w:tc>
        <w:tc>
          <w:tcPr>
            <w:tcW w:w="2268" w:type="dxa"/>
          </w:tcPr>
          <w:p>
            <w:pPr>
              <w:pStyle w:val="TableParagraph"/>
              <w:spacing w:line="220" w:lineRule="exact"/>
              <w:rPr>
                <w:sz w:val="21"/>
              </w:rPr>
            </w:pPr>
            <w:r>
              <w:rPr>
                <w:spacing w:val="-2"/>
                <w:sz w:val="21"/>
              </w:rPr>
              <w:t>74.</w:t>
            </w:r>
            <w:r>
              <w:rPr>
                <w:spacing w:val="-4"/>
                <w:sz w:val="21"/>
              </w:rPr>
              <w:t>严重克雅氏症</w:t>
            </w:r>
          </w:p>
        </w:tc>
        <w:tc>
          <w:tcPr>
            <w:tcW w:w="2410" w:type="dxa"/>
          </w:tcPr>
          <w:p>
            <w:pPr>
              <w:pStyle w:val="TableParagraph"/>
              <w:spacing w:line="220" w:lineRule="exact"/>
              <w:rPr>
                <w:sz w:val="21"/>
              </w:rPr>
            </w:pPr>
            <w:r>
              <w:rPr>
                <w:spacing w:val="-2"/>
                <w:sz w:val="21"/>
              </w:rPr>
              <w:t>75.</w:t>
            </w:r>
            <w:r>
              <w:rPr>
                <w:spacing w:val="-4"/>
                <w:sz w:val="21"/>
              </w:rPr>
              <w:t>胰腺移植</w:t>
            </w:r>
          </w:p>
        </w:tc>
      </w:tr>
      <w:tr>
        <w:trPr>
          <w:trHeight w:val="719" w:hRule="atLeast"/>
        </w:trPr>
        <w:tc>
          <w:tcPr>
            <w:tcW w:w="2381" w:type="dxa"/>
          </w:tcPr>
          <w:p>
            <w:pPr>
              <w:pStyle w:val="TableParagraph"/>
              <w:spacing w:line="213" w:lineRule="auto" w:before="129"/>
              <w:ind w:right="94"/>
              <w:rPr>
                <w:sz w:val="21"/>
              </w:rPr>
            </w:pPr>
            <w:r>
              <w:rPr>
                <w:sz w:val="21"/>
              </w:rPr>
              <w:t>76.</w:t>
            </w:r>
            <w:r>
              <w:rPr>
                <w:spacing w:val="3"/>
                <w:sz w:val="21"/>
              </w:rPr>
              <w:t> 原发性硬化性胆管</w:t>
            </w:r>
            <w:r>
              <w:rPr>
                <w:spacing w:val="-10"/>
                <w:sz w:val="21"/>
              </w:rPr>
              <w:t>炎</w:t>
            </w:r>
          </w:p>
        </w:tc>
        <w:tc>
          <w:tcPr>
            <w:tcW w:w="2268" w:type="dxa"/>
          </w:tcPr>
          <w:p>
            <w:pPr>
              <w:pStyle w:val="TableParagraph"/>
              <w:spacing w:before="8"/>
              <w:ind w:left="0"/>
              <w:rPr>
                <w:b/>
                <w:sz w:val="17"/>
              </w:rPr>
            </w:pPr>
          </w:p>
          <w:p>
            <w:pPr>
              <w:pStyle w:val="TableParagraph"/>
              <w:rPr>
                <w:sz w:val="21"/>
              </w:rPr>
            </w:pPr>
            <w:r>
              <w:rPr>
                <w:spacing w:val="-2"/>
                <w:sz w:val="21"/>
              </w:rPr>
              <w:t>77.</w:t>
            </w:r>
            <w:r>
              <w:rPr>
                <w:spacing w:val="-4"/>
                <w:sz w:val="21"/>
              </w:rPr>
              <w:t>失去一肢及一眼</w:t>
            </w:r>
          </w:p>
        </w:tc>
        <w:tc>
          <w:tcPr>
            <w:tcW w:w="2410" w:type="dxa"/>
          </w:tcPr>
          <w:p>
            <w:pPr>
              <w:pStyle w:val="TableParagraph"/>
              <w:spacing w:line="241" w:lineRule="exact"/>
              <w:rPr>
                <w:sz w:val="21"/>
              </w:rPr>
            </w:pPr>
            <w:r>
              <w:rPr>
                <w:sz w:val="21"/>
              </w:rPr>
              <w:t>78.系统性红斑狼疮</w:t>
            </w:r>
            <w:r>
              <w:rPr>
                <w:spacing w:val="29"/>
                <w:w w:val="150"/>
                <w:sz w:val="21"/>
              </w:rPr>
              <w:t> </w:t>
            </w:r>
            <w:r>
              <w:rPr>
                <w:spacing w:val="-10"/>
                <w:sz w:val="21"/>
              </w:rPr>
              <w:t>－</w:t>
            </w:r>
          </w:p>
          <w:p>
            <w:pPr>
              <w:pStyle w:val="TableParagraph"/>
              <w:spacing w:line="240" w:lineRule="exact"/>
              <w:ind w:right="83"/>
              <w:rPr>
                <w:sz w:val="21"/>
              </w:rPr>
            </w:pPr>
            <w:r>
              <w:rPr>
                <w:spacing w:val="-2"/>
                <w:sz w:val="21"/>
              </w:rPr>
              <w:t>（并发）Ⅲ型或以上狼</w:t>
            </w:r>
            <w:r>
              <w:rPr>
                <w:spacing w:val="-4"/>
                <w:sz w:val="21"/>
              </w:rPr>
              <w:t>疮性肾炎</w:t>
            </w:r>
          </w:p>
        </w:tc>
      </w:tr>
    </w:tbl>
    <w:p>
      <w:pPr>
        <w:spacing w:after="0" w:line="240" w:lineRule="exact"/>
        <w:rPr>
          <w:sz w:val="21"/>
        </w:rPr>
        <w:sectPr>
          <w:pgSz w:w="11910" w:h="16840"/>
          <w:pgMar w:header="0" w:footer="404" w:top="1400" w:bottom="1129" w:left="860" w:right="340"/>
        </w:sectPr>
      </w:pPr>
    </w:p>
    <w:tbl>
      <w:tblPr>
        <w:tblW w:w="0" w:type="auto"/>
        <w:jc w:val="left"/>
        <w:tblInd w:w="2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81"/>
        <w:gridCol w:w="2268"/>
        <w:gridCol w:w="2410"/>
      </w:tblGrid>
      <w:tr>
        <w:trPr>
          <w:trHeight w:val="481" w:hRule="atLeast"/>
        </w:trPr>
        <w:tc>
          <w:tcPr>
            <w:tcW w:w="2381" w:type="dxa"/>
          </w:tcPr>
          <w:p>
            <w:pPr>
              <w:pStyle w:val="TableParagraph"/>
              <w:spacing w:line="240" w:lineRule="exact"/>
              <w:ind w:right="94"/>
              <w:rPr>
                <w:sz w:val="21"/>
              </w:rPr>
            </w:pPr>
            <w:r>
              <w:rPr>
                <w:sz w:val="21"/>
              </w:rPr>
              <w:t>79.</w:t>
            </w:r>
            <w:r>
              <w:rPr>
                <w:spacing w:val="3"/>
                <w:sz w:val="21"/>
              </w:rPr>
              <w:t> 急性坏死性胰腺炎</w:t>
            </w:r>
            <w:r>
              <w:rPr>
                <w:spacing w:val="-4"/>
                <w:sz w:val="21"/>
              </w:rPr>
              <w:t>开腹手术</w:t>
            </w:r>
          </w:p>
        </w:tc>
        <w:tc>
          <w:tcPr>
            <w:tcW w:w="2268" w:type="dxa"/>
          </w:tcPr>
          <w:p>
            <w:pPr>
              <w:pStyle w:val="TableParagraph"/>
              <w:spacing w:before="103"/>
              <w:rPr>
                <w:sz w:val="21"/>
              </w:rPr>
            </w:pPr>
            <w:r>
              <w:rPr>
                <w:spacing w:val="-2"/>
                <w:sz w:val="21"/>
              </w:rPr>
              <w:t>80.</w:t>
            </w:r>
            <w:r>
              <w:rPr>
                <w:spacing w:val="-4"/>
                <w:sz w:val="21"/>
              </w:rPr>
              <w:t>系统性硬皮病</w:t>
            </w:r>
          </w:p>
        </w:tc>
        <w:tc>
          <w:tcPr>
            <w:tcW w:w="2410" w:type="dxa"/>
          </w:tcPr>
          <w:p>
            <w:pPr>
              <w:pStyle w:val="TableParagraph"/>
              <w:spacing w:before="103"/>
              <w:rPr>
                <w:sz w:val="21"/>
              </w:rPr>
            </w:pPr>
            <w:r>
              <w:rPr>
                <w:spacing w:val="-2"/>
                <w:sz w:val="21"/>
              </w:rPr>
              <w:t>81.</w:t>
            </w:r>
            <w:r>
              <w:rPr>
                <w:spacing w:val="-4"/>
                <w:sz w:val="21"/>
              </w:rPr>
              <w:t>严重Ⅰ型糖尿病</w:t>
            </w:r>
          </w:p>
        </w:tc>
      </w:tr>
      <w:tr>
        <w:trPr>
          <w:trHeight w:val="240" w:hRule="atLeast"/>
        </w:trPr>
        <w:tc>
          <w:tcPr>
            <w:tcW w:w="2381" w:type="dxa"/>
          </w:tcPr>
          <w:p>
            <w:pPr>
              <w:pStyle w:val="TableParagraph"/>
              <w:spacing w:line="220" w:lineRule="exact"/>
              <w:rPr>
                <w:sz w:val="21"/>
              </w:rPr>
            </w:pPr>
            <w:r>
              <w:rPr>
                <w:spacing w:val="-2"/>
                <w:sz w:val="21"/>
              </w:rPr>
              <w:t>82.</w:t>
            </w:r>
            <w:r>
              <w:rPr>
                <w:spacing w:val="-4"/>
                <w:sz w:val="21"/>
              </w:rPr>
              <w:t>肺淋巴管肌瘤病</w:t>
            </w:r>
          </w:p>
        </w:tc>
        <w:tc>
          <w:tcPr>
            <w:tcW w:w="2268" w:type="dxa"/>
          </w:tcPr>
          <w:p>
            <w:pPr>
              <w:pStyle w:val="TableParagraph"/>
              <w:spacing w:line="220" w:lineRule="exact"/>
              <w:rPr>
                <w:sz w:val="21"/>
              </w:rPr>
            </w:pPr>
            <w:r>
              <w:rPr>
                <w:spacing w:val="-2"/>
                <w:sz w:val="21"/>
              </w:rPr>
              <w:t>83.</w:t>
            </w:r>
            <w:r>
              <w:rPr>
                <w:spacing w:val="-4"/>
                <w:sz w:val="21"/>
              </w:rPr>
              <w:t>肝豆状核变性</w:t>
            </w:r>
          </w:p>
        </w:tc>
        <w:tc>
          <w:tcPr>
            <w:tcW w:w="2410" w:type="dxa"/>
          </w:tcPr>
          <w:p>
            <w:pPr>
              <w:pStyle w:val="TableParagraph"/>
              <w:spacing w:line="220" w:lineRule="exact"/>
              <w:rPr>
                <w:sz w:val="21"/>
              </w:rPr>
            </w:pPr>
            <w:r>
              <w:rPr>
                <w:spacing w:val="-2"/>
                <w:sz w:val="21"/>
              </w:rPr>
              <w:t>84.</w:t>
            </w:r>
            <w:r>
              <w:rPr>
                <w:spacing w:val="-4"/>
                <w:sz w:val="21"/>
              </w:rPr>
              <w:t>肾髓质囊性病</w:t>
            </w:r>
          </w:p>
        </w:tc>
      </w:tr>
      <w:tr>
        <w:trPr>
          <w:trHeight w:val="479" w:hRule="atLeast"/>
        </w:trPr>
        <w:tc>
          <w:tcPr>
            <w:tcW w:w="2381" w:type="dxa"/>
          </w:tcPr>
          <w:p>
            <w:pPr>
              <w:pStyle w:val="TableParagraph"/>
              <w:spacing w:line="236" w:lineRule="exact"/>
              <w:rPr>
                <w:sz w:val="21"/>
              </w:rPr>
            </w:pPr>
            <w:r>
              <w:rPr>
                <w:sz w:val="21"/>
              </w:rPr>
              <w:t>85.</w:t>
            </w:r>
            <w:r>
              <w:rPr>
                <w:spacing w:val="2"/>
                <w:sz w:val="21"/>
              </w:rPr>
              <w:t> 严重自身免疫性肝</w:t>
            </w:r>
          </w:p>
          <w:p>
            <w:pPr>
              <w:pStyle w:val="TableParagraph"/>
              <w:spacing w:line="224" w:lineRule="exact"/>
              <w:rPr>
                <w:sz w:val="21"/>
              </w:rPr>
            </w:pPr>
            <w:r>
              <w:rPr>
                <w:w w:val="100"/>
                <w:sz w:val="21"/>
              </w:rPr>
              <w:t>炎</w:t>
            </w:r>
          </w:p>
        </w:tc>
        <w:tc>
          <w:tcPr>
            <w:tcW w:w="2268" w:type="dxa"/>
          </w:tcPr>
          <w:p>
            <w:pPr>
              <w:pStyle w:val="TableParagraph"/>
              <w:spacing w:before="101"/>
              <w:rPr>
                <w:sz w:val="21"/>
              </w:rPr>
            </w:pPr>
            <w:r>
              <w:rPr>
                <w:spacing w:val="-2"/>
                <w:sz w:val="21"/>
              </w:rPr>
              <w:t>86.</w:t>
            </w:r>
            <w:r>
              <w:rPr>
                <w:spacing w:val="-4"/>
                <w:sz w:val="21"/>
              </w:rPr>
              <w:t>原发性骨髓纤维化</w:t>
            </w:r>
          </w:p>
        </w:tc>
        <w:tc>
          <w:tcPr>
            <w:tcW w:w="2410" w:type="dxa"/>
          </w:tcPr>
          <w:p>
            <w:pPr>
              <w:pStyle w:val="TableParagraph"/>
              <w:spacing w:line="236" w:lineRule="exact"/>
              <w:rPr>
                <w:sz w:val="21"/>
              </w:rPr>
            </w:pPr>
            <w:r>
              <w:rPr>
                <w:sz w:val="21"/>
              </w:rPr>
              <w:t>87.</w:t>
            </w:r>
            <w:r>
              <w:rPr>
                <w:spacing w:val="6"/>
                <w:sz w:val="21"/>
              </w:rPr>
              <w:t> 严重获得性或继发</w:t>
            </w:r>
          </w:p>
          <w:p>
            <w:pPr>
              <w:pStyle w:val="TableParagraph"/>
              <w:spacing w:line="224" w:lineRule="exact"/>
              <w:rPr>
                <w:sz w:val="21"/>
              </w:rPr>
            </w:pPr>
            <w:r>
              <w:rPr>
                <w:spacing w:val="-3"/>
                <w:sz w:val="21"/>
              </w:rPr>
              <w:t>性肺泡蛋白质沉积症</w:t>
            </w:r>
          </w:p>
        </w:tc>
      </w:tr>
      <w:tr>
        <w:trPr>
          <w:trHeight w:val="479" w:hRule="atLeast"/>
        </w:trPr>
        <w:tc>
          <w:tcPr>
            <w:tcW w:w="2381" w:type="dxa"/>
          </w:tcPr>
          <w:p>
            <w:pPr>
              <w:pStyle w:val="TableParagraph"/>
              <w:spacing w:line="236" w:lineRule="exact"/>
              <w:rPr>
                <w:sz w:val="21"/>
              </w:rPr>
            </w:pPr>
            <w:r>
              <w:rPr>
                <w:sz w:val="21"/>
              </w:rPr>
              <w:t>88.</w:t>
            </w:r>
            <w:r>
              <w:rPr>
                <w:spacing w:val="2"/>
                <w:sz w:val="21"/>
              </w:rPr>
              <w:t> 严重肠道疾病并发</w:t>
            </w:r>
          </w:p>
          <w:p>
            <w:pPr>
              <w:pStyle w:val="TableParagraph"/>
              <w:spacing w:line="224" w:lineRule="exact"/>
              <w:rPr>
                <w:sz w:val="21"/>
              </w:rPr>
            </w:pPr>
            <w:r>
              <w:rPr>
                <w:w w:val="100"/>
                <w:sz w:val="21"/>
              </w:rPr>
              <w:t>症</w:t>
            </w:r>
          </w:p>
        </w:tc>
        <w:tc>
          <w:tcPr>
            <w:tcW w:w="2268" w:type="dxa"/>
          </w:tcPr>
          <w:p>
            <w:pPr>
              <w:pStyle w:val="TableParagraph"/>
              <w:spacing w:line="236" w:lineRule="exact"/>
              <w:rPr>
                <w:sz w:val="21"/>
              </w:rPr>
            </w:pPr>
            <w:r>
              <w:rPr>
                <w:sz w:val="21"/>
              </w:rPr>
              <w:t>89</w:t>
            </w:r>
            <w:r>
              <w:rPr>
                <w:spacing w:val="-2"/>
                <w:sz w:val="21"/>
              </w:rPr>
              <w:t>.严重骨髓异常增生</w:t>
            </w:r>
          </w:p>
          <w:p>
            <w:pPr>
              <w:pStyle w:val="TableParagraph"/>
              <w:spacing w:line="224" w:lineRule="exact"/>
              <w:rPr>
                <w:sz w:val="21"/>
              </w:rPr>
            </w:pPr>
            <w:r>
              <w:rPr>
                <w:spacing w:val="-4"/>
                <w:sz w:val="21"/>
              </w:rPr>
              <w:t>综合征</w:t>
            </w:r>
          </w:p>
        </w:tc>
        <w:tc>
          <w:tcPr>
            <w:tcW w:w="2410" w:type="dxa"/>
          </w:tcPr>
          <w:p>
            <w:pPr>
              <w:pStyle w:val="TableParagraph"/>
              <w:spacing w:line="236" w:lineRule="exact"/>
              <w:rPr>
                <w:sz w:val="21"/>
              </w:rPr>
            </w:pPr>
            <w:r>
              <w:rPr>
                <w:sz w:val="21"/>
              </w:rPr>
              <w:t>90.</w:t>
            </w:r>
            <w:r>
              <w:rPr>
                <w:spacing w:val="6"/>
                <w:sz w:val="21"/>
              </w:rPr>
              <w:t> 严重甲型及乙型血</w:t>
            </w:r>
          </w:p>
          <w:p>
            <w:pPr>
              <w:pStyle w:val="TableParagraph"/>
              <w:spacing w:line="224" w:lineRule="exact"/>
              <w:rPr>
                <w:sz w:val="21"/>
              </w:rPr>
            </w:pPr>
            <w:r>
              <w:rPr>
                <w:spacing w:val="-5"/>
                <w:sz w:val="21"/>
              </w:rPr>
              <w:t>友病</w:t>
            </w:r>
          </w:p>
        </w:tc>
      </w:tr>
      <w:tr>
        <w:trPr>
          <w:trHeight w:val="479" w:hRule="atLeast"/>
        </w:trPr>
        <w:tc>
          <w:tcPr>
            <w:tcW w:w="2381" w:type="dxa"/>
          </w:tcPr>
          <w:p>
            <w:pPr>
              <w:pStyle w:val="TableParagraph"/>
              <w:spacing w:line="236" w:lineRule="exact"/>
              <w:rPr>
                <w:sz w:val="21"/>
              </w:rPr>
            </w:pPr>
            <w:r>
              <w:rPr>
                <w:sz w:val="21"/>
              </w:rPr>
              <w:t>91.</w:t>
            </w:r>
            <w:r>
              <w:rPr>
                <w:spacing w:val="2"/>
                <w:sz w:val="21"/>
              </w:rPr>
              <w:t> 重症急性坏死性筋</w:t>
            </w:r>
          </w:p>
          <w:p>
            <w:pPr>
              <w:pStyle w:val="TableParagraph"/>
              <w:spacing w:line="224" w:lineRule="exact"/>
              <w:rPr>
                <w:sz w:val="21"/>
              </w:rPr>
            </w:pPr>
            <w:r>
              <w:rPr>
                <w:spacing w:val="-5"/>
                <w:sz w:val="21"/>
              </w:rPr>
              <w:t>膜炎</w:t>
            </w:r>
          </w:p>
        </w:tc>
        <w:tc>
          <w:tcPr>
            <w:tcW w:w="2268" w:type="dxa"/>
          </w:tcPr>
          <w:p>
            <w:pPr>
              <w:pStyle w:val="TableParagraph"/>
              <w:spacing w:line="236" w:lineRule="exact"/>
              <w:rPr>
                <w:sz w:val="21"/>
              </w:rPr>
            </w:pPr>
            <w:r>
              <w:rPr>
                <w:sz w:val="21"/>
              </w:rPr>
              <w:t>92</w:t>
            </w:r>
            <w:r>
              <w:rPr>
                <w:spacing w:val="6"/>
                <w:sz w:val="21"/>
              </w:rPr>
              <w:t>.经输血导致的 </w:t>
            </w:r>
            <w:r>
              <w:rPr>
                <w:spacing w:val="-5"/>
                <w:sz w:val="21"/>
              </w:rPr>
              <w:t>HIV</w:t>
            </w:r>
          </w:p>
          <w:p>
            <w:pPr>
              <w:pStyle w:val="TableParagraph"/>
              <w:spacing w:line="224" w:lineRule="exact"/>
              <w:rPr>
                <w:sz w:val="21"/>
              </w:rPr>
            </w:pPr>
            <w:r>
              <w:rPr>
                <w:spacing w:val="-5"/>
                <w:sz w:val="21"/>
              </w:rPr>
              <w:t>感染</w:t>
            </w:r>
          </w:p>
        </w:tc>
        <w:tc>
          <w:tcPr>
            <w:tcW w:w="2410" w:type="dxa"/>
          </w:tcPr>
          <w:p>
            <w:pPr>
              <w:pStyle w:val="TableParagraph"/>
              <w:spacing w:line="236" w:lineRule="exact"/>
              <w:rPr>
                <w:sz w:val="21"/>
              </w:rPr>
            </w:pPr>
            <w:r>
              <w:rPr>
                <w:sz w:val="21"/>
              </w:rPr>
              <w:t>93.</w:t>
            </w:r>
            <w:r>
              <w:rPr>
                <w:spacing w:val="-3"/>
                <w:sz w:val="21"/>
              </w:rPr>
              <w:t>器官移植导致的 </w:t>
            </w:r>
            <w:r>
              <w:rPr>
                <w:spacing w:val="-5"/>
                <w:sz w:val="21"/>
              </w:rPr>
              <w:t>HIV</w:t>
            </w:r>
          </w:p>
          <w:p>
            <w:pPr>
              <w:pStyle w:val="TableParagraph"/>
              <w:spacing w:line="224" w:lineRule="exact"/>
              <w:rPr>
                <w:sz w:val="21"/>
              </w:rPr>
            </w:pPr>
            <w:r>
              <w:rPr>
                <w:spacing w:val="-5"/>
                <w:sz w:val="21"/>
              </w:rPr>
              <w:t>感染</w:t>
            </w:r>
          </w:p>
        </w:tc>
      </w:tr>
      <w:tr>
        <w:trPr>
          <w:trHeight w:val="479" w:hRule="atLeast"/>
        </w:trPr>
        <w:tc>
          <w:tcPr>
            <w:tcW w:w="2381" w:type="dxa"/>
          </w:tcPr>
          <w:p>
            <w:pPr>
              <w:pStyle w:val="TableParagraph"/>
              <w:spacing w:before="101"/>
              <w:rPr>
                <w:sz w:val="21"/>
              </w:rPr>
            </w:pPr>
            <w:r>
              <w:rPr>
                <w:spacing w:val="-2"/>
                <w:sz w:val="21"/>
              </w:rPr>
              <w:t>94.</w:t>
            </w:r>
            <w:r>
              <w:rPr>
                <w:spacing w:val="-4"/>
                <w:sz w:val="21"/>
              </w:rPr>
              <w:t>弥漫性血管内凝血</w:t>
            </w:r>
          </w:p>
        </w:tc>
        <w:tc>
          <w:tcPr>
            <w:tcW w:w="2268" w:type="dxa"/>
          </w:tcPr>
          <w:p>
            <w:pPr>
              <w:pStyle w:val="TableParagraph"/>
              <w:spacing w:line="236" w:lineRule="exact"/>
              <w:rPr>
                <w:sz w:val="21"/>
              </w:rPr>
            </w:pPr>
            <w:r>
              <w:rPr>
                <w:sz w:val="21"/>
              </w:rPr>
              <w:t>95</w:t>
            </w:r>
            <w:r>
              <w:rPr>
                <w:spacing w:val="-2"/>
                <w:sz w:val="21"/>
              </w:rPr>
              <w:t>.溶血性链球菌引起</w:t>
            </w:r>
          </w:p>
          <w:p>
            <w:pPr>
              <w:pStyle w:val="TableParagraph"/>
              <w:spacing w:line="224" w:lineRule="exact"/>
              <w:rPr>
                <w:sz w:val="21"/>
              </w:rPr>
            </w:pPr>
            <w:r>
              <w:rPr>
                <w:spacing w:val="-4"/>
                <w:sz w:val="21"/>
              </w:rPr>
              <w:t>的坏疽</w:t>
            </w:r>
          </w:p>
        </w:tc>
        <w:tc>
          <w:tcPr>
            <w:tcW w:w="2410" w:type="dxa"/>
          </w:tcPr>
          <w:p>
            <w:pPr>
              <w:pStyle w:val="TableParagraph"/>
              <w:spacing w:before="101"/>
              <w:rPr>
                <w:sz w:val="21"/>
              </w:rPr>
            </w:pPr>
            <w:r>
              <w:rPr>
                <w:spacing w:val="-2"/>
                <w:sz w:val="21"/>
              </w:rPr>
              <w:t>96.</w:t>
            </w:r>
            <w:r>
              <w:rPr>
                <w:spacing w:val="-4"/>
                <w:sz w:val="21"/>
              </w:rPr>
              <w:t>严重气性坏疽</w:t>
            </w:r>
          </w:p>
        </w:tc>
      </w:tr>
      <w:tr>
        <w:trPr>
          <w:trHeight w:val="482" w:hRule="atLeast"/>
        </w:trPr>
        <w:tc>
          <w:tcPr>
            <w:tcW w:w="2381" w:type="dxa"/>
          </w:tcPr>
          <w:p>
            <w:pPr>
              <w:pStyle w:val="TableParagraph"/>
              <w:spacing w:before="103"/>
              <w:rPr>
                <w:sz w:val="21"/>
              </w:rPr>
            </w:pPr>
            <w:r>
              <w:rPr>
                <w:spacing w:val="-2"/>
                <w:sz w:val="21"/>
              </w:rPr>
              <w:t>97.</w:t>
            </w:r>
            <w:r>
              <w:rPr>
                <w:spacing w:val="-4"/>
                <w:sz w:val="21"/>
              </w:rPr>
              <w:t>慢性复发性胰腺炎</w:t>
            </w:r>
          </w:p>
        </w:tc>
        <w:tc>
          <w:tcPr>
            <w:tcW w:w="2268" w:type="dxa"/>
          </w:tcPr>
          <w:p>
            <w:pPr>
              <w:pStyle w:val="TableParagraph"/>
              <w:spacing w:before="103"/>
              <w:rPr>
                <w:sz w:val="21"/>
              </w:rPr>
            </w:pPr>
            <w:r>
              <w:rPr>
                <w:spacing w:val="-2"/>
                <w:sz w:val="21"/>
              </w:rPr>
              <w:t>98.</w:t>
            </w:r>
            <w:r>
              <w:rPr>
                <w:spacing w:val="-4"/>
                <w:sz w:val="21"/>
              </w:rPr>
              <w:t>范可尼综合征</w:t>
            </w:r>
          </w:p>
        </w:tc>
        <w:tc>
          <w:tcPr>
            <w:tcW w:w="2410" w:type="dxa"/>
          </w:tcPr>
          <w:p>
            <w:pPr>
              <w:pStyle w:val="TableParagraph"/>
              <w:spacing w:line="240" w:lineRule="exact"/>
              <w:ind w:right="92"/>
              <w:rPr>
                <w:sz w:val="21"/>
              </w:rPr>
            </w:pPr>
            <w:r>
              <w:rPr>
                <w:spacing w:val="-2"/>
                <w:sz w:val="21"/>
              </w:rPr>
              <w:t>99.侵蚀性葡萄胎（或称</w:t>
            </w:r>
            <w:r>
              <w:rPr>
                <w:spacing w:val="-2"/>
                <w:sz w:val="21"/>
              </w:rPr>
              <w:t>恶性葡萄胎）</w:t>
            </w:r>
          </w:p>
        </w:tc>
      </w:tr>
      <w:tr>
        <w:trPr>
          <w:trHeight w:val="479" w:hRule="atLeast"/>
        </w:trPr>
        <w:tc>
          <w:tcPr>
            <w:tcW w:w="2381" w:type="dxa"/>
          </w:tcPr>
          <w:p>
            <w:pPr>
              <w:pStyle w:val="TableParagraph"/>
              <w:spacing w:line="236" w:lineRule="exact"/>
              <w:rPr>
                <w:sz w:val="21"/>
              </w:rPr>
            </w:pPr>
            <w:r>
              <w:rPr>
                <w:sz w:val="21"/>
              </w:rPr>
              <w:t>100</w:t>
            </w:r>
            <w:r>
              <w:rPr>
                <w:spacing w:val="-2"/>
                <w:sz w:val="21"/>
              </w:rPr>
              <w:t>.特发性慢性肾上腺</w:t>
            </w:r>
          </w:p>
          <w:p>
            <w:pPr>
              <w:pStyle w:val="TableParagraph"/>
              <w:spacing w:line="224" w:lineRule="exact"/>
              <w:rPr>
                <w:sz w:val="21"/>
              </w:rPr>
            </w:pPr>
            <w:r>
              <w:rPr>
                <w:spacing w:val="-4"/>
                <w:sz w:val="21"/>
              </w:rPr>
              <w:t>皮质功能减退</w:t>
            </w:r>
          </w:p>
        </w:tc>
        <w:tc>
          <w:tcPr>
            <w:tcW w:w="2268" w:type="dxa"/>
          </w:tcPr>
          <w:p>
            <w:pPr>
              <w:pStyle w:val="TableParagraph"/>
              <w:spacing w:before="101"/>
              <w:rPr>
                <w:sz w:val="21"/>
              </w:rPr>
            </w:pPr>
            <w:r>
              <w:rPr>
                <w:spacing w:val="-2"/>
                <w:sz w:val="21"/>
              </w:rPr>
              <w:t>101.</w:t>
            </w:r>
            <w:r>
              <w:rPr>
                <w:spacing w:val="-4"/>
                <w:sz w:val="21"/>
              </w:rPr>
              <w:t>埃博拉病毒感染</w:t>
            </w:r>
          </w:p>
        </w:tc>
        <w:tc>
          <w:tcPr>
            <w:tcW w:w="2410" w:type="dxa"/>
          </w:tcPr>
          <w:p>
            <w:pPr>
              <w:pStyle w:val="TableParagraph"/>
              <w:spacing w:before="101"/>
              <w:rPr>
                <w:sz w:val="21"/>
              </w:rPr>
            </w:pPr>
            <w:r>
              <w:rPr>
                <w:spacing w:val="-2"/>
                <w:sz w:val="21"/>
              </w:rPr>
              <w:t>102.</w:t>
            </w:r>
            <w:r>
              <w:rPr>
                <w:spacing w:val="-4"/>
                <w:sz w:val="21"/>
              </w:rPr>
              <w:t>丝虫病所致象皮肿</w:t>
            </w:r>
          </w:p>
        </w:tc>
      </w:tr>
      <w:tr>
        <w:trPr>
          <w:trHeight w:val="479" w:hRule="atLeast"/>
        </w:trPr>
        <w:tc>
          <w:tcPr>
            <w:tcW w:w="2381" w:type="dxa"/>
          </w:tcPr>
          <w:p>
            <w:pPr>
              <w:pStyle w:val="TableParagraph"/>
              <w:spacing w:line="236" w:lineRule="exact"/>
              <w:rPr>
                <w:sz w:val="21"/>
              </w:rPr>
            </w:pPr>
            <w:r>
              <w:rPr>
                <w:sz w:val="21"/>
              </w:rPr>
              <w:t>103</w:t>
            </w:r>
            <w:r>
              <w:rPr>
                <w:spacing w:val="-2"/>
                <w:sz w:val="21"/>
              </w:rPr>
              <w:t>.因职业关系导致的</w:t>
            </w:r>
          </w:p>
          <w:p>
            <w:pPr>
              <w:pStyle w:val="TableParagraph"/>
              <w:spacing w:line="224" w:lineRule="exact"/>
              <w:rPr>
                <w:sz w:val="21"/>
              </w:rPr>
            </w:pPr>
            <w:r>
              <w:rPr>
                <w:spacing w:val="-2"/>
                <w:sz w:val="21"/>
              </w:rPr>
              <w:t>HIV</w:t>
            </w:r>
            <w:r>
              <w:rPr>
                <w:spacing w:val="-20"/>
                <w:sz w:val="21"/>
              </w:rPr>
              <w:t> 感染</w:t>
            </w:r>
          </w:p>
        </w:tc>
        <w:tc>
          <w:tcPr>
            <w:tcW w:w="2268" w:type="dxa"/>
          </w:tcPr>
          <w:p>
            <w:pPr>
              <w:pStyle w:val="TableParagraph"/>
              <w:spacing w:before="101"/>
              <w:rPr>
                <w:sz w:val="21"/>
              </w:rPr>
            </w:pPr>
            <w:r>
              <w:rPr>
                <w:spacing w:val="-2"/>
                <w:sz w:val="21"/>
              </w:rPr>
              <w:t>104.</w:t>
            </w:r>
            <w:r>
              <w:rPr>
                <w:spacing w:val="-4"/>
                <w:sz w:val="21"/>
              </w:rPr>
              <w:t>严重面部烧伤</w:t>
            </w:r>
          </w:p>
        </w:tc>
        <w:tc>
          <w:tcPr>
            <w:tcW w:w="2410" w:type="dxa"/>
          </w:tcPr>
          <w:p>
            <w:pPr>
              <w:pStyle w:val="TableParagraph"/>
              <w:spacing w:line="236" w:lineRule="exact"/>
              <w:rPr>
                <w:sz w:val="21"/>
              </w:rPr>
            </w:pPr>
            <w:r>
              <w:rPr>
                <w:sz w:val="21"/>
              </w:rPr>
              <w:t>105</w:t>
            </w:r>
            <w:r>
              <w:rPr>
                <w:spacing w:val="2"/>
                <w:sz w:val="21"/>
              </w:rPr>
              <w:t>.原发性脊柱侧弯的</w:t>
            </w:r>
          </w:p>
          <w:p>
            <w:pPr>
              <w:pStyle w:val="TableParagraph"/>
              <w:spacing w:line="224" w:lineRule="exact"/>
              <w:rPr>
                <w:sz w:val="21"/>
              </w:rPr>
            </w:pPr>
            <w:r>
              <w:rPr>
                <w:spacing w:val="-4"/>
                <w:sz w:val="21"/>
              </w:rPr>
              <w:t>矫正手术</w:t>
            </w:r>
          </w:p>
        </w:tc>
      </w:tr>
      <w:tr>
        <w:trPr>
          <w:trHeight w:val="480" w:hRule="atLeast"/>
        </w:trPr>
        <w:tc>
          <w:tcPr>
            <w:tcW w:w="2381" w:type="dxa"/>
          </w:tcPr>
          <w:p>
            <w:pPr>
              <w:pStyle w:val="TableParagraph"/>
              <w:spacing w:line="236" w:lineRule="exact"/>
              <w:rPr>
                <w:sz w:val="21"/>
              </w:rPr>
            </w:pPr>
            <w:r>
              <w:rPr>
                <w:sz w:val="21"/>
              </w:rPr>
              <w:t>106</w:t>
            </w:r>
            <w:r>
              <w:rPr>
                <w:spacing w:val="-2"/>
                <w:sz w:val="21"/>
              </w:rPr>
              <w:t>.疾病或外伤所致智</w:t>
            </w:r>
          </w:p>
          <w:p>
            <w:pPr>
              <w:pStyle w:val="TableParagraph"/>
              <w:spacing w:line="224" w:lineRule="exact"/>
              <w:rPr>
                <w:sz w:val="21"/>
              </w:rPr>
            </w:pPr>
            <w:r>
              <w:rPr>
                <w:spacing w:val="-4"/>
                <w:sz w:val="21"/>
              </w:rPr>
              <w:t>力障碍</w:t>
            </w:r>
          </w:p>
        </w:tc>
        <w:tc>
          <w:tcPr>
            <w:tcW w:w="2268" w:type="dxa"/>
          </w:tcPr>
          <w:p>
            <w:pPr>
              <w:pStyle w:val="TableParagraph"/>
              <w:spacing w:before="101"/>
              <w:rPr>
                <w:sz w:val="21"/>
              </w:rPr>
            </w:pPr>
            <w:r>
              <w:rPr>
                <w:spacing w:val="-2"/>
                <w:sz w:val="21"/>
              </w:rPr>
              <w:t>107.</w:t>
            </w:r>
            <w:r>
              <w:rPr>
                <w:spacing w:val="-4"/>
                <w:sz w:val="21"/>
              </w:rPr>
              <w:t>瑞氏综合征</w:t>
            </w:r>
          </w:p>
        </w:tc>
        <w:tc>
          <w:tcPr>
            <w:tcW w:w="2410" w:type="dxa"/>
          </w:tcPr>
          <w:p>
            <w:pPr>
              <w:pStyle w:val="TableParagraph"/>
              <w:spacing w:before="101"/>
              <w:rPr>
                <w:sz w:val="21"/>
              </w:rPr>
            </w:pPr>
            <w:r>
              <w:rPr>
                <w:spacing w:val="-2"/>
                <w:sz w:val="21"/>
              </w:rPr>
              <w:t>108.</w:t>
            </w:r>
            <w:r>
              <w:rPr>
                <w:spacing w:val="-4"/>
                <w:sz w:val="21"/>
              </w:rPr>
              <w:t>重症手足口病</w:t>
            </w:r>
          </w:p>
        </w:tc>
      </w:tr>
      <w:tr>
        <w:trPr>
          <w:trHeight w:val="239" w:hRule="atLeast"/>
        </w:trPr>
        <w:tc>
          <w:tcPr>
            <w:tcW w:w="2381" w:type="dxa"/>
          </w:tcPr>
          <w:p>
            <w:pPr>
              <w:pStyle w:val="TableParagraph"/>
              <w:spacing w:line="220" w:lineRule="exact"/>
              <w:rPr>
                <w:sz w:val="21"/>
              </w:rPr>
            </w:pPr>
            <w:r>
              <w:rPr>
                <w:spacing w:val="-2"/>
                <w:sz w:val="21"/>
              </w:rPr>
              <w:t>109.</w:t>
            </w:r>
            <w:r>
              <w:rPr>
                <w:spacing w:val="-4"/>
                <w:sz w:val="21"/>
              </w:rPr>
              <w:t>严重川崎病</w:t>
            </w:r>
          </w:p>
        </w:tc>
        <w:tc>
          <w:tcPr>
            <w:tcW w:w="2268" w:type="dxa"/>
          </w:tcPr>
          <w:p>
            <w:pPr>
              <w:pStyle w:val="TableParagraph"/>
              <w:spacing w:line="220" w:lineRule="exact"/>
              <w:rPr>
                <w:sz w:val="21"/>
              </w:rPr>
            </w:pPr>
            <w:r>
              <w:rPr>
                <w:spacing w:val="-2"/>
                <w:sz w:val="21"/>
              </w:rPr>
              <w:t>110.</w:t>
            </w:r>
            <w:r>
              <w:rPr>
                <w:spacing w:val="-4"/>
                <w:sz w:val="21"/>
              </w:rPr>
              <w:t>严重哮喘</w:t>
            </w:r>
          </w:p>
        </w:tc>
        <w:tc>
          <w:tcPr>
            <w:tcW w:w="2410" w:type="dxa"/>
          </w:tcPr>
          <w:p>
            <w:pPr>
              <w:pStyle w:val="TableParagraph"/>
              <w:ind w:left="0"/>
              <w:rPr>
                <w:rFonts w:ascii="Times New Roman"/>
                <w:sz w:val="16"/>
              </w:rPr>
            </w:pPr>
          </w:p>
        </w:tc>
      </w:tr>
    </w:tbl>
    <w:p>
      <w:pPr>
        <w:pStyle w:val="BodyText"/>
        <w:spacing w:before="6"/>
        <w:rPr>
          <w:b/>
          <w:sz w:val="20"/>
        </w:rPr>
      </w:pPr>
    </w:p>
    <w:p>
      <w:pPr>
        <w:pStyle w:val="ListParagraph"/>
        <w:numPr>
          <w:ilvl w:val="1"/>
          <w:numId w:val="4"/>
        </w:numPr>
        <w:tabs>
          <w:tab w:pos="1121" w:val="left" w:leader="none"/>
        </w:tabs>
        <w:spacing w:line="278" w:lineRule="auto" w:before="72" w:after="0"/>
        <w:ind w:left="2738" w:right="666" w:hanging="2470"/>
        <w:jc w:val="both"/>
        <w:rPr>
          <w:sz w:val="21"/>
        </w:rPr>
      </w:pPr>
      <w:r>
        <w:rPr>
          <w:b/>
          <w:sz w:val="21"/>
        </w:rPr>
        <w:t>等待期</w:t>
      </w:r>
      <w:r>
        <w:rPr>
          <w:b/>
          <w:spacing w:val="794"/>
          <w:sz w:val="21"/>
        </w:rPr>
        <w:t> </w:t>
      </w:r>
      <w:r>
        <w:rPr>
          <w:sz w:val="21"/>
        </w:rPr>
        <w:t>自本合同生效日或最后复效日（以较迟者为准）起九十日内（含第九十日）为等</w:t>
      </w:r>
      <w:r>
        <w:rPr>
          <w:spacing w:val="-4"/>
          <w:sz w:val="21"/>
        </w:rPr>
        <w:t>待期。</w:t>
      </w:r>
    </w:p>
    <w:p>
      <w:pPr>
        <w:spacing w:line="271" w:lineRule="auto" w:before="83"/>
        <w:ind w:left="2738" w:right="668" w:firstLine="0"/>
        <w:jc w:val="both"/>
        <w:rPr>
          <w:sz w:val="21"/>
        </w:rPr>
      </w:pPr>
      <w:r>
        <w:rPr>
          <w:sz w:val="21"/>
        </w:rPr>
        <w:t>被保险人在等待期内因</w:t>
      </w:r>
      <w:r>
        <w:rPr>
          <w:b/>
          <w:spacing w:val="-6"/>
          <w:sz w:val="21"/>
        </w:rPr>
        <w:t>意外伤害 </w:t>
      </w:r>
      <w:r>
        <w:rPr>
          <w:position w:val="11"/>
          <w:sz w:val="11"/>
        </w:rPr>
        <w:t>11.4</w:t>
      </w:r>
      <w:r>
        <w:rPr>
          <w:spacing w:val="-14"/>
          <w:position w:val="11"/>
          <w:sz w:val="11"/>
        </w:rPr>
        <w:t> </w:t>
      </w:r>
      <w:r>
        <w:rPr>
          <w:sz w:val="21"/>
        </w:rPr>
        <w:t>以外的原因导致</w:t>
      </w:r>
      <w:r>
        <w:rPr>
          <w:b/>
          <w:sz w:val="21"/>
        </w:rPr>
        <w:t>初次患本合同所定义的中症</w:t>
      </w:r>
      <w:r>
        <w:rPr>
          <w:b/>
          <w:w w:val="95"/>
          <w:sz w:val="21"/>
        </w:rPr>
        <w:t>疾</w:t>
      </w:r>
      <w:r>
        <w:rPr>
          <w:b/>
          <w:w w:val="95"/>
          <w:sz w:val="21"/>
        </w:rPr>
        <w:t>病</w:t>
      </w:r>
      <w:r>
        <w:rPr>
          <w:b/>
          <w:w w:val="95"/>
          <w:sz w:val="21"/>
        </w:rPr>
        <w:t>、</w:t>
      </w:r>
      <w:r>
        <w:rPr>
          <w:b/>
          <w:w w:val="95"/>
          <w:sz w:val="21"/>
        </w:rPr>
        <w:t>轻</w:t>
      </w:r>
      <w:r>
        <w:rPr>
          <w:b/>
          <w:w w:val="95"/>
          <w:sz w:val="21"/>
        </w:rPr>
        <w:t>症</w:t>
      </w:r>
      <w:r>
        <w:rPr>
          <w:b/>
          <w:w w:val="95"/>
          <w:sz w:val="21"/>
        </w:rPr>
        <w:t>疾</w:t>
      </w:r>
      <w:r>
        <w:rPr>
          <w:b/>
          <w:w w:val="95"/>
          <w:sz w:val="21"/>
        </w:rPr>
        <w:t>病</w:t>
      </w:r>
      <w:r>
        <w:rPr>
          <w:b/>
          <w:spacing w:val="38"/>
          <w:sz w:val="21"/>
        </w:rPr>
        <w:t> </w:t>
      </w:r>
      <w:r>
        <w:rPr>
          <w:w w:val="95"/>
          <w:position w:val="11"/>
          <w:sz w:val="11"/>
        </w:rPr>
        <w:t>11.5</w:t>
      </w:r>
      <w:r>
        <w:rPr>
          <w:w w:val="95"/>
          <w:sz w:val="21"/>
        </w:rPr>
        <w:t>（</w:t>
      </w:r>
      <w:r>
        <w:rPr>
          <w:w w:val="95"/>
          <w:sz w:val="21"/>
        </w:rPr>
        <w:t>无</w:t>
      </w:r>
      <w:r>
        <w:rPr>
          <w:w w:val="95"/>
          <w:sz w:val="21"/>
        </w:rPr>
        <w:t>论</w:t>
      </w:r>
      <w:r>
        <w:rPr>
          <w:w w:val="95"/>
          <w:sz w:val="21"/>
        </w:rPr>
        <w:t>一</w:t>
      </w:r>
      <w:r>
        <w:rPr>
          <w:w w:val="95"/>
          <w:sz w:val="21"/>
        </w:rPr>
        <w:t>种</w:t>
      </w:r>
      <w:r>
        <w:rPr>
          <w:w w:val="95"/>
          <w:sz w:val="21"/>
        </w:rPr>
        <w:t>或多种）</w:t>
      </w:r>
      <w:r>
        <w:rPr>
          <w:w w:val="95"/>
          <w:sz w:val="21"/>
        </w:rPr>
        <w:t>或</w:t>
      </w:r>
      <w:r>
        <w:rPr>
          <w:w w:val="95"/>
          <w:sz w:val="21"/>
        </w:rPr>
        <w:t>在</w:t>
      </w:r>
      <w:r>
        <w:rPr>
          <w:b/>
          <w:w w:val="95"/>
          <w:sz w:val="21"/>
        </w:rPr>
        <w:t>本</w:t>
      </w:r>
      <w:r>
        <w:rPr>
          <w:b/>
          <w:w w:val="95"/>
          <w:sz w:val="21"/>
        </w:rPr>
        <w:t>公</w:t>
      </w:r>
      <w:r>
        <w:rPr>
          <w:b/>
          <w:w w:val="95"/>
          <w:sz w:val="21"/>
        </w:rPr>
        <w:t>司</w:t>
      </w:r>
      <w:r>
        <w:rPr>
          <w:b/>
          <w:w w:val="95"/>
          <w:sz w:val="21"/>
        </w:rPr>
        <w:t>认</w:t>
      </w:r>
      <w:r>
        <w:rPr>
          <w:b/>
          <w:w w:val="95"/>
          <w:sz w:val="21"/>
        </w:rPr>
        <w:t>可</w:t>
      </w:r>
      <w:r>
        <w:rPr>
          <w:b/>
          <w:w w:val="95"/>
          <w:sz w:val="21"/>
        </w:rPr>
        <w:t>的</w:t>
      </w:r>
      <w:r>
        <w:rPr>
          <w:b/>
          <w:w w:val="95"/>
          <w:sz w:val="21"/>
        </w:rPr>
        <w:t>医</w:t>
      </w:r>
      <w:r>
        <w:rPr>
          <w:b/>
          <w:w w:val="95"/>
          <w:sz w:val="21"/>
        </w:rPr>
        <w:t>疗</w:t>
      </w:r>
      <w:r>
        <w:rPr>
          <w:b/>
          <w:w w:val="95"/>
          <w:sz w:val="21"/>
        </w:rPr>
        <w:t>机</w:t>
      </w:r>
      <w:r>
        <w:rPr>
          <w:b/>
          <w:w w:val="95"/>
          <w:sz w:val="21"/>
        </w:rPr>
        <w:t>构</w:t>
      </w:r>
      <w:r>
        <w:rPr>
          <w:b/>
          <w:spacing w:val="38"/>
          <w:sz w:val="21"/>
        </w:rPr>
        <w:t> </w:t>
      </w:r>
      <w:r>
        <w:rPr>
          <w:w w:val="95"/>
          <w:position w:val="11"/>
          <w:sz w:val="11"/>
        </w:rPr>
        <w:t>11.6</w:t>
      </w:r>
      <w:r>
        <w:rPr>
          <w:position w:val="11"/>
          <w:sz w:val="11"/>
        </w:rPr>
        <w:t> </w:t>
      </w:r>
      <w:r>
        <w:rPr>
          <w:w w:val="95"/>
          <w:sz w:val="21"/>
        </w:rPr>
        <w:t>内接受</w:t>
      </w:r>
      <w:r>
        <w:rPr>
          <w:b/>
          <w:w w:val="95"/>
          <w:sz w:val="21"/>
        </w:rPr>
        <w:t>住</w:t>
      </w:r>
      <w:r>
        <w:rPr>
          <w:b/>
          <w:spacing w:val="-14"/>
          <w:sz w:val="21"/>
        </w:rPr>
        <w:t>院 </w:t>
      </w:r>
      <w:r>
        <w:rPr>
          <w:position w:val="11"/>
          <w:sz w:val="11"/>
        </w:rPr>
        <w:t>11.7</w:t>
      </w:r>
      <w:r>
        <w:rPr>
          <w:spacing w:val="-14"/>
          <w:position w:val="11"/>
          <w:sz w:val="11"/>
        </w:rPr>
        <w:t> </w:t>
      </w:r>
      <w:r>
        <w:rPr>
          <w:sz w:val="21"/>
        </w:rPr>
        <w:t>治疗的，</w:t>
      </w:r>
      <w:r>
        <w:rPr>
          <w:b/>
          <w:sz w:val="21"/>
        </w:rPr>
        <w:t>我们不承担给付保险金和豁免保险费的责任</w:t>
      </w:r>
      <w:r>
        <w:rPr>
          <w:sz w:val="21"/>
        </w:rPr>
        <w:t>，</w:t>
      </w:r>
      <w:r>
        <w:rPr>
          <w:b/>
          <w:sz w:val="21"/>
        </w:rPr>
        <w:t>该一种或多种疾病</w:t>
      </w:r>
      <w:r>
        <w:rPr>
          <w:b/>
          <w:spacing w:val="-2"/>
          <w:sz w:val="21"/>
        </w:rPr>
        <w:t>的保险责任终止</w:t>
      </w:r>
      <w:r>
        <w:rPr>
          <w:spacing w:val="-2"/>
          <w:sz w:val="21"/>
        </w:rPr>
        <w:t>。</w:t>
      </w:r>
    </w:p>
    <w:p>
      <w:pPr>
        <w:spacing w:line="268" w:lineRule="auto" w:before="105"/>
        <w:ind w:left="2738" w:right="668" w:firstLine="0"/>
        <w:jc w:val="both"/>
        <w:rPr>
          <w:sz w:val="21"/>
        </w:rPr>
      </w:pPr>
      <w:r>
        <w:rPr>
          <w:spacing w:val="2"/>
          <w:w w:val="100"/>
          <w:sz w:val="21"/>
        </w:rPr>
        <w:t>被保险人在等待期内因意外伤害以外的原因导致</w:t>
      </w:r>
      <w:r>
        <w:rPr>
          <w:b/>
          <w:spacing w:val="1"/>
          <w:w w:val="100"/>
          <w:sz w:val="21"/>
        </w:rPr>
        <w:t>初次患本合同所定义的重大疾病</w:t>
      </w:r>
      <w:r>
        <w:rPr>
          <w:b/>
          <w:spacing w:val="-51"/>
          <w:sz w:val="21"/>
        </w:rPr>
        <w:t> </w:t>
      </w:r>
      <w:r>
        <w:rPr>
          <w:w w:val="100"/>
          <w:position w:val="11"/>
          <w:sz w:val="11"/>
        </w:rPr>
        <w:t>11</w:t>
      </w:r>
      <w:r>
        <w:rPr>
          <w:spacing w:val="-3"/>
          <w:w w:val="100"/>
          <w:position w:val="11"/>
          <w:sz w:val="11"/>
        </w:rPr>
        <w:t>.8</w:t>
      </w:r>
      <w:r>
        <w:rPr>
          <w:spacing w:val="-3"/>
          <w:w w:val="100"/>
          <w:sz w:val="21"/>
        </w:rPr>
        <w:t>（无论一种或多种</w:t>
      </w:r>
      <w:r>
        <w:rPr>
          <w:spacing w:val="-6"/>
          <w:w w:val="100"/>
          <w:sz w:val="21"/>
        </w:rPr>
        <w:t>）</w:t>
      </w:r>
      <w:r>
        <w:rPr>
          <w:spacing w:val="-3"/>
          <w:w w:val="100"/>
          <w:sz w:val="21"/>
        </w:rPr>
        <w:t>、身故或</w:t>
      </w:r>
      <w:r>
        <w:rPr>
          <w:b/>
          <w:w w:val="100"/>
          <w:sz w:val="21"/>
        </w:rPr>
        <w:t>全残</w:t>
      </w:r>
      <w:r>
        <w:rPr>
          <w:b/>
          <w:spacing w:val="-54"/>
          <w:sz w:val="21"/>
        </w:rPr>
        <w:t> </w:t>
      </w:r>
      <w:r>
        <w:rPr>
          <w:w w:val="100"/>
          <w:position w:val="11"/>
          <w:sz w:val="11"/>
        </w:rPr>
        <w:t>11.9</w:t>
      </w:r>
      <w:r>
        <w:rPr>
          <w:spacing w:val="-29"/>
          <w:position w:val="11"/>
          <w:sz w:val="11"/>
        </w:rPr>
        <w:t> </w:t>
      </w:r>
      <w:r>
        <w:rPr>
          <w:spacing w:val="-4"/>
          <w:w w:val="100"/>
          <w:sz w:val="21"/>
        </w:rPr>
        <w:t>的，</w:t>
      </w:r>
      <w:r>
        <w:rPr>
          <w:b/>
          <w:spacing w:val="-2"/>
          <w:w w:val="100"/>
          <w:sz w:val="21"/>
        </w:rPr>
        <w:t>我们不承担给付保险金的责任</w:t>
      </w:r>
      <w:r>
        <w:rPr>
          <w:w w:val="100"/>
          <w:sz w:val="21"/>
        </w:rPr>
        <w:t>并</w:t>
      </w:r>
      <w:r>
        <w:rPr>
          <w:spacing w:val="-3"/>
          <w:w w:val="100"/>
          <w:sz w:val="21"/>
        </w:rPr>
        <w:t>退还您所支付的本合同</w:t>
      </w:r>
      <w:r>
        <w:rPr>
          <w:b/>
          <w:w w:val="100"/>
          <w:sz w:val="21"/>
        </w:rPr>
        <w:t>累计已交保险费</w:t>
      </w:r>
      <w:r>
        <w:rPr>
          <w:b/>
          <w:spacing w:val="-53"/>
          <w:sz w:val="21"/>
        </w:rPr>
        <w:t> </w:t>
      </w:r>
      <w:r>
        <w:rPr>
          <w:w w:val="100"/>
          <w:position w:val="11"/>
          <w:sz w:val="11"/>
        </w:rPr>
        <w:t>11.1</w:t>
      </w:r>
      <w:r>
        <w:rPr>
          <w:spacing w:val="-3"/>
          <w:w w:val="100"/>
          <w:position w:val="11"/>
          <w:sz w:val="11"/>
        </w:rPr>
        <w:t>0</w:t>
      </w:r>
      <w:r>
        <w:rPr>
          <w:spacing w:val="-3"/>
          <w:w w:val="100"/>
          <w:sz w:val="21"/>
        </w:rPr>
        <w:t>，</w:t>
      </w:r>
      <w:r>
        <w:rPr>
          <w:b/>
          <w:w w:val="100"/>
          <w:sz w:val="21"/>
        </w:rPr>
        <w:t>本合同终止</w:t>
      </w:r>
      <w:r>
        <w:rPr>
          <w:w w:val="100"/>
          <w:sz w:val="21"/>
        </w:rPr>
        <w:t>。</w:t>
      </w:r>
    </w:p>
    <w:p>
      <w:pPr>
        <w:pStyle w:val="BodyText"/>
        <w:spacing w:before="106"/>
        <w:ind w:left="2738"/>
      </w:pPr>
      <w:r>
        <w:rPr>
          <w:spacing w:val="-5"/>
        </w:rPr>
        <w:t>被保险人因意外伤害导致初次患本合同所定义的轻症疾病、中症疾病、重大疾病</w:t>
      </w:r>
    </w:p>
    <w:p>
      <w:pPr>
        <w:pStyle w:val="BodyText"/>
        <w:spacing w:line="278" w:lineRule="auto" w:before="43"/>
        <w:ind w:left="2738" w:right="563"/>
      </w:pPr>
      <w:r>
        <w:rPr>
          <w:spacing w:val="-2"/>
        </w:rPr>
        <w:t>（无论一种或多种</w:t>
      </w:r>
      <w:r>
        <w:rPr>
          <w:spacing w:val="-56"/>
        </w:rPr>
        <w:t>）</w:t>
      </w:r>
      <w:r>
        <w:rPr>
          <w:spacing w:val="-13"/>
        </w:rPr>
        <w:t>、在本公司认可的医疗机构内接受住院治疗、身故或全残的，</w:t>
      </w:r>
      <w:r>
        <w:rPr>
          <w:spacing w:val="-2"/>
        </w:rPr>
        <w:t>无等待期。</w:t>
      </w:r>
    </w:p>
    <w:p>
      <w:pPr>
        <w:pStyle w:val="BodyText"/>
        <w:rPr>
          <w:sz w:val="24"/>
        </w:rPr>
      </w:pPr>
    </w:p>
    <w:p>
      <w:pPr>
        <w:pStyle w:val="Heading2"/>
        <w:numPr>
          <w:ilvl w:val="1"/>
          <w:numId w:val="4"/>
        </w:numPr>
        <w:tabs>
          <w:tab w:pos="1121" w:val="left" w:leader="none"/>
        </w:tabs>
        <w:spacing w:line="278" w:lineRule="auto" w:before="0" w:after="0"/>
        <w:ind w:left="2738" w:right="670" w:hanging="2470"/>
        <w:jc w:val="both"/>
      </w:pPr>
      <w:r>
        <w:rPr/>
        <w:t>保险责任</w:t>
      </w:r>
      <w:r>
        <w:rPr>
          <w:spacing w:val="635"/>
        </w:rPr>
        <w:t> </w:t>
      </w:r>
      <w:r>
        <w:rPr>
          <w:spacing w:val="-4"/>
        </w:rPr>
        <w:t>本合同的保险责任分为基本保险责任和可选保险责任，您可以单独投保基本保险</w:t>
      </w:r>
      <w:r>
        <w:rPr>
          <w:spacing w:val="-4"/>
        </w:rPr>
        <w:t>责任，也可以在投保基本保险责任的基础上投保可选保险责任，但不能单独投保</w:t>
      </w:r>
      <w:r>
        <w:rPr>
          <w:spacing w:val="-2"/>
        </w:rPr>
        <w:t>可选保险责任。</w:t>
      </w:r>
    </w:p>
    <w:p>
      <w:pPr>
        <w:pStyle w:val="BodyText"/>
        <w:spacing w:line="269" w:lineRule="exact"/>
        <w:ind w:left="2738"/>
      </w:pPr>
      <w:r>
        <w:rPr>
          <w:spacing w:val="-3"/>
        </w:rPr>
        <w:t>在本合同保险期间内，我们承担下列保险责任：</w:t>
      </w:r>
    </w:p>
    <w:p>
      <w:pPr>
        <w:pStyle w:val="BodyText"/>
        <w:spacing w:before="2"/>
        <w:rPr>
          <w:sz w:val="20"/>
        </w:rPr>
      </w:pPr>
    </w:p>
    <w:p>
      <w:pPr>
        <w:spacing w:line="278" w:lineRule="auto" w:before="1"/>
        <w:ind w:left="2738" w:right="668" w:hanging="1618"/>
        <w:jc w:val="both"/>
        <w:rPr>
          <w:b/>
          <w:sz w:val="21"/>
        </w:rPr>
      </w:pPr>
      <w:r>
        <w:rPr>
          <w:b/>
          <w:sz w:val="21"/>
        </w:rPr>
        <w:t>基本保险责任 本合同基本保险责任包括“轻症疾病保险金”、“中症疾病保险金”、“住院津</w:t>
      </w:r>
      <w:r>
        <w:rPr>
          <w:b/>
          <w:spacing w:val="-4"/>
          <w:sz w:val="21"/>
        </w:rPr>
        <w:t>贴保险金”、“重大疾病保险金”、“身故或全残保险金”和“被保险人轻症疾</w:t>
      </w:r>
      <w:r>
        <w:rPr>
          <w:b/>
          <w:spacing w:val="-2"/>
          <w:sz w:val="21"/>
        </w:rPr>
        <w:t>病、中症疾病或重大疾病豁免保险费”六项。</w:t>
      </w:r>
    </w:p>
    <w:p>
      <w:pPr>
        <w:pStyle w:val="BodyText"/>
        <w:spacing w:before="3"/>
        <w:rPr>
          <w:b/>
          <w:sz w:val="11"/>
        </w:rPr>
      </w:pPr>
    </w:p>
    <w:p>
      <w:pPr>
        <w:spacing w:after="0"/>
        <w:rPr>
          <w:sz w:val="11"/>
        </w:rPr>
        <w:sectPr>
          <w:type w:val="continuous"/>
          <w:pgSz w:w="11910" w:h="16840"/>
          <w:pgMar w:header="0" w:footer="404" w:top="1120" w:bottom="600" w:left="860" w:right="340"/>
        </w:sectPr>
      </w:pPr>
    </w:p>
    <w:p>
      <w:pPr>
        <w:pStyle w:val="ListParagraph"/>
        <w:numPr>
          <w:ilvl w:val="2"/>
          <w:numId w:val="4"/>
        </w:numPr>
        <w:tabs>
          <w:tab w:pos="852" w:val="left" w:leader="none"/>
          <w:tab w:pos="853" w:val="left" w:leader="none"/>
        </w:tabs>
        <w:spacing w:line="240" w:lineRule="auto" w:before="72" w:after="0"/>
        <w:ind w:left="852" w:right="75" w:hanging="853"/>
        <w:jc w:val="right"/>
        <w:rPr>
          <w:b/>
          <w:sz w:val="21"/>
        </w:rPr>
      </w:pPr>
      <w:r>
        <w:rPr>
          <w:b/>
          <w:spacing w:val="20"/>
          <w:sz w:val="21"/>
        </w:rPr>
        <w:t>轻症疾病保险</w:t>
      </w:r>
    </w:p>
    <w:p>
      <w:pPr>
        <w:spacing w:before="43"/>
        <w:ind w:left="0" w:right="0" w:firstLine="0"/>
        <w:jc w:val="right"/>
        <w:rPr>
          <w:b/>
          <w:sz w:val="21"/>
        </w:rPr>
      </w:pPr>
      <w:r>
        <w:rPr>
          <w:b/>
          <w:spacing w:val="-2"/>
          <w:sz w:val="21"/>
        </w:rPr>
        <w:t>金（基本责任</w:t>
      </w:r>
      <w:r>
        <w:rPr>
          <w:b/>
          <w:spacing w:val="-12"/>
          <w:sz w:val="21"/>
        </w:rPr>
        <w:t>）</w:t>
      </w:r>
    </w:p>
    <w:p>
      <w:pPr>
        <w:spacing w:line="276" w:lineRule="auto" w:before="72"/>
        <w:ind w:left="99" w:right="668" w:firstLine="0"/>
        <w:jc w:val="both"/>
        <w:rPr>
          <w:sz w:val="21"/>
        </w:rPr>
      </w:pPr>
      <w:r>
        <w:rPr/>
        <w:br w:type="column"/>
      </w:r>
      <w:r>
        <w:rPr>
          <w:spacing w:val="1"/>
          <w:w w:val="100"/>
          <w:sz w:val="21"/>
        </w:rPr>
        <w:t>被保险人因意外伤害或于等待期后因意外伤害以外的原因导致初次患本合同所</w:t>
      </w:r>
      <w:r>
        <w:rPr>
          <w:spacing w:val="-15"/>
          <w:w w:val="100"/>
          <w:sz w:val="21"/>
        </w:rPr>
        <w:t>定义的轻症疾病</w:t>
      </w:r>
      <w:r>
        <w:rPr>
          <w:w w:val="100"/>
          <w:sz w:val="21"/>
        </w:rPr>
        <w:t>（</w:t>
      </w:r>
      <w:r>
        <w:rPr>
          <w:spacing w:val="-3"/>
          <w:w w:val="100"/>
          <w:sz w:val="21"/>
        </w:rPr>
        <w:t>无论一种或多种</w:t>
      </w:r>
      <w:r>
        <w:rPr>
          <w:spacing w:val="-89"/>
          <w:w w:val="100"/>
          <w:sz w:val="21"/>
        </w:rPr>
        <w:t>）</w:t>
      </w:r>
      <w:r>
        <w:rPr>
          <w:spacing w:val="-3"/>
          <w:w w:val="100"/>
          <w:sz w:val="21"/>
        </w:rPr>
        <w:t>并在本公司认可的医疗机构内被</w:t>
      </w:r>
      <w:r>
        <w:rPr>
          <w:b/>
          <w:w w:val="100"/>
          <w:sz w:val="21"/>
        </w:rPr>
        <w:t>专科医生</w:t>
      </w:r>
      <w:r>
        <w:rPr>
          <w:b/>
          <w:spacing w:val="-54"/>
          <w:sz w:val="21"/>
        </w:rPr>
        <w:t> </w:t>
      </w:r>
      <w:r>
        <w:rPr>
          <w:w w:val="100"/>
          <w:position w:val="11"/>
          <w:sz w:val="11"/>
        </w:rPr>
        <w:t>11.11</w:t>
      </w:r>
      <w:r>
        <w:rPr>
          <w:spacing w:val="-3"/>
          <w:w w:val="100"/>
          <w:sz w:val="21"/>
        </w:rPr>
        <w:t>初次确诊，我们按本合同基本保险金额的</w:t>
      </w:r>
      <w:r>
        <w:rPr>
          <w:spacing w:val="-53"/>
          <w:sz w:val="21"/>
        </w:rPr>
        <w:t> </w:t>
      </w:r>
      <w:r>
        <w:rPr>
          <w:w w:val="100"/>
          <w:sz w:val="21"/>
        </w:rPr>
        <w:t>30</w:t>
      </w:r>
      <w:r>
        <w:rPr>
          <w:spacing w:val="-4"/>
          <w:w w:val="100"/>
          <w:sz w:val="21"/>
        </w:rPr>
        <w:t>%给付轻症疾病保险金，</w:t>
      </w:r>
      <w:r>
        <w:rPr>
          <w:b/>
          <w:w w:val="100"/>
          <w:sz w:val="21"/>
        </w:rPr>
        <w:t>该一种或多</w:t>
      </w:r>
      <w:r>
        <w:rPr>
          <w:b/>
          <w:spacing w:val="-3"/>
          <w:w w:val="100"/>
          <w:sz w:val="21"/>
        </w:rPr>
        <w:t>种轻症疾病的保险责任终止，其余轻症疾病的保险责任继续有效</w:t>
      </w:r>
      <w:r>
        <w:rPr>
          <w:w w:val="100"/>
          <w:sz w:val="21"/>
        </w:rPr>
        <w:t>。</w:t>
      </w:r>
    </w:p>
    <w:p>
      <w:pPr>
        <w:spacing w:before="94"/>
        <w:ind w:left="99" w:right="0" w:firstLine="0"/>
        <w:jc w:val="left"/>
        <w:rPr>
          <w:b/>
          <w:sz w:val="21"/>
        </w:rPr>
      </w:pPr>
      <w:r>
        <w:rPr>
          <w:b/>
          <w:spacing w:val="-3"/>
          <w:sz w:val="21"/>
        </w:rPr>
        <w:t>本合同轻症疾病保险金的累计给付次数以四次为限。</w:t>
      </w:r>
    </w:p>
    <w:p>
      <w:pPr>
        <w:spacing w:line="278" w:lineRule="auto" w:before="136"/>
        <w:ind w:left="99"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定义的两种或者两种以上的轻症疾病并在本公司认可的医疗机构内被专科医生</w:t>
      </w:r>
    </w:p>
    <w:p>
      <w:pPr>
        <w:spacing w:after="0" w:line="278" w:lineRule="auto"/>
        <w:jc w:val="left"/>
        <w:rPr>
          <w:sz w:val="21"/>
        </w:rPr>
        <w:sectPr>
          <w:type w:val="continuous"/>
          <w:pgSz w:w="11910" w:h="16840"/>
          <w:pgMar w:header="0" w:footer="404" w:top="600" w:bottom="280" w:left="860" w:right="340"/>
          <w:cols w:num="2" w:equalWidth="0">
            <w:col w:w="2599" w:space="40"/>
            <w:col w:w="8071"/>
          </w:cols>
        </w:sectPr>
      </w:pPr>
    </w:p>
    <w:p>
      <w:pPr>
        <w:spacing w:before="57"/>
        <w:ind w:left="2757" w:right="2717" w:firstLine="0"/>
        <w:jc w:val="center"/>
        <w:rPr>
          <w:b/>
          <w:sz w:val="21"/>
        </w:rPr>
      </w:pPr>
      <w:r>
        <w:rPr>
          <w:b/>
          <w:spacing w:val="-3"/>
          <w:sz w:val="21"/>
        </w:rPr>
        <w:t>初次确诊，我们仅按一种轻症疾病给付轻症疾病保险金。</w:t>
      </w:r>
    </w:p>
    <w:p>
      <w:pPr>
        <w:spacing w:line="278" w:lineRule="auto" w:before="137"/>
        <w:ind w:left="2738" w:right="669" w:firstLine="0"/>
        <w:jc w:val="both"/>
        <w:rPr>
          <w:b/>
          <w:sz w:val="21"/>
        </w:rPr>
      </w:pPr>
      <w:r>
        <w:rPr>
          <w:b/>
          <w:spacing w:val="-4"/>
          <w:sz w:val="21"/>
        </w:rPr>
        <w:t>若被保险人在申请理赔时同时符合“轻症疾病保险金”和“中症疾病保险金”保</w:t>
      </w:r>
      <w:r>
        <w:rPr>
          <w:b/>
          <w:spacing w:val="-4"/>
          <w:sz w:val="21"/>
        </w:rPr>
        <w:t>险责任，则我们仅承担“中症疾病保险金”的给付责任；若被保险人在申请理赔</w:t>
      </w:r>
      <w:r>
        <w:rPr>
          <w:b/>
          <w:spacing w:val="-4"/>
          <w:sz w:val="21"/>
        </w:rPr>
        <w:t>时同时符合“轻症疾病保险金”和“重大疾病保险金”保险责任，则我们仅承担 “重大疾病保险金”的给付责任；若被保险人在申请理赔时同时符合“轻症疾病</w:t>
      </w:r>
      <w:r>
        <w:rPr>
          <w:b/>
          <w:spacing w:val="-4"/>
          <w:sz w:val="21"/>
        </w:rPr>
        <w:t>保险金”、“中症疾病保险金”和“重大疾病保险金”保险责任，则我们仅承担</w:t>
      </w:r>
      <w:r>
        <w:rPr>
          <w:b/>
          <w:spacing w:val="-4"/>
          <w:sz w:val="21"/>
        </w:rPr>
        <w:t> </w:t>
      </w:r>
      <w:r>
        <w:rPr>
          <w:b/>
          <w:spacing w:val="-2"/>
          <w:sz w:val="21"/>
        </w:rPr>
        <w:t>“重大疾病保险金”的给付责任。</w:t>
      </w:r>
    </w:p>
    <w:p>
      <w:pPr>
        <w:pStyle w:val="BodyText"/>
        <w:rPr>
          <w:b/>
          <w:sz w:val="26"/>
        </w:rPr>
      </w:pPr>
    </w:p>
    <w:p>
      <w:pPr>
        <w:spacing w:after="0"/>
        <w:rPr>
          <w:sz w:val="26"/>
        </w:rPr>
        <w:sectPr>
          <w:pgSz w:w="11910" w:h="16840"/>
          <w:pgMar w:header="0" w:footer="404" w:top="1080" w:bottom="600" w:left="860" w:right="340"/>
        </w:sectPr>
      </w:pPr>
    </w:p>
    <w:p>
      <w:pPr>
        <w:spacing w:line="278" w:lineRule="auto" w:before="72"/>
        <w:ind w:left="1120" w:right="0" w:firstLine="0"/>
        <w:jc w:val="left"/>
        <w:rPr>
          <w:b/>
          <w:sz w:val="21"/>
        </w:rPr>
      </w:pPr>
      <w:r>
        <w:rPr>
          <w:b/>
          <w:spacing w:val="-2"/>
          <w:sz w:val="21"/>
        </w:rPr>
        <w:t>轻症疾病额外</w:t>
      </w:r>
      <w:r>
        <w:rPr>
          <w:b/>
          <w:spacing w:val="-4"/>
          <w:sz w:val="21"/>
        </w:rPr>
        <w:t>保险金</w:t>
      </w:r>
    </w:p>
    <w:p>
      <w:pPr>
        <w:pStyle w:val="BodyText"/>
        <w:spacing w:line="278" w:lineRule="auto" w:before="72"/>
        <w:ind w:left="310" w:right="565"/>
      </w:pPr>
      <w:r>
        <w:rPr/>
        <w:br w:type="column"/>
      </w:r>
      <w:r>
        <w:rPr>
          <w:spacing w:val="1"/>
          <w:w w:val="100"/>
        </w:rPr>
        <w:t>若我们给付轻症疾病保险金所对应的轻症疾病初次确诊日在被保险人年满六十</w:t>
      </w:r>
      <w:r>
        <w:rPr>
          <w:spacing w:val="-6"/>
          <w:w w:val="100"/>
        </w:rPr>
        <w:t>周岁的保单周年日前</w:t>
      </w:r>
      <w:r>
        <w:rPr>
          <w:w w:val="100"/>
        </w:rPr>
        <w:t>（</w:t>
      </w:r>
      <w:r>
        <w:rPr>
          <w:spacing w:val="-3"/>
          <w:w w:val="100"/>
        </w:rPr>
        <w:t>不含六十周岁对应的保单周年日</w:t>
      </w:r>
      <w:r>
        <w:rPr>
          <w:spacing w:val="-22"/>
          <w:w w:val="100"/>
        </w:rPr>
        <w:t>）</w:t>
      </w:r>
      <w:r>
        <w:rPr>
          <w:spacing w:val="-5"/>
          <w:w w:val="100"/>
        </w:rPr>
        <w:t>的，我们在给付轻症疾</w:t>
      </w:r>
      <w:r>
        <w:rPr>
          <w:spacing w:val="-13"/>
          <w:w w:val="100"/>
        </w:rPr>
        <w:t>病保险金的基础上，额外按本合同基本保险金额的</w:t>
      </w:r>
      <w:r>
        <w:rPr>
          <w:spacing w:val="-57"/>
        </w:rPr>
        <w:t> </w:t>
      </w:r>
      <w:r>
        <w:rPr>
          <w:w w:val="100"/>
        </w:rPr>
        <w:t>1</w:t>
      </w:r>
      <w:r>
        <w:rPr>
          <w:spacing w:val="-3"/>
          <w:w w:val="100"/>
        </w:rPr>
        <w:t>5%给付轻症疾病额外保险金，</w:t>
      </w:r>
      <w:r>
        <w:rPr>
          <w:b/>
          <w:spacing w:val="-3"/>
          <w:w w:val="100"/>
        </w:rPr>
        <w:t>本项保险责任终止</w:t>
      </w:r>
      <w:r>
        <w:rPr>
          <w:spacing w:val="-3"/>
          <w:w w:val="100"/>
        </w:rPr>
        <w:t>。</w:t>
      </w:r>
    </w:p>
    <w:p>
      <w:pPr>
        <w:spacing w:before="93"/>
        <w:ind w:left="310" w:right="0" w:firstLine="0"/>
        <w:jc w:val="left"/>
        <w:rPr>
          <w:b/>
          <w:sz w:val="21"/>
        </w:rPr>
      </w:pPr>
      <w:r>
        <w:rPr>
          <w:b/>
          <w:spacing w:val="-3"/>
          <w:sz w:val="21"/>
        </w:rPr>
        <w:t>本合同轻症疾病额外保险金的给付次数以一次为限。</w:t>
      </w:r>
    </w:p>
    <w:p>
      <w:pPr>
        <w:spacing w:after="0"/>
        <w:jc w:val="left"/>
        <w:rPr>
          <w:sz w:val="21"/>
        </w:rPr>
        <w:sectPr>
          <w:type w:val="continuous"/>
          <w:pgSz w:w="11910" w:h="16840"/>
          <w:pgMar w:header="0" w:footer="404" w:top="600" w:bottom="280" w:left="860" w:right="340"/>
          <w:cols w:num="2" w:equalWidth="0">
            <w:col w:w="2388" w:space="40"/>
            <w:col w:w="8282"/>
          </w:cols>
        </w:sectPr>
      </w:pPr>
    </w:p>
    <w:p>
      <w:pPr>
        <w:pStyle w:val="BodyText"/>
        <w:spacing w:before="3"/>
        <w:rPr>
          <w:b/>
          <w:sz w:val="29"/>
        </w:rPr>
      </w:pPr>
    </w:p>
    <w:p>
      <w:pPr>
        <w:spacing w:after="0"/>
        <w:rPr>
          <w:sz w:val="29"/>
        </w:rPr>
        <w:sectPr>
          <w:type w:val="continuous"/>
          <w:pgSz w:w="11910" w:h="16840"/>
          <w:pgMar w:header="0" w:footer="404" w:top="600" w:bottom="280" w:left="860" w:right="340"/>
        </w:sectPr>
      </w:pPr>
    </w:p>
    <w:p>
      <w:pPr>
        <w:pStyle w:val="ListParagraph"/>
        <w:numPr>
          <w:ilvl w:val="2"/>
          <w:numId w:val="4"/>
        </w:numPr>
        <w:tabs>
          <w:tab w:pos="852" w:val="left" w:leader="none"/>
          <w:tab w:pos="853" w:val="left" w:leader="none"/>
        </w:tabs>
        <w:spacing w:line="240" w:lineRule="auto" w:before="72" w:after="0"/>
        <w:ind w:left="852" w:right="75" w:hanging="853"/>
        <w:jc w:val="right"/>
        <w:rPr>
          <w:b/>
          <w:sz w:val="21"/>
        </w:rPr>
      </w:pPr>
      <w:r>
        <w:rPr>
          <w:b/>
          <w:spacing w:val="20"/>
          <w:sz w:val="21"/>
        </w:rPr>
        <w:t>中症疾病保险</w:t>
      </w:r>
    </w:p>
    <w:p>
      <w:pPr>
        <w:spacing w:before="43"/>
        <w:ind w:left="0" w:right="0" w:firstLine="0"/>
        <w:jc w:val="right"/>
        <w:rPr>
          <w:b/>
          <w:sz w:val="21"/>
        </w:rPr>
      </w:pPr>
      <w:r>
        <w:rPr>
          <w:b/>
          <w:spacing w:val="-2"/>
          <w:sz w:val="21"/>
        </w:rPr>
        <w:t>金（基本责任</w:t>
      </w:r>
      <w:r>
        <w:rPr>
          <w:b/>
          <w:spacing w:val="-12"/>
          <w:sz w:val="21"/>
        </w:rPr>
        <w:t>）</w:t>
      </w:r>
    </w:p>
    <w:p>
      <w:pPr>
        <w:spacing w:line="278" w:lineRule="auto" w:before="72"/>
        <w:ind w:left="99" w:right="666" w:firstLine="0"/>
        <w:jc w:val="both"/>
        <w:rPr>
          <w:b/>
          <w:sz w:val="21"/>
        </w:rPr>
      </w:pPr>
      <w:r>
        <w:rPr/>
        <w:br w:type="column"/>
      </w:r>
      <w:r>
        <w:rPr>
          <w:spacing w:val="1"/>
          <w:w w:val="100"/>
          <w:sz w:val="21"/>
        </w:rPr>
        <w:t>被保险人因意外伤害或于等待期后因意外伤害以外的原因导致初次患本合同所</w:t>
      </w:r>
      <w:r>
        <w:rPr>
          <w:spacing w:val="-7"/>
          <w:w w:val="100"/>
          <w:sz w:val="21"/>
        </w:rPr>
        <w:t>定义的中症疾病</w:t>
      </w:r>
      <w:r>
        <w:rPr>
          <w:w w:val="100"/>
          <w:sz w:val="21"/>
        </w:rPr>
        <w:t>（</w:t>
      </w:r>
      <w:r>
        <w:rPr>
          <w:spacing w:val="-3"/>
          <w:w w:val="100"/>
          <w:sz w:val="21"/>
        </w:rPr>
        <w:t>无论一种或多种</w:t>
      </w:r>
      <w:r>
        <w:rPr>
          <w:spacing w:val="-32"/>
          <w:w w:val="100"/>
          <w:sz w:val="21"/>
        </w:rPr>
        <w:t>）</w:t>
      </w:r>
      <w:r>
        <w:rPr>
          <w:spacing w:val="-3"/>
          <w:w w:val="100"/>
          <w:sz w:val="21"/>
        </w:rPr>
        <w:t>并在本公司认可的医疗机构内被专科医生初</w:t>
      </w:r>
      <w:r>
        <w:rPr>
          <w:spacing w:val="-4"/>
          <w:w w:val="100"/>
          <w:sz w:val="21"/>
        </w:rPr>
        <w:t>次确诊，我们按本合同基本保险金额的</w:t>
      </w:r>
      <w:r>
        <w:rPr>
          <w:spacing w:val="-53"/>
          <w:sz w:val="21"/>
        </w:rPr>
        <w:t> </w:t>
      </w:r>
      <w:r>
        <w:rPr>
          <w:spacing w:val="-3"/>
          <w:w w:val="100"/>
          <w:sz w:val="21"/>
        </w:rPr>
        <w:t>6</w:t>
      </w:r>
      <w:r>
        <w:rPr>
          <w:w w:val="100"/>
          <w:sz w:val="21"/>
        </w:rPr>
        <w:t>0</w:t>
      </w:r>
      <w:r>
        <w:rPr>
          <w:spacing w:val="-4"/>
          <w:w w:val="100"/>
          <w:sz w:val="21"/>
        </w:rPr>
        <w:t>%给付中症疾病保险金，</w:t>
      </w:r>
      <w:r>
        <w:rPr>
          <w:b/>
          <w:spacing w:val="-1"/>
          <w:w w:val="100"/>
          <w:sz w:val="21"/>
        </w:rPr>
        <w:t>该一种或多种</w:t>
      </w:r>
      <w:r>
        <w:rPr>
          <w:b/>
          <w:spacing w:val="-3"/>
          <w:w w:val="100"/>
          <w:sz w:val="21"/>
        </w:rPr>
        <w:t>中症疾病的保险责任终止，其余中症疾病的保险责任继续有效。</w:t>
      </w:r>
    </w:p>
    <w:p>
      <w:pPr>
        <w:spacing w:before="93"/>
        <w:ind w:left="99" w:right="0" w:firstLine="0"/>
        <w:jc w:val="left"/>
        <w:rPr>
          <w:b/>
          <w:sz w:val="21"/>
        </w:rPr>
      </w:pPr>
      <w:r>
        <w:rPr>
          <w:b/>
          <w:spacing w:val="-3"/>
          <w:sz w:val="21"/>
        </w:rPr>
        <w:t>本合同中症疾病保险金的累计给付次数以两次为限。</w:t>
      </w:r>
    </w:p>
    <w:p>
      <w:pPr>
        <w:spacing w:line="278" w:lineRule="auto" w:before="137"/>
        <w:ind w:left="99"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定义的两种或者两种以上的中症疾病并在本公司认可的医疗机构内被专科医生</w:t>
      </w:r>
      <w:r>
        <w:rPr>
          <w:b/>
          <w:spacing w:val="-2"/>
          <w:sz w:val="21"/>
        </w:rPr>
        <w:t>初次确诊，我们仅按一种中症疾病给付中症疾病保险金。</w:t>
      </w:r>
    </w:p>
    <w:p>
      <w:pPr>
        <w:spacing w:line="278" w:lineRule="auto" w:before="93"/>
        <w:ind w:left="99" w:right="669" w:firstLine="0"/>
        <w:jc w:val="left"/>
        <w:rPr>
          <w:b/>
          <w:sz w:val="21"/>
        </w:rPr>
      </w:pPr>
      <w:r>
        <w:rPr>
          <w:b/>
          <w:spacing w:val="-4"/>
          <w:sz w:val="21"/>
        </w:rPr>
        <w:t>若被保险人在申请理赔时同时符合“中症疾病保险金”和“重大疾病保险金”保</w:t>
      </w:r>
      <w:r>
        <w:rPr>
          <w:b/>
          <w:spacing w:val="-2"/>
          <w:sz w:val="21"/>
        </w:rPr>
        <w:t>险责任，则我们仅承担“重大疾病保险金”的给付责任。</w:t>
      </w:r>
    </w:p>
    <w:p>
      <w:pPr>
        <w:spacing w:after="0" w:line="278" w:lineRule="auto"/>
        <w:jc w:val="left"/>
        <w:rPr>
          <w:sz w:val="21"/>
        </w:rPr>
        <w:sectPr>
          <w:type w:val="continuous"/>
          <w:pgSz w:w="11910" w:h="16840"/>
          <w:pgMar w:header="0" w:footer="404" w:top="600" w:bottom="280" w:left="860" w:right="340"/>
          <w:cols w:num="2" w:equalWidth="0">
            <w:col w:w="2599" w:space="40"/>
            <w:col w:w="8071"/>
          </w:cols>
        </w:sectPr>
      </w:pPr>
    </w:p>
    <w:p>
      <w:pPr>
        <w:pStyle w:val="BodyText"/>
        <w:spacing w:before="11"/>
        <w:rPr>
          <w:b/>
          <w:sz w:val="25"/>
        </w:rPr>
      </w:pPr>
    </w:p>
    <w:p>
      <w:pPr>
        <w:spacing w:after="0"/>
        <w:rPr>
          <w:sz w:val="25"/>
        </w:rPr>
        <w:sectPr>
          <w:type w:val="continuous"/>
          <w:pgSz w:w="11910" w:h="16840"/>
          <w:pgMar w:header="0" w:footer="404" w:top="600" w:bottom="280" w:left="860" w:right="340"/>
        </w:sectPr>
      </w:pPr>
    </w:p>
    <w:p>
      <w:pPr>
        <w:spacing w:line="278" w:lineRule="auto" w:before="72"/>
        <w:ind w:left="1120" w:right="0" w:firstLine="0"/>
        <w:jc w:val="left"/>
        <w:rPr>
          <w:b/>
          <w:sz w:val="21"/>
        </w:rPr>
      </w:pPr>
      <w:r>
        <w:rPr>
          <w:b/>
          <w:spacing w:val="-2"/>
          <w:sz w:val="21"/>
        </w:rPr>
        <w:t>中症疾病额外</w:t>
      </w:r>
      <w:r>
        <w:rPr>
          <w:b/>
          <w:spacing w:val="-4"/>
          <w:sz w:val="21"/>
        </w:rPr>
        <w:t>保险金</w:t>
      </w:r>
    </w:p>
    <w:p>
      <w:pPr>
        <w:pStyle w:val="BodyText"/>
        <w:spacing w:line="278" w:lineRule="auto" w:before="72"/>
        <w:ind w:left="310" w:right="565"/>
      </w:pPr>
      <w:r>
        <w:rPr/>
        <w:br w:type="column"/>
      </w:r>
      <w:r>
        <w:rPr>
          <w:spacing w:val="1"/>
          <w:w w:val="100"/>
        </w:rPr>
        <w:t>若我们给付中症疾病保险金所对应的中症疾病初次确诊日在被保险人年满六十</w:t>
      </w:r>
      <w:r>
        <w:rPr>
          <w:spacing w:val="-6"/>
          <w:w w:val="100"/>
        </w:rPr>
        <w:t>周岁的保单周年日前</w:t>
      </w:r>
      <w:r>
        <w:rPr>
          <w:w w:val="100"/>
        </w:rPr>
        <w:t>（</w:t>
      </w:r>
      <w:r>
        <w:rPr>
          <w:spacing w:val="-3"/>
          <w:w w:val="100"/>
        </w:rPr>
        <w:t>不含六十周岁对应的保单周年日</w:t>
      </w:r>
      <w:r>
        <w:rPr>
          <w:spacing w:val="-22"/>
          <w:w w:val="100"/>
        </w:rPr>
        <w:t>）</w:t>
      </w:r>
      <w:r>
        <w:rPr>
          <w:spacing w:val="-5"/>
          <w:w w:val="100"/>
        </w:rPr>
        <w:t>的，我们在给付中症疾</w:t>
      </w:r>
      <w:r>
        <w:rPr>
          <w:spacing w:val="-13"/>
          <w:w w:val="100"/>
        </w:rPr>
        <w:t>病保险金的基础上，额外按本合同基本保险金额的</w:t>
      </w:r>
      <w:r>
        <w:rPr>
          <w:spacing w:val="-57"/>
        </w:rPr>
        <w:t> </w:t>
      </w:r>
      <w:r>
        <w:rPr>
          <w:w w:val="100"/>
        </w:rPr>
        <w:t>2</w:t>
      </w:r>
      <w:r>
        <w:rPr>
          <w:spacing w:val="-3"/>
          <w:w w:val="100"/>
        </w:rPr>
        <w:t>0%给付中症疾病额外保险金，</w:t>
      </w:r>
      <w:r>
        <w:rPr>
          <w:b/>
          <w:spacing w:val="-3"/>
          <w:w w:val="100"/>
        </w:rPr>
        <w:t>本项保险责任终止</w:t>
      </w:r>
      <w:r>
        <w:rPr>
          <w:spacing w:val="-3"/>
          <w:w w:val="100"/>
        </w:rPr>
        <w:t>。</w:t>
      </w:r>
    </w:p>
    <w:p>
      <w:pPr>
        <w:spacing w:before="93"/>
        <w:ind w:left="310" w:right="0" w:firstLine="0"/>
        <w:jc w:val="left"/>
        <w:rPr>
          <w:b/>
          <w:sz w:val="21"/>
        </w:rPr>
      </w:pPr>
      <w:r>
        <w:rPr>
          <w:b/>
          <w:spacing w:val="-3"/>
          <w:sz w:val="21"/>
        </w:rPr>
        <w:t>本合同中症疾病额外保险金的给付次数以一次为限。</w:t>
      </w:r>
    </w:p>
    <w:p>
      <w:pPr>
        <w:spacing w:after="0"/>
        <w:jc w:val="left"/>
        <w:rPr>
          <w:sz w:val="21"/>
        </w:rPr>
        <w:sectPr>
          <w:type w:val="continuous"/>
          <w:pgSz w:w="11910" w:h="16840"/>
          <w:pgMar w:header="0" w:footer="404" w:top="600" w:bottom="280" w:left="860" w:right="340"/>
          <w:cols w:num="2" w:equalWidth="0">
            <w:col w:w="2388" w:space="40"/>
            <w:col w:w="8282"/>
          </w:cols>
        </w:sectPr>
      </w:pPr>
    </w:p>
    <w:p>
      <w:pPr>
        <w:pStyle w:val="BodyText"/>
        <w:spacing w:before="12"/>
        <w:rPr>
          <w:b/>
        </w:rPr>
      </w:pPr>
    </w:p>
    <w:p>
      <w:pPr>
        <w:spacing w:after="0"/>
        <w:sectPr>
          <w:type w:val="continuous"/>
          <w:pgSz w:w="11910" w:h="16840"/>
          <w:pgMar w:header="0" w:footer="404" w:top="600" w:bottom="280" w:left="860" w:right="340"/>
        </w:sectPr>
      </w:pPr>
    </w:p>
    <w:p>
      <w:pPr>
        <w:pStyle w:val="ListParagraph"/>
        <w:numPr>
          <w:ilvl w:val="2"/>
          <w:numId w:val="4"/>
        </w:numPr>
        <w:tabs>
          <w:tab w:pos="852" w:val="left" w:leader="none"/>
          <w:tab w:pos="853" w:val="left" w:leader="none"/>
        </w:tabs>
        <w:spacing w:line="240" w:lineRule="auto" w:before="72" w:after="0"/>
        <w:ind w:left="852" w:right="75" w:hanging="853"/>
        <w:jc w:val="right"/>
        <w:rPr>
          <w:b/>
          <w:sz w:val="21"/>
        </w:rPr>
      </w:pPr>
      <w:r>
        <w:rPr>
          <w:b/>
          <w:spacing w:val="20"/>
          <w:sz w:val="21"/>
        </w:rPr>
        <w:t>住院津贴保险</w:t>
      </w:r>
    </w:p>
    <w:p>
      <w:pPr>
        <w:spacing w:before="43"/>
        <w:ind w:left="0" w:right="0" w:firstLine="0"/>
        <w:jc w:val="right"/>
        <w:rPr>
          <w:b/>
          <w:sz w:val="21"/>
        </w:rPr>
      </w:pPr>
      <w:r>
        <w:rPr>
          <w:b/>
          <w:spacing w:val="-2"/>
          <w:sz w:val="21"/>
        </w:rPr>
        <w:t>金（基本责任</w:t>
      </w:r>
      <w:r>
        <w:rPr>
          <w:b/>
          <w:spacing w:val="-12"/>
          <w:sz w:val="21"/>
        </w:rPr>
        <w:t>）</w:t>
      </w:r>
    </w:p>
    <w:p>
      <w:pPr>
        <w:pStyle w:val="BodyText"/>
        <w:spacing w:before="72"/>
        <w:ind w:left="99"/>
      </w:pPr>
      <w:r>
        <w:rPr/>
        <w:br w:type="column"/>
      </w:r>
      <w:r>
        <w:rPr>
          <w:spacing w:val="-6"/>
        </w:rPr>
        <w:t>被保险人若从未发生本合同所定义的重大疾病，在年满六十周岁的保单周年日后</w:t>
      </w:r>
    </w:p>
    <w:p>
      <w:pPr>
        <w:pStyle w:val="BodyText"/>
        <w:spacing w:line="273" w:lineRule="auto" w:before="43"/>
        <w:ind w:left="99" w:right="666"/>
        <w:jc w:val="both"/>
      </w:pPr>
      <w:r>
        <w:rPr>
          <w:spacing w:val="-2"/>
        </w:rPr>
        <w:t>（含六十周岁对应的保单周年日），因意外伤害或于等待期后因意外伤害以外的</w:t>
      </w:r>
      <w:r>
        <w:rPr>
          <w:spacing w:val="-2"/>
        </w:rPr>
        <w:t>原因在本公司认可的医疗机构接受住院治疗的，我们按本合同基本保险金额的 </w:t>
      </w:r>
      <w:r>
        <w:rPr/>
        <w:t>0.1%乘以</w:t>
      </w:r>
      <w:r>
        <w:rPr>
          <w:b/>
          <w:spacing w:val="-5"/>
        </w:rPr>
        <w:t>实际住院天数 </w:t>
      </w:r>
      <w:r>
        <w:rPr>
          <w:position w:val="11"/>
          <w:sz w:val="11"/>
        </w:rPr>
        <w:t>11.12</w:t>
      </w:r>
      <w:r>
        <w:rPr>
          <w:spacing w:val="-17"/>
          <w:position w:val="11"/>
          <w:sz w:val="11"/>
        </w:rPr>
        <w:t> </w:t>
      </w:r>
      <w:r>
        <w:rPr/>
        <w:t>给付住院津贴保险金。</w:t>
      </w:r>
    </w:p>
    <w:p>
      <w:pPr>
        <w:spacing w:line="278" w:lineRule="auto" w:before="100"/>
        <w:ind w:left="99" w:right="670" w:firstLine="0"/>
        <w:jc w:val="both"/>
        <w:rPr>
          <w:b/>
          <w:sz w:val="21"/>
        </w:rPr>
      </w:pPr>
      <w:r>
        <w:rPr>
          <w:b/>
          <w:spacing w:val="-4"/>
          <w:sz w:val="21"/>
        </w:rPr>
        <w:t>同一个保单年度内，被保险人无论一次或多次住院治疗，本合同住院津贴保险金</w:t>
      </w:r>
      <w:r>
        <w:rPr>
          <w:b/>
          <w:spacing w:val="-8"/>
          <w:sz w:val="21"/>
        </w:rPr>
        <w:t>的累计给付天数以九十日为限；本合同保险期间内住院津贴保险金的累计给付金</w:t>
      </w:r>
      <w:r>
        <w:rPr>
          <w:b/>
          <w:spacing w:val="-2"/>
          <w:sz w:val="21"/>
        </w:rPr>
        <w:t>额达到本合同基本保险金额时，本项保险责任终止。</w:t>
      </w:r>
    </w:p>
    <w:p>
      <w:pPr>
        <w:spacing w:line="278" w:lineRule="auto" w:before="90"/>
        <w:ind w:left="99" w:right="671" w:firstLine="0"/>
        <w:jc w:val="left"/>
        <w:rPr>
          <w:b/>
          <w:sz w:val="21"/>
        </w:rPr>
      </w:pPr>
      <w:r>
        <w:rPr>
          <w:b/>
          <w:spacing w:val="-4"/>
          <w:sz w:val="21"/>
        </w:rPr>
        <w:t>若我们已经按约定给付住院津贴保险金的，我们在给付首次重大疾病保险金、身</w:t>
      </w:r>
      <w:r>
        <w:rPr>
          <w:b/>
          <w:spacing w:val="-2"/>
          <w:sz w:val="21"/>
        </w:rPr>
        <w:t>故或全残保险金时，均需扣减已累计给付的住院津贴保险金。</w:t>
      </w:r>
    </w:p>
    <w:p>
      <w:pPr>
        <w:spacing w:after="0" w:line="278" w:lineRule="auto"/>
        <w:jc w:val="left"/>
        <w:rPr>
          <w:sz w:val="21"/>
        </w:rPr>
        <w:sectPr>
          <w:type w:val="continuous"/>
          <w:pgSz w:w="11910" w:h="16840"/>
          <w:pgMar w:header="0" w:footer="404" w:top="600" w:bottom="280" w:left="860" w:right="340"/>
          <w:cols w:num="2" w:equalWidth="0">
            <w:col w:w="2599" w:space="40"/>
            <w:col w:w="8071"/>
          </w:cols>
        </w:sectPr>
      </w:pPr>
    </w:p>
    <w:p>
      <w:pPr>
        <w:pStyle w:val="BodyText"/>
        <w:spacing w:before="7"/>
        <w:rPr>
          <w:b/>
          <w:sz w:val="18"/>
        </w:rPr>
      </w:pPr>
    </w:p>
    <w:p>
      <w:pPr>
        <w:spacing w:after="0"/>
        <w:rPr>
          <w:sz w:val="18"/>
        </w:rPr>
        <w:sectPr>
          <w:type w:val="continuous"/>
          <w:pgSz w:w="11910" w:h="16840"/>
          <w:pgMar w:header="0" w:footer="404" w:top="600" w:bottom="280" w:left="860" w:right="340"/>
        </w:sectPr>
      </w:pPr>
    </w:p>
    <w:p>
      <w:pPr>
        <w:pStyle w:val="ListParagraph"/>
        <w:numPr>
          <w:ilvl w:val="2"/>
          <w:numId w:val="4"/>
        </w:numPr>
        <w:tabs>
          <w:tab w:pos="852" w:val="left" w:leader="none"/>
          <w:tab w:pos="853" w:val="left" w:leader="none"/>
        </w:tabs>
        <w:spacing w:line="240" w:lineRule="auto" w:before="72" w:after="0"/>
        <w:ind w:left="852" w:right="75" w:hanging="853"/>
        <w:jc w:val="right"/>
        <w:rPr>
          <w:b/>
          <w:sz w:val="21"/>
        </w:rPr>
      </w:pPr>
      <w:r>
        <w:rPr>
          <w:b/>
          <w:spacing w:val="20"/>
          <w:sz w:val="21"/>
        </w:rPr>
        <w:t>重大疾病保险</w:t>
      </w:r>
    </w:p>
    <w:p>
      <w:pPr>
        <w:spacing w:before="43"/>
        <w:ind w:left="0" w:right="0" w:firstLine="0"/>
        <w:jc w:val="right"/>
        <w:rPr>
          <w:b/>
          <w:sz w:val="21"/>
        </w:rPr>
      </w:pPr>
      <w:r>
        <w:rPr>
          <w:b/>
          <w:sz w:val="21"/>
        </w:rPr>
        <w:t>金（基本责任</w:t>
      </w:r>
      <w:r>
        <w:rPr>
          <w:b/>
          <w:spacing w:val="-10"/>
          <w:sz w:val="21"/>
        </w:rPr>
        <w:t>）</w:t>
      </w:r>
    </w:p>
    <w:p>
      <w:pPr>
        <w:spacing w:line="278" w:lineRule="auto" w:before="72"/>
        <w:ind w:left="99" w:right="668" w:firstLine="0"/>
        <w:jc w:val="left"/>
        <w:rPr>
          <w:b/>
          <w:sz w:val="21"/>
        </w:rPr>
      </w:pPr>
      <w:r>
        <w:rPr/>
        <w:br w:type="column"/>
      </w:r>
      <w:r>
        <w:rPr>
          <w:b/>
          <w:spacing w:val="-4"/>
          <w:sz w:val="21"/>
        </w:rPr>
        <w:t>本合同所保障的重大疾病共一百一十种。除本合同另有约定外，每种重大疾病保</w:t>
      </w:r>
      <w:r>
        <w:rPr>
          <w:b/>
          <w:spacing w:val="-2"/>
          <w:sz w:val="21"/>
        </w:rPr>
        <w:t>险金的给付次数以一次为限，给付后该种重大疾病的保险责任终止。</w:t>
      </w:r>
    </w:p>
    <w:p>
      <w:pPr>
        <w:spacing w:after="0" w:line="278" w:lineRule="auto"/>
        <w:jc w:val="left"/>
        <w:rPr>
          <w:sz w:val="21"/>
        </w:rPr>
        <w:sectPr>
          <w:type w:val="continuous"/>
          <w:pgSz w:w="11910" w:h="16840"/>
          <w:pgMar w:header="0" w:footer="404" w:top="600" w:bottom="280" w:left="860" w:right="340"/>
          <w:cols w:num="2" w:equalWidth="0">
            <w:col w:w="2599" w:space="40"/>
            <w:col w:w="8071"/>
          </w:cols>
        </w:sectPr>
      </w:pPr>
    </w:p>
    <w:p>
      <w:pPr>
        <w:spacing w:line="278" w:lineRule="auto" w:before="57"/>
        <w:ind w:left="2738"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定义的两种或者两种以上的重大疾病并在本公司认可的医疗机构内被专科医生</w:t>
      </w:r>
      <w:r>
        <w:rPr>
          <w:b/>
          <w:spacing w:val="-2"/>
          <w:sz w:val="21"/>
        </w:rPr>
        <w:t>初次确诊，我们仅按一种重大疾病给付重大疾病保险金。</w:t>
      </w:r>
    </w:p>
    <w:p>
      <w:pPr>
        <w:pStyle w:val="BodyText"/>
        <w:spacing w:before="1"/>
        <w:rPr>
          <w:b/>
          <w:sz w:val="26"/>
        </w:rPr>
      </w:pPr>
    </w:p>
    <w:p>
      <w:pPr>
        <w:spacing w:after="0"/>
        <w:rPr>
          <w:sz w:val="26"/>
        </w:rPr>
        <w:sectPr>
          <w:pgSz w:w="11910" w:h="16840"/>
          <w:pgMar w:header="0" w:footer="404" w:top="1080" w:bottom="600" w:left="860" w:right="340"/>
        </w:sectPr>
      </w:pPr>
    </w:p>
    <w:p>
      <w:pPr>
        <w:spacing w:line="278" w:lineRule="auto" w:before="71"/>
        <w:ind w:left="1120" w:right="0" w:firstLine="0"/>
        <w:jc w:val="left"/>
        <w:rPr>
          <w:b/>
          <w:sz w:val="21"/>
        </w:rPr>
      </w:pPr>
      <w:r>
        <w:rPr>
          <w:b/>
          <w:spacing w:val="20"/>
          <w:sz w:val="21"/>
        </w:rPr>
        <w:t>首次重大疾病</w:t>
      </w:r>
      <w:r>
        <w:rPr>
          <w:b/>
          <w:spacing w:val="-4"/>
          <w:sz w:val="21"/>
        </w:rPr>
        <w:t>保险金</w:t>
      </w:r>
    </w:p>
    <w:p>
      <w:pPr>
        <w:spacing w:line="278" w:lineRule="auto" w:before="71"/>
        <w:ind w:left="177" w:right="666" w:firstLine="0"/>
        <w:jc w:val="left"/>
        <w:rPr>
          <w:b/>
          <w:sz w:val="21"/>
        </w:rPr>
      </w:pPr>
      <w:r>
        <w:rPr/>
        <w:br w:type="column"/>
      </w:r>
      <w:r>
        <w:rPr>
          <w:spacing w:val="-3"/>
          <w:w w:val="100"/>
          <w:sz w:val="21"/>
        </w:rPr>
        <w:t>被保险人因意外伤害或于等待期后因意外伤害以外的原因导致初次患本合同所</w:t>
      </w:r>
      <w:r>
        <w:rPr>
          <w:spacing w:val="-8"/>
          <w:w w:val="100"/>
          <w:sz w:val="21"/>
        </w:rPr>
        <w:t>定义的重大疾病</w:t>
      </w:r>
      <w:r>
        <w:rPr>
          <w:w w:val="100"/>
          <w:sz w:val="21"/>
        </w:rPr>
        <w:t>（</w:t>
      </w:r>
      <w:r>
        <w:rPr>
          <w:spacing w:val="-3"/>
          <w:w w:val="100"/>
          <w:sz w:val="21"/>
        </w:rPr>
        <w:t>无论一种或多种</w:t>
      </w:r>
      <w:r>
        <w:rPr>
          <w:spacing w:val="-32"/>
          <w:w w:val="100"/>
          <w:sz w:val="21"/>
        </w:rPr>
        <w:t>）</w:t>
      </w:r>
      <w:r>
        <w:rPr>
          <w:spacing w:val="-3"/>
          <w:w w:val="100"/>
          <w:sz w:val="21"/>
        </w:rPr>
        <w:t>并在本公司认可的医疗机构内被专科医生初次确诊，我们按本合同基本保险金额的</w:t>
      </w:r>
      <w:r>
        <w:rPr>
          <w:spacing w:val="-53"/>
          <w:sz w:val="21"/>
        </w:rPr>
        <w:t> </w:t>
      </w:r>
      <w:r>
        <w:rPr>
          <w:spacing w:val="-3"/>
          <w:w w:val="100"/>
          <w:sz w:val="21"/>
        </w:rPr>
        <w:t>1</w:t>
      </w:r>
      <w:r>
        <w:rPr>
          <w:w w:val="100"/>
          <w:sz w:val="21"/>
        </w:rPr>
        <w:t>00</w:t>
      </w:r>
      <w:r>
        <w:rPr>
          <w:spacing w:val="-3"/>
          <w:w w:val="100"/>
          <w:sz w:val="21"/>
        </w:rPr>
        <w:t>%给付首次重大疾病保险金，</w:t>
      </w:r>
      <w:r>
        <w:rPr>
          <w:b/>
          <w:spacing w:val="-2"/>
          <w:w w:val="100"/>
          <w:sz w:val="21"/>
        </w:rPr>
        <w:t>本项保</w:t>
      </w:r>
      <w:r>
        <w:rPr>
          <w:b/>
          <w:spacing w:val="-10"/>
          <w:w w:val="100"/>
          <w:sz w:val="21"/>
        </w:rPr>
        <w:t>险责任终止，除本合同另有约定外，该一种或多种重大疾病的保险责任终止，其</w:t>
      </w:r>
      <w:r>
        <w:rPr>
          <w:b/>
          <w:spacing w:val="-2"/>
          <w:w w:val="100"/>
          <w:sz w:val="21"/>
        </w:rPr>
        <w:t>余重大疾病的保险责任继续有效。</w:t>
      </w:r>
    </w:p>
    <w:p>
      <w:pPr>
        <w:pStyle w:val="Heading2"/>
        <w:spacing w:line="278" w:lineRule="auto" w:before="83"/>
        <w:ind w:left="177" w:right="671"/>
        <w:jc w:val="both"/>
      </w:pPr>
      <w:r>
        <w:rPr>
          <w:spacing w:val="-3"/>
          <w:w w:val="100"/>
        </w:rPr>
        <w:t>我们给付首次重大疾病保险金后，本合同现金价值</w:t>
      </w:r>
      <w:r>
        <w:rPr>
          <w:spacing w:val="-54"/>
        </w:rPr>
        <w:t> </w:t>
      </w:r>
      <w:r>
        <w:rPr>
          <w:b w:val="0"/>
          <w:spacing w:val="-3"/>
          <w:w w:val="100"/>
          <w:position w:val="11"/>
          <w:sz w:val="11"/>
        </w:rPr>
        <w:t>1</w:t>
      </w:r>
      <w:r>
        <w:rPr>
          <w:b w:val="0"/>
          <w:w w:val="100"/>
          <w:position w:val="11"/>
          <w:sz w:val="11"/>
        </w:rPr>
        <w:t>1.13</w:t>
      </w:r>
      <w:r>
        <w:rPr>
          <w:b w:val="0"/>
          <w:spacing w:val="-29"/>
          <w:position w:val="11"/>
          <w:sz w:val="11"/>
        </w:rPr>
        <w:t> </w:t>
      </w:r>
      <w:r>
        <w:rPr>
          <w:spacing w:val="-4"/>
          <w:w w:val="100"/>
        </w:rPr>
        <w:t>减少至零，我们不再承担</w:t>
      </w:r>
      <w:r>
        <w:rPr>
          <w:spacing w:val="-11"/>
          <w:w w:val="100"/>
        </w:rPr>
        <w:t>本合同“轻症疾病保险金”、“中症疾病保险金”、“住院津贴保险金”、“身</w:t>
      </w:r>
      <w:r>
        <w:rPr>
          <w:spacing w:val="-2"/>
          <w:w w:val="100"/>
        </w:rPr>
        <w:t>故或全残保险金”的保险责任。</w:t>
      </w:r>
    </w:p>
    <w:p>
      <w:pPr>
        <w:spacing w:after="0" w:line="278" w:lineRule="auto"/>
        <w:jc w:val="both"/>
        <w:sectPr>
          <w:type w:val="continuous"/>
          <w:pgSz w:w="11910" w:h="16840"/>
          <w:pgMar w:header="0" w:footer="404" w:top="600" w:bottom="280" w:left="860" w:right="340"/>
          <w:cols w:num="2" w:equalWidth="0">
            <w:col w:w="2521" w:space="40"/>
            <w:col w:w="8149"/>
          </w:cols>
        </w:sectPr>
      </w:pPr>
    </w:p>
    <w:p>
      <w:pPr>
        <w:pStyle w:val="BodyText"/>
        <w:spacing w:before="2"/>
        <w:rPr>
          <w:b/>
          <w:sz w:val="26"/>
        </w:rPr>
      </w:pPr>
    </w:p>
    <w:p>
      <w:pPr>
        <w:spacing w:after="0"/>
        <w:rPr>
          <w:sz w:val="26"/>
        </w:rPr>
        <w:sectPr>
          <w:type w:val="continuous"/>
          <w:pgSz w:w="11910" w:h="16840"/>
          <w:pgMar w:header="0" w:footer="404" w:top="600" w:bottom="280" w:left="860" w:right="340"/>
        </w:sectPr>
      </w:pPr>
    </w:p>
    <w:p>
      <w:pPr>
        <w:spacing w:line="278" w:lineRule="auto" w:before="71"/>
        <w:ind w:left="1120" w:right="0" w:firstLine="0"/>
        <w:jc w:val="left"/>
        <w:rPr>
          <w:b/>
          <w:sz w:val="21"/>
        </w:rPr>
      </w:pPr>
      <w:r>
        <w:rPr>
          <w:b/>
          <w:spacing w:val="-2"/>
          <w:sz w:val="21"/>
        </w:rPr>
        <w:t>首次重大疾病额外保险金</w:t>
      </w:r>
    </w:p>
    <w:p>
      <w:pPr>
        <w:pStyle w:val="BodyText"/>
        <w:spacing w:line="278" w:lineRule="auto" w:before="71"/>
        <w:ind w:left="310" w:right="666"/>
        <w:jc w:val="both"/>
      </w:pPr>
      <w:r>
        <w:rPr/>
        <w:br w:type="column"/>
      </w:r>
      <w:r>
        <w:rPr>
          <w:spacing w:val="1"/>
          <w:w w:val="100"/>
        </w:rPr>
        <w:t>若我们给付首次重大疾病保险金所对应的重大疾病初次确诊日在被保险人年满</w:t>
      </w:r>
      <w:r>
        <w:rPr>
          <w:spacing w:val="-5"/>
          <w:w w:val="100"/>
        </w:rPr>
        <w:t>六十周岁的保单周年日前</w:t>
      </w:r>
      <w:r>
        <w:rPr>
          <w:w w:val="100"/>
        </w:rPr>
        <w:t>（</w:t>
      </w:r>
      <w:r>
        <w:rPr>
          <w:spacing w:val="-3"/>
          <w:w w:val="100"/>
        </w:rPr>
        <w:t>不含六十周岁对应的保单周年日</w:t>
      </w:r>
      <w:r>
        <w:rPr>
          <w:spacing w:val="-22"/>
          <w:w w:val="100"/>
        </w:rPr>
        <w:t>）</w:t>
      </w:r>
      <w:r>
        <w:rPr>
          <w:spacing w:val="-6"/>
          <w:w w:val="100"/>
        </w:rPr>
        <w:t>的，我们在给付首</w:t>
      </w:r>
      <w:r>
        <w:rPr>
          <w:spacing w:val="-5"/>
          <w:w w:val="100"/>
        </w:rPr>
        <w:t>次重大疾病保险金的基础上，额外按本合同基本保险金额的</w:t>
      </w:r>
      <w:r>
        <w:rPr>
          <w:spacing w:val="-52"/>
        </w:rPr>
        <w:t> </w:t>
      </w:r>
      <w:r>
        <w:rPr>
          <w:spacing w:val="-3"/>
          <w:w w:val="100"/>
        </w:rPr>
        <w:t>8</w:t>
      </w:r>
      <w:r>
        <w:rPr>
          <w:w w:val="100"/>
        </w:rPr>
        <w:t>0%</w:t>
      </w:r>
      <w:r>
        <w:rPr>
          <w:spacing w:val="-3"/>
          <w:w w:val="100"/>
        </w:rPr>
        <w:t>给付首次重大疾病额外保险金，</w:t>
      </w:r>
      <w:r>
        <w:rPr>
          <w:b/>
          <w:spacing w:val="-1"/>
          <w:w w:val="100"/>
        </w:rPr>
        <w:t>本项保险责任终止</w:t>
      </w:r>
      <w:r>
        <w:rPr>
          <w:w w:val="100"/>
        </w:rPr>
        <w:t>。</w:t>
      </w:r>
    </w:p>
    <w:p>
      <w:pPr>
        <w:pStyle w:val="Heading2"/>
        <w:spacing w:before="91"/>
        <w:ind w:left="310"/>
      </w:pPr>
      <w:r>
        <w:rPr>
          <w:spacing w:val="-3"/>
        </w:rPr>
        <w:t>本合同首次重大疾病额外保险金的给付次数以一次为限。</w:t>
      </w:r>
    </w:p>
    <w:p>
      <w:pPr>
        <w:spacing w:after="0"/>
        <w:sectPr>
          <w:type w:val="continuous"/>
          <w:pgSz w:w="11910" w:h="16840"/>
          <w:pgMar w:header="0" w:footer="404" w:top="600" w:bottom="280" w:left="860" w:right="340"/>
          <w:cols w:num="2" w:equalWidth="0">
            <w:col w:w="2388" w:space="40"/>
            <w:col w:w="8282"/>
          </w:cols>
        </w:sectPr>
      </w:pPr>
    </w:p>
    <w:p>
      <w:pPr>
        <w:pStyle w:val="BodyText"/>
        <w:spacing w:before="11"/>
        <w:rPr>
          <w:b/>
          <w:sz w:val="22"/>
        </w:rPr>
      </w:pPr>
    </w:p>
    <w:p>
      <w:pPr>
        <w:spacing w:after="0"/>
        <w:rPr>
          <w:sz w:val="22"/>
        </w:rPr>
        <w:sectPr>
          <w:type w:val="continuous"/>
          <w:pgSz w:w="11910" w:h="16840"/>
          <w:pgMar w:header="0" w:footer="404" w:top="600" w:bottom="280" w:left="860" w:right="340"/>
        </w:sectPr>
      </w:pPr>
    </w:p>
    <w:p>
      <w:pPr>
        <w:spacing w:line="278" w:lineRule="auto" w:before="72"/>
        <w:ind w:left="1120" w:right="0" w:firstLine="0"/>
        <w:jc w:val="left"/>
        <w:rPr>
          <w:b/>
          <w:sz w:val="21"/>
        </w:rPr>
      </w:pPr>
      <w:r>
        <w:rPr>
          <w:b/>
          <w:spacing w:val="20"/>
          <w:sz w:val="21"/>
        </w:rPr>
        <w:t>第二次重大疾</w:t>
      </w:r>
      <w:r>
        <w:rPr>
          <w:b/>
          <w:spacing w:val="-4"/>
          <w:sz w:val="21"/>
        </w:rPr>
        <w:t>病保险金</w:t>
      </w:r>
    </w:p>
    <w:p>
      <w:pPr>
        <w:spacing w:line="278" w:lineRule="auto" w:before="72"/>
        <w:ind w:left="177" w:right="666" w:firstLine="0"/>
        <w:jc w:val="both"/>
        <w:rPr>
          <w:b/>
          <w:sz w:val="21"/>
        </w:rPr>
      </w:pPr>
      <w:r>
        <w:rPr/>
        <w:br w:type="column"/>
      </w:r>
      <w:r>
        <w:rPr>
          <w:spacing w:val="-5"/>
          <w:sz w:val="21"/>
        </w:rPr>
        <w:t>我们按约定给付首次重大疾病保险金后，若被保险人初次患除首次重大疾病以外</w:t>
      </w:r>
      <w:r>
        <w:rPr>
          <w:spacing w:val="-2"/>
          <w:sz w:val="21"/>
        </w:rPr>
        <w:t>本合同保险责任仍继续有效的其余任意重大疾病（无论一种或多种）并在本公司</w:t>
      </w:r>
      <w:r>
        <w:rPr>
          <w:spacing w:val="-5"/>
          <w:sz w:val="21"/>
        </w:rPr>
        <w:t>认可的医疗机构内被专科医生初次确诊，且该重大疾病初次确诊日在首次重大疾</w:t>
      </w:r>
      <w:r>
        <w:rPr>
          <w:spacing w:val="-5"/>
          <w:sz w:val="21"/>
        </w:rPr>
        <w:t>病保险金所对应的重大疾病确诊之日起一年后的，我们按本合同基本保险金额的</w:t>
      </w:r>
      <w:r>
        <w:rPr>
          <w:spacing w:val="-2"/>
          <w:sz w:val="21"/>
        </w:rPr>
        <w:t> 120%给付第二次重大疾病保险金，</w:t>
      </w:r>
      <w:r>
        <w:rPr>
          <w:b/>
          <w:spacing w:val="-2"/>
          <w:sz w:val="21"/>
        </w:rPr>
        <w:t>本项保险责任终止，除本合同另有约定外，该</w:t>
      </w:r>
      <w:r>
        <w:rPr>
          <w:b/>
          <w:spacing w:val="-2"/>
          <w:sz w:val="21"/>
        </w:rPr>
        <w:t>一种或多种重大疾病的保险责任终止，其余重大疾病的保险责任继续有效。</w:t>
      </w:r>
    </w:p>
    <w:p>
      <w:pPr>
        <w:spacing w:after="0" w:line="278" w:lineRule="auto"/>
        <w:jc w:val="both"/>
        <w:rPr>
          <w:sz w:val="21"/>
        </w:rPr>
        <w:sectPr>
          <w:type w:val="continuous"/>
          <w:pgSz w:w="11910" w:h="16840"/>
          <w:pgMar w:header="0" w:footer="404" w:top="600" w:bottom="280" w:left="860" w:right="340"/>
          <w:cols w:num="2" w:equalWidth="0">
            <w:col w:w="2521" w:space="40"/>
            <w:col w:w="8149"/>
          </w:cols>
        </w:sectPr>
      </w:pPr>
    </w:p>
    <w:p>
      <w:pPr>
        <w:pStyle w:val="BodyText"/>
        <w:spacing w:before="9"/>
        <w:rPr>
          <w:b/>
          <w:sz w:val="18"/>
        </w:rPr>
      </w:pPr>
    </w:p>
    <w:p>
      <w:pPr>
        <w:spacing w:after="0"/>
        <w:rPr>
          <w:sz w:val="18"/>
        </w:rPr>
        <w:sectPr>
          <w:type w:val="continuous"/>
          <w:pgSz w:w="11910" w:h="16840"/>
          <w:pgMar w:header="0" w:footer="404" w:top="600" w:bottom="280" w:left="860" w:right="340"/>
        </w:sectPr>
      </w:pPr>
    </w:p>
    <w:p>
      <w:pPr>
        <w:pStyle w:val="Heading2"/>
        <w:spacing w:line="278" w:lineRule="auto" w:before="72"/>
        <w:ind w:left="1120"/>
      </w:pPr>
      <w:r>
        <w:rPr>
          <w:spacing w:val="20"/>
        </w:rPr>
        <w:t>第三次重大疾</w:t>
      </w:r>
      <w:r>
        <w:rPr>
          <w:spacing w:val="-4"/>
        </w:rPr>
        <w:t>病保险金</w:t>
      </w:r>
    </w:p>
    <w:p>
      <w:pPr>
        <w:pStyle w:val="BodyText"/>
        <w:spacing w:line="278" w:lineRule="auto" w:before="72"/>
        <w:ind w:left="177" w:right="666"/>
        <w:jc w:val="both"/>
        <w:rPr>
          <w:b/>
        </w:rPr>
      </w:pPr>
      <w:r>
        <w:rPr/>
        <w:br w:type="column"/>
      </w:r>
      <w:r>
        <w:rPr>
          <w:spacing w:val="-5"/>
        </w:rPr>
        <w:t>我们按约定给付第二次重大疾病保险金后，若被保险人初次患除首次重大疾病和</w:t>
      </w:r>
      <w:r>
        <w:rPr>
          <w:spacing w:val="-4"/>
        </w:rPr>
        <w:t>第二次重大疾病以外本合同保险责任仍继续有效的其余任意重大疾病</w:t>
      </w:r>
      <w:r>
        <w:rPr>
          <w:spacing w:val="-2"/>
        </w:rPr>
        <w:t>（无论一种</w:t>
      </w:r>
      <w:r>
        <w:rPr>
          <w:spacing w:val="-2"/>
        </w:rPr>
        <w:t>或多种）并在本公司认可的医疗机构内被专科医生初次确诊，且该重大疾病初次</w:t>
      </w:r>
      <w:r>
        <w:rPr>
          <w:spacing w:val="-4"/>
        </w:rPr>
        <w:t>确诊日在第二次重大疾病保险金所对应的重大疾病确诊之日起一年后的，</w:t>
      </w:r>
      <w:r>
        <w:rPr>
          <w:b/>
          <w:spacing w:val="-2"/>
        </w:rPr>
        <w:t>本合同</w:t>
      </w:r>
      <w:r>
        <w:rPr>
          <w:b/>
        </w:rPr>
        <w:t>终止</w:t>
      </w:r>
      <w:r>
        <w:rPr>
          <w:spacing w:val="-3"/>
        </w:rPr>
        <w:t>，我们按本合同基本保险金额的 </w:t>
      </w:r>
      <w:r>
        <w:rPr/>
        <w:t>150%给付第三次重大疾病保险金</w:t>
      </w:r>
      <w:r>
        <w:rPr>
          <w:b/>
        </w:rPr>
        <w:t>。</w:t>
      </w:r>
    </w:p>
    <w:p>
      <w:pPr>
        <w:spacing w:after="0" w:line="278" w:lineRule="auto"/>
        <w:jc w:val="both"/>
        <w:sectPr>
          <w:type w:val="continuous"/>
          <w:pgSz w:w="11910" w:h="16840"/>
          <w:pgMar w:header="0" w:footer="404" w:top="600" w:bottom="280" w:left="860" w:right="340"/>
          <w:cols w:num="2" w:equalWidth="0">
            <w:col w:w="2521" w:space="40"/>
            <w:col w:w="8149"/>
          </w:cols>
        </w:sectPr>
      </w:pPr>
    </w:p>
    <w:p>
      <w:pPr>
        <w:pStyle w:val="BodyText"/>
        <w:spacing w:before="9"/>
        <w:rPr>
          <w:b/>
          <w:sz w:val="18"/>
        </w:rPr>
      </w:pPr>
    </w:p>
    <w:p>
      <w:pPr>
        <w:spacing w:after="0"/>
        <w:rPr>
          <w:sz w:val="18"/>
        </w:rPr>
        <w:sectPr>
          <w:type w:val="continuous"/>
          <w:pgSz w:w="11910" w:h="16840"/>
          <w:pgMar w:header="0" w:footer="404" w:top="600" w:bottom="280" w:left="860" w:right="340"/>
        </w:sectPr>
      </w:pPr>
    </w:p>
    <w:p>
      <w:pPr>
        <w:pStyle w:val="Heading2"/>
        <w:numPr>
          <w:ilvl w:val="2"/>
          <w:numId w:val="4"/>
        </w:numPr>
        <w:tabs>
          <w:tab w:pos="1120" w:val="left" w:leader="none"/>
          <w:tab w:pos="1121" w:val="left" w:leader="none"/>
        </w:tabs>
        <w:spacing w:line="240" w:lineRule="auto" w:before="72" w:after="0"/>
        <w:ind w:left="1120" w:right="0" w:hanging="854"/>
        <w:jc w:val="left"/>
        <w:rPr>
          <w:sz w:val="20"/>
        </w:rPr>
      </w:pPr>
      <w:r>
        <w:rPr>
          <w:spacing w:val="-2"/>
        </w:rPr>
        <w:t>身故或全残保</w:t>
      </w:r>
    </w:p>
    <w:p>
      <w:pPr>
        <w:spacing w:line="278" w:lineRule="auto" w:before="42"/>
        <w:ind w:left="1120" w:right="38" w:firstLine="0"/>
        <w:jc w:val="left"/>
        <w:rPr>
          <w:b/>
          <w:sz w:val="21"/>
        </w:rPr>
      </w:pPr>
      <w:r>
        <w:rPr>
          <w:b/>
          <w:spacing w:val="-2"/>
          <w:sz w:val="21"/>
        </w:rPr>
        <w:t>险金（基本责</w:t>
      </w:r>
      <w:r>
        <w:rPr>
          <w:b/>
          <w:spacing w:val="-6"/>
          <w:sz w:val="21"/>
        </w:rPr>
        <w:t>任）</w:t>
      </w:r>
    </w:p>
    <w:p>
      <w:pPr>
        <w:spacing w:line="278" w:lineRule="auto" w:before="72"/>
        <w:ind w:left="268" w:right="666" w:firstLine="0"/>
        <w:jc w:val="both"/>
        <w:rPr>
          <w:b/>
          <w:sz w:val="21"/>
        </w:rPr>
      </w:pPr>
      <w:r>
        <w:rPr/>
        <w:br w:type="column"/>
      </w:r>
      <w:r>
        <w:rPr>
          <w:spacing w:val="-4"/>
          <w:sz w:val="21"/>
        </w:rPr>
        <w:t>被保险人因意外伤害或于等待期后因意外伤害以外的原因导致身故或全残，且身</w:t>
      </w:r>
      <w:r>
        <w:rPr>
          <w:spacing w:val="-5"/>
          <w:sz w:val="21"/>
        </w:rPr>
        <w:t>故或全残发生在被保险人年满十八周岁的保单周年日前</w:t>
      </w:r>
      <w:r>
        <w:rPr>
          <w:spacing w:val="-2"/>
          <w:sz w:val="21"/>
        </w:rPr>
        <w:t>（不含十八周岁对应的保</w:t>
      </w:r>
      <w:r>
        <w:rPr>
          <w:sz w:val="21"/>
        </w:rPr>
        <w:t>单周年日）的，</w:t>
      </w:r>
      <w:r>
        <w:rPr>
          <w:b/>
          <w:spacing w:val="-1"/>
          <w:sz w:val="21"/>
        </w:rPr>
        <w:t>本合同终止，我们按本合同累计已交保险费的 </w:t>
      </w:r>
      <w:r>
        <w:rPr>
          <w:b/>
          <w:sz w:val="21"/>
        </w:rPr>
        <w:t>100%</w:t>
      </w:r>
      <w:r>
        <w:rPr>
          <w:b/>
          <w:sz w:val="21"/>
        </w:rPr>
        <w:t>给付身故或</w:t>
      </w:r>
      <w:r>
        <w:rPr>
          <w:b/>
          <w:spacing w:val="-2"/>
          <w:sz w:val="21"/>
        </w:rPr>
        <w:t>全残保险金。</w:t>
      </w:r>
    </w:p>
    <w:p>
      <w:pPr>
        <w:spacing w:line="278" w:lineRule="auto" w:before="93"/>
        <w:ind w:left="268" w:right="666" w:firstLine="0"/>
        <w:jc w:val="both"/>
        <w:rPr>
          <w:b/>
          <w:sz w:val="21"/>
        </w:rPr>
      </w:pPr>
      <w:r>
        <w:rPr>
          <w:spacing w:val="-4"/>
          <w:sz w:val="21"/>
        </w:rPr>
        <w:t>被保险人因意外伤害或于等待期后因意外伤害以外的原因导致身故或全残，且身</w:t>
      </w:r>
      <w:r>
        <w:rPr>
          <w:spacing w:val="-2"/>
          <w:sz w:val="21"/>
        </w:rPr>
        <w:t>故或全残发生在被保险人年满十八周岁的保单周年日及以后的，</w:t>
      </w:r>
      <w:r>
        <w:rPr>
          <w:b/>
          <w:spacing w:val="-2"/>
          <w:sz w:val="21"/>
        </w:rPr>
        <w:t>本合同终止，我</w:t>
      </w:r>
      <w:r>
        <w:rPr>
          <w:b/>
          <w:spacing w:val="-4"/>
          <w:sz w:val="21"/>
        </w:rPr>
        <w:t>们按本合同基本保险金额的 </w:t>
      </w:r>
      <w:r>
        <w:rPr>
          <w:b/>
          <w:sz w:val="21"/>
        </w:rPr>
        <w:t>100%</w:t>
      </w:r>
      <w:r>
        <w:rPr>
          <w:b/>
          <w:sz w:val="21"/>
        </w:rPr>
        <w:t>给付身故或全残保险金。</w:t>
      </w:r>
    </w:p>
    <w:p>
      <w:pPr>
        <w:pStyle w:val="BodyText"/>
        <w:rPr>
          <w:b/>
          <w:sz w:val="20"/>
        </w:rPr>
      </w:pPr>
    </w:p>
    <w:p>
      <w:pPr>
        <w:pStyle w:val="Heading2"/>
        <w:spacing w:line="278" w:lineRule="auto" w:before="147"/>
        <w:ind w:left="268" w:right="670"/>
      </w:pPr>
      <w:r>
        <w:rPr>
          <w:spacing w:val="-4"/>
        </w:rPr>
        <w:t>上述“重大疾病保险金”、“身故或全残保险金”不可兼得，即若本公司给付上</w:t>
      </w:r>
      <w:r>
        <w:rPr>
          <w:spacing w:val="-2"/>
        </w:rPr>
        <w:t>述两项保险金中的任何一项，则其余一项保险金将不再给付。</w:t>
      </w:r>
    </w:p>
    <w:p>
      <w:pPr>
        <w:spacing w:after="0" w:line="278" w:lineRule="auto"/>
        <w:sectPr>
          <w:type w:val="continuous"/>
          <w:pgSz w:w="11910" w:h="16840"/>
          <w:pgMar w:header="0" w:footer="404" w:top="600" w:bottom="280" w:left="860" w:right="340"/>
          <w:cols w:num="2" w:equalWidth="0">
            <w:col w:w="2428" w:space="42"/>
            <w:col w:w="8240"/>
          </w:cols>
        </w:sectPr>
      </w:pPr>
    </w:p>
    <w:p>
      <w:pPr>
        <w:pStyle w:val="BodyText"/>
        <w:spacing w:before="9"/>
        <w:rPr>
          <w:b/>
          <w:sz w:val="18"/>
        </w:rPr>
      </w:pPr>
    </w:p>
    <w:p>
      <w:pPr>
        <w:pStyle w:val="ListParagraph"/>
        <w:numPr>
          <w:ilvl w:val="2"/>
          <w:numId w:val="4"/>
        </w:numPr>
        <w:tabs>
          <w:tab w:pos="1120" w:val="left" w:leader="none"/>
          <w:tab w:pos="1121" w:val="left" w:leader="none"/>
          <w:tab w:pos="2737" w:val="left" w:leader="none"/>
        </w:tabs>
        <w:spacing w:line="240" w:lineRule="auto" w:before="72" w:after="0"/>
        <w:ind w:left="1120" w:right="0" w:hanging="854"/>
        <w:jc w:val="left"/>
        <w:rPr>
          <w:b/>
          <w:sz w:val="20"/>
        </w:rPr>
      </w:pPr>
      <w:r>
        <w:rPr>
          <w:b/>
          <w:sz w:val="21"/>
        </w:rPr>
        <w:t>被保险人轻</w:t>
      </w:r>
      <w:r>
        <w:rPr>
          <w:b/>
          <w:spacing w:val="-10"/>
          <w:sz w:val="21"/>
        </w:rPr>
        <w:t>症</w:t>
      </w:r>
      <w:r>
        <w:rPr>
          <w:b/>
          <w:sz w:val="21"/>
        </w:rPr>
        <w:tab/>
      </w:r>
      <w:r>
        <w:rPr>
          <w:spacing w:val="-2"/>
          <w:sz w:val="21"/>
        </w:rPr>
        <w:t>被</w:t>
      </w:r>
      <w:r>
        <w:rPr>
          <w:spacing w:val="-2"/>
          <w:sz w:val="21"/>
        </w:rPr>
        <w:t>保</w:t>
      </w:r>
      <w:r>
        <w:rPr>
          <w:spacing w:val="-2"/>
          <w:sz w:val="21"/>
        </w:rPr>
        <w:t>险人因意外伤害或于</w:t>
      </w:r>
      <w:r>
        <w:rPr>
          <w:spacing w:val="-2"/>
          <w:sz w:val="21"/>
        </w:rPr>
        <w:t>等</w:t>
      </w:r>
      <w:r>
        <w:rPr>
          <w:spacing w:val="-2"/>
          <w:sz w:val="21"/>
        </w:rPr>
        <w:t>待</w:t>
      </w:r>
      <w:r>
        <w:rPr>
          <w:spacing w:val="-2"/>
          <w:sz w:val="21"/>
        </w:rPr>
        <w:t>期后因意外伤害以外</w:t>
      </w:r>
      <w:r>
        <w:rPr>
          <w:spacing w:val="-2"/>
          <w:sz w:val="21"/>
        </w:rPr>
        <w:t>的</w:t>
      </w:r>
      <w:r>
        <w:rPr>
          <w:spacing w:val="-2"/>
          <w:sz w:val="21"/>
        </w:rPr>
        <w:t>原</w:t>
      </w:r>
      <w:r>
        <w:rPr>
          <w:spacing w:val="-2"/>
          <w:sz w:val="21"/>
        </w:rPr>
        <w:t>因导致初次患本合同</w:t>
      </w:r>
      <w:r>
        <w:rPr>
          <w:spacing w:val="-10"/>
          <w:sz w:val="21"/>
        </w:rPr>
        <w:t>所</w:t>
      </w:r>
    </w:p>
    <w:p>
      <w:pPr>
        <w:spacing w:after="0" w:line="240" w:lineRule="auto"/>
        <w:jc w:val="left"/>
        <w:rPr>
          <w:sz w:val="20"/>
        </w:rPr>
        <w:sectPr>
          <w:type w:val="continuous"/>
          <w:pgSz w:w="11910" w:h="16840"/>
          <w:pgMar w:header="0" w:footer="404" w:top="600" w:bottom="280" w:left="860" w:right="340"/>
        </w:sectPr>
      </w:pPr>
    </w:p>
    <w:p>
      <w:pPr>
        <w:pStyle w:val="Heading2"/>
        <w:spacing w:line="278" w:lineRule="auto" w:before="57"/>
        <w:ind w:left="1120"/>
      </w:pPr>
      <w:r>
        <w:rPr>
          <w:spacing w:val="-14"/>
        </w:rPr>
        <w:t>疾病、中症疾病</w:t>
      </w:r>
      <w:r>
        <w:rPr>
          <w:spacing w:val="-2"/>
        </w:rPr>
        <w:t>或重大疾病豁</w:t>
      </w:r>
      <w:r>
        <w:rPr>
          <w:spacing w:val="-21"/>
        </w:rPr>
        <w:t>免保险费</w:t>
      </w:r>
      <w:r>
        <w:rPr>
          <w:spacing w:val="-2"/>
        </w:rPr>
        <w:t>（基本</w:t>
      </w:r>
      <w:r>
        <w:rPr>
          <w:spacing w:val="-4"/>
        </w:rPr>
        <w:t>责任）</w:t>
      </w:r>
    </w:p>
    <w:p>
      <w:pPr>
        <w:pStyle w:val="BodyText"/>
        <w:spacing w:line="278" w:lineRule="auto" w:before="57"/>
        <w:ind w:left="173" w:right="666"/>
        <w:jc w:val="both"/>
      </w:pPr>
      <w:r>
        <w:rPr/>
        <w:br w:type="column"/>
      </w:r>
      <w:r>
        <w:rPr>
          <w:spacing w:val="-2"/>
        </w:rPr>
        <w:t>定义的轻症疾病、中症疾病或重大疾病（无论一种或多种）并在本公司认可的医</w:t>
      </w:r>
      <w:r>
        <w:rPr>
          <w:spacing w:val="-6"/>
        </w:rPr>
        <w:t>疗机构内被专科医生初次确诊，我们将豁免自被保险人初次确诊疾病以后按照本</w:t>
      </w:r>
      <w:r>
        <w:rPr>
          <w:spacing w:val="-2"/>
        </w:rPr>
        <w:t>合同约定应当交纳的各期保险费。本合同豁免的保险费视为您已交的保险费。</w:t>
      </w:r>
    </w:p>
    <w:p>
      <w:pPr>
        <w:spacing w:after="0" w:line="278" w:lineRule="auto"/>
        <w:jc w:val="both"/>
        <w:sectPr>
          <w:pgSz w:w="11910" w:h="16840"/>
          <w:pgMar w:header="0" w:footer="404" w:top="1080" w:bottom="600" w:left="860" w:right="340"/>
          <w:cols w:num="2" w:equalWidth="0">
            <w:col w:w="2525" w:space="40"/>
            <w:col w:w="8145"/>
          </w:cols>
        </w:sectPr>
      </w:pPr>
    </w:p>
    <w:p>
      <w:pPr>
        <w:pStyle w:val="BodyText"/>
        <w:spacing w:before="3"/>
        <w:rPr>
          <w:sz w:val="11"/>
        </w:rPr>
      </w:pPr>
    </w:p>
    <w:p>
      <w:pPr>
        <w:tabs>
          <w:tab w:pos="2737" w:val="left" w:leader="none"/>
        </w:tabs>
        <w:spacing w:before="72"/>
        <w:ind w:left="1120" w:right="0" w:firstLine="0"/>
        <w:jc w:val="left"/>
        <w:rPr>
          <w:b/>
          <w:sz w:val="21"/>
        </w:rPr>
      </w:pPr>
      <w:r>
        <w:rPr>
          <w:b/>
          <w:sz w:val="21"/>
        </w:rPr>
        <w:t>可选保险责</w:t>
      </w:r>
      <w:r>
        <w:rPr>
          <w:b/>
          <w:spacing w:val="-10"/>
          <w:sz w:val="21"/>
        </w:rPr>
        <w:t>任</w:t>
      </w:r>
      <w:r>
        <w:rPr>
          <w:b/>
          <w:sz w:val="21"/>
        </w:rPr>
        <w:tab/>
      </w:r>
      <w:r>
        <w:rPr>
          <w:b/>
          <w:spacing w:val="-2"/>
          <w:sz w:val="21"/>
        </w:rPr>
        <w:t>本</w:t>
      </w:r>
      <w:r>
        <w:rPr>
          <w:b/>
          <w:spacing w:val="-2"/>
          <w:sz w:val="21"/>
        </w:rPr>
        <w:t>合</w:t>
      </w:r>
      <w:r>
        <w:rPr>
          <w:b/>
          <w:spacing w:val="-2"/>
          <w:sz w:val="21"/>
        </w:rPr>
        <w:t>同</w:t>
      </w:r>
      <w:r>
        <w:rPr>
          <w:b/>
          <w:spacing w:val="-2"/>
          <w:sz w:val="21"/>
        </w:rPr>
        <w:t>的</w:t>
      </w:r>
      <w:r>
        <w:rPr>
          <w:b/>
          <w:spacing w:val="-2"/>
          <w:sz w:val="21"/>
        </w:rPr>
        <w:t>可</w:t>
      </w:r>
      <w:r>
        <w:rPr>
          <w:b/>
          <w:spacing w:val="-2"/>
          <w:sz w:val="21"/>
        </w:rPr>
        <w:t>选</w:t>
      </w:r>
      <w:r>
        <w:rPr>
          <w:b/>
          <w:spacing w:val="-2"/>
          <w:sz w:val="21"/>
        </w:rPr>
        <w:t>保</w:t>
      </w:r>
      <w:r>
        <w:rPr>
          <w:b/>
          <w:spacing w:val="-2"/>
          <w:sz w:val="21"/>
        </w:rPr>
        <w:t>险</w:t>
      </w:r>
      <w:r>
        <w:rPr>
          <w:b/>
          <w:spacing w:val="-2"/>
          <w:sz w:val="21"/>
        </w:rPr>
        <w:t>责任为“</w:t>
      </w:r>
      <w:r>
        <w:rPr>
          <w:b/>
          <w:spacing w:val="-2"/>
          <w:sz w:val="21"/>
        </w:rPr>
        <w:t>特</w:t>
      </w:r>
      <w:r>
        <w:rPr>
          <w:b/>
          <w:spacing w:val="-2"/>
          <w:sz w:val="21"/>
        </w:rPr>
        <w:t>定</w:t>
      </w:r>
      <w:r>
        <w:rPr>
          <w:b/>
          <w:spacing w:val="-2"/>
          <w:sz w:val="21"/>
        </w:rPr>
        <w:t>重</w:t>
      </w:r>
      <w:r>
        <w:rPr>
          <w:b/>
          <w:spacing w:val="-2"/>
          <w:sz w:val="21"/>
        </w:rPr>
        <w:t>大</w:t>
      </w:r>
      <w:r>
        <w:rPr>
          <w:b/>
          <w:spacing w:val="-2"/>
          <w:sz w:val="21"/>
        </w:rPr>
        <w:t>疾</w:t>
      </w:r>
      <w:r>
        <w:rPr>
          <w:b/>
          <w:spacing w:val="-2"/>
          <w:sz w:val="21"/>
        </w:rPr>
        <w:t>病</w:t>
      </w:r>
      <w:r>
        <w:rPr>
          <w:b/>
          <w:spacing w:val="-2"/>
          <w:sz w:val="21"/>
        </w:rPr>
        <w:t>扩</w:t>
      </w:r>
      <w:r>
        <w:rPr>
          <w:b/>
          <w:spacing w:val="-2"/>
          <w:sz w:val="21"/>
        </w:rPr>
        <w:t>展保险金”</w:t>
      </w:r>
      <w:r>
        <w:rPr>
          <w:b/>
          <w:spacing w:val="-10"/>
          <w:sz w:val="21"/>
        </w:rPr>
        <w:t>。</w:t>
      </w:r>
    </w:p>
    <w:p>
      <w:pPr>
        <w:pStyle w:val="BodyText"/>
        <w:spacing w:before="11"/>
        <w:rPr>
          <w:b/>
          <w:sz w:val="22"/>
        </w:rPr>
      </w:pPr>
    </w:p>
    <w:p>
      <w:pPr>
        <w:spacing w:after="0"/>
        <w:rPr>
          <w:sz w:val="22"/>
        </w:rPr>
        <w:sectPr>
          <w:type w:val="continuous"/>
          <w:pgSz w:w="11910" w:h="16840"/>
          <w:pgMar w:header="0" w:footer="404" w:top="600" w:bottom="280" w:left="860" w:right="340"/>
        </w:sectPr>
      </w:pPr>
    </w:p>
    <w:p>
      <w:pPr>
        <w:pStyle w:val="ListParagraph"/>
        <w:numPr>
          <w:ilvl w:val="2"/>
          <w:numId w:val="4"/>
        </w:numPr>
        <w:tabs>
          <w:tab w:pos="1120" w:val="left" w:leader="none"/>
          <w:tab w:pos="1121" w:val="left" w:leader="none"/>
        </w:tabs>
        <w:spacing w:line="240" w:lineRule="auto" w:before="72" w:after="0"/>
        <w:ind w:left="1120" w:right="0" w:hanging="854"/>
        <w:jc w:val="left"/>
        <w:rPr>
          <w:b/>
          <w:sz w:val="21"/>
        </w:rPr>
      </w:pPr>
      <w:r>
        <w:rPr>
          <w:b/>
          <w:spacing w:val="20"/>
          <w:sz w:val="21"/>
        </w:rPr>
        <w:t>特定重大疾病</w:t>
      </w:r>
    </w:p>
    <w:p>
      <w:pPr>
        <w:spacing w:line="278" w:lineRule="auto" w:before="43"/>
        <w:ind w:left="1120" w:right="0" w:firstLine="0"/>
        <w:jc w:val="left"/>
        <w:rPr>
          <w:b/>
          <w:sz w:val="21"/>
        </w:rPr>
      </w:pPr>
      <w:r>
        <w:rPr>
          <w:b/>
          <w:spacing w:val="-17"/>
          <w:sz w:val="21"/>
        </w:rPr>
        <w:t>扩展保险金</w:t>
      </w:r>
      <w:r>
        <w:rPr>
          <w:b/>
          <w:spacing w:val="-2"/>
          <w:sz w:val="21"/>
        </w:rPr>
        <w:t>（</w:t>
      </w:r>
      <w:r>
        <w:rPr>
          <w:b/>
          <w:spacing w:val="-2"/>
          <w:sz w:val="21"/>
        </w:rPr>
        <w:t>可</w:t>
      </w:r>
      <w:r>
        <w:rPr>
          <w:b/>
          <w:spacing w:val="-4"/>
          <w:sz w:val="21"/>
        </w:rPr>
        <w:t>选责任）</w:t>
      </w:r>
    </w:p>
    <w:p>
      <w:pPr>
        <w:spacing w:line="278" w:lineRule="auto" w:before="72"/>
        <w:ind w:left="173" w:right="671" w:firstLine="0"/>
        <w:jc w:val="both"/>
        <w:rPr>
          <w:b/>
          <w:sz w:val="21"/>
        </w:rPr>
      </w:pPr>
      <w:r>
        <w:rPr/>
        <w:br w:type="column"/>
      </w:r>
      <w:r>
        <w:rPr>
          <w:b/>
          <w:spacing w:val="-1"/>
          <w:sz w:val="21"/>
        </w:rPr>
        <w:t>本合同特定重大疾病扩展保险金包括 “第二次重度恶性肿瘤保险金”、“第三</w:t>
      </w:r>
      <w:r>
        <w:rPr>
          <w:b/>
          <w:spacing w:val="-4"/>
          <w:sz w:val="21"/>
        </w:rPr>
        <w:t>次重度恶性肿瘤保险金”、“第二次重度心脑疾病保险金”和“第三次重度心脑</w:t>
      </w:r>
      <w:r>
        <w:rPr>
          <w:b/>
          <w:spacing w:val="-2"/>
          <w:sz w:val="21"/>
        </w:rPr>
        <w:t>疾病保险金”四项。</w:t>
      </w:r>
    </w:p>
    <w:p>
      <w:pPr>
        <w:spacing w:after="0" w:line="278" w:lineRule="auto"/>
        <w:jc w:val="both"/>
        <w:rPr>
          <w:sz w:val="21"/>
        </w:rPr>
        <w:sectPr>
          <w:type w:val="continuous"/>
          <w:pgSz w:w="11910" w:h="16840"/>
          <w:pgMar w:header="0" w:footer="404" w:top="600" w:bottom="280" w:left="860" w:right="340"/>
          <w:cols w:num="2" w:equalWidth="0">
            <w:col w:w="2525" w:space="40"/>
            <w:col w:w="8145"/>
          </w:cols>
        </w:sectPr>
      </w:pPr>
    </w:p>
    <w:p>
      <w:pPr>
        <w:pStyle w:val="BodyText"/>
        <w:spacing w:before="3"/>
        <w:rPr>
          <w:b/>
          <w:sz w:val="19"/>
        </w:rPr>
      </w:pPr>
    </w:p>
    <w:p>
      <w:pPr>
        <w:spacing w:after="0"/>
        <w:rPr>
          <w:sz w:val="19"/>
        </w:rPr>
        <w:sectPr>
          <w:type w:val="continuous"/>
          <w:pgSz w:w="11910" w:h="16840"/>
          <w:pgMar w:header="0" w:footer="404" w:top="600" w:bottom="280" w:left="860" w:right="340"/>
        </w:sectPr>
      </w:pPr>
    </w:p>
    <w:p>
      <w:pPr>
        <w:spacing w:line="278" w:lineRule="auto" w:before="72"/>
        <w:ind w:left="1120" w:right="0" w:firstLine="0"/>
        <w:jc w:val="left"/>
        <w:rPr>
          <w:b/>
          <w:sz w:val="21"/>
        </w:rPr>
      </w:pPr>
      <w:r>
        <w:rPr>
          <w:b/>
          <w:spacing w:val="20"/>
          <w:sz w:val="21"/>
        </w:rPr>
        <w:t>第二次重度恶</w:t>
      </w:r>
      <w:r>
        <w:rPr>
          <w:b/>
          <w:spacing w:val="-2"/>
          <w:sz w:val="21"/>
        </w:rPr>
        <w:t>性肿瘤保险金</w:t>
      </w:r>
    </w:p>
    <w:p>
      <w:pPr>
        <w:pStyle w:val="BodyText"/>
        <w:spacing w:line="278" w:lineRule="auto" w:before="72"/>
        <w:ind w:left="175" w:right="611"/>
        <w:jc w:val="both"/>
      </w:pPr>
      <w:r>
        <w:rPr/>
        <w:br w:type="column"/>
      </w:r>
      <w:r>
        <w:rPr/>
        <w:t>被保险人在本公司认可的医疗机构内被专科医生初次确诊本合同“10.3 重大疾</w:t>
      </w:r>
      <w:r>
        <w:rPr>
          <w:spacing w:val="-2"/>
        </w:rPr>
        <w:t>病定义”中的“恶性肿瘤——重度”，且针对该疾病我们已经按约定给付重大疾</w:t>
      </w:r>
      <w:r>
        <w:rPr>
          <w:spacing w:val="-2"/>
        </w:rPr>
        <w:t>病保险金后，再次患本合同所定义的“恶性肿瘤——重度”（无论一种或多种）</w:t>
      </w:r>
      <w:r>
        <w:rPr>
          <w:spacing w:val="-5"/>
        </w:rPr>
        <w:t>并在本公司认可的医疗机构内被专科医生再次确诊，我们按本合同基本保险金额</w:t>
      </w:r>
      <w:r>
        <w:rPr>
          <w:spacing w:val="-20"/>
        </w:rPr>
        <w:t>的 </w:t>
      </w:r>
      <w:r>
        <w:rPr/>
        <w:t>120%给付第二次重度恶性肿瘤保险金，</w:t>
      </w:r>
      <w:r>
        <w:rPr>
          <w:b/>
        </w:rPr>
        <w:t>本项保险责任终止</w:t>
      </w:r>
      <w:r>
        <w:rPr/>
        <w:t>。</w:t>
      </w:r>
    </w:p>
    <w:p>
      <w:pPr>
        <w:spacing w:line="278" w:lineRule="auto" w:before="94"/>
        <w:ind w:left="175" w:right="668" w:firstLine="0"/>
        <w:jc w:val="left"/>
        <w:rPr>
          <w:b/>
          <w:sz w:val="21"/>
        </w:rPr>
      </w:pPr>
      <w:r>
        <w:rPr>
          <w:b/>
          <w:spacing w:val="-4"/>
          <w:sz w:val="21"/>
        </w:rPr>
        <w:t>第二次确诊的“恶性肿瘤——重度”确诊日须距重大疾病保险金对应的“恶性肿</w:t>
      </w:r>
      <w:r>
        <w:rPr>
          <w:b/>
          <w:spacing w:val="-2"/>
          <w:sz w:val="21"/>
        </w:rPr>
        <w:t>瘤——重度”确诊之日起已满三年，且需满足以下条件之一：</w:t>
      </w:r>
    </w:p>
    <w:p>
      <w:pPr>
        <w:pStyle w:val="ListParagraph"/>
        <w:numPr>
          <w:ilvl w:val="0"/>
          <w:numId w:val="5"/>
        </w:numPr>
        <w:tabs>
          <w:tab w:pos="706" w:val="left" w:leader="none"/>
        </w:tabs>
        <w:spacing w:line="240" w:lineRule="auto" w:before="93" w:after="0"/>
        <w:ind w:left="705" w:right="0" w:hanging="531"/>
        <w:jc w:val="left"/>
        <w:rPr>
          <w:b/>
          <w:sz w:val="21"/>
        </w:rPr>
      </w:pPr>
      <w:r>
        <w:rPr>
          <w:b/>
          <w:spacing w:val="-3"/>
          <w:sz w:val="21"/>
        </w:rPr>
        <w:t>与初次确诊的“恶性肿瘤——重度”属于不同的病理学及组织学类型；</w:t>
      </w:r>
    </w:p>
    <w:p>
      <w:pPr>
        <w:pStyle w:val="ListParagraph"/>
        <w:numPr>
          <w:ilvl w:val="0"/>
          <w:numId w:val="5"/>
        </w:numPr>
        <w:tabs>
          <w:tab w:pos="706" w:val="left" w:leader="none"/>
        </w:tabs>
        <w:spacing w:line="240" w:lineRule="auto" w:before="134" w:after="0"/>
        <w:ind w:left="705" w:right="0" w:hanging="531"/>
        <w:jc w:val="left"/>
        <w:rPr>
          <w:b/>
          <w:sz w:val="21"/>
        </w:rPr>
      </w:pPr>
      <w:r>
        <w:rPr>
          <w:b/>
          <w:spacing w:val="-3"/>
          <w:sz w:val="21"/>
        </w:rPr>
        <w:t>为初次确诊的“恶性肿瘤——重度”的复发、转移或扩散；</w:t>
      </w:r>
    </w:p>
    <w:p>
      <w:pPr>
        <w:pStyle w:val="ListParagraph"/>
        <w:numPr>
          <w:ilvl w:val="0"/>
          <w:numId w:val="5"/>
        </w:numPr>
        <w:tabs>
          <w:tab w:pos="706" w:val="left" w:leader="none"/>
        </w:tabs>
        <w:spacing w:line="240" w:lineRule="auto" w:before="137" w:after="0"/>
        <w:ind w:left="705" w:right="0" w:hanging="531"/>
        <w:jc w:val="left"/>
        <w:rPr>
          <w:b/>
          <w:sz w:val="21"/>
        </w:rPr>
      </w:pPr>
      <w:r>
        <w:rPr>
          <w:b/>
          <w:spacing w:val="-3"/>
          <w:sz w:val="21"/>
        </w:rPr>
        <w:t>初次确诊的“恶性肿瘤——重度”仍持续。</w:t>
      </w:r>
    </w:p>
    <w:p>
      <w:pPr>
        <w:spacing w:after="0" w:line="240" w:lineRule="auto"/>
        <w:jc w:val="left"/>
        <w:rPr>
          <w:sz w:val="21"/>
        </w:rPr>
        <w:sectPr>
          <w:type w:val="continuous"/>
          <w:pgSz w:w="11910" w:h="16840"/>
          <w:pgMar w:header="0" w:footer="404" w:top="600" w:bottom="280" w:left="860" w:right="340"/>
          <w:cols w:num="2" w:equalWidth="0">
            <w:col w:w="2523" w:space="40"/>
            <w:col w:w="8147"/>
          </w:cols>
        </w:sectPr>
      </w:pPr>
    </w:p>
    <w:p>
      <w:pPr>
        <w:pStyle w:val="BodyText"/>
        <w:spacing w:before="8"/>
        <w:rPr>
          <w:b/>
          <w:sz w:val="22"/>
        </w:rPr>
      </w:pPr>
    </w:p>
    <w:p>
      <w:pPr>
        <w:spacing w:after="0"/>
        <w:rPr>
          <w:sz w:val="22"/>
        </w:rPr>
        <w:sectPr>
          <w:type w:val="continuous"/>
          <w:pgSz w:w="11910" w:h="16840"/>
          <w:pgMar w:header="0" w:footer="404" w:top="600" w:bottom="280" w:left="860" w:right="340"/>
        </w:sectPr>
      </w:pPr>
    </w:p>
    <w:p>
      <w:pPr>
        <w:spacing w:line="278" w:lineRule="auto" w:before="72"/>
        <w:ind w:left="1120" w:right="0" w:firstLine="0"/>
        <w:jc w:val="left"/>
        <w:rPr>
          <w:b/>
          <w:sz w:val="21"/>
        </w:rPr>
      </w:pPr>
      <w:r>
        <w:rPr>
          <w:b/>
          <w:spacing w:val="20"/>
          <w:sz w:val="21"/>
        </w:rPr>
        <w:t>第三次重度恶</w:t>
      </w:r>
      <w:r>
        <w:rPr>
          <w:b/>
          <w:spacing w:val="-2"/>
          <w:sz w:val="21"/>
        </w:rPr>
        <w:t>性肿瘤保险金</w:t>
      </w:r>
    </w:p>
    <w:p>
      <w:pPr>
        <w:pStyle w:val="BodyText"/>
        <w:spacing w:line="278" w:lineRule="auto" w:before="72"/>
        <w:ind w:left="175" w:right="666"/>
        <w:jc w:val="both"/>
      </w:pPr>
      <w:r>
        <w:rPr/>
        <w:br w:type="column"/>
      </w:r>
      <w:r>
        <w:rPr/>
        <w:t>被保险人在本公司认可的医疗机构内被专科医生再次确诊本合同“10.3 重大疾</w:t>
      </w:r>
      <w:r>
        <w:rPr>
          <w:spacing w:val="-2"/>
        </w:rPr>
        <w:t>病定义”中的“恶性肿瘤——重度”，且针对该疾病我们已经按约定给付第二次</w:t>
      </w:r>
      <w:r>
        <w:rPr>
          <w:spacing w:val="-2"/>
        </w:rPr>
        <w:t>重度恶性肿瘤保险金后，第三次患本合同所定义的“恶性肿瘤——重度”（无论</w:t>
      </w:r>
      <w:r>
        <w:rPr>
          <w:spacing w:val="-2"/>
        </w:rPr>
        <w:t>一种或多种）并在本公司认可的医疗机构内被专科医生第三次确诊，我们按本合</w:t>
      </w:r>
      <w:r>
        <w:rPr>
          <w:spacing w:val="-5"/>
        </w:rPr>
        <w:t>同基本保险金额的 </w:t>
      </w:r>
      <w:r>
        <w:rPr/>
        <w:t>120%给付第三次重度恶性肿瘤险金，</w:t>
      </w:r>
      <w:r>
        <w:rPr>
          <w:b/>
        </w:rPr>
        <w:t>本项保险责任终止</w:t>
      </w:r>
      <w:r>
        <w:rPr/>
        <w:t>。</w:t>
      </w:r>
    </w:p>
    <w:p>
      <w:pPr>
        <w:spacing w:line="278" w:lineRule="auto" w:before="93"/>
        <w:ind w:left="175" w:right="668" w:firstLine="0"/>
        <w:jc w:val="left"/>
        <w:rPr>
          <w:b/>
          <w:sz w:val="21"/>
        </w:rPr>
      </w:pPr>
      <w:r>
        <w:rPr>
          <w:b/>
          <w:spacing w:val="-4"/>
          <w:sz w:val="21"/>
        </w:rPr>
        <w:t>第三次确诊的“恶性肿瘤——重度”确诊日须距第二次重度恶性肿瘤保险金对应</w:t>
      </w:r>
      <w:r>
        <w:rPr>
          <w:b/>
          <w:spacing w:val="-2"/>
          <w:sz w:val="21"/>
        </w:rPr>
        <w:t>的“恶性肿瘤——重度”确诊之日起已满三年，且需满足以下条件之一：</w:t>
      </w:r>
    </w:p>
    <w:p>
      <w:pPr>
        <w:pStyle w:val="ListParagraph"/>
        <w:numPr>
          <w:ilvl w:val="0"/>
          <w:numId w:val="6"/>
        </w:numPr>
        <w:tabs>
          <w:tab w:pos="708" w:val="left" w:leader="none"/>
        </w:tabs>
        <w:spacing w:line="278" w:lineRule="auto" w:before="94" w:after="0"/>
        <w:ind w:left="704" w:right="671" w:hanging="529"/>
        <w:jc w:val="left"/>
        <w:rPr>
          <w:b/>
          <w:sz w:val="21"/>
        </w:rPr>
      </w:pPr>
      <w:r>
        <w:rPr>
          <w:b/>
          <w:spacing w:val="-2"/>
          <w:sz w:val="21"/>
        </w:rPr>
        <w:t>与初次确诊和第二次确诊的“恶性肿瘤——重度”属于不同的病理学及组</w:t>
      </w:r>
      <w:r>
        <w:rPr>
          <w:b/>
          <w:spacing w:val="-2"/>
          <w:sz w:val="21"/>
        </w:rPr>
        <w:t>织学类型；</w:t>
      </w:r>
    </w:p>
    <w:p>
      <w:pPr>
        <w:pStyle w:val="ListParagraph"/>
        <w:numPr>
          <w:ilvl w:val="0"/>
          <w:numId w:val="6"/>
        </w:numPr>
        <w:tabs>
          <w:tab w:pos="706" w:val="left" w:leader="none"/>
        </w:tabs>
        <w:spacing w:line="240" w:lineRule="auto" w:before="93" w:after="0"/>
        <w:ind w:left="705" w:right="0" w:hanging="531"/>
        <w:jc w:val="left"/>
        <w:rPr>
          <w:b/>
          <w:sz w:val="21"/>
        </w:rPr>
      </w:pPr>
      <w:r>
        <w:rPr>
          <w:b/>
          <w:spacing w:val="-3"/>
          <w:sz w:val="21"/>
        </w:rPr>
        <w:t>为初次确诊或第二次确诊的“恶性肿瘤——重度”的复发、转移或扩散；</w:t>
      </w:r>
    </w:p>
    <w:p>
      <w:pPr>
        <w:pStyle w:val="ListParagraph"/>
        <w:numPr>
          <w:ilvl w:val="0"/>
          <w:numId w:val="6"/>
        </w:numPr>
        <w:tabs>
          <w:tab w:pos="706" w:val="left" w:leader="none"/>
        </w:tabs>
        <w:spacing w:line="240" w:lineRule="auto" w:before="134" w:after="0"/>
        <w:ind w:left="705" w:right="0" w:hanging="531"/>
        <w:jc w:val="left"/>
        <w:rPr>
          <w:b/>
          <w:sz w:val="21"/>
        </w:rPr>
      </w:pPr>
      <w:r>
        <w:rPr>
          <w:b/>
          <w:spacing w:val="-3"/>
          <w:sz w:val="21"/>
        </w:rPr>
        <w:t>初次确诊或第二次确诊的“恶性肿瘤——重度”仍持续。</w:t>
      </w:r>
    </w:p>
    <w:p>
      <w:pPr>
        <w:spacing w:after="0" w:line="240" w:lineRule="auto"/>
        <w:jc w:val="left"/>
        <w:rPr>
          <w:sz w:val="21"/>
        </w:rPr>
        <w:sectPr>
          <w:type w:val="continuous"/>
          <w:pgSz w:w="11910" w:h="16840"/>
          <w:pgMar w:header="0" w:footer="404" w:top="600" w:bottom="280" w:left="860" w:right="340"/>
          <w:cols w:num="2" w:equalWidth="0">
            <w:col w:w="2523" w:space="40"/>
            <w:col w:w="8147"/>
          </w:cols>
        </w:sectPr>
      </w:pPr>
    </w:p>
    <w:p>
      <w:pPr>
        <w:pStyle w:val="BodyText"/>
        <w:spacing w:before="11"/>
        <w:rPr>
          <w:b/>
          <w:sz w:val="22"/>
        </w:rPr>
      </w:pPr>
    </w:p>
    <w:p>
      <w:pPr>
        <w:spacing w:after="0"/>
        <w:rPr>
          <w:sz w:val="22"/>
        </w:rPr>
        <w:sectPr>
          <w:type w:val="continuous"/>
          <w:pgSz w:w="11910" w:h="16840"/>
          <w:pgMar w:header="0" w:footer="404" w:top="600" w:bottom="280" w:left="860" w:right="340"/>
        </w:sectPr>
      </w:pPr>
    </w:p>
    <w:p>
      <w:pPr>
        <w:spacing w:line="278" w:lineRule="auto" w:before="72"/>
        <w:ind w:left="1120" w:right="0" w:firstLine="0"/>
        <w:jc w:val="left"/>
        <w:rPr>
          <w:b/>
          <w:sz w:val="21"/>
        </w:rPr>
      </w:pPr>
      <w:r>
        <w:rPr>
          <w:b/>
          <w:spacing w:val="-2"/>
          <w:sz w:val="21"/>
        </w:rPr>
        <w:t>第二次重度心</w:t>
      </w:r>
      <w:r>
        <w:rPr>
          <w:b/>
          <w:spacing w:val="-4"/>
          <w:sz w:val="21"/>
        </w:rPr>
        <w:t>脑疾病保险金</w:t>
      </w:r>
    </w:p>
    <w:p>
      <w:pPr>
        <w:pStyle w:val="BodyText"/>
        <w:spacing w:line="278" w:lineRule="auto" w:before="72"/>
        <w:ind w:left="310" w:right="562"/>
        <w:rPr>
          <w:b/>
        </w:rPr>
      </w:pPr>
      <w:r>
        <w:rPr/>
        <w:br w:type="column"/>
      </w:r>
      <w:r>
        <w:rPr/>
        <w:t>被保险人在本公司认可的医疗机构内被专科医生初次确诊本合同“10.3 重大疾</w:t>
      </w:r>
      <w:r>
        <w:rPr>
          <w:spacing w:val="-2"/>
        </w:rPr>
        <w:t>病定义”中的“较重急性心肌梗死”或“严重脑中风后遗症”，且针对该疾病我</w:t>
      </w:r>
      <w:r>
        <w:rPr>
          <w:spacing w:val="-2"/>
        </w:rPr>
        <w:t>们已经按约定给付重大疾病保险金后，再次患本合同所定义的“较重急性心肌梗</w:t>
      </w:r>
      <w:r>
        <w:rPr>
          <w:spacing w:val="-16"/>
        </w:rPr>
        <w:t>死”或“严重脑中风后遗症”并在本公司认可的医疗机构内被专科医生再次确诊，</w:t>
      </w:r>
      <w:r>
        <w:rPr/>
        <w:t>我们按本合同基本保险金额的 120%给付第二次重度心脑疾病保险金，</w:t>
      </w:r>
      <w:r>
        <w:rPr>
          <w:b/>
        </w:rPr>
        <w:t>本项保险</w:t>
      </w:r>
      <w:r>
        <w:rPr>
          <w:b/>
          <w:spacing w:val="-2"/>
        </w:rPr>
        <w:t>责任终止。</w:t>
      </w:r>
    </w:p>
    <w:p>
      <w:pPr>
        <w:spacing w:line="278" w:lineRule="auto" w:before="93"/>
        <w:ind w:left="310" w:right="668" w:firstLine="0"/>
        <w:jc w:val="both"/>
        <w:rPr>
          <w:b/>
          <w:sz w:val="21"/>
        </w:rPr>
      </w:pPr>
      <w:r>
        <w:rPr>
          <w:b/>
          <w:spacing w:val="-4"/>
          <w:sz w:val="21"/>
        </w:rPr>
        <w:t>若第二次重度心脑疾病保险金对应的重大疾病为“较重急性心肌梗死”，则第二</w:t>
      </w:r>
      <w:r>
        <w:rPr>
          <w:b/>
          <w:spacing w:val="-2"/>
          <w:sz w:val="21"/>
        </w:rPr>
        <w:t>次确诊较重急性心肌梗死疾病的确诊日须距重大疾病保险金对应的较重急性心</w:t>
      </w:r>
      <w:r>
        <w:rPr>
          <w:b/>
          <w:spacing w:val="-2"/>
          <w:sz w:val="21"/>
        </w:rPr>
        <w:t>肌梗死疾病确诊之日起已满三年。</w:t>
      </w:r>
    </w:p>
    <w:p>
      <w:pPr>
        <w:spacing w:after="0" w:line="278" w:lineRule="auto"/>
        <w:jc w:val="both"/>
        <w:rPr>
          <w:sz w:val="21"/>
        </w:rPr>
        <w:sectPr>
          <w:type w:val="continuous"/>
          <w:pgSz w:w="11910" w:h="16840"/>
          <w:pgMar w:header="0" w:footer="404" w:top="600" w:bottom="280" w:left="860" w:right="340"/>
          <w:cols w:num="2" w:equalWidth="0">
            <w:col w:w="2388" w:space="40"/>
            <w:col w:w="8282"/>
          </w:cols>
        </w:sectPr>
      </w:pPr>
    </w:p>
    <w:p>
      <w:pPr>
        <w:spacing w:line="278" w:lineRule="auto" w:before="57"/>
        <w:ind w:left="2738" w:right="668" w:firstLine="0"/>
        <w:jc w:val="both"/>
        <w:rPr>
          <w:b/>
          <w:sz w:val="21"/>
        </w:rPr>
      </w:pPr>
      <w:r>
        <w:rPr>
          <w:b/>
          <w:spacing w:val="-4"/>
          <w:sz w:val="21"/>
        </w:rPr>
        <w:t>若第二次重度心脑疾病保险金对应的重大疾病为“严重脑中风后遗症”，则第二</w:t>
      </w:r>
      <w:r>
        <w:rPr>
          <w:b/>
          <w:spacing w:val="-2"/>
          <w:sz w:val="21"/>
        </w:rPr>
        <w:t>次确诊严重脑中风后遗症疾病的确诊日须距重大疾病保险金对应的严重脑中风</w:t>
      </w:r>
      <w:r>
        <w:rPr>
          <w:b/>
          <w:spacing w:val="-8"/>
          <w:sz w:val="21"/>
        </w:rPr>
        <w:t>后遗症疾病确诊之日起已满三年，且须由颅脑显影或影像学检查证实与初次确诊</w:t>
      </w:r>
      <w:r>
        <w:rPr>
          <w:b/>
          <w:spacing w:val="-4"/>
          <w:sz w:val="21"/>
        </w:rPr>
        <w:t>的脑中风相比为新一次的中风，并符合本合同所定义的重大疾病中“严重脑中风</w:t>
      </w:r>
      <w:r>
        <w:rPr>
          <w:b/>
          <w:spacing w:val="-2"/>
          <w:sz w:val="21"/>
        </w:rPr>
        <w:t>后遗症”的定义条件。</w:t>
      </w:r>
    </w:p>
    <w:p>
      <w:pPr>
        <w:pStyle w:val="BodyText"/>
        <w:spacing w:before="6"/>
        <w:rPr>
          <w:b/>
          <w:sz w:val="19"/>
        </w:rPr>
      </w:pPr>
    </w:p>
    <w:p>
      <w:pPr>
        <w:spacing w:after="0"/>
        <w:rPr>
          <w:sz w:val="19"/>
        </w:rPr>
        <w:sectPr>
          <w:pgSz w:w="11910" w:h="16840"/>
          <w:pgMar w:header="0" w:footer="404" w:top="1080" w:bottom="600" w:left="860" w:right="340"/>
        </w:sectPr>
      </w:pPr>
    </w:p>
    <w:p>
      <w:pPr>
        <w:spacing w:line="278" w:lineRule="auto" w:before="72"/>
        <w:ind w:left="1120" w:right="0" w:firstLine="0"/>
        <w:jc w:val="left"/>
        <w:rPr>
          <w:b/>
          <w:sz w:val="21"/>
        </w:rPr>
      </w:pPr>
      <w:r>
        <w:rPr>
          <w:b/>
          <w:spacing w:val="-2"/>
          <w:sz w:val="21"/>
        </w:rPr>
        <w:t>第三次重度心</w:t>
      </w:r>
      <w:r>
        <w:rPr>
          <w:b/>
          <w:spacing w:val="-4"/>
          <w:sz w:val="21"/>
        </w:rPr>
        <w:t>脑疾病保险金</w:t>
      </w:r>
    </w:p>
    <w:p>
      <w:pPr>
        <w:pStyle w:val="BodyText"/>
        <w:spacing w:line="278" w:lineRule="auto" w:before="72"/>
        <w:ind w:left="310" w:right="666"/>
        <w:jc w:val="both"/>
        <w:rPr>
          <w:b/>
        </w:rPr>
      </w:pPr>
      <w:r>
        <w:rPr/>
        <w:br w:type="column"/>
      </w:r>
      <w:r>
        <w:rPr/>
        <w:t>被保险人在本公司认可的医疗机构内被专科医生再次确诊本合同“10.3 重大疾</w:t>
      </w:r>
      <w:r>
        <w:rPr>
          <w:spacing w:val="-2"/>
        </w:rPr>
        <w:t>病定义”中的“较重急性心肌梗死”或“严重脑中风后遗症”，且针对该疾病我</w:t>
      </w:r>
      <w:r>
        <w:rPr>
          <w:spacing w:val="-2"/>
        </w:rPr>
        <w:t>们已经按约定给付第二次重度心脑疾病保险金后，第三次患本合同所定义的“较</w:t>
      </w:r>
      <w:r>
        <w:rPr>
          <w:spacing w:val="-2"/>
        </w:rPr>
        <w:t>重急性心肌梗死”或“严重脑中风后遗症”并在本公司认可的医疗机构内被专科</w:t>
      </w:r>
      <w:r>
        <w:rPr/>
        <w:t>医生第三次确诊，我们按本合同基本保险金额的 120%给付第三次重度心脑疾病</w:t>
      </w:r>
      <w:r>
        <w:rPr>
          <w:spacing w:val="-2"/>
        </w:rPr>
        <w:t>保险金，</w:t>
      </w:r>
      <w:r>
        <w:rPr>
          <w:b/>
          <w:spacing w:val="-2"/>
        </w:rPr>
        <w:t>本项保险责任终止。</w:t>
      </w:r>
    </w:p>
    <w:p>
      <w:pPr>
        <w:pStyle w:val="Heading2"/>
        <w:spacing w:line="278" w:lineRule="auto" w:before="93"/>
        <w:ind w:left="310" w:right="668"/>
        <w:jc w:val="both"/>
      </w:pPr>
      <w:r>
        <w:rPr>
          <w:spacing w:val="-4"/>
        </w:rPr>
        <w:t>若第三次重度心脑疾病保险金对应的重大疾病为“较重急性心肌梗死”，则第三</w:t>
      </w:r>
      <w:r>
        <w:rPr>
          <w:spacing w:val="-2"/>
        </w:rPr>
        <w:t>次确诊较重急性心肌梗死疾病的确诊日须距第二次重度心脑疾病保险金对应的</w:t>
      </w:r>
      <w:r>
        <w:rPr>
          <w:spacing w:val="-2"/>
        </w:rPr>
        <w:t>较重急性心肌梗死疾病确诊之日起已满三年。</w:t>
      </w:r>
    </w:p>
    <w:p>
      <w:pPr>
        <w:spacing w:line="278" w:lineRule="auto" w:before="91"/>
        <w:ind w:left="310" w:right="668" w:firstLine="0"/>
        <w:jc w:val="both"/>
        <w:rPr>
          <w:b/>
          <w:sz w:val="21"/>
        </w:rPr>
      </w:pPr>
      <w:r>
        <w:rPr>
          <w:b/>
          <w:spacing w:val="-4"/>
          <w:sz w:val="21"/>
        </w:rPr>
        <w:t>若第三次重度心脑疾病保险金对应的重大疾病为“严重脑中风后遗症”，则第三</w:t>
      </w:r>
      <w:r>
        <w:rPr>
          <w:b/>
          <w:spacing w:val="-2"/>
          <w:sz w:val="21"/>
        </w:rPr>
        <w:t>次确诊严重脑中风后遗症疾病的确诊日须距第二次重度心脑疾病保险金对应的</w:t>
      </w:r>
      <w:r>
        <w:rPr>
          <w:b/>
          <w:spacing w:val="-7"/>
          <w:sz w:val="21"/>
        </w:rPr>
        <w:t>严重脑中风后遗症疾病确诊之日起已满三年，且须由颅脑显影或影像学检查证实</w:t>
      </w:r>
      <w:r>
        <w:rPr>
          <w:b/>
          <w:spacing w:val="-6"/>
          <w:sz w:val="21"/>
        </w:rPr>
        <w:t>与初次确诊和第二次确诊的脑中风相比为新一次的中风，并符合本合同所定义的</w:t>
      </w:r>
      <w:r>
        <w:rPr>
          <w:b/>
          <w:spacing w:val="-2"/>
          <w:sz w:val="21"/>
        </w:rPr>
        <w:t>重大疾病中“严重脑中风后遗症”的定义条件。</w:t>
      </w:r>
    </w:p>
    <w:p>
      <w:pPr>
        <w:spacing w:after="0" w:line="278" w:lineRule="auto"/>
        <w:jc w:val="both"/>
        <w:rPr>
          <w:sz w:val="21"/>
        </w:rPr>
        <w:sectPr>
          <w:type w:val="continuous"/>
          <w:pgSz w:w="11910" w:h="16840"/>
          <w:pgMar w:header="0" w:footer="404" w:top="600" w:bottom="280" w:left="860" w:right="340"/>
          <w:cols w:num="2" w:equalWidth="0">
            <w:col w:w="2388" w:space="40"/>
            <w:col w:w="8282"/>
          </w:cols>
        </w:sectPr>
      </w:pPr>
    </w:p>
    <w:p>
      <w:pPr>
        <w:pStyle w:val="BodyText"/>
        <w:spacing w:before="6"/>
        <w:rPr>
          <w:b/>
          <w:sz w:val="19"/>
        </w:rPr>
      </w:pPr>
    </w:p>
    <w:p>
      <w:pPr>
        <w:pStyle w:val="ListParagraph"/>
        <w:numPr>
          <w:ilvl w:val="1"/>
          <w:numId w:val="4"/>
        </w:numPr>
        <w:tabs>
          <w:tab w:pos="1120" w:val="left" w:leader="none"/>
          <w:tab w:pos="1121" w:val="left" w:leader="none"/>
          <w:tab w:pos="2737" w:val="left" w:leader="none"/>
        </w:tabs>
        <w:spacing w:line="278" w:lineRule="auto" w:before="72" w:after="0"/>
        <w:ind w:left="2738" w:right="667" w:hanging="2470"/>
        <w:jc w:val="left"/>
        <w:rPr>
          <w:rFonts w:ascii="黑体" w:eastAsia="黑体"/>
          <w:sz w:val="21"/>
        </w:rPr>
      </w:pPr>
      <w:r>
        <w:rPr>
          <w:b/>
          <w:spacing w:val="-4"/>
          <w:sz w:val="21"/>
        </w:rPr>
        <w:t>责</w:t>
      </w:r>
      <w:r>
        <w:rPr>
          <w:b/>
          <w:spacing w:val="-4"/>
          <w:sz w:val="21"/>
        </w:rPr>
        <w:t>任</w:t>
      </w:r>
      <w:r>
        <w:rPr>
          <w:b/>
          <w:spacing w:val="-4"/>
          <w:sz w:val="21"/>
        </w:rPr>
        <w:t>免除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发生本合同所定义的</w:t>
      </w:r>
      <w:r>
        <w:rPr>
          <w:rFonts w:ascii="黑体" w:eastAsia="黑体"/>
          <w:spacing w:val="-2"/>
          <w:sz w:val="21"/>
        </w:rPr>
        <w:t>轻</w:t>
      </w:r>
      <w:r>
        <w:rPr>
          <w:rFonts w:ascii="黑体" w:eastAsia="黑体"/>
          <w:spacing w:val="-2"/>
          <w:sz w:val="21"/>
        </w:rPr>
        <w:t>症</w:t>
      </w:r>
      <w:r>
        <w:rPr>
          <w:rFonts w:ascii="黑体" w:eastAsia="黑体"/>
          <w:spacing w:val="-2"/>
          <w:sz w:val="21"/>
        </w:rPr>
        <w:t>疾病、中症</w:t>
      </w:r>
      <w:r>
        <w:rPr>
          <w:rFonts w:ascii="黑体" w:eastAsia="黑体"/>
          <w:spacing w:val="-2"/>
          <w:sz w:val="21"/>
        </w:rPr>
        <w:t>疾</w:t>
      </w:r>
      <w:r>
        <w:rPr>
          <w:rFonts w:ascii="黑体" w:eastAsia="黑体"/>
          <w:spacing w:val="-2"/>
          <w:sz w:val="21"/>
        </w:rPr>
        <w:t>病</w:t>
      </w:r>
      <w:r>
        <w:rPr>
          <w:rFonts w:ascii="黑体" w:eastAsia="黑体"/>
          <w:spacing w:val="-2"/>
          <w:sz w:val="21"/>
        </w:rPr>
        <w:t>、重</w:t>
      </w:r>
      <w:r>
        <w:rPr>
          <w:rFonts w:ascii="黑体" w:eastAsia="黑体"/>
          <w:spacing w:val="-2"/>
          <w:sz w:val="21"/>
        </w:rPr>
        <w:t>大</w:t>
      </w:r>
      <w:r>
        <w:rPr>
          <w:rFonts w:ascii="黑体" w:eastAsia="黑体"/>
          <w:spacing w:val="-2"/>
          <w:sz w:val="21"/>
        </w:rPr>
        <w:t>疾</w:t>
      </w:r>
      <w:r>
        <w:rPr>
          <w:rFonts w:ascii="黑体" w:eastAsia="黑体"/>
          <w:spacing w:val="-2"/>
          <w:sz w:val="21"/>
        </w:rPr>
        <w:t>病</w:t>
      </w:r>
      <w:r>
        <w:rPr>
          <w:rFonts w:ascii="黑体" w:eastAsia="黑体"/>
          <w:spacing w:val="-2"/>
          <w:sz w:val="21"/>
        </w:rPr>
        <w:t>，或导致被保险人接受</w:t>
      </w:r>
      <w:r>
        <w:rPr>
          <w:rFonts w:ascii="黑体" w:eastAsia="黑体"/>
          <w:spacing w:val="-2"/>
          <w:sz w:val="21"/>
        </w:rPr>
        <w:t>住</w:t>
      </w:r>
      <w:r>
        <w:rPr>
          <w:rFonts w:ascii="黑体" w:eastAsia="黑体"/>
          <w:spacing w:val="-2"/>
          <w:sz w:val="21"/>
        </w:rPr>
        <w:t>院</w:t>
      </w:r>
      <w:r>
        <w:rPr>
          <w:rFonts w:ascii="黑体" w:eastAsia="黑体"/>
          <w:spacing w:val="-2"/>
          <w:sz w:val="21"/>
        </w:rPr>
        <w:t>治疗、全残的，我们</w:t>
      </w:r>
      <w:r>
        <w:rPr>
          <w:rFonts w:ascii="黑体" w:eastAsia="黑体"/>
          <w:spacing w:val="-2"/>
          <w:sz w:val="21"/>
        </w:rPr>
        <w:t>不</w:t>
      </w:r>
      <w:r>
        <w:rPr>
          <w:rFonts w:ascii="黑体" w:eastAsia="黑体"/>
          <w:spacing w:val="-2"/>
          <w:sz w:val="21"/>
        </w:rPr>
        <w:t>承</w:t>
      </w:r>
      <w:r>
        <w:rPr>
          <w:rFonts w:ascii="黑体" w:eastAsia="黑体"/>
          <w:spacing w:val="-2"/>
          <w:sz w:val="21"/>
        </w:rPr>
        <w:t>担给付保险金的责任：</w:t>
      </w:r>
    </w:p>
    <w:p>
      <w:pPr>
        <w:pStyle w:val="ListParagraph"/>
        <w:numPr>
          <w:ilvl w:val="0"/>
          <w:numId w:val="7"/>
        </w:numPr>
        <w:tabs>
          <w:tab w:pos="3268" w:val="left" w:leader="none"/>
        </w:tabs>
        <w:spacing w:line="240" w:lineRule="auto" w:before="91" w:after="0"/>
        <w:ind w:left="3267" w:right="0" w:hanging="530"/>
        <w:jc w:val="left"/>
        <w:rPr>
          <w:rFonts w:ascii="黑体" w:eastAsia="黑体"/>
          <w:sz w:val="21"/>
        </w:rPr>
      </w:pPr>
      <w:r>
        <w:rPr>
          <w:rFonts w:ascii="黑体" w:eastAsia="黑体"/>
          <w:spacing w:val="-3"/>
          <w:sz w:val="21"/>
        </w:rPr>
        <w:t>投保人对被保险人的故意杀害、故意伤害；</w:t>
      </w:r>
    </w:p>
    <w:p>
      <w:pPr>
        <w:pStyle w:val="ListParagraph"/>
        <w:numPr>
          <w:ilvl w:val="0"/>
          <w:numId w:val="7"/>
        </w:numPr>
        <w:tabs>
          <w:tab w:pos="3268" w:val="left" w:leader="none"/>
        </w:tabs>
        <w:spacing w:line="240" w:lineRule="auto" w:before="137" w:after="0"/>
        <w:ind w:left="3267" w:right="0" w:hanging="530"/>
        <w:jc w:val="left"/>
        <w:rPr>
          <w:rFonts w:ascii="黑体" w:eastAsia="黑体"/>
          <w:sz w:val="21"/>
        </w:rPr>
      </w:pPr>
      <w:r>
        <w:rPr>
          <w:rFonts w:ascii="黑体" w:eastAsia="黑体"/>
          <w:spacing w:val="-3"/>
          <w:sz w:val="21"/>
        </w:rPr>
        <w:t>被保险人故意犯罪或抗拒依法采取的刑事强制措施；</w:t>
      </w:r>
    </w:p>
    <w:p>
      <w:pPr>
        <w:pStyle w:val="ListParagraph"/>
        <w:numPr>
          <w:ilvl w:val="0"/>
          <w:numId w:val="7"/>
        </w:numPr>
        <w:tabs>
          <w:tab w:pos="3268" w:val="left" w:leader="none"/>
        </w:tabs>
        <w:spacing w:line="278" w:lineRule="auto" w:before="136" w:after="0"/>
        <w:ind w:left="3264" w:right="668" w:hanging="527"/>
        <w:jc w:val="left"/>
        <w:rPr>
          <w:rFonts w:ascii="黑体" w:eastAsia="黑体"/>
          <w:sz w:val="21"/>
        </w:rPr>
      </w:pPr>
      <w:r>
        <w:rPr>
          <w:rFonts w:ascii="黑体" w:eastAsia="黑体"/>
          <w:spacing w:val="-1"/>
          <w:sz w:val="21"/>
        </w:rPr>
        <w:t>被保险人故意自伤、或自本合同成立或者本合同效力恢复之日起 </w:t>
      </w:r>
      <w:r>
        <w:rPr>
          <w:rFonts w:ascii="黑体" w:eastAsia="黑体"/>
          <w:sz w:val="21"/>
        </w:rPr>
        <w:t>2</w:t>
      </w:r>
      <w:r>
        <w:rPr>
          <w:rFonts w:ascii="黑体" w:eastAsia="黑体"/>
          <w:spacing w:val="-9"/>
          <w:sz w:val="21"/>
        </w:rPr>
        <w:t> 年内自</w:t>
      </w:r>
      <w:r>
        <w:rPr>
          <w:rFonts w:ascii="黑体" w:eastAsia="黑体"/>
          <w:spacing w:val="-2"/>
          <w:sz w:val="21"/>
        </w:rPr>
        <w:t>杀，但被保险人自杀时为无民事行为能力人的除外；</w:t>
      </w:r>
    </w:p>
    <w:p>
      <w:pPr>
        <w:pStyle w:val="ListParagraph"/>
        <w:numPr>
          <w:ilvl w:val="0"/>
          <w:numId w:val="7"/>
        </w:numPr>
        <w:tabs>
          <w:tab w:pos="3268" w:val="left" w:leader="none"/>
        </w:tabs>
        <w:spacing w:line="240" w:lineRule="auto" w:before="84" w:after="0"/>
        <w:ind w:left="3267" w:right="0" w:hanging="530"/>
        <w:jc w:val="left"/>
        <w:rPr>
          <w:rFonts w:ascii="黑体" w:eastAsia="黑体"/>
          <w:sz w:val="21"/>
        </w:rPr>
      </w:pPr>
      <w:r>
        <w:rPr>
          <w:rFonts w:ascii="黑体" w:eastAsia="黑体"/>
          <w:spacing w:val="-2"/>
          <w:sz w:val="21"/>
        </w:rPr>
        <w:t>被保险人服用、吸食或注射</w:t>
      </w:r>
      <w:r>
        <w:rPr>
          <w:rFonts w:ascii="黑体" w:eastAsia="黑体" w:hint="eastAsia"/>
          <w:b/>
          <w:spacing w:val="-17"/>
          <w:sz w:val="21"/>
        </w:rPr>
        <w:t>毒品 </w:t>
      </w:r>
      <w:r>
        <w:rPr>
          <w:rFonts w:ascii="黑体" w:eastAsia="黑体"/>
          <w:spacing w:val="-2"/>
          <w:position w:val="11"/>
          <w:sz w:val="11"/>
        </w:rPr>
        <w:t>11.14</w:t>
      </w:r>
      <w:r>
        <w:rPr>
          <w:rFonts w:ascii="黑体" w:eastAsia="黑体"/>
          <w:spacing w:val="-2"/>
          <w:sz w:val="21"/>
        </w:rPr>
        <w:t>；</w:t>
      </w:r>
    </w:p>
    <w:p>
      <w:pPr>
        <w:pStyle w:val="ListParagraph"/>
        <w:numPr>
          <w:ilvl w:val="0"/>
          <w:numId w:val="7"/>
        </w:numPr>
        <w:tabs>
          <w:tab w:pos="3266" w:val="left" w:leader="none"/>
        </w:tabs>
        <w:spacing w:line="268" w:lineRule="auto" w:before="124" w:after="0"/>
        <w:ind w:left="3264" w:right="668" w:hanging="527"/>
        <w:jc w:val="left"/>
        <w:rPr>
          <w:rFonts w:ascii="黑体" w:eastAsia="黑体"/>
          <w:sz w:val="21"/>
        </w:rPr>
      </w:pPr>
      <w:r>
        <w:rPr>
          <w:rFonts w:ascii="黑体" w:eastAsia="黑体"/>
          <w:spacing w:val="-2"/>
          <w:sz w:val="21"/>
        </w:rPr>
        <w:t>被保险人</w:t>
      </w:r>
      <w:r>
        <w:rPr>
          <w:rFonts w:ascii="黑体" w:eastAsia="黑体" w:hint="eastAsia"/>
          <w:b/>
          <w:spacing w:val="-10"/>
          <w:sz w:val="21"/>
        </w:rPr>
        <w:t>酒后驾驶 </w:t>
      </w:r>
      <w:r>
        <w:rPr>
          <w:rFonts w:ascii="黑体" w:eastAsia="黑体"/>
          <w:spacing w:val="-2"/>
          <w:position w:val="11"/>
          <w:sz w:val="11"/>
        </w:rPr>
        <w:t>11.15</w:t>
      </w:r>
      <w:r>
        <w:rPr>
          <w:rFonts w:ascii="黑体" w:eastAsia="黑体"/>
          <w:spacing w:val="-2"/>
          <w:sz w:val="21"/>
        </w:rPr>
        <w:t>、</w:t>
      </w:r>
      <w:r>
        <w:rPr>
          <w:rFonts w:ascii="黑体" w:eastAsia="黑体" w:hint="eastAsia"/>
          <w:b/>
          <w:spacing w:val="-6"/>
          <w:sz w:val="21"/>
        </w:rPr>
        <w:t>无合法有效驾驶证驾驶 </w:t>
      </w:r>
      <w:r>
        <w:rPr>
          <w:rFonts w:ascii="黑体" w:eastAsia="黑体"/>
          <w:spacing w:val="-2"/>
          <w:position w:val="11"/>
          <w:sz w:val="11"/>
        </w:rPr>
        <w:t>11.16</w:t>
      </w:r>
      <w:r>
        <w:rPr>
          <w:rFonts w:ascii="黑体" w:eastAsia="黑体"/>
          <w:spacing w:val="-25"/>
          <w:position w:val="11"/>
          <w:sz w:val="11"/>
        </w:rPr>
        <w:t> </w:t>
      </w:r>
      <w:r>
        <w:rPr>
          <w:rFonts w:ascii="黑体" w:eastAsia="黑体"/>
          <w:spacing w:val="-2"/>
          <w:sz w:val="21"/>
        </w:rPr>
        <w:t>或驾驶</w:t>
      </w:r>
      <w:r>
        <w:rPr>
          <w:rFonts w:ascii="黑体" w:eastAsia="黑体" w:hint="eastAsia"/>
          <w:b/>
          <w:spacing w:val="-2"/>
          <w:sz w:val="21"/>
        </w:rPr>
        <w:t>无合法有效行驶</w:t>
      </w:r>
      <w:r>
        <w:rPr>
          <w:rFonts w:ascii="黑体" w:eastAsia="黑体" w:hint="eastAsia"/>
          <w:b/>
          <w:spacing w:val="-12"/>
          <w:sz w:val="21"/>
        </w:rPr>
        <w:t>证 </w:t>
      </w:r>
      <w:r>
        <w:rPr>
          <w:rFonts w:ascii="黑体" w:eastAsia="黑体"/>
          <w:position w:val="11"/>
          <w:sz w:val="11"/>
        </w:rPr>
        <w:t>11.17</w:t>
      </w:r>
      <w:r>
        <w:rPr>
          <w:rFonts w:ascii="黑体" w:eastAsia="黑体"/>
          <w:spacing w:val="-16"/>
          <w:position w:val="11"/>
          <w:sz w:val="11"/>
        </w:rPr>
        <w:t> </w:t>
      </w:r>
      <w:r>
        <w:rPr>
          <w:rFonts w:ascii="黑体" w:eastAsia="黑体"/>
          <w:sz w:val="21"/>
        </w:rPr>
        <w:t>的机动车；</w:t>
      </w:r>
    </w:p>
    <w:p>
      <w:pPr>
        <w:pStyle w:val="ListParagraph"/>
        <w:numPr>
          <w:ilvl w:val="0"/>
          <w:numId w:val="7"/>
        </w:numPr>
        <w:tabs>
          <w:tab w:pos="3268" w:val="left" w:leader="none"/>
        </w:tabs>
        <w:spacing w:line="240" w:lineRule="auto" w:before="95" w:after="0"/>
        <w:ind w:left="3267" w:right="0" w:hanging="530"/>
        <w:jc w:val="left"/>
        <w:rPr>
          <w:rFonts w:ascii="黑体" w:eastAsia="黑体"/>
          <w:sz w:val="21"/>
        </w:rPr>
      </w:pPr>
      <w:r>
        <w:rPr>
          <w:rFonts w:ascii="黑体" w:eastAsia="黑体"/>
          <w:spacing w:val="-2"/>
          <w:sz w:val="21"/>
        </w:rPr>
        <w:t>被保险人</w:t>
      </w:r>
      <w:r>
        <w:rPr>
          <w:rFonts w:ascii="黑体" w:eastAsia="黑体" w:hint="eastAsia"/>
          <w:b/>
          <w:spacing w:val="-4"/>
          <w:sz w:val="21"/>
        </w:rPr>
        <w:t>感染艾滋病病毒或患艾滋病 </w:t>
      </w:r>
      <w:r>
        <w:rPr>
          <w:rFonts w:ascii="黑体" w:eastAsia="黑体"/>
          <w:spacing w:val="-2"/>
          <w:position w:val="11"/>
          <w:sz w:val="11"/>
        </w:rPr>
        <w:t>11.18</w:t>
      </w:r>
      <w:r>
        <w:rPr>
          <w:rFonts w:ascii="黑体" w:eastAsia="黑体"/>
          <w:spacing w:val="-3"/>
          <w:sz w:val="21"/>
        </w:rPr>
        <w:t>，但本合同另有约定的除外；</w:t>
      </w:r>
    </w:p>
    <w:p>
      <w:pPr>
        <w:pStyle w:val="ListParagraph"/>
        <w:numPr>
          <w:ilvl w:val="0"/>
          <w:numId w:val="7"/>
        </w:numPr>
        <w:tabs>
          <w:tab w:pos="3268" w:val="left" w:leader="none"/>
        </w:tabs>
        <w:spacing w:line="240" w:lineRule="auto" w:before="136" w:after="0"/>
        <w:ind w:left="3267" w:right="0" w:hanging="530"/>
        <w:jc w:val="left"/>
        <w:rPr>
          <w:rFonts w:ascii="黑体" w:eastAsia="黑体"/>
          <w:sz w:val="21"/>
        </w:rPr>
      </w:pPr>
      <w:r>
        <w:rPr>
          <w:rFonts w:ascii="黑体" w:eastAsia="黑体"/>
          <w:spacing w:val="-3"/>
          <w:sz w:val="21"/>
        </w:rPr>
        <w:t>战争、军事冲突、暴乱或武装叛乱；</w:t>
      </w:r>
    </w:p>
    <w:p>
      <w:pPr>
        <w:pStyle w:val="ListParagraph"/>
        <w:numPr>
          <w:ilvl w:val="0"/>
          <w:numId w:val="7"/>
        </w:numPr>
        <w:tabs>
          <w:tab w:pos="3268" w:val="left" w:leader="none"/>
        </w:tabs>
        <w:spacing w:line="240" w:lineRule="auto" w:before="137" w:after="0"/>
        <w:ind w:left="3267" w:right="0" w:hanging="530"/>
        <w:jc w:val="left"/>
        <w:rPr>
          <w:rFonts w:ascii="黑体" w:eastAsia="黑体"/>
          <w:sz w:val="21"/>
        </w:rPr>
      </w:pPr>
      <w:r>
        <w:rPr>
          <w:rFonts w:ascii="黑体" w:eastAsia="黑体"/>
          <w:spacing w:val="-3"/>
          <w:sz w:val="21"/>
        </w:rPr>
        <w:t>核爆炸、核辐射或核污染；</w:t>
      </w:r>
    </w:p>
    <w:p>
      <w:pPr>
        <w:pStyle w:val="ListParagraph"/>
        <w:numPr>
          <w:ilvl w:val="0"/>
          <w:numId w:val="7"/>
        </w:numPr>
        <w:tabs>
          <w:tab w:pos="3268" w:val="left" w:leader="none"/>
        </w:tabs>
        <w:spacing w:line="278" w:lineRule="auto" w:before="124" w:after="0"/>
        <w:ind w:left="3264" w:right="668" w:hanging="527"/>
        <w:jc w:val="left"/>
        <w:rPr>
          <w:rFonts w:ascii="黑体" w:eastAsia="黑体"/>
          <w:sz w:val="21"/>
        </w:rPr>
      </w:pPr>
      <w:r>
        <w:rPr>
          <w:rFonts w:ascii="黑体" w:eastAsia="黑体" w:hint="eastAsia"/>
          <w:b/>
          <w:spacing w:val="-7"/>
          <w:sz w:val="21"/>
        </w:rPr>
        <w:t>遗传性疾病 </w:t>
      </w:r>
      <w:r>
        <w:rPr>
          <w:rFonts w:ascii="黑体" w:eastAsia="黑体"/>
          <w:spacing w:val="-2"/>
          <w:position w:val="11"/>
          <w:sz w:val="11"/>
        </w:rPr>
        <w:t>11.19</w:t>
      </w:r>
      <w:r>
        <w:rPr>
          <w:rFonts w:ascii="黑体" w:eastAsia="黑体"/>
          <w:spacing w:val="-2"/>
          <w:sz w:val="21"/>
        </w:rPr>
        <w:t>，</w:t>
      </w:r>
      <w:r>
        <w:rPr>
          <w:rFonts w:ascii="黑体" w:eastAsia="黑体" w:hint="eastAsia"/>
          <w:b/>
          <w:spacing w:val="-4"/>
          <w:sz w:val="21"/>
        </w:rPr>
        <w:t>先天性畸形、变形或染色体异常 </w:t>
      </w:r>
      <w:r>
        <w:rPr>
          <w:rFonts w:ascii="黑体" w:eastAsia="黑体"/>
          <w:spacing w:val="-2"/>
          <w:position w:val="11"/>
          <w:sz w:val="11"/>
        </w:rPr>
        <w:t>11.20</w:t>
      </w:r>
      <w:r>
        <w:rPr>
          <w:rFonts w:ascii="黑体" w:eastAsia="黑体"/>
          <w:spacing w:val="-2"/>
          <w:sz w:val="21"/>
        </w:rPr>
        <w:t>，但本合同另有约定</w:t>
      </w:r>
      <w:r>
        <w:rPr>
          <w:rFonts w:ascii="黑体" w:eastAsia="黑体"/>
          <w:spacing w:val="-4"/>
          <w:sz w:val="21"/>
        </w:rPr>
        <w:t>的除外。</w:t>
      </w:r>
    </w:p>
    <w:p>
      <w:pPr>
        <w:pStyle w:val="BodyText"/>
        <w:spacing w:line="278" w:lineRule="auto" w:before="94"/>
        <w:ind w:left="2738" w:right="560"/>
        <w:rPr>
          <w:rFonts w:ascii="黑体" w:eastAsia="黑体"/>
        </w:rPr>
      </w:pPr>
      <w:r>
        <w:rPr>
          <w:rFonts w:ascii="黑体" w:eastAsia="黑体"/>
          <w:spacing w:val="-2"/>
        </w:rPr>
        <w:t>发生上述第（1）项情形导致被保险人发生本合同所定义的轻症疾病、中症疾病、</w:t>
      </w:r>
      <w:r>
        <w:rPr>
          <w:rFonts w:ascii="黑体" w:eastAsia="黑体"/>
          <w:spacing w:val="-2"/>
        </w:rPr>
        <w:t>重大疾病，或导致被保险人接受住院治疗、全残的，本合同终止，我们向被保险</w:t>
      </w:r>
      <w:r>
        <w:rPr>
          <w:rFonts w:ascii="黑体" w:eastAsia="黑体"/>
          <w:spacing w:val="-2"/>
        </w:rPr>
        <w:t>人退还本合同的现金价值；</w:t>
      </w:r>
    </w:p>
    <w:p>
      <w:pPr>
        <w:pStyle w:val="BodyText"/>
        <w:spacing w:line="278" w:lineRule="auto" w:before="93"/>
        <w:ind w:left="2738" w:right="666"/>
        <w:jc w:val="both"/>
        <w:rPr>
          <w:rFonts w:ascii="黑体" w:eastAsia="黑体"/>
        </w:rPr>
      </w:pPr>
      <w:r>
        <w:rPr>
          <w:rFonts w:ascii="黑体" w:eastAsia="黑体"/>
          <w:spacing w:val="-2"/>
        </w:rPr>
        <w:t>发生上述其他情形导致被保险人发生本合同所定义的轻症疾病、中症疾病、重大</w:t>
      </w:r>
      <w:r>
        <w:rPr>
          <w:rFonts w:ascii="黑体" w:eastAsia="黑体"/>
          <w:spacing w:val="-2"/>
        </w:rPr>
        <w:t>疾病，或导致被保险人接受住院治疗、全残的，本合同终止，我们向您退还本合</w:t>
      </w:r>
      <w:r>
        <w:rPr>
          <w:rFonts w:ascii="黑体" w:eastAsia="黑体"/>
          <w:spacing w:val="-2"/>
        </w:rPr>
        <w:t>同的现金价值。</w:t>
      </w:r>
    </w:p>
    <w:p>
      <w:pPr>
        <w:pStyle w:val="BodyText"/>
        <w:spacing w:before="93"/>
        <w:ind w:left="2738"/>
        <w:rPr>
          <w:rFonts w:ascii="黑体" w:eastAsia="黑体"/>
        </w:rPr>
      </w:pPr>
      <w:r>
        <w:rPr>
          <w:rFonts w:ascii="黑体" w:eastAsia="黑体"/>
          <w:spacing w:val="-3"/>
        </w:rPr>
        <w:t>因下列情形之一导致被保险人身故的，我们不承担给付身故保险金的责任：</w:t>
      </w:r>
    </w:p>
    <w:p>
      <w:pPr>
        <w:spacing w:after="0"/>
        <w:rPr>
          <w:rFonts w:ascii="黑体" w:eastAsia="黑体"/>
        </w:rPr>
        <w:sectPr>
          <w:type w:val="continuous"/>
          <w:pgSz w:w="11910" w:h="16840"/>
          <w:pgMar w:header="0" w:footer="404" w:top="600" w:bottom="280" w:left="860" w:right="340"/>
        </w:sectPr>
      </w:pPr>
    </w:p>
    <w:p>
      <w:pPr>
        <w:pStyle w:val="ListParagraph"/>
        <w:numPr>
          <w:ilvl w:val="0"/>
          <w:numId w:val="8"/>
        </w:numPr>
        <w:tabs>
          <w:tab w:pos="3268" w:val="left" w:leader="none"/>
        </w:tabs>
        <w:spacing w:line="240" w:lineRule="auto" w:before="57" w:after="0"/>
        <w:ind w:left="3267" w:right="0" w:hanging="530"/>
        <w:jc w:val="left"/>
        <w:rPr>
          <w:rFonts w:ascii="黑体" w:eastAsia="黑体"/>
          <w:sz w:val="21"/>
        </w:rPr>
      </w:pPr>
      <w:r>
        <w:rPr>
          <w:rFonts w:ascii="黑体" w:eastAsia="黑体"/>
          <w:spacing w:val="-3"/>
          <w:sz w:val="21"/>
        </w:rPr>
        <w:t>投保人对被保险人的故意杀害、故意伤害；</w:t>
      </w:r>
    </w:p>
    <w:p>
      <w:pPr>
        <w:pStyle w:val="ListParagraph"/>
        <w:numPr>
          <w:ilvl w:val="0"/>
          <w:numId w:val="8"/>
        </w:numPr>
        <w:tabs>
          <w:tab w:pos="3268" w:val="left" w:leader="none"/>
        </w:tabs>
        <w:spacing w:line="240" w:lineRule="auto" w:before="137" w:after="0"/>
        <w:ind w:left="3267" w:right="0" w:hanging="530"/>
        <w:jc w:val="left"/>
        <w:rPr>
          <w:rFonts w:ascii="黑体" w:eastAsia="黑体"/>
          <w:sz w:val="21"/>
        </w:rPr>
      </w:pPr>
      <w:r>
        <w:rPr>
          <w:rFonts w:ascii="黑体" w:eastAsia="黑体"/>
          <w:spacing w:val="-3"/>
          <w:sz w:val="21"/>
        </w:rPr>
        <w:t>被保险人故意犯罪或抗拒依法采取的刑事强制措施；</w:t>
      </w:r>
    </w:p>
    <w:p>
      <w:pPr>
        <w:pStyle w:val="ListParagraph"/>
        <w:numPr>
          <w:ilvl w:val="0"/>
          <w:numId w:val="8"/>
        </w:numPr>
        <w:tabs>
          <w:tab w:pos="3268" w:val="left" w:leader="none"/>
        </w:tabs>
        <w:spacing w:line="278" w:lineRule="auto" w:before="136" w:after="0"/>
        <w:ind w:left="3264" w:right="668" w:hanging="527"/>
        <w:jc w:val="left"/>
        <w:rPr>
          <w:rFonts w:ascii="黑体" w:eastAsia="黑体"/>
          <w:sz w:val="21"/>
        </w:rPr>
      </w:pPr>
      <w:r>
        <w:rPr>
          <w:rFonts w:ascii="黑体" w:eastAsia="黑体"/>
          <w:spacing w:val="-2"/>
          <w:sz w:val="21"/>
        </w:rPr>
        <w:t>被保险人自本合同成立或者本合同效力恢复之日起 </w:t>
      </w:r>
      <w:r>
        <w:rPr>
          <w:rFonts w:ascii="黑体" w:eastAsia="黑体"/>
          <w:sz w:val="21"/>
        </w:rPr>
        <w:t>2</w:t>
      </w:r>
      <w:r>
        <w:rPr>
          <w:rFonts w:ascii="黑体" w:eastAsia="黑体"/>
          <w:spacing w:val="-6"/>
          <w:sz w:val="21"/>
        </w:rPr>
        <w:t> 年内自杀，但被保险</w:t>
      </w:r>
      <w:r>
        <w:rPr>
          <w:rFonts w:ascii="黑体" w:eastAsia="黑体"/>
          <w:spacing w:val="-2"/>
          <w:sz w:val="21"/>
        </w:rPr>
        <w:t>人自杀时为无民事行为能力人的除外；</w:t>
      </w:r>
    </w:p>
    <w:p>
      <w:pPr>
        <w:pStyle w:val="ListParagraph"/>
        <w:numPr>
          <w:ilvl w:val="0"/>
          <w:numId w:val="8"/>
        </w:numPr>
        <w:tabs>
          <w:tab w:pos="3268" w:val="left" w:leader="none"/>
        </w:tabs>
        <w:spacing w:line="240" w:lineRule="auto" w:before="94" w:after="0"/>
        <w:ind w:left="3267" w:right="0" w:hanging="530"/>
        <w:jc w:val="left"/>
        <w:rPr>
          <w:rFonts w:ascii="黑体" w:eastAsia="黑体"/>
          <w:sz w:val="21"/>
        </w:rPr>
      </w:pPr>
      <w:r>
        <w:rPr>
          <w:rFonts w:ascii="黑体" w:eastAsia="黑体"/>
          <w:spacing w:val="-3"/>
          <w:sz w:val="21"/>
        </w:rPr>
        <w:t>被保险人服用、吸食或注射毒品；</w:t>
      </w:r>
    </w:p>
    <w:p>
      <w:pPr>
        <w:pStyle w:val="ListParagraph"/>
        <w:numPr>
          <w:ilvl w:val="0"/>
          <w:numId w:val="8"/>
        </w:numPr>
        <w:tabs>
          <w:tab w:pos="3270" w:val="left" w:leader="none"/>
        </w:tabs>
        <w:spacing w:line="278" w:lineRule="auto" w:before="134" w:after="0"/>
        <w:ind w:left="3264" w:right="670" w:hanging="527"/>
        <w:jc w:val="left"/>
        <w:rPr>
          <w:rFonts w:ascii="黑体" w:eastAsia="黑体"/>
          <w:sz w:val="21"/>
        </w:rPr>
      </w:pPr>
      <w:r>
        <w:rPr>
          <w:rFonts w:ascii="黑体" w:eastAsia="黑体"/>
          <w:spacing w:val="-2"/>
          <w:sz w:val="21"/>
        </w:rPr>
        <w:t>被保险人酒后驾驶、无合法有效驾驶证驾驶或驾驶无合法有效行驶证的机</w:t>
      </w:r>
      <w:r>
        <w:rPr>
          <w:rFonts w:ascii="黑体" w:eastAsia="黑体"/>
          <w:spacing w:val="-4"/>
          <w:sz w:val="21"/>
        </w:rPr>
        <w:t>动车；</w:t>
      </w:r>
    </w:p>
    <w:p>
      <w:pPr>
        <w:pStyle w:val="ListParagraph"/>
        <w:numPr>
          <w:ilvl w:val="0"/>
          <w:numId w:val="8"/>
        </w:numPr>
        <w:tabs>
          <w:tab w:pos="3268" w:val="left" w:leader="none"/>
        </w:tabs>
        <w:spacing w:line="240" w:lineRule="auto" w:before="93" w:after="0"/>
        <w:ind w:left="3267" w:right="0" w:hanging="530"/>
        <w:jc w:val="left"/>
        <w:rPr>
          <w:rFonts w:ascii="黑体" w:eastAsia="黑体"/>
          <w:sz w:val="21"/>
        </w:rPr>
      </w:pPr>
      <w:r>
        <w:rPr>
          <w:rFonts w:ascii="黑体" w:eastAsia="黑体"/>
          <w:spacing w:val="-3"/>
          <w:sz w:val="21"/>
        </w:rPr>
        <w:t>战争、军事冲突、暴乱或武装叛乱；</w:t>
      </w:r>
    </w:p>
    <w:p>
      <w:pPr>
        <w:pStyle w:val="ListParagraph"/>
        <w:numPr>
          <w:ilvl w:val="0"/>
          <w:numId w:val="8"/>
        </w:numPr>
        <w:tabs>
          <w:tab w:pos="3268" w:val="left" w:leader="none"/>
        </w:tabs>
        <w:spacing w:line="240" w:lineRule="auto" w:before="137" w:after="0"/>
        <w:ind w:left="3267" w:right="0" w:hanging="530"/>
        <w:jc w:val="left"/>
        <w:rPr>
          <w:rFonts w:ascii="黑体" w:eastAsia="黑体"/>
          <w:sz w:val="21"/>
        </w:rPr>
      </w:pPr>
      <w:r>
        <w:rPr>
          <w:rFonts w:ascii="黑体" w:eastAsia="黑体"/>
          <w:spacing w:val="-3"/>
          <w:sz w:val="21"/>
        </w:rPr>
        <w:t>核爆炸、核辐射或核污染。</w:t>
      </w:r>
    </w:p>
    <w:p>
      <w:pPr>
        <w:pStyle w:val="BodyText"/>
        <w:spacing w:line="278" w:lineRule="auto" w:before="136"/>
        <w:ind w:left="2738" w:right="670"/>
        <w:rPr>
          <w:rFonts w:ascii="黑体" w:eastAsia="黑体"/>
        </w:rPr>
      </w:pPr>
      <w:r>
        <w:rPr>
          <w:rFonts w:ascii="黑体" w:eastAsia="黑体"/>
          <w:spacing w:val="-2"/>
        </w:rPr>
        <w:t>发生上述第（1）项情形导致被保险人身故的，本合同终止，我们向被保险人的</w:t>
      </w:r>
      <w:r>
        <w:rPr>
          <w:rFonts w:ascii="黑体" w:eastAsia="黑体"/>
          <w:spacing w:val="-2"/>
        </w:rPr>
        <w:t>继承人退还本合同的现金价值。</w:t>
      </w:r>
    </w:p>
    <w:p>
      <w:pPr>
        <w:pStyle w:val="BodyText"/>
        <w:spacing w:line="278" w:lineRule="auto" w:before="92"/>
        <w:ind w:left="2738" w:right="666"/>
        <w:rPr>
          <w:rFonts w:ascii="黑体" w:eastAsia="黑体"/>
        </w:rPr>
      </w:pPr>
      <w:r>
        <w:rPr>
          <w:rFonts w:ascii="黑体" w:eastAsia="黑体"/>
          <w:spacing w:val="-2"/>
        </w:rPr>
        <w:t>发生上述其他情形导致被保险人身故的，本合同终止，我们向您退还本合同的现</w:t>
      </w:r>
      <w:r>
        <w:rPr>
          <w:rFonts w:ascii="黑体" w:eastAsia="黑体"/>
          <w:spacing w:val="-4"/>
        </w:rPr>
        <w:t>金价值。</w:t>
      </w:r>
    </w:p>
    <w:p>
      <w:pPr>
        <w:pStyle w:val="BodyText"/>
        <w:rPr>
          <w:rFonts w:ascii="黑体"/>
          <w:sz w:val="26"/>
        </w:rPr>
      </w:pPr>
    </w:p>
    <w:p>
      <w:pPr>
        <w:spacing w:after="0"/>
        <w:rPr>
          <w:rFonts w:ascii="黑体"/>
          <w:sz w:val="26"/>
        </w:rPr>
        <w:sectPr>
          <w:pgSz w:w="11910" w:h="16840"/>
          <w:pgMar w:header="0" w:footer="404" w:top="1080" w:bottom="600" w:left="860" w:right="340"/>
        </w:sectPr>
      </w:pPr>
    </w:p>
    <w:p>
      <w:pPr>
        <w:pStyle w:val="Heading2"/>
        <w:numPr>
          <w:ilvl w:val="1"/>
          <w:numId w:val="4"/>
        </w:numPr>
        <w:tabs>
          <w:tab w:pos="1120" w:val="left" w:leader="none"/>
          <w:tab w:pos="1121" w:val="left" w:leader="none"/>
        </w:tabs>
        <w:spacing w:line="278" w:lineRule="auto" w:before="72" w:after="0"/>
        <w:ind w:left="1120" w:right="38" w:hanging="853"/>
        <w:jc w:val="left"/>
      </w:pPr>
      <w:r>
        <w:rPr>
          <w:spacing w:val="-2"/>
        </w:rPr>
        <w:t>其他免除保险</w:t>
      </w:r>
      <w:r>
        <w:rPr>
          <w:spacing w:val="-4"/>
        </w:rPr>
        <w:t>责任条款</w:t>
      </w:r>
    </w:p>
    <w:p>
      <w:pPr>
        <w:pStyle w:val="BodyText"/>
        <w:spacing w:line="278" w:lineRule="auto" w:before="72"/>
        <w:ind w:left="268" w:right="565"/>
        <w:rPr>
          <w:rFonts w:ascii="黑体" w:hAnsi="黑体" w:eastAsia="黑体"/>
        </w:rPr>
      </w:pPr>
      <w:r>
        <w:rPr/>
        <w:br w:type="column"/>
      </w:r>
      <w:r>
        <w:rPr>
          <w:rFonts w:ascii="黑体" w:hAnsi="黑体" w:eastAsia="黑体"/>
          <w:spacing w:val="-27"/>
        </w:rPr>
        <w:t>除“</w:t>
      </w:r>
      <w:r>
        <w:rPr>
          <w:rFonts w:ascii="黑体" w:hAnsi="黑体" w:eastAsia="黑体"/>
        </w:rPr>
        <w:t>2.8</w:t>
      </w:r>
      <w:r>
        <w:rPr>
          <w:rFonts w:ascii="黑体" w:hAnsi="黑体" w:eastAsia="黑体"/>
          <w:spacing w:val="-15"/>
        </w:rPr>
        <w:t> 责任免除”外，本合同中还有一些免除本公司责任的条款，详见“</w:t>
      </w:r>
      <w:r>
        <w:rPr>
          <w:rFonts w:ascii="黑体" w:hAnsi="黑体" w:eastAsia="黑体"/>
        </w:rPr>
        <w:t>1.5 犹</w:t>
      </w:r>
      <w:r>
        <w:rPr>
          <w:rFonts w:ascii="黑体" w:hAnsi="黑体" w:eastAsia="黑体"/>
          <w:spacing w:val="-4"/>
        </w:rPr>
        <w:t>豫期”、“4.1</w:t>
      </w:r>
      <w:r>
        <w:rPr>
          <w:rFonts w:ascii="黑体" w:hAnsi="黑体" w:eastAsia="黑体"/>
          <w:spacing w:val="-7"/>
        </w:rPr>
        <w:t> 合同效力的中止”、“</w:t>
      </w:r>
      <w:r>
        <w:rPr>
          <w:rFonts w:ascii="黑体" w:hAnsi="黑体" w:eastAsia="黑体"/>
          <w:spacing w:val="-4"/>
        </w:rPr>
        <w:t>6.2</w:t>
      </w:r>
      <w:r>
        <w:rPr>
          <w:rFonts w:ascii="黑体" w:hAnsi="黑体" w:eastAsia="黑体"/>
          <w:spacing w:val="-7"/>
        </w:rPr>
        <w:t> 如实告知”、“</w:t>
      </w:r>
      <w:r>
        <w:rPr>
          <w:rFonts w:ascii="黑体" w:hAnsi="黑体" w:eastAsia="黑体"/>
          <w:spacing w:val="-4"/>
        </w:rPr>
        <w:t>7.2</w:t>
      </w:r>
      <w:r>
        <w:rPr>
          <w:rFonts w:ascii="黑体" w:hAnsi="黑体" w:eastAsia="黑体"/>
          <w:spacing w:val="-7"/>
        </w:rPr>
        <w:t> 保险事故通知”、</w:t>
      </w:r>
      <w:r>
        <w:rPr>
          <w:rFonts w:ascii="黑体" w:hAnsi="黑体" w:eastAsia="黑体"/>
          <w:spacing w:val="-4"/>
        </w:rPr>
        <w:t> </w:t>
      </w:r>
      <w:r>
        <w:rPr>
          <w:rFonts w:ascii="黑体" w:hAnsi="黑体" w:eastAsia="黑体"/>
        </w:rPr>
        <w:t>“9.1 年龄确定与错误处理”、“10 疾病定义”中加粗显示的内容，请您务必</w:t>
      </w:r>
      <w:r>
        <w:rPr>
          <w:rFonts w:ascii="黑体" w:hAnsi="黑体" w:eastAsia="黑体"/>
          <w:spacing w:val="-2"/>
        </w:rPr>
        <w:t>特别注意。</w:t>
      </w:r>
    </w:p>
    <w:p>
      <w:pPr>
        <w:spacing w:after="0" w:line="278" w:lineRule="auto"/>
        <w:rPr>
          <w:rFonts w:ascii="黑体" w:hAnsi="黑体" w:eastAsia="黑体"/>
        </w:rPr>
        <w:sectPr>
          <w:type w:val="continuous"/>
          <w:pgSz w:w="11910" w:h="16840"/>
          <w:pgMar w:header="0" w:footer="404" w:top="600" w:bottom="280" w:left="860" w:right="340"/>
          <w:cols w:num="2" w:equalWidth="0">
            <w:col w:w="2428" w:space="42"/>
            <w:col w:w="8240"/>
          </w:cols>
        </w:sectPr>
      </w:pPr>
    </w:p>
    <w:p>
      <w:pPr>
        <w:pStyle w:val="BodyText"/>
        <w:spacing w:before="8"/>
        <w:rPr>
          <w:rFonts w:ascii="黑体"/>
          <w:sz w:val="22"/>
        </w:rPr>
      </w:pPr>
    </w:p>
    <w:p>
      <w:pPr>
        <w:tabs>
          <w:tab w:pos="1120" w:val="left" w:leader="none"/>
        </w:tabs>
        <w:spacing w:before="100"/>
        <w:ind w:left="26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rPr>
          <w:b/>
          <w:sz w:val="6"/>
        </w:rPr>
      </w:pPr>
      <w:r>
        <w:rPr/>
        <w:drawing>
          <wp:anchor distT="0" distB="0" distL="0" distR="0" allowOverlap="1" layoutInCell="1" locked="0" behindDoc="0" simplePos="0" relativeHeight="5">
            <wp:simplePos x="0" y="0"/>
            <wp:positionH relativeFrom="page">
              <wp:posOffset>647700</wp:posOffset>
            </wp:positionH>
            <wp:positionV relativeFrom="paragraph">
              <wp:posOffset>64552</wp:posOffset>
            </wp:positionV>
            <wp:extent cx="6387516" cy="12287"/>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387516" cy="12287"/>
                    </a:xfrm>
                    <a:prstGeom prst="rect">
                      <a:avLst/>
                    </a:prstGeom>
                  </pic:spPr>
                </pic:pic>
              </a:graphicData>
            </a:graphic>
          </wp:anchor>
        </w:drawing>
      </w:r>
    </w:p>
    <w:p>
      <w:pPr>
        <w:pStyle w:val="ListParagraph"/>
        <w:numPr>
          <w:ilvl w:val="1"/>
          <w:numId w:val="9"/>
        </w:numPr>
        <w:tabs>
          <w:tab w:pos="1120" w:val="left" w:leader="none"/>
          <w:tab w:pos="1121" w:val="left" w:leader="none"/>
          <w:tab w:pos="2808" w:val="left" w:leader="none"/>
        </w:tabs>
        <w:spacing w:line="278" w:lineRule="auto" w:before="231" w:after="0"/>
        <w:ind w:left="2808" w:right="677" w:hanging="2541"/>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本合同保险费的支付</w:t>
      </w:r>
      <w:r>
        <w:rPr>
          <w:spacing w:val="-2"/>
          <w:sz w:val="21"/>
        </w:rPr>
        <w:t>方</w:t>
      </w:r>
      <w:r>
        <w:rPr>
          <w:spacing w:val="-2"/>
          <w:sz w:val="21"/>
        </w:rPr>
        <w:t>式</w:t>
      </w:r>
      <w:r>
        <w:rPr>
          <w:spacing w:val="-2"/>
          <w:sz w:val="21"/>
        </w:rPr>
        <w:t>为一次支付全部保险</w:t>
      </w:r>
      <w:r>
        <w:rPr>
          <w:spacing w:val="-2"/>
          <w:sz w:val="21"/>
        </w:rPr>
        <w:t>费</w:t>
      </w:r>
      <w:r>
        <w:rPr>
          <w:spacing w:val="-2"/>
          <w:sz w:val="21"/>
        </w:rPr>
        <w:t>或</w:t>
      </w:r>
      <w:r>
        <w:rPr>
          <w:spacing w:val="-2"/>
          <w:sz w:val="21"/>
        </w:rPr>
        <w:t>分期支付保险费。分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费的，交费期间为五</w:t>
      </w:r>
      <w:r>
        <w:rPr>
          <w:spacing w:val="-2"/>
          <w:sz w:val="21"/>
        </w:rPr>
        <w:t>年</w:t>
      </w:r>
      <w:r>
        <w:rPr>
          <w:spacing w:val="-2"/>
          <w:sz w:val="21"/>
        </w:rPr>
        <w:t>、</w:t>
      </w:r>
      <w:r>
        <w:rPr>
          <w:spacing w:val="-2"/>
          <w:sz w:val="21"/>
        </w:rPr>
        <w:t>十年、十五年、二十</w:t>
      </w:r>
      <w:r>
        <w:rPr>
          <w:spacing w:val="-2"/>
          <w:sz w:val="21"/>
        </w:rPr>
        <w:t>年</w:t>
      </w:r>
      <w:r>
        <w:rPr>
          <w:spacing w:val="-2"/>
          <w:sz w:val="21"/>
        </w:rPr>
        <w:t>或</w:t>
      </w:r>
      <w:r>
        <w:rPr>
          <w:spacing w:val="-2"/>
          <w:sz w:val="21"/>
        </w:rPr>
        <w:t>三十年。</w:t>
      </w:r>
    </w:p>
    <w:p>
      <w:pPr>
        <w:pStyle w:val="BodyText"/>
        <w:spacing w:before="94"/>
        <w:ind w:left="2808"/>
      </w:pPr>
      <w:r>
        <w:rPr>
          <w:spacing w:val="-3"/>
        </w:rPr>
        <w:t>本合同的交费期间由您和我们约定，并载明于保险单上。</w:t>
      </w:r>
    </w:p>
    <w:p>
      <w:pPr>
        <w:pStyle w:val="BodyText"/>
        <w:spacing w:line="278" w:lineRule="auto" w:before="134"/>
        <w:ind w:left="2808" w:right="675"/>
      </w:pPr>
      <w:r>
        <w:rPr>
          <w:spacing w:val="-2"/>
        </w:rPr>
        <w:t>分期支付保险费的，在支付首期保险费后，您应当按照本合同约定，在每个保</w:t>
      </w:r>
      <w:r>
        <w:rPr>
          <w:spacing w:val="-2"/>
        </w:rPr>
        <w:t>险费约定支付日支付其余各期保险费。</w:t>
      </w:r>
    </w:p>
    <w:p>
      <w:pPr>
        <w:pStyle w:val="BodyText"/>
        <w:rPr>
          <w:sz w:val="20"/>
        </w:rPr>
      </w:pPr>
    </w:p>
    <w:p>
      <w:pPr>
        <w:pStyle w:val="ListParagraph"/>
        <w:numPr>
          <w:ilvl w:val="1"/>
          <w:numId w:val="9"/>
        </w:numPr>
        <w:tabs>
          <w:tab w:pos="1121" w:val="left" w:leader="none"/>
        </w:tabs>
        <w:spacing w:line="278" w:lineRule="auto" w:before="149" w:after="0"/>
        <w:ind w:left="2808" w:right="673" w:hanging="2541"/>
        <w:jc w:val="both"/>
        <w:rPr>
          <w:sz w:val="21"/>
        </w:rPr>
      </w:pPr>
      <w:r>
        <w:rPr>
          <w:b/>
          <w:sz w:val="21"/>
        </w:rPr>
        <w:t>宽限期</w:t>
      </w:r>
      <w:r>
        <w:rPr>
          <w:b/>
          <w:spacing w:val="80"/>
          <w:w w:val="150"/>
          <w:sz w:val="21"/>
        </w:rPr>
        <w:t>    </w:t>
      </w:r>
      <w:r>
        <w:rPr>
          <w:sz w:val="21"/>
        </w:rPr>
        <w:t>分期支付保险费的，您支付首期保险费后，除本合同另有约定外，若您到期未</w:t>
      </w:r>
      <w:r>
        <w:rPr>
          <w:spacing w:val="-2"/>
          <w:sz w:val="21"/>
        </w:rPr>
        <w:t>支付保险费，自保险费约定支付日的次日零时起六十日为宽限期。宽限期内发</w:t>
      </w:r>
      <w:r>
        <w:rPr>
          <w:spacing w:val="-2"/>
          <w:sz w:val="21"/>
        </w:rPr>
        <w:t>生的保险事故，我们仍会承担保险责任，但在给付保险金时会扣减您欠交的保</w:t>
      </w:r>
      <w:r>
        <w:rPr>
          <w:spacing w:val="-4"/>
          <w:sz w:val="21"/>
        </w:rPr>
        <w:t>险费。</w:t>
      </w:r>
    </w:p>
    <w:p>
      <w:pPr>
        <w:spacing w:line="278" w:lineRule="auto" w:before="93"/>
        <w:ind w:left="2808" w:right="677" w:firstLine="0"/>
        <w:jc w:val="left"/>
        <w:rPr>
          <w:b/>
          <w:sz w:val="21"/>
        </w:rPr>
      </w:pPr>
      <w:r>
        <w:rPr>
          <w:b/>
          <w:spacing w:val="-2"/>
          <w:sz w:val="21"/>
        </w:rPr>
        <w:t>您在宽限期届满后仍未支付保险费的，本合同自宽限期届满的次日零时起效力</w:t>
      </w:r>
      <w:r>
        <w:rPr>
          <w:b/>
          <w:spacing w:val="-4"/>
          <w:sz w:val="21"/>
        </w:rPr>
        <w:t>中止。</w:t>
      </w:r>
    </w:p>
    <w:p>
      <w:pPr>
        <w:pStyle w:val="BodyText"/>
        <w:rPr>
          <w:b/>
          <w:sz w:val="20"/>
        </w:rPr>
      </w:pPr>
    </w:p>
    <w:p>
      <w:pPr>
        <w:pStyle w:val="BodyText"/>
        <w:spacing w:before="10"/>
        <w:rPr>
          <w:b/>
          <w:sz w:val="17"/>
        </w:rPr>
      </w:pPr>
    </w:p>
    <w:p>
      <w:pPr>
        <w:pStyle w:val="Heading1"/>
        <w:tabs>
          <w:tab w:pos="1120"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rPr>
          <w:b/>
          <w:sz w:val="6"/>
        </w:rPr>
      </w:pPr>
      <w:r>
        <w:rPr/>
        <w:drawing>
          <wp:anchor distT="0" distB="0" distL="0" distR="0" allowOverlap="1" layoutInCell="1" locked="0" behindDoc="0" simplePos="0" relativeHeight="6">
            <wp:simplePos x="0" y="0"/>
            <wp:positionH relativeFrom="page">
              <wp:posOffset>647700</wp:posOffset>
            </wp:positionH>
            <wp:positionV relativeFrom="paragraph">
              <wp:posOffset>64179</wp:posOffset>
            </wp:positionV>
            <wp:extent cx="6387317" cy="12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387317" cy="12287"/>
                    </a:xfrm>
                    <a:prstGeom prst="rect">
                      <a:avLst/>
                    </a:prstGeom>
                  </pic:spPr>
                </pic:pic>
              </a:graphicData>
            </a:graphic>
          </wp:anchor>
        </w:drawing>
      </w:r>
    </w:p>
    <w:p>
      <w:pPr>
        <w:pStyle w:val="BodyText"/>
        <w:spacing w:before="3"/>
        <w:rPr>
          <w:b/>
          <w:sz w:val="12"/>
        </w:rPr>
      </w:pPr>
    </w:p>
    <w:p>
      <w:pPr>
        <w:spacing w:after="0"/>
        <w:rPr>
          <w:sz w:val="12"/>
        </w:rPr>
        <w:sectPr>
          <w:type w:val="continuous"/>
          <w:pgSz w:w="11910" w:h="16840"/>
          <w:pgMar w:header="0" w:footer="404" w:top="600" w:bottom="280" w:left="860" w:right="340"/>
        </w:sectPr>
      </w:pPr>
    </w:p>
    <w:p>
      <w:pPr>
        <w:pStyle w:val="ListParagraph"/>
        <w:numPr>
          <w:ilvl w:val="1"/>
          <w:numId w:val="10"/>
        </w:numPr>
        <w:tabs>
          <w:tab w:pos="1120" w:val="left" w:leader="none"/>
          <w:tab w:pos="1121" w:val="left" w:leader="none"/>
        </w:tabs>
        <w:spacing w:line="278" w:lineRule="auto" w:before="72" w:after="0"/>
        <w:ind w:left="1120" w:right="38" w:hanging="853"/>
        <w:jc w:val="left"/>
        <w:rPr>
          <w:b/>
          <w:sz w:val="21"/>
        </w:rPr>
      </w:pPr>
      <w:r>
        <w:rPr>
          <w:b/>
          <w:spacing w:val="-2"/>
          <w:sz w:val="21"/>
        </w:rPr>
        <w:t>合同效力的中</w:t>
      </w:r>
      <w:r>
        <w:rPr>
          <w:b/>
          <w:spacing w:val="-10"/>
          <w:sz w:val="21"/>
        </w:rPr>
        <w:t>止</w:t>
      </w:r>
    </w:p>
    <w:p>
      <w:pPr>
        <w:pStyle w:val="Heading2"/>
        <w:spacing w:before="72"/>
        <w:ind w:left="268"/>
      </w:pPr>
      <w:bookmarkStart w:name="_TOC_250000" w:id="1"/>
      <w:r>
        <w:rPr>
          <w:b w:val="0"/>
        </w:rPr>
        <w:br w:type="column"/>
      </w:r>
      <w:bookmarkEnd w:id="1"/>
      <w:r>
        <w:rPr>
          <w:spacing w:val="-3"/>
        </w:rPr>
        <w:t>在本合同效力中止期间，我们不承担保险责任。</w:t>
      </w:r>
    </w:p>
    <w:p>
      <w:pPr>
        <w:spacing w:after="0"/>
        <w:sectPr>
          <w:type w:val="continuous"/>
          <w:pgSz w:w="11910" w:h="16840"/>
          <w:pgMar w:header="0" w:footer="404" w:top="600" w:bottom="280" w:left="860" w:right="340"/>
          <w:cols w:num="2" w:equalWidth="0">
            <w:col w:w="2428" w:space="112"/>
            <w:col w:w="8170"/>
          </w:cols>
        </w:sectPr>
      </w:pPr>
    </w:p>
    <w:p>
      <w:pPr>
        <w:pStyle w:val="BodyText"/>
        <w:spacing w:before="9"/>
        <w:rPr>
          <w:b/>
          <w:sz w:val="18"/>
        </w:rPr>
      </w:pPr>
    </w:p>
    <w:p>
      <w:pPr>
        <w:spacing w:after="0"/>
        <w:rPr>
          <w:sz w:val="18"/>
        </w:rPr>
        <w:sectPr>
          <w:type w:val="continuous"/>
          <w:pgSz w:w="11910" w:h="16840"/>
          <w:pgMar w:header="0" w:footer="404" w:top="600" w:bottom="280" w:left="860" w:right="340"/>
        </w:sectPr>
      </w:pPr>
    </w:p>
    <w:p>
      <w:pPr>
        <w:pStyle w:val="ListParagraph"/>
        <w:numPr>
          <w:ilvl w:val="1"/>
          <w:numId w:val="10"/>
        </w:numPr>
        <w:tabs>
          <w:tab w:pos="1120" w:val="left" w:leader="none"/>
          <w:tab w:pos="1121" w:val="left" w:leader="none"/>
        </w:tabs>
        <w:spacing w:line="278" w:lineRule="auto" w:before="72" w:after="0"/>
        <w:ind w:left="1120" w:right="38" w:hanging="853"/>
        <w:jc w:val="left"/>
        <w:rPr>
          <w:b/>
          <w:sz w:val="21"/>
        </w:rPr>
      </w:pPr>
      <w:r>
        <w:rPr>
          <w:b/>
          <w:spacing w:val="-2"/>
          <w:sz w:val="21"/>
        </w:rPr>
        <w:t>合同效力的恢</w:t>
      </w:r>
      <w:r>
        <w:rPr>
          <w:b/>
          <w:spacing w:val="-10"/>
          <w:sz w:val="21"/>
        </w:rPr>
        <w:t>复</w:t>
      </w:r>
    </w:p>
    <w:p>
      <w:pPr>
        <w:pStyle w:val="BodyText"/>
        <w:spacing w:line="278" w:lineRule="auto" w:before="72"/>
        <w:ind w:left="268" w:right="677"/>
      </w:pPr>
      <w:r>
        <w:rPr/>
        <w:br w:type="column"/>
      </w:r>
      <w:r>
        <w:rPr>
          <w:spacing w:val="-2"/>
        </w:rPr>
        <w:t>自本合同效力中止之日起二年内，您可以申请恢复合同效力。经我们与您协商</w:t>
      </w:r>
      <w:r>
        <w:rPr>
          <w:spacing w:val="-1"/>
        </w:rPr>
        <w:t>并达成协议，在您补交所欠的保险费及利息、保单质押贷款本金及利息的次日</w:t>
      </w:r>
    </w:p>
    <w:p>
      <w:pPr>
        <w:spacing w:after="0" w:line="278" w:lineRule="auto"/>
        <w:sectPr>
          <w:type w:val="continuous"/>
          <w:pgSz w:w="11910" w:h="16840"/>
          <w:pgMar w:header="0" w:footer="404" w:top="600" w:bottom="280" w:left="860" w:right="340"/>
          <w:cols w:num="2" w:equalWidth="0">
            <w:col w:w="2428" w:space="112"/>
            <w:col w:w="8170"/>
          </w:cols>
        </w:sectPr>
      </w:pPr>
    </w:p>
    <w:p>
      <w:pPr>
        <w:spacing w:line="268" w:lineRule="auto" w:before="57"/>
        <w:ind w:left="2808" w:right="677" w:firstLine="0"/>
        <w:jc w:val="left"/>
        <w:rPr>
          <w:sz w:val="21"/>
        </w:rPr>
      </w:pPr>
      <w:r>
        <w:rPr>
          <w:spacing w:val="-2"/>
          <w:sz w:val="21"/>
        </w:rPr>
        <w:t>零时起，本合同效力恢复。计算上述补交保险费利息的利率按您申请恢复合同</w:t>
      </w:r>
      <w:r>
        <w:rPr>
          <w:sz w:val="21"/>
        </w:rPr>
        <w:t>效力时我们最近一次已宣布的</w:t>
      </w:r>
      <w:r>
        <w:rPr>
          <w:b/>
          <w:spacing w:val="-4"/>
          <w:sz w:val="21"/>
        </w:rPr>
        <w:t>本合同约定利率 </w:t>
      </w:r>
      <w:r>
        <w:rPr>
          <w:position w:val="11"/>
          <w:sz w:val="11"/>
        </w:rPr>
        <w:t>11.21</w:t>
      </w:r>
      <w:r>
        <w:rPr>
          <w:spacing w:val="-20"/>
          <w:position w:val="11"/>
          <w:sz w:val="11"/>
        </w:rPr>
        <w:t> </w:t>
      </w:r>
      <w:r>
        <w:rPr>
          <w:sz w:val="21"/>
        </w:rPr>
        <w:t>为上限确定。</w:t>
      </w:r>
    </w:p>
    <w:p>
      <w:pPr>
        <w:pStyle w:val="Heading2"/>
        <w:spacing w:line="278" w:lineRule="auto" w:before="105"/>
        <w:ind w:left="2808" w:right="677"/>
      </w:pPr>
      <w:r>
        <w:rPr>
          <w:spacing w:val="-2"/>
        </w:rPr>
        <w:t>自本合同效力中止之日起满二年您和我们未达成协议的，我们有权解除合同。</w:t>
      </w:r>
      <w:r>
        <w:rPr>
          <w:spacing w:val="-2"/>
        </w:rPr>
        <w:t>我们解除合同的，向您退还合同效力中止时本合同现金价值。</w:t>
      </w:r>
    </w:p>
    <w:p>
      <w:pPr>
        <w:pStyle w:val="BodyText"/>
        <w:spacing w:before="11"/>
        <w:rPr>
          <w:b/>
          <w:sz w:val="23"/>
        </w:rPr>
      </w:pPr>
    </w:p>
    <w:p>
      <w:pPr>
        <w:tabs>
          <w:tab w:pos="1120" w:val="left" w:leader="none"/>
        </w:tabs>
        <w:spacing w:before="1"/>
        <w:ind w:left="26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现金价</w:t>
      </w:r>
      <w:r>
        <w:rPr>
          <w:b/>
          <w:w w:val="95"/>
          <w:sz w:val="24"/>
        </w:rPr>
        <w:t>值</w:t>
      </w:r>
      <w:r>
        <w:rPr>
          <w:b/>
          <w:w w:val="95"/>
          <w:sz w:val="24"/>
        </w:rPr>
        <w:t>权</w:t>
      </w:r>
      <w:r>
        <w:rPr>
          <w:b/>
          <w:spacing w:val="-10"/>
          <w:w w:val="95"/>
          <w:sz w:val="24"/>
        </w:rPr>
        <w:t>益</w:t>
      </w:r>
    </w:p>
    <w:p>
      <w:pPr>
        <w:pStyle w:val="BodyText"/>
        <w:rPr>
          <w:b/>
          <w:sz w:val="6"/>
        </w:rPr>
      </w:pPr>
      <w:r>
        <w:rPr/>
        <w:drawing>
          <wp:anchor distT="0" distB="0" distL="0" distR="0" allowOverlap="1" layoutInCell="1" locked="0" behindDoc="0" simplePos="0" relativeHeight="7">
            <wp:simplePos x="0" y="0"/>
            <wp:positionH relativeFrom="page">
              <wp:posOffset>647700</wp:posOffset>
            </wp:positionH>
            <wp:positionV relativeFrom="paragraph">
              <wp:posOffset>64203</wp:posOffset>
            </wp:positionV>
            <wp:extent cx="6387511" cy="12287"/>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387511" cy="12287"/>
                    </a:xfrm>
                    <a:prstGeom prst="rect">
                      <a:avLst/>
                    </a:prstGeom>
                  </pic:spPr>
                </pic:pic>
              </a:graphicData>
            </a:graphic>
          </wp:anchor>
        </w:drawing>
      </w:r>
    </w:p>
    <w:p>
      <w:pPr>
        <w:pStyle w:val="BodyText"/>
        <w:spacing w:before="3"/>
        <w:rPr>
          <w:b/>
          <w:sz w:val="12"/>
        </w:rPr>
      </w:pPr>
    </w:p>
    <w:p>
      <w:pPr>
        <w:pStyle w:val="ListParagraph"/>
        <w:numPr>
          <w:ilvl w:val="1"/>
          <w:numId w:val="11"/>
        </w:numPr>
        <w:tabs>
          <w:tab w:pos="1121" w:val="left" w:leader="none"/>
        </w:tabs>
        <w:spacing w:line="278" w:lineRule="auto" w:before="72" w:after="0"/>
        <w:ind w:left="3000" w:right="667" w:hanging="2733"/>
        <w:jc w:val="both"/>
        <w:rPr>
          <w:sz w:val="21"/>
        </w:rPr>
      </w:pPr>
      <w:r>
        <w:rPr>
          <w:b/>
          <w:spacing w:val="72"/>
          <w:sz w:val="21"/>
        </w:rPr>
        <w:t>保单质押贷款 </w:t>
      </w:r>
      <w:r>
        <w:rPr>
          <w:sz w:val="21"/>
        </w:rPr>
        <w:t>在本合同有效期内且犹豫期满后，您可以申请并经我们审核同意后办理保单</w:t>
      </w:r>
      <w:r>
        <w:rPr>
          <w:spacing w:val="-2"/>
          <w:sz w:val="21"/>
        </w:rPr>
        <w:t>质押贷款。若本合同包含以身故为给付保险金条件的保险责任，您申请保单</w:t>
      </w:r>
      <w:r>
        <w:rPr>
          <w:spacing w:val="-2"/>
          <w:sz w:val="21"/>
        </w:rPr>
        <w:t>质押贷款应事先经被保险人书面同意。</w:t>
      </w:r>
    </w:p>
    <w:p>
      <w:pPr>
        <w:spacing w:line="278" w:lineRule="auto" w:before="93"/>
        <w:ind w:left="3000" w:right="666" w:firstLine="0"/>
        <w:jc w:val="both"/>
        <w:rPr>
          <w:sz w:val="21"/>
        </w:rPr>
      </w:pPr>
      <w:r>
        <w:rPr>
          <w:b/>
          <w:spacing w:val="-2"/>
          <w:sz w:val="21"/>
        </w:rPr>
        <w:t>保单质押贷款最高金额不得超过本合同当时的现金价值扣除各项欠款、贷款</w:t>
      </w:r>
      <w:r>
        <w:rPr>
          <w:b/>
          <w:spacing w:val="-2"/>
          <w:sz w:val="21"/>
        </w:rPr>
        <w:t>本金及利息后余额的百分之八十，且每次贷款期限不超过六个月。</w:t>
      </w:r>
      <w:r>
        <w:rPr>
          <w:spacing w:val="-2"/>
          <w:sz w:val="21"/>
        </w:rPr>
        <w:t>贷款利率</w:t>
      </w:r>
      <w:r>
        <w:rPr>
          <w:spacing w:val="-2"/>
          <w:sz w:val="21"/>
        </w:rPr>
        <w:t>按本合同约定利率计算，由我们参照同期全国银行间同业拆借中心公布的贷</w:t>
      </w:r>
      <w:r>
        <w:rPr>
          <w:spacing w:val="-2"/>
          <w:sz w:val="21"/>
        </w:rPr>
        <w:t>款市场报价利率确定并宣布，宣布时间为每年的一月一日和七月一日。在贷</w:t>
      </w:r>
      <w:r>
        <w:rPr>
          <w:spacing w:val="-2"/>
          <w:sz w:val="21"/>
        </w:rPr>
        <w:t>款期限内，利息按贷款期限开始之日时我们最近一次已宣布的本合同约定利</w:t>
      </w:r>
      <w:r>
        <w:rPr>
          <w:spacing w:val="-4"/>
          <w:sz w:val="21"/>
        </w:rPr>
        <w:t>率计算。</w:t>
      </w:r>
    </w:p>
    <w:p>
      <w:pPr>
        <w:pStyle w:val="BodyText"/>
        <w:spacing w:line="278" w:lineRule="auto" w:before="94"/>
        <w:ind w:left="3000" w:right="560"/>
      </w:pPr>
      <w:r>
        <w:rPr>
          <w:w w:val="100"/>
        </w:rPr>
        <w:t>您可以随时偿还全部或部分贷款本金及利息，但最迟应在贷款期限届满日偿还。未能按期偿还的，利息将于贷款期限届满之次日并入贷款本金金额中，</w:t>
      </w:r>
      <w:r>
        <w:rPr>
          <w:spacing w:val="-3"/>
          <w:w w:val="100"/>
        </w:rPr>
        <w:t>视同为重新保单质押贷款，并以原贷款期限作为新的贷款期限重新开始计息。</w:t>
      </w:r>
      <w:r>
        <w:rPr>
          <w:w w:val="100"/>
        </w:rPr>
        <w:t>在新的贷款期限内，贷款利息按原贷款期限届满之次日我们最近一次已宣布的本合同约定利率计算。若贷款本金及利息在新的贷款期限届满日仍未偿还</w:t>
      </w:r>
      <w:r>
        <w:rPr>
          <w:spacing w:val="-3"/>
          <w:w w:val="100"/>
        </w:rPr>
        <w:t>的，贷款本金、贷款期限和利率将按上述方法重新确定。</w:t>
      </w:r>
    </w:p>
    <w:p>
      <w:pPr>
        <w:spacing w:line="278" w:lineRule="auto" w:before="93"/>
        <w:ind w:left="3000" w:right="666" w:firstLine="0"/>
        <w:jc w:val="both"/>
        <w:rPr>
          <w:sz w:val="21"/>
        </w:rPr>
      </w:pPr>
      <w:r>
        <w:rPr>
          <w:b/>
          <w:spacing w:val="-2"/>
          <w:sz w:val="21"/>
        </w:rPr>
        <w:t>当贷款本金及利息加上其他各项欠款及利息达到本合同的现金价值时，本合</w:t>
      </w:r>
      <w:r>
        <w:rPr>
          <w:b/>
          <w:sz w:val="21"/>
        </w:rPr>
        <w:t>同效力中止。</w:t>
      </w:r>
      <w:r>
        <w:rPr>
          <w:sz w:val="21"/>
        </w:rPr>
        <w:t>本合同效力的中止及恢复适用“4.1</w:t>
      </w:r>
      <w:r>
        <w:rPr>
          <w:spacing w:val="-6"/>
          <w:sz w:val="21"/>
        </w:rPr>
        <w:t> 合同效力的中止”及“</w:t>
      </w:r>
      <w:r>
        <w:rPr>
          <w:sz w:val="21"/>
        </w:rPr>
        <w:t>4.2</w:t>
      </w:r>
      <w:r>
        <w:rPr>
          <w:spacing w:val="-2"/>
          <w:sz w:val="21"/>
        </w:rPr>
        <w:t>合同效力的恢复”的规定。</w:t>
      </w:r>
    </w:p>
    <w:p>
      <w:pPr>
        <w:spacing w:line="278" w:lineRule="auto" w:before="0"/>
        <w:ind w:left="3000" w:right="667" w:firstLine="0"/>
        <w:jc w:val="both"/>
        <w:rPr>
          <w:sz w:val="21"/>
        </w:rPr>
      </w:pPr>
      <w:r>
        <w:rPr>
          <w:b/>
          <w:spacing w:val="-2"/>
          <w:sz w:val="21"/>
        </w:rPr>
        <w:t>我们在给付各项保险金、退还现金价值或保险费时，若您有尚未偿还的贷款</w:t>
      </w:r>
      <w:r>
        <w:rPr>
          <w:b/>
          <w:spacing w:val="-2"/>
          <w:sz w:val="21"/>
        </w:rPr>
        <w:t>本金及利息或其他未还清款项时，我们将先扣除上述欠款及相应利息。</w:t>
      </w:r>
      <w:r>
        <w:rPr>
          <w:spacing w:val="-2"/>
          <w:sz w:val="21"/>
        </w:rPr>
        <w:t>本合</w:t>
      </w:r>
      <w:r>
        <w:rPr>
          <w:sz w:val="21"/>
        </w:rPr>
        <w:t>同未还款项的扣除适用“9.4 未还款项的扣除”的规定。</w:t>
      </w:r>
    </w:p>
    <w:p>
      <w:pPr>
        <w:pStyle w:val="BodyText"/>
        <w:spacing w:before="11"/>
        <w:rPr>
          <w:sz w:val="25"/>
        </w:rPr>
      </w:pPr>
    </w:p>
    <w:p>
      <w:pPr>
        <w:spacing w:after="0"/>
        <w:rPr>
          <w:sz w:val="25"/>
        </w:rPr>
        <w:sectPr>
          <w:pgSz w:w="11910" w:h="16840"/>
          <w:pgMar w:header="0" w:footer="404" w:top="1080" w:bottom="600" w:left="860" w:right="340"/>
        </w:sectPr>
      </w:pPr>
    </w:p>
    <w:p>
      <w:pPr>
        <w:pStyle w:val="Heading2"/>
        <w:numPr>
          <w:ilvl w:val="1"/>
          <w:numId w:val="11"/>
        </w:numPr>
        <w:tabs>
          <w:tab w:pos="1120" w:val="left" w:leader="none"/>
          <w:tab w:pos="1121" w:val="left" w:leader="none"/>
        </w:tabs>
        <w:spacing w:line="278" w:lineRule="auto" w:before="71" w:after="0"/>
        <w:ind w:left="1120" w:right="38" w:hanging="853"/>
        <w:jc w:val="left"/>
      </w:pPr>
      <w:r>
        <w:rPr>
          <w:spacing w:val="-2"/>
        </w:rPr>
        <w:t>保险费的自动垫</w:t>
      </w:r>
      <w:r>
        <w:rPr>
          <w:spacing w:val="-10"/>
        </w:rPr>
        <w:t>交</w:t>
      </w:r>
    </w:p>
    <w:p>
      <w:pPr>
        <w:pStyle w:val="BodyText"/>
        <w:spacing w:line="278" w:lineRule="auto" w:before="71"/>
        <w:ind w:left="268" w:right="667"/>
        <w:jc w:val="both"/>
      </w:pPr>
      <w:r>
        <w:rPr/>
        <w:br w:type="column"/>
      </w:r>
      <w:r>
        <w:rPr>
          <w:spacing w:val="-2"/>
        </w:rPr>
        <w:t>您在投保时选择保险费自动垫交方式的，分期支付的保险费若超过宽限期仍</w:t>
      </w:r>
      <w:r>
        <w:rPr>
          <w:spacing w:val="-2"/>
        </w:rPr>
        <w:t>未支付，如本合同在宽限期开始前一日的现金价值扣除各项欠款及利息后的</w:t>
      </w:r>
      <w:r>
        <w:rPr>
          <w:spacing w:val="-2"/>
        </w:rPr>
        <w:t>余额足以垫付到期应付保险费，我们将为您自动垫交到期应付保险费，本合</w:t>
      </w:r>
      <w:r>
        <w:rPr>
          <w:spacing w:val="-2"/>
        </w:rPr>
        <w:t>同继续有效，所垫交的保险费视同保单质押贷款，并按本合同约定利率计算</w:t>
      </w:r>
      <w:r>
        <w:rPr>
          <w:spacing w:val="-2"/>
        </w:rPr>
        <w:t>利息；不足以垫交到期应付保险费的，不进行保险费的自动垫交。</w:t>
      </w:r>
    </w:p>
    <w:p>
      <w:pPr>
        <w:spacing w:line="278" w:lineRule="auto" w:before="62"/>
        <w:ind w:left="268" w:right="666" w:firstLine="0"/>
        <w:jc w:val="both"/>
        <w:rPr>
          <w:sz w:val="21"/>
        </w:rPr>
      </w:pPr>
      <w:r>
        <w:rPr>
          <w:b/>
          <w:spacing w:val="-2"/>
          <w:sz w:val="21"/>
        </w:rPr>
        <w:t>当所垫交的保险费及利息加上其他各项欠款及利息达到本合同现金价值时，</w:t>
      </w:r>
      <w:r>
        <w:rPr>
          <w:b/>
          <w:spacing w:val="-14"/>
          <w:sz w:val="21"/>
        </w:rPr>
        <w:t>本合同效力中止。</w:t>
      </w:r>
      <w:r>
        <w:rPr>
          <w:spacing w:val="-10"/>
          <w:sz w:val="21"/>
        </w:rPr>
        <w:t>本合同效力的中止及恢复适用“</w:t>
      </w:r>
      <w:r>
        <w:rPr>
          <w:spacing w:val="-2"/>
          <w:sz w:val="21"/>
        </w:rPr>
        <w:t>4.1</w:t>
      </w:r>
      <w:r>
        <w:rPr>
          <w:spacing w:val="-22"/>
          <w:sz w:val="21"/>
        </w:rPr>
        <w:t> 合同效力的中止”及“</w:t>
      </w:r>
      <w:r>
        <w:rPr>
          <w:spacing w:val="-2"/>
          <w:sz w:val="21"/>
        </w:rPr>
        <w:t>4.2</w:t>
      </w:r>
      <w:r>
        <w:rPr>
          <w:spacing w:val="-2"/>
          <w:sz w:val="21"/>
        </w:rPr>
        <w:t>合同效力的恢复”的规定。</w:t>
      </w:r>
    </w:p>
    <w:p>
      <w:pPr>
        <w:pStyle w:val="BodyText"/>
        <w:spacing w:line="278" w:lineRule="auto" w:before="63"/>
        <w:ind w:left="268" w:right="667"/>
      </w:pPr>
      <w:r>
        <w:rPr>
          <w:spacing w:val="-2"/>
        </w:rPr>
        <w:t>您在保险费自动垫交开始后申请结束保险费的自动垫交的，须补交所垫交的</w:t>
      </w:r>
      <w:r>
        <w:rPr>
          <w:spacing w:val="-2"/>
        </w:rPr>
        <w:t>保险费及利息。</w:t>
      </w:r>
    </w:p>
    <w:p>
      <w:pPr>
        <w:pStyle w:val="BodyText"/>
        <w:spacing w:line="278" w:lineRule="auto" w:before="62"/>
        <w:ind w:left="268" w:right="670"/>
      </w:pPr>
      <w:r>
        <w:rPr>
          <w:spacing w:val="-2"/>
        </w:rPr>
        <w:t>若本合同有附加保险合同，除附加合同另有约定以外，则保险费的自动垫交</w:t>
      </w:r>
      <w:r>
        <w:rPr>
          <w:spacing w:val="-2"/>
        </w:rPr>
        <w:t>也包括附加保险合同的到期应付保险费。</w:t>
      </w:r>
    </w:p>
    <w:p>
      <w:pPr>
        <w:spacing w:after="0" w:line="278" w:lineRule="auto"/>
        <w:sectPr>
          <w:type w:val="continuous"/>
          <w:pgSz w:w="11910" w:h="16840"/>
          <w:pgMar w:header="0" w:footer="404" w:top="600" w:bottom="280" w:left="860" w:right="340"/>
          <w:cols w:num="2" w:equalWidth="0">
            <w:col w:w="2639" w:space="93"/>
            <w:col w:w="7978"/>
          </w:cols>
        </w:sectPr>
      </w:pPr>
    </w:p>
    <w:p>
      <w:pPr>
        <w:pStyle w:val="BodyText"/>
        <w:spacing w:before="9"/>
        <w:rPr>
          <w:sz w:val="18"/>
        </w:rPr>
      </w:pPr>
    </w:p>
    <w:p>
      <w:pPr>
        <w:pStyle w:val="Heading1"/>
        <w:tabs>
          <w:tab w:pos="1120" w:val="left" w:leader="none"/>
        </w:tabs>
        <w:spacing w:before="10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spacing w:before="3"/>
        <w:rPr>
          <w:b/>
          <w:sz w:val="6"/>
        </w:rPr>
      </w:pPr>
      <w:r>
        <w:rPr/>
        <w:drawing>
          <wp:anchor distT="0" distB="0" distL="0" distR="0" allowOverlap="1" layoutInCell="1" locked="0" behindDoc="0" simplePos="0" relativeHeight="8">
            <wp:simplePos x="0" y="0"/>
            <wp:positionH relativeFrom="page">
              <wp:posOffset>638555</wp:posOffset>
            </wp:positionH>
            <wp:positionV relativeFrom="paragraph">
              <wp:posOffset>65970</wp:posOffset>
            </wp:positionV>
            <wp:extent cx="6247825" cy="12001"/>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247825" cy="12001"/>
                    </a:xfrm>
                    <a:prstGeom prst="rect">
                      <a:avLst/>
                    </a:prstGeom>
                  </pic:spPr>
                </pic:pic>
              </a:graphicData>
            </a:graphic>
          </wp:anchor>
        </w:drawing>
      </w:r>
    </w:p>
    <w:p>
      <w:pPr>
        <w:spacing w:after="0"/>
        <w:rPr>
          <w:sz w:val="6"/>
        </w:rPr>
        <w:sectPr>
          <w:type w:val="continuous"/>
          <w:pgSz w:w="11910" w:h="16840"/>
          <w:pgMar w:header="0" w:footer="404" w:top="600" w:bottom="280" w:left="860" w:right="340"/>
        </w:sectPr>
      </w:pPr>
    </w:p>
    <w:p>
      <w:pPr>
        <w:pStyle w:val="BodyText"/>
        <w:spacing w:line="20" w:lineRule="exact"/>
        <w:ind w:left="160"/>
        <w:rPr>
          <w:sz w:val="2"/>
        </w:rPr>
      </w:pPr>
      <w:r>
        <w:rPr>
          <w:sz w:val="2"/>
        </w:rPr>
        <w:drawing>
          <wp:inline distT="0" distB="0" distL="0" distR="0">
            <wp:extent cx="6291458" cy="8572"/>
            <wp:effectExtent l="0" t="0" r="0" b="0"/>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6291458" cy="8572"/>
                    </a:xfrm>
                    <a:prstGeom prst="rect">
                      <a:avLst/>
                    </a:prstGeom>
                  </pic:spPr>
                </pic:pic>
              </a:graphicData>
            </a:graphic>
          </wp:inline>
        </w:drawing>
      </w:r>
      <w:r>
        <w:rPr>
          <w:sz w:val="2"/>
        </w:rPr>
      </w:r>
    </w:p>
    <w:p>
      <w:pPr>
        <w:pStyle w:val="BodyText"/>
        <w:spacing w:before="12"/>
        <w:rPr>
          <w:b/>
          <w:sz w:val="11"/>
        </w:rPr>
      </w:pPr>
    </w:p>
    <w:p>
      <w:pPr>
        <w:pStyle w:val="ListParagraph"/>
        <w:numPr>
          <w:ilvl w:val="1"/>
          <w:numId w:val="12"/>
        </w:numPr>
        <w:tabs>
          <w:tab w:pos="1121" w:val="left" w:leader="none"/>
        </w:tabs>
        <w:spacing w:line="240" w:lineRule="auto" w:before="72" w:after="0"/>
        <w:ind w:left="1120" w:right="0" w:hanging="854"/>
        <w:jc w:val="both"/>
        <w:rPr>
          <w:sz w:val="21"/>
        </w:rPr>
      </w:pPr>
      <w:r>
        <w:rPr>
          <w:b/>
          <w:sz w:val="21"/>
        </w:rPr>
        <w:t>明确说明</w:t>
      </w:r>
      <w:r>
        <w:rPr>
          <w:b/>
          <w:spacing w:val="901"/>
          <w:sz w:val="21"/>
        </w:rPr>
        <w:t> </w:t>
      </w:r>
      <w:r>
        <w:rPr>
          <w:spacing w:val="-1"/>
          <w:sz w:val="21"/>
        </w:rPr>
        <w:t>订立本合同时，我们将向您说明本合同的内容。</w:t>
      </w:r>
    </w:p>
    <w:p>
      <w:pPr>
        <w:pStyle w:val="BodyText"/>
        <w:spacing w:line="278" w:lineRule="auto" w:before="137"/>
        <w:ind w:left="3000" w:right="670"/>
        <w:jc w:val="both"/>
      </w:pPr>
      <w:r>
        <w:rPr>
          <w:spacing w:val="-2"/>
        </w:rPr>
        <w:t>对保险条款中免除我们责任的条款，我们在订立合同时将在投保单、保险单</w:t>
      </w:r>
      <w:r>
        <w:rPr>
          <w:spacing w:val="-2"/>
        </w:rPr>
        <w:t>或者其他保险凭证上作出足以引起您注意的提示，并对该条款的内容以书面</w:t>
      </w:r>
      <w:r>
        <w:rPr>
          <w:spacing w:val="-2"/>
        </w:rPr>
        <w:t>或者口头形式向您作出明确说明，未作提示或者明确说明的，该条款不产生</w:t>
      </w:r>
      <w:r>
        <w:rPr>
          <w:spacing w:val="-4"/>
        </w:rPr>
        <w:t>效力。</w:t>
      </w:r>
    </w:p>
    <w:p>
      <w:pPr>
        <w:pStyle w:val="BodyText"/>
        <w:spacing w:before="4"/>
        <w:rPr>
          <w:sz w:val="24"/>
        </w:rPr>
      </w:pPr>
    </w:p>
    <w:p>
      <w:pPr>
        <w:pStyle w:val="ListParagraph"/>
        <w:numPr>
          <w:ilvl w:val="1"/>
          <w:numId w:val="12"/>
        </w:numPr>
        <w:tabs>
          <w:tab w:pos="1120" w:val="left" w:leader="none"/>
          <w:tab w:pos="1121" w:val="left" w:leader="none"/>
          <w:tab w:pos="3000" w:val="left" w:leader="none"/>
        </w:tabs>
        <w:spacing w:line="240" w:lineRule="auto" w:before="0" w:after="0"/>
        <w:ind w:left="1120" w:right="0" w:hanging="854"/>
        <w:jc w:val="left"/>
        <w:rPr>
          <w:sz w:val="21"/>
        </w:rPr>
      </w:pPr>
      <w:r>
        <w:rPr>
          <w:b/>
          <w:sz w:val="21"/>
        </w:rPr>
        <w:t>如实告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6"/>
        <w:ind w:left="3000" w:right="667" w:firstLine="0"/>
        <w:jc w:val="left"/>
        <w:rPr>
          <w:b/>
          <w:sz w:val="21"/>
        </w:rPr>
      </w:pPr>
      <w:r>
        <w:rPr>
          <w:b/>
          <w:spacing w:val="-2"/>
          <w:sz w:val="21"/>
        </w:rPr>
        <w:t>若您故意或者因重大过失未履行前款规定的如实告知义务，足以影响我们决</w:t>
      </w:r>
      <w:r>
        <w:rPr>
          <w:b/>
          <w:spacing w:val="-2"/>
          <w:sz w:val="21"/>
        </w:rPr>
        <w:t>定是否同意承保或提高保险费率的，我们有权解除本合同。</w:t>
      </w:r>
    </w:p>
    <w:p>
      <w:pPr>
        <w:spacing w:line="278" w:lineRule="auto" w:before="91"/>
        <w:ind w:left="3000" w:right="667" w:firstLine="0"/>
        <w:jc w:val="left"/>
        <w:rPr>
          <w:b/>
          <w:sz w:val="21"/>
        </w:rPr>
      </w:pPr>
      <w:r>
        <w:rPr>
          <w:b/>
          <w:spacing w:val="-2"/>
          <w:sz w:val="21"/>
        </w:rPr>
        <w:t>若您故意不履行如实告知义务，对于本合同解除前发生的保险事故，我们不</w:t>
      </w:r>
      <w:r>
        <w:rPr>
          <w:b/>
          <w:spacing w:val="-2"/>
          <w:sz w:val="21"/>
        </w:rPr>
        <w:t>承担给付保险金的责任，并不退还保险费。</w:t>
      </w:r>
    </w:p>
    <w:p>
      <w:pPr>
        <w:spacing w:line="278" w:lineRule="auto" w:before="94"/>
        <w:ind w:left="3000" w:right="667" w:firstLine="0"/>
        <w:jc w:val="both"/>
        <w:rPr>
          <w:b/>
          <w:sz w:val="21"/>
        </w:rPr>
      </w:pPr>
      <w:r>
        <w:rPr>
          <w:b/>
          <w:spacing w:val="-2"/>
          <w:sz w:val="21"/>
        </w:rPr>
        <w:t>若您因重大过失未履行如实告知义务，对保险事故的发生有严重影响的，对</w:t>
      </w:r>
      <w:r>
        <w:rPr>
          <w:b/>
          <w:spacing w:val="-2"/>
          <w:sz w:val="21"/>
        </w:rPr>
        <w:t>于本合同解除前发生的保险事故，我们不承担给付保险金的责任，但退还您</w:t>
      </w:r>
      <w:r>
        <w:rPr>
          <w:b/>
          <w:spacing w:val="-2"/>
          <w:sz w:val="21"/>
        </w:rPr>
        <w:t>所支付的保险费。</w:t>
      </w:r>
    </w:p>
    <w:p>
      <w:pPr>
        <w:pStyle w:val="BodyText"/>
        <w:spacing w:line="278" w:lineRule="auto" w:before="94"/>
        <w:ind w:left="3000" w:right="667"/>
      </w:pPr>
      <w:r>
        <w:rPr>
          <w:spacing w:val="-2"/>
        </w:rPr>
        <w:t>我们在合同订立时已经知道您未如实告知的情况的，我们不得解除合同；发</w:t>
      </w:r>
      <w:r>
        <w:rPr>
          <w:spacing w:val="-2"/>
        </w:rPr>
        <w:t>生保险事故的，我们承担给付保险金的责任。</w:t>
      </w:r>
    </w:p>
    <w:p>
      <w:pPr>
        <w:pStyle w:val="BodyText"/>
        <w:spacing w:before="5"/>
        <w:rPr>
          <w:sz w:val="29"/>
        </w:rPr>
      </w:pPr>
    </w:p>
    <w:p>
      <w:pPr>
        <w:spacing w:after="0"/>
        <w:rPr>
          <w:sz w:val="29"/>
        </w:rPr>
        <w:sectPr>
          <w:pgSz w:w="11910" w:h="16840"/>
          <w:pgMar w:header="0" w:footer="404" w:top="1120" w:bottom="600" w:left="860" w:right="340"/>
        </w:sectPr>
      </w:pPr>
    </w:p>
    <w:p>
      <w:pPr>
        <w:pStyle w:val="Heading2"/>
        <w:numPr>
          <w:ilvl w:val="1"/>
          <w:numId w:val="12"/>
        </w:numPr>
        <w:tabs>
          <w:tab w:pos="1120" w:val="left" w:leader="none"/>
          <w:tab w:pos="1121" w:val="left" w:leader="none"/>
        </w:tabs>
        <w:spacing w:line="278" w:lineRule="auto" w:before="72" w:after="0"/>
        <w:ind w:left="1120" w:right="38" w:hanging="853"/>
        <w:jc w:val="left"/>
      </w:pPr>
      <w:r>
        <w:rPr>
          <w:spacing w:val="-2"/>
        </w:rPr>
        <w:t>本公司合同解除</w:t>
      </w:r>
      <w:r>
        <w:rPr>
          <w:spacing w:val="-4"/>
        </w:rPr>
        <w:t>权的限制</w:t>
      </w:r>
    </w:p>
    <w:p>
      <w:pPr>
        <w:pStyle w:val="BodyText"/>
        <w:spacing w:line="278" w:lineRule="auto" w:before="72"/>
        <w:ind w:left="268" w:right="667"/>
        <w:jc w:val="both"/>
      </w:pPr>
      <w:r>
        <w:rPr/>
        <w:br w:type="column"/>
      </w:r>
      <w:r>
        <w:rPr/>
        <w:t>本合同“6.2 如实告知”规定的本公司合同解除权，自我们知道有解除事由</w:t>
      </w:r>
      <w:r>
        <w:rPr>
          <w:spacing w:val="-2"/>
        </w:rPr>
        <w:t>之日起，超过三十日不行使而消灭。自本合同成立日起超过二年的，我们不</w:t>
      </w:r>
      <w:r>
        <w:rPr>
          <w:spacing w:val="-2"/>
        </w:rPr>
        <w:t>得解除合同；发生保险事故的，我们承担给付保险金的责任。</w:t>
      </w:r>
    </w:p>
    <w:p>
      <w:pPr>
        <w:spacing w:after="0" w:line="278" w:lineRule="auto"/>
        <w:jc w:val="both"/>
        <w:sectPr>
          <w:type w:val="continuous"/>
          <w:pgSz w:w="11910" w:h="16840"/>
          <w:pgMar w:header="0" w:footer="404" w:top="600" w:bottom="280" w:left="860" w:right="340"/>
          <w:cols w:num="2" w:equalWidth="0">
            <w:col w:w="2639" w:space="93"/>
            <w:col w:w="7978"/>
          </w:cols>
        </w:sectPr>
      </w:pPr>
    </w:p>
    <w:p>
      <w:pPr>
        <w:pStyle w:val="BodyText"/>
        <w:spacing w:before="8"/>
        <w:rPr>
          <w:sz w:val="22"/>
        </w:rPr>
      </w:pPr>
    </w:p>
    <w:p>
      <w:pPr>
        <w:pStyle w:val="Heading1"/>
        <w:tabs>
          <w:tab w:pos="1120" w:val="left" w:leader="none"/>
        </w:tabs>
        <w:spacing w:before="10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rPr>
          <w:b/>
          <w:sz w:val="6"/>
        </w:rPr>
      </w:pPr>
      <w:r>
        <w:rPr/>
        <w:drawing>
          <wp:anchor distT="0" distB="0" distL="0" distR="0" allowOverlap="1" layoutInCell="1" locked="0" behindDoc="0" simplePos="0" relativeHeight="9">
            <wp:simplePos x="0" y="0"/>
            <wp:positionH relativeFrom="page">
              <wp:posOffset>647700</wp:posOffset>
            </wp:positionH>
            <wp:positionV relativeFrom="paragraph">
              <wp:posOffset>64338</wp:posOffset>
            </wp:positionV>
            <wp:extent cx="6337929" cy="12191"/>
            <wp:effectExtent l="0" t="0" r="0" b="0"/>
            <wp:wrapTopAndBottom/>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6337929" cy="12191"/>
                    </a:xfrm>
                    <a:prstGeom prst="rect">
                      <a:avLst/>
                    </a:prstGeom>
                  </pic:spPr>
                </pic:pic>
              </a:graphicData>
            </a:graphic>
          </wp:anchor>
        </w:drawing>
      </w:r>
    </w:p>
    <w:p>
      <w:pPr>
        <w:pStyle w:val="Heading2"/>
        <w:numPr>
          <w:ilvl w:val="1"/>
          <w:numId w:val="13"/>
        </w:numPr>
        <w:tabs>
          <w:tab w:pos="1120" w:val="left" w:leader="none"/>
          <w:tab w:pos="1121" w:val="left" w:leader="none"/>
        </w:tabs>
        <w:spacing w:line="240" w:lineRule="auto" w:before="275" w:after="0"/>
        <w:ind w:left="1120" w:right="0" w:hanging="854"/>
        <w:jc w:val="left"/>
      </w:pPr>
      <w:r>
        <w:rPr>
          <w:spacing w:val="-4"/>
        </w:rPr>
        <w:t>受益人</w:t>
      </w:r>
    </w:p>
    <w:p>
      <w:pPr>
        <w:pStyle w:val="BodyText"/>
        <w:spacing w:before="4"/>
        <w:rPr>
          <w:b/>
          <w:sz w:val="16"/>
        </w:rPr>
      </w:pPr>
    </w:p>
    <w:p>
      <w:pPr>
        <w:spacing w:after="0"/>
        <w:rPr>
          <w:sz w:val="16"/>
        </w:rPr>
        <w:sectPr>
          <w:type w:val="continuous"/>
          <w:pgSz w:w="11910" w:h="16840"/>
          <w:pgMar w:header="0" w:footer="404" w:top="600" w:bottom="280" w:left="860" w:right="340"/>
        </w:sectPr>
      </w:pPr>
    </w:p>
    <w:p>
      <w:pPr>
        <w:pStyle w:val="BodyText"/>
        <w:spacing w:line="278" w:lineRule="auto" w:before="71"/>
        <w:ind w:left="1120"/>
      </w:pPr>
      <w:r>
        <w:rPr>
          <w:spacing w:val="-2"/>
        </w:rPr>
        <w:t>轻症疾病保险金、</w:t>
      </w:r>
      <w:r>
        <w:rPr>
          <w:spacing w:val="-2"/>
        </w:rPr>
        <w:t>中症疾病保险金、</w:t>
      </w:r>
      <w:r>
        <w:rPr>
          <w:spacing w:val="-2"/>
        </w:rPr>
        <w:t>重大疾病保险金、</w:t>
      </w:r>
      <w:r>
        <w:rPr>
          <w:spacing w:val="-2"/>
        </w:rPr>
        <w:t>住院津贴保险金、</w:t>
      </w:r>
      <w:r>
        <w:rPr>
          <w:spacing w:val="-2"/>
        </w:rPr>
        <w:t>全残保险金、特定</w:t>
      </w:r>
      <w:r>
        <w:rPr>
          <w:spacing w:val="-2"/>
        </w:rPr>
        <w:t>重大疾病扩展保</w:t>
      </w:r>
      <w:r>
        <w:rPr>
          <w:spacing w:val="-2"/>
        </w:rPr>
        <w:t> 险金受益人</w:t>
      </w:r>
    </w:p>
    <w:p>
      <w:pPr>
        <w:pStyle w:val="BodyText"/>
        <w:spacing w:line="278" w:lineRule="auto" w:before="71"/>
        <w:ind w:left="157" w:right="767"/>
        <w:jc w:val="both"/>
      </w:pPr>
      <w:r>
        <w:rPr/>
        <w:br w:type="column"/>
      </w:r>
      <w:r>
        <w:rPr>
          <w:spacing w:val="-2"/>
        </w:rPr>
        <w:t>除本合同另有约定外，本合同轻症疾病保险金、中症疾病保险金、重大疾病</w:t>
      </w:r>
      <w:r>
        <w:rPr>
          <w:spacing w:val="-2"/>
        </w:rPr>
        <w:t>保险金、住院津贴保险金、全残保险金、特定重大疾病扩展保险金受益人为</w:t>
      </w:r>
      <w:r>
        <w:rPr>
          <w:spacing w:val="-2"/>
        </w:rPr>
        <w:t>被保险人。</w:t>
      </w:r>
    </w:p>
    <w:p>
      <w:pPr>
        <w:spacing w:after="0" w:line="278" w:lineRule="auto"/>
        <w:jc w:val="both"/>
        <w:sectPr>
          <w:type w:val="continuous"/>
          <w:pgSz w:w="11910" w:h="16840"/>
          <w:pgMar w:header="0" w:footer="404" w:top="600" w:bottom="280" w:left="860" w:right="340"/>
          <w:cols w:num="2" w:equalWidth="0">
            <w:col w:w="2804" w:space="40"/>
            <w:col w:w="7866"/>
          </w:cols>
        </w:sectPr>
      </w:pPr>
    </w:p>
    <w:p>
      <w:pPr>
        <w:pStyle w:val="BodyText"/>
        <w:spacing w:before="9"/>
        <w:rPr>
          <w:sz w:val="18"/>
        </w:rPr>
      </w:pPr>
    </w:p>
    <w:p>
      <w:pPr>
        <w:spacing w:after="0"/>
        <w:rPr>
          <w:sz w:val="18"/>
        </w:rPr>
        <w:sectPr>
          <w:type w:val="continuous"/>
          <w:pgSz w:w="11910" w:h="16840"/>
          <w:pgMar w:header="0" w:footer="404" w:top="600" w:bottom="280" w:left="860" w:right="340"/>
        </w:sectPr>
      </w:pPr>
    </w:p>
    <w:p>
      <w:pPr>
        <w:pStyle w:val="BodyText"/>
        <w:spacing w:line="278" w:lineRule="auto" w:before="72"/>
        <w:ind w:left="1120"/>
      </w:pPr>
      <w:r>
        <w:rPr>
          <w:spacing w:val="-2"/>
        </w:rPr>
        <w:t>身故保险金受益</w:t>
      </w:r>
      <w:r>
        <w:rPr>
          <w:spacing w:val="-10"/>
        </w:rPr>
        <w:t>人</w:t>
      </w:r>
    </w:p>
    <w:p>
      <w:pPr>
        <w:pStyle w:val="BodyText"/>
        <w:spacing w:before="72"/>
        <w:ind w:left="365"/>
      </w:pPr>
      <w:r>
        <w:rPr/>
        <w:br w:type="column"/>
      </w:r>
      <w:r>
        <w:rPr>
          <w:spacing w:val="-3"/>
        </w:rPr>
        <w:t>被保险人或者您可以指定一人或者数人为身故保险金受益人。</w:t>
      </w:r>
    </w:p>
    <w:p>
      <w:pPr>
        <w:pStyle w:val="BodyText"/>
        <w:spacing w:line="278" w:lineRule="auto" w:before="135"/>
        <w:ind w:left="365" w:right="560"/>
      </w:pPr>
      <w:r>
        <w:rPr>
          <w:spacing w:val="-3"/>
          <w:w w:val="100"/>
        </w:rPr>
        <w:t>身故保险金受益人为数人的，被保险人或者您可以确定受益顺序和受益份额；</w:t>
      </w:r>
      <w:r>
        <w:rPr>
          <w:w w:val="100"/>
        </w:rPr>
        <w:t>未确定受益顺序的，受益人按同一顺序享有受益权；未确定受益份额的，受</w:t>
      </w:r>
      <w:r>
        <w:rPr>
          <w:spacing w:val="-3"/>
          <w:w w:val="100"/>
        </w:rPr>
        <w:t>益人按照相等份额享有受益权。</w:t>
      </w:r>
    </w:p>
    <w:p>
      <w:pPr>
        <w:pStyle w:val="BodyText"/>
        <w:spacing w:line="278" w:lineRule="auto" w:before="93"/>
        <w:ind w:left="365" w:right="667"/>
      </w:pPr>
      <w:r>
        <w:rPr>
          <w:spacing w:val="-2"/>
        </w:rPr>
        <w:t>被保险人为无民事行为能力人或者限制民事行为能力人的，可以由其监护人</w:t>
      </w:r>
      <w:r>
        <w:rPr>
          <w:spacing w:val="-2"/>
        </w:rPr>
        <w:t>指定受益人。</w:t>
      </w:r>
    </w:p>
    <w:p>
      <w:pPr>
        <w:pStyle w:val="BodyText"/>
        <w:spacing w:line="278" w:lineRule="auto" w:before="93"/>
        <w:ind w:left="365" w:right="667"/>
      </w:pPr>
      <w:r>
        <w:rPr>
          <w:spacing w:val="-2"/>
        </w:rPr>
        <w:t>被保险人或者您可以变更身故保险金受益人并书面通知我们。我们收到变更</w:t>
      </w:r>
      <w:r>
        <w:rPr>
          <w:spacing w:val="-2"/>
        </w:rPr>
        <w:t>受益人的书面通知后，在保险单或者其他保险凭证上批注或者附贴批单。</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spacing w:before="57"/>
        <w:ind w:left="3000"/>
      </w:pPr>
      <w:r>
        <w:rPr>
          <w:spacing w:val="-3"/>
        </w:rPr>
        <w:t>您指定和变更身故保险金受益人时须经被保险人同意。</w:t>
      </w:r>
    </w:p>
    <w:p>
      <w:pPr>
        <w:pStyle w:val="BodyText"/>
        <w:spacing w:line="278" w:lineRule="auto" w:before="137"/>
        <w:ind w:left="3000" w:right="669"/>
      </w:pPr>
      <w:r>
        <w:rPr>
          <w:spacing w:val="-2"/>
        </w:rPr>
        <w:t>被保险人身故后，有下列情形之一的，保险金作为被保险人的遗产，由我们</w:t>
      </w:r>
      <w:r>
        <w:rPr>
          <w:spacing w:val="-2"/>
        </w:rPr>
        <w:t>依照被保险人身故时关于继承的法律法规规定履行给付保险金的义务：</w:t>
      </w:r>
    </w:p>
    <w:p>
      <w:pPr>
        <w:pStyle w:val="ListParagraph"/>
        <w:numPr>
          <w:ilvl w:val="2"/>
          <w:numId w:val="13"/>
        </w:numPr>
        <w:tabs>
          <w:tab w:pos="3530" w:val="left" w:leader="none"/>
        </w:tabs>
        <w:spacing w:line="240" w:lineRule="auto" w:before="93" w:after="0"/>
        <w:ind w:left="3529" w:right="0" w:hanging="530"/>
        <w:jc w:val="left"/>
        <w:rPr>
          <w:sz w:val="21"/>
        </w:rPr>
      </w:pPr>
      <w:r>
        <w:rPr>
          <w:spacing w:val="-3"/>
          <w:sz w:val="21"/>
        </w:rPr>
        <w:t>没有指定受益人，或者受益人指定不明无法确定的；</w:t>
      </w:r>
    </w:p>
    <w:p>
      <w:pPr>
        <w:pStyle w:val="ListParagraph"/>
        <w:numPr>
          <w:ilvl w:val="2"/>
          <w:numId w:val="13"/>
        </w:numPr>
        <w:tabs>
          <w:tab w:pos="3530" w:val="left" w:leader="none"/>
        </w:tabs>
        <w:spacing w:line="240" w:lineRule="auto" w:before="137" w:after="0"/>
        <w:ind w:left="3529" w:right="0" w:hanging="530"/>
        <w:jc w:val="left"/>
        <w:rPr>
          <w:sz w:val="21"/>
        </w:rPr>
      </w:pPr>
      <w:r>
        <w:rPr>
          <w:spacing w:val="-3"/>
          <w:sz w:val="21"/>
        </w:rPr>
        <w:t>受益人先于被保险人身故，没有其他受益人的；</w:t>
      </w:r>
    </w:p>
    <w:p>
      <w:pPr>
        <w:pStyle w:val="ListParagraph"/>
        <w:numPr>
          <w:ilvl w:val="2"/>
          <w:numId w:val="13"/>
        </w:numPr>
        <w:tabs>
          <w:tab w:pos="3530" w:val="left" w:leader="none"/>
        </w:tabs>
        <w:spacing w:line="240" w:lineRule="auto" w:before="134" w:after="0"/>
        <w:ind w:left="3529" w:right="0" w:hanging="530"/>
        <w:jc w:val="left"/>
        <w:rPr>
          <w:sz w:val="21"/>
        </w:rPr>
      </w:pPr>
      <w:r>
        <w:rPr>
          <w:spacing w:val="-3"/>
          <w:sz w:val="21"/>
        </w:rPr>
        <w:t>受益人依法丧失受益权或者放弃受益权，没有其他受益人的。</w:t>
      </w:r>
    </w:p>
    <w:p>
      <w:pPr>
        <w:pStyle w:val="BodyText"/>
        <w:spacing w:line="278" w:lineRule="auto" w:before="136"/>
        <w:ind w:left="3000" w:right="667"/>
      </w:pPr>
      <w:r>
        <w:rPr>
          <w:spacing w:val="-2"/>
        </w:rPr>
        <w:t>受益人与被保险人在同一事件中身故，且不能确定身故先后顺序的，推定受</w:t>
      </w:r>
      <w:r>
        <w:rPr>
          <w:spacing w:val="-2"/>
        </w:rPr>
        <w:t>益人身故在先。</w:t>
      </w:r>
    </w:p>
    <w:p>
      <w:pPr>
        <w:pStyle w:val="Heading2"/>
        <w:spacing w:line="278" w:lineRule="auto" w:before="94"/>
        <w:ind w:right="667"/>
      </w:pPr>
      <w:r>
        <w:rPr>
          <w:spacing w:val="-2"/>
        </w:rPr>
        <w:t>受益人故意造成被保险人身故、伤残、疾病的，或者故意杀害被保险人未遂</w:t>
      </w:r>
      <w:r>
        <w:rPr>
          <w:spacing w:val="-2"/>
        </w:rPr>
        <w:t>的，该受益人丧失受益权。</w:t>
      </w:r>
    </w:p>
    <w:p>
      <w:pPr>
        <w:pStyle w:val="BodyText"/>
        <w:rPr>
          <w:b/>
          <w:sz w:val="20"/>
        </w:rPr>
      </w:pPr>
    </w:p>
    <w:p>
      <w:pPr>
        <w:pStyle w:val="ListParagraph"/>
        <w:numPr>
          <w:ilvl w:val="1"/>
          <w:numId w:val="13"/>
        </w:numPr>
        <w:tabs>
          <w:tab w:pos="1120" w:val="left" w:leader="none"/>
          <w:tab w:pos="1121" w:val="left" w:leader="none"/>
          <w:tab w:pos="3000" w:val="left" w:leader="none"/>
        </w:tabs>
        <w:spacing w:line="240" w:lineRule="auto" w:before="149" w:after="0"/>
        <w:ind w:left="1120" w:right="0" w:hanging="854"/>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通</w:t>
      </w:r>
      <w:r>
        <w:rPr>
          <w:b/>
          <w:spacing w:val="-10"/>
          <w:sz w:val="21"/>
        </w:rPr>
        <w:t>知</w:t>
      </w:r>
      <w:r>
        <w:rPr>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278" w:lineRule="auto" w:before="135"/>
        <w:ind w:left="3000" w:right="564" w:firstLine="0"/>
        <w:jc w:val="left"/>
        <w:rPr>
          <w:sz w:val="21"/>
        </w:rPr>
      </w:pPr>
      <w:r>
        <w:rPr>
          <w:b/>
          <w:w w:val="100"/>
          <w:sz w:val="21"/>
        </w:rPr>
        <w:t>您或受益人故意或者因重大过失未及时通知，致使保险事故的性质、原因、</w:t>
      </w:r>
      <w:r>
        <w:rPr>
          <w:b/>
          <w:spacing w:val="-5"/>
          <w:w w:val="100"/>
          <w:sz w:val="21"/>
        </w:rPr>
        <w:t>损失程度等难以确定的，我们对无法确定的部分，不承担给付保险金的责任，</w:t>
      </w:r>
      <w:r>
        <w:rPr>
          <w:w w:val="100"/>
          <w:sz w:val="21"/>
        </w:rPr>
        <w:t>但我们通过其他途径已经及时知道或者应当及时知道保险事故发生或者虽您或受益人未及时通知但不影响我们确定保险事故的性质、原因、损失程度的除外。</w:t>
      </w:r>
    </w:p>
    <w:p>
      <w:pPr>
        <w:pStyle w:val="BodyText"/>
        <w:spacing w:before="5"/>
        <w:rPr>
          <w:sz w:val="25"/>
        </w:rPr>
      </w:pPr>
    </w:p>
    <w:p>
      <w:pPr>
        <w:pStyle w:val="Heading2"/>
        <w:numPr>
          <w:ilvl w:val="1"/>
          <w:numId w:val="13"/>
        </w:numPr>
        <w:tabs>
          <w:tab w:pos="1120" w:val="left" w:leader="none"/>
          <w:tab w:pos="1121" w:val="left" w:leader="none"/>
        </w:tabs>
        <w:spacing w:line="240" w:lineRule="auto" w:before="0" w:after="0"/>
        <w:ind w:left="1120" w:right="0" w:hanging="854"/>
        <w:jc w:val="left"/>
      </w:pPr>
      <w:r>
        <w:rPr>
          <w:spacing w:val="-2"/>
        </w:rPr>
        <w:t>保险金申请</w:t>
      </w:r>
    </w:p>
    <w:p>
      <w:pPr>
        <w:pStyle w:val="BodyText"/>
        <w:spacing w:before="1"/>
        <w:rPr>
          <w:b/>
          <w:sz w:val="23"/>
        </w:rPr>
      </w:pPr>
    </w:p>
    <w:p>
      <w:pPr>
        <w:spacing w:after="0"/>
        <w:rPr>
          <w:sz w:val="23"/>
        </w:rPr>
        <w:sectPr>
          <w:pgSz w:w="11910" w:h="16840"/>
          <w:pgMar w:header="0" w:footer="404" w:top="1080" w:bottom="600" w:left="860" w:right="340"/>
        </w:sectPr>
      </w:pPr>
    </w:p>
    <w:p>
      <w:pPr>
        <w:pStyle w:val="BodyText"/>
        <w:spacing w:line="278" w:lineRule="auto" w:before="71"/>
        <w:ind w:left="1120"/>
      </w:pPr>
      <w:r>
        <w:rPr>
          <w:spacing w:val="-2"/>
        </w:rPr>
        <w:t>轻症疾病保险金、</w:t>
      </w:r>
      <w:r>
        <w:rPr>
          <w:spacing w:val="-2"/>
        </w:rPr>
        <w:t>中症疾病保险金、</w:t>
      </w:r>
      <w:r>
        <w:rPr>
          <w:spacing w:val="-2"/>
        </w:rPr>
        <w:t>重大疾病保险金、</w:t>
      </w:r>
      <w:r>
        <w:rPr>
          <w:spacing w:val="-2"/>
        </w:rPr>
        <w:t>特定重大疾病扩</w:t>
      </w:r>
      <w:r>
        <w:rPr>
          <w:spacing w:val="-2"/>
        </w:rPr>
        <w:t> </w:t>
      </w:r>
      <w:r>
        <w:rPr>
          <w:spacing w:val="-2"/>
        </w:rPr>
        <w:t>展保险金及豁免</w:t>
      </w:r>
      <w:r>
        <w:rPr>
          <w:spacing w:val="-2"/>
        </w:rPr>
        <w:t> </w:t>
      </w:r>
      <w:r>
        <w:rPr>
          <w:spacing w:val="-2"/>
        </w:rPr>
        <w:t>保险费申请</w:t>
      </w:r>
    </w:p>
    <w:p>
      <w:pPr>
        <w:pStyle w:val="BodyText"/>
        <w:spacing w:line="278" w:lineRule="auto" w:before="71"/>
        <w:ind w:left="157" w:right="565"/>
      </w:pPr>
      <w:r>
        <w:rPr/>
        <w:br w:type="column"/>
      </w:r>
      <w:r>
        <w:rPr>
          <w:w w:val="100"/>
        </w:rPr>
        <w:t>在申请轻症疾病保险金、中症疾病保险金、重大疾病保险金、特定重大疾病</w:t>
      </w:r>
      <w:r>
        <w:rPr>
          <w:spacing w:val="-3"/>
          <w:w w:val="100"/>
        </w:rPr>
        <w:t>扩展保险金，或申请被保险人轻症疾病、中症疾病或重大疾病豁免保险费时，</w:t>
      </w:r>
      <w:r>
        <w:rPr>
          <w:w w:val="100"/>
        </w:rPr>
        <w:t>申请人须填写保险金给付申请书或保险费豁免申请书，并提供下列证明和资料：</w:t>
      </w:r>
    </w:p>
    <w:p>
      <w:pPr>
        <w:pStyle w:val="ListParagraph"/>
        <w:numPr>
          <w:ilvl w:val="0"/>
          <w:numId w:val="14"/>
        </w:numPr>
        <w:tabs>
          <w:tab w:pos="687" w:val="left" w:leader="none"/>
        </w:tabs>
        <w:spacing w:line="240" w:lineRule="auto" w:before="94" w:after="0"/>
        <w:ind w:left="686" w:right="0" w:hanging="530"/>
        <w:jc w:val="left"/>
        <w:rPr>
          <w:sz w:val="21"/>
        </w:rPr>
      </w:pPr>
      <w:r>
        <w:rPr>
          <w:spacing w:val="-4"/>
          <w:sz w:val="21"/>
        </w:rPr>
        <w:t>保险合同；</w:t>
      </w:r>
    </w:p>
    <w:p>
      <w:pPr>
        <w:pStyle w:val="ListParagraph"/>
        <w:numPr>
          <w:ilvl w:val="0"/>
          <w:numId w:val="14"/>
        </w:numPr>
        <w:tabs>
          <w:tab w:pos="687" w:val="left" w:leader="none"/>
        </w:tabs>
        <w:spacing w:line="240" w:lineRule="auto" w:before="137" w:after="0"/>
        <w:ind w:left="686" w:right="0" w:hanging="530"/>
        <w:jc w:val="left"/>
        <w:rPr>
          <w:sz w:val="21"/>
        </w:rPr>
      </w:pPr>
      <w:r>
        <w:rPr>
          <w:spacing w:val="-3"/>
          <w:sz w:val="21"/>
        </w:rPr>
        <w:t>申请人的有效身份证件；</w:t>
      </w:r>
    </w:p>
    <w:p>
      <w:pPr>
        <w:pStyle w:val="ListParagraph"/>
        <w:numPr>
          <w:ilvl w:val="0"/>
          <w:numId w:val="14"/>
        </w:numPr>
        <w:tabs>
          <w:tab w:pos="687" w:val="left" w:leader="none"/>
        </w:tabs>
        <w:spacing w:line="278" w:lineRule="auto" w:before="136" w:after="0"/>
        <w:ind w:left="682" w:right="666" w:hanging="526"/>
        <w:jc w:val="left"/>
        <w:rPr>
          <w:sz w:val="21"/>
        </w:rPr>
      </w:pPr>
      <w:r>
        <w:rPr>
          <w:spacing w:val="-2"/>
          <w:sz w:val="21"/>
        </w:rPr>
        <w:t>由本公司认可的医疗机构出具的附有被保险人病理检查及其他科学方法</w:t>
      </w:r>
      <w:r>
        <w:rPr>
          <w:spacing w:val="-2"/>
          <w:sz w:val="21"/>
        </w:rPr>
        <w:t>报告的诊断证明书；</w:t>
      </w:r>
    </w:p>
    <w:p>
      <w:pPr>
        <w:pStyle w:val="ListParagraph"/>
        <w:numPr>
          <w:ilvl w:val="0"/>
          <w:numId w:val="14"/>
        </w:numPr>
        <w:tabs>
          <w:tab w:pos="687" w:val="left" w:leader="none"/>
        </w:tabs>
        <w:spacing w:line="240" w:lineRule="auto" w:before="91" w:after="0"/>
        <w:ind w:left="686"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04" w:top="600" w:bottom="280" w:left="860" w:right="340"/>
          <w:cols w:num="2" w:equalWidth="0">
            <w:col w:w="2804" w:space="40"/>
            <w:col w:w="7866"/>
          </w:cols>
        </w:sectPr>
      </w:pPr>
    </w:p>
    <w:p>
      <w:pPr>
        <w:pStyle w:val="BodyText"/>
        <w:spacing w:before="1"/>
        <w:rPr>
          <w:sz w:val="22"/>
        </w:rPr>
      </w:pPr>
    </w:p>
    <w:p>
      <w:pPr>
        <w:spacing w:after="0"/>
        <w:rPr>
          <w:sz w:val="22"/>
        </w:rPr>
        <w:sectPr>
          <w:type w:val="continuous"/>
          <w:pgSz w:w="11910" w:h="16840"/>
          <w:pgMar w:header="0" w:footer="404" w:top="600" w:bottom="280" w:left="860" w:right="340"/>
        </w:sectPr>
      </w:pPr>
    </w:p>
    <w:p>
      <w:pPr>
        <w:pStyle w:val="BodyText"/>
        <w:spacing w:line="278" w:lineRule="auto" w:before="72"/>
        <w:ind w:left="1120"/>
      </w:pPr>
      <w:r>
        <w:rPr>
          <w:spacing w:val="-2"/>
        </w:rPr>
        <w:t>住院津贴保险金</w:t>
      </w:r>
      <w:r>
        <w:rPr>
          <w:spacing w:val="-6"/>
        </w:rPr>
        <w:t>申请</w:t>
      </w:r>
    </w:p>
    <w:p>
      <w:pPr>
        <w:pStyle w:val="BodyText"/>
        <w:spacing w:line="278" w:lineRule="auto" w:before="72"/>
        <w:ind w:left="365" w:right="674"/>
      </w:pPr>
      <w:r>
        <w:rPr/>
        <w:br w:type="column"/>
      </w:r>
      <w:r>
        <w:rPr>
          <w:spacing w:val="-2"/>
        </w:rPr>
        <w:t>在申请住院津贴保险金时，申请人须填写保险金给付申请书，并提供下列证</w:t>
      </w:r>
      <w:r>
        <w:rPr>
          <w:spacing w:val="-2"/>
        </w:rPr>
        <w:t>明和资料：</w:t>
      </w:r>
    </w:p>
    <w:p>
      <w:pPr>
        <w:pStyle w:val="ListParagraph"/>
        <w:numPr>
          <w:ilvl w:val="1"/>
          <w:numId w:val="14"/>
        </w:numPr>
        <w:tabs>
          <w:tab w:pos="895" w:val="left" w:leader="none"/>
        </w:tabs>
        <w:spacing w:line="240" w:lineRule="auto" w:before="93" w:after="0"/>
        <w:ind w:left="894" w:right="0" w:hanging="530"/>
        <w:jc w:val="left"/>
        <w:rPr>
          <w:sz w:val="21"/>
        </w:rPr>
      </w:pPr>
      <w:r>
        <w:rPr>
          <w:spacing w:val="-4"/>
          <w:sz w:val="21"/>
        </w:rPr>
        <w:t>保险合同；</w:t>
      </w:r>
    </w:p>
    <w:p>
      <w:pPr>
        <w:pStyle w:val="ListParagraph"/>
        <w:numPr>
          <w:ilvl w:val="1"/>
          <w:numId w:val="14"/>
        </w:numPr>
        <w:tabs>
          <w:tab w:pos="895" w:val="left" w:leader="none"/>
        </w:tabs>
        <w:spacing w:line="240" w:lineRule="auto" w:before="138" w:after="0"/>
        <w:ind w:left="894" w:right="0" w:hanging="530"/>
        <w:jc w:val="left"/>
        <w:rPr>
          <w:sz w:val="21"/>
        </w:rPr>
      </w:pPr>
      <w:r>
        <w:rPr>
          <w:spacing w:val="-3"/>
          <w:sz w:val="21"/>
        </w:rPr>
        <w:t>申请人的有效身份证件；</w:t>
      </w:r>
    </w:p>
    <w:p>
      <w:pPr>
        <w:pStyle w:val="ListParagraph"/>
        <w:numPr>
          <w:ilvl w:val="1"/>
          <w:numId w:val="14"/>
        </w:numPr>
        <w:tabs>
          <w:tab w:pos="893" w:val="left" w:leader="none"/>
        </w:tabs>
        <w:spacing w:line="278" w:lineRule="auto" w:before="136" w:after="0"/>
        <w:ind w:left="891" w:right="666" w:hanging="526"/>
        <w:jc w:val="left"/>
        <w:rPr>
          <w:sz w:val="21"/>
        </w:rPr>
      </w:pPr>
      <w:r>
        <w:rPr>
          <w:spacing w:val="-2"/>
          <w:sz w:val="21"/>
        </w:rPr>
        <w:t>由本公司认可的医疗机构出具的被保险人的诊断证明、病历、住院医疗</w:t>
      </w:r>
      <w:r>
        <w:rPr>
          <w:spacing w:val="-2"/>
          <w:sz w:val="21"/>
        </w:rPr>
        <w:t>费用凭证等资料；</w:t>
      </w:r>
    </w:p>
    <w:p>
      <w:pPr>
        <w:pStyle w:val="ListParagraph"/>
        <w:numPr>
          <w:ilvl w:val="1"/>
          <w:numId w:val="14"/>
        </w:numPr>
        <w:tabs>
          <w:tab w:pos="893" w:val="left" w:leader="none"/>
        </w:tabs>
        <w:spacing w:line="278" w:lineRule="auto" w:before="91" w:after="0"/>
        <w:ind w:left="841" w:right="666" w:hanging="476"/>
        <w:jc w:val="left"/>
        <w:rPr>
          <w:sz w:val="21"/>
        </w:rPr>
      </w:pPr>
      <w:r>
        <w:rPr>
          <w:spacing w:val="-2"/>
          <w:sz w:val="21"/>
        </w:rPr>
        <w:t>所能提供的与确认保险事故的性质、原因及伤害程度等有关的其他证明</w:t>
      </w:r>
      <w:r>
        <w:rPr>
          <w:spacing w:val="-4"/>
          <w:sz w:val="21"/>
        </w:rPr>
        <w:t>和资料。</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10"/>
        <w:rPr>
          <w:sz w:val="18"/>
        </w:rPr>
      </w:pPr>
    </w:p>
    <w:p>
      <w:pPr>
        <w:pStyle w:val="BodyText"/>
        <w:tabs>
          <w:tab w:pos="3000" w:val="left" w:leader="none"/>
        </w:tabs>
        <w:spacing w:line="276" w:lineRule="auto" w:before="71"/>
        <w:ind w:left="3000" w:right="667" w:hanging="1880"/>
      </w:pPr>
      <w:r>
        <w:rPr>
          <w:spacing w:val="-2"/>
        </w:rPr>
        <w:t>全</w:t>
      </w:r>
      <w:r>
        <w:rPr>
          <w:spacing w:val="-2"/>
        </w:rPr>
        <w:t>残</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全</w:t>
      </w:r>
      <w:r>
        <w:rPr>
          <w:spacing w:val="-2"/>
        </w:rPr>
        <w:t>残</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spacing w:after="0" w:line="276" w:lineRule="auto"/>
        <w:sectPr>
          <w:type w:val="continuous"/>
          <w:pgSz w:w="11910" w:h="16840"/>
          <w:pgMar w:header="0" w:footer="404" w:top="600" w:bottom="280" w:left="860" w:right="340"/>
        </w:sectPr>
      </w:pPr>
    </w:p>
    <w:p>
      <w:pPr>
        <w:pStyle w:val="ListParagraph"/>
        <w:numPr>
          <w:ilvl w:val="2"/>
          <w:numId w:val="14"/>
        </w:numPr>
        <w:tabs>
          <w:tab w:pos="3530" w:val="left" w:leader="none"/>
        </w:tabs>
        <w:spacing w:line="240" w:lineRule="auto" w:before="54" w:after="0"/>
        <w:ind w:left="3529" w:right="0" w:hanging="530"/>
        <w:jc w:val="left"/>
        <w:rPr>
          <w:sz w:val="21"/>
        </w:rPr>
      </w:pPr>
      <w:r>
        <w:rPr>
          <w:spacing w:val="-4"/>
          <w:sz w:val="21"/>
        </w:rPr>
        <w:t>保险合同；</w:t>
      </w:r>
    </w:p>
    <w:p>
      <w:pPr>
        <w:pStyle w:val="ListParagraph"/>
        <w:numPr>
          <w:ilvl w:val="2"/>
          <w:numId w:val="14"/>
        </w:numPr>
        <w:tabs>
          <w:tab w:pos="3530" w:val="left" w:leader="none"/>
        </w:tabs>
        <w:spacing w:line="240" w:lineRule="auto" w:before="123" w:after="0"/>
        <w:ind w:left="3529" w:right="0" w:hanging="530"/>
        <w:jc w:val="left"/>
        <w:rPr>
          <w:sz w:val="21"/>
        </w:rPr>
      </w:pPr>
      <w:r>
        <w:rPr>
          <w:spacing w:val="-3"/>
          <w:sz w:val="21"/>
        </w:rPr>
        <w:t>申请人的有效身份证件；</w:t>
      </w:r>
    </w:p>
    <w:p>
      <w:pPr>
        <w:pStyle w:val="ListParagraph"/>
        <w:numPr>
          <w:ilvl w:val="2"/>
          <w:numId w:val="14"/>
        </w:numPr>
        <w:tabs>
          <w:tab w:pos="3530" w:val="left" w:leader="none"/>
        </w:tabs>
        <w:spacing w:line="276" w:lineRule="auto" w:before="122" w:after="0"/>
        <w:ind w:left="3525" w:right="663" w:hanging="526"/>
        <w:jc w:val="left"/>
        <w:rPr>
          <w:sz w:val="21"/>
        </w:rPr>
      </w:pPr>
      <w:r>
        <w:rPr>
          <w:spacing w:val="-2"/>
          <w:sz w:val="21"/>
        </w:rPr>
        <w:t>由二级以上（含二级）医院或者由双方认可的医疗机构（或鉴定机构）</w:t>
      </w:r>
      <w:r>
        <w:rPr>
          <w:spacing w:val="-2"/>
          <w:sz w:val="21"/>
        </w:rPr>
        <w:t>出具的被保险人身体残疾程度鉴定书；</w:t>
      </w:r>
    </w:p>
    <w:p>
      <w:pPr>
        <w:pStyle w:val="ListParagraph"/>
        <w:numPr>
          <w:ilvl w:val="2"/>
          <w:numId w:val="14"/>
        </w:numPr>
        <w:tabs>
          <w:tab w:pos="3527" w:val="left" w:leader="none"/>
        </w:tabs>
        <w:spacing w:line="276" w:lineRule="auto" w:before="85" w:after="0"/>
        <w:ind w:left="3525" w:right="666" w:hanging="526"/>
        <w:jc w:val="left"/>
        <w:rPr>
          <w:sz w:val="21"/>
        </w:rPr>
      </w:pPr>
      <w:r>
        <w:rPr>
          <w:spacing w:val="-2"/>
          <w:sz w:val="21"/>
        </w:rPr>
        <w:t>所能提供的与确认保险事故的性质、原因及伤害程度等有关的其他证明</w:t>
      </w:r>
      <w:r>
        <w:rPr>
          <w:spacing w:val="-4"/>
          <w:sz w:val="21"/>
        </w:rPr>
        <w:t>和资料。</w:t>
      </w:r>
    </w:p>
    <w:p>
      <w:pPr>
        <w:pStyle w:val="BodyText"/>
        <w:rPr>
          <w:sz w:val="20"/>
        </w:rPr>
      </w:pPr>
    </w:p>
    <w:p>
      <w:pPr>
        <w:pStyle w:val="BodyText"/>
        <w:tabs>
          <w:tab w:pos="3000" w:val="left" w:leader="none"/>
        </w:tabs>
        <w:spacing w:line="276" w:lineRule="auto" w:before="137"/>
        <w:ind w:left="3000" w:right="667" w:hanging="1880"/>
      </w:pPr>
      <w:r>
        <w:rPr>
          <w:spacing w:val="-2"/>
        </w:rPr>
        <w:t>身</w:t>
      </w:r>
      <w:r>
        <w:rPr>
          <w:spacing w:val="-2"/>
        </w:rPr>
        <w:t>故</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身</w:t>
      </w:r>
      <w:r>
        <w:rPr>
          <w:spacing w:val="-2"/>
        </w:rPr>
        <w:t>故</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pStyle w:val="ListParagraph"/>
        <w:numPr>
          <w:ilvl w:val="0"/>
          <w:numId w:val="15"/>
        </w:numPr>
        <w:tabs>
          <w:tab w:pos="3530" w:val="left" w:leader="none"/>
        </w:tabs>
        <w:spacing w:line="240" w:lineRule="auto" w:before="82" w:after="0"/>
        <w:ind w:left="3529" w:right="0" w:hanging="530"/>
        <w:jc w:val="left"/>
        <w:rPr>
          <w:sz w:val="21"/>
        </w:rPr>
      </w:pPr>
      <w:r>
        <w:rPr>
          <w:spacing w:val="-4"/>
          <w:sz w:val="21"/>
        </w:rPr>
        <w:t>保险合同；</w:t>
      </w:r>
    </w:p>
    <w:p>
      <w:pPr>
        <w:pStyle w:val="ListParagraph"/>
        <w:numPr>
          <w:ilvl w:val="0"/>
          <w:numId w:val="15"/>
        </w:numPr>
        <w:tabs>
          <w:tab w:pos="3530" w:val="left" w:leader="none"/>
        </w:tabs>
        <w:spacing w:line="240" w:lineRule="auto" w:before="120" w:after="0"/>
        <w:ind w:left="3529" w:right="0" w:hanging="530"/>
        <w:jc w:val="left"/>
        <w:rPr>
          <w:sz w:val="21"/>
        </w:rPr>
      </w:pPr>
      <w:r>
        <w:rPr>
          <w:spacing w:val="-3"/>
          <w:sz w:val="21"/>
        </w:rPr>
        <w:t>申请人的有效身份证件；</w:t>
      </w:r>
    </w:p>
    <w:p>
      <w:pPr>
        <w:pStyle w:val="ListParagraph"/>
        <w:numPr>
          <w:ilvl w:val="0"/>
          <w:numId w:val="15"/>
        </w:numPr>
        <w:tabs>
          <w:tab w:pos="3527" w:val="left" w:leader="none"/>
        </w:tabs>
        <w:spacing w:line="276" w:lineRule="auto" w:before="124" w:after="0"/>
        <w:ind w:left="3525" w:right="666" w:hanging="526"/>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0"/>
          <w:numId w:val="15"/>
        </w:numPr>
        <w:tabs>
          <w:tab w:pos="3530" w:val="left" w:leader="none"/>
        </w:tabs>
        <w:spacing w:line="240" w:lineRule="auto" w:before="81" w:after="0"/>
        <w:ind w:left="3529" w:right="0" w:hanging="530"/>
        <w:jc w:val="left"/>
        <w:rPr>
          <w:sz w:val="21"/>
        </w:rPr>
      </w:pPr>
      <w:r>
        <w:rPr>
          <w:spacing w:val="-3"/>
          <w:sz w:val="21"/>
        </w:rPr>
        <w:t>被保险人户籍注销证明；</w:t>
      </w:r>
    </w:p>
    <w:p>
      <w:pPr>
        <w:pStyle w:val="ListParagraph"/>
        <w:numPr>
          <w:ilvl w:val="0"/>
          <w:numId w:val="15"/>
        </w:numPr>
        <w:tabs>
          <w:tab w:pos="3530" w:val="left" w:leader="none"/>
        </w:tabs>
        <w:spacing w:line="240" w:lineRule="auto" w:before="122" w:after="0"/>
        <w:ind w:left="3529" w:right="0" w:hanging="530"/>
        <w:jc w:val="left"/>
        <w:rPr>
          <w:sz w:val="21"/>
        </w:rPr>
      </w:pPr>
      <w:r>
        <w:rPr>
          <w:spacing w:val="-3"/>
          <w:sz w:val="21"/>
        </w:rPr>
        <w:t>所能提供的与确认保险事故的性质、原因等有关的其他证明和资料。</w:t>
      </w:r>
    </w:p>
    <w:p>
      <w:pPr>
        <w:pStyle w:val="BodyText"/>
        <w:rPr>
          <w:sz w:val="20"/>
        </w:rPr>
      </w:pPr>
    </w:p>
    <w:p>
      <w:pPr>
        <w:pStyle w:val="BodyText"/>
        <w:spacing w:before="175"/>
        <w:ind w:left="3000"/>
      </w:pPr>
      <w:r>
        <w:rPr>
          <w:spacing w:val="-3"/>
        </w:rPr>
        <w:t>保险金作为被保险人遗产时，必须提供可证明合法继承权的相关权利文件。</w:t>
      </w:r>
    </w:p>
    <w:p>
      <w:pPr>
        <w:pStyle w:val="BodyText"/>
        <w:spacing w:line="276" w:lineRule="auto" w:before="125"/>
        <w:ind w:left="3000" w:right="667"/>
      </w:pPr>
      <w:r>
        <w:rPr>
          <w:spacing w:val="-2"/>
        </w:rPr>
        <w:t>申请人提供的证明和资料不完整的，我们将及时一次性通知申请人补充提供</w:t>
      </w:r>
      <w:r>
        <w:rPr>
          <w:spacing w:val="-2"/>
        </w:rPr>
        <w:t>有关证明和资料。</w:t>
      </w:r>
    </w:p>
    <w:p>
      <w:pPr>
        <w:pStyle w:val="BodyText"/>
        <w:spacing w:before="2"/>
        <w:rPr>
          <w:sz w:val="24"/>
        </w:rPr>
      </w:pPr>
    </w:p>
    <w:p>
      <w:pPr>
        <w:pStyle w:val="ListParagraph"/>
        <w:numPr>
          <w:ilvl w:val="1"/>
          <w:numId w:val="13"/>
        </w:numPr>
        <w:tabs>
          <w:tab w:pos="1121" w:val="left" w:leader="none"/>
        </w:tabs>
        <w:spacing w:line="278" w:lineRule="auto" w:before="0" w:after="0"/>
        <w:ind w:left="3000" w:right="667" w:hanging="2733"/>
        <w:jc w:val="both"/>
        <w:rPr>
          <w:sz w:val="21"/>
        </w:rPr>
      </w:pPr>
      <w:r>
        <w:rPr>
          <w:b/>
          <w:spacing w:val="72"/>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10"/>
        <w:rPr>
          <w:sz w:val="17"/>
        </w:rPr>
      </w:pPr>
    </w:p>
    <w:p>
      <w:pPr>
        <w:pStyle w:val="ListParagraph"/>
        <w:numPr>
          <w:ilvl w:val="1"/>
          <w:numId w:val="13"/>
        </w:numPr>
        <w:tabs>
          <w:tab w:pos="1121" w:val="left" w:leader="none"/>
        </w:tabs>
        <w:spacing w:line="278" w:lineRule="auto" w:before="1" w:after="0"/>
        <w:ind w:left="3000" w:right="667" w:hanging="2733"/>
        <w:jc w:val="both"/>
        <w:rPr>
          <w:sz w:val="21"/>
        </w:rPr>
      </w:pPr>
      <w:r>
        <w:rPr>
          <w:b/>
          <w:sz w:val="21"/>
        </w:rPr>
        <w:t>保险金给付</w:t>
      </w:r>
      <w:r>
        <w:rPr>
          <w:b/>
          <w:spacing w:val="717"/>
          <w:sz w:val="21"/>
        </w:rPr>
        <w:t> </w:t>
      </w:r>
      <w:r>
        <w:rPr>
          <w:sz w:val="21"/>
        </w:rPr>
        <w:t>我们在收到保险金给付申请书及合同约定的证明和资料后，将在五日内作出</w:t>
      </w:r>
      <w:r>
        <w:rPr>
          <w:spacing w:val="-2"/>
          <w:sz w:val="21"/>
        </w:rPr>
        <w:t>核定；情形复杂的，在三十日内作出核定。对属于保险责任的，我们在与受</w:t>
      </w:r>
      <w:r>
        <w:rPr>
          <w:spacing w:val="-2"/>
          <w:sz w:val="21"/>
        </w:rPr>
        <w:t>益人达成给付保险金的协议后十日内,履行给付保险金义务。</w:t>
      </w:r>
    </w:p>
    <w:p>
      <w:pPr>
        <w:pStyle w:val="BodyText"/>
        <w:spacing w:line="278" w:lineRule="auto" w:before="90"/>
        <w:ind w:left="3000" w:right="667"/>
      </w:pPr>
      <w:r>
        <w:rPr>
          <w:spacing w:val="-2"/>
        </w:rPr>
        <w:t>我们未及时履行前款规定义务的，除支付保险金外，应当赔偿受益人因此受</w:t>
      </w:r>
      <w:r>
        <w:rPr>
          <w:spacing w:val="-2"/>
        </w:rPr>
        <w:t>到的损失。</w:t>
      </w:r>
    </w:p>
    <w:p>
      <w:pPr>
        <w:pStyle w:val="BodyText"/>
        <w:spacing w:line="278" w:lineRule="auto" w:before="94"/>
        <w:ind w:left="3000" w:right="667"/>
      </w:pPr>
      <w:r>
        <w:rPr>
          <w:spacing w:val="-2"/>
        </w:rPr>
        <w:t>对不属于保险责任的，我们自作出核定之日起三日内向受益人发出拒绝给付</w:t>
      </w:r>
      <w:r>
        <w:rPr>
          <w:spacing w:val="-2"/>
        </w:rPr>
        <w:t>保险金通知书，并说明理由。</w:t>
      </w:r>
    </w:p>
    <w:p>
      <w:pPr>
        <w:pStyle w:val="BodyText"/>
        <w:spacing w:line="278" w:lineRule="auto" w:before="93"/>
        <w:ind w:left="3000" w:right="667"/>
        <w:jc w:val="both"/>
      </w:pPr>
      <w:r>
        <w:rPr>
          <w:spacing w:val="-2"/>
        </w:rPr>
        <w:t>我们在收到保险金给付申请书及有关证明和资料之日起六十日内，对给付保</w:t>
      </w:r>
      <w:r>
        <w:rPr>
          <w:spacing w:val="-2"/>
        </w:rPr>
        <w:t>险金的数额不能确定的，根据已有证明和资料可以确定的数额先予支付，我</w:t>
      </w:r>
      <w:r>
        <w:rPr>
          <w:spacing w:val="-2"/>
        </w:rPr>
        <w:t>们最终确定给付保险金的数额后，将支付相应的差额。</w:t>
      </w:r>
    </w:p>
    <w:p>
      <w:pPr>
        <w:pStyle w:val="BodyText"/>
        <w:spacing w:before="8"/>
        <w:rPr>
          <w:sz w:val="17"/>
        </w:rPr>
      </w:pPr>
    </w:p>
    <w:p>
      <w:pPr>
        <w:pStyle w:val="ListParagraph"/>
        <w:numPr>
          <w:ilvl w:val="1"/>
          <w:numId w:val="13"/>
        </w:numPr>
        <w:tabs>
          <w:tab w:pos="1121" w:val="left" w:leader="none"/>
        </w:tabs>
        <w:spacing w:line="278" w:lineRule="auto" w:before="0" w:after="0"/>
        <w:ind w:left="3000" w:right="667" w:hanging="2733"/>
        <w:jc w:val="both"/>
        <w:rPr>
          <w:sz w:val="21"/>
        </w:rPr>
      </w:pPr>
      <w:r>
        <w:rPr>
          <w:b/>
          <w:sz w:val="21"/>
        </w:rPr>
        <w:t>诉讼时效</w:t>
      </w:r>
      <w:r>
        <w:rPr>
          <w:b/>
          <w:spacing w:val="928"/>
          <w:sz w:val="21"/>
        </w:rPr>
        <w:t> </w:t>
      </w:r>
      <w:r>
        <w:rPr>
          <w:sz w:val="21"/>
        </w:rPr>
        <w:t>除法律另有规定外，受益人向我们请求给付保险金的诉讼时效期间为二年，</w:t>
      </w:r>
      <w:r>
        <w:rPr>
          <w:spacing w:val="-2"/>
          <w:sz w:val="21"/>
        </w:rPr>
        <w:t>自其知道或者应当知道保险事故发生之日起计算。</w:t>
      </w:r>
    </w:p>
    <w:p>
      <w:pPr>
        <w:pStyle w:val="BodyText"/>
        <w:rPr>
          <w:sz w:val="20"/>
        </w:rPr>
      </w:pPr>
    </w:p>
    <w:p>
      <w:pPr>
        <w:pStyle w:val="BodyText"/>
        <w:spacing w:before="10"/>
        <w:rPr>
          <w:sz w:val="17"/>
        </w:rPr>
      </w:pPr>
    </w:p>
    <w:p>
      <w:pPr>
        <w:pStyle w:val="Heading1"/>
        <w:tabs>
          <w:tab w:pos="112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rPr>
          <w:b/>
          <w:sz w:val="6"/>
        </w:rPr>
      </w:pPr>
      <w:r>
        <w:rPr/>
        <w:drawing>
          <wp:anchor distT="0" distB="0" distL="0" distR="0" allowOverlap="1" layoutInCell="1" locked="0" behindDoc="0" simplePos="0" relativeHeight="10">
            <wp:simplePos x="0" y="0"/>
            <wp:positionH relativeFrom="page">
              <wp:posOffset>647700</wp:posOffset>
            </wp:positionH>
            <wp:positionV relativeFrom="paragraph">
              <wp:posOffset>64389</wp:posOffset>
            </wp:positionV>
            <wp:extent cx="6387445" cy="12287"/>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6387445" cy="12287"/>
                    </a:xfrm>
                    <a:prstGeom prst="rect">
                      <a:avLst/>
                    </a:prstGeom>
                  </pic:spPr>
                </pic:pic>
              </a:graphicData>
            </a:graphic>
          </wp:anchor>
        </w:drawing>
      </w:r>
    </w:p>
    <w:p>
      <w:pPr>
        <w:pStyle w:val="BodyText"/>
        <w:spacing w:before="6"/>
        <w:rPr>
          <w:b/>
          <w:sz w:val="12"/>
        </w:rPr>
      </w:pPr>
    </w:p>
    <w:p>
      <w:pPr>
        <w:spacing w:after="0"/>
        <w:rPr>
          <w:sz w:val="12"/>
        </w:rPr>
        <w:sectPr>
          <w:pgSz w:w="11910" w:h="16840"/>
          <w:pgMar w:header="0" w:footer="404" w:top="1080" w:bottom="600" w:left="860" w:right="340"/>
        </w:sectPr>
      </w:pPr>
    </w:p>
    <w:p>
      <w:pPr>
        <w:pStyle w:val="Heading2"/>
        <w:spacing w:line="278" w:lineRule="auto" w:before="71"/>
        <w:ind w:left="1120"/>
        <w:jc w:val="both"/>
      </w:pPr>
      <w:r>
        <w:rPr>
          <w:spacing w:val="-2"/>
        </w:rPr>
        <w:t>您犹豫期后解除</w:t>
      </w:r>
      <w:r>
        <w:rPr>
          <w:spacing w:val="-2"/>
        </w:rPr>
        <w:t>合同的手续及风</w:t>
      </w:r>
      <w:r>
        <w:rPr>
          <w:spacing w:val="-10"/>
        </w:rPr>
        <w:t>险</w:t>
      </w:r>
    </w:p>
    <w:p>
      <w:pPr>
        <w:pStyle w:val="BodyText"/>
        <w:spacing w:line="278" w:lineRule="auto" w:before="71"/>
        <w:ind w:left="361" w:right="667"/>
      </w:pPr>
      <w:r>
        <w:rPr/>
        <w:br w:type="column"/>
      </w:r>
      <w:r>
        <w:rPr>
          <w:spacing w:val="-2"/>
        </w:rPr>
        <w:t>您在犹豫期后申请解除本合同的，请填写解除合同申请书并向我们提供下列</w:t>
      </w:r>
      <w:r>
        <w:rPr>
          <w:spacing w:val="-4"/>
        </w:rPr>
        <w:t>资料：</w:t>
      </w:r>
    </w:p>
    <w:p>
      <w:pPr>
        <w:pStyle w:val="BodyText"/>
        <w:spacing w:before="94"/>
        <w:ind w:left="361"/>
      </w:pPr>
      <w:r>
        <w:rPr>
          <w:spacing w:val="-2"/>
        </w:rPr>
        <w:t>（1）</w:t>
      </w:r>
      <w:r>
        <w:rPr>
          <w:spacing w:val="-4"/>
        </w:rPr>
        <w:t>保险合同；</w:t>
      </w:r>
    </w:p>
    <w:p>
      <w:pPr>
        <w:spacing w:after="0"/>
        <w:sectPr>
          <w:type w:val="continuous"/>
          <w:pgSz w:w="11910" w:h="16840"/>
          <w:pgMar w:header="0" w:footer="404" w:top="600" w:bottom="280" w:left="860" w:right="340"/>
          <w:cols w:num="2" w:equalWidth="0">
            <w:col w:w="2599" w:space="40"/>
            <w:col w:w="8071"/>
          </w:cols>
        </w:sectPr>
      </w:pPr>
    </w:p>
    <w:p>
      <w:pPr>
        <w:pStyle w:val="BodyText"/>
        <w:spacing w:before="57"/>
        <w:ind w:left="3000"/>
      </w:pPr>
      <w:r>
        <w:rPr>
          <w:spacing w:val="-2"/>
        </w:rPr>
        <w:t>（2）</w:t>
      </w:r>
      <w:r>
        <w:rPr>
          <w:spacing w:val="-3"/>
        </w:rPr>
        <w:t>您的有效身份证件。</w:t>
      </w:r>
    </w:p>
    <w:p>
      <w:pPr>
        <w:pStyle w:val="BodyText"/>
        <w:spacing w:line="278" w:lineRule="auto" w:before="137"/>
        <w:ind w:left="3000" w:right="667"/>
      </w:pPr>
      <w:r>
        <w:rPr>
          <w:spacing w:val="-2"/>
        </w:rPr>
        <w:t>自我们收到解除合同申请书时起，本合同终止，我们自收到解除合同申请书</w:t>
      </w:r>
      <w:r>
        <w:rPr>
          <w:spacing w:val="-2"/>
        </w:rPr>
        <w:t>之日起三十日内向您退还本合同现金价值。</w:t>
      </w:r>
    </w:p>
    <w:p>
      <w:pPr>
        <w:spacing w:line="362" w:lineRule="auto" w:before="93"/>
        <w:ind w:left="3000" w:right="1799" w:firstLine="0"/>
        <w:jc w:val="left"/>
        <w:rPr>
          <w:b/>
          <w:sz w:val="21"/>
        </w:rPr>
      </w:pPr>
      <w:r>
        <w:rPr>
          <w:b/>
          <w:spacing w:val="-2"/>
          <w:sz w:val="21"/>
        </w:rPr>
        <w:t>若已发生过保险金给付的，您不得行使本条规定的合同解除权。</w:t>
      </w:r>
      <w:r>
        <w:rPr>
          <w:b/>
          <w:spacing w:val="-2"/>
          <w:sz w:val="21"/>
        </w:rPr>
        <w:t>您在犹豫期后解除合同可能会遭受一定损失。</w:t>
      </w:r>
    </w:p>
    <w:p>
      <w:pPr>
        <w:pStyle w:val="BodyText"/>
        <w:spacing w:before="1"/>
        <w:rPr>
          <w:b/>
          <w:sz w:val="23"/>
        </w:rPr>
      </w:pPr>
    </w:p>
    <w:p>
      <w:pPr>
        <w:pStyle w:val="Heading1"/>
        <w:tabs>
          <w:tab w:pos="112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rPr>
          <w:b/>
          <w:sz w:val="6"/>
        </w:rPr>
      </w:pPr>
      <w:r>
        <w:rPr/>
        <w:drawing>
          <wp:anchor distT="0" distB="0" distL="0" distR="0" allowOverlap="1" layoutInCell="1" locked="0" behindDoc="0" simplePos="0" relativeHeight="11">
            <wp:simplePos x="0" y="0"/>
            <wp:positionH relativeFrom="page">
              <wp:posOffset>647700</wp:posOffset>
            </wp:positionH>
            <wp:positionV relativeFrom="paragraph">
              <wp:posOffset>64373</wp:posOffset>
            </wp:positionV>
            <wp:extent cx="6387511" cy="12287"/>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6387511" cy="12287"/>
                    </a:xfrm>
                    <a:prstGeom prst="rect">
                      <a:avLst/>
                    </a:prstGeom>
                  </pic:spPr>
                </pic:pic>
              </a:graphicData>
            </a:graphic>
          </wp:anchor>
        </w:drawing>
      </w:r>
    </w:p>
    <w:p>
      <w:pPr>
        <w:pStyle w:val="BodyText"/>
        <w:spacing w:before="6"/>
        <w:rPr>
          <w:b/>
          <w:sz w:val="20"/>
        </w:rPr>
      </w:pPr>
    </w:p>
    <w:p>
      <w:pPr>
        <w:spacing w:after="0"/>
        <w:rPr>
          <w:sz w:val="20"/>
        </w:rPr>
        <w:sectPr>
          <w:pgSz w:w="11910" w:h="16840"/>
          <w:pgMar w:header="0" w:footer="404" w:top="1080" w:bottom="600" w:left="860" w:right="340"/>
        </w:sectPr>
      </w:pPr>
    </w:p>
    <w:p>
      <w:pPr>
        <w:pStyle w:val="Heading2"/>
        <w:numPr>
          <w:ilvl w:val="1"/>
          <w:numId w:val="16"/>
        </w:numPr>
        <w:tabs>
          <w:tab w:pos="1120" w:val="left" w:leader="none"/>
          <w:tab w:pos="1121" w:val="left" w:leader="none"/>
        </w:tabs>
        <w:spacing w:line="278" w:lineRule="auto" w:before="72" w:after="0"/>
        <w:ind w:left="1120" w:right="38" w:hanging="853"/>
        <w:jc w:val="left"/>
      </w:pPr>
      <w:r>
        <w:rPr>
          <w:spacing w:val="-2"/>
        </w:rPr>
        <w:t>年龄确定与错误</w:t>
      </w:r>
      <w:r>
        <w:rPr>
          <w:spacing w:val="-6"/>
        </w:rPr>
        <w:t>处理</w:t>
      </w:r>
    </w:p>
    <w:p>
      <w:pPr>
        <w:pStyle w:val="BodyText"/>
        <w:spacing w:line="278" w:lineRule="auto" w:before="72"/>
        <w:ind w:left="268" w:right="667"/>
      </w:pPr>
      <w:r>
        <w:rPr/>
        <w:br w:type="column"/>
      </w:r>
      <w:r>
        <w:rPr>
          <w:spacing w:val="-2"/>
        </w:rPr>
        <w:t>您在申请投保时，应将与有效身份证件相符的被保险人的出生日期在投保单</w:t>
      </w:r>
      <w:r>
        <w:rPr>
          <w:spacing w:val="-2"/>
        </w:rPr>
        <w:t>上填明，若发生错误按照下列方式办理：</w:t>
      </w:r>
    </w:p>
    <w:p>
      <w:pPr>
        <w:pStyle w:val="ListParagraph"/>
        <w:numPr>
          <w:ilvl w:val="0"/>
          <w:numId w:val="17"/>
        </w:numPr>
        <w:tabs>
          <w:tab w:pos="797" w:val="left" w:leader="none"/>
        </w:tabs>
        <w:spacing w:line="278" w:lineRule="auto" w:before="93" w:after="0"/>
        <w:ind w:left="793" w:right="666" w:hanging="526"/>
        <w:jc w:val="both"/>
        <w:rPr>
          <w:sz w:val="21"/>
        </w:rPr>
      </w:pPr>
      <w:r>
        <w:rPr>
          <w:b/>
          <w:spacing w:val="-2"/>
          <w:sz w:val="21"/>
        </w:rPr>
        <w:t>您申报的被保险人年龄不真实，并且其真实年龄不符合本合同约定投保</w:t>
      </w:r>
      <w:r>
        <w:rPr>
          <w:b/>
          <w:spacing w:val="-2"/>
          <w:sz w:val="21"/>
        </w:rPr>
        <w:t>年龄限制的，我们有权解除本合同，并向您退还本合同的现金价值。</w:t>
      </w:r>
      <w:r>
        <w:rPr>
          <w:spacing w:val="-2"/>
          <w:sz w:val="21"/>
        </w:rPr>
        <w:t>我</w:t>
      </w:r>
      <w:r>
        <w:rPr>
          <w:sz w:val="21"/>
        </w:rPr>
        <w:t>们行使合同解除权适用“6.3 本公司合同解除权的限制”的规定；</w:t>
      </w:r>
    </w:p>
    <w:p>
      <w:pPr>
        <w:pStyle w:val="Heading2"/>
        <w:numPr>
          <w:ilvl w:val="0"/>
          <w:numId w:val="17"/>
        </w:numPr>
        <w:tabs>
          <w:tab w:pos="797" w:val="left" w:leader="none"/>
        </w:tabs>
        <w:spacing w:line="278" w:lineRule="auto" w:before="94" w:after="0"/>
        <w:ind w:left="793" w:right="643" w:hanging="526"/>
        <w:jc w:val="both"/>
        <w:rPr>
          <w:b w:val="0"/>
        </w:rPr>
      </w:pPr>
      <w:r>
        <w:rPr>
          <w:spacing w:val="-2"/>
        </w:rPr>
        <w:t>您申报的被保险人年龄不真实，致使您实付保险费少于应付保险费的，</w:t>
      </w:r>
      <w:r>
        <w:rPr>
          <w:spacing w:val="-2"/>
        </w:rPr>
        <w:t>我们有权更正并要求您补交保险费。若已经发生保险事故，在给付保险</w:t>
      </w:r>
      <w:r>
        <w:rPr>
          <w:spacing w:val="-2"/>
        </w:rPr>
        <w:t>金时按实付保险费和应付保险费的比例给付</w:t>
      </w:r>
      <w:r>
        <w:rPr>
          <w:b w:val="0"/>
          <w:spacing w:val="-2"/>
        </w:rPr>
        <w:t>；</w:t>
      </w:r>
    </w:p>
    <w:p>
      <w:pPr>
        <w:pStyle w:val="ListParagraph"/>
        <w:numPr>
          <w:ilvl w:val="0"/>
          <w:numId w:val="17"/>
        </w:numPr>
        <w:tabs>
          <w:tab w:pos="797" w:val="left" w:leader="none"/>
        </w:tabs>
        <w:spacing w:line="278" w:lineRule="auto" w:before="91" w:after="0"/>
        <w:ind w:left="793" w:right="663" w:hanging="526"/>
        <w:jc w:val="left"/>
        <w:rPr>
          <w:sz w:val="21"/>
        </w:rPr>
      </w:pPr>
      <w:r>
        <w:rPr>
          <w:spacing w:val="-2"/>
          <w:sz w:val="21"/>
        </w:rPr>
        <w:t>您申报的被保险人年龄不真实，致使您实付保险费多于应付保险费的，</w:t>
      </w:r>
      <w:r>
        <w:rPr>
          <w:spacing w:val="-2"/>
          <w:sz w:val="21"/>
        </w:rPr>
        <w:t>我们将多收的保险费退还给您。</w:t>
      </w:r>
    </w:p>
    <w:p>
      <w:pPr>
        <w:spacing w:after="0" w:line="278" w:lineRule="auto"/>
        <w:jc w:val="left"/>
        <w:rPr>
          <w:sz w:val="21"/>
        </w:rPr>
        <w:sectPr>
          <w:type w:val="continuous"/>
          <w:pgSz w:w="11910" w:h="16840"/>
          <w:pgMar w:header="0" w:footer="404" w:top="600" w:bottom="280" w:left="860" w:right="340"/>
          <w:cols w:num="2" w:equalWidth="0">
            <w:col w:w="2639" w:space="93"/>
            <w:col w:w="7978"/>
          </w:cols>
        </w:sectPr>
      </w:pPr>
    </w:p>
    <w:p>
      <w:pPr>
        <w:pStyle w:val="BodyText"/>
        <w:spacing w:before="10"/>
        <w:rPr>
          <w:sz w:val="18"/>
        </w:rPr>
      </w:pPr>
    </w:p>
    <w:p>
      <w:pPr>
        <w:pStyle w:val="ListParagraph"/>
        <w:numPr>
          <w:ilvl w:val="1"/>
          <w:numId w:val="16"/>
        </w:numPr>
        <w:tabs>
          <w:tab w:pos="1120" w:val="left" w:leader="none"/>
          <w:tab w:pos="1121" w:val="left" w:leader="none"/>
          <w:tab w:pos="3000" w:val="left" w:leader="none"/>
        </w:tabs>
        <w:spacing w:line="278" w:lineRule="auto" w:before="71" w:after="0"/>
        <w:ind w:left="3000" w:right="560" w:hanging="2733"/>
        <w:jc w:val="left"/>
        <w:rPr>
          <w:sz w:val="21"/>
        </w:rPr>
      </w:pPr>
      <w:r>
        <w:rPr>
          <w:b/>
          <w:w w:val="100"/>
          <w:sz w:val="21"/>
        </w:rPr>
        <w:t>地址变更</w:t>
      </w:r>
      <w:r>
        <w:rPr>
          <w:b/>
          <w:sz w:val="21"/>
        </w:rPr>
        <w:tab/>
      </w:r>
      <w:r>
        <w:rPr>
          <w:spacing w:val="2"/>
          <w:w w:val="100"/>
          <w:sz w:val="21"/>
        </w:rPr>
        <w:t>您的通讯地址变更</w:t>
      </w:r>
      <w:r>
        <w:rPr>
          <w:w w:val="100"/>
          <w:sz w:val="21"/>
        </w:rPr>
        <w:t>时</w:t>
      </w:r>
      <w:r>
        <w:rPr>
          <w:spacing w:val="2"/>
          <w:w w:val="100"/>
          <w:sz w:val="21"/>
        </w:rPr>
        <w:t>，</w:t>
      </w:r>
      <w:r>
        <w:rPr>
          <w:w w:val="100"/>
          <w:sz w:val="21"/>
        </w:rPr>
        <w:t>应</w:t>
      </w:r>
      <w:r>
        <w:rPr>
          <w:spacing w:val="2"/>
          <w:w w:val="100"/>
          <w:sz w:val="21"/>
        </w:rPr>
        <w:t>及时以书面形式或</w:t>
      </w:r>
      <w:r>
        <w:rPr>
          <w:w w:val="100"/>
          <w:sz w:val="21"/>
        </w:rPr>
        <w:t>双</w:t>
      </w:r>
      <w:r>
        <w:rPr>
          <w:spacing w:val="2"/>
          <w:w w:val="100"/>
          <w:sz w:val="21"/>
        </w:rPr>
        <w:t>方</w:t>
      </w:r>
      <w:r>
        <w:rPr>
          <w:w w:val="100"/>
          <w:sz w:val="21"/>
        </w:rPr>
        <w:t>认</w:t>
      </w:r>
      <w:r>
        <w:rPr>
          <w:spacing w:val="2"/>
          <w:w w:val="100"/>
          <w:sz w:val="21"/>
        </w:rPr>
        <w:t>可的其他形式通知</w:t>
      </w:r>
      <w:r>
        <w:rPr>
          <w:w w:val="100"/>
          <w:sz w:val="21"/>
        </w:rPr>
        <w:t>我</w:t>
      </w:r>
      <w:r>
        <w:rPr>
          <w:spacing w:val="2"/>
          <w:w w:val="100"/>
          <w:sz w:val="21"/>
        </w:rPr>
        <w:t>们。</w:t>
      </w:r>
      <w:r>
        <w:rPr>
          <w:w w:val="100"/>
          <w:sz w:val="21"/>
        </w:rPr>
        <w:t>您不</w:t>
      </w:r>
      <w:r>
        <w:rPr>
          <w:spacing w:val="-3"/>
          <w:w w:val="100"/>
          <w:sz w:val="21"/>
        </w:rPr>
        <w:t>作</w:t>
      </w:r>
      <w:r>
        <w:rPr>
          <w:w w:val="100"/>
          <w:sz w:val="21"/>
        </w:rPr>
        <w:t>上</w:t>
      </w:r>
      <w:r>
        <w:rPr>
          <w:spacing w:val="-3"/>
          <w:w w:val="100"/>
          <w:sz w:val="21"/>
        </w:rPr>
        <w:t>述</w:t>
      </w:r>
      <w:r>
        <w:rPr>
          <w:w w:val="100"/>
          <w:sz w:val="21"/>
        </w:rPr>
        <w:t>通</w:t>
      </w:r>
      <w:r>
        <w:rPr>
          <w:spacing w:val="-3"/>
          <w:w w:val="100"/>
          <w:sz w:val="21"/>
        </w:rPr>
        <w:t>知</w:t>
      </w:r>
      <w:r>
        <w:rPr>
          <w:w w:val="100"/>
          <w:sz w:val="21"/>
        </w:rPr>
        <w:t>的</w:t>
      </w:r>
      <w:r>
        <w:rPr>
          <w:spacing w:val="-5"/>
          <w:w w:val="100"/>
          <w:sz w:val="21"/>
        </w:rPr>
        <w:t>，</w:t>
      </w:r>
      <w:r>
        <w:rPr>
          <w:w w:val="100"/>
          <w:sz w:val="21"/>
        </w:rPr>
        <w:t>我</w:t>
      </w:r>
      <w:r>
        <w:rPr>
          <w:spacing w:val="-3"/>
          <w:w w:val="100"/>
          <w:sz w:val="21"/>
        </w:rPr>
        <w:t>们</w:t>
      </w:r>
      <w:r>
        <w:rPr>
          <w:w w:val="100"/>
          <w:sz w:val="21"/>
        </w:rPr>
        <w:t>将按</w:t>
      </w:r>
      <w:r>
        <w:rPr>
          <w:spacing w:val="-3"/>
          <w:w w:val="100"/>
          <w:sz w:val="21"/>
        </w:rPr>
        <w:t>本</w:t>
      </w:r>
      <w:r>
        <w:rPr>
          <w:w w:val="100"/>
          <w:sz w:val="21"/>
        </w:rPr>
        <w:t>合</w:t>
      </w:r>
      <w:r>
        <w:rPr>
          <w:spacing w:val="-3"/>
          <w:w w:val="100"/>
          <w:sz w:val="21"/>
        </w:rPr>
        <w:t>同</w:t>
      </w:r>
      <w:r>
        <w:rPr>
          <w:w w:val="100"/>
          <w:sz w:val="21"/>
        </w:rPr>
        <w:t>注</w:t>
      </w:r>
      <w:r>
        <w:rPr>
          <w:spacing w:val="-3"/>
          <w:w w:val="100"/>
          <w:sz w:val="21"/>
        </w:rPr>
        <w:t>明</w:t>
      </w:r>
      <w:r>
        <w:rPr>
          <w:w w:val="100"/>
          <w:sz w:val="21"/>
        </w:rPr>
        <w:t>的</w:t>
      </w:r>
      <w:r>
        <w:rPr>
          <w:spacing w:val="-3"/>
          <w:w w:val="100"/>
          <w:sz w:val="21"/>
        </w:rPr>
        <w:t>最</w:t>
      </w:r>
      <w:r>
        <w:rPr>
          <w:w w:val="100"/>
          <w:sz w:val="21"/>
        </w:rPr>
        <w:t>后</w:t>
      </w:r>
      <w:r>
        <w:rPr>
          <w:spacing w:val="-3"/>
          <w:w w:val="100"/>
          <w:sz w:val="21"/>
        </w:rPr>
        <w:t>通</w:t>
      </w:r>
      <w:r>
        <w:rPr>
          <w:w w:val="100"/>
          <w:sz w:val="21"/>
        </w:rPr>
        <w:t>讯地</w:t>
      </w:r>
      <w:r>
        <w:rPr>
          <w:spacing w:val="-3"/>
          <w:w w:val="100"/>
          <w:sz w:val="21"/>
        </w:rPr>
        <w:t>址</w:t>
      </w:r>
      <w:r>
        <w:rPr>
          <w:w w:val="100"/>
          <w:sz w:val="21"/>
        </w:rPr>
        <w:t>向</w:t>
      </w:r>
      <w:r>
        <w:rPr>
          <w:spacing w:val="-3"/>
          <w:w w:val="100"/>
          <w:sz w:val="21"/>
        </w:rPr>
        <w:t>您</w:t>
      </w:r>
      <w:r>
        <w:rPr>
          <w:w w:val="100"/>
          <w:sz w:val="21"/>
        </w:rPr>
        <w:t>发</w:t>
      </w:r>
      <w:r>
        <w:rPr>
          <w:spacing w:val="-3"/>
          <w:w w:val="100"/>
          <w:sz w:val="21"/>
        </w:rPr>
        <w:t>送</w:t>
      </w:r>
      <w:r>
        <w:rPr>
          <w:w w:val="100"/>
          <w:sz w:val="21"/>
        </w:rPr>
        <w:t>有</w:t>
      </w:r>
      <w:r>
        <w:rPr>
          <w:spacing w:val="-3"/>
          <w:w w:val="100"/>
          <w:sz w:val="21"/>
        </w:rPr>
        <w:t>关</w:t>
      </w:r>
      <w:r>
        <w:rPr>
          <w:w w:val="100"/>
          <w:sz w:val="21"/>
        </w:rPr>
        <w:t>通</w:t>
      </w:r>
      <w:r>
        <w:rPr>
          <w:spacing w:val="-3"/>
          <w:w w:val="100"/>
          <w:sz w:val="21"/>
        </w:rPr>
        <w:t>知</w:t>
      </w:r>
      <w:r>
        <w:rPr>
          <w:w w:val="100"/>
          <w:sz w:val="21"/>
        </w:rPr>
        <w:t>，并视</w:t>
      </w:r>
      <w:r>
        <w:rPr>
          <w:spacing w:val="-3"/>
          <w:w w:val="100"/>
          <w:sz w:val="21"/>
        </w:rPr>
        <w:t>为</w:t>
      </w:r>
      <w:r>
        <w:rPr>
          <w:w w:val="100"/>
          <w:sz w:val="21"/>
        </w:rPr>
        <w:t>已</w:t>
      </w:r>
      <w:r>
        <w:rPr>
          <w:spacing w:val="-3"/>
          <w:w w:val="100"/>
          <w:sz w:val="21"/>
        </w:rPr>
        <w:t>送</w:t>
      </w:r>
      <w:r>
        <w:rPr>
          <w:w w:val="100"/>
          <w:sz w:val="21"/>
        </w:rPr>
        <w:t>达。</w:t>
      </w:r>
    </w:p>
    <w:p>
      <w:pPr>
        <w:pStyle w:val="BodyText"/>
        <w:spacing w:before="10"/>
        <w:rPr>
          <w:sz w:val="24"/>
        </w:rPr>
      </w:pPr>
    </w:p>
    <w:p>
      <w:pPr>
        <w:pStyle w:val="ListParagraph"/>
        <w:numPr>
          <w:ilvl w:val="1"/>
          <w:numId w:val="16"/>
        </w:numPr>
        <w:tabs>
          <w:tab w:pos="1121" w:val="left" w:leader="none"/>
        </w:tabs>
        <w:spacing w:line="278" w:lineRule="auto" w:before="0" w:after="0"/>
        <w:ind w:left="3000" w:right="667" w:hanging="2733"/>
        <w:jc w:val="both"/>
        <w:rPr>
          <w:sz w:val="21"/>
        </w:rPr>
      </w:pPr>
      <w:r>
        <w:rPr>
          <w:b/>
          <w:spacing w:val="72"/>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91"/>
        <w:ind w:left="3000" w:right="667"/>
        <w:jc w:val="both"/>
      </w:pPr>
      <w:r>
        <w:rPr>
          <w:spacing w:val="-2"/>
        </w:rPr>
        <w:t>如日后被保险人重新出现或确知其没有死亡，保险金领取人应将已领取的保</w:t>
      </w:r>
      <w:r>
        <w:rPr>
          <w:spacing w:val="-2"/>
        </w:rPr>
        <w:t>险金于被保险人重新出现或确知其没有死亡之日起三十日内退还本公司，本</w:t>
      </w:r>
      <w:r>
        <w:rPr>
          <w:spacing w:val="-2"/>
        </w:rPr>
        <w:t>合同的效力由您和本公司依法协商处理。</w:t>
      </w:r>
    </w:p>
    <w:p>
      <w:pPr>
        <w:pStyle w:val="BodyText"/>
        <w:rPr>
          <w:sz w:val="20"/>
        </w:rPr>
      </w:pPr>
    </w:p>
    <w:p>
      <w:pPr>
        <w:pStyle w:val="Heading2"/>
        <w:numPr>
          <w:ilvl w:val="1"/>
          <w:numId w:val="16"/>
        </w:numPr>
        <w:tabs>
          <w:tab w:pos="1121" w:val="left" w:leader="none"/>
        </w:tabs>
        <w:spacing w:line="278" w:lineRule="auto" w:before="151" w:after="0"/>
        <w:ind w:left="3000" w:right="745" w:hanging="2733"/>
        <w:jc w:val="both"/>
      </w:pPr>
      <w:r>
        <w:rPr/>
        <w:t>未还款项的扣除 除本合同另有约定外，我们在给付各项保险金、退还现金价值或保险费时，</w:t>
      </w:r>
      <w:r>
        <w:rPr>
          <w:spacing w:val="-2"/>
        </w:rPr>
        <w:t>若您有欠交的保险费、未偿还的保单质押贷款及利息或其他未还清款项，我</w:t>
      </w:r>
      <w:r>
        <w:rPr>
          <w:spacing w:val="-2"/>
        </w:rPr>
        <w:t>们将扣除上述欠款及相应利息。</w:t>
      </w:r>
    </w:p>
    <w:p>
      <w:pPr>
        <w:pStyle w:val="BodyText"/>
        <w:spacing w:before="9"/>
        <w:rPr>
          <w:b/>
          <w:sz w:val="24"/>
        </w:rPr>
      </w:pPr>
    </w:p>
    <w:p>
      <w:pPr>
        <w:pStyle w:val="ListParagraph"/>
        <w:numPr>
          <w:ilvl w:val="1"/>
          <w:numId w:val="16"/>
        </w:numPr>
        <w:tabs>
          <w:tab w:pos="1121" w:val="left" w:leader="none"/>
        </w:tabs>
        <w:spacing w:line="278" w:lineRule="auto" w:before="0" w:after="0"/>
        <w:ind w:left="3000" w:right="667" w:hanging="2733"/>
        <w:jc w:val="both"/>
        <w:rPr>
          <w:sz w:val="21"/>
        </w:rPr>
      </w:pPr>
      <w:r>
        <w:rPr>
          <w:b/>
          <w:spacing w:val="36"/>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rPr>
          <w:sz w:val="20"/>
        </w:rPr>
      </w:pPr>
    </w:p>
    <w:p>
      <w:pPr>
        <w:pStyle w:val="ListParagraph"/>
        <w:numPr>
          <w:ilvl w:val="1"/>
          <w:numId w:val="16"/>
        </w:numPr>
        <w:tabs>
          <w:tab w:pos="1120" w:val="left" w:leader="none"/>
          <w:tab w:pos="1121" w:val="left" w:leader="none"/>
          <w:tab w:pos="3000" w:val="left" w:leader="none"/>
        </w:tabs>
        <w:spacing w:line="240" w:lineRule="auto" w:before="140" w:after="0"/>
        <w:ind w:left="1120" w:right="0" w:hanging="854"/>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6"/>
        </w:numPr>
        <w:tabs>
          <w:tab w:pos="3530" w:val="left" w:leader="none"/>
        </w:tabs>
        <w:spacing w:line="278" w:lineRule="auto" w:before="137" w:after="0"/>
        <w:ind w:left="3525" w:right="668" w:hanging="526"/>
        <w:jc w:val="left"/>
        <w:rPr>
          <w:sz w:val="21"/>
        </w:rPr>
      </w:pPr>
      <w:r>
        <w:rPr>
          <w:spacing w:val="-2"/>
          <w:sz w:val="21"/>
        </w:rPr>
        <w:t>因履行本合同发生的争议，由当事人协商解决，协商不成的，提交本合</w:t>
      </w:r>
      <w:r>
        <w:rPr>
          <w:spacing w:val="-2"/>
          <w:sz w:val="21"/>
        </w:rPr>
        <w:t>同约定的仲裁委员会仲裁；</w:t>
      </w:r>
    </w:p>
    <w:p>
      <w:pPr>
        <w:pStyle w:val="ListParagraph"/>
        <w:numPr>
          <w:ilvl w:val="2"/>
          <w:numId w:val="16"/>
        </w:numPr>
        <w:tabs>
          <w:tab w:pos="3530" w:val="left" w:leader="none"/>
        </w:tabs>
        <w:spacing w:line="278" w:lineRule="auto" w:before="91" w:after="0"/>
        <w:ind w:left="3525" w:right="668" w:hanging="526"/>
        <w:jc w:val="left"/>
        <w:rPr>
          <w:sz w:val="21"/>
        </w:rPr>
      </w:pPr>
      <w:r>
        <w:rPr>
          <w:spacing w:val="-2"/>
          <w:sz w:val="21"/>
        </w:rPr>
        <w:t>因履行本合同发生的争议，由当事人协商解决，协商不成的，依法向有</w:t>
      </w:r>
      <w:r>
        <w:rPr>
          <w:spacing w:val="-2"/>
          <w:sz w:val="21"/>
        </w:rPr>
        <w:t>管辖权的人民法院提起诉讼。</w:t>
      </w:r>
    </w:p>
    <w:p>
      <w:pPr>
        <w:spacing w:after="0" w:line="278" w:lineRule="auto"/>
        <w:jc w:val="left"/>
        <w:rPr>
          <w:sz w:val="21"/>
        </w:rPr>
        <w:sectPr>
          <w:type w:val="continuous"/>
          <w:pgSz w:w="11910" w:h="16840"/>
          <w:pgMar w:header="0" w:footer="404" w:top="600" w:bottom="280" w:left="860" w:right="340"/>
        </w:sectPr>
      </w:pPr>
    </w:p>
    <w:tbl>
      <w:tblPr>
        <w:tblW w:w="0" w:type="auto"/>
        <w:jc w:val="left"/>
        <w:tblInd w:w="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1"/>
        <w:gridCol w:w="7343"/>
      </w:tblGrid>
      <w:tr>
        <w:trPr>
          <w:trHeight w:val="522" w:hRule="atLeast"/>
        </w:trPr>
        <w:tc>
          <w:tcPr>
            <w:tcW w:w="745" w:type="dxa"/>
            <w:tcBorders>
              <w:bottom w:val="single" w:sz="8" w:space="0" w:color="000000"/>
            </w:tcBorders>
          </w:tcPr>
          <w:p>
            <w:pPr>
              <w:pStyle w:val="TableParagraph"/>
              <w:spacing w:line="418" w:lineRule="exact"/>
              <w:ind w:left="107"/>
              <w:rPr>
                <w:rFonts w:ascii="Wingdings 2" w:hAnsi="Wingdings 2"/>
                <w:b/>
                <w:sz w:val="40"/>
              </w:rPr>
            </w:pPr>
            <w:r>
              <w:rPr>
                <w:rFonts w:ascii="Wingdings 2" w:hAnsi="Wingdings 2"/>
                <w:b/>
                <w:w w:val="100"/>
                <w:sz w:val="40"/>
              </w:rPr>
              <w:t></w:t>
            </w:r>
          </w:p>
        </w:tc>
        <w:tc>
          <w:tcPr>
            <w:tcW w:w="1891" w:type="dxa"/>
            <w:tcBorders>
              <w:bottom w:val="single" w:sz="8" w:space="0" w:color="000000"/>
            </w:tcBorders>
          </w:tcPr>
          <w:p>
            <w:pPr>
              <w:pStyle w:val="TableParagraph"/>
              <w:spacing w:before="53"/>
              <w:ind w:left="215"/>
              <w:rPr>
                <w:b/>
                <w:sz w:val="24"/>
              </w:rPr>
            </w:pPr>
            <w:r>
              <w:rPr>
                <w:b/>
                <w:spacing w:val="-3"/>
                <w:w w:val="95"/>
                <w:sz w:val="24"/>
              </w:rPr>
              <w:t>疾病定义</w:t>
            </w:r>
          </w:p>
        </w:tc>
        <w:tc>
          <w:tcPr>
            <w:tcW w:w="7343" w:type="dxa"/>
            <w:tcBorders>
              <w:bottom w:val="single" w:sz="8" w:space="0" w:color="000000"/>
            </w:tcBorders>
          </w:tcPr>
          <w:p>
            <w:pPr>
              <w:pStyle w:val="TableParagraph"/>
              <w:ind w:left="0"/>
              <w:rPr>
                <w:rFonts w:ascii="Times New Roman"/>
                <w:sz w:val="20"/>
              </w:rPr>
            </w:pPr>
          </w:p>
        </w:tc>
      </w:tr>
      <w:tr>
        <w:trPr>
          <w:trHeight w:val="521" w:hRule="atLeast"/>
        </w:trPr>
        <w:tc>
          <w:tcPr>
            <w:tcW w:w="745" w:type="dxa"/>
            <w:tcBorders>
              <w:top w:val="single" w:sz="8" w:space="0" w:color="000000"/>
            </w:tcBorders>
          </w:tcPr>
          <w:p>
            <w:pPr>
              <w:pStyle w:val="TableParagraph"/>
              <w:spacing w:before="9"/>
              <w:ind w:left="0"/>
              <w:rPr>
                <w:sz w:val="17"/>
              </w:rPr>
            </w:pPr>
          </w:p>
          <w:p>
            <w:pPr>
              <w:pStyle w:val="TableParagraph"/>
              <w:ind w:left="107"/>
              <w:rPr>
                <w:b/>
                <w:sz w:val="21"/>
              </w:rPr>
            </w:pPr>
            <w:r>
              <w:rPr>
                <w:b/>
                <w:spacing w:val="-4"/>
                <w:sz w:val="21"/>
              </w:rPr>
              <w:t>10.1</w:t>
            </w:r>
          </w:p>
        </w:tc>
        <w:tc>
          <w:tcPr>
            <w:tcW w:w="1891" w:type="dxa"/>
            <w:tcBorders>
              <w:top w:val="single" w:sz="8" w:space="0" w:color="000000"/>
            </w:tcBorders>
          </w:tcPr>
          <w:p>
            <w:pPr>
              <w:pStyle w:val="TableParagraph"/>
              <w:spacing w:before="9"/>
              <w:ind w:left="0"/>
              <w:rPr>
                <w:sz w:val="17"/>
              </w:rPr>
            </w:pPr>
          </w:p>
          <w:p>
            <w:pPr>
              <w:pStyle w:val="TableParagraph"/>
              <w:ind w:left="215"/>
              <w:rPr>
                <w:b/>
                <w:sz w:val="21"/>
              </w:rPr>
            </w:pPr>
            <w:r>
              <w:rPr>
                <w:b/>
                <w:spacing w:val="-2"/>
                <w:sz w:val="21"/>
              </w:rPr>
              <w:t>轻症疾病定义</w:t>
            </w:r>
          </w:p>
        </w:tc>
        <w:tc>
          <w:tcPr>
            <w:tcW w:w="7343" w:type="dxa"/>
            <w:tcBorders>
              <w:top w:val="single" w:sz="8" w:space="0" w:color="000000"/>
            </w:tcBorders>
          </w:tcPr>
          <w:p>
            <w:pPr>
              <w:pStyle w:val="TableParagraph"/>
              <w:spacing w:before="9"/>
              <w:ind w:left="0"/>
              <w:rPr>
                <w:sz w:val="17"/>
              </w:rPr>
            </w:pPr>
          </w:p>
          <w:p>
            <w:pPr>
              <w:pStyle w:val="TableParagraph"/>
              <w:ind w:left="204"/>
              <w:rPr>
                <w:b/>
                <w:sz w:val="21"/>
              </w:rPr>
            </w:pPr>
            <w:r>
              <w:rPr>
                <w:b/>
                <w:w w:val="95"/>
                <w:sz w:val="21"/>
              </w:rPr>
              <w:t>本</w:t>
            </w:r>
            <w:r>
              <w:rPr>
                <w:b/>
                <w:w w:val="95"/>
                <w:sz w:val="21"/>
              </w:rPr>
              <w:t>合</w:t>
            </w:r>
            <w:r>
              <w:rPr>
                <w:b/>
                <w:w w:val="95"/>
                <w:sz w:val="21"/>
              </w:rPr>
              <w:t>同</w:t>
            </w:r>
            <w:r>
              <w:rPr>
                <w:b/>
                <w:w w:val="95"/>
                <w:sz w:val="21"/>
              </w:rPr>
              <w:t>所</w:t>
            </w:r>
            <w:r>
              <w:rPr>
                <w:b/>
                <w:w w:val="95"/>
                <w:sz w:val="21"/>
              </w:rPr>
              <w:t>保</w:t>
            </w:r>
            <w:r>
              <w:rPr>
                <w:b/>
                <w:w w:val="95"/>
                <w:sz w:val="21"/>
              </w:rPr>
              <w:t>障</w:t>
            </w:r>
            <w:r>
              <w:rPr>
                <w:b/>
                <w:w w:val="95"/>
                <w:sz w:val="21"/>
              </w:rPr>
              <w:t>的</w:t>
            </w:r>
            <w:r>
              <w:rPr>
                <w:b/>
                <w:w w:val="95"/>
                <w:sz w:val="21"/>
              </w:rPr>
              <w:t>轻</w:t>
            </w:r>
            <w:r>
              <w:rPr>
                <w:b/>
                <w:w w:val="95"/>
                <w:sz w:val="21"/>
              </w:rPr>
              <w:t>症疾病共</w:t>
            </w:r>
            <w:r>
              <w:rPr>
                <w:b/>
                <w:spacing w:val="41"/>
                <w:w w:val="150"/>
                <w:sz w:val="21"/>
              </w:rPr>
              <w:t> </w:t>
            </w:r>
            <w:r>
              <w:rPr>
                <w:b/>
                <w:w w:val="95"/>
                <w:sz w:val="21"/>
              </w:rPr>
              <w:t>55</w:t>
            </w:r>
            <w:r>
              <w:rPr>
                <w:b/>
                <w:spacing w:val="37"/>
                <w:w w:val="150"/>
                <w:sz w:val="21"/>
              </w:rPr>
              <w:t> </w:t>
            </w:r>
            <w:r>
              <w:rPr>
                <w:b/>
                <w:w w:val="95"/>
                <w:sz w:val="21"/>
              </w:rPr>
              <w:t>种，</w:t>
            </w:r>
            <w:r>
              <w:rPr>
                <w:b/>
                <w:w w:val="95"/>
                <w:sz w:val="21"/>
              </w:rPr>
              <w:t>是</w:t>
            </w:r>
            <w:r>
              <w:rPr>
                <w:b/>
                <w:w w:val="95"/>
                <w:sz w:val="21"/>
              </w:rPr>
              <w:t>指</w:t>
            </w:r>
            <w:r>
              <w:rPr>
                <w:b/>
                <w:w w:val="95"/>
                <w:sz w:val="21"/>
              </w:rPr>
              <w:t>被</w:t>
            </w:r>
            <w:r>
              <w:rPr>
                <w:b/>
                <w:w w:val="95"/>
                <w:sz w:val="21"/>
              </w:rPr>
              <w:t>保</w:t>
            </w:r>
            <w:r>
              <w:rPr>
                <w:b/>
                <w:w w:val="95"/>
                <w:sz w:val="21"/>
              </w:rPr>
              <w:t>险</w:t>
            </w:r>
            <w:r>
              <w:rPr>
                <w:b/>
                <w:w w:val="95"/>
                <w:sz w:val="21"/>
              </w:rPr>
              <w:t>人</w:t>
            </w:r>
            <w:r>
              <w:rPr>
                <w:b/>
                <w:w w:val="95"/>
                <w:sz w:val="21"/>
              </w:rPr>
              <w:t>在</w:t>
            </w:r>
            <w:r>
              <w:rPr>
                <w:b/>
                <w:w w:val="95"/>
                <w:sz w:val="21"/>
              </w:rPr>
              <w:t>本</w:t>
            </w:r>
            <w:r>
              <w:rPr>
                <w:b/>
                <w:w w:val="95"/>
                <w:sz w:val="21"/>
              </w:rPr>
              <w:t>公</w:t>
            </w:r>
            <w:r>
              <w:rPr>
                <w:b/>
                <w:w w:val="95"/>
                <w:sz w:val="21"/>
              </w:rPr>
              <w:t>司</w:t>
            </w:r>
            <w:r>
              <w:rPr>
                <w:b/>
                <w:w w:val="95"/>
                <w:sz w:val="21"/>
              </w:rPr>
              <w:t>认</w:t>
            </w:r>
            <w:r>
              <w:rPr>
                <w:b/>
                <w:w w:val="95"/>
                <w:sz w:val="21"/>
              </w:rPr>
              <w:t>可</w:t>
            </w:r>
            <w:r>
              <w:rPr>
                <w:b/>
                <w:w w:val="95"/>
                <w:sz w:val="21"/>
              </w:rPr>
              <w:t>的</w:t>
            </w:r>
            <w:r>
              <w:rPr>
                <w:b/>
                <w:w w:val="95"/>
                <w:sz w:val="21"/>
              </w:rPr>
              <w:t>医</w:t>
            </w:r>
            <w:r>
              <w:rPr>
                <w:b/>
                <w:w w:val="95"/>
                <w:sz w:val="21"/>
              </w:rPr>
              <w:t>疗</w:t>
            </w:r>
            <w:r>
              <w:rPr>
                <w:b/>
                <w:w w:val="95"/>
                <w:sz w:val="21"/>
              </w:rPr>
              <w:t>机</w:t>
            </w:r>
            <w:r>
              <w:rPr>
                <w:b/>
                <w:w w:val="95"/>
                <w:sz w:val="21"/>
              </w:rPr>
              <w:t>构</w:t>
            </w:r>
            <w:r>
              <w:rPr>
                <w:b/>
                <w:spacing w:val="-10"/>
                <w:w w:val="95"/>
                <w:sz w:val="21"/>
              </w:rPr>
              <w:t>内</w:t>
            </w:r>
          </w:p>
        </w:tc>
      </w:tr>
      <w:tr>
        <w:trPr>
          <w:trHeight w:val="312" w:hRule="atLeast"/>
        </w:trPr>
        <w:tc>
          <w:tcPr>
            <w:tcW w:w="745" w:type="dxa"/>
          </w:tcPr>
          <w:p>
            <w:pPr>
              <w:pStyle w:val="TableParagraph"/>
              <w:ind w:left="0"/>
              <w:rPr>
                <w:rFonts w:ascii="Times New Roman"/>
                <w:sz w:val="20"/>
              </w:rPr>
            </w:pPr>
          </w:p>
        </w:tc>
        <w:tc>
          <w:tcPr>
            <w:tcW w:w="1891" w:type="dxa"/>
          </w:tcPr>
          <w:p>
            <w:pPr>
              <w:pStyle w:val="TableParagraph"/>
              <w:ind w:left="0"/>
              <w:rPr>
                <w:rFonts w:ascii="Times New Roman"/>
                <w:sz w:val="20"/>
              </w:rPr>
            </w:pPr>
          </w:p>
        </w:tc>
        <w:tc>
          <w:tcPr>
            <w:tcW w:w="7343" w:type="dxa"/>
          </w:tcPr>
          <w:p>
            <w:pPr>
              <w:pStyle w:val="TableParagraph"/>
              <w:spacing w:before="17"/>
              <w:ind w:left="204"/>
              <w:rPr>
                <w:b/>
                <w:sz w:val="21"/>
              </w:rPr>
            </w:pPr>
            <w:r>
              <w:rPr>
                <w:b/>
                <w:w w:val="95"/>
                <w:sz w:val="21"/>
              </w:rPr>
              <w:t>被</w:t>
            </w:r>
            <w:r>
              <w:rPr>
                <w:b/>
                <w:w w:val="95"/>
                <w:sz w:val="21"/>
              </w:rPr>
              <w:t>专</w:t>
            </w:r>
            <w:r>
              <w:rPr>
                <w:b/>
                <w:w w:val="95"/>
                <w:sz w:val="21"/>
              </w:rPr>
              <w:t>科</w:t>
            </w:r>
            <w:r>
              <w:rPr>
                <w:b/>
                <w:w w:val="95"/>
                <w:sz w:val="21"/>
              </w:rPr>
              <w:t>医</w:t>
            </w:r>
            <w:r>
              <w:rPr>
                <w:b/>
                <w:w w:val="95"/>
                <w:sz w:val="21"/>
              </w:rPr>
              <w:t>生</w:t>
            </w:r>
            <w:r>
              <w:rPr>
                <w:b/>
                <w:w w:val="95"/>
                <w:sz w:val="21"/>
              </w:rPr>
              <w:t>明</w:t>
            </w:r>
            <w:r>
              <w:rPr>
                <w:b/>
                <w:w w:val="95"/>
                <w:sz w:val="21"/>
              </w:rPr>
              <w:t>确</w:t>
            </w:r>
            <w:r>
              <w:rPr>
                <w:b/>
                <w:w w:val="95"/>
                <w:sz w:val="21"/>
              </w:rPr>
              <w:t>诊</w:t>
            </w:r>
            <w:r>
              <w:rPr>
                <w:b/>
                <w:w w:val="95"/>
                <w:sz w:val="21"/>
              </w:rPr>
              <w:t>断的符</w:t>
            </w:r>
            <w:r>
              <w:rPr>
                <w:b/>
                <w:w w:val="95"/>
                <w:sz w:val="21"/>
              </w:rPr>
              <w:t>合</w:t>
            </w:r>
            <w:r>
              <w:rPr>
                <w:b/>
                <w:w w:val="95"/>
                <w:sz w:val="21"/>
              </w:rPr>
              <w:t>下</w:t>
            </w:r>
            <w:r>
              <w:rPr>
                <w:b/>
                <w:w w:val="95"/>
                <w:sz w:val="21"/>
              </w:rPr>
              <w:t>列</w:t>
            </w:r>
            <w:r>
              <w:rPr>
                <w:b/>
                <w:w w:val="95"/>
                <w:sz w:val="21"/>
              </w:rPr>
              <w:t>定</w:t>
            </w:r>
            <w:r>
              <w:rPr>
                <w:b/>
                <w:w w:val="95"/>
                <w:sz w:val="21"/>
              </w:rPr>
              <w:t>义</w:t>
            </w:r>
            <w:r>
              <w:rPr>
                <w:b/>
                <w:w w:val="95"/>
                <w:sz w:val="21"/>
              </w:rPr>
              <w:t>的</w:t>
            </w:r>
            <w:r>
              <w:rPr>
                <w:b/>
                <w:w w:val="95"/>
                <w:sz w:val="21"/>
              </w:rPr>
              <w:t>疾</w:t>
            </w:r>
            <w:r>
              <w:rPr>
                <w:b/>
                <w:w w:val="95"/>
                <w:sz w:val="21"/>
              </w:rPr>
              <w:t>病</w:t>
            </w:r>
            <w:r>
              <w:rPr>
                <w:b/>
                <w:w w:val="95"/>
                <w:sz w:val="21"/>
              </w:rPr>
              <w:t>、疾病</w:t>
            </w:r>
            <w:r>
              <w:rPr>
                <w:b/>
                <w:w w:val="95"/>
                <w:sz w:val="21"/>
              </w:rPr>
              <w:t>状</w:t>
            </w:r>
            <w:r>
              <w:rPr>
                <w:b/>
                <w:w w:val="95"/>
                <w:sz w:val="21"/>
              </w:rPr>
              <w:t>态</w:t>
            </w:r>
            <w:r>
              <w:rPr>
                <w:b/>
                <w:w w:val="95"/>
                <w:sz w:val="21"/>
              </w:rPr>
              <w:t>或</w:t>
            </w:r>
            <w:r>
              <w:rPr>
                <w:b/>
                <w:w w:val="95"/>
                <w:sz w:val="21"/>
              </w:rPr>
              <w:t>手</w:t>
            </w:r>
            <w:r>
              <w:rPr>
                <w:b/>
                <w:w w:val="95"/>
                <w:sz w:val="21"/>
              </w:rPr>
              <w:t>术</w:t>
            </w:r>
            <w:r>
              <w:rPr>
                <w:b/>
                <w:w w:val="95"/>
                <w:sz w:val="21"/>
              </w:rPr>
              <w:t>：</w:t>
            </w:r>
            <w:r>
              <w:rPr>
                <w:b/>
                <w:w w:val="95"/>
                <w:sz w:val="21"/>
              </w:rPr>
              <w:t>其</w:t>
            </w:r>
            <w:r>
              <w:rPr>
                <w:b/>
                <w:w w:val="95"/>
                <w:sz w:val="21"/>
              </w:rPr>
              <w:t>中</w:t>
            </w:r>
            <w:r>
              <w:rPr>
                <w:b/>
                <w:w w:val="95"/>
                <w:sz w:val="21"/>
              </w:rPr>
              <w:t>前</w:t>
            </w:r>
            <w:r>
              <w:rPr>
                <w:b/>
                <w:spacing w:val="52"/>
                <w:w w:val="150"/>
                <w:sz w:val="21"/>
              </w:rPr>
              <w:t> </w:t>
            </w:r>
            <w:r>
              <w:rPr>
                <w:b/>
                <w:w w:val="95"/>
                <w:sz w:val="21"/>
              </w:rPr>
              <w:t>3</w:t>
            </w:r>
            <w:r>
              <w:rPr>
                <w:b/>
                <w:spacing w:val="52"/>
                <w:w w:val="150"/>
                <w:sz w:val="21"/>
              </w:rPr>
              <w:t> </w:t>
            </w:r>
            <w:r>
              <w:rPr>
                <w:b/>
                <w:spacing w:val="-10"/>
                <w:w w:val="95"/>
                <w:sz w:val="21"/>
              </w:rPr>
              <w:t>种</w:t>
            </w:r>
          </w:p>
        </w:tc>
      </w:tr>
      <w:tr>
        <w:trPr>
          <w:trHeight w:val="311" w:hRule="atLeast"/>
        </w:trPr>
        <w:tc>
          <w:tcPr>
            <w:tcW w:w="745" w:type="dxa"/>
          </w:tcPr>
          <w:p>
            <w:pPr>
              <w:pStyle w:val="TableParagraph"/>
              <w:ind w:left="0"/>
              <w:rPr>
                <w:rFonts w:ascii="Times New Roman"/>
                <w:sz w:val="20"/>
              </w:rPr>
            </w:pPr>
          </w:p>
        </w:tc>
        <w:tc>
          <w:tcPr>
            <w:tcW w:w="1891" w:type="dxa"/>
          </w:tcPr>
          <w:p>
            <w:pPr>
              <w:pStyle w:val="TableParagraph"/>
              <w:ind w:left="0"/>
              <w:rPr>
                <w:rFonts w:ascii="Times New Roman"/>
                <w:sz w:val="20"/>
              </w:rPr>
            </w:pPr>
          </w:p>
        </w:tc>
        <w:tc>
          <w:tcPr>
            <w:tcW w:w="7343" w:type="dxa"/>
          </w:tcPr>
          <w:p>
            <w:pPr>
              <w:pStyle w:val="TableParagraph"/>
              <w:spacing w:before="17"/>
              <w:ind w:left="204"/>
              <w:rPr>
                <w:b/>
                <w:sz w:val="21"/>
              </w:rPr>
            </w:pPr>
            <w:r>
              <w:rPr>
                <w:b/>
                <w:w w:val="95"/>
                <w:sz w:val="21"/>
              </w:rPr>
              <w:t>轻</w:t>
            </w:r>
            <w:r>
              <w:rPr>
                <w:b/>
                <w:w w:val="95"/>
                <w:sz w:val="21"/>
              </w:rPr>
              <w:t>症</w:t>
            </w:r>
            <w:r>
              <w:rPr>
                <w:b/>
                <w:w w:val="95"/>
                <w:sz w:val="21"/>
              </w:rPr>
              <w:t>疾</w:t>
            </w:r>
            <w:r>
              <w:rPr>
                <w:b/>
                <w:w w:val="95"/>
                <w:sz w:val="21"/>
              </w:rPr>
              <w:t>病</w:t>
            </w:r>
            <w:r>
              <w:rPr>
                <w:b/>
                <w:w w:val="95"/>
                <w:sz w:val="21"/>
              </w:rPr>
              <w:t>与</w:t>
            </w:r>
            <w:r>
              <w:rPr>
                <w:b/>
                <w:w w:val="95"/>
                <w:sz w:val="21"/>
              </w:rPr>
              <w:t>《</w:t>
            </w:r>
            <w:r>
              <w:rPr>
                <w:b/>
                <w:w w:val="95"/>
                <w:sz w:val="21"/>
              </w:rPr>
              <w:t>重</w:t>
            </w:r>
            <w:r>
              <w:rPr>
                <w:b/>
                <w:w w:val="95"/>
                <w:sz w:val="21"/>
              </w:rPr>
              <w:t>大</w:t>
            </w:r>
            <w:r>
              <w:rPr>
                <w:b/>
                <w:w w:val="95"/>
                <w:sz w:val="21"/>
              </w:rPr>
              <w:t>疾病保</w:t>
            </w:r>
            <w:r>
              <w:rPr>
                <w:b/>
                <w:w w:val="95"/>
                <w:sz w:val="21"/>
              </w:rPr>
              <w:t>险</w:t>
            </w:r>
            <w:r>
              <w:rPr>
                <w:b/>
                <w:w w:val="95"/>
                <w:sz w:val="21"/>
              </w:rPr>
              <w:t>的</w:t>
            </w:r>
            <w:r>
              <w:rPr>
                <w:b/>
                <w:w w:val="95"/>
                <w:sz w:val="21"/>
              </w:rPr>
              <w:t>疾</w:t>
            </w:r>
            <w:r>
              <w:rPr>
                <w:b/>
                <w:w w:val="95"/>
                <w:sz w:val="21"/>
              </w:rPr>
              <w:t>病</w:t>
            </w:r>
            <w:r>
              <w:rPr>
                <w:b/>
                <w:w w:val="95"/>
                <w:sz w:val="21"/>
              </w:rPr>
              <w:t>定</w:t>
            </w:r>
            <w:r>
              <w:rPr>
                <w:b/>
                <w:w w:val="95"/>
                <w:sz w:val="21"/>
              </w:rPr>
              <w:t>义</w:t>
            </w:r>
            <w:r>
              <w:rPr>
                <w:b/>
                <w:w w:val="95"/>
                <w:sz w:val="21"/>
              </w:rPr>
              <w:t>使</w:t>
            </w:r>
            <w:r>
              <w:rPr>
                <w:b/>
                <w:w w:val="95"/>
                <w:sz w:val="21"/>
              </w:rPr>
              <w:t>用</w:t>
            </w:r>
            <w:r>
              <w:rPr>
                <w:b/>
                <w:w w:val="95"/>
                <w:sz w:val="21"/>
              </w:rPr>
              <w:t>规</w:t>
            </w:r>
            <w:r>
              <w:rPr>
                <w:b/>
                <w:w w:val="95"/>
                <w:sz w:val="21"/>
              </w:rPr>
              <w:t>范</w:t>
            </w:r>
            <w:r>
              <w:rPr>
                <w:b/>
                <w:w w:val="95"/>
                <w:sz w:val="21"/>
              </w:rPr>
              <w:t>（2020</w:t>
            </w:r>
            <w:r>
              <w:rPr>
                <w:b/>
                <w:spacing w:val="28"/>
                <w:w w:val="150"/>
                <w:sz w:val="21"/>
              </w:rPr>
              <w:t>  </w:t>
            </w:r>
            <w:r>
              <w:rPr>
                <w:b/>
                <w:w w:val="95"/>
                <w:sz w:val="21"/>
              </w:rPr>
              <w:t>年</w:t>
            </w:r>
            <w:r>
              <w:rPr>
                <w:b/>
                <w:w w:val="95"/>
                <w:sz w:val="21"/>
              </w:rPr>
              <w:t>修</w:t>
            </w:r>
            <w:r>
              <w:rPr>
                <w:b/>
                <w:w w:val="95"/>
                <w:sz w:val="21"/>
              </w:rPr>
              <w:t>订</w:t>
            </w:r>
            <w:r>
              <w:rPr>
                <w:b/>
                <w:w w:val="95"/>
                <w:sz w:val="21"/>
              </w:rPr>
              <w:t>版</w:t>
            </w:r>
            <w:r>
              <w:rPr>
                <w:b/>
                <w:w w:val="95"/>
                <w:sz w:val="21"/>
              </w:rPr>
              <w:t>）</w:t>
            </w:r>
            <w:r>
              <w:rPr>
                <w:b/>
                <w:w w:val="95"/>
                <w:sz w:val="21"/>
              </w:rPr>
              <w:t>》</w:t>
            </w:r>
            <w:r>
              <w:rPr>
                <w:b/>
                <w:w w:val="95"/>
                <w:sz w:val="21"/>
              </w:rPr>
              <w:t>中</w:t>
            </w:r>
            <w:r>
              <w:rPr>
                <w:b/>
                <w:w w:val="95"/>
                <w:sz w:val="21"/>
              </w:rPr>
              <w:t>轻</w:t>
            </w:r>
            <w:r>
              <w:rPr>
                <w:b/>
                <w:spacing w:val="-10"/>
                <w:w w:val="95"/>
                <w:sz w:val="21"/>
              </w:rPr>
              <w:t>度</w:t>
            </w:r>
          </w:p>
        </w:tc>
      </w:tr>
      <w:tr>
        <w:trPr>
          <w:trHeight w:val="312" w:hRule="atLeast"/>
        </w:trPr>
        <w:tc>
          <w:tcPr>
            <w:tcW w:w="745" w:type="dxa"/>
          </w:tcPr>
          <w:p>
            <w:pPr>
              <w:pStyle w:val="TableParagraph"/>
              <w:ind w:left="0"/>
              <w:rPr>
                <w:rFonts w:ascii="Times New Roman"/>
                <w:sz w:val="20"/>
              </w:rPr>
            </w:pPr>
          </w:p>
        </w:tc>
        <w:tc>
          <w:tcPr>
            <w:tcW w:w="1891" w:type="dxa"/>
          </w:tcPr>
          <w:p>
            <w:pPr>
              <w:pStyle w:val="TableParagraph"/>
              <w:ind w:left="0"/>
              <w:rPr>
                <w:rFonts w:ascii="Times New Roman"/>
                <w:sz w:val="20"/>
              </w:rPr>
            </w:pPr>
          </w:p>
        </w:tc>
        <w:tc>
          <w:tcPr>
            <w:tcW w:w="7343" w:type="dxa"/>
          </w:tcPr>
          <w:p>
            <w:pPr>
              <w:pStyle w:val="TableParagraph"/>
              <w:spacing w:before="17"/>
              <w:ind w:left="204"/>
              <w:rPr>
                <w:b/>
                <w:sz w:val="21"/>
              </w:rPr>
            </w:pPr>
            <w:r>
              <w:rPr>
                <w:b/>
                <w:spacing w:val="-3"/>
                <w:sz w:val="21"/>
              </w:rPr>
              <w:t>疾病的疾病名称和疾病定义保持一致，其他轻症疾病为本公司增加的轻症疾</w:t>
            </w:r>
          </w:p>
        </w:tc>
      </w:tr>
      <w:tr>
        <w:trPr>
          <w:trHeight w:val="426" w:hRule="atLeast"/>
        </w:trPr>
        <w:tc>
          <w:tcPr>
            <w:tcW w:w="745" w:type="dxa"/>
          </w:tcPr>
          <w:p>
            <w:pPr>
              <w:pStyle w:val="TableParagraph"/>
              <w:ind w:left="0"/>
              <w:rPr>
                <w:rFonts w:ascii="Times New Roman"/>
                <w:sz w:val="20"/>
              </w:rPr>
            </w:pPr>
          </w:p>
        </w:tc>
        <w:tc>
          <w:tcPr>
            <w:tcW w:w="1891" w:type="dxa"/>
          </w:tcPr>
          <w:p>
            <w:pPr>
              <w:pStyle w:val="TableParagraph"/>
              <w:ind w:left="0"/>
              <w:rPr>
                <w:rFonts w:ascii="Times New Roman"/>
                <w:sz w:val="20"/>
              </w:rPr>
            </w:pPr>
          </w:p>
        </w:tc>
        <w:tc>
          <w:tcPr>
            <w:tcW w:w="7343" w:type="dxa"/>
          </w:tcPr>
          <w:p>
            <w:pPr>
              <w:pStyle w:val="TableParagraph"/>
              <w:spacing w:before="17"/>
              <w:ind w:left="204"/>
              <w:rPr>
                <w:b/>
                <w:sz w:val="21"/>
              </w:rPr>
            </w:pPr>
            <w:r>
              <w:rPr>
                <w:b/>
                <w:spacing w:val="-5"/>
                <w:sz w:val="21"/>
              </w:rPr>
              <w:t>病。</w:t>
            </w:r>
          </w:p>
        </w:tc>
      </w:tr>
      <w:tr>
        <w:trPr>
          <w:trHeight w:val="737" w:hRule="atLeast"/>
        </w:trPr>
        <w:tc>
          <w:tcPr>
            <w:tcW w:w="745" w:type="dxa"/>
          </w:tcPr>
          <w:p>
            <w:pPr>
              <w:pStyle w:val="TableParagraph"/>
              <w:ind w:left="0"/>
              <w:rPr>
                <w:rFonts w:ascii="Times New Roman"/>
                <w:sz w:val="20"/>
              </w:rPr>
            </w:pPr>
          </w:p>
        </w:tc>
        <w:tc>
          <w:tcPr>
            <w:tcW w:w="1891" w:type="dxa"/>
          </w:tcPr>
          <w:p>
            <w:pPr>
              <w:pStyle w:val="TableParagraph"/>
              <w:spacing w:line="310" w:lineRule="atLeast" w:before="90"/>
              <w:ind w:left="215" w:right="201"/>
              <w:rPr>
                <w:sz w:val="21"/>
              </w:rPr>
            </w:pPr>
            <w:r>
              <w:rPr>
                <w:spacing w:val="-2"/>
                <w:sz w:val="21"/>
              </w:rPr>
              <w:t>1.恶性肿瘤——</w:t>
            </w:r>
            <w:r>
              <w:rPr>
                <w:spacing w:val="-6"/>
                <w:sz w:val="21"/>
              </w:rPr>
              <w:t>轻度</w:t>
            </w:r>
          </w:p>
        </w:tc>
        <w:tc>
          <w:tcPr>
            <w:tcW w:w="7343" w:type="dxa"/>
          </w:tcPr>
          <w:p>
            <w:pPr>
              <w:pStyle w:val="TableParagraph"/>
              <w:spacing w:line="310" w:lineRule="atLeast" w:before="90"/>
              <w:ind w:left="204" w:right="101"/>
              <w:rPr>
                <w:sz w:val="11"/>
              </w:rPr>
            </w:pPr>
            <w:r>
              <w:rPr>
                <w:spacing w:val="-2"/>
                <w:sz w:val="21"/>
              </w:rPr>
              <w:t>指恶性细胞不受控制的进行性增长和扩散，浸润和破坏周围正常组织，可以</w:t>
            </w:r>
            <w:r>
              <w:rPr>
                <w:spacing w:val="-2"/>
                <w:sz w:val="21"/>
              </w:rPr>
              <w:t>经血管、淋巴管和体腔扩散转移到身体其他部位，病灶经</w:t>
            </w:r>
            <w:r>
              <w:rPr>
                <w:b/>
                <w:spacing w:val="-8"/>
                <w:sz w:val="21"/>
              </w:rPr>
              <w:t>组织病理学检查 </w:t>
            </w:r>
            <w:r>
              <w:rPr>
                <w:spacing w:val="-2"/>
                <w:position w:val="11"/>
                <w:sz w:val="11"/>
              </w:rPr>
              <w:t>11.22</w:t>
            </w:r>
          </w:p>
        </w:tc>
      </w:tr>
      <w:tr>
        <w:trPr>
          <w:trHeight w:val="312" w:hRule="atLeast"/>
        </w:trPr>
        <w:tc>
          <w:tcPr>
            <w:tcW w:w="2636" w:type="dxa"/>
            <w:gridSpan w:val="2"/>
            <w:vMerge w:val="restart"/>
          </w:tcPr>
          <w:p>
            <w:pPr>
              <w:pStyle w:val="TableParagraph"/>
              <w:ind w:left="0"/>
              <w:rPr>
                <w:rFonts w:ascii="Times New Roman"/>
                <w:sz w:val="20"/>
              </w:rPr>
            </w:pPr>
          </w:p>
        </w:tc>
        <w:tc>
          <w:tcPr>
            <w:tcW w:w="7343" w:type="dxa"/>
          </w:tcPr>
          <w:p>
            <w:pPr>
              <w:pStyle w:val="TableParagraph"/>
              <w:spacing w:before="17"/>
              <w:ind w:left="204"/>
              <w:rPr>
                <w:sz w:val="21"/>
              </w:rPr>
            </w:pPr>
            <w:r>
              <w:rPr>
                <w:spacing w:val="-2"/>
                <w:sz w:val="21"/>
              </w:rPr>
              <w:t>（涵盖骨髓病理学检查）结果明确诊断，临床诊断属于世界卫生组织（WHO，</w:t>
            </w:r>
          </w:p>
        </w:tc>
      </w:tr>
      <w:tr>
        <w:trPr>
          <w:trHeight w:val="936" w:hRule="atLeast"/>
        </w:trPr>
        <w:tc>
          <w:tcPr>
            <w:tcW w:w="2636" w:type="dxa"/>
            <w:gridSpan w:val="2"/>
            <w:vMerge/>
            <w:tcBorders>
              <w:top w:val="nil"/>
            </w:tcBorders>
          </w:tcPr>
          <w:p>
            <w:pPr>
              <w:rPr>
                <w:sz w:val="2"/>
                <w:szCs w:val="2"/>
              </w:rPr>
            </w:pPr>
          </w:p>
        </w:tc>
        <w:tc>
          <w:tcPr>
            <w:tcW w:w="7343" w:type="dxa"/>
          </w:tcPr>
          <w:p>
            <w:pPr>
              <w:pStyle w:val="TableParagraph"/>
              <w:spacing w:line="268" w:lineRule="auto" w:before="17"/>
              <w:ind w:left="204" w:right="98"/>
              <w:rPr>
                <w:sz w:val="21"/>
              </w:rPr>
            </w:pPr>
            <w:r>
              <w:rPr>
                <w:sz w:val="21"/>
              </w:rPr>
              <w:t>World</w:t>
            </w:r>
            <w:r>
              <w:rPr>
                <w:spacing w:val="-18"/>
                <w:sz w:val="21"/>
              </w:rPr>
              <w:t> </w:t>
            </w:r>
            <w:r>
              <w:rPr>
                <w:sz w:val="21"/>
              </w:rPr>
              <w:t>Health</w:t>
            </w:r>
            <w:r>
              <w:rPr>
                <w:spacing w:val="-18"/>
                <w:sz w:val="21"/>
              </w:rPr>
              <w:t> </w:t>
            </w:r>
            <w:r>
              <w:rPr>
                <w:sz w:val="21"/>
              </w:rPr>
              <w:t>Organization）《疾病和有关健康问题的国际统计分类》第十</w:t>
            </w:r>
            <w:r>
              <w:rPr>
                <w:w w:val="95"/>
                <w:sz w:val="21"/>
              </w:rPr>
              <w:t>次</w:t>
            </w:r>
            <w:r>
              <w:rPr>
                <w:w w:val="95"/>
                <w:sz w:val="21"/>
              </w:rPr>
              <w:t>修</w:t>
            </w:r>
            <w:r>
              <w:rPr>
                <w:w w:val="95"/>
                <w:sz w:val="21"/>
              </w:rPr>
              <w:t>订版（</w:t>
            </w:r>
            <w:r>
              <w:rPr>
                <w:b/>
                <w:w w:val="95"/>
                <w:sz w:val="21"/>
              </w:rPr>
              <w:t>ICD-10</w:t>
            </w:r>
            <w:r>
              <w:rPr>
                <w:b/>
                <w:spacing w:val="57"/>
                <w:sz w:val="21"/>
              </w:rPr>
              <w:t>  </w:t>
            </w:r>
            <w:r>
              <w:rPr>
                <w:w w:val="95"/>
                <w:position w:val="11"/>
                <w:sz w:val="11"/>
              </w:rPr>
              <w:t>11.23</w:t>
            </w:r>
            <w:r>
              <w:rPr>
                <w:w w:val="95"/>
                <w:sz w:val="21"/>
              </w:rPr>
              <w:t>）</w:t>
            </w:r>
            <w:r>
              <w:rPr>
                <w:w w:val="95"/>
                <w:sz w:val="21"/>
              </w:rPr>
              <w:t>的</w:t>
            </w:r>
            <w:r>
              <w:rPr>
                <w:w w:val="95"/>
                <w:sz w:val="21"/>
              </w:rPr>
              <w:t>恶</w:t>
            </w:r>
            <w:r>
              <w:rPr>
                <w:w w:val="95"/>
                <w:sz w:val="21"/>
              </w:rPr>
              <w:t>性</w:t>
            </w:r>
            <w:r>
              <w:rPr>
                <w:w w:val="95"/>
                <w:sz w:val="21"/>
              </w:rPr>
              <w:t>肿瘤类别及《国际疾</w:t>
            </w:r>
            <w:r>
              <w:rPr>
                <w:w w:val="95"/>
                <w:sz w:val="21"/>
              </w:rPr>
              <w:t>病</w:t>
            </w:r>
            <w:r>
              <w:rPr>
                <w:w w:val="95"/>
                <w:sz w:val="21"/>
              </w:rPr>
              <w:t>分</w:t>
            </w:r>
            <w:r>
              <w:rPr>
                <w:w w:val="95"/>
                <w:sz w:val="21"/>
              </w:rPr>
              <w:t>类肿瘤学专辑》</w:t>
            </w:r>
            <w:r>
              <w:rPr>
                <w:w w:val="95"/>
                <w:sz w:val="21"/>
              </w:rPr>
              <w:t>第</w:t>
            </w:r>
            <w:r>
              <w:rPr>
                <w:spacing w:val="-10"/>
                <w:w w:val="95"/>
                <w:sz w:val="21"/>
              </w:rPr>
              <w:t>三</w:t>
            </w:r>
          </w:p>
          <w:p>
            <w:pPr>
              <w:pStyle w:val="TableParagraph"/>
              <w:spacing w:before="2"/>
              <w:ind w:left="204"/>
              <w:rPr>
                <w:sz w:val="21"/>
              </w:rPr>
            </w:pPr>
            <w:r>
              <w:rPr>
                <w:w w:val="95"/>
                <w:sz w:val="21"/>
              </w:rPr>
              <w:t>版（</w:t>
            </w:r>
            <w:r>
              <w:rPr>
                <w:b/>
                <w:w w:val="95"/>
                <w:sz w:val="21"/>
              </w:rPr>
              <w:t>ICD-O-3</w:t>
            </w:r>
            <w:r>
              <w:rPr>
                <w:b/>
                <w:spacing w:val="6"/>
                <w:sz w:val="21"/>
              </w:rPr>
              <w:t> </w:t>
            </w:r>
            <w:r>
              <w:rPr>
                <w:w w:val="95"/>
                <w:position w:val="11"/>
                <w:sz w:val="11"/>
              </w:rPr>
              <w:t>11.24</w:t>
            </w:r>
            <w:r>
              <w:rPr>
                <w:w w:val="95"/>
                <w:sz w:val="21"/>
              </w:rPr>
              <w:t>）的</w:t>
            </w:r>
            <w:r>
              <w:rPr>
                <w:w w:val="95"/>
                <w:sz w:val="21"/>
              </w:rPr>
              <w:t>肿</w:t>
            </w:r>
            <w:r>
              <w:rPr>
                <w:w w:val="95"/>
                <w:sz w:val="21"/>
              </w:rPr>
              <w:t>瘤</w:t>
            </w:r>
            <w:r>
              <w:rPr>
                <w:w w:val="95"/>
                <w:sz w:val="21"/>
              </w:rPr>
              <w:t>形</w:t>
            </w:r>
            <w:r>
              <w:rPr>
                <w:w w:val="95"/>
                <w:sz w:val="21"/>
              </w:rPr>
              <w:t>态</w:t>
            </w:r>
            <w:r>
              <w:rPr>
                <w:w w:val="95"/>
                <w:sz w:val="21"/>
              </w:rPr>
              <w:t>学编</w:t>
            </w:r>
            <w:r>
              <w:rPr>
                <w:w w:val="95"/>
                <w:sz w:val="21"/>
              </w:rPr>
              <w:t>码</w:t>
            </w:r>
            <w:r>
              <w:rPr>
                <w:w w:val="95"/>
                <w:sz w:val="21"/>
              </w:rPr>
              <w:t>属</w:t>
            </w:r>
            <w:r>
              <w:rPr>
                <w:w w:val="95"/>
                <w:sz w:val="21"/>
              </w:rPr>
              <w:t>于</w:t>
            </w:r>
            <w:r>
              <w:rPr>
                <w:spacing w:val="51"/>
                <w:w w:val="150"/>
                <w:sz w:val="21"/>
              </w:rPr>
              <w:t> </w:t>
            </w:r>
            <w:r>
              <w:rPr>
                <w:w w:val="95"/>
                <w:sz w:val="21"/>
              </w:rPr>
              <w:t>3、6</w:t>
            </w:r>
            <w:r>
              <w:rPr>
                <w:w w:val="95"/>
                <w:sz w:val="21"/>
              </w:rPr>
              <w:t>、</w:t>
            </w:r>
            <w:r>
              <w:rPr>
                <w:w w:val="95"/>
                <w:sz w:val="21"/>
              </w:rPr>
              <w:t>9（</w:t>
            </w:r>
            <w:r>
              <w:rPr>
                <w:w w:val="95"/>
                <w:sz w:val="21"/>
              </w:rPr>
              <w:t>恶</w:t>
            </w:r>
            <w:r>
              <w:rPr>
                <w:w w:val="95"/>
                <w:sz w:val="21"/>
              </w:rPr>
              <w:t>性</w:t>
            </w:r>
            <w:r>
              <w:rPr>
                <w:w w:val="95"/>
                <w:sz w:val="21"/>
              </w:rPr>
              <w:t>肿瘤）范畴，但</w:t>
            </w:r>
            <w:r>
              <w:rPr>
                <w:w w:val="95"/>
                <w:sz w:val="21"/>
              </w:rPr>
              <w:t>不</w:t>
            </w:r>
            <w:r>
              <w:rPr>
                <w:spacing w:val="-10"/>
                <w:w w:val="95"/>
                <w:sz w:val="21"/>
              </w:rPr>
              <w:t>在</w:t>
            </w:r>
          </w:p>
        </w:tc>
      </w:tr>
      <w:tr>
        <w:trPr>
          <w:trHeight w:val="624" w:hRule="atLeast"/>
        </w:trPr>
        <w:tc>
          <w:tcPr>
            <w:tcW w:w="2636" w:type="dxa"/>
            <w:gridSpan w:val="2"/>
            <w:vMerge/>
            <w:tcBorders>
              <w:top w:val="nil"/>
            </w:tcBorders>
          </w:tcPr>
          <w:p>
            <w:pPr>
              <w:rPr>
                <w:sz w:val="2"/>
                <w:szCs w:val="2"/>
              </w:rPr>
            </w:pPr>
          </w:p>
        </w:tc>
        <w:tc>
          <w:tcPr>
            <w:tcW w:w="7343" w:type="dxa"/>
          </w:tcPr>
          <w:p>
            <w:pPr>
              <w:pStyle w:val="TableParagraph"/>
              <w:spacing w:before="17"/>
              <w:ind w:left="204"/>
              <w:rPr>
                <w:sz w:val="21"/>
              </w:rPr>
            </w:pPr>
            <w:r>
              <w:rPr>
                <w:spacing w:val="-3"/>
                <w:sz w:val="21"/>
              </w:rPr>
              <w:t>“恶性肿瘤——重度”保障范围的疾病。且特指下列六项之一：</w:t>
            </w:r>
          </w:p>
          <w:p>
            <w:pPr>
              <w:pStyle w:val="TableParagraph"/>
              <w:spacing w:before="33"/>
              <w:ind w:left="204"/>
              <w:rPr>
                <w:sz w:val="21"/>
              </w:rPr>
            </w:pPr>
            <w:r>
              <w:rPr>
                <w:w w:val="95"/>
                <w:sz w:val="21"/>
              </w:rPr>
              <w:t>（1）</w:t>
            </w:r>
            <w:r>
              <w:rPr>
                <w:b/>
                <w:w w:val="95"/>
                <w:sz w:val="21"/>
              </w:rPr>
              <w:t>TNM</w:t>
            </w:r>
            <w:r>
              <w:rPr>
                <w:b/>
                <w:sz w:val="21"/>
              </w:rPr>
              <w:t> </w:t>
            </w:r>
            <w:r>
              <w:rPr>
                <w:b/>
                <w:w w:val="95"/>
                <w:sz w:val="21"/>
              </w:rPr>
              <w:t>分</w:t>
            </w:r>
            <w:r>
              <w:rPr>
                <w:b/>
                <w:w w:val="95"/>
                <w:sz w:val="21"/>
              </w:rPr>
              <w:t>期</w:t>
            </w:r>
            <w:r>
              <w:rPr>
                <w:b/>
                <w:spacing w:val="7"/>
                <w:sz w:val="21"/>
              </w:rPr>
              <w:t> </w:t>
            </w:r>
            <w:r>
              <w:rPr>
                <w:w w:val="95"/>
                <w:position w:val="11"/>
                <w:sz w:val="11"/>
              </w:rPr>
              <w:t>11.25</w:t>
            </w:r>
            <w:r>
              <w:rPr>
                <w:spacing w:val="-2"/>
                <w:position w:val="11"/>
                <w:sz w:val="11"/>
              </w:rPr>
              <w:t> </w:t>
            </w:r>
            <w:r>
              <w:rPr>
                <w:w w:val="95"/>
                <w:sz w:val="21"/>
              </w:rPr>
              <w:t>为Ⅰ期</w:t>
            </w:r>
            <w:r>
              <w:rPr>
                <w:w w:val="95"/>
                <w:sz w:val="21"/>
              </w:rPr>
              <w:t>的</w:t>
            </w:r>
            <w:r>
              <w:rPr>
                <w:w w:val="95"/>
                <w:sz w:val="21"/>
              </w:rPr>
              <w:t>甲</w:t>
            </w:r>
            <w:r>
              <w:rPr>
                <w:spacing w:val="-3"/>
                <w:w w:val="95"/>
                <w:sz w:val="21"/>
              </w:rPr>
              <w:t>状腺癌；</w:t>
            </w:r>
          </w:p>
        </w:tc>
      </w:tr>
      <w:tr>
        <w:trPr>
          <w:trHeight w:val="312" w:hRule="atLeast"/>
        </w:trPr>
        <w:tc>
          <w:tcPr>
            <w:tcW w:w="2636" w:type="dxa"/>
            <w:gridSpan w:val="2"/>
            <w:vMerge/>
            <w:tcBorders>
              <w:top w:val="nil"/>
            </w:tcBorders>
          </w:tcPr>
          <w:p>
            <w:pPr>
              <w:rPr>
                <w:sz w:val="2"/>
                <w:szCs w:val="2"/>
              </w:rPr>
            </w:pPr>
          </w:p>
        </w:tc>
        <w:tc>
          <w:tcPr>
            <w:tcW w:w="7343" w:type="dxa"/>
          </w:tcPr>
          <w:p>
            <w:pPr>
              <w:pStyle w:val="TableParagraph"/>
              <w:spacing w:before="17"/>
              <w:ind w:left="204"/>
              <w:rPr>
                <w:sz w:val="21"/>
              </w:rPr>
            </w:pPr>
            <w:r>
              <w:rPr>
                <w:spacing w:val="-2"/>
                <w:position w:val="1"/>
                <w:sz w:val="21"/>
              </w:rPr>
              <w:t>（2）TNM</w:t>
            </w:r>
            <w:r>
              <w:rPr>
                <w:spacing w:val="-20"/>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4"/>
                <w:sz w:val="11"/>
              </w:rPr>
              <w:t> </w:t>
            </w:r>
            <w:r>
              <w:rPr>
                <w:spacing w:val="-4"/>
                <w:position w:val="1"/>
                <w:sz w:val="21"/>
              </w:rPr>
              <w:t>期的前列腺癌；</w:t>
            </w:r>
          </w:p>
        </w:tc>
      </w:tr>
      <w:tr>
        <w:trPr>
          <w:trHeight w:val="312" w:hRule="atLeast"/>
        </w:trPr>
        <w:tc>
          <w:tcPr>
            <w:tcW w:w="2636" w:type="dxa"/>
            <w:gridSpan w:val="2"/>
            <w:vMerge/>
            <w:tcBorders>
              <w:top w:val="nil"/>
            </w:tcBorders>
          </w:tcPr>
          <w:p>
            <w:pPr>
              <w:rPr>
                <w:sz w:val="2"/>
                <w:szCs w:val="2"/>
              </w:rPr>
            </w:pPr>
          </w:p>
        </w:tc>
        <w:tc>
          <w:tcPr>
            <w:tcW w:w="7343" w:type="dxa"/>
          </w:tcPr>
          <w:p>
            <w:pPr>
              <w:pStyle w:val="TableParagraph"/>
              <w:spacing w:before="17"/>
              <w:ind w:left="204"/>
              <w:rPr>
                <w:sz w:val="21"/>
              </w:rPr>
            </w:pPr>
            <w:r>
              <w:rPr>
                <w:spacing w:val="-2"/>
                <w:sz w:val="21"/>
              </w:rPr>
              <w:t>（3）</w:t>
            </w:r>
            <w:r>
              <w:rPr>
                <w:spacing w:val="-3"/>
                <w:sz w:val="21"/>
              </w:rPr>
              <w:t>黑色素瘤以外的未发生淋巴结和远处转移的皮肤恶性肿瘤；</w:t>
            </w:r>
          </w:p>
        </w:tc>
      </w:tr>
      <w:tr>
        <w:trPr>
          <w:trHeight w:val="311" w:hRule="atLeast"/>
        </w:trPr>
        <w:tc>
          <w:tcPr>
            <w:tcW w:w="2636" w:type="dxa"/>
            <w:gridSpan w:val="2"/>
            <w:vMerge/>
            <w:tcBorders>
              <w:top w:val="nil"/>
            </w:tcBorders>
          </w:tcPr>
          <w:p>
            <w:pPr>
              <w:rPr>
                <w:sz w:val="2"/>
                <w:szCs w:val="2"/>
              </w:rPr>
            </w:pPr>
          </w:p>
        </w:tc>
        <w:tc>
          <w:tcPr>
            <w:tcW w:w="7343" w:type="dxa"/>
          </w:tcPr>
          <w:p>
            <w:pPr>
              <w:pStyle w:val="TableParagraph"/>
              <w:spacing w:before="17"/>
              <w:ind w:left="204"/>
              <w:rPr>
                <w:sz w:val="21"/>
              </w:rPr>
            </w:pPr>
            <w:r>
              <w:rPr>
                <w:spacing w:val="-2"/>
                <w:sz w:val="21"/>
              </w:rPr>
              <w:t>（4）</w:t>
            </w: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tc>
      </w:tr>
      <w:tr>
        <w:trPr>
          <w:trHeight w:val="311" w:hRule="atLeast"/>
        </w:trPr>
        <w:tc>
          <w:tcPr>
            <w:tcW w:w="2636" w:type="dxa"/>
            <w:gridSpan w:val="2"/>
            <w:vMerge/>
            <w:tcBorders>
              <w:top w:val="nil"/>
            </w:tcBorders>
          </w:tcPr>
          <w:p>
            <w:pPr>
              <w:rPr>
                <w:sz w:val="2"/>
                <w:szCs w:val="2"/>
              </w:rPr>
            </w:pPr>
          </w:p>
        </w:tc>
        <w:tc>
          <w:tcPr>
            <w:tcW w:w="7343" w:type="dxa"/>
          </w:tcPr>
          <w:p>
            <w:pPr>
              <w:pStyle w:val="TableParagraph"/>
              <w:spacing w:before="17"/>
              <w:ind w:left="204"/>
              <w:rPr>
                <w:sz w:val="21"/>
              </w:rPr>
            </w:pPr>
            <w:r>
              <w:rPr>
                <w:spacing w:val="-2"/>
                <w:sz w:val="21"/>
              </w:rPr>
              <w:t>（5）</w:t>
            </w:r>
            <w:r>
              <w:rPr>
                <w:spacing w:val="-14"/>
                <w:sz w:val="21"/>
              </w:rPr>
              <w:t>相当于 </w:t>
            </w:r>
            <w:r>
              <w:rPr>
                <w:spacing w:val="-2"/>
                <w:sz w:val="21"/>
              </w:rPr>
              <w:t>Ann</w:t>
            </w:r>
            <w:r>
              <w:rPr>
                <w:spacing w:val="13"/>
                <w:sz w:val="21"/>
              </w:rPr>
              <w:t> </w:t>
            </w:r>
            <w:r>
              <w:rPr>
                <w:spacing w:val="-2"/>
                <w:sz w:val="21"/>
              </w:rPr>
              <w:t>Arbor</w:t>
            </w:r>
            <w:r>
              <w:rPr>
                <w:spacing w:val="-10"/>
                <w:sz w:val="21"/>
              </w:rPr>
              <w:t> 分期方案Ⅰ期程度的何杰金氏病；</w:t>
            </w:r>
          </w:p>
        </w:tc>
      </w:tr>
      <w:tr>
        <w:trPr>
          <w:trHeight w:val="261" w:hRule="atLeast"/>
        </w:trPr>
        <w:tc>
          <w:tcPr>
            <w:tcW w:w="2636" w:type="dxa"/>
            <w:gridSpan w:val="2"/>
            <w:vMerge/>
            <w:tcBorders>
              <w:top w:val="nil"/>
            </w:tcBorders>
          </w:tcPr>
          <w:p>
            <w:pPr>
              <w:rPr>
                <w:sz w:val="2"/>
                <w:szCs w:val="2"/>
              </w:rPr>
            </w:pPr>
          </w:p>
        </w:tc>
        <w:tc>
          <w:tcPr>
            <w:tcW w:w="7343" w:type="dxa"/>
          </w:tcPr>
          <w:p>
            <w:pPr>
              <w:pStyle w:val="TableParagraph"/>
              <w:spacing w:line="224" w:lineRule="exact" w:before="17"/>
              <w:ind w:left="204"/>
              <w:rPr>
                <w:sz w:val="21"/>
              </w:rPr>
            </w:pPr>
            <w:r>
              <w:rPr>
                <w:spacing w:val="-2"/>
                <w:sz w:val="21"/>
              </w:rPr>
              <w:t>（6）</w:t>
            </w:r>
            <w:r>
              <w:rPr>
                <w:spacing w:val="-6"/>
                <w:sz w:val="21"/>
              </w:rPr>
              <w:t>未发生淋巴结和远处转移且 </w:t>
            </w:r>
            <w:r>
              <w:rPr>
                <w:spacing w:val="-2"/>
                <w:sz w:val="21"/>
              </w:rPr>
              <w:t>WHO</w:t>
            </w:r>
            <w:r>
              <w:rPr>
                <w:spacing w:val="-22"/>
                <w:sz w:val="21"/>
              </w:rPr>
              <w:t> 分级为 </w:t>
            </w:r>
            <w:r>
              <w:rPr>
                <w:spacing w:val="-2"/>
                <w:sz w:val="21"/>
              </w:rPr>
              <w:t>G1</w:t>
            </w:r>
            <w:r>
              <w:rPr>
                <w:spacing w:val="-18"/>
                <w:sz w:val="21"/>
              </w:rPr>
              <w:t> 级别</w:t>
            </w:r>
            <w:r>
              <w:rPr>
                <w:spacing w:val="-2"/>
                <w:sz w:val="21"/>
              </w:rPr>
              <w:t>（核分裂像&lt;10/50</w:t>
            </w:r>
            <w:r>
              <w:rPr>
                <w:spacing w:val="11"/>
                <w:sz w:val="21"/>
              </w:rPr>
              <w:t> </w:t>
            </w:r>
            <w:r>
              <w:rPr>
                <w:spacing w:val="-5"/>
                <w:sz w:val="21"/>
              </w:rPr>
              <w:t>HPF</w:t>
            </w:r>
          </w:p>
        </w:tc>
      </w:tr>
    </w:tbl>
    <w:p>
      <w:pPr>
        <w:pStyle w:val="BodyText"/>
        <w:spacing w:before="74"/>
        <w:ind w:left="3525"/>
      </w:pPr>
      <w:r>
        <w:rPr>
          <w:spacing w:val="-20"/>
        </w:rPr>
        <w:t>和 </w:t>
      </w:r>
      <w:r>
        <w:rPr>
          <w:spacing w:val="-2"/>
        </w:rPr>
        <w:t>ki-67≤2%）</w:t>
      </w:r>
      <w:r>
        <w:rPr>
          <w:spacing w:val="-3"/>
        </w:rPr>
        <w:t>的神经内分泌肿瘤。</w:t>
      </w:r>
    </w:p>
    <w:p>
      <w:pPr>
        <w:spacing w:before="43"/>
        <w:ind w:left="3000" w:right="0" w:firstLine="0"/>
        <w:jc w:val="left"/>
        <w:rPr>
          <w:b/>
          <w:sz w:val="21"/>
        </w:rPr>
      </w:pPr>
      <w:r>
        <w:rPr>
          <w:b/>
          <w:spacing w:val="-3"/>
          <w:sz w:val="21"/>
        </w:rPr>
        <w:t>下列疾病不属于“恶性肿瘤——轻度”，不在保障范围内：</w:t>
      </w:r>
    </w:p>
    <w:p>
      <w:pPr>
        <w:spacing w:line="278" w:lineRule="auto" w:before="43"/>
        <w:ind w:left="3000" w:right="668" w:firstLine="0"/>
        <w:jc w:val="left"/>
        <w:rPr>
          <w:b/>
          <w:sz w:val="21"/>
        </w:rPr>
      </w:pPr>
      <w:r>
        <w:rPr>
          <w:b/>
          <w:spacing w:val="-2"/>
          <w:sz w:val="21"/>
        </w:rPr>
        <w:t>ICD-O-3</w:t>
      </w:r>
      <w:r>
        <w:rPr>
          <w:b/>
          <w:spacing w:val="-13"/>
          <w:sz w:val="21"/>
        </w:rPr>
        <w:t> 肿瘤形态学编码属于 </w:t>
      </w:r>
      <w:r>
        <w:rPr>
          <w:b/>
          <w:spacing w:val="-2"/>
          <w:sz w:val="21"/>
        </w:rPr>
        <w:t>0（良性肿瘤）、1（动态未定性肿瘤）、2（</w:t>
      </w:r>
      <w:r>
        <w:rPr>
          <w:b/>
          <w:spacing w:val="-2"/>
          <w:sz w:val="21"/>
        </w:rPr>
        <w:t>原</w:t>
      </w:r>
      <w:r>
        <w:rPr>
          <w:b/>
          <w:spacing w:val="-2"/>
          <w:sz w:val="21"/>
        </w:rPr>
        <w:t>位癌和非侵袭性癌）范畴的疾病，如：</w:t>
      </w:r>
    </w:p>
    <w:p>
      <w:pPr>
        <w:pStyle w:val="ListParagraph"/>
        <w:numPr>
          <w:ilvl w:val="0"/>
          <w:numId w:val="18"/>
        </w:numPr>
        <w:tabs>
          <w:tab w:pos="3213" w:val="left" w:leader="none"/>
        </w:tabs>
        <w:spacing w:line="278" w:lineRule="auto" w:before="0" w:after="0"/>
        <w:ind w:left="3000" w:right="743" w:firstLine="0"/>
        <w:jc w:val="left"/>
        <w:rPr>
          <w:b/>
          <w:sz w:val="21"/>
        </w:rPr>
      </w:pPr>
      <w:r>
        <w:rPr>
          <w:b/>
          <w:spacing w:val="-2"/>
          <w:sz w:val="21"/>
        </w:rPr>
        <w:t>原位癌，癌前病变，非浸润性癌，非侵袭性癌，肿瘤细胞未侵犯基底层，</w:t>
      </w:r>
      <w:r>
        <w:rPr>
          <w:b/>
          <w:spacing w:val="-2"/>
          <w:sz w:val="21"/>
        </w:rPr>
        <w:t>上皮内瘤变，细胞不典型性增生等；</w:t>
      </w:r>
    </w:p>
    <w:p>
      <w:pPr>
        <w:pStyle w:val="ListParagraph"/>
        <w:numPr>
          <w:ilvl w:val="0"/>
          <w:numId w:val="18"/>
        </w:numPr>
        <w:tabs>
          <w:tab w:pos="3213" w:val="left" w:leader="none"/>
        </w:tabs>
        <w:spacing w:line="269" w:lineRule="exact" w:before="0" w:after="0"/>
        <w:ind w:left="3212" w:right="0" w:hanging="213"/>
        <w:jc w:val="left"/>
        <w:rPr>
          <w:b/>
          <w:sz w:val="21"/>
        </w:rPr>
      </w:pPr>
      <w:r>
        <w:rPr>
          <w:b/>
          <w:spacing w:val="-3"/>
          <w:sz w:val="21"/>
        </w:rPr>
        <w:t>交界性肿瘤，交界恶性肿瘤，肿瘤低度恶性潜能，潜在低度恶性肿瘤等。</w:t>
      </w:r>
    </w:p>
    <w:p>
      <w:pPr>
        <w:pStyle w:val="BodyText"/>
        <w:spacing w:before="5"/>
        <w:rPr>
          <w:b/>
          <w:sz w:val="15"/>
        </w:rPr>
      </w:pPr>
    </w:p>
    <w:p>
      <w:pPr>
        <w:spacing w:after="0"/>
        <w:rPr>
          <w:sz w:val="15"/>
        </w:rPr>
        <w:sectPr>
          <w:pgSz w:w="11910" w:h="16840"/>
          <w:pgMar w:header="0" w:footer="404" w:top="1220" w:bottom="600" w:left="860" w:right="340"/>
        </w:sectPr>
      </w:pPr>
    </w:p>
    <w:p>
      <w:pPr>
        <w:pStyle w:val="ListParagraph"/>
        <w:numPr>
          <w:ilvl w:val="0"/>
          <w:numId w:val="19"/>
        </w:numPr>
        <w:tabs>
          <w:tab w:pos="1333" w:val="left" w:leader="none"/>
        </w:tabs>
        <w:spacing w:line="278" w:lineRule="auto" w:before="71" w:after="0"/>
        <w:ind w:left="1120" w:right="0" w:firstLine="0"/>
        <w:jc w:val="left"/>
        <w:rPr>
          <w:sz w:val="21"/>
        </w:rPr>
      </w:pPr>
      <w:r>
        <w:rPr>
          <w:spacing w:val="-2"/>
          <w:sz w:val="21"/>
        </w:rPr>
        <w:t>较轻急性心肌</w:t>
      </w:r>
      <w:r>
        <w:rPr>
          <w:spacing w:val="-6"/>
          <w:sz w:val="21"/>
        </w:rPr>
        <w:t>梗死</w:t>
      </w:r>
    </w:p>
    <w:p>
      <w:pPr>
        <w:pStyle w:val="BodyText"/>
        <w:spacing w:line="278" w:lineRule="auto" w:before="71"/>
        <w:ind w:left="366"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366" w:right="666"/>
      </w:pPr>
      <w:r>
        <w:rPr>
          <w:spacing w:val="-6"/>
        </w:rPr>
        <w:t>较轻急性心肌梗死指依照上述标准被明确诊断为急性心肌梗死，但未达到“较</w:t>
      </w:r>
      <w:r>
        <w:rPr>
          <w:spacing w:val="-2"/>
        </w:rPr>
        <w:t>重急性心肌梗死”的给付标准。</w:t>
      </w:r>
    </w:p>
    <w:p>
      <w:pPr>
        <w:pStyle w:val="Heading2"/>
        <w:spacing w:line="278" w:lineRule="auto"/>
        <w:ind w:left="366" w:right="669"/>
      </w:pPr>
      <w:r>
        <w:rPr>
          <w:spacing w:val="-2"/>
          <w:w w:val="100"/>
        </w:rPr>
        <w:t>其他非冠状动脉阻塞性疾病引起的肌钙蛋白</w:t>
      </w:r>
      <w:r>
        <w:rPr>
          <w:w w:val="100"/>
        </w:rPr>
        <w:t>（</w:t>
      </w:r>
      <w:r>
        <w:rPr>
          <w:w w:val="99"/>
        </w:rPr>
        <w:t>cTn</w:t>
      </w:r>
      <w:r>
        <w:rPr>
          <w:spacing w:val="-3"/>
          <w:w w:val="100"/>
        </w:rPr>
        <w:t>）</w:t>
      </w:r>
      <w:r>
        <w:rPr>
          <w:spacing w:val="-1"/>
          <w:w w:val="100"/>
        </w:rPr>
        <w:t>升高不在保障范围内。</w:t>
      </w:r>
      <w:r>
        <w:rPr>
          <w:spacing w:val="-4"/>
          <w:w w:val="100"/>
        </w:rPr>
        <w:t>本公司对该种轻症疾病理赔后，不再对</w:t>
      </w:r>
      <w:r>
        <w:rPr>
          <w:spacing w:val="-8"/>
        </w:rPr>
        <w:t> </w:t>
      </w:r>
      <w:r>
        <w:rPr>
          <w:spacing w:val="-6"/>
          <w:w w:val="100"/>
        </w:rPr>
        <w:t>“微创冠状动脉介入手术”、“激光</w:t>
      </w:r>
      <w:r>
        <w:rPr>
          <w:spacing w:val="-3"/>
          <w:w w:val="100"/>
        </w:rPr>
        <w:t>心肌血运重建”承担给付轻症疾病保险金的责任。</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spacing w:before="12"/>
        <w:rPr>
          <w:b/>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333" w:val="left" w:leader="none"/>
        </w:tabs>
        <w:spacing w:line="278" w:lineRule="auto" w:before="71" w:after="0"/>
        <w:ind w:left="1120" w:right="0" w:firstLine="0"/>
        <w:jc w:val="left"/>
        <w:rPr>
          <w:sz w:val="21"/>
        </w:rPr>
      </w:pPr>
      <w:r>
        <w:rPr>
          <w:spacing w:val="-2"/>
          <w:sz w:val="21"/>
        </w:rPr>
        <w:t>轻度脑中风后</w:t>
      </w:r>
      <w:r>
        <w:rPr>
          <w:spacing w:val="-6"/>
          <w:sz w:val="21"/>
        </w:rPr>
        <w:t>遗症</w:t>
      </w:r>
    </w:p>
    <w:p>
      <w:pPr>
        <w:pStyle w:val="BodyText"/>
        <w:spacing w:before="71"/>
        <w:ind w:left="366"/>
      </w:pPr>
      <w:r>
        <w:rPr/>
        <w:br w:type="column"/>
      </w:r>
      <w:r>
        <w:rPr>
          <w:spacing w:val="-3"/>
        </w:rPr>
        <w:t>指因脑血管的突发病变引起脑血管出血、栓塞或梗塞，须由头颅断层扫描</w:t>
      </w:r>
    </w:p>
    <w:p>
      <w:pPr>
        <w:pStyle w:val="BodyText"/>
        <w:spacing w:line="278" w:lineRule="auto" w:before="43"/>
        <w:ind w:left="366" w:right="666"/>
      </w:pPr>
      <w:r>
        <w:rPr>
          <w:spacing w:val="-2"/>
        </w:rPr>
        <w:t>（CT）、核磁共振检查（MRI）等影像学检查证实，并导致神经系统永久性的</w:t>
      </w:r>
      <w:r>
        <w:rPr>
          <w:spacing w:val="-1"/>
        </w:rPr>
        <w:t>功能障碍，但未达到“严重脑中风后遗症”的给付标准，在疾病确诊 </w:t>
      </w:r>
      <w:r>
        <w:rPr/>
        <w:t>180</w:t>
      </w:r>
      <w:r>
        <w:rPr>
          <w:spacing w:val="-11"/>
        </w:rPr>
        <w:t> 天</w:t>
      </w:r>
      <w:r>
        <w:rPr>
          <w:spacing w:val="-2"/>
        </w:rPr>
        <w:t>后，仍遗留下列至少一种障碍：</w:t>
      </w:r>
    </w:p>
    <w:p>
      <w:pPr>
        <w:spacing w:after="0" w:line="278" w:lineRule="auto"/>
        <w:sectPr>
          <w:type w:val="continuous"/>
          <w:pgSz w:w="11910" w:h="16840"/>
          <w:pgMar w:header="0" w:footer="404" w:top="600" w:bottom="280" w:left="860" w:right="340"/>
          <w:cols w:num="2" w:equalWidth="0">
            <w:col w:w="2595" w:space="40"/>
            <w:col w:w="8075"/>
          </w:cols>
        </w:sectPr>
      </w:pPr>
    </w:p>
    <w:p>
      <w:pPr>
        <w:spacing w:before="67"/>
        <w:ind w:left="3000" w:right="0" w:firstLine="0"/>
        <w:jc w:val="left"/>
        <w:rPr>
          <w:sz w:val="21"/>
        </w:rPr>
      </w:pPr>
      <w:r>
        <w:rPr>
          <w:spacing w:val="-2"/>
          <w:sz w:val="21"/>
        </w:rPr>
        <w:t>（1）一肢（含）以上</w:t>
      </w:r>
      <w:r>
        <w:rPr>
          <w:b/>
          <w:spacing w:val="-17"/>
          <w:sz w:val="21"/>
        </w:rPr>
        <w:t>肢体 </w:t>
      </w:r>
      <w:r>
        <w:rPr>
          <w:spacing w:val="-2"/>
          <w:position w:val="11"/>
          <w:sz w:val="11"/>
        </w:rPr>
        <w:t>11.26</w:t>
      </w:r>
      <w:r>
        <w:rPr>
          <w:spacing w:val="-25"/>
          <w:position w:val="11"/>
          <w:sz w:val="11"/>
        </w:rPr>
        <w:t> </w:t>
      </w:r>
      <w:r>
        <w:rPr>
          <w:b/>
          <w:spacing w:val="-17"/>
          <w:sz w:val="21"/>
        </w:rPr>
        <w:t>肌力 </w:t>
      </w:r>
      <w:r>
        <w:rPr>
          <w:spacing w:val="-2"/>
          <w:position w:val="11"/>
          <w:sz w:val="11"/>
        </w:rPr>
        <w:t>11.27</w:t>
      </w:r>
      <w:r>
        <w:rPr>
          <w:spacing w:val="-26"/>
          <w:position w:val="11"/>
          <w:sz w:val="11"/>
        </w:rPr>
        <w:t> </w:t>
      </w:r>
      <w:r>
        <w:rPr>
          <w:spacing w:val="-24"/>
          <w:sz w:val="21"/>
        </w:rPr>
        <w:t>为 </w:t>
      </w:r>
      <w:r>
        <w:rPr>
          <w:spacing w:val="-2"/>
          <w:sz w:val="21"/>
        </w:rPr>
        <w:t>3</w:t>
      </w:r>
      <w:r>
        <w:rPr>
          <w:spacing w:val="-20"/>
          <w:sz w:val="21"/>
        </w:rPr>
        <w:t> 级；</w:t>
      </w:r>
    </w:p>
    <w:p>
      <w:pPr>
        <w:spacing w:line="278" w:lineRule="auto" w:before="33"/>
        <w:ind w:left="3525" w:right="666" w:hanging="526"/>
        <w:jc w:val="left"/>
        <w:rPr>
          <w:sz w:val="21"/>
        </w:rPr>
      </w:pPr>
      <w:r>
        <w:rPr>
          <w:sz w:val="21"/>
        </w:rPr>
        <w:t>（2）自主生活能力部分丧失，无法独立完成</w:t>
      </w:r>
      <w:r>
        <w:rPr>
          <w:b/>
          <w:spacing w:val="-3"/>
          <w:sz w:val="21"/>
        </w:rPr>
        <w:t>六项基本日常生活活动 </w:t>
      </w:r>
      <w:r>
        <w:rPr>
          <w:position w:val="11"/>
          <w:sz w:val="11"/>
        </w:rPr>
        <w:t>11.28</w:t>
      </w:r>
      <w:r>
        <w:rPr>
          <w:spacing w:val="-15"/>
          <w:position w:val="11"/>
          <w:sz w:val="11"/>
        </w:rPr>
        <w:t> </w:t>
      </w:r>
      <w:r>
        <w:rPr>
          <w:sz w:val="21"/>
        </w:rPr>
        <w:t>中的</w:t>
      </w:r>
      <w:r>
        <w:rPr>
          <w:spacing w:val="-4"/>
          <w:sz w:val="21"/>
        </w:rPr>
        <w:t>两项。</w:t>
      </w:r>
    </w:p>
    <w:p>
      <w:pPr>
        <w:pStyle w:val="BodyText"/>
        <w:spacing w:before="7"/>
      </w:pPr>
    </w:p>
    <w:p>
      <w:pPr>
        <w:pStyle w:val="ListParagraph"/>
        <w:numPr>
          <w:ilvl w:val="0"/>
          <w:numId w:val="19"/>
        </w:numPr>
        <w:tabs>
          <w:tab w:pos="1333" w:val="left" w:leader="none"/>
        </w:tabs>
        <w:spacing w:line="278" w:lineRule="auto" w:before="0" w:after="0"/>
        <w:ind w:left="3000" w:right="666" w:hanging="1880"/>
        <w:jc w:val="both"/>
        <w:rPr>
          <w:b/>
          <w:sz w:val="21"/>
        </w:rPr>
      </w:pPr>
      <w:r>
        <w:rPr>
          <w:sz w:val="21"/>
        </w:rPr>
        <w:t>原位癌</w:t>
      </w:r>
      <w:r>
        <w:rPr>
          <w:spacing w:val="80"/>
          <w:w w:val="150"/>
          <w:sz w:val="21"/>
        </w:rPr>
        <w:t>     </w:t>
      </w:r>
      <w:r>
        <w:rPr>
          <w:sz w:val="21"/>
        </w:rPr>
        <w:t>指恶性细胞局限于上皮内尚未穿破基底膜浸润周围正常组织的癌细胞新生</w:t>
      </w:r>
      <w:r>
        <w:rPr>
          <w:spacing w:val="-2"/>
          <w:sz w:val="21"/>
        </w:rPr>
        <w:t>物。原位癌必须经对固定活组织的组织病理学检查明确诊断，临床诊断属于</w:t>
      </w:r>
      <w:r>
        <w:rPr>
          <w:sz w:val="21"/>
        </w:rPr>
        <w:t>世界卫生组织（WHO</w:t>
      </w:r>
      <w:r>
        <w:rPr>
          <w:spacing w:val="-5"/>
          <w:sz w:val="21"/>
        </w:rPr>
        <w:t>， </w:t>
      </w:r>
      <w:r>
        <w:rPr>
          <w:sz w:val="21"/>
        </w:rPr>
        <w:t>World</w:t>
      </w:r>
      <w:r>
        <w:rPr>
          <w:spacing w:val="-10"/>
          <w:sz w:val="21"/>
        </w:rPr>
        <w:t> </w:t>
      </w:r>
      <w:r>
        <w:rPr>
          <w:sz w:val="21"/>
        </w:rPr>
        <w:t>Health</w:t>
      </w:r>
      <w:r>
        <w:rPr>
          <w:spacing w:val="-12"/>
          <w:sz w:val="21"/>
        </w:rPr>
        <w:t> </w:t>
      </w:r>
      <w:r>
        <w:rPr>
          <w:sz w:val="21"/>
        </w:rPr>
        <w:t>Organization）《疾病和有关健康问题</w:t>
      </w:r>
      <w:r>
        <w:rPr>
          <w:spacing w:val="-2"/>
          <w:sz w:val="21"/>
        </w:rPr>
        <w:t>的国际统计分类》第十次修订版（ICD-10）原位癌范畴。</w:t>
      </w:r>
      <w:r>
        <w:rPr>
          <w:b/>
          <w:spacing w:val="-2"/>
          <w:sz w:val="21"/>
        </w:rPr>
        <w:t>被保险人必须已经</w:t>
      </w:r>
      <w:r>
        <w:rPr>
          <w:b/>
          <w:spacing w:val="-2"/>
          <w:sz w:val="21"/>
        </w:rPr>
        <w:t>接受了针对原位癌病灶的手术治疗。细胞学检查结果不能作为确诊原位癌的</w:t>
      </w:r>
      <w:r>
        <w:rPr>
          <w:b/>
          <w:spacing w:val="-4"/>
          <w:sz w:val="21"/>
        </w:rPr>
        <w:t>证据。</w:t>
      </w:r>
    </w:p>
    <w:p>
      <w:pPr>
        <w:pStyle w:val="BodyText"/>
        <w:spacing w:before="11"/>
        <w:rPr>
          <w:b/>
          <w:sz w:val="15"/>
        </w:rPr>
      </w:pPr>
    </w:p>
    <w:p>
      <w:pPr>
        <w:spacing w:after="0"/>
        <w:rPr>
          <w:sz w:val="15"/>
        </w:rPr>
        <w:sectPr>
          <w:pgSz w:w="11910" w:h="16840"/>
          <w:pgMar w:header="0" w:footer="404" w:top="1060" w:bottom="600" w:left="860" w:right="340"/>
        </w:sectPr>
      </w:pPr>
    </w:p>
    <w:p>
      <w:pPr>
        <w:pStyle w:val="ListParagraph"/>
        <w:numPr>
          <w:ilvl w:val="0"/>
          <w:numId w:val="19"/>
        </w:numPr>
        <w:tabs>
          <w:tab w:pos="1363" w:val="left" w:leader="none"/>
        </w:tabs>
        <w:spacing w:line="278" w:lineRule="auto" w:before="72" w:after="0"/>
        <w:ind w:left="1120" w:right="0" w:firstLine="0"/>
        <w:jc w:val="left"/>
        <w:rPr>
          <w:sz w:val="21"/>
        </w:rPr>
      </w:pPr>
      <w:r>
        <w:rPr>
          <w:spacing w:val="24"/>
          <w:sz w:val="21"/>
        </w:rPr>
        <w:t>微创冠状动脉</w:t>
      </w:r>
      <w:r>
        <w:rPr>
          <w:spacing w:val="-4"/>
          <w:sz w:val="21"/>
        </w:rPr>
        <w:t>介入手术</w:t>
      </w:r>
    </w:p>
    <w:p>
      <w:pPr>
        <w:pStyle w:val="BodyText"/>
        <w:spacing w:line="278" w:lineRule="auto" w:before="72"/>
        <w:ind w:left="142" w:right="667"/>
        <w:jc w:val="both"/>
      </w:pPr>
      <w:r>
        <w:rPr/>
        <w:br w:type="column"/>
      </w:r>
      <w:r>
        <w:rPr>
          <w:spacing w:val="-2"/>
        </w:rPr>
        <w:t>指被保险人为了治疗明显的冠状动脉狭窄性疾病，首次实际实施了冠状动脉</w:t>
      </w:r>
      <w:r>
        <w:rPr>
          <w:spacing w:val="-2"/>
        </w:rPr>
        <w:t>球囊扩张成形术、冠状动脉支架植入术、冠状动脉粥样斑块切除术或激光冠</w:t>
      </w:r>
      <w:r>
        <w:rPr>
          <w:spacing w:val="-2"/>
        </w:rPr>
        <w:t>状动脉成形术。手术须在本公司认可的医疗机构内由心脏专科医生进行，并</w:t>
      </w:r>
      <w:r>
        <w:rPr>
          <w:spacing w:val="-2"/>
        </w:rPr>
        <w:t>确认该手术的必要性。</w:t>
      </w:r>
    </w:p>
    <w:p>
      <w:pPr>
        <w:pStyle w:val="Heading2"/>
        <w:spacing w:line="278" w:lineRule="auto"/>
        <w:ind w:left="142" w:right="667"/>
      </w:pPr>
      <w:r>
        <w:rPr>
          <w:spacing w:val="-2"/>
        </w:rPr>
        <w:t>本公司对该种轻症疾病理赔后，不再对“较轻急性心肌梗死”、“激光心肌</w:t>
      </w:r>
      <w:r>
        <w:rPr>
          <w:spacing w:val="-2"/>
        </w:rPr>
        <w:t>血运重建”承担给付轻症疾病保险金的责任。</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10"/>
        <w:rPr>
          <w:b/>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363" w:val="left" w:leader="none"/>
        </w:tabs>
        <w:spacing w:line="278" w:lineRule="auto" w:before="71" w:after="0"/>
        <w:ind w:left="1120" w:right="0" w:firstLine="0"/>
        <w:jc w:val="left"/>
        <w:rPr>
          <w:sz w:val="21"/>
        </w:rPr>
      </w:pPr>
      <w:r>
        <w:rPr>
          <w:spacing w:val="24"/>
          <w:sz w:val="21"/>
        </w:rPr>
        <w:t>激光心肌血运</w:t>
      </w:r>
      <w:r>
        <w:rPr>
          <w:spacing w:val="-6"/>
          <w:sz w:val="21"/>
        </w:rPr>
        <w:t>重建</w:t>
      </w:r>
    </w:p>
    <w:p>
      <w:pPr>
        <w:pStyle w:val="BodyText"/>
        <w:spacing w:line="278" w:lineRule="auto" w:before="71"/>
        <w:ind w:left="142" w:right="667"/>
        <w:jc w:val="both"/>
      </w:pPr>
      <w:r>
        <w:rPr/>
        <w:br w:type="column"/>
      </w:r>
      <w:r>
        <w:rPr>
          <w:spacing w:val="-2"/>
        </w:rPr>
        <w:t>指患有顽固性心绞痛，经持续药物治疗后无改善，冠状动脉搭桥手术及经皮</w:t>
      </w:r>
      <w:r>
        <w:rPr>
          <w:spacing w:val="-2"/>
        </w:rPr>
        <w:t>血管成形手术已失败或者被认为不适合，在本公司认可的医疗机构内由心脏</w:t>
      </w:r>
      <w:r>
        <w:rPr>
          <w:spacing w:val="-2"/>
        </w:rPr>
        <w:t>专科医生实际进行了开胸手术下或者胸腔镜下的激光心肌血运重建术。</w:t>
      </w:r>
    </w:p>
    <w:p>
      <w:pPr>
        <w:pStyle w:val="Heading2"/>
        <w:spacing w:line="278" w:lineRule="auto"/>
        <w:ind w:left="142" w:right="667"/>
      </w:pPr>
      <w:r>
        <w:rPr>
          <w:spacing w:val="-2"/>
        </w:rPr>
        <w:t>本公司对该种轻症疾病理赔后，不再对“较轻急性心肌梗死”、“微创冠状</w:t>
      </w:r>
      <w:r>
        <w:rPr>
          <w:spacing w:val="-2"/>
        </w:rPr>
        <w:t>动脉介入手术”承担给付轻症疾病保险金的责任。</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10"/>
        <w:rPr>
          <w:b/>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363" w:val="left" w:leader="none"/>
        </w:tabs>
        <w:spacing w:line="278" w:lineRule="auto" w:before="71" w:after="0"/>
        <w:ind w:left="1120" w:right="0" w:firstLine="0"/>
        <w:jc w:val="left"/>
        <w:rPr>
          <w:sz w:val="21"/>
        </w:rPr>
      </w:pPr>
      <w:r>
        <w:rPr>
          <w:spacing w:val="24"/>
          <w:sz w:val="21"/>
        </w:rPr>
        <w:t>心脏瓣膜介入</w:t>
      </w:r>
      <w:r>
        <w:rPr>
          <w:spacing w:val="-6"/>
          <w:sz w:val="21"/>
        </w:rPr>
        <w:t>手术</w:t>
      </w:r>
    </w:p>
    <w:p>
      <w:pPr>
        <w:pStyle w:val="BodyText"/>
        <w:spacing w:line="278" w:lineRule="auto" w:before="71"/>
        <w:ind w:left="142" w:right="560"/>
      </w:pPr>
      <w:r>
        <w:rPr/>
        <w:br w:type="column"/>
      </w:r>
      <w:r>
        <w:rPr>
          <w:spacing w:val="-4"/>
          <w:w w:val="100"/>
        </w:rPr>
        <w:t>为了治疗心脏瓣膜疾病，实际实施了非切开心脏的心脏瓣膜置换或修复手术。</w:t>
      </w:r>
      <w:r>
        <w:rPr>
          <w:w w:val="100"/>
        </w:rPr>
        <w:t>手术须在本公司认可的医疗机构内由心脏专科医生进行，并确认该手术的必要性。</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3"/>
        <w:rPr>
          <w:sz w:val="12"/>
        </w:rPr>
      </w:pPr>
    </w:p>
    <w:p>
      <w:pPr>
        <w:pStyle w:val="ListParagraph"/>
        <w:numPr>
          <w:ilvl w:val="0"/>
          <w:numId w:val="19"/>
        </w:numPr>
        <w:tabs>
          <w:tab w:pos="1333" w:val="left" w:leader="none"/>
          <w:tab w:pos="3000" w:val="left" w:leader="none"/>
        </w:tabs>
        <w:spacing w:line="278" w:lineRule="auto" w:before="72" w:after="0"/>
        <w:ind w:left="3000" w:right="667" w:hanging="1880"/>
        <w:jc w:val="left"/>
        <w:rPr>
          <w:sz w:val="21"/>
        </w:rPr>
      </w:pPr>
      <w:r>
        <w:rPr>
          <w:spacing w:val="-2"/>
          <w:sz w:val="21"/>
        </w:rPr>
        <w:t>主动脉内手术</w:t>
      </w:r>
      <w:r>
        <w:rPr>
          <w:sz w:val="21"/>
        </w:rPr>
        <w:tab/>
      </w:r>
      <w:r>
        <w:rPr>
          <w:spacing w:val="-2"/>
          <w:sz w:val="21"/>
        </w:rPr>
        <w:t>为</w:t>
      </w:r>
      <w:r>
        <w:rPr>
          <w:spacing w:val="-2"/>
          <w:sz w:val="21"/>
        </w:rPr>
        <w:t>了</w:t>
      </w:r>
      <w:r>
        <w:rPr>
          <w:spacing w:val="-2"/>
          <w:sz w:val="21"/>
        </w:rPr>
        <w:t>治</w:t>
      </w:r>
      <w:r>
        <w:rPr>
          <w:spacing w:val="-2"/>
          <w:sz w:val="21"/>
        </w:rPr>
        <w:t>疗</w:t>
      </w:r>
      <w:r>
        <w:rPr>
          <w:spacing w:val="-2"/>
          <w:sz w:val="21"/>
        </w:rPr>
        <w:t>主</w:t>
      </w:r>
      <w:r>
        <w:rPr>
          <w:spacing w:val="-2"/>
          <w:sz w:val="21"/>
        </w:rPr>
        <w:t>动</w:t>
      </w:r>
      <w:r>
        <w:rPr>
          <w:spacing w:val="-2"/>
          <w:sz w:val="21"/>
        </w:rPr>
        <w:t>脉</w:t>
      </w:r>
      <w:r>
        <w:rPr>
          <w:spacing w:val="-2"/>
          <w:sz w:val="21"/>
        </w:rPr>
        <w:t>疾</w:t>
      </w:r>
      <w:r>
        <w:rPr>
          <w:spacing w:val="-2"/>
          <w:sz w:val="21"/>
        </w:rPr>
        <w:t>病实际</w:t>
      </w:r>
      <w:r>
        <w:rPr>
          <w:spacing w:val="-2"/>
          <w:sz w:val="21"/>
        </w:rPr>
        <w:t>实</w:t>
      </w:r>
      <w:r>
        <w:rPr>
          <w:spacing w:val="-2"/>
          <w:sz w:val="21"/>
        </w:rPr>
        <w:t>施</w:t>
      </w:r>
      <w:r>
        <w:rPr>
          <w:spacing w:val="-2"/>
          <w:sz w:val="21"/>
        </w:rPr>
        <w:t>了</w:t>
      </w:r>
      <w:r>
        <w:rPr>
          <w:spacing w:val="-2"/>
          <w:sz w:val="21"/>
        </w:rPr>
        <w:t>经</w:t>
      </w:r>
      <w:r>
        <w:rPr>
          <w:spacing w:val="-2"/>
          <w:sz w:val="21"/>
        </w:rPr>
        <w:t>皮</w:t>
      </w:r>
      <w:r>
        <w:rPr>
          <w:spacing w:val="-2"/>
          <w:sz w:val="21"/>
        </w:rPr>
        <w:t>经</w:t>
      </w:r>
      <w:r>
        <w:rPr>
          <w:spacing w:val="-2"/>
          <w:sz w:val="21"/>
        </w:rPr>
        <w:t>导</w:t>
      </w:r>
      <w:r>
        <w:rPr>
          <w:spacing w:val="-2"/>
          <w:sz w:val="21"/>
        </w:rPr>
        <w:t>管</w:t>
      </w:r>
      <w:r>
        <w:rPr>
          <w:spacing w:val="-2"/>
          <w:sz w:val="21"/>
        </w:rPr>
        <w:t>进行的</w:t>
      </w:r>
      <w:r>
        <w:rPr>
          <w:spacing w:val="-2"/>
          <w:sz w:val="21"/>
        </w:rPr>
        <w:t>动</w:t>
      </w:r>
      <w:r>
        <w:rPr>
          <w:spacing w:val="-2"/>
          <w:sz w:val="21"/>
        </w:rPr>
        <w:t>脉</w:t>
      </w:r>
      <w:r>
        <w:rPr>
          <w:spacing w:val="-2"/>
          <w:sz w:val="21"/>
        </w:rPr>
        <w:t>内</w:t>
      </w:r>
      <w:r>
        <w:rPr>
          <w:spacing w:val="-2"/>
          <w:sz w:val="21"/>
        </w:rPr>
        <w:t>手</w:t>
      </w:r>
      <w:r>
        <w:rPr>
          <w:spacing w:val="-2"/>
          <w:sz w:val="21"/>
        </w:rPr>
        <w:t>术</w:t>
      </w:r>
      <w:r>
        <w:rPr>
          <w:spacing w:val="-2"/>
          <w:sz w:val="21"/>
        </w:rPr>
        <w:t>。</w:t>
      </w:r>
      <w:r>
        <w:rPr>
          <w:spacing w:val="-2"/>
          <w:sz w:val="21"/>
        </w:rPr>
        <w:t>主</w:t>
      </w:r>
      <w:r>
        <w:rPr>
          <w:spacing w:val="-2"/>
          <w:sz w:val="21"/>
        </w:rPr>
        <w:t>动</w:t>
      </w:r>
      <w:r>
        <w:rPr>
          <w:spacing w:val="-2"/>
          <w:sz w:val="21"/>
        </w:rPr>
        <w:t>脉</w:t>
      </w:r>
      <w:r>
        <w:rPr>
          <w:spacing w:val="-2"/>
          <w:sz w:val="21"/>
        </w:rPr>
        <w:t>指</w:t>
      </w:r>
      <w:r>
        <w:rPr>
          <w:spacing w:val="-2"/>
          <w:sz w:val="21"/>
        </w:rPr>
        <w:t>胸</w:t>
      </w:r>
      <w:r>
        <w:rPr>
          <w:spacing w:val="-2"/>
          <w:sz w:val="21"/>
        </w:rPr>
        <w:t>主</w:t>
      </w:r>
      <w:r>
        <w:rPr>
          <w:spacing w:val="-2"/>
          <w:sz w:val="21"/>
        </w:rPr>
        <w:t>动</w:t>
      </w:r>
      <w:r>
        <w:rPr>
          <w:spacing w:val="-2"/>
          <w:sz w:val="21"/>
        </w:rPr>
        <w:t>脉和腹主动脉，</w:t>
      </w:r>
      <w:r>
        <w:rPr>
          <w:b/>
          <w:spacing w:val="-2"/>
          <w:sz w:val="21"/>
        </w:rPr>
        <w:t>不包</w:t>
      </w:r>
      <w:r>
        <w:rPr>
          <w:b/>
          <w:spacing w:val="-2"/>
          <w:sz w:val="21"/>
        </w:rPr>
        <w:t>括</w:t>
      </w:r>
      <w:r>
        <w:rPr>
          <w:b/>
          <w:spacing w:val="-2"/>
          <w:sz w:val="21"/>
        </w:rPr>
        <w:t>胸</w:t>
      </w:r>
      <w:r>
        <w:rPr>
          <w:b/>
          <w:spacing w:val="-2"/>
          <w:sz w:val="21"/>
        </w:rPr>
        <w:t>主</w:t>
      </w:r>
      <w:r>
        <w:rPr>
          <w:b/>
          <w:spacing w:val="-2"/>
          <w:sz w:val="21"/>
        </w:rPr>
        <w:t>动</w:t>
      </w:r>
      <w:r>
        <w:rPr>
          <w:b/>
          <w:spacing w:val="-2"/>
          <w:sz w:val="21"/>
        </w:rPr>
        <w:t>脉</w:t>
      </w:r>
      <w:r>
        <w:rPr>
          <w:b/>
          <w:spacing w:val="-2"/>
          <w:sz w:val="21"/>
        </w:rPr>
        <w:t>和</w:t>
      </w:r>
      <w:r>
        <w:rPr>
          <w:b/>
          <w:spacing w:val="-2"/>
          <w:sz w:val="21"/>
        </w:rPr>
        <w:t>腹</w:t>
      </w:r>
      <w:r>
        <w:rPr>
          <w:b/>
          <w:spacing w:val="-2"/>
          <w:sz w:val="21"/>
        </w:rPr>
        <w:t>主</w:t>
      </w:r>
      <w:r>
        <w:rPr>
          <w:b/>
          <w:spacing w:val="-2"/>
          <w:sz w:val="21"/>
        </w:rPr>
        <w:t>动脉的</w:t>
      </w:r>
      <w:r>
        <w:rPr>
          <w:b/>
          <w:spacing w:val="-2"/>
          <w:sz w:val="21"/>
        </w:rPr>
        <w:t>分</w:t>
      </w:r>
      <w:r>
        <w:rPr>
          <w:b/>
          <w:spacing w:val="-2"/>
          <w:sz w:val="21"/>
        </w:rPr>
        <w:t>支</w:t>
      </w:r>
      <w:r>
        <w:rPr>
          <w:b/>
          <w:spacing w:val="-2"/>
          <w:sz w:val="21"/>
        </w:rPr>
        <w:t>血</w:t>
      </w:r>
      <w:r>
        <w:rPr>
          <w:b/>
          <w:spacing w:val="-2"/>
          <w:sz w:val="21"/>
        </w:rPr>
        <w:t>管</w:t>
      </w:r>
      <w:r>
        <w:rPr>
          <w:spacing w:val="-2"/>
          <w:sz w:val="21"/>
        </w:rPr>
        <w:t>。</w:t>
      </w:r>
    </w:p>
    <w:p>
      <w:pPr>
        <w:pStyle w:val="BodyText"/>
        <w:spacing w:before="12"/>
        <w:rPr>
          <w:sz w:val="11"/>
        </w:rPr>
      </w:pPr>
    </w:p>
    <w:p>
      <w:pPr>
        <w:spacing w:after="0"/>
        <w:rPr>
          <w:sz w:val="11"/>
        </w:rPr>
        <w:sectPr>
          <w:type w:val="continuous"/>
          <w:pgSz w:w="11910" w:h="16840"/>
          <w:pgMar w:header="0" w:footer="404" w:top="600" w:bottom="280" w:left="860" w:right="340"/>
        </w:sectPr>
      </w:pPr>
    </w:p>
    <w:p>
      <w:pPr>
        <w:pStyle w:val="ListParagraph"/>
        <w:numPr>
          <w:ilvl w:val="0"/>
          <w:numId w:val="19"/>
        </w:numPr>
        <w:tabs>
          <w:tab w:pos="1333" w:val="left" w:leader="none"/>
        </w:tabs>
        <w:spacing w:line="278" w:lineRule="auto" w:before="72" w:after="0"/>
        <w:ind w:left="1120" w:right="0" w:firstLine="0"/>
        <w:jc w:val="both"/>
        <w:rPr>
          <w:sz w:val="21"/>
        </w:rPr>
      </w:pPr>
      <w:r>
        <w:rPr>
          <w:spacing w:val="-4"/>
          <w:sz w:val="21"/>
        </w:rPr>
        <w:t>脑垂体瘤、脑囊</w:t>
      </w:r>
      <w:r>
        <w:rPr>
          <w:spacing w:val="-4"/>
          <w:sz w:val="21"/>
        </w:rPr>
        <w:t>肿、脑动脉瘤及脑</w:t>
      </w:r>
      <w:r>
        <w:rPr>
          <w:spacing w:val="-4"/>
          <w:sz w:val="21"/>
        </w:rPr>
        <w:t>血管瘤</w:t>
      </w:r>
    </w:p>
    <w:p>
      <w:pPr>
        <w:pStyle w:val="BodyText"/>
        <w:spacing w:line="278" w:lineRule="auto" w:before="72"/>
        <w:ind w:left="173" w:right="666"/>
      </w:pPr>
      <w:r>
        <w:rPr/>
        <w:br w:type="column"/>
      </w:r>
      <w:r>
        <w:rPr>
          <w:spacing w:val="-2"/>
        </w:rPr>
        <w:t>指经头颅断层扫描（CT）、核磁共振（MRI）或其他影像学检查被确诊为下列</w:t>
      </w:r>
      <w:r>
        <w:rPr>
          <w:spacing w:val="-2"/>
        </w:rPr>
        <w:t>病变，并实际接受了手术或放射治疗。</w:t>
      </w:r>
    </w:p>
    <w:p>
      <w:pPr>
        <w:pStyle w:val="ListParagraph"/>
        <w:numPr>
          <w:ilvl w:val="0"/>
          <w:numId w:val="20"/>
        </w:numPr>
        <w:tabs>
          <w:tab w:pos="703" w:val="left" w:leader="none"/>
        </w:tabs>
        <w:spacing w:line="269" w:lineRule="exact" w:before="0" w:after="0"/>
        <w:ind w:left="702" w:right="0" w:hanging="530"/>
        <w:jc w:val="left"/>
        <w:rPr>
          <w:sz w:val="21"/>
        </w:rPr>
      </w:pPr>
      <w:r>
        <w:rPr>
          <w:spacing w:val="-4"/>
          <w:sz w:val="21"/>
        </w:rPr>
        <w:t>脑垂体瘤；</w:t>
      </w:r>
    </w:p>
    <w:p>
      <w:pPr>
        <w:pStyle w:val="ListParagraph"/>
        <w:numPr>
          <w:ilvl w:val="0"/>
          <w:numId w:val="20"/>
        </w:numPr>
        <w:tabs>
          <w:tab w:pos="703" w:val="left" w:leader="none"/>
        </w:tabs>
        <w:spacing w:line="240" w:lineRule="auto" w:before="43" w:after="0"/>
        <w:ind w:left="702" w:right="0" w:hanging="530"/>
        <w:jc w:val="left"/>
        <w:rPr>
          <w:sz w:val="21"/>
        </w:rPr>
      </w:pPr>
      <w:r>
        <w:rPr>
          <w:spacing w:val="-4"/>
          <w:sz w:val="21"/>
        </w:rPr>
        <w:t>脑囊肿；</w:t>
      </w:r>
    </w:p>
    <w:p>
      <w:pPr>
        <w:pStyle w:val="ListParagraph"/>
        <w:numPr>
          <w:ilvl w:val="0"/>
          <w:numId w:val="20"/>
        </w:numPr>
        <w:tabs>
          <w:tab w:pos="703" w:val="left" w:leader="none"/>
        </w:tabs>
        <w:spacing w:line="240" w:lineRule="auto" w:before="43" w:after="0"/>
        <w:ind w:left="702" w:right="0" w:hanging="530"/>
        <w:jc w:val="left"/>
        <w:rPr>
          <w:sz w:val="21"/>
        </w:rPr>
      </w:pPr>
      <w:r>
        <w:rPr>
          <w:spacing w:val="-3"/>
          <w:sz w:val="21"/>
        </w:rPr>
        <w:t>脑动脉瘤、脑血管瘤。</w:t>
      </w:r>
    </w:p>
    <w:p>
      <w:pPr>
        <w:spacing w:after="0" w:line="240" w:lineRule="auto"/>
        <w:jc w:val="left"/>
        <w:rPr>
          <w:sz w:val="21"/>
        </w:rPr>
        <w:sectPr>
          <w:type w:val="continuous"/>
          <w:pgSz w:w="11910" w:h="16840"/>
          <w:pgMar w:header="0" w:footer="404" w:top="600" w:bottom="280" w:left="860" w:right="340"/>
          <w:cols w:num="2" w:equalWidth="0">
            <w:col w:w="2787" w:space="40"/>
            <w:col w:w="7883"/>
          </w:cols>
        </w:sectPr>
      </w:pPr>
    </w:p>
    <w:p>
      <w:pPr>
        <w:pStyle w:val="BodyText"/>
        <w:spacing w:before="7"/>
        <w:rPr>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both"/>
        <w:rPr>
          <w:sz w:val="21"/>
        </w:rPr>
      </w:pPr>
      <w:r>
        <w:rPr>
          <w:spacing w:val="8"/>
          <w:sz w:val="21"/>
        </w:rPr>
        <w:t>无颅内压增高</w:t>
      </w:r>
      <w:r>
        <w:rPr>
          <w:spacing w:val="26"/>
          <w:sz w:val="21"/>
        </w:rPr>
        <w:t>的微小良性脑肿</w:t>
      </w:r>
      <w:r>
        <w:rPr>
          <w:spacing w:val="-10"/>
          <w:sz w:val="21"/>
        </w:rPr>
        <w:t>瘤</w:t>
      </w:r>
    </w:p>
    <w:p>
      <w:pPr>
        <w:pStyle w:val="BodyText"/>
        <w:spacing w:line="278" w:lineRule="auto" w:before="72"/>
        <w:ind w:left="142" w:right="666"/>
        <w:jc w:val="both"/>
      </w:pPr>
      <w:r>
        <w:rPr/>
        <w:br w:type="column"/>
      </w:r>
      <w:r>
        <w:rPr>
          <w:spacing w:val="-3"/>
        </w:rPr>
        <w:t>指直径小于 </w:t>
      </w:r>
      <w:r>
        <w:rPr/>
        <w:t>2cm</w:t>
      </w:r>
      <w:r>
        <w:rPr>
          <w:spacing w:val="-4"/>
        </w:rPr>
        <w:t> 的脑的微小良性肿瘤，临床上无颅内压升高表现，无危及生</w:t>
      </w:r>
      <w:r>
        <w:rPr>
          <w:spacing w:val="-2"/>
        </w:rPr>
        <w:t>命征象。微小良性脑肿瘤须由头颅断层扫描（CT）、核磁共振检查（MRI）或</w:t>
      </w:r>
      <w:r>
        <w:rPr>
          <w:spacing w:val="-2"/>
        </w:rPr>
        <w:t>正电子发射断层扫描（PET）等影像学检查证实，并在本公司认可的医疗机构</w:t>
      </w:r>
      <w:r>
        <w:rPr>
          <w:spacing w:val="-2"/>
        </w:rPr>
        <w:t>内实际接受了手术或放射治疗。</w:t>
      </w:r>
    </w:p>
    <w:p>
      <w:pPr>
        <w:pStyle w:val="Heading2"/>
        <w:ind w:left="142"/>
      </w:pPr>
      <w:r>
        <w:rPr>
          <w:spacing w:val="-3"/>
        </w:rPr>
        <w:t>脑垂体瘤、脑囊肿、脑动脉瘤及脑血管瘤除外。</w:t>
      </w:r>
    </w:p>
    <w:p>
      <w:pPr>
        <w:spacing w:after="0"/>
        <w:sectPr>
          <w:type w:val="continuous"/>
          <w:pgSz w:w="11910" w:h="16840"/>
          <w:pgMar w:header="0" w:footer="404" w:top="600" w:bottom="280" w:left="860" w:right="340"/>
          <w:cols w:num="2" w:equalWidth="0">
            <w:col w:w="2818" w:space="40"/>
            <w:col w:w="7852"/>
          </w:cols>
        </w:sectPr>
      </w:pPr>
    </w:p>
    <w:p>
      <w:pPr>
        <w:pStyle w:val="BodyText"/>
        <w:spacing w:before="1"/>
        <w:rPr>
          <w:b/>
          <w:sz w:val="22"/>
        </w:rPr>
      </w:pPr>
    </w:p>
    <w:p>
      <w:pPr>
        <w:pStyle w:val="ListParagraph"/>
        <w:numPr>
          <w:ilvl w:val="0"/>
          <w:numId w:val="19"/>
        </w:numPr>
        <w:tabs>
          <w:tab w:pos="1439" w:val="left" w:leader="none"/>
          <w:tab w:pos="3000" w:val="left" w:leader="none"/>
        </w:tabs>
        <w:spacing w:line="278" w:lineRule="auto" w:before="72" w:after="0"/>
        <w:ind w:left="3000" w:right="669" w:hanging="1880"/>
        <w:jc w:val="left"/>
        <w:rPr>
          <w:b/>
          <w:sz w:val="21"/>
        </w:rPr>
      </w:pPr>
      <w:r>
        <w:rPr>
          <w:spacing w:val="-2"/>
          <w:sz w:val="21"/>
        </w:rPr>
        <w:t>微创颅脑手术</w:t>
      </w:r>
      <w:r>
        <w:rPr>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spacing w:val="105"/>
          <w:w w:val="150"/>
          <w:sz w:val="21"/>
        </w:rPr>
        <w:t> </w:t>
      </w:r>
      <w:r>
        <w:rPr>
          <w:b/>
          <w:spacing w:val="-2"/>
          <w:sz w:val="21"/>
        </w:rPr>
        <w:t>因</w:t>
      </w:r>
      <w:r>
        <w:rPr>
          <w:b/>
          <w:spacing w:val="-2"/>
          <w:sz w:val="21"/>
        </w:rPr>
        <w:t>外</w:t>
      </w:r>
      <w:r>
        <w:rPr>
          <w:b/>
          <w:spacing w:val="-2"/>
          <w:sz w:val="21"/>
        </w:rPr>
        <w:t>伤</w:t>
      </w:r>
      <w:r>
        <w:rPr>
          <w:b/>
          <w:spacing w:val="-2"/>
          <w:sz w:val="21"/>
        </w:rPr>
        <w:t>而</w:t>
      </w:r>
      <w:r>
        <w:rPr>
          <w:b/>
          <w:spacing w:val="-2"/>
          <w:sz w:val="21"/>
        </w:rPr>
        <w:t>实</w:t>
      </w:r>
      <w:r>
        <w:rPr>
          <w:b/>
          <w:spacing w:val="-2"/>
          <w:sz w:val="21"/>
        </w:rPr>
        <w:t>施</w:t>
      </w:r>
      <w:r>
        <w:rPr>
          <w:b/>
          <w:spacing w:val="-2"/>
          <w:sz w:val="21"/>
        </w:rPr>
        <w:t>的</w:t>
      </w:r>
      <w:r>
        <w:rPr>
          <w:b/>
          <w:spacing w:val="-2"/>
          <w:sz w:val="21"/>
        </w:rPr>
        <w:t>脑</w:t>
      </w:r>
      <w:r>
        <w:rPr>
          <w:b/>
          <w:spacing w:val="-2"/>
          <w:sz w:val="21"/>
        </w:rPr>
        <w:t>外科手</w:t>
      </w:r>
      <w:r>
        <w:rPr>
          <w:b/>
          <w:spacing w:val="-2"/>
          <w:sz w:val="21"/>
        </w:rPr>
        <w:t>术</w:t>
      </w:r>
      <w:r>
        <w:rPr>
          <w:b/>
          <w:spacing w:val="-2"/>
          <w:sz w:val="21"/>
        </w:rPr>
        <w:t>，</w:t>
      </w:r>
      <w:r>
        <w:rPr>
          <w:b/>
          <w:spacing w:val="-2"/>
          <w:sz w:val="21"/>
        </w:rPr>
        <w:t>或</w:t>
      </w:r>
      <w:r>
        <w:rPr>
          <w:b/>
          <w:spacing w:val="-2"/>
          <w:sz w:val="21"/>
        </w:rPr>
        <w:t>因</w:t>
      </w:r>
      <w:r>
        <w:rPr>
          <w:b/>
          <w:spacing w:val="-2"/>
          <w:sz w:val="21"/>
        </w:rPr>
        <w:t>治疗“脑垂体瘤、脑囊肿、脑动脉瘤及脑</w:t>
      </w:r>
      <w:r>
        <w:rPr>
          <w:b/>
          <w:spacing w:val="-2"/>
          <w:sz w:val="21"/>
        </w:rPr>
        <w:t>血</w:t>
      </w:r>
      <w:r>
        <w:rPr>
          <w:b/>
          <w:spacing w:val="-2"/>
          <w:sz w:val="21"/>
        </w:rPr>
        <w:t>管</w:t>
      </w:r>
      <w:r>
        <w:rPr>
          <w:b/>
          <w:spacing w:val="-2"/>
          <w:sz w:val="21"/>
        </w:rPr>
        <w:t>瘤</w:t>
      </w:r>
      <w:r>
        <w:rPr>
          <w:b/>
          <w:spacing w:val="-2"/>
          <w:sz w:val="21"/>
        </w:rPr>
        <w:t>”</w:t>
      </w:r>
      <w:r>
        <w:rPr>
          <w:b/>
          <w:spacing w:val="-2"/>
          <w:sz w:val="21"/>
        </w:rPr>
        <w:t>、</w:t>
      </w:r>
      <w:r>
        <w:rPr>
          <w:b/>
          <w:spacing w:val="-2"/>
          <w:sz w:val="21"/>
        </w:rPr>
        <w:t>“</w:t>
      </w:r>
      <w:r>
        <w:rPr>
          <w:b/>
          <w:spacing w:val="-2"/>
          <w:sz w:val="21"/>
        </w:rPr>
        <w:t>无</w:t>
      </w:r>
      <w:r>
        <w:rPr>
          <w:b/>
          <w:spacing w:val="-2"/>
          <w:sz w:val="21"/>
        </w:rPr>
        <w:t>颅</w:t>
      </w:r>
      <w:r>
        <w:rPr>
          <w:b/>
          <w:spacing w:val="-2"/>
          <w:sz w:val="21"/>
        </w:rPr>
        <w:t>内压增</w:t>
      </w:r>
      <w:r>
        <w:rPr>
          <w:b/>
          <w:spacing w:val="-2"/>
          <w:sz w:val="21"/>
        </w:rPr>
        <w:t>高</w:t>
      </w:r>
      <w:r>
        <w:rPr>
          <w:b/>
          <w:spacing w:val="-2"/>
          <w:sz w:val="21"/>
        </w:rPr>
        <w:t>的</w:t>
      </w:r>
      <w:r>
        <w:rPr>
          <w:b/>
          <w:spacing w:val="-2"/>
          <w:sz w:val="21"/>
        </w:rPr>
        <w:t>微</w:t>
      </w:r>
      <w:r>
        <w:rPr>
          <w:b/>
          <w:spacing w:val="-2"/>
          <w:sz w:val="21"/>
        </w:rPr>
        <w:t>小</w:t>
      </w:r>
      <w:r>
        <w:rPr>
          <w:b/>
          <w:spacing w:val="-2"/>
          <w:sz w:val="21"/>
        </w:rPr>
        <w:t>良</w:t>
      </w:r>
      <w:r>
        <w:rPr>
          <w:b/>
          <w:spacing w:val="-2"/>
          <w:sz w:val="21"/>
        </w:rPr>
        <w:t>性</w:t>
      </w:r>
      <w:r>
        <w:rPr>
          <w:b/>
          <w:spacing w:val="-2"/>
          <w:sz w:val="21"/>
        </w:rPr>
        <w:t>脑</w:t>
      </w:r>
      <w:r>
        <w:rPr>
          <w:b/>
          <w:spacing w:val="-2"/>
          <w:sz w:val="21"/>
        </w:rPr>
        <w:t>肿</w:t>
      </w:r>
      <w:r>
        <w:rPr>
          <w:b/>
          <w:spacing w:val="-2"/>
          <w:sz w:val="21"/>
        </w:rPr>
        <w:t>瘤”导</w:t>
      </w:r>
      <w:r>
        <w:rPr>
          <w:b/>
          <w:spacing w:val="-2"/>
          <w:sz w:val="21"/>
        </w:rPr>
        <w:t>致</w:t>
      </w:r>
      <w:r>
        <w:rPr>
          <w:b/>
          <w:spacing w:val="-2"/>
          <w:sz w:val="21"/>
        </w:rPr>
        <w:t>的</w:t>
      </w:r>
      <w:r>
        <w:rPr>
          <w:b/>
          <w:spacing w:val="-2"/>
          <w:sz w:val="21"/>
        </w:rPr>
        <w:t>微</w:t>
      </w:r>
      <w:r>
        <w:rPr>
          <w:b/>
          <w:spacing w:val="-2"/>
          <w:sz w:val="21"/>
        </w:rPr>
        <w:t>创</w:t>
      </w:r>
      <w:r>
        <w:rPr>
          <w:b/>
          <w:spacing w:val="-2"/>
          <w:sz w:val="21"/>
        </w:rPr>
        <w:t>颅</w:t>
      </w:r>
      <w:r>
        <w:rPr>
          <w:b/>
          <w:spacing w:val="-2"/>
          <w:sz w:val="21"/>
        </w:rPr>
        <w:t>脑</w:t>
      </w:r>
      <w:r>
        <w:rPr>
          <w:b/>
          <w:spacing w:val="-2"/>
          <w:sz w:val="21"/>
        </w:rPr>
        <w:t>手</w:t>
      </w:r>
      <w:r>
        <w:rPr>
          <w:b/>
          <w:spacing w:val="-2"/>
          <w:sz w:val="21"/>
        </w:rPr>
        <w:t>术不在保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spacing w:after="0" w:line="278" w:lineRule="auto"/>
        <w:jc w:val="left"/>
        <w:rPr>
          <w:sz w:val="21"/>
        </w:rPr>
        <w:sectPr>
          <w:type w:val="continuous"/>
          <w:pgSz w:w="11910" w:h="16840"/>
          <w:pgMar w:header="0" w:footer="404" w:top="600" w:bottom="280" w:left="860" w:right="340"/>
        </w:sectPr>
      </w:pPr>
    </w:p>
    <w:p>
      <w:pPr>
        <w:pStyle w:val="Heading2"/>
        <w:spacing w:line="278" w:lineRule="auto" w:before="57"/>
        <w:ind w:right="667"/>
      </w:pPr>
      <w:r>
        <w:rPr>
          <w:spacing w:val="-2"/>
        </w:rPr>
        <w:t>本公司对该种轻症疾病理赔后，不再对“植入大脑内分流器”承担给付轻症</w:t>
      </w:r>
      <w:r>
        <w:rPr>
          <w:spacing w:val="-2"/>
        </w:rPr>
        <w:t>疾病保险金的责任。</w:t>
      </w:r>
    </w:p>
    <w:p>
      <w:pPr>
        <w:pStyle w:val="BodyText"/>
        <w:spacing w:before="3"/>
        <w:rPr>
          <w:b/>
          <w:sz w:val="12"/>
        </w:rPr>
      </w:pPr>
    </w:p>
    <w:p>
      <w:pPr>
        <w:spacing w:after="0"/>
        <w:rPr>
          <w:sz w:val="12"/>
        </w:rPr>
        <w:sectPr>
          <w:pgSz w:w="11910" w:h="16840"/>
          <w:pgMar w:header="0" w:footer="404" w:top="1080" w:bottom="60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植入大脑内分</w:t>
      </w:r>
      <w:r>
        <w:rPr>
          <w:spacing w:val="-6"/>
          <w:sz w:val="21"/>
        </w:rPr>
        <w:t>流器</w:t>
      </w:r>
    </w:p>
    <w:p>
      <w:pPr>
        <w:pStyle w:val="BodyText"/>
        <w:spacing w:line="278" w:lineRule="auto" w:before="71"/>
        <w:ind w:left="175" w:right="667"/>
        <w:jc w:val="both"/>
      </w:pPr>
      <w:r>
        <w:rPr/>
        <w:br w:type="column"/>
      </w:r>
      <w:r>
        <w:rPr>
          <w:spacing w:val="-2"/>
        </w:rPr>
        <w:t>为缓解已升高的脑脊液压力而确实已在脑室进行分流器植入手术。诊断及治</w:t>
      </w:r>
      <w:r>
        <w:rPr>
          <w:spacing w:val="-2"/>
        </w:rPr>
        <w:t>疗均须在本公司认可的医疗机构内由脑神经科专科医生认为是医疗必需的情</w:t>
      </w:r>
      <w:r>
        <w:rPr>
          <w:spacing w:val="-2"/>
        </w:rPr>
        <w:t>况下进行。</w:t>
      </w:r>
    </w:p>
    <w:p>
      <w:pPr>
        <w:pStyle w:val="Heading2"/>
        <w:spacing w:line="278" w:lineRule="auto"/>
        <w:ind w:left="175" w:right="667"/>
      </w:pPr>
      <w:r>
        <w:rPr>
          <w:spacing w:val="-2"/>
        </w:rPr>
        <w:t>因治疗“脑垂体瘤、脑囊肿、脑动脉瘤及脑血管瘤”、“无颅内压增高的微</w:t>
      </w:r>
      <w:r>
        <w:rPr>
          <w:spacing w:val="-2"/>
        </w:rPr>
        <w:t>小良性脑肿瘤”导致的植入大脑内分流器不在保障范围内。</w:t>
      </w:r>
    </w:p>
    <w:p>
      <w:pPr>
        <w:spacing w:line="278" w:lineRule="auto" w:before="0"/>
        <w:ind w:left="175" w:right="667" w:firstLine="0"/>
        <w:jc w:val="left"/>
        <w:rPr>
          <w:b/>
          <w:sz w:val="21"/>
        </w:rPr>
      </w:pPr>
      <w:r>
        <w:rPr>
          <w:b/>
          <w:spacing w:val="-2"/>
          <w:sz w:val="21"/>
        </w:rPr>
        <w:t>本公司对该种轻症疾病理赔后，不再对“微创颅脑手术”承担给付轻症疾病</w:t>
      </w:r>
      <w:r>
        <w:rPr>
          <w:b/>
          <w:spacing w:val="-2"/>
          <w:sz w:val="21"/>
        </w:rPr>
        <w:t>保险金的责任。</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11"/>
        <w:rPr>
          <w:b/>
          <w:sz w:val="16"/>
        </w:rPr>
      </w:pPr>
    </w:p>
    <w:p>
      <w:pPr>
        <w:pStyle w:val="ListParagraph"/>
        <w:numPr>
          <w:ilvl w:val="0"/>
          <w:numId w:val="19"/>
        </w:numPr>
        <w:tabs>
          <w:tab w:pos="1439" w:val="left" w:leader="none"/>
          <w:tab w:pos="3000" w:val="left" w:leader="none"/>
        </w:tabs>
        <w:spacing w:line="278" w:lineRule="auto" w:before="86" w:after="0"/>
        <w:ind w:left="3000" w:right="668" w:hanging="1880"/>
        <w:jc w:val="left"/>
        <w:rPr>
          <w:sz w:val="21"/>
        </w:rPr>
      </w:pPr>
      <w:r>
        <w:rPr>
          <w:spacing w:val="-4"/>
          <w:sz w:val="21"/>
        </w:rPr>
        <w:t>单眼失明</w:t>
      </w:r>
      <w:r>
        <w:rPr>
          <w:sz w:val="21"/>
        </w:rPr>
        <w:tab/>
      </w:r>
      <w:r>
        <w:rPr>
          <w:spacing w:val="-2"/>
          <w:sz w:val="21"/>
        </w:rPr>
        <w:t>指</w:t>
      </w:r>
      <w:r>
        <w:rPr>
          <w:spacing w:val="-2"/>
          <w:sz w:val="21"/>
        </w:rPr>
        <w:t>因</w:t>
      </w:r>
      <w:r>
        <w:rPr>
          <w:spacing w:val="-2"/>
          <w:sz w:val="21"/>
        </w:rPr>
        <w:t>疾病或意外伤害导致</w:t>
      </w:r>
      <w:r>
        <w:rPr>
          <w:spacing w:val="-2"/>
          <w:sz w:val="21"/>
        </w:rPr>
        <w:t>单</w:t>
      </w:r>
      <w:r>
        <w:rPr>
          <w:spacing w:val="-2"/>
          <w:sz w:val="21"/>
        </w:rPr>
        <w:t>眼</w:t>
      </w:r>
      <w:r>
        <w:rPr>
          <w:spacing w:val="-2"/>
          <w:sz w:val="21"/>
        </w:rPr>
        <w:t>视力</w:t>
      </w: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pacing w:val="-54"/>
          <w:sz w:val="21"/>
        </w:rPr>
        <w:t> </w:t>
      </w:r>
      <w:r>
        <w:rPr>
          <w:spacing w:val="-2"/>
          <w:position w:val="11"/>
          <w:sz w:val="11"/>
        </w:rPr>
        <w:t>11.29</w:t>
      </w:r>
      <w:r>
        <w:rPr>
          <w:spacing w:val="-31"/>
          <w:position w:val="11"/>
          <w:sz w:val="11"/>
        </w:rPr>
        <w:t> </w:t>
      </w:r>
      <w:r>
        <w:rPr>
          <w:spacing w:val="-2"/>
          <w:sz w:val="21"/>
        </w:rPr>
        <w:t>性</w:t>
      </w:r>
      <w:r>
        <w:rPr>
          <w:spacing w:val="-2"/>
          <w:sz w:val="21"/>
        </w:rPr>
        <w:t>丧</w:t>
      </w:r>
      <w:r>
        <w:rPr>
          <w:spacing w:val="-2"/>
          <w:sz w:val="21"/>
        </w:rPr>
        <w:t>失，须满足下列至少一</w:t>
      </w:r>
      <w:r>
        <w:rPr>
          <w:spacing w:val="-4"/>
          <w:sz w:val="21"/>
        </w:rPr>
        <w:t>项</w:t>
      </w:r>
      <w:r>
        <w:rPr>
          <w:spacing w:val="-4"/>
          <w:sz w:val="21"/>
        </w:rPr>
        <w:t>条</w:t>
      </w:r>
      <w:r>
        <w:rPr>
          <w:spacing w:val="-4"/>
          <w:sz w:val="21"/>
        </w:rPr>
        <w:t>件：</w:t>
      </w:r>
    </w:p>
    <w:p>
      <w:pPr>
        <w:pStyle w:val="ListParagraph"/>
        <w:numPr>
          <w:ilvl w:val="1"/>
          <w:numId w:val="19"/>
        </w:numPr>
        <w:tabs>
          <w:tab w:pos="3530" w:val="left" w:leader="none"/>
        </w:tabs>
        <w:spacing w:line="269" w:lineRule="exact" w:before="0" w:after="0"/>
        <w:ind w:left="3529" w:right="0" w:hanging="530"/>
        <w:jc w:val="left"/>
        <w:rPr>
          <w:sz w:val="21"/>
        </w:rPr>
      </w:pPr>
      <w:r>
        <w:rPr>
          <w:spacing w:val="-4"/>
          <w:sz w:val="21"/>
        </w:rPr>
        <w:t>眼球缺失或摘除；</w:t>
      </w:r>
    </w:p>
    <w:p>
      <w:pPr>
        <w:pStyle w:val="ListParagraph"/>
        <w:numPr>
          <w:ilvl w:val="1"/>
          <w:numId w:val="19"/>
        </w:numPr>
        <w:tabs>
          <w:tab w:pos="3530" w:val="left" w:leader="none"/>
        </w:tabs>
        <w:spacing w:line="278" w:lineRule="auto" w:before="43" w:after="0"/>
        <w:ind w:left="3525"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1"/>
          <w:numId w:val="19"/>
        </w:numPr>
        <w:tabs>
          <w:tab w:pos="3530" w:val="left" w:leader="none"/>
        </w:tabs>
        <w:spacing w:line="269" w:lineRule="exact" w:before="0" w:after="0"/>
        <w:ind w:left="3529" w:right="0" w:hanging="530"/>
        <w:jc w:val="left"/>
        <w:rPr>
          <w:sz w:val="21"/>
        </w:rPr>
      </w:pPr>
      <w:r>
        <w:rPr>
          <w:spacing w:val="-10"/>
          <w:sz w:val="21"/>
        </w:rPr>
        <w:t>视野半径小于 </w:t>
      </w:r>
      <w:r>
        <w:rPr>
          <w:spacing w:val="-2"/>
          <w:sz w:val="21"/>
        </w:rPr>
        <w:t>5</w:t>
      </w:r>
      <w:r>
        <w:rPr>
          <w:spacing w:val="-21"/>
          <w:sz w:val="21"/>
        </w:rPr>
        <w:t> 度。</w:t>
      </w:r>
    </w:p>
    <w:p>
      <w:pPr>
        <w:pStyle w:val="Heading2"/>
        <w:spacing w:line="278" w:lineRule="auto" w:before="43"/>
        <w:ind w:right="668"/>
      </w:pPr>
      <w:r>
        <w:rPr>
          <w:spacing w:val="-1"/>
        </w:rPr>
        <w:t>除眼球缺失或摘除情形外，申请理赔时，被保险人年龄必须在 </w:t>
      </w:r>
      <w:r>
        <w:rPr/>
        <w:t>3</w:t>
      </w:r>
      <w:r>
        <w:rPr>
          <w:spacing w:val="-5"/>
        </w:rPr>
        <w:t> 周岁以上，</w:t>
      </w:r>
      <w:r>
        <w:rPr>
          <w:spacing w:val="-2"/>
        </w:rPr>
        <w:t>并且须提供理赔当时的视力丧失诊断及检查证据。</w:t>
      </w:r>
    </w:p>
    <w:p>
      <w:pPr>
        <w:spacing w:line="278" w:lineRule="auto" w:before="0"/>
        <w:ind w:left="3000" w:right="667" w:firstLine="0"/>
        <w:jc w:val="left"/>
        <w:rPr>
          <w:b/>
          <w:sz w:val="21"/>
        </w:rPr>
      </w:pPr>
      <w:r>
        <w:rPr>
          <w:b/>
          <w:spacing w:val="-2"/>
          <w:sz w:val="21"/>
        </w:rPr>
        <w:t>本公司对该种轻症疾病理赔后，不再对“轻度视力受损”、“角膜移植”承</w:t>
      </w:r>
      <w:r>
        <w:rPr>
          <w:b/>
          <w:spacing w:val="-2"/>
          <w:sz w:val="21"/>
        </w:rPr>
        <w:t>担给付轻症疾病保险金的责任。</w:t>
      </w:r>
    </w:p>
    <w:p>
      <w:pPr>
        <w:pStyle w:val="BodyText"/>
        <w:spacing w:before="10"/>
        <w:rPr>
          <w:b/>
          <w:sz w:val="17"/>
        </w:rPr>
      </w:pPr>
    </w:p>
    <w:p>
      <w:pPr>
        <w:pStyle w:val="ListParagraph"/>
        <w:numPr>
          <w:ilvl w:val="0"/>
          <w:numId w:val="19"/>
        </w:numPr>
        <w:tabs>
          <w:tab w:pos="1439" w:val="left" w:leader="none"/>
          <w:tab w:pos="3000" w:val="left" w:leader="none"/>
        </w:tabs>
        <w:spacing w:line="278" w:lineRule="auto" w:before="0" w:after="0"/>
        <w:ind w:left="3000" w:right="667" w:hanging="1880"/>
        <w:jc w:val="left"/>
        <w:rPr>
          <w:sz w:val="21"/>
        </w:rPr>
      </w:pPr>
      <w:r>
        <w:rPr>
          <w:spacing w:val="-2"/>
          <w:sz w:val="21"/>
        </w:rPr>
        <w:t>轻度视力受损</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目</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虽</w:t>
      </w:r>
      <w:r>
        <w:rPr>
          <w:spacing w:val="-2"/>
          <w:sz w:val="21"/>
        </w:rPr>
        <w:t>然</w:t>
      </w:r>
      <w:r>
        <w:rPr>
          <w:spacing w:val="-2"/>
          <w:sz w:val="21"/>
        </w:rPr>
        <w:t>未</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重大疾病“</w:t>
      </w:r>
      <w:r>
        <w:rPr>
          <w:b/>
          <w:spacing w:val="-2"/>
          <w:sz w:val="21"/>
        </w:rPr>
        <w:t>双</w:t>
      </w:r>
      <w:r>
        <w:rPr>
          <w:b/>
          <w:spacing w:val="-2"/>
          <w:sz w:val="21"/>
        </w:rPr>
        <w:t>目</w:t>
      </w:r>
      <w:r>
        <w:rPr>
          <w:b/>
          <w:spacing w:val="-2"/>
          <w:sz w:val="21"/>
        </w:rPr>
        <w:t>失</w:t>
      </w:r>
      <w:r>
        <w:rPr>
          <w:b/>
          <w:spacing w:val="-2"/>
          <w:sz w:val="21"/>
        </w:rPr>
        <w:t>明</w:t>
      </w:r>
      <w:r>
        <w:rPr>
          <w:spacing w:val="-2"/>
          <w:sz w:val="21"/>
        </w:rPr>
        <w:t>”</w:t>
      </w:r>
      <w:r>
        <w:rPr>
          <w:spacing w:val="-2"/>
          <w:sz w:val="21"/>
        </w:rPr>
        <w:t>的</w:t>
      </w:r>
      <w:r>
        <w:rPr>
          <w:spacing w:val="-2"/>
          <w:sz w:val="21"/>
        </w:rPr>
        <w:t>给付标准，但满足下</w:t>
      </w:r>
      <w:r>
        <w:rPr>
          <w:spacing w:val="-2"/>
          <w:sz w:val="21"/>
        </w:rPr>
        <w:t>列</w:t>
      </w:r>
      <w:r>
        <w:rPr>
          <w:spacing w:val="-2"/>
          <w:sz w:val="21"/>
        </w:rPr>
        <w:t>全</w:t>
      </w:r>
      <w:r>
        <w:rPr>
          <w:spacing w:val="-2"/>
          <w:sz w:val="21"/>
        </w:rPr>
        <w:t>部条件：</w:t>
      </w:r>
    </w:p>
    <w:p>
      <w:pPr>
        <w:pStyle w:val="ListParagraph"/>
        <w:numPr>
          <w:ilvl w:val="0"/>
          <w:numId w:val="21"/>
        </w:numPr>
        <w:tabs>
          <w:tab w:pos="3530" w:val="left" w:leader="none"/>
        </w:tabs>
        <w:spacing w:line="278" w:lineRule="auto" w:before="0" w:after="0"/>
        <w:ind w:left="3525" w:right="666" w:hanging="526"/>
        <w:jc w:val="left"/>
        <w:rPr>
          <w:sz w:val="21"/>
        </w:rPr>
      </w:pPr>
      <w:r>
        <w:rPr>
          <w:spacing w:val="-3"/>
          <w:sz w:val="21"/>
        </w:rPr>
        <w:t>双眼中较好眼矫正视力低于 </w:t>
      </w:r>
      <w:r>
        <w:rPr>
          <w:sz w:val="21"/>
        </w:rPr>
        <w:t>0.1（采用国际标准视力表，如果使用其他</w:t>
      </w:r>
      <w:r>
        <w:rPr>
          <w:spacing w:val="-2"/>
          <w:sz w:val="21"/>
        </w:rPr>
        <w:t>视力表应进行换算）；</w:t>
      </w:r>
    </w:p>
    <w:p>
      <w:pPr>
        <w:pStyle w:val="ListParagraph"/>
        <w:numPr>
          <w:ilvl w:val="0"/>
          <w:numId w:val="21"/>
        </w:numPr>
        <w:tabs>
          <w:tab w:pos="3530" w:val="left" w:leader="none"/>
        </w:tabs>
        <w:spacing w:line="240" w:lineRule="auto" w:before="0" w:after="0"/>
        <w:ind w:left="3529" w:right="0" w:hanging="530"/>
        <w:jc w:val="left"/>
        <w:rPr>
          <w:sz w:val="21"/>
        </w:rPr>
      </w:pPr>
      <w:r>
        <w:rPr>
          <w:spacing w:val="-6"/>
          <w:sz w:val="21"/>
        </w:rPr>
        <w:t>双眼中较好眼视野半径小于 </w:t>
      </w:r>
      <w:r>
        <w:rPr>
          <w:spacing w:val="-2"/>
          <w:sz w:val="21"/>
        </w:rPr>
        <w:t>20</w:t>
      </w:r>
      <w:r>
        <w:rPr>
          <w:spacing w:val="-21"/>
          <w:sz w:val="21"/>
        </w:rPr>
        <w:t> 度。</w:t>
      </w:r>
    </w:p>
    <w:p>
      <w:pPr>
        <w:pStyle w:val="Heading2"/>
        <w:spacing w:line="278" w:lineRule="auto" w:before="43"/>
        <w:ind w:right="669"/>
      </w:pPr>
      <w:r>
        <w:rPr>
          <w:spacing w:val="-2"/>
        </w:rPr>
        <w:t>申请理赔时，被保险人年龄必须在 </w:t>
      </w:r>
      <w:r>
        <w:rPr/>
        <w:t>3</w:t>
      </w:r>
      <w:r>
        <w:rPr>
          <w:spacing w:val="-5"/>
        </w:rPr>
        <w:t> 周岁以上，并且须提供理赔当时的视力</w:t>
      </w:r>
      <w:r>
        <w:rPr>
          <w:spacing w:val="-2"/>
        </w:rPr>
        <w:t>丧失诊断及检查证据。</w:t>
      </w:r>
    </w:p>
    <w:p>
      <w:pPr>
        <w:spacing w:line="278" w:lineRule="auto" w:before="0"/>
        <w:ind w:left="3000" w:right="667" w:firstLine="0"/>
        <w:jc w:val="left"/>
        <w:rPr>
          <w:b/>
          <w:sz w:val="21"/>
        </w:rPr>
      </w:pPr>
      <w:r>
        <w:rPr>
          <w:b/>
          <w:spacing w:val="-2"/>
          <w:sz w:val="21"/>
        </w:rPr>
        <w:t>本公司对该种轻症疾病理赔后，不再对“单眼失明”、“角膜移植”承担给</w:t>
      </w:r>
      <w:r>
        <w:rPr>
          <w:b/>
          <w:spacing w:val="-2"/>
          <w:sz w:val="21"/>
        </w:rPr>
        <w:t>付轻症疾病保险金的责任。</w:t>
      </w:r>
    </w:p>
    <w:p>
      <w:pPr>
        <w:pStyle w:val="BodyText"/>
        <w:spacing w:before="7"/>
        <w:rPr>
          <w:b/>
          <w:sz w:val="17"/>
        </w:rPr>
      </w:pPr>
    </w:p>
    <w:p>
      <w:pPr>
        <w:pStyle w:val="ListParagraph"/>
        <w:numPr>
          <w:ilvl w:val="0"/>
          <w:numId w:val="19"/>
        </w:numPr>
        <w:tabs>
          <w:tab w:pos="1439" w:val="left" w:leader="none"/>
          <w:tab w:pos="3000" w:val="left" w:leader="none"/>
        </w:tabs>
        <w:spacing w:line="240" w:lineRule="auto" w:before="0" w:after="0"/>
        <w:ind w:left="1438" w:right="0" w:hanging="319"/>
        <w:jc w:val="left"/>
        <w:rPr>
          <w:sz w:val="21"/>
        </w:rPr>
      </w:pPr>
      <w:r>
        <w:rPr>
          <w:spacing w:val="-2"/>
          <w:sz w:val="21"/>
        </w:rPr>
        <w:t>角膜移</w:t>
      </w:r>
      <w:r>
        <w:rPr>
          <w:spacing w:val="-10"/>
          <w:sz w:val="21"/>
        </w:rPr>
        <w:t>植</w:t>
      </w:r>
      <w:r>
        <w:rPr>
          <w:sz w:val="21"/>
        </w:rPr>
        <w:tab/>
      </w:r>
      <w:r>
        <w:rPr>
          <w:spacing w:val="-2"/>
          <w:sz w:val="21"/>
        </w:rPr>
        <w:t>指</w:t>
      </w:r>
      <w:r>
        <w:rPr>
          <w:spacing w:val="-2"/>
          <w:sz w:val="21"/>
        </w:rPr>
        <w:t>为</w:t>
      </w:r>
      <w:r>
        <w:rPr>
          <w:spacing w:val="-2"/>
          <w:sz w:val="21"/>
        </w:rPr>
        <w:t>增进视力或治疗某些</w:t>
      </w:r>
      <w:r>
        <w:rPr>
          <w:spacing w:val="-2"/>
          <w:sz w:val="21"/>
        </w:rPr>
        <w:t>角</w:t>
      </w:r>
      <w:r>
        <w:rPr>
          <w:spacing w:val="-2"/>
          <w:sz w:val="21"/>
        </w:rPr>
        <w:t>膜</w:t>
      </w:r>
      <w:r>
        <w:rPr>
          <w:spacing w:val="-2"/>
          <w:sz w:val="21"/>
        </w:rPr>
        <w:t>疾患，已经实施了异</w:t>
      </w:r>
      <w:r>
        <w:rPr>
          <w:spacing w:val="-2"/>
          <w:sz w:val="21"/>
        </w:rPr>
        <w:t>体</w:t>
      </w:r>
      <w:r>
        <w:rPr>
          <w:spacing w:val="-2"/>
          <w:sz w:val="21"/>
        </w:rPr>
        <w:t>的</w:t>
      </w:r>
      <w:r>
        <w:rPr>
          <w:spacing w:val="-2"/>
          <w:sz w:val="21"/>
        </w:rPr>
        <w:t>角膜移植手</w:t>
      </w:r>
      <w:r>
        <w:rPr>
          <w:spacing w:val="-2"/>
          <w:sz w:val="21"/>
        </w:rPr>
        <w:t>术</w:t>
      </w:r>
      <w:r>
        <w:rPr>
          <w:spacing w:val="-10"/>
          <w:sz w:val="21"/>
        </w:rPr>
        <w:t>。</w:t>
      </w:r>
    </w:p>
    <w:p>
      <w:pPr>
        <w:pStyle w:val="BodyText"/>
        <w:spacing w:line="278" w:lineRule="auto" w:before="43"/>
        <w:ind w:left="3000" w:right="667"/>
      </w:pPr>
      <w:r>
        <w:rPr>
          <w:spacing w:val="-2"/>
        </w:rPr>
        <w:t>此手术必须在本公司认可的医疗机构内由专科医生认为是医疗必需的情况下</w:t>
      </w:r>
      <w:r>
        <w:rPr>
          <w:spacing w:val="-4"/>
        </w:rPr>
        <w:t>进行。</w:t>
      </w:r>
    </w:p>
    <w:p>
      <w:pPr>
        <w:pStyle w:val="Heading2"/>
        <w:spacing w:line="278" w:lineRule="auto"/>
        <w:ind w:right="667"/>
      </w:pPr>
      <w:r>
        <w:rPr>
          <w:spacing w:val="-2"/>
        </w:rPr>
        <w:t>本公司对该种轻症疾病理赔后，不再对“单眼失明”、“轻度视力受损”承</w:t>
      </w:r>
      <w:r>
        <w:rPr>
          <w:spacing w:val="-2"/>
        </w:rPr>
        <w:t>担给付轻症疾病保险金的责任。</w:t>
      </w:r>
    </w:p>
    <w:p>
      <w:pPr>
        <w:pStyle w:val="BodyText"/>
        <w:spacing w:before="10"/>
        <w:rPr>
          <w:b/>
          <w:sz w:val="17"/>
        </w:rPr>
      </w:pPr>
    </w:p>
    <w:p>
      <w:pPr>
        <w:pStyle w:val="ListParagraph"/>
        <w:numPr>
          <w:ilvl w:val="0"/>
          <w:numId w:val="19"/>
        </w:numPr>
        <w:tabs>
          <w:tab w:pos="1439" w:val="left" w:leader="none"/>
        </w:tabs>
        <w:spacing w:line="278" w:lineRule="auto" w:before="0" w:after="0"/>
        <w:ind w:left="3000" w:right="666" w:hanging="1880"/>
        <w:jc w:val="both"/>
        <w:rPr>
          <w:sz w:val="21"/>
        </w:rPr>
      </w:pPr>
      <w:r>
        <w:rPr>
          <w:spacing w:val="-1"/>
          <w:sz w:val="21"/>
        </w:rPr>
        <w:t>轻度听力受损 指因疾病或者意外伤害导致双耳听力永久不可逆性丧失，在 </w:t>
      </w:r>
      <w:r>
        <w:rPr>
          <w:sz w:val="21"/>
        </w:rPr>
        <w:t>500</w:t>
      </w:r>
      <w:r>
        <w:rPr>
          <w:spacing w:val="-3"/>
          <w:sz w:val="21"/>
        </w:rPr>
        <w:t> 赫兹、</w:t>
      </w:r>
      <w:r>
        <w:rPr>
          <w:sz w:val="21"/>
        </w:rPr>
        <w:t>1000</w:t>
      </w:r>
      <w:r>
        <w:rPr>
          <w:spacing w:val="-6"/>
          <w:sz w:val="21"/>
        </w:rPr>
        <w:t>赫兹和 </w:t>
      </w:r>
      <w:r>
        <w:rPr>
          <w:spacing w:val="-2"/>
          <w:sz w:val="21"/>
        </w:rPr>
        <w:t>2000</w:t>
      </w:r>
      <w:r>
        <w:rPr>
          <w:spacing w:val="-7"/>
          <w:sz w:val="21"/>
        </w:rPr>
        <w:t> 赫兹语音频率下，平均听阈大于 </w:t>
      </w:r>
      <w:r>
        <w:rPr>
          <w:spacing w:val="-2"/>
          <w:sz w:val="21"/>
        </w:rPr>
        <w:t>80</w:t>
      </w:r>
      <w:r>
        <w:rPr>
          <w:spacing w:val="-6"/>
          <w:sz w:val="21"/>
        </w:rPr>
        <w:t> 分贝，且经纯音听力测试、</w:t>
      </w:r>
      <w:r>
        <w:rPr>
          <w:spacing w:val="-2"/>
          <w:sz w:val="21"/>
        </w:rPr>
        <w:t>声道抗检测或听觉诱发电位检测等证实。</w:t>
      </w:r>
    </w:p>
    <w:p>
      <w:pPr>
        <w:pStyle w:val="Heading2"/>
        <w:spacing w:line="278" w:lineRule="auto"/>
        <w:ind w:right="669"/>
      </w:pPr>
      <w:r>
        <w:rPr>
          <w:spacing w:val="-2"/>
        </w:rPr>
        <w:t>申请理赔时，被保险人年龄必须在 </w:t>
      </w:r>
      <w:r>
        <w:rPr/>
        <w:t>3</w:t>
      </w:r>
      <w:r>
        <w:rPr>
          <w:spacing w:val="-5"/>
        </w:rPr>
        <w:t> 周岁以上，并且须提供理赔当时的听力</w:t>
      </w:r>
      <w:r>
        <w:rPr>
          <w:spacing w:val="-2"/>
        </w:rPr>
        <w:t>丧失诊断及检查证据。</w:t>
      </w:r>
    </w:p>
    <w:p>
      <w:pPr>
        <w:spacing w:line="278" w:lineRule="auto" w:before="0"/>
        <w:ind w:left="3000" w:right="667" w:firstLine="0"/>
        <w:jc w:val="left"/>
        <w:rPr>
          <w:b/>
          <w:sz w:val="21"/>
        </w:rPr>
      </w:pPr>
      <w:r>
        <w:rPr>
          <w:b/>
          <w:spacing w:val="-2"/>
          <w:sz w:val="21"/>
        </w:rPr>
        <w:t>本公司对该种轻症疾病理赔后，不再对“单耳失聪”、“人工耳蜗植入术”</w:t>
      </w:r>
      <w:r>
        <w:rPr>
          <w:b/>
          <w:spacing w:val="-2"/>
          <w:sz w:val="21"/>
        </w:rPr>
        <w:t>承担给付轻症疾病保险金的责任。</w:t>
      </w:r>
    </w:p>
    <w:p>
      <w:pPr>
        <w:pStyle w:val="BodyText"/>
        <w:spacing w:before="4"/>
        <w:rPr>
          <w:b/>
          <w:sz w:val="24"/>
        </w:rPr>
      </w:pPr>
    </w:p>
    <w:p>
      <w:pPr>
        <w:pStyle w:val="ListParagraph"/>
        <w:numPr>
          <w:ilvl w:val="0"/>
          <w:numId w:val="19"/>
        </w:numPr>
        <w:tabs>
          <w:tab w:pos="1439" w:val="left" w:leader="none"/>
          <w:tab w:pos="3000" w:val="left" w:leader="none"/>
        </w:tabs>
        <w:spacing w:line="240" w:lineRule="auto" w:before="0" w:after="0"/>
        <w:ind w:left="1438" w:right="0" w:hanging="319"/>
        <w:jc w:val="left"/>
        <w:rPr>
          <w:sz w:val="21"/>
        </w:rPr>
      </w:pPr>
      <w:r>
        <w:rPr>
          <w:spacing w:val="-2"/>
          <w:sz w:val="21"/>
        </w:rPr>
        <w:t>单耳失</w:t>
      </w:r>
      <w:r>
        <w:rPr>
          <w:spacing w:val="-10"/>
          <w:sz w:val="21"/>
        </w:rPr>
        <w:t>聪</w:t>
      </w:r>
      <w:r>
        <w:rPr>
          <w:sz w:val="21"/>
        </w:rPr>
        <w:tab/>
        <w:t>指因疾病或者意外伤害导</w:t>
      </w:r>
      <w:r>
        <w:rPr>
          <w:sz w:val="21"/>
        </w:rPr>
        <w:t>致单耳听力永久不可逆性</w:t>
      </w:r>
      <w:r>
        <w:rPr>
          <w:sz w:val="21"/>
        </w:rPr>
        <w:t>丧失，在</w:t>
      </w:r>
      <w:r>
        <w:rPr>
          <w:spacing w:val="-21"/>
          <w:sz w:val="21"/>
        </w:rPr>
        <w:t> </w:t>
      </w:r>
      <w:r>
        <w:rPr>
          <w:sz w:val="21"/>
        </w:rPr>
        <w:t>500</w:t>
      </w:r>
      <w:r>
        <w:rPr>
          <w:spacing w:val="-23"/>
          <w:sz w:val="21"/>
        </w:rPr>
        <w:t> </w:t>
      </w:r>
      <w:r>
        <w:rPr>
          <w:sz w:val="21"/>
        </w:rPr>
        <w:t>赫兹、</w:t>
      </w:r>
      <w:r>
        <w:rPr>
          <w:spacing w:val="-4"/>
          <w:sz w:val="21"/>
        </w:rPr>
        <w:t>1000</w:t>
      </w:r>
    </w:p>
    <w:p>
      <w:pPr>
        <w:spacing w:after="0" w:line="240" w:lineRule="auto"/>
        <w:jc w:val="left"/>
        <w:rPr>
          <w:sz w:val="21"/>
        </w:rPr>
        <w:sectPr>
          <w:type w:val="continuous"/>
          <w:pgSz w:w="11910" w:h="16840"/>
          <w:pgMar w:header="0" w:footer="404" w:top="600" w:bottom="280" w:left="860" w:right="340"/>
        </w:sectPr>
      </w:pPr>
    </w:p>
    <w:p>
      <w:pPr>
        <w:pStyle w:val="BodyText"/>
        <w:spacing w:line="278" w:lineRule="auto" w:before="57"/>
        <w:ind w:left="3000" w:right="668"/>
      </w:pPr>
      <w:r>
        <w:rPr>
          <w:spacing w:val="-7"/>
        </w:rPr>
        <w:t>赫兹和 </w:t>
      </w:r>
      <w:r>
        <w:rPr/>
        <w:t>2000</w:t>
      </w:r>
      <w:r>
        <w:rPr>
          <w:spacing w:val="-8"/>
        </w:rPr>
        <w:t> 赫兹语音频率下，平均听阈大于等于 </w:t>
      </w:r>
      <w:r>
        <w:rPr/>
        <w:t>91</w:t>
      </w:r>
      <w:r>
        <w:rPr>
          <w:spacing w:val="-5"/>
        </w:rPr>
        <w:t> 分贝，且经纯音听力测</w:t>
      </w:r>
      <w:r>
        <w:rPr>
          <w:spacing w:val="-2"/>
        </w:rPr>
        <w:t>试、声道抗检测或听觉诱发电位检测等证实。</w:t>
      </w:r>
    </w:p>
    <w:p>
      <w:pPr>
        <w:pStyle w:val="Heading2"/>
        <w:spacing w:line="278" w:lineRule="auto"/>
        <w:ind w:right="669"/>
      </w:pPr>
      <w:r>
        <w:rPr>
          <w:spacing w:val="-2"/>
        </w:rPr>
        <w:t>申请理赔时，被保险人年龄必须在 </w:t>
      </w:r>
      <w:r>
        <w:rPr/>
        <w:t>3</w:t>
      </w:r>
      <w:r>
        <w:rPr>
          <w:spacing w:val="-5"/>
        </w:rPr>
        <w:t> 周岁以上，并且须提供理赔当时的听力</w:t>
      </w:r>
      <w:r>
        <w:rPr>
          <w:spacing w:val="-2"/>
        </w:rPr>
        <w:t>丧失诊断及检查证据。</w:t>
      </w:r>
    </w:p>
    <w:p>
      <w:pPr>
        <w:spacing w:line="278" w:lineRule="auto" w:before="0"/>
        <w:ind w:left="3000" w:right="667" w:firstLine="0"/>
        <w:jc w:val="left"/>
        <w:rPr>
          <w:b/>
          <w:sz w:val="21"/>
        </w:rPr>
      </w:pPr>
      <w:r>
        <w:rPr>
          <w:b/>
          <w:spacing w:val="-2"/>
          <w:sz w:val="21"/>
        </w:rPr>
        <w:t>本公司对该种轻症疾病理赔后，不再对“轻度听力受损”、“人工耳蜗植入</w:t>
      </w:r>
      <w:r>
        <w:rPr>
          <w:b/>
          <w:spacing w:val="-2"/>
          <w:sz w:val="21"/>
        </w:rPr>
        <w:t>术”承担给付轻症疾病保险金的责任。</w:t>
      </w:r>
    </w:p>
    <w:p>
      <w:pPr>
        <w:pStyle w:val="BodyText"/>
        <w:spacing w:before="2"/>
        <w:rPr>
          <w:b/>
          <w:sz w:val="12"/>
        </w:rPr>
      </w:pPr>
    </w:p>
    <w:p>
      <w:pPr>
        <w:spacing w:after="0"/>
        <w:rPr>
          <w:sz w:val="12"/>
        </w:rPr>
        <w:sectPr>
          <w:pgSz w:w="11910" w:h="16840"/>
          <w:pgMar w:header="0" w:footer="404" w:top="1080" w:bottom="60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人工耳蜗植入</w:t>
      </w:r>
      <w:r>
        <w:rPr>
          <w:spacing w:val="-10"/>
          <w:sz w:val="21"/>
        </w:rPr>
        <w:t>术</w:t>
      </w:r>
    </w:p>
    <w:p>
      <w:pPr>
        <w:pStyle w:val="BodyText"/>
        <w:spacing w:line="278" w:lineRule="auto" w:before="72"/>
        <w:ind w:left="175" w:right="667"/>
      </w:pPr>
      <w:r>
        <w:rPr/>
        <w:br w:type="column"/>
      </w:r>
      <w:r>
        <w:rPr>
          <w:spacing w:val="-2"/>
        </w:rPr>
        <w:t>指由于耳蜗的永久损害而实际实施了人工耳蜗植入手术。诊断须经专科医生</w:t>
      </w:r>
      <w:r>
        <w:rPr>
          <w:spacing w:val="-2"/>
        </w:rPr>
        <w:t>确认在医学上是必要的，且在植入手术之前已经符合下列全部条件：</w:t>
      </w:r>
    </w:p>
    <w:p>
      <w:pPr>
        <w:pStyle w:val="ListParagraph"/>
        <w:numPr>
          <w:ilvl w:val="0"/>
          <w:numId w:val="22"/>
        </w:numPr>
        <w:tabs>
          <w:tab w:pos="705" w:val="left" w:leader="none"/>
        </w:tabs>
        <w:spacing w:line="269" w:lineRule="exact" w:before="0" w:after="0"/>
        <w:ind w:left="704"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22"/>
        </w:numPr>
        <w:tabs>
          <w:tab w:pos="705" w:val="left" w:leader="none"/>
        </w:tabs>
        <w:spacing w:line="240" w:lineRule="auto" w:before="43" w:after="0"/>
        <w:ind w:left="704" w:right="0" w:hanging="530"/>
        <w:jc w:val="left"/>
        <w:rPr>
          <w:sz w:val="21"/>
        </w:rPr>
      </w:pPr>
      <w:r>
        <w:rPr>
          <w:spacing w:val="-3"/>
          <w:sz w:val="21"/>
        </w:rPr>
        <w:t>使用相应的听力辅助设备效果不佳。</w:t>
      </w:r>
    </w:p>
    <w:p>
      <w:pPr>
        <w:pStyle w:val="Heading2"/>
        <w:spacing w:line="278" w:lineRule="auto" w:before="43"/>
        <w:ind w:left="175" w:right="667"/>
      </w:pPr>
      <w:r>
        <w:rPr>
          <w:spacing w:val="-2"/>
        </w:rPr>
        <w:t>本公司对该种轻症疾病理赔后，不再对“轻度听力受损”、“单耳失聪”承</w:t>
      </w:r>
      <w:r>
        <w:rPr>
          <w:spacing w:val="-2"/>
        </w:rPr>
        <w:t>担给付轻症疾病保险金的责任。</w:t>
      </w:r>
    </w:p>
    <w:p>
      <w:pPr>
        <w:spacing w:after="0" w:line="278" w:lineRule="auto"/>
        <w:sectPr>
          <w:type w:val="continuous"/>
          <w:pgSz w:w="11910" w:h="16840"/>
          <w:pgMar w:header="0" w:footer="404" w:top="600" w:bottom="280" w:left="860" w:right="340"/>
          <w:cols w:num="2" w:equalWidth="0">
            <w:col w:w="2785" w:space="40"/>
            <w:col w:w="7885"/>
          </w:cols>
        </w:sectPr>
      </w:pPr>
    </w:p>
    <w:p>
      <w:pPr>
        <w:pStyle w:val="BodyText"/>
        <w:spacing w:before="10"/>
        <w:rPr>
          <w:b/>
          <w:sz w:val="18"/>
        </w:rPr>
      </w:pPr>
    </w:p>
    <w:p>
      <w:pPr>
        <w:pStyle w:val="ListParagraph"/>
        <w:numPr>
          <w:ilvl w:val="0"/>
          <w:numId w:val="19"/>
        </w:numPr>
        <w:tabs>
          <w:tab w:pos="1439" w:val="left" w:leader="none"/>
          <w:tab w:pos="3000" w:val="left" w:leader="none"/>
        </w:tabs>
        <w:spacing w:line="278" w:lineRule="auto" w:before="71" w:after="0"/>
        <w:ind w:left="3000" w:right="666" w:hanging="1880"/>
        <w:jc w:val="left"/>
        <w:rPr>
          <w:sz w:val="21"/>
        </w:rPr>
      </w:pPr>
      <w:r>
        <w:rPr>
          <w:spacing w:val="-2"/>
          <w:sz w:val="21"/>
        </w:rPr>
        <w:t>轻度Ⅲ度烧伤</w:t>
      </w:r>
      <w:r>
        <w:rPr>
          <w:sz w:val="21"/>
        </w:rPr>
        <w:tab/>
        <w:t>指烧伤程度为Ⅲ度，且Ⅲ</w:t>
      </w:r>
      <w:r>
        <w:rPr>
          <w:sz w:val="21"/>
        </w:rPr>
        <w:t>度烧伤面积达到全身体表面积的</w:t>
      </w:r>
      <w:r>
        <w:rPr>
          <w:spacing w:val="-53"/>
          <w:sz w:val="21"/>
        </w:rPr>
        <w:t> </w:t>
      </w:r>
      <w:r>
        <w:rPr>
          <w:sz w:val="21"/>
        </w:rPr>
        <w:t>10%但少于</w:t>
      </w:r>
      <w:r>
        <w:rPr>
          <w:spacing w:val="-53"/>
          <w:sz w:val="21"/>
        </w:rPr>
        <w:t> </w:t>
      </w:r>
      <w:r>
        <w:rPr>
          <w:sz w:val="21"/>
        </w:rPr>
        <w:t>15%</w:t>
      </w:r>
      <w:r>
        <w:rPr>
          <w:sz w:val="21"/>
        </w:rPr>
        <w:t>。体</w:t>
      </w:r>
      <w:r>
        <w:rPr>
          <w:spacing w:val="-2"/>
          <w:sz w:val="21"/>
        </w:rPr>
        <w:t>表</w:t>
      </w:r>
      <w:r>
        <w:rPr>
          <w:spacing w:val="-2"/>
          <w:sz w:val="21"/>
        </w:rPr>
        <w:t>面</w:t>
      </w:r>
      <w:r>
        <w:rPr>
          <w:spacing w:val="-2"/>
          <w:sz w:val="21"/>
        </w:rPr>
        <w:t>积根据《中国新九分</w:t>
      </w:r>
      <w:r>
        <w:rPr>
          <w:spacing w:val="-2"/>
          <w:sz w:val="21"/>
        </w:rPr>
        <w:t>法</w:t>
      </w:r>
      <w:r>
        <w:rPr>
          <w:spacing w:val="-2"/>
          <w:sz w:val="21"/>
        </w:rPr>
        <w:t>》</w:t>
      </w:r>
      <w:r>
        <w:rPr>
          <w:spacing w:val="-2"/>
          <w:sz w:val="21"/>
        </w:rPr>
        <w:t>计</w:t>
      </w:r>
      <w:r>
        <w:rPr>
          <w:spacing w:val="-2"/>
          <w:sz w:val="21"/>
        </w:rPr>
        <w:t>算</w:t>
      </w:r>
      <w:r>
        <w:rPr>
          <w:spacing w:val="-2"/>
          <w:sz w:val="21"/>
        </w:rPr>
        <w:t>。</w:t>
      </w:r>
    </w:p>
    <w:p>
      <w:pPr>
        <w:pStyle w:val="BodyText"/>
        <w:spacing w:before="10"/>
        <w:rPr>
          <w:sz w:val="17"/>
        </w:rPr>
      </w:pPr>
    </w:p>
    <w:p>
      <w:pPr>
        <w:pStyle w:val="ListParagraph"/>
        <w:numPr>
          <w:ilvl w:val="0"/>
          <w:numId w:val="19"/>
        </w:numPr>
        <w:tabs>
          <w:tab w:pos="1439" w:val="left" w:leader="none"/>
          <w:tab w:pos="3000" w:val="left" w:leader="none"/>
        </w:tabs>
        <w:spacing w:line="278" w:lineRule="auto" w:before="0" w:after="0"/>
        <w:ind w:left="3000" w:right="560" w:hanging="1880"/>
        <w:jc w:val="left"/>
        <w:rPr>
          <w:b/>
          <w:sz w:val="21"/>
        </w:rPr>
      </w:pPr>
      <w:r>
        <w:rPr>
          <w:spacing w:val="-3"/>
          <w:w w:val="100"/>
          <w:sz w:val="21"/>
        </w:rPr>
        <w:t>轻</w:t>
      </w:r>
      <w:r>
        <w:rPr>
          <w:w w:val="100"/>
          <w:sz w:val="21"/>
        </w:rPr>
        <w:t>度</w:t>
      </w:r>
      <w:r>
        <w:rPr>
          <w:spacing w:val="-3"/>
          <w:w w:val="100"/>
          <w:sz w:val="21"/>
        </w:rPr>
        <w:t>面</w:t>
      </w:r>
      <w:r>
        <w:rPr>
          <w:w w:val="100"/>
          <w:sz w:val="21"/>
        </w:rPr>
        <w:t>部</w:t>
      </w:r>
      <w:r>
        <w:rPr>
          <w:spacing w:val="-3"/>
          <w:w w:val="100"/>
          <w:sz w:val="21"/>
        </w:rPr>
        <w:t>烧</w:t>
      </w:r>
      <w:r>
        <w:rPr>
          <w:w w:val="100"/>
          <w:sz w:val="21"/>
        </w:rPr>
        <w:t>伤</w:t>
      </w:r>
      <w:r>
        <w:rPr>
          <w:sz w:val="21"/>
        </w:rPr>
        <w:tab/>
      </w:r>
      <w:r>
        <w:rPr>
          <w:w w:val="100"/>
          <w:sz w:val="21"/>
        </w:rPr>
        <w:t>指烧</w:t>
      </w:r>
      <w:r>
        <w:rPr>
          <w:spacing w:val="-3"/>
          <w:w w:val="100"/>
          <w:sz w:val="21"/>
        </w:rPr>
        <w:t>伤</w:t>
      </w:r>
      <w:r>
        <w:rPr>
          <w:w w:val="100"/>
          <w:sz w:val="21"/>
        </w:rPr>
        <w:t>程</w:t>
      </w:r>
      <w:r>
        <w:rPr>
          <w:spacing w:val="-3"/>
          <w:w w:val="100"/>
          <w:sz w:val="21"/>
        </w:rPr>
        <w:t>度</w:t>
      </w:r>
      <w:r>
        <w:rPr>
          <w:w w:val="100"/>
          <w:sz w:val="21"/>
        </w:rPr>
        <w:t>为</w:t>
      </w:r>
      <w:r>
        <w:rPr>
          <w:spacing w:val="-3"/>
          <w:w w:val="100"/>
          <w:sz w:val="21"/>
        </w:rPr>
        <w:t>Ⅲ</w:t>
      </w:r>
      <w:r>
        <w:rPr>
          <w:w w:val="100"/>
          <w:sz w:val="21"/>
        </w:rPr>
        <w:t>度</w:t>
      </w:r>
      <w:r>
        <w:rPr>
          <w:spacing w:val="-108"/>
          <w:w w:val="100"/>
          <w:sz w:val="21"/>
        </w:rPr>
        <w:t>，</w:t>
      </w:r>
      <w:r>
        <w:rPr>
          <w:w w:val="100"/>
          <w:sz w:val="21"/>
        </w:rPr>
        <w:t>且</w:t>
      </w:r>
      <w:r>
        <w:rPr>
          <w:spacing w:val="-3"/>
          <w:w w:val="100"/>
          <w:sz w:val="21"/>
        </w:rPr>
        <w:t>面部</w:t>
      </w:r>
      <w:r>
        <w:rPr>
          <w:w w:val="100"/>
          <w:sz w:val="21"/>
        </w:rPr>
        <w:t>Ⅲ度</w:t>
      </w:r>
      <w:r>
        <w:rPr>
          <w:spacing w:val="-3"/>
          <w:w w:val="100"/>
          <w:sz w:val="21"/>
        </w:rPr>
        <w:t>烧</w:t>
      </w:r>
      <w:r>
        <w:rPr>
          <w:w w:val="100"/>
          <w:sz w:val="21"/>
        </w:rPr>
        <w:t>伤</w:t>
      </w:r>
      <w:r>
        <w:rPr>
          <w:spacing w:val="-3"/>
          <w:w w:val="100"/>
          <w:sz w:val="21"/>
        </w:rPr>
        <w:t>的</w:t>
      </w:r>
      <w:r>
        <w:rPr>
          <w:w w:val="100"/>
          <w:sz w:val="21"/>
        </w:rPr>
        <w:t>面</w:t>
      </w:r>
      <w:r>
        <w:rPr>
          <w:spacing w:val="-3"/>
          <w:w w:val="100"/>
          <w:sz w:val="21"/>
        </w:rPr>
        <w:t>积</w:t>
      </w:r>
      <w:r>
        <w:rPr>
          <w:w w:val="100"/>
          <w:sz w:val="21"/>
        </w:rPr>
        <w:t>达</w:t>
      </w:r>
      <w:r>
        <w:rPr>
          <w:spacing w:val="-3"/>
          <w:w w:val="100"/>
          <w:sz w:val="21"/>
        </w:rPr>
        <w:t>到</w:t>
      </w:r>
      <w:r>
        <w:rPr>
          <w:w w:val="100"/>
          <w:sz w:val="21"/>
        </w:rPr>
        <w:t>面</w:t>
      </w:r>
      <w:r>
        <w:rPr>
          <w:spacing w:val="-3"/>
          <w:w w:val="100"/>
          <w:sz w:val="21"/>
        </w:rPr>
        <w:t>部</w:t>
      </w:r>
      <w:r>
        <w:rPr>
          <w:w w:val="100"/>
          <w:sz w:val="21"/>
        </w:rPr>
        <w:t>表面</w:t>
      </w:r>
      <w:r>
        <w:rPr>
          <w:spacing w:val="-3"/>
          <w:w w:val="100"/>
          <w:sz w:val="21"/>
        </w:rPr>
        <w:t>积</w:t>
      </w:r>
      <w:r>
        <w:rPr>
          <w:w w:val="100"/>
          <w:sz w:val="21"/>
        </w:rPr>
        <w:t>的</w:t>
      </w:r>
      <w:r>
        <w:rPr>
          <w:spacing w:val="-55"/>
          <w:sz w:val="21"/>
        </w:rPr>
        <w:t> </w:t>
      </w:r>
      <w:r>
        <w:rPr>
          <w:w w:val="100"/>
          <w:sz w:val="21"/>
        </w:rPr>
        <w:t>30%或</w:t>
      </w:r>
      <w:r>
        <w:rPr>
          <w:spacing w:val="-57"/>
          <w:sz w:val="21"/>
        </w:rPr>
        <w:t> </w:t>
      </w:r>
      <w:r>
        <w:rPr>
          <w:w w:val="100"/>
          <w:sz w:val="21"/>
        </w:rPr>
        <w:t>30</w:t>
      </w:r>
      <w:r>
        <w:rPr>
          <w:spacing w:val="-3"/>
          <w:w w:val="100"/>
          <w:sz w:val="21"/>
        </w:rPr>
        <w:t>%</w:t>
      </w:r>
      <w:r>
        <w:rPr>
          <w:w w:val="100"/>
          <w:sz w:val="21"/>
        </w:rPr>
        <w:t>以上，</w:t>
      </w:r>
      <w:r>
        <w:rPr>
          <w:spacing w:val="2"/>
          <w:w w:val="100"/>
          <w:sz w:val="21"/>
        </w:rPr>
        <w:t>但未达到</w:t>
      </w:r>
      <w:r>
        <w:rPr>
          <w:w w:val="100"/>
          <w:sz w:val="21"/>
        </w:rPr>
        <w:t>重</w:t>
      </w:r>
      <w:r>
        <w:rPr>
          <w:spacing w:val="2"/>
          <w:w w:val="100"/>
          <w:sz w:val="21"/>
        </w:rPr>
        <w:t>大疾</w:t>
      </w:r>
      <w:r>
        <w:rPr>
          <w:w w:val="100"/>
          <w:sz w:val="21"/>
        </w:rPr>
        <w:t>病</w:t>
      </w:r>
      <w:r>
        <w:rPr>
          <w:spacing w:val="4"/>
          <w:w w:val="100"/>
          <w:sz w:val="21"/>
        </w:rPr>
        <w:t>“</w:t>
      </w:r>
      <w:r>
        <w:rPr>
          <w:b/>
          <w:spacing w:val="2"/>
          <w:w w:val="100"/>
          <w:sz w:val="21"/>
        </w:rPr>
        <w:t>严重面部烧</w:t>
      </w:r>
      <w:r>
        <w:rPr>
          <w:b/>
          <w:spacing w:val="5"/>
          <w:w w:val="100"/>
          <w:sz w:val="21"/>
        </w:rPr>
        <w:t>伤</w:t>
      </w:r>
      <w:r>
        <w:rPr>
          <w:spacing w:val="2"/>
          <w:w w:val="100"/>
          <w:sz w:val="21"/>
        </w:rPr>
        <w:t>”</w:t>
      </w:r>
      <w:r>
        <w:rPr>
          <w:w w:val="100"/>
          <w:sz w:val="21"/>
        </w:rPr>
        <w:t>或</w:t>
      </w:r>
      <w:r>
        <w:rPr>
          <w:spacing w:val="2"/>
          <w:w w:val="100"/>
          <w:sz w:val="21"/>
        </w:rPr>
        <w:t>中症疾</w:t>
      </w:r>
      <w:r>
        <w:rPr>
          <w:w w:val="100"/>
          <w:sz w:val="21"/>
        </w:rPr>
        <w:t>病</w:t>
      </w:r>
      <w:r>
        <w:rPr>
          <w:spacing w:val="1"/>
          <w:w w:val="100"/>
          <w:sz w:val="21"/>
        </w:rPr>
        <w:t>“</w:t>
      </w:r>
      <w:r>
        <w:rPr>
          <w:b/>
          <w:spacing w:val="2"/>
          <w:w w:val="100"/>
          <w:sz w:val="21"/>
        </w:rPr>
        <w:t>中度面部烧</w:t>
      </w:r>
      <w:r>
        <w:rPr>
          <w:b/>
          <w:spacing w:val="5"/>
          <w:w w:val="100"/>
          <w:sz w:val="21"/>
        </w:rPr>
        <w:t>伤</w:t>
      </w:r>
      <w:r>
        <w:rPr>
          <w:spacing w:val="2"/>
          <w:w w:val="100"/>
          <w:sz w:val="21"/>
        </w:rPr>
        <w:t>”的</w:t>
      </w:r>
      <w:r>
        <w:rPr>
          <w:w w:val="100"/>
          <w:sz w:val="21"/>
        </w:rPr>
        <w:t>给</w:t>
      </w:r>
      <w:r>
        <w:rPr>
          <w:spacing w:val="2"/>
          <w:w w:val="100"/>
          <w:sz w:val="21"/>
        </w:rPr>
        <w:t>付</w:t>
      </w:r>
      <w:r>
        <w:rPr>
          <w:w w:val="100"/>
          <w:sz w:val="21"/>
        </w:rPr>
        <w:t>标准</w:t>
      </w:r>
      <w:r>
        <w:rPr>
          <w:spacing w:val="-3"/>
          <w:w w:val="100"/>
          <w:sz w:val="21"/>
        </w:rPr>
        <w:t>。</w:t>
      </w:r>
      <w:r>
        <w:rPr>
          <w:w w:val="100"/>
          <w:sz w:val="21"/>
        </w:rPr>
        <w:t>面</w:t>
      </w:r>
      <w:r>
        <w:rPr>
          <w:spacing w:val="-3"/>
          <w:w w:val="100"/>
          <w:sz w:val="21"/>
        </w:rPr>
        <w:t>部</w:t>
      </w:r>
      <w:r>
        <w:rPr>
          <w:w w:val="100"/>
          <w:sz w:val="21"/>
        </w:rPr>
        <w:t>的</w:t>
      </w:r>
      <w:r>
        <w:rPr>
          <w:spacing w:val="-3"/>
          <w:w w:val="100"/>
          <w:sz w:val="21"/>
        </w:rPr>
        <w:t>范</w:t>
      </w:r>
      <w:r>
        <w:rPr>
          <w:w w:val="100"/>
          <w:sz w:val="21"/>
        </w:rPr>
        <w:t>围</w:t>
      </w:r>
      <w:r>
        <w:rPr>
          <w:spacing w:val="-3"/>
          <w:w w:val="100"/>
          <w:sz w:val="21"/>
        </w:rPr>
        <w:t>指</w:t>
      </w:r>
      <w:r>
        <w:rPr>
          <w:w w:val="100"/>
          <w:sz w:val="21"/>
        </w:rPr>
        <w:t>上</w:t>
      </w:r>
      <w:r>
        <w:rPr>
          <w:spacing w:val="-3"/>
          <w:w w:val="100"/>
          <w:sz w:val="21"/>
        </w:rPr>
        <w:t>至发</w:t>
      </w:r>
      <w:r>
        <w:rPr>
          <w:w w:val="100"/>
          <w:sz w:val="21"/>
        </w:rPr>
        <w:t>际</w:t>
      </w:r>
      <w:r>
        <w:rPr>
          <w:spacing w:val="-3"/>
          <w:w w:val="100"/>
          <w:sz w:val="21"/>
        </w:rPr>
        <w:t>、</w:t>
      </w:r>
      <w:r>
        <w:rPr>
          <w:w w:val="100"/>
          <w:sz w:val="21"/>
        </w:rPr>
        <w:t>下</w:t>
      </w:r>
      <w:r>
        <w:rPr>
          <w:spacing w:val="-3"/>
          <w:w w:val="100"/>
          <w:sz w:val="21"/>
        </w:rPr>
        <w:t>至</w:t>
      </w:r>
      <w:r>
        <w:rPr>
          <w:w w:val="100"/>
          <w:sz w:val="21"/>
        </w:rPr>
        <w:t>下</w:t>
      </w:r>
      <w:r>
        <w:rPr>
          <w:spacing w:val="-3"/>
          <w:w w:val="100"/>
          <w:sz w:val="21"/>
        </w:rPr>
        <w:t>颌</w:t>
      </w:r>
      <w:r>
        <w:rPr>
          <w:w w:val="100"/>
          <w:sz w:val="21"/>
        </w:rPr>
        <w:t>下</w:t>
      </w:r>
      <w:r>
        <w:rPr>
          <w:spacing w:val="-3"/>
          <w:w w:val="100"/>
          <w:sz w:val="21"/>
        </w:rPr>
        <w:t>缘</w:t>
      </w:r>
      <w:r>
        <w:rPr>
          <w:w w:val="100"/>
          <w:sz w:val="21"/>
        </w:rPr>
        <w:t>、</w:t>
      </w:r>
      <w:r>
        <w:rPr>
          <w:spacing w:val="-3"/>
          <w:w w:val="100"/>
          <w:sz w:val="21"/>
        </w:rPr>
        <w:t>两侧</w:t>
      </w:r>
      <w:r>
        <w:rPr>
          <w:w w:val="100"/>
          <w:sz w:val="21"/>
        </w:rPr>
        <w:t>至下</w:t>
      </w:r>
      <w:r>
        <w:rPr>
          <w:spacing w:val="-3"/>
          <w:w w:val="100"/>
          <w:sz w:val="21"/>
        </w:rPr>
        <w:t>颌</w:t>
      </w:r>
      <w:r>
        <w:rPr>
          <w:w w:val="100"/>
          <w:sz w:val="21"/>
        </w:rPr>
        <w:t>支</w:t>
      </w:r>
      <w:r>
        <w:rPr>
          <w:spacing w:val="-3"/>
          <w:w w:val="100"/>
          <w:sz w:val="21"/>
        </w:rPr>
        <w:t>后</w:t>
      </w:r>
      <w:r>
        <w:rPr>
          <w:w w:val="100"/>
          <w:sz w:val="21"/>
        </w:rPr>
        <w:t>缘</w:t>
      </w:r>
      <w:r>
        <w:rPr>
          <w:spacing w:val="-3"/>
          <w:w w:val="100"/>
          <w:sz w:val="21"/>
        </w:rPr>
        <w:t>之</w:t>
      </w:r>
      <w:r>
        <w:rPr>
          <w:w w:val="100"/>
          <w:sz w:val="21"/>
        </w:rPr>
        <w:t>间</w:t>
      </w:r>
      <w:r>
        <w:rPr>
          <w:spacing w:val="-3"/>
          <w:w w:val="100"/>
          <w:sz w:val="21"/>
        </w:rPr>
        <w:t>的</w:t>
      </w:r>
      <w:r>
        <w:rPr>
          <w:spacing w:val="-1"/>
          <w:w w:val="100"/>
          <w:sz w:val="21"/>
        </w:rPr>
        <w:t>区</w:t>
      </w:r>
      <w:r>
        <w:rPr>
          <w:spacing w:val="-3"/>
          <w:w w:val="100"/>
          <w:sz w:val="21"/>
        </w:rPr>
        <w:t>域，</w:t>
      </w:r>
      <w:r>
        <w:rPr>
          <w:w w:val="100"/>
          <w:sz w:val="21"/>
        </w:rPr>
        <w:t>包括</w:t>
      </w:r>
      <w:r>
        <w:rPr>
          <w:spacing w:val="-3"/>
          <w:w w:val="100"/>
          <w:sz w:val="21"/>
        </w:rPr>
        <w:t>额</w:t>
      </w:r>
      <w:r>
        <w:rPr>
          <w:w w:val="100"/>
          <w:sz w:val="21"/>
        </w:rPr>
        <w:t>部</w:t>
      </w:r>
      <w:r>
        <w:rPr>
          <w:spacing w:val="-3"/>
          <w:w w:val="100"/>
          <w:sz w:val="21"/>
        </w:rPr>
        <w:t>、</w:t>
      </w:r>
      <w:r>
        <w:rPr>
          <w:w w:val="100"/>
          <w:sz w:val="21"/>
        </w:rPr>
        <w:t>眼</w:t>
      </w:r>
      <w:r>
        <w:rPr>
          <w:spacing w:val="-3"/>
          <w:w w:val="100"/>
          <w:sz w:val="21"/>
        </w:rPr>
        <w:t>部</w:t>
      </w:r>
      <w:r>
        <w:rPr>
          <w:w w:val="100"/>
          <w:sz w:val="21"/>
        </w:rPr>
        <w:t>、</w:t>
      </w:r>
      <w:r>
        <w:rPr>
          <w:spacing w:val="-3"/>
          <w:w w:val="100"/>
          <w:sz w:val="21"/>
        </w:rPr>
        <w:t>眶</w:t>
      </w:r>
      <w:r>
        <w:rPr>
          <w:w w:val="100"/>
          <w:sz w:val="21"/>
        </w:rPr>
        <w:t>部</w:t>
      </w:r>
      <w:r>
        <w:rPr>
          <w:spacing w:val="-3"/>
          <w:w w:val="100"/>
          <w:sz w:val="21"/>
        </w:rPr>
        <w:t>、</w:t>
      </w:r>
      <w:r>
        <w:rPr>
          <w:w w:val="100"/>
          <w:sz w:val="21"/>
        </w:rPr>
        <w:t>鼻部</w:t>
      </w:r>
      <w:r>
        <w:rPr>
          <w:spacing w:val="-3"/>
          <w:w w:val="100"/>
          <w:sz w:val="21"/>
        </w:rPr>
        <w:t>、</w:t>
      </w:r>
      <w:r>
        <w:rPr>
          <w:w w:val="100"/>
          <w:sz w:val="21"/>
        </w:rPr>
        <w:t>口</w:t>
      </w:r>
      <w:r>
        <w:rPr>
          <w:spacing w:val="-3"/>
          <w:w w:val="100"/>
          <w:sz w:val="21"/>
        </w:rPr>
        <w:t>唇</w:t>
      </w:r>
      <w:r>
        <w:rPr>
          <w:w w:val="100"/>
          <w:sz w:val="21"/>
        </w:rPr>
        <w:t>部</w:t>
      </w:r>
      <w:r>
        <w:rPr>
          <w:spacing w:val="-3"/>
          <w:w w:val="100"/>
          <w:sz w:val="21"/>
        </w:rPr>
        <w:t>、</w:t>
      </w:r>
      <w:r>
        <w:rPr>
          <w:w w:val="100"/>
          <w:sz w:val="21"/>
        </w:rPr>
        <w:t>颏</w:t>
      </w:r>
      <w:r>
        <w:rPr>
          <w:spacing w:val="-3"/>
          <w:w w:val="100"/>
          <w:sz w:val="21"/>
        </w:rPr>
        <w:t>部</w:t>
      </w:r>
      <w:r>
        <w:rPr>
          <w:w w:val="100"/>
          <w:sz w:val="21"/>
        </w:rPr>
        <w:t>、</w:t>
      </w:r>
      <w:r>
        <w:rPr>
          <w:spacing w:val="-3"/>
          <w:w w:val="100"/>
          <w:sz w:val="21"/>
        </w:rPr>
        <w:t>颧</w:t>
      </w:r>
      <w:r>
        <w:rPr>
          <w:w w:val="100"/>
          <w:sz w:val="21"/>
        </w:rPr>
        <w:t>部、</w:t>
      </w:r>
      <w:r>
        <w:rPr>
          <w:spacing w:val="-3"/>
          <w:w w:val="100"/>
          <w:sz w:val="21"/>
        </w:rPr>
        <w:t>颊</w:t>
      </w:r>
      <w:r>
        <w:rPr>
          <w:w w:val="100"/>
          <w:sz w:val="21"/>
        </w:rPr>
        <w:t>部</w:t>
      </w:r>
      <w:r>
        <w:rPr>
          <w:spacing w:val="-3"/>
          <w:w w:val="100"/>
          <w:sz w:val="21"/>
        </w:rPr>
        <w:t>和</w:t>
      </w:r>
      <w:r>
        <w:rPr>
          <w:w w:val="100"/>
          <w:sz w:val="21"/>
        </w:rPr>
        <w:t>腮</w:t>
      </w:r>
      <w:r>
        <w:rPr>
          <w:spacing w:val="-3"/>
          <w:w w:val="100"/>
          <w:sz w:val="21"/>
        </w:rPr>
        <w:t>腺</w:t>
      </w:r>
      <w:r>
        <w:rPr>
          <w:w w:val="100"/>
          <w:sz w:val="21"/>
        </w:rPr>
        <w:t>咬</w:t>
      </w:r>
      <w:r>
        <w:rPr>
          <w:spacing w:val="-3"/>
          <w:w w:val="100"/>
          <w:sz w:val="21"/>
        </w:rPr>
        <w:t>肌</w:t>
      </w:r>
      <w:r>
        <w:rPr>
          <w:w w:val="100"/>
          <w:sz w:val="21"/>
        </w:rPr>
        <w:t>部。</w:t>
      </w:r>
      <w:r>
        <w:rPr>
          <w:w w:val="100"/>
          <w:sz w:val="21"/>
        </w:rPr>
        <w:t> </w:t>
      </w:r>
      <w:r>
        <w:rPr>
          <w:b/>
          <w:w w:val="100"/>
          <w:sz w:val="21"/>
        </w:rPr>
        <w:t>因酸碱化学品导致</w:t>
      </w:r>
      <w:r>
        <w:rPr>
          <w:b/>
          <w:spacing w:val="-3"/>
          <w:w w:val="100"/>
          <w:sz w:val="21"/>
        </w:rPr>
        <w:t>的</w:t>
      </w:r>
      <w:r>
        <w:rPr>
          <w:b/>
          <w:w w:val="100"/>
          <w:sz w:val="21"/>
        </w:rPr>
        <w:t>面</w:t>
      </w:r>
      <w:r>
        <w:rPr>
          <w:b/>
          <w:spacing w:val="-3"/>
          <w:w w:val="100"/>
          <w:sz w:val="21"/>
        </w:rPr>
        <w:t>部</w:t>
      </w:r>
      <w:r>
        <w:rPr>
          <w:b/>
          <w:w w:val="100"/>
          <w:sz w:val="21"/>
        </w:rPr>
        <w:t>烧伤不在保障范围</w:t>
      </w:r>
      <w:r>
        <w:rPr>
          <w:b/>
          <w:spacing w:val="-3"/>
          <w:w w:val="100"/>
          <w:sz w:val="21"/>
        </w:rPr>
        <w:t>内</w:t>
      </w:r>
      <w:r>
        <w:rPr>
          <w:b/>
          <w:w w:val="100"/>
          <w:sz w:val="21"/>
        </w:rPr>
        <w:t>。</w:t>
      </w:r>
    </w:p>
    <w:p>
      <w:pPr>
        <w:pStyle w:val="BodyText"/>
        <w:spacing w:before="4"/>
        <w:rPr>
          <w:b/>
          <w:sz w:val="24"/>
        </w:rPr>
      </w:pPr>
    </w:p>
    <w:p>
      <w:pPr>
        <w:pStyle w:val="ListParagraph"/>
        <w:numPr>
          <w:ilvl w:val="0"/>
          <w:numId w:val="19"/>
        </w:numPr>
        <w:tabs>
          <w:tab w:pos="1439" w:val="left" w:leader="none"/>
        </w:tabs>
        <w:spacing w:line="278" w:lineRule="auto" w:before="0" w:after="0"/>
        <w:ind w:left="3000" w:right="663" w:hanging="1880"/>
        <w:jc w:val="both"/>
        <w:rPr>
          <w:sz w:val="21"/>
        </w:rPr>
      </w:pPr>
      <w:r>
        <w:rPr>
          <w:sz w:val="21"/>
        </w:rPr>
        <w:t>肝叶切除术 指为治疗肝脏肿瘤、肝内胆管结石、肝脓肿、肝包虫病等疾病或因意外而实</w:t>
      </w:r>
      <w:r>
        <w:rPr>
          <w:spacing w:val="-2"/>
          <w:sz w:val="21"/>
        </w:rPr>
        <w:t>际实施的肝脏部分切除术,手术须有至少切除一整叶左肝叶或一整叶右肝叶。</w:t>
      </w:r>
      <w:r>
        <w:rPr>
          <w:spacing w:val="-2"/>
          <w:sz w:val="21"/>
        </w:rPr>
        <w:t>此手术必须在本公司认可的医疗机构内由专科医生认为是医疗必需的情况下</w:t>
      </w:r>
      <w:r>
        <w:rPr>
          <w:spacing w:val="-4"/>
          <w:sz w:val="21"/>
        </w:rPr>
        <w:t>进行。</w:t>
      </w:r>
    </w:p>
    <w:p>
      <w:pPr>
        <w:pStyle w:val="Heading2"/>
        <w:spacing w:line="278" w:lineRule="auto"/>
        <w:ind w:right="667"/>
      </w:pPr>
      <w:r>
        <w:rPr>
          <w:spacing w:val="-2"/>
        </w:rPr>
        <w:t>因酒精或者滥用药物导致的肝脏疾病或者肝脏紊乱，或者因捐赠肝脏而所需</w:t>
      </w:r>
      <w:r>
        <w:rPr>
          <w:spacing w:val="-2"/>
        </w:rPr>
        <w:t>的肝脏手术均不在保障范围内。</w:t>
      </w:r>
    </w:p>
    <w:p>
      <w:pPr>
        <w:pStyle w:val="BodyText"/>
        <w:spacing w:before="8"/>
        <w:rPr>
          <w:b/>
          <w:sz w:val="17"/>
        </w:rPr>
      </w:pPr>
    </w:p>
    <w:p>
      <w:pPr>
        <w:pStyle w:val="ListParagraph"/>
        <w:numPr>
          <w:ilvl w:val="0"/>
          <w:numId w:val="19"/>
        </w:numPr>
        <w:tabs>
          <w:tab w:pos="1439" w:val="left" w:leader="none"/>
          <w:tab w:pos="3000" w:val="left" w:leader="none"/>
        </w:tabs>
        <w:spacing w:line="240" w:lineRule="auto" w:before="0" w:after="0"/>
        <w:ind w:left="1438" w:right="0" w:hanging="319"/>
        <w:jc w:val="left"/>
        <w:rPr>
          <w:sz w:val="21"/>
        </w:rPr>
      </w:pPr>
      <w:r>
        <w:rPr>
          <w:spacing w:val="-2"/>
          <w:sz w:val="21"/>
        </w:rPr>
        <w:t>单侧肾脏切</w:t>
      </w:r>
      <w:r>
        <w:rPr>
          <w:spacing w:val="-10"/>
          <w:sz w:val="21"/>
        </w:rPr>
        <w:t>除</w:t>
      </w:r>
      <w:r>
        <w:rPr>
          <w:sz w:val="21"/>
        </w:rPr>
        <w:tab/>
      </w:r>
      <w:r>
        <w:rPr>
          <w:spacing w:val="-2"/>
          <w:sz w:val="21"/>
        </w:rPr>
        <w:t>指</w:t>
      </w:r>
      <w:r>
        <w:rPr>
          <w:spacing w:val="-2"/>
          <w:sz w:val="21"/>
        </w:rPr>
        <w:t>因</w:t>
      </w:r>
      <w:r>
        <w:rPr>
          <w:spacing w:val="-2"/>
          <w:sz w:val="21"/>
        </w:rPr>
        <w:t>疾病或意外事故实际</w:t>
      </w:r>
      <w:r>
        <w:rPr>
          <w:spacing w:val="-2"/>
          <w:sz w:val="21"/>
        </w:rPr>
        <w:t>实</w:t>
      </w:r>
      <w:r>
        <w:rPr>
          <w:spacing w:val="-2"/>
          <w:sz w:val="21"/>
        </w:rPr>
        <w:t>施</w:t>
      </w:r>
      <w:r>
        <w:rPr>
          <w:spacing w:val="-2"/>
          <w:sz w:val="21"/>
        </w:rPr>
        <w:t>的一侧肾脏切除</w:t>
      </w:r>
      <w:r>
        <w:rPr>
          <w:spacing w:val="-2"/>
          <w:sz w:val="21"/>
        </w:rPr>
        <w:t>术</w:t>
      </w:r>
      <w:r>
        <w:rPr>
          <w:spacing w:val="-10"/>
          <w:sz w:val="21"/>
        </w:rPr>
        <w:t>。</w:t>
      </w:r>
    </w:p>
    <w:p>
      <w:pPr>
        <w:pStyle w:val="Heading2"/>
        <w:spacing w:line="278" w:lineRule="auto" w:before="43"/>
        <w:ind w:right="667"/>
      </w:pPr>
      <w:r>
        <w:rPr>
          <w:spacing w:val="-2"/>
        </w:rPr>
        <w:t>肾脏部分切除手术、因肾脏捐献引起的手术、因恶性肿瘤进行的肾脏切除手</w:t>
      </w:r>
      <w:r>
        <w:rPr>
          <w:spacing w:val="-2"/>
        </w:rPr>
        <w:t>术不在保障范围内。</w:t>
      </w: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双侧睾丸切除</w:t>
      </w:r>
      <w:r>
        <w:rPr>
          <w:spacing w:val="-10"/>
          <w:sz w:val="21"/>
        </w:rPr>
        <w:t>术</w:t>
      </w:r>
    </w:p>
    <w:p>
      <w:pPr>
        <w:spacing w:line="278" w:lineRule="auto" w:before="72"/>
        <w:ind w:left="175" w:right="672" w:firstLine="0"/>
        <w:jc w:val="left"/>
        <w:rPr>
          <w:b/>
          <w:sz w:val="21"/>
        </w:rPr>
      </w:pPr>
      <w:r>
        <w:rPr/>
        <w:br w:type="column"/>
      </w:r>
      <w:r>
        <w:rPr>
          <w:spacing w:val="-2"/>
          <w:sz w:val="21"/>
        </w:rPr>
        <w:t>指为治疗疾病实际接受了双侧睾丸完全切除手术。</w:t>
      </w:r>
      <w:r>
        <w:rPr>
          <w:b/>
          <w:spacing w:val="-2"/>
          <w:sz w:val="21"/>
        </w:rPr>
        <w:t>部分睾丸切除、预防性睾</w:t>
      </w:r>
      <w:r>
        <w:rPr>
          <w:b/>
          <w:spacing w:val="-2"/>
          <w:sz w:val="21"/>
        </w:rPr>
        <w:t>丸切除、因恶性肿瘤进行的睾丸切除手术不在保障范围内。</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双侧卵巢切除</w:t>
      </w:r>
      <w:r>
        <w:rPr>
          <w:spacing w:val="-10"/>
          <w:sz w:val="21"/>
        </w:rPr>
        <w:t>术</w:t>
      </w:r>
    </w:p>
    <w:p>
      <w:pPr>
        <w:spacing w:line="278" w:lineRule="auto" w:before="71"/>
        <w:ind w:left="175" w:right="667" w:firstLine="0"/>
        <w:jc w:val="left"/>
        <w:rPr>
          <w:b/>
          <w:sz w:val="21"/>
        </w:rPr>
      </w:pPr>
      <w:r>
        <w:rPr/>
        <w:br w:type="column"/>
      </w:r>
      <w:r>
        <w:rPr>
          <w:spacing w:val="-2"/>
          <w:sz w:val="21"/>
        </w:rPr>
        <w:t>指为治疗疾病实际接受了经腹部切开或腹腔镜进行的双侧卵巢完全切除术。</w:t>
      </w:r>
      <w:r>
        <w:rPr>
          <w:b/>
          <w:spacing w:val="-2"/>
          <w:sz w:val="21"/>
        </w:rPr>
        <w:t>部分卵巢切除、预防性卵巢切除、因恶性肿瘤进行的卵巢切除手术不在保障</w:t>
      </w:r>
      <w:r>
        <w:rPr>
          <w:b/>
          <w:spacing w:val="-4"/>
          <w:sz w:val="21"/>
        </w:rPr>
        <w:t>范围内。</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3"/>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both"/>
        <w:rPr>
          <w:sz w:val="21"/>
        </w:rPr>
      </w:pPr>
      <w:r>
        <w:rPr>
          <w:spacing w:val="8"/>
          <w:sz w:val="21"/>
        </w:rPr>
        <w:t>于颈动脉进行</w:t>
      </w:r>
      <w:r>
        <w:rPr>
          <w:spacing w:val="26"/>
          <w:sz w:val="21"/>
        </w:rPr>
        <w:t>血管成形术或内</w:t>
      </w:r>
      <w:r>
        <w:rPr>
          <w:spacing w:val="-4"/>
          <w:sz w:val="21"/>
        </w:rPr>
        <w:t>膜切除术</w:t>
      </w:r>
    </w:p>
    <w:p>
      <w:pPr>
        <w:pStyle w:val="BodyText"/>
        <w:spacing w:line="278" w:lineRule="auto" w:before="72"/>
        <w:ind w:left="142" w:right="666"/>
        <w:jc w:val="both"/>
      </w:pPr>
      <w:r>
        <w:rPr/>
        <w:br w:type="column"/>
      </w:r>
      <w:r>
        <w:rPr>
          <w:spacing w:val="-9"/>
        </w:rPr>
        <w:t>指根据颈动脉造影检查结果，确诊一条或以上颈动脉存在严重狭窄性病变</w:t>
      </w:r>
      <w:r>
        <w:rPr>
          <w:spacing w:val="-2"/>
        </w:rPr>
        <w:t>（至</w:t>
      </w:r>
      <w:r>
        <w:rPr>
          <w:spacing w:val="-4"/>
        </w:rPr>
        <w:t>少一支血管管腔直径减少 50%以上）。该病须经本公司认可的医疗机构的专科</w:t>
      </w:r>
      <w:r>
        <w:rPr>
          <w:spacing w:val="-2"/>
        </w:rPr>
        <w:t>医生明确诊断，同时必须已经采取以下手术以减轻症状：</w:t>
      </w:r>
    </w:p>
    <w:p>
      <w:pPr>
        <w:pStyle w:val="ListParagraph"/>
        <w:numPr>
          <w:ilvl w:val="0"/>
          <w:numId w:val="23"/>
        </w:numPr>
        <w:tabs>
          <w:tab w:pos="672" w:val="left" w:leader="none"/>
        </w:tabs>
        <w:spacing w:line="269" w:lineRule="exact" w:before="0" w:after="0"/>
        <w:ind w:left="671" w:right="0" w:hanging="530"/>
        <w:jc w:val="left"/>
        <w:rPr>
          <w:sz w:val="21"/>
        </w:rPr>
      </w:pPr>
      <w:r>
        <w:rPr>
          <w:spacing w:val="-3"/>
          <w:sz w:val="21"/>
        </w:rPr>
        <w:t>确实进行动脉内膜切除术；</w:t>
      </w:r>
    </w:p>
    <w:p>
      <w:pPr>
        <w:pStyle w:val="ListParagraph"/>
        <w:numPr>
          <w:ilvl w:val="0"/>
          <w:numId w:val="23"/>
        </w:numPr>
        <w:tabs>
          <w:tab w:pos="678" w:val="left" w:leader="none"/>
        </w:tabs>
        <w:spacing w:line="278" w:lineRule="auto" w:before="43" w:after="0"/>
        <w:ind w:left="668" w:right="669" w:hanging="526"/>
        <w:jc w:val="left"/>
        <w:rPr>
          <w:sz w:val="21"/>
        </w:rPr>
      </w:pPr>
      <w:r>
        <w:rPr>
          <w:spacing w:val="-2"/>
          <w:sz w:val="21"/>
        </w:rPr>
        <w:t>确实进行血管介入治疗，例如血管成形术及/或进行植入支架或动脉粥</w:t>
      </w:r>
      <w:r>
        <w:rPr>
          <w:spacing w:val="-2"/>
          <w:sz w:val="21"/>
        </w:rPr>
        <w:t>样瘤清除手术。</w:t>
      </w:r>
    </w:p>
    <w:p>
      <w:pPr>
        <w:spacing w:after="0" w:line="278" w:lineRule="auto"/>
        <w:jc w:val="left"/>
        <w:rPr>
          <w:sz w:val="21"/>
        </w:rPr>
        <w:sectPr>
          <w:type w:val="continuous"/>
          <w:pgSz w:w="11910" w:h="16840"/>
          <w:pgMar w:header="0" w:footer="404" w:top="600" w:bottom="280" w:left="860" w:right="340"/>
          <w:cols w:num="2" w:equalWidth="0">
            <w:col w:w="2818" w:space="40"/>
            <w:col w:w="7852"/>
          </w:cols>
        </w:sectPr>
      </w:pPr>
    </w:p>
    <w:p>
      <w:pPr>
        <w:pStyle w:val="ListParagraph"/>
        <w:numPr>
          <w:ilvl w:val="0"/>
          <w:numId w:val="19"/>
        </w:numPr>
        <w:tabs>
          <w:tab w:pos="1439" w:val="left" w:leader="none"/>
        </w:tabs>
        <w:spacing w:line="278" w:lineRule="auto" w:before="57" w:after="0"/>
        <w:ind w:left="3000" w:right="667" w:hanging="1880"/>
        <w:jc w:val="both"/>
        <w:rPr>
          <w:b/>
          <w:sz w:val="21"/>
        </w:rPr>
      </w:pPr>
      <w:r>
        <w:rPr>
          <w:sz w:val="21"/>
        </w:rPr>
        <w:t>心包膜切除术 因心包膜疾病导致已接受心包膜切除术或已进行任何需要心脏小切口技术的</w:t>
      </w:r>
      <w:r>
        <w:rPr>
          <w:spacing w:val="-2"/>
          <w:sz w:val="21"/>
        </w:rPr>
        <w:t>手术。</w:t>
      </w:r>
      <w:r>
        <w:rPr>
          <w:b/>
          <w:spacing w:val="-2"/>
          <w:sz w:val="21"/>
        </w:rPr>
        <w:t>此手术必须在本公司认可的医疗机构内由心脏专科医生认为是医疗必</w:t>
      </w:r>
      <w:r>
        <w:rPr>
          <w:b/>
          <w:spacing w:val="-2"/>
          <w:sz w:val="21"/>
        </w:rPr>
        <w:t>需的情况下进行。</w:t>
      </w:r>
    </w:p>
    <w:p>
      <w:pPr>
        <w:pStyle w:val="BodyText"/>
        <w:spacing w:before="3"/>
        <w:rPr>
          <w:b/>
          <w:sz w:val="12"/>
        </w:rPr>
      </w:pPr>
    </w:p>
    <w:p>
      <w:pPr>
        <w:spacing w:after="0"/>
        <w:rPr>
          <w:sz w:val="12"/>
        </w:rPr>
        <w:sectPr>
          <w:pgSz w:w="11910" w:h="16840"/>
          <w:pgMar w:header="0" w:footer="404" w:top="1080" w:bottom="60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硬脑膜下血肿</w:t>
      </w:r>
      <w:r>
        <w:rPr>
          <w:spacing w:val="-6"/>
          <w:sz w:val="21"/>
        </w:rPr>
        <w:t>手术</w:t>
      </w:r>
    </w:p>
    <w:p>
      <w:pPr>
        <w:pStyle w:val="BodyText"/>
        <w:spacing w:before="71"/>
        <w:ind w:left="175"/>
      </w:pPr>
      <w:r>
        <w:rPr/>
        <w:br w:type="column"/>
      </w:r>
      <w:r>
        <w:rPr>
          <w:spacing w:val="-3"/>
        </w:rPr>
        <w:t>为清除或引流因意外导致的血肿，实际实施了头部开颅或钻孔手术。</w:t>
      </w:r>
    </w:p>
    <w:p>
      <w:pPr>
        <w:pStyle w:val="BodyText"/>
        <w:spacing w:line="278" w:lineRule="auto" w:before="43"/>
        <w:ind w:left="175" w:right="667"/>
      </w:pPr>
      <w:r>
        <w:rPr>
          <w:spacing w:val="-2"/>
        </w:rPr>
        <w:t>开颅或钻孔手术必须在本公司认可的医疗机构内由专科医生认为是医疗必需</w:t>
      </w:r>
      <w:r>
        <w:rPr>
          <w:spacing w:val="-2"/>
        </w:rPr>
        <w:t>的情况下进行。</w:t>
      </w:r>
    </w:p>
    <w:p>
      <w:pPr>
        <w:spacing w:after="0" w:line="278" w:lineRule="auto"/>
        <w:sectPr>
          <w:type w:val="continuous"/>
          <w:pgSz w:w="11910" w:h="16840"/>
          <w:pgMar w:header="0" w:footer="404" w:top="600" w:bottom="280" w:left="860" w:right="340"/>
          <w:cols w:num="2" w:equalWidth="0">
            <w:col w:w="2785" w:space="40"/>
            <w:col w:w="7885"/>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both"/>
        <w:rPr>
          <w:sz w:val="21"/>
        </w:rPr>
      </w:pPr>
      <w:r>
        <w:rPr>
          <w:spacing w:val="8"/>
          <w:sz w:val="21"/>
        </w:rPr>
        <w:t>特定周围动脉</w:t>
      </w:r>
      <w:r>
        <w:rPr>
          <w:spacing w:val="26"/>
          <w:sz w:val="21"/>
        </w:rPr>
        <w:t>疾病的血管介入</w:t>
      </w:r>
      <w:r>
        <w:rPr>
          <w:spacing w:val="-6"/>
          <w:sz w:val="21"/>
        </w:rPr>
        <w:t>治疗</w:t>
      </w:r>
    </w:p>
    <w:p>
      <w:pPr>
        <w:pStyle w:val="BodyText"/>
        <w:spacing w:before="72"/>
        <w:ind w:left="142"/>
      </w:pPr>
      <w:r>
        <w:rPr/>
        <w:br w:type="column"/>
      </w:r>
      <w:r>
        <w:rPr>
          <w:spacing w:val="-3"/>
        </w:rPr>
        <w:t>指为治疗一条或者一条以上的下列动脉狭窄而实施的血管介入治疗：</w:t>
      </w:r>
    </w:p>
    <w:p>
      <w:pPr>
        <w:pStyle w:val="ListParagraph"/>
        <w:numPr>
          <w:ilvl w:val="0"/>
          <w:numId w:val="24"/>
        </w:numPr>
        <w:tabs>
          <w:tab w:pos="672" w:val="left" w:leader="none"/>
        </w:tabs>
        <w:spacing w:line="240" w:lineRule="auto" w:before="43" w:after="0"/>
        <w:ind w:left="671" w:right="0" w:hanging="530"/>
        <w:jc w:val="left"/>
        <w:rPr>
          <w:sz w:val="21"/>
        </w:rPr>
      </w:pPr>
      <w:r>
        <w:rPr>
          <w:spacing w:val="-3"/>
          <w:sz w:val="21"/>
        </w:rPr>
        <w:t>为下肢或者上肢供血的动脉；</w:t>
      </w:r>
    </w:p>
    <w:p>
      <w:pPr>
        <w:pStyle w:val="ListParagraph"/>
        <w:numPr>
          <w:ilvl w:val="0"/>
          <w:numId w:val="24"/>
        </w:numPr>
        <w:tabs>
          <w:tab w:pos="672" w:val="left" w:leader="none"/>
        </w:tabs>
        <w:spacing w:line="240" w:lineRule="auto" w:before="43" w:after="0"/>
        <w:ind w:left="671" w:right="0" w:hanging="530"/>
        <w:jc w:val="left"/>
        <w:rPr>
          <w:sz w:val="21"/>
        </w:rPr>
      </w:pPr>
      <w:r>
        <w:rPr>
          <w:spacing w:val="-4"/>
          <w:sz w:val="21"/>
        </w:rPr>
        <w:t>肾动脉；</w:t>
      </w:r>
    </w:p>
    <w:p>
      <w:pPr>
        <w:pStyle w:val="ListParagraph"/>
        <w:numPr>
          <w:ilvl w:val="0"/>
          <w:numId w:val="24"/>
        </w:numPr>
        <w:tabs>
          <w:tab w:pos="672" w:val="left" w:leader="none"/>
        </w:tabs>
        <w:spacing w:line="278" w:lineRule="auto" w:before="43" w:after="0"/>
        <w:ind w:left="142" w:right="5601" w:firstLine="0"/>
        <w:jc w:val="left"/>
        <w:rPr>
          <w:sz w:val="21"/>
        </w:rPr>
      </w:pPr>
      <w:r>
        <w:rPr>
          <w:spacing w:val="-2"/>
          <w:sz w:val="21"/>
        </w:rPr>
        <w:t>肠系膜动脉。</w:t>
      </w:r>
      <w:r>
        <w:rPr>
          <w:spacing w:val="105"/>
          <w:sz w:val="21"/>
        </w:rPr>
        <w:t> </w:t>
      </w:r>
      <w:r>
        <w:rPr>
          <w:spacing w:val="-2"/>
          <w:sz w:val="21"/>
        </w:rPr>
        <w:t>须满足下列全部条件：</w:t>
      </w:r>
    </w:p>
    <w:p>
      <w:pPr>
        <w:pStyle w:val="ListParagraph"/>
        <w:numPr>
          <w:ilvl w:val="0"/>
          <w:numId w:val="25"/>
        </w:numPr>
        <w:tabs>
          <w:tab w:pos="672" w:val="left" w:leader="none"/>
        </w:tabs>
        <w:spacing w:line="269" w:lineRule="exact" w:before="0" w:after="0"/>
        <w:ind w:left="671"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25"/>
        </w:numPr>
        <w:tabs>
          <w:tab w:pos="670" w:val="left" w:leader="none"/>
        </w:tabs>
        <w:spacing w:line="240" w:lineRule="auto" w:before="44" w:after="0"/>
        <w:ind w:left="669" w:right="0" w:hanging="528"/>
        <w:jc w:val="left"/>
        <w:rPr>
          <w:sz w:val="21"/>
        </w:rPr>
      </w:pPr>
      <w:r>
        <w:rPr>
          <w:spacing w:val="-3"/>
          <w:sz w:val="21"/>
        </w:rPr>
        <w:t>对一条或者一条以上的上述动脉施行了血管介入治疗，如血管成形术及</w:t>
      </w:r>
    </w:p>
    <w:p>
      <w:pPr>
        <w:pStyle w:val="BodyText"/>
        <w:spacing w:before="42"/>
        <w:ind w:left="668"/>
      </w:pPr>
      <w:r>
        <w:rPr>
          <w:spacing w:val="-3"/>
        </w:rPr>
        <w:t>/或者进行植入支架或者动脉粥样瘤清除手术。</w:t>
      </w:r>
    </w:p>
    <w:p>
      <w:pPr>
        <w:pStyle w:val="BodyText"/>
        <w:spacing w:line="278" w:lineRule="auto" w:before="43"/>
        <w:ind w:left="142" w:right="667"/>
      </w:pPr>
      <w:r>
        <w:rPr>
          <w:spacing w:val="-2"/>
        </w:rPr>
        <w:t>诊断及治疗均须在本公司认可的医疗机构内由血管疾病的专科医生认为是医</w:t>
      </w:r>
      <w:r>
        <w:rPr>
          <w:spacing w:val="-2"/>
        </w:rPr>
        <w:t>疗必需的情况下进行。</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植入腔静脉过</w:t>
      </w:r>
      <w:r>
        <w:rPr>
          <w:spacing w:val="-6"/>
          <w:sz w:val="21"/>
        </w:rPr>
        <w:t>滤器</w:t>
      </w:r>
    </w:p>
    <w:p>
      <w:pPr>
        <w:pStyle w:val="BodyText"/>
        <w:spacing w:line="278" w:lineRule="auto" w:before="72"/>
        <w:ind w:left="175" w:right="667"/>
      </w:pPr>
      <w:r>
        <w:rPr/>
        <w:br w:type="column"/>
      </w:r>
      <w:r>
        <w:rPr>
          <w:spacing w:val="-2"/>
        </w:rPr>
        <w:t>指患者因反复肺栓塞发作，抗凝血疗法无效而接受手术植入腔静脉过滤器。</w:t>
      </w:r>
      <w:r>
        <w:rPr>
          <w:spacing w:val="-2"/>
        </w:rPr>
        <w:t>此手术须在本公司认可的医疗机构内由专科医生认为是医疗必需的情况下进</w:t>
      </w:r>
      <w:r>
        <w:rPr>
          <w:spacing w:val="-6"/>
        </w:rPr>
        <w:t>行。</w:t>
      </w:r>
    </w:p>
    <w:p>
      <w:pPr>
        <w:spacing w:after="0" w:line="278" w:lineRule="auto"/>
        <w:sectPr>
          <w:type w:val="continuous"/>
          <w:pgSz w:w="11910" w:h="16840"/>
          <w:pgMar w:header="0" w:footer="404" w:top="600" w:bottom="280" w:left="860" w:right="340"/>
          <w:cols w:num="2" w:equalWidth="0">
            <w:col w:w="2785" w:space="40"/>
            <w:col w:w="7885"/>
          </w:cols>
        </w:sectPr>
      </w:pPr>
    </w:p>
    <w:p>
      <w:pPr>
        <w:pStyle w:val="BodyText"/>
        <w:spacing w:before="2"/>
        <w:rPr>
          <w:sz w:val="12"/>
        </w:rPr>
      </w:pPr>
    </w:p>
    <w:p>
      <w:pPr>
        <w:pStyle w:val="ListParagraph"/>
        <w:numPr>
          <w:ilvl w:val="0"/>
          <w:numId w:val="19"/>
        </w:numPr>
        <w:tabs>
          <w:tab w:pos="1439" w:val="left" w:leader="none"/>
        </w:tabs>
        <w:spacing w:line="278" w:lineRule="auto" w:before="72" w:after="0"/>
        <w:ind w:left="3000" w:right="666" w:hanging="1880"/>
        <w:jc w:val="both"/>
        <w:rPr>
          <w:sz w:val="21"/>
        </w:rPr>
      </w:pPr>
      <w:r>
        <w:rPr>
          <w:sz w:val="21"/>
        </w:rPr>
        <w:t>早期象皮病 指因丝虫感染导致淋巴管阻塞而造成身体组织出现严重淋巴水肿，达到国际</w:t>
      </w:r>
      <w:r>
        <w:rPr>
          <w:spacing w:val="-2"/>
          <w:sz w:val="21"/>
        </w:rPr>
        <w:t>淋巴学会淋巴水肿分期第Ⅱ期，临床表现为肢体象皮肿，夜间卧床休息后不</w:t>
      </w:r>
      <w:r>
        <w:rPr>
          <w:spacing w:val="-4"/>
          <w:sz w:val="21"/>
        </w:rPr>
        <w:t>能消退，患肢较健肢增粗 20%以上。该病须在本公司认可的医疗机构内经专科</w:t>
      </w:r>
      <w:r>
        <w:rPr>
          <w:spacing w:val="-2"/>
          <w:sz w:val="21"/>
        </w:rPr>
        <w:t>医生根据临床表现和微丝蚴的化验结果确诊。</w:t>
      </w:r>
    </w:p>
    <w:p>
      <w:pPr>
        <w:pStyle w:val="Heading2"/>
      </w:pPr>
      <w:r>
        <w:rPr>
          <w:spacing w:val="-3"/>
        </w:rPr>
        <w:t>急性淋巴管炎或其他原因引起的淋巴水肿不在保障范围內。</w:t>
      </w:r>
    </w:p>
    <w:p>
      <w:pPr>
        <w:pStyle w:val="BodyText"/>
        <w:spacing w:before="5"/>
        <w:rPr>
          <w:b/>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心脏起搏器植</w:t>
      </w:r>
      <w:r>
        <w:rPr>
          <w:spacing w:val="-10"/>
          <w:sz w:val="21"/>
        </w:rPr>
        <w:t>入</w:t>
      </w:r>
    </w:p>
    <w:p>
      <w:pPr>
        <w:pStyle w:val="BodyText"/>
        <w:spacing w:line="278" w:lineRule="auto" w:before="71"/>
        <w:ind w:left="175" w:right="667"/>
      </w:pPr>
      <w:r>
        <w:rPr/>
        <w:br w:type="column"/>
      </w:r>
      <w:r>
        <w:rPr>
          <w:spacing w:val="-2"/>
        </w:rPr>
        <w:t>因严重心律失常而实际实施了植入永久性心脏起搏器的手术。理赔时须提供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269" w:lineRule="exact"/>
        <w:ind w:left="175"/>
      </w:pPr>
      <w:r>
        <w:rPr>
          <w:spacing w:val="-3"/>
        </w:rPr>
        <w:t>临时性心脏起搏器安装不在保障范围内。</w:t>
      </w:r>
    </w:p>
    <w:p>
      <w:pPr>
        <w:spacing w:after="0" w:line="269" w:lineRule="exact"/>
        <w:sectPr>
          <w:type w:val="continuous"/>
          <w:pgSz w:w="11910" w:h="16840"/>
          <w:pgMar w:header="0" w:footer="404" w:top="600" w:bottom="280" w:left="860" w:right="340"/>
          <w:cols w:num="2" w:equalWidth="0">
            <w:col w:w="2785" w:space="40"/>
            <w:col w:w="7885"/>
          </w:cols>
        </w:sectPr>
      </w:pP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心脏除颤器植</w:t>
      </w:r>
      <w:r>
        <w:rPr>
          <w:spacing w:val="-10"/>
          <w:sz w:val="21"/>
        </w:rPr>
        <w:t>入</w:t>
      </w:r>
    </w:p>
    <w:p>
      <w:pPr>
        <w:pStyle w:val="BodyText"/>
        <w:spacing w:line="278" w:lineRule="auto" w:before="72"/>
        <w:ind w:left="175" w:right="667"/>
      </w:pPr>
      <w:r>
        <w:rPr/>
        <w:br w:type="column"/>
      </w:r>
      <w:r>
        <w:rPr>
          <w:spacing w:val="-2"/>
        </w:rPr>
        <w:t>因严重心律失常而实际实施了植入永久性心脏除颤器的手术。理赔时须提供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278" w:lineRule="auto"/>
        <w:ind w:left="175" w:right="669"/>
      </w:pPr>
      <w:r>
        <w:rPr>
          <w:spacing w:val="-2"/>
        </w:rPr>
        <w:t>体外心脏电复律（心脏电除颤)、临时性埋藏式心脏复律除颤器安装不在保障</w:t>
      </w:r>
      <w:r>
        <w:rPr>
          <w:spacing w:val="-4"/>
        </w:rPr>
        <w:t>范围内。</w:t>
      </w:r>
    </w:p>
    <w:p>
      <w:pPr>
        <w:spacing w:after="0" w:line="278" w:lineRule="auto"/>
        <w:sectPr>
          <w:type w:val="continuous"/>
          <w:pgSz w:w="11910" w:h="16840"/>
          <w:pgMar w:header="0" w:footer="404" w:top="600" w:bottom="280" w:left="860" w:right="340"/>
          <w:cols w:num="2" w:equalWidth="0">
            <w:col w:w="2785" w:space="40"/>
            <w:col w:w="7885"/>
          </w:cols>
        </w:sectPr>
      </w:pPr>
    </w:p>
    <w:p>
      <w:pPr>
        <w:pStyle w:val="BodyText"/>
        <w:spacing w:before="10"/>
        <w:rPr>
          <w:b/>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严重阻塞性睡</w:t>
      </w:r>
      <w:r>
        <w:rPr>
          <w:spacing w:val="-4"/>
          <w:sz w:val="21"/>
        </w:rPr>
        <w:t>眠窒息症</w:t>
      </w:r>
    </w:p>
    <w:p>
      <w:pPr>
        <w:pStyle w:val="BodyText"/>
        <w:spacing w:line="278" w:lineRule="auto" w:before="71"/>
        <w:ind w:left="175" w:right="667"/>
      </w:pPr>
      <w:r>
        <w:rPr/>
        <w:br w:type="column"/>
      </w:r>
      <w:r>
        <w:rPr>
          <w:spacing w:val="-2"/>
        </w:rPr>
        <w:t>须由相关医学范畴的专科医生，经多导睡眠监测仪检查明确诊断为严重阻塞</w:t>
      </w:r>
      <w:r>
        <w:rPr>
          <w:spacing w:val="-2"/>
        </w:rPr>
        <w:t>性睡眠呼吸暂停综合征（OSA），并必须符合以下两项条件：</w:t>
      </w:r>
    </w:p>
    <w:p>
      <w:pPr>
        <w:pStyle w:val="ListParagraph"/>
        <w:numPr>
          <w:ilvl w:val="0"/>
          <w:numId w:val="26"/>
        </w:numPr>
        <w:tabs>
          <w:tab w:pos="705" w:val="left" w:leader="none"/>
        </w:tabs>
        <w:spacing w:line="269" w:lineRule="exact" w:before="0" w:after="0"/>
        <w:ind w:left="704"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26"/>
        </w:numPr>
        <w:tabs>
          <w:tab w:pos="705" w:val="left" w:leader="none"/>
        </w:tabs>
        <w:spacing w:line="240" w:lineRule="auto" w:before="43" w:after="0"/>
        <w:ind w:left="704" w:right="0" w:hanging="530"/>
        <w:jc w:val="left"/>
        <w:rPr>
          <w:sz w:val="21"/>
        </w:rPr>
      </w:pPr>
      <w:r>
        <w:rPr>
          <w:spacing w:val="-1"/>
          <w:sz w:val="21"/>
        </w:rPr>
        <w:t>必须提供睡眠测试的文件证明，显示 </w:t>
      </w:r>
      <w:r>
        <w:rPr>
          <w:sz w:val="21"/>
        </w:rPr>
        <w:t>AHI</w:t>
      </w:r>
      <w:r>
        <w:rPr>
          <w:spacing w:val="-8"/>
          <w:sz w:val="21"/>
        </w:rPr>
        <w:t> &gt; </w:t>
      </w:r>
      <w:r>
        <w:rPr>
          <w:sz w:val="21"/>
        </w:rPr>
        <w:t>30</w:t>
      </w:r>
      <w:r>
        <w:rPr>
          <w:spacing w:val="-4"/>
          <w:sz w:val="21"/>
        </w:rPr>
        <w:t> 及夜间血氧饱和平均值</w:t>
      </w:r>
    </w:p>
    <w:p>
      <w:pPr>
        <w:pStyle w:val="BodyText"/>
        <w:spacing w:before="43"/>
        <w:ind w:left="700"/>
      </w:pPr>
      <w:r>
        <w:rPr>
          <w:spacing w:val="-2"/>
        </w:rPr>
        <w:t>&lt; </w:t>
      </w:r>
      <w:r>
        <w:rPr/>
        <w:t>85</w:t>
      </w:r>
      <w:r>
        <w:rPr>
          <w:spacing w:val="-5"/>
        </w:rPr>
        <w:t>%。</w:t>
      </w:r>
    </w:p>
    <w:p>
      <w:pPr>
        <w:spacing w:after="0"/>
        <w:sectPr>
          <w:type w:val="continuous"/>
          <w:pgSz w:w="11910" w:h="16840"/>
          <w:pgMar w:header="0" w:footer="404" w:top="600" w:bottom="280" w:left="860" w:right="340"/>
          <w:cols w:num="2" w:equalWidth="0">
            <w:col w:w="2785" w:space="40"/>
            <w:col w:w="7885"/>
          </w:cols>
        </w:sectPr>
      </w:pPr>
    </w:p>
    <w:p>
      <w:pPr>
        <w:pStyle w:val="ListParagraph"/>
        <w:numPr>
          <w:ilvl w:val="0"/>
          <w:numId w:val="19"/>
        </w:numPr>
        <w:tabs>
          <w:tab w:pos="1439" w:val="left" w:leader="none"/>
        </w:tabs>
        <w:spacing w:line="278" w:lineRule="auto" w:before="57" w:after="0"/>
        <w:ind w:left="3000" w:right="667" w:hanging="1880"/>
        <w:jc w:val="both"/>
        <w:rPr>
          <w:sz w:val="21"/>
        </w:rPr>
      </w:pPr>
      <w:r>
        <w:rPr>
          <w:spacing w:val="5"/>
          <w:sz w:val="21"/>
        </w:rPr>
        <w:t>面部重建手术 实际实施了整形或者重建手术</w:t>
      </w:r>
      <w:r>
        <w:rPr>
          <w:sz w:val="21"/>
        </w:rPr>
        <w:t>（颈部以上的面部构造不完整、缺失或者受损</w:t>
      </w:r>
      <w:r>
        <w:rPr>
          <w:spacing w:val="-2"/>
          <w:sz w:val="21"/>
        </w:rPr>
        <w:t>而对其形态及外观进行修复或者重建），同时必须由专科医生认为该面部毁</w:t>
      </w:r>
      <w:r>
        <w:rPr>
          <w:spacing w:val="-2"/>
          <w:sz w:val="21"/>
        </w:rPr>
        <w:t>容是需要接受住院治疗，及其后接受该手术，而对该面部毁容所进行的治疗</w:t>
      </w:r>
      <w:r>
        <w:rPr>
          <w:spacing w:val="-2"/>
          <w:sz w:val="21"/>
        </w:rPr>
        <w:t>亦是医疗所需。</w:t>
      </w:r>
    </w:p>
    <w:p>
      <w:pPr>
        <w:pStyle w:val="Heading2"/>
        <w:spacing w:line="278" w:lineRule="auto"/>
        <w:ind w:right="667"/>
      </w:pPr>
      <w:r>
        <w:rPr>
          <w:spacing w:val="-2"/>
        </w:rPr>
        <w:t>因纯粹整容原因、独立的牙齿修复、独立的鼻骨骨折或者独立的皮肤伤口所</w:t>
      </w:r>
      <w:r>
        <w:rPr>
          <w:spacing w:val="-2"/>
        </w:rPr>
        <w:t>进行的手术均不在保障范围内。</w:t>
      </w:r>
    </w:p>
    <w:p>
      <w:pPr>
        <w:pStyle w:val="BodyText"/>
        <w:spacing w:line="278" w:lineRule="auto"/>
        <w:ind w:left="3000" w:right="667"/>
      </w:pPr>
      <w:r>
        <w:rPr>
          <w:spacing w:val="-2"/>
        </w:rPr>
        <w:t>此手术必须在本公司认可的医疗机构内由专科医生认为是医疗上必需的情况</w:t>
      </w:r>
      <w:r>
        <w:rPr>
          <w:spacing w:val="-2"/>
        </w:rPr>
        <w:t>下进行，并出具诊断证明。</w:t>
      </w:r>
    </w:p>
    <w:p>
      <w:pPr>
        <w:pStyle w:val="BodyText"/>
        <w:spacing w:before="2"/>
        <w:rPr>
          <w:sz w:val="12"/>
        </w:rPr>
      </w:pPr>
    </w:p>
    <w:p>
      <w:pPr>
        <w:spacing w:after="0"/>
        <w:rPr>
          <w:sz w:val="12"/>
        </w:rPr>
        <w:sectPr>
          <w:pgSz w:w="11910" w:h="16840"/>
          <w:pgMar w:header="0" w:footer="404" w:top="1080" w:bottom="600" w:left="860" w:right="340"/>
        </w:sectPr>
      </w:pPr>
    </w:p>
    <w:p>
      <w:pPr>
        <w:pStyle w:val="ListParagraph"/>
        <w:numPr>
          <w:ilvl w:val="0"/>
          <w:numId w:val="19"/>
        </w:numPr>
        <w:tabs>
          <w:tab w:pos="1452" w:val="left" w:leader="none"/>
        </w:tabs>
        <w:spacing w:line="278" w:lineRule="auto" w:before="72" w:after="0"/>
        <w:ind w:left="1120" w:right="0" w:firstLine="0"/>
        <w:jc w:val="both"/>
        <w:rPr>
          <w:sz w:val="21"/>
        </w:rPr>
      </w:pPr>
      <w:r>
        <w:rPr>
          <w:spacing w:val="8"/>
          <w:sz w:val="21"/>
        </w:rPr>
        <w:t>因意外毁容而</w:t>
      </w:r>
      <w:r>
        <w:rPr>
          <w:spacing w:val="26"/>
          <w:sz w:val="21"/>
        </w:rPr>
        <w:t>施行的面部整形</w:t>
      </w:r>
      <w:r>
        <w:rPr>
          <w:spacing w:val="-6"/>
          <w:sz w:val="21"/>
        </w:rPr>
        <w:t>手术</w:t>
      </w:r>
    </w:p>
    <w:p>
      <w:pPr>
        <w:pStyle w:val="BodyText"/>
        <w:spacing w:line="278" w:lineRule="auto" w:before="72"/>
        <w:ind w:left="142" w:right="666"/>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或重建的面部整形手术，但未达到本合同所指的重大疾病“</w:t>
      </w:r>
      <w:r>
        <w:rPr>
          <w:b/>
          <w:spacing w:val="-2"/>
        </w:rPr>
        <w:t>严重面部烧伤</w:t>
      </w:r>
      <w:r>
        <w:rPr>
          <w:spacing w:val="-2"/>
        </w:rPr>
        <w:t>”</w:t>
      </w:r>
      <w:r>
        <w:rPr>
          <w:spacing w:val="-2"/>
        </w:rPr>
        <w:t>的给付标准。</w:t>
      </w:r>
    </w:p>
    <w:p>
      <w:pPr>
        <w:pStyle w:val="BodyText"/>
        <w:spacing w:line="269" w:lineRule="exact"/>
        <w:ind w:left="142"/>
        <w:jc w:val="both"/>
      </w:pPr>
      <w:r>
        <w:rPr>
          <w:spacing w:val="-5"/>
        </w:rPr>
        <w:t>面部整形手术必须在意外伤害后的 </w:t>
      </w:r>
      <w:r>
        <w:rPr>
          <w:spacing w:val="-2"/>
        </w:rPr>
        <w:t>180</w:t>
      </w:r>
      <w:r>
        <w:rPr>
          <w:spacing w:val="-11"/>
        </w:rPr>
        <w:t> 天内实施。</w:t>
      </w:r>
    </w:p>
    <w:p>
      <w:pPr>
        <w:spacing w:line="278" w:lineRule="auto" w:before="43"/>
        <w:ind w:left="142" w:right="746" w:firstLine="0"/>
        <w:jc w:val="left"/>
        <w:rPr>
          <w:sz w:val="21"/>
        </w:rPr>
      </w:pPr>
      <w:r>
        <w:rPr>
          <w:b/>
          <w:spacing w:val="-2"/>
          <w:sz w:val="21"/>
        </w:rPr>
        <w:t>因面部外伤后遗留的线条状瘢痕及色素沉着而施行的手术不在保障范围内。</w:t>
      </w:r>
      <w:r>
        <w:rPr>
          <w:spacing w:val="-2"/>
          <w:sz w:val="21"/>
        </w:rPr>
        <w:t>意外伤害必须满足下列全部条件：</w:t>
      </w:r>
    </w:p>
    <w:p>
      <w:pPr>
        <w:pStyle w:val="ListParagraph"/>
        <w:numPr>
          <w:ilvl w:val="0"/>
          <w:numId w:val="27"/>
        </w:numPr>
        <w:tabs>
          <w:tab w:pos="670" w:val="left" w:leader="none"/>
        </w:tabs>
        <w:spacing w:line="278" w:lineRule="auto" w:before="0" w:after="0"/>
        <w:ind w:left="668" w:right="666" w:hanging="526"/>
        <w:jc w:val="left"/>
        <w:rPr>
          <w:sz w:val="21"/>
        </w:rPr>
      </w:pPr>
      <w:r>
        <w:rPr>
          <w:spacing w:val="-2"/>
          <w:sz w:val="21"/>
        </w:rPr>
        <w:t>由外在暴力引起并且造成表面可视性伤口和面部骨结构损害的，或面部</w:t>
      </w:r>
      <w:r>
        <w:rPr>
          <w:spacing w:val="-2"/>
          <w:sz w:val="21"/>
        </w:rPr>
        <w:t>皮肤三度或全层意外烧伤；</w:t>
      </w:r>
    </w:p>
    <w:p>
      <w:pPr>
        <w:pStyle w:val="ListParagraph"/>
        <w:numPr>
          <w:ilvl w:val="0"/>
          <w:numId w:val="27"/>
        </w:numPr>
        <w:tabs>
          <w:tab w:pos="672" w:val="left" w:leader="none"/>
        </w:tabs>
        <w:spacing w:line="269" w:lineRule="exact" w:before="0" w:after="0"/>
        <w:ind w:left="671" w:right="0" w:hanging="530"/>
        <w:jc w:val="left"/>
        <w:rPr>
          <w:sz w:val="21"/>
        </w:rPr>
      </w:pPr>
      <w:r>
        <w:rPr>
          <w:spacing w:val="-3"/>
          <w:sz w:val="21"/>
        </w:rPr>
        <w:t>是造成面部毁损的直接和独立的原因。</w:t>
      </w:r>
    </w:p>
    <w:p>
      <w:pPr>
        <w:pStyle w:val="Heading2"/>
        <w:spacing w:line="278" w:lineRule="auto" w:before="43"/>
        <w:ind w:left="142" w:right="561"/>
      </w:pPr>
      <w:r>
        <w:rPr>
          <w:spacing w:val="-3"/>
          <w:w w:val="100"/>
        </w:rPr>
        <w:t>因面部外伤后遗留的线条状瘢痕及色素沉着而施行的手术不在保障范围内。</w:t>
      </w:r>
      <w:r>
        <w:rPr>
          <w:w w:val="100"/>
        </w:rPr>
        <w:t>因烧伤达到本合同所指的轻症疾病“轻度Ⅲ度烧伤”、“轻度面部烧伤”，</w:t>
      </w:r>
      <w:r>
        <w:rPr>
          <w:spacing w:val="-7"/>
          <w:w w:val="100"/>
        </w:rPr>
        <w:t>或本合同所指的中症疾病“中度Ⅲ度烧伤”、“中度面部烧伤”给付条件的，</w:t>
      </w:r>
      <w:r>
        <w:rPr>
          <w:spacing w:val="-3"/>
          <w:w w:val="100"/>
        </w:rPr>
        <w:t>本公司不再承担对该种轻症疾病保险金的责任。</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系统性红斑狼</w:t>
      </w:r>
      <w:r>
        <w:rPr>
          <w:spacing w:val="-10"/>
          <w:sz w:val="21"/>
        </w:rPr>
        <w:t>疮</w:t>
      </w:r>
    </w:p>
    <w:p>
      <w:pPr>
        <w:pStyle w:val="BodyText"/>
        <w:spacing w:line="278" w:lineRule="auto" w:before="72"/>
        <w:ind w:left="175" w:right="667"/>
      </w:pPr>
      <w:r>
        <w:rPr/>
        <w:br w:type="column"/>
      </w:r>
      <w:r>
        <w:rPr>
          <w:spacing w:val="-2"/>
        </w:rPr>
        <w:t>是一种累及多脏器的自身免疫性的炎症性结缔组织病。其诊断须满足下列两</w:t>
      </w:r>
      <w:r>
        <w:rPr>
          <w:spacing w:val="-4"/>
        </w:rPr>
        <w:t>个条件：</w:t>
      </w:r>
    </w:p>
    <w:p>
      <w:pPr>
        <w:pStyle w:val="ListParagraph"/>
        <w:numPr>
          <w:ilvl w:val="0"/>
          <w:numId w:val="28"/>
        </w:numPr>
        <w:tabs>
          <w:tab w:pos="705" w:val="left" w:leader="none"/>
        </w:tabs>
        <w:spacing w:line="240" w:lineRule="auto" w:before="0" w:after="0"/>
        <w:ind w:left="704" w:right="0" w:hanging="530"/>
        <w:jc w:val="left"/>
        <w:rPr>
          <w:sz w:val="21"/>
        </w:rPr>
      </w:pPr>
      <w:r>
        <w:rPr>
          <w:spacing w:val="-3"/>
          <w:sz w:val="21"/>
        </w:rPr>
        <w:t>临床表现至少具备如下条件的四个：</w:t>
      </w:r>
    </w:p>
    <w:p>
      <w:pPr>
        <w:pStyle w:val="BodyText"/>
        <w:spacing w:before="43"/>
        <w:ind w:left="700"/>
      </w:pPr>
      <w:r>
        <w:rPr>
          <w:spacing w:val="-5"/>
        </w:rPr>
        <w:t>① 蝶形红斑或盘形红斑；</w:t>
      </w:r>
    </w:p>
    <w:p>
      <w:pPr>
        <w:pStyle w:val="BodyText"/>
        <w:spacing w:before="43"/>
        <w:ind w:left="700"/>
      </w:pPr>
      <w:r>
        <w:rPr>
          <w:spacing w:val="-4"/>
        </w:rPr>
        <w:t>② 光敏感；</w:t>
      </w:r>
    </w:p>
    <w:p>
      <w:pPr>
        <w:pStyle w:val="BodyText"/>
        <w:spacing w:before="43"/>
        <w:ind w:left="700"/>
      </w:pPr>
      <w:r>
        <w:rPr>
          <w:spacing w:val="-4"/>
        </w:rPr>
        <w:t>③ 口腔溃疡；</w:t>
      </w:r>
    </w:p>
    <w:p>
      <w:pPr>
        <w:pStyle w:val="BodyText"/>
        <w:spacing w:before="43"/>
        <w:ind w:left="700"/>
      </w:pPr>
      <w:r>
        <w:rPr>
          <w:spacing w:val="-6"/>
        </w:rPr>
        <w:t>④ 非畸形关节炎或多关节痛；</w:t>
      </w:r>
    </w:p>
    <w:p>
      <w:pPr>
        <w:pStyle w:val="BodyText"/>
        <w:spacing w:before="43"/>
        <w:ind w:left="700"/>
      </w:pPr>
      <w:r>
        <w:rPr>
          <w:spacing w:val="-6"/>
        </w:rPr>
        <w:t>⑤ 浆膜炎、胸膜炎或心包炎；</w:t>
      </w:r>
    </w:p>
    <w:p>
      <w:pPr>
        <w:pStyle w:val="BodyText"/>
        <w:spacing w:before="43"/>
        <w:ind w:left="700"/>
      </w:pPr>
      <w:r>
        <w:rPr>
          <w:spacing w:val="-5"/>
        </w:rPr>
        <w:t>⑥ 神经系统损伤</w:t>
      </w:r>
      <w:r>
        <w:rPr/>
        <w:t>（癫痫或精神症状</w:t>
      </w:r>
      <w:r>
        <w:rPr>
          <w:spacing w:val="-5"/>
        </w:rPr>
        <w:t>）；</w:t>
      </w:r>
    </w:p>
    <w:p>
      <w:pPr>
        <w:pStyle w:val="BodyText"/>
        <w:spacing w:before="32"/>
        <w:ind w:left="700"/>
      </w:pPr>
      <w:r>
        <w:rPr>
          <w:spacing w:val="-1"/>
        </w:rPr>
        <w:t>⑦ 血象异常</w:t>
      </w:r>
      <w:r>
        <w:rPr>
          <w:spacing w:val="-2"/>
        </w:rPr>
        <w:t>（WBC&lt;4×10</w:t>
      </w:r>
      <w:r>
        <w:rPr>
          <w:spacing w:val="-2"/>
          <w:position w:val="11"/>
          <w:sz w:val="11"/>
        </w:rPr>
        <w:t>9</w:t>
      </w:r>
      <w:r>
        <w:rPr>
          <w:spacing w:val="-2"/>
        </w:rPr>
        <w:t>／L</w:t>
      </w:r>
      <w:r>
        <w:rPr>
          <w:spacing w:val="-11"/>
        </w:rPr>
        <w:t> 或血小板&lt;</w:t>
      </w:r>
      <w:r>
        <w:rPr>
          <w:spacing w:val="-2"/>
        </w:rPr>
        <w:t>100×10</w:t>
      </w:r>
      <w:r>
        <w:rPr>
          <w:spacing w:val="-2"/>
          <w:position w:val="11"/>
          <w:sz w:val="11"/>
        </w:rPr>
        <w:t>9</w:t>
      </w:r>
      <w:r>
        <w:rPr>
          <w:spacing w:val="-2"/>
        </w:rPr>
        <w:t>／L</w:t>
      </w:r>
      <w:r>
        <w:rPr>
          <w:spacing w:val="-10"/>
        </w:rPr>
        <w:t> 或溶血性贫血</w:t>
      </w:r>
      <w:r>
        <w:rPr>
          <w:spacing w:val="-2"/>
        </w:rPr>
        <w:t>）</w:t>
      </w:r>
      <w:r>
        <w:rPr>
          <w:spacing w:val="-10"/>
        </w:rPr>
        <w:t>。</w:t>
      </w:r>
    </w:p>
    <w:p>
      <w:pPr>
        <w:pStyle w:val="ListParagraph"/>
        <w:numPr>
          <w:ilvl w:val="0"/>
          <w:numId w:val="28"/>
        </w:numPr>
        <w:tabs>
          <w:tab w:pos="705" w:val="left" w:leader="none"/>
        </w:tabs>
        <w:spacing w:line="240" w:lineRule="auto" w:before="43" w:after="0"/>
        <w:ind w:left="704" w:right="0" w:hanging="530"/>
        <w:jc w:val="left"/>
        <w:rPr>
          <w:sz w:val="21"/>
        </w:rPr>
      </w:pPr>
      <w:r>
        <w:rPr>
          <w:spacing w:val="-3"/>
          <w:sz w:val="21"/>
        </w:rPr>
        <w:t>检测结果至少具备如下条件的两个：</w:t>
      </w:r>
    </w:p>
    <w:p>
      <w:pPr>
        <w:pStyle w:val="BodyText"/>
        <w:spacing w:before="43"/>
        <w:ind w:left="700"/>
      </w:pPr>
      <w:r>
        <w:rPr>
          <w:spacing w:val="-10"/>
        </w:rPr>
        <w:t>① 狼疮细胞或抗双链 </w:t>
      </w:r>
      <w:r>
        <w:rPr/>
        <w:t>DNA</w:t>
      </w:r>
      <w:r>
        <w:rPr>
          <w:spacing w:val="-12"/>
        </w:rPr>
        <w:t> 抗体阳性；</w:t>
      </w:r>
    </w:p>
    <w:p>
      <w:pPr>
        <w:pStyle w:val="BodyText"/>
        <w:spacing w:before="43"/>
        <w:ind w:left="700"/>
      </w:pPr>
      <w:r>
        <w:rPr>
          <w:spacing w:val="-16"/>
        </w:rPr>
        <w:t>② 抗 </w:t>
      </w:r>
      <w:r>
        <w:rPr/>
        <w:t>Sm</w:t>
      </w:r>
      <w:r>
        <w:rPr>
          <w:spacing w:val="-12"/>
        </w:rPr>
        <w:t> 抗体阳性；</w:t>
      </w:r>
    </w:p>
    <w:p>
      <w:pPr>
        <w:pStyle w:val="BodyText"/>
        <w:spacing w:before="43"/>
        <w:ind w:left="700"/>
      </w:pPr>
      <w:r>
        <w:rPr>
          <w:spacing w:val="-4"/>
        </w:rPr>
        <w:t>③ 抗核抗体阳性；</w:t>
      </w:r>
    </w:p>
    <w:p>
      <w:pPr>
        <w:pStyle w:val="BodyText"/>
        <w:spacing w:before="44"/>
        <w:ind w:left="700"/>
      </w:pPr>
      <w:r>
        <w:rPr>
          <w:spacing w:val="-5"/>
        </w:rPr>
        <w:t>④ 狼疮带试验阳性；</w:t>
      </w:r>
    </w:p>
    <w:p>
      <w:pPr>
        <w:pStyle w:val="BodyText"/>
        <w:spacing w:before="43"/>
        <w:ind w:left="700"/>
      </w:pPr>
      <w:r>
        <w:rPr>
          <w:spacing w:val="-5"/>
        </w:rPr>
        <w:t>⑤ </w:t>
      </w:r>
      <w:r>
        <w:rPr/>
        <w:t>C3</w:t>
      </w:r>
      <w:r>
        <w:rPr>
          <w:spacing w:val="-10"/>
        </w:rPr>
        <w:t> 补体低于正常。</w:t>
      </w:r>
    </w:p>
    <w:p>
      <w:pPr>
        <w:spacing w:after="0"/>
        <w:sectPr>
          <w:type w:val="continuous"/>
          <w:pgSz w:w="11910" w:h="16840"/>
          <w:pgMar w:header="0" w:footer="404" w:top="600" w:bottom="280" w:left="860" w:right="340"/>
          <w:cols w:num="2" w:equalWidth="0">
            <w:col w:w="2785" w:space="40"/>
            <w:col w:w="7885"/>
          </w:cols>
        </w:sectPr>
      </w:pPr>
    </w:p>
    <w:p>
      <w:pPr>
        <w:pStyle w:val="BodyText"/>
        <w:spacing w:before="4"/>
        <w:rPr>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轻度特发性肺</w:t>
      </w:r>
      <w:r>
        <w:rPr>
          <w:spacing w:val="-4"/>
          <w:sz w:val="21"/>
        </w:rPr>
        <w:t>动脉高压</w:t>
      </w:r>
    </w:p>
    <w:p>
      <w:pPr>
        <w:spacing w:line="276" w:lineRule="auto" w:before="72"/>
        <w:ind w:left="175" w:right="666" w:firstLine="0"/>
        <w:jc w:val="both"/>
        <w:rPr>
          <w:sz w:val="21"/>
        </w:rPr>
      </w:pPr>
      <w:r>
        <w:rPr/>
        <w:br w:type="column"/>
      </w:r>
      <w:r>
        <w:rPr>
          <w:spacing w:val="-2"/>
          <w:sz w:val="21"/>
        </w:rPr>
        <w:t>指由于原发性肺动脉高压进行性发展而导致右心室肥厚，已经造成永久不可</w:t>
      </w:r>
      <w:r>
        <w:rPr>
          <w:spacing w:val="10"/>
          <w:sz w:val="21"/>
        </w:rPr>
        <w:t>逆性的体力活动能力受限， 达到</w:t>
      </w:r>
      <w:r>
        <w:rPr>
          <w:b/>
          <w:spacing w:val="17"/>
          <w:sz w:val="21"/>
        </w:rPr>
        <w:t>美国纽约心脏病学会</w:t>
      </w:r>
      <w:r>
        <w:rPr>
          <w:b/>
          <w:sz w:val="21"/>
        </w:rPr>
        <w:t>（</w:t>
      </w:r>
      <w:r>
        <w:rPr>
          <w:b/>
          <w:spacing w:val="-26"/>
          <w:sz w:val="21"/>
        </w:rPr>
        <w:t> </w:t>
      </w:r>
      <w:r>
        <w:rPr>
          <w:b/>
          <w:sz w:val="21"/>
        </w:rPr>
        <w:t>New</w:t>
      </w:r>
      <w:r>
        <w:rPr>
          <w:b/>
          <w:spacing w:val="-27"/>
          <w:sz w:val="21"/>
        </w:rPr>
        <w:t> </w:t>
      </w:r>
      <w:r>
        <w:rPr>
          <w:b/>
          <w:sz w:val="21"/>
        </w:rPr>
        <w:t>York</w:t>
      </w:r>
      <w:r>
        <w:rPr>
          <w:b/>
          <w:spacing w:val="-26"/>
          <w:sz w:val="21"/>
        </w:rPr>
        <w:t> </w:t>
      </w:r>
      <w:r>
        <w:rPr>
          <w:b/>
          <w:sz w:val="21"/>
        </w:rPr>
        <w:t>Heart Association，NYHA）</w:t>
      </w:r>
      <w:r>
        <w:rPr>
          <w:b/>
          <w:spacing w:val="-2"/>
          <w:sz w:val="21"/>
        </w:rPr>
        <w:t>心功能状态分级 </w:t>
      </w:r>
      <w:r>
        <w:rPr>
          <w:position w:val="11"/>
          <w:sz w:val="11"/>
        </w:rPr>
        <w:t>11.30</w:t>
      </w:r>
      <w:r>
        <w:rPr>
          <w:sz w:val="21"/>
        </w:rPr>
        <w:t>Ⅲ级，在本公司认可的医疗机构内</w:t>
      </w:r>
      <w:r>
        <w:rPr>
          <w:spacing w:val="-2"/>
          <w:sz w:val="21"/>
        </w:rPr>
        <w:t>由心脏科专科医生确诊，且静息状态下肺动脉平均压超过 </w:t>
      </w:r>
      <w:r>
        <w:rPr>
          <w:sz w:val="21"/>
        </w:rPr>
        <w:t>25mmHg，但未达到</w:t>
      </w:r>
      <w:r>
        <w:rPr>
          <w:spacing w:val="-2"/>
          <w:sz w:val="21"/>
        </w:rPr>
        <w:t>本合同所指的重大疾病“</w:t>
      </w:r>
      <w:r>
        <w:rPr>
          <w:b/>
          <w:spacing w:val="-2"/>
          <w:sz w:val="21"/>
        </w:rPr>
        <w:t>严重特发性肺动脉高压</w:t>
      </w:r>
      <w:r>
        <w:rPr>
          <w:spacing w:val="-2"/>
          <w:sz w:val="21"/>
        </w:rPr>
        <w:t>”的标准。</w:t>
      </w:r>
    </w:p>
    <w:p>
      <w:pPr>
        <w:spacing w:after="0" w:line="276" w:lineRule="auto"/>
        <w:jc w:val="both"/>
        <w:rPr>
          <w:sz w:val="21"/>
        </w:rPr>
        <w:sectPr>
          <w:type w:val="continuous"/>
          <w:pgSz w:w="11910" w:h="16840"/>
          <w:pgMar w:header="0" w:footer="404" w:top="600" w:bottom="280" w:left="860" w:right="340"/>
          <w:cols w:num="2" w:equalWidth="0">
            <w:col w:w="2785" w:space="40"/>
            <w:col w:w="7885"/>
          </w:cols>
        </w:sectPr>
      </w:pPr>
    </w:p>
    <w:p>
      <w:pPr>
        <w:pStyle w:val="ListParagraph"/>
        <w:numPr>
          <w:ilvl w:val="0"/>
          <w:numId w:val="19"/>
        </w:numPr>
        <w:tabs>
          <w:tab w:pos="1452" w:val="left" w:leader="none"/>
        </w:tabs>
        <w:spacing w:line="278" w:lineRule="auto" w:before="57" w:after="0"/>
        <w:ind w:left="1120" w:right="0" w:firstLine="0"/>
        <w:jc w:val="left"/>
        <w:rPr>
          <w:sz w:val="21"/>
        </w:rPr>
      </w:pPr>
      <w:r>
        <w:rPr>
          <w:spacing w:val="8"/>
          <w:sz w:val="21"/>
        </w:rPr>
        <w:t>轻度继发性肺</w:t>
      </w:r>
      <w:r>
        <w:rPr>
          <w:spacing w:val="-4"/>
          <w:sz w:val="21"/>
        </w:rPr>
        <w:t>动脉高压</w:t>
      </w:r>
    </w:p>
    <w:p>
      <w:pPr>
        <w:pStyle w:val="BodyText"/>
        <w:spacing w:line="278" w:lineRule="auto" w:before="57"/>
        <w:ind w:left="175" w:right="560"/>
      </w:pPr>
      <w:r>
        <w:rPr/>
        <w:br w:type="column"/>
      </w:r>
      <w:r>
        <w:rPr>
          <w:w w:val="100"/>
        </w:rPr>
        <w:t>指继发性肺动脉压力持续增高而导致右心室肥厚，已经造成永久不可逆性的</w:t>
      </w:r>
      <w:r>
        <w:rPr>
          <w:spacing w:val="-8"/>
          <w:w w:val="100"/>
        </w:rPr>
        <w:t>体力活动能力受限，达到美国纽约心脏病学会</w:t>
      </w:r>
      <w:r>
        <w:rPr>
          <w:spacing w:val="-3"/>
          <w:w w:val="100"/>
        </w:rPr>
        <w:t>（</w:t>
      </w:r>
      <w:r>
        <w:rPr>
          <w:w w:val="100"/>
        </w:rPr>
        <w:t>New</w:t>
      </w:r>
      <w:r>
        <w:rPr>
          <w:spacing w:val="-55"/>
        </w:rPr>
        <w:t> </w:t>
      </w:r>
      <w:r>
        <w:rPr>
          <w:w w:val="100"/>
        </w:rPr>
        <w:t>York</w:t>
      </w:r>
      <w:r>
        <w:rPr>
          <w:spacing w:val="-53"/>
        </w:rPr>
        <w:t> </w:t>
      </w:r>
      <w:r>
        <w:rPr>
          <w:spacing w:val="-3"/>
          <w:w w:val="100"/>
        </w:rPr>
        <w:t>H</w:t>
      </w:r>
      <w:r>
        <w:rPr>
          <w:w w:val="100"/>
        </w:rPr>
        <w:t>eart</w:t>
      </w:r>
      <w:r>
        <w:rPr>
          <w:spacing w:val="-55"/>
        </w:rPr>
        <w:t> </w:t>
      </w:r>
      <w:r>
        <w:rPr>
          <w:w w:val="100"/>
        </w:rPr>
        <w:t>Ass</w:t>
      </w:r>
      <w:r>
        <w:rPr>
          <w:spacing w:val="-3"/>
          <w:w w:val="100"/>
        </w:rPr>
        <w:t>o</w:t>
      </w:r>
      <w:r>
        <w:rPr>
          <w:w w:val="100"/>
        </w:rPr>
        <w:t>cia</w:t>
      </w:r>
      <w:r>
        <w:rPr>
          <w:spacing w:val="-3"/>
          <w:w w:val="100"/>
        </w:rPr>
        <w:t>t</w:t>
      </w:r>
      <w:r>
        <w:rPr>
          <w:w w:val="100"/>
        </w:rPr>
        <w:t>ion， NYH</w:t>
      </w:r>
      <w:r>
        <w:rPr>
          <w:spacing w:val="2"/>
          <w:w w:val="100"/>
        </w:rPr>
        <w:t>A）</w:t>
      </w:r>
      <w:r>
        <w:rPr>
          <w:w w:val="100"/>
        </w:rPr>
        <w:t>心功能状态分级Ⅲ级，在本公司认可的医疗机构内由心脏科专科医生</w:t>
      </w:r>
      <w:r>
        <w:rPr>
          <w:spacing w:val="-3"/>
          <w:w w:val="100"/>
        </w:rPr>
        <w:t>确诊，且静息状态下肺动脉平均压超过</w:t>
      </w:r>
      <w:r>
        <w:rPr>
          <w:spacing w:val="-2"/>
        </w:rPr>
        <w:t> </w:t>
      </w:r>
      <w:r>
        <w:rPr>
          <w:spacing w:val="-3"/>
          <w:w w:val="100"/>
        </w:rPr>
        <w:t>2</w:t>
      </w:r>
      <w:r>
        <w:rPr>
          <w:w w:val="100"/>
        </w:rPr>
        <w:t>5mm</w:t>
      </w:r>
      <w:r>
        <w:rPr>
          <w:spacing w:val="-3"/>
          <w:w w:val="100"/>
        </w:rPr>
        <w:t>H</w:t>
      </w:r>
      <w:r>
        <w:rPr>
          <w:spacing w:val="-1"/>
          <w:w w:val="100"/>
        </w:rPr>
        <w:t>g</w:t>
      </w:r>
      <w:r>
        <w:rPr>
          <w:spacing w:val="-3"/>
          <w:w w:val="100"/>
        </w:rPr>
        <w:t>，但未达到本合同所指的重大疾病“</w:t>
      </w:r>
      <w:r>
        <w:rPr>
          <w:b/>
          <w:spacing w:val="-2"/>
          <w:w w:val="100"/>
        </w:rPr>
        <w:t>严重继发性肺动脉高压</w:t>
      </w:r>
      <w:r>
        <w:rPr>
          <w:spacing w:val="-3"/>
          <w:w w:val="100"/>
        </w:rPr>
        <w:t>”的标准。</w:t>
      </w:r>
    </w:p>
    <w:p>
      <w:pPr>
        <w:spacing w:after="0" w:line="278" w:lineRule="auto"/>
        <w:sectPr>
          <w:pgSz w:w="11910" w:h="16840"/>
          <w:pgMar w:header="0" w:footer="404" w:top="1080" w:bottom="600" w:left="860" w:right="340"/>
          <w:cols w:num="2" w:equalWidth="0">
            <w:col w:w="2785" w:space="40"/>
            <w:col w:w="7885"/>
          </w:cols>
        </w:sectPr>
      </w:pPr>
    </w:p>
    <w:p>
      <w:pPr>
        <w:pStyle w:val="BodyText"/>
        <w:spacing w:before="9"/>
        <w:rPr>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早期原发性心</w:t>
      </w:r>
      <w:r>
        <w:rPr>
          <w:spacing w:val="-6"/>
          <w:sz w:val="21"/>
        </w:rPr>
        <w:t>肌病</w:t>
      </w:r>
    </w:p>
    <w:p>
      <w:pPr>
        <w:pStyle w:val="BodyText"/>
        <w:spacing w:before="72"/>
        <w:ind w:left="175"/>
      </w:pPr>
      <w:r>
        <w:rPr/>
        <w:br w:type="column"/>
      </w:r>
      <w:r>
        <w:rPr>
          <w:spacing w:val="-3"/>
        </w:rPr>
        <w:t>被诊断为原发性心肌病，并符合下列所有条件：</w:t>
      </w:r>
    </w:p>
    <w:p>
      <w:pPr>
        <w:pStyle w:val="ListParagraph"/>
        <w:numPr>
          <w:ilvl w:val="0"/>
          <w:numId w:val="29"/>
        </w:numPr>
        <w:tabs>
          <w:tab w:pos="723" w:val="left" w:leader="none"/>
        </w:tabs>
        <w:spacing w:line="278" w:lineRule="auto" w:before="43" w:after="0"/>
        <w:ind w:left="700" w:right="666" w:hanging="526"/>
        <w:jc w:val="both"/>
        <w:rPr>
          <w:sz w:val="21"/>
        </w:rPr>
      </w:pPr>
      <w:r>
        <w:rPr>
          <w:sz w:val="21"/>
        </w:rPr>
        <w:t>导致心室功能受损，其受损程度达到美国纽约心脏病学会（New York Heart Association，NYHA）心功能状态分级Ⅲ级或其同等级別，即：</w:t>
      </w:r>
      <w:r>
        <w:rPr>
          <w:spacing w:val="-2"/>
          <w:sz w:val="21"/>
        </w:rPr>
        <w:t>体力活动明显受限，休息时无症状，轻于日常的活动即可引起充血性心</w:t>
      </w:r>
      <w:r>
        <w:rPr>
          <w:spacing w:val="-2"/>
          <w:sz w:val="21"/>
        </w:rPr>
        <w:t>力衰竭的症状；</w:t>
      </w:r>
    </w:p>
    <w:p>
      <w:pPr>
        <w:pStyle w:val="ListParagraph"/>
        <w:numPr>
          <w:ilvl w:val="0"/>
          <w:numId w:val="29"/>
        </w:numPr>
        <w:tabs>
          <w:tab w:pos="705" w:val="left" w:leader="none"/>
        </w:tabs>
        <w:spacing w:line="269" w:lineRule="exact" w:before="0" w:after="0"/>
        <w:ind w:left="704" w:right="0" w:hanging="530"/>
        <w:jc w:val="both"/>
        <w:rPr>
          <w:sz w:val="21"/>
        </w:rPr>
      </w:pPr>
      <w:r>
        <w:rPr>
          <w:spacing w:val="-2"/>
          <w:sz w:val="21"/>
        </w:rPr>
        <w:t>左室射血分数 </w:t>
      </w:r>
      <w:r>
        <w:rPr>
          <w:sz w:val="21"/>
        </w:rPr>
        <w:t>LVEF</w:t>
      </w:r>
      <w:r>
        <w:rPr>
          <w:spacing w:val="-7"/>
          <w:sz w:val="21"/>
        </w:rPr>
        <w:t> </w:t>
      </w:r>
      <w:r>
        <w:rPr>
          <w:spacing w:val="-4"/>
          <w:sz w:val="21"/>
        </w:rPr>
        <w:t>&lt;35%；</w:t>
      </w:r>
    </w:p>
    <w:p>
      <w:pPr>
        <w:pStyle w:val="ListParagraph"/>
        <w:numPr>
          <w:ilvl w:val="0"/>
          <w:numId w:val="29"/>
        </w:numPr>
        <w:tabs>
          <w:tab w:pos="705" w:val="left" w:leader="none"/>
        </w:tabs>
        <w:spacing w:line="278" w:lineRule="auto" w:before="43" w:after="0"/>
        <w:ind w:left="700" w:right="666" w:hanging="526"/>
        <w:jc w:val="left"/>
        <w:rPr>
          <w:sz w:val="21"/>
        </w:rPr>
      </w:pPr>
      <w:r>
        <w:rPr>
          <w:spacing w:val="-2"/>
          <w:sz w:val="21"/>
        </w:rPr>
        <w:t>原发性心肌病的诊断必须在本公司认可的医疗机构内由心脏专科医生确</w:t>
      </w:r>
      <w:r>
        <w:rPr>
          <w:spacing w:val="-2"/>
          <w:sz w:val="21"/>
        </w:rPr>
        <w:t>认，并提供心脏超声检查结果报告。</w:t>
      </w:r>
    </w:p>
    <w:p>
      <w:pPr>
        <w:pStyle w:val="Heading2"/>
        <w:ind w:left="175"/>
      </w:pPr>
      <w:r>
        <w:rPr>
          <w:spacing w:val="-3"/>
        </w:rPr>
        <w:t>本保障范围内的心肌病包括扩张型心肌病、肥厚型心肌病及限制型心肌病。</w:t>
      </w:r>
    </w:p>
    <w:p>
      <w:pPr>
        <w:spacing w:after="0"/>
        <w:sectPr>
          <w:type w:val="continuous"/>
          <w:pgSz w:w="11910" w:h="16840"/>
          <w:pgMar w:header="0" w:footer="404" w:top="600" w:bottom="280" w:left="860" w:right="340"/>
          <w:cols w:num="2" w:equalWidth="0">
            <w:col w:w="2785" w:space="40"/>
            <w:col w:w="7885"/>
          </w:cols>
        </w:sectPr>
      </w:pPr>
    </w:p>
    <w:p>
      <w:pPr>
        <w:pStyle w:val="BodyText"/>
        <w:spacing w:before="2"/>
        <w:rPr>
          <w:b/>
          <w:sz w:val="22"/>
        </w:rPr>
      </w:pPr>
    </w:p>
    <w:p>
      <w:pPr>
        <w:spacing w:after="0"/>
        <w:rPr>
          <w:sz w:val="2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轻度慢性肾衰</w:t>
      </w:r>
      <w:r>
        <w:rPr>
          <w:spacing w:val="-10"/>
          <w:sz w:val="21"/>
        </w:rPr>
        <w:t>竭</w:t>
      </w:r>
    </w:p>
    <w:p>
      <w:pPr>
        <w:pStyle w:val="BodyText"/>
        <w:spacing w:before="71"/>
        <w:ind w:left="175"/>
      </w:pPr>
      <w:r>
        <w:rPr/>
        <w:br w:type="column"/>
      </w:r>
      <w:r>
        <w:rPr>
          <w:spacing w:val="-3"/>
        </w:rPr>
        <w:t>指肾功能慢性不可逆性损害达到肾功能衰竭期。必须满足下列全部条件：</w:t>
      </w:r>
    </w:p>
    <w:p>
      <w:pPr>
        <w:pStyle w:val="ListParagraph"/>
        <w:numPr>
          <w:ilvl w:val="0"/>
          <w:numId w:val="30"/>
        </w:numPr>
        <w:tabs>
          <w:tab w:pos="702" w:val="left" w:leader="none"/>
        </w:tabs>
        <w:spacing w:line="278" w:lineRule="auto" w:before="43" w:after="0"/>
        <w:ind w:left="700" w:right="565" w:hanging="526"/>
        <w:jc w:val="left"/>
        <w:rPr>
          <w:sz w:val="21"/>
        </w:rPr>
      </w:pPr>
      <w:r>
        <w:rPr>
          <w:spacing w:val="-2"/>
          <w:sz w:val="21"/>
        </w:rPr>
        <w:t>肾小球滤过率（</w:t>
      </w:r>
      <w:r>
        <w:rPr>
          <w:spacing w:val="-15"/>
          <w:sz w:val="21"/>
        </w:rPr>
        <w:t>使用 </w:t>
      </w:r>
      <w:r>
        <w:rPr>
          <w:spacing w:val="-2"/>
          <w:sz w:val="21"/>
        </w:rPr>
        <w:t>MDRD</w:t>
      </w:r>
      <w:r>
        <w:rPr>
          <w:spacing w:val="-20"/>
          <w:sz w:val="21"/>
        </w:rPr>
        <w:t> 公式或 </w:t>
      </w:r>
      <w:r>
        <w:rPr>
          <w:spacing w:val="-2"/>
          <w:sz w:val="21"/>
        </w:rPr>
        <w:t>Cockcroft-Gault</w:t>
      </w:r>
      <w:r>
        <w:rPr>
          <w:spacing w:val="-8"/>
          <w:sz w:val="21"/>
        </w:rPr>
        <w:t> 公式计算的结果</w:t>
      </w:r>
      <w:r>
        <w:rPr>
          <w:spacing w:val="-2"/>
          <w:sz w:val="21"/>
        </w:rPr>
        <w:t>），</w:t>
      </w:r>
      <w:r>
        <w:rPr>
          <w:spacing w:val="-5"/>
          <w:sz w:val="21"/>
        </w:rPr>
        <w:t>低于 </w:t>
      </w:r>
      <w:r>
        <w:rPr>
          <w:sz w:val="21"/>
        </w:rPr>
        <w:t>30ml/min/1.73</w:t>
      </w:r>
      <w:r>
        <w:rPr>
          <w:spacing w:val="-5"/>
          <w:sz w:val="21"/>
        </w:rPr>
        <w:t> 平方米，且此状态须持续至少 </w:t>
      </w:r>
      <w:r>
        <w:rPr>
          <w:sz w:val="21"/>
        </w:rPr>
        <w:t>90</w:t>
      </w:r>
      <w:r>
        <w:rPr>
          <w:spacing w:val="-5"/>
          <w:sz w:val="21"/>
        </w:rPr>
        <w:t> 天；</w:t>
      </w:r>
    </w:p>
    <w:p>
      <w:pPr>
        <w:pStyle w:val="ListParagraph"/>
        <w:numPr>
          <w:ilvl w:val="0"/>
          <w:numId w:val="30"/>
        </w:numPr>
        <w:tabs>
          <w:tab w:pos="705" w:val="left" w:leader="none"/>
        </w:tabs>
        <w:spacing w:line="278" w:lineRule="auto" w:before="0" w:after="0"/>
        <w:ind w:left="700" w:right="666" w:hanging="526"/>
        <w:jc w:val="left"/>
        <w:rPr>
          <w:sz w:val="21"/>
        </w:rPr>
      </w:pPr>
      <w:r>
        <w:rPr>
          <w:spacing w:val="-2"/>
          <w:sz w:val="21"/>
        </w:rPr>
        <w:t>轻度慢性肾衰竭的诊断必须在本公司认可的医疗机构内由泌尿科或肾脏</w:t>
      </w:r>
      <w:r>
        <w:rPr>
          <w:spacing w:val="-2"/>
          <w:sz w:val="21"/>
        </w:rPr>
        <w:t>科医生确诊。</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10"/>
        <w:rPr>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both"/>
        <w:rPr>
          <w:sz w:val="21"/>
        </w:rPr>
      </w:pPr>
      <w:r>
        <w:rPr>
          <w:spacing w:val="8"/>
          <w:sz w:val="21"/>
        </w:rPr>
        <w:t>因肾上腺皮质</w:t>
      </w:r>
      <w:r>
        <w:rPr>
          <w:spacing w:val="26"/>
          <w:sz w:val="21"/>
        </w:rPr>
        <w:t>腺瘤所致的肾上</w:t>
      </w:r>
      <w:r>
        <w:rPr>
          <w:spacing w:val="-4"/>
          <w:sz w:val="21"/>
        </w:rPr>
        <w:t>腺切除术</w:t>
      </w:r>
    </w:p>
    <w:p>
      <w:pPr>
        <w:pStyle w:val="BodyText"/>
        <w:spacing w:line="278" w:lineRule="auto" w:before="71"/>
        <w:ind w:left="142" w:right="667"/>
      </w:pPr>
      <w:r>
        <w:rPr/>
        <w:br w:type="column"/>
      </w:r>
      <w:r>
        <w:rPr>
          <w:spacing w:val="-2"/>
        </w:rPr>
        <w:t>因肾上腺皮质腺瘤所导致的醛固酮分泌过多而产生的继发性恶性高血压而实</w:t>
      </w:r>
      <w:r>
        <w:rPr>
          <w:spacing w:val="-2"/>
        </w:rPr>
        <w:t>际接受了肾上腺切除术治疗。</w:t>
      </w:r>
    </w:p>
    <w:p>
      <w:pPr>
        <w:pStyle w:val="BodyText"/>
        <w:spacing w:line="278" w:lineRule="auto"/>
        <w:ind w:left="142" w:right="676"/>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10"/>
        <w:rPr>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胆道系统重建</w:t>
      </w:r>
      <w:r>
        <w:rPr>
          <w:spacing w:val="-6"/>
          <w:sz w:val="21"/>
        </w:rPr>
        <w:t>手术</w:t>
      </w:r>
    </w:p>
    <w:p>
      <w:pPr>
        <w:pStyle w:val="BodyText"/>
        <w:spacing w:line="278" w:lineRule="auto" w:before="72"/>
        <w:ind w:left="175" w:right="667"/>
      </w:pPr>
      <w:r>
        <w:rPr/>
        <w:br w:type="column"/>
      </w:r>
      <w:r>
        <w:rPr>
          <w:spacing w:val="-2"/>
        </w:rPr>
        <w:t>因疾病或胆道创伤导致包含胆道肠道人工造管术的胆道重建手术。此手术须</w:t>
      </w:r>
      <w:r>
        <w:rPr>
          <w:spacing w:val="-2"/>
        </w:rPr>
        <w:t>在本公司认可的医疗机构内由专科医生认为是医疗必需的情况下进行。</w:t>
      </w:r>
    </w:p>
    <w:p>
      <w:pPr>
        <w:pStyle w:val="Heading2"/>
        <w:spacing w:line="269" w:lineRule="exact"/>
        <w:ind w:left="175"/>
      </w:pPr>
      <w:r>
        <w:rPr>
          <w:spacing w:val="-3"/>
        </w:rPr>
        <w:t>胆道闭锁不在保障范围内。</w:t>
      </w:r>
    </w:p>
    <w:p>
      <w:pPr>
        <w:spacing w:after="0" w:line="269" w:lineRule="exact"/>
        <w:sectPr>
          <w:type w:val="continuous"/>
          <w:pgSz w:w="11910" w:h="16840"/>
          <w:pgMar w:header="0" w:footer="404" w:top="600" w:bottom="280" w:left="860" w:right="340"/>
          <w:cols w:num="2" w:equalWidth="0">
            <w:col w:w="2785" w:space="40"/>
            <w:col w:w="7885"/>
          </w:cols>
        </w:sectPr>
      </w:pPr>
    </w:p>
    <w:p>
      <w:pPr>
        <w:pStyle w:val="BodyText"/>
        <w:spacing w:before="1"/>
        <w:rPr>
          <w:b/>
          <w:sz w:val="22"/>
        </w:rPr>
      </w:pPr>
    </w:p>
    <w:p>
      <w:pPr>
        <w:pStyle w:val="ListParagraph"/>
        <w:numPr>
          <w:ilvl w:val="0"/>
          <w:numId w:val="19"/>
        </w:numPr>
        <w:tabs>
          <w:tab w:pos="1439" w:val="left" w:leader="none"/>
        </w:tabs>
        <w:spacing w:line="278" w:lineRule="auto" w:before="72" w:after="0"/>
        <w:ind w:left="3000" w:right="667" w:hanging="1880"/>
        <w:jc w:val="both"/>
        <w:rPr>
          <w:sz w:val="21"/>
        </w:rPr>
      </w:pPr>
      <w:r>
        <w:rPr>
          <w:sz w:val="21"/>
        </w:rPr>
        <w:t>早期肝硬化 肝硬化必须在本公司认可的医疗机构内由专科医生明确诊断，必须由活检证</w:t>
      </w:r>
      <w:r>
        <w:rPr>
          <w:spacing w:val="-2"/>
          <w:sz w:val="21"/>
        </w:rPr>
        <w:t>实有再生的肝细胞结节和典型的肝组织纤维化，下列条件必须全部满足并至</w:t>
      </w:r>
      <w:r>
        <w:rPr>
          <w:spacing w:val="-2"/>
          <w:sz w:val="21"/>
        </w:rPr>
        <w:t>少持续一年：</w:t>
      </w:r>
    </w:p>
    <w:p>
      <w:pPr>
        <w:pStyle w:val="ListParagraph"/>
        <w:numPr>
          <w:ilvl w:val="0"/>
          <w:numId w:val="31"/>
        </w:numPr>
        <w:tabs>
          <w:tab w:pos="3530" w:val="left" w:leader="none"/>
        </w:tabs>
        <w:spacing w:line="269" w:lineRule="exact" w:before="0" w:after="0"/>
        <w:ind w:left="3529" w:right="0" w:hanging="530"/>
        <w:jc w:val="left"/>
        <w:rPr>
          <w:sz w:val="21"/>
        </w:rPr>
      </w:pPr>
      <w:r>
        <w:rPr>
          <w:spacing w:val="-5"/>
          <w:sz w:val="21"/>
        </w:rPr>
        <w:t>持续性黄疸，胆红素水平升高超过 </w:t>
      </w:r>
      <w:r>
        <w:rPr>
          <w:spacing w:val="-2"/>
          <w:sz w:val="21"/>
        </w:rPr>
        <w:t>50μmol/L；</w:t>
      </w:r>
    </w:p>
    <w:p>
      <w:pPr>
        <w:pStyle w:val="ListParagraph"/>
        <w:numPr>
          <w:ilvl w:val="0"/>
          <w:numId w:val="31"/>
        </w:numPr>
        <w:tabs>
          <w:tab w:pos="3530" w:val="left" w:leader="none"/>
        </w:tabs>
        <w:spacing w:line="240" w:lineRule="auto" w:before="43" w:after="0"/>
        <w:ind w:left="3529" w:right="0" w:hanging="530"/>
        <w:jc w:val="left"/>
        <w:rPr>
          <w:sz w:val="21"/>
        </w:rPr>
      </w:pPr>
      <w:r>
        <w:rPr>
          <w:spacing w:val="-5"/>
          <w:sz w:val="21"/>
        </w:rPr>
        <w:t>蛋白质合成异常，白蛋白水平低于 </w:t>
      </w:r>
      <w:r>
        <w:rPr>
          <w:spacing w:val="-2"/>
          <w:sz w:val="21"/>
        </w:rPr>
        <w:t>27g/L；</w:t>
      </w:r>
    </w:p>
    <w:p>
      <w:pPr>
        <w:pStyle w:val="ListParagraph"/>
        <w:numPr>
          <w:ilvl w:val="0"/>
          <w:numId w:val="31"/>
        </w:numPr>
        <w:tabs>
          <w:tab w:pos="3527" w:val="left" w:leader="none"/>
        </w:tabs>
        <w:spacing w:line="240" w:lineRule="auto" w:before="43" w:after="0"/>
        <w:ind w:left="3526" w:right="0" w:hanging="527"/>
        <w:jc w:val="left"/>
        <w:rPr>
          <w:sz w:val="21"/>
        </w:rPr>
      </w:pPr>
      <w:r>
        <w:rPr>
          <w:spacing w:val="-5"/>
          <w:sz w:val="21"/>
        </w:rPr>
        <w:t>异常凝血功能，凝血酶原时间超过正常上限的 </w:t>
      </w:r>
      <w:r>
        <w:rPr>
          <w:spacing w:val="-2"/>
          <w:sz w:val="21"/>
        </w:rPr>
        <w:t>2</w:t>
      </w:r>
      <w:r>
        <w:rPr>
          <w:spacing w:val="-10"/>
          <w:sz w:val="21"/>
        </w:rPr>
        <w:t> 倍或以上，或者国际正</w:t>
      </w:r>
    </w:p>
    <w:p>
      <w:pPr>
        <w:pStyle w:val="BodyText"/>
        <w:spacing w:before="43"/>
        <w:ind w:left="3525"/>
      </w:pPr>
      <w:r>
        <w:rPr>
          <w:spacing w:val="-2"/>
        </w:rPr>
        <w:t>常化比率（INR）</w:t>
      </w:r>
      <w:r>
        <w:rPr>
          <w:spacing w:val="-25"/>
        </w:rPr>
        <w:t>在 </w:t>
      </w:r>
      <w:r>
        <w:rPr>
          <w:spacing w:val="-2"/>
        </w:rPr>
        <w:t>2.0</w:t>
      </w:r>
      <w:r>
        <w:rPr>
          <w:spacing w:val="-16"/>
        </w:rPr>
        <w:t> 以上。</w:t>
      </w:r>
    </w:p>
    <w:p>
      <w:pPr>
        <w:pStyle w:val="BodyText"/>
        <w:spacing w:before="1"/>
        <w:rPr>
          <w:sz w:val="22"/>
        </w:rPr>
      </w:pPr>
    </w:p>
    <w:p>
      <w:pPr>
        <w:spacing w:after="0"/>
        <w:rPr>
          <w:sz w:val="2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2" w:after="0"/>
        <w:ind w:left="1120" w:right="0" w:firstLine="0"/>
        <w:jc w:val="left"/>
        <w:rPr>
          <w:sz w:val="21"/>
        </w:rPr>
      </w:pPr>
      <w:r>
        <w:rPr>
          <w:spacing w:val="8"/>
          <w:sz w:val="21"/>
        </w:rPr>
        <w:t>轻度慢性肝衰</w:t>
      </w:r>
      <w:r>
        <w:rPr>
          <w:spacing w:val="-10"/>
          <w:sz w:val="21"/>
        </w:rPr>
        <w:t>竭</w:t>
      </w:r>
    </w:p>
    <w:p>
      <w:pPr>
        <w:pStyle w:val="BodyText"/>
        <w:spacing w:before="72"/>
        <w:ind w:left="175"/>
      </w:pPr>
      <w:r>
        <w:rPr/>
        <w:br w:type="column"/>
      </w:r>
      <w:r>
        <w:rPr>
          <w:spacing w:val="-5"/>
        </w:rPr>
        <w:t>指因慢性肝脏疾病导致持续 </w:t>
      </w:r>
      <w:r>
        <w:rPr>
          <w:spacing w:val="-2"/>
        </w:rPr>
        <w:t>180</w:t>
      </w:r>
      <w:r>
        <w:rPr>
          <w:spacing w:val="-10"/>
        </w:rPr>
        <w:t> 天肝功能衰竭，须满足下列全部条件：</w:t>
      </w:r>
    </w:p>
    <w:p>
      <w:pPr>
        <w:pStyle w:val="ListParagraph"/>
        <w:numPr>
          <w:ilvl w:val="0"/>
          <w:numId w:val="32"/>
        </w:numPr>
        <w:tabs>
          <w:tab w:pos="705" w:val="left" w:leader="none"/>
        </w:tabs>
        <w:spacing w:line="240" w:lineRule="auto" w:before="43" w:after="0"/>
        <w:ind w:left="704" w:right="0" w:hanging="530"/>
        <w:jc w:val="left"/>
        <w:rPr>
          <w:sz w:val="21"/>
        </w:rPr>
      </w:pPr>
      <w:r>
        <w:rPr>
          <w:spacing w:val="-2"/>
          <w:sz w:val="21"/>
        </w:rPr>
        <w:t>持续性黄疸，胆红素&gt;50μmol/L；</w:t>
      </w:r>
    </w:p>
    <w:p>
      <w:pPr>
        <w:pStyle w:val="ListParagraph"/>
        <w:numPr>
          <w:ilvl w:val="0"/>
          <w:numId w:val="32"/>
        </w:numPr>
        <w:tabs>
          <w:tab w:pos="705" w:val="left" w:leader="none"/>
        </w:tabs>
        <w:spacing w:line="240" w:lineRule="auto" w:before="43" w:after="0"/>
        <w:ind w:left="704" w:right="0" w:hanging="530"/>
        <w:jc w:val="left"/>
        <w:rPr>
          <w:sz w:val="21"/>
        </w:rPr>
      </w:pPr>
      <w:r>
        <w:rPr>
          <w:spacing w:val="-2"/>
          <w:sz w:val="21"/>
        </w:rPr>
        <w:t>白蛋白&lt;27g/L；</w:t>
      </w:r>
    </w:p>
    <w:p>
      <w:pPr>
        <w:pStyle w:val="ListParagraph"/>
        <w:numPr>
          <w:ilvl w:val="0"/>
          <w:numId w:val="32"/>
        </w:numPr>
        <w:tabs>
          <w:tab w:pos="705" w:val="left" w:leader="none"/>
        </w:tabs>
        <w:spacing w:line="240" w:lineRule="auto" w:before="43" w:after="0"/>
        <w:ind w:left="704" w:right="0" w:hanging="530"/>
        <w:jc w:val="left"/>
        <w:rPr>
          <w:sz w:val="21"/>
        </w:rPr>
      </w:pPr>
      <w:r>
        <w:rPr>
          <w:spacing w:val="-2"/>
          <w:sz w:val="21"/>
        </w:rPr>
        <w:t>凝血酶原时间延长&gt;4</w:t>
      </w:r>
      <w:r>
        <w:rPr>
          <w:spacing w:val="-19"/>
          <w:sz w:val="21"/>
        </w:rPr>
        <w:t> 秒。</w:t>
      </w:r>
    </w:p>
    <w:p>
      <w:pPr>
        <w:pStyle w:val="Heading2"/>
        <w:spacing w:before="43"/>
        <w:ind w:left="175"/>
      </w:pPr>
      <w:r>
        <w:rPr>
          <w:spacing w:val="-3"/>
        </w:rPr>
        <w:t>因酗酒、药物滥用或肝硬化导致的肝功能衰竭不在保障范围内。</w:t>
      </w:r>
    </w:p>
    <w:p>
      <w:pPr>
        <w:spacing w:after="0"/>
        <w:sectPr>
          <w:type w:val="continuous"/>
          <w:pgSz w:w="11910" w:h="16840"/>
          <w:pgMar w:header="0" w:footer="404" w:top="600" w:bottom="280" w:left="860" w:right="340"/>
          <w:cols w:num="2" w:equalWidth="0">
            <w:col w:w="2785" w:space="40"/>
            <w:col w:w="7885"/>
          </w:cols>
        </w:sectPr>
      </w:pPr>
    </w:p>
    <w:p>
      <w:pPr>
        <w:pStyle w:val="BodyText"/>
        <w:spacing w:before="1"/>
        <w:rPr>
          <w:b/>
          <w:sz w:val="22"/>
        </w:rPr>
      </w:pPr>
    </w:p>
    <w:p>
      <w:pPr>
        <w:pStyle w:val="ListParagraph"/>
        <w:numPr>
          <w:ilvl w:val="0"/>
          <w:numId w:val="19"/>
        </w:numPr>
        <w:tabs>
          <w:tab w:pos="1452" w:val="left" w:leader="none"/>
        </w:tabs>
        <w:spacing w:line="240" w:lineRule="auto" w:before="72" w:after="0"/>
        <w:ind w:left="1451" w:right="0" w:hanging="332"/>
        <w:jc w:val="left"/>
        <w:rPr>
          <w:sz w:val="21"/>
        </w:rPr>
      </w:pPr>
      <w:r>
        <w:rPr>
          <w:spacing w:val="-1"/>
          <w:sz w:val="21"/>
        </w:rPr>
        <w:t>急性出血坏死  指确诊为急性出血性坏死性胰腺炎，并在本公司认可的医疗机构内实际接受</w:t>
      </w:r>
    </w:p>
    <w:p>
      <w:pPr>
        <w:spacing w:after="0" w:line="240" w:lineRule="auto"/>
        <w:jc w:val="left"/>
        <w:rPr>
          <w:sz w:val="21"/>
        </w:rPr>
        <w:sectPr>
          <w:type w:val="continuous"/>
          <w:pgSz w:w="11910" w:h="16840"/>
          <w:pgMar w:header="0" w:footer="404" w:top="600" w:bottom="280" w:left="860" w:right="340"/>
        </w:sectPr>
      </w:pPr>
    </w:p>
    <w:p>
      <w:pPr>
        <w:pStyle w:val="BodyText"/>
        <w:spacing w:line="278" w:lineRule="auto" w:before="57"/>
        <w:ind w:left="1120"/>
      </w:pPr>
      <w:r>
        <w:rPr>
          <w:spacing w:val="26"/>
        </w:rPr>
        <w:t>性胰腺炎腹腔镜</w:t>
      </w:r>
      <w:r>
        <w:rPr>
          <w:spacing w:val="-6"/>
        </w:rPr>
        <w:t>手术</w:t>
      </w:r>
    </w:p>
    <w:p>
      <w:pPr>
        <w:spacing w:line="278" w:lineRule="auto" w:before="57"/>
        <w:ind w:left="142" w:right="1187" w:firstLine="0"/>
        <w:jc w:val="left"/>
        <w:rPr>
          <w:b/>
          <w:sz w:val="21"/>
        </w:rPr>
      </w:pPr>
      <w:r>
        <w:rPr/>
        <w:br w:type="column"/>
      </w:r>
      <w:r>
        <w:rPr>
          <w:spacing w:val="-2"/>
          <w:sz w:val="21"/>
        </w:rPr>
        <w:t>了腹腔镜手术治疗，以进行坏死组织清除、坏死病灶切除或胰腺切除。</w:t>
      </w:r>
      <w:r>
        <w:rPr>
          <w:b/>
          <w:spacing w:val="-2"/>
          <w:sz w:val="21"/>
        </w:rPr>
        <w:t>因酗酒或饮酒过量导致的急性坏死胰腺炎不在保障范围内。</w:t>
      </w:r>
    </w:p>
    <w:p>
      <w:pPr>
        <w:spacing w:after="0" w:line="278" w:lineRule="auto"/>
        <w:jc w:val="left"/>
        <w:rPr>
          <w:sz w:val="21"/>
        </w:rPr>
        <w:sectPr>
          <w:pgSz w:w="11910" w:h="16840"/>
          <w:pgMar w:header="0" w:footer="404" w:top="1080" w:bottom="600" w:left="860" w:right="340"/>
          <w:cols w:num="2" w:equalWidth="0">
            <w:col w:w="2818" w:space="40"/>
            <w:col w:w="7852"/>
          </w:cols>
        </w:sectPr>
      </w:pPr>
    </w:p>
    <w:p>
      <w:pPr>
        <w:pStyle w:val="BodyText"/>
        <w:spacing w:before="10"/>
        <w:rPr>
          <w:b/>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慢性阻塞性肺</w:t>
      </w:r>
      <w:r>
        <w:rPr>
          <w:spacing w:val="-10"/>
          <w:sz w:val="21"/>
        </w:rPr>
        <w:t>病</w:t>
      </w:r>
    </w:p>
    <w:p>
      <w:pPr>
        <w:pStyle w:val="BodyText"/>
        <w:spacing w:line="278" w:lineRule="auto" w:before="71"/>
        <w:ind w:left="175" w:right="667"/>
        <w:jc w:val="both"/>
      </w:pPr>
      <w:r>
        <w:rPr/>
        <w:br w:type="column"/>
      </w:r>
      <w:r>
        <w:rPr>
          <w:spacing w:val="-2"/>
        </w:rPr>
        <w:t>指因一种具有气流阻塞特征的慢性支气管炎和（或）肺气肿，该病必须在本</w:t>
      </w:r>
      <w:r>
        <w:rPr>
          <w:spacing w:val="-2"/>
        </w:rPr>
        <w:t>公司认可的医疗机构内由呼吸系统科的医生确诊，且诊断必须满足以下所有</w:t>
      </w:r>
      <w:r>
        <w:rPr>
          <w:spacing w:val="-4"/>
        </w:rPr>
        <w:t>条件：</w:t>
      </w:r>
    </w:p>
    <w:p>
      <w:pPr>
        <w:pStyle w:val="ListParagraph"/>
        <w:numPr>
          <w:ilvl w:val="0"/>
          <w:numId w:val="33"/>
        </w:numPr>
        <w:tabs>
          <w:tab w:pos="807" w:val="left" w:leader="none"/>
        </w:tabs>
        <w:spacing w:line="269" w:lineRule="exact" w:before="0" w:after="0"/>
        <w:ind w:left="806" w:right="0" w:hanging="632"/>
        <w:jc w:val="both"/>
        <w:rPr>
          <w:sz w:val="21"/>
        </w:rPr>
      </w:pPr>
      <w:r>
        <w:rPr>
          <w:spacing w:val="-2"/>
          <w:sz w:val="21"/>
        </w:rPr>
        <w:t>第一秒末用力呼吸量（FEV1）</w:t>
      </w:r>
      <w:r>
        <w:rPr>
          <w:spacing w:val="-18"/>
          <w:sz w:val="21"/>
        </w:rPr>
        <w:t>小于 </w:t>
      </w:r>
      <w:r>
        <w:rPr>
          <w:spacing w:val="-2"/>
          <w:sz w:val="21"/>
        </w:rPr>
        <w:t>1</w:t>
      </w:r>
      <w:r>
        <w:rPr>
          <w:spacing w:val="-20"/>
          <w:sz w:val="21"/>
        </w:rPr>
        <w:t> 升；</w:t>
      </w:r>
    </w:p>
    <w:p>
      <w:pPr>
        <w:pStyle w:val="ListParagraph"/>
        <w:numPr>
          <w:ilvl w:val="0"/>
          <w:numId w:val="33"/>
        </w:numPr>
        <w:tabs>
          <w:tab w:pos="807" w:val="left" w:leader="none"/>
        </w:tabs>
        <w:spacing w:line="240" w:lineRule="auto" w:before="43" w:after="0"/>
        <w:ind w:left="806" w:right="0" w:hanging="632"/>
        <w:jc w:val="left"/>
        <w:rPr>
          <w:sz w:val="21"/>
        </w:rPr>
      </w:pPr>
      <w:r>
        <w:rPr>
          <w:sz w:val="21"/>
        </w:rPr>
        <w:t>COPD</w:t>
      </w:r>
      <w:r>
        <w:rPr>
          <w:spacing w:val="-13"/>
          <w:sz w:val="21"/>
        </w:rPr>
        <w:t> 肺功能分级 Ⅲ级，即 </w:t>
      </w:r>
      <w:r>
        <w:rPr>
          <w:spacing w:val="-2"/>
          <w:sz w:val="21"/>
        </w:rPr>
        <w:t>30%&lt;EFV1&lt;50%；</w:t>
      </w:r>
    </w:p>
    <w:p>
      <w:pPr>
        <w:pStyle w:val="ListParagraph"/>
        <w:numPr>
          <w:ilvl w:val="0"/>
          <w:numId w:val="33"/>
        </w:numPr>
        <w:tabs>
          <w:tab w:pos="807" w:val="left" w:leader="none"/>
        </w:tabs>
        <w:spacing w:line="240" w:lineRule="auto" w:before="43" w:after="0"/>
        <w:ind w:left="806" w:right="0" w:hanging="632"/>
        <w:jc w:val="left"/>
        <w:rPr>
          <w:sz w:val="21"/>
        </w:rPr>
      </w:pPr>
      <w:r>
        <w:rPr>
          <w:spacing w:val="-2"/>
          <w:sz w:val="21"/>
        </w:rPr>
        <w:t>残气容积占肺总量（TLC）</w:t>
      </w:r>
      <w:r>
        <w:rPr>
          <w:spacing w:val="-20"/>
          <w:sz w:val="21"/>
        </w:rPr>
        <w:t>的 </w:t>
      </w:r>
      <w:r>
        <w:rPr>
          <w:spacing w:val="-2"/>
          <w:sz w:val="21"/>
        </w:rPr>
        <w:t>50</w:t>
      </w:r>
      <w:r>
        <w:rPr>
          <w:spacing w:val="-4"/>
          <w:sz w:val="21"/>
        </w:rPr>
        <w:t>%以上；</w:t>
      </w:r>
    </w:p>
    <w:p>
      <w:pPr>
        <w:pStyle w:val="ListParagraph"/>
        <w:numPr>
          <w:ilvl w:val="0"/>
          <w:numId w:val="33"/>
        </w:numPr>
        <w:tabs>
          <w:tab w:pos="807" w:val="left" w:leader="none"/>
        </w:tabs>
        <w:spacing w:line="240" w:lineRule="auto" w:before="43" w:after="0"/>
        <w:ind w:left="806" w:right="0" w:hanging="632"/>
        <w:jc w:val="left"/>
        <w:rPr>
          <w:sz w:val="21"/>
        </w:rPr>
      </w:pPr>
      <w:r>
        <w:rPr>
          <w:position w:val="1"/>
          <w:sz w:val="21"/>
        </w:rPr>
        <w:t>PaO</w:t>
      </w:r>
      <w:r>
        <w:rPr>
          <w:sz w:val="11"/>
        </w:rPr>
        <w:t>2</w:t>
      </w:r>
      <w:r>
        <w:rPr>
          <w:position w:val="1"/>
          <w:sz w:val="21"/>
        </w:rPr>
        <w:t>&lt;60mmHg,</w:t>
      </w:r>
      <w:r>
        <w:rPr>
          <w:spacing w:val="-19"/>
          <w:position w:val="1"/>
          <w:sz w:val="21"/>
        </w:rPr>
        <w:t> </w:t>
      </w:r>
      <w:r>
        <w:rPr>
          <w:position w:val="1"/>
          <w:sz w:val="21"/>
        </w:rPr>
        <w:t>PaCO</w:t>
      </w:r>
      <w:r>
        <w:rPr>
          <w:sz w:val="11"/>
        </w:rPr>
        <w:t>2</w:t>
      </w:r>
      <w:r>
        <w:rPr>
          <w:position w:val="1"/>
          <w:sz w:val="21"/>
        </w:rPr>
        <w:t>&gt;50mmHg</w:t>
      </w:r>
      <w:r>
        <w:rPr>
          <w:spacing w:val="-10"/>
          <w:position w:val="1"/>
          <w:sz w:val="21"/>
        </w:rPr>
        <w:t>。</w:t>
      </w:r>
    </w:p>
    <w:p>
      <w:pPr>
        <w:spacing w:after="0" w:line="240"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2"/>
        <w:rPr>
          <w:sz w:val="22"/>
        </w:rPr>
      </w:pPr>
    </w:p>
    <w:p>
      <w:pPr>
        <w:spacing w:after="0"/>
        <w:rPr>
          <w:sz w:val="2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早期系统性硬</w:t>
      </w:r>
      <w:r>
        <w:rPr>
          <w:spacing w:val="-6"/>
          <w:sz w:val="21"/>
        </w:rPr>
        <w:t>皮病</w:t>
      </w:r>
    </w:p>
    <w:p>
      <w:pPr>
        <w:pStyle w:val="BodyText"/>
        <w:spacing w:line="278" w:lineRule="auto" w:before="71"/>
        <w:ind w:left="175" w:right="560"/>
      </w:pPr>
      <w:r>
        <w:rPr/>
        <w:br w:type="column"/>
      </w:r>
      <w:r>
        <w:rPr>
          <w:w w:val="100"/>
        </w:rPr>
        <w:t>指一种以局限性或弥漫性皮肤增厚和皮肤、血管、内脏器官异常纤维化为特</w:t>
      </w:r>
      <w:r>
        <w:rPr>
          <w:spacing w:val="-3"/>
          <w:w w:val="100"/>
        </w:rPr>
        <w:t>征的结缔组织病，该病必须在本公司认可的医疗机构内由专科医生明确诊断，</w:t>
      </w:r>
      <w:r>
        <w:rPr>
          <w:w w:val="100"/>
        </w:rPr>
        <w:t>并须满足下列所有条件，但未达到本合同重大疾病“</w:t>
      </w:r>
      <w:r>
        <w:rPr>
          <w:b/>
          <w:spacing w:val="2"/>
          <w:w w:val="100"/>
        </w:rPr>
        <w:t>系统性硬皮病</w:t>
      </w:r>
      <w:r>
        <w:rPr>
          <w:w w:val="100"/>
        </w:rPr>
        <w:t>”的给付标准：</w:t>
      </w:r>
    </w:p>
    <w:p>
      <w:pPr>
        <w:pStyle w:val="ListParagraph"/>
        <w:numPr>
          <w:ilvl w:val="0"/>
          <w:numId w:val="34"/>
        </w:numPr>
        <w:tabs>
          <w:tab w:pos="742" w:val="left" w:leader="none"/>
        </w:tabs>
        <w:spacing w:line="240" w:lineRule="auto" w:before="0" w:after="0"/>
        <w:ind w:left="741" w:right="0" w:hanging="567"/>
        <w:jc w:val="left"/>
        <w:rPr>
          <w:sz w:val="21"/>
        </w:rPr>
      </w:pPr>
      <w:r>
        <w:rPr>
          <w:spacing w:val="10"/>
          <w:sz w:val="21"/>
        </w:rPr>
        <w:t>在本公司认可的医疗机构内由风湿学专科医生根据美国风湿病学会</w:t>
      </w:r>
    </w:p>
    <w:p>
      <w:pPr>
        <w:pStyle w:val="BodyText"/>
        <w:spacing w:line="278" w:lineRule="auto" w:before="43"/>
        <w:ind w:left="700" w:right="663"/>
        <w:jc w:val="both"/>
      </w:pPr>
      <w:r>
        <w:rPr/>
        <w:t>（ACR）及欧洲抗风湿病联盟(EULAR</w:t>
      </w:r>
      <w:r>
        <w:rPr>
          <w:spacing w:val="-5"/>
        </w:rPr>
        <w:t>)在 </w:t>
      </w:r>
      <w:r>
        <w:rPr/>
        <w:t>2013</w:t>
      </w:r>
      <w:r>
        <w:rPr>
          <w:spacing w:val="-4"/>
        </w:rPr>
        <w:t> 年发布的系统性硬皮病诊</w:t>
      </w:r>
      <w:r>
        <w:rPr>
          <w:spacing w:val="-2"/>
        </w:rPr>
        <w:t>断标准确认达到确诊标准（总分值由每一个分类中的最高比重（分值）</w:t>
      </w:r>
      <w:r>
        <w:rPr/>
        <w:t>相加而成，总分≥9</w:t>
      </w:r>
      <w:r>
        <w:rPr>
          <w:spacing w:val="-7"/>
        </w:rPr>
        <w:t> 分的患者被分类为系统性硬皮病</w:t>
      </w:r>
      <w:r>
        <w:rPr/>
        <w:t>）；</w:t>
      </w:r>
    </w:p>
    <w:p>
      <w:pPr>
        <w:pStyle w:val="ListParagraph"/>
        <w:numPr>
          <w:ilvl w:val="0"/>
          <w:numId w:val="34"/>
        </w:numPr>
        <w:tabs>
          <w:tab w:pos="705" w:val="left" w:leader="none"/>
        </w:tabs>
        <w:spacing w:line="278" w:lineRule="auto" w:before="0" w:after="0"/>
        <w:ind w:left="175" w:right="1924"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ListParagraph"/>
        <w:numPr>
          <w:ilvl w:val="0"/>
          <w:numId w:val="35"/>
        </w:numPr>
        <w:tabs>
          <w:tab w:pos="705" w:val="left" w:leader="none"/>
        </w:tabs>
        <w:spacing w:line="269" w:lineRule="exact" w:before="0" w:after="0"/>
        <w:ind w:left="704" w:right="0" w:hanging="530"/>
        <w:jc w:val="left"/>
        <w:rPr>
          <w:b/>
          <w:sz w:val="21"/>
        </w:rPr>
      </w:pPr>
      <w:r>
        <w:rPr>
          <w:b/>
          <w:spacing w:val="-2"/>
          <w:sz w:val="21"/>
        </w:rPr>
        <w:t>局限性硬皮病（带状硬皮病或斑状损害</w:t>
      </w:r>
      <w:r>
        <w:rPr>
          <w:b/>
          <w:spacing w:val="-5"/>
          <w:sz w:val="21"/>
        </w:rPr>
        <w:t>）；</w:t>
      </w:r>
    </w:p>
    <w:p>
      <w:pPr>
        <w:pStyle w:val="ListParagraph"/>
        <w:numPr>
          <w:ilvl w:val="0"/>
          <w:numId w:val="35"/>
        </w:numPr>
        <w:tabs>
          <w:tab w:pos="705" w:val="left" w:leader="none"/>
        </w:tabs>
        <w:spacing w:line="240" w:lineRule="auto" w:before="43" w:after="0"/>
        <w:ind w:left="704" w:right="0" w:hanging="530"/>
        <w:jc w:val="left"/>
        <w:rPr>
          <w:b/>
          <w:sz w:val="21"/>
        </w:rPr>
      </w:pPr>
      <w:r>
        <w:rPr>
          <w:b/>
          <w:spacing w:val="-2"/>
          <w:sz w:val="21"/>
        </w:rPr>
        <w:t>嗜酸性筋膜炎；</w:t>
      </w:r>
    </w:p>
    <w:p>
      <w:pPr>
        <w:pStyle w:val="ListParagraph"/>
        <w:numPr>
          <w:ilvl w:val="0"/>
          <w:numId w:val="35"/>
        </w:numPr>
        <w:tabs>
          <w:tab w:pos="705" w:val="left" w:leader="none"/>
        </w:tabs>
        <w:spacing w:line="240" w:lineRule="auto" w:before="43" w:after="0"/>
        <w:ind w:left="704" w:right="0" w:hanging="530"/>
        <w:jc w:val="left"/>
        <w:rPr>
          <w:b/>
          <w:sz w:val="21"/>
        </w:rPr>
      </w:pPr>
      <w:r>
        <w:rPr>
          <w:b/>
          <w:sz w:val="21"/>
        </w:rPr>
        <w:t>CREST</w:t>
      </w:r>
      <w:r>
        <w:rPr>
          <w:b/>
          <w:spacing w:val="-5"/>
          <w:sz w:val="21"/>
        </w:rPr>
        <w:t> 综合征。</w:t>
      </w:r>
    </w:p>
    <w:p>
      <w:pPr>
        <w:spacing w:after="0" w:line="240"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1"/>
        <w:rPr>
          <w:b/>
          <w:sz w:val="22"/>
        </w:rPr>
      </w:pPr>
    </w:p>
    <w:p>
      <w:pPr>
        <w:pStyle w:val="ListParagraph"/>
        <w:numPr>
          <w:ilvl w:val="0"/>
          <w:numId w:val="19"/>
        </w:numPr>
        <w:tabs>
          <w:tab w:pos="1439" w:val="left" w:leader="none"/>
        </w:tabs>
        <w:spacing w:line="278" w:lineRule="auto" w:before="72" w:after="0"/>
        <w:ind w:left="3000" w:right="666" w:hanging="1880"/>
        <w:jc w:val="both"/>
        <w:rPr>
          <w:b/>
          <w:sz w:val="21"/>
        </w:rPr>
      </w:pPr>
      <w:r>
        <w:rPr>
          <w:sz w:val="21"/>
        </w:rPr>
        <w:t>中度昏迷</w:t>
      </w:r>
      <w:r>
        <w:rPr>
          <w:spacing w:val="532"/>
          <w:sz w:val="21"/>
        </w:rPr>
        <w:t> </w:t>
      </w:r>
      <w:r>
        <w:rPr>
          <w:spacing w:val="-1"/>
          <w:sz w:val="21"/>
        </w:rPr>
        <w:t>处于昏迷的状态，对外界刺激或内在需要毫无反应。昏迷必须持续至少 </w:t>
      </w:r>
      <w:r>
        <w:rPr>
          <w:sz w:val="21"/>
        </w:rPr>
        <w:t>48</w:t>
      </w:r>
      <w:r>
        <w:rPr>
          <w:spacing w:val="-13"/>
          <w:sz w:val="21"/>
        </w:rPr>
        <w:t> 个</w:t>
      </w:r>
      <w:r>
        <w:rPr>
          <w:spacing w:val="-2"/>
          <w:sz w:val="21"/>
        </w:rPr>
        <w:t>小时，并需要使用插管和机械性呼吸的方法来维持生命，但未达到重大疾病 “</w:t>
      </w:r>
      <w:r>
        <w:rPr>
          <w:b/>
          <w:spacing w:val="-2"/>
          <w:sz w:val="21"/>
        </w:rPr>
        <w:t>深度昏迷</w:t>
      </w:r>
      <w:r>
        <w:rPr>
          <w:spacing w:val="-2"/>
          <w:sz w:val="21"/>
        </w:rPr>
        <w:t>”或中症疾病“</w:t>
      </w:r>
      <w:r>
        <w:rPr>
          <w:b/>
          <w:spacing w:val="-2"/>
          <w:sz w:val="21"/>
        </w:rPr>
        <w:t>严重昏迷</w:t>
      </w:r>
      <w:r>
        <w:rPr>
          <w:spacing w:val="-2"/>
          <w:sz w:val="21"/>
        </w:rPr>
        <w:t>”的给付标准。昏迷的诊断及有关证明</w:t>
      </w:r>
      <w:r>
        <w:rPr>
          <w:spacing w:val="-2"/>
          <w:sz w:val="21"/>
        </w:rPr>
        <w:t>必须在本公司认可的医疗机构内由神经专科医生确定。</w:t>
      </w:r>
      <w:r>
        <w:rPr>
          <w:b/>
          <w:spacing w:val="-2"/>
          <w:sz w:val="21"/>
        </w:rPr>
        <w:t>酗酒或滥用药物直接</w:t>
      </w:r>
      <w:r>
        <w:rPr>
          <w:b/>
          <w:spacing w:val="-2"/>
          <w:sz w:val="21"/>
        </w:rPr>
        <w:t>引起的昏迷不在保障范围内。</w:t>
      </w:r>
    </w:p>
    <w:p>
      <w:pPr>
        <w:pStyle w:val="BodyText"/>
        <w:spacing w:before="10"/>
        <w:rPr>
          <w:b/>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风湿热导致的</w:t>
      </w:r>
      <w:r>
        <w:rPr>
          <w:spacing w:val="-2"/>
          <w:sz w:val="21"/>
        </w:rPr>
        <w:t>心脏瓣膜疾病</w:t>
      </w:r>
    </w:p>
    <w:p>
      <w:pPr>
        <w:pStyle w:val="BodyText"/>
        <w:spacing w:before="71"/>
        <w:ind w:left="175"/>
      </w:pPr>
      <w:r>
        <w:rPr/>
        <w:br w:type="column"/>
      </w:r>
      <w:r>
        <w:rPr>
          <w:spacing w:val="-3"/>
        </w:rPr>
        <w:t>风湿热导致的心脏瓣膜疾病诊断须同时符合下列要求：</w:t>
      </w:r>
    </w:p>
    <w:p>
      <w:pPr>
        <w:pStyle w:val="ListParagraph"/>
        <w:numPr>
          <w:ilvl w:val="0"/>
          <w:numId w:val="36"/>
        </w:numPr>
        <w:tabs>
          <w:tab w:pos="705" w:val="left" w:leader="none"/>
        </w:tabs>
        <w:spacing w:line="278" w:lineRule="auto" w:before="43" w:after="0"/>
        <w:ind w:left="700" w:right="666" w:hanging="526"/>
        <w:jc w:val="left"/>
        <w:rPr>
          <w:sz w:val="21"/>
        </w:rPr>
      </w:pPr>
      <w:r>
        <w:rPr>
          <w:spacing w:val="-2"/>
          <w:sz w:val="21"/>
        </w:rPr>
        <w:t>须在本公司认可的医疗机构内由儿科专科医生根据已修订的 </w:t>
      </w:r>
      <w:r>
        <w:rPr>
          <w:sz w:val="21"/>
        </w:rPr>
        <w:t>Jones</w:t>
      </w:r>
      <w:r>
        <w:rPr>
          <w:spacing w:val="-19"/>
          <w:sz w:val="21"/>
        </w:rPr>
        <w:t> 标准</w:t>
      </w:r>
      <w:r>
        <w:rPr>
          <w:spacing w:val="-2"/>
          <w:sz w:val="21"/>
        </w:rPr>
        <w:t>诊断证实罹患急性风湿热；</w:t>
      </w:r>
    </w:p>
    <w:p>
      <w:pPr>
        <w:pStyle w:val="ListParagraph"/>
        <w:numPr>
          <w:ilvl w:val="0"/>
          <w:numId w:val="36"/>
        </w:numPr>
        <w:tabs>
          <w:tab w:pos="702" w:val="left" w:leader="none"/>
        </w:tabs>
        <w:spacing w:line="278" w:lineRule="auto" w:before="0" w:after="0"/>
        <w:ind w:left="700" w:right="563" w:hanging="526"/>
        <w:jc w:val="left"/>
        <w:rPr>
          <w:sz w:val="21"/>
        </w:rPr>
      </w:pPr>
      <w:r>
        <w:rPr>
          <w:spacing w:val="-3"/>
          <w:w w:val="100"/>
          <w:sz w:val="21"/>
        </w:rPr>
        <w:t>因风湿热所导致一个或以上最少轻度心脏瓣膜关闭不全</w:t>
      </w:r>
      <w:r>
        <w:rPr>
          <w:w w:val="100"/>
          <w:sz w:val="21"/>
        </w:rPr>
        <w:t>（</w:t>
      </w:r>
      <w:r>
        <w:rPr>
          <w:spacing w:val="-3"/>
          <w:w w:val="100"/>
          <w:sz w:val="21"/>
        </w:rPr>
        <w:t>即返流部份达 20%或以上</w:t>
      </w:r>
      <w:r>
        <w:rPr>
          <w:spacing w:val="-53"/>
          <w:w w:val="100"/>
          <w:sz w:val="21"/>
        </w:rPr>
        <w:t>）</w:t>
      </w:r>
      <w:r>
        <w:rPr>
          <w:spacing w:val="-10"/>
          <w:w w:val="100"/>
          <w:sz w:val="21"/>
        </w:rPr>
        <w:t>或狭窄的心瓣损伤</w:t>
      </w:r>
      <w:r>
        <w:rPr>
          <w:w w:val="100"/>
          <w:sz w:val="21"/>
        </w:rPr>
        <w:t>（</w:t>
      </w:r>
      <w:r>
        <w:rPr>
          <w:spacing w:val="-3"/>
          <w:w w:val="100"/>
          <w:sz w:val="21"/>
        </w:rPr>
        <w:t>即心脏瓣面积为正常值的</w:t>
      </w:r>
      <w:r>
        <w:rPr>
          <w:spacing w:val="-53"/>
          <w:sz w:val="21"/>
        </w:rPr>
        <w:t> </w:t>
      </w:r>
      <w:r>
        <w:rPr>
          <w:w w:val="100"/>
          <w:sz w:val="21"/>
        </w:rPr>
        <w:t>30</w:t>
      </w:r>
      <w:r>
        <w:rPr>
          <w:spacing w:val="-3"/>
          <w:w w:val="100"/>
          <w:sz w:val="21"/>
        </w:rPr>
        <w:t>%或以下</w:t>
      </w:r>
      <w:r>
        <w:rPr>
          <w:spacing w:val="-56"/>
          <w:w w:val="100"/>
          <w:sz w:val="21"/>
        </w:rPr>
        <w:t>）</w:t>
      </w:r>
      <w:r>
        <w:rPr>
          <w:w w:val="100"/>
          <w:sz w:val="21"/>
        </w:rPr>
        <w:t>，</w:t>
      </w:r>
      <w:r>
        <w:rPr>
          <w:spacing w:val="3"/>
          <w:w w:val="100"/>
          <w:sz w:val="21"/>
        </w:rPr>
        <w:t>该诊断须在本公司认可的医疗机构内由心脏专科医生根据心瓣功能的</w:t>
      </w:r>
      <w:r>
        <w:rPr>
          <w:spacing w:val="-1"/>
          <w:w w:val="100"/>
          <w:sz w:val="21"/>
        </w:rPr>
        <w:t>定量检查证实。</w:t>
      </w:r>
    </w:p>
    <w:p>
      <w:pPr>
        <w:spacing w:after="0" w:line="278" w:lineRule="auto"/>
        <w:jc w:val="left"/>
        <w:rPr>
          <w:sz w:val="21"/>
        </w:rPr>
        <w:sectPr>
          <w:type w:val="continuous"/>
          <w:pgSz w:w="11910" w:h="16840"/>
          <w:pgMar w:header="0" w:footer="404" w:top="600" w:bottom="280" w:left="860" w:right="340"/>
          <w:cols w:num="2" w:equalWidth="0">
            <w:col w:w="2786" w:space="40"/>
            <w:col w:w="7884"/>
          </w:cols>
        </w:sectPr>
      </w:pPr>
    </w:p>
    <w:p>
      <w:pPr>
        <w:pStyle w:val="BodyText"/>
        <w:spacing w:before="10"/>
        <w:rPr>
          <w:sz w:val="18"/>
        </w:rPr>
      </w:pPr>
    </w:p>
    <w:p>
      <w:pPr>
        <w:spacing w:after="0"/>
        <w:rPr>
          <w:sz w:val="18"/>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骨质疏松骨折</w:t>
      </w:r>
      <w:r>
        <w:rPr>
          <w:spacing w:val="-2"/>
          <w:sz w:val="21"/>
        </w:rPr>
        <w:t>髋关节置换手术</w:t>
      </w:r>
    </w:p>
    <w:p>
      <w:pPr>
        <w:pStyle w:val="BodyText"/>
        <w:spacing w:line="278" w:lineRule="auto" w:before="71"/>
        <w:ind w:left="175" w:right="664"/>
        <w:jc w:val="both"/>
      </w:pPr>
      <w:r>
        <w:rPr/>
        <w:br w:type="column"/>
      </w:r>
      <w:r>
        <w:rPr>
          <w:spacing w:val="-2"/>
        </w:rPr>
        <w:t>骨质疏松是一种系统性疾病，其特征为骨质量减少，骨小梁数目减少、变细</w:t>
      </w:r>
      <w:r>
        <w:rPr>
          <w:spacing w:val="-2"/>
        </w:rPr>
        <w:t>和骨皮质变薄，导致骨脆性增加，骨折危险增加。根据世界卫生组织（WHO， </w:t>
      </w:r>
      <w:r>
        <w:rPr/>
        <w:t>World Health Organization）建议，骨密度（BMD）较正常成人骨密度平均</w:t>
      </w:r>
      <w:r>
        <w:rPr>
          <w:spacing w:val="-6"/>
        </w:rPr>
        <w:t>值降低 </w:t>
      </w:r>
      <w:r>
        <w:rPr/>
        <w:t>2.5</w:t>
      </w:r>
      <w:r>
        <w:rPr>
          <w:spacing w:val="-5"/>
        </w:rPr>
        <w:t> 个标准差为骨质疏松症。必须满足下列所有条件：</w:t>
      </w:r>
    </w:p>
    <w:p>
      <w:pPr>
        <w:pStyle w:val="ListParagraph"/>
        <w:numPr>
          <w:ilvl w:val="0"/>
          <w:numId w:val="37"/>
        </w:numPr>
        <w:tabs>
          <w:tab w:pos="705" w:val="left" w:leader="none"/>
        </w:tabs>
        <w:spacing w:line="269" w:lineRule="exact" w:before="0" w:after="0"/>
        <w:ind w:left="704" w:right="0" w:hanging="530"/>
        <w:jc w:val="left"/>
        <w:rPr>
          <w:sz w:val="21"/>
        </w:rPr>
      </w:pPr>
      <w:r>
        <w:rPr>
          <w:spacing w:val="-3"/>
          <w:sz w:val="21"/>
        </w:rPr>
        <w:t>依照诊断标准确诊为骨质疏松症；</w:t>
      </w:r>
    </w:p>
    <w:p>
      <w:pPr>
        <w:pStyle w:val="ListParagraph"/>
        <w:numPr>
          <w:ilvl w:val="0"/>
          <w:numId w:val="37"/>
        </w:numPr>
        <w:tabs>
          <w:tab w:pos="702" w:val="left" w:leader="none"/>
        </w:tabs>
        <w:spacing w:line="278" w:lineRule="auto" w:before="43" w:after="0"/>
        <w:ind w:left="700" w:right="666" w:hanging="526"/>
        <w:jc w:val="left"/>
        <w:rPr>
          <w:sz w:val="21"/>
        </w:rPr>
      </w:pPr>
      <w:r>
        <w:rPr>
          <w:spacing w:val="-2"/>
          <w:sz w:val="21"/>
        </w:rPr>
        <w:t>实际发生了股骨颈骨折并接受了髋关节置换手术。此手术须在本公司认</w:t>
      </w:r>
      <w:r>
        <w:rPr>
          <w:spacing w:val="-2"/>
          <w:sz w:val="21"/>
        </w:rPr>
        <w:t>可的医疗机构内由专科医生认为是医疗必需的情况下进行。</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ListParagraph"/>
        <w:numPr>
          <w:ilvl w:val="0"/>
          <w:numId w:val="19"/>
        </w:numPr>
        <w:tabs>
          <w:tab w:pos="1439" w:val="left" w:leader="none"/>
          <w:tab w:pos="3000" w:val="left" w:leader="none"/>
        </w:tabs>
        <w:spacing w:line="278" w:lineRule="auto" w:before="49" w:after="0"/>
        <w:ind w:left="3000" w:right="1715" w:hanging="1880"/>
        <w:jc w:val="left"/>
        <w:rPr>
          <w:b/>
          <w:sz w:val="21"/>
        </w:rPr>
      </w:pPr>
      <w:r>
        <w:rPr>
          <w:spacing w:val="-2"/>
          <w:sz w:val="21"/>
        </w:rPr>
        <w:t>多发肋骨骨折</w:t>
      </w:r>
      <w:r>
        <w:rPr>
          <w:sz w:val="21"/>
        </w:rPr>
        <w:tab/>
        <w:t>因一次意外伤害事故导致</w:t>
      </w:r>
      <w:r>
        <w:rPr>
          <w:sz w:val="21"/>
        </w:rPr>
        <w:t>胸部损伤同时大于等于</w:t>
      </w:r>
      <w:r>
        <w:rPr>
          <w:spacing w:val="-53"/>
          <w:sz w:val="21"/>
        </w:rPr>
        <w:t> </w:t>
      </w:r>
      <w:r>
        <w:rPr>
          <w:sz w:val="21"/>
        </w:rPr>
        <w:t>12</w:t>
      </w:r>
      <w:r>
        <w:rPr>
          <w:spacing w:val="-55"/>
          <w:sz w:val="21"/>
        </w:rPr>
        <w:t> </w:t>
      </w:r>
      <w:r>
        <w:rPr>
          <w:sz w:val="21"/>
        </w:rPr>
        <w:t>根肋骨骨折。</w:t>
      </w:r>
      <w:r>
        <w:rPr>
          <w:b/>
          <w:spacing w:val="-2"/>
          <w:sz w:val="21"/>
        </w:rPr>
        <w:t>陈</w:t>
      </w:r>
      <w:r>
        <w:rPr>
          <w:b/>
          <w:spacing w:val="-2"/>
          <w:sz w:val="21"/>
        </w:rPr>
        <w:t>旧</w:t>
      </w:r>
      <w:r>
        <w:rPr>
          <w:b/>
          <w:spacing w:val="-2"/>
          <w:sz w:val="21"/>
        </w:rPr>
        <w:t>性</w:t>
      </w:r>
      <w:r>
        <w:rPr>
          <w:b/>
          <w:spacing w:val="-2"/>
          <w:sz w:val="21"/>
        </w:rPr>
        <w:t>骨</w:t>
      </w:r>
      <w:r>
        <w:rPr>
          <w:b/>
          <w:spacing w:val="-2"/>
          <w:sz w:val="21"/>
        </w:rPr>
        <w:t>折</w:t>
      </w:r>
      <w:r>
        <w:rPr>
          <w:b/>
          <w:spacing w:val="-2"/>
          <w:sz w:val="21"/>
        </w:rPr>
        <w:t>不</w:t>
      </w:r>
      <w:r>
        <w:rPr>
          <w:b/>
          <w:spacing w:val="-2"/>
          <w:sz w:val="21"/>
        </w:rPr>
        <w:t>在</w:t>
      </w:r>
      <w:r>
        <w:rPr>
          <w:b/>
          <w:spacing w:val="-2"/>
          <w:sz w:val="21"/>
        </w:rPr>
        <w:t>保</w:t>
      </w:r>
      <w:r>
        <w:rPr>
          <w:b/>
          <w:spacing w:val="-2"/>
          <w:sz w:val="21"/>
        </w:rPr>
        <w:t>障范围</w:t>
      </w:r>
      <w:r>
        <w:rPr>
          <w:b/>
          <w:spacing w:val="-2"/>
          <w:sz w:val="21"/>
        </w:rPr>
        <w:t>之</w:t>
      </w:r>
      <w:r>
        <w:rPr>
          <w:b/>
          <w:spacing w:val="-2"/>
          <w:sz w:val="21"/>
        </w:rPr>
        <w:t>内</w:t>
      </w:r>
      <w:r>
        <w:rPr>
          <w:b/>
          <w:spacing w:val="-2"/>
          <w:sz w:val="21"/>
        </w:rPr>
        <w:t>。</w:t>
      </w:r>
    </w:p>
    <w:p>
      <w:pPr>
        <w:pStyle w:val="BodyText"/>
        <w:spacing w:before="10"/>
        <w:rPr>
          <w:b/>
          <w:sz w:val="18"/>
        </w:rPr>
      </w:pPr>
    </w:p>
    <w:p>
      <w:pPr>
        <w:spacing w:after="0"/>
        <w:rPr>
          <w:sz w:val="18"/>
        </w:rPr>
        <w:sectPr>
          <w:pgSz w:w="11910" w:h="16840"/>
          <w:pgMar w:header="0" w:footer="404" w:top="1400" w:bottom="600" w:left="860" w:right="340"/>
        </w:sectPr>
      </w:pPr>
    </w:p>
    <w:p>
      <w:pPr>
        <w:pStyle w:val="ListParagraph"/>
        <w:numPr>
          <w:ilvl w:val="0"/>
          <w:numId w:val="19"/>
        </w:numPr>
        <w:tabs>
          <w:tab w:pos="1439" w:val="left" w:leader="none"/>
        </w:tabs>
        <w:spacing w:line="278" w:lineRule="auto" w:before="71" w:after="0"/>
        <w:ind w:left="1120" w:right="0" w:firstLine="0"/>
        <w:jc w:val="left"/>
        <w:rPr>
          <w:sz w:val="21"/>
        </w:rPr>
      </w:pPr>
      <w:r>
        <w:rPr>
          <w:spacing w:val="-2"/>
          <w:sz w:val="21"/>
        </w:rPr>
        <w:t>糖尿病并发症</w:t>
      </w:r>
      <w:r>
        <w:rPr>
          <w:spacing w:val="-2"/>
          <w:sz w:val="21"/>
        </w:rPr>
        <w:t>导致的单足截除</w:t>
      </w:r>
    </w:p>
    <w:p>
      <w:pPr>
        <w:pStyle w:val="BodyText"/>
        <w:spacing w:line="278" w:lineRule="auto" w:before="71"/>
        <w:ind w:left="262" w:right="767"/>
        <w:jc w:val="both"/>
      </w:pPr>
      <w:r>
        <w:rPr/>
        <w:br w:type="column"/>
      </w:r>
      <w:r>
        <w:rPr>
          <w:spacing w:val="-2"/>
        </w:rPr>
        <w:t>指因糖尿病引起的神经及血管病变累及足部，为了维持生命已经实际进行由</w:t>
      </w:r>
      <w:r>
        <w:rPr>
          <w:spacing w:val="-2"/>
        </w:rPr>
        <w:t>足踝或者以上位置的单足截除手术。此手术必须在本公司认可的医疗机构内</w:t>
      </w:r>
      <w:r>
        <w:rPr>
          <w:spacing w:val="-2"/>
        </w:rPr>
        <w:t>由专科医生认为是医疗必需的情况下进行。</w:t>
      </w:r>
    </w:p>
    <w:p>
      <w:pPr>
        <w:pStyle w:val="Heading2"/>
        <w:spacing w:line="269" w:lineRule="exact"/>
        <w:ind w:left="262"/>
      </w:pPr>
      <w:r>
        <w:rPr>
          <w:spacing w:val="-3"/>
        </w:rPr>
        <w:t>切除多只脚趾或者因其他原因引起的截除术不在保障范围内。</w:t>
      </w:r>
    </w:p>
    <w:p>
      <w:pPr>
        <w:spacing w:line="278" w:lineRule="auto" w:before="43"/>
        <w:ind w:left="262" w:right="745" w:firstLine="0"/>
        <w:jc w:val="left"/>
        <w:rPr>
          <w:b/>
          <w:sz w:val="21"/>
        </w:rPr>
      </w:pPr>
      <w:r>
        <w:rPr>
          <w:b/>
          <w:spacing w:val="-2"/>
          <w:sz w:val="21"/>
        </w:rPr>
        <w:t>本公司对该种轻症疾病理赔后，不再对“糖尿病视网膜晚期增生性病变”承</w:t>
      </w:r>
      <w:r>
        <w:rPr>
          <w:b/>
          <w:spacing w:val="-2"/>
          <w:sz w:val="21"/>
        </w:rPr>
        <w:t>担给付轻症疾病保险金的责任。</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3"/>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582" w:val="left" w:leader="none"/>
        </w:tabs>
        <w:spacing w:line="278" w:lineRule="auto" w:before="71" w:after="0"/>
        <w:ind w:left="1120" w:right="0" w:firstLine="0"/>
        <w:jc w:val="both"/>
        <w:rPr>
          <w:sz w:val="21"/>
        </w:rPr>
      </w:pPr>
      <w:r>
        <w:rPr>
          <w:spacing w:val="27"/>
          <w:sz w:val="21"/>
        </w:rPr>
        <w:t>糖尿病视网</w:t>
      </w:r>
      <w:r>
        <w:rPr>
          <w:spacing w:val="26"/>
          <w:sz w:val="21"/>
        </w:rPr>
        <w:t>膜晚期增生性病</w:t>
      </w:r>
      <w:r>
        <w:rPr>
          <w:spacing w:val="-10"/>
          <w:sz w:val="21"/>
        </w:rPr>
        <w:t>变</w:t>
      </w:r>
    </w:p>
    <w:p>
      <w:pPr>
        <w:pStyle w:val="BodyText"/>
        <w:spacing w:before="71"/>
        <w:ind w:left="142"/>
      </w:pPr>
      <w:r>
        <w:rPr/>
        <w:br w:type="column"/>
      </w:r>
      <w:r>
        <w:rPr>
          <w:spacing w:val="-3"/>
        </w:rPr>
        <w:t>因糖尿病而并发视网膜晚期增生性血管病变，并必须符合下列所有理赔条件：</w:t>
      </w:r>
    </w:p>
    <w:p>
      <w:pPr>
        <w:pStyle w:val="ListParagraph"/>
        <w:numPr>
          <w:ilvl w:val="0"/>
          <w:numId w:val="38"/>
        </w:numPr>
        <w:tabs>
          <w:tab w:pos="672" w:val="left" w:leader="none"/>
        </w:tabs>
        <w:spacing w:line="240" w:lineRule="auto" w:before="43" w:after="0"/>
        <w:ind w:left="671" w:right="0" w:hanging="530"/>
        <w:jc w:val="left"/>
        <w:rPr>
          <w:sz w:val="21"/>
        </w:rPr>
      </w:pPr>
      <w:r>
        <w:rPr>
          <w:spacing w:val="-3"/>
          <w:sz w:val="21"/>
        </w:rPr>
        <w:t>确诊糖尿病视网膜病变时被保险人已患有糖尿病；</w:t>
      </w:r>
    </w:p>
    <w:p>
      <w:pPr>
        <w:pStyle w:val="ListParagraph"/>
        <w:numPr>
          <w:ilvl w:val="0"/>
          <w:numId w:val="38"/>
        </w:numPr>
        <w:tabs>
          <w:tab w:pos="672" w:val="left" w:leader="none"/>
        </w:tabs>
        <w:spacing w:line="278" w:lineRule="auto" w:before="43" w:after="0"/>
        <w:ind w:left="668" w:right="666" w:hanging="526"/>
        <w:jc w:val="left"/>
        <w:rPr>
          <w:sz w:val="21"/>
        </w:rPr>
      </w:pPr>
      <w:r>
        <w:rPr>
          <w:spacing w:val="-3"/>
          <w:sz w:val="21"/>
        </w:rPr>
        <w:t>双眼最佳矫正视力低于 </w:t>
      </w:r>
      <w:r>
        <w:rPr>
          <w:sz w:val="21"/>
        </w:rPr>
        <w:t>0.3（采用国际标准视力表，如果使用其他视力</w:t>
      </w:r>
      <w:r>
        <w:rPr>
          <w:spacing w:val="-2"/>
          <w:sz w:val="21"/>
        </w:rPr>
        <w:t>表应进行换算）；</w:t>
      </w:r>
    </w:p>
    <w:p>
      <w:pPr>
        <w:pStyle w:val="ListParagraph"/>
        <w:numPr>
          <w:ilvl w:val="0"/>
          <w:numId w:val="38"/>
        </w:numPr>
        <w:tabs>
          <w:tab w:pos="672" w:val="left" w:leader="none"/>
        </w:tabs>
        <w:spacing w:line="240" w:lineRule="auto" w:before="1" w:after="0"/>
        <w:ind w:left="671" w:right="0" w:hanging="530"/>
        <w:jc w:val="left"/>
        <w:rPr>
          <w:sz w:val="21"/>
        </w:rPr>
      </w:pPr>
      <w:r>
        <w:rPr>
          <w:spacing w:val="-3"/>
          <w:sz w:val="21"/>
        </w:rPr>
        <w:t>被保险人已确实进行了激光治疗等以改善视力障碍；</w:t>
      </w:r>
    </w:p>
    <w:p>
      <w:pPr>
        <w:pStyle w:val="ListParagraph"/>
        <w:numPr>
          <w:ilvl w:val="0"/>
          <w:numId w:val="38"/>
        </w:numPr>
        <w:tabs>
          <w:tab w:pos="670" w:val="left" w:leader="none"/>
        </w:tabs>
        <w:spacing w:line="278" w:lineRule="auto" w:before="43" w:after="0"/>
        <w:ind w:left="668" w:right="666" w:hanging="526"/>
        <w:jc w:val="left"/>
        <w:rPr>
          <w:sz w:val="21"/>
        </w:rPr>
      </w:pPr>
      <w:r>
        <w:rPr>
          <w:spacing w:val="-2"/>
          <w:sz w:val="21"/>
        </w:rPr>
        <w:t>糖尿病视网膜病变的诊断、视力障碍的程度及治疗的医疗必需性须在本</w:t>
      </w:r>
      <w:r>
        <w:rPr>
          <w:spacing w:val="-2"/>
          <w:sz w:val="21"/>
        </w:rPr>
        <w:t>公司认可的医疗机构内由专科医生确定。</w:t>
      </w:r>
    </w:p>
    <w:p>
      <w:pPr>
        <w:pStyle w:val="Heading2"/>
        <w:spacing w:line="278" w:lineRule="auto"/>
        <w:ind w:left="142" w:right="746"/>
      </w:pPr>
      <w:r>
        <w:rPr>
          <w:spacing w:val="-2"/>
        </w:rPr>
        <w:t>本公司对该种轻症疾病理赔后，不再对“糖尿病并发症导致的单足截除”承</w:t>
      </w:r>
      <w:r>
        <w:rPr>
          <w:spacing w:val="-2"/>
        </w:rPr>
        <w:t>担给付轻症疾病保险金的责任。</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0"/>
          <w:numId w:val="19"/>
        </w:numPr>
        <w:tabs>
          <w:tab w:pos="1452" w:val="left" w:leader="none"/>
        </w:tabs>
        <w:spacing w:line="278" w:lineRule="auto" w:before="71" w:after="0"/>
        <w:ind w:left="1120" w:right="0" w:firstLine="0"/>
        <w:jc w:val="left"/>
        <w:rPr>
          <w:sz w:val="21"/>
        </w:rPr>
      </w:pPr>
      <w:r>
        <w:rPr>
          <w:spacing w:val="8"/>
          <w:sz w:val="21"/>
        </w:rPr>
        <w:t>轻度坏死性筋</w:t>
      </w:r>
      <w:r>
        <w:rPr>
          <w:spacing w:val="-6"/>
          <w:sz w:val="21"/>
        </w:rPr>
        <w:t>膜炎</w:t>
      </w:r>
    </w:p>
    <w:p>
      <w:pPr>
        <w:pStyle w:val="BodyText"/>
        <w:spacing w:line="278" w:lineRule="auto" w:before="71"/>
        <w:ind w:left="175" w:right="669"/>
        <w:jc w:val="both"/>
      </w:pPr>
      <w:r>
        <w:rPr/>
        <w:br w:type="column"/>
      </w:r>
      <w:r>
        <w:rPr>
          <w:spacing w:val="-2"/>
        </w:rPr>
        <w:t>是一种由细菌侵入皮下组织和筋膜引起的急性坏死性软组织感染，可伴有毒</w:t>
      </w:r>
      <w:r>
        <w:rPr>
          <w:spacing w:val="-2"/>
        </w:rPr>
        <w:t>血症、败血症、中毒性休克、弥漫性血管内凝血及多器官衰竭，但未达到重</w:t>
      </w:r>
      <w:r>
        <w:rPr>
          <w:spacing w:val="-2"/>
        </w:rPr>
        <w:t>大疾病“重症急性坏死性筋膜炎”的给付标准。坏死性筋膜炎的诊断须同时</w:t>
      </w:r>
      <w:r>
        <w:rPr>
          <w:spacing w:val="-2"/>
        </w:rPr>
        <w:t>符合下列要求：</w:t>
      </w:r>
    </w:p>
    <w:p>
      <w:pPr>
        <w:pStyle w:val="ListParagraph"/>
        <w:numPr>
          <w:ilvl w:val="0"/>
          <w:numId w:val="39"/>
        </w:numPr>
        <w:tabs>
          <w:tab w:pos="705" w:val="left" w:leader="none"/>
        </w:tabs>
        <w:spacing w:line="269" w:lineRule="exact" w:before="0" w:after="0"/>
        <w:ind w:left="704" w:right="0" w:hanging="530"/>
        <w:jc w:val="left"/>
        <w:rPr>
          <w:sz w:val="21"/>
        </w:rPr>
      </w:pPr>
      <w:r>
        <w:rPr>
          <w:spacing w:val="-3"/>
          <w:sz w:val="21"/>
        </w:rPr>
        <w:t>符合坏死性筋膜炎的一般临床表现；</w:t>
      </w:r>
    </w:p>
    <w:p>
      <w:pPr>
        <w:pStyle w:val="ListParagraph"/>
        <w:numPr>
          <w:ilvl w:val="0"/>
          <w:numId w:val="39"/>
        </w:numPr>
        <w:tabs>
          <w:tab w:pos="705" w:val="left" w:leader="none"/>
        </w:tabs>
        <w:spacing w:line="240" w:lineRule="auto" w:before="44" w:after="0"/>
        <w:ind w:left="704" w:right="0" w:hanging="530"/>
        <w:jc w:val="left"/>
        <w:rPr>
          <w:sz w:val="21"/>
        </w:rPr>
      </w:pPr>
      <w:r>
        <w:rPr>
          <w:spacing w:val="-3"/>
          <w:sz w:val="21"/>
        </w:rPr>
        <w:t>细菌培养检出致病菌；</w:t>
      </w:r>
    </w:p>
    <w:p>
      <w:pPr>
        <w:pStyle w:val="ListParagraph"/>
        <w:numPr>
          <w:ilvl w:val="0"/>
          <w:numId w:val="39"/>
        </w:numPr>
        <w:tabs>
          <w:tab w:pos="705" w:val="left" w:leader="none"/>
        </w:tabs>
        <w:spacing w:line="240" w:lineRule="auto" w:before="43" w:after="0"/>
        <w:ind w:left="704" w:right="0" w:hanging="530"/>
        <w:jc w:val="left"/>
        <w:rPr>
          <w:sz w:val="21"/>
        </w:rPr>
      </w:pPr>
      <w:r>
        <w:rPr>
          <w:spacing w:val="-3"/>
          <w:sz w:val="21"/>
        </w:rPr>
        <w:t>出现广泛性肌肉及软组织坏死。</w:t>
      </w:r>
    </w:p>
    <w:p>
      <w:pPr>
        <w:spacing w:after="0" w:line="240"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4"/>
        <w:rPr>
          <w:sz w:val="15"/>
        </w:rPr>
      </w:pPr>
    </w:p>
    <w:p>
      <w:pPr>
        <w:spacing w:after="0"/>
        <w:rPr>
          <w:sz w:val="15"/>
        </w:rPr>
        <w:sectPr>
          <w:type w:val="continuous"/>
          <w:pgSz w:w="11910" w:h="16840"/>
          <w:pgMar w:header="0" w:footer="404" w:top="600" w:bottom="280" w:left="860" w:right="340"/>
        </w:sectPr>
      </w:pPr>
    </w:p>
    <w:p>
      <w:pPr>
        <w:pStyle w:val="ListParagraph"/>
        <w:numPr>
          <w:ilvl w:val="0"/>
          <w:numId w:val="19"/>
        </w:numPr>
        <w:tabs>
          <w:tab w:pos="1439" w:val="left" w:leader="none"/>
        </w:tabs>
        <w:spacing w:line="278" w:lineRule="auto" w:before="72" w:after="0"/>
        <w:ind w:left="1120" w:right="0" w:firstLine="0"/>
        <w:jc w:val="left"/>
        <w:rPr>
          <w:sz w:val="21"/>
        </w:rPr>
      </w:pPr>
      <w:r>
        <w:rPr>
          <w:spacing w:val="-2"/>
          <w:sz w:val="21"/>
        </w:rPr>
        <w:t>肺泡蛋白沉积</w:t>
      </w:r>
      <w:r>
        <w:rPr>
          <w:spacing w:val="-2"/>
          <w:sz w:val="21"/>
        </w:rPr>
        <w:t>症肺灌流治疗</w:t>
      </w:r>
    </w:p>
    <w:p>
      <w:pPr>
        <w:pStyle w:val="BodyText"/>
        <w:spacing w:line="278" w:lineRule="auto" w:before="72"/>
        <w:ind w:left="262" w:right="767"/>
        <w:jc w:val="both"/>
      </w:pPr>
      <w:r>
        <w:rPr/>
        <w:br w:type="column"/>
      </w:r>
      <w:r>
        <w:rPr>
          <w:spacing w:val="-2"/>
        </w:rPr>
        <w:t>因获得性或继发性原因导致双肺肺泡和细支气管腔内充满不可溶性富磷脂蛋</w:t>
      </w:r>
      <w:r>
        <w:rPr>
          <w:spacing w:val="-2"/>
        </w:rPr>
        <w:t>白的疾病，但未达到重大疾病“严重获得性或继发性肺泡蛋白质沉积症”的</w:t>
      </w:r>
      <w:r>
        <w:rPr>
          <w:spacing w:val="-2"/>
        </w:rPr>
        <w:t>给付标准。必须满足下列所有条件：</w:t>
      </w:r>
    </w:p>
    <w:p>
      <w:pPr>
        <w:pStyle w:val="ListParagraph"/>
        <w:numPr>
          <w:ilvl w:val="1"/>
          <w:numId w:val="39"/>
        </w:numPr>
        <w:tabs>
          <w:tab w:pos="792" w:val="left" w:leader="none"/>
        </w:tabs>
        <w:spacing w:line="269" w:lineRule="exact" w:before="0" w:after="0"/>
        <w:ind w:left="791" w:right="0" w:hanging="530"/>
        <w:jc w:val="left"/>
        <w:rPr>
          <w:sz w:val="21"/>
        </w:rPr>
      </w:pPr>
      <w:r>
        <w:rPr>
          <w:spacing w:val="-3"/>
          <w:sz w:val="21"/>
        </w:rPr>
        <w:t>经组织病理学检查明确诊断；</w:t>
      </w:r>
    </w:p>
    <w:p>
      <w:pPr>
        <w:pStyle w:val="ListParagraph"/>
        <w:numPr>
          <w:ilvl w:val="1"/>
          <w:numId w:val="39"/>
        </w:numPr>
        <w:tabs>
          <w:tab w:pos="792" w:val="left" w:leader="none"/>
        </w:tabs>
        <w:spacing w:line="240" w:lineRule="auto" w:before="43" w:after="0"/>
        <w:ind w:left="791" w:right="0" w:hanging="530"/>
        <w:jc w:val="left"/>
        <w:rPr>
          <w:sz w:val="21"/>
        </w:rPr>
      </w:pPr>
      <w:r>
        <w:rPr>
          <w:spacing w:val="-8"/>
          <w:sz w:val="21"/>
        </w:rPr>
        <w:t>实际接受了至少 </w:t>
      </w:r>
      <w:r>
        <w:rPr>
          <w:spacing w:val="-2"/>
          <w:sz w:val="21"/>
        </w:rPr>
        <w:t>2</w:t>
      </w:r>
      <w:r>
        <w:rPr>
          <w:spacing w:val="-10"/>
          <w:sz w:val="21"/>
        </w:rPr>
        <w:t> 次支气管肺泡灌洗治疗。</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7"/>
        <w:rPr>
          <w:sz w:val="15"/>
        </w:rPr>
      </w:pPr>
    </w:p>
    <w:p>
      <w:pPr>
        <w:pStyle w:val="Heading2"/>
        <w:numPr>
          <w:ilvl w:val="1"/>
          <w:numId w:val="40"/>
        </w:numPr>
        <w:tabs>
          <w:tab w:pos="1120" w:val="left" w:leader="none"/>
          <w:tab w:pos="1121" w:val="left" w:leader="none"/>
          <w:tab w:pos="3000" w:val="left" w:leader="none"/>
        </w:tabs>
        <w:spacing w:line="278" w:lineRule="auto" w:before="72" w:after="0"/>
        <w:ind w:left="3000" w:right="669" w:hanging="2733"/>
        <w:jc w:val="left"/>
      </w:pPr>
      <w:r>
        <w:rPr>
          <w:spacing w:val="-2"/>
        </w:rPr>
        <w:t>中</w:t>
      </w:r>
      <w:r>
        <w:rPr>
          <w:spacing w:val="-2"/>
        </w:rPr>
        <w:t>症</w:t>
      </w:r>
      <w:r>
        <w:rPr>
          <w:spacing w:val="-2"/>
        </w:rPr>
        <w:t>疾</w:t>
      </w:r>
      <w:r>
        <w:rPr>
          <w:spacing w:val="-2"/>
        </w:rPr>
        <w:t>病</w:t>
      </w:r>
      <w:r>
        <w:rPr>
          <w:spacing w:val="-2"/>
        </w:rPr>
        <w:t>定</w:t>
      </w:r>
      <w:r>
        <w:rPr>
          <w:spacing w:val="-2"/>
        </w:rPr>
        <w:t>义</w:t>
      </w:r>
      <w:r>
        <w:rPr/>
        <w:tab/>
      </w:r>
      <w:r>
        <w:rPr>
          <w:spacing w:val="-2"/>
        </w:rPr>
        <w:t>本</w:t>
      </w:r>
      <w:r>
        <w:rPr>
          <w:spacing w:val="-2"/>
        </w:rPr>
        <w:t>合</w:t>
      </w:r>
      <w:r>
        <w:rPr>
          <w:spacing w:val="-2"/>
        </w:rPr>
        <w:t>同</w:t>
      </w:r>
      <w:r>
        <w:rPr>
          <w:spacing w:val="-2"/>
        </w:rPr>
        <w:t>所</w:t>
      </w:r>
      <w:r>
        <w:rPr>
          <w:spacing w:val="-2"/>
        </w:rPr>
        <w:t>保</w:t>
      </w:r>
      <w:r>
        <w:rPr>
          <w:spacing w:val="-2"/>
        </w:rPr>
        <w:t>障</w:t>
      </w:r>
      <w:r>
        <w:rPr>
          <w:spacing w:val="-2"/>
        </w:rPr>
        <w:t>的</w:t>
      </w:r>
      <w:r>
        <w:rPr>
          <w:spacing w:val="-2"/>
        </w:rPr>
        <w:t>中</w:t>
      </w:r>
      <w:r>
        <w:rPr>
          <w:spacing w:val="-2"/>
        </w:rPr>
        <w:t>症疾病共</w:t>
      </w:r>
      <w:r>
        <w:rPr>
          <w:spacing w:val="-50"/>
        </w:rPr>
        <w:t> </w:t>
      </w:r>
      <w:r>
        <w:rPr>
          <w:spacing w:val="-2"/>
        </w:rPr>
        <w:t>25</w:t>
      </w:r>
      <w:r>
        <w:rPr>
          <w:spacing w:val="-51"/>
        </w:rPr>
        <w:t> </w:t>
      </w:r>
      <w:r>
        <w:rPr>
          <w:spacing w:val="-2"/>
        </w:rPr>
        <w:t>种，</w:t>
      </w:r>
      <w:r>
        <w:rPr>
          <w:spacing w:val="-2"/>
        </w:rPr>
        <w:t>是</w:t>
      </w:r>
      <w:r>
        <w:rPr>
          <w:spacing w:val="-2"/>
        </w:rPr>
        <w:t>指</w:t>
      </w:r>
      <w:r>
        <w:rPr>
          <w:spacing w:val="-2"/>
        </w:rPr>
        <w:t>被</w:t>
      </w:r>
      <w:r>
        <w:rPr>
          <w:spacing w:val="-2"/>
        </w:rPr>
        <w:t>保</w:t>
      </w:r>
      <w:r>
        <w:rPr>
          <w:spacing w:val="-2"/>
        </w:rPr>
        <w:t>险</w:t>
      </w:r>
      <w:r>
        <w:rPr>
          <w:spacing w:val="-2"/>
        </w:rPr>
        <w:t>人</w:t>
      </w:r>
      <w:r>
        <w:rPr>
          <w:spacing w:val="-2"/>
        </w:rPr>
        <w:t>在</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疗</w:t>
      </w:r>
      <w:r>
        <w:rPr>
          <w:spacing w:val="-2"/>
        </w:rPr>
        <w:t>机构</w:t>
      </w:r>
      <w:r>
        <w:rPr>
          <w:spacing w:val="-2"/>
        </w:rPr>
        <w:t>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w:t>
      </w:r>
      <w:r>
        <w:rPr>
          <w:spacing w:val="-2"/>
        </w:rPr>
        <w:t>、疾病</w:t>
      </w:r>
      <w:r>
        <w:rPr>
          <w:spacing w:val="-2"/>
        </w:rPr>
        <w:t>状</w:t>
      </w:r>
      <w:r>
        <w:rPr>
          <w:spacing w:val="-2"/>
        </w:rPr>
        <w:t>态</w:t>
      </w:r>
      <w:r>
        <w:rPr>
          <w:spacing w:val="-2"/>
        </w:rPr>
        <w:t>或</w:t>
      </w:r>
      <w:r>
        <w:rPr>
          <w:spacing w:val="-2"/>
        </w:rPr>
        <w:t>手</w:t>
      </w:r>
      <w:r>
        <w:rPr>
          <w:spacing w:val="-2"/>
        </w:rPr>
        <w:t>术</w:t>
      </w:r>
      <w:r>
        <w:rPr>
          <w:spacing w:val="-2"/>
        </w:rPr>
        <w:t>：</w:t>
      </w:r>
    </w:p>
    <w:p>
      <w:pPr>
        <w:pStyle w:val="BodyText"/>
        <w:spacing w:before="1"/>
        <w:rPr>
          <w:b/>
          <w:sz w:val="22"/>
        </w:rPr>
      </w:pPr>
    </w:p>
    <w:p>
      <w:pPr>
        <w:pStyle w:val="ListParagraph"/>
        <w:numPr>
          <w:ilvl w:val="2"/>
          <w:numId w:val="40"/>
        </w:numPr>
        <w:tabs>
          <w:tab w:pos="1333" w:val="left" w:leader="none"/>
          <w:tab w:pos="3000" w:val="left" w:leader="none"/>
        </w:tabs>
        <w:spacing w:line="240" w:lineRule="auto" w:before="0" w:after="0"/>
        <w:ind w:left="1332" w:right="0" w:hanging="213"/>
        <w:jc w:val="left"/>
        <w:rPr>
          <w:sz w:val="21"/>
        </w:rPr>
      </w:pPr>
      <w:r>
        <w:rPr>
          <w:spacing w:val="-2"/>
          <w:sz w:val="21"/>
        </w:rPr>
        <w:t>单侧肺脏</w:t>
      </w:r>
      <w:r>
        <w:rPr>
          <w:spacing w:val="-2"/>
          <w:sz w:val="21"/>
        </w:rPr>
        <w:t>切</w:t>
      </w:r>
      <w:r>
        <w:rPr>
          <w:spacing w:val="-10"/>
          <w:sz w:val="21"/>
        </w:rPr>
        <w:t>除</w:t>
      </w:r>
      <w:r>
        <w:rPr>
          <w:sz w:val="21"/>
        </w:rPr>
        <w:tab/>
      </w:r>
      <w:r>
        <w:rPr>
          <w:spacing w:val="-2"/>
          <w:sz w:val="21"/>
        </w:rPr>
        <w:t>因</w:t>
      </w:r>
      <w:r>
        <w:rPr>
          <w:spacing w:val="-2"/>
          <w:sz w:val="21"/>
        </w:rPr>
        <w:t>疾</w:t>
      </w:r>
      <w:r>
        <w:rPr>
          <w:spacing w:val="-2"/>
          <w:sz w:val="21"/>
        </w:rPr>
        <w:t>病或意外事故实际实</w:t>
      </w:r>
      <w:r>
        <w:rPr>
          <w:spacing w:val="-2"/>
          <w:sz w:val="21"/>
        </w:rPr>
        <w:t>施</w:t>
      </w:r>
      <w:r>
        <w:rPr>
          <w:spacing w:val="-2"/>
          <w:sz w:val="21"/>
        </w:rPr>
        <w:t>的</w:t>
      </w:r>
      <w:r>
        <w:rPr>
          <w:spacing w:val="-2"/>
          <w:sz w:val="21"/>
        </w:rPr>
        <w:t>一侧肺脏切除术</w:t>
      </w:r>
      <w:r>
        <w:rPr>
          <w:spacing w:val="-10"/>
          <w:sz w:val="21"/>
        </w:rPr>
        <w:t>。</w:t>
      </w:r>
    </w:p>
    <w:p>
      <w:pPr>
        <w:pStyle w:val="Heading2"/>
        <w:spacing w:line="278" w:lineRule="auto" w:before="43"/>
        <w:ind w:right="746"/>
      </w:pPr>
      <w:r>
        <w:rPr>
          <w:spacing w:val="-2"/>
        </w:rPr>
        <w:t>肺脏部分切除手术、肺脏捐献引起的手术、因恶性肿瘤进行的肺脏切除手术</w:t>
      </w:r>
      <w:r>
        <w:rPr>
          <w:spacing w:val="-2"/>
        </w:rPr>
        <w:t>不在保障范围内。</w:t>
      </w:r>
    </w:p>
    <w:p>
      <w:pPr>
        <w:pStyle w:val="BodyText"/>
        <w:spacing w:before="8"/>
        <w:rPr>
          <w:b/>
          <w:sz w:val="17"/>
        </w:rPr>
      </w:pPr>
    </w:p>
    <w:p>
      <w:pPr>
        <w:pStyle w:val="ListParagraph"/>
        <w:numPr>
          <w:ilvl w:val="2"/>
          <w:numId w:val="40"/>
        </w:numPr>
        <w:tabs>
          <w:tab w:pos="1333" w:val="left" w:leader="none"/>
          <w:tab w:pos="3000" w:val="left" w:leader="none"/>
        </w:tabs>
        <w:spacing w:line="278" w:lineRule="auto" w:before="0" w:after="0"/>
        <w:ind w:left="3000" w:right="666" w:hanging="1880"/>
        <w:jc w:val="left"/>
        <w:rPr>
          <w:b/>
          <w:sz w:val="21"/>
        </w:rPr>
      </w:pPr>
      <w:r>
        <w:rPr>
          <w:spacing w:val="-4"/>
          <w:sz w:val="21"/>
        </w:rPr>
        <w:t>严重</w:t>
      </w:r>
      <w:r>
        <w:rPr>
          <w:spacing w:val="-4"/>
          <w:sz w:val="21"/>
        </w:rPr>
        <w:t>昏</w:t>
      </w:r>
      <w:r>
        <w:rPr>
          <w:spacing w:val="-4"/>
          <w:sz w:val="21"/>
        </w:rPr>
        <w:t>迷</w:t>
      </w:r>
      <w:r>
        <w:rPr>
          <w:sz w:val="21"/>
        </w:rPr>
        <w:tab/>
        <w:t>处于昏迷的状态，对外界</w:t>
      </w:r>
      <w:r>
        <w:rPr>
          <w:sz w:val="21"/>
        </w:rPr>
        <w:t>刺激或内在需要毫无反应。昏迷必须持续至少</w:t>
      </w:r>
      <w:r>
        <w:rPr>
          <w:spacing w:val="-53"/>
          <w:sz w:val="21"/>
        </w:rPr>
        <w:t> </w:t>
      </w:r>
      <w:r>
        <w:rPr>
          <w:sz w:val="21"/>
        </w:rPr>
        <w:t>72</w:t>
      </w:r>
      <w:r>
        <w:rPr>
          <w:spacing w:val="-53"/>
          <w:sz w:val="21"/>
        </w:rPr>
        <w:t> </w:t>
      </w:r>
      <w:r>
        <w:rPr>
          <w:sz w:val="21"/>
        </w:rPr>
        <w:t>个</w:t>
      </w:r>
      <w:r>
        <w:rPr>
          <w:spacing w:val="-2"/>
          <w:sz w:val="21"/>
        </w:rPr>
        <w:t>小</w:t>
      </w:r>
      <w:r>
        <w:rPr>
          <w:spacing w:val="-2"/>
          <w:sz w:val="21"/>
        </w:rPr>
        <w:t>时</w:t>
      </w:r>
      <w:r>
        <w:rPr>
          <w:spacing w:val="-2"/>
          <w:sz w:val="21"/>
        </w:rPr>
        <w:t>，并需要使用插管和</w:t>
      </w:r>
      <w:r>
        <w:rPr>
          <w:spacing w:val="-2"/>
          <w:sz w:val="21"/>
        </w:rPr>
        <w:t>机</w:t>
      </w:r>
      <w:r>
        <w:rPr>
          <w:spacing w:val="-2"/>
          <w:sz w:val="21"/>
        </w:rPr>
        <w:t>械</w:t>
      </w:r>
      <w:r>
        <w:rPr>
          <w:spacing w:val="-2"/>
          <w:sz w:val="21"/>
        </w:rPr>
        <w:t>性呼吸的方法来维持生命</w:t>
      </w:r>
      <w:r>
        <w:rPr>
          <w:b/>
          <w:spacing w:val="-2"/>
          <w:sz w:val="21"/>
        </w:rPr>
        <w:t>，</w:t>
      </w:r>
      <w:r>
        <w:rPr>
          <w:spacing w:val="-2"/>
          <w:sz w:val="21"/>
        </w:rPr>
        <w:t>但未达到重大</w:t>
      </w:r>
      <w:r>
        <w:rPr>
          <w:spacing w:val="-2"/>
          <w:sz w:val="21"/>
        </w:rPr>
        <w:t>疾</w:t>
      </w:r>
      <w:r>
        <w:rPr>
          <w:spacing w:val="-2"/>
          <w:sz w:val="21"/>
        </w:rPr>
        <w:t>病</w:t>
      </w:r>
      <w:r>
        <w:rPr>
          <w:spacing w:val="-2"/>
          <w:sz w:val="21"/>
        </w:rPr>
        <w:t> “</w:t>
      </w:r>
      <w:r>
        <w:rPr>
          <w:b/>
          <w:spacing w:val="-2"/>
          <w:sz w:val="21"/>
        </w:rPr>
        <w:t>深</w:t>
      </w:r>
      <w:r>
        <w:rPr>
          <w:b/>
          <w:spacing w:val="-2"/>
          <w:sz w:val="21"/>
        </w:rPr>
        <w:t>度</w:t>
      </w:r>
      <w:r>
        <w:rPr>
          <w:b/>
          <w:spacing w:val="-2"/>
          <w:sz w:val="21"/>
        </w:rPr>
        <w:t>昏</w:t>
      </w:r>
      <w:r>
        <w:rPr>
          <w:b/>
          <w:spacing w:val="-2"/>
          <w:sz w:val="21"/>
        </w:rPr>
        <w:t>迷</w:t>
      </w:r>
      <w:r>
        <w:rPr>
          <w:spacing w:val="-2"/>
          <w:sz w:val="21"/>
        </w:rPr>
        <w:t>”的给付标准</w:t>
      </w:r>
      <w:r>
        <w:rPr>
          <w:spacing w:val="-2"/>
          <w:sz w:val="21"/>
        </w:rPr>
        <w:t>。</w:t>
      </w:r>
      <w:r>
        <w:rPr>
          <w:spacing w:val="-2"/>
          <w:sz w:val="21"/>
        </w:rPr>
        <w:t>昏</w:t>
      </w:r>
      <w:r>
        <w:rPr>
          <w:spacing w:val="-2"/>
          <w:sz w:val="21"/>
        </w:rPr>
        <w:t>迷的诊断及有关证明</w:t>
      </w:r>
      <w:r>
        <w:rPr>
          <w:spacing w:val="-2"/>
          <w:sz w:val="21"/>
        </w:rPr>
        <w:t>必</w:t>
      </w:r>
      <w:r>
        <w:rPr>
          <w:spacing w:val="-2"/>
          <w:sz w:val="21"/>
        </w:rPr>
        <w:t>须</w:t>
      </w:r>
      <w:r>
        <w:rPr>
          <w:spacing w:val="-2"/>
          <w:sz w:val="21"/>
        </w:rPr>
        <w:t>在本公司认可的</w:t>
      </w:r>
      <w:r>
        <w:rPr>
          <w:spacing w:val="-2"/>
          <w:sz w:val="21"/>
        </w:rPr>
        <w:t>医</w:t>
      </w:r>
      <w:r>
        <w:rPr>
          <w:spacing w:val="-2"/>
          <w:sz w:val="21"/>
        </w:rPr>
        <w:t>疗</w:t>
      </w:r>
      <w:r>
        <w:rPr>
          <w:spacing w:val="-2"/>
          <w:sz w:val="21"/>
        </w:rPr>
        <w:t>机</w:t>
      </w:r>
      <w:r>
        <w:rPr>
          <w:spacing w:val="-2"/>
          <w:sz w:val="21"/>
        </w:rPr>
        <w:t>构</w:t>
      </w:r>
      <w:r>
        <w:rPr>
          <w:spacing w:val="-2"/>
          <w:sz w:val="21"/>
        </w:rPr>
        <w:t>内由神经专科医生确定。</w:t>
      </w:r>
      <w:r>
        <w:rPr>
          <w:b/>
          <w:spacing w:val="-2"/>
          <w:sz w:val="21"/>
        </w:rPr>
        <w:t>酗</w:t>
      </w:r>
      <w:r>
        <w:rPr>
          <w:b/>
          <w:spacing w:val="-2"/>
          <w:sz w:val="21"/>
        </w:rPr>
        <w:t>酒</w:t>
      </w:r>
      <w:r>
        <w:rPr>
          <w:b/>
          <w:spacing w:val="-2"/>
          <w:sz w:val="21"/>
        </w:rPr>
        <w:t>或</w:t>
      </w:r>
      <w:r>
        <w:rPr>
          <w:b/>
          <w:spacing w:val="-2"/>
          <w:sz w:val="21"/>
        </w:rPr>
        <w:t>滥</w:t>
      </w:r>
      <w:r>
        <w:rPr>
          <w:b/>
          <w:spacing w:val="-2"/>
          <w:sz w:val="21"/>
        </w:rPr>
        <w:t>用</w:t>
      </w:r>
      <w:r>
        <w:rPr>
          <w:b/>
          <w:spacing w:val="-2"/>
          <w:sz w:val="21"/>
        </w:rPr>
        <w:t>药</w:t>
      </w:r>
      <w:r>
        <w:rPr>
          <w:b/>
          <w:spacing w:val="-2"/>
          <w:sz w:val="21"/>
        </w:rPr>
        <w:t>物</w:t>
      </w:r>
      <w:r>
        <w:rPr>
          <w:b/>
          <w:spacing w:val="-2"/>
          <w:sz w:val="21"/>
        </w:rPr>
        <w:t>直</w:t>
      </w:r>
      <w:r>
        <w:rPr>
          <w:b/>
          <w:spacing w:val="-2"/>
          <w:sz w:val="21"/>
        </w:rPr>
        <w:t>接</w:t>
      </w:r>
      <w:r>
        <w:rPr>
          <w:b/>
          <w:spacing w:val="-2"/>
          <w:sz w:val="21"/>
        </w:rPr>
        <w:t>引</w:t>
      </w:r>
      <w:r>
        <w:rPr>
          <w:b/>
          <w:spacing w:val="-2"/>
          <w:sz w:val="21"/>
        </w:rPr>
        <w:t>起</w:t>
      </w:r>
      <w:r>
        <w:rPr>
          <w:b/>
          <w:spacing w:val="-2"/>
          <w:sz w:val="21"/>
        </w:rPr>
        <w:t>的</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6"/>
          <w:sz w:val="21"/>
        </w:rPr>
        <w:t>内</w:t>
      </w:r>
      <w:r>
        <w:rPr>
          <w:b/>
          <w:spacing w:val="-6"/>
          <w:sz w:val="21"/>
        </w:rPr>
        <w:t>。</w:t>
      </w:r>
    </w:p>
    <w:p>
      <w:pPr>
        <w:spacing w:after="0" w:line="278" w:lineRule="auto"/>
        <w:jc w:val="left"/>
        <w:rPr>
          <w:sz w:val="21"/>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57" w:after="0"/>
        <w:ind w:left="1120" w:right="0" w:firstLine="0"/>
        <w:jc w:val="left"/>
        <w:rPr>
          <w:sz w:val="21"/>
        </w:rPr>
      </w:pPr>
      <w:r>
        <w:rPr>
          <w:spacing w:val="-2"/>
          <w:sz w:val="21"/>
        </w:rPr>
        <w:t>中度严重克罗</w:t>
      </w:r>
      <w:r>
        <w:rPr>
          <w:spacing w:val="-6"/>
          <w:sz w:val="21"/>
        </w:rPr>
        <w:t>恩病</w:t>
      </w:r>
    </w:p>
    <w:p>
      <w:pPr>
        <w:pStyle w:val="BodyText"/>
        <w:spacing w:line="278" w:lineRule="auto" w:before="57"/>
        <w:ind w:left="366" w:right="666"/>
      </w:pPr>
      <w:r>
        <w:rPr/>
        <w:br w:type="column"/>
      </w:r>
      <w:r>
        <w:rPr>
          <w:spacing w:val="-2"/>
        </w:rPr>
        <w:t>指一种慢性肉芽肿性肠炎，具有特征性的克罗恩病（Crohn</w:t>
      </w:r>
      <w:r>
        <w:rPr>
          <w:spacing w:val="-29"/>
        </w:rPr>
        <w:t> 病</w:t>
      </w:r>
      <w:r>
        <w:rPr>
          <w:spacing w:val="-2"/>
        </w:rPr>
        <w:t>）病理组织学变</w:t>
      </w:r>
      <w:r>
        <w:rPr>
          <w:spacing w:val="-2"/>
        </w:rPr>
        <w:t>化。须根据组织病理学特点诊断，同时经专科医生以类固醇或免疫抑制剂连</w:t>
      </w:r>
      <w:r>
        <w:rPr>
          <w:spacing w:val="-4"/>
        </w:rPr>
        <w:t>续治疗至少 </w:t>
      </w:r>
      <w:r>
        <w:rPr/>
        <w:t>180</w:t>
      </w:r>
      <w:r>
        <w:rPr>
          <w:spacing w:val="-5"/>
        </w:rPr>
        <w:t> 天，但未达到重大疾病“</w:t>
      </w:r>
      <w:r>
        <w:rPr>
          <w:b/>
        </w:rPr>
        <w:t>严重克罗恩病</w:t>
      </w:r>
      <w:r>
        <w:rPr/>
        <w:t>”的给付标准，方符</w:t>
      </w:r>
      <w:r>
        <w:rPr>
          <w:spacing w:val="-2"/>
        </w:rPr>
        <w:t>合理赔条件。</w:t>
      </w:r>
    </w:p>
    <w:p>
      <w:pPr>
        <w:spacing w:after="0" w:line="278" w:lineRule="auto"/>
        <w:sectPr>
          <w:pgSz w:w="11910" w:h="16840"/>
          <w:pgMar w:header="0" w:footer="404" w:top="1080" w:bottom="600" w:left="860" w:right="340"/>
          <w:cols w:num="2" w:equalWidth="0">
            <w:col w:w="2595" w:space="40"/>
            <w:col w:w="8075"/>
          </w:cols>
        </w:sectPr>
      </w:pPr>
    </w:p>
    <w:p>
      <w:pPr>
        <w:pStyle w:val="BodyText"/>
        <w:spacing w:before="2"/>
        <w:rPr>
          <w:sz w:val="12"/>
        </w:rPr>
      </w:pPr>
    </w:p>
    <w:p>
      <w:pPr>
        <w:pStyle w:val="ListParagraph"/>
        <w:numPr>
          <w:ilvl w:val="2"/>
          <w:numId w:val="40"/>
        </w:numPr>
        <w:tabs>
          <w:tab w:pos="1333" w:val="left" w:leader="none"/>
          <w:tab w:pos="3000" w:val="left" w:leader="none"/>
        </w:tabs>
        <w:spacing w:line="278" w:lineRule="auto" w:before="72" w:after="0"/>
        <w:ind w:left="3000" w:right="668" w:hanging="1880"/>
        <w:jc w:val="left"/>
        <w:rPr>
          <w:sz w:val="21"/>
        </w:rPr>
      </w:pPr>
      <w:r>
        <w:rPr>
          <w:spacing w:val="-2"/>
          <w:sz w:val="21"/>
        </w:rPr>
        <w:t>中度脑损伤</w:t>
      </w:r>
      <w:r>
        <w:rPr>
          <w:sz w:val="21"/>
        </w:rPr>
        <w:tab/>
      </w:r>
      <w:r>
        <w:rPr>
          <w:spacing w:val="-2"/>
          <w:sz w:val="21"/>
        </w:rPr>
        <w:t>指</w:t>
      </w:r>
      <w:r>
        <w:rPr>
          <w:spacing w:val="-2"/>
          <w:sz w:val="21"/>
        </w:rPr>
        <w:t>因</w:t>
      </w:r>
      <w:r>
        <w:rPr>
          <w:spacing w:val="-2"/>
          <w:sz w:val="21"/>
        </w:rPr>
        <w:t>头部遭受机械性外力，</w:t>
      </w:r>
      <w:r>
        <w:rPr>
          <w:spacing w:val="-2"/>
          <w:sz w:val="21"/>
        </w:rPr>
        <w:t>引</w:t>
      </w:r>
      <w:r>
        <w:rPr>
          <w:spacing w:val="-2"/>
          <w:sz w:val="21"/>
        </w:rPr>
        <w:t>起脑重要部位损伤，</w:t>
      </w:r>
      <w:r>
        <w:rPr>
          <w:spacing w:val="-2"/>
          <w:sz w:val="21"/>
        </w:rPr>
        <w:t>导</w:t>
      </w:r>
      <w:r>
        <w:rPr>
          <w:spacing w:val="-2"/>
          <w:sz w:val="21"/>
        </w:rPr>
        <w:t>致</w:t>
      </w:r>
      <w:r>
        <w:rPr>
          <w:spacing w:val="-2"/>
          <w:sz w:val="21"/>
        </w:rPr>
        <w:t>神经系统永久性</w:t>
      </w:r>
      <w:r>
        <w:rPr>
          <w:spacing w:val="-2"/>
          <w:sz w:val="21"/>
        </w:rPr>
        <w:t>的</w:t>
      </w:r>
      <w:r>
        <w:rPr>
          <w:spacing w:val="-2"/>
          <w:sz w:val="21"/>
        </w:rPr>
        <w:t>功</w:t>
      </w:r>
      <w:r>
        <w:rPr>
          <w:spacing w:val="-2"/>
          <w:sz w:val="21"/>
        </w:rPr>
        <w:t>能</w:t>
      </w:r>
      <w:r>
        <w:rPr>
          <w:spacing w:val="-2"/>
          <w:sz w:val="21"/>
        </w:rPr>
        <w:t>障</w:t>
      </w:r>
      <w:r>
        <w:rPr>
          <w:spacing w:val="-2"/>
          <w:sz w:val="21"/>
        </w:rPr>
        <w:t>碍。须由头颅断层扫描（CT）、核磁共振检查（MRI）或正电子发射断层</w:t>
      </w:r>
      <w:r>
        <w:rPr>
          <w:sz w:val="21"/>
        </w:rPr>
        <w:t>扫描（PET）等影像学检查</w:t>
      </w:r>
      <w:r>
        <w:rPr>
          <w:sz w:val="21"/>
        </w:rPr>
        <w:t>证实。神经系统永久性的</w:t>
      </w:r>
      <w:r>
        <w:rPr>
          <w:sz w:val="21"/>
        </w:rPr>
        <w:t>功能障碍，指脑损伤</w:t>
      </w:r>
      <w:r>
        <w:rPr>
          <w:spacing w:val="-42"/>
          <w:sz w:val="21"/>
        </w:rPr>
        <w:t> </w:t>
      </w:r>
      <w:r>
        <w:rPr>
          <w:sz w:val="21"/>
        </w:rPr>
        <w:t>180</w:t>
      </w:r>
      <w:r>
        <w:rPr>
          <w:spacing w:val="-2"/>
          <w:sz w:val="21"/>
        </w:rPr>
        <w:t>天</w:t>
      </w:r>
      <w:r>
        <w:rPr>
          <w:spacing w:val="-2"/>
          <w:sz w:val="21"/>
        </w:rPr>
        <w:t>后</w:t>
      </w:r>
      <w:r>
        <w:rPr>
          <w:spacing w:val="-2"/>
          <w:sz w:val="21"/>
        </w:rPr>
        <w:t>，仍完全丧失自主生</w:t>
      </w:r>
      <w:r>
        <w:rPr>
          <w:spacing w:val="-2"/>
          <w:sz w:val="21"/>
        </w:rPr>
        <w:t>活</w:t>
      </w:r>
      <w:r>
        <w:rPr>
          <w:spacing w:val="-2"/>
          <w:sz w:val="21"/>
        </w:rPr>
        <w:t>能</w:t>
      </w:r>
      <w:r>
        <w:rPr>
          <w:spacing w:val="-2"/>
          <w:sz w:val="21"/>
        </w:rPr>
        <w:t>力，无法独立完成六</w:t>
      </w:r>
      <w:r>
        <w:rPr>
          <w:spacing w:val="-2"/>
          <w:sz w:val="21"/>
        </w:rPr>
        <w:t>项</w:t>
      </w:r>
      <w:r>
        <w:rPr>
          <w:spacing w:val="-2"/>
          <w:sz w:val="21"/>
        </w:rPr>
        <w:t>基</w:t>
      </w:r>
      <w:r>
        <w:rPr>
          <w:spacing w:val="-2"/>
          <w:sz w:val="21"/>
        </w:rPr>
        <w:t>本日常生活活动</w:t>
      </w:r>
      <w:r>
        <w:rPr>
          <w:spacing w:val="-2"/>
          <w:sz w:val="21"/>
        </w:rPr>
        <w:t>中</w:t>
      </w:r>
      <w:r>
        <w:rPr>
          <w:spacing w:val="-2"/>
          <w:sz w:val="21"/>
        </w:rPr>
        <w:t>的</w:t>
      </w:r>
      <w:r>
        <w:rPr>
          <w:spacing w:val="-2"/>
          <w:sz w:val="21"/>
        </w:rPr>
        <w:t>两</w:t>
      </w:r>
      <w:r>
        <w:rPr>
          <w:spacing w:val="-2"/>
          <w:sz w:val="21"/>
        </w:rPr>
        <w:t>项</w:t>
      </w:r>
      <w:r>
        <w:rPr>
          <w:spacing w:val="-2"/>
          <w:sz w:val="21"/>
        </w:rPr>
        <w:t>或两项以上。</w:t>
      </w: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72" w:after="0"/>
        <w:ind w:left="1120" w:right="0" w:firstLine="0"/>
        <w:jc w:val="left"/>
        <w:rPr>
          <w:sz w:val="21"/>
        </w:rPr>
      </w:pPr>
      <w:r>
        <w:rPr>
          <w:spacing w:val="-2"/>
          <w:sz w:val="21"/>
        </w:rPr>
        <w:t>中度运动神经</w:t>
      </w:r>
      <w:r>
        <w:rPr>
          <w:spacing w:val="-4"/>
          <w:sz w:val="21"/>
        </w:rPr>
        <w:t>元疾病</w:t>
      </w:r>
    </w:p>
    <w:p>
      <w:pPr>
        <w:pStyle w:val="BodyText"/>
        <w:spacing w:line="278" w:lineRule="auto" w:before="72"/>
        <w:ind w:left="366"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进行性延髓麻痹症、原发性侧索硬化症、肌萎缩性侧索硬化症，须经相关专</w:t>
      </w:r>
      <w:r>
        <w:rPr>
          <w:spacing w:val="40"/>
        </w:rPr>
        <w:t> </w:t>
      </w:r>
      <w:r>
        <w:rPr>
          <w:spacing w:val="-2"/>
        </w:rPr>
        <w:t>科医生确诊，满足完全丧失自主生活能力，无法独立完成六项基本日常生活</w:t>
      </w:r>
      <w:r>
        <w:rPr>
          <w:spacing w:val="40"/>
        </w:rPr>
        <w:t> </w:t>
      </w:r>
      <w:r>
        <w:rPr>
          <w:spacing w:val="-2"/>
        </w:rPr>
        <w:t>活动中的两项或两项以上的条件。</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72" w:after="0"/>
        <w:ind w:left="1120" w:right="0" w:firstLine="0"/>
        <w:jc w:val="both"/>
        <w:rPr>
          <w:sz w:val="21"/>
        </w:rPr>
      </w:pPr>
      <w:r>
        <w:rPr>
          <w:spacing w:val="-2"/>
          <w:sz w:val="21"/>
        </w:rPr>
        <w:t>中度脑炎后遗</w:t>
      </w:r>
      <w:r>
        <w:rPr>
          <w:spacing w:val="-2"/>
          <w:sz w:val="21"/>
        </w:rPr>
        <w:t>症或中度脑膜炎</w:t>
      </w:r>
      <w:r>
        <w:rPr>
          <w:spacing w:val="-4"/>
          <w:sz w:val="21"/>
        </w:rPr>
        <w:t>后遗症</w:t>
      </w:r>
    </w:p>
    <w:p>
      <w:pPr>
        <w:pStyle w:val="BodyText"/>
        <w:spacing w:line="278" w:lineRule="auto" w:before="72"/>
        <w:ind w:left="365" w:right="767"/>
        <w:jc w:val="both"/>
      </w:pPr>
      <w:r>
        <w:rPr/>
        <w:br w:type="column"/>
      </w:r>
      <w:r>
        <w:rPr>
          <w:spacing w:val="-2"/>
        </w:rPr>
        <w:t>指因患脑炎或脑膜炎导致的神经系统的永久功能障碍。神经系统永久性的功</w:t>
      </w:r>
      <w:r>
        <w:rPr>
          <w:w w:val="95"/>
        </w:rPr>
        <w:t>能</w:t>
      </w:r>
      <w:r>
        <w:rPr>
          <w:w w:val="95"/>
        </w:rPr>
        <w:t>障</w:t>
      </w:r>
      <w:r>
        <w:rPr>
          <w:w w:val="95"/>
        </w:rPr>
        <w:t>碍，指疾</w:t>
      </w:r>
      <w:r>
        <w:rPr>
          <w:w w:val="95"/>
        </w:rPr>
        <w:t>病</w:t>
      </w:r>
      <w:r>
        <w:rPr>
          <w:w w:val="95"/>
        </w:rPr>
        <w:t>确</w:t>
      </w:r>
      <w:r>
        <w:rPr>
          <w:w w:val="95"/>
        </w:rPr>
        <w:t>诊</w:t>
      </w:r>
      <w:r>
        <w:rPr>
          <w:spacing w:val="35"/>
        </w:rPr>
        <w:t> </w:t>
      </w:r>
      <w:r>
        <w:rPr>
          <w:w w:val="95"/>
        </w:rPr>
        <w:t>180</w:t>
      </w:r>
      <w:r>
        <w:rPr>
          <w:spacing w:val="29"/>
        </w:rPr>
        <w:t> </w:t>
      </w:r>
      <w:r>
        <w:rPr>
          <w:w w:val="95"/>
        </w:rPr>
        <w:t>天</w:t>
      </w:r>
      <w:r>
        <w:rPr>
          <w:w w:val="95"/>
        </w:rPr>
        <w:t>后</w:t>
      </w:r>
      <w:r>
        <w:rPr>
          <w:w w:val="95"/>
        </w:rPr>
        <w:t>，仍存在自主生活能</w:t>
      </w:r>
      <w:r>
        <w:rPr>
          <w:w w:val="95"/>
        </w:rPr>
        <w:t>力</w:t>
      </w:r>
      <w:r>
        <w:rPr>
          <w:w w:val="95"/>
        </w:rPr>
        <w:t>完</w:t>
      </w:r>
      <w:r>
        <w:rPr>
          <w:w w:val="95"/>
        </w:rPr>
        <w:t>全丧失，无法独</w:t>
      </w:r>
      <w:r>
        <w:rPr>
          <w:w w:val="95"/>
        </w:rPr>
        <w:t>立</w:t>
      </w:r>
      <w:r>
        <w:rPr>
          <w:w w:val="95"/>
        </w:rPr>
        <w:t>完</w:t>
      </w:r>
      <w:r>
        <w:rPr>
          <w:spacing w:val="-2"/>
        </w:rPr>
        <w:t>成六项基本日常生活活动中的两项或两项以上。</w:t>
      </w:r>
    </w:p>
    <w:p>
      <w:pPr>
        <w:pStyle w:val="Heading2"/>
        <w:spacing w:line="278" w:lineRule="auto"/>
        <w:ind w:left="365" w:right="669"/>
      </w:pPr>
      <w:r>
        <w:rPr>
          <w:spacing w:val="-2"/>
        </w:rPr>
        <w:t>由人类免疫缺陷病毒（HIV）感染导致的中度脑炎后遗症或中度脑膜炎后遗症</w:t>
      </w:r>
      <w:r>
        <w:rPr>
          <w:spacing w:val="-2"/>
        </w:rPr>
        <w:t>不在保障范围内。</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71" w:after="0"/>
        <w:ind w:left="1120" w:right="0" w:firstLine="0"/>
        <w:jc w:val="left"/>
        <w:rPr>
          <w:sz w:val="21"/>
        </w:rPr>
      </w:pPr>
      <w:r>
        <w:rPr>
          <w:spacing w:val="-2"/>
          <w:sz w:val="21"/>
        </w:rPr>
        <w:t>中度原发性帕</w:t>
      </w:r>
      <w:r>
        <w:rPr>
          <w:spacing w:val="-4"/>
          <w:sz w:val="21"/>
        </w:rPr>
        <w:t>金森病</w:t>
      </w:r>
    </w:p>
    <w:p>
      <w:pPr>
        <w:pStyle w:val="BodyText"/>
        <w:spacing w:line="278" w:lineRule="auto" w:before="71"/>
        <w:ind w:left="366" w:right="767"/>
      </w:pPr>
      <w:r>
        <w:rPr/>
        <w:br w:type="column"/>
      </w:r>
      <w:r>
        <w:rPr>
          <w:spacing w:val="-2"/>
        </w:rPr>
        <w:t>是一种中枢神经系统的退行性疾病，临床表现为震颤麻痹、共济失调等。必</w:t>
      </w:r>
      <w:r>
        <w:rPr>
          <w:spacing w:val="-2"/>
        </w:rPr>
        <w:t>须满足下列全部条件：</w:t>
      </w:r>
    </w:p>
    <w:p>
      <w:pPr>
        <w:pStyle w:val="ListParagraph"/>
        <w:numPr>
          <w:ilvl w:val="0"/>
          <w:numId w:val="41"/>
        </w:numPr>
        <w:tabs>
          <w:tab w:pos="896" w:val="left" w:leader="none"/>
        </w:tabs>
        <w:spacing w:line="269" w:lineRule="exact" w:before="0" w:after="0"/>
        <w:ind w:left="895" w:right="0" w:hanging="530"/>
        <w:jc w:val="left"/>
        <w:rPr>
          <w:sz w:val="21"/>
        </w:rPr>
      </w:pPr>
      <w:r>
        <w:rPr>
          <w:spacing w:val="-3"/>
          <w:sz w:val="21"/>
        </w:rPr>
        <w:t>药物治疗无法控制病情；</w:t>
      </w:r>
    </w:p>
    <w:p>
      <w:pPr>
        <w:pStyle w:val="ListParagraph"/>
        <w:numPr>
          <w:ilvl w:val="0"/>
          <w:numId w:val="41"/>
        </w:numPr>
        <w:tabs>
          <w:tab w:pos="893" w:val="left" w:leader="none"/>
        </w:tabs>
        <w:spacing w:line="278" w:lineRule="auto" w:before="43" w:after="0"/>
        <w:ind w:left="891" w:right="666" w:hanging="526"/>
        <w:jc w:val="left"/>
        <w:rPr>
          <w:sz w:val="21"/>
        </w:rPr>
      </w:pPr>
      <w:r>
        <w:rPr>
          <w:spacing w:val="-2"/>
          <w:sz w:val="21"/>
        </w:rPr>
        <w:t>自主生活能力完全丧失，无法独立完成六项基本日常生活活动中的两项</w:t>
      </w:r>
      <w:r>
        <w:rPr>
          <w:spacing w:val="-2"/>
          <w:sz w:val="21"/>
        </w:rPr>
        <w:t>或两项以上。</w:t>
      </w:r>
    </w:p>
    <w:p>
      <w:pPr>
        <w:pStyle w:val="Heading2"/>
        <w:spacing w:before="1"/>
        <w:ind w:left="366"/>
      </w:pPr>
      <w:r>
        <w:rPr>
          <w:spacing w:val="-3"/>
        </w:rPr>
        <w:t>继发性帕金森综合征、帕金森叠加综合征不在保障范围内。</w:t>
      </w:r>
    </w:p>
    <w:p>
      <w:pPr>
        <w:spacing w:after="0"/>
        <w:sectPr>
          <w:type w:val="continuous"/>
          <w:pgSz w:w="11910" w:h="16840"/>
          <w:pgMar w:header="0" w:footer="404" w:top="600" w:bottom="280" w:left="860" w:right="340"/>
          <w:cols w:num="2" w:equalWidth="0">
            <w:col w:w="2595" w:space="40"/>
            <w:col w:w="8075"/>
          </w:cols>
        </w:sectPr>
      </w:pPr>
    </w:p>
    <w:p>
      <w:pPr>
        <w:pStyle w:val="BodyText"/>
        <w:spacing w:before="4"/>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72" w:after="0"/>
        <w:ind w:left="1120" w:right="0" w:firstLine="0"/>
        <w:jc w:val="left"/>
        <w:rPr>
          <w:sz w:val="21"/>
        </w:rPr>
      </w:pPr>
      <w:r>
        <w:rPr>
          <w:spacing w:val="-2"/>
          <w:sz w:val="21"/>
        </w:rPr>
        <w:t>中度阿尔茨海</w:t>
      </w:r>
      <w:r>
        <w:rPr>
          <w:spacing w:val="-6"/>
          <w:sz w:val="21"/>
        </w:rPr>
        <w:t>默病</w:t>
      </w:r>
    </w:p>
    <w:p>
      <w:pPr>
        <w:pStyle w:val="BodyText"/>
        <w:spacing w:line="278" w:lineRule="auto" w:before="72"/>
        <w:ind w:left="366" w:right="666"/>
        <w:rPr>
          <w:b/>
        </w:rPr>
      </w:pPr>
      <w:r>
        <w:rPr/>
        <w:br w:type="column"/>
      </w:r>
      <w:r>
        <w:rPr>
          <w:spacing w:val="-2"/>
        </w:rPr>
        <w:t>指因大脑进行性、不可逆性改变导致智能严重衰退或丧失，临床表现为明显</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断层扫描（PET）等影像学检查证实，并经相关专科医生确诊，且自主生活能</w:t>
      </w:r>
      <w:r>
        <w:rPr>
          <w:spacing w:val="-2"/>
        </w:rPr>
        <w:t>力严重丧失，无法独立完成六项基本日常生活活动中的两项或两项以上。</w:t>
      </w:r>
      <w:r>
        <w:rPr>
          <w:spacing w:val="80"/>
          <w:w w:val="150"/>
        </w:rPr>
        <w:t> </w:t>
      </w:r>
      <w:r>
        <w:rPr>
          <w:b/>
          <w:spacing w:val="-2"/>
        </w:rPr>
        <w:t>阿尔茨海默病之外的其他类型痴呆不在保障范围内。</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33" w:val="left" w:leader="none"/>
        </w:tabs>
        <w:spacing w:line="278" w:lineRule="auto" w:before="72" w:after="0"/>
        <w:ind w:left="1120" w:right="0" w:firstLine="0"/>
        <w:jc w:val="left"/>
        <w:rPr>
          <w:sz w:val="21"/>
        </w:rPr>
      </w:pPr>
      <w:r>
        <w:rPr>
          <w:spacing w:val="-2"/>
          <w:sz w:val="21"/>
        </w:rPr>
        <w:t>可逆性再生障</w:t>
      </w:r>
      <w:r>
        <w:rPr>
          <w:spacing w:val="-4"/>
          <w:sz w:val="21"/>
        </w:rPr>
        <w:t>碍性贫血</w:t>
      </w:r>
    </w:p>
    <w:p>
      <w:pPr>
        <w:pStyle w:val="BodyText"/>
        <w:spacing w:line="278" w:lineRule="auto" w:before="72"/>
        <w:ind w:left="366" w:right="767"/>
      </w:pPr>
      <w:r>
        <w:rPr/>
        <w:br w:type="column"/>
      </w:r>
      <w:r>
        <w:rPr>
          <w:spacing w:val="-2"/>
        </w:rPr>
        <w:t>指因急性可逆性的骨髓造血功能衰竭而导致贫血、中性粒细胞减少和血小板</w:t>
      </w:r>
      <w:r>
        <w:rPr>
          <w:spacing w:val="-2"/>
        </w:rPr>
        <w:t>减少，必须由血液科医生诊断，且病历资料显示接受了下列任一治疗：</w:t>
      </w:r>
    </w:p>
    <w:p>
      <w:pPr>
        <w:pStyle w:val="ListParagraph"/>
        <w:numPr>
          <w:ilvl w:val="0"/>
          <w:numId w:val="42"/>
        </w:numPr>
        <w:tabs>
          <w:tab w:pos="896" w:val="left" w:leader="none"/>
        </w:tabs>
        <w:spacing w:line="269" w:lineRule="exact" w:before="0" w:after="0"/>
        <w:ind w:left="895" w:right="0" w:hanging="530"/>
        <w:jc w:val="left"/>
        <w:rPr>
          <w:sz w:val="21"/>
        </w:rPr>
      </w:pPr>
      <w:r>
        <w:rPr>
          <w:spacing w:val="-3"/>
          <w:sz w:val="21"/>
        </w:rPr>
        <w:t>骨髓刺激疗法至少一个月；</w:t>
      </w:r>
    </w:p>
    <w:p>
      <w:pPr>
        <w:pStyle w:val="ListParagraph"/>
        <w:numPr>
          <w:ilvl w:val="0"/>
          <w:numId w:val="42"/>
        </w:numPr>
        <w:tabs>
          <w:tab w:pos="896" w:val="left" w:leader="none"/>
        </w:tabs>
        <w:spacing w:line="240" w:lineRule="auto" w:before="43" w:after="0"/>
        <w:ind w:left="895" w:right="0" w:hanging="530"/>
        <w:jc w:val="left"/>
        <w:rPr>
          <w:sz w:val="21"/>
        </w:rPr>
      </w:pPr>
      <w:r>
        <w:rPr>
          <w:spacing w:val="-3"/>
          <w:sz w:val="21"/>
        </w:rPr>
        <w:t>免疫抑制剂治疗至少一个月；</w:t>
      </w:r>
    </w:p>
    <w:p>
      <w:pPr>
        <w:pStyle w:val="ListParagraph"/>
        <w:numPr>
          <w:ilvl w:val="0"/>
          <w:numId w:val="42"/>
        </w:numPr>
        <w:tabs>
          <w:tab w:pos="896" w:val="left" w:leader="none"/>
        </w:tabs>
        <w:spacing w:line="240" w:lineRule="auto" w:before="43" w:after="0"/>
        <w:ind w:left="895" w:right="0" w:hanging="530"/>
        <w:jc w:val="left"/>
        <w:rPr>
          <w:sz w:val="21"/>
        </w:rPr>
      </w:pPr>
      <w:r>
        <w:rPr>
          <w:spacing w:val="-4"/>
          <w:sz w:val="21"/>
        </w:rPr>
        <w:t>接受了骨髓移植。</w:t>
      </w:r>
    </w:p>
    <w:p>
      <w:pPr>
        <w:spacing w:after="0" w:line="240"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7"/>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中度严重溃疡</w:t>
      </w:r>
      <w:r>
        <w:rPr>
          <w:spacing w:val="-4"/>
          <w:sz w:val="21"/>
        </w:rPr>
        <w:t>性结肠炎</w:t>
      </w:r>
    </w:p>
    <w:p>
      <w:pPr>
        <w:pStyle w:val="BodyText"/>
        <w:spacing w:before="72"/>
        <w:ind w:left="262"/>
      </w:pPr>
      <w:r>
        <w:rPr/>
        <w:br w:type="column"/>
      </w:r>
      <w:r>
        <w:rPr>
          <w:spacing w:val="-3"/>
        </w:rPr>
        <w:t>指伴有致命性电解质紊乱的急性暴发性溃疡性结肠炎。须满足下列所有条件：</w:t>
      </w:r>
    </w:p>
    <w:p>
      <w:pPr>
        <w:pStyle w:val="ListParagraph"/>
        <w:numPr>
          <w:ilvl w:val="0"/>
          <w:numId w:val="43"/>
        </w:numPr>
        <w:tabs>
          <w:tab w:pos="790" w:val="left" w:leader="none"/>
        </w:tabs>
        <w:spacing w:line="278" w:lineRule="auto" w:before="43" w:after="0"/>
        <w:ind w:left="788" w:right="666" w:hanging="526"/>
        <w:jc w:val="left"/>
        <w:rPr>
          <w:sz w:val="21"/>
        </w:rPr>
      </w:pPr>
      <w:r>
        <w:rPr>
          <w:spacing w:val="-2"/>
          <w:sz w:val="21"/>
        </w:rPr>
        <w:t>须经由内窥镜检查证实该疾病侵犯全部结肠及直肠，并经病理学组织切</w:t>
      </w:r>
      <w:r>
        <w:rPr>
          <w:spacing w:val="-2"/>
          <w:sz w:val="21"/>
        </w:rPr>
        <w:t>片检查证实为溃疡性结肠炎；</w:t>
      </w:r>
    </w:p>
    <w:p>
      <w:pPr>
        <w:pStyle w:val="ListParagraph"/>
        <w:numPr>
          <w:ilvl w:val="0"/>
          <w:numId w:val="43"/>
        </w:numPr>
        <w:tabs>
          <w:tab w:pos="792" w:val="left" w:leader="none"/>
        </w:tabs>
        <w:spacing w:line="269" w:lineRule="exact" w:before="0" w:after="0"/>
        <w:ind w:left="791" w:right="0" w:hanging="530"/>
        <w:jc w:val="left"/>
        <w:rPr>
          <w:sz w:val="21"/>
        </w:rPr>
      </w:pPr>
      <w:r>
        <w:rPr>
          <w:spacing w:val="-5"/>
          <w:sz w:val="21"/>
        </w:rPr>
        <w:t>经专科医生以类固醇或免疫抑制剂连续治疗 </w:t>
      </w:r>
      <w:r>
        <w:rPr>
          <w:spacing w:val="-2"/>
          <w:sz w:val="21"/>
        </w:rPr>
        <w:t>6</w:t>
      </w:r>
      <w:r>
        <w:rPr>
          <w:spacing w:val="-16"/>
          <w:sz w:val="21"/>
        </w:rPr>
        <w:t> 个月。</w:t>
      </w:r>
    </w:p>
    <w:p>
      <w:pPr>
        <w:pStyle w:val="BodyText"/>
        <w:spacing w:line="278" w:lineRule="auto" w:before="43"/>
        <w:ind w:left="262" w:right="767"/>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4" w:top="600" w:bottom="280" w:left="860" w:right="340"/>
          <w:cols w:num="2" w:equalWidth="0">
            <w:col w:w="2698" w:space="40"/>
            <w:col w:w="7972"/>
          </w:cols>
        </w:sectPr>
      </w:pPr>
    </w:p>
    <w:p>
      <w:pPr>
        <w:pStyle w:val="ListParagraph"/>
        <w:numPr>
          <w:ilvl w:val="2"/>
          <w:numId w:val="40"/>
        </w:numPr>
        <w:tabs>
          <w:tab w:pos="1439" w:val="left" w:leader="none"/>
        </w:tabs>
        <w:spacing w:line="278" w:lineRule="auto" w:before="45" w:after="0"/>
        <w:ind w:left="1120" w:right="0" w:firstLine="0"/>
        <w:jc w:val="left"/>
        <w:rPr>
          <w:sz w:val="21"/>
        </w:rPr>
      </w:pPr>
      <w:r>
        <w:rPr>
          <w:spacing w:val="-2"/>
          <w:sz w:val="21"/>
        </w:rPr>
        <w:t>中度肌营养不</w:t>
      </w:r>
      <w:r>
        <w:rPr>
          <w:spacing w:val="-6"/>
          <w:sz w:val="21"/>
        </w:rPr>
        <w:t>良症</w:t>
      </w:r>
    </w:p>
    <w:p>
      <w:pPr>
        <w:pStyle w:val="BodyText"/>
        <w:spacing w:line="278" w:lineRule="auto" w:before="45"/>
        <w:ind w:left="262"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44"/>
        </w:numPr>
        <w:tabs>
          <w:tab w:pos="790" w:val="left" w:leader="none"/>
        </w:tabs>
        <w:spacing w:line="240" w:lineRule="auto" w:before="0" w:after="0"/>
        <w:ind w:left="789" w:right="0" w:hanging="528"/>
        <w:jc w:val="left"/>
        <w:rPr>
          <w:sz w:val="21"/>
        </w:rPr>
      </w:pPr>
      <w:r>
        <w:rPr>
          <w:spacing w:val="-6"/>
          <w:sz w:val="21"/>
        </w:rPr>
        <w:t>肌肉组织活检结果满足肌营养不良症的肌肉细胞变性、坏死等阳性改变；</w:t>
      </w:r>
    </w:p>
    <w:p>
      <w:pPr>
        <w:pStyle w:val="ListParagraph"/>
        <w:numPr>
          <w:ilvl w:val="0"/>
          <w:numId w:val="44"/>
        </w:numPr>
        <w:tabs>
          <w:tab w:pos="790" w:val="left" w:leader="none"/>
        </w:tabs>
        <w:spacing w:line="278" w:lineRule="auto" w:before="43" w:after="0"/>
        <w:ind w:left="788" w:right="666" w:hanging="526"/>
        <w:jc w:val="left"/>
        <w:rPr>
          <w:sz w:val="21"/>
        </w:rPr>
      </w:pPr>
      <w:r>
        <w:rPr>
          <w:spacing w:val="-2"/>
          <w:sz w:val="21"/>
        </w:rPr>
        <w:t>自主生活能力严重丧失，无法独立完成六项基本日常生活活动中的两项</w:t>
      </w:r>
      <w:r>
        <w:rPr>
          <w:spacing w:val="-2"/>
          <w:sz w:val="21"/>
        </w:rPr>
        <w:t>或两项以上。</w:t>
      </w:r>
    </w:p>
    <w:p>
      <w:pPr>
        <w:pStyle w:val="Heading2"/>
        <w:spacing w:line="278" w:lineRule="auto"/>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pgSz w:w="11910" w:h="16840"/>
          <w:pgMar w:header="0" w:footer="404" w:top="1320" w:bottom="600" w:left="860" w:right="340"/>
          <w:cols w:num="2" w:equalWidth="0">
            <w:col w:w="2698" w:space="40"/>
            <w:col w:w="797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中度严重脊髓</w:t>
      </w:r>
      <w:r>
        <w:rPr>
          <w:spacing w:val="-4"/>
          <w:sz w:val="21"/>
        </w:rPr>
        <w:t>灰质炎</w:t>
      </w:r>
    </w:p>
    <w:p>
      <w:pPr>
        <w:spacing w:line="278" w:lineRule="auto" w:before="72"/>
        <w:ind w:left="262" w:right="751" w:firstLine="0"/>
        <w:jc w:val="both"/>
        <w:rPr>
          <w:b/>
          <w:sz w:val="21"/>
        </w:rPr>
      </w:pPr>
      <w:r>
        <w:rPr/>
        <w:br w:type="column"/>
      </w:r>
      <w:r>
        <w:rPr>
          <w:spacing w:val="-2"/>
          <w:sz w:val="21"/>
        </w:rPr>
        <w:t>脊髓灰质炎是由于脊髓灰质炎病毒感染所致的瘫痪性疾病，临床表现为运动</w:t>
      </w:r>
      <w:r>
        <w:rPr>
          <w:spacing w:val="-2"/>
          <w:sz w:val="21"/>
        </w:rPr>
        <w:t>功能损害或呼吸无力。脊髓灰质炎必须在本公司认可的医疗机构内由专科医</w:t>
      </w:r>
      <w:r>
        <w:rPr>
          <w:spacing w:val="-2"/>
          <w:sz w:val="21"/>
        </w:rPr>
        <w:t>生明确诊断。</w:t>
      </w:r>
      <w:r>
        <w:rPr>
          <w:b/>
          <w:spacing w:val="-2"/>
          <w:sz w:val="21"/>
        </w:rPr>
        <w:t>本合同仅对脊髓灰质炎造成的神经系统功能损害导致被保险人</w:t>
      </w:r>
      <w:r>
        <w:rPr>
          <w:b/>
          <w:spacing w:val="-2"/>
          <w:sz w:val="21"/>
        </w:rPr>
        <w:t>一肢或一肢以上肢体随意运动功能永久完全丧失的情况予以理赔。</w:t>
      </w:r>
    </w:p>
    <w:p>
      <w:pPr>
        <w:pStyle w:val="BodyText"/>
        <w:spacing w:line="269" w:lineRule="exact"/>
        <w:ind w:left="262"/>
        <w:jc w:val="both"/>
      </w:pPr>
      <w:r>
        <w:rPr>
          <w:spacing w:val="-4"/>
        </w:rPr>
        <w:t>肢体随意运动功能永久完全丧失，指疾病确诊 </w:t>
      </w:r>
      <w:r>
        <w:rPr>
          <w:spacing w:val="-2"/>
        </w:rPr>
        <w:t>180</w:t>
      </w:r>
      <w:r>
        <w:rPr>
          <w:spacing w:val="-10"/>
        </w:rPr>
        <w:t> 天后，该肢三大关节中的</w:t>
      </w:r>
    </w:p>
    <w:p>
      <w:pPr>
        <w:pStyle w:val="BodyText"/>
        <w:spacing w:line="278" w:lineRule="auto" w:before="43"/>
        <w:ind w:left="262" w:right="767"/>
        <w:jc w:val="both"/>
      </w:pPr>
      <w:r>
        <w:rPr>
          <w:spacing w:val="-4"/>
        </w:rPr>
        <w:t>至少一个大关节仍然完全僵硬，或肢体肌力在 </w:t>
      </w:r>
      <w:r>
        <w:rPr>
          <w:spacing w:val="-2"/>
        </w:rPr>
        <w:t>3</w:t>
      </w:r>
      <w:r>
        <w:rPr>
          <w:spacing w:val="-13"/>
        </w:rPr>
        <w:t> 级</w:t>
      </w:r>
      <w:r>
        <w:rPr>
          <w:spacing w:val="-2"/>
        </w:rPr>
        <w:t>（含）以下不能随意识活</w:t>
      </w:r>
      <w:r>
        <w:rPr>
          <w:spacing w:val="-6"/>
        </w:rPr>
        <w:t>动。</w:t>
      </w:r>
    </w:p>
    <w:p>
      <w:pPr>
        <w:spacing w:after="0" w:line="278" w:lineRule="auto"/>
        <w:jc w:val="both"/>
        <w:sectPr>
          <w:type w:val="continuous"/>
          <w:pgSz w:w="11910" w:h="16840"/>
          <w:pgMar w:header="0" w:footer="404" w:top="600" w:bottom="280" w:left="860" w:right="340"/>
          <w:cols w:num="2" w:equalWidth="0">
            <w:col w:w="2698" w:space="40"/>
            <w:col w:w="7972"/>
          </w:cols>
        </w:sectPr>
      </w:pPr>
    </w:p>
    <w:p>
      <w:pPr>
        <w:pStyle w:val="BodyText"/>
        <w:rPr>
          <w:sz w:val="12"/>
        </w:rPr>
      </w:pPr>
    </w:p>
    <w:p>
      <w:pPr>
        <w:pStyle w:val="ListParagraph"/>
        <w:numPr>
          <w:ilvl w:val="2"/>
          <w:numId w:val="40"/>
        </w:numPr>
        <w:tabs>
          <w:tab w:pos="1439" w:val="left" w:leader="none"/>
          <w:tab w:pos="3000" w:val="left" w:leader="none"/>
        </w:tabs>
        <w:spacing w:line="278" w:lineRule="auto" w:before="72" w:after="0"/>
        <w:ind w:left="3000" w:right="767" w:hanging="1880"/>
        <w:jc w:val="left"/>
        <w:rPr>
          <w:sz w:val="21"/>
        </w:rPr>
      </w:pPr>
      <w:r>
        <w:rPr>
          <w:spacing w:val="-2"/>
          <w:sz w:val="21"/>
        </w:rPr>
        <w:t>出血性登革热</w:t>
      </w:r>
      <w:r>
        <w:rPr>
          <w:sz w:val="21"/>
        </w:rPr>
        <w:tab/>
      </w:r>
      <w:r>
        <w:rPr>
          <w:spacing w:val="-2"/>
          <w:sz w:val="21"/>
        </w:rPr>
        <w:t>出</w:t>
      </w:r>
      <w:r>
        <w:rPr>
          <w:spacing w:val="-2"/>
          <w:sz w:val="21"/>
        </w:rPr>
        <w:t>血</w:t>
      </w:r>
      <w:r>
        <w:rPr>
          <w:spacing w:val="-2"/>
          <w:sz w:val="21"/>
        </w:rPr>
        <w:t>性登革热须出现全部</w:t>
      </w:r>
      <w:r>
        <w:rPr>
          <w:spacing w:val="-2"/>
          <w:sz w:val="21"/>
        </w:rPr>
        <w:t>四</w:t>
      </w:r>
      <w:r>
        <w:rPr>
          <w:spacing w:val="-2"/>
          <w:sz w:val="21"/>
        </w:rPr>
        <w:t>种</w:t>
      </w:r>
      <w:r>
        <w:rPr>
          <w:spacing w:val="-2"/>
          <w:sz w:val="21"/>
        </w:rPr>
        <w:t>症状，包括发高烧、</w:t>
      </w:r>
      <w:r>
        <w:rPr>
          <w:spacing w:val="-2"/>
          <w:sz w:val="21"/>
        </w:rPr>
        <w:t>出</w:t>
      </w:r>
      <w:r>
        <w:rPr>
          <w:spacing w:val="-2"/>
          <w:sz w:val="21"/>
        </w:rPr>
        <w:t>血</w:t>
      </w:r>
      <w:r>
        <w:rPr>
          <w:spacing w:val="-2"/>
          <w:sz w:val="21"/>
        </w:rPr>
        <w:t>现象、肝肿大和</w:t>
      </w:r>
      <w:r>
        <w:rPr>
          <w:spacing w:val="-2"/>
          <w:sz w:val="21"/>
        </w:rPr>
        <w:t>循</w:t>
      </w:r>
      <w:r>
        <w:rPr>
          <w:spacing w:val="-2"/>
          <w:sz w:val="21"/>
        </w:rPr>
        <w:t>环</w:t>
      </w:r>
      <w:r>
        <w:rPr>
          <w:sz w:val="21"/>
        </w:rPr>
        <w:t>衰竭（登革热休克综合症</w:t>
      </w:r>
      <w:r>
        <w:rPr>
          <w:sz w:val="21"/>
        </w:rPr>
        <w:t>即符合世界卫生组织（WHO， World Health </w:t>
      </w:r>
      <w:r>
        <w:rPr>
          <w:spacing w:val="-2"/>
          <w:sz w:val="21"/>
        </w:rPr>
        <w:t>Organization）登革热第Ⅲ</w:t>
      </w:r>
      <w:r>
        <w:rPr>
          <w:spacing w:val="-2"/>
          <w:sz w:val="21"/>
        </w:rPr>
        <w:t>级</w:t>
      </w:r>
      <w:r>
        <w:rPr>
          <w:spacing w:val="-2"/>
          <w:sz w:val="21"/>
        </w:rPr>
        <w:t>及第Ⅳ级）。出血性</w:t>
      </w:r>
      <w:r>
        <w:rPr>
          <w:spacing w:val="-2"/>
          <w:sz w:val="21"/>
        </w:rPr>
        <w:t>登</w:t>
      </w:r>
      <w:r>
        <w:rPr>
          <w:spacing w:val="-2"/>
          <w:sz w:val="21"/>
        </w:rPr>
        <w:t>革</w:t>
      </w:r>
      <w:r>
        <w:rPr>
          <w:spacing w:val="-2"/>
          <w:sz w:val="21"/>
        </w:rPr>
        <w:t>热的诊断必须在</w:t>
      </w:r>
      <w:r>
        <w:rPr>
          <w:spacing w:val="-2"/>
          <w:sz w:val="21"/>
        </w:rPr>
        <w:t>本</w:t>
      </w:r>
      <w:r>
        <w:rPr>
          <w:spacing w:val="-2"/>
          <w:sz w:val="21"/>
        </w:rPr>
        <w:t>公</w:t>
      </w:r>
      <w:r>
        <w:rPr>
          <w:spacing w:val="-2"/>
          <w:sz w:val="21"/>
        </w:rPr>
        <w:t>司</w:t>
      </w:r>
      <w:r>
        <w:rPr>
          <w:spacing w:val="-2"/>
          <w:sz w:val="21"/>
        </w:rPr>
        <w:t>认</w:t>
      </w:r>
      <w:r>
        <w:rPr>
          <w:spacing w:val="-2"/>
          <w:sz w:val="21"/>
        </w:rPr>
        <w:t>可的医疗机构内由专</w:t>
      </w:r>
      <w:r>
        <w:rPr>
          <w:spacing w:val="-2"/>
          <w:sz w:val="21"/>
        </w:rPr>
        <w:t>科</w:t>
      </w:r>
      <w:r>
        <w:rPr>
          <w:spacing w:val="-2"/>
          <w:sz w:val="21"/>
        </w:rPr>
        <w:t>医</w:t>
      </w:r>
      <w:r>
        <w:rPr>
          <w:spacing w:val="-2"/>
          <w:sz w:val="21"/>
        </w:rPr>
        <w:t>生证实。</w:t>
      </w:r>
    </w:p>
    <w:p>
      <w:pPr>
        <w:pStyle w:val="Heading2"/>
        <w:spacing w:line="269" w:lineRule="exact"/>
      </w:pPr>
      <w:r>
        <w:rPr>
          <w:spacing w:val="-3"/>
        </w:rPr>
        <w:t>非出血性登革热不在保障范围内。</w:t>
      </w:r>
    </w:p>
    <w:p>
      <w:pPr>
        <w:pStyle w:val="BodyText"/>
        <w:spacing w:before="2"/>
        <w:rPr>
          <w:b/>
        </w:rPr>
      </w:pPr>
    </w:p>
    <w:p>
      <w:pPr>
        <w:pStyle w:val="ListParagraph"/>
        <w:numPr>
          <w:ilvl w:val="2"/>
          <w:numId w:val="40"/>
        </w:numPr>
        <w:tabs>
          <w:tab w:pos="1439" w:val="left" w:leader="none"/>
          <w:tab w:pos="3000" w:val="left" w:leader="none"/>
        </w:tabs>
        <w:spacing w:line="278" w:lineRule="auto" w:before="0" w:after="0"/>
        <w:ind w:left="3000" w:right="767" w:hanging="1880"/>
        <w:jc w:val="left"/>
        <w:rPr>
          <w:sz w:val="21"/>
        </w:rPr>
      </w:pPr>
      <w:r>
        <w:rPr>
          <w:spacing w:val="-2"/>
          <w:sz w:val="21"/>
        </w:rPr>
        <w:t>结核性脊髓炎</w:t>
      </w:r>
      <w:r>
        <w:rPr>
          <w:sz w:val="21"/>
        </w:rPr>
        <w:tab/>
      </w:r>
      <w:r>
        <w:rPr>
          <w:spacing w:val="-2"/>
          <w:sz w:val="21"/>
        </w:rPr>
        <w:t>因</w:t>
      </w:r>
      <w:r>
        <w:rPr>
          <w:spacing w:val="-2"/>
          <w:sz w:val="21"/>
        </w:rPr>
        <w:t>结</w:t>
      </w:r>
      <w:r>
        <w:rPr>
          <w:spacing w:val="-2"/>
          <w:sz w:val="21"/>
        </w:rPr>
        <w:t>核杆菌引起的脊髓炎，</w:t>
      </w:r>
      <w:r>
        <w:rPr>
          <w:spacing w:val="-2"/>
          <w:sz w:val="21"/>
        </w:rPr>
        <w:t>导</w:t>
      </w:r>
      <w:r>
        <w:rPr>
          <w:spacing w:val="-2"/>
          <w:sz w:val="21"/>
        </w:rPr>
        <w:t>致永久性神经系统功</w:t>
      </w:r>
      <w:r>
        <w:rPr>
          <w:spacing w:val="-2"/>
          <w:sz w:val="21"/>
        </w:rPr>
        <w:t>能</w:t>
      </w:r>
      <w:r>
        <w:rPr>
          <w:spacing w:val="-2"/>
          <w:sz w:val="21"/>
        </w:rPr>
        <w:t>中</w:t>
      </w:r>
      <w:r>
        <w:rPr>
          <w:spacing w:val="-2"/>
          <w:sz w:val="21"/>
        </w:rPr>
        <w:t>度障碍，即疾病</w:t>
      </w:r>
      <w:r>
        <w:rPr>
          <w:spacing w:val="-2"/>
          <w:sz w:val="21"/>
        </w:rPr>
        <w:t>首</w:t>
      </w:r>
      <w:r>
        <w:rPr>
          <w:spacing w:val="-2"/>
          <w:sz w:val="21"/>
        </w:rPr>
        <w:t>次</w:t>
      </w:r>
      <w:r>
        <w:rPr>
          <w:sz w:val="21"/>
        </w:rPr>
        <w:t>确诊</w:t>
      </w:r>
      <w:r>
        <w:rPr>
          <w:spacing w:val="-22"/>
          <w:sz w:val="21"/>
        </w:rPr>
        <w:t> </w:t>
      </w:r>
      <w:r>
        <w:rPr>
          <w:sz w:val="21"/>
        </w:rPr>
        <w:t>180</w:t>
      </w:r>
      <w:r>
        <w:rPr>
          <w:spacing w:val="-22"/>
          <w:sz w:val="21"/>
        </w:rPr>
        <w:t> </w:t>
      </w:r>
      <w:r>
        <w:rPr>
          <w:sz w:val="21"/>
        </w:rPr>
        <w:t>天后，仍遗留下</w:t>
      </w:r>
      <w:r>
        <w:rPr>
          <w:sz w:val="21"/>
        </w:rPr>
        <w:t>列一种或一种以上障</w:t>
      </w:r>
      <w:r>
        <w:rPr>
          <w:sz w:val="21"/>
        </w:rPr>
        <w:t>碍：</w:t>
      </w:r>
    </w:p>
    <w:p>
      <w:pPr>
        <w:pStyle w:val="ListParagraph"/>
        <w:numPr>
          <w:ilvl w:val="3"/>
          <w:numId w:val="40"/>
        </w:numPr>
        <w:tabs>
          <w:tab w:pos="3530" w:val="left" w:leader="none"/>
        </w:tabs>
        <w:spacing w:line="269" w:lineRule="exact" w:before="0" w:after="0"/>
        <w:ind w:left="3529" w:right="0" w:hanging="530"/>
        <w:jc w:val="left"/>
        <w:rPr>
          <w:sz w:val="21"/>
        </w:rPr>
      </w:pPr>
      <w:r>
        <w:rPr>
          <w:spacing w:val="-2"/>
          <w:sz w:val="21"/>
        </w:rPr>
        <w:t>一肢（含）</w:t>
      </w:r>
      <w:r>
        <w:rPr>
          <w:spacing w:val="-8"/>
          <w:sz w:val="21"/>
        </w:rPr>
        <w:t>以上肢体肌力在 </w:t>
      </w:r>
      <w:r>
        <w:rPr>
          <w:spacing w:val="-2"/>
          <w:sz w:val="21"/>
        </w:rPr>
        <w:t>3</w:t>
      </w:r>
      <w:r>
        <w:rPr>
          <w:spacing w:val="-24"/>
          <w:sz w:val="21"/>
        </w:rPr>
        <w:t> 级</w:t>
      </w:r>
      <w:r>
        <w:rPr>
          <w:spacing w:val="-2"/>
          <w:sz w:val="21"/>
        </w:rPr>
        <w:t>（含）</w:t>
      </w:r>
      <w:r>
        <w:rPr>
          <w:spacing w:val="-3"/>
          <w:sz w:val="21"/>
        </w:rPr>
        <w:t>以下的运动功能障碍；</w:t>
      </w:r>
    </w:p>
    <w:p>
      <w:pPr>
        <w:pStyle w:val="ListParagraph"/>
        <w:numPr>
          <w:ilvl w:val="3"/>
          <w:numId w:val="40"/>
        </w:numPr>
        <w:tabs>
          <w:tab w:pos="3527" w:val="left" w:leader="none"/>
        </w:tabs>
        <w:spacing w:line="278" w:lineRule="auto" w:before="43" w:after="0"/>
        <w:ind w:left="3525" w:right="666" w:hanging="526"/>
        <w:jc w:val="left"/>
        <w:rPr>
          <w:sz w:val="21"/>
        </w:rPr>
      </w:pPr>
      <w:r>
        <w:rPr>
          <w:spacing w:val="-2"/>
          <w:sz w:val="21"/>
        </w:rPr>
        <w:t>自主生活能力部分丧失，无法独立完成六项基本日常生活活动中的两项</w:t>
      </w:r>
      <w:r>
        <w:rPr>
          <w:spacing w:val="-2"/>
          <w:sz w:val="21"/>
        </w:rPr>
        <w:t>或两项以上。</w:t>
      </w:r>
    </w:p>
    <w:p>
      <w:pPr>
        <w:pStyle w:val="BodyText"/>
        <w:spacing w:line="278" w:lineRule="auto"/>
        <w:ind w:left="3000" w:right="767"/>
      </w:pPr>
      <w:r>
        <w:rPr>
          <w:spacing w:val="-2"/>
        </w:rPr>
        <w:t>该诊断必须在本公司认可的医疗机构内由神经专科医生证实，并必须由适当</w:t>
      </w:r>
      <w:r>
        <w:rPr>
          <w:spacing w:val="-2"/>
        </w:rPr>
        <w:t>的检查证明为结核性脊髓炎。</w:t>
      </w:r>
    </w:p>
    <w:p>
      <w:pPr>
        <w:pStyle w:val="BodyText"/>
        <w:spacing w:before="4"/>
        <w:rPr>
          <w:sz w:val="24"/>
        </w:rPr>
      </w:pPr>
    </w:p>
    <w:p>
      <w:pPr>
        <w:pStyle w:val="ListParagraph"/>
        <w:numPr>
          <w:ilvl w:val="2"/>
          <w:numId w:val="40"/>
        </w:numPr>
        <w:tabs>
          <w:tab w:pos="1439" w:val="left" w:leader="none"/>
          <w:tab w:pos="3000" w:val="left" w:leader="none"/>
        </w:tabs>
        <w:spacing w:line="278" w:lineRule="auto" w:before="0" w:after="0"/>
        <w:ind w:left="3000" w:right="767" w:hanging="1880"/>
        <w:jc w:val="left"/>
        <w:rPr>
          <w:sz w:val="21"/>
        </w:rPr>
      </w:pPr>
      <w:r>
        <w:rPr>
          <w:spacing w:val="-2"/>
          <w:sz w:val="21"/>
        </w:rPr>
        <w:t>单个肢体缺失</w:t>
      </w:r>
      <w:r>
        <w:rPr>
          <w:sz w:val="21"/>
        </w:rPr>
        <w:tab/>
      </w:r>
      <w:r>
        <w:rPr>
          <w:spacing w:val="-2"/>
          <w:sz w:val="21"/>
        </w:rPr>
        <w:t>指</w:t>
      </w:r>
      <w:r>
        <w:rPr>
          <w:spacing w:val="-2"/>
          <w:sz w:val="21"/>
        </w:rPr>
        <w:t>因</w:t>
      </w:r>
      <w:r>
        <w:rPr>
          <w:spacing w:val="-2"/>
          <w:sz w:val="21"/>
        </w:rPr>
        <w:t>疾病或意外伤害导致</w:t>
      </w:r>
      <w:r>
        <w:rPr>
          <w:spacing w:val="-2"/>
          <w:sz w:val="21"/>
        </w:rPr>
        <w:t>一</w:t>
      </w:r>
      <w:r>
        <w:rPr>
          <w:spacing w:val="-2"/>
          <w:sz w:val="21"/>
        </w:rPr>
        <w:t>个</w:t>
      </w:r>
      <w:r>
        <w:rPr>
          <w:spacing w:val="-2"/>
          <w:sz w:val="21"/>
        </w:rPr>
        <w:t>肢体自腕关节或踝关</w:t>
      </w:r>
      <w:r>
        <w:rPr>
          <w:spacing w:val="-2"/>
          <w:sz w:val="21"/>
        </w:rPr>
        <w:t>节</w:t>
      </w:r>
      <w:r>
        <w:rPr>
          <w:spacing w:val="-2"/>
          <w:sz w:val="21"/>
        </w:rPr>
        <w:t>近</w:t>
      </w:r>
      <w:r>
        <w:rPr>
          <w:spacing w:val="-2"/>
          <w:sz w:val="21"/>
        </w:rPr>
        <w:t>端（靠近躯干端）</w:t>
      </w:r>
      <w:r>
        <w:rPr>
          <w:spacing w:val="-2"/>
          <w:sz w:val="21"/>
        </w:rPr>
        <w:t>以</w:t>
      </w:r>
      <w:r>
        <w:rPr>
          <w:spacing w:val="-2"/>
          <w:sz w:val="21"/>
        </w:rPr>
        <w:t>上</w:t>
      </w:r>
      <w:r>
        <w:rPr>
          <w:spacing w:val="-2"/>
          <w:sz w:val="21"/>
        </w:rPr>
        <w:t>完</w:t>
      </w:r>
      <w:r>
        <w:rPr>
          <w:spacing w:val="-2"/>
          <w:sz w:val="21"/>
        </w:rPr>
        <w:t>全断离。</w:t>
      </w:r>
    </w:p>
    <w:p>
      <w:pPr>
        <w:pStyle w:val="Heading2"/>
        <w:spacing w:line="269" w:lineRule="exact"/>
      </w:pPr>
      <w:r>
        <w:rPr>
          <w:spacing w:val="-3"/>
        </w:rPr>
        <w:t>因糖尿病并发症导致的单个肢体缺失不在保障范围内。</w:t>
      </w:r>
    </w:p>
    <w:p>
      <w:pPr>
        <w:pStyle w:val="BodyText"/>
        <w:spacing w:before="9"/>
        <w:rPr>
          <w:b/>
          <w:sz w:val="27"/>
        </w:rPr>
      </w:pPr>
    </w:p>
    <w:p>
      <w:pPr>
        <w:pStyle w:val="ListParagraph"/>
        <w:numPr>
          <w:ilvl w:val="2"/>
          <w:numId w:val="40"/>
        </w:numPr>
        <w:tabs>
          <w:tab w:pos="1439" w:val="left" w:leader="none"/>
          <w:tab w:pos="3000" w:val="left" w:leader="none"/>
        </w:tabs>
        <w:spacing w:line="278" w:lineRule="auto" w:before="0" w:after="0"/>
        <w:ind w:left="3000" w:right="663" w:hanging="1880"/>
        <w:jc w:val="left"/>
        <w:rPr>
          <w:sz w:val="21"/>
        </w:rPr>
      </w:pPr>
      <w:r>
        <w:rPr>
          <w:spacing w:val="-2"/>
          <w:sz w:val="21"/>
        </w:rPr>
        <w:t>中度Ⅲ度烧伤</w:t>
      </w:r>
      <w:r>
        <w:rPr>
          <w:sz w:val="21"/>
        </w:rPr>
        <w:tab/>
        <w:t>指烧伤程度为Ⅲ度，且Ⅲ</w:t>
      </w:r>
      <w:r>
        <w:rPr>
          <w:sz w:val="21"/>
        </w:rPr>
        <w:t>度烧伤的面积达到全身体</w:t>
      </w:r>
      <w:r>
        <w:rPr>
          <w:sz w:val="21"/>
        </w:rPr>
        <w:t>表面积的</w:t>
      </w:r>
      <w:r>
        <w:rPr>
          <w:spacing w:val="-53"/>
          <w:sz w:val="21"/>
        </w:rPr>
        <w:t> </w:t>
      </w:r>
      <w:r>
        <w:rPr>
          <w:sz w:val="21"/>
        </w:rPr>
        <w:t>15%或</w:t>
      </w:r>
      <w:r>
        <w:rPr>
          <w:spacing w:val="-55"/>
          <w:sz w:val="21"/>
        </w:rPr>
        <w:t> </w:t>
      </w:r>
      <w:r>
        <w:rPr>
          <w:sz w:val="21"/>
        </w:rPr>
        <w:t>15%以上，</w:t>
      </w:r>
      <w:r>
        <w:rPr>
          <w:spacing w:val="-2"/>
          <w:sz w:val="21"/>
        </w:rPr>
        <w:t>且</w:t>
      </w:r>
      <w:r>
        <w:rPr>
          <w:spacing w:val="-2"/>
          <w:sz w:val="21"/>
        </w:rPr>
        <w:t>未</w:t>
      </w:r>
      <w:r>
        <w:rPr>
          <w:spacing w:val="-2"/>
          <w:sz w:val="21"/>
        </w:rPr>
        <w:t>达到重大疾病“</w:t>
      </w:r>
      <w:r>
        <w:rPr>
          <w:b/>
          <w:spacing w:val="-2"/>
          <w:sz w:val="21"/>
        </w:rPr>
        <w:t>严重Ⅲ</w:t>
      </w:r>
      <w:r>
        <w:rPr>
          <w:b/>
          <w:spacing w:val="-2"/>
          <w:sz w:val="21"/>
        </w:rPr>
        <w:t>度</w:t>
      </w:r>
      <w:r>
        <w:rPr>
          <w:b/>
          <w:spacing w:val="-2"/>
          <w:sz w:val="21"/>
        </w:rPr>
        <w:t>烧</w:t>
      </w:r>
      <w:r>
        <w:rPr>
          <w:b/>
          <w:spacing w:val="-2"/>
          <w:sz w:val="21"/>
        </w:rPr>
        <w:t>伤</w:t>
      </w:r>
      <w:r>
        <w:rPr>
          <w:spacing w:val="-2"/>
          <w:sz w:val="21"/>
        </w:rPr>
        <w:t>”的给付标准。</w:t>
      </w:r>
      <w:r>
        <w:rPr>
          <w:spacing w:val="-2"/>
          <w:sz w:val="21"/>
        </w:rPr>
        <w:t>体</w:t>
      </w:r>
      <w:r>
        <w:rPr>
          <w:spacing w:val="-2"/>
          <w:sz w:val="21"/>
        </w:rPr>
        <w:t>表</w:t>
      </w:r>
      <w:r>
        <w:rPr>
          <w:spacing w:val="-2"/>
          <w:sz w:val="21"/>
        </w:rPr>
        <w:t>面积根据《中国</w:t>
      </w:r>
      <w:r>
        <w:rPr>
          <w:spacing w:val="-2"/>
          <w:sz w:val="21"/>
        </w:rPr>
        <w:t>新</w:t>
      </w:r>
      <w:r>
        <w:rPr>
          <w:spacing w:val="-2"/>
          <w:sz w:val="21"/>
        </w:rPr>
        <w:t>九</w:t>
      </w:r>
      <w:r>
        <w:rPr>
          <w:spacing w:val="-2"/>
          <w:sz w:val="21"/>
        </w:rPr>
        <w:t>分</w:t>
      </w:r>
      <w:r>
        <w:rPr>
          <w:spacing w:val="-2"/>
          <w:sz w:val="21"/>
        </w:rPr>
        <w:t>法</w:t>
      </w:r>
      <w:r>
        <w:rPr>
          <w:spacing w:val="-2"/>
          <w:sz w:val="21"/>
        </w:rPr>
        <w:t>》计算。</w:t>
      </w:r>
    </w:p>
    <w:p>
      <w:pPr>
        <w:pStyle w:val="BodyText"/>
        <w:spacing w:before="5"/>
        <w:rPr>
          <w:sz w:val="24"/>
        </w:rPr>
      </w:pPr>
    </w:p>
    <w:p>
      <w:pPr>
        <w:pStyle w:val="ListParagraph"/>
        <w:numPr>
          <w:ilvl w:val="2"/>
          <w:numId w:val="40"/>
        </w:numPr>
        <w:tabs>
          <w:tab w:pos="1439" w:val="left" w:leader="none"/>
          <w:tab w:pos="3000" w:val="left" w:leader="none"/>
        </w:tabs>
        <w:spacing w:line="278" w:lineRule="auto" w:before="0" w:after="0"/>
        <w:ind w:left="3000" w:right="560" w:hanging="1880"/>
        <w:jc w:val="left"/>
        <w:rPr>
          <w:sz w:val="21"/>
        </w:rPr>
      </w:pPr>
      <w:r>
        <w:rPr>
          <w:spacing w:val="-2"/>
          <w:sz w:val="21"/>
        </w:rPr>
        <w:t>中度面部烧伤</w:t>
      </w:r>
      <w:r>
        <w:rPr>
          <w:sz w:val="21"/>
        </w:rPr>
        <w:tab/>
        <w:t>指烧伤程度为Ⅲ度</w:t>
      </w:r>
      <w:r>
        <w:rPr>
          <w:spacing w:val="-108"/>
          <w:sz w:val="21"/>
        </w:rPr>
        <w:t>，</w:t>
      </w:r>
      <w:r>
        <w:rPr>
          <w:sz w:val="21"/>
        </w:rPr>
        <w:t>且面部Ⅲ度烧伤的面积达到面部</w:t>
      </w:r>
      <w:r>
        <w:rPr>
          <w:sz w:val="21"/>
        </w:rPr>
        <w:t>表面积的</w:t>
      </w:r>
      <w:r>
        <w:rPr>
          <w:spacing w:val="-55"/>
          <w:sz w:val="21"/>
        </w:rPr>
        <w:t> </w:t>
      </w:r>
      <w:r>
        <w:rPr>
          <w:sz w:val="21"/>
        </w:rPr>
        <w:t>60%或</w:t>
      </w:r>
      <w:r>
        <w:rPr>
          <w:spacing w:val="-57"/>
          <w:sz w:val="21"/>
        </w:rPr>
        <w:t> </w:t>
      </w:r>
      <w:r>
        <w:rPr>
          <w:sz w:val="21"/>
        </w:rPr>
        <w:t>60%</w:t>
      </w:r>
      <w:r>
        <w:rPr>
          <w:sz w:val="21"/>
        </w:rPr>
        <w:t>以上，</w:t>
      </w:r>
      <w:r>
        <w:rPr>
          <w:spacing w:val="-2"/>
          <w:sz w:val="21"/>
        </w:rPr>
        <w:t>但</w:t>
      </w:r>
      <w:r>
        <w:rPr>
          <w:spacing w:val="-2"/>
          <w:sz w:val="21"/>
        </w:rPr>
        <w:t>未</w:t>
      </w:r>
      <w:r>
        <w:rPr>
          <w:spacing w:val="-2"/>
          <w:sz w:val="21"/>
        </w:rPr>
        <w:t>达到重大疾病“</w:t>
      </w:r>
      <w:r>
        <w:rPr>
          <w:b/>
          <w:spacing w:val="-2"/>
          <w:sz w:val="21"/>
        </w:rPr>
        <w:t>严重</w:t>
      </w:r>
      <w:r>
        <w:rPr>
          <w:b/>
          <w:spacing w:val="-2"/>
          <w:sz w:val="21"/>
        </w:rPr>
        <w:t>面</w:t>
      </w:r>
      <w:r>
        <w:rPr>
          <w:b/>
          <w:spacing w:val="-2"/>
          <w:sz w:val="21"/>
        </w:rPr>
        <w:t>部</w:t>
      </w:r>
      <w:r>
        <w:rPr>
          <w:b/>
          <w:spacing w:val="-2"/>
          <w:sz w:val="21"/>
        </w:rPr>
        <w:t>烧</w:t>
      </w:r>
      <w:r>
        <w:rPr>
          <w:b/>
          <w:spacing w:val="-2"/>
          <w:sz w:val="21"/>
        </w:rPr>
        <w:t>伤</w:t>
      </w:r>
      <w:r>
        <w:rPr>
          <w:spacing w:val="-2"/>
          <w:sz w:val="21"/>
        </w:rPr>
        <w:t>”的给付标准。</w:t>
      </w:r>
      <w:r>
        <w:rPr>
          <w:spacing w:val="-2"/>
          <w:sz w:val="21"/>
        </w:rPr>
        <w:t>面</w:t>
      </w:r>
      <w:r>
        <w:rPr>
          <w:spacing w:val="-2"/>
          <w:sz w:val="21"/>
        </w:rPr>
        <w:t>部</w:t>
      </w:r>
      <w:r>
        <w:rPr>
          <w:spacing w:val="-2"/>
          <w:sz w:val="21"/>
        </w:rPr>
        <w:t>的范围指上至发</w:t>
      </w:r>
      <w:r>
        <w:rPr>
          <w:spacing w:val="-2"/>
          <w:sz w:val="21"/>
        </w:rPr>
        <w:t>际</w:t>
      </w:r>
      <w:r>
        <w:rPr>
          <w:spacing w:val="-2"/>
          <w:sz w:val="21"/>
        </w:rPr>
        <w:t>、</w:t>
      </w:r>
      <w:r>
        <w:rPr>
          <w:spacing w:val="40"/>
          <w:sz w:val="21"/>
        </w:rPr>
        <w:t> </w:t>
      </w:r>
      <w:r>
        <w:rPr>
          <w:spacing w:val="-2"/>
          <w:sz w:val="21"/>
        </w:rPr>
        <w:t>下</w:t>
      </w:r>
      <w:r>
        <w:rPr>
          <w:spacing w:val="-2"/>
          <w:sz w:val="21"/>
        </w:rPr>
        <w:t>至</w:t>
      </w:r>
      <w:r>
        <w:rPr>
          <w:spacing w:val="-2"/>
          <w:sz w:val="21"/>
        </w:rPr>
        <w:t>下颌下缘、两侧至下</w:t>
      </w:r>
      <w:r>
        <w:rPr>
          <w:spacing w:val="-2"/>
          <w:sz w:val="21"/>
        </w:rPr>
        <w:t>颌</w:t>
      </w:r>
      <w:r>
        <w:rPr>
          <w:spacing w:val="-2"/>
          <w:sz w:val="21"/>
        </w:rPr>
        <w:t>支</w:t>
      </w:r>
      <w:r>
        <w:rPr>
          <w:spacing w:val="-2"/>
          <w:sz w:val="21"/>
        </w:rPr>
        <w:t>后缘之间的区域，包</w:t>
      </w:r>
      <w:r>
        <w:rPr>
          <w:spacing w:val="-2"/>
          <w:sz w:val="21"/>
        </w:rPr>
        <w:t>括</w:t>
      </w:r>
      <w:r>
        <w:rPr>
          <w:spacing w:val="-2"/>
          <w:sz w:val="21"/>
        </w:rPr>
        <w:t>额</w:t>
      </w:r>
      <w:r>
        <w:rPr>
          <w:spacing w:val="-2"/>
          <w:sz w:val="21"/>
        </w:rPr>
        <w:t>部、眼部、眶部</w:t>
      </w:r>
      <w:r>
        <w:rPr>
          <w:spacing w:val="-2"/>
          <w:sz w:val="21"/>
        </w:rPr>
        <w:t>、</w:t>
      </w:r>
      <w:r>
        <w:rPr>
          <w:spacing w:val="-2"/>
          <w:sz w:val="21"/>
        </w:rPr>
        <w:t>鼻</w:t>
      </w:r>
      <w:r>
        <w:rPr>
          <w:spacing w:val="40"/>
          <w:sz w:val="21"/>
        </w:rPr>
        <w:t> </w:t>
      </w:r>
      <w:r>
        <w:rPr>
          <w:spacing w:val="-2"/>
          <w:sz w:val="21"/>
        </w:rPr>
        <w:t>部</w:t>
      </w:r>
      <w:r>
        <w:rPr>
          <w:spacing w:val="-2"/>
          <w:sz w:val="21"/>
        </w:rPr>
        <w:t>、</w:t>
      </w:r>
      <w:r>
        <w:rPr>
          <w:spacing w:val="-2"/>
          <w:sz w:val="21"/>
        </w:rPr>
        <w:t>口唇部、颏部、颧部</w:t>
      </w:r>
      <w:r>
        <w:rPr>
          <w:spacing w:val="-2"/>
          <w:sz w:val="21"/>
        </w:rPr>
        <w:t>、</w:t>
      </w:r>
      <w:r>
        <w:rPr>
          <w:spacing w:val="-2"/>
          <w:sz w:val="21"/>
        </w:rPr>
        <w:t>颊</w:t>
      </w:r>
      <w:r>
        <w:rPr>
          <w:spacing w:val="-2"/>
          <w:sz w:val="21"/>
        </w:rPr>
        <w:t>部和腮腺咬肌部。</w:t>
      </w:r>
    </w:p>
    <w:p>
      <w:pPr>
        <w:pStyle w:val="Heading2"/>
        <w:spacing w:line="269" w:lineRule="exact"/>
      </w:pPr>
      <w:r>
        <w:rPr>
          <w:spacing w:val="-3"/>
        </w:rPr>
        <w:t>因酸碱化学品导致的面部烧伤不在保障范围内。</w:t>
      </w:r>
    </w:p>
    <w:p>
      <w:pPr>
        <w:pStyle w:val="BodyText"/>
        <w:spacing w:before="1"/>
        <w:rPr>
          <w:b/>
          <w:sz w:val="22"/>
        </w:rPr>
      </w:pPr>
    </w:p>
    <w:p>
      <w:pPr>
        <w:spacing w:after="0"/>
        <w:rPr>
          <w:sz w:val="2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中度类风湿性</w:t>
      </w:r>
      <w:r>
        <w:rPr>
          <w:spacing w:val="-4"/>
          <w:sz w:val="21"/>
        </w:rPr>
        <w:t>关节炎</w:t>
      </w:r>
    </w:p>
    <w:p>
      <w:pPr>
        <w:pStyle w:val="BodyText"/>
        <w:spacing w:line="278" w:lineRule="auto" w:before="72"/>
        <w:ind w:left="262" w:right="560"/>
      </w:pPr>
      <w:r>
        <w:rPr/>
        <w:br w:type="column"/>
      </w:r>
      <w:r>
        <w:rPr>
          <w:spacing w:val="-2"/>
        </w:rPr>
        <w:t>类风湿性关节炎为广泛分布的慢性进行性多关节病变，表现为关节严重变形，</w:t>
      </w:r>
      <w:r>
        <w:rPr>
          <w:spacing w:val="-2"/>
        </w:rPr>
        <w:t>侵犯两个主要关节或关节组（如：双手（多手指）关节、双足（多足趾）关</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line="278" w:lineRule="auto" w:before="57"/>
        <w:ind w:left="3000" w:right="767"/>
      </w:pPr>
      <w:r>
        <w:rPr/>
        <w:t>节、双腕关节、双膝关节和双髋关节）</w:t>
      </w:r>
      <w:r>
        <w:rPr>
          <w:spacing w:val="-5"/>
        </w:rPr>
        <w:t>，且被保险人满足至少 </w:t>
      </w:r>
      <w:r>
        <w:rPr/>
        <w:t>180</w:t>
      </w:r>
      <w:r>
        <w:rPr>
          <w:spacing w:val="-12"/>
        </w:rPr>
        <w:t> 天无法独</w:t>
      </w:r>
      <w:r>
        <w:rPr>
          <w:spacing w:val="-2"/>
        </w:rPr>
        <w:t>立完成六项基本日常生活活动中的两项或两项以上。</w:t>
      </w:r>
    </w:p>
    <w:p>
      <w:pPr>
        <w:pStyle w:val="BodyText"/>
        <w:spacing w:before="10"/>
        <w:rPr>
          <w:sz w:val="18"/>
        </w:rPr>
      </w:pPr>
    </w:p>
    <w:p>
      <w:pPr>
        <w:spacing w:after="0"/>
        <w:rPr>
          <w:sz w:val="18"/>
        </w:rPr>
        <w:sectPr>
          <w:pgSz w:w="11910" w:h="16840"/>
          <w:pgMar w:header="0" w:footer="404" w:top="1080" w:bottom="60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中度肠道疾病</w:t>
      </w:r>
      <w:r>
        <w:rPr>
          <w:spacing w:val="-4"/>
          <w:sz w:val="21"/>
        </w:rPr>
        <w:t>并发症</w:t>
      </w:r>
    </w:p>
    <w:p>
      <w:pPr>
        <w:pStyle w:val="BodyText"/>
        <w:spacing w:before="71"/>
        <w:ind w:left="262"/>
      </w:pPr>
      <w:r>
        <w:rPr/>
        <w:br w:type="column"/>
      </w:r>
      <w:r>
        <w:rPr>
          <w:spacing w:val="-3"/>
        </w:rPr>
        <w:t>严重肠道疾病或外伤导致小肠损害并发症，本疾病须满足以下所有条件：</w:t>
      </w:r>
    </w:p>
    <w:p>
      <w:pPr>
        <w:pStyle w:val="ListParagraph"/>
        <w:numPr>
          <w:ilvl w:val="0"/>
          <w:numId w:val="45"/>
        </w:numPr>
        <w:tabs>
          <w:tab w:pos="792" w:val="left" w:leader="none"/>
        </w:tabs>
        <w:spacing w:line="240" w:lineRule="auto" w:before="43" w:after="0"/>
        <w:ind w:left="791" w:right="0" w:hanging="530"/>
        <w:jc w:val="left"/>
        <w:rPr>
          <w:sz w:val="21"/>
        </w:rPr>
      </w:pPr>
      <w:r>
        <w:rPr>
          <w:spacing w:val="-3"/>
          <w:sz w:val="21"/>
        </w:rPr>
        <w:t>至少切除了二分之一小肠；</w:t>
      </w:r>
    </w:p>
    <w:p>
      <w:pPr>
        <w:pStyle w:val="ListParagraph"/>
        <w:numPr>
          <w:ilvl w:val="0"/>
          <w:numId w:val="45"/>
        </w:numPr>
        <w:tabs>
          <w:tab w:pos="792" w:val="left" w:leader="none"/>
        </w:tabs>
        <w:spacing w:line="240" w:lineRule="auto" w:before="43" w:after="0"/>
        <w:ind w:left="791" w:right="0" w:hanging="530"/>
        <w:jc w:val="left"/>
        <w:rPr>
          <w:sz w:val="21"/>
        </w:rPr>
      </w:pPr>
      <w:r>
        <w:rPr>
          <w:spacing w:val="-3"/>
          <w:sz w:val="21"/>
        </w:rPr>
        <w:t>完全肠外营养支持二个月以上。</w:t>
      </w:r>
    </w:p>
    <w:p>
      <w:pPr>
        <w:pStyle w:val="Heading2"/>
        <w:spacing w:before="43"/>
        <w:ind w:left="262"/>
      </w:pPr>
      <w:r>
        <w:rPr>
          <w:spacing w:val="-3"/>
        </w:rPr>
        <w:t>因克隆病导致的中度肠道疾病并发症不在保障范围内。</w:t>
      </w:r>
    </w:p>
    <w:p>
      <w:pPr>
        <w:spacing w:after="0"/>
        <w:sectPr>
          <w:type w:val="continuous"/>
          <w:pgSz w:w="11910" w:h="16840"/>
          <w:pgMar w:header="0" w:footer="404" w:top="600" w:bottom="280" w:left="860" w:right="340"/>
          <w:cols w:num="2" w:equalWidth="0">
            <w:col w:w="2698" w:space="40"/>
            <w:col w:w="7972"/>
          </w:cols>
        </w:sectPr>
      </w:pPr>
    </w:p>
    <w:p>
      <w:pPr>
        <w:pStyle w:val="BodyText"/>
        <w:spacing w:before="2"/>
        <w:rPr>
          <w:b/>
          <w:sz w:val="22"/>
        </w:rPr>
      </w:pPr>
    </w:p>
    <w:p>
      <w:pPr>
        <w:spacing w:after="0"/>
        <w:rPr>
          <w:sz w:val="2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中度进行性核</w:t>
      </w:r>
      <w:r>
        <w:rPr>
          <w:spacing w:val="-4"/>
          <w:sz w:val="21"/>
        </w:rPr>
        <w:t>上性麻痹</w:t>
      </w:r>
    </w:p>
    <w:p>
      <w:pPr>
        <w:pStyle w:val="BodyText"/>
        <w:spacing w:line="278" w:lineRule="auto" w:before="71"/>
        <w:ind w:left="262" w:right="767"/>
      </w:pPr>
      <w:r>
        <w:rPr/>
        <w:br w:type="column"/>
      </w:r>
      <w:r>
        <w:rPr>
          <w:spacing w:val="-2"/>
        </w:rPr>
        <w:t>指一种隐袭起病、逐渐加重的神经系统变性疾病。该病必须在本公司认可的</w:t>
      </w:r>
      <w:r>
        <w:rPr>
          <w:spacing w:val="-2"/>
        </w:rPr>
        <w:t>医疗机构内由神经科专科医生确诊，并须满足下列所有条件：</w:t>
      </w:r>
    </w:p>
    <w:p>
      <w:pPr>
        <w:pStyle w:val="ListParagraph"/>
        <w:numPr>
          <w:ilvl w:val="0"/>
          <w:numId w:val="46"/>
        </w:numPr>
        <w:tabs>
          <w:tab w:pos="792" w:val="left" w:leader="none"/>
        </w:tabs>
        <w:spacing w:line="269" w:lineRule="exact" w:before="0" w:after="0"/>
        <w:ind w:left="791" w:right="0" w:hanging="530"/>
        <w:jc w:val="left"/>
        <w:rPr>
          <w:sz w:val="21"/>
        </w:rPr>
      </w:pPr>
      <w:r>
        <w:rPr>
          <w:spacing w:val="-4"/>
          <w:sz w:val="21"/>
        </w:rPr>
        <w:t>步态共济失调；</w:t>
      </w:r>
    </w:p>
    <w:p>
      <w:pPr>
        <w:pStyle w:val="ListParagraph"/>
        <w:numPr>
          <w:ilvl w:val="0"/>
          <w:numId w:val="46"/>
        </w:numPr>
        <w:tabs>
          <w:tab w:pos="792" w:val="left" w:leader="none"/>
        </w:tabs>
        <w:spacing w:line="240" w:lineRule="auto" w:before="43" w:after="0"/>
        <w:ind w:left="791" w:right="0" w:hanging="530"/>
        <w:jc w:val="left"/>
        <w:rPr>
          <w:sz w:val="21"/>
        </w:rPr>
      </w:pPr>
      <w:r>
        <w:rPr>
          <w:spacing w:val="-3"/>
          <w:sz w:val="21"/>
        </w:rPr>
        <w:t>对称性眼球垂直运动障碍；</w:t>
      </w:r>
    </w:p>
    <w:p>
      <w:pPr>
        <w:pStyle w:val="ListParagraph"/>
        <w:numPr>
          <w:ilvl w:val="0"/>
          <w:numId w:val="46"/>
        </w:numPr>
        <w:tabs>
          <w:tab w:pos="792" w:val="left" w:leader="none"/>
        </w:tabs>
        <w:spacing w:line="240" w:lineRule="auto" w:before="43" w:after="0"/>
        <w:ind w:left="791" w:right="0" w:hanging="530"/>
        <w:jc w:val="left"/>
        <w:rPr>
          <w:sz w:val="21"/>
        </w:rPr>
      </w:pPr>
      <w:r>
        <w:rPr>
          <w:spacing w:val="-3"/>
          <w:sz w:val="21"/>
        </w:rPr>
        <w:t>假性球麻痹，表现为构音障碍和吞咽困难；</w:t>
      </w:r>
    </w:p>
    <w:p>
      <w:pPr>
        <w:pStyle w:val="ListParagraph"/>
        <w:numPr>
          <w:ilvl w:val="0"/>
          <w:numId w:val="46"/>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10"/>
        <w:rPr>
          <w:sz w:val="18"/>
        </w:rPr>
      </w:pPr>
    </w:p>
    <w:p>
      <w:pPr>
        <w:pStyle w:val="ListParagraph"/>
        <w:numPr>
          <w:ilvl w:val="2"/>
          <w:numId w:val="40"/>
        </w:numPr>
        <w:tabs>
          <w:tab w:pos="1439" w:val="left" w:leader="none"/>
          <w:tab w:pos="3000" w:val="left" w:leader="none"/>
        </w:tabs>
        <w:spacing w:line="278" w:lineRule="auto" w:before="72" w:after="0"/>
        <w:ind w:left="3000" w:right="666" w:hanging="1880"/>
        <w:jc w:val="left"/>
        <w:rPr>
          <w:sz w:val="21"/>
        </w:rPr>
      </w:pPr>
      <w:r>
        <w:rPr>
          <w:spacing w:val="-2"/>
          <w:sz w:val="21"/>
        </w:rPr>
        <w:t>中度克雅氏症</w:t>
      </w:r>
      <w:r>
        <w:rPr>
          <w:sz w:val="21"/>
        </w:rPr>
        <w:tab/>
      </w:r>
      <w:r>
        <w:rPr>
          <w:spacing w:val="-2"/>
          <w:sz w:val="21"/>
        </w:rPr>
        <w:t>指</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w:t>
      </w:r>
      <w:r>
        <w:rPr>
          <w:spacing w:val="-2"/>
          <w:sz w:val="21"/>
        </w:rPr>
        <w:t>性</w:t>
      </w:r>
      <w:r>
        <w:rPr>
          <w:spacing w:val="-2"/>
          <w:sz w:val="21"/>
        </w:rPr>
        <w:t>脑</w:t>
      </w:r>
      <w:r>
        <w:rPr>
          <w:spacing w:val="-2"/>
          <w:sz w:val="21"/>
        </w:rPr>
        <w:t>电</w:t>
      </w:r>
      <w:r>
        <w:rPr>
          <w:spacing w:val="-2"/>
          <w:sz w:val="21"/>
        </w:rPr>
        <w:t>图</w:t>
      </w:r>
      <w:r>
        <w:rPr>
          <w:spacing w:val="-2"/>
          <w:sz w:val="21"/>
        </w:rPr>
        <w:t>变化。该病必须在本</w:t>
      </w:r>
      <w:r>
        <w:rPr>
          <w:spacing w:val="-2"/>
          <w:sz w:val="21"/>
        </w:rPr>
        <w:t>公</w:t>
      </w:r>
      <w:r>
        <w:rPr>
          <w:spacing w:val="-2"/>
          <w:sz w:val="21"/>
        </w:rPr>
        <w:t>司</w:t>
      </w:r>
      <w:r>
        <w:rPr>
          <w:spacing w:val="-2"/>
          <w:sz w:val="21"/>
        </w:rPr>
        <w:t>认可的医疗机构内由</w:t>
      </w:r>
      <w:r>
        <w:rPr>
          <w:spacing w:val="-2"/>
          <w:sz w:val="21"/>
        </w:rPr>
        <w:t>专</w:t>
      </w:r>
      <w:r>
        <w:rPr>
          <w:spacing w:val="-2"/>
          <w:sz w:val="21"/>
        </w:rPr>
        <w:t>科</w:t>
      </w:r>
      <w:r>
        <w:rPr>
          <w:spacing w:val="-2"/>
          <w:sz w:val="21"/>
        </w:rPr>
        <w:t>医生根据世界卫</w:t>
      </w:r>
      <w:r>
        <w:rPr>
          <w:spacing w:val="-2"/>
          <w:sz w:val="21"/>
        </w:rPr>
        <w:t>生</w:t>
      </w:r>
      <w:r>
        <w:rPr>
          <w:spacing w:val="-2"/>
          <w:sz w:val="21"/>
        </w:rPr>
        <w:t>组</w:t>
      </w:r>
      <w:r>
        <w:rPr>
          <w:sz w:val="21"/>
        </w:rPr>
        <w:t>织（WHO，</w:t>
      </w:r>
      <w:r>
        <w:rPr>
          <w:spacing w:val="-10"/>
          <w:sz w:val="21"/>
        </w:rPr>
        <w:t> </w:t>
      </w:r>
      <w:r>
        <w:rPr>
          <w:sz w:val="21"/>
        </w:rPr>
        <w:t>World</w:t>
      </w:r>
      <w:r>
        <w:rPr>
          <w:spacing w:val="-10"/>
          <w:sz w:val="21"/>
        </w:rPr>
        <w:t> </w:t>
      </w:r>
      <w:r>
        <w:rPr>
          <w:sz w:val="21"/>
        </w:rPr>
        <w:t>Health</w:t>
      </w:r>
      <w:r>
        <w:rPr>
          <w:spacing w:val="-13"/>
          <w:sz w:val="21"/>
        </w:rPr>
        <w:t> </w:t>
      </w:r>
      <w:r>
        <w:rPr>
          <w:sz w:val="21"/>
        </w:rPr>
        <w:t>Organization）诊断标准</w:t>
      </w:r>
      <w:r>
        <w:rPr>
          <w:sz w:val="21"/>
        </w:rPr>
        <w:t>明确诊断，且被保险</w:t>
      </w:r>
      <w:r>
        <w:rPr>
          <w:sz w:val="21"/>
        </w:rPr>
        <w:t>人自</w:t>
      </w:r>
      <w:r>
        <w:rPr>
          <w:spacing w:val="-2"/>
          <w:sz w:val="21"/>
        </w:rPr>
        <w:t>主</w:t>
      </w:r>
      <w:r>
        <w:rPr>
          <w:spacing w:val="-2"/>
          <w:sz w:val="21"/>
        </w:rPr>
        <w:t>生</w:t>
      </w:r>
      <w:r>
        <w:rPr>
          <w:spacing w:val="-2"/>
          <w:sz w:val="21"/>
        </w:rPr>
        <w:t>活能力完全丧失，无</w:t>
      </w:r>
      <w:r>
        <w:rPr>
          <w:spacing w:val="-2"/>
          <w:sz w:val="21"/>
        </w:rPr>
        <w:t>法</w:t>
      </w:r>
      <w:r>
        <w:rPr>
          <w:spacing w:val="-2"/>
          <w:sz w:val="21"/>
        </w:rPr>
        <w:t>独</w:t>
      </w:r>
      <w:r>
        <w:rPr>
          <w:spacing w:val="-2"/>
          <w:sz w:val="21"/>
        </w:rPr>
        <w:t>立完成六项基本日常</w:t>
      </w:r>
      <w:r>
        <w:rPr>
          <w:spacing w:val="-2"/>
          <w:sz w:val="21"/>
        </w:rPr>
        <w:t>生</w:t>
      </w:r>
      <w:r>
        <w:rPr>
          <w:spacing w:val="-2"/>
          <w:sz w:val="21"/>
        </w:rPr>
        <w:t>活</w:t>
      </w:r>
      <w:r>
        <w:rPr>
          <w:spacing w:val="-2"/>
          <w:sz w:val="21"/>
        </w:rPr>
        <w:t>活动中的两项或</w:t>
      </w:r>
      <w:r>
        <w:rPr>
          <w:spacing w:val="-2"/>
          <w:sz w:val="21"/>
        </w:rPr>
        <w:t>两</w:t>
      </w:r>
      <w:r>
        <w:rPr>
          <w:spacing w:val="-2"/>
          <w:sz w:val="21"/>
        </w:rPr>
        <w:t>项</w:t>
      </w:r>
      <w:r>
        <w:rPr>
          <w:spacing w:val="-4"/>
          <w:sz w:val="21"/>
        </w:rPr>
        <w:t>以</w:t>
      </w:r>
      <w:r>
        <w:rPr>
          <w:spacing w:val="-4"/>
          <w:sz w:val="21"/>
        </w:rPr>
        <w:t>上</w:t>
      </w:r>
      <w:r>
        <w:rPr>
          <w:spacing w:val="-4"/>
          <w:sz w:val="21"/>
        </w:rPr>
        <w:t>。</w:t>
      </w:r>
    </w:p>
    <w:p>
      <w:pPr>
        <w:pStyle w:val="BodyText"/>
        <w:spacing w:before="9"/>
        <w:rPr>
          <w:sz w:val="18"/>
        </w:rPr>
      </w:pPr>
    </w:p>
    <w:p>
      <w:pPr>
        <w:spacing w:after="0"/>
        <w:rPr>
          <w:sz w:val="18"/>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中度脊髓小脑</w:t>
      </w:r>
      <w:r>
        <w:rPr>
          <w:spacing w:val="-4"/>
          <w:sz w:val="21"/>
        </w:rPr>
        <w:t>变性症</w:t>
      </w:r>
    </w:p>
    <w:p>
      <w:pPr>
        <w:pStyle w:val="BodyText"/>
        <w:spacing w:line="278" w:lineRule="auto" w:before="72"/>
        <w:ind w:left="262" w:right="767"/>
      </w:pPr>
      <w:r>
        <w:rPr/>
        <w:br w:type="column"/>
      </w:r>
      <w:r>
        <w:rPr>
          <w:spacing w:val="-2"/>
        </w:rPr>
        <w:t>中度脊髓小脑变性症为一组以小脑萎缩和共济失调为主要临床特点的疾病。</w:t>
      </w:r>
      <w:r>
        <w:rPr>
          <w:spacing w:val="-2"/>
        </w:rPr>
        <w:t>必须符合所有以下条件：</w:t>
      </w:r>
    </w:p>
    <w:p>
      <w:pPr>
        <w:pStyle w:val="ListParagraph"/>
        <w:numPr>
          <w:ilvl w:val="0"/>
          <w:numId w:val="47"/>
        </w:numPr>
        <w:tabs>
          <w:tab w:pos="792" w:val="left" w:leader="none"/>
        </w:tabs>
        <w:spacing w:line="269" w:lineRule="exact" w:before="0" w:after="0"/>
        <w:ind w:left="791" w:right="0" w:hanging="530"/>
        <w:jc w:val="left"/>
        <w:rPr>
          <w:sz w:val="21"/>
        </w:rPr>
      </w:pPr>
      <w:r>
        <w:rPr>
          <w:spacing w:val="-3"/>
          <w:sz w:val="21"/>
        </w:rPr>
        <w:t>脊髓小脑变性症必须由医院诊断，并有以下证据支持：</w:t>
      </w:r>
    </w:p>
    <w:p>
      <w:pPr>
        <w:pStyle w:val="BodyText"/>
        <w:spacing w:before="43"/>
        <w:ind w:left="788"/>
      </w:pPr>
      <w:r>
        <w:rPr>
          <w:spacing w:val="-6"/>
        </w:rPr>
        <w:t>① 影像学检查证实存在小脑萎缩；</w:t>
      </w:r>
    </w:p>
    <w:p>
      <w:pPr>
        <w:pStyle w:val="BodyText"/>
        <w:spacing w:before="43"/>
        <w:ind w:left="788"/>
      </w:pPr>
      <w:r>
        <w:rPr>
          <w:spacing w:val="-3"/>
        </w:rPr>
        <w:t>② 临床表现存在共济失调、语言障碍和肌张力异常。</w:t>
      </w:r>
    </w:p>
    <w:p>
      <w:pPr>
        <w:pStyle w:val="ListParagraph"/>
        <w:numPr>
          <w:ilvl w:val="0"/>
          <w:numId w:val="47"/>
        </w:numPr>
        <w:tabs>
          <w:tab w:pos="790" w:val="left" w:leader="none"/>
        </w:tabs>
        <w:spacing w:line="278" w:lineRule="auto" w:before="43" w:after="0"/>
        <w:ind w:left="788" w:right="668" w:hanging="526"/>
        <w:jc w:val="left"/>
        <w:rPr>
          <w:sz w:val="21"/>
        </w:rPr>
      </w:pPr>
      <w:r>
        <w:rPr>
          <w:spacing w:val="-2"/>
          <w:sz w:val="21"/>
        </w:rPr>
        <w:t>被保险人运动功能严重障碍，自主生活能力完全丧失，无法独立完成六</w:t>
      </w:r>
      <w:r>
        <w:rPr>
          <w:spacing w:val="-2"/>
          <w:sz w:val="21"/>
        </w:rPr>
        <w:t>项基本日常生活活动中的两项项或两项项以上。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9"/>
        <w:rPr>
          <w:sz w:val="18"/>
        </w:rPr>
      </w:pPr>
    </w:p>
    <w:p>
      <w:pPr>
        <w:spacing w:after="0"/>
        <w:rPr>
          <w:sz w:val="18"/>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中度强直性脊</w:t>
      </w:r>
      <w:r>
        <w:rPr>
          <w:spacing w:val="-6"/>
          <w:sz w:val="21"/>
        </w:rPr>
        <w:t>柱炎</w:t>
      </w:r>
    </w:p>
    <w:p>
      <w:pPr>
        <w:pStyle w:val="BodyText"/>
        <w:spacing w:line="278" w:lineRule="auto" w:before="72"/>
        <w:ind w:left="262" w:right="767"/>
        <w:jc w:val="both"/>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r>
        <w:rPr>
          <w:spacing w:val="-2"/>
        </w:rPr>
        <w:t>且未达到重大疾病“</w:t>
      </w:r>
      <w:r>
        <w:rPr>
          <w:b/>
          <w:spacing w:val="-2"/>
        </w:rPr>
        <w:t>严重强直性脊柱炎</w:t>
      </w:r>
      <w:r>
        <w:rPr>
          <w:spacing w:val="-2"/>
        </w:rPr>
        <w:t>”的给付标准：</w:t>
      </w:r>
    </w:p>
    <w:p>
      <w:pPr>
        <w:pStyle w:val="ListParagraph"/>
        <w:numPr>
          <w:ilvl w:val="0"/>
          <w:numId w:val="48"/>
        </w:numPr>
        <w:tabs>
          <w:tab w:pos="792" w:val="left" w:leader="none"/>
        </w:tabs>
        <w:spacing w:line="269" w:lineRule="exact" w:before="0" w:after="0"/>
        <w:ind w:left="791" w:right="0" w:hanging="530"/>
        <w:jc w:val="left"/>
        <w:rPr>
          <w:sz w:val="21"/>
        </w:rPr>
      </w:pPr>
      <w:r>
        <w:rPr>
          <w:spacing w:val="-4"/>
          <w:sz w:val="21"/>
        </w:rPr>
        <w:t>严重脊柱畸形；</w:t>
      </w:r>
    </w:p>
    <w:p>
      <w:pPr>
        <w:pStyle w:val="ListParagraph"/>
        <w:numPr>
          <w:ilvl w:val="0"/>
          <w:numId w:val="48"/>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10"/>
        <w:rPr>
          <w:sz w:val="18"/>
        </w:rPr>
      </w:pPr>
    </w:p>
    <w:p>
      <w:pPr>
        <w:spacing w:after="0"/>
        <w:rPr>
          <w:sz w:val="18"/>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中度多发性硬</w:t>
      </w:r>
      <w:r>
        <w:rPr>
          <w:spacing w:val="-10"/>
          <w:sz w:val="21"/>
        </w:rPr>
        <w:t>化</w:t>
      </w:r>
    </w:p>
    <w:p>
      <w:pPr>
        <w:pStyle w:val="BodyText"/>
        <w:spacing w:line="278" w:lineRule="auto" w:before="72"/>
        <w:ind w:left="262" w:right="762"/>
        <w:jc w:val="both"/>
      </w:pPr>
      <w:r>
        <w:rPr/>
        <w:br w:type="column"/>
      </w:r>
      <w:r>
        <w:rPr>
          <w:spacing w:val="-2"/>
        </w:rPr>
        <w:t>被保险人因脑及脊髓内的脱髓鞘病变而出现神经系统多灶性（多发性）多时</w:t>
      </w:r>
      <w:r>
        <w:rPr>
          <w:spacing w:val="-2"/>
        </w:rPr>
        <w:t>相（</w:t>
      </w:r>
      <w:r>
        <w:rPr>
          <w:spacing w:val="-10"/>
        </w:rPr>
        <w:t>至少 </w:t>
      </w:r>
      <w:r>
        <w:rPr>
          <w:spacing w:val="-2"/>
        </w:rPr>
        <w:t>6</w:t>
      </w:r>
      <w:r>
        <w:rPr>
          <w:spacing w:val="-7"/>
        </w:rPr>
        <w:t> 个月以内有一次以上</w:t>
      </w:r>
      <w:r>
        <w:rPr>
          <w:spacing w:val="-2"/>
        </w:rPr>
        <w:t>（不包含一次）的发作）的病变，须由计算</w:t>
      </w:r>
      <w:r>
        <w:rPr>
          <w:spacing w:val="-2"/>
        </w:rPr>
        <w:t>机断层扫描（CT）、核磁共振检查（MRI）或正电子发射断层扫描（PET）等</w:t>
      </w:r>
      <w:r>
        <w:rPr>
          <w:spacing w:val="-2"/>
        </w:rPr>
        <w:t>影像学检查证实，已经造成自主生活能力完全丧失，且未达到重大疾病“</w:t>
      </w:r>
      <w:r>
        <w:rPr>
          <w:b/>
          <w:spacing w:val="-2"/>
        </w:rPr>
        <w:t>严</w:t>
      </w:r>
      <w:r>
        <w:rPr>
          <w:b/>
          <w:spacing w:val="-2"/>
        </w:rPr>
        <w:t>重多发性硬化</w:t>
      </w:r>
      <w:r>
        <w:rPr>
          <w:spacing w:val="-2"/>
        </w:rPr>
        <w:t>”的给付标准，无法独立完成六项基本日常生活活动中的两项</w:t>
      </w:r>
      <w:r>
        <w:rPr>
          <w:spacing w:val="-2"/>
        </w:rPr>
        <w:t>或两项以上，持续至少 </w:t>
      </w:r>
      <w:r>
        <w:rPr/>
        <w:t>180</w:t>
      </w:r>
      <w:r>
        <w:rPr>
          <w:spacing w:val="-7"/>
        </w:rPr>
        <w:t> 天。</w:t>
      </w:r>
    </w:p>
    <w:p>
      <w:pPr>
        <w:spacing w:after="0" w:line="278" w:lineRule="auto"/>
        <w:jc w:val="both"/>
        <w:sectPr>
          <w:type w:val="continuous"/>
          <w:pgSz w:w="11910" w:h="16840"/>
          <w:pgMar w:header="0" w:footer="404" w:top="600" w:bottom="280" w:left="860" w:right="340"/>
          <w:cols w:num="2" w:equalWidth="0">
            <w:col w:w="2698" w:space="40"/>
            <w:col w:w="7972"/>
          </w:cols>
        </w:sectPr>
      </w:pPr>
    </w:p>
    <w:p>
      <w:pPr>
        <w:pStyle w:val="BodyText"/>
        <w:spacing w:before="9"/>
        <w:rPr>
          <w:sz w:val="18"/>
        </w:rPr>
      </w:pPr>
    </w:p>
    <w:p>
      <w:pPr>
        <w:spacing w:after="0"/>
        <w:rPr>
          <w:sz w:val="18"/>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中度重症肌无</w:t>
      </w:r>
      <w:r>
        <w:rPr>
          <w:spacing w:val="-10"/>
          <w:sz w:val="21"/>
        </w:rPr>
        <w:t>力</w:t>
      </w:r>
    </w:p>
    <w:p>
      <w:pPr>
        <w:pStyle w:val="BodyText"/>
        <w:spacing w:line="278" w:lineRule="auto" w:before="71"/>
        <w:ind w:left="262" w:right="767"/>
      </w:pPr>
      <w:r>
        <w:rPr/>
        <w:br w:type="column"/>
      </w:r>
      <w:r>
        <w:rPr>
          <w:spacing w:val="-2"/>
        </w:rPr>
        <w:t>是一种神经与肌肉接头部位传递障碍的自身免疫性疾病，临床特征是局部或</w:t>
      </w:r>
      <w:r>
        <w:rPr>
          <w:spacing w:val="-3"/>
        </w:rPr>
        <w:t>全身横纹肌于活动时易于疲劳无力，颅神经眼外肌最易累及，也可涉及呼吸</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line="278" w:lineRule="auto" w:before="57"/>
        <w:ind w:left="3000" w:right="762"/>
        <w:jc w:val="both"/>
      </w:pPr>
      <w:r>
        <w:rPr>
          <w:spacing w:val="-2"/>
        </w:rPr>
        <w:t>肌、下肢近端肌群以至全身肌肉。该病必须在本公司认可医院内由专科医生</w:t>
      </w:r>
      <w:r>
        <w:rPr>
          <w:spacing w:val="-5"/>
        </w:rPr>
        <w:t>明确诊断，且疾病确诊 </w:t>
      </w:r>
      <w:r>
        <w:rPr>
          <w:spacing w:val="-2"/>
        </w:rPr>
        <w:t>180</w:t>
      </w:r>
      <w:r>
        <w:rPr>
          <w:spacing w:val="-7"/>
        </w:rPr>
        <w:t> 天后，仍然存在自主生活能力部分丧失，且未达</w:t>
      </w:r>
      <w:r>
        <w:rPr>
          <w:spacing w:val="-2"/>
        </w:rPr>
        <w:t>到重大疾病“</w:t>
      </w:r>
      <w:r>
        <w:rPr>
          <w:b/>
          <w:spacing w:val="-2"/>
        </w:rPr>
        <w:t>严重全身性重症肌无力</w:t>
      </w:r>
      <w:r>
        <w:rPr>
          <w:spacing w:val="-2"/>
        </w:rPr>
        <w:t>”的给付标准，无法独立完成六项基本</w:t>
      </w:r>
      <w:r>
        <w:rPr>
          <w:spacing w:val="-2"/>
        </w:rPr>
        <w:t>日常生活活动中的两项或两项以上。</w:t>
      </w:r>
    </w:p>
    <w:p>
      <w:pPr>
        <w:pStyle w:val="BodyText"/>
        <w:spacing w:before="10"/>
        <w:rPr>
          <w:sz w:val="17"/>
        </w:rPr>
      </w:pPr>
    </w:p>
    <w:p>
      <w:pPr>
        <w:pStyle w:val="Heading2"/>
        <w:numPr>
          <w:ilvl w:val="1"/>
          <w:numId w:val="40"/>
        </w:numPr>
        <w:tabs>
          <w:tab w:pos="1120" w:val="left" w:leader="none"/>
          <w:tab w:pos="1121" w:val="left" w:leader="none"/>
          <w:tab w:pos="3000" w:val="left" w:leader="none"/>
        </w:tabs>
        <w:spacing w:line="278" w:lineRule="auto" w:before="0" w:after="0"/>
        <w:ind w:left="3000" w:right="668" w:hanging="2733"/>
        <w:jc w:val="left"/>
      </w:pPr>
      <w:r>
        <w:rPr>
          <w:spacing w:val="-2"/>
        </w:rPr>
        <w:t>重</w:t>
      </w:r>
      <w:r>
        <w:rPr>
          <w:spacing w:val="-2"/>
        </w:rPr>
        <w:t>大</w:t>
      </w:r>
      <w:r>
        <w:rPr>
          <w:spacing w:val="-2"/>
        </w:rPr>
        <w:t>疾</w:t>
      </w:r>
      <w:r>
        <w:rPr>
          <w:spacing w:val="-2"/>
        </w:rPr>
        <w:t>病</w:t>
      </w:r>
      <w:r>
        <w:rPr>
          <w:spacing w:val="-2"/>
        </w:rPr>
        <w:t>定</w:t>
      </w:r>
      <w:r>
        <w:rPr>
          <w:spacing w:val="-2"/>
        </w:rPr>
        <w:t>义</w:t>
      </w:r>
      <w:r>
        <w:rPr/>
        <w:tab/>
        <w:t>本合同保障的重大疾</w:t>
      </w:r>
      <w:r>
        <w:rPr/>
        <w:t>病共</w:t>
      </w:r>
      <w:r>
        <w:rPr>
          <w:spacing w:val="-33"/>
        </w:rPr>
        <w:t> </w:t>
      </w:r>
      <w:r>
        <w:rPr/>
        <w:t>110</w:t>
      </w:r>
      <w:r>
        <w:rPr>
          <w:spacing w:val="-30"/>
        </w:rPr>
        <w:t> </w:t>
      </w:r>
      <w:r>
        <w:rPr/>
        <w:t>种，是指被保险人在</w:t>
      </w:r>
      <w:r>
        <w:rPr/>
        <w:t>本公司认可的医疗机</w:t>
      </w:r>
      <w:r>
        <w:rPr/>
        <w:t>构内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病、疾病</w:t>
      </w:r>
      <w:r>
        <w:rPr>
          <w:spacing w:val="-2"/>
        </w:rPr>
        <w:t>状</w:t>
      </w:r>
      <w:r>
        <w:rPr>
          <w:spacing w:val="-2"/>
        </w:rPr>
        <w:t>态</w:t>
      </w:r>
      <w:r>
        <w:rPr>
          <w:spacing w:val="-2"/>
        </w:rPr>
        <w:t>或</w:t>
      </w:r>
      <w:r>
        <w:rPr>
          <w:spacing w:val="-2"/>
        </w:rPr>
        <w:t>手</w:t>
      </w:r>
      <w:r>
        <w:rPr>
          <w:spacing w:val="-2"/>
        </w:rPr>
        <w:t>术</w:t>
      </w:r>
      <w:r>
        <w:rPr>
          <w:spacing w:val="-2"/>
        </w:rPr>
        <w:t>：其</w:t>
      </w:r>
      <w:r>
        <w:rPr>
          <w:spacing w:val="-2"/>
        </w:rPr>
        <w:t>中</w:t>
      </w:r>
      <w:r>
        <w:rPr>
          <w:spacing w:val="-2"/>
        </w:rPr>
        <w:t>前</w:t>
      </w:r>
      <w:r>
        <w:rPr>
          <w:spacing w:val="-50"/>
        </w:rPr>
        <w:t> </w:t>
      </w:r>
      <w:r>
        <w:rPr>
          <w:spacing w:val="-2"/>
        </w:rPr>
        <w:t>28</w:t>
      </w:r>
      <w:r>
        <w:rPr>
          <w:spacing w:val="-51"/>
        </w:rPr>
        <w:t> </w:t>
      </w:r>
      <w:r>
        <w:rPr>
          <w:spacing w:val="-2"/>
        </w:rPr>
        <w:t>种</w:t>
      </w:r>
      <w:r>
        <w:rPr/>
        <w:t>重大疾病与《重大疾病保</w:t>
      </w:r>
      <w:r>
        <w:rPr/>
        <w:t>险的疾病定义使用规</w:t>
      </w:r>
      <w:r>
        <w:rPr/>
        <w:t>范（2020</w:t>
      </w:r>
      <w:r>
        <w:rPr>
          <w:spacing w:val="-53"/>
        </w:rPr>
        <w:t> </w:t>
      </w:r>
      <w:r>
        <w:rPr/>
        <w:t>年修订版）》中重大</w:t>
      </w:r>
      <w:r>
        <w:rPr>
          <w:spacing w:val="-2"/>
        </w:rPr>
        <w:t>疾</w:t>
      </w:r>
      <w:r>
        <w:rPr>
          <w:spacing w:val="-2"/>
        </w:rPr>
        <w:t>病</w:t>
      </w:r>
      <w:r>
        <w:rPr>
          <w:spacing w:val="-2"/>
        </w:rPr>
        <w:t>的</w:t>
      </w:r>
      <w:r>
        <w:rPr>
          <w:spacing w:val="-2"/>
        </w:rPr>
        <w:t>疾</w:t>
      </w:r>
      <w:r>
        <w:rPr>
          <w:spacing w:val="-2"/>
        </w:rPr>
        <w:t>病</w:t>
      </w:r>
      <w:r>
        <w:rPr>
          <w:spacing w:val="-2"/>
        </w:rPr>
        <w:t>名</w:t>
      </w:r>
      <w:r>
        <w:rPr>
          <w:spacing w:val="-2"/>
        </w:rPr>
        <w:t>称</w:t>
      </w:r>
      <w:r>
        <w:rPr>
          <w:spacing w:val="-2"/>
        </w:rPr>
        <w:t>和</w:t>
      </w:r>
      <w:r>
        <w:rPr>
          <w:spacing w:val="-2"/>
        </w:rPr>
        <w:t>疾病定</w:t>
      </w:r>
      <w:r>
        <w:rPr>
          <w:spacing w:val="-2"/>
        </w:rPr>
        <w:t>义</w:t>
      </w:r>
      <w:r>
        <w:rPr>
          <w:spacing w:val="-2"/>
        </w:rPr>
        <w:t>保</w:t>
      </w:r>
      <w:r>
        <w:rPr>
          <w:spacing w:val="-2"/>
        </w:rPr>
        <w:t>持</w:t>
      </w:r>
      <w:r>
        <w:rPr>
          <w:spacing w:val="-2"/>
        </w:rPr>
        <w:t>一</w:t>
      </w:r>
      <w:r>
        <w:rPr>
          <w:spacing w:val="-2"/>
        </w:rPr>
        <w:t>致</w:t>
      </w:r>
      <w:r>
        <w:rPr>
          <w:spacing w:val="-2"/>
        </w:rPr>
        <w:t>，</w:t>
      </w:r>
      <w:r>
        <w:rPr>
          <w:spacing w:val="-2"/>
        </w:rPr>
        <w:t>其</w:t>
      </w:r>
      <w:r>
        <w:rPr>
          <w:spacing w:val="-2"/>
        </w:rPr>
        <w:t>他</w:t>
      </w:r>
      <w:r>
        <w:rPr>
          <w:spacing w:val="-2"/>
        </w:rPr>
        <w:t>重大疾</w:t>
      </w:r>
      <w:r>
        <w:rPr>
          <w:spacing w:val="-2"/>
        </w:rPr>
        <w:t>病</w:t>
      </w:r>
      <w:r>
        <w:rPr>
          <w:spacing w:val="-2"/>
        </w:rPr>
        <w:t>为</w:t>
      </w:r>
      <w:r>
        <w:rPr>
          <w:spacing w:val="-2"/>
        </w:rPr>
        <w:t>本</w:t>
      </w:r>
      <w:r>
        <w:rPr>
          <w:spacing w:val="-2"/>
        </w:rPr>
        <w:t>公</w:t>
      </w:r>
      <w:r>
        <w:rPr>
          <w:spacing w:val="-2"/>
        </w:rPr>
        <w:t>司</w:t>
      </w:r>
      <w:r>
        <w:rPr>
          <w:spacing w:val="-2"/>
        </w:rPr>
        <w:t>增</w:t>
      </w:r>
      <w:r>
        <w:rPr>
          <w:spacing w:val="-2"/>
        </w:rPr>
        <w:t>加</w:t>
      </w:r>
      <w:r>
        <w:rPr>
          <w:spacing w:val="-2"/>
        </w:rPr>
        <w:t>的</w:t>
      </w:r>
      <w:r>
        <w:rPr>
          <w:spacing w:val="-2"/>
        </w:rPr>
        <w:t>重</w:t>
      </w:r>
      <w:r>
        <w:rPr>
          <w:spacing w:val="-2"/>
        </w:rPr>
        <w:t>大</w:t>
      </w:r>
      <w:r>
        <w:rPr>
          <w:spacing w:val="-2"/>
        </w:rPr>
        <w:t>疾</w:t>
      </w:r>
      <w:r>
        <w:rPr>
          <w:spacing w:val="-6"/>
        </w:rPr>
        <w:t>病</w:t>
      </w:r>
      <w:r>
        <w:rPr>
          <w:spacing w:val="-6"/>
        </w:rPr>
        <w:t>。</w:t>
      </w:r>
    </w:p>
    <w:p>
      <w:pPr>
        <w:pStyle w:val="BodyText"/>
        <w:spacing w:before="2"/>
        <w:rPr>
          <w:b/>
          <w:sz w:val="12"/>
        </w:rPr>
      </w:pPr>
    </w:p>
    <w:p>
      <w:pPr>
        <w:spacing w:after="0"/>
        <w:rPr>
          <w:sz w:val="12"/>
        </w:rPr>
        <w:sectPr>
          <w:pgSz w:w="11910" w:h="16840"/>
          <w:pgMar w:header="0" w:footer="404" w:top="1080" w:bottom="600" w:left="860" w:right="340"/>
        </w:sectPr>
      </w:pPr>
    </w:p>
    <w:p>
      <w:pPr>
        <w:pStyle w:val="ListParagraph"/>
        <w:numPr>
          <w:ilvl w:val="2"/>
          <w:numId w:val="40"/>
        </w:numPr>
        <w:tabs>
          <w:tab w:pos="1370" w:val="left" w:leader="none"/>
        </w:tabs>
        <w:spacing w:line="278" w:lineRule="auto" w:before="72" w:after="0"/>
        <w:ind w:left="1120" w:right="0" w:firstLine="0"/>
        <w:jc w:val="left"/>
        <w:rPr>
          <w:sz w:val="21"/>
        </w:rPr>
      </w:pPr>
      <w:r>
        <w:rPr>
          <w:spacing w:val="22"/>
          <w:sz w:val="21"/>
        </w:rPr>
        <w:t>恶性肿瘤——</w:t>
      </w:r>
      <w:r>
        <w:rPr>
          <w:spacing w:val="-6"/>
          <w:sz w:val="21"/>
        </w:rPr>
        <w:t>重度</w:t>
      </w:r>
    </w:p>
    <w:p>
      <w:pPr>
        <w:pStyle w:val="BodyText"/>
        <w:spacing w:line="278" w:lineRule="auto" w:before="72"/>
        <w:ind w:left="174" w:right="563"/>
      </w:pPr>
      <w:r>
        <w:rPr/>
        <w:br w:type="column"/>
      </w:r>
      <w:r>
        <w:rPr>
          <w:w w:val="100"/>
        </w:rPr>
        <w:t>指恶性细胞不受控制的进行性增长和扩散，浸润和破坏周围正常组织，可以</w:t>
      </w:r>
      <w:r>
        <w:rPr>
          <w:spacing w:val="-10"/>
          <w:w w:val="100"/>
        </w:rPr>
        <w:t>经血管、淋巴管和体腔扩散转移到身体其他部位，病灶经组织病理学检查</w:t>
      </w:r>
      <w:r>
        <w:rPr>
          <w:spacing w:val="-5"/>
          <w:w w:val="100"/>
        </w:rPr>
        <w:t>（</w:t>
      </w:r>
      <w:r>
        <w:rPr>
          <w:w w:val="100"/>
        </w:rPr>
        <w:t>涵</w:t>
      </w:r>
      <w:r>
        <w:rPr>
          <w:spacing w:val="-3"/>
          <w:w w:val="100"/>
        </w:rPr>
        <w:t>盖骨髓病理学检查</w:t>
      </w:r>
      <w:r>
        <w:rPr>
          <w:spacing w:val="-53"/>
          <w:w w:val="100"/>
        </w:rPr>
        <w:t>）</w:t>
      </w:r>
      <w:r>
        <w:rPr>
          <w:spacing w:val="-12"/>
          <w:w w:val="100"/>
        </w:rPr>
        <w:t>结果明确诊断，临床诊断属于世界卫生组织</w:t>
      </w:r>
      <w:r>
        <w:rPr>
          <w:spacing w:val="-1"/>
          <w:w w:val="100"/>
        </w:rPr>
        <w:t>（</w:t>
      </w:r>
      <w:r>
        <w:rPr>
          <w:w w:val="100"/>
        </w:rPr>
        <w:t>WH</w:t>
      </w:r>
      <w:r>
        <w:rPr>
          <w:spacing w:val="-3"/>
          <w:w w:val="100"/>
        </w:rPr>
        <w:t>O</w:t>
      </w:r>
      <w:r>
        <w:rPr>
          <w:w w:val="100"/>
        </w:rPr>
        <w:t>，</w:t>
      </w:r>
      <w:r>
        <w:rPr>
          <w:spacing w:val="-53"/>
        </w:rPr>
        <w:t> </w:t>
      </w:r>
      <w:r>
        <w:rPr>
          <w:spacing w:val="-3"/>
          <w:w w:val="100"/>
        </w:rPr>
        <w:t>W</w:t>
      </w:r>
      <w:r>
        <w:rPr>
          <w:w w:val="100"/>
        </w:rPr>
        <w:t>or</w:t>
      </w:r>
      <w:r>
        <w:rPr>
          <w:spacing w:val="-3"/>
          <w:w w:val="100"/>
        </w:rPr>
        <w:t>l</w:t>
      </w:r>
      <w:r>
        <w:rPr>
          <w:w w:val="100"/>
        </w:rPr>
        <w:t>d Health</w:t>
      </w:r>
      <w:r>
        <w:rPr>
          <w:spacing w:val="-5"/>
        </w:rPr>
        <w:t> </w:t>
      </w:r>
      <w:r>
        <w:rPr>
          <w:w w:val="100"/>
        </w:rPr>
        <w:t>Or</w:t>
      </w:r>
      <w:r>
        <w:rPr>
          <w:spacing w:val="-3"/>
          <w:w w:val="100"/>
        </w:rPr>
        <w:t>g</w:t>
      </w:r>
      <w:r>
        <w:rPr>
          <w:w w:val="100"/>
        </w:rPr>
        <w:t>ani</w:t>
      </w:r>
      <w:r>
        <w:rPr>
          <w:spacing w:val="-3"/>
          <w:w w:val="100"/>
        </w:rPr>
        <w:t>z</w:t>
      </w:r>
      <w:r>
        <w:rPr>
          <w:w w:val="100"/>
        </w:rPr>
        <w:t>ati</w:t>
      </w:r>
      <w:r>
        <w:rPr>
          <w:spacing w:val="-3"/>
          <w:w w:val="100"/>
        </w:rPr>
        <w:t>o</w:t>
      </w:r>
      <w:r>
        <w:rPr>
          <w:spacing w:val="-1"/>
          <w:w w:val="100"/>
        </w:rPr>
        <w:t>n</w:t>
      </w:r>
      <w:r>
        <w:rPr>
          <w:spacing w:val="-3"/>
          <w:w w:val="100"/>
        </w:rPr>
        <w:t>）《疾病和有关健康问题的国际统计分类》第十次修订</w:t>
      </w:r>
      <w:r>
        <w:rPr>
          <w:spacing w:val="-63"/>
          <w:w w:val="100"/>
        </w:rPr>
        <w:t>版</w:t>
      </w:r>
      <w:r>
        <w:rPr>
          <w:spacing w:val="-3"/>
          <w:w w:val="100"/>
        </w:rPr>
        <w:t>（</w:t>
      </w:r>
      <w:r>
        <w:rPr>
          <w:w w:val="100"/>
        </w:rPr>
        <w:t>ICD</w:t>
      </w:r>
      <w:r>
        <w:rPr>
          <w:spacing w:val="-3"/>
          <w:w w:val="100"/>
        </w:rPr>
        <w:t>-</w:t>
      </w:r>
      <w:r>
        <w:rPr>
          <w:w w:val="100"/>
        </w:rPr>
        <w:t>1</w:t>
      </w:r>
      <w:r>
        <w:rPr>
          <w:spacing w:val="-3"/>
          <w:w w:val="100"/>
        </w:rPr>
        <w:t>0</w:t>
      </w:r>
      <w:r>
        <w:rPr>
          <w:spacing w:val="-63"/>
          <w:w w:val="100"/>
        </w:rPr>
        <w:t>）</w:t>
      </w:r>
      <w:r>
        <w:rPr>
          <w:spacing w:val="-16"/>
          <w:w w:val="100"/>
        </w:rPr>
        <w:t>的恶性肿瘤类别及《国际疾病分类肿瘤学专辑》第三版</w:t>
      </w:r>
      <w:r>
        <w:rPr>
          <w:w w:val="100"/>
        </w:rPr>
        <w:t>（I</w:t>
      </w:r>
      <w:r>
        <w:rPr>
          <w:spacing w:val="-3"/>
          <w:w w:val="100"/>
        </w:rPr>
        <w:t>C</w:t>
      </w:r>
      <w:r>
        <w:rPr>
          <w:spacing w:val="-1"/>
          <w:w w:val="100"/>
        </w:rPr>
        <w:t>D</w:t>
      </w:r>
      <w:r>
        <w:rPr>
          <w:w w:val="100"/>
        </w:rPr>
        <w:t>-O</w:t>
      </w:r>
      <w:r>
        <w:rPr>
          <w:spacing w:val="-3"/>
          <w:w w:val="100"/>
        </w:rPr>
        <w:t>-</w:t>
      </w:r>
      <w:r>
        <w:rPr>
          <w:w w:val="100"/>
        </w:rPr>
        <w:t>3）</w:t>
      </w:r>
      <w:r>
        <w:rPr>
          <w:spacing w:val="-3"/>
          <w:w w:val="100"/>
        </w:rPr>
        <w:t>的肿瘤形态学编码属于</w:t>
      </w:r>
      <w:r>
        <w:rPr>
          <w:spacing w:val="-53"/>
        </w:rPr>
        <w:t> </w:t>
      </w:r>
      <w:r>
        <w:rPr>
          <w:spacing w:val="-3"/>
          <w:w w:val="100"/>
        </w:rPr>
        <w:t>3</w:t>
      </w:r>
      <w:r>
        <w:rPr>
          <w:w w:val="100"/>
        </w:rPr>
        <w:t>、6、</w:t>
      </w:r>
      <w:r>
        <w:rPr>
          <w:spacing w:val="-3"/>
          <w:w w:val="100"/>
        </w:rPr>
        <w:t>9</w:t>
      </w:r>
      <w:r>
        <w:rPr>
          <w:w w:val="100"/>
        </w:rPr>
        <w:t>（</w:t>
      </w:r>
      <w:r>
        <w:rPr>
          <w:spacing w:val="-3"/>
          <w:w w:val="100"/>
        </w:rPr>
        <w:t>恶性肿瘤）范畴的疾病。</w:t>
      </w:r>
    </w:p>
    <w:p>
      <w:pPr>
        <w:spacing w:before="0"/>
        <w:ind w:left="174" w:right="0" w:firstLine="0"/>
        <w:jc w:val="left"/>
        <w:rPr>
          <w:b/>
          <w:sz w:val="21"/>
        </w:rPr>
      </w:pPr>
      <w:r>
        <w:rPr>
          <w:b/>
          <w:spacing w:val="-3"/>
          <w:sz w:val="21"/>
        </w:rPr>
        <w:t>下列疾病不属于“恶性肿瘤——重度”，不在保障范围内：</w:t>
      </w:r>
    </w:p>
    <w:p>
      <w:pPr>
        <w:pStyle w:val="ListParagraph"/>
        <w:numPr>
          <w:ilvl w:val="0"/>
          <w:numId w:val="49"/>
        </w:numPr>
        <w:tabs>
          <w:tab w:pos="704" w:val="left" w:leader="none"/>
        </w:tabs>
        <w:spacing w:line="278" w:lineRule="auto" w:before="43" w:after="0"/>
        <w:ind w:left="702" w:right="632" w:hanging="528"/>
        <w:jc w:val="left"/>
        <w:rPr>
          <w:b/>
          <w:sz w:val="21"/>
        </w:rPr>
      </w:pPr>
      <w:r>
        <w:rPr>
          <w:b/>
          <w:sz w:val="21"/>
        </w:rPr>
        <w:t>ICD-O-3</w:t>
      </w:r>
      <w:r>
        <w:rPr>
          <w:b/>
          <w:spacing w:val="-13"/>
          <w:sz w:val="21"/>
        </w:rPr>
        <w:t> 肿瘤形态学编码属于 </w:t>
      </w:r>
      <w:r>
        <w:rPr>
          <w:b/>
          <w:sz w:val="21"/>
        </w:rPr>
        <w:t>0（良性肿瘤）、1（动态未定性肿瘤）</w:t>
      </w:r>
      <w:r>
        <w:rPr>
          <w:b/>
          <w:sz w:val="21"/>
        </w:rPr>
        <w:t>、 </w:t>
      </w:r>
      <w:r>
        <w:rPr>
          <w:b/>
          <w:spacing w:val="-2"/>
          <w:sz w:val="21"/>
        </w:rPr>
        <w:t>2（原位癌和非侵袭性癌）范畴的疾病，如：</w:t>
      </w:r>
    </w:p>
    <w:p>
      <w:pPr>
        <w:pStyle w:val="ListParagraph"/>
        <w:numPr>
          <w:ilvl w:val="1"/>
          <w:numId w:val="49"/>
        </w:numPr>
        <w:tabs>
          <w:tab w:pos="912" w:val="left" w:leader="none"/>
        </w:tabs>
        <w:spacing w:line="278" w:lineRule="auto" w:before="0" w:after="0"/>
        <w:ind w:left="699" w:right="667" w:firstLine="0"/>
        <w:jc w:val="left"/>
        <w:rPr>
          <w:b/>
          <w:sz w:val="21"/>
        </w:rPr>
      </w:pPr>
      <w:r>
        <w:rPr>
          <w:b/>
          <w:spacing w:val="-2"/>
          <w:sz w:val="21"/>
        </w:rPr>
        <w:t>原位癌，癌前病变，非浸润性癌，非侵袭性癌，肿瘤细胞未侵犯基底</w:t>
      </w:r>
      <w:r>
        <w:rPr>
          <w:b/>
          <w:spacing w:val="-2"/>
          <w:sz w:val="21"/>
        </w:rPr>
        <w:t>层，上皮内瘤变，细胞不典型性增生等；</w:t>
      </w:r>
    </w:p>
    <w:p>
      <w:pPr>
        <w:pStyle w:val="ListParagraph"/>
        <w:numPr>
          <w:ilvl w:val="1"/>
          <w:numId w:val="49"/>
        </w:numPr>
        <w:tabs>
          <w:tab w:pos="912" w:val="left" w:leader="none"/>
        </w:tabs>
        <w:spacing w:line="278" w:lineRule="auto" w:before="0" w:after="0"/>
        <w:ind w:left="699" w:right="666" w:firstLine="0"/>
        <w:jc w:val="left"/>
        <w:rPr>
          <w:b/>
          <w:sz w:val="21"/>
        </w:rPr>
      </w:pPr>
      <w:r>
        <w:rPr>
          <w:b/>
          <w:spacing w:val="-2"/>
          <w:sz w:val="21"/>
        </w:rPr>
        <w:t>交界性肿瘤，交界恶性肿瘤，肿瘤低度恶性潜能，潜在低度恶性肿瘤</w:t>
      </w:r>
      <w:r>
        <w:rPr>
          <w:b/>
          <w:spacing w:val="-6"/>
          <w:sz w:val="21"/>
        </w:rPr>
        <w:t>等；</w:t>
      </w:r>
    </w:p>
    <w:p>
      <w:pPr>
        <w:pStyle w:val="ListParagraph"/>
        <w:numPr>
          <w:ilvl w:val="0"/>
          <w:numId w:val="49"/>
        </w:numPr>
        <w:tabs>
          <w:tab w:pos="704" w:val="left" w:leader="none"/>
        </w:tabs>
        <w:spacing w:line="269" w:lineRule="exact" w:before="0" w:after="0"/>
        <w:ind w:left="703" w:right="0" w:hanging="530"/>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ListParagraph"/>
        <w:numPr>
          <w:ilvl w:val="0"/>
          <w:numId w:val="49"/>
        </w:numPr>
        <w:tabs>
          <w:tab w:pos="704" w:val="left" w:leader="none"/>
        </w:tabs>
        <w:spacing w:line="240" w:lineRule="auto" w:before="42" w:after="0"/>
        <w:ind w:left="703" w:right="0" w:hanging="530"/>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49"/>
        </w:numPr>
        <w:tabs>
          <w:tab w:pos="704" w:val="left" w:leader="none"/>
        </w:tabs>
        <w:spacing w:line="240" w:lineRule="auto" w:before="43" w:after="0"/>
        <w:ind w:left="703" w:right="0" w:hanging="530"/>
        <w:jc w:val="left"/>
        <w:rPr>
          <w:b/>
          <w:sz w:val="21"/>
        </w:rPr>
      </w:pPr>
      <w:r>
        <w:rPr>
          <w:b/>
          <w:spacing w:val="-3"/>
          <w:sz w:val="21"/>
        </w:rPr>
        <w:t>黑色素瘤以外的未发生淋巴结和远处转移的皮肤恶性肿瘤；</w:t>
      </w:r>
    </w:p>
    <w:p>
      <w:pPr>
        <w:pStyle w:val="ListParagraph"/>
        <w:numPr>
          <w:ilvl w:val="0"/>
          <w:numId w:val="49"/>
        </w:numPr>
        <w:tabs>
          <w:tab w:pos="704" w:val="left" w:leader="none"/>
        </w:tabs>
        <w:spacing w:line="240" w:lineRule="auto" w:before="43" w:after="0"/>
        <w:ind w:left="703" w:right="0" w:hanging="530"/>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49"/>
        </w:numPr>
        <w:tabs>
          <w:tab w:pos="704" w:val="left" w:leader="none"/>
        </w:tabs>
        <w:spacing w:line="240" w:lineRule="auto" w:before="43" w:after="0"/>
        <w:ind w:left="703" w:right="0" w:hanging="530"/>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49"/>
        </w:numPr>
        <w:tabs>
          <w:tab w:pos="704" w:val="left" w:leader="none"/>
        </w:tabs>
        <w:spacing w:line="240" w:lineRule="auto" w:before="43" w:after="0"/>
        <w:ind w:left="703" w:right="0" w:hanging="530"/>
        <w:jc w:val="left"/>
        <w:rPr>
          <w:b/>
          <w:sz w:val="21"/>
        </w:rPr>
      </w:pPr>
      <w:r>
        <w:rPr>
          <w:b/>
          <w:spacing w:val="-3"/>
          <w:sz w:val="21"/>
        </w:rPr>
        <w:t>未发生淋巴结和远处转移且 </w:t>
      </w:r>
      <w:r>
        <w:rPr>
          <w:b/>
          <w:sz w:val="21"/>
        </w:rPr>
        <w:t>WHO</w:t>
      </w:r>
      <w:r>
        <w:rPr>
          <w:b/>
          <w:spacing w:val="-16"/>
          <w:sz w:val="21"/>
        </w:rPr>
        <w:t> 分级为 </w:t>
      </w:r>
      <w:r>
        <w:rPr>
          <w:b/>
          <w:sz w:val="21"/>
        </w:rPr>
        <w:t>G1</w:t>
      </w:r>
      <w:r>
        <w:rPr>
          <w:b/>
          <w:spacing w:val="-13"/>
          <w:sz w:val="21"/>
        </w:rPr>
        <w:t> 级别</w:t>
      </w:r>
      <w:r>
        <w:rPr>
          <w:b/>
          <w:sz w:val="21"/>
        </w:rPr>
        <w:t>（核分裂像&lt;10/50</w:t>
      </w:r>
      <w:r>
        <w:rPr>
          <w:b/>
          <w:spacing w:val="-19"/>
          <w:sz w:val="21"/>
        </w:rPr>
        <w:t> </w:t>
      </w:r>
      <w:r>
        <w:rPr>
          <w:b/>
          <w:spacing w:val="-5"/>
          <w:sz w:val="21"/>
        </w:rPr>
        <w:t>HPF</w:t>
      </w:r>
    </w:p>
    <w:p>
      <w:pPr>
        <w:spacing w:before="43"/>
        <w:ind w:left="702" w:right="0" w:firstLine="0"/>
        <w:jc w:val="left"/>
        <w:rPr>
          <w:b/>
          <w:sz w:val="21"/>
        </w:rPr>
      </w:pPr>
      <w:r>
        <w:rPr>
          <w:b/>
          <w:w w:val="95"/>
          <w:sz w:val="21"/>
        </w:rPr>
        <w:t>和</w:t>
      </w:r>
      <w:r>
        <w:rPr>
          <w:b/>
          <w:spacing w:val="16"/>
          <w:sz w:val="21"/>
        </w:rPr>
        <w:t>  </w:t>
      </w:r>
      <w:r>
        <w:rPr>
          <w:b/>
          <w:w w:val="95"/>
          <w:sz w:val="21"/>
        </w:rPr>
        <w:t>ki-67≤2%）</w:t>
      </w:r>
      <w:r>
        <w:rPr>
          <w:b/>
          <w:w w:val="95"/>
          <w:sz w:val="21"/>
        </w:rPr>
        <w:t>或</w:t>
      </w:r>
      <w:r>
        <w:rPr>
          <w:b/>
          <w:w w:val="95"/>
          <w:sz w:val="21"/>
        </w:rPr>
        <w:t>更</w:t>
      </w:r>
      <w:r>
        <w:rPr>
          <w:b/>
          <w:w w:val="95"/>
          <w:sz w:val="21"/>
        </w:rPr>
        <w:t>轻</w:t>
      </w:r>
      <w:r>
        <w:rPr>
          <w:b/>
          <w:w w:val="95"/>
          <w:sz w:val="21"/>
        </w:rPr>
        <w:t>分</w:t>
      </w:r>
      <w:r>
        <w:rPr>
          <w:b/>
          <w:w w:val="95"/>
          <w:sz w:val="21"/>
        </w:rPr>
        <w:t>级</w:t>
      </w:r>
      <w:r>
        <w:rPr>
          <w:b/>
          <w:w w:val="95"/>
          <w:sz w:val="21"/>
        </w:rPr>
        <w:t>的</w:t>
      </w:r>
      <w:r>
        <w:rPr>
          <w:b/>
          <w:w w:val="95"/>
          <w:sz w:val="21"/>
        </w:rPr>
        <w:t>神</w:t>
      </w:r>
      <w:r>
        <w:rPr>
          <w:b/>
          <w:w w:val="95"/>
          <w:sz w:val="21"/>
        </w:rPr>
        <w:t>经</w:t>
      </w:r>
      <w:r>
        <w:rPr>
          <w:b/>
          <w:w w:val="95"/>
          <w:sz w:val="21"/>
        </w:rPr>
        <w:t>内</w:t>
      </w:r>
      <w:r>
        <w:rPr>
          <w:b/>
          <w:w w:val="95"/>
          <w:sz w:val="21"/>
        </w:rPr>
        <w:t>分</w:t>
      </w:r>
      <w:r>
        <w:rPr>
          <w:b/>
          <w:w w:val="95"/>
          <w:sz w:val="21"/>
        </w:rPr>
        <w:t>泌</w:t>
      </w:r>
      <w:r>
        <w:rPr>
          <w:b/>
          <w:w w:val="95"/>
          <w:sz w:val="21"/>
        </w:rPr>
        <w:t>肿</w:t>
      </w:r>
      <w:r>
        <w:rPr>
          <w:b/>
          <w:spacing w:val="-5"/>
          <w:w w:val="95"/>
          <w:sz w:val="21"/>
        </w:rPr>
        <w:t>瘤。</w:t>
      </w:r>
    </w:p>
    <w:p>
      <w:pPr>
        <w:spacing w:after="0"/>
        <w:jc w:val="left"/>
        <w:rPr>
          <w:sz w:val="21"/>
        </w:rPr>
        <w:sectPr>
          <w:type w:val="continuous"/>
          <w:pgSz w:w="11910" w:h="16840"/>
          <w:pgMar w:header="0" w:footer="404" w:top="600" w:bottom="280" w:left="860" w:right="340"/>
          <w:cols w:num="2" w:equalWidth="0">
            <w:col w:w="2787" w:space="40"/>
            <w:col w:w="7883"/>
          </w:cols>
        </w:sectPr>
      </w:pPr>
    </w:p>
    <w:p>
      <w:pPr>
        <w:pStyle w:val="BodyText"/>
        <w:spacing w:before="5"/>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2" w:after="0"/>
        <w:ind w:left="1120" w:right="0" w:firstLine="0"/>
        <w:jc w:val="left"/>
        <w:rPr>
          <w:sz w:val="21"/>
        </w:rPr>
      </w:pPr>
      <w:r>
        <w:rPr>
          <w:spacing w:val="24"/>
          <w:sz w:val="21"/>
        </w:rPr>
        <w:t>较重急性心肌</w:t>
      </w:r>
      <w:r>
        <w:rPr>
          <w:spacing w:val="-6"/>
          <w:sz w:val="21"/>
        </w:rPr>
        <w:t>梗死</w:t>
      </w:r>
    </w:p>
    <w:p>
      <w:pPr>
        <w:pStyle w:val="BodyText"/>
        <w:spacing w:line="278" w:lineRule="auto" w:before="72"/>
        <w:ind w:left="142"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142" w:right="667"/>
      </w:pPr>
      <w:r>
        <w:rPr>
          <w:spacing w:val="-2"/>
        </w:rPr>
        <w:t>较重急性心肌梗死指依照上述标准被明确诊断为急性心肌梗死，并且必须同</w:t>
      </w:r>
      <w:r>
        <w:rPr>
          <w:spacing w:val="-2"/>
        </w:rPr>
        <w:t>时满足下列至少一项条件：</w:t>
      </w:r>
    </w:p>
    <w:p>
      <w:pPr>
        <w:pStyle w:val="ListParagraph"/>
        <w:numPr>
          <w:ilvl w:val="0"/>
          <w:numId w:val="50"/>
        </w:numPr>
        <w:tabs>
          <w:tab w:pos="679" w:val="left" w:leader="none"/>
        </w:tabs>
        <w:spacing w:line="278" w:lineRule="auto" w:before="0" w:after="0"/>
        <w:ind w:left="668" w:right="673" w:hanging="526"/>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0"/>
          <w:sz w:val="21"/>
        </w:rPr>
        <w:t> 倍</w:t>
      </w:r>
      <w:r>
        <w:rPr>
          <w:sz w:val="21"/>
        </w:rPr>
        <w:t>（含）以上；</w:t>
      </w:r>
    </w:p>
    <w:p>
      <w:pPr>
        <w:pStyle w:val="ListParagraph"/>
        <w:numPr>
          <w:ilvl w:val="0"/>
          <w:numId w:val="50"/>
        </w:numPr>
        <w:tabs>
          <w:tab w:pos="679" w:val="left" w:leader="none"/>
        </w:tabs>
        <w:spacing w:line="278" w:lineRule="auto" w:before="0" w:after="0"/>
        <w:ind w:left="668" w:right="666" w:hanging="526"/>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1"/>
          <w:sz w:val="21"/>
        </w:rPr>
        <w:t> 倍</w:t>
      </w:r>
      <w:r>
        <w:rPr>
          <w:sz w:val="21"/>
        </w:rPr>
        <w:t>（含）以上；</w:t>
      </w:r>
    </w:p>
    <w:p>
      <w:pPr>
        <w:pStyle w:val="ListParagraph"/>
        <w:numPr>
          <w:ilvl w:val="0"/>
          <w:numId w:val="50"/>
        </w:numPr>
        <w:tabs>
          <w:tab w:pos="672" w:val="left" w:leader="none"/>
        </w:tabs>
        <w:spacing w:line="278" w:lineRule="auto" w:before="0" w:after="0"/>
        <w:ind w:left="668" w:right="563" w:hanging="526"/>
        <w:jc w:val="left"/>
        <w:rPr>
          <w:sz w:val="21"/>
        </w:rPr>
      </w:pPr>
      <w:r>
        <w:rPr>
          <w:spacing w:val="-2"/>
          <w:sz w:val="21"/>
        </w:rPr>
        <w:t>出现左心室收缩功能下降，在确诊 </w:t>
      </w:r>
      <w:r>
        <w:rPr>
          <w:sz w:val="21"/>
        </w:rPr>
        <w:t>6</w:t>
      </w:r>
      <w:r>
        <w:rPr>
          <w:spacing w:val="-5"/>
          <w:sz w:val="21"/>
        </w:rPr>
        <w:t> 周以后，检测左室射血分数</w:t>
      </w:r>
      <w:r>
        <w:rPr>
          <w:sz w:val="21"/>
        </w:rPr>
        <w:t>（LVEF）</w:t>
      </w:r>
      <w:r>
        <w:rPr>
          <w:spacing w:val="-15"/>
          <w:sz w:val="21"/>
        </w:rPr>
        <w:t>低于 </w:t>
      </w:r>
      <w:r>
        <w:rPr>
          <w:sz w:val="21"/>
        </w:rPr>
        <w:t>50%（不含）；</w:t>
      </w:r>
    </w:p>
    <w:p>
      <w:pPr>
        <w:spacing w:after="0" w:line="278" w:lineRule="auto"/>
        <w:jc w:val="left"/>
        <w:rPr>
          <w:sz w:val="21"/>
        </w:rPr>
        <w:sectPr>
          <w:type w:val="continuous"/>
          <w:pgSz w:w="11910" w:h="16840"/>
          <w:pgMar w:header="0" w:footer="404" w:top="600" w:bottom="280" w:left="860" w:right="340"/>
          <w:cols w:num="2" w:equalWidth="0">
            <w:col w:w="2818" w:space="40"/>
            <w:col w:w="7852"/>
          </w:cols>
        </w:sectPr>
      </w:pPr>
    </w:p>
    <w:p>
      <w:pPr>
        <w:pStyle w:val="ListParagraph"/>
        <w:numPr>
          <w:ilvl w:val="0"/>
          <w:numId w:val="50"/>
        </w:numPr>
        <w:tabs>
          <w:tab w:pos="3527" w:val="left" w:leader="none"/>
        </w:tabs>
        <w:spacing w:line="278" w:lineRule="auto" w:before="57" w:after="0"/>
        <w:ind w:left="3525" w:right="666" w:hanging="526"/>
        <w:jc w:val="left"/>
        <w:rPr>
          <w:sz w:val="21"/>
        </w:rPr>
      </w:pPr>
      <w:r>
        <w:rPr>
          <w:spacing w:val="-2"/>
          <w:sz w:val="21"/>
        </w:rPr>
        <w:t>影像学检查证实存在新发的乳头肌功能失调或断裂引起的中度（含）以</w:t>
      </w:r>
      <w:r>
        <w:rPr>
          <w:spacing w:val="-2"/>
          <w:sz w:val="21"/>
        </w:rPr>
        <w:t>上的二尖瓣反流；</w:t>
      </w:r>
    </w:p>
    <w:p>
      <w:pPr>
        <w:pStyle w:val="ListParagraph"/>
        <w:numPr>
          <w:ilvl w:val="0"/>
          <w:numId w:val="50"/>
        </w:numPr>
        <w:tabs>
          <w:tab w:pos="3530" w:val="left" w:leader="none"/>
        </w:tabs>
        <w:spacing w:line="240" w:lineRule="auto" w:before="0" w:after="0"/>
        <w:ind w:left="3529" w:right="0" w:hanging="530"/>
        <w:jc w:val="left"/>
        <w:rPr>
          <w:sz w:val="21"/>
        </w:rPr>
      </w:pPr>
      <w:r>
        <w:rPr>
          <w:spacing w:val="-3"/>
          <w:sz w:val="21"/>
        </w:rPr>
        <w:t>影像学检查证实存在新出现的室壁瘤；</w:t>
      </w:r>
    </w:p>
    <w:p>
      <w:pPr>
        <w:pStyle w:val="ListParagraph"/>
        <w:numPr>
          <w:ilvl w:val="0"/>
          <w:numId w:val="50"/>
        </w:numPr>
        <w:tabs>
          <w:tab w:pos="3530" w:val="left" w:leader="none"/>
        </w:tabs>
        <w:spacing w:line="240" w:lineRule="auto" w:before="43" w:after="0"/>
        <w:ind w:left="3529" w:right="0" w:hanging="530"/>
        <w:jc w:val="left"/>
        <w:rPr>
          <w:sz w:val="21"/>
        </w:rPr>
      </w:pPr>
      <w:r>
        <w:rPr>
          <w:spacing w:val="-3"/>
          <w:sz w:val="21"/>
        </w:rPr>
        <w:t>出现室性心动过速、心室颤动或心源性休克。</w:t>
      </w:r>
    </w:p>
    <w:p>
      <w:pPr>
        <w:pStyle w:val="Heading2"/>
        <w:spacing w:before="43"/>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7"/>
        <w:rPr>
          <w:b/>
          <w:sz w:val="15"/>
        </w:rPr>
      </w:pPr>
    </w:p>
    <w:p>
      <w:pPr>
        <w:spacing w:after="0"/>
        <w:rPr>
          <w:sz w:val="15"/>
        </w:rPr>
        <w:sectPr>
          <w:pgSz w:w="11910" w:h="16840"/>
          <w:pgMar w:header="0" w:footer="404" w:top="1080" w:bottom="600" w:left="860" w:right="340"/>
        </w:sectPr>
      </w:pPr>
    </w:p>
    <w:p>
      <w:pPr>
        <w:pStyle w:val="ListParagraph"/>
        <w:numPr>
          <w:ilvl w:val="2"/>
          <w:numId w:val="40"/>
        </w:numPr>
        <w:tabs>
          <w:tab w:pos="1363" w:val="left" w:leader="none"/>
        </w:tabs>
        <w:spacing w:line="278" w:lineRule="auto" w:before="72" w:after="0"/>
        <w:ind w:left="1120" w:right="0" w:firstLine="0"/>
        <w:jc w:val="left"/>
        <w:rPr>
          <w:sz w:val="21"/>
        </w:rPr>
      </w:pPr>
      <w:r>
        <w:rPr>
          <w:spacing w:val="24"/>
          <w:sz w:val="21"/>
        </w:rPr>
        <w:t>严重脑中风后</w:t>
      </w:r>
      <w:r>
        <w:rPr>
          <w:spacing w:val="-6"/>
          <w:sz w:val="21"/>
        </w:rPr>
        <w:t>遗症</w:t>
      </w:r>
    </w:p>
    <w:p>
      <w:pPr>
        <w:pStyle w:val="BodyText"/>
        <w:spacing w:before="72"/>
        <w:ind w:left="142"/>
      </w:pPr>
      <w:r>
        <w:rPr/>
        <w:br w:type="column"/>
      </w:r>
      <w:r>
        <w:rPr>
          <w:spacing w:val="-1"/>
        </w:rPr>
        <w:t>指因脑血管的突发病变引起脑血管出血、栓塞或梗塞，须由头颅断层扫描</w:t>
      </w:r>
    </w:p>
    <w:p>
      <w:pPr>
        <w:pStyle w:val="BodyText"/>
        <w:spacing w:line="278" w:lineRule="auto" w:before="43"/>
        <w:ind w:left="142" w:right="666"/>
        <w:jc w:val="both"/>
      </w:pPr>
      <w:r>
        <w:rPr>
          <w:spacing w:val="-2"/>
        </w:rPr>
        <w:t>（CT）、核磁共振检查（MRI）等影像学检查证实，并导致神经系统永久性的</w:t>
      </w:r>
      <w:r>
        <w:rPr>
          <w:spacing w:val="-1"/>
        </w:rPr>
        <w:t>功能障碍。神经系统永久性的功能障碍，指疾病确诊 </w:t>
      </w:r>
      <w:r>
        <w:rPr/>
        <w:t>180</w:t>
      </w:r>
      <w:r>
        <w:rPr>
          <w:spacing w:val="-4"/>
        </w:rPr>
        <w:t> 天后，仍遗留下列</w:t>
      </w:r>
      <w:r>
        <w:rPr>
          <w:spacing w:val="-2"/>
        </w:rPr>
        <w:t>至少一种障碍：</w:t>
      </w:r>
    </w:p>
    <w:p>
      <w:pPr>
        <w:pStyle w:val="ListParagraph"/>
        <w:numPr>
          <w:ilvl w:val="0"/>
          <w:numId w:val="51"/>
        </w:numPr>
        <w:tabs>
          <w:tab w:pos="672" w:val="left" w:leader="none"/>
        </w:tabs>
        <w:spacing w:line="269" w:lineRule="exact" w:before="0" w:after="0"/>
        <w:ind w:left="672" w:right="0" w:hanging="530"/>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1"/>
        </w:numPr>
        <w:tabs>
          <w:tab w:pos="672" w:val="left" w:leader="none"/>
        </w:tabs>
        <w:spacing w:line="240" w:lineRule="auto" w:before="33" w:after="0"/>
        <w:ind w:left="672" w:right="0" w:hanging="530"/>
        <w:jc w:val="left"/>
        <w:rPr>
          <w:sz w:val="21"/>
        </w:rPr>
      </w:pPr>
      <w:r>
        <w:rPr>
          <w:b/>
          <w:spacing w:val="-4"/>
          <w:sz w:val="21"/>
        </w:rPr>
        <w:t>语言能力完全丧失，或严重咀嚼吞咽功能障碍 </w:t>
      </w:r>
      <w:r>
        <w:rPr>
          <w:spacing w:val="-2"/>
          <w:position w:val="11"/>
          <w:sz w:val="11"/>
        </w:rPr>
        <w:t>11.31</w:t>
      </w:r>
      <w:r>
        <w:rPr>
          <w:spacing w:val="-2"/>
          <w:sz w:val="21"/>
        </w:rPr>
        <w:t>；</w:t>
      </w:r>
    </w:p>
    <w:p>
      <w:pPr>
        <w:pStyle w:val="ListParagraph"/>
        <w:numPr>
          <w:ilvl w:val="0"/>
          <w:numId w:val="51"/>
        </w:numPr>
        <w:tabs>
          <w:tab w:pos="670" w:val="left" w:leader="none"/>
        </w:tabs>
        <w:spacing w:line="278" w:lineRule="auto" w:before="43" w:after="0"/>
        <w:ind w:left="66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818" w:space="40"/>
            <w:col w:w="7852"/>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2" w:after="0"/>
        <w:ind w:left="1120" w:right="0" w:firstLine="0"/>
        <w:jc w:val="both"/>
        <w:rPr>
          <w:sz w:val="21"/>
        </w:rPr>
      </w:pPr>
      <w:r>
        <w:rPr>
          <w:spacing w:val="24"/>
          <w:sz w:val="21"/>
        </w:rPr>
        <w:t>重大器官移植</w:t>
      </w:r>
      <w:r>
        <w:rPr>
          <w:spacing w:val="26"/>
          <w:sz w:val="21"/>
        </w:rPr>
        <w:t>术或造血干细胞</w:t>
      </w:r>
      <w:r>
        <w:rPr>
          <w:spacing w:val="-4"/>
          <w:sz w:val="21"/>
        </w:rPr>
        <w:t>移植术</w:t>
      </w:r>
    </w:p>
    <w:p>
      <w:pPr>
        <w:pStyle w:val="BodyText"/>
        <w:spacing w:line="278" w:lineRule="auto" w:before="72"/>
        <w:ind w:left="142" w:right="667"/>
      </w:pPr>
      <w:r>
        <w:rPr/>
        <w:br w:type="column"/>
      </w:r>
      <w:r>
        <w:rPr>
          <w:spacing w:val="-2"/>
        </w:rPr>
        <w:t>重大器官移植术，指因相应器官功能衰竭，已经实施了肾脏、肝脏、心脏、</w:t>
      </w:r>
      <w:r>
        <w:rPr>
          <w:spacing w:val="-2"/>
        </w:rPr>
        <w:t>肺脏或小肠的异体移植手术。</w:t>
      </w:r>
    </w:p>
    <w:p>
      <w:pPr>
        <w:pStyle w:val="BodyText"/>
        <w:spacing w:line="278" w:lineRule="auto"/>
        <w:ind w:left="142" w:right="767"/>
        <w:jc w:val="both"/>
      </w:pPr>
      <w:r>
        <w:rPr>
          <w:spacing w:val="-2"/>
        </w:rPr>
        <w:t>造血干细胞移植术，指因造血功能损害或造血系统恶性肿瘤，已经实施了造</w:t>
      </w:r>
      <w:r>
        <w:rPr>
          <w:spacing w:val="-2"/>
        </w:rPr>
        <w:t>血干细胞（包括骨髓造血干细胞、外周血造血干细胞和脐血造血干细胞）的</w:t>
      </w:r>
      <w:r>
        <w:rPr>
          <w:spacing w:val="-2"/>
        </w:rPr>
        <w:t>移植手术。</w:t>
      </w:r>
    </w:p>
    <w:p>
      <w:pPr>
        <w:spacing w:after="0" w:line="278" w:lineRule="auto"/>
        <w:jc w:val="both"/>
        <w:sectPr>
          <w:type w:val="continuous"/>
          <w:pgSz w:w="11910" w:h="16840"/>
          <w:pgMar w:header="0" w:footer="404" w:top="600" w:bottom="280" w:left="860" w:right="340"/>
          <w:cols w:num="2" w:equalWidth="0">
            <w:col w:w="2818" w:space="40"/>
            <w:col w:w="785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1" w:after="0"/>
        <w:ind w:left="1120" w:right="0" w:firstLine="0"/>
        <w:jc w:val="both"/>
        <w:rPr>
          <w:sz w:val="21"/>
        </w:rPr>
      </w:pPr>
      <w:r>
        <w:rPr>
          <w:spacing w:val="24"/>
          <w:sz w:val="21"/>
        </w:rPr>
        <w:t>冠状动脉搭桥</w:t>
      </w:r>
      <w:r>
        <w:rPr>
          <w:spacing w:val="-2"/>
          <w:sz w:val="21"/>
        </w:rPr>
        <w:t>术（或称冠状动脉</w:t>
      </w:r>
      <w:r>
        <w:rPr>
          <w:spacing w:val="-2"/>
          <w:sz w:val="21"/>
        </w:rPr>
        <w:t>旁路移植术）</w:t>
      </w:r>
    </w:p>
    <w:p>
      <w:pPr>
        <w:pStyle w:val="BodyText"/>
        <w:spacing w:line="278" w:lineRule="auto" w:before="71"/>
        <w:ind w:left="142" w:right="767"/>
      </w:pPr>
      <w:r>
        <w:rPr/>
        <w:br w:type="column"/>
      </w:r>
      <w:r>
        <w:rPr>
          <w:spacing w:val="-2"/>
        </w:rPr>
        <w:t>指为治疗严重的冠心病，已经实施了切开心包进行的冠状动脉血管旁路移植</w:t>
      </w:r>
      <w:r>
        <w:rPr>
          <w:spacing w:val="-4"/>
        </w:rPr>
        <w:t>的手术。</w:t>
      </w:r>
    </w:p>
    <w:p>
      <w:pPr>
        <w:pStyle w:val="Heading2"/>
        <w:spacing w:line="269" w:lineRule="exact"/>
        <w:ind w:left="142"/>
      </w:pPr>
      <w:r>
        <w:rPr>
          <w:spacing w:val="-3"/>
        </w:rPr>
        <w:t>所有未切开心包的冠状动脉介入治疗不在保障范围内。</w:t>
      </w:r>
    </w:p>
    <w:p>
      <w:pPr>
        <w:spacing w:after="0" w:line="269" w:lineRule="exact"/>
        <w:sectPr>
          <w:type w:val="continuous"/>
          <w:pgSz w:w="11910" w:h="16840"/>
          <w:pgMar w:header="0" w:footer="404" w:top="600" w:bottom="280" w:left="860" w:right="340"/>
          <w:cols w:num="2" w:equalWidth="0">
            <w:col w:w="2818" w:space="40"/>
            <w:col w:w="7852"/>
          </w:cols>
        </w:sectPr>
      </w:pPr>
    </w:p>
    <w:p>
      <w:pPr>
        <w:pStyle w:val="BodyText"/>
        <w:spacing w:before="7"/>
        <w:rPr>
          <w:b/>
          <w:sz w:val="19"/>
        </w:rPr>
      </w:pPr>
    </w:p>
    <w:p>
      <w:pPr>
        <w:spacing w:after="0"/>
        <w:rPr>
          <w:sz w:val="19"/>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1" w:after="0"/>
        <w:ind w:left="1120" w:right="0" w:firstLine="0"/>
        <w:jc w:val="left"/>
        <w:rPr>
          <w:sz w:val="21"/>
        </w:rPr>
      </w:pPr>
      <w:r>
        <w:rPr>
          <w:spacing w:val="24"/>
          <w:sz w:val="21"/>
        </w:rPr>
        <w:t>严重慢性肾衰</w:t>
      </w:r>
      <w:r>
        <w:rPr>
          <w:spacing w:val="-10"/>
          <w:sz w:val="21"/>
        </w:rPr>
        <w:t>竭</w:t>
      </w:r>
    </w:p>
    <w:p>
      <w:pPr>
        <w:pStyle w:val="BodyText"/>
        <w:spacing w:line="278" w:lineRule="auto" w:before="71"/>
        <w:ind w:left="142" w:right="668"/>
      </w:pPr>
      <w:r>
        <w:rPr/>
        <w:br w:type="column"/>
      </w:r>
      <w:r>
        <w:rPr>
          <w:spacing w:val="-2"/>
        </w:rPr>
        <w:t>指双肾功能慢性不可逆性衰竭，依据肾脏病预后质量倡议（K/DOQI）制定的</w:t>
      </w:r>
      <w:r>
        <w:rPr>
          <w:spacing w:val="-5"/>
        </w:rPr>
        <w:t>指南，分期达到慢性肾脏病 </w:t>
      </w:r>
      <w:r>
        <w:rPr/>
        <w:t>5</w:t>
      </w:r>
      <w:r>
        <w:rPr>
          <w:spacing w:val="-11"/>
        </w:rPr>
        <w:t> 期，且经诊断后已经进行了至少 </w:t>
      </w:r>
      <w:r>
        <w:rPr/>
        <w:t>90</w:t>
      </w:r>
      <w:r>
        <w:rPr>
          <w:spacing w:val="-10"/>
        </w:rPr>
        <w:t> 天的规律性</w:t>
      </w:r>
      <w:r>
        <w:rPr>
          <w:spacing w:val="-2"/>
        </w:rPr>
        <w:t>透析治疗。规律性透析是指每周进行血液透析或每天进行腹膜透析。</w:t>
      </w:r>
    </w:p>
    <w:p>
      <w:pPr>
        <w:spacing w:after="0" w:line="278" w:lineRule="auto"/>
        <w:sectPr>
          <w:type w:val="continuous"/>
          <w:pgSz w:w="11910" w:h="16840"/>
          <w:pgMar w:header="0" w:footer="404" w:top="600" w:bottom="280" w:left="860" w:right="340"/>
          <w:cols w:num="2" w:equalWidth="0">
            <w:col w:w="2818" w:space="40"/>
            <w:col w:w="7852"/>
          </w:cols>
        </w:sectPr>
      </w:pPr>
    </w:p>
    <w:p>
      <w:pPr>
        <w:pStyle w:val="BodyText"/>
        <w:rPr>
          <w:sz w:val="12"/>
        </w:rPr>
      </w:pPr>
    </w:p>
    <w:p>
      <w:pPr>
        <w:pStyle w:val="ListParagraph"/>
        <w:numPr>
          <w:ilvl w:val="2"/>
          <w:numId w:val="40"/>
        </w:numPr>
        <w:tabs>
          <w:tab w:pos="1333" w:val="left" w:leader="none"/>
          <w:tab w:pos="3000" w:val="left" w:leader="none"/>
        </w:tabs>
        <w:spacing w:line="278" w:lineRule="auto" w:before="72" w:after="0"/>
        <w:ind w:left="3000" w:right="767" w:hanging="1880"/>
        <w:jc w:val="left"/>
        <w:rPr>
          <w:sz w:val="21"/>
        </w:rPr>
      </w:pPr>
      <w:r>
        <w:rPr>
          <w:spacing w:val="-2"/>
          <w:sz w:val="21"/>
        </w:rPr>
        <w:t>多个肢体</w:t>
      </w:r>
      <w:r>
        <w:rPr>
          <w:spacing w:val="-2"/>
          <w:sz w:val="21"/>
        </w:rPr>
        <w:t>缺</w:t>
      </w:r>
      <w:r>
        <w:rPr>
          <w:spacing w:val="-2"/>
          <w:sz w:val="21"/>
        </w:rPr>
        <w:t>失</w:t>
      </w:r>
      <w:r>
        <w:rPr>
          <w:sz w:val="21"/>
        </w:rPr>
        <w:tab/>
      </w:r>
      <w:r>
        <w:rPr>
          <w:spacing w:val="-2"/>
          <w:sz w:val="21"/>
        </w:rPr>
        <w:t>指</w:t>
      </w:r>
      <w:r>
        <w:rPr>
          <w:spacing w:val="-2"/>
          <w:sz w:val="21"/>
        </w:rPr>
        <w:t>因</w:t>
      </w:r>
      <w:r>
        <w:rPr>
          <w:spacing w:val="-2"/>
          <w:sz w:val="21"/>
        </w:rPr>
        <w:t>疾病或意外伤害导致</w:t>
      </w:r>
      <w:r>
        <w:rPr>
          <w:spacing w:val="-2"/>
          <w:sz w:val="21"/>
        </w:rPr>
        <w:t>两</w:t>
      </w:r>
      <w:r>
        <w:rPr>
          <w:spacing w:val="-2"/>
          <w:sz w:val="21"/>
        </w:rPr>
        <w:t>个</w:t>
      </w:r>
      <w:r>
        <w:rPr>
          <w:spacing w:val="-2"/>
          <w:sz w:val="21"/>
        </w:rPr>
        <w:t>或两个以上肢体自腕</w:t>
      </w:r>
      <w:r>
        <w:rPr>
          <w:spacing w:val="-2"/>
          <w:sz w:val="21"/>
        </w:rPr>
        <w:t>关</w:t>
      </w:r>
      <w:r>
        <w:rPr>
          <w:spacing w:val="-2"/>
          <w:sz w:val="21"/>
        </w:rPr>
        <w:t>节</w:t>
      </w:r>
      <w:r>
        <w:rPr>
          <w:spacing w:val="-2"/>
          <w:sz w:val="21"/>
        </w:rPr>
        <w:t>或踝关节近端（</w:t>
      </w:r>
      <w:r>
        <w:rPr>
          <w:spacing w:val="-2"/>
          <w:sz w:val="21"/>
        </w:rPr>
        <w:t>靠</w:t>
      </w:r>
      <w:r>
        <w:rPr>
          <w:spacing w:val="-2"/>
          <w:sz w:val="21"/>
        </w:rPr>
        <w:t>近</w:t>
      </w:r>
      <w:r>
        <w:rPr>
          <w:spacing w:val="-2"/>
          <w:sz w:val="21"/>
        </w:rPr>
        <w:t>躯</w:t>
      </w:r>
      <w:r>
        <w:rPr>
          <w:spacing w:val="-2"/>
          <w:sz w:val="21"/>
        </w:rPr>
        <w:t>干</w:t>
      </w:r>
      <w:r>
        <w:rPr>
          <w:spacing w:val="-2"/>
          <w:sz w:val="21"/>
        </w:rPr>
        <w:t>端）以上完全性断离。</w:t>
      </w: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2" w:after="0"/>
        <w:ind w:left="1120" w:right="0" w:firstLine="0"/>
        <w:jc w:val="both"/>
        <w:rPr>
          <w:sz w:val="21"/>
        </w:rPr>
      </w:pPr>
      <w:r>
        <w:rPr>
          <w:spacing w:val="24"/>
          <w:sz w:val="21"/>
        </w:rPr>
        <w:t>急性重症肝炎</w:t>
      </w:r>
      <w:r>
        <w:rPr>
          <w:spacing w:val="26"/>
          <w:sz w:val="21"/>
        </w:rPr>
        <w:t>或亚急性重症肝</w:t>
      </w:r>
      <w:r>
        <w:rPr>
          <w:spacing w:val="-10"/>
          <w:sz w:val="21"/>
        </w:rPr>
        <w:t>炎</w:t>
      </w:r>
    </w:p>
    <w:p>
      <w:pPr>
        <w:pStyle w:val="BodyText"/>
        <w:spacing w:line="278" w:lineRule="auto" w:before="72"/>
        <w:ind w:left="142" w:right="667"/>
      </w:pPr>
      <w:r>
        <w:rPr/>
        <w:br w:type="column"/>
      </w:r>
      <w:r>
        <w:rPr>
          <w:spacing w:val="-2"/>
        </w:rPr>
        <w:t>指因肝炎病毒感染引起肝脏组织弥漫性坏死，导致急性肝功能衰竭，且经血</w:t>
      </w:r>
      <w:r>
        <w:rPr>
          <w:spacing w:val="-2"/>
        </w:rPr>
        <w:t>清学或病毒学检查证实，并须满足下列全部条件：</w:t>
      </w:r>
    </w:p>
    <w:p>
      <w:pPr>
        <w:pStyle w:val="ListParagraph"/>
        <w:numPr>
          <w:ilvl w:val="0"/>
          <w:numId w:val="52"/>
        </w:numPr>
        <w:tabs>
          <w:tab w:pos="672" w:val="left" w:leader="none"/>
        </w:tabs>
        <w:spacing w:line="269" w:lineRule="exact" w:before="0" w:after="0"/>
        <w:ind w:left="671" w:right="0" w:hanging="530"/>
        <w:jc w:val="left"/>
        <w:rPr>
          <w:sz w:val="21"/>
        </w:rPr>
      </w:pPr>
      <w:r>
        <w:rPr>
          <w:spacing w:val="-3"/>
          <w:sz w:val="21"/>
        </w:rPr>
        <w:t>重度黄疸或黄疸迅速加重；</w:t>
      </w:r>
    </w:p>
    <w:p>
      <w:pPr>
        <w:pStyle w:val="ListParagraph"/>
        <w:numPr>
          <w:ilvl w:val="0"/>
          <w:numId w:val="52"/>
        </w:numPr>
        <w:tabs>
          <w:tab w:pos="672" w:val="left" w:leader="none"/>
        </w:tabs>
        <w:spacing w:line="240" w:lineRule="auto" w:before="43" w:after="0"/>
        <w:ind w:left="671" w:right="0" w:hanging="530"/>
        <w:jc w:val="left"/>
        <w:rPr>
          <w:sz w:val="21"/>
        </w:rPr>
      </w:pPr>
      <w:r>
        <w:rPr>
          <w:spacing w:val="-4"/>
          <w:sz w:val="21"/>
        </w:rPr>
        <w:t>肝性脑病；</w:t>
      </w:r>
    </w:p>
    <w:p>
      <w:pPr>
        <w:pStyle w:val="BodyText"/>
        <w:spacing w:before="43"/>
        <w:ind w:left="142"/>
      </w:pPr>
      <w:r>
        <w:rPr>
          <w:spacing w:val="-2"/>
        </w:rPr>
        <w:t>（3）B</w:t>
      </w:r>
      <w:r>
        <w:rPr>
          <w:spacing w:val="-10"/>
        </w:rPr>
        <w:t> 超或其他影像学检查显示肝脏体积急速萎缩；</w:t>
      </w:r>
    </w:p>
    <w:p>
      <w:pPr>
        <w:pStyle w:val="BodyText"/>
        <w:spacing w:before="43"/>
        <w:ind w:left="142"/>
      </w:pPr>
      <w:r>
        <w:rPr>
          <w:spacing w:val="-2"/>
        </w:rPr>
        <w:t>（4）</w:t>
      </w:r>
      <w:r>
        <w:rPr>
          <w:spacing w:val="-3"/>
        </w:rPr>
        <w:t>肝功能指标进行性恶化。</w:t>
      </w:r>
    </w:p>
    <w:p>
      <w:pPr>
        <w:spacing w:after="0"/>
        <w:sectPr>
          <w:type w:val="continuous"/>
          <w:pgSz w:w="11910" w:h="16840"/>
          <w:pgMar w:header="0" w:footer="404" w:top="600" w:bottom="280" w:left="860" w:right="340"/>
          <w:cols w:num="2" w:equalWidth="0">
            <w:col w:w="2818" w:space="40"/>
            <w:col w:w="7852"/>
          </w:cols>
        </w:sectPr>
      </w:pPr>
    </w:p>
    <w:p>
      <w:pPr>
        <w:pStyle w:val="BodyText"/>
        <w:spacing w:before="5"/>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363" w:val="left" w:leader="none"/>
        </w:tabs>
        <w:spacing w:line="278" w:lineRule="auto" w:before="72" w:after="0"/>
        <w:ind w:left="1120" w:right="0" w:firstLine="0"/>
        <w:jc w:val="left"/>
        <w:rPr>
          <w:sz w:val="21"/>
        </w:rPr>
      </w:pPr>
      <w:r>
        <w:rPr>
          <w:spacing w:val="24"/>
          <w:sz w:val="21"/>
        </w:rPr>
        <w:t>严重非恶性颅</w:t>
      </w:r>
      <w:r>
        <w:rPr>
          <w:spacing w:val="-4"/>
          <w:sz w:val="21"/>
        </w:rPr>
        <w:t>内肿瘤</w:t>
      </w:r>
    </w:p>
    <w:p>
      <w:pPr>
        <w:pStyle w:val="BodyText"/>
        <w:spacing w:before="72"/>
        <w:ind w:left="142"/>
        <w:jc w:val="both"/>
      </w:pPr>
      <w:r>
        <w:rPr/>
        <w:br w:type="column"/>
      </w:r>
      <w:r>
        <w:rPr>
          <w:spacing w:val="-2"/>
        </w:rPr>
        <w:t>指起源于脑、脑神经、脑被膜的非恶性肿瘤，ICD-O-3</w:t>
      </w:r>
      <w:r>
        <w:rPr>
          <w:spacing w:val="-12"/>
        </w:rPr>
        <w:t> 肿瘤形态学编码属于 </w:t>
      </w:r>
      <w:r>
        <w:rPr>
          <w:spacing w:val="-10"/>
        </w:rPr>
        <w:t>0</w:t>
      </w:r>
    </w:p>
    <w:p>
      <w:pPr>
        <w:pStyle w:val="BodyText"/>
        <w:spacing w:line="278" w:lineRule="auto" w:before="43"/>
        <w:ind w:left="142" w:right="666"/>
        <w:jc w:val="both"/>
      </w:pPr>
      <w:r>
        <w:rPr>
          <w:spacing w:val="-2"/>
        </w:rPr>
        <w:t>（良性肿瘤）、1（动态未定性肿瘤）范畴，并已经引起颅内压升高或神经系</w:t>
      </w:r>
      <w:r>
        <w:rPr>
          <w:spacing w:val="-2"/>
        </w:rPr>
        <w:t>统功能损害，出现视乳头水肿或视觉受损、听觉受损、面部或肢体瘫痪、癫</w:t>
      </w:r>
      <w:r>
        <w:rPr>
          <w:spacing w:val="-2"/>
        </w:rPr>
        <w:t>痫等，须由头颅断层扫描（CT）、核磁共振检查（MRI）或正电子发射断层扫</w:t>
      </w:r>
      <w:r>
        <w:rPr>
          <w:spacing w:val="-2"/>
        </w:rPr>
        <w:t>描（PET）等影像学检查证实，且须满足下列至少一项条件：</w:t>
      </w:r>
    </w:p>
    <w:p>
      <w:pPr>
        <w:pStyle w:val="ListParagraph"/>
        <w:numPr>
          <w:ilvl w:val="0"/>
          <w:numId w:val="53"/>
        </w:numPr>
        <w:tabs>
          <w:tab w:pos="672" w:val="left" w:leader="none"/>
        </w:tabs>
        <w:spacing w:line="269" w:lineRule="exact" w:before="0" w:after="0"/>
        <w:ind w:left="672" w:right="0" w:hanging="530"/>
        <w:jc w:val="left"/>
        <w:rPr>
          <w:sz w:val="21"/>
        </w:rPr>
      </w:pPr>
      <w:r>
        <w:rPr>
          <w:spacing w:val="-3"/>
          <w:sz w:val="21"/>
        </w:rPr>
        <w:t>已经实施了开颅进行的颅内肿瘤完全或部分切除手术；</w:t>
      </w:r>
    </w:p>
    <w:p>
      <w:pPr>
        <w:pStyle w:val="ListParagraph"/>
        <w:numPr>
          <w:ilvl w:val="0"/>
          <w:numId w:val="53"/>
        </w:numPr>
        <w:tabs>
          <w:tab w:pos="672" w:val="left" w:leader="none"/>
        </w:tabs>
        <w:spacing w:line="278" w:lineRule="auto" w:before="43" w:after="0"/>
        <w:ind w:left="142" w:right="772" w:firstLine="0"/>
        <w:jc w:val="left"/>
        <w:rPr>
          <w:b/>
          <w:sz w:val="21"/>
        </w:rPr>
      </w:pPr>
      <w:r>
        <w:rPr>
          <w:spacing w:val="2"/>
          <w:sz w:val="21"/>
        </w:rPr>
        <w:t>已经实施了针对颅内肿瘤的放射治疗，如</w:t>
      </w:r>
      <w:r>
        <w:rPr>
          <w:sz w:val="21"/>
        </w:rPr>
        <w:t>γ</w:t>
      </w:r>
      <w:r>
        <w:rPr>
          <w:spacing w:val="-8"/>
          <w:sz w:val="21"/>
        </w:rPr>
        <w:t> 刀、质子重离子治疗等。</w:t>
      </w:r>
      <w:r>
        <w:rPr>
          <w:b/>
          <w:spacing w:val="-2"/>
          <w:sz w:val="21"/>
        </w:rPr>
        <w:t>下列疾病不在保障范围内：</w:t>
      </w:r>
    </w:p>
    <w:p>
      <w:pPr>
        <w:pStyle w:val="ListParagraph"/>
        <w:numPr>
          <w:ilvl w:val="0"/>
          <w:numId w:val="54"/>
        </w:numPr>
        <w:tabs>
          <w:tab w:pos="672" w:val="left" w:leader="none"/>
        </w:tabs>
        <w:spacing w:line="269" w:lineRule="exact" w:before="0" w:after="0"/>
        <w:ind w:left="672" w:right="0" w:hanging="530"/>
        <w:jc w:val="left"/>
        <w:rPr>
          <w:b/>
          <w:sz w:val="21"/>
        </w:rPr>
      </w:pPr>
      <w:r>
        <w:rPr>
          <w:b/>
          <w:spacing w:val="-2"/>
          <w:sz w:val="21"/>
        </w:rPr>
        <w:t>脑垂体瘤；</w:t>
      </w:r>
    </w:p>
    <w:p>
      <w:pPr>
        <w:spacing w:after="0" w:line="269" w:lineRule="exact"/>
        <w:jc w:val="left"/>
        <w:rPr>
          <w:sz w:val="21"/>
        </w:rPr>
        <w:sectPr>
          <w:type w:val="continuous"/>
          <w:pgSz w:w="11910" w:h="16840"/>
          <w:pgMar w:header="0" w:footer="404" w:top="600" w:bottom="280" w:left="860" w:right="340"/>
          <w:cols w:num="2" w:equalWidth="0">
            <w:col w:w="2818" w:space="40"/>
            <w:col w:w="7852"/>
          </w:cols>
        </w:sectPr>
      </w:pPr>
    </w:p>
    <w:p>
      <w:pPr>
        <w:pStyle w:val="ListParagraph"/>
        <w:numPr>
          <w:ilvl w:val="1"/>
          <w:numId w:val="54"/>
        </w:numPr>
        <w:tabs>
          <w:tab w:pos="3530" w:val="left" w:leader="none"/>
        </w:tabs>
        <w:spacing w:line="240" w:lineRule="auto" w:before="57" w:after="0"/>
        <w:ind w:left="3529" w:right="0" w:hanging="530"/>
        <w:jc w:val="left"/>
        <w:rPr>
          <w:b/>
          <w:sz w:val="21"/>
        </w:rPr>
      </w:pPr>
      <w:r>
        <w:rPr>
          <w:b/>
          <w:spacing w:val="-3"/>
          <w:sz w:val="21"/>
        </w:rPr>
        <w:t>脑囊肿；</w:t>
      </w:r>
    </w:p>
    <w:p>
      <w:pPr>
        <w:pStyle w:val="ListParagraph"/>
        <w:numPr>
          <w:ilvl w:val="1"/>
          <w:numId w:val="54"/>
        </w:numPr>
        <w:tabs>
          <w:tab w:pos="3530" w:val="left" w:leader="none"/>
        </w:tabs>
        <w:spacing w:line="278" w:lineRule="auto" w:before="43" w:after="0"/>
        <w:ind w:left="3528" w:right="669" w:hanging="528"/>
        <w:jc w:val="left"/>
        <w:rPr>
          <w:b/>
          <w:sz w:val="21"/>
        </w:rPr>
      </w:pPr>
      <w:r>
        <w:rPr>
          <w:b/>
          <w:spacing w:val="-2"/>
          <w:sz w:val="21"/>
        </w:rPr>
        <w:t>颅内血管性疾病（如脑动脉瘤、脑动静脉畸形、海绵状血管瘤、毛细血</w:t>
      </w:r>
      <w:r>
        <w:rPr>
          <w:b/>
          <w:spacing w:val="-2"/>
          <w:sz w:val="21"/>
        </w:rPr>
        <w:t>管扩张症等）。</w:t>
      </w:r>
    </w:p>
    <w:p>
      <w:pPr>
        <w:pStyle w:val="BodyText"/>
        <w:spacing w:before="3"/>
        <w:rPr>
          <w:b/>
          <w:sz w:val="12"/>
        </w:rPr>
      </w:pPr>
    </w:p>
    <w:p>
      <w:pPr>
        <w:spacing w:after="0"/>
        <w:rPr>
          <w:sz w:val="12"/>
        </w:rPr>
        <w:sectPr>
          <w:pgSz w:w="11910" w:h="16840"/>
          <w:pgMar w:header="0" w:footer="404" w:top="1080" w:bottom="600" w:left="860" w:right="340"/>
        </w:sectPr>
      </w:pPr>
    </w:p>
    <w:p>
      <w:pPr>
        <w:pStyle w:val="ListParagraph"/>
        <w:numPr>
          <w:ilvl w:val="2"/>
          <w:numId w:val="40"/>
        </w:numPr>
        <w:tabs>
          <w:tab w:pos="1452" w:val="left" w:leader="none"/>
        </w:tabs>
        <w:spacing w:line="278" w:lineRule="auto" w:before="71" w:after="0"/>
        <w:ind w:left="1120" w:right="0" w:firstLine="0"/>
        <w:jc w:val="left"/>
        <w:rPr>
          <w:sz w:val="21"/>
        </w:rPr>
      </w:pPr>
      <w:r>
        <w:rPr>
          <w:spacing w:val="8"/>
          <w:sz w:val="21"/>
        </w:rPr>
        <w:t>严重慢性肝衰</w:t>
      </w:r>
      <w:r>
        <w:rPr>
          <w:spacing w:val="-10"/>
          <w:sz w:val="21"/>
        </w:rPr>
        <w:t>竭</w:t>
      </w:r>
    </w:p>
    <w:p>
      <w:pPr>
        <w:pStyle w:val="BodyText"/>
        <w:spacing w:before="71"/>
        <w:ind w:left="175"/>
      </w:pPr>
      <w:r>
        <w:rPr/>
        <w:br w:type="column"/>
      </w:r>
      <w:r>
        <w:rPr>
          <w:spacing w:val="-3"/>
        </w:rPr>
        <w:t>指因慢性肝脏疾病导致的肝衰竭，且须满足下列全部条件：</w:t>
      </w:r>
    </w:p>
    <w:p>
      <w:pPr>
        <w:pStyle w:val="BodyText"/>
        <w:spacing w:before="43"/>
        <w:ind w:left="175"/>
      </w:pPr>
      <w:r>
        <w:rPr>
          <w:spacing w:val="-2"/>
        </w:rPr>
        <w:t>（1）</w:t>
      </w:r>
      <w:r>
        <w:rPr>
          <w:spacing w:val="-4"/>
        </w:rPr>
        <w:t>持续性黄疸；</w:t>
      </w:r>
    </w:p>
    <w:p>
      <w:pPr>
        <w:pStyle w:val="BodyText"/>
        <w:spacing w:before="43"/>
        <w:ind w:left="175"/>
      </w:pPr>
      <w:r>
        <w:rPr>
          <w:spacing w:val="-2"/>
        </w:rPr>
        <w:t>（2）</w:t>
      </w:r>
      <w:r>
        <w:rPr>
          <w:spacing w:val="-5"/>
        </w:rPr>
        <w:t>腹水；</w:t>
      </w:r>
    </w:p>
    <w:p>
      <w:pPr>
        <w:pStyle w:val="ListParagraph"/>
        <w:numPr>
          <w:ilvl w:val="0"/>
          <w:numId w:val="55"/>
        </w:numPr>
        <w:tabs>
          <w:tab w:pos="705" w:val="left" w:leader="none"/>
        </w:tabs>
        <w:spacing w:line="240" w:lineRule="auto" w:before="43" w:after="0"/>
        <w:ind w:left="704" w:right="0" w:hanging="530"/>
        <w:jc w:val="left"/>
        <w:rPr>
          <w:sz w:val="21"/>
        </w:rPr>
      </w:pPr>
      <w:r>
        <w:rPr>
          <w:spacing w:val="-4"/>
          <w:sz w:val="21"/>
        </w:rPr>
        <w:t>肝性脑病；</w:t>
      </w:r>
    </w:p>
    <w:p>
      <w:pPr>
        <w:pStyle w:val="ListParagraph"/>
        <w:numPr>
          <w:ilvl w:val="0"/>
          <w:numId w:val="55"/>
        </w:numPr>
        <w:tabs>
          <w:tab w:pos="705" w:val="left" w:leader="none"/>
        </w:tabs>
        <w:spacing w:line="278" w:lineRule="auto" w:before="43" w:after="0"/>
        <w:ind w:left="175" w:right="2555" w:firstLine="0"/>
        <w:jc w:val="left"/>
        <w:rPr>
          <w:b/>
          <w:sz w:val="21"/>
        </w:rPr>
      </w:pPr>
      <w:r>
        <w:rPr>
          <w:spacing w:val="-2"/>
          <w:sz w:val="21"/>
        </w:rPr>
        <w:t>充血性脾肿大伴脾功能亢进或食管胃底静脉曲张。</w:t>
      </w:r>
      <w:r>
        <w:rPr>
          <w:b/>
          <w:spacing w:val="-2"/>
          <w:sz w:val="21"/>
        </w:rPr>
        <w:t>因酗酒或药物滥用导致的肝衰竭不在保障范围内。</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72" w:after="0"/>
        <w:ind w:left="1120" w:right="0" w:firstLine="0"/>
        <w:jc w:val="both"/>
        <w:rPr>
          <w:sz w:val="21"/>
        </w:rPr>
      </w:pPr>
      <w:r>
        <w:rPr>
          <w:spacing w:val="8"/>
          <w:sz w:val="21"/>
        </w:rPr>
        <w:t>严重脑炎后遗</w:t>
      </w:r>
      <w:r>
        <w:rPr>
          <w:spacing w:val="26"/>
          <w:sz w:val="21"/>
        </w:rPr>
        <w:t>症或严重脑膜炎</w:t>
      </w:r>
      <w:r>
        <w:rPr>
          <w:spacing w:val="-4"/>
          <w:sz w:val="21"/>
        </w:rPr>
        <w:t>后遗症</w:t>
      </w:r>
    </w:p>
    <w:p>
      <w:pPr>
        <w:pStyle w:val="BodyText"/>
        <w:spacing w:line="278" w:lineRule="auto" w:before="72"/>
        <w:ind w:left="142" w:right="563"/>
      </w:pPr>
      <w:r>
        <w:rPr/>
        <w:br w:type="column"/>
      </w:r>
      <w:r>
        <w:rPr>
          <w:w w:val="100"/>
        </w:rPr>
        <w:t>指因患脑炎或脑膜炎导致的神经系统永久性的功能障碍。神经系统永久性的</w:t>
      </w:r>
      <w:r>
        <w:rPr>
          <w:spacing w:val="-3"/>
          <w:w w:val="100"/>
        </w:rPr>
        <w:t>功能障碍，指经相关专科医生确诊疾病</w:t>
      </w:r>
      <w:r>
        <w:rPr>
          <w:spacing w:val="-53"/>
        </w:rPr>
        <w:t> </w:t>
      </w:r>
      <w:r>
        <w:rPr>
          <w:spacing w:val="-3"/>
          <w:w w:val="100"/>
        </w:rPr>
        <w:t>1</w:t>
      </w:r>
      <w:r>
        <w:rPr>
          <w:w w:val="100"/>
        </w:rPr>
        <w:t>80</w:t>
      </w:r>
      <w:r>
        <w:rPr>
          <w:spacing w:val="-53"/>
        </w:rPr>
        <w:t> </w:t>
      </w:r>
      <w:r>
        <w:rPr>
          <w:spacing w:val="-3"/>
          <w:w w:val="100"/>
        </w:rPr>
        <w:t>天后，仍遗留下列至少一种障碍：</w:t>
      </w:r>
    </w:p>
    <w:p>
      <w:pPr>
        <w:pStyle w:val="ListParagraph"/>
        <w:numPr>
          <w:ilvl w:val="0"/>
          <w:numId w:val="56"/>
        </w:numPr>
        <w:tabs>
          <w:tab w:pos="672" w:val="left" w:leader="none"/>
        </w:tabs>
        <w:spacing w:line="269" w:lineRule="exact" w:before="0" w:after="0"/>
        <w:ind w:left="67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6"/>
        </w:numPr>
        <w:tabs>
          <w:tab w:pos="672" w:val="left" w:leader="none"/>
        </w:tabs>
        <w:spacing w:line="240" w:lineRule="auto" w:before="44" w:after="0"/>
        <w:ind w:left="671" w:right="0" w:hanging="530"/>
        <w:jc w:val="left"/>
        <w:rPr>
          <w:sz w:val="21"/>
        </w:rPr>
      </w:pPr>
      <w:r>
        <w:rPr>
          <w:spacing w:val="-3"/>
          <w:sz w:val="21"/>
        </w:rPr>
        <w:t>语言能力完全丧失，或严重咀嚼吞咽功能障碍；</w:t>
      </w:r>
    </w:p>
    <w:p>
      <w:pPr>
        <w:pStyle w:val="ListParagraph"/>
        <w:numPr>
          <w:ilvl w:val="0"/>
          <w:numId w:val="56"/>
        </w:numPr>
        <w:tabs>
          <w:tab w:pos="702" w:val="left" w:leader="none"/>
        </w:tabs>
        <w:spacing w:line="278" w:lineRule="auto" w:before="43" w:after="0"/>
        <w:ind w:left="668"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0"/>
          <w:numId w:val="56"/>
        </w:numPr>
        <w:tabs>
          <w:tab w:pos="670" w:val="left" w:leader="none"/>
        </w:tabs>
        <w:spacing w:line="278" w:lineRule="auto" w:before="0" w:after="0"/>
        <w:ind w:left="66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818" w:space="40"/>
            <w:col w:w="7852"/>
          </w:cols>
        </w:sectPr>
      </w:pPr>
    </w:p>
    <w:p>
      <w:pPr>
        <w:pStyle w:val="BodyText"/>
        <w:spacing w:before="12"/>
        <w:rPr>
          <w:sz w:val="11"/>
        </w:rPr>
      </w:pPr>
    </w:p>
    <w:p>
      <w:pPr>
        <w:pStyle w:val="ListParagraph"/>
        <w:numPr>
          <w:ilvl w:val="2"/>
          <w:numId w:val="40"/>
        </w:numPr>
        <w:tabs>
          <w:tab w:pos="1439" w:val="left" w:leader="none"/>
        </w:tabs>
        <w:spacing w:line="278" w:lineRule="auto" w:before="72" w:after="0"/>
        <w:ind w:left="3000" w:right="666" w:hanging="1880"/>
        <w:jc w:val="both"/>
        <w:rPr>
          <w:sz w:val="21"/>
        </w:rPr>
      </w:pPr>
      <w:r>
        <w:rPr>
          <w:sz w:val="21"/>
        </w:rPr>
        <w:t>深度昏迷</w:t>
      </w:r>
      <w:r>
        <w:rPr>
          <w:spacing w:val="617"/>
          <w:sz w:val="21"/>
        </w:rPr>
        <w:t> </w:t>
      </w:r>
      <w:r>
        <w:rPr>
          <w:sz w:val="21"/>
        </w:rPr>
        <w:t>指因疾病或意外伤害导致意识丧失，对外界刺激和体内需求均无反应，昏迷</w:t>
      </w:r>
      <w:r>
        <w:rPr>
          <w:w w:val="95"/>
          <w:sz w:val="21"/>
        </w:rPr>
        <w:t>程</w:t>
      </w:r>
      <w:r>
        <w:rPr>
          <w:w w:val="95"/>
          <w:sz w:val="21"/>
        </w:rPr>
        <w:t>度</w:t>
      </w:r>
      <w:r>
        <w:rPr>
          <w:w w:val="95"/>
          <w:sz w:val="21"/>
        </w:rPr>
        <w:t>按照格拉斯哥昏迷分</w:t>
      </w:r>
      <w:r>
        <w:rPr>
          <w:w w:val="95"/>
          <w:sz w:val="21"/>
        </w:rPr>
        <w:t>级</w:t>
      </w:r>
      <w:r>
        <w:rPr>
          <w:w w:val="95"/>
          <w:sz w:val="21"/>
        </w:rPr>
        <w:t>（GCS，Glasgow</w:t>
      </w:r>
      <w:r>
        <w:rPr>
          <w:spacing w:val="40"/>
          <w:sz w:val="21"/>
        </w:rPr>
        <w:t> </w:t>
      </w:r>
      <w:r>
        <w:rPr>
          <w:w w:val="95"/>
          <w:sz w:val="21"/>
        </w:rPr>
        <w:t>Coma</w:t>
      </w:r>
      <w:r>
        <w:rPr>
          <w:spacing w:val="40"/>
          <w:sz w:val="21"/>
        </w:rPr>
        <w:t> </w:t>
      </w:r>
      <w:r>
        <w:rPr>
          <w:w w:val="95"/>
          <w:sz w:val="21"/>
        </w:rPr>
        <w:t>Scale）</w:t>
      </w:r>
      <w:r>
        <w:rPr>
          <w:spacing w:val="-3"/>
          <w:w w:val="95"/>
          <w:sz w:val="21"/>
        </w:rPr>
        <w:t>结果为 </w:t>
      </w:r>
      <w:r>
        <w:rPr>
          <w:w w:val="95"/>
          <w:sz w:val="21"/>
        </w:rPr>
        <w:t>5</w:t>
      </w:r>
      <w:r>
        <w:rPr>
          <w:spacing w:val="-6"/>
          <w:w w:val="95"/>
          <w:sz w:val="21"/>
        </w:rPr>
        <w:t> 分或 </w:t>
      </w:r>
      <w:r>
        <w:rPr>
          <w:w w:val="95"/>
          <w:sz w:val="21"/>
        </w:rPr>
        <w:t>5</w:t>
      </w:r>
      <w:r>
        <w:rPr>
          <w:spacing w:val="-5"/>
          <w:w w:val="95"/>
          <w:sz w:val="21"/>
        </w:rPr>
        <w:t> 分</w:t>
      </w:r>
      <w:r>
        <w:rPr>
          <w:spacing w:val="-2"/>
          <w:sz w:val="21"/>
        </w:rPr>
        <w:t>以下，且已经持续使用呼吸机及其他生命维持系统 </w:t>
      </w:r>
      <w:r>
        <w:rPr>
          <w:sz w:val="21"/>
        </w:rPr>
        <w:t>96</w:t>
      </w:r>
      <w:r>
        <w:rPr>
          <w:spacing w:val="-5"/>
          <w:sz w:val="21"/>
        </w:rPr>
        <w:t> 小时以上。</w:t>
      </w:r>
    </w:p>
    <w:p>
      <w:pPr>
        <w:pStyle w:val="Heading2"/>
        <w:spacing w:line="269" w:lineRule="exact"/>
      </w:pPr>
      <w:r>
        <w:rPr>
          <w:spacing w:val="-3"/>
        </w:rPr>
        <w:t>因酗酒或药物滥用导致的深度昏迷不在保障范围内。</w:t>
      </w:r>
    </w:p>
    <w:p>
      <w:pPr>
        <w:pStyle w:val="BodyText"/>
        <w:spacing w:before="1"/>
        <w:rPr>
          <w:b/>
        </w:rPr>
      </w:pPr>
    </w:p>
    <w:p>
      <w:pPr>
        <w:pStyle w:val="ListParagraph"/>
        <w:numPr>
          <w:ilvl w:val="2"/>
          <w:numId w:val="40"/>
        </w:numPr>
        <w:tabs>
          <w:tab w:pos="1439" w:val="left" w:leader="none"/>
          <w:tab w:pos="3000" w:val="left" w:leader="none"/>
        </w:tabs>
        <w:spacing w:line="278" w:lineRule="auto" w:before="1" w:after="0"/>
        <w:ind w:left="3000" w:right="563" w:hanging="1880"/>
        <w:jc w:val="left"/>
        <w:rPr>
          <w:sz w:val="21"/>
        </w:rPr>
      </w:pPr>
      <w:r>
        <w:rPr>
          <w:spacing w:val="-4"/>
          <w:sz w:val="21"/>
        </w:rPr>
        <w:t>双耳失聪</w:t>
      </w:r>
      <w:r>
        <w:rPr>
          <w:sz w:val="21"/>
        </w:rPr>
        <w:tab/>
        <w:t>指因疾病或意外伤害导致</w:t>
      </w:r>
      <w:r>
        <w:rPr>
          <w:sz w:val="21"/>
        </w:rPr>
        <w:t>双耳听力永久不可逆性丧失，在</w:t>
      </w:r>
      <w:r>
        <w:rPr>
          <w:spacing w:val="-15"/>
          <w:sz w:val="21"/>
        </w:rPr>
        <w:t> </w:t>
      </w:r>
      <w:r>
        <w:rPr>
          <w:sz w:val="21"/>
        </w:rPr>
        <w:t>500</w:t>
      </w:r>
      <w:r>
        <w:rPr>
          <w:spacing w:val="-19"/>
          <w:sz w:val="21"/>
        </w:rPr>
        <w:t> </w:t>
      </w:r>
      <w:r>
        <w:rPr>
          <w:sz w:val="21"/>
        </w:rPr>
        <w:t>赫兹、1000</w:t>
      </w:r>
      <w:r>
        <w:rPr>
          <w:spacing w:val="-19"/>
          <w:sz w:val="21"/>
        </w:rPr>
        <w:t> </w:t>
      </w:r>
      <w:r>
        <w:rPr>
          <w:sz w:val="21"/>
        </w:rPr>
        <w:t>赫兹和</w:t>
      </w:r>
      <w:r>
        <w:rPr>
          <w:spacing w:val="-53"/>
          <w:sz w:val="21"/>
        </w:rPr>
        <w:t> </w:t>
      </w:r>
      <w:r>
        <w:rPr>
          <w:sz w:val="21"/>
        </w:rPr>
        <w:t>2000</w:t>
      </w:r>
      <w:r>
        <w:rPr>
          <w:spacing w:val="-55"/>
          <w:sz w:val="21"/>
        </w:rPr>
        <w:t> </w:t>
      </w:r>
      <w:r>
        <w:rPr>
          <w:sz w:val="21"/>
        </w:rPr>
        <w:t>赫兹语音频率下，平均听阈大于等于</w:t>
      </w:r>
      <w:r>
        <w:rPr>
          <w:spacing w:val="-53"/>
          <w:sz w:val="21"/>
        </w:rPr>
        <w:t> </w:t>
      </w:r>
      <w:r>
        <w:rPr>
          <w:sz w:val="21"/>
        </w:rPr>
        <w:t>91</w:t>
      </w:r>
      <w:r>
        <w:rPr>
          <w:spacing w:val="-53"/>
          <w:sz w:val="21"/>
        </w:rPr>
        <w:t> </w:t>
      </w:r>
      <w:r>
        <w:rPr>
          <w:sz w:val="21"/>
        </w:rPr>
        <w:t>分贝，且经纯音听力测试、</w:t>
      </w:r>
      <w:r>
        <w:rPr>
          <w:spacing w:val="-2"/>
          <w:sz w:val="21"/>
        </w:rPr>
        <w:t>声</w:t>
      </w:r>
      <w:r>
        <w:rPr>
          <w:spacing w:val="-2"/>
          <w:sz w:val="21"/>
        </w:rPr>
        <w:t>导</w:t>
      </w:r>
      <w:r>
        <w:rPr>
          <w:spacing w:val="-2"/>
          <w:sz w:val="21"/>
        </w:rPr>
        <w:t>抗检测或听觉诱发电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pStyle w:val="Heading2"/>
        <w:spacing w:line="278" w:lineRule="auto"/>
        <w:ind w:right="743"/>
      </w:pPr>
      <w:r>
        <w:rPr>
          <w:spacing w:val="-4"/>
        </w:rPr>
        <w:t>申请理赔时，被保险人年龄必须在 </w:t>
      </w:r>
      <w:r>
        <w:rPr/>
        <w:t>3</w:t>
      </w:r>
      <w:r>
        <w:rPr>
          <w:spacing w:val="-8"/>
        </w:rPr>
        <w:t> 周岁以上，并且须提供理赔当时的听力</w:t>
      </w:r>
      <w:r>
        <w:rPr>
          <w:spacing w:val="-2"/>
        </w:rPr>
        <w:t>丧失诊断及检查证据。</w:t>
      </w:r>
    </w:p>
    <w:p>
      <w:pPr>
        <w:pStyle w:val="BodyText"/>
        <w:spacing w:before="7"/>
        <w:rPr>
          <w:b/>
          <w:sz w:val="17"/>
        </w:rPr>
      </w:pPr>
    </w:p>
    <w:p>
      <w:pPr>
        <w:pStyle w:val="ListParagraph"/>
        <w:numPr>
          <w:ilvl w:val="2"/>
          <w:numId w:val="40"/>
        </w:numPr>
        <w:tabs>
          <w:tab w:pos="1439" w:val="left" w:leader="none"/>
          <w:tab w:pos="3000" w:val="left" w:leader="none"/>
        </w:tabs>
        <w:spacing w:line="278" w:lineRule="auto" w:before="0" w:after="0"/>
        <w:ind w:left="3000" w:right="667" w:hanging="1880"/>
        <w:jc w:val="left"/>
        <w:rPr>
          <w:sz w:val="21"/>
        </w:rPr>
      </w:pPr>
      <w:r>
        <w:rPr>
          <w:spacing w:val="-4"/>
          <w:sz w:val="21"/>
        </w:rPr>
        <w:t>双目失明</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双</w:t>
      </w:r>
      <w:r>
        <w:rPr>
          <w:spacing w:val="-2"/>
          <w:sz w:val="21"/>
        </w:rPr>
        <w:t>眼</w:t>
      </w:r>
      <w:r>
        <w:rPr>
          <w:spacing w:val="-2"/>
          <w:sz w:val="21"/>
        </w:rPr>
        <w:t>中</w:t>
      </w:r>
      <w:r>
        <w:rPr>
          <w:spacing w:val="-2"/>
          <w:sz w:val="21"/>
        </w:rPr>
        <w:t>较</w:t>
      </w:r>
      <w:r>
        <w:rPr>
          <w:spacing w:val="-2"/>
          <w:sz w:val="21"/>
        </w:rPr>
        <w:t>好</w:t>
      </w:r>
      <w:r>
        <w:rPr>
          <w:spacing w:val="-2"/>
          <w:sz w:val="21"/>
        </w:rPr>
        <w:t>眼</w:t>
      </w:r>
      <w:r>
        <w:rPr>
          <w:spacing w:val="-2"/>
          <w:sz w:val="21"/>
        </w:rPr>
        <w:t>须</w:t>
      </w:r>
      <w:r>
        <w:rPr>
          <w:spacing w:val="-2"/>
          <w:sz w:val="21"/>
        </w:rPr>
        <w:t>满</w:t>
      </w:r>
      <w:r>
        <w:rPr>
          <w:spacing w:val="-2"/>
          <w:sz w:val="21"/>
        </w:rPr>
        <w:t>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0"/>
          <w:numId w:val="57"/>
        </w:numPr>
        <w:tabs>
          <w:tab w:pos="3530" w:val="left" w:leader="none"/>
        </w:tabs>
        <w:spacing w:line="269" w:lineRule="exact" w:before="0" w:after="0"/>
        <w:ind w:left="3529" w:right="0" w:hanging="530"/>
        <w:jc w:val="left"/>
        <w:rPr>
          <w:sz w:val="21"/>
        </w:rPr>
      </w:pPr>
      <w:r>
        <w:rPr>
          <w:spacing w:val="-4"/>
          <w:sz w:val="21"/>
        </w:rPr>
        <w:t>眼球缺失或摘除；</w:t>
      </w:r>
    </w:p>
    <w:p>
      <w:pPr>
        <w:pStyle w:val="ListParagraph"/>
        <w:numPr>
          <w:ilvl w:val="0"/>
          <w:numId w:val="57"/>
        </w:numPr>
        <w:tabs>
          <w:tab w:pos="3530" w:val="left" w:leader="none"/>
        </w:tabs>
        <w:spacing w:line="278" w:lineRule="auto" w:before="43" w:after="0"/>
        <w:ind w:left="3525"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57"/>
        </w:numPr>
        <w:tabs>
          <w:tab w:pos="3530" w:val="left" w:leader="none"/>
        </w:tabs>
        <w:spacing w:line="269" w:lineRule="exact" w:before="0" w:after="0"/>
        <w:ind w:left="3529" w:right="0" w:hanging="530"/>
        <w:jc w:val="left"/>
        <w:rPr>
          <w:sz w:val="21"/>
        </w:rPr>
      </w:pPr>
      <w:r>
        <w:rPr>
          <w:spacing w:val="-10"/>
          <w:sz w:val="21"/>
        </w:rPr>
        <w:t>视野半径小于 </w:t>
      </w:r>
      <w:r>
        <w:rPr>
          <w:spacing w:val="-2"/>
          <w:sz w:val="21"/>
        </w:rPr>
        <w:t>5</w:t>
      </w:r>
      <w:r>
        <w:rPr>
          <w:spacing w:val="-21"/>
          <w:sz w:val="21"/>
        </w:rPr>
        <w:t> 度。</w:t>
      </w:r>
    </w:p>
    <w:p>
      <w:pPr>
        <w:pStyle w:val="Heading2"/>
        <w:spacing w:line="278" w:lineRule="auto" w:before="43"/>
        <w:ind w:right="743"/>
      </w:pPr>
      <w:r>
        <w:rPr>
          <w:spacing w:val="-2"/>
        </w:rPr>
        <w:t>除眼球缺失或摘除情形外，申请理赔时，被保险人年龄必须在 </w:t>
      </w:r>
      <w:r>
        <w:rPr/>
        <w:t>3</w:t>
      </w:r>
      <w:r>
        <w:rPr>
          <w:spacing w:val="-10"/>
        </w:rPr>
        <w:t> 周岁以上，</w:t>
      </w:r>
      <w:r>
        <w:rPr>
          <w:spacing w:val="-2"/>
        </w:rPr>
        <w:t>并且须提供理赔当时的视力丧失诊断及检查证据。</w:t>
      </w:r>
    </w:p>
    <w:p>
      <w:pPr>
        <w:pStyle w:val="BodyText"/>
        <w:spacing w:before="10"/>
        <w:rPr>
          <w:b/>
          <w:sz w:val="17"/>
        </w:rPr>
      </w:pPr>
    </w:p>
    <w:p>
      <w:pPr>
        <w:pStyle w:val="ListParagraph"/>
        <w:numPr>
          <w:ilvl w:val="2"/>
          <w:numId w:val="40"/>
        </w:numPr>
        <w:tabs>
          <w:tab w:pos="1439" w:val="left" w:leader="none"/>
          <w:tab w:pos="3000" w:val="left" w:leader="none"/>
        </w:tabs>
        <w:spacing w:line="278" w:lineRule="auto" w:before="1" w:after="0"/>
        <w:ind w:left="3000" w:right="767" w:hanging="1880"/>
        <w:jc w:val="left"/>
        <w:rPr>
          <w:sz w:val="21"/>
        </w:rPr>
      </w:pPr>
      <w:r>
        <w:rPr>
          <w:spacing w:val="-6"/>
          <w:sz w:val="21"/>
        </w:rPr>
        <w:t>瘫痪</w:t>
      </w:r>
      <w:r>
        <w:rPr>
          <w:sz w:val="21"/>
        </w:rPr>
        <w:tab/>
      </w:r>
      <w:r>
        <w:rPr>
          <w:spacing w:val="-2"/>
          <w:sz w:val="21"/>
        </w:rPr>
        <w:t>指</w:t>
      </w:r>
      <w:r>
        <w:rPr>
          <w:spacing w:val="-2"/>
          <w:sz w:val="21"/>
        </w:rPr>
        <w:t>因</w:t>
      </w:r>
      <w:r>
        <w:rPr>
          <w:spacing w:val="-2"/>
          <w:sz w:val="21"/>
        </w:rPr>
        <w:t>疾病或意外伤害导致</w:t>
      </w:r>
      <w:r>
        <w:rPr>
          <w:spacing w:val="-2"/>
          <w:sz w:val="21"/>
        </w:rPr>
        <w:t>两</w:t>
      </w:r>
      <w:r>
        <w:rPr>
          <w:spacing w:val="-2"/>
          <w:sz w:val="21"/>
        </w:rPr>
        <w:t>肢</w:t>
      </w:r>
      <w:r>
        <w:rPr>
          <w:spacing w:val="-2"/>
          <w:sz w:val="21"/>
        </w:rPr>
        <w:t>或两肢以上肢体随意</w:t>
      </w:r>
      <w:r>
        <w:rPr>
          <w:spacing w:val="-2"/>
          <w:sz w:val="21"/>
        </w:rPr>
        <w:t>运</w:t>
      </w:r>
      <w:r>
        <w:rPr>
          <w:spacing w:val="-2"/>
          <w:sz w:val="21"/>
        </w:rPr>
        <w:t>动</w:t>
      </w:r>
      <w:r>
        <w:rPr>
          <w:spacing w:val="-2"/>
          <w:sz w:val="21"/>
        </w:rPr>
        <w:t>功能永久完全丧</w:t>
      </w:r>
      <w:r>
        <w:rPr>
          <w:spacing w:val="-2"/>
          <w:sz w:val="21"/>
        </w:rPr>
        <w:t>失</w:t>
      </w:r>
      <w:r>
        <w:rPr>
          <w:spacing w:val="-2"/>
          <w:sz w:val="21"/>
        </w:rPr>
        <w:t>。</w:t>
      </w:r>
      <w:r>
        <w:rPr>
          <w:sz w:val="21"/>
        </w:rPr>
        <w:t>肢体随意运动功能永久完</w:t>
      </w:r>
      <w:r>
        <w:rPr>
          <w:sz w:val="21"/>
        </w:rPr>
        <w:t>全丧失，指疾病确诊</w:t>
      </w:r>
      <w:r>
        <w:rPr>
          <w:spacing w:val="-44"/>
          <w:sz w:val="21"/>
        </w:rPr>
        <w:t> </w:t>
      </w:r>
      <w:r>
        <w:rPr>
          <w:sz w:val="21"/>
        </w:rPr>
        <w:t>180</w:t>
      </w:r>
      <w:r>
        <w:rPr>
          <w:spacing w:val="-47"/>
          <w:sz w:val="21"/>
        </w:rPr>
        <w:t> </w:t>
      </w:r>
      <w:r>
        <w:rPr>
          <w:sz w:val="21"/>
        </w:rPr>
        <w:t>天后或意外伤害发生</w:t>
      </w:r>
      <w:r>
        <w:rPr>
          <w:spacing w:val="-43"/>
          <w:sz w:val="21"/>
        </w:rPr>
        <w:t> </w:t>
      </w:r>
      <w:r>
        <w:rPr>
          <w:sz w:val="21"/>
        </w:rPr>
        <w:t>180</w:t>
      </w:r>
    </w:p>
    <w:p>
      <w:pPr>
        <w:pStyle w:val="BodyText"/>
        <w:spacing w:line="278" w:lineRule="auto"/>
        <w:ind w:left="3000" w:right="767"/>
      </w:pPr>
      <w:r>
        <w:rPr>
          <w:spacing w:val="-2"/>
        </w:rPr>
        <w:t>天后，每肢三大关节中的两大关节仍然完全僵硬，或肢体肌力在 </w:t>
      </w:r>
      <w:r>
        <w:rPr/>
        <w:t>2</w:t>
      </w:r>
      <w:r>
        <w:rPr>
          <w:spacing w:val="-28"/>
        </w:rPr>
        <w:t> 级</w:t>
      </w:r>
      <w:r>
        <w:rPr/>
        <w:t>（含）</w:t>
      </w:r>
      <w:r>
        <w:rPr>
          <w:spacing w:val="-4"/>
        </w:rPr>
        <w:t>以下。</w:t>
      </w:r>
    </w:p>
    <w:p>
      <w:pPr>
        <w:pStyle w:val="BodyText"/>
        <w:spacing w:before="9"/>
        <w:rPr>
          <w:sz w:val="17"/>
        </w:rPr>
      </w:pPr>
    </w:p>
    <w:p>
      <w:pPr>
        <w:pStyle w:val="ListParagraph"/>
        <w:numPr>
          <w:ilvl w:val="2"/>
          <w:numId w:val="40"/>
        </w:numPr>
        <w:tabs>
          <w:tab w:pos="1439" w:val="left" w:leader="none"/>
          <w:tab w:pos="3000" w:val="left" w:leader="none"/>
        </w:tabs>
        <w:spacing w:line="278" w:lineRule="auto" w:before="0" w:after="0"/>
        <w:ind w:left="3000" w:right="767" w:hanging="1880"/>
        <w:jc w:val="left"/>
        <w:rPr>
          <w:sz w:val="21"/>
        </w:rPr>
      </w:pPr>
      <w:r>
        <w:rPr>
          <w:spacing w:val="-2"/>
          <w:sz w:val="21"/>
        </w:rPr>
        <w:t>心脏瓣膜手术</w:t>
      </w:r>
      <w:r>
        <w:rPr>
          <w:sz w:val="21"/>
        </w:rPr>
        <w:tab/>
      </w:r>
      <w:r>
        <w:rPr>
          <w:spacing w:val="-2"/>
          <w:sz w:val="21"/>
        </w:rPr>
        <w:t>指</w:t>
      </w:r>
      <w:r>
        <w:rPr>
          <w:spacing w:val="-2"/>
          <w:sz w:val="21"/>
        </w:rPr>
        <w:t>为</w:t>
      </w:r>
      <w:r>
        <w:rPr>
          <w:spacing w:val="-2"/>
          <w:sz w:val="21"/>
        </w:rPr>
        <w:t>治疗心脏瓣膜疾病，</w:t>
      </w:r>
      <w:r>
        <w:rPr>
          <w:spacing w:val="-2"/>
          <w:sz w:val="21"/>
        </w:rPr>
        <w:t>已</w:t>
      </w:r>
      <w:r>
        <w:rPr>
          <w:spacing w:val="-2"/>
          <w:sz w:val="21"/>
        </w:rPr>
        <w:t>经</w:t>
      </w:r>
      <w:r>
        <w:rPr>
          <w:spacing w:val="-2"/>
          <w:sz w:val="21"/>
        </w:rPr>
        <w:t>实施了切开心脏进行</w:t>
      </w:r>
      <w:r>
        <w:rPr>
          <w:spacing w:val="-2"/>
          <w:sz w:val="21"/>
        </w:rPr>
        <w:t>的</w:t>
      </w:r>
      <w:r>
        <w:rPr>
          <w:spacing w:val="-2"/>
          <w:sz w:val="21"/>
        </w:rPr>
        <w:t>心</w:t>
      </w:r>
      <w:r>
        <w:rPr>
          <w:spacing w:val="-2"/>
          <w:sz w:val="21"/>
        </w:rPr>
        <w:t>脏瓣膜置换或修</w:t>
      </w:r>
      <w:r>
        <w:rPr>
          <w:spacing w:val="-2"/>
          <w:sz w:val="21"/>
        </w:rPr>
        <w:t>复</w:t>
      </w:r>
      <w:r>
        <w:rPr>
          <w:spacing w:val="-2"/>
          <w:sz w:val="21"/>
        </w:rPr>
        <w:t>的</w:t>
      </w:r>
      <w:r>
        <w:rPr>
          <w:spacing w:val="-4"/>
          <w:sz w:val="21"/>
        </w:rPr>
        <w:t>手</w:t>
      </w:r>
      <w:r>
        <w:rPr>
          <w:spacing w:val="-4"/>
          <w:sz w:val="21"/>
        </w:rPr>
        <w:t>术</w:t>
      </w:r>
      <w:r>
        <w:rPr>
          <w:spacing w:val="-4"/>
          <w:sz w:val="21"/>
        </w:rPr>
        <w:t>。</w:t>
      </w:r>
    </w:p>
    <w:p>
      <w:pPr>
        <w:pStyle w:val="Heading2"/>
        <w:spacing w:line="269" w:lineRule="exact"/>
      </w:pPr>
      <w:r>
        <w:rPr>
          <w:spacing w:val="-3"/>
        </w:rPr>
        <w:t>所有未切开心脏的心脏瓣膜介入手术不在保障范围内。</w:t>
      </w:r>
    </w:p>
    <w:p>
      <w:pPr>
        <w:spacing w:after="0" w:line="269" w:lineRule="exact"/>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45" w:after="0"/>
        <w:ind w:left="1120" w:right="0" w:firstLine="0"/>
        <w:jc w:val="left"/>
        <w:rPr>
          <w:sz w:val="21"/>
        </w:rPr>
      </w:pPr>
      <w:r>
        <w:rPr>
          <w:spacing w:val="8"/>
          <w:sz w:val="21"/>
        </w:rPr>
        <w:t>严重阿尔茨海</w:t>
      </w:r>
      <w:r>
        <w:rPr>
          <w:spacing w:val="-6"/>
          <w:sz w:val="21"/>
        </w:rPr>
        <w:t>默病</w:t>
      </w:r>
    </w:p>
    <w:p>
      <w:pPr>
        <w:pStyle w:val="BodyText"/>
        <w:spacing w:line="278" w:lineRule="auto" w:before="45"/>
        <w:ind w:left="175" w:right="667"/>
        <w:jc w:val="both"/>
      </w:pPr>
      <w:r>
        <w:rPr/>
        <w:br w:type="column"/>
      </w:r>
      <w:r>
        <w:rPr>
          <w:spacing w:val="-2"/>
        </w:rPr>
        <w:t>指因大脑进行性、不可逆性改变导致智能严重衰退或丧失，临床表现为严重</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断层扫描（PET）等影像学检查证实，并经相关专科医生确诊，且须满足下列</w:t>
      </w:r>
      <w:r>
        <w:rPr>
          <w:spacing w:val="-2"/>
        </w:rPr>
        <w:t>至少一项条件：</w:t>
      </w:r>
    </w:p>
    <w:p>
      <w:pPr>
        <w:pStyle w:val="ListParagraph"/>
        <w:numPr>
          <w:ilvl w:val="0"/>
          <w:numId w:val="58"/>
        </w:numPr>
        <w:tabs>
          <w:tab w:pos="735" w:val="left" w:leader="none"/>
        </w:tabs>
        <w:spacing w:line="278" w:lineRule="auto" w:before="0" w:after="0"/>
        <w:ind w:left="700"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0"/>
          <w:numId w:val="58"/>
        </w:numPr>
        <w:tabs>
          <w:tab w:pos="702" w:val="left" w:leader="none"/>
        </w:tabs>
        <w:spacing w:line="278" w:lineRule="auto" w:before="0"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Heading2"/>
        <w:spacing w:line="269" w:lineRule="exact"/>
        <w:ind w:left="175"/>
      </w:pPr>
      <w:r>
        <w:rPr>
          <w:spacing w:val="-3"/>
        </w:rPr>
        <w:t>阿尔茨海默病之外的其他类型痴呆不在保障范围内。</w:t>
      </w:r>
    </w:p>
    <w:p>
      <w:pPr>
        <w:spacing w:after="0" w:line="269" w:lineRule="exact"/>
        <w:sectPr>
          <w:pgSz w:w="11910" w:h="16840"/>
          <w:pgMar w:header="0" w:footer="404" w:top="1320" w:bottom="600" w:left="860" w:right="340"/>
          <w:cols w:num="2" w:equalWidth="0">
            <w:col w:w="2785" w:space="40"/>
            <w:col w:w="7885"/>
          </w:cols>
        </w:sectPr>
      </w:pPr>
    </w:p>
    <w:p>
      <w:pPr>
        <w:pStyle w:val="BodyText"/>
        <w:spacing w:before="7"/>
        <w:rPr>
          <w:b/>
          <w:sz w:val="15"/>
        </w:rPr>
      </w:pPr>
    </w:p>
    <w:p>
      <w:pPr>
        <w:pStyle w:val="ListParagraph"/>
        <w:numPr>
          <w:ilvl w:val="2"/>
          <w:numId w:val="40"/>
        </w:numPr>
        <w:tabs>
          <w:tab w:pos="1439" w:val="left" w:leader="none"/>
        </w:tabs>
        <w:spacing w:line="278" w:lineRule="auto" w:before="71" w:after="0"/>
        <w:ind w:left="3000" w:right="666" w:hanging="1880"/>
        <w:jc w:val="both"/>
        <w:rPr>
          <w:sz w:val="21"/>
        </w:rPr>
      </w:pPr>
      <w:r>
        <w:rPr>
          <w:sz w:val="21"/>
        </w:rPr>
        <w:t>严重脑损伤 指因头部遭受机械性外力，引起脑重要部位损伤，导致神经系统永久性的功</w:t>
      </w:r>
      <w:r>
        <w:rPr>
          <w:spacing w:val="-2"/>
          <w:sz w:val="21"/>
        </w:rPr>
        <w:t>能障碍。须由头颅断层扫描（CT）、核磁共振检查（MRI）或正电子发射断层</w:t>
      </w:r>
      <w:r>
        <w:rPr>
          <w:sz w:val="21"/>
        </w:rPr>
        <w:t>扫描（PET）</w:t>
      </w:r>
      <w:r>
        <w:rPr>
          <w:spacing w:val="-1"/>
          <w:sz w:val="21"/>
        </w:rPr>
        <w:t>等影像学检查证实。神经系统永久性的功能障碍，指脑损伤 </w:t>
      </w:r>
      <w:r>
        <w:rPr>
          <w:sz w:val="21"/>
        </w:rPr>
        <w:t>180</w:t>
      </w:r>
      <w:r>
        <w:rPr>
          <w:spacing w:val="-2"/>
          <w:sz w:val="21"/>
        </w:rPr>
        <w:t>天后，仍遗留下列至少一种障碍：</w:t>
      </w:r>
    </w:p>
    <w:p>
      <w:pPr>
        <w:pStyle w:val="ListParagraph"/>
        <w:numPr>
          <w:ilvl w:val="0"/>
          <w:numId w:val="59"/>
        </w:numPr>
        <w:tabs>
          <w:tab w:pos="3530" w:val="left" w:leader="none"/>
        </w:tabs>
        <w:spacing w:line="240" w:lineRule="auto" w:before="0" w:after="0"/>
        <w:ind w:left="3529"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9"/>
        </w:numPr>
        <w:tabs>
          <w:tab w:pos="3530" w:val="left" w:leader="none"/>
        </w:tabs>
        <w:spacing w:line="240" w:lineRule="auto" w:before="43" w:after="0"/>
        <w:ind w:left="3529" w:right="0" w:hanging="530"/>
        <w:jc w:val="left"/>
        <w:rPr>
          <w:sz w:val="21"/>
        </w:rPr>
      </w:pPr>
      <w:r>
        <w:rPr>
          <w:spacing w:val="-3"/>
          <w:sz w:val="21"/>
        </w:rPr>
        <w:t>语言能力完全丧失，或严重咀嚼吞咽功能障碍；</w:t>
      </w:r>
    </w:p>
    <w:p>
      <w:pPr>
        <w:pStyle w:val="ListParagraph"/>
        <w:numPr>
          <w:ilvl w:val="0"/>
          <w:numId w:val="59"/>
        </w:numPr>
        <w:tabs>
          <w:tab w:pos="3527" w:val="left" w:leader="none"/>
        </w:tabs>
        <w:spacing w:line="278" w:lineRule="auto" w:before="43" w:after="0"/>
        <w:ind w:left="352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72" w:after="0"/>
        <w:ind w:left="1120" w:right="0" w:firstLine="0"/>
        <w:jc w:val="left"/>
        <w:rPr>
          <w:sz w:val="21"/>
        </w:rPr>
      </w:pPr>
      <w:r>
        <w:rPr>
          <w:spacing w:val="8"/>
          <w:sz w:val="21"/>
        </w:rPr>
        <w:t>严重原发性帕</w:t>
      </w:r>
      <w:r>
        <w:rPr>
          <w:spacing w:val="-4"/>
          <w:sz w:val="21"/>
        </w:rPr>
        <w:t>金森病</w:t>
      </w:r>
    </w:p>
    <w:p>
      <w:pPr>
        <w:pStyle w:val="BodyText"/>
        <w:spacing w:line="278" w:lineRule="auto" w:before="72"/>
        <w:ind w:left="175" w:right="667"/>
        <w:jc w:val="both"/>
      </w:pPr>
      <w:r>
        <w:rPr/>
        <w:br w:type="column"/>
      </w:r>
      <w:r>
        <w:rPr>
          <w:spacing w:val="-2"/>
        </w:rPr>
        <w:t>是一种中枢神经系统的退行性疾病，临床表现为运动迟缓、静止性震颤或肌</w:t>
      </w:r>
      <w:r>
        <w:rPr>
          <w:spacing w:val="-2"/>
        </w:rPr>
        <w:t>强直等，经相关专科医生确诊，且须满足自主生活能力完全丧失，无法独立</w:t>
      </w:r>
      <w:r>
        <w:rPr>
          <w:spacing w:val="-2"/>
        </w:rPr>
        <w:t>完成六项基本日常生活活动中的三项或三项以上。</w:t>
      </w:r>
    </w:p>
    <w:p>
      <w:pPr>
        <w:pStyle w:val="Heading2"/>
        <w:spacing w:line="269" w:lineRule="exact"/>
        <w:ind w:left="175"/>
      </w:pPr>
      <w:r>
        <w:rPr>
          <w:spacing w:val="-3"/>
        </w:rPr>
        <w:t>继发性帕金森综合征、帕金森叠加综合征不在保障范围内。</w:t>
      </w:r>
    </w:p>
    <w:p>
      <w:pPr>
        <w:spacing w:after="0" w:line="269" w:lineRule="exact"/>
        <w:sectPr>
          <w:type w:val="continuous"/>
          <w:pgSz w:w="11910" w:h="16840"/>
          <w:pgMar w:header="0" w:footer="404" w:top="600" w:bottom="280" w:left="860" w:right="340"/>
          <w:cols w:num="2" w:equalWidth="0">
            <w:col w:w="2785" w:space="40"/>
            <w:col w:w="7885"/>
          </w:cols>
        </w:sectPr>
      </w:pPr>
    </w:p>
    <w:p>
      <w:pPr>
        <w:pStyle w:val="BodyText"/>
        <w:spacing w:before="7"/>
        <w:rPr>
          <w:b/>
          <w:sz w:val="15"/>
        </w:rPr>
      </w:pPr>
    </w:p>
    <w:p>
      <w:pPr>
        <w:pStyle w:val="ListParagraph"/>
        <w:numPr>
          <w:ilvl w:val="2"/>
          <w:numId w:val="40"/>
        </w:numPr>
        <w:tabs>
          <w:tab w:pos="1439" w:val="left" w:leader="none"/>
          <w:tab w:pos="3000" w:val="left" w:leader="none"/>
        </w:tabs>
        <w:spacing w:line="278" w:lineRule="auto" w:before="72" w:after="0"/>
        <w:ind w:left="3000" w:right="560" w:hanging="1880"/>
        <w:jc w:val="left"/>
        <w:rPr>
          <w:sz w:val="21"/>
        </w:rPr>
      </w:pPr>
      <w:r>
        <w:rPr>
          <w:spacing w:val="-2"/>
          <w:sz w:val="21"/>
        </w:rPr>
        <w:t>严重Ⅲ度烧伤</w:t>
      </w:r>
      <w:r>
        <w:rPr>
          <w:sz w:val="21"/>
        </w:rPr>
        <w:tab/>
        <w:t>指烧伤程度为Ⅲ度</w:t>
      </w:r>
      <w:r>
        <w:rPr>
          <w:spacing w:val="-108"/>
          <w:sz w:val="21"/>
        </w:rPr>
        <w:t>，</w:t>
      </w:r>
      <w:r>
        <w:rPr>
          <w:sz w:val="21"/>
        </w:rPr>
        <w:t>且Ⅲ度</w:t>
      </w:r>
      <w:r>
        <w:rPr>
          <w:sz w:val="21"/>
        </w:rPr>
        <w:t>烧伤的面积达到全身体表</w:t>
      </w:r>
      <w:r>
        <w:rPr>
          <w:sz w:val="21"/>
        </w:rPr>
        <w:t>面积的</w:t>
      </w:r>
      <w:r>
        <w:rPr>
          <w:spacing w:val="-55"/>
          <w:sz w:val="21"/>
        </w:rPr>
        <w:t> </w:t>
      </w:r>
      <w:r>
        <w:rPr>
          <w:sz w:val="21"/>
        </w:rPr>
        <w:t>20％或</w:t>
      </w:r>
      <w:r>
        <w:rPr>
          <w:spacing w:val="-55"/>
          <w:sz w:val="21"/>
        </w:rPr>
        <w:t> </w:t>
      </w:r>
      <w:r>
        <w:rPr>
          <w:sz w:val="21"/>
        </w:rPr>
        <w:t>20％</w:t>
      </w:r>
      <w:r>
        <w:rPr>
          <w:sz w:val="21"/>
        </w:rPr>
        <w:t>以上。</w:t>
      </w:r>
      <w:r>
        <w:rPr>
          <w:spacing w:val="-2"/>
          <w:sz w:val="21"/>
        </w:rPr>
        <w:t>体</w:t>
      </w:r>
      <w:r>
        <w:rPr>
          <w:spacing w:val="-2"/>
          <w:sz w:val="21"/>
        </w:rPr>
        <w:t>表</w:t>
      </w:r>
      <w:r>
        <w:rPr>
          <w:spacing w:val="-2"/>
          <w:sz w:val="21"/>
        </w:rPr>
        <w:t>面积根据《中国新九</w:t>
      </w:r>
      <w:r>
        <w:rPr>
          <w:spacing w:val="-2"/>
          <w:sz w:val="21"/>
        </w:rPr>
        <w:t>分</w:t>
      </w:r>
      <w:r>
        <w:rPr>
          <w:spacing w:val="-2"/>
          <w:sz w:val="21"/>
        </w:rPr>
        <w:t>法</w:t>
      </w:r>
      <w:r>
        <w:rPr>
          <w:spacing w:val="-2"/>
          <w:sz w:val="21"/>
        </w:rPr>
        <w:t>》计算。</w:t>
      </w: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72" w:after="0"/>
        <w:ind w:left="1120" w:right="0" w:firstLine="0"/>
        <w:jc w:val="left"/>
        <w:rPr>
          <w:sz w:val="21"/>
        </w:rPr>
      </w:pPr>
      <w:r>
        <w:rPr>
          <w:spacing w:val="8"/>
          <w:sz w:val="21"/>
        </w:rPr>
        <w:t>严重特发性肺</w:t>
      </w:r>
      <w:r>
        <w:rPr>
          <w:spacing w:val="-4"/>
          <w:sz w:val="21"/>
        </w:rPr>
        <w:t>动脉高压</w:t>
      </w:r>
    </w:p>
    <w:p>
      <w:pPr>
        <w:pStyle w:val="BodyText"/>
        <w:spacing w:line="278" w:lineRule="auto" w:before="72"/>
        <w:ind w:left="175" w:right="666"/>
      </w:pPr>
      <w:r>
        <w:rPr/>
        <w:br w:type="column"/>
      </w:r>
      <w:r>
        <w:rPr>
          <w:spacing w:val="-2"/>
        </w:rPr>
        <w:t>指不明原因的肺动脉压力持续性增高，进行性发展而导致的慢性疾病，已经</w:t>
      </w:r>
      <w:r>
        <w:rPr>
          <w:spacing w:val="-2"/>
        </w:rPr>
        <w:t>造成永久不可逆性的体力活动能力受限，达到美国纽约心脏病学会（New</w:t>
      </w:r>
      <w:r>
        <w:rPr>
          <w:spacing w:val="-55"/>
        </w:rPr>
        <w:t> </w:t>
      </w:r>
      <w:r>
        <w:rPr>
          <w:spacing w:val="-2"/>
        </w:rPr>
        <w:t>York </w:t>
      </w:r>
      <w:r>
        <w:rPr/>
        <w:t>Heart Association，NYHA）</w:t>
      </w:r>
      <w:r>
        <w:rPr>
          <w:spacing w:val="-5"/>
        </w:rPr>
        <w:t>心功能状态分级 </w:t>
      </w:r>
      <w:r>
        <w:rPr/>
        <w:t>IV</w:t>
      </w:r>
      <w:r>
        <w:rPr>
          <w:spacing w:val="-6"/>
        </w:rPr>
        <w:t> 级，且静息状态下肺动脉平</w:t>
      </w:r>
      <w:r>
        <w:rPr>
          <w:spacing w:val="-11"/>
        </w:rPr>
        <w:t>均压在 </w:t>
      </w:r>
      <w:r>
        <w:rPr/>
        <w:t>36mmHg（含）以上。</w:t>
      </w:r>
    </w:p>
    <w:p>
      <w:pPr>
        <w:spacing w:after="0" w:line="278" w:lineRule="auto"/>
        <w:sectPr>
          <w:type w:val="continuous"/>
          <w:pgSz w:w="11910" w:h="16840"/>
          <w:pgMar w:header="0" w:footer="404" w:top="600" w:bottom="280" w:left="860" w:right="340"/>
          <w:cols w:num="2" w:equalWidth="0">
            <w:col w:w="2785" w:space="40"/>
            <w:col w:w="7885"/>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71" w:after="0"/>
        <w:ind w:left="1120" w:right="0" w:firstLine="0"/>
        <w:jc w:val="left"/>
        <w:rPr>
          <w:sz w:val="21"/>
        </w:rPr>
      </w:pPr>
      <w:r>
        <w:rPr>
          <w:spacing w:val="8"/>
          <w:sz w:val="21"/>
        </w:rPr>
        <w:t>严重运动神经</w:t>
      </w:r>
      <w:r>
        <w:rPr>
          <w:spacing w:val="-6"/>
          <w:sz w:val="21"/>
        </w:rPr>
        <w:t>元病</w:t>
      </w:r>
    </w:p>
    <w:p>
      <w:pPr>
        <w:pStyle w:val="BodyText"/>
        <w:spacing w:line="278" w:lineRule="auto" w:before="71"/>
        <w:ind w:left="175"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进行性延髓麻痹症、原发性侧索硬化症、肌萎缩性侧索硬化症，经相关专科</w:t>
      </w:r>
      <w:r>
        <w:rPr>
          <w:spacing w:val="40"/>
        </w:rPr>
        <w:t> </w:t>
      </w:r>
      <w:r>
        <w:rPr>
          <w:spacing w:val="-2"/>
        </w:rPr>
        <w:t>医生确诊，且须满足下列至少一项条件：</w:t>
      </w:r>
    </w:p>
    <w:p>
      <w:pPr>
        <w:pStyle w:val="ListParagraph"/>
        <w:numPr>
          <w:ilvl w:val="0"/>
          <w:numId w:val="60"/>
        </w:numPr>
        <w:tabs>
          <w:tab w:pos="705" w:val="left" w:leader="none"/>
        </w:tabs>
        <w:spacing w:line="269" w:lineRule="exact" w:before="0" w:after="0"/>
        <w:ind w:left="704" w:right="0" w:hanging="530"/>
        <w:jc w:val="left"/>
        <w:rPr>
          <w:sz w:val="21"/>
        </w:rPr>
      </w:pPr>
      <w:r>
        <w:rPr>
          <w:spacing w:val="-3"/>
          <w:sz w:val="21"/>
        </w:rPr>
        <w:t>严重咀嚼吞咽功能障碍；</w:t>
      </w:r>
    </w:p>
    <w:p>
      <w:pPr>
        <w:pStyle w:val="ListParagraph"/>
        <w:numPr>
          <w:ilvl w:val="0"/>
          <w:numId w:val="60"/>
        </w:numPr>
        <w:tabs>
          <w:tab w:pos="705" w:val="left" w:leader="none"/>
        </w:tabs>
        <w:spacing w:line="240" w:lineRule="auto" w:before="43" w:after="0"/>
        <w:ind w:left="704" w:right="0" w:hanging="530"/>
        <w:jc w:val="left"/>
        <w:rPr>
          <w:sz w:val="21"/>
        </w:rPr>
      </w:pPr>
      <w:r>
        <w:rPr>
          <w:spacing w:val="-7"/>
          <w:sz w:val="21"/>
        </w:rPr>
        <w:t>呼吸肌麻痹导致严重呼吸困难，且已经持续使用呼吸机 </w:t>
      </w:r>
      <w:r>
        <w:rPr>
          <w:spacing w:val="-6"/>
          <w:sz w:val="21"/>
        </w:rPr>
        <w:t>7</w:t>
      </w:r>
      <w:r>
        <w:rPr>
          <w:spacing w:val="-16"/>
          <w:sz w:val="21"/>
        </w:rPr>
        <w:t> 天</w:t>
      </w:r>
      <w:r>
        <w:rPr>
          <w:spacing w:val="-6"/>
          <w:sz w:val="21"/>
        </w:rPr>
        <w:t>（含）</w:t>
      </w:r>
      <w:r>
        <w:rPr>
          <w:spacing w:val="-8"/>
          <w:sz w:val="21"/>
        </w:rPr>
        <w:t>以上；</w:t>
      </w:r>
    </w:p>
    <w:p>
      <w:pPr>
        <w:pStyle w:val="ListParagraph"/>
        <w:numPr>
          <w:ilvl w:val="0"/>
          <w:numId w:val="60"/>
        </w:numPr>
        <w:tabs>
          <w:tab w:pos="702" w:val="left" w:leader="none"/>
        </w:tabs>
        <w:spacing w:line="278" w:lineRule="auto" w:before="44"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785" w:space="40"/>
            <w:col w:w="7885"/>
          </w:cols>
        </w:sectPr>
      </w:pPr>
    </w:p>
    <w:p>
      <w:pPr>
        <w:pStyle w:val="BodyText"/>
        <w:spacing w:before="2"/>
        <w:rPr>
          <w:sz w:val="12"/>
        </w:rPr>
      </w:pPr>
    </w:p>
    <w:p>
      <w:pPr>
        <w:pStyle w:val="ListParagraph"/>
        <w:numPr>
          <w:ilvl w:val="2"/>
          <w:numId w:val="40"/>
        </w:numPr>
        <w:tabs>
          <w:tab w:pos="1439" w:val="left" w:leader="none"/>
          <w:tab w:pos="3000" w:val="left" w:leader="none"/>
        </w:tabs>
        <w:spacing w:line="278" w:lineRule="auto" w:before="72" w:after="0"/>
        <w:ind w:left="3000" w:right="666" w:hanging="1880"/>
        <w:jc w:val="left"/>
        <w:rPr>
          <w:sz w:val="21"/>
        </w:rPr>
      </w:pPr>
      <w:r>
        <w:rPr>
          <w:spacing w:val="-2"/>
          <w:sz w:val="21"/>
        </w:rPr>
        <w:t>语言能力丧失</w:t>
      </w:r>
      <w:r>
        <w:rPr>
          <w:sz w:val="21"/>
        </w:rPr>
        <w:tab/>
        <w:t>指因疾病或意外伤害导致</w:t>
      </w:r>
      <w:r>
        <w:rPr>
          <w:sz w:val="21"/>
        </w:rPr>
        <w:t>语言能力完全丧失，经过</w:t>
      </w:r>
      <w:r>
        <w:rPr>
          <w:sz w:val="21"/>
        </w:rPr>
        <w:t>积极治疗至少</w:t>
      </w:r>
      <w:r>
        <w:rPr>
          <w:spacing w:val="-53"/>
          <w:sz w:val="21"/>
        </w:rPr>
        <w:t> </w:t>
      </w:r>
      <w:r>
        <w:rPr>
          <w:sz w:val="21"/>
        </w:rPr>
        <w:t>12</w:t>
      </w:r>
      <w:r>
        <w:rPr>
          <w:spacing w:val="-53"/>
          <w:sz w:val="21"/>
        </w:rPr>
        <w:t> </w:t>
      </w:r>
      <w:r>
        <w:rPr>
          <w:sz w:val="21"/>
        </w:rPr>
        <w:t>个月（声</w:t>
      </w:r>
      <w:r>
        <w:rPr>
          <w:spacing w:val="-2"/>
          <w:sz w:val="21"/>
        </w:rPr>
        <w:t>带</w:t>
      </w:r>
      <w:r>
        <w:rPr>
          <w:spacing w:val="-2"/>
          <w:sz w:val="21"/>
        </w:rPr>
        <w:t>完</w:t>
      </w:r>
      <w:r>
        <w:rPr>
          <w:spacing w:val="-2"/>
          <w:sz w:val="21"/>
        </w:rPr>
        <w:t>全切除不受此时间限</w:t>
      </w:r>
      <w:r>
        <w:rPr>
          <w:spacing w:val="-2"/>
          <w:sz w:val="21"/>
        </w:rPr>
        <w:t>制</w:t>
      </w:r>
      <w:r>
        <w:rPr>
          <w:spacing w:val="-2"/>
          <w:sz w:val="21"/>
        </w:rPr>
        <w:t>），仍无法通过现有医</w:t>
      </w:r>
      <w:r>
        <w:rPr>
          <w:spacing w:val="-2"/>
          <w:sz w:val="21"/>
        </w:rPr>
        <w:t>疗</w:t>
      </w:r>
      <w:r>
        <w:rPr>
          <w:spacing w:val="-2"/>
          <w:sz w:val="21"/>
        </w:rPr>
        <w:t>手</w:t>
      </w:r>
      <w:r>
        <w:rPr>
          <w:spacing w:val="-2"/>
          <w:sz w:val="21"/>
        </w:rPr>
        <w:t>段恢复。</w:t>
      </w:r>
    </w:p>
    <w:p>
      <w:pPr>
        <w:pStyle w:val="Heading2"/>
        <w:spacing w:line="269" w:lineRule="exact"/>
      </w:pPr>
      <w:r>
        <w:rPr>
          <w:spacing w:val="-3"/>
        </w:rPr>
        <w:t>精神心理因素所致的语言能力丧失不在保障范围内。</w:t>
      </w:r>
    </w:p>
    <w:p>
      <w:pPr>
        <w:spacing w:line="278" w:lineRule="auto" w:before="43"/>
        <w:ind w:left="3000" w:right="743" w:firstLine="0"/>
        <w:jc w:val="left"/>
        <w:rPr>
          <w:b/>
          <w:sz w:val="21"/>
        </w:rPr>
      </w:pPr>
      <w:r>
        <w:rPr>
          <w:b/>
          <w:spacing w:val="-4"/>
          <w:sz w:val="21"/>
        </w:rPr>
        <w:t>申请理赔时，被保险人年龄必须在 </w:t>
      </w:r>
      <w:r>
        <w:rPr>
          <w:b/>
          <w:sz w:val="21"/>
        </w:rPr>
        <w:t>3</w:t>
      </w:r>
      <w:r>
        <w:rPr>
          <w:b/>
          <w:spacing w:val="-8"/>
          <w:sz w:val="21"/>
        </w:rPr>
        <w:t> 周岁以上，并且须提供理赔当时的语言</w:t>
      </w:r>
      <w:r>
        <w:rPr>
          <w:b/>
          <w:spacing w:val="-2"/>
          <w:sz w:val="21"/>
        </w:rPr>
        <w:t>能力丧失诊断及检查证据。</w:t>
      </w:r>
    </w:p>
    <w:p>
      <w:pPr>
        <w:spacing w:after="0" w:line="278" w:lineRule="auto"/>
        <w:jc w:val="left"/>
        <w:rPr>
          <w:sz w:val="21"/>
        </w:rPr>
        <w:sectPr>
          <w:type w:val="continuous"/>
          <w:pgSz w:w="11910" w:h="16840"/>
          <w:pgMar w:header="0" w:footer="404" w:top="600" w:bottom="280" w:left="860" w:right="340"/>
        </w:sectPr>
      </w:pPr>
    </w:p>
    <w:p>
      <w:pPr>
        <w:pStyle w:val="ListParagraph"/>
        <w:numPr>
          <w:ilvl w:val="2"/>
          <w:numId w:val="40"/>
        </w:numPr>
        <w:tabs>
          <w:tab w:pos="1452" w:val="left" w:leader="none"/>
        </w:tabs>
        <w:spacing w:line="278" w:lineRule="auto" w:before="57" w:after="0"/>
        <w:ind w:left="1120" w:right="0" w:firstLine="0"/>
        <w:jc w:val="left"/>
        <w:rPr>
          <w:sz w:val="21"/>
        </w:rPr>
      </w:pPr>
      <w:r>
        <w:rPr>
          <w:spacing w:val="8"/>
          <w:sz w:val="21"/>
        </w:rPr>
        <w:t>重型再生障碍</w:t>
      </w:r>
      <w:r>
        <w:rPr>
          <w:spacing w:val="-4"/>
          <w:sz w:val="21"/>
        </w:rPr>
        <w:t>性贫血</w:t>
      </w:r>
    </w:p>
    <w:p>
      <w:pPr>
        <w:pStyle w:val="BodyText"/>
        <w:spacing w:line="278" w:lineRule="auto" w:before="57"/>
        <w:ind w:left="174" w:right="667"/>
      </w:pPr>
      <w:r>
        <w:rPr/>
        <w:br w:type="column"/>
      </w:r>
      <w:r>
        <w:rPr>
          <w:spacing w:val="-2"/>
        </w:rPr>
        <w:t>指因骨髓造血功能慢性持续性衰竭导致的贫血、中性粒细胞减少及血小板减</w:t>
      </w:r>
      <w:r>
        <w:rPr>
          <w:spacing w:val="-2"/>
        </w:rPr>
        <w:t>少，且须满足下列全部条件：</w:t>
      </w:r>
    </w:p>
    <w:p>
      <w:pPr>
        <w:pStyle w:val="ListParagraph"/>
        <w:numPr>
          <w:ilvl w:val="0"/>
          <w:numId w:val="61"/>
        </w:numPr>
        <w:tabs>
          <w:tab w:pos="704" w:val="left" w:leader="none"/>
        </w:tabs>
        <w:spacing w:line="278" w:lineRule="auto" w:before="0" w:after="0"/>
        <w:ind w:left="700" w:right="560" w:hanging="526"/>
        <w:jc w:val="left"/>
        <w:rPr>
          <w:sz w:val="21"/>
        </w:rPr>
      </w:pPr>
      <w:r>
        <w:rPr>
          <w:spacing w:val="-7"/>
          <w:sz w:val="21"/>
        </w:rPr>
        <w:t>骨髓穿刺检查或骨髓活检结果支持诊断：骨髓细胞增生程度&lt;正常的</w:t>
      </w:r>
      <w:r>
        <w:rPr>
          <w:spacing w:val="-2"/>
          <w:sz w:val="21"/>
        </w:rPr>
        <w:t> </w:t>
      </w:r>
      <w:r>
        <w:rPr>
          <w:sz w:val="21"/>
        </w:rPr>
        <w:t>25%；</w:t>
      </w:r>
      <w:r>
        <w:rPr>
          <w:spacing w:val="-8"/>
          <w:sz w:val="21"/>
        </w:rPr>
        <w:t>如≥正常的 </w:t>
      </w:r>
      <w:r>
        <w:rPr>
          <w:sz w:val="21"/>
        </w:rPr>
        <w:t>25%但&lt;50%，则残存的造血细胞应&lt;30%；</w:t>
      </w:r>
    </w:p>
    <w:p>
      <w:pPr>
        <w:pStyle w:val="ListParagraph"/>
        <w:numPr>
          <w:ilvl w:val="0"/>
          <w:numId w:val="61"/>
        </w:numPr>
        <w:tabs>
          <w:tab w:pos="704" w:val="left" w:leader="none"/>
        </w:tabs>
        <w:spacing w:line="269" w:lineRule="exact" w:before="0" w:after="0"/>
        <w:ind w:left="703" w:right="0" w:hanging="530"/>
        <w:jc w:val="left"/>
        <w:rPr>
          <w:sz w:val="21"/>
        </w:rPr>
      </w:pPr>
      <w:r>
        <w:rPr>
          <w:spacing w:val="-3"/>
          <w:sz w:val="21"/>
        </w:rPr>
        <w:t>外周血象须具备以下三项条件中的两项：</w:t>
      </w:r>
    </w:p>
    <w:p>
      <w:pPr>
        <w:pStyle w:val="BodyText"/>
        <w:spacing w:before="33"/>
        <w:ind w:left="700"/>
      </w:pPr>
      <w:r>
        <w:rPr>
          <w:spacing w:val="-2"/>
        </w:rPr>
        <w:t>①中性粒细胞绝对值&lt;0.5×10</w:t>
      </w:r>
      <w:r>
        <w:rPr>
          <w:spacing w:val="-2"/>
          <w:position w:val="11"/>
          <w:sz w:val="11"/>
        </w:rPr>
        <w:t>9</w:t>
      </w:r>
      <w:r>
        <w:rPr>
          <w:spacing w:val="-2"/>
        </w:rPr>
        <w:t>/L；</w:t>
      </w:r>
    </w:p>
    <w:p>
      <w:pPr>
        <w:pStyle w:val="BodyText"/>
        <w:spacing w:before="33"/>
        <w:ind w:left="700"/>
      </w:pPr>
      <w:r>
        <w:rPr>
          <w:spacing w:val="-2"/>
        </w:rPr>
        <w:t>②网织红细胞计数&lt;20×10</w:t>
      </w:r>
      <w:r>
        <w:rPr>
          <w:spacing w:val="-2"/>
          <w:position w:val="11"/>
          <w:sz w:val="11"/>
        </w:rPr>
        <w:t>9</w:t>
      </w:r>
      <w:r>
        <w:rPr>
          <w:spacing w:val="-2"/>
        </w:rPr>
        <w:t>/L；</w:t>
      </w:r>
    </w:p>
    <w:p>
      <w:pPr>
        <w:pStyle w:val="BodyText"/>
        <w:spacing w:before="33"/>
        <w:ind w:left="700"/>
      </w:pPr>
      <w:r>
        <w:rPr>
          <w:spacing w:val="-2"/>
        </w:rPr>
        <w:t>③血小板绝对值&lt;20×10</w:t>
      </w:r>
      <w:r>
        <w:rPr>
          <w:spacing w:val="-2"/>
          <w:position w:val="11"/>
          <w:sz w:val="11"/>
        </w:rPr>
        <w:t>9</w:t>
      </w:r>
      <w:r>
        <w:rPr>
          <w:spacing w:val="-2"/>
        </w:rPr>
        <w:t>/L</w:t>
      </w:r>
      <w:r>
        <w:rPr>
          <w:spacing w:val="-12"/>
        </w:rPr>
        <w:t>。</w:t>
      </w:r>
    </w:p>
    <w:p>
      <w:pPr>
        <w:spacing w:after="0"/>
        <w:sectPr>
          <w:pgSz w:w="11910" w:h="16840"/>
          <w:pgMar w:header="0" w:footer="404" w:top="1080" w:bottom="600" w:left="860" w:right="340"/>
          <w:cols w:num="2" w:equalWidth="0">
            <w:col w:w="2786" w:space="40"/>
            <w:col w:w="7884"/>
          </w:cols>
        </w:sectPr>
      </w:pPr>
    </w:p>
    <w:p>
      <w:pPr>
        <w:pStyle w:val="BodyText"/>
        <w:spacing w:before="7"/>
        <w:rPr>
          <w:sz w:val="15"/>
        </w:rPr>
      </w:pPr>
    </w:p>
    <w:p>
      <w:pPr>
        <w:pStyle w:val="ListParagraph"/>
        <w:numPr>
          <w:ilvl w:val="2"/>
          <w:numId w:val="40"/>
        </w:numPr>
        <w:tabs>
          <w:tab w:pos="1439" w:val="left" w:leader="none"/>
        </w:tabs>
        <w:spacing w:line="240" w:lineRule="auto" w:before="72" w:after="0"/>
        <w:ind w:left="1438" w:right="0" w:hanging="319"/>
        <w:jc w:val="both"/>
        <w:rPr>
          <w:sz w:val="21"/>
        </w:rPr>
      </w:pPr>
      <w:r>
        <w:rPr>
          <w:sz w:val="21"/>
        </w:rPr>
        <w:t>主动脉手术</w:t>
      </w:r>
      <w:r>
        <w:rPr>
          <w:spacing w:val="401"/>
          <w:w w:val="150"/>
          <w:sz w:val="21"/>
        </w:rPr>
        <w:t> </w:t>
      </w:r>
      <w:r>
        <w:rPr>
          <w:sz w:val="21"/>
        </w:rPr>
        <w:t>指为治疗主动脉疾病或主动脉创伤，已经实施了开胸（含胸腔镜下）</w:t>
      </w:r>
      <w:r>
        <w:rPr>
          <w:spacing w:val="-4"/>
          <w:sz w:val="21"/>
        </w:rPr>
        <w:t>或开腹</w:t>
      </w:r>
    </w:p>
    <w:p>
      <w:pPr>
        <w:pStyle w:val="BodyText"/>
        <w:spacing w:line="278" w:lineRule="auto" w:before="43"/>
        <w:ind w:left="3000" w:right="667"/>
        <w:jc w:val="both"/>
      </w:pPr>
      <w:r>
        <w:rPr>
          <w:spacing w:val="-2"/>
        </w:rPr>
        <w:t>（含腹腔镜下）进行的切除、置换、修补病损主动脉血管、主动脉创伤后修</w:t>
      </w:r>
      <w:r>
        <w:rPr>
          <w:spacing w:val="-2"/>
        </w:rPr>
        <w:t>复的手术。主动脉指升主动脉、主动脉弓和降主动脉（含胸主动脉和腹主动</w:t>
      </w:r>
      <w:r>
        <w:rPr>
          <w:spacing w:val="-2"/>
        </w:rPr>
        <w:t>脉），不包括升主动脉、主动脉弓和降主动脉的分支血管。</w:t>
      </w:r>
    </w:p>
    <w:p>
      <w:pPr>
        <w:pStyle w:val="Heading2"/>
        <w:spacing w:line="269" w:lineRule="exact"/>
      </w:pPr>
      <w:r>
        <w:rPr>
          <w:spacing w:val="-3"/>
        </w:rPr>
        <w:t>所有未实施开胸或开腹的动脉内介入治疗不在保障范围内。</w:t>
      </w: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严重慢性呼吸</w:t>
      </w:r>
      <w:r>
        <w:rPr>
          <w:spacing w:val="-6"/>
          <w:sz w:val="21"/>
        </w:rPr>
        <w:t>衰竭</w:t>
      </w:r>
    </w:p>
    <w:p>
      <w:pPr>
        <w:pStyle w:val="BodyText"/>
        <w:spacing w:line="278" w:lineRule="auto" w:before="72"/>
        <w:ind w:left="262" w:right="767"/>
      </w:pPr>
      <w:r>
        <w:rPr/>
        <w:br w:type="column"/>
      </w:r>
      <w:r>
        <w:rPr>
          <w:spacing w:val="-2"/>
        </w:rPr>
        <w:t>指因慢性呼吸系统疾病导致永久不可逆性的呼吸衰竭，经过积极治疗 </w:t>
      </w:r>
      <w:r>
        <w:rPr/>
        <w:t>180</w:t>
      </w:r>
      <w:r>
        <w:rPr>
          <w:spacing w:val="-27"/>
        </w:rPr>
        <w:t> 天</w:t>
      </w:r>
      <w:r>
        <w:rPr>
          <w:spacing w:val="-2"/>
        </w:rPr>
        <w:t>后满足以下所有条件：</w:t>
      </w:r>
    </w:p>
    <w:p>
      <w:pPr>
        <w:pStyle w:val="ListParagraph"/>
        <w:numPr>
          <w:ilvl w:val="0"/>
          <w:numId w:val="62"/>
        </w:numPr>
        <w:tabs>
          <w:tab w:pos="792" w:val="left" w:leader="none"/>
        </w:tabs>
        <w:spacing w:line="269" w:lineRule="exact" w:before="0" w:after="0"/>
        <w:ind w:left="791" w:right="0" w:hanging="530"/>
        <w:jc w:val="left"/>
        <w:rPr>
          <w:sz w:val="21"/>
        </w:rPr>
      </w:pPr>
      <w:r>
        <w:rPr>
          <w:spacing w:val="-3"/>
          <w:sz w:val="21"/>
        </w:rPr>
        <w:t>静息时出现呼吸困难；</w:t>
      </w:r>
    </w:p>
    <w:p>
      <w:pPr>
        <w:pStyle w:val="ListParagraph"/>
        <w:numPr>
          <w:ilvl w:val="0"/>
          <w:numId w:val="62"/>
        </w:numPr>
        <w:tabs>
          <w:tab w:pos="792" w:val="left" w:leader="none"/>
        </w:tabs>
        <w:spacing w:line="240" w:lineRule="auto" w:before="42" w:after="0"/>
        <w:ind w:left="791"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62"/>
        </w:numPr>
        <w:tabs>
          <w:tab w:pos="792" w:val="left" w:leader="none"/>
        </w:tabs>
        <w:spacing w:line="240" w:lineRule="auto" w:before="43" w:after="0"/>
        <w:ind w:left="791"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5"/>
        <w:rPr>
          <w:sz w:val="15"/>
        </w:rPr>
      </w:pPr>
    </w:p>
    <w:p>
      <w:pPr>
        <w:pStyle w:val="ListParagraph"/>
        <w:numPr>
          <w:ilvl w:val="2"/>
          <w:numId w:val="40"/>
        </w:numPr>
        <w:tabs>
          <w:tab w:pos="1439" w:val="left" w:leader="none"/>
          <w:tab w:pos="3000" w:val="left" w:leader="none"/>
        </w:tabs>
        <w:spacing w:line="278" w:lineRule="auto" w:before="72" w:after="0"/>
        <w:ind w:left="3000" w:right="666" w:hanging="1880"/>
        <w:jc w:val="left"/>
        <w:rPr>
          <w:sz w:val="21"/>
        </w:rPr>
      </w:pPr>
      <w:r>
        <w:rPr>
          <w:spacing w:val="-2"/>
          <w:sz w:val="21"/>
        </w:rPr>
        <w:t>严重克罗恩病</w:t>
      </w:r>
      <w:r>
        <w:rPr>
          <w:sz w:val="21"/>
        </w:rPr>
        <w:tab/>
      </w:r>
      <w:r>
        <w:rPr>
          <w:spacing w:val="-2"/>
          <w:sz w:val="21"/>
        </w:rPr>
        <w:t>指</w:t>
      </w:r>
      <w:r>
        <w:rPr>
          <w:spacing w:val="-2"/>
          <w:sz w:val="21"/>
        </w:rPr>
        <w:t>一</w:t>
      </w:r>
      <w:r>
        <w:rPr>
          <w:spacing w:val="-2"/>
          <w:sz w:val="21"/>
        </w:rPr>
        <w:t>种慢性肉芽肿性肠炎，具有特征性的克罗恩病（Crohn</w:t>
      </w:r>
      <w:r>
        <w:rPr>
          <w:spacing w:val="-55"/>
          <w:sz w:val="21"/>
        </w:rPr>
        <w:t> </w:t>
      </w:r>
      <w:r>
        <w:rPr>
          <w:spacing w:val="-2"/>
          <w:sz w:val="21"/>
        </w:rPr>
        <w:t>病）病理组织学变</w:t>
      </w:r>
      <w:r>
        <w:rPr>
          <w:spacing w:val="-2"/>
          <w:sz w:val="21"/>
        </w:rPr>
        <w:t>化</w:t>
      </w:r>
      <w:r>
        <w:rPr>
          <w:spacing w:val="-2"/>
          <w:sz w:val="21"/>
        </w:rPr>
        <w:t>，须根据组织病理学特</w:t>
      </w:r>
      <w:r>
        <w:rPr>
          <w:spacing w:val="-2"/>
          <w:sz w:val="21"/>
        </w:rPr>
        <w:t>点</w:t>
      </w:r>
      <w:r>
        <w:rPr>
          <w:spacing w:val="-2"/>
          <w:sz w:val="21"/>
        </w:rPr>
        <w:t>诊</w:t>
      </w:r>
      <w:r>
        <w:rPr>
          <w:spacing w:val="-2"/>
          <w:sz w:val="21"/>
        </w:rPr>
        <w:t>断，且已经造成瘘管</w:t>
      </w:r>
      <w:r>
        <w:rPr>
          <w:spacing w:val="-2"/>
          <w:sz w:val="21"/>
        </w:rPr>
        <w:t>形</w:t>
      </w:r>
      <w:r>
        <w:rPr>
          <w:spacing w:val="-2"/>
          <w:sz w:val="21"/>
        </w:rPr>
        <w:t>成</w:t>
      </w:r>
      <w:r>
        <w:rPr>
          <w:spacing w:val="-2"/>
          <w:sz w:val="21"/>
        </w:rPr>
        <w:t>并伴有肠梗阻或</w:t>
      </w:r>
      <w:r>
        <w:rPr>
          <w:spacing w:val="-2"/>
          <w:sz w:val="21"/>
        </w:rPr>
        <w:t>肠</w:t>
      </w:r>
      <w:r>
        <w:rPr>
          <w:spacing w:val="-2"/>
          <w:sz w:val="21"/>
        </w:rPr>
        <w:t>穿</w:t>
      </w:r>
      <w:r>
        <w:rPr>
          <w:spacing w:val="-6"/>
          <w:sz w:val="21"/>
        </w:rPr>
        <w:t>孔</w:t>
      </w:r>
      <w:r>
        <w:rPr>
          <w:spacing w:val="-6"/>
          <w:sz w:val="21"/>
        </w:rPr>
        <w:t>。</w:t>
      </w: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严重溃疡性结</w:t>
      </w:r>
      <w:r>
        <w:rPr>
          <w:spacing w:val="-6"/>
          <w:sz w:val="21"/>
        </w:rPr>
        <w:t>肠炎</w:t>
      </w:r>
    </w:p>
    <w:p>
      <w:pPr>
        <w:pStyle w:val="BodyText"/>
        <w:spacing w:line="278" w:lineRule="auto" w:before="72"/>
        <w:ind w:left="262" w:right="560"/>
      </w:pPr>
      <w:r>
        <w:rPr/>
        <w:br w:type="column"/>
      </w:r>
      <w:r>
        <w:rPr>
          <w:spacing w:val="-2"/>
        </w:rPr>
        <w:t>指伴有致命性电解质紊乱的急性暴发性溃疡性结肠炎，病变已经累及全结肠，</w:t>
      </w:r>
      <w:r>
        <w:rPr>
          <w:spacing w:val="-2"/>
        </w:rPr>
        <w:t>表现为严重的血便和系统性症状体征，须根据组织病理学特点诊断，且已经</w:t>
      </w:r>
      <w:r>
        <w:rPr>
          <w:spacing w:val="40"/>
        </w:rPr>
        <w:t> </w:t>
      </w:r>
      <w:r>
        <w:rPr>
          <w:spacing w:val="-2"/>
        </w:rPr>
        <w:t>实施了结肠切除或回肠造瘘术。</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严重冠状动脉</w:t>
      </w:r>
      <w:r>
        <w:rPr>
          <w:spacing w:val="-2"/>
          <w:sz w:val="21"/>
        </w:rPr>
        <w:t>粥样硬化性心脏</w:t>
      </w:r>
      <w:r>
        <w:rPr>
          <w:spacing w:val="-10"/>
          <w:sz w:val="21"/>
        </w:rPr>
        <w:t>病</w:t>
      </w:r>
    </w:p>
    <w:p>
      <w:pPr>
        <w:pStyle w:val="BodyText"/>
        <w:spacing w:line="278" w:lineRule="auto" w:before="72"/>
        <w:ind w:left="262" w:right="767"/>
      </w:pPr>
      <w:r>
        <w:rPr/>
        <w:br w:type="column"/>
      </w:r>
      <w:r>
        <w:rPr>
          <w:spacing w:val="-2"/>
        </w:rPr>
        <w:t>指经冠状动脉造影检查明确诊断为主要血管严重狭窄性病变，须满足下列至</w:t>
      </w:r>
      <w:r>
        <w:rPr>
          <w:spacing w:val="-2"/>
        </w:rPr>
        <w:t>少一项条件：</w:t>
      </w:r>
    </w:p>
    <w:p>
      <w:pPr>
        <w:pStyle w:val="ListParagraph"/>
        <w:numPr>
          <w:ilvl w:val="0"/>
          <w:numId w:val="63"/>
        </w:numPr>
        <w:tabs>
          <w:tab w:pos="792" w:val="left" w:leader="none"/>
        </w:tabs>
        <w:spacing w:line="278" w:lineRule="auto" w:before="0" w:after="0"/>
        <w:ind w:left="788" w:right="666" w:hanging="526"/>
        <w:jc w:val="left"/>
        <w:rPr>
          <w:sz w:val="21"/>
        </w:rPr>
      </w:pPr>
      <w:r>
        <w:rPr>
          <w:spacing w:val="-2"/>
          <w:sz w:val="21"/>
        </w:rPr>
        <w:t>左冠状动脉主干和右冠状动脉中，一支血管管腔堵塞 </w:t>
      </w:r>
      <w:r>
        <w:rPr>
          <w:sz w:val="21"/>
        </w:rPr>
        <w:t>75%以上，另一支</w:t>
      </w:r>
      <w:r>
        <w:rPr>
          <w:spacing w:val="-6"/>
          <w:sz w:val="21"/>
        </w:rPr>
        <w:t>血管管腔堵塞 </w:t>
      </w:r>
      <w:r>
        <w:rPr>
          <w:sz w:val="21"/>
        </w:rPr>
        <w:t>60%以上；</w:t>
      </w:r>
    </w:p>
    <w:p>
      <w:pPr>
        <w:pStyle w:val="BodyText"/>
        <w:spacing w:before="4"/>
        <w:rPr>
          <w:sz w:val="24"/>
        </w:rPr>
      </w:pPr>
    </w:p>
    <w:p>
      <w:pPr>
        <w:pStyle w:val="ListParagraph"/>
        <w:numPr>
          <w:ilvl w:val="0"/>
          <w:numId w:val="63"/>
        </w:numPr>
        <w:tabs>
          <w:tab w:pos="792" w:val="left" w:leader="none"/>
        </w:tabs>
        <w:spacing w:line="278" w:lineRule="auto" w:before="0" w:after="0"/>
        <w:ind w:left="788" w:right="666" w:hanging="526"/>
        <w:jc w:val="left"/>
        <w:rPr>
          <w:sz w:val="21"/>
        </w:rPr>
      </w:pPr>
      <w:r>
        <w:rPr>
          <w:spacing w:val="-1"/>
          <w:sz w:val="21"/>
        </w:rPr>
        <w:t>左前降支、左旋支和右冠状动脉中，至少一支血管管腔堵塞 </w:t>
      </w:r>
      <w:r>
        <w:rPr>
          <w:sz w:val="21"/>
        </w:rPr>
        <w:t>75%以上，</w:t>
      </w:r>
      <w:r>
        <w:rPr>
          <w:spacing w:val="-4"/>
          <w:sz w:val="21"/>
        </w:rPr>
        <w:t>其他两支血管管腔堵塞 </w:t>
      </w:r>
      <w:r>
        <w:rPr>
          <w:sz w:val="21"/>
        </w:rPr>
        <w:t>60%以上。</w:t>
      </w:r>
    </w:p>
    <w:p>
      <w:pPr>
        <w:pStyle w:val="Heading2"/>
        <w:spacing w:line="278" w:lineRule="auto"/>
        <w:ind w:left="262" w:right="746"/>
      </w:pPr>
      <w:r>
        <w:rPr>
          <w:spacing w:val="-2"/>
        </w:rPr>
        <w:t>左前降支的分支血管、左旋支的分支血管及右冠状动脉的分支血管的狭窄不</w:t>
      </w:r>
      <w:r>
        <w:rPr>
          <w:spacing w:val="-2"/>
        </w:rPr>
        <w:t>作为本保障的衡量指标。</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3"/>
        <w:rPr>
          <w:b/>
          <w:sz w:val="12"/>
        </w:rPr>
      </w:pPr>
    </w:p>
    <w:p>
      <w:pPr>
        <w:pStyle w:val="ListParagraph"/>
        <w:numPr>
          <w:ilvl w:val="2"/>
          <w:numId w:val="40"/>
        </w:numPr>
        <w:tabs>
          <w:tab w:pos="1439" w:val="left" w:leader="none"/>
          <w:tab w:pos="3000" w:val="left" w:leader="none"/>
        </w:tabs>
        <w:spacing w:line="278" w:lineRule="auto" w:before="71" w:after="0"/>
        <w:ind w:left="3000" w:right="666" w:hanging="1880"/>
        <w:jc w:val="left"/>
        <w:rPr>
          <w:sz w:val="21"/>
        </w:rPr>
      </w:pPr>
      <w:r>
        <w:rPr>
          <w:spacing w:val="-2"/>
          <w:sz w:val="21"/>
        </w:rPr>
        <w:t>严重心</w:t>
      </w:r>
      <w:r>
        <w:rPr>
          <w:spacing w:val="-2"/>
          <w:sz w:val="21"/>
        </w:rPr>
        <w:t>肌</w:t>
      </w:r>
      <w:r>
        <w:rPr>
          <w:spacing w:val="-2"/>
          <w:sz w:val="21"/>
        </w:rPr>
        <w:t>病</w:t>
      </w:r>
      <w:r>
        <w:rPr>
          <w:sz w:val="21"/>
        </w:rPr>
        <w:tab/>
      </w:r>
      <w:r>
        <w:rPr>
          <w:spacing w:val="-2"/>
          <w:sz w:val="21"/>
        </w:rPr>
        <w:t>指</w:t>
      </w:r>
      <w:r>
        <w:rPr>
          <w:spacing w:val="-2"/>
          <w:sz w:val="21"/>
        </w:rPr>
        <w:t>不</w:t>
      </w:r>
      <w:r>
        <w:rPr>
          <w:spacing w:val="-2"/>
          <w:sz w:val="21"/>
        </w:rPr>
        <w:t>明原因引起的一类心</w:t>
      </w:r>
      <w:r>
        <w:rPr>
          <w:spacing w:val="-2"/>
          <w:sz w:val="21"/>
        </w:rPr>
        <w:t>肌</w:t>
      </w:r>
      <w:r>
        <w:rPr>
          <w:spacing w:val="-2"/>
          <w:sz w:val="21"/>
        </w:rPr>
        <w:t>病</w:t>
      </w:r>
      <w:r>
        <w:rPr>
          <w:spacing w:val="-2"/>
          <w:sz w:val="21"/>
        </w:rPr>
        <w:t>变，包括原发性扩张</w:t>
      </w:r>
      <w:r>
        <w:rPr>
          <w:spacing w:val="-2"/>
          <w:sz w:val="21"/>
        </w:rPr>
        <w:t>型</w:t>
      </w:r>
      <w:r>
        <w:rPr>
          <w:spacing w:val="-2"/>
          <w:sz w:val="21"/>
        </w:rPr>
        <w:t>心</w:t>
      </w:r>
      <w:r>
        <w:rPr>
          <w:spacing w:val="-2"/>
          <w:sz w:val="21"/>
        </w:rPr>
        <w:t>肌病、原发性肥</w:t>
      </w:r>
      <w:r>
        <w:rPr>
          <w:spacing w:val="-2"/>
          <w:sz w:val="21"/>
        </w:rPr>
        <w:t>厚</w:t>
      </w:r>
      <w:r>
        <w:rPr>
          <w:spacing w:val="-2"/>
          <w:sz w:val="21"/>
        </w:rPr>
        <w:t>型</w:t>
      </w:r>
      <w:r>
        <w:rPr>
          <w:spacing w:val="-2"/>
          <w:sz w:val="21"/>
        </w:rPr>
        <w:t>心</w:t>
      </w:r>
      <w:r>
        <w:rPr>
          <w:spacing w:val="-2"/>
          <w:sz w:val="21"/>
        </w:rPr>
        <w:t>肌</w:t>
      </w:r>
      <w:r>
        <w:rPr>
          <w:spacing w:val="-2"/>
          <w:sz w:val="21"/>
        </w:rPr>
        <w:t>病及原发性限制型心</w:t>
      </w:r>
      <w:r>
        <w:rPr>
          <w:spacing w:val="-2"/>
          <w:sz w:val="21"/>
        </w:rPr>
        <w:t>肌</w:t>
      </w:r>
      <w:r>
        <w:rPr>
          <w:spacing w:val="-2"/>
          <w:sz w:val="21"/>
        </w:rPr>
        <w:t>病</w:t>
      </w:r>
      <w:r>
        <w:rPr>
          <w:spacing w:val="-2"/>
          <w:sz w:val="21"/>
        </w:rPr>
        <w:t>三种，病变必须已造</w:t>
      </w:r>
      <w:r>
        <w:rPr>
          <w:spacing w:val="-2"/>
          <w:sz w:val="21"/>
        </w:rPr>
        <w:t>成</w:t>
      </w:r>
      <w:r>
        <w:rPr>
          <w:spacing w:val="-2"/>
          <w:sz w:val="21"/>
        </w:rPr>
        <w:t>事</w:t>
      </w:r>
      <w:r>
        <w:rPr>
          <w:spacing w:val="-2"/>
          <w:sz w:val="21"/>
        </w:rPr>
        <w:t>实上心室功能障</w:t>
      </w:r>
      <w:r>
        <w:rPr>
          <w:spacing w:val="-2"/>
          <w:sz w:val="21"/>
        </w:rPr>
        <w:t>碍</w:t>
      </w:r>
      <w:r>
        <w:rPr>
          <w:spacing w:val="-2"/>
          <w:sz w:val="21"/>
        </w:rPr>
        <w:t>而</w:t>
      </w:r>
      <w:r>
        <w:rPr>
          <w:sz w:val="21"/>
        </w:rPr>
        <w:t>出现明显的心功能衰竭（</w:t>
      </w:r>
      <w:r>
        <w:rPr>
          <w:sz w:val="21"/>
        </w:rPr>
        <w:t>达到美国纽约心脏病学会（New York Heart </w:t>
      </w:r>
      <w:r>
        <w:rPr>
          <w:spacing w:val="-2"/>
          <w:sz w:val="21"/>
        </w:rPr>
        <w:t>Association，NYHA）心功</w:t>
      </w:r>
      <w:r>
        <w:rPr>
          <w:spacing w:val="-2"/>
          <w:sz w:val="21"/>
        </w:rPr>
        <w:t>能</w:t>
      </w:r>
      <w:r>
        <w:rPr>
          <w:spacing w:val="-2"/>
          <w:sz w:val="21"/>
        </w:rPr>
        <w:t>状</w:t>
      </w:r>
      <w:r>
        <w:rPr>
          <w:spacing w:val="-2"/>
          <w:sz w:val="21"/>
        </w:rPr>
        <w:t>态分级Ⅳ级），且有</w:t>
      </w:r>
      <w:r>
        <w:rPr>
          <w:spacing w:val="-2"/>
          <w:sz w:val="21"/>
        </w:rPr>
        <w:t>相</w:t>
      </w:r>
      <w:r>
        <w:rPr>
          <w:spacing w:val="-2"/>
          <w:sz w:val="21"/>
        </w:rPr>
        <w:t>关</w:t>
      </w:r>
      <w:r>
        <w:rPr>
          <w:spacing w:val="-2"/>
          <w:sz w:val="21"/>
        </w:rPr>
        <w:t>住院医疗记录显</w:t>
      </w:r>
      <w:r>
        <w:rPr>
          <w:spacing w:val="-2"/>
          <w:sz w:val="21"/>
        </w:rPr>
        <w:t>示</w:t>
      </w:r>
      <w:r>
        <w:rPr>
          <w:spacing w:val="-2"/>
          <w:sz w:val="21"/>
        </w:rPr>
        <w:t>Ⅳ</w:t>
      </w:r>
      <w:r>
        <w:rPr>
          <w:sz w:val="21"/>
        </w:rPr>
        <w:t>级心功能衰竭状态持续至少</w:t>
      </w:r>
      <w:r>
        <w:rPr>
          <w:spacing w:val="-22"/>
          <w:sz w:val="21"/>
        </w:rPr>
        <w:t> </w:t>
      </w:r>
      <w:r>
        <w:rPr>
          <w:sz w:val="21"/>
        </w:rPr>
        <w:t>180</w:t>
      </w:r>
      <w:r>
        <w:rPr>
          <w:spacing w:val="-25"/>
          <w:sz w:val="21"/>
        </w:rPr>
        <w:t> </w:t>
      </w:r>
      <w:r>
        <w:rPr>
          <w:sz w:val="21"/>
        </w:rPr>
        <w:t>天。</w:t>
      </w:r>
    </w:p>
    <w:p>
      <w:pPr>
        <w:spacing w:line="278" w:lineRule="auto" w:before="0"/>
        <w:ind w:left="3000" w:right="762" w:firstLine="0"/>
        <w:jc w:val="left"/>
        <w:rPr>
          <w:b/>
          <w:sz w:val="21"/>
        </w:rPr>
      </w:pPr>
      <w:r>
        <w:rPr>
          <w:spacing w:val="-2"/>
          <w:sz w:val="21"/>
        </w:rPr>
        <w:t>该病必须在本公司认可的医疗机构内由专科医生明确诊断。</w:t>
      </w:r>
      <w:r>
        <w:rPr>
          <w:b/>
          <w:spacing w:val="-2"/>
          <w:sz w:val="21"/>
        </w:rPr>
        <w:t>继发于全身性疾</w:t>
      </w:r>
      <w:r>
        <w:rPr>
          <w:b/>
          <w:spacing w:val="-2"/>
          <w:sz w:val="21"/>
        </w:rPr>
        <w:t>病或其他器官系统疾病造成的心肌病变除外。</w:t>
      </w:r>
    </w:p>
    <w:p>
      <w:pPr>
        <w:pStyle w:val="BodyText"/>
        <w:spacing w:before="10"/>
        <w:rPr>
          <w:b/>
          <w:sz w:val="17"/>
        </w:rPr>
      </w:pPr>
    </w:p>
    <w:p>
      <w:pPr>
        <w:pStyle w:val="ListParagraph"/>
        <w:numPr>
          <w:ilvl w:val="2"/>
          <w:numId w:val="40"/>
        </w:numPr>
        <w:tabs>
          <w:tab w:pos="1439" w:val="left" w:leader="none"/>
          <w:tab w:pos="3000" w:val="left" w:leader="none"/>
        </w:tabs>
        <w:spacing w:line="240" w:lineRule="auto" w:before="0" w:after="0"/>
        <w:ind w:left="1438" w:right="0" w:hanging="319"/>
        <w:jc w:val="left"/>
        <w:rPr>
          <w:sz w:val="21"/>
        </w:rPr>
      </w:pPr>
      <w:r>
        <w:rPr>
          <w:spacing w:val="-2"/>
          <w:sz w:val="21"/>
        </w:rPr>
        <w:t>严重心</w:t>
      </w:r>
      <w:r>
        <w:rPr>
          <w:spacing w:val="-2"/>
          <w:sz w:val="21"/>
        </w:rPr>
        <w:t>肌</w:t>
      </w:r>
      <w:r>
        <w:rPr>
          <w:spacing w:val="-10"/>
          <w:sz w:val="21"/>
        </w:rPr>
        <w:t>炎</w:t>
      </w:r>
      <w:r>
        <w:rPr>
          <w:sz w:val="21"/>
        </w:rPr>
        <w:tab/>
      </w:r>
      <w:r>
        <w:rPr>
          <w:spacing w:val="-2"/>
          <w:sz w:val="21"/>
        </w:rPr>
        <w:t>指</w:t>
      </w:r>
      <w:r>
        <w:rPr>
          <w:spacing w:val="-2"/>
          <w:sz w:val="21"/>
        </w:rPr>
        <w:t>因</w:t>
      </w:r>
      <w:r>
        <w:rPr>
          <w:spacing w:val="-2"/>
          <w:sz w:val="21"/>
        </w:rPr>
        <w:t>严重心肌炎性病变导</w:t>
      </w:r>
      <w:r>
        <w:rPr>
          <w:spacing w:val="-2"/>
          <w:sz w:val="21"/>
        </w:rPr>
        <w:t>致</w:t>
      </w:r>
      <w:r>
        <w:rPr>
          <w:spacing w:val="-2"/>
          <w:sz w:val="21"/>
        </w:rPr>
        <w:t>心</w:t>
      </w:r>
      <w:r>
        <w:rPr>
          <w:spacing w:val="-2"/>
          <w:sz w:val="21"/>
        </w:rPr>
        <w:t>功能损害造成持续的</w:t>
      </w:r>
      <w:r>
        <w:rPr>
          <w:spacing w:val="-2"/>
          <w:sz w:val="21"/>
        </w:rPr>
        <w:t>永</w:t>
      </w:r>
      <w:r>
        <w:rPr>
          <w:spacing w:val="-2"/>
          <w:sz w:val="21"/>
        </w:rPr>
        <w:t>久</w:t>
      </w:r>
      <w:r>
        <w:rPr>
          <w:spacing w:val="-2"/>
          <w:sz w:val="21"/>
        </w:rPr>
        <w:t>不可逆性的心功</w:t>
      </w:r>
      <w:r>
        <w:rPr>
          <w:spacing w:val="-2"/>
          <w:sz w:val="21"/>
        </w:rPr>
        <w:t>能</w:t>
      </w:r>
      <w:r>
        <w:rPr>
          <w:spacing w:val="-10"/>
          <w:sz w:val="21"/>
        </w:rPr>
        <w:t>衰</w:t>
      </w:r>
    </w:p>
    <w:p>
      <w:pPr>
        <w:spacing w:after="0" w:line="240" w:lineRule="auto"/>
        <w:jc w:val="left"/>
        <w:rPr>
          <w:sz w:val="21"/>
        </w:rPr>
        <w:sectPr>
          <w:type w:val="continuous"/>
          <w:pgSz w:w="11910" w:h="16840"/>
          <w:pgMar w:header="0" w:footer="404" w:top="600" w:bottom="280" w:left="860" w:right="340"/>
        </w:sectPr>
      </w:pPr>
    </w:p>
    <w:p>
      <w:pPr>
        <w:pStyle w:val="BodyText"/>
        <w:spacing w:before="57"/>
        <w:ind w:left="3000"/>
      </w:pPr>
      <w:r>
        <w:rPr>
          <w:spacing w:val="-3"/>
        </w:rPr>
        <w:t>竭。必须满足所有以下条件：</w:t>
      </w:r>
    </w:p>
    <w:p>
      <w:pPr>
        <w:pStyle w:val="ListParagraph"/>
        <w:numPr>
          <w:ilvl w:val="0"/>
          <w:numId w:val="64"/>
        </w:numPr>
        <w:tabs>
          <w:tab w:pos="3530" w:val="left" w:leader="none"/>
        </w:tabs>
        <w:spacing w:line="278" w:lineRule="auto" w:before="43" w:after="0"/>
        <w:ind w:left="3525" w:right="560" w:hanging="526"/>
        <w:jc w:val="left"/>
        <w:rPr>
          <w:sz w:val="21"/>
        </w:rPr>
      </w:pPr>
      <w:r>
        <w:rPr>
          <w:spacing w:val="-5"/>
          <w:sz w:val="21"/>
        </w:rPr>
        <w:t>心功能衰竭程度达到美国纽约心脏病学会</w:t>
      </w:r>
      <w:r>
        <w:rPr>
          <w:sz w:val="21"/>
        </w:rPr>
        <w:t>（New</w:t>
      </w:r>
      <w:r>
        <w:rPr>
          <w:spacing w:val="-25"/>
          <w:sz w:val="21"/>
        </w:rPr>
        <w:t> </w:t>
      </w:r>
      <w:r>
        <w:rPr>
          <w:sz w:val="21"/>
        </w:rPr>
        <w:t>York</w:t>
      </w:r>
      <w:r>
        <w:rPr>
          <w:spacing w:val="-22"/>
          <w:sz w:val="21"/>
        </w:rPr>
        <w:t> </w:t>
      </w:r>
      <w:r>
        <w:rPr>
          <w:sz w:val="21"/>
        </w:rPr>
        <w:t>Heart Association， NYHA）心功能状态分级Ⅳ级，或左室射血分数低于 </w:t>
      </w:r>
      <w:r>
        <w:rPr>
          <w:spacing w:val="-4"/>
          <w:sz w:val="21"/>
        </w:rPr>
        <w:t>30%；</w:t>
      </w:r>
    </w:p>
    <w:p>
      <w:pPr>
        <w:pStyle w:val="ListParagraph"/>
        <w:numPr>
          <w:ilvl w:val="0"/>
          <w:numId w:val="64"/>
        </w:numPr>
        <w:tabs>
          <w:tab w:pos="3530" w:val="left" w:leader="none"/>
        </w:tabs>
        <w:spacing w:line="240" w:lineRule="auto" w:before="0" w:after="0"/>
        <w:ind w:left="3529" w:right="0" w:hanging="530"/>
        <w:jc w:val="left"/>
        <w:rPr>
          <w:sz w:val="21"/>
        </w:rPr>
      </w:pPr>
      <w:r>
        <w:rPr>
          <w:spacing w:val="-11"/>
          <w:sz w:val="21"/>
        </w:rPr>
        <w:t>持续不间断 </w:t>
      </w:r>
      <w:r>
        <w:rPr>
          <w:spacing w:val="-2"/>
          <w:sz w:val="21"/>
        </w:rPr>
        <w:t>180</w:t>
      </w:r>
      <w:r>
        <w:rPr>
          <w:spacing w:val="-14"/>
          <w:sz w:val="21"/>
        </w:rPr>
        <w:t> 天以上；</w:t>
      </w:r>
    </w:p>
    <w:p>
      <w:pPr>
        <w:pStyle w:val="ListParagraph"/>
        <w:numPr>
          <w:ilvl w:val="0"/>
          <w:numId w:val="64"/>
        </w:numPr>
        <w:tabs>
          <w:tab w:pos="3530" w:val="left" w:leader="none"/>
        </w:tabs>
        <w:spacing w:line="240" w:lineRule="auto" w:before="43" w:after="0"/>
        <w:ind w:left="3529" w:right="0" w:hanging="530"/>
        <w:jc w:val="left"/>
        <w:rPr>
          <w:sz w:val="21"/>
        </w:rPr>
      </w:pPr>
      <w:r>
        <w:rPr>
          <w:spacing w:val="-3"/>
          <w:sz w:val="21"/>
        </w:rPr>
        <w:t>被保险人永久不可逆性的体力活动能力受限，不能从事任何体力活动。</w:t>
      </w:r>
    </w:p>
    <w:p>
      <w:pPr>
        <w:pStyle w:val="BodyText"/>
        <w:spacing w:before="7"/>
        <w:rPr>
          <w:sz w:val="15"/>
        </w:rPr>
      </w:pPr>
    </w:p>
    <w:p>
      <w:pPr>
        <w:spacing w:after="0"/>
        <w:rPr>
          <w:sz w:val="15"/>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Ⅲ度房室传导</w:t>
      </w:r>
      <w:r>
        <w:rPr>
          <w:spacing w:val="-6"/>
          <w:sz w:val="21"/>
        </w:rPr>
        <w:t>阻滞</w:t>
      </w:r>
    </w:p>
    <w:p>
      <w:pPr>
        <w:pStyle w:val="BodyText"/>
        <w:spacing w:line="278" w:lineRule="auto" w:before="72"/>
        <w:ind w:left="262" w:right="767"/>
      </w:pPr>
      <w:r>
        <w:rPr/>
        <w:br w:type="column"/>
      </w:r>
      <w:r>
        <w:rPr>
          <w:spacing w:val="-2"/>
        </w:rPr>
        <w:t>指心房激动在房室交界区、房室束及其分支内发生阻滞，不能正常地传到心</w:t>
      </w:r>
      <w:r>
        <w:rPr>
          <w:spacing w:val="-2"/>
        </w:rPr>
        <w:t>室的心脏传导性疾病，须满足下列所有条件：</w:t>
      </w:r>
    </w:p>
    <w:p>
      <w:pPr>
        <w:pStyle w:val="ListParagraph"/>
        <w:numPr>
          <w:ilvl w:val="0"/>
          <w:numId w:val="65"/>
        </w:numPr>
        <w:tabs>
          <w:tab w:pos="792" w:val="left" w:leader="none"/>
        </w:tabs>
        <w:spacing w:line="269" w:lineRule="exact" w:before="0" w:after="0"/>
        <w:ind w:left="791" w:right="0" w:hanging="530"/>
        <w:jc w:val="left"/>
        <w:rPr>
          <w:sz w:val="21"/>
        </w:rPr>
      </w:pPr>
      <w:r>
        <w:rPr>
          <w:spacing w:val="-2"/>
          <w:sz w:val="21"/>
        </w:rPr>
        <w:t>心电图显示房室搏动彼此独立，心室率&lt;50</w:t>
      </w:r>
      <w:r>
        <w:rPr>
          <w:spacing w:val="-10"/>
          <w:sz w:val="21"/>
        </w:rPr>
        <w:t> 次/分钟；</w:t>
      </w:r>
    </w:p>
    <w:p>
      <w:pPr>
        <w:pStyle w:val="ListParagraph"/>
        <w:numPr>
          <w:ilvl w:val="0"/>
          <w:numId w:val="65"/>
        </w:numPr>
        <w:tabs>
          <w:tab w:pos="792" w:val="left" w:leader="none"/>
        </w:tabs>
        <w:spacing w:line="240" w:lineRule="auto" w:before="43" w:after="0"/>
        <w:ind w:left="791" w:right="0" w:hanging="530"/>
        <w:jc w:val="left"/>
        <w:rPr>
          <w:sz w:val="21"/>
        </w:rPr>
      </w:pPr>
      <w:r>
        <w:rPr>
          <w:spacing w:val="-3"/>
          <w:sz w:val="21"/>
        </w:rPr>
        <w:t>出现阿-斯综合征或心力衰竭的表现；</w:t>
      </w:r>
    </w:p>
    <w:p>
      <w:pPr>
        <w:pStyle w:val="ListParagraph"/>
        <w:numPr>
          <w:ilvl w:val="0"/>
          <w:numId w:val="65"/>
        </w:numPr>
        <w:tabs>
          <w:tab w:pos="790" w:val="left" w:leader="none"/>
        </w:tabs>
        <w:spacing w:line="278" w:lineRule="auto" w:before="43" w:after="0"/>
        <w:ind w:left="788" w:right="668" w:hanging="526"/>
        <w:jc w:val="left"/>
        <w:rPr>
          <w:sz w:val="21"/>
        </w:rPr>
      </w:pPr>
      <w:r>
        <w:rPr>
          <w:spacing w:val="-2"/>
          <w:sz w:val="21"/>
        </w:rPr>
        <w:t>必须持续性依赖心脏起搏器维持心脏正常功能，且已经放置永久性心脏</w:t>
      </w:r>
      <w:r>
        <w:rPr>
          <w:spacing w:val="-4"/>
          <w:sz w:val="21"/>
        </w:rPr>
        <w:t>起搏器。</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感染性心内膜</w:t>
      </w:r>
      <w:r>
        <w:rPr>
          <w:spacing w:val="-10"/>
          <w:sz w:val="21"/>
        </w:rPr>
        <w:t>炎</w:t>
      </w:r>
    </w:p>
    <w:p>
      <w:pPr>
        <w:pStyle w:val="BodyText"/>
        <w:spacing w:line="278" w:lineRule="auto" w:before="72"/>
        <w:ind w:left="262" w:right="767"/>
        <w:jc w:val="both"/>
      </w:pPr>
      <w:r>
        <w:rPr/>
        <w:br w:type="column"/>
      </w:r>
      <w:r>
        <w:rPr>
          <w:spacing w:val="-2"/>
        </w:rPr>
        <w:t>指因细菌、真菌和其他微生物（如病毒、立克次体、衣原体、螺旋体等）直</w:t>
      </w:r>
      <w:r>
        <w:rPr>
          <w:spacing w:val="-2"/>
        </w:rPr>
        <w:t>接感染而产生心瓣膜或心室壁内膜的炎症，须经心脏专科医生确诊，并符合</w:t>
      </w:r>
      <w:r>
        <w:rPr>
          <w:spacing w:val="-2"/>
        </w:rPr>
        <w:t>以下所有条件：</w:t>
      </w:r>
    </w:p>
    <w:p>
      <w:pPr>
        <w:pStyle w:val="ListParagraph"/>
        <w:numPr>
          <w:ilvl w:val="0"/>
          <w:numId w:val="66"/>
        </w:numPr>
        <w:tabs>
          <w:tab w:pos="792" w:val="left" w:leader="none"/>
        </w:tabs>
        <w:spacing w:line="240" w:lineRule="auto" w:before="0" w:after="0"/>
        <w:ind w:left="791" w:right="0" w:hanging="530"/>
        <w:jc w:val="left"/>
        <w:rPr>
          <w:sz w:val="21"/>
        </w:rPr>
      </w:pPr>
      <w:r>
        <w:rPr>
          <w:spacing w:val="-3"/>
          <w:sz w:val="21"/>
        </w:rPr>
        <w:t>血液培养测试结果为阳性，并至少符合以下条件之一：</w:t>
      </w:r>
    </w:p>
    <w:p>
      <w:pPr>
        <w:pStyle w:val="BodyText"/>
        <w:spacing w:line="278" w:lineRule="auto" w:before="43"/>
        <w:ind w:left="1102" w:right="769" w:hanging="315"/>
      </w:pPr>
      <w:r>
        <w:rPr>
          <w:spacing w:val="-6"/>
        </w:rPr>
        <w:t>① 微生物：在赘生物，栓塞的赘生物或心脏内脓肿培养或组织检查证</w:t>
      </w:r>
      <w:r>
        <w:rPr>
          <w:spacing w:val="-2"/>
        </w:rPr>
        <w:t>实有微生物；</w:t>
      </w:r>
    </w:p>
    <w:p>
      <w:pPr>
        <w:pStyle w:val="BodyText"/>
        <w:spacing w:line="269" w:lineRule="exact"/>
        <w:ind w:left="788"/>
      </w:pPr>
      <w:r>
        <w:rPr>
          <w:spacing w:val="-3"/>
        </w:rPr>
        <w:t>② 病理性病灶：组织检查证实赘生物或心脏内脓肿有活动性心内膜炎；</w:t>
      </w:r>
    </w:p>
    <w:p>
      <w:pPr>
        <w:pStyle w:val="BodyText"/>
        <w:spacing w:before="43"/>
        <w:ind w:left="788"/>
      </w:pPr>
      <w:r>
        <w:rPr>
          <w:spacing w:val="-3"/>
        </w:rPr>
        <w:t>③ 分别两次血液培养证实有典型的微生物且与心内膜炎符合；</w:t>
      </w:r>
    </w:p>
    <w:p>
      <w:pPr>
        <w:pStyle w:val="BodyText"/>
        <w:spacing w:before="43"/>
        <w:ind w:left="788"/>
      </w:pPr>
      <w:r>
        <w:rPr>
          <w:spacing w:val="-3"/>
        </w:rPr>
        <w:t>④ 持续血液培养证实有微生物阳性反应，且与心内膜炎符合。</w:t>
      </w:r>
    </w:p>
    <w:p>
      <w:pPr>
        <w:pStyle w:val="ListParagraph"/>
        <w:numPr>
          <w:ilvl w:val="0"/>
          <w:numId w:val="66"/>
        </w:numPr>
        <w:tabs>
          <w:tab w:pos="792" w:val="left" w:leader="none"/>
        </w:tabs>
        <w:spacing w:line="278" w:lineRule="auto" w:before="43" w:after="0"/>
        <w:ind w:left="788" w:right="666" w:hanging="526"/>
        <w:jc w:val="left"/>
        <w:rPr>
          <w:sz w:val="21"/>
        </w:rPr>
      </w:pPr>
      <w:r>
        <w:rPr>
          <w:sz w:val="21"/>
        </w:rPr>
        <w:t>心内膜炎引起中度心瓣膜关闭不全（</w:t>
      </w:r>
      <w:r>
        <w:rPr>
          <w:spacing w:val="-5"/>
          <w:sz w:val="21"/>
        </w:rPr>
        <w:t>指返流指数 </w:t>
      </w:r>
      <w:r>
        <w:rPr>
          <w:sz w:val="21"/>
        </w:rPr>
        <w:t>20%或以上）或中度心瓣膜狭窄（</w:t>
      </w:r>
      <w:r>
        <w:rPr>
          <w:spacing w:val="-3"/>
          <w:sz w:val="21"/>
        </w:rPr>
        <w:t>指心瓣膜开口范围小于或等于正常的 </w:t>
      </w:r>
      <w:r>
        <w:rPr>
          <w:sz w:val="21"/>
        </w:rPr>
        <w:t>30%）；</w:t>
      </w:r>
    </w:p>
    <w:p>
      <w:pPr>
        <w:pStyle w:val="ListParagraph"/>
        <w:numPr>
          <w:ilvl w:val="0"/>
          <w:numId w:val="66"/>
        </w:numPr>
        <w:tabs>
          <w:tab w:pos="792" w:val="left" w:leader="none"/>
        </w:tabs>
        <w:spacing w:line="269" w:lineRule="exact" w:before="0" w:after="0"/>
        <w:ind w:left="791" w:right="0" w:hanging="530"/>
        <w:jc w:val="left"/>
        <w:rPr>
          <w:sz w:val="21"/>
        </w:rPr>
      </w:pPr>
      <w:r>
        <w:rPr>
          <w:spacing w:val="-3"/>
          <w:sz w:val="21"/>
        </w:rPr>
        <w:t>心内膜炎及心瓣膜损毁程度需经由心脏专科医生确诊。</w:t>
      </w:r>
    </w:p>
    <w:p>
      <w:pPr>
        <w:spacing w:after="0" w:line="269" w:lineRule="exact"/>
        <w:jc w:val="left"/>
        <w:rPr>
          <w:sz w:val="21"/>
        </w:rPr>
        <w:sectPr>
          <w:type w:val="continuous"/>
          <w:pgSz w:w="11910" w:h="16840"/>
          <w:pgMar w:header="0" w:footer="404" w:top="600" w:bottom="280" w:left="860" w:right="340"/>
          <w:cols w:num="2" w:equalWidth="0">
            <w:col w:w="2698" w:space="40"/>
            <w:col w:w="7972"/>
          </w:cols>
        </w:sectPr>
      </w:pPr>
    </w:p>
    <w:p>
      <w:pPr>
        <w:pStyle w:val="BodyText"/>
        <w:spacing w:before="5"/>
        <w:rPr>
          <w:sz w:val="15"/>
        </w:rPr>
      </w:pPr>
    </w:p>
    <w:p>
      <w:pPr>
        <w:pStyle w:val="ListParagraph"/>
        <w:numPr>
          <w:ilvl w:val="2"/>
          <w:numId w:val="40"/>
        </w:numPr>
        <w:tabs>
          <w:tab w:pos="1439" w:val="left" w:leader="none"/>
          <w:tab w:pos="3000" w:val="left" w:leader="none"/>
        </w:tabs>
        <w:spacing w:line="278" w:lineRule="auto" w:before="71" w:after="0"/>
        <w:ind w:left="3000" w:right="767" w:hanging="1880"/>
        <w:jc w:val="left"/>
        <w:rPr>
          <w:sz w:val="21"/>
        </w:rPr>
      </w:pPr>
      <w:r>
        <w:rPr>
          <w:spacing w:val="-2"/>
          <w:sz w:val="21"/>
        </w:rPr>
        <w:t>肺源性心脏病</w:t>
      </w:r>
      <w:r>
        <w:rPr>
          <w:sz w:val="21"/>
        </w:rPr>
        <w:tab/>
      </w:r>
      <w:r>
        <w:rPr>
          <w:spacing w:val="-2"/>
          <w:sz w:val="21"/>
        </w:rPr>
        <w:t>指</w:t>
      </w:r>
      <w:r>
        <w:rPr>
          <w:spacing w:val="-2"/>
          <w:sz w:val="21"/>
        </w:rPr>
        <w:t>由</w:t>
      </w:r>
      <w:r>
        <w:rPr>
          <w:spacing w:val="-2"/>
          <w:sz w:val="21"/>
        </w:rPr>
        <w:t>于各种胸肺及支气管</w:t>
      </w:r>
      <w:r>
        <w:rPr>
          <w:spacing w:val="-2"/>
          <w:sz w:val="21"/>
        </w:rPr>
        <w:t>病</w:t>
      </w:r>
      <w:r>
        <w:rPr>
          <w:spacing w:val="-2"/>
          <w:sz w:val="21"/>
        </w:rPr>
        <w:t>变</w:t>
      </w:r>
      <w:r>
        <w:rPr>
          <w:spacing w:val="-2"/>
          <w:sz w:val="21"/>
        </w:rPr>
        <w:t>而继发的肺动脉高压，</w:t>
      </w:r>
      <w:r>
        <w:rPr>
          <w:spacing w:val="-2"/>
          <w:sz w:val="21"/>
        </w:rPr>
        <w:t>最</w:t>
      </w:r>
      <w:r>
        <w:rPr>
          <w:spacing w:val="-2"/>
          <w:sz w:val="21"/>
        </w:rPr>
        <w:t>后导致以右室肥</w:t>
      </w:r>
      <w:r>
        <w:rPr>
          <w:spacing w:val="-2"/>
          <w:sz w:val="21"/>
        </w:rPr>
        <w:t>大</w:t>
      </w:r>
      <w:r>
        <w:rPr>
          <w:spacing w:val="-2"/>
          <w:sz w:val="21"/>
        </w:rPr>
        <w:t>为</w:t>
      </w:r>
      <w:r>
        <w:rPr>
          <w:spacing w:val="-2"/>
          <w:sz w:val="21"/>
        </w:rPr>
        <w:t>特</w:t>
      </w:r>
      <w:r>
        <w:rPr>
          <w:spacing w:val="-2"/>
          <w:sz w:val="21"/>
        </w:rPr>
        <w:t>征</w:t>
      </w:r>
      <w:r>
        <w:rPr>
          <w:spacing w:val="-2"/>
          <w:sz w:val="21"/>
        </w:rPr>
        <w:t>的心脏病。须经呼吸</w:t>
      </w:r>
      <w:r>
        <w:rPr>
          <w:spacing w:val="-2"/>
          <w:sz w:val="21"/>
        </w:rPr>
        <w:t>专</w:t>
      </w:r>
      <w:r>
        <w:rPr>
          <w:spacing w:val="-2"/>
          <w:sz w:val="21"/>
        </w:rPr>
        <w:t>科</w:t>
      </w:r>
      <w:r>
        <w:rPr>
          <w:spacing w:val="-2"/>
          <w:sz w:val="21"/>
        </w:rPr>
        <w:t>医生确诊，且必须同</w:t>
      </w:r>
      <w:r>
        <w:rPr>
          <w:spacing w:val="-2"/>
          <w:sz w:val="21"/>
        </w:rPr>
        <w:t>时</w:t>
      </w:r>
      <w:r>
        <w:rPr>
          <w:spacing w:val="-2"/>
          <w:sz w:val="21"/>
        </w:rPr>
        <w:t>满</w:t>
      </w:r>
      <w:r>
        <w:rPr>
          <w:spacing w:val="-2"/>
          <w:sz w:val="21"/>
        </w:rPr>
        <w:t>足如下诊断标准：</w:t>
      </w:r>
    </w:p>
    <w:p>
      <w:pPr>
        <w:pStyle w:val="ListParagraph"/>
        <w:numPr>
          <w:ilvl w:val="0"/>
          <w:numId w:val="67"/>
        </w:numPr>
        <w:tabs>
          <w:tab w:pos="3530" w:val="left" w:leader="none"/>
        </w:tabs>
        <w:spacing w:line="269" w:lineRule="exact" w:before="0" w:after="0"/>
        <w:ind w:left="3529" w:right="0" w:hanging="530"/>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ListParagraph"/>
        <w:numPr>
          <w:ilvl w:val="0"/>
          <w:numId w:val="67"/>
        </w:numPr>
        <w:tabs>
          <w:tab w:pos="3530" w:val="left" w:leader="none"/>
        </w:tabs>
        <w:spacing w:line="240" w:lineRule="auto" w:before="43" w:after="0"/>
        <w:ind w:left="3529"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2"/>
          <w:sz w:val="21"/>
        </w:rPr>
        <w:t>Resistance）；</w:t>
      </w:r>
    </w:p>
    <w:p>
      <w:pPr>
        <w:pStyle w:val="ListParagraph"/>
        <w:numPr>
          <w:ilvl w:val="0"/>
          <w:numId w:val="67"/>
        </w:numPr>
        <w:tabs>
          <w:tab w:pos="3530" w:val="left" w:leader="none"/>
        </w:tabs>
        <w:spacing w:line="240" w:lineRule="auto" w:before="43" w:after="0"/>
        <w:ind w:left="3529" w:right="0" w:hanging="530"/>
        <w:jc w:val="left"/>
        <w:rPr>
          <w:sz w:val="21"/>
        </w:rPr>
      </w:pPr>
      <w:r>
        <w:rPr>
          <w:spacing w:val="-8"/>
          <w:sz w:val="21"/>
        </w:rPr>
        <w:t>肺动脉血压不低于 </w:t>
      </w:r>
      <w:r>
        <w:rPr>
          <w:spacing w:val="-2"/>
          <w:sz w:val="21"/>
        </w:rPr>
        <w:t>40mmHg；</w:t>
      </w:r>
    </w:p>
    <w:p>
      <w:pPr>
        <w:pStyle w:val="ListParagraph"/>
        <w:numPr>
          <w:ilvl w:val="0"/>
          <w:numId w:val="67"/>
        </w:numPr>
        <w:tabs>
          <w:tab w:pos="3530" w:val="left" w:leader="none"/>
        </w:tabs>
        <w:spacing w:line="240" w:lineRule="auto" w:before="43" w:after="0"/>
        <w:ind w:left="3529" w:right="0" w:hanging="530"/>
        <w:jc w:val="left"/>
        <w:rPr>
          <w:sz w:val="21"/>
        </w:rPr>
      </w:pPr>
      <w:r>
        <w:rPr>
          <w:spacing w:val="-8"/>
          <w:sz w:val="21"/>
        </w:rPr>
        <w:t>肺动脉楔压不低于 </w:t>
      </w:r>
      <w:r>
        <w:rPr>
          <w:spacing w:val="-2"/>
          <w:sz w:val="21"/>
        </w:rPr>
        <w:t>6mmHg；</w:t>
      </w:r>
    </w:p>
    <w:p>
      <w:pPr>
        <w:pStyle w:val="ListParagraph"/>
        <w:numPr>
          <w:ilvl w:val="0"/>
          <w:numId w:val="67"/>
        </w:numPr>
        <w:tabs>
          <w:tab w:pos="3530" w:val="left" w:leader="none"/>
        </w:tabs>
        <w:spacing w:line="240" w:lineRule="auto" w:before="43" w:after="0"/>
        <w:ind w:left="3529" w:right="0" w:hanging="530"/>
        <w:jc w:val="left"/>
        <w:rPr>
          <w:sz w:val="21"/>
        </w:rPr>
      </w:pPr>
      <w:r>
        <w:rPr>
          <w:spacing w:val="-5"/>
          <w:sz w:val="21"/>
        </w:rPr>
        <w:t>右心室心脏舒张期末压力不低于 </w:t>
      </w:r>
      <w:r>
        <w:rPr>
          <w:spacing w:val="-2"/>
          <w:sz w:val="21"/>
        </w:rPr>
        <w:t>8mmHg；</w:t>
      </w:r>
    </w:p>
    <w:p>
      <w:pPr>
        <w:pStyle w:val="ListParagraph"/>
        <w:numPr>
          <w:ilvl w:val="0"/>
          <w:numId w:val="67"/>
        </w:numPr>
        <w:tabs>
          <w:tab w:pos="3530" w:val="left" w:leader="none"/>
        </w:tabs>
        <w:spacing w:line="240" w:lineRule="auto" w:before="43" w:after="0"/>
        <w:ind w:left="3529" w:right="0" w:hanging="530"/>
        <w:jc w:val="left"/>
        <w:rPr>
          <w:sz w:val="21"/>
        </w:rPr>
      </w:pPr>
      <w:r>
        <w:rPr>
          <w:spacing w:val="-3"/>
          <w:sz w:val="21"/>
        </w:rPr>
        <w:t>右心室过度肥大、扩张，出现右心衰竭和呼吸困难。</w:t>
      </w:r>
    </w:p>
    <w:p>
      <w:pPr>
        <w:pStyle w:val="BodyText"/>
        <w:spacing w:before="2"/>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嗜铬细胞瘤 是指肾上腺或嗜铬外组织出现神经内分泌肿瘤，并分泌过多的儿茶酚胺类，</w:t>
      </w:r>
      <w:r>
        <w:rPr>
          <w:spacing w:val="-2"/>
          <w:sz w:val="21"/>
        </w:rPr>
        <w:t>需要确实进行手术以切除肿瘤。嗜铬细胞瘤的诊断必须在本公司认可的医疗</w:t>
      </w:r>
      <w:r>
        <w:rPr>
          <w:spacing w:val="-2"/>
          <w:sz w:val="21"/>
        </w:rPr>
        <w:t>机构内由内分泌专科医生确定。</w:t>
      </w: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严重慢性缩窄</w:t>
      </w:r>
      <w:r>
        <w:rPr>
          <w:spacing w:val="-4"/>
          <w:sz w:val="21"/>
        </w:rPr>
        <w:t>性心包炎</w:t>
      </w:r>
    </w:p>
    <w:p>
      <w:pPr>
        <w:pStyle w:val="BodyText"/>
        <w:spacing w:line="278" w:lineRule="auto" w:before="72"/>
        <w:ind w:left="262" w:right="562"/>
      </w:pPr>
      <w:r>
        <w:rPr/>
        <w:br w:type="column"/>
      </w:r>
      <w:r>
        <w:rPr>
          <w:spacing w:val="-2"/>
        </w:rPr>
        <w:t>由于慢性心包炎症导致心包脏层和壁层广泛瘢痕粘连、增厚和钙化，心包腔</w:t>
      </w:r>
      <w:r>
        <w:rPr>
          <w:spacing w:val="40"/>
        </w:rPr>
        <w:t> </w:t>
      </w:r>
      <w:r>
        <w:rPr>
          <w:spacing w:val="-2"/>
        </w:rPr>
        <w:t>闭塞，形成一个纤维瘢痕外壳，使心脏和大血管根部受压，阻碍心脏的舒张。</w:t>
      </w:r>
      <w:r>
        <w:rPr>
          <w:spacing w:val="-2"/>
        </w:rPr>
        <w:t>被保险人被明确诊断为慢性缩窄性心包炎且必须满足以下所有条件：</w:t>
      </w:r>
    </w:p>
    <w:p>
      <w:pPr>
        <w:pStyle w:val="ListParagraph"/>
        <w:numPr>
          <w:ilvl w:val="0"/>
          <w:numId w:val="68"/>
        </w:numPr>
        <w:tabs>
          <w:tab w:pos="792" w:val="left" w:leader="none"/>
        </w:tabs>
        <w:spacing w:line="278" w:lineRule="auto" w:before="0" w:after="0"/>
        <w:ind w:left="788" w:right="666" w:hanging="526"/>
        <w:jc w:val="left"/>
        <w:rPr>
          <w:sz w:val="21"/>
        </w:rPr>
      </w:pPr>
      <w:r>
        <w:rPr>
          <w:sz w:val="21"/>
        </w:rPr>
        <w:t>心功能衰竭达到美国纽约心脏病学会（New</w:t>
      </w:r>
      <w:r>
        <w:rPr>
          <w:spacing w:val="-11"/>
          <w:sz w:val="21"/>
        </w:rPr>
        <w:t> </w:t>
      </w:r>
      <w:r>
        <w:rPr>
          <w:sz w:val="21"/>
        </w:rPr>
        <w:t>York</w:t>
      </w:r>
      <w:r>
        <w:rPr>
          <w:spacing w:val="-11"/>
          <w:sz w:val="21"/>
        </w:rPr>
        <w:t> </w:t>
      </w:r>
      <w:r>
        <w:rPr>
          <w:sz w:val="21"/>
        </w:rPr>
        <w:t>Heart</w:t>
      </w:r>
      <w:r>
        <w:rPr>
          <w:spacing w:val="-11"/>
          <w:sz w:val="21"/>
        </w:rPr>
        <w:t> </w:t>
      </w:r>
      <w:r>
        <w:rPr>
          <w:sz w:val="21"/>
        </w:rPr>
        <w:t>Association， NYHA）</w:t>
      </w:r>
      <w:r>
        <w:rPr>
          <w:spacing w:val="-2"/>
          <w:sz w:val="21"/>
        </w:rPr>
        <w:t>心功能状态分级Ⅳ级，并持续 </w:t>
      </w:r>
      <w:r>
        <w:rPr>
          <w:sz w:val="21"/>
        </w:rPr>
        <w:t>180</w:t>
      </w:r>
      <w:r>
        <w:rPr>
          <w:spacing w:val="-6"/>
          <w:sz w:val="21"/>
        </w:rPr>
        <w:t> 天以上；</w:t>
      </w:r>
    </w:p>
    <w:p>
      <w:pPr>
        <w:pStyle w:val="ListParagraph"/>
        <w:numPr>
          <w:ilvl w:val="0"/>
          <w:numId w:val="68"/>
        </w:numPr>
        <w:tabs>
          <w:tab w:pos="790" w:val="left" w:leader="none"/>
        </w:tabs>
        <w:spacing w:line="278" w:lineRule="auto" w:before="0" w:after="0"/>
        <w:ind w:left="788" w:right="666" w:hanging="526"/>
        <w:jc w:val="left"/>
        <w:rPr>
          <w:sz w:val="21"/>
        </w:rPr>
      </w:pPr>
      <w:r>
        <w:rPr>
          <w:spacing w:val="-2"/>
          <w:sz w:val="21"/>
        </w:rPr>
        <w:t>实际接收了以下任何一种手术路径的心包剥脱或心包切除手术；手术路</w:t>
      </w:r>
      <w:r>
        <w:rPr>
          <w:spacing w:val="-2"/>
          <w:sz w:val="21"/>
        </w:rPr>
        <w:t>径：胸骨正中切口；双侧前胸切口；左前胸肋间切口。</w:t>
      </w:r>
    </w:p>
    <w:p>
      <w:pPr>
        <w:pStyle w:val="Heading2"/>
        <w:spacing w:line="269" w:lineRule="exact"/>
        <w:ind w:left="262"/>
      </w:pPr>
      <w:r>
        <w:rPr>
          <w:spacing w:val="-3"/>
        </w:rPr>
        <w:t>经胸腔镜、胸壁打孔进行的手术、心包粘连松解手术不在保障范围内。</w:t>
      </w:r>
    </w:p>
    <w:p>
      <w:pPr>
        <w:spacing w:after="0" w:line="269" w:lineRule="exact"/>
        <w:sectPr>
          <w:type w:val="continuous"/>
          <w:pgSz w:w="11910" w:h="16840"/>
          <w:pgMar w:header="0" w:footer="404" w:top="600" w:bottom="280" w:left="860" w:right="340"/>
          <w:cols w:num="2" w:equalWidth="0">
            <w:col w:w="2698" w:space="40"/>
            <w:col w:w="7972"/>
          </w:cols>
        </w:sectPr>
      </w:pPr>
    </w:p>
    <w:p>
      <w:pPr>
        <w:pStyle w:val="ListParagraph"/>
        <w:numPr>
          <w:ilvl w:val="2"/>
          <w:numId w:val="40"/>
        </w:numPr>
        <w:tabs>
          <w:tab w:pos="1439" w:val="left" w:leader="none"/>
          <w:tab w:pos="3000" w:val="left" w:leader="none"/>
        </w:tabs>
        <w:spacing w:line="278" w:lineRule="auto" w:before="57" w:after="0"/>
        <w:ind w:left="3000" w:right="560" w:hanging="1880"/>
        <w:jc w:val="left"/>
        <w:rPr>
          <w:sz w:val="21"/>
        </w:rPr>
      </w:pPr>
      <w:r>
        <w:rPr>
          <w:spacing w:val="-2"/>
          <w:sz w:val="21"/>
        </w:rPr>
        <w:t>主动脉夹层瘤</w:t>
      </w:r>
      <w:r>
        <w:rPr>
          <w:sz w:val="21"/>
        </w:rPr>
        <w:tab/>
      </w:r>
      <w:r>
        <w:rPr>
          <w:spacing w:val="-2"/>
          <w:sz w:val="21"/>
        </w:rPr>
        <w:t>指</w:t>
      </w:r>
      <w:r>
        <w:rPr>
          <w:spacing w:val="-2"/>
          <w:sz w:val="21"/>
        </w:rPr>
        <w:t>主</w:t>
      </w:r>
      <w:r>
        <w:rPr>
          <w:spacing w:val="-2"/>
          <w:sz w:val="21"/>
        </w:rPr>
        <w:t>动脉的内膜破裂导致</w:t>
      </w:r>
      <w:r>
        <w:rPr>
          <w:spacing w:val="-2"/>
          <w:sz w:val="21"/>
        </w:rPr>
        <w:t>血</w:t>
      </w:r>
      <w:r>
        <w:rPr>
          <w:spacing w:val="-2"/>
          <w:sz w:val="21"/>
        </w:rPr>
        <w:t>液</w:t>
      </w:r>
      <w:r>
        <w:rPr>
          <w:spacing w:val="-2"/>
          <w:sz w:val="21"/>
        </w:rPr>
        <w:t>流入主动脉壁中形成</w:t>
      </w:r>
      <w:r>
        <w:rPr>
          <w:spacing w:val="-2"/>
          <w:sz w:val="21"/>
        </w:rPr>
        <w:t>夹</w:t>
      </w:r>
      <w:r>
        <w:rPr>
          <w:spacing w:val="-2"/>
          <w:sz w:val="21"/>
        </w:rPr>
        <w:t>层</w:t>
      </w:r>
      <w:r>
        <w:rPr>
          <w:spacing w:val="-2"/>
          <w:sz w:val="21"/>
        </w:rPr>
        <w:t>动脉瘤。在本定义中，</w:t>
      </w:r>
      <w:r>
        <w:rPr>
          <w:spacing w:val="-2"/>
          <w:sz w:val="21"/>
        </w:rPr>
        <w:t>主</w:t>
      </w:r>
      <w:r>
        <w:rPr>
          <w:spacing w:val="-2"/>
          <w:sz w:val="21"/>
        </w:rPr>
        <w:t>动</w:t>
      </w:r>
      <w:r>
        <w:rPr>
          <w:spacing w:val="-2"/>
          <w:sz w:val="21"/>
        </w:rPr>
        <w:t>脉指胸主动脉及腹主</w:t>
      </w:r>
      <w:r>
        <w:rPr>
          <w:spacing w:val="-2"/>
          <w:sz w:val="21"/>
        </w:rPr>
        <w:t>动</w:t>
      </w:r>
      <w:r>
        <w:rPr>
          <w:spacing w:val="-2"/>
          <w:sz w:val="21"/>
        </w:rPr>
        <w:t>脉</w:t>
      </w:r>
      <w:r>
        <w:rPr>
          <w:spacing w:val="-2"/>
          <w:sz w:val="21"/>
        </w:rPr>
        <w:t>而非其旁支。诊断必</w:t>
      </w:r>
      <w:r>
        <w:rPr>
          <w:spacing w:val="-2"/>
          <w:sz w:val="21"/>
        </w:rPr>
        <w:t>须</w:t>
      </w:r>
      <w:r>
        <w:rPr>
          <w:spacing w:val="-2"/>
          <w:sz w:val="21"/>
        </w:rPr>
        <w:t>由</w:t>
      </w:r>
      <w:r>
        <w:rPr>
          <w:spacing w:val="-2"/>
          <w:sz w:val="21"/>
        </w:rPr>
        <w:t>专科医生及检验</w:t>
      </w:r>
      <w:r>
        <w:rPr>
          <w:spacing w:val="-2"/>
          <w:sz w:val="21"/>
        </w:rPr>
        <w:t>结</w:t>
      </w:r>
      <w:r>
        <w:rPr>
          <w:spacing w:val="-2"/>
          <w:sz w:val="21"/>
        </w:rPr>
        <w:t>果</w:t>
      </w:r>
      <w:r>
        <w:rPr>
          <w:spacing w:val="40"/>
          <w:sz w:val="21"/>
        </w:rPr>
        <w:t> </w:t>
      </w:r>
      <w:r>
        <w:rPr>
          <w:spacing w:val="-2"/>
          <w:sz w:val="21"/>
        </w:rPr>
        <w:t>证</w:t>
      </w:r>
      <w:r>
        <w:rPr>
          <w:spacing w:val="-2"/>
          <w:sz w:val="21"/>
        </w:rPr>
        <w:t>实</w:t>
      </w:r>
      <w:r>
        <w:rPr>
          <w:spacing w:val="-2"/>
          <w:sz w:val="21"/>
        </w:rPr>
        <w:t>，检验包括电脑断层</w:t>
      </w:r>
      <w:r>
        <w:rPr>
          <w:spacing w:val="-2"/>
          <w:sz w:val="21"/>
        </w:rPr>
        <w:t>扫</w:t>
      </w:r>
      <w:r>
        <w:rPr>
          <w:spacing w:val="-2"/>
          <w:sz w:val="21"/>
        </w:rPr>
        <w:t>描</w:t>
      </w:r>
      <w:r>
        <w:rPr>
          <w:spacing w:val="-2"/>
          <w:sz w:val="21"/>
        </w:rPr>
        <w:t>，磁共振扫描及磁共</w:t>
      </w:r>
      <w:r>
        <w:rPr>
          <w:spacing w:val="-2"/>
          <w:sz w:val="21"/>
        </w:rPr>
        <w:t>振</w:t>
      </w:r>
      <w:r>
        <w:rPr>
          <w:spacing w:val="-2"/>
          <w:sz w:val="21"/>
        </w:rPr>
        <w:t>血</w:t>
      </w:r>
      <w:r>
        <w:rPr>
          <w:spacing w:val="-2"/>
          <w:sz w:val="21"/>
        </w:rPr>
        <w:t>管造影或心导管</w:t>
      </w:r>
      <w:r>
        <w:rPr>
          <w:spacing w:val="-2"/>
          <w:sz w:val="21"/>
        </w:rPr>
        <w:t>检</w:t>
      </w:r>
      <w:r>
        <w:rPr>
          <w:spacing w:val="-2"/>
          <w:sz w:val="21"/>
        </w:rPr>
        <w:t>查</w:t>
      </w:r>
      <w:r>
        <w:rPr>
          <w:spacing w:val="40"/>
          <w:sz w:val="21"/>
        </w:rPr>
        <w:t> </w:t>
      </w:r>
      <w:r>
        <w:rPr>
          <w:spacing w:val="-2"/>
          <w:sz w:val="21"/>
        </w:rPr>
        <w:t>的</w:t>
      </w:r>
      <w:r>
        <w:rPr>
          <w:spacing w:val="-2"/>
          <w:sz w:val="21"/>
        </w:rPr>
        <w:t>证</w:t>
      </w:r>
      <w:r>
        <w:rPr>
          <w:spacing w:val="-2"/>
          <w:sz w:val="21"/>
        </w:rPr>
        <w:t>明，并有必要进行紧</w:t>
      </w:r>
      <w:r>
        <w:rPr>
          <w:spacing w:val="-2"/>
          <w:sz w:val="21"/>
        </w:rPr>
        <w:t>急</w:t>
      </w:r>
      <w:r>
        <w:rPr>
          <w:spacing w:val="-2"/>
          <w:sz w:val="21"/>
        </w:rPr>
        <w:t>修</w:t>
      </w:r>
      <w:r>
        <w:rPr>
          <w:spacing w:val="-2"/>
          <w:sz w:val="21"/>
        </w:rPr>
        <w:t>补手术。</w:t>
      </w:r>
    </w:p>
    <w:p>
      <w:pPr>
        <w:pStyle w:val="BodyText"/>
        <w:spacing w:before="2"/>
        <w:rPr>
          <w:sz w:val="12"/>
        </w:rPr>
      </w:pPr>
    </w:p>
    <w:p>
      <w:pPr>
        <w:spacing w:after="0"/>
        <w:rPr>
          <w:sz w:val="12"/>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艾森门格综合</w:t>
      </w:r>
      <w:r>
        <w:rPr>
          <w:spacing w:val="-10"/>
          <w:sz w:val="21"/>
        </w:rPr>
        <w:t>征</w:t>
      </w:r>
    </w:p>
    <w:p>
      <w:pPr>
        <w:pStyle w:val="BodyText"/>
        <w:spacing w:line="278" w:lineRule="auto" w:before="72"/>
        <w:ind w:left="262" w:right="767"/>
      </w:pPr>
      <w:r>
        <w:rPr/>
        <w:br w:type="column"/>
      </w:r>
      <w:r>
        <w:rPr>
          <w:spacing w:val="-2"/>
        </w:rPr>
        <w:t>因心脏病导致的严重肺动脉高压及右向左分流。诊断必须由心脏专科医生经</w:t>
      </w:r>
      <w:r>
        <w:rPr>
          <w:spacing w:val="-2"/>
        </w:rPr>
        <w:t>超声心动图和心导管检查证实及需符合以下所有标准：</w:t>
      </w:r>
    </w:p>
    <w:p>
      <w:pPr>
        <w:pStyle w:val="ListParagraph"/>
        <w:numPr>
          <w:ilvl w:val="0"/>
          <w:numId w:val="69"/>
        </w:numPr>
        <w:tabs>
          <w:tab w:pos="792" w:val="left" w:leader="none"/>
        </w:tabs>
        <w:spacing w:line="269" w:lineRule="exact" w:before="0" w:after="0"/>
        <w:ind w:left="791" w:right="0" w:hanging="530"/>
        <w:jc w:val="left"/>
        <w:rPr>
          <w:sz w:val="21"/>
        </w:rPr>
      </w:pPr>
      <w:r>
        <w:rPr>
          <w:spacing w:val="-8"/>
          <w:sz w:val="21"/>
        </w:rPr>
        <w:t>平均肺动脉压高于 </w:t>
      </w:r>
      <w:r>
        <w:rPr>
          <w:spacing w:val="-2"/>
          <w:sz w:val="21"/>
        </w:rPr>
        <w:t>40mmHg；</w:t>
      </w:r>
    </w:p>
    <w:p>
      <w:pPr>
        <w:pStyle w:val="ListParagraph"/>
        <w:numPr>
          <w:ilvl w:val="0"/>
          <w:numId w:val="69"/>
        </w:numPr>
        <w:tabs>
          <w:tab w:pos="792" w:val="left" w:leader="none"/>
        </w:tabs>
        <w:spacing w:line="240" w:lineRule="auto" w:before="43" w:after="0"/>
        <w:ind w:left="791" w:right="0" w:hanging="530"/>
        <w:jc w:val="left"/>
        <w:rPr>
          <w:sz w:val="21"/>
        </w:rPr>
      </w:pPr>
      <w:r>
        <w:rPr>
          <w:spacing w:val="-8"/>
          <w:sz w:val="21"/>
        </w:rPr>
        <w:t>肺血管阻力高于 </w:t>
      </w:r>
      <w:r>
        <w:rPr>
          <w:spacing w:val="-2"/>
          <w:sz w:val="21"/>
        </w:rPr>
        <w:t>3mm/L/min（Wood</w:t>
      </w:r>
      <w:r>
        <w:rPr>
          <w:spacing w:val="-16"/>
          <w:sz w:val="21"/>
        </w:rPr>
        <w:t> 单位</w:t>
      </w:r>
      <w:r>
        <w:rPr>
          <w:spacing w:val="-5"/>
          <w:sz w:val="21"/>
        </w:rPr>
        <w:t>）；</w:t>
      </w:r>
    </w:p>
    <w:p>
      <w:pPr>
        <w:pStyle w:val="ListParagraph"/>
        <w:numPr>
          <w:ilvl w:val="0"/>
          <w:numId w:val="69"/>
        </w:numPr>
        <w:tabs>
          <w:tab w:pos="792" w:val="left" w:leader="none"/>
        </w:tabs>
        <w:spacing w:line="240" w:lineRule="auto" w:before="43" w:after="0"/>
        <w:ind w:left="791" w:right="0" w:hanging="530"/>
        <w:jc w:val="left"/>
        <w:rPr>
          <w:sz w:val="21"/>
        </w:rPr>
      </w:pPr>
      <w:r>
        <w:rPr>
          <w:spacing w:val="-6"/>
          <w:sz w:val="21"/>
        </w:rPr>
        <w:t>正常肺微血管楔压低于 </w:t>
      </w:r>
      <w:r>
        <w:rPr>
          <w:spacing w:val="-2"/>
          <w:sz w:val="21"/>
        </w:rPr>
        <w:t>15mmHg</w:t>
      </w:r>
      <w:r>
        <w:rPr>
          <w:spacing w:val="-10"/>
          <w:sz w:val="21"/>
        </w:rPr>
        <w:t>。</w:t>
      </w:r>
    </w:p>
    <w:p>
      <w:pPr>
        <w:pStyle w:val="Heading2"/>
        <w:spacing w:line="278" w:lineRule="auto" w:before="43"/>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严重继发性肺</w:t>
      </w:r>
      <w:r>
        <w:rPr>
          <w:spacing w:val="-4"/>
          <w:sz w:val="21"/>
        </w:rPr>
        <w:t>动脉高压</w:t>
      </w:r>
    </w:p>
    <w:p>
      <w:pPr>
        <w:pStyle w:val="BodyText"/>
        <w:spacing w:line="278" w:lineRule="auto" w:before="72"/>
        <w:ind w:left="262" w:right="560"/>
      </w:pPr>
      <w:r>
        <w:rPr/>
        <w:br w:type="column"/>
      </w:r>
      <w:r>
        <w:rPr>
          <w:spacing w:val="-2"/>
        </w:rPr>
        <w:t>继发性肺动脉压力持续增高，导致右心室肥厚，已经造成永久不可逆性的体</w:t>
      </w:r>
      <w:r>
        <w:rPr>
          <w:spacing w:val="40"/>
        </w:rPr>
        <w:t> </w:t>
      </w:r>
      <w:r>
        <w:rPr/>
        <w:t>力活动能力受限，达到美国纽约心脏病学会（New</w:t>
      </w:r>
      <w:r>
        <w:rPr>
          <w:spacing w:val="-11"/>
        </w:rPr>
        <w:t> </w:t>
      </w:r>
      <w:r>
        <w:rPr/>
        <w:t>York</w:t>
      </w:r>
      <w:r>
        <w:rPr>
          <w:spacing w:val="-11"/>
        </w:rPr>
        <w:t> </w:t>
      </w:r>
      <w:r>
        <w:rPr/>
        <w:t>Heart</w:t>
      </w:r>
      <w:r>
        <w:rPr>
          <w:spacing w:val="-11"/>
        </w:rPr>
        <w:t> </w:t>
      </w:r>
      <w:r>
        <w:rPr/>
        <w:t>Association， NYHA）</w:t>
      </w:r>
      <w:r>
        <w:rPr>
          <w:spacing w:val="-2"/>
        </w:rPr>
        <w:t>心功能状态分级Ⅳ级，且静息状态下肺动脉平均压在 </w:t>
      </w:r>
      <w:r>
        <w:rPr/>
        <w:t>36mmHg（含）以</w:t>
      </w:r>
      <w:r>
        <w:rPr>
          <w:spacing w:val="-6"/>
        </w:rPr>
        <w:t>上。</w:t>
      </w:r>
    </w:p>
    <w:p>
      <w:pPr>
        <w:pStyle w:val="Heading2"/>
        <w:ind w:left="262"/>
      </w:pPr>
      <w:r>
        <w:rPr>
          <w:spacing w:val="-3"/>
        </w:rPr>
        <w:t>所有先天性心脏疾病直接或间接引起的肺动脉高压不在保障范围内。</w:t>
      </w:r>
    </w:p>
    <w:p>
      <w:pPr>
        <w:spacing w:after="0"/>
        <w:sectPr>
          <w:type w:val="continuous"/>
          <w:pgSz w:w="11910" w:h="16840"/>
          <w:pgMar w:header="0" w:footer="404" w:top="600" w:bottom="280" w:left="860" w:right="340"/>
          <w:cols w:num="2" w:equalWidth="0">
            <w:col w:w="2698" w:space="40"/>
            <w:col w:w="7972"/>
          </w:cols>
        </w:sectPr>
      </w:pPr>
    </w:p>
    <w:p>
      <w:pPr>
        <w:pStyle w:val="BodyText"/>
        <w:spacing w:before="5"/>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主动脉夹层血</w:t>
      </w:r>
      <w:r>
        <w:rPr>
          <w:spacing w:val="-10"/>
          <w:sz w:val="21"/>
        </w:rPr>
        <w:t>肿</w:t>
      </w:r>
    </w:p>
    <w:p>
      <w:pPr>
        <w:pStyle w:val="BodyText"/>
        <w:spacing w:line="278" w:lineRule="auto" w:before="71"/>
        <w:ind w:left="262" w:right="666"/>
      </w:pPr>
      <w:r>
        <w:rPr/>
        <w:br w:type="column"/>
      </w:r>
      <w:r>
        <w:rPr>
          <w:spacing w:val="-2"/>
        </w:rPr>
        <w:t>是指主动脉壁在受到某些病理因素的破坏后，高速、高压的主动脉血流将其</w:t>
      </w:r>
      <w:r>
        <w:rPr>
          <w:spacing w:val="-2"/>
        </w:rPr>
        <w:t>内膜撕裂，以致主动脉腔内的血流通过主动脉内膜的破裂口进入主动脉内壁</w:t>
      </w:r>
      <w:r>
        <w:rPr>
          <w:spacing w:val="-4"/>
        </w:rPr>
        <w:t>而形成血肿。被保险人需通过 </w:t>
      </w:r>
      <w:r>
        <w:rPr/>
        <w:t>X</w:t>
      </w:r>
      <w:r>
        <w:rPr>
          <w:spacing w:val="-10"/>
        </w:rPr>
        <w:t> 线断层扫描</w:t>
      </w:r>
      <w:r>
        <w:rPr/>
        <w:t>（CT）、磁共振扫描（MRI）、磁</w:t>
      </w:r>
      <w:r>
        <w:rPr>
          <w:spacing w:val="-2"/>
        </w:rPr>
        <w:t>共振血管检验法（MRA）或血管扫描等检查，并且实施了胸腹切开的直视主动</w:t>
      </w:r>
      <w:r>
        <w:rPr>
          <w:spacing w:val="-4"/>
        </w:rPr>
        <w:t>脉手术。</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pStyle w:val="ListParagraph"/>
        <w:numPr>
          <w:ilvl w:val="2"/>
          <w:numId w:val="40"/>
        </w:numPr>
        <w:tabs>
          <w:tab w:pos="1439" w:val="left" w:leader="none"/>
          <w:tab w:pos="3000" w:val="left" w:leader="none"/>
        </w:tabs>
        <w:spacing w:line="278" w:lineRule="auto" w:before="72" w:after="0"/>
        <w:ind w:left="3000" w:right="767" w:hanging="1880"/>
        <w:jc w:val="left"/>
        <w:rPr>
          <w:sz w:val="21"/>
        </w:rPr>
      </w:pPr>
      <w:r>
        <w:rPr>
          <w:spacing w:val="-2"/>
          <w:sz w:val="21"/>
        </w:rPr>
        <w:t>严重大动脉炎</w:t>
      </w:r>
      <w:r>
        <w:rPr>
          <w:sz w:val="21"/>
        </w:rPr>
        <w:tab/>
      </w:r>
      <w:r>
        <w:rPr>
          <w:spacing w:val="-2"/>
          <w:sz w:val="21"/>
        </w:rPr>
        <w:t>指</w:t>
      </w:r>
      <w:r>
        <w:rPr>
          <w:spacing w:val="-2"/>
          <w:sz w:val="21"/>
        </w:rPr>
        <w:t>经</w:t>
      </w:r>
      <w:r>
        <w:rPr>
          <w:spacing w:val="-2"/>
          <w:sz w:val="21"/>
        </w:rPr>
        <w:t>本公司认可的医疗机</w:t>
      </w:r>
      <w:r>
        <w:rPr>
          <w:spacing w:val="-2"/>
          <w:sz w:val="21"/>
        </w:rPr>
        <w:t>构</w:t>
      </w:r>
      <w:r>
        <w:rPr>
          <w:spacing w:val="-2"/>
          <w:sz w:val="21"/>
        </w:rPr>
        <w:t>的</w:t>
      </w:r>
      <w:r>
        <w:rPr>
          <w:spacing w:val="-2"/>
          <w:sz w:val="21"/>
        </w:rPr>
        <w:t>心脏或血管外科专科</w:t>
      </w:r>
      <w:r>
        <w:rPr>
          <w:spacing w:val="-2"/>
          <w:sz w:val="21"/>
        </w:rPr>
        <w:t>医</w:t>
      </w:r>
      <w:r>
        <w:rPr>
          <w:spacing w:val="-2"/>
          <w:sz w:val="21"/>
        </w:rPr>
        <w:t>生</w:t>
      </w:r>
      <w:r>
        <w:rPr>
          <w:spacing w:val="-2"/>
          <w:sz w:val="21"/>
        </w:rPr>
        <w:t>确诊的大动脉炎，</w:t>
      </w:r>
      <w:r>
        <w:rPr>
          <w:spacing w:val="-2"/>
          <w:sz w:val="21"/>
        </w:rPr>
        <w:t>须</w:t>
      </w:r>
      <w:r>
        <w:rPr>
          <w:spacing w:val="-2"/>
          <w:sz w:val="21"/>
        </w:rPr>
        <w:t>满</w:t>
      </w:r>
      <w:r>
        <w:rPr>
          <w:spacing w:val="-2"/>
          <w:sz w:val="21"/>
        </w:rPr>
        <w:t>足</w:t>
      </w:r>
      <w:r>
        <w:rPr>
          <w:spacing w:val="-2"/>
          <w:sz w:val="21"/>
        </w:rPr>
        <w:t>下列全部条</w:t>
      </w:r>
      <w:r>
        <w:rPr>
          <w:spacing w:val="-2"/>
          <w:sz w:val="21"/>
        </w:rPr>
        <w:t>件</w:t>
      </w:r>
      <w:r>
        <w:rPr>
          <w:spacing w:val="-2"/>
          <w:sz w:val="21"/>
        </w:rPr>
        <w:t>：</w:t>
      </w:r>
    </w:p>
    <w:p>
      <w:pPr>
        <w:pStyle w:val="ListParagraph"/>
        <w:numPr>
          <w:ilvl w:val="0"/>
          <w:numId w:val="70"/>
        </w:numPr>
        <w:tabs>
          <w:tab w:pos="3530" w:val="left" w:leader="none"/>
        </w:tabs>
        <w:spacing w:line="240" w:lineRule="auto" w:before="0" w:after="0"/>
        <w:ind w:left="3529" w:right="0" w:hanging="530"/>
        <w:jc w:val="left"/>
        <w:rPr>
          <w:sz w:val="21"/>
        </w:rPr>
      </w:pPr>
      <w:r>
        <w:rPr>
          <w:spacing w:val="4"/>
          <w:sz w:val="21"/>
        </w:rPr>
        <w:t>红细胞沉降率及</w:t>
      </w:r>
      <w:r>
        <w:rPr>
          <w:sz w:val="21"/>
        </w:rPr>
        <w:t>C</w:t>
      </w:r>
      <w:r>
        <w:rPr>
          <w:spacing w:val="-9"/>
          <w:sz w:val="21"/>
        </w:rPr>
        <w:t> 反应蛋白高于正常值；</w:t>
      </w:r>
    </w:p>
    <w:p>
      <w:pPr>
        <w:pStyle w:val="ListParagraph"/>
        <w:numPr>
          <w:ilvl w:val="0"/>
          <w:numId w:val="70"/>
        </w:numPr>
        <w:tabs>
          <w:tab w:pos="3527" w:val="left" w:leader="none"/>
        </w:tabs>
        <w:spacing w:line="240" w:lineRule="auto" w:before="43" w:after="0"/>
        <w:ind w:left="3526" w:right="0" w:hanging="527"/>
        <w:jc w:val="left"/>
        <w:rPr>
          <w:sz w:val="21"/>
        </w:rPr>
      </w:pPr>
      <w:r>
        <w:rPr>
          <w:spacing w:val="-4"/>
          <w:sz w:val="21"/>
        </w:rPr>
        <w:t>超声检查、CTA</w:t>
      </w:r>
      <w:r>
        <w:rPr>
          <w:spacing w:val="-5"/>
          <w:sz w:val="21"/>
        </w:rPr>
        <w:t> 检查或血管造影检查证实主动脉及其主要分支存在狭窄；</w:t>
      </w:r>
    </w:p>
    <w:p>
      <w:pPr>
        <w:pStyle w:val="ListParagraph"/>
        <w:numPr>
          <w:ilvl w:val="0"/>
          <w:numId w:val="70"/>
        </w:numPr>
        <w:tabs>
          <w:tab w:pos="3530" w:val="left" w:leader="none"/>
        </w:tabs>
        <w:spacing w:line="240" w:lineRule="auto" w:before="43" w:after="0"/>
        <w:ind w:left="3529" w:right="0" w:hanging="530"/>
        <w:jc w:val="left"/>
        <w:rPr>
          <w:sz w:val="21"/>
        </w:rPr>
      </w:pPr>
      <w:r>
        <w:rPr>
          <w:spacing w:val="-3"/>
          <w:sz w:val="21"/>
        </w:rPr>
        <w:t>已经针对狭窄的动脉进行了手术治疗。</w:t>
      </w:r>
    </w:p>
    <w:p>
      <w:pPr>
        <w:pStyle w:val="BodyText"/>
        <w:spacing w:line="278" w:lineRule="auto" w:before="43"/>
        <w:ind w:left="3000" w:right="562"/>
        <w:jc w:val="both"/>
      </w:pPr>
      <w:r>
        <w:rPr>
          <w:spacing w:val="-2"/>
        </w:rPr>
        <w:t>这里的“主动脉及其主要分支”指：升主动脉、主动脉弓及其分支（头臂干、</w:t>
      </w:r>
      <w:r>
        <w:rPr>
          <w:spacing w:val="-2"/>
        </w:rPr>
        <w:t>左颈总动脉、左锁骨下动脉）、胸主动脉、腹主动脉及其主要分支（腹腔干、</w:t>
      </w:r>
      <w:r>
        <w:rPr>
          <w:spacing w:val="-2"/>
        </w:rPr>
        <w:t>肠系膜上动脉、肠系膜下动脉、肾动脉）。</w:t>
      </w: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皮质基底节变</w:t>
      </w:r>
      <w:r>
        <w:rPr>
          <w:spacing w:val="-10"/>
          <w:sz w:val="21"/>
        </w:rPr>
        <w:t>性</w:t>
      </w:r>
    </w:p>
    <w:p>
      <w:pPr>
        <w:pStyle w:val="BodyText"/>
        <w:spacing w:line="278" w:lineRule="auto" w:before="72"/>
        <w:ind w:left="262" w:right="560"/>
      </w:pPr>
      <w:r>
        <w:rPr/>
        <w:br w:type="column"/>
      </w:r>
      <w:r>
        <w:rPr>
          <w:spacing w:val="-2"/>
        </w:rPr>
        <w:t>指一种慢性进展性神经变性疾病，以不对称发作的无动性强直综合征、失用、</w:t>
      </w:r>
      <w:r>
        <w:rPr>
          <w:spacing w:val="-2"/>
        </w:rPr>
        <w:t>肌张力障碍及姿势异常为临床特征，须在本公司认可的医疗机构内经专科医</w:t>
      </w:r>
      <w:r>
        <w:rPr>
          <w:spacing w:val="40"/>
        </w:rPr>
        <w:t> </w:t>
      </w:r>
      <w:r>
        <w:rPr>
          <w:spacing w:val="-2"/>
        </w:rPr>
        <w:t>生明确诊断，并且被保险人自主生活能力完全丧失，无法独立完成六项基本</w:t>
      </w:r>
      <w:r>
        <w:rPr>
          <w:spacing w:val="40"/>
        </w:rPr>
        <w:t> </w:t>
      </w:r>
      <w:r>
        <w:rPr>
          <w:spacing w:val="-2"/>
        </w:rPr>
        <w:t>日常生活活动中的三项或三项以上。</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破裂脑动脉瘤</w:t>
      </w:r>
      <w:r>
        <w:rPr>
          <w:spacing w:val="-4"/>
          <w:sz w:val="21"/>
        </w:rPr>
        <w:t>夹闭手术</w:t>
      </w:r>
    </w:p>
    <w:p>
      <w:pPr>
        <w:pStyle w:val="BodyText"/>
        <w:spacing w:line="278" w:lineRule="auto" w:before="72"/>
        <w:ind w:left="262" w:right="767"/>
      </w:pPr>
      <w:r>
        <w:rPr/>
        <w:br w:type="column"/>
      </w:r>
      <w:r>
        <w:rPr>
          <w:spacing w:val="-2"/>
        </w:rPr>
        <w:t>指因脑动脉瘤破裂造成蛛网膜下腔出血，被保险人实际接受了在全麻下进行</w:t>
      </w:r>
      <w:r>
        <w:rPr>
          <w:spacing w:val="-2"/>
        </w:rPr>
        <w:t>的开颅动脉夹闭手术。</w:t>
      </w:r>
    </w:p>
    <w:p>
      <w:pPr>
        <w:pStyle w:val="Heading2"/>
        <w:spacing w:line="278" w:lineRule="auto"/>
        <w:ind w:left="262" w:right="746"/>
      </w:pPr>
      <w:r>
        <w:rPr>
          <w:spacing w:val="-2"/>
        </w:rPr>
        <w:t>脑动脉瘤（未破裂）预防性手术、颅骨打孔手术、动脉瘤栓塞手术、血管内</w:t>
      </w:r>
      <w:r>
        <w:rPr>
          <w:spacing w:val="-2"/>
        </w:rPr>
        <w:t>手术及其他颅脑手术不在本保障范围内。</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严重肌营养不</w:t>
      </w:r>
      <w:r>
        <w:rPr>
          <w:spacing w:val="-6"/>
          <w:sz w:val="21"/>
        </w:rPr>
        <w:t>良症</w:t>
      </w:r>
    </w:p>
    <w:p>
      <w:pPr>
        <w:pStyle w:val="BodyText"/>
        <w:spacing w:line="278" w:lineRule="auto" w:before="72"/>
        <w:ind w:left="262"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71"/>
        </w:numPr>
        <w:tabs>
          <w:tab w:pos="790" w:val="left" w:leader="none"/>
        </w:tabs>
        <w:spacing w:line="269" w:lineRule="exact" w:before="0" w:after="0"/>
        <w:ind w:left="789" w:right="0" w:hanging="528"/>
        <w:jc w:val="left"/>
        <w:rPr>
          <w:sz w:val="21"/>
        </w:rPr>
      </w:pPr>
      <w:r>
        <w:rPr>
          <w:spacing w:val="-6"/>
          <w:sz w:val="21"/>
        </w:rPr>
        <w:t>肌肉组织活检结果满足肌营养不良症的肌肉细胞变性、坏死等阳性改变；</w:t>
      </w:r>
    </w:p>
    <w:p>
      <w:pPr>
        <w:pStyle w:val="ListParagraph"/>
        <w:numPr>
          <w:ilvl w:val="0"/>
          <w:numId w:val="71"/>
        </w:numPr>
        <w:tabs>
          <w:tab w:pos="790" w:val="left" w:leader="none"/>
        </w:tabs>
        <w:spacing w:line="240" w:lineRule="auto" w:before="43" w:after="0"/>
        <w:ind w:left="789" w:right="0" w:hanging="528"/>
        <w:jc w:val="left"/>
        <w:rPr>
          <w:sz w:val="21"/>
        </w:rPr>
      </w:pPr>
      <w:r>
        <w:rPr>
          <w:spacing w:val="-3"/>
          <w:sz w:val="21"/>
        </w:rPr>
        <w:t>自主生活能力严重丧失，无法独立完成六项基本日常生活活动中的三项</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57"/>
        <w:ind w:left="3525"/>
      </w:pPr>
      <w:r>
        <w:rPr>
          <w:spacing w:val="-4"/>
        </w:rPr>
        <w:t>或三项以上。</w:t>
      </w:r>
    </w:p>
    <w:p>
      <w:pPr>
        <w:pStyle w:val="Heading2"/>
        <w:spacing w:line="278" w:lineRule="auto" w:before="43"/>
        <w:ind w:right="563"/>
      </w:pPr>
      <w:r>
        <w:rPr>
          <w:spacing w:val="-2"/>
        </w:rPr>
        <w:t>本公司承担本项疾病责任不受本合同责任免除中“遗传性疾病，先天性畸形、</w:t>
      </w:r>
      <w:r>
        <w:rPr>
          <w:spacing w:val="-2"/>
        </w:rPr>
        <w:t>变形或染色体异常”的限制。</w:t>
      </w:r>
    </w:p>
    <w:p>
      <w:pPr>
        <w:pStyle w:val="BodyText"/>
        <w:spacing w:before="10"/>
        <w:rPr>
          <w:b/>
          <w:sz w:val="17"/>
        </w:rPr>
      </w:pPr>
    </w:p>
    <w:p>
      <w:pPr>
        <w:pStyle w:val="ListParagraph"/>
        <w:numPr>
          <w:ilvl w:val="2"/>
          <w:numId w:val="40"/>
        </w:numPr>
        <w:tabs>
          <w:tab w:pos="1439" w:val="left" w:leader="none"/>
          <w:tab w:pos="3000" w:val="left" w:leader="none"/>
        </w:tabs>
        <w:spacing w:line="278" w:lineRule="auto" w:before="0" w:after="0"/>
        <w:ind w:left="3000" w:right="560" w:hanging="1880"/>
        <w:jc w:val="left"/>
        <w:rPr>
          <w:b/>
          <w:sz w:val="21"/>
        </w:rPr>
      </w:pPr>
      <w:r>
        <w:rPr>
          <w:spacing w:val="-3"/>
          <w:w w:val="100"/>
          <w:sz w:val="21"/>
        </w:rPr>
        <w:t>脊</w:t>
      </w:r>
      <w:r>
        <w:rPr>
          <w:w w:val="100"/>
          <w:sz w:val="21"/>
        </w:rPr>
        <w:t>髓</w:t>
      </w:r>
      <w:r>
        <w:rPr>
          <w:spacing w:val="-3"/>
          <w:w w:val="100"/>
          <w:sz w:val="21"/>
        </w:rPr>
        <w:t>灰</w:t>
      </w:r>
      <w:r>
        <w:rPr>
          <w:w w:val="100"/>
          <w:sz w:val="21"/>
        </w:rPr>
        <w:t>质炎</w:t>
      </w:r>
      <w:r>
        <w:rPr>
          <w:sz w:val="21"/>
        </w:rPr>
        <w:tab/>
      </w:r>
      <w:r>
        <w:rPr>
          <w:w w:val="100"/>
          <w:sz w:val="21"/>
        </w:rPr>
        <w:t>指由</w:t>
      </w:r>
      <w:r>
        <w:rPr>
          <w:spacing w:val="-3"/>
          <w:w w:val="100"/>
          <w:sz w:val="21"/>
        </w:rPr>
        <w:t>于</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3"/>
          <w:w w:val="100"/>
          <w:sz w:val="21"/>
        </w:rPr>
        <w:t>病</w:t>
      </w:r>
      <w:r>
        <w:rPr>
          <w:w w:val="100"/>
          <w:sz w:val="21"/>
        </w:rPr>
        <w:t>毒</w:t>
      </w:r>
      <w:r>
        <w:rPr>
          <w:spacing w:val="-3"/>
          <w:w w:val="100"/>
          <w:sz w:val="21"/>
        </w:rPr>
        <w:t>感</w:t>
      </w:r>
      <w:r>
        <w:rPr>
          <w:w w:val="100"/>
          <w:sz w:val="21"/>
        </w:rPr>
        <w:t>染所</w:t>
      </w:r>
      <w:r>
        <w:rPr>
          <w:spacing w:val="-3"/>
          <w:w w:val="100"/>
          <w:sz w:val="21"/>
        </w:rPr>
        <w:t>致</w:t>
      </w:r>
      <w:r>
        <w:rPr>
          <w:w w:val="100"/>
          <w:sz w:val="21"/>
        </w:rPr>
        <w:t>的</w:t>
      </w:r>
      <w:r>
        <w:rPr>
          <w:spacing w:val="-3"/>
          <w:w w:val="100"/>
          <w:sz w:val="21"/>
        </w:rPr>
        <w:t>瘫</w:t>
      </w:r>
      <w:r>
        <w:rPr>
          <w:w w:val="100"/>
          <w:sz w:val="21"/>
        </w:rPr>
        <w:t>痪</w:t>
      </w:r>
      <w:r>
        <w:rPr>
          <w:spacing w:val="-3"/>
          <w:w w:val="100"/>
          <w:sz w:val="21"/>
        </w:rPr>
        <w:t>性</w:t>
      </w:r>
      <w:r>
        <w:rPr>
          <w:w w:val="100"/>
          <w:sz w:val="21"/>
        </w:rPr>
        <w:t>疾</w:t>
      </w:r>
      <w:r>
        <w:rPr>
          <w:spacing w:val="-3"/>
          <w:w w:val="100"/>
          <w:sz w:val="21"/>
        </w:rPr>
        <w:t>病</w:t>
      </w:r>
      <w:r>
        <w:rPr>
          <w:w w:val="100"/>
          <w:sz w:val="21"/>
        </w:rPr>
        <w:t>，</w:t>
      </w:r>
      <w:r>
        <w:rPr>
          <w:spacing w:val="-3"/>
          <w:w w:val="100"/>
          <w:sz w:val="21"/>
        </w:rPr>
        <w:t>临</w:t>
      </w:r>
      <w:r>
        <w:rPr>
          <w:w w:val="100"/>
          <w:sz w:val="21"/>
        </w:rPr>
        <w:t>床表</w:t>
      </w:r>
      <w:r>
        <w:rPr>
          <w:spacing w:val="-3"/>
          <w:w w:val="100"/>
          <w:sz w:val="21"/>
        </w:rPr>
        <w:t>现</w:t>
      </w:r>
      <w:r>
        <w:rPr>
          <w:w w:val="100"/>
          <w:sz w:val="21"/>
        </w:rPr>
        <w:t>为</w:t>
      </w:r>
      <w:r>
        <w:rPr>
          <w:spacing w:val="-3"/>
          <w:w w:val="100"/>
          <w:sz w:val="21"/>
        </w:rPr>
        <w:t>运</w:t>
      </w:r>
      <w:r>
        <w:rPr>
          <w:w w:val="100"/>
          <w:sz w:val="21"/>
        </w:rPr>
        <w:t>动</w:t>
      </w:r>
      <w:r>
        <w:rPr>
          <w:spacing w:val="-3"/>
          <w:w w:val="100"/>
          <w:sz w:val="21"/>
        </w:rPr>
        <w:t>功</w:t>
      </w:r>
      <w:r>
        <w:rPr>
          <w:w w:val="100"/>
          <w:sz w:val="21"/>
        </w:rPr>
        <w:t>能</w:t>
      </w:r>
      <w:r>
        <w:rPr>
          <w:spacing w:val="-3"/>
          <w:w w:val="100"/>
          <w:sz w:val="21"/>
        </w:rPr>
        <w:t>损</w:t>
      </w:r>
      <w:r>
        <w:rPr>
          <w:w w:val="100"/>
          <w:sz w:val="21"/>
        </w:rPr>
        <w:t>害或</w:t>
      </w:r>
      <w:r>
        <w:rPr>
          <w:w w:val="100"/>
          <w:sz w:val="21"/>
        </w:rPr>
        <w:t> 呼吸</w:t>
      </w:r>
      <w:r>
        <w:rPr>
          <w:spacing w:val="-3"/>
          <w:w w:val="100"/>
          <w:sz w:val="21"/>
        </w:rPr>
        <w:t>无</w:t>
      </w:r>
      <w:r>
        <w:rPr>
          <w:w w:val="100"/>
          <w:sz w:val="21"/>
        </w:rPr>
        <w:t>力</w:t>
      </w:r>
      <w:r>
        <w:rPr>
          <w:spacing w:val="-5"/>
          <w:w w:val="100"/>
          <w:sz w:val="21"/>
        </w:rPr>
        <w:t>。</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3"/>
          <w:w w:val="100"/>
          <w:sz w:val="21"/>
        </w:rPr>
        <w:t>必</w:t>
      </w:r>
      <w:r>
        <w:rPr>
          <w:w w:val="100"/>
          <w:sz w:val="21"/>
        </w:rPr>
        <w:t>须在</w:t>
      </w:r>
      <w:r>
        <w:rPr>
          <w:spacing w:val="-3"/>
          <w:w w:val="100"/>
          <w:sz w:val="21"/>
        </w:rPr>
        <w:t>本</w:t>
      </w:r>
      <w:r>
        <w:rPr>
          <w:w w:val="100"/>
          <w:sz w:val="21"/>
        </w:rPr>
        <w:t>公</w:t>
      </w:r>
      <w:r>
        <w:rPr>
          <w:spacing w:val="-3"/>
          <w:w w:val="100"/>
          <w:sz w:val="21"/>
        </w:rPr>
        <w:t>司</w:t>
      </w:r>
      <w:r>
        <w:rPr>
          <w:w w:val="100"/>
          <w:sz w:val="21"/>
        </w:rPr>
        <w:t>认</w:t>
      </w:r>
      <w:r>
        <w:rPr>
          <w:spacing w:val="-3"/>
          <w:w w:val="100"/>
          <w:sz w:val="21"/>
        </w:rPr>
        <w:t>可</w:t>
      </w:r>
      <w:r>
        <w:rPr>
          <w:w w:val="100"/>
          <w:sz w:val="21"/>
        </w:rPr>
        <w:t>的</w:t>
      </w:r>
      <w:r>
        <w:rPr>
          <w:spacing w:val="-3"/>
          <w:w w:val="100"/>
          <w:sz w:val="21"/>
        </w:rPr>
        <w:t>医</w:t>
      </w:r>
      <w:r>
        <w:rPr>
          <w:w w:val="100"/>
          <w:sz w:val="21"/>
        </w:rPr>
        <w:t>疗</w:t>
      </w:r>
      <w:r>
        <w:rPr>
          <w:spacing w:val="-3"/>
          <w:w w:val="100"/>
          <w:sz w:val="21"/>
        </w:rPr>
        <w:t>机</w:t>
      </w:r>
      <w:r>
        <w:rPr>
          <w:w w:val="100"/>
          <w:sz w:val="21"/>
        </w:rPr>
        <w:t>构内</w:t>
      </w:r>
      <w:r>
        <w:rPr>
          <w:spacing w:val="-3"/>
          <w:w w:val="100"/>
          <w:sz w:val="21"/>
        </w:rPr>
        <w:t>由</w:t>
      </w:r>
      <w:r>
        <w:rPr>
          <w:w w:val="100"/>
          <w:sz w:val="21"/>
        </w:rPr>
        <w:t>专</w:t>
      </w:r>
      <w:r>
        <w:rPr>
          <w:spacing w:val="-3"/>
          <w:w w:val="100"/>
          <w:sz w:val="21"/>
        </w:rPr>
        <w:t>科</w:t>
      </w:r>
      <w:r>
        <w:rPr>
          <w:w w:val="100"/>
          <w:sz w:val="21"/>
        </w:rPr>
        <w:t>医</w:t>
      </w:r>
      <w:r>
        <w:rPr>
          <w:spacing w:val="-3"/>
          <w:w w:val="100"/>
          <w:sz w:val="21"/>
        </w:rPr>
        <w:t>生</w:t>
      </w:r>
      <w:r>
        <w:rPr>
          <w:w w:val="100"/>
          <w:sz w:val="21"/>
        </w:rPr>
        <w:t>明</w:t>
      </w:r>
      <w:r>
        <w:rPr>
          <w:spacing w:val="-3"/>
          <w:w w:val="100"/>
          <w:sz w:val="21"/>
        </w:rPr>
        <w:t>确</w:t>
      </w:r>
      <w:r>
        <w:rPr>
          <w:w w:val="100"/>
          <w:sz w:val="21"/>
        </w:rPr>
        <w:t>诊</w:t>
      </w:r>
      <w:r>
        <w:rPr>
          <w:spacing w:val="-3"/>
          <w:w w:val="100"/>
          <w:sz w:val="21"/>
        </w:rPr>
        <w:t>断</w:t>
      </w:r>
      <w:r>
        <w:rPr>
          <w:w w:val="100"/>
          <w:sz w:val="21"/>
        </w:rPr>
        <w:t>。</w:t>
      </w:r>
      <w:r>
        <w:rPr>
          <w:b/>
          <w:w w:val="100"/>
          <w:sz w:val="21"/>
        </w:rPr>
        <w:t>本合同仅对脊髓灰</w:t>
      </w:r>
      <w:r>
        <w:rPr>
          <w:b/>
          <w:spacing w:val="-3"/>
          <w:w w:val="100"/>
          <w:sz w:val="21"/>
        </w:rPr>
        <w:t>质</w:t>
      </w:r>
      <w:r>
        <w:rPr>
          <w:b/>
          <w:w w:val="100"/>
          <w:sz w:val="21"/>
        </w:rPr>
        <w:t>炎</w:t>
      </w:r>
      <w:r>
        <w:rPr>
          <w:b/>
          <w:spacing w:val="-3"/>
          <w:w w:val="100"/>
          <w:sz w:val="21"/>
        </w:rPr>
        <w:t>造</w:t>
      </w:r>
      <w:r>
        <w:rPr>
          <w:b/>
          <w:w w:val="100"/>
          <w:sz w:val="21"/>
        </w:rPr>
        <w:t>成的神经系统功能</w:t>
      </w:r>
      <w:r>
        <w:rPr>
          <w:b/>
          <w:spacing w:val="-3"/>
          <w:w w:val="100"/>
          <w:sz w:val="21"/>
        </w:rPr>
        <w:t>损</w:t>
      </w:r>
      <w:r>
        <w:rPr>
          <w:b/>
          <w:w w:val="100"/>
          <w:sz w:val="21"/>
        </w:rPr>
        <w:t>害</w:t>
      </w:r>
      <w:r>
        <w:rPr>
          <w:b/>
          <w:spacing w:val="-3"/>
          <w:w w:val="100"/>
          <w:sz w:val="21"/>
        </w:rPr>
        <w:t>导</w:t>
      </w:r>
      <w:r>
        <w:rPr>
          <w:b/>
          <w:w w:val="100"/>
          <w:sz w:val="21"/>
        </w:rPr>
        <w:t>致被保险人一肢或</w:t>
      </w:r>
      <w:r>
        <w:rPr>
          <w:b/>
          <w:spacing w:val="-3"/>
          <w:w w:val="100"/>
          <w:sz w:val="21"/>
        </w:rPr>
        <w:t>一</w:t>
      </w:r>
      <w:r>
        <w:rPr>
          <w:b/>
          <w:w w:val="100"/>
          <w:sz w:val="21"/>
        </w:rPr>
        <w:t>肢以上肢体随意运动功</w:t>
      </w:r>
      <w:r>
        <w:rPr>
          <w:b/>
          <w:spacing w:val="-3"/>
          <w:w w:val="100"/>
          <w:sz w:val="21"/>
        </w:rPr>
        <w:t>能</w:t>
      </w:r>
      <w:r>
        <w:rPr>
          <w:b/>
          <w:w w:val="100"/>
          <w:sz w:val="21"/>
        </w:rPr>
        <w:t>永</w:t>
      </w:r>
      <w:r>
        <w:rPr>
          <w:b/>
          <w:spacing w:val="-3"/>
          <w:w w:val="100"/>
          <w:sz w:val="21"/>
        </w:rPr>
        <w:t>久</w:t>
      </w:r>
      <w:r>
        <w:rPr>
          <w:b/>
          <w:w w:val="100"/>
          <w:sz w:val="21"/>
        </w:rPr>
        <w:t>完全丧失的情况予</w:t>
      </w:r>
      <w:r>
        <w:rPr>
          <w:b/>
          <w:spacing w:val="-3"/>
          <w:w w:val="100"/>
          <w:sz w:val="21"/>
        </w:rPr>
        <w:t>以</w:t>
      </w:r>
      <w:r>
        <w:rPr>
          <w:b/>
          <w:w w:val="100"/>
          <w:sz w:val="21"/>
        </w:rPr>
        <w:t>理</w:t>
      </w:r>
      <w:r>
        <w:rPr>
          <w:b/>
          <w:spacing w:val="-3"/>
          <w:w w:val="100"/>
          <w:sz w:val="21"/>
        </w:rPr>
        <w:t>赔</w:t>
      </w:r>
      <w:r>
        <w:rPr>
          <w:b/>
          <w:w w:val="100"/>
          <w:sz w:val="21"/>
        </w:rPr>
        <w:t>。</w:t>
      </w:r>
    </w:p>
    <w:p>
      <w:pPr>
        <w:pStyle w:val="BodyText"/>
        <w:spacing w:line="269" w:lineRule="exact"/>
        <w:ind w:left="3000"/>
      </w:pPr>
      <w:r>
        <w:rPr>
          <w:spacing w:val="-5"/>
        </w:rPr>
        <w:t>肢体随意运动功能永久完全丧失，指疾病确诊 </w:t>
      </w:r>
      <w:r>
        <w:rPr>
          <w:spacing w:val="-2"/>
        </w:rPr>
        <w:t>180</w:t>
      </w:r>
      <w:r>
        <w:rPr>
          <w:spacing w:val="-13"/>
        </w:rPr>
        <w:t> 天后或意外伤害发生 </w:t>
      </w:r>
      <w:r>
        <w:rPr>
          <w:spacing w:val="-5"/>
        </w:rPr>
        <w:t>180</w:t>
      </w:r>
    </w:p>
    <w:p>
      <w:pPr>
        <w:pStyle w:val="BodyText"/>
        <w:spacing w:line="278" w:lineRule="auto" w:before="43"/>
        <w:ind w:left="3000" w:right="767"/>
      </w:pPr>
      <w:r>
        <w:rPr>
          <w:spacing w:val="-2"/>
        </w:rPr>
        <w:t>天后，每肢三大关节中的两大关节仍然完全僵硬，或肢体肌力在 </w:t>
      </w:r>
      <w:r>
        <w:rPr/>
        <w:t>2</w:t>
      </w:r>
      <w:r>
        <w:rPr>
          <w:spacing w:val="-28"/>
        </w:rPr>
        <w:t> 级</w:t>
      </w:r>
      <w:r>
        <w:rPr/>
        <w:t>（含）</w:t>
      </w:r>
      <w:r>
        <w:rPr>
          <w:spacing w:val="-4"/>
        </w:rPr>
        <w:t>以下。</w:t>
      </w:r>
    </w:p>
    <w:p>
      <w:pPr>
        <w:pStyle w:val="BodyText"/>
        <w:spacing w:before="10"/>
        <w:rPr>
          <w:sz w:val="17"/>
        </w:rPr>
      </w:pPr>
    </w:p>
    <w:p>
      <w:pPr>
        <w:pStyle w:val="ListParagraph"/>
        <w:numPr>
          <w:ilvl w:val="2"/>
          <w:numId w:val="40"/>
        </w:numPr>
        <w:tabs>
          <w:tab w:pos="1439" w:val="left" w:leader="none"/>
          <w:tab w:pos="3000" w:val="left" w:leader="none"/>
        </w:tabs>
        <w:spacing w:line="278" w:lineRule="auto" w:before="0" w:after="0"/>
        <w:ind w:left="3000" w:right="668" w:hanging="1880"/>
        <w:jc w:val="left"/>
        <w:rPr>
          <w:sz w:val="21"/>
        </w:rPr>
      </w:pPr>
      <w:r>
        <w:rPr>
          <w:spacing w:val="-2"/>
          <w:sz w:val="21"/>
        </w:rPr>
        <w:t>植物人</w:t>
      </w:r>
      <w:r>
        <w:rPr>
          <w:spacing w:val="-2"/>
          <w:sz w:val="21"/>
        </w:rPr>
        <w:t>状</w:t>
      </w:r>
      <w:r>
        <w:rPr>
          <w:spacing w:val="-2"/>
          <w:sz w:val="21"/>
        </w:rPr>
        <w:t>态</w:t>
      </w:r>
      <w:r>
        <w:rPr>
          <w:sz w:val="21"/>
        </w:rPr>
        <w:tab/>
      </w:r>
      <w:r>
        <w:rPr>
          <w:spacing w:val="-2"/>
          <w:sz w:val="21"/>
        </w:rPr>
        <w:t>指</w:t>
      </w:r>
      <w:r>
        <w:rPr>
          <w:spacing w:val="-2"/>
          <w:sz w:val="21"/>
        </w:rPr>
        <w:t>脑</w:t>
      </w:r>
      <w:r>
        <w:rPr>
          <w:spacing w:val="-2"/>
          <w:sz w:val="21"/>
        </w:rPr>
        <w:t>皮质广泛性坏死而导</w:t>
      </w:r>
      <w:r>
        <w:rPr>
          <w:spacing w:val="-2"/>
          <w:sz w:val="21"/>
        </w:rPr>
        <w:t>致</w:t>
      </w:r>
      <w:r>
        <w:rPr>
          <w:spacing w:val="-2"/>
          <w:sz w:val="21"/>
        </w:rPr>
        <w:t>对</w:t>
      </w:r>
      <w:r>
        <w:rPr>
          <w:spacing w:val="-2"/>
          <w:sz w:val="21"/>
        </w:rPr>
        <w:t>自身及周边的认知能</w:t>
      </w:r>
      <w:r>
        <w:rPr>
          <w:spacing w:val="-2"/>
          <w:sz w:val="21"/>
        </w:rPr>
        <w:t>力</w:t>
      </w:r>
      <w:r>
        <w:rPr>
          <w:spacing w:val="-2"/>
          <w:sz w:val="21"/>
        </w:rPr>
        <w:t>完</w:t>
      </w:r>
      <w:r>
        <w:rPr>
          <w:spacing w:val="-2"/>
          <w:sz w:val="21"/>
        </w:rPr>
        <w:t>全丧失,但脑干</w:t>
      </w:r>
      <w:r>
        <w:rPr>
          <w:spacing w:val="-2"/>
          <w:sz w:val="21"/>
        </w:rPr>
        <w:t>功</w:t>
      </w:r>
      <w:r>
        <w:rPr>
          <w:spacing w:val="-2"/>
          <w:sz w:val="21"/>
        </w:rPr>
        <w:t>能</w:t>
      </w:r>
      <w:r>
        <w:rPr>
          <w:spacing w:val="40"/>
          <w:sz w:val="21"/>
        </w:rPr>
        <w:t> </w:t>
      </w:r>
      <w:r>
        <w:rPr>
          <w:spacing w:val="-2"/>
          <w:sz w:val="21"/>
        </w:rPr>
        <w:t>依</w:t>
      </w:r>
      <w:r>
        <w:rPr>
          <w:spacing w:val="-2"/>
          <w:sz w:val="21"/>
        </w:rPr>
        <w:t>然</w:t>
      </w:r>
      <w:r>
        <w:rPr>
          <w:spacing w:val="-2"/>
          <w:sz w:val="21"/>
        </w:rPr>
        <w:t>存在。必须由神经专</w:t>
      </w:r>
      <w:r>
        <w:rPr>
          <w:spacing w:val="-2"/>
          <w:sz w:val="21"/>
        </w:rPr>
        <w:t>科</w:t>
      </w:r>
      <w:r>
        <w:rPr>
          <w:spacing w:val="-2"/>
          <w:sz w:val="21"/>
        </w:rPr>
        <w:t>医</w:t>
      </w:r>
      <w:r>
        <w:rPr>
          <w:spacing w:val="-2"/>
          <w:sz w:val="21"/>
        </w:rPr>
        <w:t>生明确诊断,并有头颅</w:t>
      </w:r>
      <w:r>
        <w:rPr>
          <w:spacing w:val="-2"/>
          <w:sz w:val="21"/>
        </w:rPr>
        <w:t>断</w:t>
      </w:r>
      <w:r>
        <w:rPr>
          <w:spacing w:val="-2"/>
          <w:sz w:val="21"/>
        </w:rPr>
        <w:t>层</w:t>
      </w:r>
      <w:r>
        <w:rPr>
          <w:spacing w:val="-2"/>
          <w:sz w:val="21"/>
        </w:rPr>
        <w:t>扫描（CT），核</w:t>
      </w:r>
      <w:r>
        <w:rPr>
          <w:spacing w:val="-2"/>
          <w:sz w:val="21"/>
        </w:rPr>
        <w:t>磁</w:t>
      </w:r>
      <w:r>
        <w:rPr>
          <w:spacing w:val="-2"/>
          <w:sz w:val="21"/>
        </w:rPr>
        <w:t>共</w:t>
      </w:r>
      <w:r>
        <w:rPr>
          <w:spacing w:val="-2"/>
          <w:sz w:val="21"/>
        </w:rPr>
        <w:t>振</w:t>
      </w:r>
      <w:r>
        <w:rPr>
          <w:spacing w:val="-2"/>
          <w:sz w:val="21"/>
        </w:rPr>
        <w:t>检</w:t>
      </w:r>
      <w:r>
        <w:rPr>
          <w:spacing w:val="-2"/>
          <w:sz w:val="21"/>
        </w:rPr>
        <w:t>查（MRI）或正电子发</w:t>
      </w:r>
      <w:r>
        <w:rPr>
          <w:spacing w:val="-2"/>
          <w:sz w:val="21"/>
        </w:rPr>
        <w:t>射</w:t>
      </w:r>
      <w:r>
        <w:rPr>
          <w:spacing w:val="-2"/>
          <w:sz w:val="21"/>
        </w:rPr>
        <w:t>断</w:t>
      </w:r>
      <w:r>
        <w:rPr>
          <w:spacing w:val="-2"/>
          <w:sz w:val="21"/>
        </w:rPr>
        <w:t>层扫描（PET）等影像</w:t>
      </w:r>
      <w:r>
        <w:rPr>
          <w:spacing w:val="-2"/>
          <w:sz w:val="21"/>
        </w:rPr>
        <w:t>学</w:t>
      </w:r>
      <w:r>
        <w:rPr>
          <w:spacing w:val="-2"/>
          <w:sz w:val="21"/>
        </w:rPr>
        <w:t>检</w:t>
      </w:r>
      <w:r>
        <w:rPr>
          <w:spacing w:val="-2"/>
          <w:sz w:val="21"/>
        </w:rPr>
        <w:t>查证实。</w:t>
      </w:r>
    </w:p>
    <w:p>
      <w:pPr>
        <w:spacing w:line="278" w:lineRule="auto" w:before="0"/>
        <w:ind w:left="3000" w:right="760" w:firstLine="0"/>
        <w:jc w:val="left"/>
        <w:rPr>
          <w:b/>
          <w:sz w:val="21"/>
        </w:rPr>
      </w:pPr>
      <w:r>
        <w:rPr>
          <w:spacing w:val="-2"/>
          <w:sz w:val="21"/>
        </w:rPr>
        <w:t>上述情况必须有至少一个月的病历记录加以证实。</w:t>
      </w:r>
      <w:r>
        <w:rPr>
          <w:b/>
          <w:spacing w:val="-2"/>
          <w:sz w:val="21"/>
        </w:rPr>
        <w:t>由于酗酒或滥用药物导致</w:t>
      </w:r>
      <w:r>
        <w:rPr>
          <w:b/>
          <w:spacing w:val="-2"/>
          <w:sz w:val="21"/>
        </w:rPr>
        <w:t>的植物人状态不在保障范围内。</w:t>
      </w:r>
    </w:p>
    <w:p>
      <w:pPr>
        <w:pStyle w:val="BodyText"/>
        <w:rPr>
          <w:b/>
          <w:sz w:val="12"/>
        </w:rPr>
      </w:pPr>
    </w:p>
    <w:p>
      <w:pPr>
        <w:spacing w:after="0"/>
        <w:rPr>
          <w:sz w:val="12"/>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非阿尔茨海默</w:t>
      </w:r>
      <w:r>
        <w:rPr>
          <w:spacing w:val="-2"/>
          <w:sz w:val="21"/>
        </w:rPr>
        <w:t>病所致严重痴呆</w:t>
      </w:r>
    </w:p>
    <w:p>
      <w:pPr>
        <w:pStyle w:val="BodyText"/>
        <w:spacing w:line="278" w:lineRule="auto" w:before="72"/>
        <w:ind w:left="262" w:right="767"/>
        <w:jc w:val="both"/>
      </w:pPr>
      <w:r>
        <w:rPr/>
        <w:br w:type="column"/>
      </w:r>
      <w:r>
        <w:rPr>
          <w:spacing w:val="-2"/>
        </w:rPr>
        <w:t>指因阿尔茨海默病以外的脑的器质性疾病造成脑功能衰竭导致永久不可逆性</w:t>
      </w:r>
      <w:r>
        <w:rPr>
          <w:spacing w:val="-2"/>
        </w:rPr>
        <w:t>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p>
    <w:p>
      <w:pPr>
        <w:pStyle w:val="Heading2"/>
        <w:spacing w:line="269" w:lineRule="exact"/>
        <w:ind w:left="262"/>
      </w:pPr>
      <w:r>
        <w:rPr>
          <w:spacing w:val="-3"/>
        </w:rPr>
        <w:t>神经官能症、精神疾病和酒精中毒导致的脑损害不在保障范围内。</w:t>
      </w:r>
    </w:p>
    <w:p>
      <w:pPr>
        <w:spacing w:after="0" w:line="269" w:lineRule="exact"/>
        <w:sectPr>
          <w:type w:val="continuous"/>
          <w:pgSz w:w="11910" w:h="16840"/>
          <w:pgMar w:header="0" w:footer="404" w:top="600" w:bottom="280" w:left="860" w:right="340"/>
          <w:cols w:num="2" w:equalWidth="0">
            <w:col w:w="2698" w:space="40"/>
            <w:col w:w="7972"/>
          </w:cols>
        </w:sectPr>
      </w:pP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严重多发性硬</w:t>
      </w:r>
      <w:r>
        <w:rPr>
          <w:spacing w:val="-10"/>
          <w:sz w:val="21"/>
        </w:rPr>
        <w:t>化</w:t>
      </w:r>
    </w:p>
    <w:p>
      <w:pPr>
        <w:pStyle w:val="BodyText"/>
        <w:spacing w:line="278" w:lineRule="auto" w:before="72"/>
        <w:ind w:left="262" w:right="767"/>
        <w:jc w:val="both"/>
      </w:pPr>
      <w:r>
        <w:rPr/>
        <w:br w:type="column"/>
      </w:r>
      <w:r>
        <w:rPr>
          <w:spacing w:val="-2"/>
        </w:rPr>
        <w:t>被保险人因脑及脊髓内的脱髓鞘病变而出现神经系统多灶性（多发性）多时</w:t>
      </w:r>
      <w:r>
        <w:rPr>
          <w:w w:val="95"/>
        </w:rPr>
        <w:t>相</w:t>
      </w:r>
      <w:r>
        <w:rPr>
          <w:w w:val="95"/>
        </w:rPr>
        <w:t>（至少</w:t>
      </w:r>
      <w:r>
        <w:rPr>
          <w:spacing w:val="35"/>
        </w:rPr>
        <w:t> </w:t>
      </w:r>
      <w:r>
        <w:rPr>
          <w:w w:val="95"/>
        </w:rPr>
        <w:t>6</w:t>
      </w:r>
      <w:r>
        <w:rPr>
          <w:spacing w:val="29"/>
        </w:rPr>
        <w:t> </w:t>
      </w:r>
      <w:r>
        <w:rPr>
          <w:w w:val="95"/>
        </w:rPr>
        <w:t>个月以内有一</w:t>
      </w:r>
      <w:r>
        <w:rPr>
          <w:w w:val="95"/>
        </w:rPr>
        <w:t>次</w:t>
      </w:r>
      <w:r>
        <w:rPr>
          <w:w w:val="95"/>
        </w:rPr>
        <w:t>以</w:t>
      </w:r>
      <w:r>
        <w:rPr>
          <w:w w:val="95"/>
        </w:rPr>
        <w:t>上（不包含一次）的</w:t>
      </w:r>
      <w:r>
        <w:rPr>
          <w:w w:val="95"/>
        </w:rPr>
        <w:t>发</w:t>
      </w:r>
      <w:r>
        <w:rPr>
          <w:w w:val="95"/>
        </w:rPr>
        <w:t>作</w:t>
      </w:r>
      <w:r>
        <w:rPr>
          <w:w w:val="95"/>
        </w:rPr>
        <w:t>）的病变，须由</w:t>
      </w:r>
      <w:r>
        <w:rPr>
          <w:w w:val="95"/>
        </w:rPr>
        <w:t>计</w:t>
      </w:r>
      <w:r>
        <w:rPr>
          <w:w w:val="95"/>
        </w:rPr>
        <w:t>算</w:t>
      </w:r>
      <w:r>
        <w:rPr>
          <w:spacing w:val="-2"/>
        </w:rPr>
        <w:t>机断层扫描（CT）、核磁共振检查（MRI）或正电子发射断层扫描（PET）等</w:t>
      </w:r>
      <w:r>
        <w:rPr>
          <w:spacing w:val="-3"/>
        </w:rPr>
        <w:t>影像学检查证实，且已经造成自主生活能力完全丧失，持续至少 </w:t>
      </w:r>
      <w:r>
        <w:rPr>
          <w:spacing w:val="-2"/>
        </w:rPr>
        <w:t>180</w:t>
      </w:r>
      <w:r>
        <w:rPr>
          <w:spacing w:val="-8"/>
        </w:rPr>
        <w:t> 天无法</w:t>
      </w:r>
      <w:r>
        <w:rPr>
          <w:spacing w:val="-2"/>
        </w:rPr>
        <w:t>独立完成六项基本日常生活活动中的三项或三项以上。</w:t>
      </w:r>
    </w:p>
    <w:p>
      <w:pPr>
        <w:spacing w:after="0" w:line="278" w:lineRule="auto"/>
        <w:jc w:val="both"/>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3" w:val="left" w:leader="none"/>
        </w:tabs>
        <w:spacing w:line="278" w:lineRule="auto" w:before="71" w:after="0"/>
        <w:ind w:left="1120" w:right="0" w:firstLine="0"/>
        <w:jc w:val="left"/>
        <w:rPr>
          <w:sz w:val="21"/>
        </w:rPr>
      </w:pPr>
      <w:r>
        <w:rPr>
          <w:spacing w:val="-2"/>
          <w:sz w:val="21"/>
        </w:rPr>
        <w:t>严重全身性</w:t>
      </w:r>
      <w:r>
        <w:rPr>
          <w:spacing w:val="-2"/>
          <w:sz w:val="21"/>
        </w:rPr>
        <w:t>重症肌无力</w:t>
      </w:r>
    </w:p>
    <w:p>
      <w:pPr>
        <w:pStyle w:val="BodyText"/>
        <w:spacing w:line="278" w:lineRule="auto" w:before="71"/>
        <w:ind w:left="366" w:right="767"/>
        <w:jc w:val="both"/>
      </w:pPr>
      <w:r>
        <w:rPr/>
        <w:br w:type="column"/>
      </w:r>
      <w:r>
        <w:rPr>
          <w:spacing w:val="-2"/>
        </w:rPr>
        <w:t>指一种神经与肌肉接头部位传递障碍的自身免疫性疾病，临床特征是局部或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肌、下肢近端肌群以至全身肌肉，须在本公司认可的医疗机构内经神经科医</w:t>
      </w:r>
      <w:r>
        <w:rPr>
          <w:spacing w:val="-2"/>
        </w:rPr>
        <w:t>师确诊，必须满足下列全部条件：</w:t>
      </w:r>
    </w:p>
    <w:p>
      <w:pPr>
        <w:pStyle w:val="ListParagraph"/>
        <w:numPr>
          <w:ilvl w:val="0"/>
          <w:numId w:val="72"/>
        </w:numPr>
        <w:tabs>
          <w:tab w:pos="896" w:val="left" w:leader="none"/>
        </w:tabs>
        <w:spacing w:line="269" w:lineRule="exact" w:before="0" w:after="0"/>
        <w:ind w:left="895" w:right="0" w:hanging="530"/>
        <w:jc w:val="left"/>
        <w:rPr>
          <w:sz w:val="21"/>
        </w:rPr>
      </w:pPr>
      <w:r>
        <w:rPr>
          <w:spacing w:val="-3"/>
          <w:sz w:val="21"/>
        </w:rPr>
        <w:t>经药物、胸腺手术治疗一年以上无法控制病情，丧失正常工作能力；</w:t>
      </w:r>
    </w:p>
    <w:p>
      <w:pPr>
        <w:pStyle w:val="ListParagraph"/>
        <w:numPr>
          <w:ilvl w:val="0"/>
          <w:numId w:val="72"/>
        </w:numPr>
        <w:tabs>
          <w:tab w:pos="893" w:val="left" w:leader="none"/>
        </w:tabs>
        <w:spacing w:line="278" w:lineRule="auto" w:before="43" w:after="0"/>
        <w:ind w:left="891"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ListParagraph"/>
        <w:numPr>
          <w:ilvl w:val="0"/>
          <w:numId w:val="72"/>
        </w:numPr>
        <w:tabs>
          <w:tab w:pos="893" w:val="left" w:leader="none"/>
        </w:tabs>
        <w:spacing w:line="278" w:lineRule="auto" w:before="0" w:after="0"/>
        <w:ind w:left="891" w:right="666" w:hanging="526"/>
        <w:jc w:val="left"/>
        <w:rPr>
          <w:sz w:val="21"/>
        </w:rPr>
      </w:pPr>
      <w:r>
        <w:rPr>
          <w:spacing w:val="-2"/>
          <w:sz w:val="21"/>
        </w:rPr>
        <w:t>症状缓解、复发及恶化交替出现，临床接受新斯的明等抗胆碱酯酶药物</w:t>
      </w:r>
      <w:r>
        <w:rPr>
          <w:spacing w:val="-2"/>
          <w:sz w:val="21"/>
        </w:rPr>
        <w:t>治疗的病史。</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3"/>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进行性核上性</w:t>
      </w:r>
      <w:r>
        <w:rPr>
          <w:spacing w:val="-6"/>
          <w:sz w:val="21"/>
        </w:rPr>
        <w:t>麻痹</w:t>
      </w:r>
    </w:p>
    <w:p>
      <w:pPr>
        <w:pStyle w:val="BodyText"/>
        <w:spacing w:line="278" w:lineRule="auto" w:before="72"/>
        <w:ind w:left="262" w:right="767"/>
      </w:pPr>
      <w:r>
        <w:rPr/>
        <w:br w:type="column"/>
      </w:r>
      <w:r>
        <w:rPr>
          <w:spacing w:val="-2"/>
        </w:rPr>
        <w:t>一种隐袭起病、逐渐加重的神经系统变性疾病。该病必须在本公司认可的医</w:t>
      </w:r>
      <w:r>
        <w:rPr>
          <w:spacing w:val="-2"/>
        </w:rPr>
        <w:t>疗机构内由神经科专科医生确诊，并须满足下列所有条件：</w:t>
      </w:r>
    </w:p>
    <w:p>
      <w:pPr>
        <w:pStyle w:val="ListParagraph"/>
        <w:numPr>
          <w:ilvl w:val="0"/>
          <w:numId w:val="73"/>
        </w:numPr>
        <w:tabs>
          <w:tab w:pos="792" w:val="left" w:leader="none"/>
        </w:tabs>
        <w:spacing w:line="269" w:lineRule="exact" w:before="0" w:after="0"/>
        <w:ind w:left="791" w:right="0" w:hanging="530"/>
        <w:jc w:val="left"/>
        <w:rPr>
          <w:sz w:val="21"/>
        </w:rPr>
      </w:pPr>
      <w:r>
        <w:rPr>
          <w:spacing w:val="-4"/>
          <w:sz w:val="21"/>
        </w:rPr>
        <w:t>步态共济失调；</w:t>
      </w:r>
    </w:p>
    <w:p>
      <w:pPr>
        <w:pStyle w:val="ListParagraph"/>
        <w:numPr>
          <w:ilvl w:val="0"/>
          <w:numId w:val="73"/>
        </w:numPr>
        <w:tabs>
          <w:tab w:pos="792" w:val="left" w:leader="none"/>
        </w:tabs>
        <w:spacing w:line="240" w:lineRule="auto" w:before="43" w:after="0"/>
        <w:ind w:left="791" w:right="0" w:hanging="530"/>
        <w:jc w:val="left"/>
        <w:rPr>
          <w:sz w:val="21"/>
        </w:rPr>
      </w:pPr>
      <w:r>
        <w:rPr>
          <w:spacing w:val="-3"/>
          <w:sz w:val="21"/>
        </w:rPr>
        <w:t>对称性眼球垂直运动障碍；</w:t>
      </w:r>
    </w:p>
    <w:p>
      <w:pPr>
        <w:pStyle w:val="ListParagraph"/>
        <w:numPr>
          <w:ilvl w:val="0"/>
          <w:numId w:val="73"/>
        </w:numPr>
        <w:tabs>
          <w:tab w:pos="792" w:val="left" w:leader="none"/>
        </w:tabs>
        <w:spacing w:line="240" w:lineRule="auto" w:before="43" w:after="0"/>
        <w:ind w:left="791" w:right="0" w:hanging="530"/>
        <w:jc w:val="left"/>
        <w:rPr>
          <w:sz w:val="21"/>
        </w:rPr>
      </w:pPr>
      <w:r>
        <w:rPr>
          <w:spacing w:val="-3"/>
          <w:sz w:val="21"/>
        </w:rPr>
        <w:t>假性球麻痹，表现为构音障碍和吞咽困难；</w:t>
      </w:r>
    </w:p>
    <w:p>
      <w:pPr>
        <w:pStyle w:val="ListParagraph"/>
        <w:numPr>
          <w:ilvl w:val="0"/>
          <w:numId w:val="73"/>
        </w:numPr>
        <w:tabs>
          <w:tab w:pos="790" w:val="left" w:leader="none"/>
        </w:tabs>
        <w:spacing w:line="278" w:lineRule="auto" w:before="42"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ListParagraph"/>
        <w:numPr>
          <w:ilvl w:val="2"/>
          <w:numId w:val="40"/>
        </w:numPr>
        <w:tabs>
          <w:tab w:pos="1439" w:val="left" w:leader="none"/>
          <w:tab w:pos="3000" w:val="left" w:leader="none"/>
        </w:tabs>
        <w:spacing w:line="278" w:lineRule="auto" w:before="45" w:after="0"/>
        <w:ind w:left="3000" w:right="755" w:hanging="1880"/>
        <w:jc w:val="left"/>
        <w:rPr>
          <w:sz w:val="21"/>
        </w:rPr>
      </w:pPr>
      <w:r>
        <w:rPr>
          <w:spacing w:val="-4"/>
          <w:sz w:val="21"/>
        </w:rPr>
        <w:t>颅脑手术</w:t>
      </w:r>
      <w:r>
        <w:rPr>
          <w:sz w:val="21"/>
        </w:rPr>
        <w:tab/>
      </w:r>
      <w:r>
        <w:rPr>
          <w:spacing w:val="-2"/>
          <w:sz w:val="21"/>
        </w:rPr>
        <w:t>被</w:t>
      </w:r>
      <w:r>
        <w:rPr>
          <w:spacing w:val="-2"/>
          <w:sz w:val="21"/>
        </w:rPr>
        <w:t>保</w:t>
      </w:r>
      <w:r>
        <w:rPr>
          <w:spacing w:val="-2"/>
          <w:sz w:val="21"/>
        </w:rPr>
        <w:t>险人确已实施全麻下</w:t>
      </w:r>
      <w:r>
        <w:rPr>
          <w:spacing w:val="-2"/>
          <w:sz w:val="21"/>
        </w:rPr>
        <w:t>的</w:t>
      </w:r>
      <w:r>
        <w:rPr>
          <w:spacing w:val="-2"/>
          <w:sz w:val="21"/>
        </w:rPr>
        <w:t>开</w:t>
      </w:r>
      <w:r>
        <w:rPr>
          <w:spacing w:val="-2"/>
          <w:sz w:val="21"/>
        </w:rPr>
        <w:t>颅手术</w:t>
      </w:r>
      <w:r>
        <w:rPr>
          <w:b/>
          <w:spacing w:val="-2"/>
          <w:sz w:val="21"/>
        </w:rPr>
        <w:t>（</w:t>
      </w:r>
      <w:r>
        <w:rPr>
          <w:b/>
          <w:spacing w:val="-2"/>
          <w:sz w:val="21"/>
        </w:rPr>
        <w:t>不</w:t>
      </w:r>
      <w:r>
        <w:rPr>
          <w:b/>
          <w:spacing w:val="-2"/>
          <w:sz w:val="21"/>
        </w:rPr>
        <w:t>包</w:t>
      </w:r>
      <w:r>
        <w:rPr>
          <w:b/>
          <w:spacing w:val="-2"/>
          <w:sz w:val="21"/>
        </w:rPr>
        <w:t>括</w:t>
      </w:r>
      <w:r>
        <w:rPr>
          <w:b/>
          <w:spacing w:val="-2"/>
          <w:sz w:val="21"/>
        </w:rPr>
        <w:t>颅</w:t>
      </w:r>
      <w:r>
        <w:rPr>
          <w:b/>
          <w:spacing w:val="-2"/>
          <w:sz w:val="21"/>
        </w:rPr>
        <w:t>骨</w:t>
      </w:r>
      <w:r>
        <w:rPr>
          <w:b/>
          <w:spacing w:val="-2"/>
          <w:sz w:val="21"/>
        </w:rPr>
        <w:t>钻</w:t>
      </w:r>
      <w:r>
        <w:rPr>
          <w:b/>
          <w:spacing w:val="-2"/>
          <w:sz w:val="21"/>
        </w:rPr>
        <w:t>孔</w:t>
      </w:r>
      <w:r>
        <w:rPr>
          <w:b/>
          <w:spacing w:val="-2"/>
          <w:sz w:val="21"/>
        </w:rPr>
        <w:t>手</w:t>
      </w:r>
      <w:r>
        <w:rPr>
          <w:b/>
          <w:spacing w:val="-2"/>
          <w:sz w:val="21"/>
        </w:rPr>
        <w:t>术</w:t>
      </w:r>
      <w:r>
        <w:rPr>
          <w:b/>
          <w:spacing w:val="-2"/>
          <w:sz w:val="21"/>
        </w:rPr>
        <w:t>和</w:t>
      </w:r>
      <w:r>
        <w:rPr>
          <w:b/>
          <w:spacing w:val="-2"/>
          <w:sz w:val="21"/>
        </w:rPr>
        <w:t>经</w:t>
      </w:r>
      <w:r>
        <w:rPr>
          <w:b/>
          <w:spacing w:val="-2"/>
          <w:sz w:val="21"/>
        </w:rPr>
        <w:t>鼻</w:t>
      </w:r>
      <w:r>
        <w:rPr>
          <w:b/>
          <w:spacing w:val="-2"/>
          <w:sz w:val="21"/>
        </w:rPr>
        <w:t>蝶</w:t>
      </w:r>
      <w:r>
        <w:rPr>
          <w:b/>
          <w:spacing w:val="-2"/>
          <w:sz w:val="21"/>
        </w:rPr>
        <w:t>窦入</w:t>
      </w:r>
      <w:r>
        <w:rPr>
          <w:b/>
          <w:spacing w:val="-2"/>
          <w:sz w:val="21"/>
        </w:rPr>
        <w:t>颅</w:t>
      </w:r>
      <w:r>
        <w:rPr>
          <w:b/>
          <w:spacing w:val="-4"/>
          <w:sz w:val="21"/>
        </w:rPr>
        <w:t>手</w:t>
      </w:r>
      <w:r>
        <w:rPr>
          <w:b/>
          <w:spacing w:val="-4"/>
          <w:sz w:val="21"/>
        </w:rPr>
        <w:t>术</w:t>
      </w:r>
      <w:r>
        <w:rPr>
          <w:b/>
          <w:spacing w:val="-4"/>
          <w:sz w:val="21"/>
        </w:rPr>
        <w:t>）</w:t>
      </w:r>
      <w:r>
        <w:rPr>
          <w:spacing w:val="-4"/>
          <w:sz w:val="21"/>
        </w:rPr>
        <w:t>。</w:t>
      </w:r>
    </w:p>
    <w:p>
      <w:pPr>
        <w:pStyle w:val="Heading2"/>
      </w:pPr>
      <w:r>
        <w:rPr>
          <w:spacing w:val="-3"/>
        </w:rPr>
        <w:t>因外伤而实施的脑外科手术不在保障范围之内。</w:t>
      </w:r>
    </w:p>
    <w:p>
      <w:pPr>
        <w:pStyle w:val="BodyText"/>
        <w:spacing w:before="43"/>
        <w:ind w:left="3000"/>
      </w:pPr>
      <w:r>
        <w:rPr>
          <w:spacing w:val="-3"/>
        </w:rPr>
        <w:t>理赔时必须提供由神经外科医生出具的诊断书及手术报告。</w:t>
      </w:r>
    </w:p>
    <w:p>
      <w:pPr>
        <w:pStyle w:val="BodyText"/>
        <w:spacing w:before="2"/>
      </w:pPr>
    </w:p>
    <w:p>
      <w:pPr>
        <w:pStyle w:val="ListParagraph"/>
        <w:numPr>
          <w:ilvl w:val="2"/>
          <w:numId w:val="40"/>
        </w:numPr>
        <w:tabs>
          <w:tab w:pos="1439" w:val="left" w:leader="none"/>
          <w:tab w:pos="3000" w:val="left" w:leader="none"/>
        </w:tabs>
        <w:spacing w:line="278" w:lineRule="auto" w:before="0" w:after="0"/>
        <w:ind w:left="3000" w:right="562" w:hanging="1880"/>
        <w:jc w:val="left"/>
        <w:rPr>
          <w:sz w:val="21"/>
        </w:rPr>
      </w:pPr>
      <w:r>
        <w:rPr>
          <w:spacing w:val="-2"/>
          <w:sz w:val="21"/>
        </w:rPr>
        <w:t>骨生长不全症</w:t>
      </w:r>
      <w:r>
        <w:rPr>
          <w:sz w:val="21"/>
        </w:rPr>
        <w:tab/>
        <w:t>指一种胶原病，特征为骨易碎，骨质疏松和易骨折。该</w:t>
      </w:r>
      <w:r>
        <w:rPr>
          <w:sz w:val="21"/>
        </w:rPr>
        <w:t>病有</w:t>
      </w:r>
      <w:r>
        <w:rPr>
          <w:spacing w:val="-57"/>
          <w:sz w:val="21"/>
        </w:rPr>
        <w:t> </w:t>
      </w:r>
      <w:r>
        <w:rPr>
          <w:sz w:val="21"/>
        </w:rPr>
        <w:t>4</w:t>
      </w:r>
      <w:r>
        <w:rPr>
          <w:spacing w:val="-53"/>
          <w:sz w:val="21"/>
        </w:rPr>
        <w:t> </w:t>
      </w:r>
      <w:r>
        <w:rPr>
          <w:sz w:val="21"/>
        </w:rPr>
        <w:t>种类型：Ⅰ</w:t>
      </w:r>
      <w:r>
        <w:rPr>
          <w:sz w:val="21"/>
        </w:rPr>
        <w:t>型、 </w:t>
      </w:r>
      <w:r>
        <w:rPr>
          <w:spacing w:val="-2"/>
          <w:sz w:val="21"/>
        </w:rPr>
        <w:t>Ⅱ</w:t>
      </w:r>
      <w:r>
        <w:rPr>
          <w:spacing w:val="-2"/>
          <w:sz w:val="21"/>
        </w:rPr>
        <w:t>型</w:t>
      </w:r>
      <w:r>
        <w:rPr>
          <w:spacing w:val="-2"/>
          <w:sz w:val="21"/>
        </w:rPr>
        <w:t>、Ⅲ型、Ⅳ型。</w:t>
      </w:r>
      <w:r>
        <w:rPr>
          <w:b/>
          <w:spacing w:val="-2"/>
          <w:sz w:val="21"/>
        </w:rPr>
        <w:t>只保</w:t>
      </w:r>
      <w:r>
        <w:rPr>
          <w:b/>
          <w:spacing w:val="-2"/>
          <w:sz w:val="21"/>
        </w:rPr>
        <w:t>障</w:t>
      </w:r>
      <w:r>
        <w:rPr>
          <w:b/>
          <w:spacing w:val="-2"/>
          <w:sz w:val="21"/>
        </w:rPr>
        <w:t>Ⅲ</w:t>
      </w:r>
      <w:r>
        <w:rPr>
          <w:b/>
          <w:spacing w:val="-2"/>
          <w:sz w:val="21"/>
        </w:rPr>
        <w:t>型</w:t>
      </w:r>
      <w:r>
        <w:rPr>
          <w:b/>
          <w:spacing w:val="-2"/>
          <w:sz w:val="21"/>
        </w:rPr>
        <w:t>成</w:t>
      </w:r>
      <w:r>
        <w:rPr>
          <w:b/>
          <w:spacing w:val="-2"/>
          <w:sz w:val="21"/>
        </w:rPr>
        <w:t>骨</w:t>
      </w:r>
      <w:r>
        <w:rPr>
          <w:b/>
          <w:spacing w:val="-2"/>
          <w:sz w:val="21"/>
        </w:rPr>
        <w:t>不</w:t>
      </w:r>
      <w:r>
        <w:rPr>
          <w:b/>
          <w:spacing w:val="-2"/>
          <w:sz w:val="21"/>
        </w:rPr>
        <w:t>全</w:t>
      </w:r>
      <w:r>
        <w:rPr>
          <w:b/>
          <w:spacing w:val="-2"/>
          <w:sz w:val="21"/>
        </w:rPr>
        <w:t>的</w:t>
      </w:r>
      <w:r>
        <w:rPr>
          <w:b/>
          <w:spacing w:val="-2"/>
          <w:sz w:val="21"/>
        </w:rPr>
        <w:t>情形。</w:t>
      </w:r>
      <w:r>
        <w:rPr>
          <w:spacing w:val="-2"/>
          <w:sz w:val="21"/>
        </w:rPr>
        <w:t>其</w:t>
      </w:r>
      <w:r>
        <w:rPr>
          <w:spacing w:val="-2"/>
          <w:sz w:val="21"/>
        </w:rPr>
        <w:t>主</w:t>
      </w:r>
      <w:r>
        <w:rPr>
          <w:spacing w:val="-2"/>
          <w:sz w:val="21"/>
        </w:rPr>
        <w:t>要临床特点有：</w:t>
      </w:r>
      <w:r>
        <w:rPr>
          <w:spacing w:val="-2"/>
          <w:sz w:val="21"/>
        </w:rPr>
        <w:t>发</w:t>
      </w:r>
      <w:r>
        <w:rPr>
          <w:spacing w:val="-2"/>
          <w:sz w:val="21"/>
        </w:rPr>
        <w:t>展</w:t>
      </w:r>
      <w:r>
        <w:rPr>
          <w:spacing w:val="40"/>
          <w:sz w:val="21"/>
        </w:rPr>
        <w:t> </w:t>
      </w:r>
      <w:r>
        <w:rPr>
          <w:spacing w:val="-2"/>
          <w:sz w:val="21"/>
        </w:rPr>
        <w:t>迟</w:t>
      </w:r>
      <w:r>
        <w:rPr>
          <w:spacing w:val="-2"/>
          <w:sz w:val="21"/>
        </w:rPr>
        <w:t>缓</w:t>
      </w:r>
      <w:r>
        <w:rPr>
          <w:spacing w:val="-2"/>
          <w:sz w:val="21"/>
        </w:rPr>
        <w:t>、多发性骨折、进行</w:t>
      </w:r>
      <w:r>
        <w:rPr>
          <w:spacing w:val="-2"/>
          <w:sz w:val="21"/>
        </w:rPr>
        <w:t>性</w:t>
      </w:r>
      <w:r>
        <w:rPr>
          <w:spacing w:val="-2"/>
          <w:sz w:val="21"/>
        </w:rPr>
        <w:t>脊</w:t>
      </w:r>
      <w:r>
        <w:rPr>
          <w:spacing w:val="-2"/>
          <w:sz w:val="21"/>
        </w:rPr>
        <w:t>柱后侧凸及听力损害</w:t>
      </w:r>
      <w:r>
        <w:rPr>
          <w:spacing w:val="-2"/>
          <w:sz w:val="21"/>
        </w:rPr>
        <w:t>。</w:t>
      </w:r>
      <w:r>
        <w:rPr>
          <w:spacing w:val="-2"/>
          <w:sz w:val="21"/>
        </w:rPr>
        <w:t>Ⅲ型成骨不全的诊</w:t>
      </w:r>
      <w:r>
        <w:rPr>
          <w:spacing w:val="-2"/>
          <w:sz w:val="21"/>
        </w:rPr>
        <w:t>断</w:t>
      </w:r>
      <w:r>
        <w:rPr>
          <w:spacing w:val="-2"/>
          <w:sz w:val="21"/>
        </w:rPr>
        <w:t>必</w:t>
      </w:r>
      <w:r>
        <w:rPr>
          <w:spacing w:val="40"/>
          <w:sz w:val="21"/>
        </w:rPr>
        <w:t> </w:t>
      </w:r>
      <w:r>
        <w:rPr>
          <w:sz w:val="21"/>
        </w:rPr>
        <w:t>须根据身体检查，家族史，X</w:t>
      </w:r>
      <w:r>
        <w:rPr>
          <w:spacing w:val="-42"/>
          <w:sz w:val="21"/>
        </w:rPr>
        <w:t> </w:t>
      </w:r>
      <w:r>
        <w:rPr>
          <w:sz w:val="21"/>
        </w:rPr>
        <w:t>线检查和皮肤活检报</w:t>
      </w:r>
      <w:r>
        <w:rPr>
          <w:sz w:val="21"/>
        </w:rPr>
        <w:t>告资料确诊。</w:t>
      </w:r>
    </w:p>
    <w:p>
      <w:pPr>
        <w:pStyle w:val="Heading2"/>
        <w:spacing w:line="278" w:lineRule="auto"/>
        <w:ind w:right="563"/>
      </w:pPr>
      <w:r>
        <w:rPr>
          <w:spacing w:val="-2"/>
        </w:rPr>
        <w:t>本公司承担本项疾病责任不受本合同责任免除中“遗传性疾病，先天性畸形、</w:t>
      </w:r>
      <w:r>
        <w:rPr>
          <w:spacing w:val="-2"/>
        </w:rPr>
        <w:t>变形或染色体异常”的限制。</w:t>
      </w:r>
    </w:p>
    <w:p>
      <w:pPr>
        <w:pStyle w:val="BodyText"/>
        <w:spacing w:before="7"/>
        <w:rPr>
          <w:b/>
          <w:sz w:val="17"/>
        </w:rPr>
      </w:pPr>
    </w:p>
    <w:p>
      <w:pPr>
        <w:pStyle w:val="ListParagraph"/>
        <w:numPr>
          <w:ilvl w:val="2"/>
          <w:numId w:val="40"/>
        </w:numPr>
        <w:tabs>
          <w:tab w:pos="1439" w:val="left" w:leader="none"/>
          <w:tab w:pos="3000" w:val="left" w:leader="none"/>
        </w:tabs>
        <w:spacing w:line="278" w:lineRule="auto" w:before="0" w:after="0"/>
        <w:ind w:left="3000" w:right="668" w:hanging="1880"/>
        <w:jc w:val="left"/>
        <w:rPr>
          <w:sz w:val="21"/>
        </w:rPr>
      </w:pPr>
      <w:r>
        <w:rPr>
          <w:spacing w:val="-4"/>
          <w:sz w:val="21"/>
        </w:rPr>
        <w:t>严重癫痫</w:t>
      </w:r>
      <w:r>
        <w:rPr>
          <w:sz w:val="21"/>
        </w:rPr>
        <w:tab/>
      </w:r>
      <w:r>
        <w:rPr>
          <w:spacing w:val="-2"/>
          <w:sz w:val="21"/>
        </w:rPr>
        <w:t>严</w:t>
      </w:r>
      <w:r>
        <w:rPr>
          <w:spacing w:val="-2"/>
          <w:sz w:val="21"/>
        </w:rPr>
        <w:t>重</w:t>
      </w:r>
      <w:r>
        <w:rPr>
          <w:spacing w:val="-2"/>
          <w:sz w:val="21"/>
        </w:rPr>
        <w:t>癫痫的诊断须在本公</w:t>
      </w:r>
      <w:r>
        <w:rPr>
          <w:spacing w:val="-2"/>
          <w:sz w:val="21"/>
        </w:rPr>
        <w:t>司</w:t>
      </w:r>
      <w:r>
        <w:rPr>
          <w:spacing w:val="-2"/>
          <w:sz w:val="21"/>
        </w:rPr>
        <w:t>认</w:t>
      </w:r>
      <w:r>
        <w:rPr>
          <w:spacing w:val="-2"/>
          <w:sz w:val="21"/>
        </w:rPr>
        <w:t>可的医疗机构内由神</w:t>
      </w:r>
      <w:r>
        <w:rPr>
          <w:spacing w:val="-2"/>
          <w:sz w:val="21"/>
        </w:rPr>
        <w:t>经</w:t>
      </w:r>
      <w:r>
        <w:rPr>
          <w:spacing w:val="-2"/>
          <w:sz w:val="21"/>
        </w:rPr>
        <w:t>科</w:t>
      </w:r>
      <w:r>
        <w:rPr>
          <w:spacing w:val="-2"/>
          <w:sz w:val="21"/>
        </w:rPr>
        <w:t>或儿科专科医生</w:t>
      </w:r>
      <w:r>
        <w:rPr>
          <w:spacing w:val="-2"/>
          <w:sz w:val="21"/>
        </w:rPr>
        <w:t>根</w:t>
      </w:r>
      <w:r>
        <w:rPr>
          <w:spacing w:val="-2"/>
          <w:sz w:val="21"/>
        </w:rPr>
        <w:t>据</w:t>
      </w:r>
      <w:r>
        <w:rPr>
          <w:sz w:val="21"/>
        </w:rPr>
        <w:t>典型临床症状和脑电图及</w:t>
      </w:r>
      <w:r>
        <w:rPr>
          <w:spacing w:val="-55"/>
          <w:sz w:val="21"/>
        </w:rPr>
        <w:t> </w:t>
      </w:r>
      <w:r>
        <w:rPr>
          <w:sz w:val="21"/>
        </w:rPr>
        <w:t>MRI</w:t>
      </w:r>
      <w:r>
        <w:rPr>
          <w:sz w:val="21"/>
        </w:rPr>
        <w:t>、PET、CT</w:t>
      </w:r>
      <w:r>
        <w:rPr>
          <w:spacing w:val="-53"/>
          <w:sz w:val="21"/>
        </w:rPr>
        <w:t> </w:t>
      </w:r>
      <w:r>
        <w:rPr>
          <w:sz w:val="21"/>
        </w:rPr>
        <w:t>等影像学检</w:t>
      </w:r>
      <w:r>
        <w:rPr>
          <w:sz w:val="21"/>
        </w:rPr>
        <w:t>查做出。理赔时必须提供 6</w:t>
      </w:r>
      <w:r>
        <w:rPr>
          <w:spacing w:val="-42"/>
          <w:sz w:val="21"/>
        </w:rPr>
        <w:t> </w:t>
      </w:r>
      <w:r>
        <w:rPr>
          <w:sz w:val="21"/>
        </w:rPr>
        <w:t>个月以上的相关病历记</w:t>
      </w:r>
      <w:r>
        <w:rPr>
          <w:sz w:val="21"/>
        </w:rPr>
        <w:t>录证明被保险人存在经抗</w:t>
      </w:r>
      <w:r>
        <w:rPr>
          <w:sz w:val="21"/>
        </w:rPr>
        <w:t>癫痫药物治疗无效而</w:t>
      </w:r>
      <w:r>
        <w:rPr>
          <w:sz w:val="21"/>
        </w:rPr>
        <w:t>反复</w:t>
      </w:r>
      <w:r>
        <w:rPr>
          <w:spacing w:val="-2"/>
          <w:sz w:val="21"/>
        </w:rPr>
        <w:t>发</w:t>
      </w:r>
      <w:r>
        <w:rPr>
          <w:spacing w:val="-2"/>
          <w:sz w:val="21"/>
        </w:rPr>
        <w:t>作</w:t>
      </w:r>
      <w:r>
        <w:rPr>
          <w:spacing w:val="-2"/>
          <w:sz w:val="21"/>
        </w:rPr>
        <w:t>的强直阵挛性发作或</w:t>
      </w:r>
      <w:r>
        <w:rPr>
          <w:spacing w:val="-2"/>
          <w:sz w:val="21"/>
        </w:rPr>
        <w:t>癫</w:t>
      </w:r>
      <w:r>
        <w:rPr>
          <w:spacing w:val="-2"/>
          <w:sz w:val="21"/>
        </w:rPr>
        <w:t>痫</w:t>
      </w:r>
      <w:r>
        <w:rPr>
          <w:spacing w:val="-2"/>
          <w:sz w:val="21"/>
        </w:rPr>
        <w:t>大发作，且已行神经</w:t>
      </w:r>
      <w:r>
        <w:rPr>
          <w:spacing w:val="-2"/>
          <w:sz w:val="21"/>
        </w:rPr>
        <w:t>外</w:t>
      </w:r>
      <w:r>
        <w:rPr>
          <w:spacing w:val="-2"/>
          <w:sz w:val="21"/>
        </w:rPr>
        <w:t>科</w:t>
      </w:r>
      <w:r>
        <w:rPr>
          <w:spacing w:val="-2"/>
          <w:sz w:val="21"/>
        </w:rPr>
        <w:t>手术以治疗反复</w:t>
      </w:r>
      <w:r>
        <w:rPr>
          <w:spacing w:val="-2"/>
          <w:sz w:val="21"/>
        </w:rPr>
        <w:t>发</w:t>
      </w:r>
      <w:r>
        <w:rPr>
          <w:spacing w:val="-2"/>
          <w:sz w:val="21"/>
        </w:rPr>
        <w:t>作</w:t>
      </w:r>
      <w:r>
        <w:rPr>
          <w:spacing w:val="-4"/>
          <w:sz w:val="21"/>
        </w:rPr>
        <w:t>的</w:t>
      </w:r>
      <w:r>
        <w:rPr>
          <w:spacing w:val="-4"/>
          <w:sz w:val="21"/>
        </w:rPr>
        <w:t>癫</w:t>
      </w:r>
      <w:r>
        <w:rPr>
          <w:spacing w:val="-4"/>
          <w:sz w:val="21"/>
        </w:rPr>
        <w:t>痫。</w:t>
      </w:r>
    </w:p>
    <w:p>
      <w:pPr>
        <w:pStyle w:val="Heading2"/>
      </w:pPr>
      <w:r>
        <w:rPr>
          <w:spacing w:val="-2"/>
        </w:rPr>
        <w:t>发热性惊厥以及没有全身性发作的失神发作（癫痫小发作）</w:t>
      </w:r>
      <w:r>
        <w:rPr>
          <w:spacing w:val="-4"/>
        </w:rPr>
        <w:t>不在保障范围内。</w:t>
      </w:r>
    </w:p>
    <w:p>
      <w:pPr>
        <w:pStyle w:val="BodyText"/>
        <w:spacing w:before="2"/>
        <w:rPr>
          <w:b/>
        </w:rPr>
      </w:pPr>
    </w:p>
    <w:p>
      <w:pPr>
        <w:pStyle w:val="ListParagraph"/>
        <w:numPr>
          <w:ilvl w:val="2"/>
          <w:numId w:val="40"/>
        </w:numPr>
        <w:tabs>
          <w:tab w:pos="1439" w:val="left" w:leader="none"/>
          <w:tab w:pos="3000" w:val="left" w:leader="none"/>
        </w:tabs>
        <w:spacing w:line="278" w:lineRule="auto" w:before="0" w:after="0"/>
        <w:ind w:left="3000" w:right="767" w:hanging="1880"/>
        <w:jc w:val="left"/>
        <w:rPr>
          <w:sz w:val="21"/>
        </w:rPr>
      </w:pPr>
      <w:r>
        <w:rPr>
          <w:spacing w:val="-2"/>
          <w:sz w:val="21"/>
        </w:rPr>
        <w:t>独立能力丧失</w:t>
      </w:r>
      <w:r>
        <w:rPr>
          <w:sz w:val="21"/>
        </w:rPr>
        <w:tab/>
        <w:t>是指在本公司认可的医疗</w:t>
      </w:r>
      <w:r>
        <w:rPr>
          <w:sz w:val="21"/>
        </w:rPr>
        <w:t>机构内由专科医生确认被</w:t>
      </w:r>
      <w:r>
        <w:rPr>
          <w:sz w:val="21"/>
        </w:rPr>
        <w:t>保险人已持续</w:t>
      </w:r>
      <w:r>
        <w:rPr>
          <w:spacing w:val="-53"/>
          <w:sz w:val="21"/>
        </w:rPr>
        <w:t> </w:t>
      </w:r>
      <w:r>
        <w:rPr>
          <w:sz w:val="21"/>
        </w:rPr>
        <w:t>180</w:t>
      </w:r>
      <w:r>
        <w:rPr>
          <w:spacing w:val="-53"/>
          <w:sz w:val="21"/>
        </w:rPr>
        <w:t> </w:t>
      </w:r>
      <w:r>
        <w:rPr>
          <w:sz w:val="21"/>
        </w:rPr>
        <w:t>天</w:t>
      </w:r>
      <w:r>
        <w:rPr>
          <w:sz w:val="21"/>
        </w:rPr>
        <w:t>无法</w:t>
      </w:r>
      <w:r>
        <w:rPr>
          <w:spacing w:val="-2"/>
          <w:sz w:val="21"/>
        </w:rPr>
        <w:t>独</w:t>
      </w:r>
      <w:r>
        <w:rPr>
          <w:spacing w:val="-2"/>
          <w:sz w:val="21"/>
        </w:rPr>
        <w:t>立</w:t>
      </w:r>
      <w:r>
        <w:rPr>
          <w:spacing w:val="-2"/>
          <w:sz w:val="21"/>
        </w:rPr>
        <w:t>完成六项基本日常生</w:t>
      </w:r>
      <w:r>
        <w:rPr>
          <w:spacing w:val="-2"/>
          <w:sz w:val="21"/>
        </w:rPr>
        <w:t>活</w:t>
      </w:r>
      <w:r>
        <w:rPr>
          <w:spacing w:val="-2"/>
          <w:sz w:val="21"/>
        </w:rPr>
        <w:t>活</w:t>
      </w:r>
      <w:r>
        <w:rPr>
          <w:spacing w:val="-2"/>
          <w:sz w:val="21"/>
        </w:rPr>
        <w:t>动中的三项或三项以</w:t>
      </w:r>
      <w:r>
        <w:rPr>
          <w:spacing w:val="-2"/>
          <w:sz w:val="21"/>
        </w:rPr>
        <w:t>上</w:t>
      </w:r>
      <w:r>
        <w:rPr>
          <w:spacing w:val="-2"/>
          <w:sz w:val="21"/>
        </w:rPr>
        <w:t>。</w:t>
      </w:r>
    </w:p>
    <w:p>
      <w:pPr>
        <w:pStyle w:val="Heading2"/>
        <w:spacing w:line="278" w:lineRule="auto"/>
        <w:ind w:right="743"/>
      </w:pPr>
      <w:r>
        <w:rPr>
          <w:spacing w:val="-3"/>
        </w:rPr>
        <w:t>被保险人首次被确诊罹患本项疾病时的年龄必须在 </w:t>
      </w:r>
      <w:r>
        <w:rPr/>
        <w:t>18</w:t>
      </w:r>
      <w:r>
        <w:rPr>
          <w:spacing w:val="-22"/>
        </w:rPr>
        <w:t> 周岁至 </w:t>
      </w:r>
      <w:r>
        <w:rPr/>
        <w:t>74</w:t>
      </w:r>
      <w:r>
        <w:rPr>
          <w:spacing w:val="-10"/>
        </w:rPr>
        <w:t> 周岁之间。</w:t>
      </w:r>
      <w:r>
        <w:rPr>
          <w:spacing w:val="-2"/>
        </w:rPr>
        <w:t>所有与精神病有关的疾病原因均不属于本项保障范围内。</w:t>
      </w:r>
    </w:p>
    <w:p>
      <w:pPr>
        <w:pStyle w:val="BodyText"/>
        <w:rPr>
          <w:b/>
          <w:sz w:val="12"/>
        </w:rPr>
      </w:pPr>
    </w:p>
    <w:p>
      <w:pPr>
        <w:spacing w:after="0"/>
        <w:rPr>
          <w:sz w:val="12"/>
        </w:rPr>
        <w:sectPr>
          <w:pgSz w:w="11910" w:h="16840"/>
          <w:pgMar w:header="0" w:footer="404" w:top="1320" w:bottom="60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肌萎缩脊髓侧</w:t>
      </w:r>
      <w:r>
        <w:rPr>
          <w:spacing w:val="-2"/>
          <w:sz w:val="21"/>
        </w:rPr>
        <w:t>索硬化后遗症</w:t>
      </w:r>
    </w:p>
    <w:p>
      <w:pPr>
        <w:pStyle w:val="BodyText"/>
        <w:spacing w:line="278" w:lineRule="auto" w:before="71"/>
        <w:ind w:left="262" w:right="560"/>
      </w:pPr>
      <w:r>
        <w:rPr/>
        <w:br w:type="column"/>
      </w:r>
      <w:r>
        <w:rPr>
          <w:spacing w:val="-2"/>
        </w:rPr>
        <w:t>以肌肉无力及萎缩为特征，并有以下情况作为证明：脊髓前角细胞功能失调、</w:t>
      </w:r>
      <w:r>
        <w:rPr>
          <w:spacing w:val="-2"/>
        </w:rPr>
        <w:t>可见的肌肉颤动、痉挛、过度活跃之深层肌腱反射和外部足底反射、影响皮</w:t>
      </w:r>
      <w:r>
        <w:rPr>
          <w:spacing w:val="40"/>
        </w:rPr>
        <w:t> </w:t>
      </w:r>
      <w:r>
        <w:rPr>
          <w:spacing w:val="-2"/>
        </w:rPr>
        <w:t>质脊髓束、构音障碍及吞咽困难。必须在本公司认可的医疗机构内由专科医</w:t>
      </w:r>
      <w:r>
        <w:rPr>
          <w:spacing w:val="40"/>
        </w:rPr>
        <w:t> </w:t>
      </w:r>
      <w:r>
        <w:rPr>
          <w:spacing w:val="-2"/>
        </w:rPr>
        <w:t>生以适当的神经肌肉检查如肌电图（EMG）证实。本疾病必须导致严重的生理</w:t>
      </w:r>
      <w:r>
        <w:rPr>
          <w:spacing w:val="-2"/>
        </w:rPr>
        <w:t>功能损坏（由被保险人永久性无法独立完成六项基本日常生活活动中的三项</w:t>
      </w:r>
      <w:r>
        <w:rPr>
          <w:spacing w:val="40"/>
        </w:rPr>
        <w:t> </w:t>
      </w:r>
      <w:r>
        <w:rPr>
          <w:spacing w:val="-2"/>
        </w:rPr>
        <w:t>或三项以上作为证明）。</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3"/>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严重结核性脑</w:t>
      </w:r>
      <w:r>
        <w:rPr>
          <w:spacing w:val="-6"/>
          <w:sz w:val="21"/>
        </w:rPr>
        <w:t>膜炎</w:t>
      </w:r>
    </w:p>
    <w:p>
      <w:pPr>
        <w:pStyle w:val="BodyText"/>
        <w:spacing w:line="278" w:lineRule="auto" w:before="71"/>
        <w:ind w:left="262" w:right="767"/>
      </w:pPr>
      <w:r>
        <w:rPr/>
        <w:br w:type="column"/>
      </w:r>
      <w:r>
        <w:rPr>
          <w:spacing w:val="-2"/>
        </w:rPr>
        <w:t>指由结核杆菌引起的脑膜和脊膜的非化脓性炎症性疾病。需满足以下全部条</w:t>
      </w:r>
      <w:r>
        <w:rPr>
          <w:spacing w:val="-6"/>
        </w:rPr>
        <w:t>件：</w:t>
      </w:r>
    </w:p>
    <w:p>
      <w:pPr>
        <w:pStyle w:val="ListParagraph"/>
        <w:numPr>
          <w:ilvl w:val="0"/>
          <w:numId w:val="74"/>
        </w:numPr>
        <w:tabs>
          <w:tab w:pos="792" w:val="left" w:leader="none"/>
        </w:tabs>
        <w:spacing w:line="269" w:lineRule="exact" w:before="0" w:after="0"/>
        <w:ind w:left="791" w:right="0" w:hanging="530"/>
        <w:jc w:val="left"/>
        <w:rPr>
          <w:sz w:val="21"/>
        </w:rPr>
      </w:pPr>
      <w:r>
        <w:rPr>
          <w:spacing w:val="-3"/>
          <w:sz w:val="21"/>
        </w:rPr>
        <w:t>出现颅内压明显增高，表现头痛、呕吐和视乳头水肿；</w:t>
      </w:r>
    </w:p>
    <w:p>
      <w:pPr>
        <w:pStyle w:val="ListParagraph"/>
        <w:numPr>
          <w:ilvl w:val="0"/>
          <w:numId w:val="74"/>
        </w:numPr>
        <w:tabs>
          <w:tab w:pos="792" w:val="left" w:leader="none"/>
        </w:tabs>
        <w:spacing w:line="240" w:lineRule="auto" w:before="43" w:after="0"/>
        <w:ind w:left="791" w:right="0" w:hanging="530"/>
        <w:jc w:val="left"/>
        <w:rPr>
          <w:sz w:val="21"/>
        </w:rPr>
      </w:pPr>
      <w:r>
        <w:rPr>
          <w:spacing w:val="-3"/>
          <w:sz w:val="21"/>
        </w:rPr>
        <w:t>出现部分性、全身性癫痫发作或癫痫持续状态；</w:t>
      </w:r>
    </w:p>
    <w:p>
      <w:pPr>
        <w:pStyle w:val="ListParagraph"/>
        <w:numPr>
          <w:ilvl w:val="0"/>
          <w:numId w:val="74"/>
        </w:numPr>
        <w:tabs>
          <w:tab w:pos="792" w:val="left" w:leader="none"/>
        </w:tabs>
        <w:spacing w:line="240" w:lineRule="auto" w:before="43" w:after="0"/>
        <w:ind w:left="791" w:right="0" w:hanging="530"/>
        <w:jc w:val="left"/>
        <w:rPr>
          <w:sz w:val="21"/>
        </w:rPr>
      </w:pPr>
      <w:r>
        <w:rPr>
          <w:spacing w:val="-4"/>
          <w:sz w:val="21"/>
        </w:rPr>
        <w:t>昏睡或意识模糊；</w:t>
      </w:r>
    </w:p>
    <w:p>
      <w:pPr>
        <w:pStyle w:val="ListParagraph"/>
        <w:numPr>
          <w:ilvl w:val="0"/>
          <w:numId w:val="74"/>
        </w:numPr>
        <w:tabs>
          <w:tab w:pos="792" w:val="left" w:leader="none"/>
        </w:tabs>
        <w:spacing w:line="240" w:lineRule="auto" w:before="43" w:after="0"/>
        <w:ind w:left="791"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8"/>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进行性多灶性</w:t>
      </w:r>
      <w:r>
        <w:rPr>
          <w:spacing w:val="-4"/>
          <w:sz w:val="21"/>
        </w:rPr>
        <w:t>白质脑病</w:t>
      </w:r>
    </w:p>
    <w:p>
      <w:pPr>
        <w:pStyle w:val="BodyText"/>
        <w:spacing w:line="278" w:lineRule="auto" w:before="71"/>
        <w:ind w:left="262" w:right="767"/>
      </w:pPr>
      <w:r>
        <w:rPr/>
        <w:br w:type="column"/>
      </w:r>
      <w:r>
        <w:rPr>
          <w:spacing w:val="-2"/>
        </w:rPr>
        <w:t>是一种亚急性脱髓鞘性脑病，常常发现于免疫缺陷的病人。必须由神经科专</w:t>
      </w:r>
      <w:r>
        <w:rPr>
          <w:spacing w:val="-2"/>
        </w:rPr>
        <w:t>科医生根据脑组织活检确诊。</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严重脊髓小脑</w:t>
      </w:r>
      <w:r>
        <w:rPr>
          <w:spacing w:val="-4"/>
          <w:sz w:val="21"/>
        </w:rPr>
        <w:t>变性症</w:t>
      </w:r>
    </w:p>
    <w:p>
      <w:pPr>
        <w:pStyle w:val="BodyText"/>
        <w:spacing w:line="278" w:lineRule="auto" w:before="72"/>
        <w:ind w:left="262" w:right="767"/>
      </w:pPr>
      <w:r>
        <w:rPr/>
        <w:br w:type="column"/>
      </w:r>
      <w:r>
        <w:rPr>
          <w:spacing w:val="-2"/>
        </w:rPr>
        <w:t>严重脊髓小脑变性症为一组以小脑萎缩和共济失调为主要临床特点的疾病。</w:t>
      </w:r>
      <w:r>
        <w:rPr>
          <w:spacing w:val="-2"/>
        </w:rPr>
        <w:t>必须符合所有以下条件：</w:t>
      </w:r>
    </w:p>
    <w:p>
      <w:pPr>
        <w:pStyle w:val="ListParagraph"/>
        <w:numPr>
          <w:ilvl w:val="0"/>
          <w:numId w:val="75"/>
        </w:numPr>
        <w:tabs>
          <w:tab w:pos="792" w:val="left" w:leader="none"/>
        </w:tabs>
        <w:spacing w:line="269" w:lineRule="exact" w:before="0" w:after="0"/>
        <w:ind w:left="791" w:right="0" w:hanging="530"/>
        <w:jc w:val="left"/>
        <w:rPr>
          <w:sz w:val="21"/>
        </w:rPr>
      </w:pPr>
      <w:r>
        <w:rPr>
          <w:spacing w:val="-3"/>
          <w:sz w:val="21"/>
        </w:rPr>
        <w:t>脊髓小脑变性症必须由医院诊断，并有以下证据支持：</w:t>
      </w:r>
    </w:p>
    <w:p>
      <w:pPr>
        <w:pStyle w:val="BodyText"/>
        <w:spacing w:before="43"/>
        <w:ind w:left="788"/>
      </w:pPr>
      <w:r>
        <w:rPr>
          <w:spacing w:val="-6"/>
        </w:rPr>
        <w:t>① 影像学检查证实存在小脑萎缩；</w:t>
      </w:r>
    </w:p>
    <w:p>
      <w:pPr>
        <w:pStyle w:val="BodyText"/>
        <w:spacing w:before="43"/>
        <w:ind w:left="788"/>
      </w:pPr>
      <w:r>
        <w:rPr>
          <w:spacing w:val="-3"/>
        </w:rPr>
        <w:t>② 临床表现存在共济失调、语言障碍和肌张力异常。</w:t>
      </w:r>
    </w:p>
    <w:p>
      <w:pPr>
        <w:pStyle w:val="ListParagraph"/>
        <w:numPr>
          <w:ilvl w:val="0"/>
          <w:numId w:val="75"/>
        </w:numPr>
        <w:tabs>
          <w:tab w:pos="790" w:val="left" w:leader="none"/>
        </w:tabs>
        <w:spacing w:line="240" w:lineRule="auto" w:before="43" w:after="0"/>
        <w:ind w:left="789" w:right="0" w:hanging="528"/>
        <w:jc w:val="left"/>
        <w:rPr>
          <w:sz w:val="21"/>
        </w:rPr>
      </w:pPr>
      <w:r>
        <w:rPr>
          <w:spacing w:val="-3"/>
          <w:sz w:val="21"/>
        </w:rPr>
        <w:t>被保险人运动功能严重障碍，自主生活能力完全丧失，无法独立完成六</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57"/>
        <w:ind w:left="2757" w:right="2418"/>
        <w:jc w:val="center"/>
      </w:pPr>
      <w:r>
        <w:rPr>
          <w:spacing w:val="-3"/>
        </w:rPr>
        <w:t>项基本日常生活活动中的三项或三项以上。</w:t>
      </w:r>
    </w:p>
    <w:p>
      <w:pPr>
        <w:pStyle w:val="BodyText"/>
        <w:spacing w:before="7"/>
        <w:rPr>
          <w:sz w:val="15"/>
        </w:rPr>
      </w:pPr>
    </w:p>
    <w:p>
      <w:pPr>
        <w:spacing w:after="0"/>
        <w:rPr>
          <w:sz w:val="15"/>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婴儿进行性脊</w:t>
      </w:r>
      <w:r>
        <w:rPr>
          <w:spacing w:val="-4"/>
          <w:sz w:val="21"/>
        </w:rPr>
        <w:t>肌萎缩症</w:t>
      </w:r>
    </w:p>
    <w:p>
      <w:pPr>
        <w:pStyle w:val="BodyText"/>
        <w:spacing w:line="278" w:lineRule="auto" w:before="72"/>
        <w:ind w:left="262" w:right="767"/>
        <w:jc w:val="both"/>
      </w:pPr>
      <w:r>
        <w:rPr/>
        <w:br w:type="column"/>
      </w:r>
      <w:r>
        <w:rPr>
          <w:spacing w:val="-2"/>
        </w:rPr>
        <w:t>该病是累及脊髓前角细胞及延髓运动核的神经元退行性变性病。在出生后两</w:t>
      </w:r>
      <w:r>
        <w:rPr>
          <w:spacing w:val="-2"/>
        </w:rPr>
        <w:t>年内出现的脊髓和脑干颅神经前角细胞进行性机能障碍，伴随肌肉无力和延</w:t>
      </w:r>
      <w:r>
        <w:rPr>
          <w:spacing w:val="-2"/>
        </w:rPr>
        <w:t>髓机能障碍。理赔时必须提供肌肉活检的病理报告。</w:t>
      </w:r>
    </w:p>
    <w:p>
      <w:pPr>
        <w:pStyle w:val="Heading2"/>
        <w:spacing w:line="278" w:lineRule="auto"/>
        <w:ind w:left="262" w:right="746"/>
        <w:jc w:val="both"/>
      </w:pPr>
      <w:r>
        <w:rPr>
          <w:spacing w:val="-2"/>
        </w:rPr>
        <w:t>其他类型的脊肌萎缩症如Ⅱ型中间型进行性脊肌萎缩症、Ⅲ型少年性脊肌萎</w:t>
      </w:r>
      <w:r>
        <w:rPr/>
        <w:t>缩症（Kugelberg-Welander</w:t>
      </w:r>
      <w:r>
        <w:rPr>
          <w:spacing w:val="-14"/>
        </w:rPr>
        <w:t> 氏病</w:t>
      </w:r>
      <w:r>
        <w:rPr/>
        <w:t>）不在本保障范围内。</w:t>
      </w:r>
    </w:p>
    <w:p>
      <w:pPr>
        <w:spacing w:line="278" w:lineRule="auto" w:before="0"/>
        <w:ind w:left="262"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多处臂丛神经</w:t>
      </w:r>
      <w:r>
        <w:rPr>
          <w:spacing w:val="-4"/>
          <w:sz w:val="21"/>
        </w:rPr>
        <w:t>根性撕脱</w:t>
      </w:r>
    </w:p>
    <w:p>
      <w:pPr>
        <w:pStyle w:val="BodyText"/>
        <w:spacing w:line="278" w:lineRule="auto" w:before="72"/>
        <w:ind w:left="262" w:right="767"/>
        <w:jc w:val="both"/>
      </w:pPr>
      <w:r>
        <w:rPr/>
        <w:br w:type="column"/>
      </w:r>
      <w:r>
        <w:rPr>
          <w:spacing w:val="-2"/>
        </w:rPr>
        <w:t>由于疾病或意外导致至少两根臂丛神经根性撕脱，所造成的手臂感觉功能与</w:t>
      </w:r>
      <w:r>
        <w:rPr>
          <w:spacing w:val="-2"/>
        </w:rPr>
        <w:t>运动功能完全永久性丧失。该病必须在本公司认可的医疗机构内由专科医生</w:t>
      </w:r>
      <w:r>
        <w:rPr>
          <w:spacing w:val="-2"/>
        </w:rPr>
        <w:t>明确诊断，并且有电生理检查结果证实。</w:t>
      </w:r>
    </w:p>
    <w:p>
      <w:pPr>
        <w:spacing w:after="0" w:line="278" w:lineRule="auto"/>
        <w:jc w:val="both"/>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细菌性脑脊髓</w:t>
      </w:r>
      <w:r>
        <w:rPr>
          <w:spacing w:val="-6"/>
          <w:sz w:val="21"/>
        </w:rPr>
        <w:t>膜炎</w:t>
      </w:r>
    </w:p>
    <w:p>
      <w:pPr>
        <w:pStyle w:val="BodyText"/>
        <w:spacing w:line="278" w:lineRule="auto" w:before="72"/>
        <w:ind w:left="262" w:right="767"/>
      </w:pPr>
      <w:r>
        <w:rPr/>
        <w:br w:type="column"/>
      </w:r>
      <w:r>
        <w:rPr>
          <w:spacing w:val="-2"/>
        </w:rPr>
        <w:t>指因脑膜炎双球菌感染引起脑脊髓膜化脓性病变，且导致永久性神经损害，</w:t>
      </w:r>
      <w:r>
        <w:rPr>
          <w:spacing w:val="-8"/>
        </w:rPr>
        <w:t>持续 </w:t>
      </w:r>
      <w:r>
        <w:rPr/>
        <w:t>180</w:t>
      </w:r>
      <w:r>
        <w:rPr>
          <w:spacing w:val="-5"/>
        </w:rPr>
        <w:t> 天以上，并且脑脊液检查显示脑膜炎双球菌阳性。</w:t>
      </w:r>
    </w:p>
    <w:p>
      <w:pPr>
        <w:pStyle w:val="BodyText"/>
        <w:spacing w:line="278" w:lineRule="auto"/>
        <w:ind w:left="262" w:right="560"/>
      </w:pPr>
      <w:r>
        <w:rPr>
          <w:spacing w:val="-2"/>
        </w:rPr>
        <w:t>永久性神经损害是指由细菌性脑脊髓膜炎引起的耳聋、失明、动眼神经麻痹、</w:t>
      </w:r>
      <w:r>
        <w:rPr>
          <w:spacing w:val="-1"/>
        </w:rPr>
        <w:t>瘫痪、脑积水、智力或性情中度以上的损害，且上述症状持续 </w:t>
      </w:r>
      <w:r>
        <w:rPr/>
        <w:t>180</w:t>
      </w:r>
      <w:r>
        <w:rPr>
          <w:spacing w:val="-6"/>
        </w:rPr>
        <w:t> 天以上仍</w:t>
      </w:r>
      <w:r>
        <w:rPr/>
        <w:t> </w:t>
      </w:r>
      <w:r>
        <w:rPr>
          <w:spacing w:val="-2"/>
        </w:rPr>
        <w:t>无改善迹象。</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pStyle w:val="ListParagraph"/>
        <w:numPr>
          <w:ilvl w:val="2"/>
          <w:numId w:val="40"/>
        </w:numPr>
        <w:tabs>
          <w:tab w:pos="1439" w:val="left" w:leader="none"/>
          <w:tab w:pos="3000" w:val="left" w:leader="none"/>
        </w:tabs>
        <w:spacing w:line="278" w:lineRule="auto" w:before="71" w:after="0"/>
        <w:ind w:left="3000" w:right="767" w:hanging="1880"/>
        <w:jc w:val="left"/>
        <w:rPr>
          <w:sz w:val="21"/>
        </w:rPr>
      </w:pPr>
      <w:r>
        <w:rPr>
          <w:spacing w:val="-4"/>
          <w:sz w:val="21"/>
        </w:rPr>
        <w:t>脊</w:t>
      </w:r>
      <w:r>
        <w:rPr>
          <w:spacing w:val="-4"/>
          <w:sz w:val="21"/>
        </w:rPr>
        <w:t>柱</w:t>
      </w:r>
      <w:r>
        <w:rPr>
          <w:spacing w:val="-4"/>
          <w:sz w:val="21"/>
        </w:rPr>
        <w:t>裂</w:t>
      </w:r>
      <w:r>
        <w:rPr>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并</w:t>
      </w:r>
      <w:r>
        <w:rPr>
          <w:spacing w:val="-2"/>
          <w:sz w:val="21"/>
        </w:rPr>
        <w:t>至</w:t>
      </w:r>
      <w:r>
        <w:rPr>
          <w:spacing w:val="-2"/>
          <w:sz w:val="21"/>
        </w:rPr>
        <w:t>少合并下列异常中的</w:t>
      </w:r>
      <w:r>
        <w:rPr>
          <w:spacing w:val="-2"/>
          <w:sz w:val="21"/>
        </w:rPr>
        <w:t>一</w:t>
      </w:r>
      <w:r>
        <w:rPr>
          <w:spacing w:val="-2"/>
          <w:sz w:val="21"/>
        </w:rPr>
        <w:t>项</w:t>
      </w:r>
      <w:r>
        <w:rPr>
          <w:spacing w:val="-2"/>
          <w:sz w:val="21"/>
        </w:rPr>
        <w:t>：</w:t>
      </w:r>
    </w:p>
    <w:p>
      <w:pPr>
        <w:pStyle w:val="ListParagraph"/>
        <w:numPr>
          <w:ilvl w:val="0"/>
          <w:numId w:val="76"/>
        </w:numPr>
        <w:tabs>
          <w:tab w:pos="3530" w:val="left" w:leader="none"/>
        </w:tabs>
        <w:spacing w:line="269" w:lineRule="exact" w:before="0" w:after="0"/>
        <w:ind w:left="3529" w:right="0" w:hanging="530"/>
        <w:jc w:val="left"/>
        <w:rPr>
          <w:sz w:val="21"/>
        </w:rPr>
      </w:pPr>
      <w:r>
        <w:rPr>
          <w:spacing w:val="-4"/>
          <w:sz w:val="21"/>
        </w:rPr>
        <w:t>大小便失禁；</w:t>
      </w:r>
    </w:p>
    <w:p>
      <w:pPr>
        <w:pStyle w:val="ListParagraph"/>
        <w:numPr>
          <w:ilvl w:val="0"/>
          <w:numId w:val="76"/>
        </w:numPr>
        <w:tabs>
          <w:tab w:pos="3530" w:val="left" w:leader="none"/>
        </w:tabs>
        <w:spacing w:line="240" w:lineRule="auto" w:before="43" w:after="0"/>
        <w:ind w:left="3529" w:right="0" w:hanging="530"/>
        <w:jc w:val="left"/>
        <w:rPr>
          <w:sz w:val="21"/>
        </w:rPr>
      </w:pPr>
      <w:r>
        <w:rPr>
          <w:spacing w:val="-3"/>
          <w:sz w:val="21"/>
        </w:rPr>
        <w:t>部分或完全性下肢瘫痪或畸形等神经学上的异常。</w:t>
      </w:r>
    </w:p>
    <w:p>
      <w:pPr>
        <w:pStyle w:val="Heading2"/>
        <w:spacing w:line="278" w:lineRule="auto" w:before="43"/>
        <w:ind w:right="693"/>
      </w:pPr>
      <w:r>
        <w:rPr>
          <w:spacing w:val="-9"/>
        </w:rPr>
        <w:t>但不包括由 </w:t>
      </w:r>
      <w:r>
        <w:rPr/>
        <w:t>X</w:t>
      </w:r>
      <w:r>
        <w:rPr>
          <w:spacing w:val="-6"/>
        </w:rPr>
        <w:t> 线摄片发现的没有合并脊椎脊膜突出或脑</w:t>
      </w:r>
      <w:r>
        <w:rPr/>
        <w:t>（脊）膜突出的隐形</w:t>
      </w:r>
      <w:r>
        <w:rPr>
          <w:spacing w:val="-4"/>
        </w:rPr>
        <w:t>脊椎裂。</w:t>
      </w:r>
    </w:p>
    <w:p>
      <w:pPr>
        <w:spacing w:line="278" w:lineRule="auto" w:before="0"/>
        <w:ind w:left="3000"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pStyle w:val="BodyText"/>
        <w:spacing w:before="8"/>
        <w:rPr>
          <w:b/>
          <w:sz w:val="17"/>
        </w:rPr>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血管性痴呆 指由缺血性卒中、出血性卒中和造成记忆、认知和行为等脑区低灌注的脑血</w:t>
      </w:r>
      <w:r>
        <w:rPr>
          <w:spacing w:val="-2"/>
          <w:sz w:val="21"/>
        </w:rPr>
        <w:t>管疾病所致的严重认知功能障碍综合征。被保险人自主生活能力完全丧失，</w:t>
      </w:r>
      <w:r>
        <w:rPr>
          <w:spacing w:val="-2"/>
          <w:sz w:val="21"/>
        </w:rPr>
        <w:t>无法独立完成六项基本日常生活活动中的三项或三项以上，日常生活必须持</w:t>
      </w:r>
      <w:r>
        <w:rPr>
          <w:spacing w:val="-2"/>
          <w:sz w:val="21"/>
        </w:rPr>
        <w:t>续受到他人监护。导致痴呆的疾病必须明确诊断，并且有完整的临床、实验</w:t>
      </w:r>
      <w:r>
        <w:rPr>
          <w:spacing w:val="-2"/>
          <w:sz w:val="21"/>
        </w:rPr>
        <w:t>室和影像学检查结果证实。</w:t>
      </w:r>
    </w:p>
    <w:p>
      <w:pPr>
        <w:pStyle w:val="Heading2"/>
        <w:spacing w:line="269" w:lineRule="exact"/>
      </w:pPr>
      <w:r>
        <w:rPr>
          <w:spacing w:val="-3"/>
        </w:rPr>
        <w:t>神经官能症、精神疾病及酒精中毒所致脑损害不在保障范围内。</w:t>
      </w:r>
    </w:p>
    <w:p>
      <w:pPr>
        <w:pStyle w:val="BodyText"/>
        <w:spacing w:before="2"/>
        <w:rPr>
          <w:b/>
        </w:rPr>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额颞叶痴呆 指一组以额颞叶萎缩为特征的痴呆综合征，临床以明显的人格、行为改变和</w:t>
      </w:r>
      <w:r>
        <w:rPr>
          <w:spacing w:val="-2"/>
          <w:sz w:val="21"/>
        </w:rPr>
        <w:t>认知障碍为特征。被保险人自主生活能力完全丧失，无法独立完成六项基本</w:t>
      </w:r>
      <w:r>
        <w:rPr>
          <w:spacing w:val="-2"/>
          <w:sz w:val="21"/>
        </w:rPr>
        <w:t>日常生活活动中的三项或三项以上，日常生活必须持续受到他人监护。导致</w:t>
      </w:r>
      <w:r>
        <w:rPr>
          <w:spacing w:val="-2"/>
          <w:sz w:val="21"/>
        </w:rPr>
        <w:t>痴呆的疾病必须明确诊断，并且有完整的临床、实验室和影像学检查结果证</w:t>
      </w:r>
      <w:r>
        <w:rPr>
          <w:spacing w:val="-6"/>
          <w:sz w:val="21"/>
        </w:rPr>
        <w:t>实。</w:t>
      </w:r>
    </w:p>
    <w:p>
      <w:pPr>
        <w:pStyle w:val="Heading2"/>
      </w:pPr>
      <w:r>
        <w:rPr>
          <w:spacing w:val="-3"/>
        </w:rPr>
        <w:t>神经官能症、精神疾病及酒精中毒所致脑损害不在保障范围内。</w:t>
      </w:r>
    </w:p>
    <w:p>
      <w:pPr>
        <w:pStyle w:val="BodyText"/>
        <w:spacing w:before="2"/>
        <w:rPr>
          <w:b/>
        </w:rPr>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路易体痴呆 指一组在临床和病理表现上以波动性认知功能障碍、视幻觉和帕金森综合征</w:t>
      </w:r>
      <w:r>
        <w:rPr>
          <w:spacing w:val="-2"/>
          <w:sz w:val="21"/>
        </w:rPr>
        <w:t>为临床特点，以路易体为病理特征的神经变性疾病。被保险人自主生活能力</w:t>
      </w:r>
      <w:r>
        <w:rPr>
          <w:spacing w:val="-2"/>
          <w:sz w:val="21"/>
        </w:rPr>
        <w:t>完全丧失，无法独立完成六项基本日常生活活动中的三项或三项以上，日常</w:t>
      </w:r>
      <w:r>
        <w:rPr>
          <w:spacing w:val="-2"/>
          <w:sz w:val="21"/>
        </w:rPr>
        <w:t>生活必须持续受到他人监护。导致痴呆的疾病必须明确诊断，并且有完整的</w:t>
      </w:r>
      <w:r>
        <w:rPr>
          <w:spacing w:val="-2"/>
          <w:sz w:val="21"/>
        </w:rPr>
        <w:t>临床、实验室和影像学检查结果证实。</w:t>
      </w:r>
    </w:p>
    <w:p>
      <w:pPr>
        <w:spacing w:after="0" w:line="278" w:lineRule="auto"/>
        <w:jc w:val="both"/>
        <w:rPr>
          <w:sz w:val="21"/>
        </w:rPr>
        <w:sectPr>
          <w:type w:val="continuous"/>
          <w:pgSz w:w="11910" w:h="16840"/>
          <w:pgMar w:header="0" w:footer="404" w:top="600" w:bottom="280" w:left="860" w:right="340"/>
        </w:sectPr>
      </w:pPr>
    </w:p>
    <w:p>
      <w:pPr>
        <w:pStyle w:val="Heading2"/>
        <w:spacing w:before="57"/>
      </w:pPr>
      <w:r>
        <w:rPr>
          <w:spacing w:val="-3"/>
        </w:rPr>
        <w:t>神经官能症、精神疾病及酒精中毒所致脑损害不在保障范围内。</w:t>
      </w:r>
    </w:p>
    <w:p>
      <w:pPr>
        <w:pStyle w:val="BodyText"/>
        <w:spacing w:before="7"/>
        <w:rPr>
          <w:b/>
          <w:sz w:val="15"/>
        </w:rPr>
      </w:pPr>
    </w:p>
    <w:p>
      <w:pPr>
        <w:spacing w:after="0"/>
        <w:rPr>
          <w:sz w:val="15"/>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亚急性硬化性</w:t>
      </w:r>
      <w:r>
        <w:rPr>
          <w:spacing w:val="-4"/>
          <w:sz w:val="21"/>
        </w:rPr>
        <w:t>全脑炎</w:t>
      </w:r>
    </w:p>
    <w:p>
      <w:pPr>
        <w:pStyle w:val="BodyText"/>
        <w:spacing w:line="278" w:lineRule="auto" w:before="72"/>
        <w:ind w:left="262" w:right="767"/>
        <w:jc w:val="both"/>
      </w:pPr>
      <w:r>
        <w:rPr/>
        <w:br w:type="column"/>
      </w:r>
      <w:r>
        <w:rPr>
          <w:spacing w:val="-2"/>
        </w:rPr>
        <w:t>指一种以大脑白质和灰质损害为主的全脑炎。本病的发生是由于缺损型麻疹</w:t>
      </w:r>
      <w:r>
        <w:rPr>
          <w:spacing w:val="-2"/>
        </w:rPr>
        <w:t>病毒慢性持续感染所致的一种罕见的致命性中枢神经系统退变性疾病。早期</w:t>
      </w:r>
      <w:r>
        <w:rPr>
          <w:spacing w:val="-2"/>
        </w:rPr>
        <w:t>以炎症性病变为主，晚期主要为神经元坏死和胶质增生，核内包涵体是本病</w:t>
      </w:r>
      <w:r>
        <w:rPr>
          <w:spacing w:val="-5"/>
        </w:rPr>
        <w:t>的特征性改变之一。疾病确诊 </w:t>
      </w:r>
      <w:r>
        <w:rPr>
          <w:spacing w:val="-2"/>
        </w:rPr>
        <w:t>180</w:t>
      </w:r>
      <w:r>
        <w:rPr>
          <w:spacing w:val="-10"/>
        </w:rPr>
        <w:t> 天后，仍遗留下列一种或一种以上障碍：</w:t>
      </w:r>
    </w:p>
    <w:p>
      <w:pPr>
        <w:pStyle w:val="ListParagraph"/>
        <w:numPr>
          <w:ilvl w:val="0"/>
          <w:numId w:val="77"/>
        </w:numPr>
        <w:tabs>
          <w:tab w:pos="792" w:val="left" w:leader="none"/>
        </w:tabs>
        <w:spacing w:line="269" w:lineRule="exact" w:before="0" w:after="0"/>
        <w:ind w:left="791" w:right="0" w:hanging="530"/>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77"/>
        </w:numPr>
        <w:tabs>
          <w:tab w:pos="792" w:val="left" w:leader="none"/>
        </w:tabs>
        <w:spacing w:line="240" w:lineRule="auto" w:before="43" w:after="0"/>
        <w:ind w:left="791" w:right="0" w:hanging="530"/>
        <w:jc w:val="left"/>
        <w:rPr>
          <w:sz w:val="21"/>
        </w:rPr>
      </w:pPr>
      <w:r>
        <w:rPr>
          <w:spacing w:val="-3"/>
          <w:sz w:val="21"/>
        </w:rPr>
        <w:t>语言能力完全丧失，或严重咀嚼吞咽功能障碍；</w:t>
      </w:r>
    </w:p>
    <w:p>
      <w:pPr>
        <w:pStyle w:val="ListParagraph"/>
        <w:numPr>
          <w:ilvl w:val="0"/>
          <w:numId w:val="77"/>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进行性风疹性</w:t>
      </w:r>
      <w:r>
        <w:rPr>
          <w:spacing w:val="-4"/>
          <w:sz w:val="21"/>
        </w:rPr>
        <w:t>全脑炎</w:t>
      </w:r>
    </w:p>
    <w:p>
      <w:pPr>
        <w:pStyle w:val="BodyText"/>
        <w:spacing w:line="278" w:lineRule="auto" w:before="72"/>
        <w:ind w:left="262" w:right="767"/>
      </w:pPr>
      <w:r>
        <w:rPr/>
        <w:br w:type="column"/>
      </w:r>
      <w:r>
        <w:rPr>
          <w:spacing w:val="-2"/>
        </w:rPr>
        <w:t>指由风疹病毒感染引起的儿童和青少年的慢性脑炎。疾病确诊 </w:t>
      </w:r>
      <w:r>
        <w:rPr/>
        <w:t>180</w:t>
      </w:r>
      <w:r>
        <w:rPr>
          <w:spacing w:val="-12"/>
        </w:rPr>
        <w:t> 天后，仍</w:t>
      </w:r>
      <w:r>
        <w:rPr>
          <w:spacing w:val="-2"/>
        </w:rPr>
        <w:t>遗留下列一种或一种以上障碍：</w:t>
      </w:r>
    </w:p>
    <w:p>
      <w:pPr>
        <w:pStyle w:val="ListParagraph"/>
        <w:numPr>
          <w:ilvl w:val="0"/>
          <w:numId w:val="78"/>
        </w:numPr>
        <w:tabs>
          <w:tab w:pos="792" w:val="left" w:leader="none"/>
        </w:tabs>
        <w:spacing w:line="269" w:lineRule="exact" w:before="0" w:after="0"/>
        <w:ind w:left="79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78"/>
        </w:numPr>
        <w:tabs>
          <w:tab w:pos="792" w:val="left" w:leader="none"/>
        </w:tabs>
        <w:spacing w:line="240" w:lineRule="auto" w:before="43" w:after="0"/>
        <w:ind w:left="791" w:right="0" w:hanging="530"/>
        <w:jc w:val="left"/>
        <w:rPr>
          <w:sz w:val="21"/>
        </w:rPr>
      </w:pPr>
      <w:r>
        <w:rPr>
          <w:spacing w:val="-3"/>
          <w:sz w:val="21"/>
        </w:rPr>
        <w:t>语言能力完全丧失，或严重咀嚼吞咽功能障碍；</w:t>
      </w:r>
    </w:p>
    <w:p>
      <w:pPr>
        <w:pStyle w:val="ListParagraph"/>
        <w:numPr>
          <w:ilvl w:val="0"/>
          <w:numId w:val="78"/>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严重类风湿性</w:t>
      </w:r>
      <w:r>
        <w:rPr>
          <w:spacing w:val="-4"/>
          <w:sz w:val="21"/>
        </w:rPr>
        <w:t>关节炎</w:t>
      </w:r>
    </w:p>
    <w:p>
      <w:pPr>
        <w:pStyle w:val="BodyText"/>
        <w:spacing w:line="278" w:lineRule="auto" w:before="72"/>
        <w:ind w:left="262" w:right="560"/>
      </w:pPr>
      <w:r>
        <w:rPr/>
        <w:br w:type="column"/>
      </w:r>
      <w:r>
        <w:rPr>
          <w:spacing w:val="-2"/>
        </w:rPr>
        <w:t>类风湿性关节炎为广泛分布的慢性进行性多关节病变，表现为关节严重变形，</w:t>
      </w:r>
      <w:r>
        <w:rPr>
          <w:spacing w:val="-2"/>
        </w:rPr>
        <w:t>侵犯至少三个主要关节或关节组（如：双手（多手指）关节、双足（多足趾）</w:t>
      </w:r>
      <w:r>
        <w:rPr>
          <w:spacing w:val="-2"/>
        </w:rPr>
        <w:t>关节、双腕关节、双膝关节和双髋关节）。类风湿性关节炎必须明确诊断并</w:t>
      </w:r>
      <w:r>
        <w:rPr>
          <w:spacing w:val="40"/>
        </w:rPr>
        <w:t> </w:t>
      </w:r>
      <w:r>
        <w:rPr>
          <w:spacing w:val="-2"/>
        </w:rPr>
        <w:t>且已经达到类风湿性关节炎功能分级Ⅲ级以上的功能障碍（关节活动严重限</w:t>
      </w:r>
      <w:r>
        <w:rPr>
          <w:spacing w:val="40"/>
        </w:rPr>
        <w:t> </w:t>
      </w:r>
      <w:r>
        <w:rPr>
          <w:spacing w:val="-2"/>
        </w:rPr>
        <w:t>制，不能完成大部分的日常工作和活动）并且满足下列全部条件：</w:t>
      </w:r>
    </w:p>
    <w:p>
      <w:pPr>
        <w:pStyle w:val="BodyText"/>
        <w:spacing w:line="269" w:lineRule="exact"/>
        <w:ind w:left="262"/>
      </w:pPr>
      <w:r>
        <w:rPr>
          <w:spacing w:val="-2"/>
        </w:rPr>
        <w:t>（1）</w:t>
      </w:r>
      <w:r>
        <w:rPr>
          <w:spacing w:val="-5"/>
        </w:rPr>
        <w:t>晨僵；</w:t>
      </w:r>
    </w:p>
    <w:p>
      <w:pPr>
        <w:pStyle w:val="ListParagraph"/>
        <w:numPr>
          <w:ilvl w:val="0"/>
          <w:numId w:val="79"/>
        </w:numPr>
        <w:tabs>
          <w:tab w:pos="792" w:val="left" w:leader="none"/>
        </w:tabs>
        <w:spacing w:line="240" w:lineRule="auto" w:before="43" w:after="0"/>
        <w:ind w:left="791" w:right="0" w:hanging="530"/>
        <w:jc w:val="left"/>
        <w:rPr>
          <w:sz w:val="21"/>
        </w:rPr>
      </w:pPr>
      <w:r>
        <w:rPr>
          <w:spacing w:val="-4"/>
          <w:sz w:val="21"/>
        </w:rPr>
        <w:t>对称性关节炎；</w:t>
      </w:r>
    </w:p>
    <w:p>
      <w:pPr>
        <w:pStyle w:val="ListParagraph"/>
        <w:numPr>
          <w:ilvl w:val="0"/>
          <w:numId w:val="79"/>
        </w:numPr>
        <w:tabs>
          <w:tab w:pos="792" w:val="left" w:leader="none"/>
        </w:tabs>
        <w:spacing w:line="240" w:lineRule="auto" w:before="43" w:after="0"/>
        <w:ind w:left="791" w:right="0" w:hanging="530"/>
        <w:jc w:val="left"/>
        <w:rPr>
          <w:sz w:val="21"/>
        </w:rPr>
      </w:pPr>
      <w:r>
        <w:rPr>
          <w:spacing w:val="-3"/>
          <w:sz w:val="21"/>
        </w:rPr>
        <w:t>类风湿性皮下结节；</w:t>
      </w:r>
    </w:p>
    <w:p>
      <w:pPr>
        <w:pStyle w:val="ListParagraph"/>
        <w:numPr>
          <w:ilvl w:val="0"/>
          <w:numId w:val="79"/>
        </w:numPr>
        <w:tabs>
          <w:tab w:pos="792" w:val="left" w:leader="none"/>
        </w:tabs>
        <w:spacing w:line="240" w:lineRule="auto" w:before="43" w:after="0"/>
        <w:ind w:left="791" w:right="0" w:hanging="530"/>
        <w:jc w:val="left"/>
        <w:rPr>
          <w:sz w:val="21"/>
        </w:rPr>
      </w:pPr>
      <w:r>
        <w:rPr>
          <w:spacing w:val="-3"/>
          <w:sz w:val="21"/>
        </w:rPr>
        <w:t>类风湿因子滴度升高；</w:t>
      </w:r>
    </w:p>
    <w:p>
      <w:pPr>
        <w:pStyle w:val="BodyText"/>
        <w:spacing w:before="43"/>
        <w:ind w:left="262"/>
      </w:pPr>
      <w:r>
        <w:rPr>
          <w:spacing w:val="-2"/>
        </w:rPr>
        <w:t>（5）X</w:t>
      </w:r>
      <w:r>
        <w:rPr>
          <w:spacing w:val="-8"/>
        </w:rPr>
        <w:t> 线显示严重的关节</w:t>
      </w:r>
      <w:r>
        <w:rPr>
          <w:spacing w:val="-2"/>
        </w:rPr>
        <w:t>（软骨和骨）</w:t>
      </w:r>
      <w:r>
        <w:rPr>
          <w:spacing w:val="-4"/>
        </w:rPr>
        <w:t>破坏和关节畸形。</w:t>
      </w:r>
    </w:p>
    <w:p>
      <w:pPr>
        <w:spacing w:after="0"/>
        <w:sectPr>
          <w:type w:val="continuous"/>
          <w:pgSz w:w="11910" w:h="16840"/>
          <w:pgMar w:header="0" w:footer="404" w:top="600" w:bottom="280" w:left="860" w:right="340"/>
          <w:cols w:num="2" w:equalWidth="0">
            <w:col w:w="2698" w:space="40"/>
            <w:col w:w="7972"/>
          </w:cols>
        </w:sectPr>
      </w:pPr>
    </w:p>
    <w:p>
      <w:pPr>
        <w:pStyle w:val="BodyText"/>
        <w:spacing w:before="7"/>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重症幼年型类</w:t>
      </w:r>
      <w:r>
        <w:rPr>
          <w:spacing w:val="-2"/>
          <w:sz w:val="21"/>
        </w:rPr>
        <w:t>风湿性关节炎</w:t>
      </w:r>
    </w:p>
    <w:p>
      <w:pPr>
        <w:pStyle w:val="BodyText"/>
        <w:spacing w:line="278" w:lineRule="auto" w:before="72"/>
        <w:ind w:left="262" w:right="767"/>
        <w:jc w:val="both"/>
      </w:pPr>
      <w:r>
        <w:rPr/>
        <w:br w:type="column"/>
      </w:r>
      <w:r>
        <w:rPr>
          <w:spacing w:val="-2"/>
        </w:rPr>
        <w:t>指为了治疗幼年型类风湿性关节炎，实际实施了膝关节或髋关节置换手术。</w:t>
      </w:r>
      <w:r>
        <w:rPr>
          <w:spacing w:val="-2"/>
        </w:rPr>
        <w:t>幼年型类风湿性关节炎是一种儿童期发病的慢性关节炎，其特点为在高热和</w:t>
      </w:r>
      <w:r>
        <w:rPr>
          <w:spacing w:val="-2"/>
        </w:rPr>
        <w:t>系统性病征出现数月后发生关节炎。</w:t>
      </w:r>
    </w:p>
    <w:p>
      <w:pPr>
        <w:pStyle w:val="Heading2"/>
        <w:spacing w:line="269" w:lineRule="exact"/>
        <w:ind w:left="262"/>
        <w:jc w:val="both"/>
      </w:pPr>
      <w:r>
        <w:rPr>
          <w:w w:val="95"/>
        </w:rPr>
        <w:t>被</w:t>
      </w:r>
      <w:r>
        <w:rPr>
          <w:w w:val="95"/>
        </w:rPr>
        <w:t>保</w:t>
      </w:r>
      <w:r>
        <w:rPr>
          <w:w w:val="95"/>
        </w:rPr>
        <w:t>险</w:t>
      </w:r>
      <w:r>
        <w:rPr>
          <w:w w:val="95"/>
        </w:rPr>
        <w:t>人</w:t>
      </w:r>
      <w:r>
        <w:rPr>
          <w:w w:val="95"/>
        </w:rPr>
        <w:t>疾</w:t>
      </w:r>
      <w:r>
        <w:rPr>
          <w:w w:val="95"/>
        </w:rPr>
        <w:t>病</w:t>
      </w:r>
      <w:r>
        <w:rPr>
          <w:w w:val="95"/>
        </w:rPr>
        <w:t>诊</w:t>
      </w:r>
      <w:r>
        <w:rPr>
          <w:w w:val="95"/>
        </w:rPr>
        <w:t>断</w:t>
      </w:r>
      <w:r>
        <w:rPr>
          <w:w w:val="95"/>
        </w:rPr>
        <w:t>时年龄</w:t>
      </w:r>
      <w:r>
        <w:rPr>
          <w:w w:val="95"/>
        </w:rPr>
        <w:t>必</w:t>
      </w:r>
      <w:r>
        <w:rPr>
          <w:w w:val="95"/>
        </w:rPr>
        <w:t>须</w:t>
      </w:r>
      <w:r>
        <w:rPr>
          <w:w w:val="95"/>
        </w:rPr>
        <w:t>在</w:t>
      </w:r>
      <w:r>
        <w:rPr>
          <w:w w:val="95"/>
        </w:rPr>
        <w:t>年</w:t>
      </w:r>
      <w:r>
        <w:rPr>
          <w:w w:val="95"/>
        </w:rPr>
        <w:t>满</w:t>
      </w:r>
      <w:r>
        <w:rPr>
          <w:spacing w:val="54"/>
        </w:rPr>
        <w:t> </w:t>
      </w:r>
      <w:r>
        <w:rPr>
          <w:w w:val="95"/>
        </w:rPr>
        <w:t>18</w:t>
      </w:r>
      <w:r>
        <w:rPr>
          <w:spacing w:val="52"/>
        </w:rPr>
        <w:t> </w:t>
      </w:r>
      <w:r>
        <w:rPr>
          <w:w w:val="95"/>
        </w:rPr>
        <w:t>周</w:t>
      </w:r>
      <w:r>
        <w:rPr>
          <w:w w:val="95"/>
        </w:rPr>
        <w:t>岁</w:t>
      </w:r>
      <w:r>
        <w:rPr>
          <w:w w:val="95"/>
        </w:rPr>
        <w:t>之</w:t>
      </w:r>
      <w:r>
        <w:rPr>
          <w:w w:val="95"/>
        </w:rPr>
        <w:t>前</w:t>
      </w:r>
      <w:r>
        <w:rPr>
          <w:spacing w:val="-10"/>
          <w:w w:val="95"/>
        </w:rPr>
        <w:t>。</w:t>
      </w:r>
    </w:p>
    <w:p>
      <w:pPr>
        <w:spacing w:after="0" w:line="269" w:lineRule="exact"/>
        <w:jc w:val="both"/>
        <w:sectPr>
          <w:type w:val="continuous"/>
          <w:pgSz w:w="11910" w:h="16840"/>
          <w:pgMar w:header="0" w:footer="404" w:top="600" w:bottom="280" w:left="860" w:right="340"/>
          <w:cols w:num="2" w:equalWidth="0">
            <w:col w:w="2698" w:space="40"/>
            <w:col w:w="7972"/>
          </w:cols>
        </w:sectPr>
      </w:pPr>
    </w:p>
    <w:p>
      <w:pPr>
        <w:pStyle w:val="BodyText"/>
        <w:spacing w:before="5"/>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严重强直性脊</w:t>
      </w:r>
      <w:r>
        <w:rPr>
          <w:spacing w:val="-6"/>
          <w:sz w:val="21"/>
        </w:rPr>
        <w:t>柱炎</w:t>
      </w:r>
    </w:p>
    <w:p>
      <w:pPr>
        <w:pStyle w:val="BodyText"/>
        <w:spacing w:line="278" w:lineRule="auto" w:before="71"/>
        <w:ind w:left="262" w:right="667"/>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p>
    <w:p>
      <w:pPr>
        <w:pStyle w:val="ListParagraph"/>
        <w:numPr>
          <w:ilvl w:val="0"/>
          <w:numId w:val="80"/>
        </w:numPr>
        <w:tabs>
          <w:tab w:pos="792" w:val="left" w:leader="none"/>
        </w:tabs>
        <w:spacing w:line="269" w:lineRule="exact" w:before="0" w:after="0"/>
        <w:ind w:left="791" w:right="0" w:hanging="530"/>
        <w:jc w:val="left"/>
        <w:rPr>
          <w:sz w:val="21"/>
        </w:rPr>
      </w:pPr>
      <w:r>
        <w:rPr>
          <w:spacing w:val="-4"/>
          <w:sz w:val="21"/>
        </w:rPr>
        <w:t>严重脊柱畸形；</w:t>
      </w:r>
    </w:p>
    <w:p>
      <w:pPr>
        <w:pStyle w:val="ListParagraph"/>
        <w:numPr>
          <w:ilvl w:val="0"/>
          <w:numId w:val="80"/>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3"/>
        <w:rPr>
          <w:sz w:val="12"/>
        </w:rPr>
      </w:pPr>
    </w:p>
    <w:p>
      <w:pPr>
        <w:pStyle w:val="ListParagraph"/>
        <w:numPr>
          <w:ilvl w:val="2"/>
          <w:numId w:val="40"/>
        </w:numPr>
        <w:tabs>
          <w:tab w:pos="1439" w:val="left" w:leader="none"/>
        </w:tabs>
        <w:spacing w:line="278" w:lineRule="auto" w:before="72" w:after="0"/>
        <w:ind w:left="3000" w:right="667" w:hanging="1880"/>
        <w:jc w:val="both"/>
        <w:rPr>
          <w:sz w:val="21"/>
        </w:rPr>
      </w:pPr>
      <w:r>
        <w:rPr>
          <w:sz w:val="21"/>
        </w:rPr>
        <w:t>脑型疟疾</w:t>
      </w:r>
      <w:r>
        <w:rPr>
          <w:spacing w:val="617"/>
          <w:sz w:val="21"/>
        </w:rPr>
        <w:t> </w:t>
      </w:r>
      <w:r>
        <w:rPr>
          <w:sz w:val="21"/>
        </w:rPr>
        <w:t>恶性疟原虫严重感染导致的脑病或脑型疟疾，以昏迷为主要特征。脑型疟疾</w:t>
      </w:r>
      <w:r>
        <w:rPr>
          <w:spacing w:val="-2"/>
          <w:sz w:val="21"/>
        </w:rPr>
        <w:t>的诊断须在本公司认可的医疗机构内由专科医生明确诊断，且外周血涂片存</w:t>
      </w:r>
      <w:r>
        <w:rPr>
          <w:spacing w:val="-2"/>
          <w:sz w:val="21"/>
        </w:rPr>
        <w:t>在恶性疟原虫。</w:t>
      </w:r>
    </w:p>
    <w:p>
      <w:pPr>
        <w:pStyle w:val="Heading2"/>
        <w:spacing w:line="269" w:lineRule="exact"/>
      </w:pPr>
      <w:r>
        <w:rPr>
          <w:spacing w:val="-3"/>
        </w:rPr>
        <w:t>其他明确病因导致的脑病不在本保障范围内。</w:t>
      </w:r>
    </w:p>
    <w:p>
      <w:pPr>
        <w:pStyle w:val="BodyText"/>
        <w:spacing w:before="2"/>
        <w:rPr>
          <w:b/>
        </w:rPr>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神经白塞病 是一种慢性全身性血管炎症性疾病，主要表现为复发性口腔溃疡、生殖器溃</w:t>
      </w:r>
      <w:r>
        <w:rPr>
          <w:spacing w:val="-2"/>
          <w:sz w:val="21"/>
        </w:rPr>
        <w:t>疡、眼炎及皮肤损害，并可累及大血管、神经系统、消化道、肺、肾等等。</w:t>
      </w:r>
      <w:r>
        <w:rPr>
          <w:spacing w:val="-2"/>
          <w:sz w:val="21"/>
        </w:rPr>
        <w:t>累及神经系统损害的白塞病称为神经白塞病。神经白塞病必须在本公司认可</w:t>
      </w:r>
    </w:p>
    <w:p>
      <w:pPr>
        <w:spacing w:after="0" w:line="278" w:lineRule="auto"/>
        <w:jc w:val="both"/>
        <w:rPr>
          <w:sz w:val="21"/>
        </w:rPr>
        <w:sectPr>
          <w:type w:val="continuous"/>
          <w:pgSz w:w="11910" w:h="16840"/>
          <w:pgMar w:header="0" w:footer="404" w:top="600" w:bottom="280" w:left="860" w:right="340"/>
        </w:sectPr>
      </w:pPr>
    </w:p>
    <w:p>
      <w:pPr>
        <w:pStyle w:val="BodyText"/>
        <w:spacing w:line="278" w:lineRule="auto" w:before="57"/>
        <w:ind w:left="3000" w:right="766"/>
        <w:jc w:val="both"/>
      </w:pPr>
      <w:r>
        <w:rPr>
          <w:spacing w:val="-2"/>
        </w:rPr>
        <w:t>的医疗机构内由专科医生明确诊断，并且已经造成永久不可逆的神经系统功</w:t>
      </w:r>
      <w:r>
        <w:rPr>
          <w:spacing w:val="-3"/>
        </w:rPr>
        <w:t>能损害。永久不可逆的神经系统损害指被保险人持续 </w:t>
      </w:r>
      <w:r>
        <w:rPr>
          <w:spacing w:val="-2"/>
        </w:rPr>
        <w:t>180</w:t>
      </w:r>
      <w:r>
        <w:rPr>
          <w:spacing w:val="-7"/>
        </w:rPr>
        <w:t> 天无法独立完成六</w:t>
      </w:r>
      <w:r>
        <w:rPr>
          <w:spacing w:val="-2"/>
        </w:rPr>
        <w:t>项基本日常生活活动中的三项或三项以上。</w:t>
      </w:r>
    </w:p>
    <w:p>
      <w:pPr>
        <w:pStyle w:val="BodyText"/>
        <w:spacing w:before="4"/>
        <w:rPr>
          <w:sz w:val="24"/>
        </w:rPr>
      </w:pPr>
    </w:p>
    <w:p>
      <w:pPr>
        <w:pStyle w:val="ListParagraph"/>
        <w:numPr>
          <w:ilvl w:val="2"/>
          <w:numId w:val="40"/>
        </w:numPr>
        <w:tabs>
          <w:tab w:pos="1439" w:val="left" w:leader="none"/>
        </w:tabs>
        <w:spacing w:line="278" w:lineRule="auto" w:before="0" w:after="0"/>
        <w:ind w:left="3000" w:right="767" w:hanging="1880"/>
        <w:jc w:val="both"/>
        <w:rPr>
          <w:sz w:val="21"/>
        </w:rPr>
      </w:pPr>
      <w:r>
        <w:rPr>
          <w:sz w:val="21"/>
        </w:rPr>
        <w:t>库鲁病</w:t>
      </w:r>
      <w:r>
        <w:rPr>
          <w:spacing w:val="798"/>
          <w:sz w:val="21"/>
        </w:rPr>
        <w:t> </w:t>
      </w:r>
      <w:r>
        <w:rPr>
          <w:sz w:val="21"/>
        </w:rPr>
        <w:t>指一种亚急性传染性朊蛋白病。临床表现为共济失调、震颤、不自主运动，</w:t>
      </w:r>
      <w:r>
        <w:rPr>
          <w:spacing w:val="-2"/>
          <w:sz w:val="21"/>
        </w:rPr>
        <w:t>在病程晚期出现进行性加重的痴呆，神经异常。库鲁病必须在本公司认可的</w:t>
      </w:r>
      <w:r>
        <w:rPr>
          <w:spacing w:val="-2"/>
          <w:sz w:val="21"/>
        </w:rPr>
        <w:t>医疗机构内由专科医生根据检测出的脑组织中的致病蛋白明确诊断。</w:t>
      </w:r>
    </w:p>
    <w:p>
      <w:pPr>
        <w:pStyle w:val="BodyText"/>
        <w:spacing w:before="10"/>
        <w:rPr>
          <w:sz w:val="17"/>
        </w:rPr>
      </w:pPr>
    </w:p>
    <w:p>
      <w:pPr>
        <w:pStyle w:val="ListParagraph"/>
        <w:numPr>
          <w:ilvl w:val="2"/>
          <w:numId w:val="40"/>
        </w:numPr>
        <w:tabs>
          <w:tab w:pos="1439" w:val="left" w:leader="none"/>
          <w:tab w:pos="3000" w:val="left" w:leader="none"/>
        </w:tabs>
        <w:spacing w:line="278" w:lineRule="auto" w:before="0" w:after="0"/>
        <w:ind w:left="3000" w:right="666" w:hanging="1880"/>
        <w:jc w:val="left"/>
        <w:rPr>
          <w:sz w:val="21"/>
        </w:rPr>
      </w:pPr>
      <w:r>
        <w:rPr>
          <w:spacing w:val="-2"/>
          <w:sz w:val="21"/>
        </w:rPr>
        <w:t>严重克雅氏症</w:t>
      </w:r>
      <w:r>
        <w:rPr>
          <w:sz w:val="21"/>
        </w:rPr>
        <w:tab/>
      </w:r>
      <w:r>
        <w:rPr>
          <w:spacing w:val="-2"/>
          <w:sz w:val="21"/>
        </w:rPr>
        <w:t>指</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w:t>
      </w:r>
      <w:r>
        <w:rPr>
          <w:spacing w:val="-2"/>
          <w:sz w:val="21"/>
        </w:rPr>
        <w:t>性</w:t>
      </w:r>
      <w:r>
        <w:rPr>
          <w:spacing w:val="-2"/>
          <w:sz w:val="21"/>
        </w:rPr>
        <w:t>脑</w:t>
      </w:r>
      <w:r>
        <w:rPr>
          <w:spacing w:val="-2"/>
          <w:sz w:val="21"/>
        </w:rPr>
        <w:t>电</w:t>
      </w:r>
      <w:r>
        <w:rPr>
          <w:spacing w:val="-2"/>
          <w:sz w:val="21"/>
        </w:rPr>
        <w:t>图</w:t>
      </w:r>
      <w:r>
        <w:rPr>
          <w:spacing w:val="-2"/>
          <w:sz w:val="21"/>
        </w:rPr>
        <w:t>变化。该病必须在本</w:t>
      </w:r>
      <w:r>
        <w:rPr>
          <w:spacing w:val="-2"/>
          <w:sz w:val="21"/>
        </w:rPr>
        <w:t>公</w:t>
      </w:r>
      <w:r>
        <w:rPr>
          <w:spacing w:val="-2"/>
          <w:sz w:val="21"/>
        </w:rPr>
        <w:t>司</w:t>
      </w:r>
      <w:r>
        <w:rPr>
          <w:spacing w:val="-2"/>
          <w:sz w:val="21"/>
        </w:rPr>
        <w:t>认可的医疗机构内由</w:t>
      </w:r>
      <w:r>
        <w:rPr>
          <w:spacing w:val="-2"/>
          <w:sz w:val="21"/>
        </w:rPr>
        <w:t>专</w:t>
      </w:r>
      <w:r>
        <w:rPr>
          <w:spacing w:val="-2"/>
          <w:sz w:val="21"/>
        </w:rPr>
        <w:t>科</w:t>
      </w:r>
      <w:r>
        <w:rPr>
          <w:spacing w:val="-2"/>
          <w:sz w:val="21"/>
        </w:rPr>
        <w:t>医生根据世界卫</w:t>
      </w:r>
      <w:r>
        <w:rPr>
          <w:spacing w:val="-2"/>
          <w:sz w:val="21"/>
        </w:rPr>
        <w:t>生</w:t>
      </w:r>
      <w:r>
        <w:rPr>
          <w:spacing w:val="-2"/>
          <w:sz w:val="21"/>
        </w:rPr>
        <w:t>组</w:t>
      </w:r>
      <w:r>
        <w:rPr>
          <w:sz w:val="21"/>
        </w:rPr>
        <w:t>织（WHO，</w:t>
      </w:r>
      <w:r>
        <w:rPr>
          <w:spacing w:val="-10"/>
          <w:sz w:val="21"/>
        </w:rPr>
        <w:t> </w:t>
      </w:r>
      <w:r>
        <w:rPr>
          <w:sz w:val="21"/>
        </w:rPr>
        <w:t>World</w:t>
      </w:r>
      <w:r>
        <w:rPr>
          <w:spacing w:val="-10"/>
          <w:sz w:val="21"/>
        </w:rPr>
        <w:t> </w:t>
      </w:r>
      <w:r>
        <w:rPr>
          <w:sz w:val="21"/>
        </w:rPr>
        <w:t>Health</w:t>
      </w:r>
      <w:r>
        <w:rPr>
          <w:spacing w:val="-13"/>
          <w:sz w:val="21"/>
        </w:rPr>
        <w:t> </w:t>
      </w:r>
      <w:r>
        <w:rPr>
          <w:sz w:val="21"/>
        </w:rPr>
        <w:t>Organization）诊断标准</w:t>
      </w:r>
      <w:r>
        <w:rPr>
          <w:sz w:val="21"/>
        </w:rPr>
        <w:t>明确诊断，且被保险</w:t>
      </w:r>
      <w:r>
        <w:rPr>
          <w:sz w:val="21"/>
        </w:rPr>
        <w:t>人自</w:t>
      </w:r>
      <w:r>
        <w:rPr>
          <w:spacing w:val="-2"/>
          <w:sz w:val="21"/>
        </w:rPr>
        <w:t>主</w:t>
      </w:r>
      <w:r>
        <w:rPr>
          <w:spacing w:val="-2"/>
          <w:sz w:val="21"/>
        </w:rPr>
        <w:t>生</w:t>
      </w:r>
      <w:r>
        <w:rPr>
          <w:spacing w:val="-2"/>
          <w:sz w:val="21"/>
        </w:rPr>
        <w:t>活能力完全丧失，无</w:t>
      </w:r>
      <w:r>
        <w:rPr>
          <w:spacing w:val="-2"/>
          <w:sz w:val="21"/>
        </w:rPr>
        <w:t>法</w:t>
      </w:r>
      <w:r>
        <w:rPr>
          <w:spacing w:val="-2"/>
          <w:sz w:val="21"/>
        </w:rPr>
        <w:t>独</w:t>
      </w:r>
      <w:r>
        <w:rPr>
          <w:spacing w:val="-2"/>
          <w:sz w:val="21"/>
        </w:rPr>
        <w:t>立完成六项基本日常</w:t>
      </w:r>
      <w:r>
        <w:rPr>
          <w:spacing w:val="-2"/>
          <w:sz w:val="21"/>
        </w:rPr>
        <w:t>生</w:t>
      </w:r>
      <w:r>
        <w:rPr>
          <w:spacing w:val="-2"/>
          <w:sz w:val="21"/>
        </w:rPr>
        <w:t>活</w:t>
      </w:r>
      <w:r>
        <w:rPr>
          <w:spacing w:val="-2"/>
          <w:sz w:val="21"/>
        </w:rPr>
        <w:t>活动中的三项或</w:t>
      </w:r>
      <w:r>
        <w:rPr>
          <w:spacing w:val="-2"/>
          <w:sz w:val="21"/>
        </w:rPr>
        <w:t>三</w:t>
      </w:r>
      <w:r>
        <w:rPr>
          <w:spacing w:val="-2"/>
          <w:sz w:val="21"/>
        </w:rPr>
        <w:t>项</w:t>
      </w:r>
      <w:r>
        <w:rPr>
          <w:spacing w:val="-4"/>
          <w:sz w:val="21"/>
        </w:rPr>
        <w:t>以</w:t>
      </w:r>
      <w:r>
        <w:rPr>
          <w:spacing w:val="-4"/>
          <w:sz w:val="21"/>
        </w:rPr>
        <w:t>上</w:t>
      </w:r>
      <w:r>
        <w:rPr>
          <w:spacing w:val="-4"/>
          <w:sz w:val="21"/>
        </w:rPr>
        <w:t>。</w:t>
      </w:r>
    </w:p>
    <w:p>
      <w:pPr>
        <w:pStyle w:val="BodyText"/>
        <w:spacing w:before="10"/>
        <w:rPr>
          <w:sz w:val="17"/>
        </w:rPr>
      </w:pPr>
    </w:p>
    <w:p>
      <w:pPr>
        <w:pStyle w:val="ListParagraph"/>
        <w:numPr>
          <w:ilvl w:val="2"/>
          <w:numId w:val="40"/>
        </w:numPr>
        <w:tabs>
          <w:tab w:pos="1439" w:val="left" w:leader="none"/>
          <w:tab w:pos="3000" w:val="left" w:leader="none"/>
        </w:tabs>
        <w:spacing w:line="278" w:lineRule="auto" w:before="1" w:after="0"/>
        <w:ind w:left="3000" w:right="561" w:hanging="1880"/>
        <w:jc w:val="left"/>
        <w:rPr>
          <w:b/>
          <w:sz w:val="21"/>
        </w:rPr>
      </w:pPr>
      <w:r>
        <w:rPr>
          <w:spacing w:val="-4"/>
          <w:sz w:val="21"/>
        </w:rPr>
        <w:t>胰腺移植</w:t>
      </w:r>
      <w:r>
        <w:rPr>
          <w:sz w:val="21"/>
        </w:rPr>
        <w:tab/>
      </w:r>
      <w:r>
        <w:rPr>
          <w:spacing w:val="-2"/>
          <w:sz w:val="21"/>
        </w:rPr>
        <w:t>指</w:t>
      </w:r>
      <w:r>
        <w:rPr>
          <w:spacing w:val="-2"/>
          <w:sz w:val="21"/>
        </w:rPr>
        <w:t>胰</w:t>
      </w:r>
      <w:r>
        <w:rPr>
          <w:spacing w:val="-2"/>
          <w:sz w:val="21"/>
        </w:rPr>
        <w:t>腺功能衰竭，已经实</w:t>
      </w:r>
      <w:r>
        <w:rPr>
          <w:spacing w:val="-2"/>
          <w:sz w:val="21"/>
        </w:rPr>
        <w:t>施</w:t>
      </w:r>
      <w:r>
        <w:rPr>
          <w:spacing w:val="-2"/>
          <w:sz w:val="21"/>
        </w:rPr>
        <w:t>了</w:t>
      </w:r>
      <w:r>
        <w:rPr>
          <w:spacing w:val="-2"/>
          <w:sz w:val="21"/>
        </w:rPr>
        <w:t>在全身麻醉下进行的</w:t>
      </w:r>
      <w:r>
        <w:rPr>
          <w:spacing w:val="-2"/>
          <w:sz w:val="21"/>
        </w:rPr>
        <w:t>胰</w:t>
      </w:r>
      <w:r>
        <w:rPr>
          <w:spacing w:val="-2"/>
          <w:sz w:val="21"/>
        </w:rPr>
        <w:t>腺</w:t>
      </w:r>
      <w:r>
        <w:rPr>
          <w:spacing w:val="-2"/>
          <w:sz w:val="21"/>
        </w:rPr>
        <w:t>的异体器官移植手术。</w:t>
      </w:r>
      <w:r>
        <w:rPr>
          <w:b/>
          <w:spacing w:val="-2"/>
          <w:sz w:val="21"/>
        </w:rPr>
        <w:t>单</w:t>
      </w:r>
      <w:r>
        <w:rPr>
          <w:b/>
          <w:spacing w:val="-2"/>
          <w:sz w:val="21"/>
        </w:rPr>
        <w:t>纯</w:t>
      </w:r>
      <w:r>
        <w:rPr>
          <w:b/>
          <w:spacing w:val="-2"/>
          <w:sz w:val="21"/>
        </w:rPr>
        <w:t>胰</w:t>
      </w:r>
      <w:r>
        <w:rPr>
          <w:b/>
          <w:spacing w:val="-2"/>
          <w:sz w:val="21"/>
        </w:rPr>
        <w:t>岛</w:t>
      </w:r>
      <w:r>
        <w:rPr>
          <w:b/>
          <w:spacing w:val="-2"/>
          <w:sz w:val="21"/>
        </w:rPr>
        <w:t>移</w:t>
      </w:r>
      <w:r>
        <w:rPr>
          <w:b/>
          <w:spacing w:val="-2"/>
          <w:sz w:val="21"/>
        </w:rPr>
        <w:t>植</w:t>
      </w:r>
      <w:r>
        <w:rPr>
          <w:b/>
          <w:spacing w:val="-2"/>
          <w:sz w:val="21"/>
        </w:rPr>
        <w:t>、</w:t>
      </w:r>
      <w:r>
        <w:rPr>
          <w:b/>
          <w:spacing w:val="-2"/>
          <w:sz w:val="21"/>
        </w:rPr>
        <w:t>部</w:t>
      </w:r>
      <w:r>
        <w:rPr>
          <w:b/>
          <w:spacing w:val="-2"/>
          <w:sz w:val="21"/>
        </w:rPr>
        <w:t>分胰腺</w:t>
      </w:r>
      <w:r>
        <w:rPr>
          <w:b/>
          <w:spacing w:val="-2"/>
          <w:sz w:val="21"/>
        </w:rPr>
        <w:t>组</w:t>
      </w:r>
      <w:r>
        <w:rPr>
          <w:b/>
          <w:spacing w:val="-2"/>
          <w:sz w:val="21"/>
        </w:rPr>
        <w:t>织</w:t>
      </w:r>
      <w:r>
        <w:rPr>
          <w:b/>
          <w:spacing w:val="-2"/>
          <w:sz w:val="21"/>
        </w:rPr>
        <w:t>或</w:t>
      </w:r>
      <w:r>
        <w:rPr>
          <w:b/>
          <w:spacing w:val="-2"/>
          <w:sz w:val="21"/>
        </w:rPr>
        <w:t>细</w:t>
      </w:r>
      <w:r>
        <w:rPr>
          <w:b/>
          <w:spacing w:val="-2"/>
          <w:sz w:val="21"/>
        </w:rPr>
        <w:t>胞</w:t>
      </w:r>
      <w:r>
        <w:rPr>
          <w:b/>
          <w:spacing w:val="-2"/>
          <w:sz w:val="21"/>
        </w:rPr>
        <w:t>的</w:t>
      </w:r>
      <w:r>
        <w:rPr>
          <w:b/>
          <w:spacing w:val="-2"/>
          <w:sz w:val="21"/>
        </w:rPr>
        <w:t>移</w:t>
      </w:r>
      <w:r>
        <w:rPr>
          <w:b/>
          <w:spacing w:val="-2"/>
          <w:sz w:val="21"/>
        </w:rPr>
        <w:t>植</w:t>
      </w:r>
      <w:r>
        <w:rPr>
          <w:b/>
          <w:spacing w:val="-2"/>
          <w:sz w:val="21"/>
        </w:rPr>
        <w:t>不在本</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spacing w:before="12"/>
        <w:rPr>
          <w:b/>
          <w:sz w:val="11"/>
        </w:rPr>
      </w:pPr>
    </w:p>
    <w:p>
      <w:pPr>
        <w:spacing w:after="0"/>
        <w:rPr>
          <w:sz w:val="11"/>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原发性硬化性</w:t>
      </w:r>
      <w:r>
        <w:rPr>
          <w:spacing w:val="-4"/>
          <w:sz w:val="21"/>
        </w:rPr>
        <w:t>胆管炎</w:t>
      </w:r>
    </w:p>
    <w:p>
      <w:pPr>
        <w:pStyle w:val="BodyText"/>
        <w:spacing w:line="278" w:lineRule="auto" w:before="72"/>
        <w:ind w:left="262" w:right="562"/>
      </w:pPr>
      <w:r>
        <w:rPr/>
        <w:br w:type="column"/>
      </w:r>
      <w:r>
        <w:rPr>
          <w:spacing w:val="-2"/>
        </w:rPr>
        <w:t>指一种胆汁淤积综合征，其特征是肝内、肝外胆道因纤维化性炎症逐渐狭窄，</w:t>
      </w:r>
      <w:r>
        <w:rPr>
          <w:spacing w:val="-2"/>
        </w:rPr>
        <w:t>并最终导致完全阻塞而发展为肝硬化。本病须经内镜逆行胰胆管造影等影像</w:t>
      </w:r>
      <w:r>
        <w:rPr>
          <w:spacing w:val="40"/>
        </w:rPr>
        <w:t> </w:t>
      </w:r>
      <w:r>
        <w:rPr>
          <w:spacing w:val="-2"/>
        </w:rPr>
        <w:t>学检查证实，并须满足下列全部条件：</w:t>
      </w:r>
    </w:p>
    <w:p>
      <w:pPr>
        <w:pStyle w:val="ListParagraph"/>
        <w:numPr>
          <w:ilvl w:val="0"/>
          <w:numId w:val="81"/>
        </w:numPr>
        <w:tabs>
          <w:tab w:pos="792" w:val="left" w:leader="none"/>
        </w:tabs>
        <w:spacing w:line="269" w:lineRule="exact" w:before="0" w:after="0"/>
        <w:ind w:left="791" w:right="0" w:hanging="530"/>
        <w:jc w:val="left"/>
        <w:rPr>
          <w:sz w:val="21"/>
        </w:rPr>
      </w:pPr>
      <w:r>
        <w:rPr>
          <w:spacing w:val="1"/>
          <w:sz w:val="21"/>
        </w:rPr>
        <w:t>总胆红素和直接胆红素同时升高，血清</w:t>
      </w:r>
      <w:r>
        <w:rPr>
          <w:spacing w:val="-2"/>
          <w:sz w:val="21"/>
        </w:rPr>
        <w:t>ALP&gt;200U/L；</w:t>
      </w:r>
    </w:p>
    <w:p>
      <w:pPr>
        <w:pStyle w:val="ListParagraph"/>
        <w:numPr>
          <w:ilvl w:val="0"/>
          <w:numId w:val="81"/>
        </w:numPr>
        <w:tabs>
          <w:tab w:pos="792" w:val="left" w:leader="none"/>
        </w:tabs>
        <w:spacing w:line="240" w:lineRule="auto" w:before="43" w:after="0"/>
        <w:ind w:left="791" w:right="0" w:hanging="530"/>
        <w:jc w:val="left"/>
        <w:rPr>
          <w:sz w:val="21"/>
        </w:rPr>
      </w:pPr>
      <w:r>
        <w:rPr>
          <w:spacing w:val="-4"/>
          <w:sz w:val="21"/>
        </w:rPr>
        <w:t>持续性黄疸病史；</w:t>
      </w:r>
    </w:p>
    <w:p>
      <w:pPr>
        <w:pStyle w:val="ListParagraph"/>
        <w:numPr>
          <w:ilvl w:val="0"/>
          <w:numId w:val="81"/>
        </w:numPr>
        <w:tabs>
          <w:tab w:pos="792" w:val="left" w:leader="none"/>
        </w:tabs>
        <w:spacing w:line="240" w:lineRule="auto" w:before="43" w:after="0"/>
        <w:ind w:left="791" w:right="0" w:hanging="530"/>
        <w:jc w:val="left"/>
        <w:rPr>
          <w:sz w:val="21"/>
        </w:rPr>
      </w:pPr>
      <w:r>
        <w:rPr>
          <w:spacing w:val="-3"/>
          <w:sz w:val="21"/>
        </w:rPr>
        <w:t>出现胆汁性肝硬化或门脉高压。</w:t>
      </w:r>
    </w:p>
    <w:p>
      <w:pPr>
        <w:pStyle w:val="Heading2"/>
        <w:spacing w:before="43"/>
        <w:ind w:left="262"/>
      </w:pPr>
      <w:r>
        <w:rPr>
          <w:spacing w:val="-3"/>
        </w:rPr>
        <w:t>因肿瘤或胆管损伤等继发性的硬化性胆管炎不在保障范围内。</w:t>
      </w:r>
    </w:p>
    <w:p>
      <w:pPr>
        <w:spacing w:after="0"/>
        <w:sectPr>
          <w:type w:val="continuous"/>
          <w:pgSz w:w="11910" w:h="16840"/>
          <w:pgMar w:header="0" w:footer="404" w:top="600" w:bottom="280" w:left="860" w:right="340"/>
          <w:cols w:num="2" w:equalWidth="0">
            <w:col w:w="2698" w:space="40"/>
            <w:col w:w="7972"/>
          </w:cols>
        </w:sectPr>
      </w:pP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失去一肢及一</w:t>
      </w:r>
      <w:r>
        <w:rPr>
          <w:spacing w:val="-10"/>
          <w:sz w:val="21"/>
        </w:rPr>
        <w:t>眼</w:t>
      </w:r>
    </w:p>
    <w:p>
      <w:pPr>
        <w:pStyle w:val="BodyText"/>
        <w:spacing w:line="278" w:lineRule="auto" w:before="72"/>
        <w:ind w:left="262" w:right="767"/>
      </w:pPr>
      <w:r>
        <w:rPr/>
        <w:br w:type="column"/>
      </w:r>
      <w:r>
        <w:rPr>
          <w:spacing w:val="-2"/>
        </w:rPr>
        <w:t>因疾病或意外伤害导致单眼视力丧失及任何一肢自腕关节或踝关节近端（靠</w:t>
      </w:r>
      <w:r>
        <w:rPr>
          <w:spacing w:val="-2"/>
        </w:rPr>
        <w:t>近躯干端）以上完全性断离。</w:t>
      </w:r>
    </w:p>
    <w:p>
      <w:pPr>
        <w:pStyle w:val="BodyText"/>
        <w:ind w:left="262"/>
      </w:pPr>
      <w:r>
        <w:rPr>
          <w:spacing w:val="-3"/>
        </w:rPr>
        <w:t>单眼视力丧失指单眼视力永久不可逆性丧失，患眼须满足下列至少一项条件：</w:t>
      </w:r>
    </w:p>
    <w:p>
      <w:pPr>
        <w:pStyle w:val="ListParagraph"/>
        <w:numPr>
          <w:ilvl w:val="0"/>
          <w:numId w:val="82"/>
        </w:numPr>
        <w:tabs>
          <w:tab w:pos="792" w:val="left" w:leader="none"/>
        </w:tabs>
        <w:spacing w:line="240" w:lineRule="auto" w:before="43" w:after="0"/>
        <w:ind w:left="791" w:right="0" w:hanging="530"/>
        <w:jc w:val="left"/>
        <w:rPr>
          <w:sz w:val="21"/>
        </w:rPr>
      </w:pPr>
      <w:r>
        <w:rPr>
          <w:spacing w:val="-4"/>
          <w:sz w:val="21"/>
        </w:rPr>
        <w:t>眼球缺失或摘除；</w:t>
      </w:r>
    </w:p>
    <w:p>
      <w:pPr>
        <w:pStyle w:val="ListParagraph"/>
        <w:numPr>
          <w:ilvl w:val="0"/>
          <w:numId w:val="82"/>
        </w:numPr>
        <w:tabs>
          <w:tab w:pos="792" w:val="left" w:leader="none"/>
        </w:tabs>
        <w:spacing w:line="278" w:lineRule="auto" w:before="43" w:after="0"/>
        <w:ind w:left="788"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82"/>
        </w:numPr>
        <w:tabs>
          <w:tab w:pos="792" w:val="left" w:leader="none"/>
        </w:tabs>
        <w:spacing w:line="269" w:lineRule="exact" w:before="0" w:after="0"/>
        <w:ind w:left="791" w:right="0" w:hanging="530"/>
        <w:jc w:val="left"/>
        <w:rPr>
          <w:sz w:val="21"/>
        </w:rPr>
      </w:pPr>
      <w:r>
        <w:rPr>
          <w:spacing w:val="-10"/>
          <w:sz w:val="21"/>
        </w:rPr>
        <w:t>视野半径小于 </w:t>
      </w:r>
      <w:r>
        <w:rPr>
          <w:spacing w:val="-2"/>
          <w:sz w:val="21"/>
        </w:rPr>
        <w:t>5</w:t>
      </w:r>
      <w:r>
        <w:rPr>
          <w:spacing w:val="-21"/>
          <w:sz w:val="21"/>
        </w:rPr>
        <w:t> 度。</w:t>
      </w:r>
    </w:p>
    <w:p>
      <w:pPr>
        <w:pStyle w:val="Heading2"/>
        <w:spacing w:line="278" w:lineRule="auto" w:before="43"/>
        <w:ind w:left="262" w:right="743"/>
      </w:pPr>
      <w:r>
        <w:rPr>
          <w:spacing w:val="-2"/>
        </w:rPr>
        <w:t>除眼球缺失或摘除情形外，申请理赔时，被保险人年龄必须在 </w:t>
      </w:r>
      <w:r>
        <w:rPr/>
        <w:t>3</w:t>
      </w:r>
      <w:r>
        <w:rPr>
          <w:spacing w:val="-10"/>
        </w:rPr>
        <w:t> 周岁以上，</w:t>
      </w:r>
      <w:r>
        <w:rPr>
          <w:spacing w:val="-2"/>
        </w:rPr>
        <w:t>并且须提供理赔当时的视力丧失诊断及检查证据。</w:t>
      </w:r>
    </w:p>
    <w:p>
      <w:pPr>
        <w:spacing w:line="269" w:lineRule="exact" w:before="0"/>
        <w:ind w:left="262" w:right="0" w:firstLine="0"/>
        <w:jc w:val="left"/>
        <w:rPr>
          <w:b/>
          <w:sz w:val="21"/>
        </w:rPr>
      </w:pPr>
      <w:r>
        <w:rPr>
          <w:b/>
          <w:spacing w:val="-3"/>
          <w:sz w:val="21"/>
        </w:rPr>
        <w:t>投保时已有单眼缺失或有一肢缺失的不在保障范围内。</w:t>
      </w:r>
    </w:p>
    <w:p>
      <w:pPr>
        <w:spacing w:after="0" w:line="269" w:lineRule="exact"/>
        <w:jc w:val="left"/>
        <w:rPr>
          <w:sz w:val="21"/>
        </w:rPr>
        <w:sectPr>
          <w:type w:val="continuous"/>
          <w:pgSz w:w="11910" w:h="16840"/>
          <w:pgMar w:header="0" w:footer="404" w:top="600" w:bottom="280" w:left="860" w:right="340"/>
          <w:cols w:num="2" w:equalWidth="0">
            <w:col w:w="2698" w:space="40"/>
            <w:col w:w="7972"/>
          </w:cols>
        </w:sectPr>
      </w:pPr>
    </w:p>
    <w:p>
      <w:pPr>
        <w:pStyle w:val="BodyText"/>
        <w:spacing w:before="4"/>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系统性红斑狼</w:t>
      </w:r>
      <w:r>
        <w:rPr>
          <w:spacing w:val="-10"/>
          <w:sz w:val="21"/>
        </w:rPr>
        <w:t>疮 －</w:t>
      </w:r>
      <w:r>
        <w:rPr>
          <w:sz w:val="21"/>
        </w:rPr>
        <w:t>（并发）Ⅲ</w:t>
      </w:r>
      <w:r>
        <w:rPr>
          <w:spacing w:val="-2"/>
          <w:sz w:val="21"/>
        </w:rPr>
        <w:t>型或以上狼疮性</w:t>
      </w:r>
      <w:r>
        <w:rPr>
          <w:spacing w:val="-6"/>
          <w:sz w:val="21"/>
        </w:rPr>
        <w:t>肾炎</w:t>
      </w:r>
    </w:p>
    <w:p>
      <w:pPr>
        <w:pStyle w:val="BodyText"/>
        <w:spacing w:line="278" w:lineRule="auto" w:before="72"/>
        <w:ind w:left="262" w:right="767"/>
      </w:pPr>
      <w:r>
        <w:rPr/>
        <w:br w:type="column"/>
      </w:r>
      <w:r>
        <w:rPr>
          <w:spacing w:val="-2"/>
        </w:rPr>
        <w:t>系统性红斑狼疮是由多种因素引起，累及多系统的自身免疫性疾病。其特点</w:t>
      </w:r>
      <w:r>
        <w:rPr>
          <w:spacing w:val="-2"/>
        </w:rPr>
        <w:t>是生成自身抗体对抗多种自身抗原。多见于育龄妇女。</w:t>
      </w:r>
    </w:p>
    <w:p>
      <w:pPr>
        <w:spacing w:line="278" w:lineRule="auto" w:before="0"/>
        <w:ind w:left="262" w:right="666" w:firstLine="0"/>
        <w:jc w:val="left"/>
        <w:rPr>
          <w:b/>
          <w:sz w:val="21"/>
        </w:rPr>
      </w:pPr>
      <w:r>
        <w:rPr>
          <w:spacing w:val="-2"/>
          <w:sz w:val="21"/>
        </w:rPr>
        <w:t>本合同所指的系统性红斑狼疮仅限于累及肾脏（经肾脏活检确认的，符合世</w:t>
      </w:r>
      <w:r>
        <w:rPr>
          <w:sz w:val="21"/>
        </w:rPr>
        <w:t>界卫生组织（WHO</w:t>
      </w:r>
      <w:r>
        <w:rPr>
          <w:spacing w:val="-8"/>
          <w:sz w:val="21"/>
        </w:rPr>
        <w:t>， </w:t>
      </w:r>
      <w:r>
        <w:rPr>
          <w:sz w:val="21"/>
        </w:rPr>
        <w:t>World</w:t>
      </w:r>
      <w:r>
        <w:rPr>
          <w:spacing w:val="-9"/>
          <w:sz w:val="21"/>
        </w:rPr>
        <w:t> </w:t>
      </w:r>
      <w:r>
        <w:rPr>
          <w:sz w:val="21"/>
        </w:rPr>
        <w:t>Health</w:t>
      </w:r>
      <w:r>
        <w:rPr>
          <w:spacing w:val="-9"/>
          <w:sz w:val="21"/>
        </w:rPr>
        <w:t> </w:t>
      </w:r>
      <w:r>
        <w:rPr>
          <w:sz w:val="21"/>
        </w:rPr>
        <w:t>Organization）</w:t>
      </w:r>
      <w:r>
        <w:rPr>
          <w:spacing w:val="-6"/>
          <w:sz w:val="21"/>
        </w:rPr>
        <w:t>诊断标准定义Ⅲ型至 </w:t>
      </w:r>
      <w:r>
        <w:rPr>
          <w:sz w:val="21"/>
        </w:rPr>
        <w:t>V</w:t>
      </w:r>
      <w:r>
        <w:rPr>
          <w:spacing w:val="-27"/>
          <w:sz w:val="21"/>
        </w:rPr>
        <w:t> 型</w:t>
      </w:r>
      <w:r>
        <w:rPr>
          <w:spacing w:val="-2"/>
          <w:sz w:val="21"/>
        </w:rPr>
        <w:t>狼疮性肾炎）的系统性红斑狼疮。</w:t>
      </w:r>
      <w:r>
        <w:rPr>
          <w:b/>
          <w:spacing w:val="-2"/>
          <w:sz w:val="21"/>
        </w:rPr>
        <w:t>其他类型的红斑性狼疮，如盘状狼疮、仅</w:t>
      </w:r>
      <w:r>
        <w:rPr>
          <w:b/>
          <w:spacing w:val="-2"/>
          <w:sz w:val="21"/>
        </w:rPr>
        <w:t>累及血液及关节的狼疮不在保障范围內。</w:t>
      </w:r>
    </w:p>
    <w:p>
      <w:pPr>
        <w:pStyle w:val="BodyText"/>
        <w:spacing w:line="278" w:lineRule="auto"/>
        <w:ind w:left="262" w:right="1084"/>
      </w:pPr>
      <w:r>
        <w:rPr>
          <w:spacing w:val="-2"/>
        </w:rPr>
        <w:t>该病必须在本公司认可的医疗机构内由免疫和风湿科专科医生确诊。</w:t>
      </w:r>
      <w:r>
        <w:rPr>
          <w:spacing w:val="80"/>
          <w:w w:val="150"/>
        </w:rPr>
        <w:t> </w:t>
      </w:r>
      <w:r>
        <w:rPr/>
        <w:t>世界卫生组织（WHO</w:t>
      </w:r>
      <w:r>
        <w:rPr>
          <w:spacing w:val="-5"/>
        </w:rPr>
        <w:t>， </w:t>
      </w:r>
      <w:r>
        <w:rPr/>
        <w:t>World</w:t>
      </w:r>
      <w:r>
        <w:rPr>
          <w:spacing w:val="-10"/>
        </w:rPr>
        <w:t> </w:t>
      </w:r>
      <w:r>
        <w:rPr/>
        <w:t>Health</w:t>
      </w:r>
      <w:r>
        <w:rPr>
          <w:spacing w:val="-11"/>
        </w:rPr>
        <w:t> </w:t>
      </w:r>
      <w:r>
        <w:rPr/>
        <w:t>Organization）狼疮性肾炎分型：</w:t>
      </w:r>
    </w:p>
    <w:p>
      <w:pPr>
        <w:spacing w:after="0" w:line="278" w:lineRule="auto"/>
        <w:sectPr>
          <w:type w:val="continuous"/>
          <w:pgSz w:w="11910" w:h="16840"/>
          <w:pgMar w:header="0" w:footer="404" w:top="600" w:bottom="280" w:left="860" w:right="340"/>
          <w:cols w:num="2" w:equalWidth="0">
            <w:col w:w="2698" w:space="40"/>
            <w:col w:w="7972"/>
          </w:cols>
        </w:sectPr>
      </w:pPr>
    </w:p>
    <w:tbl>
      <w:tblPr>
        <w:tblW w:w="0" w:type="auto"/>
        <w:jc w:val="left"/>
        <w:tblInd w:w="30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8"/>
      </w:tblGrid>
      <w:tr>
        <w:trPr>
          <w:trHeight w:val="311" w:hRule="atLeast"/>
        </w:trPr>
        <w:tc>
          <w:tcPr>
            <w:tcW w:w="2573" w:type="dxa"/>
          </w:tcPr>
          <w:p>
            <w:pPr>
              <w:pStyle w:val="TableParagraph"/>
              <w:spacing w:before="16"/>
              <w:ind w:left="107"/>
              <w:rPr>
                <w:sz w:val="21"/>
              </w:rPr>
            </w:pPr>
            <w:r>
              <w:rPr>
                <w:spacing w:val="-2"/>
                <w:sz w:val="21"/>
              </w:rPr>
              <w:t>Ⅰ型（微小病变型</w:t>
            </w:r>
            <w:r>
              <w:rPr>
                <w:spacing w:val="-10"/>
                <w:sz w:val="21"/>
              </w:rPr>
              <w:t>）</w:t>
            </w:r>
          </w:p>
        </w:tc>
        <w:tc>
          <w:tcPr>
            <w:tcW w:w="4268" w:type="dxa"/>
          </w:tcPr>
          <w:p>
            <w:pPr>
              <w:pStyle w:val="TableParagraph"/>
              <w:spacing w:before="16"/>
              <w:ind w:left="107"/>
              <w:rPr>
                <w:sz w:val="21"/>
              </w:rPr>
            </w:pPr>
            <w:r>
              <w:rPr>
                <w:spacing w:val="-3"/>
                <w:sz w:val="21"/>
              </w:rPr>
              <w:t>镜下阴性，尿液正常</w:t>
            </w:r>
          </w:p>
        </w:tc>
      </w:tr>
      <w:tr>
        <w:trPr>
          <w:trHeight w:val="314" w:hRule="atLeast"/>
        </w:trPr>
        <w:tc>
          <w:tcPr>
            <w:tcW w:w="2573" w:type="dxa"/>
          </w:tcPr>
          <w:p>
            <w:pPr>
              <w:pStyle w:val="TableParagraph"/>
              <w:spacing w:before="16"/>
              <w:ind w:left="107"/>
              <w:rPr>
                <w:sz w:val="21"/>
              </w:rPr>
            </w:pPr>
            <w:r>
              <w:rPr>
                <w:spacing w:val="-2"/>
                <w:sz w:val="21"/>
              </w:rPr>
              <w:t>Ⅱ型（系膜病变型</w:t>
            </w:r>
            <w:r>
              <w:rPr>
                <w:spacing w:val="-10"/>
                <w:sz w:val="21"/>
              </w:rPr>
              <w:t>）</w:t>
            </w:r>
          </w:p>
        </w:tc>
        <w:tc>
          <w:tcPr>
            <w:tcW w:w="4268" w:type="dxa"/>
          </w:tcPr>
          <w:p>
            <w:pPr>
              <w:pStyle w:val="TableParagraph"/>
              <w:spacing w:before="16"/>
              <w:ind w:left="107"/>
              <w:rPr>
                <w:sz w:val="21"/>
              </w:rPr>
            </w:pPr>
            <w:r>
              <w:rPr>
                <w:spacing w:val="-3"/>
                <w:sz w:val="21"/>
              </w:rPr>
              <w:t>中度蛋白尿，偶有尿沉渣改变</w:t>
            </w:r>
          </w:p>
        </w:tc>
      </w:tr>
      <w:tr>
        <w:trPr>
          <w:trHeight w:val="311" w:hRule="atLeast"/>
        </w:trPr>
        <w:tc>
          <w:tcPr>
            <w:tcW w:w="2573" w:type="dxa"/>
          </w:tcPr>
          <w:p>
            <w:pPr>
              <w:pStyle w:val="TableParagraph"/>
              <w:spacing w:before="16"/>
              <w:ind w:left="107" w:right="-15"/>
              <w:rPr>
                <w:sz w:val="21"/>
              </w:rPr>
            </w:pPr>
            <w:r>
              <w:rPr>
                <w:spacing w:val="-31"/>
                <w:sz w:val="21"/>
              </w:rPr>
              <w:t>Ⅲ型</w:t>
            </w:r>
            <w:r>
              <w:rPr>
                <w:spacing w:val="-2"/>
                <w:sz w:val="21"/>
              </w:rPr>
              <w:t>（局灶及节段增生型</w:t>
            </w:r>
            <w:r>
              <w:rPr>
                <w:spacing w:val="-10"/>
                <w:sz w:val="21"/>
              </w:rPr>
              <w:t>）</w:t>
            </w:r>
          </w:p>
        </w:tc>
        <w:tc>
          <w:tcPr>
            <w:tcW w:w="4268" w:type="dxa"/>
          </w:tcPr>
          <w:p>
            <w:pPr>
              <w:pStyle w:val="TableParagraph"/>
              <w:spacing w:before="16"/>
              <w:ind w:left="107"/>
              <w:rPr>
                <w:sz w:val="21"/>
              </w:rPr>
            </w:pPr>
            <w:r>
              <w:rPr>
                <w:spacing w:val="-3"/>
                <w:sz w:val="21"/>
              </w:rPr>
              <w:t>蛋白尿，尿沉渣改变</w:t>
            </w:r>
          </w:p>
        </w:tc>
      </w:tr>
      <w:tr>
        <w:trPr>
          <w:trHeight w:val="316" w:hRule="atLeast"/>
        </w:trPr>
        <w:tc>
          <w:tcPr>
            <w:tcW w:w="2573" w:type="dxa"/>
          </w:tcPr>
          <w:p>
            <w:pPr>
              <w:pStyle w:val="TableParagraph"/>
              <w:spacing w:before="16"/>
              <w:ind w:left="107"/>
              <w:rPr>
                <w:sz w:val="21"/>
              </w:rPr>
            </w:pPr>
            <w:r>
              <w:rPr>
                <w:spacing w:val="-2"/>
                <w:sz w:val="21"/>
              </w:rPr>
              <w:t>Ⅳ型（弥漫增生型</w:t>
            </w:r>
            <w:r>
              <w:rPr>
                <w:spacing w:val="-10"/>
                <w:sz w:val="21"/>
              </w:rPr>
              <w:t>）</w:t>
            </w:r>
          </w:p>
        </w:tc>
        <w:tc>
          <w:tcPr>
            <w:tcW w:w="4268" w:type="dxa"/>
          </w:tcPr>
          <w:p>
            <w:pPr>
              <w:pStyle w:val="TableParagraph"/>
              <w:spacing w:before="16"/>
              <w:ind w:left="107"/>
              <w:rPr>
                <w:sz w:val="21"/>
              </w:rPr>
            </w:pPr>
            <w:r>
              <w:rPr>
                <w:spacing w:val="-3"/>
                <w:sz w:val="21"/>
              </w:rPr>
              <w:t>急性肾炎伴有尿沉渣改变及/或肾病综合征</w:t>
            </w:r>
          </w:p>
        </w:tc>
      </w:tr>
      <w:tr>
        <w:trPr>
          <w:trHeight w:val="333" w:hRule="atLeast"/>
        </w:trPr>
        <w:tc>
          <w:tcPr>
            <w:tcW w:w="2573" w:type="dxa"/>
          </w:tcPr>
          <w:p>
            <w:pPr>
              <w:pStyle w:val="TableParagraph"/>
              <w:spacing w:before="16"/>
              <w:ind w:left="107"/>
              <w:rPr>
                <w:sz w:val="21"/>
              </w:rPr>
            </w:pPr>
            <w:r>
              <w:rPr>
                <w:spacing w:val="-2"/>
                <w:sz w:val="21"/>
              </w:rPr>
              <w:t>Ⅴ型（膜型</w:t>
            </w:r>
            <w:r>
              <w:rPr>
                <w:spacing w:val="-10"/>
                <w:sz w:val="21"/>
              </w:rPr>
              <w:t>）</w:t>
            </w:r>
          </w:p>
        </w:tc>
        <w:tc>
          <w:tcPr>
            <w:tcW w:w="4268" w:type="dxa"/>
          </w:tcPr>
          <w:p>
            <w:pPr>
              <w:pStyle w:val="TableParagraph"/>
              <w:spacing w:before="16"/>
              <w:ind w:left="107"/>
              <w:rPr>
                <w:sz w:val="21"/>
              </w:rPr>
            </w:pPr>
            <w:r>
              <w:rPr>
                <w:spacing w:val="-3"/>
                <w:sz w:val="21"/>
              </w:rPr>
              <w:t>肾病综合征或重度蛋白尿</w:t>
            </w:r>
          </w:p>
        </w:tc>
      </w:tr>
    </w:tbl>
    <w:p>
      <w:pPr>
        <w:pStyle w:val="BodyText"/>
        <w:spacing w:before="5"/>
        <w:rPr>
          <w:sz w:val="13"/>
        </w:rPr>
      </w:pPr>
    </w:p>
    <w:p>
      <w:pPr>
        <w:spacing w:after="0"/>
        <w:rPr>
          <w:sz w:val="13"/>
        </w:rPr>
        <w:sectPr>
          <w:pgSz w:w="11910" w:h="16840"/>
          <w:pgMar w:header="0" w:footer="404" w:top="120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急性坏死性胰</w:t>
      </w:r>
      <w:r>
        <w:rPr>
          <w:spacing w:val="-2"/>
          <w:sz w:val="21"/>
        </w:rPr>
        <w:t>腺炎开腹手术</w:t>
      </w:r>
    </w:p>
    <w:p>
      <w:pPr>
        <w:pStyle w:val="BodyText"/>
        <w:spacing w:line="278" w:lineRule="auto" w:before="72"/>
        <w:ind w:left="262" w:right="767"/>
      </w:pPr>
      <w:r>
        <w:rPr/>
        <w:br w:type="column"/>
      </w:r>
      <w:r>
        <w:rPr>
          <w:spacing w:val="-2"/>
        </w:rPr>
        <w:t>指被保险人因为急性出血坏死性胰腺炎已经接受了外科开腹手术治疗，以进</w:t>
      </w:r>
      <w:r>
        <w:rPr>
          <w:spacing w:val="-2"/>
        </w:rPr>
        <w:t>行坏死组织清除、坏死病灶切除或胰腺切除。</w:t>
      </w:r>
    </w:p>
    <w:p>
      <w:pPr>
        <w:pStyle w:val="Heading2"/>
        <w:spacing w:line="278" w:lineRule="auto"/>
        <w:ind w:left="262" w:right="746"/>
      </w:pPr>
      <w:r>
        <w:rPr>
          <w:spacing w:val="-2"/>
        </w:rPr>
        <w:t>因饮酒所致的急性出血坏死性胰腺炎或经腹腔镜手术进行的治疗不在保障范</w:t>
      </w:r>
      <w:r>
        <w:rPr>
          <w:spacing w:val="-4"/>
        </w:rPr>
        <w:t>围内。</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b/>
          <w:sz w:val="12"/>
        </w:rPr>
      </w:pPr>
    </w:p>
    <w:p>
      <w:pPr>
        <w:pStyle w:val="ListParagraph"/>
        <w:numPr>
          <w:ilvl w:val="2"/>
          <w:numId w:val="40"/>
        </w:numPr>
        <w:tabs>
          <w:tab w:pos="1439" w:val="left" w:leader="none"/>
        </w:tabs>
        <w:spacing w:line="278" w:lineRule="auto" w:before="72" w:after="0"/>
        <w:ind w:left="3000" w:right="767" w:hanging="1880"/>
        <w:jc w:val="both"/>
        <w:rPr>
          <w:sz w:val="21"/>
        </w:rPr>
      </w:pPr>
      <w:r>
        <w:rPr>
          <w:sz w:val="21"/>
        </w:rPr>
        <w:t>系统性硬皮病 指一种全身性的胶原血管性疾病，可以导致皮肤、血管及内脏器官进行性弥</w:t>
      </w:r>
      <w:r>
        <w:rPr>
          <w:spacing w:val="-2"/>
          <w:sz w:val="21"/>
        </w:rPr>
        <w:t>漫性纤维化。诊断必须经活检及血清学检查证实，疾病必须是全身性，且须</w:t>
      </w:r>
      <w:r>
        <w:rPr>
          <w:spacing w:val="-2"/>
          <w:sz w:val="21"/>
        </w:rPr>
        <w:t>满足下列至少一项条件：</w:t>
      </w:r>
    </w:p>
    <w:p>
      <w:pPr>
        <w:pStyle w:val="ListParagraph"/>
        <w:numPr>
          <w:ilvl w:val="0"/>
          <w:numId w:val="83"/>
        </w:numPr>
        <w:tabs>
          <w:tab w:pos="3530" w:val="left" w:leader="none"/>
        </w:tabs>
        <w:spacing w:line="240" w:lineRule="auto" w:before="0" w:after="0"/>
        <w:ind w:left="3529" w:right="0" w:hanging="530"/>
        <w:jc w:val="left"/>
        <w:rPr>
          <w:sz w:val="21"/>
        </w:rPr>
      </w:pPr>
      <w:r>
        <w:rPr>
          <w:spacing w:val="-3"/>
          <w:sz w:val="21"/>
        </w:rPr>
        <w:t>肺脏：肺部病变进而发展为肺间质纤维化和肺动脉高压；</w:t>
      </w:r>
    </w:p>
    <w:p>
      <w:pPr>
        <w:pStyle w:val="ListParagraph"/>
        <w:numPr>
          <w:ilvl w:val="0"/>
          <w:numId w:val="83"/>
        </w:numPr>
        <w:tabs>
          <w:tab w:pos="3530" w:val="left" w:leader="none"/>
        </w:tabs>
        <w:spacing w:line="240" w:lineRule="auto" w:before="43" w:after="0"/>
        <w:ind w:left="3529" w:right="0" w:hanging="530"/>
        <w:jc w:val="left"/>
        <w:rPr>
          <w:sz w:val="21"/>
        </w:rPr>
      </w:pPr>
      <w:r>
        <w:rPr>
          <w:spacing w:val="-3"/>
          <w:sz w:val="21"/>
        </w:rPr>
        <w:t>心脏：心功能受损达到美国纽约心脏病学会心功能状态分级Ⅳ级；</w:t>
      </w:r>
    </w:p>
    <w:p>
      <w:pPr>
        <w:pStyle w:val="ListParagraph"/>
        <w:numPr>
          <w:ilvl w:val="0"/>
          <w:numId w:val="83"/>
        </w:numPr>
        <w:tabs>
          <w:tab w:pos="3530" w:val="left" w:leader="none"/>
        </w:tabs>
        <w:spacing w:line="278" w:lineRule="auto" w:before="43" w:after="0"/>
        <w:ind w:left="3000" w:right="1295" w:firstLine="0"/>
        <w:jc w:val="left"/>
        <w:rPr>
          <w:b/>
          <w:sz w:val="21"/>
        </w:rPr>
      </w:pPr>
      <w:r>
        <w:rPr>
          <w:spacing w:val="-2"/>
          <w:sz w:val="21"/>
        </w:rPr>
        <w:t>肾脏：肾脏受损导致双肾功能慢性不可逆衰竭，达到尿毒症期。</w:t>
      </w:r>
      <w:r>
        <w:rPr>
          <w:b/>
          <w:spacing w:val="-2"/>
          <w:sz w:val="21"/>
        </w:rPr>
        <w:t>以下情况不在保障范围内：</w:t>
      </w:r>
    </w:p>
    <w:p>
      <w:pPr>
        <w:pStyle w:val="ListParagraph"/>
        <w:numPr>
          <w:ilvl w:val="0"/>
          <w:numId w:val="84"/>
        </w:numPr>
        <w:tabs>
          <w:tab w:pos="3530" w:val="left" w:leader="none"/>
        </w:tabs>
        <w:spacing w:line="269" w:lineRule="exact" w:before="0" w:after="0"/>
        <w:ind w:left="3529" w:right="0" w:hanging="530"/>
        <w:jc w:val="left"/>
        <w:rPr>
          <w:b/>
          <w:sz w:val="21"/>
        </w:rPr>
      </w:pPr>
      <w:r>
        <w:rPr>
          <w:b/>
          <w:spacing w:val="-2"/>
          <w:sz w:val="21"/>
        </w:rPr>
        <w:t>局限性硬皮病（带状硬皮病或斑状损害</w:t>
      </w:r>
      <w:r>
        <w:rPr>
          <w:b/>
          <w:spacing w:val="-10"/>
          <w:sz w:val="21"/>
        </w:rPr>
        <w:t>）</w:t>
      </w:r>
    </w:p>
    <w:p>
      <w:pPr>
        <w:pStyle w:val="ListParagraph"/>
        <w:numPr>
          <w:ilvl w:val="0"/>
          <w:numId w:val="84"/>
        </w:numPr>
        <w:tabs>
          <w:tab w:pos="3530" w:val="left" w:leader="none"/>
        </w:tabs>
        <w:spacing w:line="240" w:lineRule="auto" w:before="43" w:after="0"/>
        <w:ind w:left="3529" w:right="0" w:hanging="530"/>
        <w:jc w:val="left"/>
        <w:rPr>
          <w:b/>
          <w:sz w:val="21"/>
        </w:rPr>
      </w:pPr>
      <w:r>
        <w:rPr>
          <w:b/>
          <w:spacing w:val="-2"/>
          <w:sz w:val="21"/>
        </w:rPr>
        <w:t>嗜酸性筋膜炎</w:t>
      </w:r>
    </w:p>
    <w:p>
      <w:pPr>
        <w:pStyle w:val="ListParagraph"/>
        <w:numPr>
          <w:ilvl w:val="0"/>
          <w:numId w:val="84"/>
        </w:numPr>
        <w:tabs>
          <w:tab w:pos="3530" w:val="left" w:leader="none"/>
        </w:tabs>
        <w:spacing w:line="240" w:lineRule="auto" w:before="43" w:after="0"/>
        <w:ind w:left="3529" w:right="0" w:hanging="530"/>
        <w:jc w:val="left"/>
        <w:rPr>
          <w:b/>
          <w:sz w:val="21"/>
        </w:rPr>
      </w:pPr>
      <w:r>
        <w:rPr>
          <w:b/>
          <w:w w:val="95"/>
          <w:sz w:val="21"/>
        </w:rPr>
        <w:t>CREST</w:t>
      </w:r>
      <w:r>
        <w:rPr>
          <w:b/>
          <w:spacing w:val="-7"/>
          <w:w w:val="95"/>
          <w:sz w:val="21"/>
        </w:rPr>
        <w:t> </w:t>
      </w:r>
      <w:r>
        <w:rPr>
          <w:b/>
          <w:w w:val="95"/>
          <w:sz w:val="21"/>
        </w:rPr>
        <w:t>综</w:t>
      </w:r>
      <w:r>
        <w:rPr>
          <w:b/>
          <w:w w:val="95"/>
          <w:sz w:val="21"/>
        </w:rPr>
        <w:t>合</w:t>
      </w:r>
      <w:r>
        <w:rPr>
          <w:b/>
          <w:spacing w:val="-10"/>
          <w:w w:val="95"/>
          <w:sz w:val="21"/>
        </w:rPr>
        <w:t>征</w:t>
      </w: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严重Ⅰ型糖尿</w:t>
      </w:r>
      <w:r>
        <w:rPr>
          <w:spacing w:val="-10"/>
          <w:sz w:val="21"/>
        </w:rPr>
        <w:t>病</w:t>
      </w:r>
    </w:p>
    <w:p>
      <w:pPr>
        <w:pStyle w:val="BodyText"/>
        <w:spacing w:line="278" w:lineRule="auto" w:before="72"/>
        <w:ind w:left="262" w:right="767"/>
        <w:jc w:val="both"/>
      </w:pPr>
      <w:r>
        <w:rPr/>
        <w:br w:type="column"/>
      </w:r>
      <w:r>
        <w:rPr>
          <w:spacing w:val="-2"/>
        </w:rPr>
        <w:t>严重Ⅰ型糖尿病为由于胰岛素分泌绝对不足引起的慢性血糖升高，且已经持</w:t>
      </w:r>
      <w:r>
        <w:rPr>
          <w:w w:val="95"/>
        </w:rPr>
        <w:t>续</w:t>
      </w:r>
      <w:r>
        <w:rPr>
          <w:w w:val="95"/>
        </w:rPr>
        <w:t>性</w:t>
      </w:r>
      <w:r>
        <w:rPr>
          <w:w w:val="95"/>
        </w:rPr>
        <w:t>地依赖外源性胰岛素</w:t>
      </w:r>
      <w:r>
        <w:rPr>
          <w:w w:val="95"/>
        </w:rPr>
        <w:t>维</w:t>
      </w:r>
      <w:r>
        <w:rPr>
          <w:w w:val="95"/>
        </w:rPr>
        <w:t>持</w:t>
      </w:r>
      <w:r>
        <w:rPr>
          <w:w w:val="95"/>
        </w:rPr>
        <w:t> 180 天以上。须经血</w:t>
      </w:r>
      <w:r>
        <w:rPr>
          <w:w w:val="95"/>
        </w:rPr>
        <w:t>胰</w:t>
      </w:r>
      <w:r>
        <w:rPr>
          <w:w w:val="95"/>
        </w:rPr>
        <w:t>岛</w:t>
      </w:r>
      <w:r>
        <w:rPr>
          <w:w w:val="95"/>
        </w:rPr>
        <w:t>素测</w:t>
      </w:r>
      <w:r>
        <w:rPr>
          <w:w w:val="95"/>
        </w:rPr>
        <w:t>定</w:t>
      </w:r>
      <w:r>
        <w:rPr>
          <w:w w:val="95"/>
        </w:rPr>
        <w:t>、</w:t>
      </w:r>
      <w:r>
        <w:rPr>
          <w:w w:val="95"/>
        </w:rPr>
        <w:t>血 C 肽</w:t>
      </w:r>
      <w:r>
        <w:rPr>
          <w:w w:val="95"/>
        </w:rPr>
        <w:t>测</w:t>
      </w:r>
      <w:r>
        <w:rPr>
          <w:w w:val="95"/>
        </w:rPr>
        <w:t>定</w:t>
      </w:r>
      <w:r>
        <w:rPr>
          <w:w w:val="95"/>
        </w:rPr>
        <w:t>或</w:t>
      </w:r>
      <w:r>
        <w:rPr>
          <w:w w:val="95"/>
        </w:rPr>
        <w:t>尿</w:t>
      </w:r>
      <w:r>
        <w:rPr>
          <w:spacing w:val="35"/>
        </w:rPr>
        <w:t> </w:t>
      </w:r>
      <w:r>
        <w:rPr>
          <w:w w:val="95"/>
        </w:rPr>
        <w:t>C</w:t>
      </w:r>
      <w:r>
        <w:rPr>
          <w:spacing w:val="29"/>
        </w:rPr>
        <w:t> </w:t>
      </w:r>
      <w:r>
        <w:rPr>
          <w:w w:val="95"/>
        </w:rPr>
        <w:t>肽测定，结果异常，</w:t>
      </w:r>
      <w:r>
        <w:rPr>
          <w:w w:val="95"/>
        </w:rPr>
        <w:t>并</w:t>
      </w:r>
      <w:r>
        <w:rPr>
          <w:w w:val="95"/>
        </w:rPr>
        <w:t>由内分泌科专科医生</w:t>
      </w:r>
      <w:r>
        <w:rPr>
          <w:w w:val="95"/>
        </w:rPr>
        <w:t>明</w:t>
      </w:r>
      <w:r>
        <w:rPr>
          <w:w w:val="95"/>
        </w:rPr>
        <w:t>确</w:t>
      </w:r>
      <w:r>
        <w:rPr>
          <w:w w:val="95"/>
        </w:rPr>
        <w:t>诊断。并须在本</w:t>
      </w:r>
      <w:r>
        <w:rPr>
          <w:w w:val="95"/>
        </w:rPr>
        <w:t>合</w:t>
      </w:r>
      <w:r>
        <w:rPr>
          <w:w w:val="95"/>
        </w:rPr>
        <w:t>同</w:t>
      </w:r>
      <w:r>
        <w:rPr>
          <w:spacing w:val="-2"/>
        </w:rPr>
        <w:t>有效期内，满足下述至少两个条件：</w:t>
      </w:r>
    </w:p>
    <w:p>
      <w:pPr>
        <w:pStyle w:val="ListParagraph"/>
        <w:numPr>
          <w:ilvl w:val="0"/>
          <w:numId w:val="85"/>
        </w:numPr>
        <w:tabs>
          <w:tab w:pos="792" w:val="left" w:leader="none"/>
        </w:tabs>
        <w:spacing w:line="278" w:lineRule="auto" w:before="0" w:after="0"/>
        <w:ind w:left="788" w:right="666" w:hanging="526"/>
        <w:jc w:val="left"/>
        <w:rPr>
          <w:sz w:val="21"/>
        </w:rPr>
      </w:pPr>
      <w:r>
        <w:rPr>
          <w:spacing w:val="-2"/>
          <w:sz w:val="21"/>
        </w:rPr>
        <w:t>并发增殖性视网膜病变，双眼最佳矫正视力低于 </w:t>
      </w:r>
      <w:r>
        <w:rPr>
          <w:sz w:val="21"/>
        </w:rPr>
        <w:t>0.3（采用国际标准视</w:t>
      </w:r>
      <w:r>
        <w:rPr>
          <w:spacing w:val="-2"/>
          <w:sz w:val="21"/>
        </w:rPr>
        <w:t>力表，如果使用其他视力表应进行换算）；</w:t>
      </w:r>
    </w:p>
    <w:p>
      <w:pPr>
        <w:pStyle w:val="ListParagraph"/>
        <w:numPr>
          <w:ilvl w:val="0"/>
          <w:numId w:val="85"/>
        </w:numPr>
        <w:tabs>
          <w:tab w:pos="792" w:val="left" w:leader="none"/>
        </w:tabs>
        <w:spacing w:line="269" w:lineRule="exact" w:before="0" w:after="0"/>
        <w:ind w:left="791" w:right="0" w:hanging="530"/>
        <w:jc w:val="left"/>
        <w:rPr>
          <w:sz w:val="21"/>
        </w:rPr>
      </w:pPr>
      <w:r>
        <w:rPr>
          <w:spacing w:val="-3"/>
          <w:sz w:val="21"/>
        </w:rPr>
        <w:t>须植入心脏起搏器治疗心脏病；</w:t>
      </w:r>
    </w:p>
    <w:p>
      <w:pPr>
        <w:pStyle w:val="ListParagraph"/>
        <w:numPr>
          <w:ilvl w:val="0"/>
          <w:numId w:val="85"/>
        </w:numPr>
        <w:tabs>
          <w:tab w:pos="792" w:val="left" w:leader="none"/>
        </w:tabs>
        <w:spacing w:line="278" w:lineRule="auto" w:before="42" w:after="0"/>
        <w:ind w:left="788" w:right="666" w:hanging="526"/>
        <w:jc w:val="left"/>
        <w:rPr>
          <w:sz w:val="21"/>
        </w:rPr>
      </w:pPr>
      <w:r>
        <w:rPr>
          <w:spacing w:val="-2"/>
          <w:sz w:val="21"/>
        </w:rPr>
        <w:t>在本公司认可的医疗机构内已经进行了医疗必需的由足踝或以上位置的</w:t>
      </w:r>
      <w:r>
        <w:rPr>
          <w:spacing w:val="-2"/>
          <w:sz w:val="21"/>
        </w:rPr>
        <w:t>单足截除手术。</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肺淋巴管肌瘤</w:t>
      </w:r>
      <w:r>
        <w:rPr>
          <w:spacing w:val="-10"/>
          <w:sz w:val="21"/>
        </w:rPr>
        <w:t>病</w:t>
      </w:r>
    </w:p>
    <w:p>
      <w:pPr>
        <w:pStyle w:val="BodyText"/>
        <w:spacing w:line="278" w:lineRule="auto" w:before="72"/>
        <w:ind w:left="262" w:right="767"/>
      </w:pPr>
      <w:r>
        <w:rPr/>
        <w:br w:type="column"/>
      </w:r>
      <w:r>
        <w:rPr>
          <w:spacing w:val="-2"/>
        </w:rPr>
        <w:t>肺淋巴管肌瘤病是一种弥漫性肺部疾病，主要病理改变为肺间质、支气管、</w:t>
      </w:r>
      <w:r>
        <w:rPr>
          <w:spacing w:val="-3"/>
        </w:rPr>
        <w:t>血管和淋巴管内出现未成熟的平滑肌异常增生，同时需满足下列全部条件：</w:t>
      </w:r>
    </w:p>
    <w:p>
      <w:pPr>
        <w:pStyle w:val="ListParagraph"/>
        <w:numPr>
          <w:ilvl w:val="0"/>
          <w:numId w:val="86"/>
        </w:numPr>
        <w:tabs>
          <w:tab w:pos="792" w:val="left" w:leader="none"/>
        </w:tabs>
        <w:spacing w:line="269" w:lineRule="exact" w:before="0" w:after="0"/>
        <w:ind w:left="791" w:right="0" w:hanging="530"/>
        <w:jc w:val="left"/>
        <w:rPr>
          <w:sz w:val="21"/>
        </w:rPr>
      </w:pPr>
      <w:r>
        <w:rPr>
          <w:spacing w:val="-3"/>
          <w:sz w:val="21"/>
        </w:rPr>
        <w:t>经组织病理学诊断；</w:t>
      </w:r>
    </w:p>
    <w:p>
      <w:pPr>
        <w:pStyle w:val="ListParagraph"/>
        <w:numPr>
          <w:ilvl w:val="0"/>
          <w:numId w:val="86"/>
        </w:numPr>
        <w:tabs>
          <w:tab w:pos="792" w:val="left" w:leader="none"/>
        </w:tabs>
        <w:spacing w:line="240" w:lineRule="auto" w:before="43" w:after="0"/>
        <w:ind w:left="791" w:right="0" w:hanging="530"/>
        <w:jc w:val="left"/>
        <w:rPr>
          <w:sz w:val="21"/>
        </w:rPr>
      </w:pPr>
      <w:r>
        <w:rPr>
          <w:spacing w:val="-2"/>
          <w:sz w:val="21"/>
        </w:rPr>
        <w:t>CT</w:t>
      </w:r>
      <w:r>
        <w:rPr>
          <w:spacing w:val="-10"/>
          <w:sz w:val="21"/>
        </w:rPr>
        <w:t> 显示双肺弥漫性囊性改变；</w:t>
      </w:r>
    </w:p>
    <w:p>
      <w:pPr>
        <w:pStyle w:val="ListParagraph"/>
        <w:numPr>
          <w:ilvl w:val="0"/>
          <w:numId w:val="86"/>
        </w:numPr>
        <w:tabs>
          <w:tab w:pos="792" w:val="left" w:leader="none"/>
        </w:tabs>
        <w:spacing w:line="278" w:lineRule="auto" w:before="43" w:after="0"/>
        <w:ind w:left="788" w:right="666" w:hanging="526"/>
        <w:jc w:val="left"/>
        <w:rPr>
          <w:sz w:val="21"/>
        </w:rPr>
      </w:pPr>
      <w:r>
        <w:rPr>
          <w:spacing w:val="-2"/>
          <w:sz w:val="21"/>
        </w:rPr>
        <w:t>休息时出现呼吸困难并经本公司认可的医疗机构的专科医生认可有必要</w:t>
      </w:r>
      <w:r>
        <w:rPr>
          <w:spacing w:val="-2"/>
          <w:sz w:val="21"/>
        </w:rPr>
        <w:t>进行肺移植手术。</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3"/>
        <w:rPr>
          <w:sz w:val="12"/>
        </w:rPr>
      </w:pPr>
    </w:p>
    <w:p>
      <w:pPr>
        <w:pStyle w:val="ListParagraph"/>
        <w:numPr>
          <w:ilvl w:val="2"/>
          <w:numId w:val="40"/>
        </w:numPr>
        <w:tabs>
          <w:tab w:pos="1439" w:val="left" w:leader="none"/>
          <w:tab w:pos="3000" w:val="left" w:leader="none"/>
        </w:tabs>
        <w:spacing w:line="278" w:lineRule="auto" w:before="72" w:after="0"/>
        <w:ind w:left="3000" w:right="563" w:hanging="1880"/>
        <w:jc w:val="left"/>
        <w:rPr>
          <w:b/>
          <w:sz w:val="21"/>
        </w:rPr>
      </w:pPr>
      <w:r>
        <w:rPr>
          <w:spacing w:val="-2"/>
          <w:sz w:val="21"/>
        </w:rPr>
        <w:t>肝豆状核变性</w:t>
      </w:r>
      <w:r>
        <w:rPr>
          <w:sz w:val="21"/>
        </w:rPr>
        <w:tab/>
      </w:r>
      <w:r>
        <w:rPr>
          <w:spacing w:val="-2"/>
          <w:sz w:val="21"/>
        </w:rPr>
        <w:t>肝</w:t>
      </w:r>
      <w:r>
        <w:rPr>
          <w:spacing w:val="-2"/>
          <w:sz w:val="21"/>
        </w:rPr>
        <w:t>豆</w:t>
      </w:r>
      <w:r>
        <w:rPr>
          <w:spacing w:val="-2"/>
          <w:sz w:val="21"/>
        </w:rPr>
        <w:t>状核变性是一种可能</w:t>
      </w:r>
      <w:r>
        <w:rPr>
          <w:spacing w:val="-2"/>
          <w:sz w:val="21"/>
        </w:rPr>
        <w:t>危</w:t>
      </w:r>
      <w:r>
        <w:rPr>
          <w:spacing w:val="-2"/>
          <w:sz w:val="21"/>
        </w:rPr>
        <w:t>及</w:t>
      </w:r>
      <w:r>
        <w:rPr>
          <w:spacing w:val="-2"/>
          <w:sz w:val="21"/>
        </w:rPr>
        <w:t>生命的铜代谢疾病，</w:t>
      </w:r>
      <w:r>
        <w:rPr>
          <w:spacing w:val="-2"/>
          <w:sz w:val="21"/>
        </w:rPr>
        <w:t>以</w:t>
      </w:r>
      <w:r>
        <w:rPr>
          <w:spacing w:val="-2"/>
          <w:sz w:val="21"/>
        </w:rPr>
        <w:t>铜</w:t>
      </w:r>
      <w:r>
        <w:rPr>
          <w:spacing w:val="-2"/>
          <w:sz w:val="21"/>
        </w:rPr>
        <w:t>沉积造成的渐进</w:t>
      </w:r>
      <w:r>
        <w:rPr>
          <w:spacing w:val="-2"/>
          <w:sz w:val="21"/>
        </w:rPr>
        <w:t>性</w:t>
      </w:r>
      <w:r>
        <w:rPr>
          <w:spacing w:val="-2"/>
          <w:sz w:val="21"/>
        </w:rPr>
        <w:t>肝</w:t>
      </w:r>
      <w:r>
        <w:rPr>
          <w:spacing w:val="40"/>
          <w:sz w:val="21"/>
        </w:rPr>
        <w:t> </w:t>
      </w:r>
      <w:r>
        <w:rPr>
          <w:spacing w:val="-2"/>
          <w:sz w:val="21"/>
        </w:rPr>
        <w:t>功</w:t>
      </w:r>
      <w:r>
        <w:rPr>
          <w:spacing w:val="-2"/>
          <w:sz w:val="21"/>
        </w:rPr>
        <w:t>能</w:t>
      </w:r>
      <w:r>
        <w:rPr>
          <w:spacing w:val="-2"/>
          <w:sz w:val="21"/>
        </w:rPr>
        <w:t>损害及/或神经功能恶</w:t>
      </w:r>
      <w:r>
        <w:rPr>
          <w:spacing w:val="-2"/>
          <w:sz w:val="21"/>
        </w:rPr>
        <w:t>化</w:t>
      </w:r>
      <w:r>
        <w:rPr>
          <w:spacing w:val="-2"/>
          <w:sz w:val="21"/>
        </w:rPr>
        <w:t>为</w:t>
      </w:r>
      <w:r>
        <w:rPr>
          <w:spacing w:val="-2"/>
          <w:sz w:val="21"/>
        </w:rPr>
        <w:t>特征。必须在本公司</w:t>
      </w:r>
      <w:r>
        <w:rPr>
          <w:spacing w:val="-2"/>
          <w:sz w:val="21"/>
        </w:rPr>
        <w:t>认</w:t>
      </w:r>
      <w:r>
        <w:rPr>
          <w:spacing w:val="-2"/>
          <w:sz w:val="21"/>
        </w:rPr>
        <w:t>可</w:t>
      </w:r>
      <w:r>
        <w:rPr>
          <w:spacing w:val="-2"/>
          <w:sz w:val="21"/>
        </w:rPr>
        <w:t>的医疗机构内由</w:t>
      </w:r>
      <w:r>
        <w:rPr>
          <w:spacing w:val="-2"/>
          <w:sz w:val="21"/>
        </w:rPr>
        <w:t>专</w:t>
      </w:r>
      <w:r>
        <w:rPr>
          <w:spacing w:val="-2"/>
          <w:sz w:val="21"/>
        </w:rPr>
        <w:t>科</w:t>
      </w:r>
      <w:r>
        <w:rPr>
          <w:sz w:val="21"/>
        </w:rPr>
        <w:t>医生通过肝脏活组织检查</w:t>
      </w:r>
      <w:r>
        <w:rPr>
          <w:sz w:val="21"/>
        </w:rPr>
        <w:t>结果确定诊断并配合螯合</w:t>
      </w:r>
      <w:r>
        <w:rPr>
          <w:sz w:val="21"/>
        </w:rPr>
        <w:t>剂治疗持续至少</w:t>
      </w:r>
      <w:r>
        <w:rPr>
          <w:spacing w:val="-22"/>
          <w:sz w:val="21"/>
        </w:rPr>
        <w:t> </w:t>
      </w:r>
      <w:r>
        <w:rPr>
          <w:sz w:val="21"/>
        </w:rPr>
        <w:t>6</w:t>
      </w:r>
      <w:r>
        <w:rPr>
          <w:spacing w:val="-22"/>
          <w:sz w:val="21"/>
        </w:rPr>
        <w:t> </w:t>
      </w:r>
      <w:r>
        <w:rPr>
          <w:sz w:val="21"/>
        </w:rPr>
        <w:t>个</w:t>
      </w:r>
      <w:r>
        <w:rPr>
          <w:sz w:val="21"/>
        </w:rPr>
        <w:t>月。 </w:t>
      </w:r>
      <w:r>
        <w:rPr>
          <w:b/>
          <w:spacing w:val="-2"/>
          <w:sz w:val="21"/>
        </w:rPr>
        <w:t>本</w:t>
      </w:r>
      <w:r>
        <w:rPr>
          <w:b/>
          <w:spacing w:val="-2"/>
          <w:sz w:val="21"/>
        </w:rPr>
        <w:t>公</w:t>
      </w:r>
      <w:r>
        <w:rPr>
          <w:b/>
          <w:spacing w:val="-2"/>
          <w:sz w:val="21"/>
        </w:rPr>
        <w:t>司</w:t>
      </w:r>
      <w:r>
        <w:rPr>
          <w:b/>
          <w:spacing w:val="-2"/>
          <w:sz w:val="21"/>
        </w:rPr>
        <w:t>承</w:t>
      </w:r>
      <w:r>
        <w:rPr>
          <w:b/>
          <w:spacing w:val="-2"/>
          <w:sz w:val="21"/>
        </w:rPr>
        <w:t>担</w:t>
      </w:r>
      <w:r>
        <w:rPr>
          <w:b/>
          <w:spacing w:val="-2"/>
          <w:sz w:val="21"/>
        </w:rPr>
        <w:t>本</w:t>
      </w:r>
      <w:r>
        <w:rPr>
          <w:b/>
          <w:spacing w:val="-2"/>
          <w:sz w:val="21"/>
        </w:rPr>
        <w:t>项</w:t>
      </w:r>
      <w:r>
        <w:rPr>
          <w:b/>
          <w:spacing w:val="-2"/>
          <w:sz w:val="21"/>
        </w:rPr>
        <w:t>疾</w:t>
      </w:r>
      <w:r>
        <w:rPr>
          <w:b/>
          <w:spacing w:val="-2"/>
          <w:sz w:val="21"/>
        </w:rPr>
        <w:t>病责任</w:t>
      </w:r>
      <w:r>
        <w:rPr>
          <w:b/>
          <w:spacing w:val="-2"/>
          <w:sz w:val="21"/>
        </w:rPr>
        <w:t>不</w:t>
      </w:r>
      <w:r>
        <w:rPr>
          <w:b/>
          <w:spacing w:val="-2"/>
          <w:sz w:val="21"/>
        </w:rPr>
        <w:t>受</w:t>
      </w:r>
      <w:r>
        <w:rPr>
          <w:b/>
          <w:spacing w:val="-2"/>
          <w:sz w:val="21"/>
        </w:rPr>
        <w:t>本</w:t>
      </w:r>
      <w:r>
        <w:rPr>
          <w:b/>
          <w:spacing w:val="-2"/>
          <w:sz w:val="21"/>
        </w:rPr>
        <w:t>合</w:t>
      </w:r>
      <w:r>
        <w:rPr>
          <w:b/>
          <w:spacing w:val="-2"/>
          <w:sz w:val="21"/>
        </w:rPr>
        <w:t>同</w:t>
      </w:r>
      <w:r>
        <w:rPr>
          <w:b/>
          <w:spacing w:val="-2"/>
          <w:sz w:val="21"/>
        </w:rPr>
        <w:t>责</w:t>
      </w:r>
      <w:r>
        <w:rPr>
          <w:b/>
          <w:spacing w:val="-2"/>
          <w:sz w:val="21"/>
        </w:rPr>
        <w:t>任</w:t>
      </w:r>
      <w:r>
        <w:rPr>
          <w:b/>
          <w:spacing w:val="-2"/>
          <w:sz w:val="21"/>
        </w:rPr>
        <w:t>免</w:t>
      </w:r>
      <w:r>
        <w:rPr>
          <w:b/>
          <w:spacing w:val="-2"/>
          <w:sz w:val="21"/>
        </w:rPr>
        <w:t>除中“</w:t>
      </w: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pacing w:val="-2"/>
          <w:sz w:val="21"/>
        </w:rPr>
        <w:t>，先天</w:t>
      </w:r>
      <w:r>
        <w:rPr>
          <w:b/>
          <w:spacing w:val="-2"/>
          <w:sz w:val="21"/>
        </w:rPr>
        <w:t>性</w:t>
      </w:r>
      <w:r>
        <w:rPr>
          <w:b/>
          <w:spacing w:val="-2"/>
          <w:sz w:val="21"/>
        </w:rPr>
        <w:t>畸</w:t>
      </w:r>
      <w:r>
        <w:rPr>
          <w:b/>
          <w:spacing w:val="-2"/>
          <w:sz w:val="21"/>
        </w:rPr>
        <w:t>形</w:t>
      </w:r>
      <w:r>
        <w:rPr>
          <w:b/>
          <w:spacing w:val="-2"/>
          <w:sz w:val="21"/>
        </w:rPr>
        <w:t>、</w:t>
      </w:r>
      <w:r>
        <w:rPr>
          <w:b/>
          <w:spacing w:val="-2"/>
          <w:sz w:val="21"/>
        </w:rPr>
        <w:t>变</w:t>
      </w:r>
      <w:r>
        <w:rPr>
          <w:b/>
          <w:spacing w:val="-2"/>
          <w:sz w:val="21"/>
        </w:rPr>
        <w:t>形</w:t>
      </w:r>
      <w:r>
        <w:rPr>
          <w:b/>
          <w:spacing w:val="-2"/>
          <w:sz w:val="21"/>
        </w:rPr>
        <w:t>或</w:t>
      </w:r>
      <w:r>
        <w:rPr>
          <w:b/>
          <w:spacing w:val="-2"/>
          <w:sz w:val="21"/>
        </w:rPr>
        <w:t>染</w:t>
      </w:r>
      <w:r>
        <w:rPr>
          <w:b/>
          <w:spacing w:val="-2"/>
          <w:sz w:val="21"/>
        </w:rPr>
        <w:t>色</w:t>
      </w:r>
      <w:r>
        <w:rPr>
          <w:b/>
          <w:spacing w:val="-2"/>
          <w:sz w:val="21"/>
        </w:rPr>
        <w:t>体</w:t>
      </w:r>
      <w:r>
        <w:rPr>
          <w:b/>
          <w:spacing w:val="-2"/>
          <w:sz w:val="21"/>
        </w:rPr>
        <w:t>异</w:t>
      </w:r>
      <w:r>
        <w:rPr>
          <w:b/>
          <w:spacing w:val="-2"/>
          <w:sz w:val="21"/>
        </w:rPr>
        <w:t>常</w:t>
      </w:r>
      <w:r>
        <w:rPr>
          <w:b/>
          <w:spacing w:val="-2"/>
          <w:sz w:val="21"/>
        </w:rPr>
        <w:t>”的限</w:t>
      </w:r>
      <w:r>
        <w:rPr>
          <w:b/>
          <w:spacing w:val="-2"/>
          <w:sz w:val="21"/>
        </w:rPr>
        <w:t>制</w:t>
      </w:r>
      <w:r>
        <w:rPr>
          <w:b/>
          <w:spacing w:val="-2"/>
          <w:sz w:val="21"/>
        </w:rPr>
        <w:t>。</w:t>
      </w:r>
    </w:p>
    <w:p>
      <w:pPr>
        <w:pStyle w:val="BodyText"/>
        <w:spacing w:before="6"/>
        <w:rPr>
          <w:b/>
          <w:sz w:val="17"/>
        </w:rPr>
      </w:pPr>
    </w:p>
    <w:p>
      <w:pPr>
        <w:pStyle w:val="ListParagraph"/>
        <w:numPr>
          <w:ilvl w:val="2"/>
          <w:numId w:val="40"/>
        </w:numPr>
        <w:tabs>
          <w:tab w:pos="1439" w:val="left" w:leader="none"/>
          <w:tab w:pos="3000" w:val="left" w:leader="none"/>
        </w:tabs>
        <w:spacing w:line="240" w:lineRule="auto" w:before="1" w:after="0"/>
        <w:ind w:left="1438" w:right="0" w:hanging="319"/>
        <w:jc w:val="left"/>
        <w:rPr>
          <w:sz w:val="21"/>
        </w:rPr>
      </w:pPr>
      <w:r>
        <w:rPr>
          <w:spacing w:val="-2"/>
          <w:sz w:val="21"/>
        </w:rPr>
        <w:t>肾髓质囊性</w:t>
      </w:r>
      <w:r>
        <w:rPr>
          <w:spacing w:val="-10"/>
          <w:sz w:val="21"/>
        </w:rPr>
        <w:t>病</w:t>
      </w:r>
      <w:r>
        <w:rPr>
          <w:sz w:val="21"/>
        </w:rPr>
        <w:tab/>
      </w:r>
      <w:r>
        <w:rPr>
          <w:spacing w:val="-2"/>
          <w:sz w:val="21"/>
        </w:rPr>
        <w:t>肾</w:t>
      </w:r>
      <w:r>
        <w:rPr>
          <w:spacing w:val="-2"/>
          <w:sz w:val="21"/>
        </w:rPr>
        <w:t>髓</w:t>
      </w:r>
      <w:r>
        <w:rPr>
          <w:spacing w:val="-2"/>
          <w:sz w:val="21"/>
        </w:rPr>
        <w:t>质囊性病的诊断须同</w:t>
      </w:r>
      <w:r>
        <w:rPr>
          <w:spacing w:val="-2"/>
          <w:sz w:val="21"/>
        </w:rPr>
        <w:t>时</w:t>
      </w:r>
      <w:r>
        <w:rPr>
          <w:spacing w:val="-2"/>
          <w:sz w:val="21"/>
        </w:rPr>
        <w:t>符</w:t>
      </w:r>
      <w:r>
        <w:rPr>
          <w:spacing w:val="-2"/>
          <w:sz w:val="21"/>
        </w:rPr>
        <w:t>合下列要求</w:t>
      </w:r>
      <w:r>
        <w:rPr>
          <w:spacing w:val="-10"/>
          <w:sz w:val="21"/>
        </w:rPr>
        <w:t>：</w:t>
      </w:r>
    </w:p>
    <w:p>
      <w:pPr>
        <w:pStyle w:val="ListParagraph"/>
        <w:numPr>
          <w:ilvl w:val="0"/>
          <w:numId w:val="87"/>
        </w:numPr>
        <w:tabs>
          <w:tab w:pos="3530" w:val="left" w:leader="none"/>
        </w:tabs>
        <w:spacing w:line="240" w:lineRule="auto" w:before="43" w:after="0"/>
        <w:ind w:left="3529" w:right="0" w:hanging="530"/>
        <w:jc w:val="left"/>
        <w:rPr>
          <w:sz w:val="21"/>
        </w:rPr>
      </w:pPr>
      <w:r>
        <w:rPr>
          <w:spacing w:val="-3"/>
          <w:sz w:val="21"/>
        </w:rPr>
        <w:t>肾髓质有囊肿、肾小管萎缩及间质纤维化等病理改变；</w:t>
      </w:r>
    </w:p>
    <w:p>
      <w:pPr>
        <w:spacing w:after="0" w:line="240" w:lineRule="auto"/>
        <w:jc w:val="left"/>
        <w:rPr>
          <w:sz w:val="21"/>
        </w:rPr>
        <w:sectPr>
          <w:type w:val="continuous"/>
          <w:pgSz w:w="11910" w:h="16840"/>
          <w:pgMar w:header="0" w:footer="404" w:top="600" w:bottom="280" w:left="860" w:right="340"/>
        </w:sectPr>
      </w:pPr>
    </w:p>
    <w:p>
      <w:pPr>
        <w:pStyle w:val="ListParagraph"/>
        <w:numPr>
          <w:ilvl w:val="0"/>
          <w:numId w:val="87"/>
        </w:numPr>
        <w:tabs>
          <w:tab w:pos="3530" w:val="left" w:leader="none"/>
        </w:tabs>
        <w:spacing w:line="240" w:lineRule="auto" w:before="57" w:after="0"/>
        <w:ind w:left="3529" w:right="0" w:hanging="530"/>
        <w:jc w:val="left"/>
        <w:rPr>
          <w:sz w:val="21"/>
        </w:rPr>
      </w:pPr>
      <w:r>
        <w:rPr>
          <w:spacing w:val="-4"/>
          <w:sz w:val="21"/>
        </w:rPr>
        <w:t>肾功能衰竭；</w:t>
      </w:r>
    </w:p>
    <w:p>
      <w:pPr>
        <w:pStyle w:val="ListParagraph"/>
        <w:numPr>
          <w:ilvl w:val="0"/>
          <w:numId w:val="87"/>
        </w:numPr>
        <w:tabs>
          <w:tab w:pos="3530" w:val="left" w:leader="none"/>
        </w:tabs>
        <w:spacing w:line="278" w:lineRule="auto" w:before="43" w:after="0"/>
        <w:ind w:left="3000" w:right="4655" w:firstLine="0"/>
        <w:jc w:val="left"/>
        <w:rPr>
          <w:b/>
          <w:sz w:val="21"/>
        </w:rPr>
      </w:pPr>
      <w:r>
        <w:rPr>
          <w:spacing w:val="-2"/>
          <w:sz w:val="21"/>
        </w:rPr>
        <w:t>诊断须由肾组织活检确定。</w:t>
      </w:r>
      <w:r>
        <w:rPr>
          <w:b/>
          <w:spacing w:val="-2"/>
          <w:sz w:val="21"/>
        </w:rPr>
        <w:t>以下情况不在保障范围内：</w:t>
      </w:r>
    </w:p>
    <w:p>
      <w:pPr>
        <w:pStyle w:val="ListParagraph"/>
        <w:numPr>
          <w:ilvl w:val="0"/>
          <w:numId w:val="88"/>
        </w:numPr>
        <w:tabs>
          <w:tab w:pos="3530" w:val="left" w:leader="none"/>
        </w:tabs>
        <w:spacing w:line="240" w:lineRule="auto" w:before="0" w:after="0"/>
        <w:ind w:left="3529" w:right="0" w:hanging="530"/>
        <w:jc w:val="left"/>
        <w:rPr>
          <w:b/>
          <w:sz w:val="21"/>
        </w:rPr>
      </w:pPr>
      <w:r>
        <w:rPr>
          <w:b/>
          <w:spacing w:val="-3"/>
          <w:sz w:val="21"/>
        </w:rPr>
        <w:t>多囊肾；</w:t>
      </w:r>
    </w:p>
    <w:p>
      <w:pPr>
        <w:pStyle w:val="ListParagraph"/>
        <w:numPr>
          <w:ilvl w:val="0"/>
          <w:numId w:val="88"/>
        </w:numPr>
        <w:tabs>
          <w:tab w:pos="3530" w:val="left" w:leader="none"/>
        </w:tabs>
        <w:spacing w:line="240" w:lineRule="auto" w:before="43" w:after="0"/>
        <w:ind w:left="3529" w:right="0" w:hanging="530"/>
        <w:jc w:val="left"/>
        <w:rPr>
          <w:b/>
          <w:sz w:val="21"/>
        </w:rPr>
      </w:pPr>
      <w:r>
        <w:rPr>
          <w:b/>
          <w:spacing w:val="-3"/>
          <w:sz w:val="21"/>
        </w:rPr>
        <w:t>多囊性肾发育不良和髓质海绵肾。</w:t>
      </w:r>
    </w:p>
    <w:p>
      <w:pPr>
        <w:spacing w:line="278" w:lineRule="auto" w:before="43"/>
        <w:ind w:left="3000"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pStyle w:val="BodyText"/>
        <w:spacing w:before="2"/>
        <w:rPr>
          <w:b/>
          <w:sz w:val="12"/>
        </w:rPr>
      </w:pPr>
    </w:p>
    <w:p>
      <w:pPr>
        <w:spacing w:after="0"/>
        <w:rPr>
          <w:sz w:val="12"/>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严重自身免疫</w:t>
      </w:r>
      <w:r>
        <w:rPr>
          <w:spacing w:val="-4"/>
          <w:sz w:val="21"/>
        </w:rPr>
        <w:t>性肝炎</w:t>
      </w:r>
    </w:p>
    <w:p>
      <w:pPr>
        <w:pStyle w:val="BodyText"/>
        <w:spacing w:line="278" w:lineRule="auto" w:before="72"/>
        <w:ind w:left="262" w:right="767"/>
        <w:jc w:val="both"/>
      </w:pPr>
      <w:r>
        <w:rPr/>
        <w:br w:type="column"/>
      </w:r>
      <w:r>
        <w:rPr>
          <w:spacing w:val="-2"/>
        </w:rPr>
        <w:t>自身免疫性肝炎是一种原因不明的慢性肝脏的坏死性炎性疾病，机体免疫机</w:t>
      </w:r>
      <w:r>
        <w:rPr>
          <w:spacing w:val="-2"/>
        </w:rPr>
        <w:t>制被破坏，产生针对肝脏自身抗原的抗体导致自身免疫反应，从而破坏肝细</w:t>
      </w:r>
      <w:r>
        <w:rPr>
          <w:spacing w:val="-2"/>
        </w:rPr>
        <w:t>胞造成肝脏炎症坏死，进而发展为肝硬化。必须满足所有以下条件：</w:t>
      </w:r>
    </w:p>
    <w:p>
      <w:pPr>
        <w:pStyle w:val="ListParagraph"/>
        <w:numPr>
          <w:ilvl w:val="0"/>
          <w:numId w:val="89"/>
        </w:numPr>
        <w:tabs>
          <w:tab w:pos="792" w:val="left" w:leader="none"/>
        </w:tabs>
        <w:spacing w:line="269" w:lineRule="exact" w:before="0" w:after="0"/>
        <w:ind w:left="791" w:right="0" w:hanging="530"/>
        <w:jc w:val="left"/>
        <w:rPr>
          <w:sz w:val="21"/>
        </w:rPr>
      </w:pPr>
      <w:r>
        <w:rPr>
          <w:spacing w:val="-2"/>
          <w:sz w:val="21"/>
        </w:rPr>
        <w:t>高γ</w:t>
      </w:r>
      <w:r>
        <w:rPr>
          <w:spacing w:val="-4"/>
          <w:sz w:val="21"/>
        </w:rPr>
        <w:t>球蛋白血症；</w:t>
      </w:r>
    </w:p>
    <w:p>
      <w:pPr>
        <w:pStyle w:val="ListParagraph"/>
        <w:numPr>
          <w:ilvl w:val="0"/>
          <w:numId w:val="89"/>
        </w:numPr>
        <w:tabs>
          <w:tab w:pos="792" w:val="left" w:leader="none"/>
        </w:tabs>
        <w:spacing w:line="278" w:lineRule="auto" w:before="43" w:after="0"/>
        <w:ind w:left="788" w:right="666" w:hanging="526"/>
        <w:jc w:val="left"/>
        <w:rPr>
          <w:sz w:val="21"/>
        </w:rPr>
      </w:pPr>
      <w:r>
        <w:rPr>
          <w:spacing w:val="-5"/>
          <w:sz w:val="21"/>
        </w:rPr>
        <w:t>血液中存在高水平的自身免疫抗体，如 </w:t>
      </w:r>
      <w:r>
        <w:rPr>
          <w:spacing w:val="-2"/>
          <w:sz w:val="21"/>
        </w:rPr>
        <w:t>ANA（抗核抗体）、SMA（抗平滑</w:t>
      </w:r>
      <w:r>
        <w:rPr>
          <w:sz w:val="21"/>
        </w:rPr>
        <w:t>肌抗体）</w:t>
      </w:r>
      <w:r>
        <w:rPr>
          <w:spacing w:val="-5"/>
          <w:sz w:val="21"/>
        </w:rPr>
        <w:t>、抗 </w:t>
      </w:r>
      <w:r>
        <w:rPr>
          <w:sz w:val="21"/>
        </w:rPr>
        <w:t>LKM1</w:t>
      </w:r>
      <w:r>
        <w:rPr>
          <w:spacing w:val="-5"/>
          <w:sz w:val="21"/>
        </w:rPr>
        <w:t> 抗体或抗-</w:t>
      </w:r>
      <w:r>
        <w:rPr>
          <w:sz w:val="21"/>
        </w:rPr>
        <w:t>SLA/LP</w:t>
      </w:r>
      <w:r>
        <w:rPr>
          <w:spacing w:val="-6"/>
          <w:sz w:val="21"/>
        </w:rPr>
        <w:t> 抗体；</w:t>
      </w:r>
    </w:p>
    <w:p>
      <w:pPr>
        <w:pStyle w:val="ListParagraph"/>
        <w:numPr>
          <w:ilvl w:val="0"/>
          <w:numId w:val="89"/>
        </w:numPr>
        <w:tabs>
          <w:tab w:pos="792" w:val="left" w:leader="none"/>
        </w:tabs>
        <w:spacing w:line="240" w:lineRule="auto" w:before="0" w:after="0"/>
        <w:ind w:left="791" w:right="0" w:hanging="530"/>
        <w:jc w:val="left"/>
        <w:rPr>
          <w:sz w:val="21"/>
        </w:rPr>
      </w:pPr>
      <w:r>
        <w:rPr>
          <w:spacing w:val="-3"/>
          <w:sz w:val="21"/>
        </w:rPr>
        <w:t>肝脏活检证实免疫性肝炎；</w:t>
      </w:r>
    </w:p>
    <w:p>
      <w:pPr>
        <w:pStyle w:val="ListParagraph"/>
        <w:numPr>
          <w:ilvl w:val="0"/>
          <w:numId w:val="89"/>
        </w:numPr>
        <w:tabs>
          <w:tab w:pos="792" w:val="left" w:leader="none"/>
        </w:tabs>
        <w:spacing w:line="240" w:lineRule="auto" w:before="43" w:after="0"/>
        <w:ind w:left="791"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7"/>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原发性骨髓纤</w:t>
      </w:r>
      <w:r>
        <w:rPr>
          <w:spacing w:val="-6"/>
          <w:sz w:val="21"/>
        </w:rPr>
        <w:t>维化</w:t>
      </w:r>
    </w:p>
    <w:p>
      <w:pPr>
        <w:pStyle w:val="BodyText"/>
        <w:spacing w:line="278" w:lineRule="auto" w:before="72"/>
        <w:ind w:left="262" w:right="767"/>
        <w:jc w:val="both"/>
      </w:pPr>
      <w:r>
        <w:rPr/>
        <w:br w:type="column"/>
      </w:r>
      <w:r>
        <w:rPr>
          <w:spacing w:val="-2"/>
        </w:rPr>
        <w:t>原发性骨髓纤维化为原因不明的骨髓中成纤维细胞增殖，伴有髓外造血，表</w:t>
      </w:r>
      <w:r>
        <w:rPr>
          <w:spacing w:val="-2"/>
        </w:rPr>
        <w:t>现为进行性贫血、脾肿大等症状。该病须根据骨髓的活组织检查和周围血象</w:t>
      </w:r>
      <w:r>
        <w:rPr>
          <w:spacing w:val="-2"/>
        </w:rPr>
        <w:t>检查在本公司认可的医疗机构内由血液科专科医生明确诊断，并至少符合下</w:t>
      </w:r>
      <w:r>
        <w:rPr>
          <w:w w:val="95"/>
        </w:rPr>
        <w:t>列</w:t>
      </w:r>
      <w:r>
        <w:rPr>
          <w:w w:val="95"/>
        </w:rPr>
        <w:t>条</w:t>
      </w:r>
      <w:r>
        <w:rPr>
          <w:w w:val="95"/>
        </w:rPr>
        <w:t>件中的三项，且符合</w:t>
      </w:r>
      <w:r>
        <w:rPr>
          <w:w w:val="95"/>
        </w:rPr>
        <w:t>条</w:t>
      </w:r>
      <w:r>
        <w:rPr>
          <w:w w:val="95"/>
        </w:rPr>
        <w:t>件</w:t>
      </w:r>
      <w:r>
        <w:rPr>
          <w:w w:val="95"/>
        </w:rPr>
        <w:t>的状</w:t>
      </w:r>
      <w:r>
        <w:rPr>
          <w:w w:val="95"/>
        </w:rPr>
        <w:t>态</w:t>
      </w:r>
      <w:r>
        <w:rPr>
          <w:w w:val="95"/>
        </w:rPr>
        <w:t>持</w:t>
      </w:r>
      <w:r>
        <w:rPr>
          <w:w w:val="95"/>
        </w:rPr>
        <w:t>续</w:t>
      </w:r>
      <w:r>
        <w:rPr>
          <w:spacing w:val="35"/>
        </w:rPr>
        <w:t> </w:t>
      </w:r>
      <w:r>
        <w:rPr>
          <w:w w:val="95"/>
        </w:rPr>
        <w:t>180</w:t>
      </w:r>
      <w:r>
        <w:rPr>
          <w:spacing w:val="29"/>
        </w:rPr>
        <w:t> </w:t>
      </w:r>
      <w:r>
        <w:rPr>
          <w:w w:val="95"/>
        </w:rPr>
        <w:t>天及</w:t>
      </w:r>
      <w:r>
        <w:rPr>
          <w:w w:val="95"/>
        </w:rPr>
        <w:t>以</w:t>
      </w:r>
      <w:r>
        <w:rPr>
          <w:w w:val="95"/>
        </w:rPr>
        <w:t>上</w:t>
      </w:r>
      <w:r>
        <w:rPr>
          <w:w w:val="95"/>
        </w:rPr>
        <w:t>，并已经实际实</w:t>
      </w:r>
      <w:r>
        <w:rPr>
          <w:w w:val="95"/>
        </w:rPr>
        <w:t>施</w:t>
      </w:r>
      <w:r>
        <w:rPr>
          <w:w w:val="95"/>
        </w:rPr>
        <w:t>了</w:t>
      </w:r>
      <w:r>
        <w:rPr>
          <w:spacing w:val="-2"/>
        </w:rPr>
        <w:t>针对此症的治疗：</w:t>
      </w:r>
    </w:p>
    <w:p>
      <w:pPr>
        <w:pStyle w:val="BodyText"/>
        <w:spacing w:line="268" w:lineRule="exact"/>
        <w:ind w:left="262"/>
      </w:pPr>
      <w:r>
        <w:rPr>
          <w:spacing w:val="-2"/>
        </w:rPr>
        <w:t>（1）血红蛋白&lt;100g/L；</w:t>
      </w:r>
    </w:p>
    <w:p>
      <w:pPr>
        <w:pStyle w:val="BodyText"/>
        <w:spacing w:before="33"/>
        <w:ind w:left="262"/>
      </w:pPr>
      <w:r>
        <w:rPr>
          <w:spacing w:val="-2"/>
        </w:rPr>
        <w:t>（2）白细胞计数&gt;25×10</w:t>
      </w:r>
      <w:r>
        <w:rPr>
          <w:spacing w:val="-2"/>
          <w:position w:val="11"/>
          <w:sz w:val="11"/>
        </w:rPr>
        <w:t>9</w:t>
      </w:r>
      <w:r>
        <w:rPr>
          <w:spacing w:val="-2"/>
        </w:rPr>
        <w:t>/L；</w:t>
      </w:r>
    </w:p>
    <w:p>
      <w:pPr>
        <w:pStyle w:val="BodyText"/>
        <w:spacing w:before="43"/>
        <w:ind w:left="262"/>
      </w:pPr>
      <w:r>
        <w:rPr/>
        <w:t>（3）</w:t>
      </w:r>
      <w:r>
        <w:rPr>
          <w:spacing w:val="-2"/>
        </w:rPr>
        <w:t>外周血原始细胞≥ </w:t>
      </w:r>
      <w:r>
        <w:rPr>
          <w:spacing w:val="-5"/>
        </w:rPr>
        <w:t>1%；</w:t>
      </w:r>
    </w:p>
    <w:p>
      <w:pPr>
        <w:pStyle w:val="BodyText"/>
        <w:spacing w:before="33"/>
        <w:ind w:left="262"/>
      </w:pPr>
      <w:r>
        <w:rPr>
          <w:spacing w:val="-2"/>
        </w:rPr>
        <w:t>（4）血小板计数&lt;100×10</w:t>
      </w:r>
      <w:r>
        <w:rPr>
          <w:spacing w:val="-2"/>
          <w:position w:val="11"/>
          <w:sz w:val="11"/>
        </w:rPr>
        <w:t>9</w:t>
      </w:r>
      <w:r>
        <w:rPr>
          <w:spacing w:val="-2"/>
        </w:rPr>
        <w:t>/L</w:t>
      </w:r>
      <w:r>
        <w:rPr>
          <w:spacing w:val="-10"/>
        </w:rPr>
        <w:t>。</w:t>
      </w:r>
    </w:p>
    <w:p>
      <w:pPr>
        <w:pStyle w:val="Heading2"/>
        <w:spacing w:before="43"/>
        <w:ind w:left="262"/>
      </w:pPr>
      <w:r>
        <w:rPr>
          <w:spacing w:val="-3"/>
        </w:rPr>
        <w:t>任何其他病因导致的继发性骨髓纤维化不在保障范围内。</w:t>
      </w:r>
    </w:p>
    <w:p>
      <w:pPr>
        <w:spacing w:after="0"/>
        <w:sectPr>
          <w:type w:val="continuous"/>
          <w:pgSz w:w="11910" w:h="16840"/>
          <w:pgMar w:header="0" w:footer="404" w:top="600" w:bottom="280" w:left="860" w:right="340"/>
          <w:cols w:num="2" w:equalWidth="0">
            <w:col w:w="2698" w:space="40"/>
            <w:col w:w="7972"/>
          </w:cols>
        </w:sectPr>
      </w:pPr>
    </w:p>
    <w:p>
      <w:pPr>
        <w:pStyle w:val="BodyText"/>
        <w:spacing w:before="5"/>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严重获得性或</w:t>
      </w:r>
      <w:r>
        <w:rPr>
          <w:spacing w:val="-2"/>
          <w:sz w:val="21"/>
        </w:rPr>
        <w:t>继发性肺泡蛋白</w:t>
      </w:r>
      <w:r>
        <w:rPr>
          <w:spacing w:val="-4"/>
          <w:sz w:val="21"/>
        </w:rPr>
        <w:t>质沉积症</w:t>
      </w:r>
    </w:p>
    <w:p>
      <w:pPr>
        <w:pStyle w:val="BodyText"/>
        <w:spacing w:line="278" w:lineRule="auto" w:before="71"/>
        <w:ind w:left="262" w:right="766"/>
      </w:pPr>
      <w:r>
        <w:rPr/>
        <w:br w:type="column"/>
      </w:r>
      <w:r>
        <w:rPr>
          <w:spacing w:val="-2"/>
        </w:rPr>
        <w:t>因获得性或继发性原因导致双肺肺泡和细支气管腔内充满不可溶性富磷脂蛋</w:t>
      </w:r>
      <w:r>
        <w:rPr>
          <w:spacing w:val="-2"/>
        </w:rPr>
        <w:t>白的疾病。理赔时须满足下列所有条件：</w:t>
      </w:r>
    </w:p>
    <w:p>
      <w:pPr>
        <w:pStyle w:val="ListParagraph"/>
        <w:numPr>
          <w:ilvl w:val="0"/>
          <w:numId w:val="90"/>
        </w:numPr>
        <w:tabs>
          <w:tab w:pos="829" w:val="left" w:leader="none"/>
        </w:tabs>
        <w:spacing w:line="269" w:lineRule="exact" w:before="0" w:after="0"/>
        <w:ind w:left="829" w:right="0" w:hanging="567"/>
        <w:jc w:val="left"/>
        <w:rPr>
          <w:sz w:val="21"/>
        </w:rPr>
      </w:pPr>
      <w:r>
        <w:rPr>
          <w:spacing w:val="10"/>
          <w:sz w:val="21"/>
        </w:rPr>
        <w:t>支气管镜活检或开胸肺活检病理检查证实肺泡内充满有过碘酸雪夫</w:t>
      </w:r>
    </w:p>
    <w:p>
      <w:pPr>
        <w:pStyle w:val="BodyText"/>
        <w:spacing w:before="43"/>
        <w:ind w:left="788"/>
      </w:pPr>
      <w:r>
        <w:rPr>
          <w:spacing w:val="-2"/>
        </w:rPr>
        <w:t>（PAS）</w:t>
      </w:r>
      <w:r>
        <w:rPr>
          <w:spacing w:val="-3"/>
        </w:rPr>
        <w:t>染色阳性的蛋白样物质；</w:t>
      </w:r>
    </w:p>
    <w:p>
      <w:pPr>
        <w:pStyle w:val="ListParagraph"/>
        <w:numPr>
          <w:ilvl w:val="0"/>
          <w:numId w:val="90"/>
        </w:numPr>
        <w:tabs>
          <w:tab w:pos="792" w:val="left" w:leader="none"/>
        </w:tabs>
        <w:spacing w:line="278" w:lineRule="auto" w:before="43" w:after="0"/>
        <w:ind w:left="788" w:right="666" w:hanging="526"/>
        <w:jc w:val="left"/>
        <w:rPr>
          <w:sz w:val="21"/>
        </w:rPr>
      </w:pPr>
      <w:r>
        <w:rPr>
          <w:spacing w:val="-2"/>
          <w:sz w:val="21"/>
        </w:rPr>
        <w:t>被保险人因中重度呼吸困难或低氧血症而实际已行全身麻醉下的全肺灌</w:t>
      </w:r>
      <w:r>
        <w:rPr>
          <w:spacing w:val="-4"/>
          <w:sz w:val="21"/>
        </w:rPr>
        <w:t>洗治疗。</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3"/>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严重肠道疾病</w:t>
      </w:r>
      <w:r>
        <w:rPr>
          <w:spacing w:val="-4"/>
          <w:sz w:val="21"/>
        </w:rPr>
        <w:t>并发症</w:t>
      </w:r>
    </w:p>
    <w:p>
      <w:pPr>
        <w:pStyle w:val="BodyText"/>
        <w:spacing w:before="71"/>
        <w:ind w:left="262"/>
      </w:pPr>
      <w:r>
        <w:rPr/>
        <w:br w:type="column"/>
      </w:r>
      <w:r>
        <w:rPr>
          <w:spacing w:val="-3"/>
        </w:rPr>
        <w:t>严重肠道疾病或外伤导致小肠损害并发症，本疾病须满足以下所有条件：</w:t>
      </w:r>
    </w:p>
    <w:p>
      <w:pPr>
        <w:pStyle w:val="ListParagraph"/>
        <w:numPr>
          <w:ilvl w:val="0"/>
          <w:numId w:val="91"/>
        </w:numPr>
        <w:tabs>
          <w:tab w:pos="792" w:val="left" w:leader="none"/>
        </w:tabs>
        <w:spacing w:line="240" w:lineRule="auto" w:before="43" w:after="0"/>
        <w:ind w:left="791" w:right="0" w:hanging="530"/>
        <w:jc w:val="left"/>
        <w:rPr>
          <w:sz w:val="21"/>
        </w:rPr>
      </w:pPr>
      <w:r>
        <w:rPr>
          <w:spacing w:val="-3"/>
          <w:sz w:val="21"/>
        </w:rPr>
        <w:t>至少切除了三分之二小肠；</w:t>
      </w:r>
    </w:p>
    <w:p>
      <w:pPr>
        <w:pStyle w:val="ListParagraph"/>
        <w:numPr>
          <w:ilvl w:val="0"/>
          <w:numId w:val="91"/>
        </w:numPr>
        <w:tabs>
          <w:tab w:pos="792" w:val="left" w:leader="none"/>
        </w:tabs>
        <w:spacing w:line="240" w:lineRule="auto" w:before="43" w:after="0"/>
        <w:ind w:left="791"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5"/>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严重骨髓异常</w:t>
      </w:r>
      <w:r>
        <w:rPr>
          <w:spacing w:val="-2"/>
          <w:sz w:val="21"/>
        </w:rPr>
        <w:t>增生综合征</w:t>
      </w:r>
    </w:p>
    <w:p>
      <w:pPr>
        <w:pStyle w:val="BodyText"/>
        <w:spacing w:line="278" w:lineRule="auto" w:before="72"/>
        <w:ind w:left="262"/>
      </w:pPr>
      <w:r>
        <w:rPr/>
        <w:br w:type="column"/>
      </w:r>
      <w:r>
        <w:rPr/>
        <w:t>严重骨髓异常增生综合征是指符合世界卫生组织（WHO， World Health Organization）2008</w:t>
      </w:r>
      <w:r>
        <w:rPr>
          <w:spacing w:val="-8"/>
        </w:rPr>
        <w:t> 年分型方案中的难治性贫血细胞减少伴原始细胞增多-</w:t>
      </w:r>
      <w:r>
        <w:rPr/>
        <w:t>1</w:t>
      </w:r>
    </w:p>
    <w:p>
      <w:pPr>
        <w:pStyle w:val="BodyText"/>
        <w:spacing w:line="278" w:lineRule="auto"/>
        <w:ind w:left="262" w:right="769"/>
      </w:pPr>
      <w:r>
        <w:rPr>
          <w:spacing w:val="-2"/>
        </w:rPr>
        <w:t>（RAEB-1）、难治性贫血细胞减少伴原始细胞增多-2（RAEB-2）、MDS-未分</w:t>
      </w:r>
      <w:r>
        <w:rPr/>
        <w:t>类（MDS-U）、MDS</w:t>
      </w:r>
      <w:r>
        <w:rPr>
          <w:spacing w:val="-11"/>
        </w:rPr>
        <w:t> 伴单纯 </w:t>
      </w:r>
      <w:r>
        <w:rPr/>
        <w:t>5q-，且需满足下列所有条件：</w:t>
      </w:r>
    </w:p>
    <w:p>
      <w:pPr>
        <w:pStyle w:val="ListParagraph"/>
        <w:numPr>
          <w:ilvl w:val="0"/>
          <w:numId w:val="92"/>
        </w:numPr>
        <w:tabs>
          <w:tab w:pos="792" w:val="left" w:leader="none"/>
        </w:tabs>
        <w:spacing w:line="278" w:lineRule="auto" w:before="0" w:after="0"/>
        <w:ind w:left="788" w:right="663" w:hanging="526"/>
        <w:jc w:val="left"/>
        <w:rPr>
          <w:sz w:val="21"/>
        </w:rPr>
      </w:pPr>
      <w:r>
        <w:rPr>
          <w:spacing w:val="-2"/>
          <w:sz w:val="21"/>
        </w:rPr>
        <w:t>由本公司认可的医疗机构中设有专门血液病专科的公立三级甲等医院，</w:t>
      </w:r>
      <w:r>
        <w:rPr>
          <w:spacing w:val="-2"/>
          <w:sz w:val="21"/>
        </w:rPr>
        <w:t>血液病专科的主治级别以上的医师确诊；</w:t>
      </w:r>
    </w:p>
    <w:p>
      <w:pPr>
        <w:pStyle w:val="ListParagraph"/>
        <w:numPr>
          <w:ilvl w:val="0"/>
          <w:numId w:val="92"/>
        </w:numPr>
        <w:tabs>
          <w:tab w:pos="792" w:val="left" w:leader="none"/>
        </w:tabs>
        <w:spacing w:line="269" w:lineRule="exact" w:before="0" w:after="0"/>
        <w:ind w:left="791" w:right="0" w:hanging="530"/>
        <w:jc w:val="left"/>
        <w:rPr>
          <w:sz w:val="21"/>
        </w:rPr>
      </w:pPr>
      <w:r>
        <w:rPr>
          <w:spacing w:val="-3"/>
          <w:sz w:val="21"/>
        </w:rPr>
        <w:t>骨髓穿刺或骨髓活检结果支持诊断；</w:t>
      </w:r>
    </w:p>
    <w:p>
      <w:pPr>
        <w:pStyle w:val="ListParagraph"/>
        <w:numPr>
          <w:ilvl w:val="0"/>
          <w:numId w:val="92"/>
        </w:numPr>
        <w:tabs>
          <w:tab w:pos="790" w:val="left" w:leader="none"/>
        </w:tabs>
        <w:spacing w:line="278" w:lineRule="auto" w:before="43" w:after="0"/>
        <w:ind w:left="788" w:right="666" w:hanging="526"/>
        <w:jc w:val="left"/>
        <w:rPr>
          <w:sz w:val="21"/>
        </w:rPr>
      </w:pPr>
      <w:r>
        <w:rPr>
          <w:spacing w:val="-2"/>
          <w:sz w:val="21"/>
        </w:rPr>
        <w:t>被保险人已持续接受一个月以上的化疗或已接受骨髓移植治疗。化疗天</w:t>
      </w:r>
      <w:r>
        <w:rPr>
          <w:spacing w:val="-2"/>
          <w:sz w:val="21"/>
        </w:rPr>
        <w:t>数的计算以被保险人实际服用、注射化疗药物的天数为准。</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ListParagraph"/>
        <w:numPr>
          <w:ilvl w:val="2"/>
          <w:numId w:val="40"/>
        </w:numPr>
        <w:tabs>
          <w:tab w:pos="1439" w:val="left" w:leader="none"/>
        </w:tabs>
        <w:spacing w:line="278" w:lineRule="auto" w:before="45" w:after="0"/>
        <w:ind w:left="1120" w:right="0" w:firstLine="0"/>
        <w:jc w:val="left"/>
        <w:rPr>
          <w:sz w:val="21"/>
        </w:rPr>
      </w:pPr>
      <w:r>
        <w:rPr>
          <w:spacing w:val="-2"/>
          <w:sz w:val="21"/>
        </w:rPr>
        <w:t>严重甲型及乙</w:t>
      </w:r>
      <w:r>
        <w:rPr>
          <w:spacing w:val="-4"/>
          <w:sz w:val="21"/>
        </w:rPr>
        <w:t>型血友病</w:t>
      </w:r>
    </w:p>
    <w:p>
      <w:pPr>
        <w:pStyle w:val="BodyText"/>
        <w:spacing w:before="45"/>
        <w:ind w:left="262"/>
      </w:pPr>
      <w:r>
        <w:rPr/>
        <w:br w:type="column"/>
      </w:r>
      <w:r>
        <w:rPr>
          <w:spacing w:val="-2"/>
        </w:rPr>
        <w:t>被保险人必须是患上严重甲型血友病（缺乏Ⅷ凝血因子）</w:t>
      </w:r>
      <w:r>
        <w:rPr>
          <w:spacing w:val="-4"/>
        </w:rPr>
        <w:t>或严重乙型血友病</w:t>
      </w:r>
    </w:p>
    <w:p>
      <w:pPr>
        <w:pStyle w:val="BodyText"/>
        <w:spacing w:line="278" w:lineRule="auto" w:before="43"/>
        <w:ind w:left="262" w:right="716"/>
      </w:pPr>
      <w:r>
        <w:rPr/>
        <w:t>（缺乏Ⅸ凝血因子）</w:t>
      </w:r>
      <w:r>
        <w:rPr>
          <w:spacing w:val="-3"/>
        </w:rPr>
        <w:t>，而凝血因子Ⅷ或凝血因子Ⅸ的活性水平少于 </w:t>
      </w:r>
      <w:r>
        <w:rPr/>
        <w:t>1%。诊断</w:t>
      </w:r>
      <w:r>
        <w:rPr>
          <w:spacing w:val="-2"/>
        </w:rPr>
        <w:t>必须在本公司认可的医疗机构内由血液病专科医生确认。</w:t>
      </w:r>
    </w:p>
    <w:p>
      <w:pPr>
        <w:pStyle w:val="Heading2"/>
        <w:spacing w:line="278" w:lineRule="auto"/>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pgSz w:w="11910" w:h="16840"/>
          <w:pgMar w:header="0" w:footer="404" w:top="1320" w:bottom="600" w:left="860" w:right="340"/>
          <w:cols w:num="2" w:equalWidth="0">
            <w:col w:w="2698" w:space="40"/>
            <w:col w:w="7972"/>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重症急性坏死</w:t>
      </w:r>
      <w:r>
        <w:rPr>
          <w:spacing w:val="-4"/>
          <w:sz w:val="21"/>
        </w:rPr>
        <w:t>性筋膜炎</w:t>
      </w:r>
    </w:p>
    <w:p>
      <w:pPr>
        <w:pStyle w:val="BodyText"/>
        <w:spacing w:before="72"/>
        <w:ind w:left="262"/>
      </w:pPr>
      <w:r>
        <w:rPr/>
        <w:br w:type="column"/>
      </w:r>
      <w:r>
        <w:rPr>
          <w:spacing w:val="-3"/>
        </w:rPr>
        <w:t>坏死性筋膜炎的诊断须同时符合下列要求：</w:t>
      </w:r>
    </w:p>
    <w:p>
      <w:pPr>
        <w:pStyle w:val="ListParagraph"/>
        <w:numPr>
          <w:ilvl w:val="0"/>
          <w:numId w:val="93"/>
        </w:numPr>
        <w:tabs>
          <w:tab w:pos="792" w:val="left" w:leader="none"/>
        </w:tabs>
        <w:spacing w:line="240" w:lineRule="auto" w:before="43" w:after="0"/>
        <w:ind w:left="791" w:right="0" w:hanging="530"/>
        <w:jc w:val="left"/>
        <w:rPr>
          <w:sz w:val="21"/>
        </w:rPr>
      </w:pPr>
      <w:r>
        <w:rPr>
          <w:spacing w:val="-3"/>
          <w:sz w:val="21"/>
        </w:rPr>
        <w:t>符合坏死性筋膜炎的一般临床表现；</w:t>
      </w:r>
    </w:p>
    <w:p>
      <w:pPr>
        <w:pStyle w:val="ListParagraph"/>
        <w:numPr>
          <w:ilvl w:val="0"/>
          <w:numId w:val="93"/>
        </w:numPr>
        <w:tabs>
          <w:tab w:pos="792" w:val="left" w:leader="none"/>
        </w:tabs>
        <w:spacing w:line="240" w:lineRule="auto" w:before="43" w:after="0"/>
        <w:ind w:left="791" w:right="0" w:hanging="530"/>
        <w:jc w:val="left"/>
        <w:rPr>
          <w:sz w:val="21"/>
        </w:rPr>
      </w:pPr>
      <w:r>
        <w:rPr>
          <w:spacing w:val="-3"/>
          <w:sz w:val="21"/>
        </w:rPr>
        <w:t>细菌培养检出致病菌；</w:t>
      </w:r>
    </w:p>
    <w:p>
      <w:pPr>
        <w:pStyle w:val="ListParagraph"/>
        <w:numPr>
          <w:ilvl w:val="0"/>
          <w:numId w:val="93"/>
        </w:numPr>
        <w:tabs>
          <w:tab w:pos="790" w:val="left" w:leader="none"/>
        </w:tabs>
        <w:spacing w:line="278" w:lineRule="auto" w:before="43" w:after="0"/>
        <w:ind w:left="788" w:right="666" w:hanging="526"/>
        <w:jc w:val="left"/>
        <w:rPr>
          <w:sz w:val="21"/>
        </w:rPr>
      </w:pPr>
      <w:r>
        <w:rPr>
          <w:spacing w:val="-2"/>
          <w:sz w:val="21"/>
        </w:rPr>
        <w:t>出现广泛性肌肉及软组织坏死，并导致身体受影响部位永久完全失去功</w:t>
      </w:r>
      <w:r>
        <w:rPr>
          <w:spacing w:val="-6"/>
          <w:sz w:val="21"/>
        </w:rPr>
        <w:t>能。</w:t>
      </w:r>
    </w:p>
    <w:p>
      <w:pPr>
        <w:pStyle w:val="BodyText"/>
        <w:spacing w:line="269" w:lineRule="exact"/>
        <w:ind w:left="262"/>
      </w:pPr>
      <w:r>
        <w:rPr>
          <w:spacing w:val="-4"/>
        </w:rPr>
        <w:t>所谓永久完全失去功能是指受影响部位的全部功能完全丧失超过 </w:t>
      </w:r>
      <w:r>
        <w:rPr>
          <w:spacing w:val="-2"/>
        </w:rPr>
        <w:t>180</w:t>
      </w:r>
      <w:r>
        <w:rPr>
          <w:spacing w:val="-1"/>
        </w:rPr>
        <w:t> 天者。</w:t>
      </w:r>
    </w:p>
    <w:p>
      <w:pPr>
        <w:spacing w:after="0" w:line="269" w:lineRule="exact"/>
        <w:sectPr>
          <w:type w:val="continuous"/>
          <w:pgSz w:w="11910" w:h="16840"/>
          <w:pgMar w:header="0" w:footer="404" w:top="600" w:bottom="280" w:left="860" w:right="340"/>
          <w:cols w:num="2" w:equalWidth="0">
            <w:col w:w="2698" w:space="40"/>
            <w:col w:w="7972"/>
          </w:cols>
        </w:sectPr>
      </w:pPr>
    </w:p>
    <w:p>
      <w:pPr>
        <w:pStyle w:val="BodyText"/>
        <w:spacing w:before="5"/>
        <w:rPr>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经输血导致的</w:t>
      </w:r>
      <w:r>
        <w:rPr>
          <w:spacing w:val="-2"/>
          <w:sz w:val="21"/>
        </w:rPr>
        <w:t> </w:t>
      </w:r>
      <w:r>
        <w:rPr>
          <w:sz w:val="21"/>
        </w:rPr>
        <w:t>HIV</w:t>
      </w:r>
      <w:r>
        <w:rPr>
          <w:spacing w:val="-15"/>
          <w:sz w:val="21"/>
        </w:rPr>
        <w:t> 感染</w:t>
      </w:r>
    </w:p>
    <w:p>
      <w:pPr>
        <w:pStyle w:val="BodyText"/>
        <w:spacing w:before="72"/>
        <w:ind w:left="262"/>
      </w:pPr>
      <w:r>
        <w:rPr/>
        <w:br w:type="column"/>
      </w:r>
      <w:r>
        <w:rPr>
          <w:spacing w:val="-2"/>
        </w:rPr>
        <w:t>是指被保险人感染上人类免疫缺陷病毒（HIV）</w:t>
      </w:r>
      <w:r>
        <w:rPr>
          <w:spacing w:val="-3"/>
        </w:rPr>
        <w:t>并且符合下列所有条件：</w:t>
      </w:r>
    </w:p>
    <w:p>
      <w:pPr>
        <w:pStyle w:val="ListParagraph"/>
        <w:numPr>
          <w:ilvl w:val="0"/>
          <w:numId w:val="94"/>
        </w:numPr>
        <w:tabs>
          <w:tab w:pos="790" w:val="left" w:leader="none"/>
        </w:tabs>
        <w:spacing w:line="240" w:lineRule="auto" w:before="43" w:after="0"/>
        <w:ind w:left="789" w:right="0" w:hanging="528"/>
        <w:jc w:val="left"/>
        <w:rPr>
          <w:sz w:val="21"/>
        </w:rPr>
      </w:pPr>
      <w:r>
        <w:rPr>
          <w:spacing w:val="-3"/>
          <w:sz w:val="21"/>
        </w:rPr>
        <w:t>被保险人因治疗必需而接受输血，并且因输血而感染人类免疫缺陷病毒</w:t>
      </w:r>
    </w:p>
    <w:p>
      <w:pPr>
        <w:pStyle w:val="BodyText"/>
        <w:spacing w:before="43"/>
        <w:ind w:left="788"/>
      </w:pPr>
      <w:r>
        <w:rPr>
          <w:spacing w:val="-2"/>
        </w:rPr>
        <w:t>（HIV）；</w:t>
      </w:r>
    </w:p>
    <w:p>
      <w:pPr>
        <w:pStyle w:val="ListParagraph"/>
        <w:numPr>
          <w:ilvl w:val="0"/>
          <w:numId w:val="94"/>
        </w:numPr>
        <w:tabs>
          <w:tab w:pos="792" w:val="left" w:leader="none"/>
        </w:tabs>
        <w:spacing w:line="278" w:lineRule="auto" w:before="43" w:after="0"/>
        <w:ind w:left="788" w:right="666" w:hanging="526"/>
        <w:jc w:val="left"/>
        <w:rPr>
          <w:sz w:val="21"/>
        </w:rPr>
      </w:pPr>
      <w:r>
        <w:rPr>
          <w:spacing w:val="-2"/>
          <w:sz w:val="21"/>
        </w:rPr>
        <w:t>提供输血治疗的输血中心或医院出具该项输血感染属医疗责任事故的报</w:t>
      </w:r>
      <w:r>
        <w:rPr>
          <w:spacing w:val="-2"/>
          <w:sz w:val="21"/>
        </w:rPr>
        <w:t>告，或者法院终审裁定为医疗责任并且不准上诉；</w:t>
      </w:r>
    </w:p>
    <w:p>
      <w:pPr>
        <w:pStyle w:val="ListParagraph"/>
        <w:numPr>
          <w:ilvl w:val="0"/>
          <w:numId w:val="94"/>
        </w:numPr>
        <w:tabs>
          <w:tab w:pos="792" w:val="left" w:leader="none"/>
        </w:tabs>
        <w:spacing w:line="269" w:lineRule="exact" w:before="0" w:after="0"/>
        <w:ind w:left="791" w:right="0" w:hanging="530"/>
        <w:jc w:val="left"/>
        <w:rPr>
          <w:sz w:val="21"/>
        </w:rPr>
      </w:pPr>
      <w:r>
        <w:rPr>
          <w:spacing w:val="-3"/>
          <w:sz w:val="21"/>
        </w:rPr>
        <w:t>提供输血治疗的输血中心或医院必须拥有合法经营执照；</w:t>
      </w:r>
    </w:p>
    <w:p>
      <w:pPr>
        <w:pStyle w:val="ListParagraph"/>
        <w:numPr>
          <w:ilvl w:val="0"/>
          <w:numId w:val="94"/>
        </w:numPr>
        <w:tabs>
          <w:tab w:pos="792" w:val="left" w:leader="none"/>
        </w:tabs>
        <w:spacing w:line="240" w:lineRule="auto" w:before="43" w:after="0"/>
        <w:ind w:left="791" w:right="0" w:hanging="530"/>
        <w:jc w:val="left"/>
        <w:rPr>
          <w:sz w:val="21"/>
        </w:rPr>
      </w:pPr>
      <w:r>
        <w:rPr>
          <w:spacing w:val="-3"/>
          <w:sz w:val="21"/>
        </w:rPr>
        <w:t>受感染的被保险人不是血友病患者。</w:t>
      </w:r>
    </w:p>
    <w:p>
      <w:pPr>
        <w:spacing w:line="278" w:lineRule="auto" w:before="42"/>
        <w:ind w:left="262" w:right="669" w:firstLine="0"/>
        <w:jc w:val="left"/>
        <w:rPr>
          <w:b/>
          <w:sz w:val="21"/>
        </w:rPr>
      </w:pPr>
      <w:r>
        <w:rPr>
          <w:b/>
          <w:spacing w:val="-2"/>
          <w:sz w:val="21"/>
        </w:rPr>
        <w:t>在任何治愈艾滋病或阻止人类免疫缺陷病毒（HIV）病毒作用的疗法被发现以</w:t>
      </w:r>
      <w:r>
        <w:rPr>
          <w:b/>
          <w:spacing w:val="-2"/>
          <w:sz w:val="21"/>
        </w:rPr>
        <w:t>后，或能防止艾滋病发生的医疗方法被研究出来以后，本保障将不再予以赔</w:t>
      </w:r>
      <w:r>
        <w:rPr>
          <w:b/>
          <w:spacing w:val="-6"/>
          <w:sz w:val="21"/>
        </w:rPr>
        <w:t>付。</w:t>
      </w:r>
    </w:p>
    <w:p>
      <w:pPr>
        <w:spacing w:line="278" w:lineRule="auto" w:before="0"/>
        <w:ind w:left="262" w:right="746" w:firstLine="0"/>
        <w:jc w:val="left"/>
        <w:rPr>
          <w:b/>
          <w:sz w:val="21"/>
        </w:rPr>
      </w:pPr>
      <w:r>
        <w:rPr>
          <w:b/>
          <w:spacing w:val="-2"/>
          <w:sz w:val="21"/>
        </w:rPr>
        <w:t>本公司必须拥有获得使用被保险人的所有血液样本的权利和能够对这些样本</w:t>
      </w:r>
      <w:r>
        <w:rPr>
          <w:b/>
          <w:spacing w:val="-2"/>
          <w:sz w:val="21"/>
        </w:rPr>
        <w:t>进行独立检验的权利。</w:t>
      </w:r>
    </w:p>
    <w:p>
      <w:pPr>
        <w:spacing w:line="278" w:lineRule="auto" w:before="0"/>
        <w:ind w:left="262" w:right="746" w:firstLine="0"/>
        <w:jc w:val="left"/>
        <w:rPr>
          <w:b/>
          <w:sz w:val="21"/>
        </w:rPr>
      </w:pPr>
      <w:r>
        <w:rPr>
          <w:b/>
          <w:spacing w:val="-2"/>
          <w:sz w:val="21"/>
        </w:rPr>
        <w:t>本公司承担本项疾病责任不受本合同责任免除中“被保险人感染艾滋病病毒</w:t>
      </w:r>
      <w:r>
        <w:rPr>
          <w:b/>
          <w:spacing w:val="-2"/>
          <w:sz w:val="21"/>
        </w:rPr>
        <w:t>或患艾滋病”的限制。</w:t>
      </w:r>
    </w:p>
    <w:p>
      <w:pPr>
        <w:spacing w:after="0" w:line="278" w:lineRule="auto"/>
        <w:jc w:val="left"/>
        <w:rPr>
          <w:sz w:val="21"/>
        </w:rPr>
        <w:sectPr>
          <w:type w:val="continuous"/>
          <w:pgSz w:w="11910" w:h="16840"/>
          <w:pgMar w:header="0" w:footer="404" w:top="600" w:bottom="280" w:left="860" w:right="340"/>
          <w:cols w:num="2" w:equalWidth="0">
            <w:col w:w="2698" w:space="40"/>
            <w:col w:w="7972"/>
          </w:cols>
        </w:sectPr>
      </w:pPr>
    </w:p>
    <w:p>
      <w:pPr>
        <w:pStyle w:val="BodyText"/>
        <w:spacing w:before="3"/>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1" w:after="0"/>
        <w:ind w:left="1120" w:right="0" w:firstLine="0"/>
        <w:jc w:val="left"/>
        <w:rPr>
          <w:sz w:val="21"/>
        </w:rPr>
      </w:pPr>
      <w:r>
        <w:rPr>
          <w:spacing w:val="-2"/>
          <w:sz w:val="21"/>
        </w:rPr>
        <w:t>器官移植导致</w:t>
      </w:r>
      <w:r>
        <w:rPr>
          <w:spacing w:val="-11"/>
          <w:sz w:val="21"/>
        </w:rPr>
        <w:t>的 </w:t>
      </w:r>
      <w:r>
        <w:rPr>
          <w:sz w:val="21"/>
        </w:rPr>
        <w:t>HIV</w:t>
      </w:r>
      <w:r>
        <w:rPr>
          <w:spacing w:val="-9"/>
          <w:sz w:val="21"/>
        </w:rPr>
        <w:t> 感染</w:t>
      </w:r>
    </w:p>
    <w:p>
      <w:pPr>
        <w:pStyle w:val="BodyText"/>
        <w:spacing w:line="278" w:lineRule="auto" w:before="71"/>
        <w:ind w:left="262" w:right="666"/>
      </w:pPr>
      <w:r>
        <w:rPr/>
        <w:br w:type="column"/>
      </w:r>
      <w:r>
        <w:rPr>
          <w:spacing w:val="-2"/>
        </w:rPr>
        <w:t>指因进行器官移植而感染上人类免疫缺陷病毒（HIV），且须满足下列全部条</w:t>
      </w:r>
      <w:r>
        <w:rPr>
          <w:spacing w:val="-6"/>
        </w:rPr>
        <w:t>件：</w:t>
      </w:r>
    </w:p>
    <w:p>
      <w:pPr>
        <w:pStyle w:val="ListParagraph"/>
        <w:numPr>
          <w:ilvl w:val="0"/>
          <w:numId w:val="95"/>
        </w:numPr>
        <w:tabs>
          <w:tab w:pos="790" w:val="left" w:leader="none"/>
        </w:tabs>
        <w:spacing w:line="278" w:lineRule="auto" w:before="0" w:after="0"/>
        <w:ind w:left="788" w:right="666" w:hanging="526"/>
        <w:jc w:val="left"/>
        <w:rPr>
          <w:sz w:val="21"/>
        </w:rPr>
      </w:pPr>
      <w:r>
        <w:rPr>
          <w:spacing w:val="-2"/>
          <w:sz w:val="21"/>
        </w:rPr>
        <w:t>被保险人因治疗必需而实施器官移植，并且因器官移植而感染人类免疫</w:t>
      </w:r>
      <w:r>
        <w:rPr>
          <w:spacing w:val="-2"/>
          <w:sz w:val="21"/>
        </w:rPr>
        <w:t>缺陷病毒（HIV）；</w:t>
      </w:r>
    </w:p>
    <w:p>
      <w:pPr>
        <w:pStyle w:val="ListParagraph"/>
        <w:numPr>
          <w:ilvl w:val="0"/>
          <w:numId w:val="95"/>
        </w:numPr>
        <w:tabs>
          <w:tab w:pos="790" w:val="left" w:leader="none"/>
        </w:tabs>
        <w:spacing w:line="278" w:lineRule="auto" w:before="0" w:after="0"/>
        <w:ind w:left="788" w:right="666" w:hanging="526"/>
        <w:jc w:val="left"/>
        <w:rPr>
          <w:sz w:val="21"/>
        </w:rPr>
      </w:pPr>
      <w:r>
        <w:rPr>
          <w:spacing w:val="-2"/>
          <w:sz w:val="21"/>
        </w:rPr>
        <w:t>提供器官移植治疗的器官移植中心或医院出具该项器官移植感染，属于</w:t>
      </w:r>
      <w:r>
        <w:rPr>
          <w:spacing w:val="-2"/>
          <w:sz w:val="21"/>
        </w:rPr>
        <w:t>医疗责任事故的报告，或者法院终审裁定为医疗责任并且不准上诉；</w:t>
      </w:r>
    </w:p>
    <w:p>
      <w:pPr>
        <w:pStyle w:val="ListParagraph"/>
        <w:numPr>
          <w:ilvl w:val="0"/>
          <w:numId w:val="95"/>
        </w:numPr>
        <w:tabs>
          <w:tab w:pos="792" w:val="left" w:leader="none"/>
        </w:tabs>
        <w:spacing w:line="269" w:lineRule="exact" w:before="0" w:after="0"/>
        <w:ind w:left="791" w:right="0" w:hanging="530"/>
        <w:jc w:val="left"/>
        <w:rPr>
          <w:sz w:val="21"/>
        </w:rPr>
      </w:pPr>
      <w:r>
        <w:rPr>
          <w:spacing w:val="-3"/>
          <w:sz w:val="21"/>
        </w:rPr>
        <w:t>提供器官移植治疗的器官移植中心或医院必须拥有合法经营执照。</w:t>
      </w:r>
    </w:p>
    <w:p>
      <w:pPr>
        <w:pStyle w:val="Heading2"/>
        <w:spacing w:line="278" w:lineRule="auto" w:before="43"/>
        <w:ind w:left="262" w:right="669"/>
      </w:pPr>
      <w:r>
        <w:rPr>
          <w:spacing w:val="-2"/>
        </w:rPr>
        <w:t>在任何治愈艾滋病或阻止人类免疫缺陷病毒（HIV）病毒作用的疗法被发现以</w:t>
      </w:r>
      <w:r>
        <w:rPr>
          <w:spacing w:val="-2"/>
        </w:rPr>
        <w:t>后，或能防止艾滋病发生的医疗方法被研究出来以后，本保障将不再予以赔</w:t>
      </w:r>
      <w:r>
        <w:rPr>
          <w:spacing w:val="-6"/>
        </w:rPr>
        <w:t>付。</w:t>
      </w:r>
    </w:p>
    <w:p>
      <w:pPr>
        <w:spacing w:line="278" w:lineRule="auto" w:before="0"/>
        <w:ind w:left="262" w:right="746" w:firstLine="0"/>
        <w:jc w:val="both"/>
        <w:rPr>
          <w:b/>
          <w:sz w:val="21"/>
        </w:rPr>
      </w:pPr>
      <w:r>
        <w:rPr>
          <w:b/>
          <w:spacing w:val="-2"/>
          <w:sz w:val="21"/>
        </w:rPr>
        <w:t>本公司必须拥有获得使用被保险人的所有血液样本的权利和能够对这些样本</w:t>
      </w:r>
      <w:r>
        <w:rPr>
          <w:b/>
          <w:spacing w:val="-2"/>
          <w:sz w:val="21"/>
        </w:rPr>
        <w:t>进行独立检验的权利。本公司承担本项疾病责任不受本合同责任免除中“被</w:t>
      </w:r>
      <w:r>
        <w:rPr>
          <w:b/>
          <w:spacing w:val="-2"/>
          <w:sz w:val="21"/>
        </w:rPr>
        <w:t>保险人感染艾滋病病毒或患艾滋病”的限制。</w:t>
      </w:r>
    </w:p>
    <w:p>
      <w:pPr>
        <w:spacing w:after="0" w:line="278" w:lineRule="auto"/>
        <w:jc w:val="both"/>
        <w:rPr>
          <w:sz w:val="21"/>
        </w:rPr>
        <w:sectPr>
          <w:type w:val="continuous"/>
          <w:pgSz w:w="11910" w:h="16840"/>
          <w:pgMar w:header="0" w:footer="404" w:top="600" w:bottom="280" w:left="860" w:right="340"/>
          <w:cols w:num="2" w:equalWidth="0">
            <w:col w:w="2698" w:space="40"/>
            <w:col w:w="7972"/>
          </w:cols>
        </w:sectPr>
      </w:pPr>
    </w:p>
    <w:p>
      <w:pPr>
        <w:pStyle w:val="BodyText"/>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弥漫性血管内</w:t>
      </w:r>
      <w:r>
        <w:rPr>
          <w:spacing w:val="-6"/>
          <w:sz w:val="21"/>
        </w:rPr>
        <w:t>凝血</w:t>
      </w:r>
    </w:p>
    <w:p>
      <w:pPr>
        <w:pStyle w:val="BodyText"/>
        <w:spacing w:line="278" w:lineRule="auto" w:before="72"/>
        <w:ind w:left="262" w:right="767"/>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因子耗竭和严重出血，需要输注血浆和浓缩血小板进行治疗。须提供同时具</w:t>
      </w:r>
      <w:r>
        <w:rPr>
          <w:spacing w:val="-2"/>
        </w:rPr>
        <w:t>有下列条件中的至少三项的检验报告：</w:t>
      </w:r>
    </w:p>
    <w:p>
      <w:pPr>
        <w:pStyle w:val="ListParagraph"/>
        <w:numPr>
          <w:ilvl w:val="0"/>
          <w:numId w:val="96"/>
        </w:numPr>
        <w:tabs>
          <w:tab w:pos="792" w:val="left" w:leader="none"/>
        </w:tabs>
        <w:spacing w:line="269" w:lineRule="exact" w:before="0" w:after="0"/>
        <w:ind w:left="791" w:right="0" w:hanging="530"/>
        <w:jc w:val="both"/>
        <w:rPr>
          <w:sz w:val="21"/>
        </w:rPr>
      </w:pPr>
      <w:r>
        <w:rPr>
          <w:spacing w:val="-2"/>
          <w:sz w:val="21"/>
        </w:rPr>
        <w:t>血小板计数&lt;100×10</w:t>
      </w:r>
      <w:r>
        <w:rPr>
          <w:spacing w:val="-2"/>
          <w:position w:val="11"/>
          <w:sz w:val="11"/>
        </w:rPr>
        <w:t>9</w:t>
      </w:r>
      <w:r>
        <w:rPr>
          <w:spacing w:val="-2"/>
          <w:sz w:val="21"/>
        </w:rPr>
        <w:t>/L</w:t>
      </w:r>
      <w:r>
        <w:rPr>
          <w:spacing w:val="-3"/>
          <w:sz w:val="21"/>
        </w:rPr>
        <w:t> 或者呈进行性下降；</w:t>
      </w:r>
    </w:p>
    <w:p>
      <w:pPr>
        <w:pStyle w:val="ListParagraph"/>
        <w:numPr>
          <w:ilvl w:val="0"/>
          <w:numId w:val="96"/>
        </w:numPr>
        <w:tabs>
          <w:tab w:pos="792" w:val="left" w:leader="none"/>
        </w:tabs>
        <w:spacing w:line="240" w:lineRule="auto" w:before="43" w:after="0"/>
        <w:ind w:left="791" w:right="0" w:hanging="530"/>
        <w:jc w:val="both"/>
        <w:rPr>
          <w:sz w:val="21"/>
        </w:rPr>
      </w:pPr>
      <w:r>
        <w:rPr>
          <w:spacing w:val="-2"/>
          <w:sz w:val="21"/>
        </w:rPr>
        <w:t>血浆纤维蛋白原含量&lt;1.5g/L</w:t>
      </w:r>
      <w:r>
        <w:rPr>
          <w:spacing w:val="-14"/>
          <w:sz w:val="21"/>
        </w:rPr>
        <w:t> 或者&gt;</w:t>
      </w:r>
      <w:r>
        <w:rPr>
          <w:spacing w:val="-2"/>
          <w:sz w:val="21"/>
        </w:rPr>
        <w:t>4g/L</w:t>
      </w:r>
      <w:r>
        <w:rPr>
          <w:spacing w:val="-3"/>
          <w:sz w:val="21"/>
        </w:rPr>
        <w:t> 或者呈进行性下降；</w:t>
      </w:r>
    </w:p>
    <w:p>
      <w:pPr>
        <w:spacing w:after="0" w:line="240" w:lineRule="auto"/>
        <w:jc w:val="both"/>
        <w:rPr>
          <w:sz w:val="21"/>
        </w:rPr>
        <w:sectPr>
          <w:type w:val="continuous"/>
          <w:pgSz w:w="11910" w:h="16840"/>
          <w:pgMar w:header="0" w:footer="404" w:top="600" w:bottom="280" w:left="860" w:right="340"/>
          <w:cols w:num="2" w:equalWidth="0">
            <w:col w:w="2698" w:space="40"/>
            <w:col w:w="7972"/>
          </w:cols>
        </w:sectPr>
      </w:pPr>
    </w:p>
    <w:p>
      <w:pPr>
        <w:pStyle w:val="BodyText"/>
        <w:spacing w:before="57"/>
        <w:ind w:left="3000"/>
      </w:pPr>
      <w:r>
        <w:rPr>
          <w:spacing w:val="-2"/>
        </w:rPr>
        <w:t>（3）3P</w:t>
      </w:r>
      <w:r>
        <w:rPr>
          <w:spacing w:val="-13"/>
        </w:rPr>
        <w:t> 试验阳性或者血浆 </w:t>
      </w:r>
      <w:r>
        <w:rPr>
          <w:spacing w:val="-2"/>
        </w:rPr>
        <w:t>FDP&gt;20mg/L；</w:t>
      </w:r>
    </w:p>
    <w:p>
      <w:pPr>
        <w:pStyle w:val="BodyText"/>
        <w:spacing w:before="43"/>
        <w:ind w:left="3000"/>
      </w:pPr>
      <w:r>
        <w:rPr>
          <w:spacing w:val="-2"/>
        </w:rPr>
        <w:t>（4）凝血酶原时间&gt;15</w:t>
      </w:r>
      <w:r>
        <w:rPr>
          <w:spacing w:val="-14"/>
        </w:rPr>
        <w:t> 秒或者超过对照组 </w:t>
      </w:r>
      <w:r>
        <w:rPr>
          <w:spacing w:val="-2"/>
        </w:rPr>
        <w:t>3</w:t>
      </w:r>
      <w:r>
        <w:rPr>
          <w:spacing w:val="-14"/>
        </w:rPr>
        <w:t> 秒以上。</w:t>
      </w:r>
    </w:p>
    <w:p>
      <w:pPr>
        <w:pStyle w:val="BodyText"/>
        <w:spacing w:before="7"/>
        <w:rPr>
          <w:sz w:val="15"/>
        </w:rPr>
      </w:pPr>
    </w:p>
    <w:p>
      <w:pPr>
        <w:spacing w:after="0"/>
        <w:rPr>
          <w:sz w:val="15"/>
        </w:rPr>
        <w:sectPr>
          <w:pgSz w:w="11910" w:h="16840"/>
          <w:pgMar w:header="0" w:footer="404" w:top="1080" w:bottom="60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溶血性链球菌</w:t>
      </w:r>
      <w:r>
        <w:rPr>
          <w:spacing w:val="-2"/>
          <w:sz w:val="21"/>
        </w:rPr>
        <w:t>引起的坏疽</w:t>
      </w:r>
    </w:p>
    <w:p>
      <w:pPr>
        <w:pStyle w:val="BodyText"/>
        <w:spacing w:line="278" w:lineRule="auto" w:before="72"/>
        <w:ind w:left="262" w:right="666"/>
      </w:pPr>
      <w:r>
        <w:rPr/>
        <w:br w:type="column"/>
      </w:r>
      <w:r>
        <w:rPr>
          <w:spacing w:val="-2"/>
        </w:rPr>
        <w:t>包围肢体或躯干的浅筋膜和/或深筋膜受到溶血性链球菌的感染，病情在短时</w:t>
      </w:r>
      <w:r>
        <w:rPr>
          <w:spacing w:val="-2"/>
        </w:rPr>
        <w:t>间内急剧恶化，已经立刻进行了手术及清创术。最后的诊断必须由微生物或</w:t>
      </w:r>
      <w:r>
        <w:rPr>
          <w:spacing w:val="-2"/>
        </w:rPr>
        <w:t>病理学专家进行相关检查后证实。</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spacing w:before="2"/>
        <w:rPr>
          <w:sz w:val="12"/>
        </w:rPr>
      </w:pPr>
    </w:p>
    <w:p>
      <w:pPr>
        <w:pStyle w:val="ListParagraph"/>
        <w:numPr>
          <w:ilvl w:val="2"/>
          <w:numId w:val="40"/>
        </w:numPr>
        <w:tabs>
          <w:tab w:pos="1439" w:val="left" w:leader="none"/>
          <w:tab w:pos="3000" w:val="left" w:leader="none"/>
        </w:tabs>
        <w:spacing w:line="278" w:lineRule="auto" w:before="72" w:after="0"/>
        <w:ind w:left="3000" w:right="672" w:hanging="1880"/>
        <w:jc w:val="left"/>
        <w:rPr>
          <w:sz w:val="21"/>
        </w:rPr>
      </w:pPr>
      <w:r>
        <w:rPr>
          <w:spacing w:val="-2"/>
          <w:sz w:val="21"/>
        </w:rPr>
        <w:t>严重气性坏疽</w:t>
      </w:r>
      <w:r>
        <w:rPr>
          <w:sz w:val="21"/>
        </w:rPr>
        <w:tab/>
      </w:r>
      <w:r>
        <w:rPr>
          <w:spacing w:val="-2"/>
          <w:sz w:val="21"/>
        </w:rPr>
        <w:t>指</w:t>
      </w:r>
      <w:r>
        <w:rPr>
          <w:spacing w:val="-2"/>
          <w:sz w:val="21"/>
        </w:rPr>
        <w:t>由</w:t>
      </w:r>
      <w:r>
        <w:rPr>
          <w:spacing w:val="-2"/>
          <w:sz w:val="21"/>
        </w:rPr>
        <w:t>梭</w:t>
      </w:r>
      <w:r>
        <w:rPr>
          <w:spacing w:val="-2"/>
          <w:sz w:val="21"/>
        </w:rPr>
        <w:t>状</w:t>
      </w:r>
      <w:r>
        <w:rPr>
          <w:spacing w:val="-2"/>
          <w:sz w:val="21"/>
        </w:rPr>
        <w:t>芽</w:t>
      </w:r>
      <w:r>
        <w:rPr>
          <w:spacing w:val="-2"/>
          <w:sz w:val="21"/>
        </w:rPr>
        <w:t>胞</w:t>
      </w:r>
      <w:r>
        <w:rPr>
          <w:spacing w:val="-2"/>
          <w:sz w:val="21"/>
        </w:rPr>
        <w:t>杆</w:t>
      </w:r>
      <w:r>
        <w:rPr>
          <w:spacing w:val="-2"/>
          <w:sz w:val="21"/>
        </w:rPr>
        <w:t>菌</w:t>
      </w:r>
      <w:r>
        <w:rPr>
          <w:spacing w:val="-2"/>
          <w:sz w:val="21"/>
        </w:rPr>
        <w:t>所致的</w:t>
      </w:r>
      <w:r>
        <w:rPr>
          <w:spacing w:val="-2"/>
          <w:sz w:val="21"/>
        </w:rPr>
        <w:t>肌</w:t>
      </w:r>
      <w:r>
        <w:rPr>
          <w:spacing w:val="-2"/>
          <w:sz w:val="21"/>
        </w:rPr>
        <w:t>坏</w:t>
      </w:r>
      <w:r>
        <w:rPr>
          <w:spacing w:val="-2"/>
          <w:sz w:val="21"/>
        </w:rPr>
        <w:t>死</w:t>
      </w:r>
      <w:r>
        <w:rPr>
          <w:spacing w:val="-2"/>
          <w:sz w:val="21"/>
        </w:rPr>
        <w:t>或</w:t>
      </w:r>
      <w:r>
        <w:rPr>
          <w:spacing w:val="-2"/>
          <w:sz w:val="21"/>
        </w:rPr>
        <w:t>肌</w:t>
      </w:r>
      <w:r>
        <w:rPr>
          <w:spacing w:val="-2"/>
          <w:sz w:val="21"/>
        </w:rPr>
        <w:t>炎</w:t>
      </w:r>
      <w:r>
        <w:rPr>
          <w:spacing w:val="-2"/>
          <w:sz w:val="21"/>
        </w:rPr>
        <w:t>。须在本公司认可的医疗机构内由专</w:t>
      </w:r>
      <w:r>
        <w:rPr>
          <w:spacing w:val="-2"/>
          <w:sz w:val="21"/>
        </w:rPr>
        <w:t>科</w:t>
      </w:r>
      <w:r>
        <w:rPr>
          <w:spacing w:val="-2"/>
          <w:sz w:val="21"/>
        </w:rPr>
        <w:t>医</w:t>
      </w:r>
      <w:r>
        <w:rPr>
          <w:spacing w:val="-2"/>
          <w:sz w:val="21"/>
        </w:rPr>
        <w:t>生明确诊断，且须同</w:t>
      </w:r>
      <w:r>
        <w:rPr>
          <w:spacing w:val="-2"/>
          <w:sz w:val="21"/>
        </w:rPr>
        <w:t>时</w:t>
      </w:r>
      <w:r>
        <w:rPr>
          <w:spacing w:val="-2"/>
          <w:sz w:val="21"/>
        </w:rPr>
        <w:t>满</w:t>
      </w:r>
      <w:r>
        <w:rPr>
          <w:spacing w:val="-2"/>
          <w:sz w:val="21"/>
        </w:rPr>
        <w:t>足下列条件：</w:t>
      </w:r>
    </w:p>
    <w:p>
      <w:pPr>
        <w:pStyle w:val="ListParagraph"/>
        <w:numPr>
          <w:ilvl w:val="0"/>
          <w:numId w:val="97"/>
        </w:numPr>
        <w:tabs>
          <w:tab w:pos="3530" w:val="left" w:leader="none"/>
        </w:tabs>
        <w:spacing w:line="269" w:lineRule="exact" w:before="0" w:after="0"/>
        <w:ind w:left="3529" w:right="0" w:hanging="530"/>
        <w:jc w:val="left"/>
        <w:rPr>
          <w:sz w:val="21"/>
        </w:rPr>
      </w:pPr>
      <w:r>
        <w:rPr>
          <w:spacing w:val="-3"/>
          <w:sz w:val="21"/>
        </w:rPr>
        <w:t>符合气性坏疽的一般临床表现；</w:t>
      </w:r>
    </w:p>
    <w:p>
      <w:pPr>
        <w:pStyle w:val="ListParagraph"/>
        <w:numPr>
          <w:ilvl w:val="0"/>
          <w:numId w:val="97"/>
        </w:numPr>
        <w:tabs>
          <w:tab w:pos="3530" w:val="left" w:leader="none"/>
        </w:tabs>
        <w:spacing w:line="240" w:lineRule="auto" w:before="43" w:after="0"/>
        <w:ind w:left="3529" w:right="0" w:hanging="530"/>
        <w:jc w:val="left"/>
        <w:rPr>
          <w:sz w:val="21"/>
        </w:rPr>
      </w:pPr>
      <w:r>
        <w:rPr>
          <w:spacing w:val="-3"/>
          <w:sz w:val="21"/>
        </w:rPr>
        <w:t>细菌培养检出致病菌；</w:t>
      </w:r>
    </w:p>
    <w:p>
      <w:pPr>
        <w:pStyle w:val="ListParagraph"/>
        <w:numPr>
          <w:ilvl w:val="0"/>
          <w:numId w:val="97"/>
        </w:numPr>
        <w:tabs>
          <w:tab w:pos="3527" w:val="left" w:leader="none"/>
        </w:tabs>
        <w:spacing w:line="278" w:lineRule="auto" w:before="43" w:after="0"/>
        <w:ind w:left="3525" w:right="666" w:hanging="526"/>
        <w:jc w:val="left"/>
        <w:rPr>
          <w:sz w:val="21"/>
        </w:rPr>
      </w:pPr>
      <w:r>
        <w:rPr>
          <w:spacing w:val="-2"/>
          <w:sz w:val="21"/>
        </w:rPr>
        <w:t>出现广泛性肌肉及组织坏死，并确实实施了坏死组织和筋膜以及肌肉的</w:t>
      </w:r>
      <w:r>
        <w:rPr>
          <w:spacing w:val="-2"/>
          <w:sz w:val="21"/>
        </w:rPr>
        <w:t>切除手术。</w:t>
      </w: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439" w:val="left" w:leader="none"/>
        </w:tabs>
        <w:spacing w:line="278" w:lineRule="auto" w:before="72" w:after="0"/>
        <w:ind w:left="1120" w:right="0" w:firstLine="0"/>
        <w:jc w:val="left"/>
        <w:rPr>
          <w:sz w:val="21"/>
        </w:rPr>
      </w:pPr>
      <w:r>
        <w:rPr>
          <w:spacing w:val="-2"/>
          <w:sz w:val="21"/>
        </w:rPr>
        <w:t>慢性复发性胰</w:t>
      </w:r>
      <w:r>
        <w:rPr>
          <w:spacing w:val="-6"/>
          <w:sz w:val="21"/>
        </w:rPr>
        <w:t>腺炎</w:t>
      </w:r>
    </w:p>
    <w:p>
      <w:pPr>
        <w:pStyle w:val="BodyText"/>
        <w:spacing w:line="278" w:lineRule="auto" w:before="72"/>
        <w:ind w:left="262" w:right="766"/>
        <w:jc w:val="both"/>
      </w:pPr>
      <w:r>
        <w:rPr/>
        <w:br w:type="column"/>
      </w:r>
      <w:r>
        <w:rPr>
          <w:spacing w:val="-2"/>
        </w:rPr>
        <w:t>胰腺炎反复发作超过三次以上并导致胰腺功能紊乱和营养不良，需要接受酶</w:t>
      </w:r>
      <w:r>
        <w:rPr>
          <w:spacing w:val="-2"/>
        </w:rPr>
        <w:t>替代治疗。诊断必须有消化科专科医生确认并且有内窥镜逆行胰胆管造影所</w:t>
      </w:r>
      <w:r>
        <w:rPr>
          <w:spacing w:val="-4"/>
        </w:rPr>
        <w:t>证实。</w:t>
      </w:r>
    </w:p>
    <w:p>
      <w:pPr>
        <w:pStyle w:val="Heading2"/>
        <w:spacing w:line="269" w:lineRule="exact"/>
        <w:ind w:left="262"/>
      </w:pPr>
      <w:r>
        <w:rPr>
          <w:spacing w:val="-3"/>
        </w:rPr>
        <w:t>因酒精所致的慢性复发性胰腺炎不在保障范围内。</w:t>
      </w:r>
    </w:p>
    <w:p>
      <w:pPr>
        <w:spacing w:after="0" w:line="269" w:lineRule="exact"/>
        <w:sectPr>
          <w:type w:val="continuous"/>
          <w:pgSz w:w="11910" w:h="16840"/>
          <w:pgMar w:header="0" w:footer="404" w:top="600" w:bottom="280" w:left="860" w:right="340"/>
          <w:cols w:num="2" w:equalWidth="0">
            <w:col w:w="2698" w:space="40"/>
            <w:col w:w="7972"/>
          </w:cols>
        </w:sectPr>
      </w:pPr>
    </w:p>
    <w:p>
      <w:pPr>
        <w:pStyle w:val="BodyText"/>
        <w:spacing w:before="7"/>
        <w:rPr>
          <w:b/>
          <w:sz w:val="15"/>
        </w:rPr>
      </w:pPr>
    </w:p>
    <w:p>
      <w:pPr>
        <w:spacing w:after="0"/>
        <w:rPr>
          <w:sz w:val="15"/>
        </w:rPr>
        <w:sectPr>
          <w:type w:val="continuous"/>
          <w:pgSz w:w="11910" w:h="16840"/>
          <w:pgMar w:header="0" w:footer="404" w:top="600" w:bottom="280" w:left="860" w:right="340"/>
        </w:sectPr>
      </w:pPr>
    </w:p>
    <w:p>
      <w:pPr>
        <w:pStyle w:val="ListParagraph"/>
        <w:numPr>
          <w:ilvl w:val="2"/>
          <w:numId w:val="40"/>
        </w:numPr>
        <w:tabs>
          <w:tab w:pos="1543" w:val="left" w:leader="none"/>
        </w:tabs>
        <w:spacing w:line="278" w:lineRule="auto" w:before="72" w:after="0"/>
        <w:ind w:left="1120" w:right="0" w:firstLine="0"/>
        <w:jc w:val="left"/>
        <w:rPr>
          <w:sz w:val="21"/>
        </w:rPr>
      </w:pPr>
      <w:r>
        <w:rPr>
          <w:spacing w:val="-2"/>
          <w:sz w:val="21"/>
        </w:rPr>
        <w:t>范可尼综合</w:t>
      </w:r>
      <w:r>
        <w:rPr>
          <w:spacing w:val="-10"/>
          <w:sz w:val="21"/>
        </w:rPr>
        <w:t>征</w:t>
      </w:r>
    </w:p>
    <w:p>
      <w:pPr>
        <w:pStyle w:val="BodyText"/>
        <w:spacing w:line="278" w:lineRule="auto" w:before="72"/>
        <w:ind w:left="366" w:right="667"/>
      </w:pPr>
      <w:r>
        <w:rPr/>
        <w:br w:type="column"/>
      </w:r>
      <w:r>
        <w:rPr>
          <w:spacing w:val="-2"/>
        </w:rPr>
        <w:t>指近端肾小管的功能异常引起的一组症候群。须在本公司认可的医疗机构内</w:t>
      </w:r>
      <w:r>
        <w:rPr>
          <w:spacing w:val="-2"/>
        </w:rPr>
        <w:t>由专科医生明确诊断，且须满足下列至少三项条件：</w:t>
      </w:r>
    </w:p>
    <w:p>
      <w:pPr>
        <w:pStyle w:val="ListParagraph"/>
        <w:numPr>
          <w:ilvl w:val="0"/>
          <w:numId w:val="98"/>
        </w:numPr>
        <w:tabs>
          <w:tab w:pos="896" w:val="left" w:leader="none"/>
        </w:tabs>
        <w:spacing w:line="269" w:lineRule="exact" w:before="0" w:after="0"/>
        <w:ind w:left="895" w:right="0" w:hanging="530"/>
        <w:jc w:val="left"/>
        <w:rPr>
          <w:sz w:val="21"/>
        </w:rPr>
      </w:pPr>
      <w:r>
        <w:rPr>
          <w:spacing w:val="-3"/>
          <w:sz w:val="21"/>
        </w:rPr>
        <w:t>尿液检查出现肾性糖尿、全氨基酸糖尿或磷酸盐尿；</w:t>
      </w:r>
    </w:p>
    <w:p>
      <w:pPr>
        <w:pStyle w:val="ListParagraph"/>
        <w:numPr>
          <w:ilvl w:val="0"/>
          <w:numId w:val="98"/>
        </w:numPr>
        <w:tabs>
          <w:tab w:pos="896" w:val="left" w:leader="none"/>
        </w:tabs>
        <w:spacing w:line="240" w:lineRule="auto" w:before="43" w:after="0"/>
        <w:ind w:left="895" w:right="0" w:hanging="530"/>
        <w:jc w:val="left"/>
        <w:rPr>
          <w:sz w:val="21"/>
        </w:rPr>
      </w:pPr>
      <w:r>
        <w:rPr>
          <w:spacing w:val="-3"/>
          <w:sz w:val="21"/>
        </w:rPr>
        <w:t>血液检查出现低磷血症、低尿酸血症或近端肾小管酸中毒；</w:t>
      </w:r>
    </w:p>
    <w:p>
      <w:pPr>
        <w:pStyle w:val="ListParagraph"/>
        <w:numPr>
          <w:ilvl w:val="0"/>
          <w:numId w:val="98"/>
        </w:numPr>
        <w:tabs>
          <w:tab w:pos="896" w:val="left" w:leader="none"/>
        </w:tabs>
        <w:spacing w:line="240" w:lineRule="auto" w:before="43" w:after="0"/>
        <w:ind w:left="895" w:right="0" w:hanging="530"/>
        <w:jc w:val="left"/>
        <w:rPr>
          <w:sz w:val="21"/>
        </w:rPr>
      </w:pPr>
      <w:r>
        <w:rPr>
          <w:spacing w:val="-3"/>
          <w:sz w:val="21"/>
        </w:rPr>
        <w:t>出现骨质疏松、骨骼畸形或尿路结石；</w:t>
      </w:r>
    </w:p>
    <w:p>
      <w:pPr>
        <w:pStyle w:val="ListParagraph"/>
        <w:numPr>
          <w:ilvl w:val="0"/>
          <w:numId w:val="98"/>
        </w:numPr>
        <w:tabs>
          <w:tab w:pos="893" w:val="left" w:leader="none"/>
        </w:tabs>
        <w:spacing w:line="278" w:lineRule="auto" w:before="43" w:after="0"/>
        <w:ind w:left="891" w:right="666" w:hanging="526"/>
        <w:jc w:val="left"/>
        <w:rPr>
          <w:sz w:val="21"/>
        </w:rPr>
      </w:pPr>
      <w:r>
        <w:rPr>
          <w:spacing w:val="-2"/>
          <w:sz w:val="21"/>
        </w:rPr>
        <w:t>通过骨髓片、白细胞、直肠黏膜中的结晶分析或裂隙灯检查角膜有胱氨</w:t>
      </w:r>
      <w:r>
        <w:rPr>
          <w:spacing w:val="-4"/>
          <w:sz w:val="21"/>
        </w:rPr>
        <w:t>酸结晶。</w:t>
      </w:r>
    </w:p>
    <w:p>
      <w:pPr>
        <w:pStyle w:val="Heading2"/>
        <w:spacing w:line="269" w:lineRule="exact"/>
        <w:ind w:left="366"/>
      </w:pPr>
      <w:r>
        <w:rPr>
          <w:w w:val="95"/>
        </w:rPr>
        <w:t>被</w:t>
      </w:r>
      <w:r>
        <w:rPr>
          <w:w w:val="95"/>
        </w:rPr>
        <w:t>保</w:t>
      </w:r>
      <w:r>
        <w:rPr>
          <w:w w:val="95"/>
        </w:rPr>
        <w:t>险</w:t>
      </w:r>
      <w:r>
        <w:rPr>
          <w:w w:val="95"/>
        </w:rPr>
        <w:t>人</w:t>
      </w:r>
      <w:r>
        <w:rPr>
          <w:w w:val="95"/>
        </w:rPr>
        <w:t>在</w:t>
      </w:r>
      <w:r>
        <w:rPr>
          <w:spacing w:val="59"/>
        </w:rPr>
        <w:t> </w:t>
      </w:r>
      <w:r>
        <w:rPr>
          <w:w w:val="95"/>
        </w:rPr>
        <w:t>3</w:t>
      </w:r>
      <w:r>
        <w:rPr>
          <w:spacing w:val="60"/>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障范围</w:t>
      </w:r>
      <w:r>
        <w:rPr>
          <w:w w:val="95"/>
        </w:rPr>
        <w:t>内</w:t>
      </w:r>
      <w:r>
        <w:rPr>
          <w:spacing w:val="-10"/>
          <w:w w:val="95"/>
        </w:rPr>
        <w:t>。</w:t>
      </w:r>
    </w:p>
    <w:p>
      <w:pPr>
        <w:spacing w:after="0" w:line="269" w:lineRule="exact"/>
        <w:sectPr>
          <w:type w:val="continuous"/>
          <w:pgSz w:w="11910" w:h="16840"/>
          <w:pgMar w:header="0" w:footer="404" w:top="600" w:bottom="280" w:left="860" w:right="340"/>
          <w:cols w:num="2" w:equalWidth="0">
            <w:col w:w="2595" w:space="40"/>
            <w:col w:w="8075"/>
          </w:cols>
        </w:sectPr>
      </w:pPr>
    </w:p>
    <w:p>
      <w:pPr>
        <w:pStyle w:val="BodyText"/>
        <w:spacing w:before="1"/>
        <w:rPr>
          <w:b/>
          <w:sz w:val="22"/>
        </w:rPr>
      </w:pPr>
    </w:p>
    <w:p>
      <w:pPr>
        <w:spacing w:after="0"/>
        <w:rPr>
          <w:sz w:val="22"/>
        </w:rPr>
        <w:sectPr>
          <w:type w:val="continuous"/>
          <w:pgSz w:w="11910" w:h="16840"/>
          <w:pgMar w:header="0" w:footer="404" w:top="600" w:bottom="280" w:left="860" w:right="340"/>
        </w:sectPr>
      </w:pPr>
    </w:p>
    <w:p>
      <w:pPr>
        <w:pStyle w:val="ListParagraph"/>
        <w:numPr>
          <w:ilvl w:val="2"/>
          <w:numId w:val="40"/>
        </w:numPr>
        <w:tabs>
          <w:tab w:pos="1439" w:val="left" w:leader="none"/>
        </w:tabs>
        <w:spacing w:line="240" w:lineRule="auto" w:before="72" w:after="0"/>
        <w:ind w:left="1438" w:right="0" w:hanging="319"/>
        <w:jc w:val="left"/>
        <w:rPr>
          <w:sz w:val="21"/>
        </w:rPr>
      </w:pPr>
      <w:r>
        <w:rPr>
          <w:spacing w:val="-4"/>
          <w:sz w:val="21"/>
        </w:rPr>
        <w:t>侵蚀性葡萄胎</w:t>
      </w:r>
    </w:p>
    <w:p>
      <w:pPr>
        <w:pStyle w:val="BodyText"/>
        <w:spacing w:line="278" w:lineRule="auto" w:before="43"/>
        <w:ind w:left="1120" w:right="101"/>
      </w:pPr>
      <w:r>
        <w:rPr>
          <w:spacing w:val="-2"/>
        </w:rPr>
        <w:t>（或称恶性葡萄</w:t>
      </w:r>
      <w:r>
        <w:rPr>
          <w:spacing w:val="-6"/>
        </w:rPr>
        <w:t>胎）</w:t>
      </w:r>
    </w:p>
    <w:p>
      <w:pPr>
        <w:pStyle w:val="BodyText"/>
        <w:spacing w:line="278" w:lineRule="auto" w:before="72"/>
        <w:ind w:left="262" w:right="767"/>
      </w:pPr>
      <w:r>
        <w:rPr/>
        <w:br w:type="column"/>
      </w:r>
      <w:r>
        <w:rPr>
          <w:spacing w:val="-2"/>
        </w:rPr>
        <w:t>该类疾病是指异常增生的绒毛组织浸润性生长浸入子宫肌层或转移至其他器</w:t>
      </w:r>
      <w:r>
        <w:rPr>
          <w:spacing w:val="-2"/>
        </w:rPr>
        <w:t>官或组织的葡萄胎，并已经进行化疗或手术治疗的。</w:t>
      </w:r>
    </w:p>
    <w:p>
      <w:pPr>
        <w:spacing w:after="0" w:line="278" w:lineRule="auto"/>
        <w:sectPr>
          <w:type w:val="continuous"/>
          <w:pgSz w:w="11910" w:h="16840"/>
          <w:pgMar w:header="0" w:footer="404" w:top="600" w:bottom="280" w:left="860" w:right="340"/>
          <w:cols w:num="2" w:equalWidth="0">
            <w:col w:w="2698" w:space="40"/>
            <w:col w:w="7972"/>
          </w:cols>
        </w:sectPr>
      </w:pPr>
    </w:p>
    <w:p>
      <w:pPr>
        <w:pStyle w:val="BodyText"/>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2" w:after="0"/>
        <w:ind w:left="1120" w:right="0" w:firstLine="0"/>
        <w:jc w:val="both"/>
        <w:rPr>
          <w:sz w:val="21"/>
        </w:rPr>
      </w:pPr>
      <w:r>
        <w:rPr>
          <w:spacing w:val="-2"/>
          <w:sz w:val="21"/>
        </w:rPr>
        <w:t>特发性慢性</w:t>
      </w:r>
      <w:r>
        <w:rPr>
          <w:spacing w:val="-2"/>
          <w:sz w:val="21"/>
        </w:rPr>
        <w:t>肾上腺皮质功能</w:t>
      </w:r>
      <w:r>
        <w:rPr>
          <w:spacing w:val="-6"/>
          <w:sz w:val="21"/>
        </w:rPr>
        <w:t>减退</w:t>
      </w:r>
    </w:p>
    <w:p>
      <w:pPr>
        <w:pStyle w:val="BodyText"/>
        <w:spacing w:line="278" w:lineRule="auto" w:before="72"/>
        <w:ind w:left="365" w:right="767"/>
      </w:pPr>
      <w:r>
        <w:rPr/>
        <w:br w:type="column"/>
      </w:r>
      <w:r>
        <w:rPr>
          <w:spacing w:val="-2"/>
        </w:rPr>
        <w:t>指自身免疫性肾上腺炎（既往称：特发性肾上腺皮质萎缩）导致肾上腺萎缩</w:t>
      </w:r>
      <w:r>
        <w:rPr>
          <w:spacing w:val="-2"/>
        </w:rPr>
        <w:t>和慢性肾上腺皮质功能减退。必须满足所有以下条件：</w:t>
      </w:r>
    </w:p>
    <w:p>
      <w:pPr>
        <w:pStyle w:val="ListParagraph"/>
        <w:numPr>
          <w:ilvl w:val="0"/>
          <w:numId w:val="99"/>
        </w:numPr>
        <w:tabs>
          <w:tab w:pos="895" w:val="left" w:leader="none"/>
        </w:tabs>
        <w:spacing w:line="269" w:lineRule="exact" w:before="0" w:after="0"/>
        <w:ind w:left="894" w:right="0" w:hanging="530"/>
        <w:jc w:val="left"/>
        <w:rPr>
          <w:sz w:val="21"/>
        </w:rPr>
      </w:pPr>
      <w:r>
        <w:rPr>
          <w:spacing w:val="-3"/>
          <w:sz w:val="21"/>
        </w:rPr>
        <w:t>明确诊断，符合所有以下诊断标准；</w:t>
      </w:r>
    </w:p>
    <w:p>
      <w:pPr>
        <w:pStyle w:val="BodyText"/>
        <w:spacing w:before="43"/>
        <w:ind w:left="891"/>
      </w:pPr>
      <w:r>
        <w:rPr>
          <w:spacing w:val="-2"/>
        </w:rPr>
        <w:t>① 血浆促肾上腺皮质激素(ACTH</w:t>
      </w:r>
      <w:r>
        <w:rPr>
          <w:spacing w:val="-8"/>
        </w:rPr>
        <w:t>)水平测定大于 </w:t>
      </w:r>
      <w:r>
        <w:rPr>
          <w:spacing w:val="-2"/>
        </w:rPr>
        <w:t>100pg/ml；</w:t>
      </w:r>
    </w:p>
    <w:p>
      <w:pPr>
        <w:pStyle w:val="BodyText"/>
        <w:spacing w:line="278" w:lineRule="auto" w:before="42"/>
        <w:ind w:left="1205" w:right="610" w:hanging="315"/>
      </w:pPr>
      <w:r>
        <w:rPr>
          <w:w w:val="100"/>
        </w:rPr>
        <w:t>②</w:t>
      </w:r>
      <w:r>
        <w:rPr/>
        <w:t> </w:t>
      </w:r>
      <w:r>
        <w:rPr>
          <w:spacing w:val="-3"/>
          <w:w w:val="100"/>
        </w:rPr>
        <w:t>血浆和尿游离皮质醇及尿</w:t>
      </w:r>
      <w:r>
        <w:rPr>
          <w:spacing w:val="-53"/>
        </w:rPr>
        <w:t> </w:t>
      </w:r>
      <w:r>
        <w:rPr>
          <w:w w:val="100"/>
        </w:rPr>
        <w:t>17</w:t>
      </w:r>
      <w:r>
        <w:rPr>
          <w:spacing w:val="-55"/>
        </w:rPr>
        <w:t> </w:t>
      </w:r>
      <w:r>
        <w:rPr>
          <w:spacing w:val="-3"/>
          <w:w w:val="100"/>
        </w:rPr>
        <w:t>羟皮质类固醇、</w:t>
      </w:r>
      <w:r>
        <w:rPr>
          <w:w w:val="100"/>
        </w:rPr>
        <w:t>17</w:t>
      </w:r>
      <w:r>
        <w:rPr>
          <w:spacing w:val="-55"/>
        </w:rPr>
        <w:t> </w:t>
      </w:r>
      <w:r>
        <w:rPr>
          <w:spacing w:val="-3"/>
          <w:w w:val="100"/>
        </w:rPr>
        <w:t>酮皮质类固醇测定、血浆肾素活性、血管紧张素Ⅱ和醛固酮测定，显示为原发性肾上腺皮质功能减退症；</w:t>
      </w:r>
    </w:p>
    <w:p>
      <w:pPr>
        <w:pStyle w:val="BodyText"/>
        <w:spacing w:line="278" w:lineRule="auto" w:before="1"/>
        <w:ind w:left="1205" w:right="769" w:hanging="315"/>
      </w:pPr>
      <w:r>
        <w:rPr>
          <w:spacing w:val="-6"/>
        </w:rPr>
        <w:t>③ 促肾上腺皮质激素</w:t>
      </w:r>
      <w:r>
        <w:rPr/>
        <w:t>(ACTH)刺激试验显示为原发性肾上腺皮质功能减</w:t>
      </w:r>
      <w:r>
        <w:rPr>
          <w:spacing w:val="-4"/>
        </w:rPr>
        <w:t>退症。</w:t>
      </w:r>
    </w:p>
    <w:p>
      <w:pPr>
        <w:pStyle w:val="ListParagraph"/>
        <w:numPr>
          <w:ilvl w:val="0"/>
          <w:numId w:val="99"/>
        </w:numPr>
        <w:tabs>
          <w:tab w:pos="895" w:val="left" w:leader="none"/>
        </w:tabs>
        <w:spacing w:line="269" w:lineRule="exact" w:before="0" w:after="0"/>
        <w:ind w:left="894" w:right="0" w:hanging="530"/>
        <w:jc w:val="left"/>
        <w:rPr>
          <w:sz w:val="21"/>
        </w:rPr>
      </w:pPr>
      <w:r>
        <w:rPr>
          <w:spacing w:val="-6"/>
          <w:sz w:val="21"/>
        </w:rPr>
        <w:t>已经采用皮质类固醇替代治疗 </w:t>
      </w:r>
      <w:r>
        <w:rPr>
          <w:spacing w:val="-2"/>
          <w:sz w:val="21"/>
        </w:rPr>
        <w:t>180</w:t>
      </w:r>
      <w:r>
        <w:rPr>
          <w:spacing w:val="-14"/>
          <w:sz w:val="21"/>
        </w:rPr>
        <w:t> 天以上。</w:t>
      </w:r>
    </w:p>
    <w:p>
      <w:pPr>
        <w:pStyle w:val="Heading2"/>
        <w:spacing w:before="43"/>
        <w:ind w:left="365"/>
      </w:pPr>
      <w:r>
        <w:rPr>
          <w:spacing w:val="-3"/>
        </w:rPr>
        <w:t>本保障仅包括由自身免疫功能紊乱所导致的慢性肾上腺功能减退，其他成因</w:t>
      </w:r>
    </w:p>
    <w:p>
      <w:pPr>
        <w:spacing w:line="278" w:lineRule="auto" w:before="43"/>
        <w:ind w:left="365" w:right="669" w:firstLine="0"/>
        <w:jc w:val="left"/>
        <w:rPr>
          <w:b/>
          <w:sz w:val="21"/>
        </w:rPr>
      </w:pPr>
      <w:r>
        <w:rPr>
          <w:b/>
          <w:spacing w:val="-4"/>
          <w:sz w:val="21"/>
        </w:rPr>
        <w:t>（包括但不限于：肾上腺结核、HIV</w:t>
      </w:r>
      <w:r>
        <w:rPr>
          <w:b/>
          <w:spacing w:val="-11"/>
          <w:sz w:val="21"/>
        </w:rPr>
        <w:t> 感染或艾滋病、感染、肿瘤</w:t>
      </w:r>
      <w:r>
        <w:rPr>
          <w:b/>
          <w:spacing w:val="-4"/>
          <w:sz w:val="21"/>
        </w:rPr>
        <w:t>）所致的原发</w:t>
      </w:r>
      <w:r>
        <w:rPr>
          <w:b/>
          <w:spacing w:val="-2"/>
          <w:sz w:val="21"/>
        </w:rPr>
        <w:t>性肾上腺皮质功能减退和继发性肾上腺皮质功能减退均不在保障范围内。</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埃博拉病毒</w:t>
      </w:r>
      <w:r>
        <w:rPr>
          <w:spacing w:val="-6"/>
          <w:sz w:val="21"/>
        </w:rPr>
        <w:t>感染</w:t>
      </w:r>
    </w:p>
    <w:p>
      <w:pPr>
        <w:pStyle w:val="BodyText"/>
        <w:spacing w:before="72"/>
        <w:ind w:left="366"/>
      </w:pPr>
      <w:r>
        <w:rPr/>
        <w:br w:type="column"/>
      </w:r>
      <w:r>
        <w:rPr>
          <w:spacing w:val="-3"/>
        </w:rPr>
        <w:t>指埃博拉病毒感染导致的烈性传染病，并须满足下列全部条件：</w:t>
      </w:r>
    </w:p>
    <w:p>
      <w:pPr>
        <w:pStyle w:val="ListParagraph"/>
        <w:numPr>
          <w:ilvl w:val="0"/>
          <w:numId w:val="100"/>
        </w:numPr>
        <w:tabs>
          <w:tab w:pos="893" w:val="left" w:leader="none"/>
        </w:tabs>
        <w:spacing w:line="240" w:lineRule="auto" w:before="42" w:after="0"/>
        <w:ind w:left="892" w:right="0" w:hanging="527"/>
        <w:jc w:val="left"/>
        <w:rPr>
          <w:sz w:val="21"/>
        </w:rPr>
      </w:pPr>
      <w:r>
        <w:rPr>
          <w:spacing w:val="-3"/>
          <w:sz w:val="21"/>
        </w:rPr>
        <w:t>有实验室检查证据证实存在埃博拉病毒感染，经国家认可的有合法资质</w:t>
      </w:r>
    </w:p>
    <w:p>
      <w:pPr>
        <w:spacing w:after="0" w:line="240"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57"/>
        <w:ind w:left="3525"/>
      </w:pPr>
      <w:r>
        <w:rPr>
          <w:spacing w:val="-3"/>
        </w:rPr>
        <w:t>的传染病专家确诊、并上报国家疾病控制中心接受了隔离和治疗；</w:t>
      </w:r>
    </w:p>
    <w:p>
      <w:pPr>
        <w:pStyle w:val="ListParagraph"/>
        <w:numPr>
          <w:ilvl w:val="1"/>
          <w:numId w:val="100"/>
        </w:numPr>
        <w:tabs>
          <w:tab w:pos="3530" w:val="left" w:leader="none"/>
        </w:tabs>
        <w:spacing w:line="240" w:lineRule="auto" w:before="43" w:after="0"/>
        <w:ind w:left="3529" w:right="0" w:hanging="530"/>
        <w:jc w:val="left"/>
        <w:rPr>
          <w:sz w:val="21"/>
        </w:rPr>
      </w:pPr>
      <w:r>
        <w:rPr>
          <w:spacing w:val="-3"/>
          <w:sz w:val="21"/>
        </w:rPr>
        <w:t>存在广泛出血的临床表现；</w:t>
      </w:r>
    </w:p>
    <w:p>
      <w:pPr>
        <w:pStyle w:val="ListParagraph"/>
        <w:numPr>
          <w:ilvl w:val="1"/>
          <w:numId w:val="100"/>
        </w:numPr>
        <w:tabs>
          <w:tab w:pos="3530" w:val="left" w:leader="none"/>
        </w:tabs>
        <w:spacing w:line="240" w:lineRule="auto" w:before="43" w:after="0"/>
        <w:ind w:left="3529" w:right="0" w:hanging="530"/>
        <w:jc w:val="left"/>
        <w:rPr>
          <w:sz w:val="21"/>
        </w:rPr>
      </w:pPr>
      <w:r>
        <w:rPr>
          <w:spacing w:val="-8"/>
          <w:sz w:val="21"/>
        </w:rPr>
        <w:t>从发病开始有超过 </w:t>
      </w:r>
      <w:r>
        <w:rPr>
          <w:spacing w:val="-2"/>
          <w:sz w:val="21"/>
        </w:rPr>
        <w:t>30</w:t>
      </w:r>
      <w:r>
        <w:rPr>
          <w:spacing w:val="-10"/>
          <w:sz w:val="21"/>
        </w:rPr>
        <w:t> 天的进行性感染症状。</w:t>
      </w:r>
    </w:p>
    <w:p>
      <w:pPr>
        <w:pStyle w:val="Heading2"/>
        <w:spacing w:line="278" w:lineRule="auto" w:before="43"/>
        <w:ind w:right="746"/>
      </w:pPr>
      <w:r>
        <w:rPr>
          <w:spacing w:val="-2"/>
        </w:rPr>
        <w:t>单纯实验室诊断但没有临床出血表现的或者在确诊之前已经死亡的不在保障</w:t>
      </w:r>
      <w:r>
        <w:rPr>
          <w:spacing w:val="-4"/>
        </w:rPr>
        <w:t>范围内。</w:t>
      </w:r>
    </w:p>
    <w:p>
      <w:pPr>
        <w:pStyle w:val="BodyText"/>
        <w:spacing w:before="4"/>
        <w:rPr>
          <w:b/>
          <w:sz w:val="16"/>
        </w:rPr>
      </w:pPr>
    </w:p>
    <w:p>
      <w:pPr>
        <w:spacing w:after="0"/>
        <w:rPr>
          <w:sz w:val="16"/>
        </w:rPr>
        <w:sectPr>
          <w:pgSz w:w="11910" w:h="16840"/>
          <w:pgMar w:header="0" w:footer="404" w:top="1080" w:bottom="60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丝虫病所致</w:t>
      </w:r>
      <w:r>
        <w:rPr>
          <w:spacing w:val="-4"/>
          <w:sz w:val="21"/>
        </w:rPr>
        <w:t>象皮肿</w:t>
      </w:r>
    </w:p>
    <w:p>
      <w:pPr>
        <w:pStyle w:val="BodyText"/>
        <w:spacing w:line="278" w:lineRule="auto" w:before="72"/>
        <w:ind w:left="366" w:right="767"/>
        <w:jc w:val="both"/>
      </w:pPr>
      <w:r>
        <w:rPr/>
        <w:br w:type="column"/>
      </w:r>
      <w:r>
        <w:rPr>
          <w:spacing w:val="-2"/>
        </w:rPr>
        <w:t>指末期丝虫病，按国际淋巴学会分级为三度淋巴水肿，其临床表现为肢体非</w:t>
      </w:r>
      <w:r>
        <w:rPr>
          <w:spacing w:val="-2"/>
        </w:rPr>
        <w:t>凹陷性水肿伴畸形增大、硬皮症和疣状增生。此病症须经本公司认可的专科</w:t>
      </w:r>
      <w:r>
        <w:rPr>
          <w:spacing w:val="-2"/>
        </w:rPr>
        <w:t>医生根据临床表现和微丝蚴的化验结果确诊。</w:t>
      </w:r>
    </w:p>
    <w:p>
      <w:pPr>
        <w:spacing w:after="0" w:line="278" w:lineRule="auto"/>
        <w:jc w:val="both"/>
        <w:sectPr>
          <w:type w:val="continuous"/>
          <w:pgSz w:w="11910" w:h="16840"/>
          <w:pgMar w:header="0" w:footer="404" w:top="600" w:bottom="280" w:left="860" w:right="340"/>
          <w:cols w:num="2" w:equalWidth="0">
            <w:col w:w="2595" w:space="40"/>
            <w:col w:w="8075"/>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因职业关系</w:t>
      </w:r>
      <w:r>
        <w:rPr>
          <w:spacing w:val="-15"/>
          <w:sz w:val="21"/>
        </w:rPr>
        <w:t>导致的 </w:t>
      </w:r>
      <w:r>
        <w:rPr>
          <w:spacing w:val="-2"/>
          <w:sz w:val="21"/>
        </w:rPr>
        <w:t>HIV</w:t>
      </w:r>
      <w:r>
        <w:rPr>
          <w:spacing w:val="-20"/>
          <w:sz w:val="21"/>
        </w:rPr>
        <w:t> 感染</w:t>
      </w:r>
    </w:p>
    <w:p>
      <w:pPr>
        <w:pStyle w:val="BodyText"/>
        <w:spacing w:line="278" w:lineRule="auto" w:before="72"/>
        <w:ind w:left="366" w:right="767"/>
      </w:pPr>
      <w:r>
        <w:rPr/>
        <w:br w:type="column"/>
      </w:r>
      <w:r>
        <w:rPr>
          <w:spacing w:val="-2"/>
        </w:rPr>
        <w:t>被保险人在其常规职业工作过程中遭遇外伤，或职业需要处理血液或其他体</w:t>
      </w:r>
      <w:r>
        <w:rPr>
          <w:spacing w:val="-2"/>
        </w:rPr>
        <w:t>液时感染上人类免疫缺陷病毒（HIV）。必须满足下列全部条件：</w:t>
      </w:r>
    </w:p>
    <w:p>
      <w:pPr>
        <w:pStyle w:val="ListParagraph"/>
        <w:numPr>
          <w:ilvl w:val="0"/>
          <w:numId w:val="101"/>
        </w:numPr>
        <w:tabs>
          <w:tab w:pos="893" w:val="left" w:leader="none"/>
        </w:tabs>
        <w:spacing w:line="278" w:lineRule="auto" w:before="0" w:after="0"/>
        <w:ind w:left="891" w:right="666" w:hanging="526"/>
        <w:jc w:val="left"/>
        <w:rPr>
          <w:sz w:val="21"/>
        </w:rPr>
      </w:pPr>
      <w:r>
        <w:rPr>
          <w:spacing w:val="-2"/>
          <w:sz w:val="21"/>
        </w:rPr>
        <w:t>感染必须是在被保险人正在从事其职业工作中发生，该职业必须属于下</w:t>
      </w:r>
      <w:r>
        <w:rPr>
          <w:spacing w:val="-2"/>
          <w:sz w:val="21"/>
        </w:rPr>
        <w:t>列限定职业范围内的职业；</w:t>
      </w:r>
    </w:p>
    <w:p>
      <w:pPr>
        <w:pStyle w:val="ListParagraph"/>
        <w:numPr>
          <w:ilvl w:val="0"/>
          <w:numId w:val="101"/>
        </w:numPr>
        <w:tabs>
          <w:tab w:pos="896" w:val="left" w:leader="none"/>
        </w:tabs>
        <w:spacing w:line="240" w:lineRule="auto" w:before="0" w:after="0"/>
        <w:ind w:left="895"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101"/>
        </w:numPr>
        <w:tabs>
          <w:tab w:pos="893" w:val="left" w:leader="none"/>
        </w:tabs>
        <w:spacing w:line="278" w:lineRule="auto" w:before="43" w:after="0"/>
        <w:ind w:left="891" w:right="666" w:hanging="526"/>
        <w:jc w:val="both"/>
        <w:rPr>
          <w:sz w:val="21"/>
        </w:rPr>
      </w:pPr>
      <w:r>
        <w:rPr>
          <w:w w:val="95"/>
          <w:sz w:val="21"/>
        </w:rPr>
        <w:t>必须提供被保险人在</w:t>
      </w:r>
      <w:r>
        <w:rPr>
          <w:w w:val="95"/>
          <w:sz w:val="21"/>
        </w:rPr>
        <w:t>所</w:t>
      </w:r>
      <w:r>
        <w:rPr>
          <w:w w:val="95"/>
          <w:sz w:val="21"/>
        </w:rPr>
        <w:t>报</w:t>
      </w:r>
      <w:r>
        <w:rPr>
          <w:w w:val="95"/>
          <w:sz w:val="21"/>
        </w:rPr>
        <w:t>事故后发生的</w:t>
      </w:r>
      <w:r>
        <w:rPr>
          <w:spacing w:val="35"/>
          <w:sz w:val="21"/>
        </w:rPr>
        <w:t> </w:t>
      </w:r>
      <w:r>
        <w:rPr>
          <w:w w:val="95"/>
          <w:sz w:val="21"/>
        </w:rPr>
        <w:t>5</w:t>
      </w:r>
      <w:r>
        <w:rPr>
          <w:spacing w:val="29"/>
          <w:sz w:val="21"/>
        </w:rPr>
        <w:t> </w:t>
      </w:r>
      <w:r>
        <w:rPr>
          <w:w w:val="95"/>
          <w:sz w:val="21"/>
        </w:rPr>
        <w:t>天以</w:t>
      </w:r>
      <w:r>
        <w:rPr>
          <w:w w:val="95"/>
          <w:sz w:val="21"/>
        </w:rPr>
        <w:t>内</w:t>
      </w:r>
      <w:r>
        <w:rPr>
          <w:w w:val="95"/>
          <w:sz w:val="21"/>
        </w:rPr>
        <w:t>进</w:t>
      </w:r>
      <w:r>
        <w:rPr>
          <w:w w:val="95"/>
          <w:sz w:val="21"/>
        </w:rPr>
        <w:t>行的检查报告，该报</w:t>
      </w:r>
      <w:r>
        <w:rPr>
          <w:spacing w:val="-2"/>
          <w:sz w:val="21"/>
        </w:rPr>
        <w:t>告必须显示被保险人血液人类免疫缺陷病毒（HIV）阴性和/或人类免疫</w:t>
      </w:r>
      <w:r>
        <w:rPr>
          <w:spacing w:val="-2"/>
          <w:sz w:val="21"/>
        </w:rPr>
        <w:t>缺陷病毒（HIV）抗体阴性；</w:t>
      </w:r>
    </w:p>
    <w:p>
      <w:pPr>
        <w:pStyle w:val="ListParagraph"/>
        <w:numPr>
          <w:ilvl w:val="0"/>
          <w:numId w:val="101"/>
        </w:numPr>
        <w:tabs>
          <w:tab w:pos="896" w:val="left" w:leader="none"/>
        </w:tabs>
        <w:spacing w:line="278" w:lineRule="auto" w:before="0" w:after="0"/>
        <w:ind w:left="891" w:right="668" w:hanging="526"/>
        <w:jc w:val="both"/>
        <w:rPr>
          <w:sz w:val="21"/>
        </w:rPr>
      </w:pPr>
      <w:r>
        <w:rPr>
          <w:spacing w:val="-2"/>
          <w:sz w:val="21"/>
        </w:rPr>
        <w:t>必须在事故发生后的 </w:t>
      </w:r>
      <w:r>
        <w:rPr>
          <w:sz w:val="21"/>
        </w:rPr>
        <w:t>12</w:t>
      </w:r>
      <w:r>
        <w:rPr>
          <w:spacing w:val="-4"/>
          <w:sz w:val="21"/>
        </w:rPr>
        <w:t> 个月内证实被保险人体内存在人类免疫缺陷病</w:t>
      </w:r>
      <w:r>
        <w:rPr>
          <w:spacing w:val="-2"/>
          <w:sz w:val="21"/>
        </w:rPr>
        <w:t>毒（HIV）或人类免疫缺陷病毒（HIV）抗体。</w:t>
      </w:r>
    </w:p>
    <w:p>
      <w:pPr>
        <w:pStyle w:val="BodyText"/>
        <w:spacing w:line="269" w:lineRule="exact"/>
        <w:ind w:left="366"/>
      </w:pPr>
      <w:r>
        <w:rPr>
          <w:spacing w:val="-4"/>
        </w:rPr>
        <w:t>限定职业：</w:t>
      </w:r>
    </w:p>
    <w:p>
      <w:pPr>
        <w:pStyle w:val="BodyText"/>
        <w:spacing w:line="278" w:lineRule="auto" w:before="42"/>
        <w:ind w:left="366" w:right="767"/>
      </w:pPr>
      <w:r>
        <w:rPr>
          <w:spacing w:val="-2"/>
        </w:rPr>
        <w:t>医生和牙科医生、护士、医院化验室工作人员、医院护工、医生助理和牙医</w:t>
      </w:r>
      <w:r>
        <w:rPr>
          <w:spacing w:val="-2"/>
        </w:rPr>
        <w:t>助理、救护车工作人员、助产士、消防队员、警察、狱警。</w:t>
      </w:r>
    </w:p>
    <w:p>
      <w:pPr>
        <w:spacing w:line="278" w:lineRule="auto" w:before="0"/>
        <w:ind w:left="366" w:right="669" w:firstLine="0"/>
        <w:jc w:val="left"/>
        <w:rPr>
          <w:b/>
          <w:sz w:val="21"/>
        </w:rPr>
      </w:pPr>
      <w:r>
        <w:rPr>
          <w:b/>
          <w:spacing w:val="-2"/>
          <w:sz w:val="21"/>
        </w:rPr>
        <w:t>在任何治愈艾滋病或阻止人类免疫缺陷病毒（HIV）病毒作用的疗法被发现以</w:t>
      </w:r>
      <w:r>
        <w:rPr>
          <w:b/>
          <w:spacing w:val="-2"/>
          <w:sz w:val="21"/>
        </w:rPr>
        <w:t>后，或能防止艾滋病发生的医疗方法被研究出来以后，本保障将不再予以赔</w:t>
      </w:r>
      <w:r>
        <w:rPr>
          <w:b/>
          <w:spacing w:val="-6"/>
          <w:sz w:val="21"/>
        </w:rPr>
        <w:t>付。</w:t>
      </w:r>
    </w:p>
    <w:p>
      <w:pPr>
        <w:spacing w:line="278" w:lineRule="auto" w:before="0"/>
        <w:ind w:left="366" w:right="746" w:firstLine="0"/>
        <w:jc w:val="left"/>
        <w:rPr>
          <w:b/>
          <w:sz w:val="21"/>
        </w:rPr>
      </w:pPr>
      <w:r>
        <w:rPr>
          <w:b/>
          <w:spacing w:val="-2"/>
          <w:sz w:val="21"/>
        </w:rPr>
        <w:t>本公司必须拥有获得使用被保险人的所有血液样本的权利和能够对这些样本</w:t>
      </w:r>
      <w:r>
        <w:rPr>
          <w:b/>
          <w:spacing w:val="-2"/>
          <w:sz w:val="21"/>
        </w:rPr>
        <w:t>进行独立检验的权利。</w:t>
      </w:r>
    </w:p>
    <w:p>
      <w:pPr>
        <w:spacing w:line="278" w:lineRule="auto" w:before="0"/>
        <w:ind w:left="366" w:right="745" w:firstLine="0"/>
        <w:jc w:val="left"/>
        <w:rPr>
          <w:b/>
          <w:sz w:val="21"/>
        </w:rPr>
      </w:pPr>
      <w:r>
        <w:rPr>
          <w:b/>
          <w:spacing w:val="-2"/>
          <w:sz w:val="21"/>
        </w:rPr>
        <w:t>本公司承担本项疾病责任不受本合同责任免除中“被保险人感染艾滋病病毒</w:t>
      </w:r>
      <w:r>
        <w:rPr>
          <w:b/>
          <w:spacing w:val="-2"/>
          <w:sz w:val="21"/>
        </w:rPr>
        <w:t>或患艾滋病”的限制。</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BodyText"/>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严重面部烧</w:t>
      </w:r>
      <w:r>
        <w:rPr>
          <w:spacing w:val="-10"/>
          <w:sz w:val="21"/>
        </w:rPr>
        <w:t>伤</w:t>
      </w:r>
    </w:p>
    <w:p>
      <w:pPr>
        <w:pStyle w:val="BodyText"/>
        <w:spacing w:line="278" w:lineRule="auto" w:before="72"/>
        <w:ind w:left="366" w:right="560"/>
      </w:pPr>
      <w:r>
        <w:rPr/>
        <w:br w:type="column"/>
      </w:r>
      <w:r>
        <w:rPr>
          <w:spacing w:val="-13"/>
        </w:rPr>
        <w:t>指烧伤程度为Ⅲ度，且面部Ⅲ度烧伤的面积达到面部表面积的 </w:t>
      </w:r>
      <w:r>
        <w:rPr/>
        <w:t>80%</w:t>
      </w:r>
      <w:r>
        <w:rPr>
          <w:spacing w:val="-29"/>
        </w:rPr>
        <w:t>或 </w:t>
      </w:r>
      <w:r>
        <w:rPr/>
        <w:t>80%以上。</w:t>
      </w:r>
      <w:r>
        <w:rPr>
          <w:spacing w:val="-2"/>
        </w:rPr>
        <w:t>面部的范围指上至发际、下至下颌下缘、两侧至下颌支后缘之间的区域，包</w:t>
      </w:r>
      <w:r>
        <w:rPr>
          <w:spacing w:val="40"/>
        </w:rPr>
        <w:t> </w:t>
      </w:r>
      <w:r>
        <w:rPr>
          <w:spacing w:val="-2"/>
        </w:rPr>
        <w:t>括额部、眼部、眶部、鼻部、口唇部、颏部、颧部、颊部和腮腺咬肌部。</w:t>
      </w:r>
    </w:p>
    <w:p>
      <w:pPr>
        <w:spacing w:after="0" w:line="278" w:lineRule="auto"/>
        <w:sectPr>
          <w:type w:val="continuous"/>
          <w:pgSz w:w="11910" w:h="16840"/>
          <w:pgMar w:header="0" w:footer="404" w:top="600" w:bottom="280" w:left="860" w:right="340"/>
          <w:cols w:num="2" w:equalWidth="0">
            <w:col w:w="2595" w:space="40"/>
            <w:col w:w="8075"/>
          </w:cols>
        </w:sectPr>
      </w:pPr>
    </w:p>
    <w:p>
      <w:pPr>
        <w:pStyle w:val="BodyText"/>
        <w:spacing w:before="2"/>
        <w:rPr>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1" w:after="0"/>
        <w:ind w:left="1120" w:right="0" w:firstLine="0"/>
        <w:jc w:val="left"/>
        <w:rPr>
          <w:sz w:val="21"/>
        </w:rPr>
      </w:pPr>
      <w:r>
        <w:rPr>
          <w:spacing w:val="-2"/>
          <w:sz w:val="21"/>
        </w:rPr>
        <w:t>原发性脊柱</w:t>
      </w:r>
      <w:r>
        <w:rPr>
          <w:spacing w:val="-2"/>
          <w:sz w:val="21"/>
        </w:rPr>
        <w:t>侧弯的矫正手术</w:t>
      </w:r>
    </w:p>
    <w:p>
      <w:pPr>
        <w:spacing w:line="278" w:lineRule="auto" w:before="71"/>
        <w:ind w:left="365" w:right="751" w:firstLine="0"/>
        <w:jc w:val="both"/>
        <w:rPr>
          <w:b/>
          <w:sz w:val="21"/>
        </w:rPr>
      </w:pPr>
      <w:r>
        <w:rPr/>
        <w:br w:type="column"/>
      </w:r>
      <w:r>
        <w:rPr>
          <w:spacing w:val="-2"/>
          <w:sz w:val="21"/>
        </w:rPr>
        <w:t>指被保险人因原发性脊柱侧弯，在本公司认可的医疗机构实际实施了对该病</w:t>
      </w:r>
      <w:r>
        <w:rPr>
          <w:spacing w:val="-2"/>
          <w:sz w:val="21"/>
        </w:rPr>
        <w:t>的矫正外科手术。</w:t>
      </w:r>
      <w:r>
        <w:rPr>
          <w:b/>
          <w:spacing w:val="-2"/>
          <w:sz w:val="21"/>
        </w:rPr>
        <w:t>由于先天性脊柱侧弯以及其他疾病或意外导致的继发性脊</w:t>
      </w:r>
      <w:r>
        <w:rPr>
          <w:b/>
          <w:spacing w:val="-2"/>
          <w:sz w:val="21"/>
        </w:rPr>
        <w:t>柱侧弯而进行的手术治疗不在保障范围内。</w:t>
      </w:r>
    </w:p>
    <w:p>
      <w:pPr>
        <w:spacing w:after="0" w:line="278" w:lineRule="auto"/>
        <w:jc w:val="both"/>
        <w:rPr>
          <w:sz w:val="21"/>
        </w:rPr>
        <w:sectPr>
          <w:type w:val="continuous"/>
          <w:pgSz w:w="11910" w:h="16840"/>
          <w:pgMar w:header="0" w:footer="404" w:top="600" w:bottom="280" w:left="860" w:right="340"/>
          <w:cols w:num="2" w:equalWidth="0">
            <w:col w:w="2595" w:space="40"/>
            <w:col w:w="8075"/>
          </w:cols>
        </w:sectPr>
      </w:pPr>
    </w:p>
    <w:p>
      <w:pPr>
        <w:pStyle w:val="BodyText"/>
        <w:spacing w:before="1"/>
        <w:rPr>
          <w:b/>
          <w:sz w:val="12"/>
        </w:rPr>
      </w:pPr>
    </w:p>
    <w:p>
      <w:pPr>
        <w:spacing w:after="0"/>
        <w:rPr>
          <w:sz w:val="12"/>
        </w:rPr>
        <w:sectPr>
          <w:type w:val="continuous"/>
          <w:pgSz w:w="11910" w:h="16840"/>
          <w:pgMar w:header="0" w:footer="404" w:top="600" w:bottom="28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疾病或外伤</w:t>
      </w:r>
      <w:r>
        <w:rPr>
          <w:spacing w:val="-2"/>
          <w:sz w:val="21"/>
        </w:rPr>
        <w:t>所致智力障碍</w:t>
      </w:r>
    </w:p>
    <w:p>
      <w:pPr>
        <w:pStyle w:val="BodyText"/>
        <w:spacing w:before="72"/>
        <w:ind w:left="366"/>
      </w:pPr>
      <w:r>
        <w:rPr/>
        <w:br w:type="column"/>
      </w:r>
      <w:r>
        <w:rPr>
          <w:spacing w:val="-2"/>
        </w:rPr>
        <w:t>因严重头部创伤或疾病造成被保险人智力低常（智力低于常态）</w:t>
      </w:r>
      <w:r>
        <w:rPr>
          <w:spacing w:val="-4"/>
        </w:rPr>
        <w:t>。根据智商</w:t>
      </w:r>
    </w:p>
    <w:p>
      <w:pPr>
        <w:pStyle w:val="BodyText"/>
        <w:spacing w:line="278" w:lineRule="auto" w:before="42"/>
        <w:ind w:left="366" w:right="560"/>
      </w:pPr>
      <w:r>
        <w:rPr>
          <w:spacing w:val="-4"/>
        </w:rPr>
        <w:t>（IQ），智力低常分为轻度（IQ50-70）、中度（IQ35-50）、重度（IQ20-35）</w:t>
      </w:r>
      <w:r>
        <w:rPr>
          <w:spacing w:val="-2"/>
        </w:rPr>
        <w:t>和极重度（IQ&lt;20）。智商的检测必须由专职心理测验工作者进行，心理测验</w:t>
      </w:r>
      <w:r>
        <w:rPr>
          <w:spacing w:val="-2"/>
        </w:rPr>
        <w:t>工作者必须持有由心理测量专业委员会资格认定书。根据被保险人年龄采用</w:t>
      </w:r>
      <w:r>
        <w:rPr>
          <w:spacing w:val="40"/>
        </w:rPr>
        <w:t> </w:t>
      </w:r>
      <w:r>
        <w:rPr>
          <w:spacing w:val="-2"/>
        </w:rPr>
        <w:t>对应的智力量表如韦克斯勒智力量表（儿童智力量表或成人智力量表）。必</w:t>
      </w:r>
      <w:r>
        <w:rPr>
          <w:spacing w:val="40"/>
        </w:rPr>
        <w:t> </w:t>
      </w:r>
      <w:r>
        <w:rPr>
          <w:spacing w:val="-2"/>
        </w:rPr>
        <w:t>须满足下列全部条件：</w:t>
      </w:r>
    </w:p>
    <w:p>
      <w:pPr>
        <w:pStyle w:val="ListParagraph"/>
        <w:numPr>
          <w:ilvl w:val="0"/>
          <w:numId w:val="102"/>
        </w:numPr>
        <w:tabs>
          <w:tab w:pos="896" w:val="left" w:leader="none"/>
        </w:tabs>
        <w:spacing w:line="278" w:lineRule="auto" w:before="0" w:after="0"/>
        <w:ind w:left="891" w:right="668" w:hanging="526"/>
        <w:jc w:val="left"/>
        <w:rPr>
          <w:sz w:val="21"/>
        </w:rPr>
      </w:pPr>
      <w:r>
        <w:rPr>
          <w:spacing w:val="-2"/>
          <w:sz w:val="21"/>
        </w:rPr>
        <w:t>造成被保险人智力低常（智力低于常态）的严重头部创伤或疾病（以入</w:t>
      </w:r>
      <w:r>
        <w:rPr>
          <w:sz w:val="21"/>
        </w:rPr>
        <w:t>院日期为准）</w:t>
      </w:r>
      <w:r>
        <w:rPr>
          <w:spacing w:val="-3"/>
          <w:sz w:val="21"/>
        </w:rPr>
        <w:t>发生在被保险人 </w:t>
      </w:r>
      <w:r>
        <w:rPr>
          <w:sz w:val="21"/>
        </w:rPr>
        <w:t>6</w:t>
      </w:r>
      <w:r>
        <w:rPr>
          <w:spacing w:val="-5"/>
          <w:sz w:val="21"/>
        </w:rPr>
        <w:t> 周岁以后；</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ListParagraph"/>
        <w:numPr>
          <w:ilvl w:val="1"/>
          <w:numId w:val="102"/>
        </w:numPr>
        <w:tabs>
          <w:tab w:pos="3530" w:val="left" w:leader="none"/>
        </w:tabs>
        <w:spacing w:line="240" w:lineRule="auto" w:before="57" w:after="0"/>
        <w:ind w:left="3529" w:right="0" w:hanging="530"/>
        <w:jc w:val="left"/>
        <w:rPr>
          <w:sz w:val="21"/>
        </w:rPr>
      </w:pPr>
      <w:r>
        <w:rPr>
          <w:spacing w:val="-3"/>
          <w:sz w:val="21"/>
        </w:rPr>
        <w:t>专科医生确诊被保险人由于严重头部创伤或疾病造成智力低常；</w:t>
      </w:r>
    </w:p>
    <w:p>
      <w:pPr>
        <w:pStyle w:val="ListParagraph"/>
        <w:numPr>
          <w:ilvl w:val="1"/>
          <w:numId w:val="102"/>
        </w:numPr>
        <w:tabs>
          <w:tab w:pos="3527" w:val="left" w:leader="none"/>
        </w:tabs>
        <w:spacing w:line="278" w:lineRule="auto" w:before="43" w:after="0"/>
        <w:ind w:left="3525" w:right="666" w:hanging="526"/>
        <w:jc w:val="left"/>
        <w:rPr>
          <w:sz w:val="21"/>
        </w:rPr>
      </w:pPr>
      <w:r>
        <w:rPr>
          <w:spacing w:val="-2"/>
          <w:sz w:val="21"/>
        </w:rPr>
        <w:t>专职合格心理检测工作者适时做的心理检测证实被保险人智力低常（轻</w:t>
      </w:r>
      <w:r>
        <w:rPr>
          <w:spacing w:val="-2"/>
          <w:sz w:val="21"/>
        </w:rPr>
        <w:t>度、中度、重度或极重度）；</w:t>
      </w:r>
    </w:p>
    <w:p>
      <w:pPr>
        <w:pStyle w:val="ListParagraph"/>
        <w:numPr>
          <w:ilvl w:val="1"/>
          <w:numId w:val="102"/>
        </w:numPr>
        <w:tabs>
          <w:tab w:pos="3530" w:val="left" w:leader="none"/>
        </w:tabs>
        <w:spacing w:line="240" w:lineRule="auto" w:before="0" w:after="0"/>
        <w:ind w:left="3529" w:right="0" w:hanging="530"/>
        <w:jc w:val="left"/>
        <w:rPr>
          <w:sz w:val="21"/>
        </w:rPr>
      </w:pPr>
      <w:r>
        <w:rPr>
          <w:spacing w:val="-5"/>
          <w:sz w:val="21"/>
        </w:rPr>
        <w:t>被保险人的智力低常自确认日起持续 </w:t>
      </w:r>
      <w:r>
        <w:rPr>
          <w:spacing w:val="-2"/>
          <w:sz w:val="21"/>
        </w:rPr>
        <w:t>180</w:t>
      </w:r>
      <w:r>
        <w:rPr>
          <w:spacing w:val="-14"/>
          <w:sz w:val="21"/>
        </w:rPr>
        <w:t> 天以上。</w:t>
      </w:r>
    </w:p>
    <w:p>
      <w:pPr>
        <w:pStyle w:val="BodyText"/>
        <w:spacing w:before="2"/>
      </w:pPr>
    </w:p>
    <w:p>
      <w:pPr>
        <w:pStyle w:val="ListParagraph"/>
        <w:numPr>
          <w:ilvl w:val="2"/>
          <w:numId w:val="40"/>
        </w:numPr>
        <w:tabs>
          <w:tab w:pos="1544" w:val="left" w:leader="none"/>
          <w:tab w:pos="3000" w:val="left" w:leader="none"/>
        </w:tabs>
        <w:spacing w:line="278" w:lineRule="auto" w:before="0" w:after="0"/>
        <w:ind w:left="3000" w:right="560" w:hanging="1880"/>
        <w:jc w:val="left"/>
        <w:rPr>
          <w:sz w:val="21"/>
        </w:rPr>
      </w:pPr>
      <w:r>
        <w:rPr>
          <w:spacing w:val="-2"/>
          <w:sz w:val="21"/>
        </w:rPr>
        <w:t>瑞氏综</w:t>
      </w:r>
      <w:r>
        <w:rPr>
          <w:spacing w:val="-2"/>
          <w:sz w:val="21"/>
        </w:rPr>
        <w:t>合</w:t>
      </w:r>
      <w:r>
        <w:rPr>
          <w:spacing w:val="-2"/>
          <w:sz w:val="21"/>
        </w:rPr>
        <w:t>征</w:t>
      </w:r>
      <w:r>
        <w:rPr>
          <w:sz w:val="21"/>
        </w:rPr>
        <w:tab/>
      </w:r>
      <w:r>
        <w:rPr>
          <w:spacing w:val="-2"/>
          <w:sz w:val="21"/>
        </w:rPr>
        <w:t>瑞</w:t>
      </w:r>
      <w:r>
        <w:rPr>
          <w:spacing w:val="-2"/>
          <w:sz w:val="21"/>
        </w:rPr>
        <w:t>氏</w:t>
      </w:r>
      <w:r>
        <w:rPr>
          <w:spacing w:val="-2"/>
          <w:sz w:val="21"/>
        </w:rPr>
        <w:t>综合征是线粒体功能</w:t>
      </w:r>
      <w:r>
        <w:rPr>
          <w:spacing w:val="-2"/>
          <w:sz w:val="21"/>
        </w:rPr>
        <w:t>障</w:t>
      </w:r>
      <w:r>
        <w:rPr>
          <w:spacing w:val="-2"/>
          <w:sz w:val="21"/>
        </w:rPr>
        <w:t>碍</w:t>
      </w:r>
      <w:r>
        <w:rPr>
          <w:spacing w:val="-2"/>
          <w:sz w:val="21"/>
        </w:rPr>
        <w:t>性疾病。导致脂肪代</w:t>
      </w:r>
      <w:r>
        <w:rPr>
          <w:spacing w:val="-2"/>
          <w:sz w:val="21"/>
        </w:rPr>
        <w:t>谢</w:t>
      </w:r>
      <w:r>
        <w:rPr>
          <w:spacing w:val="-2"/>
          <w:sz w:val="21"/>
        </w:rPr>
        <w:t>障</w:t>
      </w:r>
      <w:r>
        <w:rPr>
          <w:spacing w:val="-2"/>
          <w:sz w:val="21"/>
        </w:rPr>
        <w:t>碍，引起短链脂肪</w:t>
      </w:r>
      <w:r>
        <w:rPr>
          <w:spacing w:val="-2"/>
          <w:sz w:val="21"/>
        </w:rPr>
        <w:t>酸</w:t>
      </w:r>
      <w:r>
        <w:rPr>
          <w:spacing w:val="-2"/>
          <w:sz w:val="21"/>
        </w:rPr>
        <w:t>、</w:t>
      </w:r>
      <w:r>
        <w:rPr>
          <w:spacing w:val="-2"/>
          <w:sz w:val="21"/>
        </w:rPr>
        <w:t>血</w:t>
      </w:r>
      <w:r>
        <w:rPr>
          <w:spacing w:val="-2"/>
          <w:sz w:val="21"/>
        </w:rPr>
        <w:t>氨</w:t>
      </w:r>
      <w:r>
        <w:rPr>
          <w:spacing w:val="-2"/>
          <w:sz w:val="21"/>
        </w:rPr>
        <w:t>升高，造成脑水肿。</w:t>
      </w:r>
      <w:r>
        <w:rPr>
          <w:spacing w:val="-2"/>
          <w:sz w:val="21"/>
        </w:rPr>
        <w:t>主</w:t>
      </w:r>
      <w:r>
        <w:rPr>
          <w:spacing w:val="-2"/>
          <w:sz w:val="21"/>
        </w:rPr>
        <w:t>要</w:t>
      </w:r>
      <w:r>
        <w:rPr>
          <w:spacing w:val="-2"/>
          <w:sz w:val="21"/>
        </w:rPr>
        <w:t>临床表现为急性发热</w:t>
      </w:r>
      <w:r>
        <w:rPr>
          <w:spacing w:val="-2"/>
          <w:sz w:val="21"/>
        </w:rPr>
        <w:t>、</w:t>
      </w:r>
      <w:r>
        <w:rPr>
          <w:spacing w:val="-2"/>
          <w:sz w:val="21"/>
        </w:rPr>
        <w:t>反</w:t>
      </w:r>
      <w:r>
        <w:rPr>
          <w:spacing w:val="-2"/>
          <w:sz w:val="21"/>
        </w:rPr>
        <w:t>复呕吐、惊厥及</w:t>
      </w:r>
      <w:r>
        <w:rPr>
          <w:spacing w:val="-2"/>
          <w:sz w:val="21"/>
        </w:rPr>
        <w:t>意</w:t>
      </w:r>
      <w:r>
        <w:rPr>
          <w:spacing w:val="-2"/>
          <w:sz w:val="21"/>
        </w:rPr>
        <w:t>识</w:t>
      </w:r>
      <w:r>
        <w:rPr>
          <w:spacing w:val="40"/>
          <w:sz w:val="21"/>
        </w:rPr>
        <w:t> </w:t>
      </w:r>
      <w:r>
        <w:rPr>
          <w:spacing w:val="-4"/>
          <w:sz w:val="21"/>
        </w:rPr>
        <w:t>障</w:t>
      </w:r>
      <w:r>
        <w:rPr>
          <w:spacing w:val="-4"/>
          <w:sz w:val="21"/>
        </w:rPr>
        <w:t>碍</w:t>
      </w:r>
      <w:r>
        <w:rPr>
          <w:spacing w:val="-4"/>
          <w:sz w:val="21"/>
        </w:rPr>
        <w:t>等</w:t>
      </w:r>
      <w:r>
        <w:rPr>
          <w:spacing w:val="-4"/>
          <w:sz w:val="21"/>
        </w:rPr>
        <w:t>等</w:t>
      </w:r>
      <w:r>
        <w:rPr>
          <w:spacing w:val="-4"/>
          <w:sz w:val="21"/>
        </w:rPr>
        <w:t>。</w:t>
      </w:r>
    </w:p>
    <w:p>
      <w:pPr>
        <w:pStyle w:val="BodyText"/>
        <w:spacing w:line="278" w:lineRule="auto"/>
        <w:ind w:left="3000" w:right="560"/>
      </w:pPr>
      <w:r>
        <w:rPr>
          <w:spacing w:val="-2"/>
        </w:rPr>
        <w:t>肝脏活检是确诊的重要手段。瑞氏综合征需由三级医院的儿科专科医生确诊，</w:t>
      </w:r>
      <w:r>
        <w:rPr>
          <w:spacing w:val="-2"/>
        </w:rPr>
        <w:t>并符合下列所有条件：</w:t>
      </w:r>
    </w:p>
    <w:p>
      <w:pPr>
        <w:pStyle w:val="ListParagraph"/>
        <w:numPr>
          <w:ilvl w:val="0"/>
          <w:numId w:val="103"/>
        </w:numPr>
        <w:tabs>
          <w:tab w:pos="3530" w:val="left" w:leader="none"/>
        </w:tabs>
        <w:spacing w:line="269" w:lineRule="exact" w:before="0" w:after="0"/>
        <w:ind w:left="3529" w:right="0" w:hanging="530"/>
        <w:jc w:val="left"/>
        <w:rPr>
          <w:sz w:val="21"/>
        </w:rPr>
      </w:pPr>
      <w:r>
        <w:rPr>
          <w:spacing w:val="-3"/>
          <w:sz w:val="21"/>
        </w:rPr>
        <w:t>有脑水肿和颅内压升高的脑脊液检查和影像学检查证据；</w:t>
      </w:r>
    </w:p>
    <w:p>
      <w:pPr>
        <w:pStyle w:val="ListParagraph"/>
        <w:numPr>
          <w:ilvl w:val="0"/>
          <w:numId w:val="103"/>
        </w:numPr>
        <w:tabs>
          <w:tab w:pos="3530" w:val="left" w:leader="none"/>
        </w:tabs>
        <w:spacing w:line="240" w:lineRule="auto" w:before="42" w:after="0"/>
        <w:ind w:left="3529"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03"/>
        </w:numPr>
        <w:tabs>
          <w:tab w:pos="3530" w:val="left" w:leader="none"/>
        </w:tabs>
        <w:spacing w:line="240" w:lineRule="auto" w:before="43" w:after="0"/>
        <w:ind w:left="3529"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8"/>
        <w:rPr>
          <w:sz w:val="15"/>
        </w:rPr>
      </w:pPr>
    </w:p>
    <w:p>
      <w:pPr>
        <w:spacing w:after="0"/>
        <w:rPr>
          <w:sz w:val="15"/>
        </w:rPr>
        <w:sectPr>
          <w:pgSz w:w="11910" w:h="16840"/>
          <w:pgMar w:header="0" w:footer="404" w:top="1080" w:bottom="600" w:left="860" w:right="340"/>
        </w:sectPr>
      </w:pPr>
    </w:p>
    <w:p>
      <w:pPr>
        <w:pStyle w:val="ListParagraph"/>
        <w:numPr>
          <w:ilvl w:val="2"/>
          <w:numId w:val="40"/>
        </w:numPr>
        <w:tabs>
          <w:tab w:pos="1544" w:val="left" w:leader="none"/>
        </w:tabs>
        <w:spacing w:line="278" w:lineRule="auto" w:before="72" w:after="0"/>
        <w:ind w:left="1120" w:right="0" w:firstLine="0"/>
        <w:jc w:val="left"/>
        <w:rPr>
          <w:sz w:val="21"/>
        </w:rPr>
      </w:pPr>
      <w:r>
        <w:rPr>
          <w:spacing w:val="-2"/>
          <w:sz w:val="21"/>
        </w:rPr>
        <w:t>重症手足口</w:t>
      </w:r>
      <w:r>
        <w:rPr>
          <w:spacing w:val="-10"/>
          <w:sz w:val="21"/>
        </w:rPr>
        <w:t>病</w:t>
      </w:r>
    </w:p>
    <w:p>
      <w:pPr>
        <w:pStyle w:val="BodyText"/>
        <w:spacing w:line="278" w:lineRule="auto" w:before="72"/>
        <w:ind w:left="366" w:right="767"/>
        <w:jc w:val="both"/>
      </w:pPr>
      <w:r>
        <w:rPr/>
        <w:br w:type="column"/>
      </w:r>
      <w:r>
        <w:rPr>
          <w:spacing w:val="-2"/>
        </w:rPr>
        <w:t>由肠道病毒引起的急性传染病，主要症状表现为手、足、口腔等部位的斑丘</w:t>
      </w:r>
      <w:r>
        <w:rPr>
          <w:spacing w:val="-2"/>
        </w:rPr>
        <w:t>疹、疱疹。经本公司认可的医疗机构的专科医生确诊为患有手足口病，并伴</w:t>
      </w:r>
      <w:r>
        <w:rPr>
          <w:spacing w:val="-2"/>
        </w:rPr>
        <w:t>有下列三项中的任意一项并发症：</w:t>
      </w:r>
    </w:p>
    <w:p>
      <w:pPr>
        <w:pStyle w:val="ListParagraph"/>
        <w:numPr>
          <w:ilvl w:val="0"/>
          <w:numId w:val="104"/>
        </w:numPr>
        <w:tabs>
          <w:tab w:pos="893" w:val="left" w:leader="none"/>
        </w:tabs>
        <w:spacing w:line="278" w:lineRule="auto" w:before="0" w:after="0"/>
        <w:ind w:left="891" w:right="666" w:hanging="526"/>
        <w:jc w:val="left"/>
        <w:rPr>
          <w:sz w:val="21"/>
        </w:rPr>
      </w:pPr>
      <w:r>
        <w:rPr>
          <w:spacing w:val="-2"/>
          <w:sz w:val="21"/>
        </w:rPr>
        <w:t>有脑膜炎或脑炎并发症，且导致意识障碍或瘫痪的临床表现及实验室检</w:t>
      </w:r>
      <w:r>
        <w:rPr>
          <w:spacing w:val="-4"/>
          <w:sz w:val="21"/>
        </w:rPr>
        <w:t>查证据；</w:t>
      </w:r>
    </w:p>
    <w:p>
      <w:pPr>
        <w:pStyle w:val="ListParagraph"/>
        <w:numPr>
          <w:ilvl w:val="0"/>
          <w:numId w:val="104"/>
        </w:numPr>
        <w:tabs>
          <w:tab w:pos="893" w:val="left" w:leader="none"/>
        </w:tabs>
        <w:spacing w:line="269" w:lineRule="exact" w:before="0" w:after="0"/>
        <w:ind w:left="892" w:right="0" w:hanging="527"/>
        <w:jc w:val="left"/>
        <w:rPr>
          <w:sz w:val="21"/>
        </w:rPr>
      </w:pPr>
      <w:r>
        <w:rPr>
          <w:spacing w:val="-8"/>
          <w:sz w:val="21"/>
        </w:rPr>
        <w:t>有肺炎或肺水肿并发症，且导致呼吸衰竭的临床表现及实验室检查证据；</w:t>
      </w:r>
    </w:p>
    <w:p>
      <w:pPr>
        <w:pStyle w:val="ListParagraph"/>
        <w:numPr>
          <w:ilvl w:val="0"/>
          <w:numId w:val="104"/>
        </w:numPr>
        <w:tabs>
          <w:tab w:pos="893" w:val="left" w:leader="none"/>
        </w:tabs>
        <w:spacing w:line="278" w:lineRule="auto" w:before="42" w:after="0"/>
        <w:ind w:left="891" w:right="666" w:hanging="526"/>
        <w:jc w:val="left"/>
        <w:rPr>
          <w:sz w:val="21"/>
        </w:rPr>
      </w:pPr>
      <w:r>
        <w:rPr>
          <w:spacing w:val="-2"/>
          <w:sz w:val="21"/>
        </w:rPr>
        <w:t>有心肌炎并发症，且导致心脏扩大或心力衰竭的临床表现及实验室检查</w:t>
      </w:r>
      <w:r>
        <w:rPr>
          <w:spacing w:val="-4"/>
          <w:sz w:val="21"/>
        </w:rPr>
        <w:t>证据。</w:t>
      </w:r>
    </w:p>
    <w:p>
      <w:pPr>
        <w:spacing w:after="0" w:line="278" w:lineRule="auto"/>
        <w:jc w:val="left"/>
        <w:rPr>
          <w:sz w:val="21"/>
        </w:rPr>
        <w:sectPr>
          <w:type w:val="continuous"/>
          <w:pgSz w:w="11910" w:h="16840"/>
          <w:pgMar w:header="0" w:footer="404" w:top="600" w:bottom="280" w:left="860" w:right="340"/>
          <w:cols w:num="2" w:equalWidth="0">
            <w:col w:w="2595" w:space="40"/>
            <w:col w:w="8075"/>
          </w:cols>
        </w:sectPr>
      </w:pPr>
    </w:p>
    <w:p>
      <w:pPr>
        <w:pStyle w:val="BodyText"/>
        <w:spacing w:before="11"/>
        <w:rPr>
          <w:sz w:val="19"/>
        </w:rPr>
      </w:pPr>
    </w:p>
    <w:tbl>
      <w:tblPr>
        <w:tblW w:w="0" w:type="auto"/>
        <w:jc w:val="left"/>
        <w:tblInd w:w="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4"/>
        <w:gridCol w:w="7342"/>
      </w:tblGrid>
      <w:tr>
        <w:trPr>
          <w:trHeight w:val="1613" w:hRule="atLeast"/>
        </w:trPr>
        <w:tc>
          <w:tcPr>
            <w:tcW w:w="745"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spacing w:before="4" w:after="1"/>
              <w:ind w:left="0"/>
              <w:rPr>
                <w:sz w:val="14"/>
              </w:rPr>
            </w:pPr>
          </w:p>
          <w:p>
            <w:pPr>
              <w:pStyle w:val="TableParagraph"/>
              <w:ind w:left="153"/>
              <w:rPr>
                <w:sz w:val="20"/>
              </w:rPr>
            </w:pPr>
            <w:r>
              <w:rPr>
                <w:sz w:val="20"/>
              </w:rPr>
              <w:drawing>
                <wp:inline distT="0" distB="0" distL="0" distR="0">
                  <wp:extent cx="199446" cy="219075"/>
                  <wp:effectExtent l="0" t="0" r="0" b="0"/>
                  <wp:docPr id="25" name="image9.png"/>
                  <wp:cNvGraphicFramePr>
                    <a:graphicFrameLocks noChangeAspect="1"/>
                  </wp:cNvGraphicFramePr>
                  <a:graphic>
                    <a:graphicData uri="http://schemas.openxmlformats.org/drawingml/2006/picture">
                      <pic:pic>
                        <pic:nvPicPr>
                          <pic:cNvPr id="26" name="image9.png"/>
                          <pic:cNvPicPr/>
                        </pic:nvPicPr>
                        <pic:blipFill>
                          <a:blip r:embed="rId14" cstate="print"/>
                          <a:stretch>
                            <a:fillRect/>
                          </a:stretch>
                        </pic:blipFill>
                        <pic:spPr>
                          <a:xfrm>
                            <a:off x="0" y="0"/>
                            <a:ext cx="199446" cy="219075"/>
                          </a:xfrm>
                          <a:prstGeom prst="rect">
                            <a:avLst/>
                          </a:prstGeom>
                        </pic:spPr>
                      </pic:pic>
                    </a:graphicData>
                  </a:graphic>
                </wp:inline>
              </w:drawing>
            </w:r>
            <w:r>
              <w:rPr>
                <w:sz w:val="20"/>
              </w:rPr>
            </w:r>
          </w:p>
        </w:tc>
        <w:tc>
          <w:tcPr>
            <w:tcW w:w="1894" w:type="dxa"/>
          </w:tcPr>
          <w:p>
            <w:pPr>
              <w:pStyle w:val="TableParagraph"/>
              <w:spacing w:line="241" w:lineRule="exact"/>
              <w:ind w:left="215"/>
              <w:rPr>
                <w:sz w:val="21"/>
              </w:rPr>
            </w:pPr>
            <w:r>
              <w:rPr>
                <w:spacing w:val="-2"/>
                <w:sz w:val="21"/>
              </w:rPr>
              <w:t>109</w:t>
            </w:r>
            <w:r>
              <w:rPr>
                <w:spacing w:val="-4"/>
                <w:sz w:val="21"/>
              </w:rPr>
              <w:t>.严重川崎病</w:t>
            </w:r>
          </w:p>
        </w:tc>
        <w:tc>
          <w:tcPr>
            <w:tcW w:w="7342" w:type="dxa"/>
          </w:tcPr>
          <w:p>
            <w:pPr>
              <w:pStyle w:val="TableParagraph"/>
              <w:spacing w:line="241" w:lineRule="exact"/>
              <w:ind w:left="201"/>
              <w:rPr>
                <w:sz w:val="21"/>
              </w:rPr>
            </w:pPr>
            <w:r>
              <w:rPr>
                <w:spacing w:val="-3"/>
                <w:sz w:val="21"/>
              </w:rPr>
              <w:t>是一种血管炎综合征，临床表现为急性发热，皮肤粘膜病损和淋巴结肿大。</w:t>
            </w:r>
          </w:p>
          <w:p>
            <w:pPr>
              <w:pStyle w:val="TableParagraph"/>
              <w:spacing w:line="278" w:lineRule="auto" w:before="43"/>
              <w:ind w:left="201" w:right="833"/>
              <w:rPr>
                <w:sz w:val="21"/>
              </w:rPr>
            </w:pPr>
            <w:r>
              <w:rPr>
                <w:spacing w:val="-2"/>
                <w:sz w:val="21"/>
              </w:rPr>
              <w:t>本病须经专科医生明确诊断，同时须由血管造影或超声心动图检查证</w:t>
            </w:r>
            <w:r>
              <w:rPr>
                <w:spacing w:val="-2"/>
                <w:sz w:val="21"/>
              </w:rPr>
              <w:t>实，满足下列至少一项条件：</w:t>
            </w:r>
          </w:p>
          <w:p>
            <w:pPr>
              <w:pStyle w:val="TableParagraph"/>
              <w:numPr>
                <w:ilvl w:val="0"/>
                <w:numId w:val="105"/>
              </w:numPr>
              <w:tabs>
                <w:tab w:pos="731" w:val="left" w:leader="none"/>
              </w:tabs>
              <w:spacing w:line="240" w:lineRule="auto" w:before="0" w:after="0"/>
              <w:ind w:left="730"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105"/>
              </w:numPr>
              <w:tabs>
                <w:tab w:pos="731" w:val="left" w:leader="none"/>
              </w:tabs>
              <w:spacing w:line="240" w:lineRule="auto" w:before="43" w:after="0"/>
              <w:ind w:left="730" w:right="0" w:hanging="530"/>
              <w:jc w:val="left"/>
              <w:rPr>
                <w:sz w:val="21"/>
              </w:rPr>
            </w:pPr>
            <w:r>
              <w:rPr>
                <w:spacing w:val="-3"/>
                <w:sz w:val="21"/>
              </w:rPr>
              <w:t>伴有冠状动脉瘤，且实际接受了对冠状动脉瘤进行的手术治疗。</w:t>
            </w:r>
          </w:p>
        </w:tc>
      </w:tr>
      <w:tr>
        <w:trPr>
          <w:trHeight w:val="2461" w:hRule="atLeast"/>
        </w:trPr>
        <w:tc>
          <w:tcPr>
            <w:tcW w:w="745" w:type="dxa"/>
            <w:vMerge/>
            <w:tcBorders>
              <w:top w:val="nil"/>
              <w:bottom w:val="single" w:sz="8" w:space="0" w:color="000000"/>
            </w:tcBorders>
          </w:tcPr>
          <w:p>
            <w:pPr>
              <w:rPr>
                <w:sz w:val="2"/>
                <w:szCs w:val="2"/>
              </w:rPr>
            </w:pPr>
          </w:p>
        </w:tc>
        <w:tc>
          <w:tcPr>
            <w:tcW w:w="1894" w:type="dxa"/>
          </w:tcPr>
          <w:p>
            <w:pPr>
              <w:pStyle w:val="TableParagraph"/>
              <w:spacing w:before="126"/>
              <w:ind w:left="215"/>
              <w:rPr>
                <w:sz w:val="21"/>
              </w:rPr>
            </w:pPr>
            <w:r>
              <w:rPr>
                <w:spacing w:val="-2"/>
                <w:sz w:val="21"/>
              </w:rPr>
              <w:t>110</w:t>
            </w:r>
            <w:r>
              <w:rPr>
                <w:spacing w:val="-4"/>
                <w:sz w:val="21"/>
              </w:rPr>
              <w:t>.严重哮喘</w:t>
            </w:r>
          </w:p>
        </w:tc>
        <w:tc>
          <w:tcPr>
            <w:tcW w:w="7342" w:type="dxa"/>
          </w:tcPr>
          <w:p>
            <w:pPr>
              <w:pStyle w:val="TableParagraph"/>
              <w:spacing w:line="278" w:lineRule="auto" w:before="126"/>
              <w:ind w:left="201" w:right="201"/>
              <w:rPr>
                <w:sz w:val="21"/>
              </w:rPr>
            </w:pPr>
            <w:r>
              <w:rPr>
                <w:spacing w:val="-2"/>
                <w:sz w:val="21"/>
              </w:rPr>
              <w:t>指一种反复发作的严重支气管阻塞性疾病，经专科医生确诊，且必须同时符</w:t>
            </w:r>
            <w:r>
              <w:rPr>
                <w:spacing w:val="-2"/>
                <w:sz w:val="21"/>
              </w:rPr>
              <w:t>合下列全部标准：</w:t>
            </w:r>
          </w:p>
          <w:p>
            <w:pPr>
              <w:pStyle w:val="TableParagraph"/>
              <w:numPr>
                <w:ilvl w:val="0"/>
                <w:numId w:val="106"/>
              </w:numPr>
              <w:tabs>
                <w:tab w:pos="731" w:val="left" w:leader="none"/>
              </w:tabs>
              <w:spacing w:line="269" w:lineRule="exact" w:before="0" w:after="0"/>
              <w:ind w:left="730" w:right="0" w:hanging="530"/>
              <w:jc w:val="left"/>
              <w:rPr>
                <w:sz w:val="21"/>
              </w:rPr>
            </w:pPr>
            <w:r>
              <w:rPr>
                <w:spacing w:val="-3"/>
                <w:sz w:val="21"/>
              </w:rPr>
              <w:t>过去两年中曾因哮喘持续状态住院治疗，并提供完整住院记录；</w:t>
            </w:r>
          </w:p>
          <w:p>
            <w:pPr>
              <w:pStyle w:val="TableParagraph"/>
              <w:numPr>
                <w:ilvl w:val="0"/>
                <w:numId w:val="106"/>
              </w:numPr>
              <w:tabs>
                <w:tab w:pos="731" w:val="left" w:leader="none"/>
              </w:tabs>
              <w:spacing w:line="240" w:lineRule="auto" w:before="43" w:after="0"/>
              <w:ind w:left="730" w:right="0" w:hanging="530"/>
              <w:jc w:val="left"/>
              <w:rPr>
                <w:sz w:val="21"/>
              </w:rPr>
            </w:pPr>
            <w:r>
              <w:rPr>
                <w:spacing w:val="-3"/>
                <w:sz w:val="21"/>
              </w:rPr>
              <w:t>因慢性过度换气导致胸廓畸形；</w:t>
            </w:r>
          </w:p>
          <w:p>
            <w:pPr>
              <w:pStyle w:val="TableParagraph"/>
              <w:numPr>
                <w:ilvl w:val="0"/>
                <w:numId w:val="106"/>
              </w:numPr>
              <w:tabs>
                <w:tab w:pos="731" w:val="left" w:leader="none"/>
              </w:tabs>
              <w:spacing w:line="240" w:lineRule="auto" w:before="42" w:after="0"/>
              <w:ind w:left="730" w:right="0" w:hanging="530"/>
              <w:jc w:val="left"/>
              <w:rPr>
                <w:sz w:val="21"/>
              </w:rPr>
            </w:pPr>
            <w:r>
              <w:rPr>
                <w:spacing w:val="-3"/>
                <w:sz w:val="21"/>
              </w:rPr>
              <w:t>在家中需要医生处方的氧气治疗法；</w:t>
            </w:r>
          </w:p>
          <w:p>
            <w:pPr>
              <w:pStyle w:val="TableParagraph"/>
              <w:numPr>
                <w:ilvl w:val="0"/>
                <w:numId w:val="106"/>
              </w:numPr>
              <w:tabs>
                <w:tab w:pos="731" w:val="left" w:leader="none"/>
              </w:tabs>
              <w:spacing w:line="278" w:lineRule="auto" w:before="43" w:after="0"/>
              <w:ind w:left="201" w:right="1778" w:firstLine="0"/>
              <w:jc w:val="left"/>
              <w:rPr>
                <w:b/>
                <w:sz w:val="21"/>
              </w:rPr>
            </w:pPr>
            <w:r>
              <w:rPr>
                <w:spacing w:val="-2"/>
                <w:sz w:val="21"/>
              </w:rPr>
              <w:t>持续日常服用口服类固醇激素治疗持续至少六个月。</w:t>
            </w:r>
            <w:r>
              <w:rPr>
                <w:b/>
                <w:spacing w:val="-2"/>
                <w:sz w:val="21"/>
              </w:rPr>
              <w:t>申请理赔时，被保险人年龄必须在年满 </w:t>
            </w:r>
            <w:r>
              <w:rPr>
                <w:b/>
                <w:sz w:val="21"/>
              </w:rPr>
              <w:t>25</w:t>
            </w:r>
            <w:r>
              <w:rPr>
                <w:b/>
                <w:spacing w:val="-5"/>
                <w:sz w:val="21"/>
              </w:rPr>
              <w:t> 周岁之前。</w:t>
            </w:r>
          </w:p>
        </w:tc>
      </w:tr>
      <w:tr>
        <w:trPr>
          <w:trHeight w:val="655" w:hRule="atLeast"/>
        </w:trPr>
        <w:tc>
          <w:tcPr>
            <w:tcW w:w="745" w:type="dxa"/>
            <w:vMerge/>
            <w:tcBorders>
              <w:top w:val="nil"/>
              <w:bottom w:val="single" w:sz="8" w:space="0" w:color="000000"/>
            </w:tcBorders>
          </w:tcPr>
          <w:p>
            <w:pPr>
              <w:rPr>
                <w:sz w:val="2"/>
                <w:szCs w:val="2"/>
              </w:rPr>
            </w:pPr>
          </w:p>
        </w:tc>
        <w:tc>
          <w:tcPr>
            <w:tcW w:w="1894" w:type="dxa"/>
            <w:tcBorders>
              <w:bottom w:val="single" w:sz="8" w:space="0" w:color="000000"/>
            </w:tcBorders>
          </w:tcPr>
          <w:p>
            <w:pPr>
              <w:pStyle w:val="TableParagraph"/>
              <w:spacing w:before="190"/>
              <w:ind w:left="215"/>
              <w:rPr>
                <w:b/>
                <w:sz w:val="24"/>
              </w:rPr>
            </w:pPr>
            <w:r>
              <w:rPr>
                <w:b/>
                <w:w w:val="95"/>
                <w:sz w:val="24"/>
              </w:rPr>
              <w:t>释</w:t>
            </w:r>
            <w:r>
              <w:rPr>
                <w:b/>
                <w:spacing w:val="-10"/>
                <w:sz w:val="24"/>
              </w:rPr>
              <w:t>义</w:t>
            </w:r>
          </w:p>
        </w:tc>
        <w:tc>
          <w:tcPr>
            <w:tcW w:w="7342" w:type="dxa"/>
            <w:tcBorders>
              <w:bottom w:val="single" w:sz="8" w:space="0" w:color="000000"/>
            </w:tcBorders>
          </w:tcPr>
          <w:p>
            <w:pPr>
              <w:pStyle w:val="TableParagraph"/>
              <w:ind w:left="0"/>
              <w:rPr>
                <w:rFonts w:ascii="Times New Roman"/>
                <w:sz w:val="20"/>
              </w:rPr>
            </w:pPr>
          </w:p>
        </w:tc>
      </w:tr>
      <w:tr>
        <w:trPr>
          <w:trHeight w:val="947" w:hRule="atLeast"/>
        </w:trPr>
        <w:tc>
          <w:tcPr>
            <w:tcW w:w="745" w:type="dxa"/>
            <w:tcBorders>
              <w:top w:val="single" w:sz="8" w:space="0" w:color="000000"/>
            </w:tcBorders>
          </w:tcPr>
          <w:p>
            <w:pPr>
              <w:pStyle w:val="TableParagraph"/>
              <w:ind w:left="0"/>
              <w:rPr>
                <w:sz w:val="18"/>
              </w:rPr>
            </w:pPr>
          </w:p>
          <w:p>
            <w:pPr>
              <w:pStyle w:val="TableParagraph"/>
              <w:spacing w:before="1"/>
              <w:ind w:left="107"/>
              <w:rPr>
                <w:b/>
                <w:sz w:val="21"/>
              </w:rPr>
            </w:pPr>
            <w:r>
              <w:rPr>
                <w:b/>
                <w:spacing w:val="-4"/>
                <w:sz w:val="21"/>
              </w:rPr>
              <w:t>11.1</w:t>
            </w:r>
          </w:p>
        </w:tc>
        <w:tc>
          <w:tcPr>
            <w:tcW w:w="1894" w:type="dxa"/>
            <w:tcBorders>
              <w:top w:val="single" w:sz="8" w:space="0" w:color="000000"/>
            </w:tcBorders>
          </w:tcPr>
          <w:p>
            <w:pPr>
              <w:pStyle w:val="TableParagraph"/>
              <w:ind w:left="0"/>
              <w:rPr>
                <w:sz w:val="18"/>
              </w:rPr>
            </w:pPr>
          </w:p>
          <w:p>
            <w:pPr>
              <w:pStyle w:val="TableParagraph"/>
              <w:spacing w:before="1"/>
              <w:ind w:left="215"/>
              <w:rPr>
                <w:b/>
                <w:sz w:val="21"/>
              </w:rPr>
            </w:pPr>
            <w:r>
              <w:rPr>
                <w:b/>
                <w:spacing w:val="-3"/>
                <w:sz w:val="21"/>
              </w:rPr>
              <w:t>保单年度</w:t>
            </w:r>
          </w:p>
        </w:tc>
        <w:tc>
          <w:tcPr>
            <w:tcW w:w="7342" w:type="dxa"/>
            <w:tcBorders>
              <w:top w:val="single" w:sz="8" w:space="0" w:color="000000"/>
            </w:tcBorders>
          </w:tcPr>
          <w:p>
            <w:pPr>
              <w:pStyle w:val="TableParagraph"/>
              <w:ind w:left="0"/>
              <w:rPr>
                <w:sz w:val="18"/>
              </w:rPr>
            </w:pPr>
          </w:p>
          <w:p>
            <w:pPr>
              <w:pStyle w:val="TableParagraph"/>
              <w:spacing w:line="278" w:lineRule="auto" w:before="1"/>
              <w:ind w:left="201" w:right="101"/>
              <w:rPr>
                <w:sz w:val="21"/>
              </w:rPr>
            </w:pPr>
            <w:r>
              <w:rPr>
                <w:spacing w:val="-2"/>
                <w:sz w:val="21"/>
              </w:rPr>
              <w:t>自本合同生效日或保单周年日起至下一个保单周年日的前一日止为一个保单</w:t>
            </w:r>
            <w:r>
              <w:rPr>
                <w:spacing w:val="-4"/>
                <w:sz w:val="21"/>
              </w:rPr>
              <w:t>年度。</w:t>
            </w:r>
          </w:p>
        </w:tc>
      </w:tr>
      <w:tr>
        <w:trPr>
          <w:trHeight w:val="850" w:hRule="atLeast"/>
        </w:trPr>
        <w:tc>
          <w:tcPr>
            <w:tcW w:w="745" w:type="dxa"/>
          </w:tcPr>
          <w:p>
            <w:pPr>
              <w:pStyle w:val="TableParagraph"/>
              <w:spacing w:before="136"/>
              <w:ind w:left="107"/>
              <w:rPr>
                <w:b/>
                <w:sz w:val="21"/>
              </w:rPr>
            </w:pPr>
            <w:r>
              <w:rPr>
                <w:b/>
                <w:spacing w:val="-4"/>
                <w:sz w:val="21"/>
              </w:rPr>
              <w:t>11.2</w:t>
            </w:r>
          </w:p>
        </w:tc>
        <w:tc>
          <w:tcPr>
            <w:tcW w:w="1894" w:type="dxa"/>
          </w:tcPr>
          <w:p>
            <w:pPr>
              <w:pStyle w:val="TableParagraph"/>
              <w:spacing w:line="278" w:lineRule="auto" w:before="136"/>
              <w:ind w:left="215" w:right="198"/>
              <w:rPr>
                <w:b/>
                <w:sz w:val="21"/>
              </w:rPr>
            </w:pPr>
            <w:r>
              <w:rPr>
                <w:b/>
                <w:spacing w:val="-2"/>
                <w:sz w:val="21"/>
              </w:rPr>
              <w:t>保险费约定支付</w:t>
            </w:r>
            <w:r>
              <w:rPr>
                <w:b/>
                <w:spacing w:val="-10"/>
                <w:sz w:val="21"/>
              </w:rPr>
              <w:t>日</w:t>
            </w:r>
          </w:p>
        </w:tc>
        <w:tc>
          <w:tcPr>
            <w:tcW w:w="7342" w:type="dxa"/>
          </w:tcPr>
          <w:p>
            <w:pPr>
              <w:pStyle w:val="TableParagraph"/>
              <w:spacing w:line="278" w:lineRule="auto" w:before="136"/>
              <w:ind w:left="201" w:right="108"/>
              <w:rPr>
                <w:sz w:val="21"/>
              </w:rPr>
            </w:pPr>
            <w:r>
              <w:rPr>
                <w:spacing w:val="-2"/>
                <w:sz w:val="21"/>
              </w:rPr>
              <w:t>保险合同生效日在每年的对应日。若当月无对应的同一日，则以该月最后一</w:t>
            </w:r>
            <w:r>
              <w:rPr>
                <w:spacing w:val="-2"/>
                <w:sz w:val="21"/>
              </w:rPr>
              <w:t>日为对应日。</w:t>
            </w:r>
          </w:p>
        </w:tc>
      </w:tr>
      <w:tr>
        <w:trPr>
          <w:trHeight w:val="424" w:hRule="atLeast"/>
        </w:trPr>
        <w:tc>
          <w:tcPr>
            <w:tcW w:w="745" w:type="dxa"/>
          </w:tcPr>
          <w:p>
            <w:pPr>
              <w:pStyle w:val="TableParagraph"/>
              <w:spacing w:before="134"/>
              <w:ind w:left="107"/>
              <w:rPr>
                <w:b/>
                <w:sz w:val="21"/>
              </w:rPr>
            </w:pPr>
            <w:r>
              <w:rPr>
                <w:b/>
                <w:spacing w:val="-4"/>
                <w:sz w:val="21"/>
              </w:rPr>
              <w:t>11.3</w:t>
            </w:r>
          </w:p>
        </w:tc>
        <w:tc>
          <w:tcPr>
            <w:tcW w:w="1894" w:type="dxa"/>
          </w:tcPr>
          <w:p>
            <w:pPr>
              <w:pStyle w:val="TableParagraph"/>
              <w:spacing w:before="134"/>
              <w:ind w:left="215"/>
              <w:rPr>
                <w:b/>
                <w:sz w:val="21"/>
              </w:rPr>
            </w:pPr>
            <w:r>
              <w:rPr>
                <w:b/>
                <w:spacing w:val="-5"/>
                <w:sz w:val="21"/>
              </w:rPr>
              <w:t>周岁</w:t>
            </w:r>
          </w:p>
        </w:tc>
        <w:tc>
          <w:tcPr>
            <w:tcW w:w="7342" w:type="dxa"/>
          </w:tcPr>
          <w:p>
            <w:pPr>
              <w:pStyle w:val="TableParagraph"/>
              <w:spacing w:before="134"/>
              <w:ind w:left="201"/>
              <w:rPr>
                <w:sz w:val="21"/>
              </w:rPr>
            </w:pPr>
            <w:r>
              <w:rPr>
                <w:spacing w:val="-1"/>
                <w:sz w:val="21"/>
              </w:rPr>
              <w:t>指按有效身份证件中记载的出生日期计算的年龄，自出生之日起为零周岁，</w:t>
            </w:r>
          </w:p>
        </w:tc>
      </w:tr>
      <w:tr>
        <w:trPr>
          <w:trHeight w:val="261" w:hRule="atLeast"/>
        </w:trPr>
        <w:tc>
          <w:tcPr>
            <w:tcW w:w="745" w:type="dxa"/>
          </w:tcPr>
          <w:p>
            <w:pPr>
              <w:pStyle w:val="TableParagraph"/>
              <w:ind w:left="0"/>
              <w:rPr>
                <w:rFonts w:ascii="Times New Roman"/>
                <w:sz w:val="18"/>
              </w:rPr>
            </w:pPr>
          </w:p>
        </w:tc>
        <w:tc>
          <w:tcPr>
            <w:tcW w:w="1894" w:type="dxa"/>
          </w:tcPr>
          <w:p>
            <w:pPr>
              <w:pStyle w:val="TableParagraph"/>
              <w:ind w:left="0"/>
              <w:rPr>
                <w:rFonts w:ascii="Times New Roman"/>
                <w:sz w:val="18"/>
              </w:rPr>
            </w:pPr>
          </w:p>
        </w:tc>
        <w:tc>
          <w:tcPr>
            <w:tcW w:w="7342" w:type="dxa"/>
          </w:tcPr>
          <w:p>
            <w:pPr>
              <w:pStyle w:val="TableParagraph"/>
              <w:spacing w:line="220" w:lineRule="exact" w:before="22"/>
              <w:ind w:left="201"/>
              <w:rPr>
                <w:sz w:val="21"/>
              </w:rPr>
            </w:pPr>
            <w:r>
              <w:rPr>
                <w:spacing w:val="-3"/>
                <w:sz w:val="21"/>
              </w:rPr>
              <w:t>每经过一年增加一岁，不足一年的不计。</w:t>
            </w:r>
          </w:p>
        </w:tc>
      </w:tr>
    </w:tbl>
    <w:p>
      <w:pPr>
        <w:spacing w:after="0" w:line="220" w:lineRule="exact"/>
        <w:rPr>
          <w:sz w:val="21"/>
        </w:rPr>
        <w:sectPr>
          <w:type w:val="continuous"/>
          <w:pgSz w:w="11910" w:h="16840"/>
          <w:pgMar w:header="0" w:footer="404" w:top="600" w:bottom="280" w:left="860" w:right="340"/>
        </w:sectPr>
      </w:pPr>
    </w:p>
    <w:p>
      <w:pPr>
        <w:pStyle w:val="ListParagraph"/>
        <w:numPr>
          <w:ilvl w:val="1"/>
          <w:numId w:val="107"/>
        </w:numPr>
        <w:tabs>
          <w:tab w:pos="1120" w:val="left" w:leader="none"/>
          <w:tab w:pos="1121" w:val="left" w:leader="none"/>
          <w:tab w:pos="3000" w:val="left" w:leader="none"/>
        </w:tabs>
        <w:spacing w:line="278" w:lineRule="auto" w:before="57" w:after="0"/>
        <w:ind w:left="3000" w:right="767" w:hanging="2733"/>
        <w:jc w:val="left"/>
        <w:rPr>
          <w:sz w:val="21"/>
        </w:rPr>
      </w:pPr>
      <w:r>
        <w:rPr>
          <w:b/>
          <w:spacing w:val="-4"/>
          <w:sz w:val="21"/>
        </w:rPr>
        <w:t>意</w:t>
      </w:r>
      <w:r>
        <w:rPr>
          <w:b/>
          <w:spacing w:val="-4"/>
          <w:sz w:val="21"/>
        </w:rPr>
        <w:t>外</w:t>
      </w:r>
      <w:r>
        <w:rPr>
          <w:b/>
          <w:spacing w:val="-4"/>
          <w:sz w:val="21"/>
        </w:rPr>
        <w:t>伤</w:t>
      </w:r>
      <w:r>
        <w:rPr>
          <w:b/>
          <w:spacing w:val="-4"/>
          <w:sz w:val="21"/>
        </w:rPr>
        <w:t>害</w:t>
      </w:r>
      <w:r>
        <w:rPr>
          <w:b/>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w:t>
      </w:r>
      <w:r>
        <w:rPr>
          <w:spacing w:val="-2"/>
          <w:sz w:val="21"/>
        </w:rPr>
        <w:t>到</w:t>
      </w:r>
      <w:r>
        <w:rPr>
          <w:spacing w:val="-2"/>
          <w:sz w:val="21"/>
        </w:rPr>
        <w:t>的</w:t>
      </w:r>
      <w:r>
        <w:rPr>
          <w:spacing w:val="-4"/>
          <w:sz w:val="21"/>
        </w:rPr>
        <w:t>伤</w:t>
      </w:r>
      <w:r>
        <w:rPr>
          <w:spacing w:val="-4"/>
          <w:sz w:val="21"/>
        </w:rPr>
        <w:t>害</w:t>
      </w:r>
      <w:r>
        <w:rPr>
          <w:spacing w:val="-4"/>
          <w:sz w:val="21"/>
        </w:rPr>
        <w:t>。</w:t>
      </w:r>
    </w:p>
    <w:p>
      <w:pPr>
        <w:pStyle w:val="BodyText"/>
        <w:spacing w:before="3"/>
        <w:rPr>
          <w:sz w:val="12"/>
        </w:rPr>
      </w:pPr>
    </w:p>
    <w:p>
      <w:pPr>
        <w:spacing w:after="0"/>
        <w:rPr>
          <w:sz w:val="12"/>
        </w:rPr>
        <w:sectPr>
          <w:pgSz w:w="11910" w:h="16840"/>
          <w:pgMar w:header="0" w:footer="404" w:top="1080" w:bottom="600" w:left="860" w:right="340"/>
        </w:sectPr>
      </w:pPr>
    </w:p>
    <w:p>
      <w:pPr>
        <w:pStyle w:val="Heading2"/>
        <w:numPr>
          <w:ilvl w:val="1"/>
          <w:numId w:val="107"/>
        </w:numPr>
        <w:tabs>
          <w:tab w:pos="1120" w:val="left" w:leader="none"/>
          <w:tab w:pos="1121" w:val="left" w:leader="none"/>
        </w:tabs>
        <w:spacing w:line="240" w:lineRule="auto" w:before="71" w:after="0"/>
        <w:ind w:left="1120" w:right="0" w:hanging="854"/>
        <w:jc w:val="left"/>
      </w:pPr>
      <w:r>
        <w:rPr>
          <w:spacing w:val="-2"/>
        </w:rPr>
        <w:t>初次患本合同所</w:t>
      </w:r>
    </w:p>
    <w:p>
      <w:pPr>
        <w:spacing w:line="278" w:lineRule="auto" w:before="43"/>
        <w:ind w:left="1120" w:right="0" w:firstLine="0"/>
        <w:jc w:val="left"/>
        <w:rPr>
          <w:b/>
          <w:sz w:val="21"/>
        </w:rPr>
      </w:pPr>
      <w:r>
        <w:rPr>
          <w:b/>
          <w:spacing w:val="-2"/>
          <w:sz w:val="21"/>
        </w:rPr>
        <w:t>定义的中症疾病、</w:t>
      </w:r>
      <w:r>
        <w:rPr>
          <w:b/>
          <w:spacing w:val="-4"/>
          <w:sz w:val="21"/>
        </w:rPr>
        <w:t>轻症疾病</w:t>
      </w:r>
    </w:p>
    <w:p>
      <w:pPr>
        <w:pStyle w:val="BodyText"/>
        <w:spacing w:before="71"/>
        <w:ind w:left="150"/>
      </w:pPr>
      <w:r>
        <w:rPr/>
        <w:br w:type="column"/>
      </w:r>
      <w:r>
        <w:rPr>
          <w:spacing w:val="-3"/>
        </w:rPr>
        <w:t>指被保险人患同时符合以下条件的中症疾病、轻症疾病：</w:t>
      </w:r>
    </w:p>
    <w:p>
      <w:pPr>
        <w:pStyle w:val="ListParagraph"/>
        <w:numPr>
          <w:ilvl w:val="0"/>
          <w:numId w:val="108"/>
        </w:numPr>
        <w:tabs>
          <w:tab w:pos="680" w:val="left" w:leader="none"/>
        </w:tabs>
        <w:spacing w:line="240" w:lineRule="auto" w:before="137" w:after="0"/>
        <w:ind w:left="679" w:right="0" w:hanging="530"/>
        <w:jc w:val="left"/>
        <w:rPr>
          <w:sz w:val="21"/>
        </w:rPr>
      </w:pPr>
      <w:r>
        <w:rPr>
          <w:spacing w:val="-3"/>
          <w:sz w:val="21"/>
        </w:rPr>
        <w:t>被保险人自出生后初次被专科医生确诊患该中症疾病、轻症疾病；</w:t>
      </w:r>
    </w:p>
    <w:p>
      <w:pPr>
        <w:pStyle w:val="ListParagraph"/>
        <w:numPr>
          <w:ilvl w:val="0"/>
          <w:numId w:val="108"/>
        </w:numPr>
        <w:tabs>
          <w:tab w:pos="680" w:val="left" w:leader="none"/>
        </w:tabs>
        <w:spacing w:line="278" w:lineRule="auto" w:before="43" w:after="0"/>
        <w:ind w:left="675" w:right="669" w:hanging="526"/>
        <w:jc w:val="left"/>
        <w:rPr>
          <w:sz w:val="21"/>
        </w:rPr>
      </w:pPr>
      <w:r>
        <w:rPr>
          <w:spacing w:val="-2"/>
          <w:sz w:val="21"/>
        </w:rPr>
        <w:t>该中症疾病、轻症疾病已在本合同中列明，且须分别符合本合同</w:t>
      </w:r>
      <w:r>
        <w:rPr>
          <w:b/>
          <w:spacing w:val="-2"/>
          <w:sz w:val="21"/>
        </w:rPr>
        <w:t>“10.2</w:t>
      </w:r>
      <w:r>
        <w:rPr>
          <w:b/>
          <w:sz w:val="21"/>
        </w:rPr>
        <w:t>中症疾病定义”</w:t>
      </w:r>
      <w:r>
        <w:rPr>
          <w:sz w:val="21"/>
        </w:rPr>
        <w:t>、</w:t>
      </w:r>
      <w:r>
        <w:rPr>
          <w:b/>
          <w:sz w:val="21"/>
        </w:rPr>
        <w:t>“10.1</w:t>
      </w:r>
      <w:r>
        <w:rPr>
          <w:b/>
          <w:spacing w:val="-7"/>
          <w:sz w:val="21"/>
        </w:rPr>
        <w:t> 轻症疾病定义”</w:t>
      </w:r>
      <w:r>
        <w:rPr>
          <w:sz w:val="21"/>
        </w:rPr>
        <w:t>中的定义。</w:t>
      </w:r>
    </w:p>
    <w:p>
      <w:pPr>
        <w:pStyle w:val="Heading2"/>
        <w:spacing w:line="278" w:lineRule="auto"/>
        <w:ind w:left="150" w:right="667"/>
      </w:pPr>
      <w:r>
        <w:rPr>
          <w:spacing w:val="-2"/>
        </w:rPr>
        <w:t>对于被保险人在本合同生效日前被专科医生确诊患本合同所定义中症疾病、</w:t>
      </w:r>
      <w:r>
        <w:rPr>
          <w:spacing w:val="-2"/>
        </w:rPr>
        <w:t>轻症疾病的，本公司不承担保险责任。</w:t>
      </w:r>
    </w:p>
    <w:p>
      <w:pPr>
        <w:spacing w:after="0" w:line="278" w:lineRule="auto"/>
        <w:sectPr>
          <w:type w:val="continuous"/>
          <w:pgSz w:w="11910" w:h="16840"/>
          <w:pgMar w:header="0" w:footer="404" w:top="600" w:bottom="280" w:left="860" w:right="340"/>
          <w:cols w:num="2" w:equalWidth="0">
            <w:col w:w="2811" w:space="40"/>
            <w:col w:w="7859"/>
          </w:cols>
        </w:sectPr>
      </w:pPr>
    </w:p>
    <w:p>
      <w:pPr>
        <w:pStyle w:val="BodyText"/>
        <w:spacing w:before="12"/>
        <w:rPr>
          <w:b/>
          <w:sz w:val="11"/>
        </w:rPr>
      </w:pPr>
    </w:p>
    <w:p>
      <w:pPr>
        <w:spacing w:after="0"/>
        <w:rPr>
          <w:sz w:val="11"/>
        </w:rPr>
        <w:sectPr>
          <w:type w:val="continuous"/>
          <w:pgSz w:w="11910" w:h="16840"/>
          <w:pgMar w:header="0" w:footer="404" w:top="600" w:bottom="280" w:left="860" w:right="340"/>
        </w:sectPr>
      </w:pPr>
    </w:p>
    <w:p>
      <w:pPr>
        <w:pStyle w:val="ListParagraph"/>
        <w:numPr>
          <w:ilvl w:val="1"/>
          <w:numId w:val="107"/>
        </w:numPr>
        <w:tabs>
          <w:tab w:pos="1120" w:val="left" w:leader="none"/>
          <w:tab w:pos="1121" w:val="left" w:leader="none"/>
        </w:tabs>
        <w:spacing w:line="278" w:lineRule="auto" w:before="72" w:after="0"/>
        <w:ind w:left="1120" w:right="38" w:hanging="853"/>
        <w:jc w:val="left"/>
        <w:rPr>
          <w:b/>
          <w:sz w:val="21"/>
        </w:rPr>
      </w:pPr>
      <w:r>
        <w:rPr>
          <w:b/>
          <w:spacing w:val="-2"/>
          <w:sz w:val="21"/>
        </w:rPr>
        <w:t>本公司认可的医</w:t>
      </w:r>
      <w:r>
        <w:rPr>
          <w:b/>
          <w:spacing w:val="-4"/>
          <w:sz w:val="21"/>
        </w:rPr>
        <w:t>疗机构</w:t>
      </w:r>
    </w:p>
    <w:p>
      <w:pPr>
        <w:spacing w:line="278" w:lineRule="auto" w:before="72"/>
        <w:ind w:left="268" w:right="746" w:firstLine="0"/>
        <w:jc w:val="both"/>
        <w:rPr>
          <w:b/>
          <w:sz w:val="21"/>
        </w:rPr>
      </w:pPr>
      <w:r>
        <w:rPr/>
        <w:br w:type="column"/>
      </w:r>
      <w:r>
        <w:rPr>
          <w:spacing w:val="-2"/>
          <w:sz w:val="21"/>
        </w:rPr>
        <w:t>指中华人民共和国境内（港、澳、台地区除外）合法经营的二级以上（含二</w:t>
      </w:r>
      <w:r>
        <w:rPr>
          <w:spacing w:val="-2"/>
          <w:sz w:val="21"/>
        </w:rPr>
        <w:t>级）公立医院或本公司认可的其他医疗机构</w:t>
      </w:r>
      <w:r>
        <w:rPr>
          <w:b/>
          <w:spacing w:val="-2"/>
          <w:sz w:val="21"/>
        </w:rPr>
        <w:t>，不包括疗养院、护理院、康复</w:t>
      </w:r>
      <w:r>
        <w:rPr>
          <w:b/>
          <w:spacing w:val="-2"/>
          <w:sz w:val="21"/>
        </w:rPr>
        <w:t>中心、戒酒或戒毒中心、精神心理治疗中心以及无相应医护人员或设备的二</w:t>
      </w:r>
      <w:r>
        <w:rPr>
          <w:b/>
          <w:spacing w:val="-2"/>
          <w:sz w:val="21"/>
        </w:rPr>
        <w:t>级或三级医院的联合医院或联合病房。</w:t>
      </w:r>
    </w:p>
    <w:p>
      <w:pPr>
        <w:spacing w:after="0" w:line="278" w:lineRule="auto"/>
        <w:jc w:val="both"/>
        <w:rPr>
          <w:sz w:val="21"/>
        </w:rPr>
        <w:sectPr>
          <w:type w:val="continuous"/>
          <w:pgSz w:w="11910" w:h="16840"/>
          <w:pgMar w:header="0" w:footer="404" w:top="600" w:bottom="280" w:left="860" w:right="340"/>
          <w:cols w:num="2" w:equalWidth="0">
            <w:col w:w="2639" w:space="93"/>
            <w:col w:w="7978"/>
          </w:cols>
        </w:sectPr>
      </w:pPr>
    </w:p>
    <w:p>
      <w:pPr>
        <w:pStyle w:val="BodyText"/>
        <w:spacing w:before="3"/>
        <w:rPr>
          <w:b/>
          <w:sz w:val="12"/>
        </w:rPr>
      </w:pPr>
    </w:p>
    <w:p>
      <w:pPr>
        <w:pStyle w:val="ListParagraph"/>
        <w:numPr>
          <w:ilvl w:val="1"/>
          <w:numId w:val="107"/>
        </w:numPr>
        <w:tabs>
          <w:tab w:pos="1121" w:val="left" w:leader="none"/>
          <w:tab w:pos="3000" w:val="left" w:leader="none"/>
        </w:tabs>
        <w:spacing w:line="278" w:lineRule="auto" w:before="71" w:after="0"/>
        <w:ind w:left="3000" w:right="666" w:hanging="2733"/>
        <w:jc w:val="both"/>
        <w:rPr>
          <w:b/>
          <w:sz w:val="21"/>
        </w:rPr>
      </w:pPr>
      <w:r>
        <w:rPr>
          <w:b/>
          <w:spacing w:val="-6"/>
          <w:sz w:val="21"/>
        </w:rPr>
        <w:t>住</w:t>
      </w:r>
      <w:r>
        <w:rPr>
          <w:b/>
          <w:spacing w:val="-6"/>
          <w:sz w:val="21"/>
        </w:rPr>
        <w:t>院</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确</w:t>
      </w:r>
      <w:r>
        <w:rPr>
          <w:spacing w:val="-2"/>
          <w:sz w:val="21"/>
        </w:rPr>
        <w:t>因</w:t>
      </w:r>
      <w:r>
        <w:rPr>
          <w:spacing w:val="-2"/>
          <w:sz w:val="21"/>
        </w:rPr>
        <w:t>临</w:t>
      </w:r>
      <w:r>
        <w:rPr>
          <w:spacing w:val="-2"/>
          <w:sz w:val="21"/>
        </w:rPr>
        <w:t>床需要，</w:t>
      </w:r>
      <w:r>
        <w:rPr>
          <w:spacing w:val="-2"/>
          <w:sz w:val="21"/>
        </w:rPr>
        <w:t>正</w:t>
      </w:r>
      <w:r>
        <w:rPr>
          <w:spacing w:val="-2"/>
          <w:sz w:val="21"/>
        </w:rPr>
        <w:t>式</w:t>
      </w:r>
      <w:r>
        <w:rPr>
          <w:spacing w:val="-2"/>
          <w:sz w:val="21"/>
        </w:rPr>
        <w:t>办</w:t>
      </w:r>
      <w:r>
        <w:rPr>
          <w:spacing w:val="-2"/>
          <w:sz w:val="21"/>
        </w:rPr>
        <w:t>理入院及出院手续，并确实入住医院正式病房接受治疗的行为过程，</w:t>
      </w:r>
      <w:r>
        <w:rPr>
          <w:b/>
          <w:spacing w:val="-2"/>
          <w:sz w:val="21"/>
        </w:rPr>
        <w:t>不</w:t>
      </w:r>
      <w:r>
        <w:rPr>
          <w:b/>
          <w:spacing w:val="-2"/>
          <w:sz w:val="21"/>
        </w:rPr>
        <w:t>包</w:t>
      </w:r>
      <w:r>
        <w:rPr>
          <w:b/>
          <w:spacing w:val="-2"/>
          <w:sz w:val="21"/>
        </w:rPr>
        <w:t>括</w:t>
      </w:r>
      <w:r>
        <w:rPr>
          <w:b/>
          <w:spacing w:val="-2"/>
          <w:sz w:val="21"/>
        </w:rPr>
        <w:t>入</w:t>
      </w:r>
      <w:r>
        <w:rPr>
          <w:b/>
          <w:spacing w:val="-2"/>
          <w:sz w:val="21"/>
        </w:rPr>
        <w:t>住</w:t>
      </w:r>
      <w:r>
        <w:rPr>
          <w:b/>
          <w:spacing w:val="-2"/>
          <w:sz w:val="21"/>
        </w:rPr>
        <w:t>门</w:t>
      </w:r>
      <w:r>
        <w:rPr>
          <w:b/>
          <w:spacing w:val="-2"/>
          <w:sz w:val="21"/>
        </w:rPr>
        <w:t>诊</w:t>
      </w:r>
      <w:r>
        <w:rPr>
          <w:b/>
          <w:spacing w:val="-2"/>
          <w:sz w:val="21"/>
        </w:rPr>
        <w:t>观</w:t>
      </w:r>
      <w:r>
        <w:rPr>
          <w:b/>
          <w:spacing w:val="-2"/>
          <w:sz w:val="21"/>
        </w:rPr>
        <w:t>察</w:t>
      </w:r>
      <w:r>
        <w:rPr>
          <w:b/>
          <w:spacing w:val="-2"/>
          <w:sz w:val="21"/>
        </w:rPr>
        <w:t>室</w:t>
      </w:r>
      <w:r>
        <w:rPr>
          <w:b/>
          <w:spacing w:val="-2"/>
          <w:sz w:val="21"/>
        </w:rPr>
        <w:t>、</w:t>
      </w:r>
      <w:r>
        <w:rPr>
          <w:b/>
          <w:spacing w:val="-2"/>
          <w:sz w:val="21"/>
        </w:rPr>
        <w:t>家</w:t>
      </w:r>
      <w:r>
        <w:rPr>
          <w:b/>
          <w:spacing w:val="-2"/>
          <w:sz w:val="21"/>
        </w:rPr>
        <w:t>庭</w:t>
      </w:r>
      <w:r>
        <w:rPr>
          <w:b/>
          <w:spacing w:val="-2"/>
          <w:sz w:val="21"/>
        </w:rPr>
        <w:t>病</w:t>
      </w:r>
      <w:r>
        <w:rPr>
          <w:b/>
          <w:spacing w:val="-2"/>
          <w:sz w:val="21"/>
        </w:rPr>
        <w:t>床</w:t>
      </w:r>
      <w:r>
        <w:rPr>
          <w:b/>
          <w:spacing w:val="-2"/>
          <w:sz w:val="21"/>
        </w:rPr>
        <w:t>、</w:t>
      </w:r>
      <w:r>
        <w:rPr>
          <w:b/>
          <w:spacing w:val="-2"/>
          <w:sz w:val="21"/>
        </w:rPr>
        <w:t>挂</w:t>
      </w:r>
      <w:r>
        <w:rPr>
          <w:b/>
          <w:spacing w:val="-2"/>
          <w:sz w:val="21"/>
        </w:rPr>
        <w:t>床</w:t>
      </w:r>
      <w:r>
        <w:rPr>
          <w:b/>
          <w:spacing w:val="-2"/>
          <w:sz w:val="21"/>
        </w:rPr>
        <w:t>住</w:t>
      </w:r>
      <w:r>
        <w:rPr>
          <w:b/>
          <w:spacing w:val="-2"/>
          <w:sz w:val="21"/>
        </w:rPr>
        <w:t>院</w:t>
      </w:r>
      <w:r>
        <w:rPr>
          <w:b/>
          <w:spacing w:val="-2"/>
          <w:sz w:val="21"/>
        </w:rPr>
        <w:t>及</w:t>
      </w:r>
      <w:r>
        <w:rPr>
          <w:b/>
          <w:spacing w:val="-2"/>
          <w:sz w:val="21"/>
        </w:rPr>
        <w:t>不</w:t>
      </w:r>
      <w:r>
        <w:rPr>
          <w:b/>
          <w:spacing w:val="-2"/>
          <w:sz w:val="21"/>
        </w:rPr>
        <w:t>合</w:t>
      </w:r>
      <w:r>
        <w:rPr>
          <w:b/>
          <w:spacing w:val="-2"/>
          <w:sz w:val="21"/>
        </w:rPr>
        <w:t>理</w:t>
      </w:r>
      <w:r>
        <w:rPr>
          <w:b/>
          <w:spacing w:val="-2"/>
          <w:sz w:val="21"/>
        </w:rPr>
        <w:t>住</w:t>
      </w:r>
      <w:r>
        <w:rPr>
          <w:b/>
          <w:spacing w:val="-2"/>
          <w:sz w:val="21"/>
        </w:rPr>
        <w:t>院</w:t>
      </w:r>
      <w:r>
        <w:rPr>
          <w:b/>
          <w:spacing w:val="-2"/>
          <w:sz w:val="21"/>
        </w:rPr>
        <w:t>形</w:t>
      </w:r>
      <w:r>
        <w:rPr>
          <w:b/>
          <w:spacing w:val="-2"/>
          <w:sz w:val="21"/>
        </w:rPr>
        <w:t>式</w:t>
      </w:r>
      <w:r>
        <w:rPr>
          <w:b/>
          <w:spacing w:val="-2"/>
          <w:sz w:val="21"/>
        </w:rPr>
        <w:t>。</w:t>
      </w:r>
    </w:p>
    <w:p>
      <w:pPr>
        <w:spacing w:line="278" w:lineRule="auto" w:before="94"/>
        <w:ind w:left="3000" w:right="668" w:firstLine="0"/>
        <w:jc w:val="both"/>
        <w:rPr>
          <w:b/>
          <w:sz w:val="21"/>
        </w:rPr>
      </w:pPr>
      <w:r>
        <w:rPr>
          <w:w w:val="95"/>
          <w:sz w:val="21"/>
        </w:rPr>
        <w:t>挂</w:t>
      </w:r>
      <w:r>
        <w:rPr>
          <w:w w:val="95"/>
          <w:sz w:val="21"/>
        </w:rPr>
        <w:t>床</w:t>
      </w:r>
      <w:r>
        <w:rPr>
          <w:w w:val="95"/>
          <w:sz w:val="21"/>
        </w:rPr>
        <w:t>住院指被保险人住院</w:t>
      </w:r>
      <w:r>
        <w:rPr>
          <w:w w:val="95"/>
          <w:sz w:val="21"/>
        </w:rPr>
        <w:t>期</w:t>
      </w:r>
      <w:r>
        <w:rPr>
          <w:w w:val="95"/>
          <w:sz w:val="21"/>
        </w:rPr>
        <w:t>间</w:t>
      </w:r>
      <w:r>
        <w:rPr>
          <w:w w:val="95"/>
          <w:sz w:val="21"/>
        </w:rPr>
        <w:t>未全</w:t>
      </w:r>
      <w:r>
        <w:rPr>
          <w:w w:val="95"/>
          <w:sz w:val="21"/>
        </w:rPr>
        <w:t>天</w:t>
      </w:r>
      <w:r>
        <w:rPr>
          <w:w w:val="95"/>
          <w:sz w:val="21"/>
        </w:rPr>
        <w:t>（</w:t>
      </w:r>
      <w:r>
        <w:rPr>
          <w:w w:val="95"/>
          <w:sz w:val="21"/>
        </w:rPr>
        <w:t>连</w:t>
      </w:r>
      <w:r>
        <w:rPr>
          <w:w w:val="95"/>
          <w:sz w:val="21"/>
        </w:rPr>
        <w:t>续</w:t>
      </w:r>
      <w:r>
        <w:rPr>
          <w:spacing w:val="32"/>
          <w:sz w:val="21"/>
        </w:rPr>
        <w:t> </w:t>
      </w:r>
      <w:r>
        <w:rPr>
          <w:w w:val="95"/>
          <w:sz w:val="21"/>
        </w:rPr>
        <w:t>24</w:t>
      </w:r>
      <w:r>
        <w:rPr>
          <w:spacing w:val="32"/>
          <w:sz w:val="21"/>
        </w:rPr>
        <w:t> </w:t>
      </w:r>
      <w:r>
        <w:rPr>
          <w:w w:val="95"/>
          <w:sz w:val="21"/>
        </w:rPr>
        <w:t>小时）在医院入住的</w:t>
      </w:r>
      <w:r>
        <w:rPr>
          <w:w w:val="95"/>
          <w:sz w:val="21"/>
        </w:rPr>
        <w:t>情</w:t>
      </w:r>
      <w:r>
        <w:rPr>
          <w:w w:val="95"/>
          <w:sz w:val="21"/>
        </w:rPr>
        <w:t>况</w:t>
      </w:r>
      <w:r>
        <w:rPr>
          <w:w w:val="95"/>
          <w:sz w:val="21"/>
        </w:rPr>
        <w:t>；</w:t>
      </w:r>
      <w:r>
        <w:rPr>
          <w:b/>
          <w:w w:val="95"/>
          <w:sz w:val="21"/>
        </w:rPr>
        <w:t>挂</w:t>
      </w:r>
      <w:r>
        <w:rPr>
          <w:b/>
          <w:spacing w:val="-2"/>
          <w:sz w:val="21"/>
        </w:rPr>
        <w:t>床住院期间内，我们不承担给付住院津贴保险金的责任。</w:t>
      </w:r>
    </w:p>
    <w:p>
      <w:pPr>
        <w:spacing w:line="278" w:lineRule="auto" w:before="91"/>
        <w:ind w:left="3000" w:right="767" w:firstLine="0"/>
        <w:jc w:val="both"/>
        <w:rPr>
          <w:b/>
          <w:sz w:val="21"/>
        </w:rPr>
      </w:pPr>
      <w:r>
        <w:rPr>
          <w:spacing w:val="-2"/>
          <w:sz w:val="21"/>
        </w:rPr>
        <w:t>不合理住院指被保险人未达到入院标准而办理入院手续或已达到出院标准而</w:t>
      </w:r>
      <w:r>
        <w:rPr>
          <w:spacing w:val="-2"/>
          <w:sz w:val="21"/>
        </w:rPr>
        <w:t>不办理出院手续的情形，入出院标准按当地卫生部门规定标准执行；</w:t>
      </w:r>
      <w:r>
        <w:rPr>
          <w:b/>
          <w:spacing w:val="-2"/>
          <w:sz w:val="21"/>
        </w:rPr>
        <w:t>不合理</w:t>
      </w:r>
      <w:r>
        <w:rPr>
          <w:b/>
          <w:spacing w:val="-2"/>
          <w:sz w:val="21"/>
        </w:rPr>
        <w:t>住院期间内，我们不承担给付住院津贴保险金的责任。</w:t>
      </w:r>
    </w:p>
    <w:p>
      <w:pPr>
        <w:pStyle w:val="BodyText"/>
        <w:spacing w:before="2"/>
        <w:rPr>
          <w:b/>
          <w:sz w:val="12"/>
        </w:rPr>
      </w:pPr>
    </w:p>
    <w:p>
      <w:pPr>
        <w:spacing w:after="0"/>
        <w:rPr>
          <w:sz w:val="12"/>
        </w:rPr>
        <w:sectPr>
          <w:type w:val="continuous"/>
          <w:pgSz w:w="11910" w:h="16840"/>
          <w:pgMar w:header="0" w:footer="404" w:top="600" w:bottom="280" w:left="860" w:right="340"/>
        </w:sectPr>
      </w:pPr>
    </w:p>
    <w:p>
      <w:pPr>
        <w:pStyle w:val="Heading2"/>
        <w:numPr>
          <w:ilvl w:val="1"/>
          <w:numId w:val="107"/>
        </w:numPr>
        <w:tabs>
          <w:tab w:pos="852" w:val="left" w:leader="none"/>
          <w:tab w:pos="1121" w:val="left" w:leader="none"/>
        </w:tabs>
        <w:spacing w:line="240" w:lineRule="auto" w:before="72" w:after="0"/>
        <w:ind w:left="1120" w:right="38" w:hanging="1121"/>
        <w:jc w:val="right"/>
      </w:pPr>
      <w:r>
        <w:rPr>
          <w:spacing w:val="-2"/>
        </w:rPr>
        <w:t>初次患本合同所</w:t>
      </w:r>
    </w:p>
    <w:p>
      <w:pPr>
        <w:spacing w:before="43"/>
        <w:ind w:left="0" w:right="38" w:firstLine="0"/>
        <w:jc w:val="right"/>
        <w:rPr>
          <w:b/>
          <w:sz w:val="21"/>
        </w:rPr>
      </w:pPr>
      <w:r>
        <w:rPr>
          <w:b/>
          <w:spacing w:val="-2"/>
          <w:sz w:val="21"/>
        </w:rPr>
        <w:t>定义的重大疾病</w:t>
      </w:r>
    </w:p>
    <w:p>
      <w:pPr>
        <w:pStyle w:val="BodyText"/>
        <w:spacing w:before="72"/>
        <w:ind w:left="268"/>
      </w:pPr>
      <w:r>
        <w:rPr/>
        <w:br w:type="column"/>
      </w:r>
      <w:r>
        <w:rPr>
          <w:spacing w:val="-3"/>
        </w:rPr>
        <w:t>指被保险人患同时符合以下条件的重大疾病：</w:t>
      </w:r>
    </w:p>
    <w:p>
      <w:pPr>
        <w:pStyle w:val="ListParagraph"/>
        <w:numPr>
          <w:ilvl w:val="0"/>
          <w:numId w:val="109"/>
        </w:numPr>
        <w:tabs>
          <w:tab w:pos="797" w:val="left" w:leader="none"/>
        </w:tabs>
        <w:spacing w:line="240" w:lineRule="auto" w:before="136" w:after="0"/>
        <w:ind w:left="797" w:right="0" w:hanging="529"/>
        <w:jc w:val="left"/>
        <w:rPr>
          <w:sz w:val="21"/>
        </w:rPr>
      </w:pPr>
      <w:r>
        <w:rPr>
          <w:spacing w:val="-3"/>
          <w:sz w:val="21"/>
        </w:rPr>
        <w:t>被保险人自出生后初次被专科医生确诊患该重大疾病；</w:t>
      </w:r>
    </w:p>
    <w:p>
      <w:pPr>
        <w:pStyle w:val="ListParagraph"/>
        <w:numPr>
          <w:ilvl w:val="0"/>
          <w:numId w:val="109"/>
        </w:numPr>
        <w:tabs>
          <w:tab w:pos="797" w:val="left" w:leader="none"/>
        </w:tabs>
        <w:spacing w:line="278" w:lineRule="auto" w:before="43" w:after="0"/>
        <w:ind w:left="793" w:right="563" w:hanging="526"/>
        <w:jc w:val="left"/>
        <w:rPr>
          <w:sz w:val="21"/>
        </w:rPr>
      </w:pPr>
      <w:r>
        <w:rPr>
          <w:sz w:val="21"/>
        </w:rPr>
        <w:t>该重大疾病已在本合同中列明，且须符合本合同 </w:t>
      </w:r>
      <w:r>
        <w:rPr>
          <w:b/>
          <w:sz w:val="21"/>
        </w:rPr>
        <w:t>“10.3</w:t>
      </w:r>
      <w:r>
        <w:rPr>
          <w:b/>
          <w:spacing w:val="-5"/>
          <w:sz w:val="21"/>
        </w:rPr>
        <w:t> 重大疾病定义</w:t>
      </w:r>
      <w:r>
        <w:rPr>
          <w:b/>
          <w:spacing w:val="-2"/>
          <w:sz w:val="21"/>
        </w:rPr>
        <w:t>”</w:t>
      </w:r>
      <w:r>
        <w:rPr>
          <w:spacing w:val="-2"/>
          <w:sz w:val="21"/>
        </w:rPr>
        <w:t>中的定义。</w:t>
      </w:r>
    </w:p>
    <w:p>
      <w:pPr>
        <w:pStyle w:val="Heading2"/>
        <w:spacing w:line="278" w:lineRule="auto"/>
        <w:ind w:left="268" w:right="676"/>
      </w:pPr>
      <w:r>
        <w:rPr>
          <w:spacing w:val="5"/>
          <w:w w:val="100"/>
        </w:rPr>
        <w:t>对于被保险人在本合同生效日前被专科医生确诊患本合同所定义重大疾病</w:t>
      </w:r>
      <w:r>
        <w:rPr>
          <w:w w:val="100"/>
        </w:rPr>
        <w:t>的，本公司不承担保险责任。</w:t>
      </w:r>
    </w:p>
    <w:p>
      <w:pPr>
        <w:spacing w:after="0" w:line="278" w:lineRule="auto"/>
        <w:sectPr>
          <w:type w:val="continuous"/>
          <w:pgSz w:w="11910" w:h="16840"/>
          <w:pgMar w:header="0" w:footer="404" w:top="600" w:bottom="280" w:left="860" w:right="340"/>
          <w:cols w:num="2" w:equalWidth="0">
            <w:col w:w="2639" w:space="93"/>
            <w:col w:w="7978"/>
          </w:cols>
        </w:sectPr>
      </w:pPr>
    </w:p>
    <w:p>
      <w:pPr>
        <w:pStyle w:val="BodyText"/>
        <w:rPr>
          <w:b/>
          <w:sz w:val="12"/>
        </w:rPr>
      </w:pPr>
    </w:p>
    <w:p>
      <w:pPr>
        <w:pStyle w:val="ListParagraph"/>
        <w:numPr>
          <w:ilvl w:val="1"/>
          <w:numId w:val="107"/>
        </w:numPr>
        <w:tabs>
          <w:tab w:pos="1120" w:val="left" w:leader="none"/>
          <w:tab w:pos="1121" w:val="left" w:leader="none"/>
          <w:tab w:pos="3000" w:val="left" w:leader="none"/>
        </w:tabs>
        <w:spacing w:line="240" w:lineRule="auto" w:before="72" w:after="0"/>
        <w:ind w:left="1120" w:right="0" w:hanging="854"/>
        <w:jc w:val="left"/>
        <w:rPr>
          <w:sz w:val="21"/>
        </w:rPr>
      </w:pPr>
      <w:r>
        <w:rPr>
          <w:b/>
          <w:sz w:val="21"/>
        </w:rPr>
        <w:t>全</w:t>
      </w:r>
      <w:r>
        <w:rPr>
          <w:b/>
          <w:spacing w:val="-10"/>
          <w:sz w:val="21"/>
        </w:rPr>
        <w:t>残</w:t>
      </w:r>
      <w:r>
        <w:rPr>
          <w:b/>
          <w:sz w:val="21"/>
        </w:rPr>
        <w:tab/>
      </w:r>
      <w:r>
        <w:rPr>
          <w:spacing w:val="-2"/>
          <w:sz w:val="21"/>
        </w:rPr>
        <w:t>指</w:t>
      </w:r>
      <w:r>
        <w:rPr>
          <w:spacing w:val="-2"/>
          <w:sz w:val="21"/>
        </w:rPr>
        <w:t>具</w:t>
      </w:r>
      <w:r>
        <w:rPr>
          <w:spacing w:val="-2"/>
          <w:sz w:val="21"/>
        </w:rPr>
        <w:t>有下列情形之一项或</w:t>
      </w:r>
      <w:r>
        <w:rPr>
          <w:spacing w:val="-2"/>
          <w:sz w:val="21"/>
        </w:rPr>
        <w:t>多</w:t>
      </w:r>
      <w:r>
        <w:rPr>
          <w:spacing w:val="-2"/>
          <w:sz w:val="21"/>
        </w:rPr>
        <w:t>项</w:t>
      </w:r>
      <w:r>
        <w:rPr>
          <w:spacing w:val="-2"/>
          <w:sz w:val="21"/>
        </w:rPr>
        <w:t>者</w:t>
      </w:r>
      <w:r>
        <w:rPr>
          <w:spacing w:val="-10"/>
          <w:sz w:val="21"/>
        </w:rPr>
        <w:t>：</w:t>
      </w:r>
    </w:p>
    <w:p>
      <w:pPr>
        <w:pStyle w:val="ListParagraph"/>
        <w:numPr>
          <w:ilvl w:val="2"/>
          <w:numId w:val="107"/>
        </w:numPr>
        <w:tabs>
          <w:tab w:pos="3530" w:val="left" w:leader="none"/>
        </w:tabs>
        <w:spacing w:line="240" w:lineRule="auto" w:before="136" w:after="0"/>
        <w:ind w:left="3529" w:right="0" w:hanging="530"/>
        <w:jc w:val="left"/>
        <w:rPr>
          <w:sz w:val="21"/>
        </w:rPr>
      </w:pPr>
      <w:r>
        <w:rPr>
          <w:spacing w:val="-2"/>
          <w:sz w:val="21"/>
        </w:rPr>
        <w:t>双目永久完全失明的（</w:t>
      </w:r>
      <w:r>
        <w:rPr>
          <w:spacing w:val="-25"/>
          <w:sz w:val="21"/>
        </w:rPr>
        <w:t>注 </w:t>
      </w:r>
      <w:r>
        <w:rPr>
          <w:spacing w:val="-5"/>
          <w:sz w:val="21"/>
        </w:rPr>
        <w:t>1）；</w:t>
      </w:r>
    </w:p>
    <w:p>
      <w:pPr>
        <w:pStyle w:val="ListParagraph"/>
        <w:numPr>
          <w:ilvl w:val="2"/>
          <w:numId w:val="107"/>
        </w:numPr>
        <w:tabs>
          <w:tab w:pos="3530" w:val="left" w:leader="none"/>
        </w:tabs>
        <w:spacing w:line="240" w:lineRule="auto" w:before="137" w:after="0"/>
        <w:ind w:left="3529" w:right="0" w:hanging="530"/>
        <w:jc w:val="left"/>
        <w:rPr>
          <w:sz w:val="21"/>
        </w:rPr>
      </w:pPr>
      <w:r>
        <w:rPr>
          <w:spacing w:val="-3"/>
          <w:sz w:val="21"/>
        </w:rPr>
        <w:t>两上肢腕关节以上或两下肢踝关节以上缺失的；</w:t>
      </w:r>
    </w:p>
    <w:p>
      <w:pPr>
        <w:pStyle w:val="ListParagraph"/>
        <w:numPr>
          <w:ilvl w:val="2"/>
          <w:numId w:val="107"/>
        </w:numPr>
        <w:tabs>
          <w:tab w:pos="3530" w:val="left" w:leader="none"/>
        </w:tabs>
        <w:spacing w:line="240" w:lineRule="auto" w:before="136" w:after="0"/>
        <w:ind w:left="3529" w:right="0" w:hanging="530"/>
        <w:jc w:val="left"/>
        <w:rPr>
          <w:sz w:val="21"/>
        </w:rPr>
      </w:pPr>
      <w:r>
        <w:rPr>
          <w:spacing w:val="-3"/>
          <w:sz w:val="21"/>
        </w:rPr>
        <w:t>一上肢腕关节以上及一下肢踝关节以上缺失的；</w:t>
      </w:r>
    </w:p>
    <w:p>
      <w:pPr>
        <w:pStyle w:val="ListParagraph"/>
        <w:numPr>
          <w:ilvl w:val="2"/>
          <w:numId w:val="107"/>
        </w:numPr>
        <w:tabs>
          <w:tab w:pos="3530" w:val="left" w:leader="none"/>
        </w:tabs>
        <w:spacing w:line="240" w:lineRule="auto" w:before="135" w:after="0"/>
        <w:ind w:left="3529" w:right="0" w:hanging="530"/>
        <w:jc w:val="left"/>
        <w:rPr>
          <w:sz w:val="21"/>
        </w:rPr>
      </w:pPr>
      <w:r>
        <w:rPr>
          <w:spacing w:val="-3"/>
          <w:sz w:val="21"/>
        </w:rPr>
        <w:t>一目永久完全失明及一上肢腕关节以上缺失的；</w:t>
      </w:r>
    </w:p>
    <w:p>
      <w:pPr>
        <w:pStyle w:val="ListParagraph"/>
        <w:numPr>
          <w:ilvl w:val="2"/>
          <w:numId w:val="107"/>
        </w:numPr>
        <w:tabs>
          <w:tab w:pos="3530" w:val="left" w:leader="none"/>
        </w:tabs>
        <w:spacing w:line="240" w:lineRule="auto" w:before="137" w:after="0"/>
        <w:ind w:left="3529" w:right="0" w:hanging="530"/>
        <w:jc w:val="left"/>
        <w:rPr>
          <w:sz w:val="21"/>
        </w:rPr>
      </w:pPr>
      <w:r>
        <w:rPr>
          <w:spacing w:val="-3"/>
          <w:sz w:val="21"/>
        </w:rPr>
        <w:t>一目永久完全失明及一下肢踝关节以上缺失的；</w:t>
      </w:r>
    </w:p>
    <w:p>
      <w:pPr>
        <w:pStyle w:val="ListParagraph"/>
        <w:numPr>
          <w:ilvl w:val="2"/>
          <w:numId w:val="107"/>
        </w:numPr>
        <w:tabs>
          <w:tab w:pos="3530" w:val="left" w:leader="none"/>
        </w:tabs>
        <w:spacing w:line="240" w:lineRule="auto" w:before="136" w:after="0"/>
        <w:ind w:left="3529" w:right="0" w:hanging="530"/>
        <w:jc w:val="left"/>
        <w:rPr>
          <w:sz w:val="21"/>
        </w:rPr>
      </w:pPr>
      <w:r>
        <w:rPr>
          <w:spacing w:val="-2"/>
          <w:sz w:val="21"/>
        </w:rPr>
        <w:t>四肢关节机能永久完全丧失的（</w:t>
      </w:r>
      <w:r>
        <w:rPr>
          <w:spacing w:val="-24"/>
          <w:sz w:val="21"/>
        </w:rPr>
        <w:t>注 </w:t>
      </w:r>
      <w:r>
        <w:rPr>
          <w:spacing w:val="-5"/>
          <w:sz w:val="21"/>
        </w:rPr>
        <w:t>2）；</w:t>
      </w:r>
    </w:p>
    <w:p>
      <w:pPr>
        <w:pStyle w:val="ListParagraph"/>
        <w:numPr>
          <w:ilvl w:val="2"/>
          <w:numId w:val="107"/>
        </w:numPr>
        <w:tabs>
          <w:tab w:pos="3530" w:val="left" w:leader="none"/>
        </w:tabs>
        <w:spacing w:line="240" w:lineRule="auto" w:before="137" w:after="0"/>
        <w:ind w:left="3529" w:right="242" w:hanging="3530"/>
        <w:jc w:val="left"/>
        <w:rPr>
          <w:sz w:val="21"/>
        </w:rPr>
      </w:pPr>
      <w:r>
        <w:rPr>
          <w:spacing w:val="-2"/>
          <w:sz w:val="21"/>
        </w:rPr>
        <w:t>咀嚼、吞咽机能永久完全丧失的（</w:t>
      </w:r>
      <w:r>
        <w:rPr>
          <w:spacing w:val="-25"/>
          <w:sz w:val="21"/>
        </w:rPr>
        <w:t>注 </w:t>
      </w:r>
      <w:r>
        <w:rPr>
          <w:spacing w:val="-5"/>
          <w:sz w:val="21"/>
        </w:rPr>
        <w:t>3）；</w:t>
      </w:r>
    </w:p>
    <w:p>
      <w:pPr>
        <w:pStyle w:val="ListParagraph"/>
        <w:numPr>
          <w:ilvl w:val="2"/>
          <w:numId w:val="107"/>
        </w:numPr>
        <w:tabs>
          <w:tab w:pos="3527" w:val="left" w:leader="none"/>
        </w:tabs>
        <w:spacing w:line="278" w:lineRule="auto" w:before="134" w:after="0"/>
        <w:ind w:left="3000" w:right="668" w:firstLine="0"/>
        <w:jc w:val="left"/>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1"/>
          <w:sz w:val="21"/>
        </w:rPr>
        <w:t>注 </w:t>
      </w:r>
      <w:r>
        <w:rPr>
          <w:sz w:val="21"/>
        </w:rPr>
        <w:t>4）。</w:t>
      </w:r>
    </w:p>
    <w:p>
      <w:pPr>
        <w:pStyle w:val="BodyText"/>
        <w:spacing w:line="278" w:lineRule="auto" w:before="93"/>
        <w:ind w:left="3000" w:right="666" w:hanging="1"/>
        <w:jc w:val="center"/>
      </w:pPr>
      <w:r>
        <w:rPr>
          <w:spacing w:val="-14"/>
        </w:rPr>
        <w:t>注 </w:t>
      </w:r>
      <w:r>
        <w:rPr/>
        <w:t>1:失明包括眼球缺失或摘除、或不能辨别明暗、或仅能辨别眼前手动者，</w:t>
      </w:r>
      <w:r>
        <w:rPr>
          <w:spacing w:val="-4"/>
        </w:rPr>
        <w:t>最佳矫正视力低于国际标准视力表 </w:t>
      </w:r>
      <w:r>
        <w:rPr>
          <w:spacing w:val="-2"/>
        </w:rPr>
        <w:t>0.02</w:t>
      </w:r>
      <w:r>
        <w:rPr>
          <w:spacing w:val="-5"/>
        </w:rPr>
        <w:t>，或视野半径小于 </w:t>
      </w:r>
      <w:r>
        <w:rPr>
          <w:spacing w:val="-2"/>
        </w:rPr>
        <w:t>5</w:t>
      </w:r>
      <w:r>
        <w:rPr>
          <w:spacing w:val="-8"/>
        </w:rPr>
        <w:t> 度，并由本公司</w:t>
      </w:r>
    </w:p>
    <w:p>
      <w:pPr>
        <w:spacing w:after="0" w:line="278" w:lineRule="auto"/>
        <w:jc w:val="center"/>
        <w:sectPr>
          <w:type w:val="continuous"/>
          <w:pgSz w:w="11910" w:h="16840"/>
          <w:pgMar w:header="0" w:footer="404" w:top="600" w:bottom="280" w:left="860" w:right="340"/>
        </w:sectPr>
      </w:pPr>
    </w:p>
    <w:p>
      <w:pPr>
        <w:pStyle w:val="BodyText"/>
        <w:spacing w:before="57"/>
        <w:ind w:left="3000"/>
      </w:pPr>
      <w:r>
        <w:rPr>
          <w:spacing w:val="-3"/>
        </w:rPr>
        <w:t>认可的有资格的眼科医师出具医疗诊断证明。</w:t>
      </w:r>
    </w:p>
    <w:p>
      <w:pPr>
        <w:pStyle w:val="BodyText"/>
        <w:spacing w:line="278" w:lineRule="auto" w:before="137"/>
        <w:ind w:left="3000" w:right="666"/>
      </w:pPr>
      <w:r>
        <w:rPr>
          <w:spacing w:val="-14"/>
        </w:rPr>
        <w:t>注 </w:t>
      </w:r>
      <w:r>
        <w:rPr/>
        <w:t>2:关节机能的丧失系指关节永久完全僵硬、或麻痹、或关节不能随意识活</w:t>
      </w:r>
      <w:r>
        <w:rPr>
          <w:spacing w:val="-6"/>
        </w:rPr>
        <w:t>动。</w:t>
      </w:r>
    </w:p>
    <w:p>
      <w:pPr>
        <w:pStyle w:val="BodyText"/>
        <w:spacing w:line="278" w:lineRule="auto" w:before="93"/>
        <w:ind w:left="3000" w:right="666"/>
      </w:pPr>
      <w:r>
        <w:rPr>
          <w:spacing w:val="-14"/>
        </w:rPr>
        <w:t>注 </w:t>
      </w:r>
      <w:r>
        <w:rPr/>
        <w:t>3:咀嚼、吞咽机能的丧失系指由于牙齿以外的原因引起器质障碍或机能障</w:t>
      </w:r>
      <w:r>
        <w:rPr>
          <w:spacing w:val="-2"/>
        </w:rPr>
        <w:t>碍，以致不能作咀嚼、吞咽运动，除流质食物外不能摄取或吞咽的状态。</w:t>
      </w:r>
    </w:p>
    <w:p>
      <w:pPr>
        <w:pStyle w:val="BodyText"/>
        <w:spacing w:line="278" w:lineRule="auto" w:before="94"/>
        <w:ind w:left="3000" w:right="666"/>
      </w:pPr>
      <w:r>
        <w:rPr>
          <w:spacing w:val="-14"/>
        </w:rPr>
        <w:t>注 </w:t>
      </w:r>
      <w:r>
        <w:rPr/>
        <w:t>4:为维持生命必要的日常生活活动，全需他人扶助系指食物摄取、大小便</w:t>
      </w:r>
      <w:r>
        <w:rPr>
          <w:spacing w:val="-2"/>
        </w:rPr>
        <w:t>始末、穿脱衣服、起居、步行、入浴等，皆不能自己为之，需要他人帮助。</w:t>
      </w:r>
    </w:p>
    <w:p>
      <w:pPr>
        <w:pStyle w:val="BodyText"/>
        <w:spacing w:line="278" w:lineRule="auto" w:before="91"/>
        <w:ind w:left="3000" w:right="667"/>
      </w:pPr>
      <w:r>
        <w:rPr>
          <w:spacing w:val="-2"/>
        </w:rPr>
        <w:t>所谓永久完全系指自事故发生之日起经过一百八十日的治疗，机能仍然完全</w:t>
      </w:r>
      <w:r>
        <w:rPr>
          <w:spacing w:val="-2"/>
        </w:rPr>
        <w:t>丧失，但眼球摘除等明显无法复原之情况，不在此限。</w:t>
      </w:r>
    </w:p>
    <w:p>
      <w:pPr>
        <w:pStyle w:val="BodyText"/>
        <w:spacing w:before="9"/>
        <w:rPr>
          <w:sz w:val="17"/>
        </w:rPr>
      </w:pPr>
    </w:p>
    <w:p>
      <w:pPr>
        <w:pStyle w:val="ListParagraph"/>
        <w:numPr>
          <w:ilvl w:val="1"/>
          <w:numId w:val="107"/>
        </w:numPr>
        <w:tabs>
          <w:tab w:pos="1121" w:val="left" w:leader="none"/>
        </w:tabs>
        <w:spacing w:line="278" w:lineRule="auto" w:before="1" w:after="0"/>
        <w:ind w:left="3000" w:right="767" w:hanging="2733"/>
        <w:jc w:val="both"/>
        <w:rPr>
          <w:sz w:val="21"/>
        </w:rPr>
      </w:pPr>
      <w:r>
        <w:rPr>
          <w:b/>
          <w:spacing w:val="33"/>
          <w:sz w:val="21"/>
        </w:rPr>
        <w:t>累计已交保险费 </w:t>
      </w:r>
      <w:r>
        <w:rPr>
          <w:sz w:val="21"/>
        </w:rPr>
        <w:t>指您依据本合同约定已经向本公司交纳的保险费；如发生过基本保险金额变</w:t>
      </w:r>
      <w:r>
        <w:rPr>
          <w:spacing w:val="-2"/>
          <w:sz w:val="21"/>
        </w:rPr>
        <w:t>更情形，则累计已交保险费根据本合同变更后的基本保险金额确定的年交保</w:t>
      </w:r>
      <w:r>
        <w:rPr>
          <w:spacing w:val="-2"/>
          <w:sz w:val="21"/>
        </w:rPr>
        <w:t>险费和经过保单年度数（交费期满后为交费年度数）计算。</w:t>
      </w:r>
    </w:p>
    <w:p>
      <w:pPr>
        <w:pStyle w:val="BodyText"/>
        <w:spacing w:before="10"/>
        <w:rPr>
          <w:sz w:val="17"/>
        </w:rPr>
      </w:pPr>
    </w:p>
    <w:p>
      <w:pPr>
        <w:pStyle w:val="ListParagraph"/>
        <w:numPr>
          <w:ilvl w:val="1"/>
          <w:numId w:val="107"/>
        </w:numPr>
        <w:tabs>
          <w:tab w:pos="1120" w:val="left" w:leader="none"/>
          <w:tab w:pos="1121" w:val="left" w:leader="none"/>
          <w:tab w:pos="3000" w:val="left" w:leader="none"/>
        </w:tabs>
        <w:spacing w:line="240" w:lineRule="auto" w:before="0" w:after="0"/>
        <w:ind w:left="1120" w:right="0" w:hanging="854"/>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110"/>
        </w:numPr>
        <w:tabs>
          <w:tab w:pos="3530" w:val="left" w:leader="none"/>
        </w:tabs>
        <w:spacing w:line="240" w:lineRule="auto" w:before="43" w:after="0"/>
        <w:ind w:left="3529" w:right="0" w:hanging="530"/>
        <w:jc w:val="left"/>
        <w:rPr>
          <w:sz w:val="21"/>
        </w:rPr>
      </w:pPr>
      <w:r>
        <w:rPr>
          <w:spacing w:val="-3"/>
          <w:sz w:val="21"/>
        </w:rPr>
        <w:t>具有有效的中华人民共和国《医师资格证书》；</w:t>
      </w:r>
    </w:p>
    <w:p>
      <w:pPr>
        <w:pStyle w:val="ListParagraph"/>
        <w:numPr>
          <w:ilvl w:val="0"/>
          <w:numId w:val="110"/>
        </w:numPr>
        <w:tabs>
          <w:tab w:pos="3530" w:val="left" w:leader="none"/>
        </w:tabs>
        <w:spacing w:line="278" w:lineRule="auto" w:before="43" w:after="0"/>
        <w:ind w:left="3525" w:right="666" w:hanging="526"/>
        <w:jc w:val="left"/>
        <w:rPr>
          <w:sz w:val="21"/>
        </w:rPr>
      </w:pPr>
      <w:r>
        <w:rPr>
          <w:spacing w:val="-2"/>
          <w:sz w:val="21"/>
        </w:rPr>
        <w:t>具有有效的中华人民共和国《医师执业证书》，并按期到相关部门登记</w:t>
      </w:r>
      <w:r>
        <w:rPr>
          <w:spacing w:val="-4"/>
          <w:sz w:val="21"/>
        </w:rPr>
        <w:t>注册；</w:t>
      </w:r>
    </w:p>
    <w:p>
      <w:pPr>
        <w:pStyle w:val="ListParagraph"/>
        <w:numPr>
          <w:ilvl w:val="0"/>
          <w:numId w:val="110"/>
        </w:numPr>
        <w:tabs>
          <w:tab w:pos="3530" w:val="left" w:leader="none"/>
        </w:tabs>
        <w:spacing w:line="278" w:lineRule="auto" w:before="0" w:after="0"/>
        <w:ind w:left="3525" w:right="666" w:hanging="526"/>
        <w:jc w:val="left"/>
        <w:rPr>
          <w:sz w:val="21"/>
        </w:rPr>
      </w:pPr>
      <w:r>
        <w:rPr>
          <w:spacing w:val="-2"/>
          <w:sz w:val="21"/>
        </w:rPr>
        <w:t>具有有效的中华人民共和国主治医师或主治医师以上职称的《医师职称</w:t>
      </w:r>
      <w:r>
        <w:rPr>
          <w:spacing w:val="-4"/>
          <w:sz w:val="21"/>
        </w:rPr>
        <w:t>证书》；</w:t>
      </w:r>
    </w:p>
    <w:p>
      <w:pPr>
        <w:pStyle w:val="ListParagraph"/>
        <w:numPr>
          <w:ilvl w:val="0"/>
          <w:numId w:val="110"/>
        </w:numPr>
        <w:tabs>
          <w:tab w:pos="3530" w:val="left" w:leader="none"/>
        </w:tabs>
        <w:spacing w:line="278" w:lineRule="auto" w:before="0" w:after="0"/>
        <w:ind w:left="3525" w:right="666" w:hanging="526"/>
        <w:jc w:val="left"/>
        <w:rPr>
          <w:sz w:val="21"/>
        </w:rPr>
      </w:pPr>
      <w:r>
        <w:rPr>
          <w:spacing w:val="-2"/>
          <w:sz w:val="21"/>
        </w:rPr>
        <w:t>在国家《医院分级管理标准》二级或二级以上医院的相应科室从事临床</w:t>
      </w:r>
      <w:r>
        <w:rPr>
          <w:spacing w:val="-2"/>
          <w:sz w:val="21"/>
        </w:rPr>
        <w:t>工作三年以上。</w:t>
      </w:r>
    </w:p>
    <w:p>
      <w:pPr>
        <w:pStyle w:val="BodyText"/>
        <w:spacing w:before="3"/>
        <w:rPr>
          <w:sz w:val="24"/>
        </w:rPr>
      </w:pPr>
    </w:p>
    <w:p>
      <w:pPr>
        <w:pStyle w:val="ListParagraph"/>
        <w:numPr>
          <w:ilvl w:val="1"/>
          <w:numId w:val="107"/>
        </w:numPr>
        <w:tabs>
          <w:tab w:pos="1120" w:val="left" w:leader="none"/>
          <w:tab w:pos="1121" w:val="left" w:leader="none"/>
          <w:tab w:pos="3000" w:val="left" w:leader="none"/>
        </w:tabs>
        <w:spacing w:line="278" w:lineRule="auto" w:before="1" w:after="0"/>
        <w:ind w:left="3000" w:right="666" w:hanging="2733"/>
        <w:jc w:val="left"/>
        <w:rPr>
          <w:sz w:val="21"/>
        </w:rPr>
      </w:pPr>
      <w:r>
        <w:rPr>
          <w:b/>
          <w:spacing w:val="-2"/>
          <w:sz w:val="21"/>
        </w:rPr>
        <w:t>实</w:t>
      </w:r>
      <w:r>
        <w:rPr>
          <w:b/>
          <w:spacing w:val="-2"/>
          <w:sz w:val="21"/>
        </w:rPr>
        <w:t>际</w:t>
      </w:r>
      <w:r>
        <w:rPr>
          <w:b/>
          <w:spacing w:val="-2"/>
          <w:sz w:val="21"/>
        </w:rPr>
        <w:t>住</w:t>
      </w:r>
      <w:r>
        <w:rPr>
          <w:b/>
          <w:spacing w:val="-2"/>
          <w:sz w:val="21"/>
        </w:rPr>
        <w:t>院</w:t>
      </w:r>
      <w:r>
        <w:rPr>
          <w:b/>
          <w:spacing w:val="-2"/>
          <w:sz w:val="21"/>
        </w:rPr>
        <w:t>天</w:t>
      </w:r>
      <w:r>
        <w:rPr>
          <w:b/>
          <w:spacing w:val="-2"/>
          <w:sz w:val="21"/>
        </w:rPr>
        <w:t>数</w:t>
      </w:r>
      <w:r>
        <w:rPr>
          <w:b/>
          <w:sz w:val="21"/>
        </w:rPr>
        <w:tab/>
      </w:r>
      <w:r>
        <w:rPr>
          <w:sz w:val="21"/>
        </w:rPr>
        <w:t>指被保险人在本公司认可</w:t>
      </w:r>
      <w:r>
        <w:rPr>
          <w:sz w:val="21"/>
        </w:rPr>
        <w:t>的医疗机构实际的住院治</w:t>
      </w:r>
      <w:r>
        <w:rPr>
          <w:sz w:val="21"/>
        </w:rPr>
        <w:t>疗天数，住</w:t>
      </w:r>
      <w:r>
        <w:rPr>
          <w:sz w:val="21"/>
        </w:rPr>
        <w:t>院满</w:t>
      </w:r>
      <w:r>
        <w:rPr>
          <w:spacing w:val="-55"/>
          <w:sz w:val="21"/>
        </w:rPr>
        <w:t> </w:t>
      </w:r>
      <w:r>
        <w:rPr>
          <w:sz w:val="21"/>
        </w:rPr>
        <w:t>24</w:t>
      </w:r>
      <w:r>
        <w:rPr>
          <w:spacing w:val="-55"/>
          <w:sz w:val="21"/>
        </w:rPr>
        <w:t> </w:t>
      </w:r>
      <w:r>
        <w:rPr>
          <w:sz w:val="21"/>
        </w:rPr>
        <w:t>小时为</w:t>
      </w:r>
      <w:r>
        <w:rPr>
          <w:spacing w:val="-2"/>
          <w:sz w:val="21"/>
        </w:rPr>
        <w:t>一</w:t>
      </w:r>
      <w:r>
        <w:rPr>
          <w:spacing w:val="-2"/>
          <w:sz w:val="21"/>
        </w:rPr>
        <w:t>天</w:t>
      </w:r>
      <w:r>
        <w:rPr>
          <w:spacing w:val="-2"/>
          <w:sz w:val="21"/>
        </w:rPr>
        <w:t>。</w:t>
      </w:r>
      <w:r>
        <w:rPr>
          <w:b/>
          <w:spacing w:val="-2"/>
          <w:sz w:val="21"/>
        </w:rPr>
        <w:t>住</w:t>
      </w:r>
      <w:r>
        <w:rPr>
          <w:b/>
          <w:spacing w:val="-2"/>
          <w:sz w:val="21"/>
        </w:rPr>
        <w:t>院</w:t>
      </w:r>
      <w:r>
        <w:rPr>
          <w:b/>
          <w:spacing w:val="-2"/>
          <w:sz w:val="21"/>
        </w:rPr>
        <w:t>期</w:t>
      </w:r>
      <w:r>
        <w:rPr>
          <w:b/>
          <w:spacing w:val="-2"/>
          <w:sz w:val="21"/>
        </w:rPr>
        <w:t>间</w:t>
      </w:r>
      <w:r>
        <w:rPr>
          <w:b/>
          <w:spacing w:val="-2"/>
          <w:sz w:val="21"/>
        </w:rPr>
        <w:t>请</w:t>
      </w:r>
      <w:r>
        <w:rPr>
          <w:b/>
          <w:spacing w:val="-2"/>
          <w:sz w:val="21"/>
        </w:rPr>
        <w:t>假或外</w:t>
      </w:r>
      <w:r>
        <w:rPr>
          <w:b/>
          <w:spacing w:val="-2"/>
          <w:sz w:val="21"/>
        </w:rPr>
        <w:t>出</w:t>
      </w:r>
      <w:r>
        <w:rPr>
          <w:b/>
          <w:spacing w:val="-2"/>
          <w:sz w:val="21"/>
        </w:rPr>
        <w:t>离</w:t>
      </w:r>
      <w:r>
        <w:rPr>
          <w:b/>
          <w:spacing w:val="-2"/>
          <w:sz w:val="21"/>
        </w:rPr>
        <w:t>开</w:t>
      </w:r>
      <w:r>
        <w:rPr>
          <w:b/>
          <w:spacing w:val="-2"/>
          <w:sz w:val="21"/>
        </w:rPr>
        <w:t>医</w:t>
      </w:r>
      <w:r>
        <w:rPr>
          <w:b/>
          <w:spacing w:val="-2"/>
          <w:sz w:val="21"/>
        </w:rPr>
        <w:t>院</w:t>
      </w:r>
      <w:r>
        <w:rPr>
          <w:b/>
          <w:spacing w:val="-2"/>
          <w:sz w:val="21"/>
        </w:rPr>
        <w:t>的</w:t>
      </w:r>
      <w:r>
        <w:rPr>
          <w:b/>
          <w:spacing w:val="-2"/>
          <w:sz w:val="21"/>
        </w:rPr>
        <w:t>当</w:t>
      </w:r>
      <w:r>
        <w:rPr>
          <w:b/>
          <w:spacing w:val="-2"/>
          <w:sz w:val="21"/>
        </w:rPr>
        <w:t>日</w:t>
      </w:r>
      <w:r>
        <w:rPr>
          <w:b/>
          <w:spacing w:val="-2"/>
          <w:sz w:val="21"/>
        </w:rPr>
        <w:t>的住院</w:t>
      </w:r>
      <w:r>
        <w:rPr>
          <w:b/>
          <w:spacing w:val="-2"/>
          <w:sz w:val="21"/>
        </w:rPr>
        <w:t>津</w:t>
      </w:r>
      <w:r>
        <w:rPr>
          <w:b/>
          <w:spacing w:val="-2"/>
          <w:sz w:val="21"/>
        </w:rPr>
        <w:t>贴</w:t>
      </w:r>
      <w:r>
        <w:rPr>
          <w:b/>
          <w:spacing w:val="-2"/>
          <w:sz w:val="21"/>
        </w:rPr>
        <w:t>保</w:t>
      </w:r>
      <w:r>
        <w:rPr>
          <w:b/>
          <w:spacing w:val="-2"/>
          <w:sz w:val="21"/>
        </w:rPr>
        <w:t>险</w:t>
      </w:r>
      <w:r>
        <w:rPr>
          <w:b/>
          <w:spacing w:val="-2"/>
          <w:sz w:val="21"/>
        </w:rPr>
        <w:t>金</w:t>
      </w:r>
      <w:r>
        <w:rPr>
          <w:b/>
          <w:spacing w:val="-2"/>
          <w:sz w:val="21"/>
        </w:rPr>
        <w:t>将</w:t>
      </w:r>
      <w:r>
        <w:rPr>
          <w:b/>
          <w:spacing w:val="-2"/>
          <w:sz w:val="21"/>
        </w:rPr>
        <w:t>不</w:t>
      </w:r>
      <w:r>
        <w:rPr>
          <w:b/>
          <w:spacing w:val="-2"/>
          <w:sz w:val="21"/>
        </w:rPr>
        <w:t>予</w:t>
      </w:r>
      <w:r>
        <w:rPr>
          <w:b/>
          <w:spacing w:val="-2"/>
          <w:sz w:val="21"/>
        </w:rPr>
        <w:t>给付</w:t>
      </w:r>
      <w:r>
        <w:rPr>
          <w:spacing w:val="-2"/>
          <w:sz w:val="21"/>
        </w:rPr>
        <w:t>，</w:t>
      </w:r>
      <w:r>
        <w:rPr>
          <w:spacing w:val="-2"/>
          <w:sz w:val="21"/>
        </w:rPr>
        <w:t>具</w:t>
      </w:r>
      <w:r>
        <w:rPr>
          <w:spacing w:val="-2"/>
          <w:sz w:val="21"/>
        </w:rPr>
        <w:t>体</w:t>
      </w:r>
      <w:r>
        <w:rPr>
          <w:spacing w:val="-2"/>
          <w:sz w:val="21"/>
        </w:rPr>
        <w:t>请假或外出日期以医</w:t>
      </w:r>
      <w:r>
        <w:rPr>
          <w:spacing w:val="-2"/>
          <w:sz w:val="21"/>
        </w:rPr>
        <w:t>院</w:t>
      </w:r>
      <w:r>
        <w:rPr>
          <w:spacing w:val="-2"/>
          <w:sz w:val="21"/>
        </w:rPr>
        <w:t>的</w:t>
      </w:r>
      <w:r>
        <w:rPr>
          <w:spacing w:val="-2"/>
          <w:sz w:val="21"/>
        </w:rPr>
        <w:t>记录为</w:t>
      </w:r>
      <w:r>
        <w:rPr>
          <w:spacing w:val="-2"/>
          <w:sz w:val="21"/>
        </w:rPr>
        <w:t>准</w:t>
      </w:r>
      <w:r>
        <w:rPr>
          <w:spacing w:val="-2"/>
          <w:sz w:val="21"/>
        </w:rPr>
        <w:t>。</w:t>
      </w:r>
    </w:p>
    <w:p>
      <w:pPr>
        <w:pStyle w:val="BodyText"/>
        <w:spacing w:before="4"/>
        <w:rPr>
          <w:sz w:val="24"/>
        </w:rPr>
      </w:pPr>
    </w:p>
    <w:p>
      <w:pPr>
        <w:pStyle w:val="ListParagraph"/>
        <w:numPr>
          <w:ilvl w:val="1"/>
          <w:numId w:val="107"/>
        </w:numPr>
        <w:tabs>
          <w:tab w:pos="1121" w:val="left" w:leader="none"/>
        </w:tabs>
        <w:spacing w:line="278" w:lineRule="auto" w:before="0" w:after="0"/>
        <w:ind w:left="3000" w:right="767" w:hanging="2733"/>
        <w:jc w:val="both"/>
        <w:rPr>
          <w:sz w:val="21"/>
        </w:rPr>
      </w:pPr>
      <w:r>
        <w:rPr>
          <w:b/>
          <w:sz w:val="21"/>
        </w:rPr>
        <w:t>现金价值</w:t>
      </w:r>
      <w:r>
        <w:rPr>
          <w:b/>
          <w:spacing w:val="902"/>
          <w:sz w:val="21"/>
        </w:rPr>
        <w:t> </w:t>
      </w:r>
      <w:r>
        <w:rPr>
          <w:sz w:val="21"/>
        </w:rPr>
        <w:t>指保险单所具有的价值，通常体现为解除合同时，根据精算原理计算的，由</w:t>
      </w:r>
      <w:r>
        <w:rPr>
          <w:spacing w:val="-2"/>
          <w:sz w:val="21"/>
        </w:rPr>
        <w:t>本公司退还的那部分金额。本合同各保单年度末的现金价值载明于本合同现</w:t>
      </w:r>
      <w:r>
        <w:rPr>
          <w:spacing w:val="-4"/>
          <w:sz w:val="21"/>
        </w:rPr>
        <w:t>金价值表。</w:t>
      </w:r>
    </w:p>
    <w:p>
      <w:pPr>
        <w:pStyle w:val="BodyText"/>
        <w:spacing w:before="6"/>
        <w:rPr>
          <w:sz w:val="22"/>
        </w:rPr>
      </w:pPr>
    </w:p>
    <w:p>
      <w:pPr>
        <w:pStyle w:val="ListParagraph"/>
        <w:numPr>
          <w:ilvl w:val="1"/>
          <w:numId w:val="107"/>
        </w:numPr>
        <w:tabs>
          <w:tab w:pos="1121" w:val="left" w:leader="none"/>
          <w:tab w:pos="3000" w:val="left" w:leader="none"/>
        </w:tabs>
        <w:spacing w:line="278" w:lineRule="auto" w:before="0" w:after="0"/>
        <w:ind w:left="3000" w:right="767" w:hanging="2733"/>
        <w:jc w:val="both"/>
        <w:rPr>
          <w:sz w:val="21"/>
        </w:rPr>
      </w:pPr>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胺（冰毒）、吗</w:t>
      </w:r>
      <w:r>
        <w:rPr>
          <w:spacing w:val="-2"/>
          <w:sz w:val="21"/>
        </w:rPr>
        <w:t>啡</w:t>
      </w:r>
      <w:r>
        <w:rPr>
          <w:spacing w:val="-2"/>
          <w:sz w:val="21"/>
        </w:rPr>
        <w:t>、</w:t>
      </w:r>
      <w:r>
        <w:rPr>
          <w:spacing w:val="-2"/>
          <w:sz w:val="21"/>
        </w:rPr>
        <w:t>大</w:t>
      </w:r>
      <w:r>
        <w:rPr>
          <w:spacing w:val="-2"/>
          <w:sz w:val="21"/>
        </w:rPr>
        <w:t>麻</w:t>
      </w:r>
      <w:r>
        <w:rPr>
          <w:spacing w:val="-2"/>
          <w:sz w:val="21"/>
        </w:rPr>
        <w:t>、可卡因以及国家规</w:t>
      </w:r>
      <w:r>
        <w:rPr>
          <w:spacing w:val="-2"/>
          <w:sz w:val="21"/>
        </w:rPr>
        <w:t>定</w:t>
      </w:r>
      <w:r>
        <w:rPr>
          <w:spacing w:val="-2"/>
          <w:sz w:val="21"/>
        </w:rPr>
        <w:t>管</w:t>
      </w:r>
      <w:r>
        <w:rPr>
          <w:spacing w:val="-2"/>
          <w:sz w:val="21"/>
        </w:rPr>
        <w:t>制的其他能够使人形</w:t>
      </w:r>
      <w:r>
        <w:rPr>
          <w:spacing w:val="-2"/>
          <w:sz w:val="21"/>
        </w:rPr>
        <w:t>成</w:t>
      </w:r>
      <w:r>
        <w:rPr>
          <w:spacing w:val="-2"/>
          <w:sz w:val="21"/>
        </w:rPr>
        <w:t>瘾</w:t>
      </w:r>
      <w:r>
        <w:rPr>
          <w:spacing w:val="-2"/>
          <w:sz w:val="21"/>
        </w:rPr>
        <w:t>癖的麻醉药品和</w:t>
      </w:r>
      <w:r>
        <w:rPr>
          <w:spacing w:val="-2"/>
          <w:sz w:val="21"/>
        </w:rPr>
        <w:t>精</w:t>
      </w:r>
      <w:r>
        <w:rPr>
          <w:spacing w:val="-2"/>
          <w:sz w:val="21"/>
        </w:rPr>
        <w:t>神</w:t>
      </w:r>
      <w:r>
        <w:rPr>
          <w:spacing w:val="-2"/>
          <w:sz w:val="21"/>
        </w:rPr>
        <w:t>药</w:t>
      </w:r>
      <w:r>
        <w:rPr>
          <w:spacing w:val="-2"/>
          <w:sz w:val="21"/>
        </w:rPr>
        <w:t>品</w:t>
      </w:r>
      <w:r>
        <w:rPr>
          <w:spacing w:val="-2"/>
          <w:sz w:val="21"/>
        </w:rPr>
        <w:t>，但不包括由医生开</w:t>
      </w:r>
      <w:r>
        <w:rPr>
          <w:spacing w:val="-2"/>
          <w:sz w:val="21"/>
        </w:rPr>
        <w:t>具</w:t>
      </w:r>
      <w:r>
        <w:rPr>
          <w:spacing w:val="-2"/>
          <w:sz w:val="21"/>
        </w:rPr>
        <w:t>并</w:t>
      </w:r>
      <w:r>
        <w:rPr>
          <w:spacing w:val="-2"/>
          <w:sz w:val="21"/>
        </w:rPr>
        <w:t>遵医嘱使用的用于治</w:t>
      </w:r>
      <w:r>
        <w:rPr>
          <w:spacing w:val="-2"/>
          <w:sz w:val="21"/>
        </w:rPr>
        <w:t>疗</w:t>
      </w:r>
      <w:r>
        <w:rPr>
          <w:spacing w:val="-2"/>
          <w:sz w:val="21"/>
        </w:rPr>
        <w:t>疾</w:t>
      </w:r>
      <w:r>
        <w:rPr>
          <w:spacing w:val="-2"/>
          <w:sz w:val="21"/>
        </w:rPr>
        <w:t>病但含有毒品成分的</w:t>
      </w:r>
      <w:r>
        <w:rPr>
          <w:spacing w:val="-4"/>
          <w:sz w:val="21"/>
        </w:rPr>
        <w:t>处</w:t>
      </w:r>
      <w:r>
        <w:rPr>
          <w:spacing w:val="-4"/>
          <w:sz w:val="21"/>
        </w:rPr>
        <w:t>方</w:t>
      </w:r>
      <w:r>
        <w:rPr>
          <w:spacing w:val="-4"/>
          <w:sz w:val="21"/>
        </w:rPr>
        <w:t>药</w:t>
      </w:r>
      <w:r>
        <w:rPr>
          <w:spacing w:val="-4"/>
          <w:sz w:val="21"/>
        </w:rPr>
        <w:t>品</w:t>
      </w:r>
      <w:r>
        <w:rPr>
          <w:spacing w:val="-4"/>
          <w:sz w:val="21"/>
        </w:rPr>
        <w:t>。</w:t>
      </w:r>
    </w:p>
    <w:p>
      <w:pPr>
        <w:pStyle w:val="BodyText"/>
        <w:spacing w:before="10"/>
        <w:rPr>
          <w:sz w:val="17"/>
        </w:rPr>
      </w:pPr>
    </w:p>
    <w:p>
      <w:pPr>
        <w:pStyle w:val="ListParagraph"/>
        <w:numPr>
          <w:ilvl w:val="1"/>
          <w:numId w:val="107"/>
        </w:numPr>
        <w:tabs>
          <w:tab w:pos="1121" w:val="left" w:leader="none"/>
        </w:tabs>
        <w:spacing w:line="278" w:lineRule="auto" w:before="0" w:after="0"/>
        <w:ind w:left="3000" w:right="767" w:hanging="2733"/>
        <w:jc w:val="both"/>
        <w:rPr>
          <w:sz w:val="21"/>
        </w:rPr>
      </w:pPr>
      <w:r>
        <w:rPr>
          <w:b/>
          <w:sz w:val="21"/>
        </w:rPr>
        <w:t>酒后驾驶</w:t>
      </w:r>
      <w:r>
        <w:rPr>
          <w:b/>
          <w:spacing w:val="902"/>
          <w:sz w:val="21"/>
        </w:rPr>
        <w:t> </w:t>
      </w:r>
      <w:r>
        <w:rPr>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p>
      <w:pPr>
        <w:pStyle w:val="BodyText"/>
        <w:rPr>
          <w:sz w:val="12"/>
        </w:rPr>
      </w:pPr>
    </w:p>
    <w:p>
      <w:pPr>
        <w:spacing w:after="0"/>
        <w:rPr>
          <w:sz w:val="12"/>
        </w:rPr>
        <w:sectPr>
          <w:pgSz w:w="11910" w:h="16840"/>
          <w:pgMar w:header="0" w:footer="404" w:top="1080" w:bottom="600" w:left="860" w:right="340"/>
        </w:sectPr>
      </w:pPr>
    </w:p>
    <w:p>
      <w:pPr>
        <w:pStyle w:val="Heading2"/>
        <w:numPr>
          <w:ilvl w:val="1"/>
          <w:numId w:val="107"/>
        </w:numPr>
        <w:tabs>
          <w:tab w:pos="1120" w:val="left" w:leader="none"/>
          <w:tab w:pos="1121" w:val="left" w:leader="none"/>
        </w:tabs>
        <w:spacing w:line="278" w:lineRule="auto" w:before="72" w:after="0"/>
        <w:ind w:left="1120" w:right="38" w:hanging="853"/>
        <w:jc w:val="left"/>
      </w:pPr>
      <w:r>
        <w:rPr>
          <w:spacing w:val="-2"/>
        </w:rPr>
        <w:t>无合法有效驾驶</w:t>
      </w:r>
      <w:r>
        <w:rPr>
          <w:spacing w:val="-4"/>
        </w:rPr>
        <w:t>证驾驶</w:t>
      </w:r>
    </w:p>
    <w:p>
      <w:pPr>
        <w:pStyle w:val="BodyText"/>
        <w:spacing w:before="72"/>
        <w:ind w:left="268"/>
      </w:pPr>
      <w:r>
        <w:rPr/>
        <w:br w:type="column"/>
      </w:r>
      <w:r>
        <w:rPr>
          <w:spacing w:val="-4"/>
        </w:rPr>
        <w:t>指下列情形之一：</w:t>
      </w:r>
    </w:p>
    <w:p>
      <w:pPr>
        <w:pStyle w:val="ListParagraph"/>
        <w:numPr>
          <w:ilvl w:val="0"/>
          <w:numId w:val="111"/>
        </w:numPr>
        <w:tabs>
          <w:tab w:pos="797" w:val="left" w:leader="none"/>
        </w:tabs>
        <w:spacing w:line="240" w:lineRule="auto" w:before="136" w:after="0"/>
        <w:ind w:left="797" w:right="0" w:hanging="529"/>
        <w:jc w:val="left"/>
        <w:rPr>
          <w:sz w:val="21"/>
        </w:rPr>
      </w:pPr>
      <w:r>
        <w:rPr>
          <w:spacing w:val="-3"/>
          <w:sz w:val="21"/>
        </w:rPr>
        <w:t>没有取得驾驶资格；</w:t>
      </w:r>
    </w:p>
    <w:p>
      <w:pPr>
        <w:pStyle w:val="ListParagraph"/>
        <w:numPr>
          <w:ilvl w:val="0"/>
          <w:numId w:val="111"/>
        </w:numPr>
        <w:tabs>
          <w:tab w:pos="797" w:val="left" w:leader="none"/>
        </w:tabs>
        <w:spacing w:line="240" w:lineRule="auto" w:before="43" w:after="0"/>
        <w:ind w:left="797" w:right="0" w:hanging="529"/>
        <w:jc w:val="left"/>
        <w:rPr>
          <w:sz w:val="21"/>
        </w:rPr>
      </w:pPr>
      <w:r>
        <w:rPr>
          <w:spacing w:val="-3"/>
          <w:sz w:val="21"/>
        </w:rPr>
        <w:t>驾驶与驾驶证准驾车型不相符合的车辆；</w:t>
      </w:r>
    </w:p>
    <w:p>
      <w:pPr>
        <w:pStyle w:val="ListParagraph"/>
        <w:numPr>
          <w:ilvl w:val="0"/>
          <w:numId w:val="111"/>
        </w:numPr>
        <w:tabs>
          <w:tab w:pos="797" w:val="left" w:leader="none"/>
        </w:tabs>
        <w:spacing w:line="240" w:lineRule="auto" w:before="43" w:after="0"/>
        <w:ind w:left="797" w:right="0" w:hanging="529"/>
        <w:jc w:val="left"/>
        <w:rPr>
          <w:sz w:val="21"/>
        </w:rPr>
      </w:pPr>
      <w:r>
        <w:rPr>
          <w:spacing w:val="-3"/>
          <w:sz w:val="21"/>
        </w:rPr>
        <w:t>持审验不合格的驾驶证驾驶；</w:t>
      </w:r>
    </w:p>
    <w:p>
      <w:pPr>
        <w:pStyle w:val="ListParagraph"/>
        <w:numPr>
          <w:ilvl w:val="0"/>
          <w:numId w:val="111"/>
        </w:numPr>
        <w:tabs>
          <w:tab w:pos="797" w:val="left" w:leader="none"/>
        </w:tabs>
        <w:spacing w:line="278" w:lineRule="auto" w:before="43" w:after="0"/>
        <w:ind w:left="793" w:right="668" w:hanging="526"/>
        <w:jc w:val="left"/>
        <w:rPr>
          <w:sz w:val="21"/>
        </w:rPr>
      </w:pPr>
      <w:r>
        <w:rPr>
          <w:spacing w:val="-2"/>
          <w:sz w:val="21"/>
        </w:rPr>
        <w:t>持学习驾驶证学习驾车时，无教练员随车指导，或不按指定时间、路线</w:t>
      </w:r>
      <w:r>
        <w:rPr>
          <w:spacing w:val="-2"/>
          <w:sz w:val="21"/>
        </w:rPr>
        <w:t>学习驾车。</w:t>
      </w:r>
    </w:p>
    <w:p>
      <w:pPr>
        <w:spacing w:after="0" w:line="278" w:lineRule="auto"/>
        <w:jc w:val="left"/>
        <w:rPr>
          <w:sz w:val="21"/>
        </w:rPr>
        <w:sectPr>
          <w:type w:val="continuous"/>
          <w:pgSz w:w="11910" w:h="16840"/>
          <w:pgMar w:header="0" w:footer="404" w:top="600" w:bottom="280" w:left="860" w:right="340"/>
          <w:cols w:num="2" w:equalWidth="0">
            <w:col w:w="2639" w:space="93"/>
            <w:col w:w="7978"/>
          </w:cols>
        </w:sectPr>
      </w:pPr>
    </w:p>
    <w:p>
      <w:pPr>
        <w:pStyle w:val="Heading2"/>
        <w:numPr>
          <w:ilvl w:val="1"/>
          <w:numId w:val="107"/>
        </w:numPr>
        <w:tabs>
          <w:tab w:pos="1120" w:val="left" w:leader="none"/>
          <w:tab w:pos="1121" w:val="left" w:leader="none"/>
        </w:tabs>
        <w:spacing w:line="240" w:lineRule="auto" w:before="45" w:after="0"/>
        <w:ind w:left="1120" w:right="0" w:hanging="854"/>
        <w:jc w:val="left"/>
      </w:pPr>
      <w:r>
        <w:rPr>
          <w:spacing w:val="-2"/>
        </w:rPr>
        <w:t>无合法有效行驶</w:t>
      </w:r>
    </w:p>
    <w:p>
      <w:pPr>
        <w:spacing w:before="43"/>
        <w:ind w:left="1120" w:right="0" w:firstLine="0"/>
        <w:jc w:val="left"/>
        <w:rPr>
          <w:b/>
          <w:sz w:val="21"/>
        </w:rPr>
      </w:pPr>
      <w:r>
        <w:rPr>
          <w:b/>
          <w:w w:val="100"/>
          <w:sz w:val="21"/>
        </w:rPr>
        <w:t>证</w:t>
      </w:r>
    </w:p>
    <w:p>
      <w:pPr>
        <w:pStyle w:val="BodyText"/>
        <w:spacing w:before="45"/>
        <w:ind w:left="268"/>
      </w:pPr>
      <w:r>
        <w:rPr/>
        <w:br w:type="column"/>
      </w:r>
      <w:r>
        <w:rPr>
          <w:spacing w:val="-4"/>
        </w:rPr>
        <w:t>指下列情形之一：</w:t>
      </w:r>
    </w:p>
    <w:p>
      <w:pPr>
        <w:pStyle w:val="ListParagraph"/>
        <w:numPr>
          <w:ilvl w:val="0"/>
          <w:numId w:val="112"/>
        </w:numPr>
        <w:tabs>
          <w:tab w:pos="797" w:val="left" w:leader="none"/>
        </w:tabs>
        <w:spacing w:line="240" w:lineRule="auto" w:before="137" w:after="0"/>
        <w:ind w:left="797" w:right="0" w:hanging="529"/>
        <w:jc w:val="left"/>
        <w:rPr>
          <w:sz w:val="21"/>
        </w:rPr>
      </w:pPr>
      <w:r>
        <w:rPr>
          <w:spacing w:val="-3"/>
          <w:sz w:val="21"/>
        </w:rPr>
        <w:t>机动车被依法注销登记的；</w:t>
      </w:r>
    </w:p>
    <w:p>
      <w:pPr>
        <w:pStyle w:val="ListParagraph"/>
        <w:numPr>
          <w:ilvl w:val="0"/>
          <w:numId w:val="112"/>
        </w:numPr>
        <w:tabs>
          <w:tab w:pos="797" w:val="left" w:leader="none"/>
        </w:tabs>
        <w:spacing w:line="240" w:lineRule="auto" w:before="43" w:after="0"/>
        <w:ind w:left="797" w:right="0" w:hanging="529"/>
        <w:jc w:val="left"/>
        <w:rPr>
          <w:sz w:val="21"/>
        </w:rPr>
      </w:pPr>
      <w:r>
        <w:rPr>
          <w:spacing w:val="-3"/>
          <w:sz w:val="21"/>
        </w:rPr>
        <w:t>未依法按时进行或通过机动车安全技术检验。</w:t>
      </w:r>
    </w:p>
    <w:p>
      <w:pPr>
        <w:spacing w:after="0" w:line="240" w:lineRule="auto"/>
        <w:jc w:val="left"/>
        <w:rPr>
          <w:sz w:val="21"/>
        </w:rPr>
        <w:sectPr>
          <w:pgSz w:w="11910" w:h="16840"/>
          <w:pgMar w:header="0" w:footer="404" w:top="1320" w:bottom="600" w:left="860" w:right="340"/>
          <w:cols w:num="2" w:equalWidth="0">
            <w:col w:w="2639" w:space="93"/>
            <w:col w:w="7978"/>
          </w:cols>
        </w:sectPr>
      </w:pPr>
    </w:p>
    <w:p>
      <w:pPr>
        <w:pStyle w:val="BodyText"/>
        <w:spacing w:before="4"/>
        <w:rPr>
          <w:sz w:val="15"/>
        </w:rPr>
      </w:pPr>
    </w:p>
    <w:p>
      <w:pPr>
        <w:spacing w:after="0"/>
        <w:rPr>
          <w:sz w:val="15"/>
        </w:rPr>
        <w:sectPr>
          <w:type w:val="continuous"/>
          <w:pgSz w:w="11910" w:h="16840"/>
          <w:pgMar w:header="0" w:footer="404" w:top="600" w:bottom="280" w:left="860" w:right="340"/>
        </w:sectPr>
      </w:pPr>
    </w:p>
    <w:p>
      <w:pPr>
        <w:pStyle w:val="Heading2"/>
        <w:numPr>
          <w:ilvl w:val="1"/>
          <w:numId w:val="107"/>
        </w:numPr>
        <w:tabs>
          <w:tab w:pos="1120" w:val="left" w:leader="none"/>
          <w:tab w:pos="1121" w:val="left" w:leader="none"/>
        </w:tabs>
        <w:spacing w:line="240" w:lineRule="auto" w:before="72" w:after="0"/>
        <w:ind w:left="1120" w:right="0" w:hanging="854"/>
        <w:jc w:val="left"/>
      </w:pPr>
      <w:r>
        <w:rPr>
          <w:spacing w:val="-2"/>
        </w:rPr>
        <w:t>感染艾滋病病毒</w:t>
      </w:r>
    </w:p>
    <w:p>
      <w:pPr>
        <w:spacing w:before="43"/>
        <w:ind w:left="1120" w:right="0" w:firstLine="0"/>
        <w:jc w:val="left"/>
        <w:rPr>
          <w:b/>
          <w:sz w:val="21"/>
        </w:rPr>
      </w:pPr>
      <w:r>
        <w:rPr>
          <w:b/>
          <w:spacing w:val="-2"/>
          <w:sz w:val="21"/>
        </w:rPr>
        <w:t>或患艾滋病</w:t>
      </w:r>
    </w:p>
    <w:p>
      <w:pPr>
        <w:pStyle w:val="BodyText"/>
        <w:spacing w:line="278" w:lineRule="auto" w:before="72"/>
        <w:ind w:left="268" w:right="666"/>
      </w:pPr>
      <w:r>
        <w:rPr/>
        <w:br w:type="column"/>
      </w:r>
      <w:r>
        <w:rPr>
          <w:spacing w:val="-5"/>
        </w:rPr>
        <w:t>艾滋病病毒指人类免疫缺陷病毒，英文缩写为 </w:t>
      </w:r>
      <w:r>
        <w:rPr>
          <w:spacing w:val="-2"/>
        </w:rPr>
        <w:t>HIV。艾滋病指人类免疫缺陷病</w:t>
      </w:r>
      <w:r>
        <w:rPr>
          <w:spacing w:val="-2"/>
        </w:rPr>
        <w:t>毒引起的获得性免疫缺陷综合征，英文缩写为 </w:t>
      </w:r>
      <w:r>
        <w:rPr/>
        <w:t>AIDS。</w:t>
      </w:r>
    </w:p>
    <w:p>
      <w:pPr>
        <w:pStyle w:val="BodyText"/>
        <w:spacing w:line="278" w:lineRule="auto"/>
        <w:ind w:left="268" w:right="562"/>
      </w:pPr>
      <w:r>
        <w:rPr>
          <w:w w:val="100"/>
        </w:rPr>
        <w:t>在人体血液或其他样本中检测到艾滋病病毒或其抗体呈阳性，没有出现临床</w:t>
      </w:r>
      <w:r>
        <w:rPr>
          <w:spacing w:val="-3"/>
          <w:w w:val="100"/>
        </w:rPr>
        <w:t>症状或体征的，为感染艾滋病病毒；如果同时出现了明显临床症状或体征的，为患艾滋病。</w:t>
      </w:r>
    </w:p>
    <w:p>
      <w:pPr>
        <w:spacing w:after="0" w:line="278" w:lineRule="auto"/>
        <w:sectPr>
          <w:type w:val="continuous"/>
          <w:pgSz w:w="11910" w:h="16840"/>
          <w:pgMar w:header="0" w:footer="404" w:top="600" w:bottom="280" w:left="860" w:right="340"/>
          <w:cols w:num="2" w:equalWidth="0">
            <w:col w:w="2639" w:space="93"/>
            <w:col w:w="7978"/>
          </w:cols>
        </w:sectPr>
      </w:pPr>
    </w:p>
    <w:p>
      <w:pPr>
        <w:pStyle w:val="BodyText"/>
        <w:spacing w:before="2"/>
        <w:rPr>
          <w:sz w:val="12"/>
        </w:rPr>
      </w:pPr>
    </w:p>
    <w:p>
      <w:pPr>
        <w:pStyle w:val="ListParagraph"/>
        <w:numPr>
          <w:ilvl w:val="1"/>
          <w:numId w:val="107"/>
        </w:numPr>
        <w:tabs>
          <w:tab w:pos="1120" w:val="left" w:leader="none"/>
          <w:tab w:pos="1121" w:val="left" w:leader="none"/>
          <w:tab w:pos="3000" w:val="left" w:leader="none"/>
        </w:tabs>
        <w:spacing w:line="278" w:lineRule="auto" w:before="72" w:after="0"/>
        <w:ind w:left="3000" w:right="667" w:hanging="2733"/>
        <w:jc w:val="left"/>
        <w:rPr>
          <w:sz w:val="21"/>
        </w:rPr>
      </w:pP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卵的遗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基因）</w:t>
      </w:r>
      <w:r>
        <w:rPr>
          <w:spacing w:val="-2"/>
          <w:sz w:val="21"/>
        </w:rPr>
        <w:t>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3"/>
        <w:rPr>
          <w:sz w:val="12"/>
        </w:rPr>
      </w:pPr>
    </w:p>
    <w:p>
      <w:pPr>
        <w:spacing w:after="0"/>
        <w:rPr>
          <w:sz w:val="12"/>
        </w:rPr>
        <w:sectPr>
          <w:type w:val="continuous"/>
          <w:pgSz w:w="11910" w:h="16840"/>
          <w:pgMar w:header="0" w:footer="404" w:top="600" w:bottom="280" w:left="860" w:right="340"/>
        </w:sectPr>
      </w:pPr>
    </w:p>
    <w:p>
      <w:pPr>
        <w:pStyle w:val="Heading2"/>
        <w:numPr>
          <w:ilvl w:val="1"/>
          <w:numId w:val="107"/>
        </w:numPr>
        <w:tabs>
          <w:tab w:pos="1120" w:val="left" w:leader="none"/>
          <w:tab w:pos="1121" w:val="left" w:leader="none"/>
        </w:tabs>
        <w:spacing w:line="240" w:lineRule="auto" w:before="71" w:after="0"/>
        <w:ind w:left="1120" w:right="0" w:hanging="854"/>
        <w:jc w:val="left"/>
      </w:pPr>
      <w:r>
        <w:rPr>
          <w:spacing w:val="-5"/>
        </w:rPr>
        <w:t>先天性畸形、变形</w:t>
      </w:r>
    </w:p>
    <w:p>
      <w:pPr>
        <w:spacing w:before="43"/>
        <w:ind w:left="1120" w:right="0" w:firstLine="0"/>
        <w:jc w:val="left"/>
        <w:rPr>
          <w:b/>
          <w:sz w:val="21"/>
        </w:rPr>
      </w:pPr>
      <w:r>
        <w:rPr>
          <w:b/>
          <w:spacing w:val="-2"/>
          <w:sz w:val="21"/>
        </w:rPr>
        <w:t>或染色体异常</w:t>
      </w:r>
    </w:p>
    <w:p>
      <w:pPr>
        <w:pStyle w:val="BodyText"/>
        <w:spacing w:line="278" w:lineRule="auto" w:before="71"/>
        <w:ind w:left="174" w:right="667"/>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header="0" w:footer="404" w:top="600" w:bottom="280" w:left="860" w:right="340"/>
          <w:cols w:num="2" w:equalWidth="0">
            <w:col w:w="2787" w:space="40"/>
            <w:col w:w="7883"/>
          </w:cols>
        </w:sectPr>
      </w:pPr>
    </w:p>
    <w:p>
      <w:pPr>
        <w:pStyle w:val="BodyText"/>
        <w:rPr>
          <w:sz w:val="12"/>
        </w:rPr>
      </w:pPr>
    </w:p>
    <w:p>
      <w:pPr>
        <w:pStyle w:val="ListParagraph"/>
        <w:numPr>
          <w:ilvl w:val="1"/>
          <w:numId w:val="107"/>
        </w:numPr>
        <w:tabs>
          <w:tab w:pos="1121" w:val="left" w:leader="none"/>
        </w:tabs>
        <w:spacing w:line="278" w:lineRule="auto" w:before="72" w:after="0"/>
        <w:ind w:left="3000" w:right="667" w:hanging="2733"/>
        <w:jc w:val="both"/>
        <w:rPr>
          <w:sz w:val="21"/>
        </w:rPr>
      </w:pPr>
      <w:r>
        <w:rPr>
          <w:b/>
          <w:spacing w:val="36"/>
          <w:sz w:val="21"/>
        </w:rPr>
        <w:t>本合同约定利率 </w:t>
      </w:r>
      <w:r>
        <w:rPr>
          <w:sz w:val="21"/>
        </w:rPr>
        <w:t>由我们参照同期全国银行间同业拆借中心公布的贷款市场报价利率确定并宣</w:t>
      </w:r>
      <w:r>
        <w:rPr>
          <w:spacing w:val="-2"/>
          <w:sz w:val="21"/>
        </w:rPr>
        <w:t>布，宣布时间为每年的一月一日和七月一日。</w:t>
      </w:r>
    </w:p>
    <w:p>
      <w:pPr>
        <w:pStyle w:val="BodyText"/>
        <w:spacing w:before="10"/>
        <w:rPr>
          <w:sz w:val="17"/>
        </w:rPr>
      </w:pPr>
    </w:p>
    <w:p>
      <w:pPr>
        <w:pStyle w:val="ListParagraph"/>
        <w:numPr>
          <w:ilvl w:val="1"/>
          <w:numId w:val="107"/>
        </w:numPr>
        <w:tabs>
          <w:tab w:pos="1121" w:val="left" w:leader="none"/>
        </w:tabs>
        <w:spacing w:line="276" w:lineRule="auto" w:before="0" w:after="0"/>
        <w:ind w:left="3000" w:right="767" w:hanging="2733"/>
        <w:jc w:val="both"/>
        <w:rPr>
          <w:sz w:val="21"/>
        </w:rPr>
      </w:pPr>
      <w:r>
        <w:rPr>
          <w:b/>
          <w:spacing w:val="33"/>
          <w:sz w:val="21"/>
        </w:rPr>
        <w:t>组织病理学检查 </w:t>
      </w:r>
      <w:r>
        <w:rPr>
          <w:sz w:val="21"/>
        </w:rPr>
        <w:t>组织病理学检查是通过局部切除、钳取、穿刺等手术方法，从患者机体采取</w:t>
      </w:r>
      <w:r>
        <w:rPr>
          <w:spacing w:val="-2"/>
          <w:sz w:val="21"/>
        </w:rPr>
        <w:t>病变组织块，经过包埋、切片后，进行病理检查的方法。</w:t>
      </w:r>
    </w:p>
    <w:p>
      <w:pPr>
        <w:pStyle w:val="Heading2"/>
        <w:spacing w:line="278" w:lineRule="auto" w:before="82"/>
        <w:ind w:right="746"/>
        <w:jc w:val="both"/>
      </w:pPr>
      <w:r>
        <w:rPr>
          <w:spacing w:val="-2"/>
        </w:rPr>
        <w:t>通过采集病变部位脱落细胞、细针吸取病变部位细胞、体腔积液分离病变细</w:t>
      </w:r>
      <w:r>
        <w:rPr>
          <w:spacing w:val="-2"/>
        </w:rPr>
        <w:t>胞等方式获取病变细胞，制成涂片，进行病理检查的方法，属于细胞病理学</w:t>
      </w:r>
      <w:r>
        <w:rPr>
          <w:spacing w:val="-2"/>
        </w:rPr>
        <w:t>检查，不属于组织病理学检查。</w:t>
      </w:r>
    </w:p>
    <w:p>
      <w:pPr>
        <w:pStyle w:val="BodyText"/>
        <w:spacing w:before="10"/>
        <w:rPr>
          <w:b/>
          <w:sz w:val="23"/>
        </w:rPr>
      </w:pPr>
    </w:p>
    <w:p>
      <w:pPr>
        <w:pStyle w:val="ListParagraph"/>
        <w:numPr>
          <w:ilvl w:val="1"/>
          <w:numId w:val="107"/>
        </w:numPr>
        <w:tabs>
          <w:tab w:pos="1121" w:val="left" w:leader="none"/>
          <w:tab w:pos="3000" w:val="left" w:leader="none"/>
        </w:tabs>
        <w:spacing w:line="278" w:lineRule="auto" w:before="0" w:after="0"/>
        <w:ind w:left="3000" w:right="767" w:hanging="2733"/>
        <w:jc w:val="both"/>
        <w:rPr>
          <w:sz w:val="21"/>
        </w:rPr>
      </w:pPr>
      <w:r>
        <w:rPr>
          <w:b/>
          <w:spacing w:val="-2"/>
          <w:sz w:val="21"/>
        </w:rPr>
        <w:t>ICD-10</w:t>
      </w:r>
      <w:r>
        <w:rPr>
          <w:b/>
          <w:sz w:val="21"/>
        </w:rPr>
        <w:tab/>
      </w:r>
      <w:r>
        <w:rPr>
          <w:spacing w:val="-2"/>
          <w:sz w:val="21"/>
        </w:rPr>
        <w:t>《疾病和有关健康问题的国际统计分类》第十次修订版（ICD-10），是世界</w:t>
      </w:r>
      <w:r>
        <w:rPr>
          <w:spacing w:val="-2"/>
          <w:sz w:val="21"/>
        </w:rPr>
        <w:t>卫生组织（WHO）发布的国际通用的疾病分类方法。</w:t>
      </w:r>
    </w:p>
    <w:p>
      <w:pPr>
        <w:pStyle w:val="BodyText"/>
        <w:spacing w:before="10"/>
        <w:rPr>
          <w:sz w:val="17"/>
        </w:rPr>
      </w:pPr>
    </w:p>
    <w:p>
      <w:pPr>
        <w:pStyle w:val="ListParagraph"/>
        <w:numPr>
          <w:ilvl w:val="1"/>
          <w:numId w:val="107"/>
        </w:numPr>
        <w:tabs>
          <w:tab w:pos="1120" w:val="left" w:leader="none"/>
          <w:tab w:pos="1121" w:val="left" w:leader="none"/>
          <w:tab w:pos="3000" w:val="left" w:leader="none"/>
        </w:tabs>
        <w:spacing w:line="278" w:lineRule="auto" w:before="0" w:after="0"/>
        <w:ind w:left="3000" w:right="560" w:hanging="2733"/>
        <w:jc w:val="left"/>
        <w:rPr>
          <w:sz w:val="21"/>
        </w:rPr>
      </w:pPr>
      <w:r>
        <w:rPr>
          <w:b/>
          <w:spacing w:val="-2"/>
          <w:sz w:val="21"/>
        </w:rPr>
        <w:t>ICD-O-3</w:t>
      </w:r>
      <w:r>
        <w:rPr>
          <w:b/>
          <w:sz w:val="21"/>
        </w:rPr>
        <w:tab/>
      </w:r>
      <w:r>
        <w:rPr>
          <w:sz w:val="21"/>
        </w:rPr>
        <w:t>《国际疾病分类肿瘤学专辑》第三版（ICD-O-3），是 WHO</w:t>
      </w:r>
      <w:r>
        <w:rPr>
          <w:spacing w:val="-16"/>
          <w:sz w:val="21"/>
        </w:rPr>
        <w:t> 发布的针对 </w:t>
      </w:r>
      <w:r>
        <w:rPr>
          <w:sz w:val="21"/>
        </w:rPr>
        <w:t>ICD</w:t>
      </w:r>
      <w:r>
        <w:rPr>
          <w:spacing w:val="-26"/>
          <w:sz w:val="21"/>
        </w:rPr>
        <w:t> 中</w:t>
      </w:r>
      <w:r>
        <w:rPr>
          <w:spacing w:val="-2"/>
          <w:sz w:val="21"/>
        </w:rPr>
        <w:t>肿瘤形态学组织学细胞类型、动态、分化程度的补充编码。其中形态学编码： </w:t>
      </w:r>
      <w:r>
        <w:rPr>
          <w:sz w:val="21"/>
        </w:rPr>
        <w:t>0</w:t>
      </w:r>
      <w:r>
        <w:rPr>
          <w:spacing w:val="-7"/>
          <w:sz w:val="21"/>
        </w:rPr>
        <w:t> 代表良性肿瘤；</w:t>
      </w:r>
      <w:r>
        <w:rPr>
          <w:sz w:val="21"/>
        </w:rPr>
        <w:t>1</w:t>
      </w:r>
      <w:r>
        <w:rPr>
          <w:spacing w:val="-7"/>
          <w:sz w:val="21"/>
        </w:rPr>
        <w:t> 代表动态未定性肿瘤； </w:t>
      </w:r>
      <w:r>
        <w:rPr>
          <w:sz w:val="21"/>
        </w:rPr>
        <w:t>2</w:t>
      </w:r>
      <w:r>
        <w:rPr>
          <w:spacing w:val="-7"/>
          <w:sz w:val="21"/>
        </w:rPr>
        <w:t> 代表原位癌和非侵袭性癌</w:t>
      </w:r>
      <w:r>
        <w:rPr>
          <w:sz w:val="21"/>
        </w:rPr>
        <w:t>；3</w:t>
      </w:r>
      <w:r>
        <w:rPr>
          <w:spacing w:val="-21"/>
          <w:sz w:val="21"/>
        </w:rPr>
        <w:t> 代</w:t>
      </w:r>
      <w:r>
        <w:rPr>
          <w:sz w:val="21"/>
        </w:rPr>
        <w:t>表恶性肿瘤（原发性）；6</w:t>
      </w:r>
      <w:r>
        <w:rPr>
          <w:spacing w:val="-5"/>
          <w:sz w:val="21"/>
        </w:rPr>
        <w:t> 代表恶性肿瘤</w:t>
      </w:r>
      <w:r>
        <w:rPr>
          <w:sz w:val="21"/>
        </w:rPr>
        <w:t>（转移性）；9</w:t>
      </w:r>
      <w:r>
        <w:rPr>
          <w:spacing w:val="-5"/>
          <w:sz w:val="21"/>
        </w:rPr>
        <w:t> 代表恶性肿瘤</w:t>
      </w:r>
      <w:r>
        <w:rPr>
          <w:sz w:val="21"/>
        </w:rPr>
        <w:t>（原发性或转移性未肯定</w:t>
      </w:r>
      <w:r>
        <w:rPr>
          <w:spacing w:val="-53"/>
          <w:sz w:val="21"/>
        </w:rPr>
        <w:t>）</w:t>
      </w:r>
      <w:r>
        <w:rPr>
          <w:spacing w:val="-16"/>
          <w:sz w:val="21"/>
        </w:rPr>
        <w:t>。如果出现 </w:t>
      </w:r>
      <w:r>
        <w:rPr>
          <w:sz w:val="21"/>
        </w:rPr>
        <w:t>ICD-10</w:t>
      </w:r>
      <w:r>
        <w:rPr>
          <w:spacing w:val="-25"/>
          <w:sz w:val="21"/>
        </w:rPr>
        <w:t> 与 </w:t>
      </w:r>
      <w:r>
        <w:rPr>
          <w:sz w:val="21"/>
        </w:rPr>
        <w:t>ICD-O-3</w:t>
      </w:r>
      <w:r>
        <w:rPr>
          <w:spacing w:val="-15"/>
          <w:sz w:val="21"/>
        </w:rPr>
        <w:t> 不一致的情况，以 </w:t>
      </w:r>
      <w:r>
        <w:rPr>
          <w:sz w:val="21"/>
        </w:rPr>
        <w:t>ICD-O-3</w:t>
      </w:r>
      <w:r>
        <w:rPr>
          <w:spacing w:val="-4"/>
          <w:sz w:val="21"/>
        </w:rPr>
        <w:t>为准。</w:t>
      </w:r>
    </w:p>
    <w:p>
      <w:pPr>
        <w:pStyle w:val="BodyText"/>
        <w:spacing w:before="7"/>
        <w:rPr>
          <w:sz w:val="17"/>
        </w:rPr>
      </w:pPr>
    </w:p>
    <w:p>
      <w:pPr>
        <w:pStyle w:val="ListParagraph"/>
        <w:numPr>
          <w:ilvl w:val="1"/>
          <w:numId w:val="107"/>
        </w:numPr>
        <w:tabs>
          <w:tab w:pos="1121" w:val="left" w:leader="none"/>
        </w:tabs>
        <w:spacing w:line="278" w:lineRule="auto" w:before="0" w:after="0"/>
        <w:ind w:left="3000" w:right="666" w:hanging="2733"/>
        <w:jc w:val="both"/>
        <w:rPr>
          <w:sz w:val="21"/>
        </w:rPr>
      </w:pPr>
      <w:r>
        <w:rPr>
          <w:b/>
          <w:sz w:val="21"/>
        </w:rPr>
        <w:t>TNM</w:t>
      </w:r>
      <w:r>
        <w:rPr>
          <w:b/>
          <w:spacing w:val="-10"/>
          <w:sz w:val="21"/>
        </w:rPr>
        <w:t> 分期</w:t>
      </w:r>
      <w:r>
        <w:rPr>
          <w:b/>
          <w:spacing w:val="42"/>
          <w:w w:val="150"/>
          <w:sz w:val="21"/>
        </w:rPr>
        <w:t>     </w:t>
      </w:r>
      <w:r>
        <w:rPr>
          <w:sz w:val="21"/>
        </w:rPr>
        <w:t>TNM</w:t>
      </w:r>
      <w:r>
        <w:rPr>
          <w:spacing w:val="-11"/>
          <w:sz w:val="21"/>
        </w:rPr>
        <w:t> 分期采用 </w:t>
      </w:r>
      <w:r>
        <w:rPr>
          <w:sz w:val="21"/>
        </w:rPr>
        <w:t>AJCC</w:t>
      </w:r>
      <w:r>
        <w:rPr>
          <w:spacing w:val="-5"/>
          <w:sz w:val="21"/>
        </w:rPr>
        <w:t> 癌症分期手册标准。该标准由美国癌症联合委员会与国际</w:t>
      </w:r>
      <w:r>
        <w:rPr>
          <w:w w:val="95"/>
          <w:sz w:val="21"/>
        </w:rPr>
        <w:t>抗</w:t>
      </w:r>
      <w:r>
        <w:rPr>
          <w:w w:val="95"/>
          <w:sz w:val="21"/>
        </w:rPr>
        <w:t>癌</w:t>
      </w:r>
      <w:r>
        <w:rPr>
          <w:w w:val="95"/>
          <w:sz w:val="21"/>
        </w:rPr>
        <w:t>联合会 TNM 委员会联</w:t>
      </w:r>
      <w:r>
        <w:rPr>
          <w:w w:val="95"/>
          <w:sz w:val="21"/>
        </w:rPr>
        <w:t>合</w:t>
      </w:r>
      <w:r>
        <w:rPr>
          <w:w w:val="95"/>
          <w:sz w:val="21"/>
        </w:rPr>
        <w:t>制</w:t>
      </w:r>
      <w:r>
        <w:rPr>
          <w:w w:val="95"/>
          <w:sz w:val="21"/>
        </w:rPr>
        <w:t>定，是目前肿瘤医学</w:t>
      </w:r>
      <w:r>
        <w:rPr>
          <w:w w:val="95"/>
          <w:sz w:val="21"/>
        </w:rPr>
        <w:t>分</w:t>
      </w:r>
      <w:r>
        <w:rPr>
          <w:w w:val="95"/>
          <w:sz w:val="21"/>
        </w:rPr>
        <w:t>期</w:t>
      </w:r>
      <w:r>
        <w:rPr>
          <w:w w:val="95"/>
          <w:sz w:val="21"/>
        </w:rPr>
        <w:t>的国际通用标准。T 指</w:t>
      </w:r>
      <w:r>
        <w:rPr>
          <w:spacing w:val="-2"/>
          <w:sz w:val="21"/>
        </w:rPr>
        <w:t>原发肿瘤的大小、形态等；N</w:t>
      </w:r>
      <w:r>
        <w:rPr>
          <w:spacing w:val="-7"/>
          <w:sz w:val="21"/>
        </w:rPr>
        <w:t> 指淋巴结的转移情况</w:t>
      </w:r>
      <w:r>
        <w:rPr>
          <w:spacing w:val="-2"/>
          <w:sz w:val="21"/>
        </w:rPr>
        <w:t>；M</w:t>
      </w:r>
      <w:r>
        <w:rPr>
          <w:spacing w:val="-7"/>
          <w:sz w:val="21"/>
        </w:rPr>
        <w:t> 指有无其他脏器的转移</w:t>
      </w:r>
      <w:r>
        <w:rPr>
          <w:spacing w:val="-4"/>
          <w:sz w:val="21"/>
        </w:rPr>
        <w:t>情况。</w:t>
      </w:r>
    </w:p>
    <w:p>
      <w:pPr>
        <w:pStyle w:val="BodyText"/>
        <w:spacing w:line="278" w:lineRule="auto"/>
        <w:ind w:left="3000" w:right="666"/>
        <w:jc w:val="both"/>
      </w:pP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w w:val="95"/>
        </w:rPr>
        <w:t>准</w:t>
      </w:r>
      <w:r>
        <w:rPr>
          <w:w w:val="95"/>
        </w:rPr>
        <w:t>，</w:t>
      </w:r>
      <w:r>
        <w:rPr>
          <w:w w:val="95"/>
        </w:rPr>
        <w:t>我</w:t>
      </w:r>
      <w:r>
        <w:rPr>
          <w:w w:val="95"/>
        </w:rPr>
        <w:t>国国家卫</w:t>
      </w:r>
      <w:r>
        <w:rPr>
          <w:w w:val="95"/>
        </w:rPr>
        <w:t>生</w:t>
      </w:r>
      <w:r>
        <w:rPr>
          <w:w w:val="95"/>
        </w:rPr>
        <w:t>健</w:t>
      </w:r>
      <w:r>
        <w:rPr>
          <w:w w:val="95"/>
        </w:rPr>
        <w:t>康</w:t>
      </w:r>
      <w:r>
        <w:rPr>
          <w:w w:val="95"/>
        </w:rPr>
        <w:t>委</w:t>
      </w:r>
      <w:r>
        <w:rPr>
          <w:w w:val="95"/>
        </w:rPr>
        <w:t>员会 2018 年发布的《</w:t>
      </w:r>
      <w:r>
        <w:rPr>
          <w:w w:val="95"/>
        </w:rPr>
        <w:t>甲</w:t>
      </w:r>
      <w:r>
        <w:rPr>
          <w:w w:val="95"/>
        </w:rPr>
        <w:t>状</w:t>
      </w:r>
      <w:r>
        <w:rPr>
          <w:w w:val="95"/>
        </w:rPr>
        <w:t>腺癌诊疗规范（2018 </w:t>
      </w:r>
      <w:r>
        <w:rPr>
          <w:w w:val="95"/>
        </w:rPr>
        <w:t>年</w:t>
      </w:r>
      <w:r>
        <w:rPr>
          <w:w w:val="95"/>
        </w:rPr>
        <w:t>版</w:t>
      </w:r>
      <w:r>
        <w:rPr>
          <w:w w:val="95"/>
        </w:rPr>
        <w:t>）》也采用此定义</w:t>
      </w:r>
      <w:r>
        <w:rPr>
          <w:w w:val="95"/>
        </w:rPr>
        <w:t>标</w:t>
      </w:r>
      <w:r>
        <w:rPr>
          <w:spacing w:val="-2"/>
        </w:rPr>
        <w:t>准，具体见下：</w:t>
      </w:r>
    </w:p>
    <w:p>
      <w:pPr>
        <w:spacing w:before="18"/>
        <w:ind w:left="3578" w:right="0" w:firstLine="0"/>
        <w:jc w:val="left"/>
        <w:rPr>
          <w:sz w:val="18"/>
        </w:rPr>
      </w:pPr>
      <w:r>
        <w:rPr>
          <w:spacing w:val="-2"/>
          <w:sz w:val="18"/>
        </w:rPr>
        <w:t>甲状腺乳头状癌、滤泡癌、低分化癌、Hürthle</w:t>
      </w:r>
      <w:r>
        <w:rPr>
          <w:spacing w:val="-4"/>
          <w:sz w:val="18"/>
        </w:rPr>
        <w:t> 细胞癌和未分化癌</w:t>
      </w:r>
    </w:p>
    <w:p>
      <w:pPr>
        <w:spacing w:line="324" w:lineRule="auto" w:before="81"/>
        <w:ind w:left="3578" w:right="3927" w:firstLine="0"/>
        <w:jc w:val="left"/>
        <w:rPr>
          <w:sz w:val="18"/>
        </w:rPr>
      </w:pPr>
      <w:r>
        <w:rPr>
          <w:spacing w:val="-2"/>
          <w:position w:val="1"/>
          <w:sz w:val="18"/>
        </w:rPr>
        <w:t>pT</w:t>
      </w:r>
      <w:r>
        <w:rPr>
          <w:spacing w:val="-2"/>
          <w:sz w:val="9"/>
        </w:rPr>
        <w:t>X</w:t>
      </w:r>
      <w:r>
        <w:rPr>
          <w:spacing w:val="-2"/>
          <w:position w:val="1"/>
          <w:sz w:val="18"/>
        </w:rPr>
        <w:t>：原发肿瘤不能评估</w:t>
      </w:r>
      <w:r>
        <w:rPr>
          <w:spacing w:val="80"/>
          <w:w w:val="150"/>
          <w:position w:val="1"/>
          <w:sz w:val="18"/>
        </w:rPr>
        <w:t>     </w:t>
      </w: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after="0" w:line="324" w:lineRule="auto"/>
        <w:jc w:val="left"/>
        <w:rPr>
          <w:sz w:val="18"/>
        </w:rPr>
        <w:sectPr>
          <w:type w:val="continuous"/>
          <w:pgSz w:w="11910" w:h="16840"/>
          <w:pgMar w:header="0" w:footer="404" w:top="600" w:bottom="280" w:left="860" w:right="340"/>
        </w:sectPr>
      </w:pPr>
    </w:p>
    <w:p>
      <w:pPr>
        <w:spacing w:before="54"/>
        <w:ind w:left="3938"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line="324" w:lineRule="auto" w:before="82"/>
        <w:ind w:left="357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2"/>
        <w:ind w:left="357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before="2"/>
        <w:ind w:left="4118" w:right="0" w:firstLine="0"/>
        <w:jc w:val="left"/>
        <w:rPr>
          <w:sz w:val="18"/>
        </w:rPr>
      </w:pPr>
      <w:r>
        <w:rPr>
          <w:spacing w:val="-1"/>
          <w:sz w:val="18"/>
        </w:rPr>
        <w:t>带状肌包括：胸骨舌骨肌、胸骨甲状肌、甲状舌骨肌、肩胛舌骨肌</w:t>
      </w:r>
    </w:p>
    <w:p>
      <w:pPr>
        <w:spacing w:line="324" w:lineRule="auto" w:before="81"/>
        <w:ind w:left="3578" w:right="3074" w:firstLine="0"/>
        <w:jc w:val="left"/>
        <w:rPr>
          <w:sz w:val="18"/>
        </w:rPr>
      </w:pPr>
      <w:r>
        <w:rPr>
          <w:spacing w:val="-2"/>
          <w:position w:val="1"/>
          <w:sz w:val="18"/>
        </w:rPr>
        <w:t>pT</w:t>
      </w:r>
      <w:r>
        <w:rPr>
          <w:spacing w:val="-2"/>
          <w:sz w:val="9"/>
        </w:rPr>
        <w:t>4</w:t>
      </w:r>
      <w:r>
        <w:rPr>
          <w:spacing w:val="-2"/>
          <w:position w:val="1"/>
          <w:sz w:val="18"/>
        </w:rPr>
        <w:t>：大体侵犯甲状腺外带状肌外</w:t>
      </w:r>
      <w:r>
        <w:rPr>
          <w:spacing w:val="80"/>
          <w:w w:val="150"/>
          <w:position w:val="1"/>
          <w:sz w:val="18"/>
        </w:rPr>
        <w:t>      </w:t>
      </w: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2"/>
        <w:ind w:left="3578" w:right="5277" w:firstLine="0"/>
        <w:jc w:val="left"/>
        <w:rPr>
          <w:sz w:val="18"/>
        </w:rPr>
      </w:pPr>
      <w:r>
        <w:rPr>
          <w:spacing w:val="-2"/>
          <w:sz w:val="18"/>
        </w:rPr>
        <w:t>甲状腺髓样癌</w:t>
      </w:r>
      <w:r>
        <w:rPr>
          <w:spacing w:val="8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6" w:lineRule="auto" w:before="2"/>
        <w:ind w:left="3938" w:right="3927" w:hanging="360"/>
        <w:jc w:val="left"/>
        <w:rPr>
          <w:sz w:val="18"/>
        </w:rPr>
      </w:pPr>
      <w:r>
        <w:rPr>
          <w:spacing w:val="-2"/>
          <w:position w:val="1"/>
          <w:sz w:val="18"/>
        </w:rPr>
        <w:t>pT</w:t>
      </w:r>
      <w:r>
        <w:rPr>
          <w:spacing w:val="-2"/>
          <w:sz w:val="9"/>
        </w:rPr>
        <w:t>1</w:t>
      </w:r>
      <w:r>
        <w:rPr>
          <w:spacing w:val="-2"/>
          <w:position w:val="1"/>
          <w:sz w:val="18"/>
        </w:rPr>
        <w:t>：肿瘤局限在甲状腺内，最大径≤2cm </w:t>
      </w:r>
      <w:r>
        <w:rPr>
          <w:position w:val="1"/>
          <w:sz w:val="18"/>
        </w:rPr>
        <w:t>T</w:t>
      </w:r>
      <w:r>
        <w:rPr>
          <w:sz w:val="9"/>
        </w:rPr>
        <w:t>1a</w:t>
      </w:r>
      <w:r>
        <w:rPr>
          <w:spacing w:val="-24"/>
          <w:sz w:val="9"/>
        </w:rPr>
        <w:t> </w:t>
      </w:r>
      <w:r>
        <w:rPr>
          <w:position w:val="1"/>
          <w:sz w:val="18"/>
        </w:rPr>
        <w:t>肿瘤最大径≤1cm</w:t>
      </w:r>
    </w:p>
    <w:p>
      <w:pPr>
        <w:spacing w:line="324" w:lineRule="auto" w:before="0"/>
        <w:ind w:left="357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0"/>
        <w:ind w:left="357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before="1"/>
        <w:ind w:left="4118" w:right="0" w:firstLine="0"/>
        <w:jc w:val="left"/>
        <w:rPr>
          <w:sz w:val="18"/>
        </w:rPr>
      </w:pPr>
      <w:r>
        <w:rPr>
          <w:spacing w:val="-1"/>
          <w:sz w:val="18"/>
        </w:rPr>
        <w:t>带状肌包括：胸骨舌骨肌、胸骨甲状肌、甲状舌骨肌、肩胛舌骨肌</w:t>
      </w:r>
    </w:p>
    <w:p>
      <w:pPr>
        <w:spacing w:before="81"/>
        <w:ind w:left="3578" w:right="0" w:firstLine="0"/>
        <w:jc w:val="left"/>
        <w:rPr>
          <w:sz w:val="18"/>
        </w:rPr>
      </w:pPr>
      <w:r>
        <w:rPr>
          <w:position w:val="1"/>
          <w:sz w:val="18"/>
        </w:rPr>
        <w:t>pT</w:t>
      </w:r>
      <w:r>
        <w:rPr>
          <w:sz w:val="9"/>
        </w:rPr>
        <w:t>4</w:t>
      </w:r>
      <w:r>
        <w:rPr>
          <w:spacing w:val="-2"/>
          <w:position w:val="1"/>
          <w:sz w:val="18"/>
        </w:rPr>
        <w:t>：进展期病变</w:t>
      </w:r>
    </w:p>
    <w:p>
      <w:pPr>
        <w:spacing w:line="324" w:lineRule="auto" w:before="81"/>
        <w:ind w:left="3578" w:right="676"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w:t>
      </w:r>
      <w:r>
        <w:rPr>
          <w:spacing w:val="-2"/>
          <w:sz w:val="18"/>
        </w:rPr>
        <w:t>气管、食管、喉反神经及皮下软组织</w:t>
      </w:r>
    </w:p>
    <w:p>
      <w:pPr>
        <w:spacing w:line="324" w:lineRule="auto" w:before="2"/>
        <w:ind w:left="3578" w:right="1094"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1"/>
        <w:ind w:left="3578" w:right="5097"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w:t>
      </w:r>
      <w:r>
        <w:rPr>
          <w:spacing w:val="-2"/>
          <w:position w:val="1"/>
          <w:sz w:val="18"/>
        </w:rPr>
        <w:t> pN</w:t>
      </w:r>
      <w:r>
        <w:rPr>
          <w:spacing w:val="-2"/>
          <w:sz w:val="9"/>
        </w:rPr>
        <w:t>1</w:t>
      </w:r>
      <w:r>
        <w:rPr>
          <w:spacing w:val="-2"/>
          <w:position w:val="1"/>
          <w:sz w:val="18"/>
        </w:rPr>
        <w:t>：区域淋巴结转移</w:t>
      </w:r>
    </w:p>
    <w:p>
      <w:pPr>
        <w:spacing w:line="324" w:lineRule="auto" w:before="2"/>
        <w:ind w:left="3578" w:right="596" w:firstLine="0"/>
        <w:jc w:val="left"/>
        <w:rPr>
          <w:sz w:val="18"/>
        </w:rPr>
      </w:pPr>
      <w:r>
        <w:rPr>
          <w:position w:val="1"/>
          <w:sz w:val="18"/>
        </w:rPr>
        <w:t>pN</w:t>
      </w:r>
      <w:r>
        <w:rPr>
          <w:sz w:val="9"/>
        </w:rPr>
        <w:t>1a</w:t>
      </w:r>
      <w:r>
        <w:rPr>
          <w:position w:val="1"/>
          <w:sz w:val="18"/>
        </w:rPr>
        <w:t>：转移至Ⅵ、Ⅶ区（包括气管旁、气管前、喉前/Delphian</w:t>
      </w:r>
      <w:r>
        <w:rPr>
          <w:spacing w:val="-10"/>
          <w:position w:val="1"/>
          <w:sz w:val="18"/>
        </w:rPr>
        <w:t> 或上纵隔</w:t>
      </w:r>
      <w:r>
        <w:rPr>
          <w:position w:val="1"/>
          <w:sz w:val="18"/>
        </w:rPr>
        <w:t>）淋巴结，</w:t>
      </w:r>
      <w:r>
        <w:rPr>
          <w:spacing w:val="-2"/>
          <w:sz w:val="18"/>
        </w:rPr>
        <w:t>可以为单侧或双侧。</w:t>
      </w:r>
    </w:p>
    <w:p>
      <w:pPr>
        <w:spacing w:line="324" w:lineRule="auto" w:before="2"/>
        <w:ind w:left="3578" w:right="670"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w:t>
      </w:r>
      <w:r>
        <w:rPr>
          <w:spacing w:val="-2"/>
          <w:sz w:val="18"/>
        </w:rPr>
        <w:t>后淋巴结转移。</w:t>
      </w:r>
    </w:p>
    <w:p>
      <w:pPr>
        <w:spacing w:line="324" w:lineRule="auto" w:before="1"/>
        <w:ind w:left="3578" w:right="4605" w:firstLine="0"/>
        <w:jc w:val="left"/>
        <w:rPr>
          <w:sz w:val="18"/>
        </w:rPr>
      </w:pPr>
      <w:r>
        <w:rPr/>
        <w:pict>
          <v:shape style="position:absolute;margin-left:221.330002pt;margin-top:44.809986pt;width:253.15pt;height:161.25pt;mso-position-horizontal-relative:page;mso-position-vertical-relative:paragraph;z-index:15734784" type="#_x0000_t202" id="docshape3"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3" w:hRule="atLeast"/>
                    </w:trPr>
                    <w:tc>
                      <w:tcPr>
                        <w:tcW w:w="5053" w:type="dxa"/>
                        <w:gridSpan w:val="4"/>
                      </w:tcPr>
                      <w:p>
                        <w:pPr>
                          <w:pStyle w:val="TableParagraph"/>
                          <w:spacing w:before="43"/>
                          <w:ind w:left="107"/>
                          <w:rPr>
                            <w:sz w:val="18"/>
                          </w:rPr>
                        </w:pPr>
                        <w:r>
                          <w:rPr>
                            <w:sz w:val="18"/>
                          </w:rPr>
                          <w:t>乳头状或滤泡状癌（分化型</w:t>
                        </w:r>
                        <w:r>
                          <w:rPr>
                            <w:spacing w:val="-10"/>
                            <w:sz w:val="18"/>
                          </w:rPr>
                          <w:t>）</w:t>
                        </w:r>
                      </w:p>
                    </w:tc>
                  </w:tr>
                  <w:tr>
                    <w:trPr>
                      <w:trHeight w:val="312" w:hRule="atLeast"/>
                    </w:trPr>
                    <w:tc>
                      <w:tcPr>
                        <w:tcW w:w="5053" w:type="dxa"/>
                        <w:gridSpan w:val="4"/>
                      </w:tcPr>
                      <w:p>
                        <w:pPr>
                          <w:pStyle w:val="TableParagraph"/>
                          <w:spacing w:before="41"/>
                          <w:ind w:left="107"/>
                          <w:rPr>
                            <w:sz w:val="18"/>
                          </w:rPr>
                        </w:pPr>
                        <w:r>
                          <w:rPr>
                            <w:sz w:val="18"/>
                          </w:rPr>
                          <w:t>年龄＜55</w:t>
                        </w:r>
                        <w:r>
                          <w:rPr>
                            <w:spacing w:val="-28"/>
                            <w:sz w:val="18"/>
                          </w:rPr>
                          <w:t> 岁</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z w:val="18"/>
                          </w:rPr>
                          <w:t>T</w:t>
                        </w:r>
                      </w:p>
                    </w:tc>
                    <w:tc>
                      <w:tcPr>
                        <w:tcW w:w="1133" w:type="dxa"/>
                      </w:tcPr>
                      <w:p>
                        <w:pPr>
                          <w:pStyle w:val="TableParagraph"/>
                          <w:spacing w:before="40"/>
                          <w:rPr>
                            <w:sz w:val="18"/>
                          </w:rPr>
                        </w:pPr>
                        <w:r>
                          <w:rPr>
                            <w:sz w:val="18"/>
                          </w:rPr>
                          <w:t>N</w:t>
                        </w:r>
                      </w:p>
                    </w:tc>
                    <w:tc>
                      <w:tcPr>
                        <w:tcW w:w="1268" w:type="dxa"/>
                      </w:tcPr>
                      <w:p>
                        <w:pPr>
                          <w:pStyle w:val="TableParagraph"/>
                          <w:spacing w:before="40"/>
                          <w:rPr>
                            <w:sz w:val="18"/>
                          </w:rPr>
                        </w:pPr>
                        <w:r>
                          <w:rPr>
                            <w:sz w:val="18"/>
                          </w:rPr>
                          <w:t>M</w:t>
                        </w:r>
                      </w:p>
                    </w:tc>
                  </w:tr>
                  <w:tr>
                    <w:trPr>
                      <w:trHeight w:val="311" w:hRule="atLeast"/>
                    </w:trPr>
                    <w:tc>
                      <w:tcPr>
                        <w:tcW w:w="1418" w:type="dxa"/>
                      </w:tcPr>
                      <w:p>
                        <w:pPr>
                          <w:pStyle w:val="TableParagraph"/>
                          <w:spacing w:before="40"/>
                          <w:ind w:left="107"/>
                          <w:rPr>
                            <w:sz w:val="18"/>
                          </w:rPr>
                        </w:pPr>
                        <w:r>
                          <w:rPr>
                            <w:spacing w:val="-5"/>
                            <w:sz w:val="18"/>
                          </w:rPr>
                          <w:t>Ⅰ期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pacing w:val="-5"/>
                            <w:sz w:val="18"/>
                          </w:rPr>
                          <w:t>Ⅱ期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1</w:t>
                        </w:r>
                      </w:p>
                    </w:tc>
                  </w:tr>
                  <w:tr>
                    <w:trPr>
                      <w:trHeight w:val="311" w:hRule="atLeast"/>
                    </w:trPr>
                    <w:tc>
                      <w:tcPr>
                        <w:tcW w:w="5053" w:type="dxa"/>
                        <w:gridSpan w:val="4"/>
                      </w:tcPr>
                      <w:p>
                        <w:pPr>
                          <w:pStyle w:val="TableParagraph"/>
                          <w:spacing w:before="40"/>
                          <w:ind w:left="107"/>
                          <w:rPr>
                            <w:sz w:val="18"/>
                          </w:rPr>
                        </w:pPr>
                        <w:r>
                          <w:rPr>
                            <w:sz w:val="18"/>
                          </w:rPr>
                          <w:t>年龄≥55</w:t>
                        </w:r>
                        <w:r>
                          <w:rPr>
                            <w:spacing w:val="-28"/>
                            <w:sz w:val="18"/>
                          </w:rPr>
                          <w:t> 岁</w:t>
                        </w:r>
                      </w:p>
                    </w:tc>
                  </w:tr>
                  <w:tr>
                    <w:trPr>
                      <w:trHeight w:val="313" w:hRule="atLeast"/>
                    </w:trPr>
                    <w:tc>
                      <w:tcPr>
                        <w:tcW w:w="1418" w:type="dxa"/>
                      </w:tcPr>
                      <w:p>
                        <w:pPr>
                          <w:pStyle w:val="TableParagraph"/>
                          <w:spacing w:before="43"/>
                          <w:ind w:left="107"/>
                          <w:rPr>
                            <w:sz w:val="18"/>
                          </w:rPr>
                        </w:pPr>
                        <w:r>
                          <w:rPr>
                            <w:spacing w:val="-5"/>
                            <w:sz w:val="18"/>
                          </w:rPr>
                          <w:t>Ⅰ期</w:t>
                        </w:r>
                      </w:p>
                    </w:tc>
                    <w:tc>
                      <w:tcPr>
                        <w:tcW w:w="1234" w:type="dxa"/>
                      </w:tcPr>
                      <w:p>
                        <w:pPr>
                          <w:pStyle w:val="TableParagraph"/>
                          <w:spacing w:before="43"/>
                          <w:rPr>
                            <w:sz w:val="18"/>
                          </w:rPr>
                        </w:pPr>
                        <w:r>
                          <w:rPr>
                            <w:sz w:val="18"/>
                          </w:rPr>
                          <w:t>1</w:t>
                        </w:r>
                      </w:p>
                    </w:tc>
                    <w:tc>
                      <w:tcPr>
                        <w:tcW w:w="1133" w:type="dxa"/>
                      </w:tcPr>
                      <w:p>
                        <w:pPr>
                          <w:pStyle w:val="TableParagraph"/>
                          <w:spacing w:before="43"/>
                          <w:rPr>
                            <w:sz w:val="18"/>
                          </w:rPr>
                        </w:pPr>
                        <w:r>
                          <w:rPr>
                            <w:spacing w:val="-5"/>
                            <w:sz w:val="18"/>
                          </w:rPr>
                          <w:t>0/x</w:t>
                        </w:r>
                      </w:p>
                    </w:tc>
                    <w:tc>
                      <w:tcPr>
                        <w:tcW w:w="1268" w:type="dxa"/>
                      </w:tcPr>
                      <w:p>
                        <w:pPr>
                          <w:pStyle w:val="TableParagraph"/>
                          <w:spacing w:before="43"/>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z w:val="18"/>
                          </w:rPr>
                          <w:t>2</w:t>
                        </w:r>
                      </w:p>
                    </w:tc>
                    <w:tc>
                      <w:tcPr>
                        <w:tcW w:w="1133" w:type="dxa"/>
                      </w:tcPr>
                      <w:p>
                        <w:pPr>
                          <w:pStyle w:val="TableParagraph"/>
                          <w:spacing w:before="40"/>
                          <w:rPr>
                            <w:sz w:val="18"/>
                          </w:rPr>
                        </w:pPr>
                        <w:r>
                          <w:rPr>
                            <w:spacing w:val="-5"/>
                            <w:sz w:val="18"/>
                          </w:rPr>
                          <w:t>0/x</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pacing w:val="-5"/>
                            <w:sz w:val="18"/>
                          </w:rPr>
                          <w:t>Ⅱ期</w:t>
                        </w:r>
                      </w:p>
                    </w:tc>
                    <w:tc>
                      <w:tcPr>
                        <w:tcW w:w="1234" w:type="dxa"/>
                      </w:tcPr>
                      <w:p>
                        <w:pPr>
                          <w:pStyle w:val="TableParagraph"/>
                          <w:spacing w:before="40"/>
                          <w:rPr>
                            <w:sz w:val="18"/>
                          </w:rPr>
                        </w:pPr>
                        <w:r>
                          <w:rPr>
                            <w:spacing w:val="-5"/>
                            <w:sz w:val="18"/>
                          </w:rPr>
                          <w:t>1～2</w:t>
                        </w:r>
                      </w:p>
                    </w:tc>
                    <w:tc>
                      <w:tcPr>
                        <w:tcW w:w="1133" w:type="dxa"/>
                      </w:tcPr>
                      <w:p>
                        <w:pPr>
                          <w:pStyle w:val="TableParagraph"/>
                          <w:spacing w:before="40"/>
                          <w:rPr>
                            <w:sz w:val="18"/>
                          </w:rPr>
                        </w:pPr>
                        <w:r>
                          <w:rPr>
                            <w:sz w:val="18"/>
                          </w:rPr>
                          <w:t>1</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pacing w:val="-4"/>
                            <w:sz w:val="18"/>
                          </w:rPr>
                          <w:t>3a～3b</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0</w:t>
                        </w:r>
                      </w:p>
                    </w:tc>
                  </w:tr>
                </w:tbl>
                <w:p>
                  <w:pPr>
                    <w:pStyle w:val="BodyText"/>
                  </w:pPr>
                </w:p>
              </w:txbxContent>
            </v:textbox>
            <w10:wrap type="none"/>
          </v:shape>
        </w:pict>
      </w:r>
      <w:r>
        <w:rPr>
          <w:spacing w:val="-2"/>
          <w:sz w:val="18"/>
        </w:rPr>
        <w:t>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w:t>
      </w:r>
      <w:r>
        <w:rPr>
          <w:spacing w:val="-2"/>
          <w:position w:val="1"/>
          <w:sz w:val="18"/>
        </w:rPr>
        <w:t>M</w:t>
      </w:r>
      <w:r>
        <w:rPr>
          <w:spacing w:val="-2"/>
          <w:sz w:val="9"/>
        </w:rPr>
        <w:t>1</w:t>
      </w:r>
      <w:r>
        <w:rPr>
          <w:spacing w:val="-2"/>
          <w:position w:val="1"/>
          <w:sz w:val="18"/>
        </w:rPr>
        <w:t>：有远处转移</w:t>
      </w:r>
    </w:p>
    <w:p>
      <w:pPr>
        <w:spacing w:after="0" w:line="324" w:lineRule="auto"/>
        <w:jc w:val="left"/>
        <w:rPr>
          <w:sz w:val="18"/>
        </w:rPr>
        <w:sectPr>
          <w:pgSz w:w="11910" w:h="16840"/>
          <w:pgMar w:header="0" w:footer="404" w:top="1100" w:bottom="600" w:left="860" w:right="340"/>
        </w:sectPr>
      </w:pPr>
    </w:p>
    <w:tbl>
      <w:tblPr>
        <w:tblW w:w="0" w:type="auto"/>
        <w:jc w:val="left"/>
        <w:tblInd w:w="3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1" w:hRule="atLeast"/>
        </w:trPr>
        <w:tc>
          <w:tcPr>
            <w:tcW w:w="1418" w:type="dxa"/>
            <w:tcBorders>
              <w:top w:val="nil"/>
            </w:tcBorders>
          </w:tcPr>
          <w:p>
            <w:pPr>
              <w:pStyle w:val="TableParagraph"/>
              <w:spacing w:before="41"/>
              <w:ind w:left="107"/>
              <w:rPr>
                <w:sz w:val="18"/>
              </w:rPr>
            </w:pPr>
            <w:r>
              <w:rPr>
                <w:spacing w:val="-5"/>
                <w:sz w:val="18"/>
              </w:rPr>
              <w:t>Ⅲ期</w:t>
            </w:r>
          </w:p>
        </w:tc>
        <w:tc>
          <w:tcPr>
            <w:tcW w:w="1234" w:type="dxa"/>
            <w:tcBorders>
              <w:top w:val="nil"/>
            </w:tcBorders>
          </w:tcPr>
          <w:p>
            <w:pPr>
              <w:pStyle w:val="TableParagraph"/>
              <w:spacing w:before="41"/>
              <w:rPr>
                <w:sz w:val="18"/>
              </w:rPr>
            </w:pPr>
            <w:r>
              <w:rPr>
                <w:spacing w:val="-5"/>
                <w:sz w:val="18"/>
              </w:rPr>
              <w:t>4a</w:t>
            </w:r>
          </w:p>
        </w:tc>
        <w:tc>
          <w:tcPr>
            <w:tcW w:w="1133" w:type="dxa"/>
            <w:tcBorders>
              <w:top w:val="nil"/>
            </w:tcBorders>
          </w:tcPr>
          <w:p>
            <w:pPr>
              <w:pStyle w:val="TableParagraph"/>
              <w:spacing w:before="41"/>
              <w:rPr>
                <w:sz w:val="18"/>
              </w:rPr>
            </w:pPr>
            <w:r>
              <w:rPr>
                <w:spacing w:val="-5"/>
                <w:sz w:val="18"/>
              </w:rPr>
              <w:t>任何</w:t>
            </w:r>
          </w:p>
        </w:tc>
        <w:tc>
          <w:tcPr>
            <w:tcW w:w="1268" w:type="dxa"/>
            <w:tcBorders>
              <w:top w:val="nil"/>
            </w:tcBorders>
          </w:tcPr>
          <w:p>
            <w:pPr>
              <w:pStyle w:val="TableParagraph"/>
              <w:spacing w:before="41"/>
              <w:rPr>
                <w:sz w:val="18"/>
              </w:rPr>
            </w:pPr>
            <w:r>
              <w:rPr>
                <w:sz w:val="18"/>
              </w:rPr>
              <w:t>0</w:t>
            </w:r>
          </w:p>
        </w:tc>
      </w:tr>
      <w:tr>
        <w:trPr>
          <w:trHeight w:val="314" w:hRule="atLeast"/>
        </w:trPr>
        <w:tc>
          <w:tcPr>
            <w:tcW w:w="1418" w:type="dxa"/>
          </w:tcPr>
          <w:p>
            <w:pPr>
              <w:pStyle w:val="TableParagraph"/>
              <w:spacing w:before="43"/>
              <w:ind w:left="107"/>
              <w:rPr>
                <w:sz w:val="18"/>
              </w:rPr>
            </w:pPr>
            <w:r>
              <w:rPr>
                <w:sz w:val="18"/>
              </w:rPr>
              <w:t>ⅣA</w:t>
            </w:r>
            <w:r>
              <w:rPr>
                <w:spacing w:val="-27"/>
                <w:sz w:val="18"/>
              </w:rPr>
              <w:t> 期</w:t>
            </w:r>
          </w:p>
        </w:tc>
        <w:tc>
          <w:tcPr>
            <w:tcW w:w="1234" w:type="dxa"/>
          </w:tcPr>
          <w:p>
            <w:pPr>
              <w:pStyle w:val="TableParagraph"/>
              <w:spacing w:before="43"/>
              <w:rPr>
                <w:sz w:val="18"/>
              </w:rPr>
            </w:pPr>
            <w:r>
              <w:rPr>
                <w:spacing w:val="-5"/>
                <w:sz w:val="18"/>
              </w:rPr>
              <w:t>4b</w:t>
            </w:r>
          </w:p>
        </w:tc>
        <w:tc>
          <w:tcPr>
            <w:tcW w:w="1133" w:type="dxa"/>
          </w:tcPr>
          <w:p>
            <w:pPr>
              <w:pStyle w:val="TableParagraph"/>
              <w:spacing w:before="43"/>
              <w:rPr>
                <w:sz w:val="18"/>
              </w:rPr>
            </w:pPr>
            <w:r>
              <w:rPr>
                <w:spacing w:val="-5"/>
                <w:sz w:val="18"/>
              </w:rPr>
              <w:t>任何</w:t>
            </w:r>
          </w:p>
        </w:tc>
        <w:tc>
          <w:tcPr>
            <w:tcW w:w="1268" w:type="dxa"/>
          </w:tcPr>
          <w:p>
            <w:pPr>
              <w:pStyle w:val="TableParagraph"/>
              <w:spacing w:before="43"/>
              <w:rPr>
                <w:sz w:val="18"/>
              </w:rPr>
            </w:pPr>
            <w:r>
              <w:rPr>
                <w:sz w:val="18"/>
              </w:rPr>
              <w:t>0</w:t>
            </w:r>
          </w:p>
        </w:tc>
      </w:tr>
      <w:tr>
        <w:trPr>
          <w:trHeight w:val="311" w:hRule="atLeast"/>
        </w:trPr>
        <w:tc>
          <w:tcPr>
            <w:tcW w:w="1418" w:type="dxa"/>
          </w:tcPr>
          <w:p>
            <w:pPr>
              <w:pStyle w:val="TableParagraph"/>
              <w:spacing w:before="40"/>
              <w:ind w:left="107"/>
              <w:rPr>
                <w:sz w:val="18"/>
              </w:rPr>
            </w:pPr>
            <w:r>
              <w:rPr>
                <w:sz w:val="18"/>
              </w:rPr>
              <w:t>ⅣB</w:t>
            </w:r>
            <w:r>
              <w:rPr>
                <w:spacing w:val="-27"/>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1</w:t>
            </w:r>
          </w:p>
        </w:tc>
      </w:tr>
      <w:tr>
        <w:trPr>
          <w:trHeight w:val="311" w:hRule="atLeast"/>
        </w:trPr>
        <w:tc>
          <w:tcPr>
            <w:tcW w:w="5053" w:type="dxa"/>
            <w:gridSpan w:val="4"/>
          </w:tcPr>
          <w:p>
            <w:pPr>
              <w:pStyle w:val="TableParagraph"/>
              <w:spacing w:before="40"/>
              <w:ind w:left="107"/>
              <w:rPr>
                <w:sz w:val="18"/>
              </w:rPr>
            </w:pPr>
            <w:r>
              <w:rPr>
                <w:sz w:val="18"/>
              </w:rPr>
              <w:t>髓样癌（所有年龄组</w:t>
            </w:r>
            <w:r>
              <w:rPr>
                <w:spacing w:val="-10"/>
                <w:sz w:val="18"/>
              </w:rPr>
              <w:t>）</w:t>
            </w:r>
          </w:p>
        </w:tc>
      </w:tr>
      <w:tr>
        <w:trPr>
          <w:trHeight w:val="311" w:hRule="atLeast"/>
        </w:trPr>
        <w:tc>
          <w:tcPr>
            <w:tcW w:w="1418" w:type="dxa"/>
          </w:tcPr>
          <w:p>
            <w:pPr>
              <w:pStyle w:val="TableParagraph"/>
              <w:spacing w:before="40"/>
              <w:ind w:left="107"/>
              <w:rPr>
                <w:sz w:val="18"/>
              </w:rPr>
            </w:pPr>
            <w:r>
              <w:rPr>
                <w:spacing w:val="-5"/>
                <w:sz w:val="18"/>
              </w:rPr>
              <w:t>Ⅰ期</w:t>
            </w:r>
          </w:p>
        </w:tc>
        <w:tc>
          <w:tcPr>
            <w:tcW w:w="1234" w:type="dxa"/>
          </w:tcPr>
          <w:p>
            <w:pPr>
              <w:pStyle w:val="TableParagraph"/>
              <w:spacing w:before="40"/>
              <w:rPr>
                <w:sz w:val="18"/>
              </w:rPr>
            </w:pPr>
            <w:r>
              <w:rPr>
                <w:sz w:val="18"/>
              </w:rPr>
              <w:t>1</w:t>
            </w:r>
          </w:p>
        </w:tc>
        <w:tc>
          <w:tcPr>
            <w:tcW w:w="1133" w:type="dxa"/>
          </w:tcPr>
          <w:p>
            <w:pPr>
              <w:pStyle w:val="TableParagraph"/>
              <w:spacing w:before="40"/>
              <w:rPr>
                <w:sz w:val="18"/>
              </w:rPr>
            </w:pPr>
            <w:r>
              <w:rPr>
                <w:sz w:val="18"/>
              </w:rPr>
              <w:t>0</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pacing w:val="-5"/>
                <w:sz w:val="18"/>
              </w:rPr>
              <w:t>Ⅱ期</w:t>
            </w:r>
          </w:p>
        </w:tc>
        <w:tc>
          <w:tcPr>
            <w:tcW w:w="1234" w:type="dxa"/>
          </w:tcPr>
          <w:p>
            <w:pPr>
              <w:pStyle w:val="TableParagraph"/>
              <w:spacing w:before="40"/>
              <w:rPr>
                <w:sz w:val="18"/>
              </w:rPr>
            </w:pPr>
            <w:r>
              <w:rPr>
                <w:spacing w:val="-5"/>
                <w:sz w:val="18"/>
              </w:rPr>
              <w:t>2～3</w:t>
            </w:r>
          </w:p>
        </w:tc>
        <w:tc>
          <w:tcPr>
            <w:tcW w:w="1133" w:type="dxa"/>
          </w:tcPr>
          <w:p>
            <w:pPr>
              <w:pStyle w:val="TableParagraph"/>
              <w:spacing w:before="40"/>
              <w:rPr>
                <w:sz w:val="18"/>
              </w:rPr>
            </w:pPr>
            <w:r>
              <w:rPr>
                <w:sz w:val="18"/>
              </w:rPr>
              <w:t>0</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pacing w:val="-5"/>
                <w:sz w:val="18"/>
              </w:rPr>
              <w:t>Ⅲ期</w:t>
            </w:r>
          </w:p>
        </w:tc>
        <w:tc>
          <w:tcPr>
            <w:tcW w:w="1234" w:type="dxa"/>
          </w:tcPr>
          <w:p>
            <w:pPr>
              <w:pStyle w:val="TableParagraph"/>
              <w:spacing w:before="40"/>
              <w:rPr>
                <w:sz w:val="18"/>
              </w:rPr>
            </w:pPr>
            <w:r>
              <w:rPr>
                <w:spacing w:val="-5"/>
                <w:sz w:val="18"/>
              </w:rPr>
              <w:t>1～3</w:t>
            </w:r>
          </w:p>
        </w:tc>
        <w:tc>
          <w:tcPr>
            <w:tcW w:w="1133" w:type="dxa"/>
          </w:tcPr>
          <w:p>
            <w:pPr>
              <w:pStyle w:val="TableParagraph"/>
              <w:spacing w:before="40"/>
              <w:rPr>
                <w:sz w:val="18"/>
              </w:rPr>
            </w:pPr>
            <w:r>
              <w:rPr>
                <w:spacing w:val="-5"/>
                <w:sz w:val="18"/>
              </w:rPr>
              <w:t>1a</w:t>
            </w:r>
          </w:p>
        </w:tc>
        <w:tc>
          <w:tcPr>
            <w:tcW w:w="1268" w:type="dxa"/>
          </w:tcPr>
          <w:p>
            <w:pPr>
              <w:pStyle w:val="TableParagraph"/>
              <w:spacing w:before="40"/>
              <w:rPr>
                <w:sz w:val="18"/>
              </w:rPr>
            </w:pPr>
            <w:r>
              <w:rPr>
                <w:sz w:val="18"/>
              </w:rPr>
              <w:t>0</w:t>
            </w:r>
          </w:p>
        </w:tc>
      </w:tr>
      <w:tr>
        <w:trPr>
          <w:trHeight w:val="313" w:hRule="atLeast"/>
        </w:trPr>
        <w:tc>
          <w:tcPr>
            <w:tcW w:w="1418" w:type="dxa"/>
          </w:tcPr>
          <w:p>
            <w:pPr>
              <w:pStyle w:val="TableParagraph"/>
              <w:spacing w:before="43"/>
              <w:ind w:left="107"/>
              <w:rPr>
                <w:sz w:val="18"/>
              </w:rPr>
            </w:pPr>
            <w:r>
              <w:rPr>
                <w:sz w:val="18"/>
              </w:rPr>
              <w:t>ⅣA</w:t>
            </w:r>
            <w:r>
              <w:rPr>
                <w:spacing w:val="-27"/>
                <w:sz w:val="18"/>
              </w:rPr>
              <w:t> 期</w:t>
            </w:r>
          </w:p>
        </w:tc>
        <w:tc>
          <w:tcPr>
            <w:tcW w:w="1234" w:type="dxa"/>
          </w:tcPr>
          <w:p>
            <w:pPr>
              <w:pStyle w:val="TableParagraph"/>
              <w:spacing w:before="43"/>
              <w:rPr>
                <w:sz w:val="18"/>
              </w:rPr>
            </w:pPr>
            <w:r>
              <w:rPr>
                <w:spacing w:val="-5"/>
                <w:sz w:val="18"/>
              </w:rPr>
              <w:t>4a</w:t>
            </w:r>
          </w:p>
        </w:tc>
        <w:tc>
          <w:tcPr>
            <w:tcW w:w="1133" w:type="dxa"/>
          </w:tcPr>
          <w:p>
            <w:pPr>
              <w:pStyle w:val="TableParagraph"/>
              <w:spacing w:before="43"/>
              <w:rPr>
                <w:sz w:val="18"/>
              </w:rPr>
            </w:pPr>
            <w:r>
              <w:rPr>
                <w:spacing w:val="-5"/>
                <w:sz w:val="18"/>
              </w:rPr>
              <w:t>任何</w:t>
            </w:r>
          </w:p>
        </w:tc>
        <w:tc>
          <w:tcPr>
            <w:tcW w:w="1268" w:type="dxa"/>
          </w:tcPr>
          <w:p>
            <w:pPr>
              <w:pStyle w:val="TableParagraph"/>
              <w:spacing w:before="43"/>
              <w:rPr>
                <w:sz w:val="18"/>
              </w:rPr>
            </w:pPr>
            <w:r>
              <w:rPr>
                <w:sz w:val="18"/>
              </w:rPr>
              <w:t>0</w:t>
            </w:r>
          </w:p>
        </w:tc>
      </w:tr>
      <w:tr>
        <w:trPr>
          <w:trHeight w:val="311" w:hRule="atLeast"/>
        </w:trPr>
        <w:tc>
          <w:tcPr>
            <w:tcW w:w="1418" w:type="dxa"/>
          </w:tcPr>
          <w:p>
            <w:pPr>
              <w:pStyle w:val="TableParagraph"/>
              <w:ind w:left="0"/>
              <w:rPr>
                <w:rFonts w:ascii="Times New Roman"/>
                <w:sz w:val="20"/>
              </w:rPr>
            </w:pPr>
          </w:p>
        </w:tc>
        <w:tc>
          <w:tcPr>
            <w:tcW w:w="1234" w:type="dxa"/>
          </w:tcPr>
          <w:p>
            <w:pPr>
              <w:pStyle w:val="TableParagraph"/>
              <w:spacing w:before="40"/>
              <w:rPr>
                <w:sz w:val="18"/>
              </w:rPr>
            </w:pPr>
            <w:r>
              <w:rPr>
                <w:spacing w:val="-5"/>
                <w:sz w:val="18"/>
              </w:rPr>
              <w:t>1～3</w:t>
            </w:r>
          </w:p>
        </w:tc>
        <w:tc>
          <w:tcPr>
            <w:tcW w:w="1133" w:type="dxa"/>
          </w:tcPr>
          <w:p>
            <w:pPr>
              <w:pStyle w:val="TableParagraph"/>
              <w:spacing w:before="40"/>
              <w:rPr>
                <w:sz w:val="18"/>
              </w:rPr>
            </w:pPr>
            <w:r>
              <w:rPr>
                <w:spacing w:val="-5"/>
                <w:sz w:val="18"/>
              </w:rPr>
              <w:t>1b</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z w:val="18"/>
              </w:rPr>
              <w:t>ⅣB</w:t>
            </w:r>
            <w:r>
              <w:rPr>
                <w:spacing w:val="-27"/>
                <w:sz w:val="18"/>
              </w:rPr>
              <w:t> 期</w:t>
            </w:r>
          </w:p>
        </w:tc>
        <w:tc>
          <w:tcPr>
            <w:tcW w:w="1234" w:type="dxa"/>
          </w:tcPr>
          <w:p>
            <w:pPr>
              <w:pStyle w:val="TableParagraph"/>
              <w:spacing w:before="40"/>
              <w:rPr>
                <w:sz w:val="18"/>
              </w:rPr>
            </w:pPr>
            <w:r>
              <w:rPr>
                <w:spacing w:val="-5"/>
                <w:sz w:val="18"/>
              </w:rPr>
              <w:t>4b</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z w:val="18"/>
              </w:rPr>
              <w:t>ⅣC</w:t>
            </w:r>
            <w:r>
              <w:rPr>
                <w:spacing w:val="-27"/>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1</w:t>
            </w:r>
          </w:p>
        </w:tc>
      </w:tr>
      <w:tr>
        <w:trPr>
          <w:trHeight w:val="311" w:hRule="atLeast"/>
        </w:trPr>
        <w:tc>
          <w:tcPr>
            <w:tcW w:w="5053" w:type="dxa"/>
            <w:gridSpan w:val="4"/>
          </w:tcPr>
          <w:p>
            <w:pPr>
              <w:pStyle w:val="TableParagraph"/>
              <w:spacing w:before="40"/>
              <w:ind w:left="107"/>
              <w:rPr>
                <w:sz w:val="18"/>
              </w:rPr>
            </w:pPr>
            <w:r>
              <w:rPr>
                <w:sz w:val="18"/>
              </w:rPr>
              <w:t>未分化癌（所有年龄组</w:t>
            </w:r>
            <w:r>
              <w:rPr>
                <w:spacing w:val="-10"/>
                <w:sz w:val="18"/>
              </w:rPr>
              <w:t>）</w:t>
            </w:r>
          </w:p>
        </w:tc>
      </w:tr>
      <w:tr>
        <w:trPr>
          <w:trHeight w:val="311" w:hRule="atLeast"/>
        </w:trPr>
        <w:tc>
          <w:tcPr>
            <w:tcW w:w="1418" w:type="dxa"/>
          </w:tcPr>
          <w:p>
            <w:pPr>
              <w:pStyle w:val="TableParagraph"/>
              <w:spacing w:before="40"/>
              <w:ind w:left="107"/>
              <w:rPr>
                <w:sz w:val="18"/>
              </w:rPr>
            </w:pPr>
            <w:r>
              <w:rPr>
                <w:sz w:val="18"/>
              </w:rPr>
              <w:t>ⅣA</w:t>
            </w:r>
            <w:r>
              <w:rPr>
                <w:spacing w:val="-27"/>
                <w:sz w:val="18"/>
              </w:rPr>
              <w:t> 期</w:t>
            </w:r>
          </w:p>
        </w:tc>
        <w:tc>
          <w:tcPr>
            <w:tcW w:w="1234" w:type="dxa"/>
          </w:tcPr>
          <w:p>
            <w:pPr>
              <w:pStyle w:val="TableParagraph"/>
              <w:spacing w:before="40"/>
              <w:rPr>
                <w:sz w:val="18"/>
              </w:rPr>
            </w:pPr>
            <w:r>
              <w:rPr>
                <w:spacing w:val="-4"/>
                <w:sz w:val="18"/>
              </w:rPr>
              <w:t>1～3a</w:t>
            </w:r>
          </w:p>
        </w:tc>
        <w:tc>
          <w:tcPr>
            <w:tcW w:w="1133" w:type="dxa"/>
          </w:tcPr>
          <w:p>
            <w:pPr>
              <w:pStyle w:val="TableParagraph"/>
              <w:spacing w:before="40"/>
              <w:rPr>
                <w:sz w:val="18"/>
              </w:rPr>
            </w:pPr>
            <w:r>
              <w:rPr>
                <w:spacing w:val="-5"/>
                <w:sz w:val="18"/>
              </w:rPr>
              <w:t>0/x</w:t>
            </w:r>
          </w:p>
        </w:tc>
        <w:tc>
          <w:tcPr>
            <w:tcW w:w="1268" w:type="dxa"/>
          </w:tcPr>
          <w:p>
            <w:pPr>
              <w:pStyle w:val="TableParagraph"/>
              <w:spacing w:before="40"/>
              <w:rPr>
                <w:sz w:val="18"/>
              </w:rPr>
            </w:pPr>
            <w:r>
              <w:rPr>
                <w:sz w:val="18"/>
              </w:rPr>
              <w:t>0</w:t>
            </w:r>
          </w:p>
        </w:tc>
      </w:tr>
      <w:tr>
        <w:trPr>
          <w:trHeight w:val="314" w:hRule="atLeast"/>
        </w:trPr>
        <w:tc>
          <w:tcPr>
            <w:tcW w:w="1418" w:type="dxa"/>
          </w:tcPr>
          <w:p>
            <w:pPr>
              <w:pStyle w:val="TableParagraph"/>
              <w:spacing w:before="43"/>
              <w:ind w:left="107"/>
              <w:rPr>
                <w:sz w:val="18"/>
              </w:rPr>
            </w:pPr>
            <w:r>
              <w:rPr>
                <w:sz w:val="18"/>
              </w:rPr>
              <w:t>ⅣB</w:t>
            </w:r>
            <w:r>
              <w:rPr>
                <w:spacing w:val="-27"/>
                <w:sz w:val="18"/>
              </w:rPr>
              <w:t> 期</w:t>
            </w:r>
          </w:p>
        </w:tc>
        <w:tc>
          <w:tcPr>
            <w:tcW w:w="1234" w:type="dxa"/>
          </w:tcPr>
          <w:p>
            <w:pPr>
              <w:pStyle w:val="TableParagraph"/>
              <w:spacing w:before="43"/>
              <w:rPr>
                <w:sz w:val="18"/>
              </w:rPr>
            </w:pPr>
            <w:r>
              <w:rPr>
                <w:spacing w:val="-4"/>
                <w:sz w:val="18"/>
              </w:rPr>
              <w:t>1～3a</w:t>
            </w:r>
          </w:p>
        </w:tc>
        <w:tc>
          <w:tcPr>
            <w:tcW w:w="1133" w:type="dxa"/>
          </w:tcPr>
          <w:p>
            <w:pPr>
              <w:pStyle w:val="TableParagraph"/>
              <w:spacing w:before="43"/>
              <w:rPr>
                <w:sz w:val="18"/>
              </w:rPr>
            </w:pPr>
            <w:r>
              <w:rPr>
                <w:sz w:val="18"/>
              </w:rPr>
              <w:t>1</w:t>
            </w:r>
          </w:p>
        </w:tc>
        <w:tc>
          <w:tcPr>
            <w:tcW w:w="1268" w:type="dxa"/>
          </w:tcPr>
          <w:p>
            <w:pPr>
              <w:pStyle w:val="TableParagraph"/>
              <w:spacing w:before="43"/>
              <w:rPr>
                <w:sz w:val="18"/>
              </w:rPr>
            </w:pPr>
            <w:r>
              <w:rPr>
                <w:sz w:val="18"/>
              </w:rPr>
              <w:t>0</w:t>
            </w:r>
          </w:p>
        </w:tc>
      </w:tr>
      <w:tr>
        <w:trPr>
          <w:trHeight w:val="311" w:hRule="atLeast"/>
        </w:trPr>
        <w:tc>
          <w:tcPr>
            <w:tcW w:w="1418" w:type="dxa"/>
          </w:tcPr>
          <w:p>
            <w:pPr>
              <w:pStyle w:val="TableParagraph"/>
              <w:ind w:left="0"/>
              <w:rPr>
                <w:rFonts w:ascii="Times New Roman"/>
                <w:sz w:val="20"/>
              </w:rPr>
            </w:pPr>
          </w:p>
        </w:tc>
        <w:tc>
          <w:tcPr>
            <w:tcW w:w="1234" w:type="dxa"/>
          </w:tcPr>
          <w:p>
            <w:pPr>
              <w:pStyle w:val="TableParagraph"/>
              <w:spacing w:before="40"/>
              <w:rPr>
                <w:sz w:val="18"/>
              </w:rPr>
            </w:pPr>
            <w:r>
              <w:rPr>
                <w:spacing w:val="-4"/>
                <w:sz w:val="18"/>
              </w:rPr>
              <w:t>3b～4</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0</w:t>
            </w:r>
          </w:p>
        </w:tc>
      </w:tr>
      <w:tr>
        <w:trPr>
          <w:trHeight w:val="311" w:hRule="atLeast"/>
        </w:trPr>
        <w:tc>
          <w:tcPr>
            <w:tcW w:w="1418" w:type="dxa"/>
          </w:tcPr>
          <w:p>
            <w:pPr>
              <w:pStyle w:val="TableParagraph"/>
              <w:spacing w:before="40"/>
              <w:ind w:left="107"/>
              <w:rPr>
                <w:sz w:val="18"/>
              </w:rPr>
            </w:pPr>
            <w:r>
              <w:rPr>
                <w:sz w:val="18"/>
              </w:rPr>
              <w:t>ⅣC</w:t>
            </w:r>
            <w:r>
              <w:rPr>
                <w:spacing w:val="-27"/>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8" w:type="dxa"/>
          </w:tcPr>
          <w:p>
            <w:pPr>
              <w:pStyle w:val="TableParagraph"/>
              <w:spacing w:before="40"/>
              <w:rPr>
                <w:sz w:val="18"/>
              </w:rPr>
            </w:pPr>
            <w:r>
              <w:rPr>
                <w:sz w:val="18"/>
              </w:rPr>
              <w:t>1</w:t>
            </w:r>
          </w:p>
        </w:tc>
      </w:tr>
    </w:tbl>
    <w:p>
      <w:pPr>
        <w:spacing w:before="65"/>
        <w:ind w:left="3000" w:right="0" w:firstLine="0"/>
        <w:jc w:val="left"/>
        <w:rPr>
          <w:rFonts w:ascii="仿宋" w:hAnsi="仿宋" w:eastAsia="仿宋"/>
          <w:sz w:val="18"/>
        </w:rPr>
      </w:pPr>
      <w:r>
        <w:rPr>
          <w:sz w:val="18"/>
        </w:rPr>
        <w:t>注：以上表格中“年龄”指患者病理组织标本获取日期时的年龄</w:t>
      </w:r>
      <w:r>
        <w:rPr>
          <w:rFonts w:ascii="仿宋" w:hAnsi="仿宋" w:eastAsia="仿宋"/>
          <w:spacing w:val="-10"/>
          <w:sz w:val="18"/>
        </w:rPr>
        <w:t>。</w:t>
      </w:r>
    </w:p>
    <w:p>
      <w:pPr>
        <w:pStyle w:val="BodyText"/>
        <w:spacing w:before="9"/>
        <w:rPr>
          <w:rFonts w:ascii="仿宋"/>
          <w:sz w:val="22"/>
        </w:rPr>
      </w:pPr>
    </w:p>
    <w:p>
      <w:pPr>
        <w:pStyle w:val="ListParagraph"/>
        <w:numPr>
          <w:ilvl w:val="1"/>
          <w:numId w:val="107"/>
        </w:numPr>
        <w:tabs>
          <w:tab w:pos="1120" w:val="left" w:leader="none"/>
          <w:tab w:pos="1121" w:val="left" w:leader="none"/>
          <w:tab w:pos="3000" w:val="left" w:leader="none"/>
        </w:tabs>
        <w:spacing w:line="240" w:lineRule="auto" w:before="0" w:after="0"/>
        <w:ind w:left="1120" w:right="0" w:hanging="854"/>
        <w:jc w:val="left"/>
        <w:rPr>
          <w:sz w:val="21"/>
        </w:rPr>
      </w:pPr>
      <w:r>
        <w:rPr>
          <w:b/>
          <w:sz w:val="21"/>
        </w:rPr>
        <w:t>肢</w:t>
      </w:r>
      <w:r>
        <w:rPr>
          <w:b/>
          <w:spacing w:val="-10"/>
          <w:sz w:val="21"/>
        </w:rPr>
        <w:t>体</w:t>
      </w:r>
      <w:r>
        <w:rPr>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BodyText"/>
        <w:spacing w:before="12"/>
        <w:rPr>
          <w:sz w:val="20"/>
        </w:rPr>
      </w:pPr>
    </w:p>
    <w:p>
      <w:pPr>
        <w:pStyle w:val="ListParagraph"/>
        <w:numPr>
          <w:ilvl w:val="1"/>
          <w:numId w:val="107"/>
        </w:numPr>
        <w:tabs>
          <w:tab w:pos="1120" w:val="left" w:leader="none"/>
          <w:tab w:pos="1121" w:val="left" w:leader="none"/>
          <w:tab w:pos="3000" w:val="left" w:leader="none"/>
        </w:tabs>
        <w:spacing w:line="240" w:lineRule="auto" w:before="0" w:after="0"/>
        <w:ind w:left="1120" w:right="0" w:hanging="854"/>
        <w:jc w:val="left"/>
        <w:rPr>
          <w:sz w:val="21"/>
        </w:rPr>
      </w:pPr>
      <w:r>
        <w:rPr>
          <w:b/>
          <w:sz w:val="21"/>
        </w:rPr>
        <w:t>肌</w:t>
      </w:r>
      <w:r>
        <w:rPr>
          <w:b/>
          <w:spacing w:val="-10"/>
          <w:sz w:val="21"/>
        </w:rPr>
        <w:t>力</w:t>
      </w:r>
      <w:r>
        <w:rPr>
          <w:b/>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spacing w:val="-50"/>
          <w:sz w:val="21"/>
        </w:rPr>
        <w:t> </w:t>
      </w:r>
      <w:r>
        <w:rPr>
          <w:spacing w:val="-2"/>
          <w:sz w:val="21"/>
        </w:rPr>
        <w:t>0-5</w:t>
      </w:r>
      <w:r>
        <w:rPr>
          <w:spacing w:val="9"/>
          <w:sz w:val="21"/>
        </w:rPr>
        <w:t> </w:t>
      </w:r>
      <w:r>
        <w:rPr>
          <w:spacing w:val="-2"/>
          <w:sz w:val="21"/>
        </w:rPr>
        <w:t>级，具体为</w:t>
      </w:r>
      <w:r>
        <w:rPr>
          <w:spacing w:val="-10"/>
          <w:sz w:val="21"/>
        </w:rPr>
        <w:t>：</w:t>
      </w:r>
    </w:p>
    <w:p>
      <w:pPr>
        <w:pStyle w:val="ListParagraph"/>
        <w:numPr>
          <w:ilvl w:val="0"/>
          <w:numId w:val="113"/>
        </w:numPr>
        <w:tabs>
          <w:tab w:pos="3159" w:val="left" w:leader="none"/>
        </w:tabs>
        <w:spacing w:line="240" w:lineRule="auto" w:before="43" w:after="0"/>
        <w:ind w:left="3158" w:right="0" w:hanging="159"/>
        <w:jc w:val="left"/>
        <w:rPr>
          <w:sz w:val="21"/>
        </w:rPr>
      </w:pPr>
      <w:r>
        <w:rPr>
          <w:spacing w:val="-3"/>
          <w:sz w:val="21"/>
        </w:rPr>
        <w:t>级：肌肉完全瘫痪，毫无收缩。</w:t>
      </w:r>
    </w:p>
    <w:p>
      <w:pPr>
        <w:pStyle w:val="ListParagraph"/>
        <w:numPr>
          <w:ilvl w:val="0"/>
          <w:numId w:val="113"/>
        </w:numPr>
        <w:tabs>
          <w:tab w:pos="3159" w:val="left" w:leader="none"/>
        </w:tabs>
        <w:spacing w:line="240" w:lineRule="auto" w:before="43" w:after="0"/>
        <w:ind w:left="3158" w:right="0" w:hanging="159"/>
        <w:jc w:val="left"/>
        <w:rPr>
          <w:sz w:val="21"/>
        </w:rPr>
      </w:pPr>
      <w:r>
        <w:rPr>
          <w:spacing w:val="-3"/>
          <w:sz w:val="21"/>
        </w:rPr>
        <w:t>级：可看到或者触及肌肉轻微收缩，但不能产生动作。</w:t>
      </w:r>
    </w:p>
    <w:p>
      <w:pPr>
        <w:pStyle w:val="ListParagraph"/>
        <w:numPr>
          <w:ilvl w:val="0"/>
          <w:numId w:val="113"/>
        </w:numPr>
        <w:tabs>
          <w:tab w:pos="3159" w:val="left" w:leader="none"/>
        </w:tabs>
        <w:spacing w:line="278" w:lineRule="auto" w:before="43" w:after="0"/>
        <w:ind w:left="3578" w:right="666" w:hanging="579"/>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0"/>
          <w:numId w:val="113"/>
        </w:numPr>
        <w:tabs>
          <w:tab w:pos="3159" w:val="left" w:leader="none"/>
        </w:tabs>
        <w:spacing w:line="269" w:lineRule="exact" w:before="0" w:after="0"/>
        <w:ind w:left="3158" w:right="0" w:hanging="159"/>
        <w:jc w:val="left"/>
        <w:rPr>
          <w:sz w:val="21"/>
        </w:rPr>
      </w:pPr>
      <w:r>
        <w:rPr>
          <w:spacing w:val="-3"/>
          <w:sz w:val="21"/>
        </w:rPr>
        <w:t>级：在和地心引力相反的方向中尚能完成其动作，但不能对抗外加阻力。</w:t>
      </w:r>
    </w:p>
    <w:p>
      <w:pPr>
        <w:pStyle w:val="ListParagraph"/>
        <w:numPr>
          <w:ilvl w:val="0"/>
          <w:numId w:val="113"/>
        </w:numPr>
        <w:tabs>
          <w:tab w:pos="3159" w:val="left" w:leader="none"/>
        </w:tabs>
        <w:spacing w:line="240" w:lineRule="auto" w:before="44" w:after="0"/>
        <w:ind w:left="3158" w:right="0" w:hanging="159"/>
        <w:jc w:val="left"/>
        <w:rPr>
          <w:sz w:val="21"/>
        </w:rPr>
      </w:pPr>
      <w:r>
        <w:rPr>
          <w:spacing w:val="-3"/>
          <w:sz w:val="21"/>
        </w:rPr>
        <w:t>级：能对抗一定的阻力，但较正常人为低。</w:t>
      </w:r>
    </w:p>
    <w:p>
      <w:pPr>
        <w:pStyle w:val="ListParagraph"/>
        <w:numPr>
          <w:ilvl w:val="0"/>
          <w:numId w:val="113"/>
        </w:numPr>
        <w:tabs>
          <w:tab w:pos="3159" w:val="left" w:leader="none"/>
        </w:tabs>
        <w:spacing w:line="240" w:lineRule="auto" w:before="43" w:after="0"/>
        <w:ind w:left="3158" w:right="0" w:hanging="159"/>
        <w:jc w:val="left"/>
        <w:rPr>
          <w:sz w:val="21"/>
        </w:rPr>
      </w:pPr>
      <w:r>
        <w:rPr>
          <w:spacing w:val="-4"/>
          <w:sz w:val="21"/>
        </w:rPr>
        <w:t>级：正常肌力。</w:t>
      </w:r>
    </w:p>
    <w:p>
      <w:pPr>
        <w:pStyle w:val="BodyText"/>
        <w:spacing w:before="7"/>
        <w:rPr>
          <w:sz w:val="15"/>
        </w:rPr>
      </w:pPr>
    </w:p>
    <w:p>
      <w:pPr>
        <w:spacing w:after="0"/>
        <w:rPr>
          <w:sz w:val="15"/>
        </w:rPr>
        <w:sectPr>
          <w:pgSz w:w="11910" w:h="16840"/>
          <w:pgMar w:header="0" w:footer="404" w:top="1100" w:bottom="600" w:left="860" w:right="340"/>
        </w:sectPr>
      </w:pPr>
    </w:p>
    <w:p>
      <w:pPr>
        <w:pStyle w:val="Heading2"/>
        <w:numPr>
          <w:ilvl w:val="1"/>
          <w:numId w:val="107"/>
        </w:numPr>
        <w:tabs>
          <w:tab w:pos="1120" w:val="left" w:leader="none"/>
          <w:tab w:pos="1121" w:val="left" w:leader="none"/>
        </w:tabs>
        <w:spacing w:line="278" w:lineRule="auto" w:before="71" w:after="0"/>
        <w:ind w:left="1120" w:right="38" w:hanging="853"/>
        <w:jc w:val="left"/>
      </w:pPr>
      <w:r>
        <w:rPr>
          <w:spacing w:val="-2"/>
        </w:rPr>
        <w:t>六项基本日常生</w:t>
      </w:r>
      <w:r>
        <w:rPr>
          <w:spacing w:val="-4"/>
        </w:rPr>
        <w:t>活活动</w:t>
      </w:r>
    </w:p>
    <w:p>
      <w:pPr>
        <w:pStyle w:val="BodyText"/>
        <w:spacing w:before="71"/>
        <w:ind w:left="268"/>
      </w:pPr>
      <w:r>
        <w:rPr/>
        <w:br w:type="column"/>
      </w:r>
      <w:r>
        <w:rPr>
          <w:spacing w:val="-3"/>
        </w:rPr>
        <w:t>六项基本日常生活活动是指</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穿衣：自己能够穿衣及脱衣；</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移动：自己从一个房间到另一个房间；</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行动：自己上下床或上下轮椅；</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如厕：自己控制进行大小便；</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进食：自己从已准备好的碗或碟中取食物放入口中；</w:t>
      </w:r>
    </w:p>
    <w:p>
      <w:pPr>
        <w:pStyle w:val="ListParagraph"/>
        <w:numPr>
          <w:ilvl w:val="0"/>
          <w:numId w:val="114"/>
        </w:numPr>
        <w:tabs>
          <w:tab w:pos="797" w:val="left" w:leader="none"/>
        </w:tabs>
        <w:spacing w:line="240" w:lineRule="auto" w:before="43" w:after="0"/>
        <w:ind w:left="797" w:right="0" w:hanging="529"/>
        <w:jc w:val="left"/>
        <w:rPr>
          <w:sz w:val="21"/>
        </w:rPr>
      </w:pPr>
      <w:r>
        <w:rPr>
          <w:spacing w:val="-3"/>
          <w:sz w:val="21"/>
        </w:rPr>
        <w:t>洗澡：自己进行淋浴或盆浴。</w:t>
      </w:r>
    </w:p>
    <w:p>
      <w:pPr>
        <w:pStyle w:val="Heading2"/>
        <w:spacing w:before="43"/>
        <w:ind w:left="268"/>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活动能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71"/>
        </w:rPr>
        <w:t> </w:t>
      </w:r>
      <w:r>
        <w:rPr>
          <w:w w:val="95"/>
        </w:rPr>
        <w:t>0-3</w:t>
      </w:r>
      <w:r>
        <w:rPr>
          <w:spacing w:val="68"/>
        </w:rPr>
        <w:t> </w:t>
      </w:r>
      <w:r>
        <w:rPr>
          <w:w w:val="95"/>
        </w:rPr>
        <w:t>周</w:t>
      </w:r>
      <w:r>
        <w:rPr>
          <w:w w:val="95"/>
        </w:rPr>
        <w:t>岁</w:t>
      </w:r>
      <w:r>
        <w:rPr>
          <w:w w:val="95"/>
        </w:rPr>
        <w:t>幼</w:t>
      </w:r>
      <w:r>
        <w:rPr>
          <w:w w:val="95"/>
        </w:rPr>
        <w:t>儿</w:t>
      </w:r>
      <w:r>
        <w:rPr>
          <w:spacing w:val="-10"/>
          <w:w w:val="95"/>
        </w:rPr>
        <w:t>。</w:t>
      </w:r>
    </w:p>
    <w:p>
      <w:pPr>
        <w:spacing w:after="0"/>
        <w:sectPr>
          <w:type w:val="continuous"/>
          <w:pgSz w:w="11910" w:h="16840"/>
          <w:pgMar w:header="0" w:footer="404" w:top="600" w:bottom="280" w:left="860" w:right="340"/>
          <w:cols w:num="2" w:equalWidth="0">
            <w:col w:w="2639" w:space="93"/>
            <w:col w:w="7978"/>
          </w:cols>
        </w:sectPr>
      </w:pPr>
    </w:p>
    <w:p>
      <w:pPr>
        <w:pStyle w:val="BodyText"/>
        <w:spacing w:before="5"/>
        <w:rPr>
          <w:b/>
          <w:sz w:val="15"/>
        </w:rPr>
      </w:pPr>
    </w:p>
    <w:p>
      <w:pPr>
        <w:pStyle w:val="ListParagraph"/>
        <w:numPr>
          <w:ilvl w:val="1"/>
          <w:numId w:val="107"/>
        </w:numPr>
        <w:tabs>
          <w:tab w:pos="1120" w:val="left" w:leader="none"/>
          <w:tab w:pos="1121" w:val="left" w:leader="none"/>
          <w:tab w:pos="3000" w:val="left" w:leader="none"/>
        </w:tabs>
        <w:spacing w:line="278" w:lineRule="auto" w:before="72" w:after="0"/>
        <w:ind w:left="3000" w:right="666" w:hanging="2733"/>
        <w:jc w:val="left"/>
        <w:rPr>
          <w:sz w:val="21"/>
        </w:rPr>
      </w:pP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z w:val="21"/>
        </w:rPr>
        <w:tab/>
      </w:r>
      <w:r>
        <w:rPr>
          <w:sz w:val="21"/>
        </w:rPr>
        <w:t>指自疾病确诊或意外伤害</w:t>
      </w:r>
      <w:r>
        <w:rPr>
          <w:sz w:val="21"/>
        </w:rPr>
        <w:t>发生之日起，经过积极治疗</w:t>
      </w:r>
      <w:r>
        <w:rPr>
          <w:spacing w:val="-16"/>
          <w:sz w:val="21"/>
        </w:rPr>
        <w:t> </w:t>
      </w:r>
      <w:r>
        <w:rPr>
          <w:sz w:val="21"/>
        </w:rPr>
        <w:t>180</w:t>
      </w:r>
      <w:r>
        <w:rPr>
          <w:spacing w:val="-16"/>
          <w:sz w:val="21"/>
        </w:rPr>
        <w:t> </w:t>
      </w:r>
      <w:r>
        <w:rPr>
          <w:sz w:val="21"/>
        </w:rPr>
        <w:t>天后，仍无法通过</w:t>
      </w:r>
      <w:r>
        <w:rPr>
          <w:spacing w:val="-2"/>
          <w:sz w:val="21"/>
        </w:rPr>
        <w:t>现</w:t>
      </w:r>
      <w:r>
        <w:rPr>
          <w:spacing w:val="-2"/>
          <w:sz w:val="21"/>
        </w:rPr>
        <w:t>有</w:t>
      </w:r>
      <w:r>
        <w:rPr>
          <w:spacing w:val="-2"/>
          <w:sz w:val="21"/>
        </w:rPr>
        <w:t>医疗手段恢</w:t>
      </w:r>
      <w:r>
        <w:rPr>
          <w:spacing w:val="-2"/>
          <w:sz w:val="21"/>
        </w:rPr>
        <w:t>复</w:t>
      </w:r>
      <w:r>
        <w:rPr>
          <w:spacing w:val="-2"/>
          <w:sz w:val="21"/>
        </w:rPr>
        <w:t>。</w:t>
      </w:r>
    </w:p>
    <w:p>
      <w:pPr>
        <w:pStyle w:val="BodyText"/>
        <w:spacing w:before="2"/>
        <w:rPr>
          <w:sz w:val="12"/>
        </w:rPr>
      </w:pPr>
    </w:p>
    <w:p>
      <w:pPr>
        <w:spacing w:after="0"/>
        <w:rPr>
          <w:sz w:val="12"/>
        </w:rPr>
        <w:sectPr>
          <w:type w:val="continuous"/>
          <w:pgSz w:w="11910" w:h="16840"/>
          <w:pgMar w:header="0" w:footer="404" w:top="600" w:bottom="280" w:left="860" w:right="340"/>
        </w:sectPr>
      </w:pPr>
    </w:p>
    <w:p>
      <w:pPr>
        <w:pStyle w:val="Heading2"/>
        <w:numPr>
          <w:ilvl w:val="1"/>
          <w:numId w:val="107"/>
        </w:numPr>
        <w:tabs>
          <w:tab w:pos="1120" w:val="left" w:leader="none"/>
          <w:tab w:pos="1121" w:val="left" w:leader="none"/>
        </w:tabs>
        <w:spacing w:line="240" w:lineRule="auto" w:before="72" w:after="0"/>
        <w:ind w:left="1120" w:right="0" w:hanging="854"/>
        <w:jc w:val="left"/>
      </w:pPr>
      <w:r>
        <w:rPr>
          <w:spacing w:val="-2"/>
        </w:rPr>
        <w:t>美国纽约心脏病</w:t>
      </w:r>
    </w:p>
    <w:p>
      <w:pPr>
        <w:spacing w:line="278" w:lineRule="auto" w:before="43"/>
        <w:ind w:left="1120" w:right="0" w:firstLine="0"/>
        <w:jc w:val="left"/>
        <w:rPr>
          <w:b/>
          <w:sz w:val="21"/>
        </w:rPr>
      </w:pPr>
      <w:r>
        <w:rPr>
          <w:b/>
          <w:sz w:val="21"/>
        </w:rPr>
        <w:t>学会（New York </w:t>
      </w:r>
      <w:r>
        <w:rPr>
          <w:b/>
          <w:spacing w:val="-2"/>
          <w:sz w:val="21"/>
        </w:rPr>
        <w:t>Heart Association， </w:t>
      </w:r>
      <w:r>
        <w:rPr>
          <w:b/>
          <w:spacing w:val="-4"/>
          <w:sz w:val="21"/>
        </w:rPr>
        <w:t>NYHA）心功能状态</w:t>
      </w:r>
      <w:r>
        <w:rPr>
          <w:b/>
          <w:spacing w:val="-6"/>
          <w:sz w:val="21"/>
        </w:rPr>
        <w:t>分级</w:t>
      </w:r>
    </w:p>
    <w:p>
      <w:pPr>
        <w:pStyle w:val="BodyText"/>
        <w:spacing w:line="278" w:lineRule="auto" w:before="72"/>
        <w:ind w:left="174" w:right="670"/>
      </w:pPr>
      <w:r>
        <w:rPr/>
        <w:br w:type="column"/>
      </w:r>
      <w:r>
        <w:rPr/>
        <w:t>美国纽约心脏病学会（New York Heart Association，NYHA）将心功能状态</w:t>
      </w:r>
      <w:r>
        <w:rPr>
          <w:spacing w:val="-2"/>
        </w:rPr>
        <w:t>分为四级：</w:t>
      </w:r>
    </w:p>
    <w:p>
      <w:pPr>
        <w:pStyle w:val="BodyText"/>
        <w:spacing w:line="278" w:lineRule="auto"/>
        <w:ind w:left="174" w:right="672"/>
      </w:pPr>
      <w:r>
        <w:rPr>
          <w:spacing w:val="-2"/>
        </w:rPr>
        <w:t>Ⅰ级：心脏病病人日常活动量不受限制，一般活动不引起乏力、呼吸困难等</w:t>
      </w:r>
      <w:r>
        <w:rPr>
          <w:spacing w:val="-2"/>
        </w:rPr>
        <w:t>心衰症状。</w:t>
      </w:r>
    </w:p>
    <w:p>
      <w:pPr>
        <w:pStyle w:val="BodyText"/>
        <w:spacing w:line="278" w:lineRule="auto"/>
        <w:ind w:left="174" w:right="667"/>
      </w:pPr>
      <w:r>
        <w:rPr>
          <w:spacing w:val="-2"/>
        </w:rPr>
        <w:t>Ⅱ级：心脏病病人体力活动轻度受限制，休息时无自觉症状，一般活动下可</w:t>
      </w:r>
      <w:r>
        <w:rPr>
          <w:spacing w:val="-2"/>
        </w:rPr>
        <w:t>出现心衰症状。</w:t>
      </w:r>
    </w:p>
    <w:p>
      <w:pPr>
        <w:spacing w:after="0" w:line="278" w:lineRule="auto"/>
        <w:sectPr>
          <w:type w:val="continuous"/>
          <w:pgSz w:w="11910" w:h="16840"/>
          <w:pgMar w:header="0" w:footer="404" w:top="600" w:bottom="280" w:left="860" w:right="340"/>
          <w:cols w:num="2" w:equalWidth="0">
            <w:col w:w="2787" w:space="40"/>
            <w:col w:w="7883"/>
          </w:cols>
        </w:sectPr>
      </w:pPr>
    </w:p>
    <w:p>
      <w:pPr>
        <w:pStyle w:val="BodyText"/>
        <w:spacing w:line="278" w:lineRule="auto" w:before="57"/>
        <w:ind w:left="3000" w:right="667"/>
      </w:pPr>
      <w:r>
        <w:rPr>
          <w:spacing w:val="-2"/>
        </w:rPr>
        <w:t>Ⅲ级：心脏病病人体力活动明显受限，低于平时一般活动即引起心衰症状。</w:t>
      </w:r>
      <w:r>
        <w:rPr>
          <w:spacing w:val="-2"/>
        </w:rPr>
        <w:t> Ⅳ级：心脏病病人不能从事任何体力活动，休息状态下也存在心衰症状，活</w:t>
      </w:r>
      <w:r>
        <w:rPr>
          <w:spacing w:val="-2"/>
        </w:rPr>
        <w:t>动后加重。</w:t>
      </w:r>
    </w:p>
    <w:p>
      <w:pPr>
        <w:pStyle w:val="BodyText"/>
        <w:spacing w:before="3"/>
        <w:rPr>
          <w:sz w:val="12"/>
        </w:rPr>
      </w:pPr>
    </w:p>
    <w:p>
      <w:pPr>
        <w:spacing w:after="0"/>
        <w:rPr>
          <w:sz w:val="12"/>
        </w:rPr>
        <w:sectPr>
          <w:pgSz w:w="11910" w:h="16840"/>
          <w:pgMar w:header="0" w:footer="404" w:top="1080" w:bottom="600" w:left="860" w:right="340"/>
        </w:sectPr>
      </w:pPr>
    </w:p>
    <w:p>
      <w:pPr>
        <w:pStyle w:val="Heading2"/>
        <w:numPr>
          <w:ilvl w:val="1"/>
          <w:numId w:val="107"/>
        </w:numPr>
        <w:tabs>
          <w:tab w:pos="1120" w:val="left" w:leader="none"/>
          <w:tab w:pos="1121" w:val="left" w:leader="none"/>
        </w:tabs>
        <w:spacing w:line="240" w:lineRule="auto" w:before="71" w:after="0"/>
        <w:ind w:left="1120" w:right="0" w:hanging="854"/>
        <w:jc w:val="left"/>
      </w:pPr>
      <w:r>
        <w:rPr>
          <w:spacing w:val="-2"/>
        </w:rPr>
        <w:t>语言能力完全丧</w:t>
      </w:r>
    </w:p>
    <w:p>
      <w:pPr>
        <w:spacing w:line="278" w:lineRule="auto" w:before="43"/>
        <w:ind w:left="1120" w:right="0" w:firstLine="0"/>
        <w:jc w:val="left"/>
        <w:rPr>
          <w:b/>
          <w:sz w:val="21"/>
        </w:rPr>
      </w:pPr>
      <w:r>
        <w:rPr>
          <w:b/>
          <w:spacing w:val="-4"/>
          <w:sz w:val="21"/>
        </w:rPr>
        <w:t>失，或严重咀嚼吞</w:t>
      </w:r>
      <w:r>
        <w:rPr>
          <w:b/>
          <w:spacing w:val="-2"/>
          <w:sz w:val="21"/>
        </w:rPr>
        <w:t>咽功能障碍</w:t>
      </w:r>
    </w:p>
    <w:p>
      <w:pPr>
        <w:pStyle w:val="BodyText"/>
        <w:spacing w:line="278" w:lineRule="auto" w:before="71"/>
        <w:ind w:left="174" w:right="767"/>
        <w:jc w:val="both"/>
      </w:pPr>
      <w:r>
        <w:rPr/>
        <w:br w:type="column"/>
      </w:r>
      <w:r>
        <w:rPr>
          <w:spacing w:val="-2"/>
        </w:rPr>
        <w:t>语言能力完全丧失，指无法发出四种语音（包括口唇音、齿舌音、口盖音和</w:t>
      </w:r>
      <w:r>
        <w:rPr>
          <w:spacing w:val="-2"/>
        </w:rPr>
        <w:t>喉头音）中的任何三种、或声带全部切除，或因大脑语言中枢受伤害而患失</w:t>
      </w:r>
      <w:r>
        <w:rPr>
          <w:spacing w:val="-4"/>
        </w:rPr>
        <w:t>语症。</w:t>
      </w:r>
    </w:p>
    <w:p>
      <w:pPr>
        <w:pStyle w:val="BodyText"/>
        <w:spacing w:line="278" w:lineRule="auto"/>
        <w:ind w:left="174" w:right="767"/>
      </w:pPr>
      <w:r>
        <w:rPr>
          <w:spacing w:val="-2"/>
        </w:rPr>
        <w:t>严重咀嚼吞咽功能障碍，指因牙齿以外的原因导致器质障碍或机能障碍，以</w:t>
      </w:r>
      <w:r>
        <w:rPr>
          <w:spacing w:val="-2"/>
        </w:rPr>
        <w:t>致不能作咀嚼吞咽运动，除流质食物外不能摄取或吞咽的状态。</w:t>
      </w:r>
    </w:p>
    <w:p>
      <w:pPr>
        <w:spacing w:after="0" w:line="278" w:lineRule="auto"/>
        <w:sectPr>
          <w:type w:val="continuous"/>
          <w:pgSz w:w="11910" w:h="16840"/>
          <w:pgMar w:header="0" w:footer="404" w:top="600" w:bottom="280" w:left="860" w:right="340"/>
          <w:cols w:num="2" w:equalWidth="0">
            <w:col w:w="2787" w:space="40"/>
            <w:col w:w="7883"/>
          </w:cols>
        </w:sectPr>
      </w:pPr>
    </w:p>
    <w:p>
      <w:pPr>
        <w:pStyle w:val="BodyText"/>
        <w:spacing w:before="8"/>
        <w:rPr>
          <w:sz w:val="22"/>
        </w:rPr>
      </w:pPr>
    </w:p>
    <w:p>
      <w:pPr>
        <w:spacing w:before="72"/>
        <w:ind w:left="16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type w:val="continuous"/>
      <w:pgSz w:w="11910" w:h="16840"/>
      <w:pgMar w:header="0" w:footer="404" w:top="600" w:bottom="280" w:left="86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170013pt;margin-top:810.727234pt;width:15pt;height:8.5pt;mso-position-horizontal-relative:page;mso-position-vertical-relative:page;z-index:-17565184" type="#_x0000_t202" id="docshape2" filled="false" stroked="false">
          <v:textbox inset="0,0,0,0">
            <w:txbxContent>
              <w:p>
                <w:pPr>
                  <w:spacing w:before="1"/>
                  <w:ind w:left="20" w:right="0" w:firstLine="0"/>
                  <w:jc w:val="left"/>
                  <w:rPr>
                    <w:sz w:val="13"/>
                  </w:rPr>
                </w:pPr>
                <w:r>
                  <w:rPr>
                    <w:w w:val="95"/>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3">
    <w:multiLevelType w:val="hybridMultilevel"/>
    <w:lvl w:ilvl="0">
      <w:start w:val="1"/>
      <w:numFmt w:val="decimal"/>
      <w:lvlText w:val="（%1）"/>
      <w:lvlJc w:val="left"/>
      <w:pPr>
        <w:ind w:left="79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7" w:hanging="529"/>
      </w:pPr>
      <w:rPr>
        <w:rFonts w:hint="default"/>
        <w:lang w:val="en-US" w:eastAsia="zh-CN" w:bidi="ar-SA"/>
      </w:rPr>
    </w:lvl>
    <w:lvl w:ilvl="2">
      <w:start w:val="0"/>
      <w:numFmt w:val="bullet"/>
      <w:lvlText w:val="•"/>
      <w:lvlJc w:val="left"/>
      <w:pPr>
        <w:ind w:left="223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104" w:hanging="529"/>
      </w:pPr>
      <w:rPr>
        <w:rFonts w:hint="default"/>
        <w:lang w:val="en-US" w:eastAsia="zh-CN" w:bidi="ar-SA"/>
      </w:rPr>
    </w:lvl>
    <w:lvl w:ilvl="7">
      <w:start w:val="0"/>
      <w:numFmt w:val="bullet"/>
      <w:lvlText w:val="•"/>
      <w:lvlJc w:val="left"/>
      <w:pPr>
        <w:ind w:left="5821"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12">
    <w:multiLevelType w:val="hybridMultilevel"/>
    <w:lvl w:ilvl="0">
      <w:start w:val="0"/>
      <w:numFmt w:val="decimal"/>
      <w:lvlText w:val="%1"/>
      <w:lvlJc w:val="left"/>
      <w:pPr>
        <w:ind w:left="3158"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14" w:hanging="159"/>
      </w:pPr>
      <w:rPr>
        <w:rFonts w:hint="default"/>
        <w:lang w:val="en-US" w:eastAsia="zh-CN" w:bidi="ar-SA"/>
      </w:rPr>
    </w:lvl>
    <w:lvl w:ilvl="2">
      <w:start w:val="0"/>
      <w:numFmt w:val="bullet"/>
      <w:lvlText w:val="•"/>
      <w:lvlJc w:val="left"/>
      <w:pPr>
        <w:ind w:left="4669" w:hanging="159"/>
      </w:pPr>
      <w:rPr>
        <w:rFonts w:hint="default"/>
        <w:lang w:val="en-US" w:eastAsia="zh-CN" w:bidi="ar-SA"/>
      </w:rPr>
    </w:lvl>
    <w:lvl w:ilvl="3">
      <w:start w:val="0"/>
      <w:numFmt w:val="bullet"/>
      <w:lvlText w:val="•"/>
      <w:lvlJc w:val="left"/>
      <w:pPr>
        <w:ind w:left="5423" w:hanging="159"/>
      </w:pPr>
      <w:rPr>
        <w:rFonts w:hint="default"/>
        <w:lang w:val="en-US" w:eastAsia="zh-CN" w:bidi="ar-SA"/>
      </w:rPr>
    </w:lvl>
    <w:lvl w:ilvl="4">
      <w:start w:val="0"/>
      <w:numFmt w:val="bullet"/>
      <w:lvlText w:val="•"/>
      <w:lvlJc w:val="left"/>
      <w:pPr>
        <w:ind w:left="6178" w:hanging="159"/>
      </w:pPr>
      <w:rPr>
        <w:rFonts w:hint="default"/>
        <w:lang w:val="en-US" w:eastAsia="zh-CN" w:bidi="ar-SA"/>
      </w:rPr>
    </w:lvl>
    <w:lvl w:ilvl="5">
      <w:start w:val="0"/>
      <w:numFmt w:val="bullet"/>
      <w:lvlText w:val="•"/>
      <w:lvlJc w:val="left"/>
      <w:pPr>
        <w:ind w:left="6933" w:hanging="159"/>
      </w:pPr>
      <w:rPr>
        <w:rFonts w:hint="default"/>
        <w:lang w:val="en-US" w:eastAsia="zh-CN" w:bidi="ar-SA"/>
      </w:rPr>
    </w:lvl>
    <w:lvl w:ilvl="6">
      <w:start w:val="0"/>
      <w:numFmt w:val="bullet"/>
      <w:lvlText w:val="•"/>
      <w:lvlJc w:val="left"/>
      <w:pPr>
        <w:ind w:left="7687" w:hanging="159"/>
      </w:pPr>
      <w:rPr>
        <w:rFonts w:hint="default"/>
        <w:lang w:val="en-US" w:eastAsia="zh-CN" w:bidi="ar-SA"/>
      </w:rPr>
    </w:lvl>
    <w:lvl w:ilvl="7">
      <w:start w:val="0"/>
      <w:numFmt w:val="bullet"/>
      <w:lvlText w:val="•"/>
      <w:lvlJc w:val="left"/>
      <w:pPr>
        <w:ind w:left="8442" w:hanging="159"/>
      </w:pPr>
      <w:rPr>
        <w:rFonts w:hint="default"/>
        <w:lang w:val="en-US" w:eastAsia="zh-CN" w:bidi="ar-SA"/>
      </w:rPr>
    </w:lvl>
    <w:lvl w:ilvl="8">
      <w:start w:val="0"/>
      <w:numFmt w:val="bullet"/>
      <w:lvlText w:val="•"/>
      <w:lvlJc w:val="left"/>
      <w:pPr>
        <w:ind w:left="9197" w:hanging="159"/>
      </w:pPr>
      <w:rPr>
        <w:rFonts w:hint="default"/>
        <w:lang w:val="en-US" w:eastAsia="zh-CN" w:bidi="ar-SA"/>
      </w:rPr>
    </w:lvl>
  </w:abstractNum>
  <w:abstractNum w:abstractNumId="111">
    <w:multiLevelType w:val="hybridMultilevel"/>
    <w:lvl w:ilvl="0">
      <w:start w:val="1"/>
      <w:numFmt w:val="decimal"/>
      <w:lvlText w:val="（%1）"/>
      <w:lvlJc w:val="left"/>
      <w:pPr>
        <w:ind w:left="79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7" w:hanging="529"/>
      </w:pPr>
      <w:rPr>
        <w:rFonts w:hint="default"/>
        <w:lang w:val="en-US" w:eastAsia="zh-CN" w:bidi="ar-SA"/>
      </w:rPr>
    </w:lvl>
    <w:lvl w:ilvl="2">
      <w:start w:val="0"/>
      <w:numFmt w:val="bullet"/>
      <w:lvlText w:val="•"/>
      <w:lvlJc w:val="left"/>
      <w:pPr>
        <w:ind w:left="223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104" w:hanging="529"/>
      </w:pPr>
      <w:rPr>
        <w:rFonts w:hint="default"/>
        <w:lang w:val="en-US" w:eastAsia="zh-CN" w:bidi="ar-SA"/>
      </w:rPr>
    </w:lvl>
    <w:lvl w:ilvl="7">
      <w:start w:val="0"/>
      <w:numFmt w:val="bullet"/>
      <w:lvlText w:val="•"/>
      <w:lvlJc w:val="left"/>
      <w:pPr>
        <w:ind w:left="5821"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10">
    <w:multiLevelType w:val="hybridMultilevel"/>
    <w:lvl w:ilvl="0">
      <w:start w:val="1"/>
      <w:numFmt w:val="decimal"/>
      <w:lvlText w:val="（%1）"/>
      <w:lvlJc w:val="left"/>
      <w:pPr>
        <w:ind w:left="79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7" w:hanging="529"/>
      </w:pPr>
      <w:rPr>
        <w:rFonts w:hint="default"/>
        <w:lang w:val="en-US" w:eastAsia="zh-CN" w:bidi="ar-SA"/>
      </w:rPr>
    </w:lvl>
    <w:lvl w:ilvl="2">
      <w:start w:val="0"/>
      <w:numFmt w:val="bullet"/>
      <w:lvlText w:val="•"/>
      <w:lvlJc w:val="left"/>
      <w:pPr>
        <w:ind w:left="223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104" w:hanging="529"/>
      </w:pPr>
      <w:rPr>
        <w:rFonts w:hint="default"/>
        <w:lang w:val="en-US" w:eastAsia="zh-CN" w:bidi="ar-SA"/>
      </w:rPr>
    </w:lvl>
    <w:lvl w:ilvl="7">
      <w:start w:val="0"/>
      <w:numFmt w:val="bullet"/>
      <w:lvlText w:val="•"/>
      <w:lvlJc w:val="left"/>
      <w:pPr>
        <w:ind w:left="5821"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09">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108">
    <w:multiLevelType w:val="hybridMultilevel"/>
    <w:lvl w:ilvl="0">
      <w:start w:val="1"/>
      <w:numFmt w:val="decimal"/>
      <w:lvlText w:val="（%1）"/>
      <w:lvlJc w:val="left"/>
      <w:pPr>
        <w:ind w:left="79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7" w:hanging="529"/>
      </w:pPr>
      <w:rPr>
        <w:rFonts w:hint="default"/>
        <w:lang w:val="en-US" w:eastAsia="zh-CN" w:bidi="ar-SA"/>
      </w:rPr>
    </w:lvl>
    <w:lvl w:ilvl="2">
      <w:start w:val="0"/>
      <w:numFmt w:val="bullet"/>
      <w:lvlText w:val="•"/>
      <w:lvlJc w:val="left"/>
      <w:pPr>
        <w:ind w:left="223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104" w:hanging="529"/>
      </w:pPr>
      <w:rPr>
        <w:rFonts w:hint="default"/>
        <w:lang w:val="en-US" w:eastAsia="zh-CN" w:bidi="ar-SA"/>
      </w:rPr>
    </w:lvl>
    <w:lvl w:ilvl="7">
      <w:start w:val="0"/>
      <w:numFmt w:val="bullet"/>
      <w:lvlText w:val="•"/>
      <w:lvlJc w:val="left"/>
      <w:pPr>
        <w:ind w:left="5821"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07">
    <w:multiLevelType w:val="hybridMultilevel"/>
    <w:lvl w:ilvl="0">
      <w:start w:val="1"/>
      <w:numFmt w:val="decimal"/>
      <w:lvlText w:val="（%1）"/>
      <w:lvlJc w:val="left"/>
      <w:pPr>
        <w:ind w:left="67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7" w:hanging="529"/>
      </w:pPr>
      <w:rPr>
        <w:rFonts w:hint="default"/>
        <w:lang w:val="en-US" w:eastAsia="zh-CN" w:bidi="ar-SA"/>
      </w:rPr>
    </w:lvl>
    <w:lvl w:ilvl="2">
      <w:start w:val="0"/>
      <w:numFmt w:val="bullet"/>
      <w:lvlText w:val="•"/>
      <w:lvlJc w:val="left"/>
      <w:pPr>
        <w:ind w:left="2115" w:hanging="529"/>
      </w:pPr>
      <w:rPr>
        <w:rFonts w:hint="default"/>
        <w:lang w:val="en-US" w:eastAsia="zh-CN" w:bidi="ar-SA"/>
      </w:rPr>
    </w:lvl>
    <w:lvl w:ilvl="3">
      <w:start w:val="0"/>
      <w:numFmt w:val="bullet"/>
      <w:lvlText w:val="•"/>
      <w:lvlJc w:val="left"/>
      <w:pPr>
        <w:ind w:left="2832" w:hanging="529"/>
      </w:pPr>
      <w:rPr>
        <w:rFonts w:hint="default"/>
        <w:lang w:val="en-US" w:eastAsia="zh-CN" w:bidi="ar-SA"/>
      </w:rPr>
    </w:lvl>
    <w:lvl w:ilvl="4">
      <w:start w:val="0"/>
      <w:numFmt w:val="bullet"/>
      <w:lvlText w:val="•"/>
      <w:lvlJc w:val="left"/>
      <w:pPr>
        <w:ind w:left="3550" w:hanging="529"/>
      </w:pPr>
      <w:rPr>
        <w:rFonts w:hint="default"/>
        <w:lang w:val="en-US" w:eastAsia="zh-CN" w:bidi="ar-SA"/>
      </w:rPr>
    </w:lvl>
    <w:lvl w:ilvl="5">
      <w:start w:val="0"/>
      <w:numFmt w:val="bullet"/>
      <w:lvlText w:val="•"/>
      <w:lvlJc w:val="left"/>
      <w:pPr>
        <w:ind w:left="4268" w:hanging="529"/>
      </w:pPr>
      <w:rPr>
        <w:rFonts w:hint="default"/>
        <w:lang w:val="en-US" w:eastAsia="zh-CN" w:bidi="ar-SA"/>
      </w:rPr>
    </w:lvl>
    <w:lvl w:ilvl="6">
      <w:start w:val="0"/>
      <w:numFmt w:val="bullet"/>
      <w:lvlText w:val="•"/>
      <w:lvlJc w:val="left"/>
      <w:pPr>
        <w:ind w:left="4985" w:hanging="529"/>
      </w:pPr>
      <w:rPr>
        <w:rFonts w:hint="default"/>
        <w:lang w:val="en-US" w:eastAsia="zh-CN" w:bidi="ar-SA"/>
      </w:rPr>
    </w:lvl>
    <w:lvl w:ilvl="7">
      <w:start w:val="0"/>
      <w:numFmt w:val="bullet"/>
      <w:lvlText w:val="•"/>
      <w:lvlJc w:val="left"/>
      <w:pPr>
        <w:ind w:left="5703" w:hanging="529"/>
      </w:pPr>
      <w:rPr>
        <w:rFonts w:hint="default"/>
        <w:lang w:val="en-US" w:eastAsia="zh-CN" w:bidi="ar-SA"/>
      </w:rPr>
    </w:lvl>
    <w:lvl w:ilvl="8">
      <w:start w:val="0"/>
      <w:numFmt w:val="bullet"/>
      <w:lvlText w:val="•"/>
      <w:lvlJc w:val="left"/>
      <w:pPr>
        <w:ind w:left="6421" w:hanging="529"/>
      </w:pPr>
      <w:rPr>
        <w:rFonts w:hint="default"/>
        <w:lang w:val="en-US" w:eastAsia="zh-CN" w:bidi="ar-SA"/>
      </w:rPr>
    </w:lvl>
  </w:abstractNum>
  <w:abstractNum w:abstractNumId="106">
    <w:multiLevelType w:val="hybridMultilevel"/>
    <w:lvl w:ilvl="0">
      <w:start w:val="11"/>
      <w:numFmt w:val="decimal"/>
      <w:lvlText w:val="%1"/>
      <w:lvlJc w:val="left"/>
      <w:pPr>
        <w:ind w:left="3000" w:hanging="853"/>
        <w:jc w:val="left"/>
      </w:pPr>
      <w:rPr>
        <w:rFonts w:hint="default"/>
        <w:lang w:val="en-US" w:eastAsia="zh-CN" w:bidi="ar-SA"/>
      </w:rPr>
    </w:lvl>
    <w:lvl w:ilvl="1">
      <w:start w:val="4"/>
      <w:numFmt w:val="decimal"/>
      <w:lvlText w:val="%1.%2"/>
      <w:lvlJc w:val="left"/>
      <w:pPr>
        <w:ind w:left="300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16" w:hanging="529"/>
      </w:pPr>
      <w:rPr>
        <w:rFonts w:hint="default"/>
        <w:lang w:val="en-US" w:eastAsia="zh-CN" w:bidi="ar-SA"/>
      </w:rPr>
    </w:lvl>
    <w:lvl w:ilvl="4">
      <w:start w:val="0"/>
      <w:numFmt w:val="bullet"/>
      <w:lvlText w:val="•"/>
      <w:lvlJc w:val="left"/>
      <w:pPr>
        <w:ind w:left="5915" w:hanging="529"/>
      </w:pPr>
      <w:rPr>
        <w:rFonts w:hint="default"/>
        <w:lang w:val="en-US" w:eastAsia="zh-CN" w:bidi="ar-SA"/>
      </w:rPr>
    </w:lvl>
    <w:lvl w:ilvl="5">
      <w:start w:val="0"/>
      <w:numFmt w:val="bullet"/>
      <w:lvlText w:val="•"/>
      <w:lvlJc w:val="left"/>
      <w:pPr>
        <w:ind w:left="6713" w:hanging="529"/>
      </w:pPr>
      <w:rPr>
        <w:rFonts w:hint="default"/>
        <w:lang w:val="en-US" w:eastAsia="zh-CN" w:bidi="ar-SA"/>
      </w:rPr>
    </w:lvl>
    <w:lvl w:ilvl="6">
      <w:start w:val="0"/>
      <w:numFmt w:val="bullet"/>
      <w:lvlText w:val="•"/>
      <w:lvlJc w:val="left"/>
      <w:pPr>
        <w:ind w:left="7512" w:hanging="529"/>
      </w:pPr>
      <w:rPr>
        <w:rFonts w:hint="default"/>
        <w:lang w:val="en-US" w:eastAsia="zh-CN" w:bidi="ar-SA"/>
      </w:rPr>
    </w:lvl>
    <w:lvl w:ilvl="7">
      <w:start w:val="0"/>
      <w:numFmt w:val="bullet"/>
      <w:lvlText w:val="•"/>
      <w:lvlJc w:val="left"/>
      <w:pPr>
        <w:ind w:left="8310" w:hanging="529"/>
      </w:pPr>
      <w:rPr>
        <w:rFonts w:hint="default"/>
        <w:lang w:val="en-US" w:eastAsia="zh-CN" w:bidi="ar-SA"/>
      </w:rPr>
    </w:lvl>
    <w:lvl w:ilvl="8">
      <w:start w:val="0"/>
      <w:numFmt w:val="bullet"/>
      <w:lvlText w:val="•"/>
      <w:lvlJc w:val="left"/>
      <w:pPr>
        <w:ind w:left="9109" w:hanging="529"/>
      </w:pPr>
      <w:rPr>
        <w:rFonts w:hint="default"/>
        <w:lang w:val="en-US" w:eastAsia="zh-CN" w:bidi="ar-SA"/>
      </w:rPr>
    </w:lvl>
  </w:abstractNum>
  <w:abstractNum w:abstractNumId="105">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1" w:hanging="529"/>
      </w:pPr>
      <w:rPr>
        <w:rFonts w:hint="default"/>
        <w:lang w:val="en-US" w:eastAsia="zh-CN" w:bidi="ar-SA"/>
      </w:rPr>
    </w:lvl>
    <w:lvl w:ilvl="6">
      <w:start w:val="0"/>
      <w:numFmt w:val="bullet"/>
      <w:lvlText w:val="•"/>
      <w:lvlJc w:val="left"/>
      <w:pPr>
        <w:ind w:left="4701" w:hanging="529"/>
      </w:pPr>
      <w:rPr>
        <w:rFonts w:hint="default"/>
        <w:lang w:val="en-US" w:eastAsia="zh-CN" w:bidi="ar-SA"/>
      </w:rPr>
    </w:lvl>
    <w:lvl w:ilvl="7">
      <w:start w:val="0"/>
      <w:numFmt w:val="bullet"/>
      <w:lvlText w:val="•"/>
      <w:lvlJc w:val="left"/>
      <w:pPr>
        <w:ind w:left="5361" w:hanging="529"/>
      </w:pPr>
      <w:rPr>
        <w:rFonts w:hint="default"/>
        <w:lang w:val="en-US" w:eastAsia="zh-CN" w:bidi="ar-SA"/>
      </w:rPr>
    </w:lvl>
    <w:lvl w:ilvl="8">
      <w:start w:val="0"/>
      <w:numFmt w:val="bullet"/>
      <w:lvlText w:val="•"/>
      <w:lvlJc w:val="left"/>
      <w:pPr>
        <w:ind w:left="6021" w:hanging="529"/>
      </w:pPr>
      <w:rPr>
        <w:rFonts w:hint="default"/>
        <w:lang w:val="en-US" w:eastAsia="zh-CN" w:bidi="ar-SA"/>
      </w:rPr>
    </w:lvl>
  </w:abstractNum>
  <w:abstractNum w:abstractNumId="104">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1" w:hanging="529"/>
      </w:pPr>
      <w:rPr>
        <w:rFonts w:hint="default"/>
        <w:lang w:val="en-US" w:eastAsia="zh-CN" w:bidi="ar-SA"/>
      </w:rPr>
    </w:lvl>
    <w:lvl w:ilvl="6">
      <w:start w:val="0"/>
      <w:numFmt w:val="bullet"/>
      <w:lvlText w:val="•"/>
      <w:lvlJc w:val="left"/>
      <w:pPr>
        <w:ind w:left="4701" w:hanging="529"/>
      </w:pPr>
      <w:rPr>
        <w:rFonts w:hint="default"/>
        <w:lang w:val="en-US" w:eastAsia="zh-CN" w:bidi="ar-SA"/>
      </w:rPr>
    </w:lvl>
    <w:lvl w:ilvl="7">
      <w:start w:val="0"/>
      <w:numFmt w:val="bullet"/>
      <w:lvlText w:val="•"/>
      <w:lvlJc w:val="left"/>
      <w:pPr>
        <w:ind w:left="5361" w:hanging="529"/>
      </w:pPr>
      <w:rPr>
        <w:rFonts w:hint="default"/>
        <w:lang w:val="en-US" w:eastAsia="zh-CN" w:bidi="ar-SA"/>
      </w:rPr>
    </w:lvl>
    <w:lvl w:ilvl="8">
      <w:start w:val="0"/>
      <w:numFmt w:val="bullet"/>
      <w:lvlText w:val="•"/>
      <w:lvlJc w:val="left"/>
      <w:pPr>
        <w:ind w:left="6021" w:hanging="529"/>
      </w:pPr>
      <w:rPr>
        <w:rFonts w:hint="default"/>
        <w:lang w:val="en-US" w:eastAsia="zh-CN" w:bidi="ar-SA"/>
      </w:rPr>
    </w:lvl>
  </w:abstractNum>
  <w:abstractNum w:abstractNumId="103">
    <w:multiLevelType w:val="hybridMultilevel"/>
    <w:lvl w:ilvl="0">
      <w:start w:val="1"/>
      <w:numFmt w:val="decimal"/>
      <w:lvlText w:val="（%1）"/>
      <w:lvlJc w:val="left"/>
      <w:pPr>
        <w:ind w:left="89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7"/>
      </w:pPr>
      <w:rPr>
        <w:rFonts w:hint="default"/>
        <w:lang w:val="en-US" w:eastAsia="zh-CN" w:bidi="ar-SA"/>
      </w:rPr>
    </w:lvl>
    <w:lvl w:ilvl="2">
      <w:start w:val="0"/>
      <w:numFmt w:val="bullet"/>
      <w:lvlText w:val="•"/>
      <w:lvlJc w:val="left"/>
      <w:pPr>
        <w:ind w:left="2334" w:hanging="527"/>
      </w:pPr>
      <w:rPr>
        <w:rFonts w:hint="default"/>
        <w:lang w:val="en-US" w:eastAsia="zh-CN" w:bidi="ar-SA"/>
      </w:rPr>
    </w:lvl>
    <w:lvl w:ilvl="3">
      <w:start w:val="0"/>
      <w:numFmt w:val="bullet"/>
      <w:lvlText w:val="•"/>
      <w:lvlJc w:val="left"/>
      <w:pPr>
        <w:ind w:left="3051" w:hanging="527"/>
      </w:pPr>
      <w:rPr>
        <w:rFonts w:hint="default"/>
        <w:lang w:val="en-US" w:eastAsia="zh-CN" w:bidi="ar-SA"/>
      </w:rPr>
    </w:lvl>
    <w:lvl w:ilvl="4">
      <w:start w:val="0"/>
      <w:numFmt w:val="bullet"/>
      <w:lvlText w:val="•"/>
      <w:lvlJc w:val="left"/>
      <w:pPr>
        <w:ind w:left="3768"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03" w:hanging="527"/>
      </w:pPr>
      <w:rPr>
        <w:rFonts w:hint="default"/>
        <w:lang w:val="en-US" w:eastAsia="zh-CN" w:bidi="ar-SA"/>
      </w:rPr>
    </w:lvl>
    <w:lvl w:ilvl="7">
      <w:start w:val="0"/>
      <w:numFmt w:val="bullet"/>
      <w:lvlText w:val="•"/>
      <w:lvlJc w:val="left"/>
      <w:pPr>
        <w:ind w:left="5920" w:hanging="527"/>
      </w:pPr>
      <w:rPr>
        <w:rFonts w:hint="default"/>
        <w:lang w:val="en-US" w:eastAsia="zh-CN" w:bidi="ar-SA"/>
      </w:rPr>
    </w:lvl>
    <w:lvl w:ilvl="8">
      <w:start w:val="0"/>
      <w:numFmt w:val="bullet"/>
      <w:lvlText w:val="•"/>
      <w:lvlJc w:val="left"/>
      <w:pPr>
        <w:ind w:left="6637" w:hanging="527"/>
      </w:pPr>
      <w:rPr>
        <w:rFonts w:hint="default"/>
        <w:lang w:val="en-US" w:eastAsia="zh-CN" w:bidi="ar-SA"/>
      </w:rPr>
    </w:lvl>
  </w:abstractNum>
  <w:abstractNum w:abstractNumId="102">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101">
    <w:multiLevelType w:val="hybridMultilevel"/>
    <w:lvl w:ilvl="0">
      <w:start w:val="1"/>
      <w:numFmt w:val="decimal"/>
      <w:lvlText w:val="（%1）"/>
      <w:lvlJc w:val="left"/>
      <w:pPr>
        <w:ind w:left="891"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025" w:hanging="529"/>
      </w:pPr>
      <w:rPr>
        <w:rFonts w:hint="default"/>
        <w:lang w:val="en-US" w:eastAsia="zh-CN" w:bidi="ar-SA"/>
      </w:rPr>
    </w:lvl>
    <w:lvl w:ilvl="3">
      <w:start w:val="0"/>
      <w:numFmt w:val="bullet"/>
      <w:lvlText w:val="•"/>
      <w:lvlJc w:val="left"/>
      <w:pPr>
        <w:ind w:left="4531" w:hanging="529"/>
      </w:pPr>
      <w:rPr>
        <w:rFonts w:hint="default"/>
        <w:lang w:val="en-US" w:eastAsia="zh-CN" w:bidi="ar-SA"/>
      </w:rPr>
    </w:lvl>
    <w:lvl w:ilvl="4">
      <w:start w:val="0"/>
      <w:numFmt w:val="bullet"/>
      <w:lvlText w:val="•"/>
      <w:lvlJc w:val="left"/>
      <w:pPr>
        <w:ind w:left="5037"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049" w:hanging="529"/>
      </w:pPr>
      <w:rPr>
        <w:rFonts w:hint="default"/>
        <w:lang w:val="en-US" w:eastAsia="zh-CN" w:bidi="ar-SA"/>
      </w:rPr>
    </w:lvl>
    <w:lvl w:ilvl="7">
      <w:start w:val="0"/>
      <w:numFmt w:val="bullet"/>
      <w:lvlText w:val="•"/>
      <w:lvlJc w:val="left"/>
      <w:pPr>
        <w:ind w:left="6554" w:hanging="529"/>
      </w:pPr>
      <w:rPr>
        <w:rFonts w:hint="default"/>
        <w:lang w:val="en-US" w:eastAsia="zh-CN" w:bidi="ar-SA"/>
      </w:rPr>
    </w:lvl>
    <w:lvl w:ilvl="8">
      <w:start w:val="0"/>
      <w:numFmt w:val="bullet"/>
      <w:lvlText w:val="•"/>
      <w:lvlJc w:val="left"/>
      <w:pPr>
        <w:ind w:left="7060" w:hanging="529"/>
      </w:pPr>
      <w:rPr>
        <w:rFonts w:hint="default"/>
        <w:lang w:val="en-US" w:eastAsia="zh-CN" w:bidi="ar-SA"/>
      </w:rPr>
    </w:lvl>
  </w:abstractNum>
  <w:abstractNum w:abstractNumId="100">
    <w:multiLevelType w:val="hybridMultilevel"/>
    <w:lvl w:ilvl="0">
      <w:start w:val="1"/>
      <w:numFmt w:val="decimal"/>
      <w:lvlText w:val="（%1）"/>
      <w:lvlJc w:val="left"/>
      <w:pPr>
        <w:ind w:left="89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7"/>
      </w:pPr>
      <w:rPr>
        <w:rFonts w:hint="default"/>
        <w:lang w:val="en-US" w:eastAsia="zh-CN" w:bidi="ar-SA"/>
      </w:rPr>
    </w:lvl>
    <w:lvl w:ilvl="2">
      <w:start w:val="0"/>
      <w:numFmt w:val="bullet"/>
      <w:lvlText w:val="•"/>
      <w:lvlJc w:val="left"/>
      <w:pPr>
        <w:ind w:left="2334" w:hanging="527"/>
      </w:pPr>
      <w:rPr>
        <w:rFonts w:hint="default"/>
        <w:lang w:val="en-US" w:eastAsia="zh-CN" w:bidi="ar-SA"/>
      </w:rPr>
    </w:lvl>
    <w:lvl w:ilvl="3">
      <w:start w:val="0"/>
      <w:numFmt w:val="bullet"/>
      <w:lvlText w:val="•"/>
      <w:lvlJc w:val="left"/>
      <w:pPr>
        <w:ind w:left="3051" w:hanging="527"/>
      </w:pPr>
      <w:rPr>
        <w:rFonts w:hint="default"/>
        <w:lang w:val="en-US" w:eastAsia="zh-CN" w:bidi="ar-SA"/>
      </w:rPr>
    </w:lvl>
    <w:lvl w:ilvl="4">
      <w:start w:val="0"/>
      <w:numFmt w:val="bullet"/>
      <w:lvlText w:val="•"/>
      <w:lvlJc w:val="left"/>
      <w:pPr>
        <w:ind w:left="3768"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03" w:hanging="527"/>
      </w:pPr>
      <w:rPr>
        <w:rFonts w:hint="default"/>
        <w:lang w:val="en-US" w:eastAsia="zh-CN" w:bidi="ar-SA"/>
      </w:rPr>
    </w:lvl>
    <w:lvl w:ilvl="7">
      <w:start w:val="0"/>
      <w:numFmt w:val="bullet"/>
      <w:lvlText w:val="•"/>
      <w:lvlJc w:val="left"/>
      <w:pPr>
        <w:ind w:left="5920" w:hanging="527"/>
      </w:pPr>
      <w:rPr>
        <w:rFonts w:hint="default"/>
        <w:lang w:val="en-US" w:eastAsia="zh-CN" w:bidi="ar-SA"/>
      </w:rPr>
    </w:lvl>
    <w:lvl w:ilvl="8">
      <w:start w:val="0"/>
      <w:numFmt w:val="bullet"/>
      <w:lvlText w:val="•"/>
      <w:lvlJc w:val="left"/>
      <w:pPr>
        <w:ind w:left="6637" w:hanging="527"/>
      </w:pPr>
      <w:rPr>
        <w:rFonts w:hint="default"/>
        <w:lang w:val="en-US" w:eastAsia="zh-CN" w:bidi="ar-SA"/>
      </w:rPr>
    </w:lvl>
  </w:abstractNum>
  <w:abstractNum w:abstractNumId="99">
    <w:multiLevelType w:val="hybridMultilevel"/>
    <w:lvl w:ilvl="0">
      <w:start w:val="1"/>
      <w:numFmt w:val="decimal"/>
      <w:lvlText w:val="（%1）"/>
      <w:lvlJc w:val="left"/>
      <w:pPr>
        <w:ind w:left="892" w:hanging="527"/>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025" w:hanging="529"/>
      </w:pPr>
      <w:rPr>
        <w:rFonts w:hint="default"/>
        <w:lang w:val="en-US" w:eastAsia="zh-CN" w:bidi="ar-SA"/>
      </w:rPr>
    </w:lvl>
    <w:lvl w:ilvl="3">
      <w:start w:val="0"/>
      <w:numFmt w:val="bullet"/>
      <w:lvlText w:val="•"/>
      <w:lvlJc w:val="left"/>
      <w:pPr>
        <w:ind w:left="4531" w:hanging="529"/>
      </w:pPr>
      <w:rPr>
        <w:rFonts w:hint="default"/>
        <w:lang w:val="en-US" w:eastAsia="zh-CN" w:bidi="ar-SA"/>
      </w:rPr>
    </w:lvl>
    <w:lvl w:ilvl="4">
      <w:start w:val="0"/>
      <w:numFmt w:val="bullet"/>
      <w:lvlText w:val="•"/>
      <w:lvlJc w:val="left"/>
      <w:pPr>
        <w:ind w:left="5037"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049" w:hanging="529"/>
      </w:pPr>
      <w:rPr>
        <w:rFonts w:hint="default"/>
        <w:lang w:val="en-US" w:eastAsia="zh-CN" w:bidi="ar-SA"/>
      </w:rPr>
    </w:lvl>
    <w:lvl w:ilvl="7">
      <w:start w:val="0"/>
      <w:numFmt w:val="bullet"/>
      <w:lvlText w:val="•"/>
      <w:lvlJc w:val="left"/>
      <w:pPr>
        <w:ind w:left="6554" w:hanging="529"/>
      </w:pPr>
      <w:rPr>
        <w:rFonts w:hint="default"/>
        <w:lang w:val="en-US" w:eastAsia="zh-CN" w:bidi="ar-SA"/>
      </w:rPr>
    </w:lvl>
    <w:lvl w:ilvl="8">
      <w:start w:val="0"/>
      <w:numFmt w:val="bullet"/>
      <w:lvlText w:val="•"/>
      <w:lvlJc w:val="left"/>
      <w:pPr>
        <w:ind w:left="7060" w:hanging="529"/>
      </w:pPr>
      <w:rPr>
        <w:rFonts w:hint="default"/>
        <w:lang w:val="en-US" w:eastAsia="zh-CN" w:bidi="ar-SA"/>
      </w:rPr>
    </w:lvl>
  </w:abstractNum>
  <w:abstractNum w:abstractNumId="98">
    <w:multiLevelType w:val="hybridMultilevel"/>
    <w:lvl w:ilvl="0">
      <w:start w:val="1"/>
      <w:numFmt w:val="decimal"/>
      <w:lvlText w:val="（%1）"/>
      <w:lvlJc w:val="left"/>
      <w:pPr>
        <w:ind w:left="8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97">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96">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9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520" w:hanging="529"/>
      </w:pPr>
      <w:rPr>
        <w:rFonts w:hint="default"/>
        <w:lang w:val="en-US" w:eastAsia="zh-CN" w:bidi="ar-SA"/>
      </w:rPr>
    </w:lvl>
    <w:lvl w:ilvl="2">
      <w:start w:val="0"/>
      <w:numFmt w:val="bullet"/>
      <w:lvlText w:val="•"/>
      <w:lvlJc w:val="left"/>
      <w:pPr>
        <w:ind w:left="4014" w:hanging="529"/>
      </w:pPr>
      <w:rPr>
        <w:rFonts w:hint="default"/>
        <w:lang w:val="en-US" w:eastAsia="zh-CN" w:bidi="ar-SA"/>
      </w:rPr>
    </w:lvl>
    <w:lvl w:ilvl="3">
      <w:start w:val="0"/>
      <w:numFmt w:val="bullet"/>
      <w:lvlText w:val="•"/>
      <w:lvlJc w:val="left"/>
      <w:pPr>
        <w:ind w:left="4508" w:hanging="529"/>
      </w:pPr>
      <w:rPr>
        <w:rFonts w:hint="default"/>
        <w:lang w:val="en-US" w:eastAsia="zh-CN" w:bidi="ar-SA"/>
      </w:rPr>
    </w:lvl>
    <w:lvl w:ilvl="4">
      <w:start w:val="0"/>
      <w:numFmt w:val="bullet"/>
      <w:lvlText w:val="•"/>
      <w:lvlJc w:val="left"/>
      <w:pPr>
        <w:ind w:left="5002" w:hanging="529"/>
      </w:pPr>
      <w:rPr>
        <w:rFonts w:hint="default"/>
        <w:lang w:val="en-US" w:eastAsia="zh-CN" w:bidi="ar-SA"/>
      </w:rPr>
    </w:lvl>
    <w:lvl w:ilvl="5">
      <w:start w:val="0"/>
      <w:numFmt w:val="bullet"/>
      <w:lvlText w:val="•"/>
      <w:lvlJc w:val="left"/>
      <w:pPr>
        <w:ind w:left="5497" w:hanging="529"/>
      </w:pPr>
      <w:rPr>
        <w:rFonts w:hint="default"/>
        <w:lang w:val="en-US" w:eastAsia="zh-CN" w:bidi="ar-SA"/>
      </w:rPr>
    </w:lvl>
    <w:lvl w:ilvl="6">
      <w:start w:val="0"/>
      <w:numFmt w:val="bullet"/>
      <w:lvlText w:val="•"/>
      <w:lvlJc w:val="left"/>
      <w:pPr>
        <w:ind w:left="5991" w:hanging="529"/>
      </w:pPr>
      <w:rPr>
        <w:rFonts w:hint="default"/>
        <w:lang w:val="en-US" w:eastAsia="zh-CN" w:bidi="ar-SA"/>
      </w:rPr>
    </w:lvl>
    <w:lvl w:ilvl="7">
      <w:start w:val="0"/>
      <w:numFmt w:val="bullet"/>
      <w:lvlText w:val="•"/>
      <w:lvlJc w:val="left"/>
      <w:pPr>
        <w:ind w:left="6485" w:hanging="529"/>
      </w:pPr>
      <w:rPr>
        <w:rFonts w:hint="default"/>
        <w:lang w:val="en-US" w:eastAsia="zh-CN" w:bidi="ar-SA"/>
      </w:rPr>
    </w:lvl>
    <w:lvl w:ilvl="8">
      <w:start w:val="0"/>
      <w:numFmt w:val="bullet"/>
      <w:lvlText w:val="•"/>
      <w:lvlJc w:val="left"/>
      <w:pPr>
        <w:ind w:left="6980" w:hanging="529"/>
      </w:pPr>
      <w:rPr>
        <w:rFonts w:hint="default"/>
        <w:lang w:val="en-US" w:eastAsia="zh-CN" w:bidi="ar-SA"/>
      </w:rPr>
    </w:lvl>
  </w:abstractNum>
  <w:abstractNum w:abstractNumId="94">
    <w:multiLevelType w:val="hybridMultilevel"/>
    <w:lvl w:ilvl="0">
      <w:start w:val="1"/>
      <w:numFmt w:val="decimal"/>
      <w:lvlText w:val="（%1）"/>
      <w:lvlJc w:val="left"/>
      <w:pPr>
        <w:ind w:left="78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93">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92">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1">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90">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9">
    <w:multiLevelType w:val="hybridMultilevel"/>
    <w:lvl w:ilvl="0">
      <w:start w:val="1"/>
      <w:numFmt w:val="decimal"/>
      <w:lvlText w:val="（%1）"/>
      <w:lvlJc w:val="left"/>
      <w:pPr>
        <w:ind w:left="829"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534" w:hanging="567"/>
      </w:pPr>
      <w:rPr>
        <w:rFonts w:hint="default"/>
        <w:lang w:val="en-US" w:eastAsia="zh-CN" w:bidi="ar-SA"/>
      </w:rPr>
    </w:lvl>
    <w:lvl w:ilvl="2">
      <w:start w:val="0"/>
      <w:numFmt w:val="bullet"/>
      <w:lvlText w:val="•"/>
      <w:lvlJc w:val="left"/>
      <w:pPr>
        <w:ind w:left="2249" w:hanging="567"/>
      </w:pPr>
      <w:rPr>
        <w:rFonts w:hint="default"/>
        <w:lang w:val="en-US" w:eastAsia="zh-CN" w:bidi="ar-SA"/>
      </w:rPr>
    </w:lvl>
    <w:lvl w:ilvl="3">
      <w:start w:val="0"/>
      <w:numFmt w:val="bullet"/>
      <w:lvlText w:val="•"/>
      <w:lvlJc w:val="left"/>
      <w:pPr>
        <w:ind w:left="2964" w:hanging="567"/>
      </w:pPr>
      <w:rPr>
        <w:rFonts w:hint="default"/>
        <w:lang w:val="en-US" w:eastAsia="zh-CN" w:bidi="ar-SA"/>
      </w:rPr>
    </w:lvl>
    <w:lvl w:ilvl="4">
      <w:start w:val="0"/>
      <w:numFmt w:val="bullet"/>
      <w:lvlText w:val="•"/>
      <w:lvlJc w:val="left"/>
      <w:pPr>
        <w:ind w:left="3679" w:hanging="567"/>
      </w:pPr>
      <w:rPr>
        <w:rFonts w:hint="default"/>
        <w:lang w:val="en-US" w:eastAsia="zh-CN" w:bidi="ar-SA"/>
      </w:rPr>
    </w:lvl>
    <w:lvl w:ilvl="5">
      <w:start w:val="0"/>
      <w:numFmt w:val="bullet"/>
      <w:lvlText w:val="•"/>
      <w:lvlJc w:val="left"/>
      <w:pPr>
        <w:ind w:left="4394" w:hanging="567"/>
      </w:pPr>
      <w:rPr>
        <w:rFonts w:hint="default"/>
        <w:lang w:val="en-US" w:eastAsia="zh-CN" w:bidi="ar-SA"/>
      </w:rPr>
    </w:lvl>
    <w:lvl w:ilvl="6">
      <w:start w:val="0"/>
      <w:numFmt w:val="bullet"/>
      <w:lvlText w:val="•"/>
      <w:lvlJc w:val="left"/>
      <w:pPr>
        <w:ind w:left="5109" w:hanging="567"/>
      </w:pPr>
      <w:rPr>
        <w:rFonts w:hint="default"/>
        <w:lang w:val="en-US" w:eastAsia="zh-CN" w:bidi="ar-SA"/>
      </w:rPr>
    </w:lvl>
    <w:lvl w:ilvl="7">
      <w:start w:val="0"/>
      <w:numFmt w:val="bullet"/>
      <w:lvlText w:val="•"/>
      <w:lvlJc w:val="left"/>
      <w:pPr>
        <w:ind w:left="5824" w:hanging="567"/>
      </w:pPr>
      <w:rPr>
        <w:rFonts w:hint="default"/>
        <w:lang w:val="en-US" w:eastAsia="zh-CN" w:bidi="ar-SA"/>
      </w:rPr>
    </w:lvl>
    <w:lvl w:ilvl="8">
      <w:start w:val="0"/>
      <w:numFmt w:val="bullet"/>
      <w:lvlText w:val="•"/>
      <w:lvlJc w:val="left"/>
      <w:pPr>
        <w:ind w:left="6539" w:hanging="567"/>
      </w:pPr>
      <w:rPr>
        <w:rFonts w:hint="default"/>
        <w:lang w:val="en-US" w:eastAsia="zh-CN" w:bidi="ar-SA"/>
      </w:rPr>
    </w:lvl>
  </w:abstractNum>
  <w:abstractNum w:abstractNumId="88">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7">
    <w:multiLevelType w:val="hybridMultilevel"/>
    <w:lvl w:ilvl="0">
      <w:start w:val="1"/>
      <w:numFmt w:val="decimal"/>
      <w:lvlText w:val="（%1）"/>
      <w:lvlJc w:val="left"/>
      <w:pPr>
        <w:ind w:left="352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86">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8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4">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83">
    <w:multiLevelType w:val="hybridMultilevel"/>
    <w:lvl w:ilvl="0">
      <w:start w:val="1"/>
      <w:numFmt w:val="decimal"/>
      <w:lvlText w:val="（%1）"/>
      <w:lvlJc w:val="left"/>
      <w:pPr>
        <w:ind w:left="352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82">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81">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0">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9">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8">
    <w:multiLevelType w:val="hybridMultilevel"/>
    <w:lvl w:ilvl="0">
      <w:start w:val="2"/>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7">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6">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5">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74">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3">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2">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1">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70">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69">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68">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67">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66">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6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64">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63">
    <w:multiLevelType w:val="hybridMultilevel"/>
    <w:lvl w:ilvl="0">
      <w:start w:val="1"/>
      <w:numFmt w:val="decimal"/>
      <w:lvlText w:val="（%1）"/>
      <w:lvlJc w:val="left"/>
      <w:pPr>
        <w:ind w:left="3525"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62">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61">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60">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5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8">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57">
    <w:multiLevelType w:val="hybridMultilevel"/>
    <w:lvl w:ilvl="0">
      <w:start w:val="1"/>
      <w:numFmt w:val="decimal"/>
      <w:lvlText w:val="（%1）"/>
      <w:lvlJc w:val="left"/>
      <w:pPr>
        <w:ind w:left="700" w:hanging="559"/>
        <w:jc w:val="left"/>
      </w:pPr>
      <w:rPr>
        <w:rFonts w:hint="default" w:ascii="宋体" w:hAnsi="宋体" w:eastAsia="宋体" w:cs="宋体"/>
        <w:b w:val="0"/>
        <w:bCs w:val="0"/>
        <w:i w:val="0"/>
        <w:iCs w:val="0"/>
        <w:spacing w:val="9"/>
        <w:w w:val="100"/>
        <w:sz w:val="19"/>
        <w:szCs w:val="19"/>
        <w:lang w:val="en-US" w:eastAsia="zh-CN" w:bidi="ar-SA"/>
      </w:rPr>
    </w:lvl>
    <w:lvl w:ilvl="1">
      <w:start w:val="0"/>
      <w:numFmt w:val="bullet"/>
      <w:lvlText w:val="•"/>
      <w:lvlJc w:val="left"/>
      <w:pPr>
        <w:ind w:left="1418" w:hanging="559"/>
      </w:pPr>
      <w:rPr>
        <w:rFonts w:hint="default"/>
        <w:lang w:val="en-US" w:eastAsia="zh-CN" w:bidi="ar-SA"/>
      </w:rPr>
    </w:lvl>
    <w:lvl w:ilvl="2">
      <w:start w:val="0"/>
      <w:numFmt w:val="bullet"/>
      <w:lvlText w:val="•"/>
      <w:lvlJc w:val="left"/>
      <w:pPr>
        <w:ind w:left="2136" w:hanging="559"/>
      </w:pPr>
      <w:rPr>
        <w:rFonts w:hint="default"/>
        <w:lang w:val="en-US" w:eastAsia="zh-CN" w:bidi="ar-SA"/>
      </w:rPr>
    </w:lvl>
    <w:lvl w:ilvl="3">
      <w:start w:val="0"/>
      <w:numFmt w:val="bullet"/>
      <w:lvlText w:val="•"/>
      <w:lvlJc w:val="left"/>
      <w:pPr>
        <w:ind w:left="2854" w:hanging="559"/>
      </w:pPr>
      <w:rPr>
        <w:rFonts w:hint="default"/>
        <w:lang w:val="en-US" w:eastAsia="zh-CN" w:bidi="ar-SA"/>
      </w:rPr>
    </w:lvl>
    <w:lvl w:ilvl="4">
      <w:start w:val="0"/>
      <w:numFmt w:val="bullet"/>
      <w:lvlText w:val="•"/>
      <w:lvlJc w:val="left"/>
      <w:pPr>
        <w:ind w:left="3572" w:hanging="559"/>
      </w:pPr>
      <w:rPr>
        <w:rFonts w:hint="default"/>
        <w:lang w:val="en-US" w:eastAsia="zh-CN" w:bidi="ar-SA"/>
      </w:rPr>
    </w:lvl>
    <w:lvl w:ilvl="5">
      <w:start w:val="0"/>
      <w:numFmt w:val="bullet"/>
      <w:lvlText w:val="•"/>
      <w:lvlJc w:val="left"/>
      <w:pPr>
        <w:ind w:left="4290" w:hanging="559"/>
      </w:pPr>
      <w:rPr>
        <w:rFonts w:hint="default"/>
        <w:lang w:val="en-US" w:eastAsia="zh-CN" w:bidi="ar-SA"/>
      </w:rPr>
    </w:lvl>
    <w:lvl w:ilvl="6">
      <w:start w:val="0"/>
      <w:numFmt w:val="bullet"/>
      <w:lvlText w:val="•"/>
      <w:lvlJc w:val="left"/>
      <w:pPr>
        <w:ind w:left="5008" w:hanging="559"/>
      </w:pPr>
      <w:rPr>
        <w:rFonts w:hint="default"/>
        <w:lang w:val="en-US" w:eastAsia="zh-CN" w:bidi="ar-SA"/>
      </w:rPr>
    </w:lvl>
    <w:lvl w:ilvl="7">
      <w:start w:val="0"/>
      <w:numFmt w:val="bullet"/>
      <w:lvlText w:val="•"/>
      <w:lvlJc w:val="left"/>
      <w:pPr>
        <w:ind w:left="5727" w:hanging="559"/>
      </w:pPr>
      <w:rPr>
        <w:rFonts w:hint="default"/>
        <w:lang w:val="en-US" w:eastAsia="zh-CN" w:bidi="ar-SA"/>
      </w:rPr>
    </w:lvl>
    <w:lvl w:ilvl="8">
      <w:start w:val="0"/>
      <w:numFmt w:val="bullet"/>
      <w:lvlText w:val="•"/>
      <w:lvlJc w:val="left"/>
      <w:pPr>
        <w:ind w:left="6445" w:hanging="559"/>
      </w:pPr>
      <w:rPr>
        <w:rFonts w:hint="default"/>
        <w:lang w:val="en-US" w:eastAsia="zh-CN" w:bidi="ar-SA"/>
      </w:rPr>
    </w:lvl>
  </w:abstractNum>
  <w:abstractNum w:abstractNumId="56">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55">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4">
    <w:multiLevelType w:val="hybridMultilevel"/>
    <w:lvl w:ilvl="0">
      <w:start w:val="3"/>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53">
    <w:multiLevelType w:val="hybridMultilevel"/>
    <w:lvl w:ilvl="0">
      <w:start w:val="1"/>
      <w:numFmt w:val="decimal"/>
      <w:lvlText w:val="（%1）"/>
      <w:lvlJc w:val="left"/>
      <w:pPr>
        <w:ind w:left="672" w:hanging="529"/>
        <w:jc w:val="left"/>
      </w:pPr>
      <w:rPr>
        <w:rFonts w:hint="default" w:ascii="宋体" w:hAnsi="宋体" w:eastAsia="宋体" w:cs="宋体"/>
        <w:b/>
        <w:bCs/>
        <w:i w:val="0"/>
        <w:iCs w:val="0"/>
        <w:w w:val="99"/>
        <w:sz w:val="19"/>
        <w:szCs w:val="19"/>
        <w:lang w:val="en-US" w:eastAsia="zh-CN" w:bidi="ar-SA"/>
      </w:rPr>
    </w:lvl>
    <w:lvl w:ilvl="1">
      <w:start w:val="2"/>
      <w:numFmt w:val="decimal"/>
      <w:lvlText w:val="（%2）"/>
      <w:lvlJc w:val="left"/>
      <w:pPr>
        <w:ind w:left="3529" w:hanging="529"/>
        <w:jc w:val="left"/>
      </w:pPr>
      <w:rPr>
        <w:rFonts w:hint="default" w:ascii="宋体" w:hAnsi="宋体" w:eastAsia="宋体" w:cs="宋体"/>
        <w:b/>
        <w:bCs/>
        <w:i w:val="0"/>
        <w:iCs w:val="0"/>
        <w:w w:val="99"/>
        <w:sz w:val="19"/>
        <w:szCs w:val="19"/>
        <w:lang w:val="en-US" w:eastAsia="zh-CN" w:bidi="ar-SA"/>
      </w:rPr>
    </w:lvl>
    <w:lvl w:ilvl="2">
      <w:start w:val="0"/>
      <w:numFmt w:val="bullet"/>
      <w:lvlText w:val="•"/>
      <w:lvlJc w:val="left"/>
      <w:pPr>
        <w:ind w:left="4001" w:hanging="529"/>
      </w:pPr>
      <w:rPr>
        <w:rFonts w:hint="default"/>
        <w:lang w:val="en-US" w:eastAsia="zh-CN" w:bidi="ar-SA"/>
      </w:rPr>
    </w:lvl>
    <w:lvl w:ilvl="3">
      <w:start w:val="0"/>
      <w:numFmt w:val="bullet"/>
      <w:lvlText w:val="•"/>
      <w:lvlJc w:val="left"/>
      <w:pPr>
        <w:ind w:left="4482" w:hanging="529"/>
      </w:pPr>
      <w:rPr>
        <w:rFonts w:hint="default"/>
        <w:lang w:val="en-US" w:eastAsia="zh-CN" w:bidi="ar-SA"/>
      </w:rPr>
    </w:lvl>
    <w:lvl w:ilvl="4">
      <w:start w:val="0"/>
      <w:numFmt w:val="bullet"/>
      <w:lvlText w:val="•"/>
      <w:lvlJc w:val="left"/>
      <w:pPr>
        <w:ind w:left="4963" w:hanging="529"/>
      </w:pPr>
      <w:rPr>
        <w:rFonts w:hint="default"/>
        <w:lang w:val="en-US" w:eastAsia="zh-CN" w:bidi="ar-SA"/>
      </w:rPr>
    </w:lvl>
    <w:lvl w:ilvl="5">
      <w:start w:val="0"/>
      <w:numFmt w:val="bullet"/>
      <w:lvlText w:val="•"/>
      <w:lvlJc w:val="left"/>
      <w:pPr>
        <w:ind w:left="5444" w:hanging="529"/>
      </w:pPr>
      <w:rPr>
        <w:rFonts w:hint="default"/>
        <w:lang w:val="en-US" w:eastAsia="zh-CN" w:bidi="ar-SA"/>
      </w:rPr>
    </w:lvl>
    <w:lvl w:ilvl="6">
      <w:start w:val="0"/>
      <w:numFmt w:val="bullet"/>
      <w:lvlText w:val="•"/>
      <w:lvlJc w:val="left"/>
      <w:pPr>
        <w:ind w:left="5925" w:hanging="529"/>
      </w:pPr>
      <w:rPr>
        <w:rFonts w:hint="default"/>
        <w:lang w:val="en-US" w:eastAsia="zh-CN" w:bidi="ar-SA"/>
      </w:rPr>
    </w:lvl>
    <w:lvl w:ilvl="7">
      <w:start w:val="0"/>
      <w:numFmt w:val="bullet"/>
      <w:lvlText w:val="•"/>
      <w:lvlJc w:val="left"/>
      <w:pPr>
        <w:ind w:left="6406" w:hanging="529"/>
      </w:pPr>
      <w:rPr>
        <w:rFonts w:hint="default"/>
        <w:lang w:val="en-US" w:eastAsia="zh-CN" w:bidi="ar-SA"/>
      </w:rPr>
    </w:lvl>
    <w:lvl w:ilvl="8">
      <w:start w:val="0"/>
      <w:numFmt w:val="bullet"/>
      <w:lvlText w:val="•"/>
      <w:lvlJc w:val="left"/>
      <w:pPr>
        <w:ind w:left="6887" w:hanging="529"/>
      </w:pPr>
      <w:rPr>
        <w:rFonts w:hint="default"/>
        <w:lang w:val="en-US" w:eastAsia="zh-CN" w:bidi="ar-SA"/>
      </w:rPr>
    </w:lvl>
  </w:abstractNum>
  <w:abstractNum w:abstractNumId="52">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1">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0">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49">
    <w:multiLevelType w:val="hybridMultilevel"/>
    <w:lvl w:ilvl="0">
      <w:start w:val="1"/>
      <w:numFmt w:val="decimal"/>
      <w:lvlText w:val="（%1）"/>
      <w:lvlJc w:val="left"/>
      <w:pPr>
        <w:ind w:left="668" w:hanging="536"/>
        <w:jc w:val="righ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78" w:hanging="536"/>
      </w:pPr>
      <w:rPr>
        <w:rFonts w:hint="default"/>
        <w:lang w:val="en-US" w:eastAsia="zh-CN" w:bidi="ar-SA"/>
      </w:rPr>
    </w:lvl>
    <w:lvl w:ilvl="2">
      <w:start w:val="0"/>
      <w:numFmt w:val="bullet"/>
      <w:lvlText w:val="•"/>
      <w:lvlJc w:val="left"/>
      <w:pPr>
        <w:ind w:left="2097" w:hanging="536"/>
      </w:pPr>
      <w:rPr>
        <w:rFonts w:hint="default"/>
        <w:lang w:val="en-US" w:eastAsia="zh-CN" w:bidi="ar-SA"/>
      </w:rPr>
    </w:lvl>
    <w:lvl w:ilvl="3">
      <w:start w:val="0"/>
      <w:numFmt w:val="bullet"/>
      <w:lvlText w:val="•"/>
      <w:lvlJc w:val="left"/>
      <w:pPr>
        <w:ind w:left="2816" w:hanging="536"/>
      </w:pPr>
      <w:rPr>
        <w:rFonts w:hint="default"/>
        <w:lang w:val="en-US" w:eastAsia="zh-CN" w:bidi="ar-SA"/>
      </w:rPr>
    </w:lvl>
    <w:lvl w:ilvl="4">
      <w:start w:val="0"/>
      <w:numFmt w:val="bullet"/>
      <w:lvlText w:val="•"/>
      <w:lvlJc w:val="left"/>
      <w:pPr>
        <w:ind w:left="3535" w:hanging="536"/>
      </w:pPr>
      <w:rPr>
        <w:rFonts w:hint="default"/>
        <w:lang w:val="en-US" w:eastAsia="zh-CN" w:bidi="ar-SA"/>
      </w:rPr>
    </w:lvl>
    <w:lvl w:ilvl="5">
      <w:start w:val="0"/>
      <w:numFmt w:val="bullet"/>
      <w:lvlText w:val="•"/>
      <w:lvlJc w:val="left"/>
      <w:pPr>
        <w:ind w:left="4254" w:hanging="536"/>
      </w:pPr>
      <w:rPr>
        <w:rFonts w:hint="default"/>
        <w:lang w:val="en-US" w:eastAsia="zh-CN" w:bidi="ar-SA"/>
      </w:rPr>
    </w:lvl>
    <w:lvl w:ilvl="6">
      <w:start w:val="0"/>
      <w:numFmt w:val="bullet"/>
      <w:lvlText w:val="•"/>
      <w:lvlJc w:val="left"/>
      <w:pPr>
        <w:ind w:left="4973" w:hanging="536"/>
      </w:pPr>
      <w:rPr>
        <w:rFonts w:hint="default"/>
        <w:lang w:val="en-US" w:eastAsia="zh-CN" w:bidi="ar-SA"/>
      </w:rPr>
    </w:lvl>
    <w:lvl w:ilvl="7">
      <w:start w:val="0"/>
      <w:numFmt w:val="bullet"/>
      <w:lvlText w:val="•"/>
      <w:lvlJc w:val="left"/>
      <w:pPr>
        <w:ind w:left="5692" w:hanging="536"/>
      </w:pPr>
      <w:rPr>
        <w:rFonts w:hint="default"/>
        <w:lang w:val="en-US" w:eastAsia="zh-CN" w:bidi="ar-SA"/>
      </w:rPr>
    </w:lvl>
    <w:lvl w:ilvl="8">
      <w:start w:val="0"/>
      <w:numFmt w:val="bullet"/>
      <w:lvlText w:val="•"/>
      <w:lvlJc w:val="left"/>
      <w:pPr>
        <w:ind w:left="6411" w:hanging="536"/>
      </w:pPr>
      <w:rPr>
        <w:rFonts w:hint="default"/>
        <w:lang w:val="en-US" w:eastAsia="zh-CN" w:bidi="ar-SA"/>
      </w:rPr>
    </w:lvl>
  </w:abstractNum>
  <w:abstractNum w:abstractNumId="48">
    <w:multiLevelType w:val="hybridMultilevel"/>
    <w:lvl w:ilvl="0">
      <w:start w:val="1"/>
      <w:numFmt w:val="decimal"/>
      <w:lvlText w:val="（%1）"/>
      <w:lvlJc w:val="left"/>
      <w:pPr>
        <w:ind w:left="702" w:hanging="529"/>
        <w:jc w:val="left"/>
      </w:pPr>
      <w:rPr>
        <w:rFonts w:hint="default" w:ascii="宋体" w:hAnsi="宋体" w:eastAsia="宋体" w:cs="宋体"/>
        <w:b/>
        <w:bCs/>
        <w:i w:val="0"/>
        <w:iCs w:val="0"/>
        <w:w w:val="99"/>
        <w:sz w:val="19"/>
        <w:szCs w:val="19"/>
        <w:lang w:val="en-US" w:eastAsia="zh-CN" w:bidi="ar-SA"/>
      </w:rPr>
    </w:lvl>
    <w:lvl w:ilvl="1">
      <w:start w:val="1"/>
      <w:numFmt w:val="lowerLetter"/>
      <w:lvlText w:val="%2."/>
      <w:lvlJc w:val="left"/>
      <w:pPr>
        <w:ind w:left="699" w:hanging="213"/>
        <w:jc w:val="left"/>
      </w:pPr>
      <w:rPr>
        <w:rFonts w:hint="default" w:ascii="宋体" w:hAnsi="宋体" w:eastAsia="宋体" w:cs="宋体"/>
        <w:b/>
        <w:bCs/>
        <w:i w:val="0"/>
        <w:iCs w:val="0"/>
        <w:w w:val="99"/>
        <w:sz w:val="19"/>
        <w:szCs w:val="19"/>
        <w:lang w:val="en-US" w:eastAsia="zh-CN" w:bidi="ar-SA"/>
      </w:rPr>
    </w:lvl>
    <w:lvl w:ilvl="2">
      <w:start w:val="0"/>
      <w:numFmt w:val="bullet"/>
      <w:lvlText w:val="•"/>
      <w:lvlJc w:val="left"/>
      <w:pPr>
        <w:ind w:left="2136" w:hanging="213"/>
      </w:pPr>
      <w:rPr>
        <w:rFonts w:hint="default"/>
        <w:lang w:val="en-US" w:eastAsia="zh-CN" w:bidi="ar-SA"/>
      </w:rPr>
    </w:lvl>
    <w:lvl w:ilvl="3">
      <w:start w:val="0"/>
      <w:numFmt w:val="bullet"/>
      <w:lvlText w:val="•"/>
      <w:lvlJc w:val="left"/>
      <w:pPr>
        <w:ind w:left="2854" w:hanging="213"/>
      </w:pPr>
      <w:rPr>
        <w:rFonts w:hint="default"/>
        <w:lang w:val="en-US" w:eastAsia="zh-CN" w:bidi="ar-SA"/>
      </w:rPr>
    </w:lvl>
    <w:lvl w:ilvl="4">
      <w:start w:val="0"/>
      <w:numFmt w:val="bullet"/>
      <w:lvlText w:val="•"/>
      <w:lvlJc w:val="left"/>
      <w:pPr>
        <w:ind w:left="3572" w:hanging="213"/>
      </w:pPr>
      <w:rPr>
        <w:rFonts w:hint="default"/>
        <w:lang w:val="en-US" w:eastAsia="zh-CN" w:bidi="ar-SA"/>
      </w:rPr>
    </w:lvl>
    <w:lvl w:ilvl="5">
      <w:start w:val="0"/>
      <w:numFmt w:val="bullet"/>
      <w:lvlText w:val="•"/>
      <w:lvlJc w:val="left"/>
      <w:pPr>
        <w:ind w:left="4290" w:hanging="213"/>
      </w:pPr>
      <w:rPr>
        <w:rFonts w:hint="default"/>
        <w:lang w:val="en-US" w:eastAsia="zh-CN" w:bidi="ar-SA"/>
      </w:rPr>
    </w:lvl>
    <w:lvl w:ilvl="6">
      <w:start w:val="0"/>
      <w:numFmt w:val="bullet"/>
      <w:lvlText w:val="•"/>
      <w:lvlJc w:val="left"/>
      <w:pPr>
        <w:ind w:left="5008" w:hanging="213"/>
      </w:pPr>
      <w:rPr>
        <w:rFonts w:hint="default"/>
        <w:lang w:val="en-US" w:eastAsia="zh-CN" w:bidi="ar-SA"/>
      </w:rPr>
    </w:lvl>
    <w:lvl w:ilvl="7">
      <w:start w:val="0"/>
      <w:numFmt w:val="bullet"/>
      <w:lvlText w:val="•"/>
      <w:lvlJc w:val="left"/>
      <w:pPr>
        <w:ind w:left="5726" w:hanging="213"/>
      </w:pPr>
      <w:rPr>
        <w:rFonts w:hint="default"/>
        <w:lang w:val="en-US" w:eastAsia="zh-CN" w:bidi="ar-SA"/>
      </w:rPr>
    </w:lvl>
    <w:lvl w:ilvl="8">
      <w:start w:val="0"/>
      <w:numFmt w:val="bullet"/>
      <w:lvlText w:val="•"/>
      <w:lvlJc w:val="left"/>
      <w:pPr>
        <w:ind w:left="6444" w:hanging="213"/>
      </w:pPr>
      <w:rPr>
        <w:rFonts w:hint="default"/>
        <w:lang w:val="en-US" w:eastAsia="zh-CN" w:bidi="ar-SA"/>
      </w:rPr>
    </w:lvl>
  </w:abstractNum>
  <w:abstractNum w:abstractNumId="47">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46">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4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44">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43">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42">
    <w:multiLevelType w:val="hybridMultilevel"/>
    <w:lvl w:ilvl="0">
      <w:start w:val="1"/>
      <w:numFmt w:val="decimal"/>
      <w:lvlText w:val="（%1）"/>
      <w:lvlJc w:val="left"/>
      <w:pPr>
        <w:ind w:left="78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41">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0">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39">
    <w:multiLevelType w:val="hybridMultilevel"/>
    <w:lvl w:ilvl="0">
      <w:start w:val="10"/>
      <w:numFmt w:val="decimal"/>
      <w:lvlText w:val="%1"/>
      <w:lvlJc w:val="left"/>
      <w:pPr>
        <w:ind w:left="3000" w:hanging="853"/>
        <w:jc w:val="left"/>
      </w:pPr>
      <w:rPr>
        <w:rFonts w:hint="default"/>
        <w:lang w:val="en-US" w:eastAsia="zh-CN" w:bidi="ar-SA"/>
      </w:rPr>
    </w:lvl>
    <w:lvl w:ilvl="1">
      <w:start w:val="2"/>
      <w:numFmt w:val="decimal"/>
      <w:lvlText w:val="%1.%2"/>
      <w:lvlJc w:val="left"/>
      <w:pPr>
        <w:ind w:left="300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1332" w:hanging="213"/>
        <w:jc w:val="left"/>
      </w:pPr>
      <w:rPr>
        <w:rFonts w:hint="default" w:ascii="宋体" w:hAnsi="宋体" w:eastAsia="宋体" w:cs="宋体"/>
        <w:b w:val="0"/>
        <w:bCs w:val="0"/>
        <w:i w:val="0"/>
        <w:iCs w:val="0"/>
        <w:spacing w:val="-1"/>
        <w:w w:val="100"/>
        <w:sz w:val="19"/>
        <w:szCs w:val="19"/>
        <w:lang w:val="en-US" w:eastAsia="zh-CN" w:bidi="ar-SA"/>
      </w:rPr>
    </w:lvl>
    <w:lvl w:ilvl="3">
      <w:start w:val="1"/>
      <w:numFmt w:val="decimal"/>
      <w:lvlText w:val="（%4）"/>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415" w:hanging="529"/>
      </w:pPr>
      <w:rPr>
        <w:rFonts w:hint="default"/>
        <w:lang w:val="en-US" w:eastAsia="zh-CN" w:bidi="ar-SA"/>
      </w:rPr>
    </w:lvl>
    <w:lvl w:ilvl="5">
      <w:start w:val="0"/>
      <w:numFmt w:val="bullet"/>
      <w:lvlText w:val="•"/>
      <w:lvlJc w:val="left"/>
      <w:pPr>
        <w:ind w:left="3310" w:hanging="529"/>
      </w:pPr>
      <w:rPr>
        <w:rFonts w:hint="default"/>
        <w:lang w:val="en-US" w:eastAsia="zh-CN" w:bidi="ar-SA"/>
      </w:rPr>
    </w:lvl>
    <w:lvl w:ilvl="6">
      <w:start w:val="0"/>
      <w:numFmt w:val="bullet"/>
      <w:lvlText w:val="•"/>
      <w:lvlJc w:val="left"/>
      <w:pPr>
        <w:ind w:left="3205" w:hanging="529"/>
      </w:pPr>
      <w:rPr>
        <w:rFonts w:hint="default"/>
        <w:lang w:val="en-US" w:eastAsia="zh-CN" w:bidi="ar-SA"/>
      </w:rPr>
    </w:lvl>
    <w:lvl w:ilvl="7">
      <w:start w:val="0"/>
      <w:numFmt w:val="bullet"/>
      <w:lvlText w:val="•"/>
      <w:lvlJc w:val="left"/>
      <w:pPr>
        <w:ind w:left="3100" w:hanging="529"/>
      </w:pPr>
      <w:rPr>
        <w:rFonts w:hint="default"/>
        <w:lang w:val="en-US" w:eastAsia="zh-CN" w:bidi="ar-SA"/>
      </w:rPr>
    </w:lvl>
    <w:lvl w:ilvl="8">
      <w:start w:val="0"/>
      <w:numFmt w:val="bullet"/>
      <w:lvlText w:val="•"/>
      <w:lvlJc w:val="left"/>
      <w:pPr>
        <w:ind w:left="2995" w:hanging="529"/>
      </w:pPr>
      <w:rPr>
        <w:rFonts w:hint="default"/>
        <w:lang w:val="en-US" w:eastAsia="zh-CN" w:bidi="ar-SA"/>
      </w:rPr>
    </w:lvl>
  </w:abstractNum>
  <w:abstractNum w:abstractNumId="3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1586" w:hanging="529"/>
      </w:pPr>
      <w:rPr>
        <w:rFonts w:hint="default"/>
        <w:lang w:val="en-US" w:eastAsia="zh-CN" w:bidi="ar-SA"/>
      </w:rPr>
    </w:lvl>
    <w:lvl w:ilvl="3">
      <w:start w:val="0"/>
      <w:numFmt w:val="bullet"/>
      <w:lvlText w:val="•"/>
      <w:lvlJc w:val="left"/>
      <w:pPr>
        <w:ind w:left="2373" w:hanging="529"/>
      </w:pPr>
      <w:rPr>
        <w:rFonts w:hint="default"/>
        <w:lang w:val="en-US" w:eastAsia="zh-CN" w:bidi="ar-SA"/>
      </w:rPr>
    </w:lvl>
    <w:lvl w:ilvl="4">
      <w:start w:val="0"/>
      <w:numFmt w:val="bullet"/>
      <w:lvlText w:val="•"/>
      <w:lvlJc w:val="left"/>
      <w:pPr>
        <w:ind w:left="3160" w:hanging="529"/>
      </w:pPr>
      <w:rPr>
        <w:rFonts w:hint="default"/>
        <w:lang w:val="en-US" w:eastAsia="zh-CN" w:bidi="ar-SA"/>
      </w:rPr>
    </w:lvl>
    <w:lvl w:ilvl="5">
      <w:start w:val="0"/>
      <w:numFmt w:val="bullet"/>
      <w:lvlText w:val="•"/>
      <w:lvlJc w:val="left"/>
      <w:pPr>
        <w:ind w:left="3947" w:hanging="529"/>
      </w:pPr>
      <w:rPr>
        <w:rFonts w:hint="default"/>
        <w:lang w:val="en-US" w:eastAsia="zh-CN" w:bidi="ar-SA"/>
      </w:rPr>
    </w:lvl>
    <w:lvl w:ilvl="6">
      <w:start w:val="0"/>
      <w:numFmt w:val="bullet"/>
      <w:lvlText w:val="•"/>
      <w:lvlJc w:val="left"/>
      <w:pPr>
        <w:ind w:left="4734" w:hanging="529"/>
      </w:pPr>
      <w:rPr>
        <w:rFonts w:hint="default"/>
        <w:lang w:val="en-US" w:eastAsia="zh-CN" w:bidi="ar-SA"/>
      </w:rPr>
    </w:lvl>
    <w:lvl w:ilvl="7">
      <w:start w:val="0"/>
      <w:numFmt w:val="bullet"/>
      <w:lvlText w:val="•"/>
      <w:lvlJc w:val="left"/>
      <w:pPr>
        <w:ind w:left="5521" w:hanging="529"/>
      </w:pPr>
      <w:rPr>
        <w:rFonts w:hint="default"/>
        <w:lang w:val="en-US" w:eastAsia="zh-CN" w:bidi="ar-SA"/>
      </w:rPr>
    </w:lvl>
    <w:lvl w:ilvl="8">
      <w:start w:val="0"/>
      <w:numFmt w:val="bullet"/>
      <w:lvlText w:val="•"/>
      <w:lvlJc w:val="left"/>
      <w:pPr>
        <w:ind w:left="6307" w:hanging="529"/>
      </w:pPr>
      <w:rPr>
        <w:rFonts w:hint="default"/>
        <w:lang w:val="en-US" w:eastAsia="zh-CN" w:bidi="ar-SA"/>
      </w:rPr>
    </w:lvl>
  </w:abstractNum>
  <w:abstractNum w:abstractNumId="37">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3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5">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4">
    <w:multiLevelType w:val="hybridMultilevel"/>
    <w:lvl w:ilvl="0">
      <w:start w:val="1"/>
      <w:numFmt w:val="decimal"/>
      <w:lvlText w:val="（%1）"/>
      <w:lvlJc w:val="left"/>
      <w:pPr>
        <w:ind w:left="704"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3">
    <w:multiLevelType w:val="hybridMultilevel"/>
    <w:lvl w:ilvl="0">
      <w:start w:val="1"/>
      <w:numFmt w:val="decimal"/>
      <w:lvlText w:val="（%1）"/>
      <w:lvlJc w:val="left"/>
      <w:pPr>
        <w:ind w:left="741"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454" w:hanging="567"/>
      </w:pPr>
      <w:rPr>
        <w:rFonts w:hint="default"/>
        <w:lang w:val="en-US" w:eastAsia="zh-CN" w:bidi="ar-SA"/>
      </w:rPr>
    </w:lvl>
    <w:lvl w:ilvl="2">
      <w:start w:val="0"/>
      <w:numFmt w:val="bullet"/>
      <w:lvlText w:val="•"/>
      <w:lvlJc w:val="left"/>
      <w:pPr>
        <w:ind w:left="2168" w:hanging="567"/>
      </w:pPr>
      <w:rPr>
        <w:rFonts w:hint="default"/>
        <w:lang w:val="en-US" w:eastAsia="zh-CN" w:bidi="ar-SA"/>
      </w:rPr>
    </w:lvl>
    <w:lvl w:ilvl="3">
      <w:start w:val="0"/>
      <w:numFmt w:val="bullet"/>
      <w:lvlText w:val="•"/>
      <w:lvlJc w:val="left"/>
      <w:pPr>
        <w:ind w:left="2882" w:hanging="567"/>
      </w:pPr>
      <w:rPr>
        <w:rFonts w:hint="default"/>
        <w:lang w:val="en-US" w:eastAsia="zh-CN" w:bidi="ar-SA"/>
      </w:rPr>
    </w:lvl>
    <w:lvl w:ilvl="4">
      <w:start w:val="0"/>
      <w:numFmt w:val="bullet"/>
      <w:lvlText w:val="•"/>
      <w:lvlJc w:val="left"/>
      <w:pPr>
        <w:ind w:left="3596" w:hanging="567"/>
      </w:pPr>
      <w:rPr>
        <w:rFonts w:hint="default"/>
        <w:lang w:val="en-US" w:eastAsia="zh-CN" w:bidi="ar-SA"/>
      </w:rPr>
    </w:lvl>
    <w:lvl w:ilvl="5">
      <w:start w:val="0"/>
      <w:numFmt w:val="bullet"/>
      <w:lvlText w:val="•"/>
      <w:lvlJc w:val="left"/>
      <w:pPr>
        <w:ind w:left="4310" w:hanging="567"/>
      </w:pPr>
      <w:rPr>
        <w:rFonts w:hint="default"/>
        <w:lang w:val="en-US" w:eastAsia="zh-CN" w:bidi="ar-SA"/>
      </w:rPr>
    </w:lvl>
    <w:lvl w:ilvl="6">
      <w:start w:val="0"/>
      <w:numFmt w:val="bullet"/>
      <w:lvlText w:val="•"/>
      <w:lvlJc w:val="left"/>
      <w:pPr>
        <w:ind w:left="5024" w:hanging="567"/>
      </w:pPr>
      <w:rPr>
        <w:rFonts w:hint="default"/>
        <w:lang w:val="en-US" w:eastAsia="zh-CN" w:bidi="ar-SA"/>
      </w:rPr>
    </w:lvl>
    <w:lvl w:ilvl="7">
      <w:start w:val="0"/>
      <w:numFmt w:val="bullet"/>
      <w:lvlText w:val="•"/>
      <w:lvlJc w:val="left"/>
      <w:pPr>
        <w:ind w:left="5739" w:hanging="567"/>
      </w:pPr>
      <w:rPr>
        <w:rFonts w:hint="default"/>
        <w:lang w:val="en-US" w:eastAsia="zh-CN" w:bidi="ar-SA"/>
      </w:rPr>
    </w:lvl>
    <w:lvl w:ilvl="8">
      <w:start w:val="0"/>
      <w:numFmt w:val="bullet"/>
      <w:lvlText w:val="•"/>
      <w:lvlJc w:val="left"/>
      <w:pPr>
        <w:ind w:left="6453" w:hanging="567"/>
      </w:pPr>
      <w:rPr>
        <w:rFonts w:hint="default"/>
        <w:lang w:val="en-US" w:eastAsia="zh-CN" w:bidi="ar-SA"/>
      </w:rPr>
    </w:lvl>
  </w:abstractNum>
  <w:abstractNum w:abstractNumId="32">
    <w:multiLevelType w:val="hybridMultilevel"/>
    <w:lvl w:ilvl="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08" w:hanging="632"/>
      </w:pPr>
      <w:rPr>
        <w:rFonts w:hint="default"/>
        <w:lang w:val="en-US" w:eastAsia="zh-CN" w:bidi="ar-SA"/>
      </w:rPr>
    </w:lvl>
    <w:lvl w:ilvl="2">
      <w:start w:val="0"/>
      <w:numFmt w:val="bullet"/>
      <w:lvlText w:val="•"/>
      <w:lvlJc w:val="left"/>
      <w:pPr>
        <w:ind w:left="2216" w:hanging="632"/>
      </w:pPr>
      <w:rPr>
        <w:rFonts w:hint="default"/>
        <w:lang w:val="en-US" w:eastAsia="zh-CN" w:bidi="ar-SA"/>
      </w:rPr>
    </w:lvl>
    <w:lvl w:ilvl="3">
      <w:start w:val="0"/>
      <w:numFmt w:val="bullet"/>
      <w:lvlText w:val="•"/>
      <w:lvlJc w:val="left"/>
      <w:pPr>
        <w:ind w:left="2924" w:hanging="632"/>
      </w:pPr>
      <w:rPr>
        <w:rFonts w:hint="default"/>
        <w:lang w:val="en-US" w:eastAsia="zh-CN" w:bidi="ar-SA"/>
      </w:rPr>
    </w:lvl>
    <w:lvl w:ilvl="4">
      <w:start w:val="0"/>
      <w:numFmt w:val="bullet"/>
      <w:lvlText w:val="•"/>
      <w:lvlJc w:val="left"/>
      <w:pPr>
        <w:ind w:left="3632" w:hanging="632"/>
      </w:pPr>
      <w:rPr>
        <w:rFonts w:hint="default"/>
        <w:lang w:val="en-US" w:eastAsia="zh-CN" w:bidi="ar-SA"/>
      </w:rPr>
    </w:lvl>
    <w:lvl w:ilvl="5">
      <w:start w:val="0"/>
      <w:numFmt w:val="bullet"/>
      <w:lvlText w:val="•"/>
      <w:lvlJc w:val="left"/>
      <w:pPr>
        <w:ind w:left="4340" w:hanging="632"/>
      </w:pPr>
      <w:rPr>
        <w:rFonts w:hint="default"/>
        <w:lang w:val="en-US" w:eastAsia="zh-CN" w:bidi="ar-SA"/>
      </w:rPr>
    </w:lvl>
    <w:lvl w:ilvl="6">
      <w:start w:val="0"/>
      <w:numFmt w:val="bullet"/>
      <w:lvlText w:val="•"/>
      <w:lvlJc w:val="left"/>
      <w:pPr>
        <w:ind w:left="5048" w:hanging="632"/>
      </w:pPr>
      <w:rPr>
        <w:rFonts w:hint="default"/>
        <w:lang w:val="en-US" w:eastAsia="zh-CN" w:bidi="ar-SA"/>
      </w:rPr>
    </w:lvl>
    <w:lvl w:ilvl="7">
      <w:start w:val="0"/>
      <w:numFmt w:val="bullet"/>
      <w:lvlText w:val="•"/>
      <w:lvlJc w:val="left"/>
      <w:pPr>
        <w:ind w:left="5757" w:hanging="632"/>
      </w:pPr>
      <w:rPr>
        <w:rFonts w:hint="default"/>
        <w:lang w:val="en-US" w:eastAsia="zh-CN" w:bidi="ar-SA"/>
      </w:rPr>
    </w:lvl>
    <w:lvl w:ilvl="8">
      <w:start w:val="0"/>
      <w:numFmt w:val="bullet"/>
      <w:lvlText w:val="•"/>
      <w:lvlJc w:val="left"/>
      <w:pPr>
        <w:ind w:left="6465" w:hanging="632"/>
      </w:pPr>
      <w:rPr>
        <w:rFonts w:hint="default"/>
        <w:lang w:val="en-US" w:eastAsia="zh-CN" w:bidi="ar-SA"/>
      </w:rPr>
    </w:lvl>
  </w:abstractNum>
  <w:abstractNum w:abstractNumId="3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0">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29">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28">
    <w:multiLevelType w:val="hybridMultilevel"/>
    <w:lvl w:ilvl="0">
      <w:start w:val="1"/>
      <w:numFmt w:val="decimal"/>
      <w:lvlText w:val="（%1）"/>
      <w:lvlJc w:val="left"/>
      <w:pPr>
        <w:ind w:left="700" w:hanging="547"/>
        <w:jc w:val="left"/>
      </w:pPr>
      <w:rPr>
        <w:rFonts w:hint="default" w:ascii="宋体" w:hAnsi="宋体" w:eastAsia="宋体" w:cs="宋体"/>
        <w:b w:val="0"/>
        <w:bCs w:val="0"/>
        <w:i w:val="0"/>
        <w:iCs w:val="0"/>
        <w:spacing w:val="4"/>
        <w:w w:val="100"/>
        <w:sz w:val="19"/>
        <w:szCs w:val="19"/>
        <w:lang w:val="en-US" w:eastAsia="zh-CN" w:bidi="ar-SA"/>
      </w:rPr>
    </w:lvl>
    <w:lvl w:ilvl="1">
      <w:start w:val="0"/>
      <w:numFmt w:val="bullet"/>
      <w:lvlText w:val="•"/>
      <w:lvlJc w:val="left"/>
      <w:pPr>
        <w:ind w:left="1418" w:hanging="547"/>
      </w:pPr>
      <w:rPr>
        <w:rFonts w:hint="default"/>
        <w:lang w:val="en-US" w:eastAsia="zh-CN" w:bidi="ar-SA"/>
      </w:rPr>
    </w:lvl>
    <w:lvl w:ilvl="2">
      <w:start w:val="0"/>
      <w:numFmt w:val="bullet"/>
      <w:lvlText w:val="•"/>
      <w:lvlJc w:val="left"/>
      <w:pPr>
        <w:ind w:left="2136" w:hanging="547"/>
      </w:pPr>
      <w:rPr>
        <w:rFonts w:hint="default"/>
        <w:lang w:val="en-US" w:eastAsia="zh-CN" w:bidi="ar-SA"/>
      </w:rPr>
    </w:lvl>
    <w:lvl w:ilvl="3">
      <w:start w:val="0"/>
      <w:numFmt w:val="bullet"/>
      <w:lvlText w:val="•"/>
      <w:lvlJc w:val="left"/>
      <w:pPr>
        <w:ind w:left="2854" w:hanging="547"/>
      </w:pPr>
      <w:rPr>
        <w:rFonts w:hint="default"/>
        <w:lang w:val="en-US" w:eastAsia="zh-CN" w:bidi="ar-SA"/>
      </w:rPr>
    </w:lvl>
    <w:lvl w:ilvl="4">
      <w:start w:val="0"/>
      <w:numFmt w:val="bullet"/>
      <w:lvlText w:val="•"/>
      <w:lvlJc w:val="left"/>
      <w:pPr>
        <w:ind w:left="3572" w:hanging="547"/>
      </w:pPr>
      <w:rPr>
        <w:rFonts w:hint="default"/>
        <w:lang w:val="en-US" w:eastAsia="zh-CN" w:bidi="ar-SA"/>
      </w:rPr>
    </w:lvl>
    <w:lvl w:ilvl="5">
      <w:start w:val="0"/>
      <w:numFmt w:val="bullet"/>
      <w:lvlText w:val="•"/>
      <w:lvlJc w:val="left"/>
      <w:pPr>
        <w:ind w:left="4290" w:hanging="547"/>
      </w:pPr>
      <w:rPr>
        <w:rFonts w:hint="default"/>
        <w:lang w:val="en-US" w:eastAsia="zh-CN" w:bidi="ar-SA"/>
      </w:rPr>
    </w:lvl>
    <w:lvl w:ilvl="6">
      <w:start w:val="0"/>
      <w:numFmt w:val="bullet"/>
      <w:lvlText w:val="•"/>
      <w:lvlJc w:val="left"/>
      <w:pPr>
        <w:ind w:left="5008" w:hanging="547"/>
      </w:pPr>
      <w:rPr>
        <w:rFonts w:hint="default"/>
        <w:lang w:val="en-US" w:eastAsia="zh-CN" w:bidi="ar-SA"/>
      </w:rPr>
    </w:lvl>
    <w:lvl w:ilvl="7">
      <w:start w:val="0"/>
      <w:numFmt w:val="bullet"/>
      <w:lvlText w:val="•"/>
      <w:lvlJc w:val="left"/>
      <w:pPr>
        <w:ind w:left="5727" w:hanging="547"/>
      </w:pPr>
      <w:rPr>
        <w:rFonts w:hint="default"/>
        <w:lang w:val="en-US" w:eastAsia="zh-CN" w:bidi="ar-SA"/>
      </w:rPr>
    </w:lvl>
    <w:lvl w:ilvl="8">
      <w:start w:val="0"/>
      <w:numFmt w:val="bullet"/>
      <w:lvlText w:val="•"/>
      <w:lvlJc w:val="left"/>
      <w:pPr>
        <w:ind w:left="6445" w:hanging="547"/>
      </w:pPr>
      <w:rPr>
        <w:rFonts w:hint="default"/>
        <w:lang w:val="en-US" w:eastAsia="zh-CN" w:bidi="ar-SA"/>
      </w:rPr>
    </w:lvl>
  </w:abstractNum>
  <w:abstractNum w:abstractNumId="2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6">
    <w:multiLevelType w:val="hybridMultilevel"/>
    <w:lvl w:ilvl="0">
      <w:start w:val="1"/>
      <w:numFmt w:val="decimal"/>
      <w:lvlText w:val="（%1）"/>
      <w:lvlJc w:val="left"/>
      <w:pPr>
        <w:ind w:left="66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8" w:hanging="527"/>
      </w:pPr>
      <w:rPr>
        <w:rFonts w:hint="default"/>
        <w:lang w:val="en-US" w:eastAsia="zh-CN" w:bidi="ar-SA"/>
      </w:rPr>
    </w:lvl>
    <w:lvl w:ilvl="2">
      <w:start w:val="0"/>
      <w:numFmt w:val="bullet"/>
      <w:lvlText w:val="•"/>
      <w:lvlJc w:val="left"/>
      <w:pPr>
        <w:ind w:left="2097" w:hanging="527"/>
      </w:pPr>
      <w:rPr>
        <w:rFonts w:hint="default"/>
        <w:lang w:val="en-US" w:eastAsia="zh-CN" w:bidi="ar-SA"/>
      </w:rPr>
    </w:lvl>
    <w:lvl w:ilvl="3">
      <w:start w:val="0"/>
      <w:numFmt w:val="bullet"/>
      <w:lvlText w:val="•"/>
      <w:lvlJc w:val="left"/>
      <w:pPr>
        <w:ind w:left="2816" w:hanging="527"/>
      </w:pPr>
      <w:rPr>
        <w:rFonts w:hint="default"/>
        <w:lang w:val="en-US" w:eastAsia="zh-CN" w:bidi="ar-SA"/>
      </w:rPr>
    </w:lvl>
    <w:lvl w:ilvl="4">
      <w:start w:val="0"/>
      <w:numFmt w:val="bullet"/>
      <w:lvlText w:val="•"/>
      <w:lvlJc w:val="left"/>
      <w:pPr>
        <w:ind w:left="3535" w:hanging="527"/>
      </w:pPr>
      <w:rPr>
        <w:rFonts w:hint="default"/>
        <w:lang w:val="en-US" w:eastAsia="zh-CN" w:bidi="ar-SA"/>
      </w:rPr>
    </w:lvl>
    <w:lvl w:ilvl="5">
      <w:start w:val="0"/>
      <w:numFmt w:val="bullet"/>
      <w:lvlText w:val="•"/>
      <w:lvlJc w:val="left"/>
      <w:pPr>
        <w:ind w:left="4254" w:hanging="527"/>
      </w:pPr>
      <w:rPr>
        <w:rFonts w:hint="default"/>
        <w:lang w:val="en-US" w:eastAsia="zh-CN" w:bidi="ar-SA"/>
      </w:rPr>
    </w:lvl>
    <w:lvl w:ilvl="6">
      <w:start w:val="0"/>
      <w:numFmt w:val="bullet"/>
      <w:lvlText w:val="•"/>
      <w:lvlJc w:val="left"/>
      <w:pPr>
        <w:ind w:left="4973" w:hanging="527"/>
      </w:pPr>
      <w:rPr>
        <w:rFonts w:hint="default"/>
        <w:lang w:val="en-US" w:eastAsia="zh-CN" w:bidi="ar-SA"/>
      </w:rPr>
    </w:lvl>
    <w:lvl w:ilvl="7">
      <w:start w:val="0"/>
      <w:numFmt w:val="bullet"/>
      <w:lvlText w:val="•"/>
      <w:lvlJc w:val="left"/>
      <w:pPr>
        <w:ind w:left="5692" w:hanging="527"/>
      </w:pPr>
      <w:rPr>
        <w:rFonts w:hint="default"/>
        <w:lang w:val="en-US" w:eastAsia="zh-CN" w:bidi="ar-SA"/>
      </w:rPr>
    </w:lvl>
    <w:lvl w:ilvl="8">
      <w:start w:val="0"/>
      <w:numFmt w:val="bullet"/>
      <w:lvlText w:val="•"/>
      <w:lvlJc w:val="left"/>
      <w:pPr>
        <w:ind w:left="6411" w:hanging="527"/>
      </w:pPr>
      <w:rPr>
        <w:rFonts w:hint="default"/>
        <w:lang w:val="en-US" w:eastAsia="zh-CN" w:bidi="ar-SA"/>
      </w:rPr>
    </w:lvl>
  </w:abstractNum>
  <w:abstractNum w:abstractNumId="2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4">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56"/>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3">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2">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0">
    <w:multiLevelType w:val="hybridMultilevel"/>
    <w:lvl w:ilvl="0">
      <w:start w:val="1"/>
      <w:numFmt w:val="decimal"/>
      <w:lvlText w:val="（%1）"/>
      <w:lvlJc w:val="left"/>
      <w:pPr>
        <w:ind w:left="35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19">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18">
    <w:multiLevelType w:val="hybridMultilevel"/>
    <w:lvl w:ilvl="0">
      <w:start w:val="2"/>
      <w:numFmt w:val="decimal"/>
      <w:lvlText w:val="%1."/>
      <w:lvlJc w:val="left"/>
      <w:pPr>
        <w:ind w:left="1120" w:hanging="213"/>
        <w:jc w:val="left"/>
      </w:pPr>
      <w:rPr>
        <w:rFonts w:hint="default" w:ascii="宋体" w:hAnsi="宋体" w:eastAsia="宋体" w:cs="宋体"/>
        <w:b w:val="0"/>
        <w:bCs w:val="0"/>
        <w:i w:val="0"/>
        <w:iCs w:val="0"/>
        <w:spacing w:val="-1"/>
        <w:w w:val="100"/>
        <w:sz w:val="19"/>
        <w:szCs w:val="19"/>
        <w:lang w:val="en-US" w:eastAsia="zh-CN" w:bidi="ar-SA"/>
      </w:rPr>
    </w:lvl>
    <w:lvl w:ilvl="1">
      <w:start w:val="1"/>
      <w:numFmt w:val="decimal"/>
      <w:lvlText w:val="（%2）"/>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417" w:hanging="529"/>
      </w:pPr>
      <w:rPr>
        <w:rFonts w:hint="default"/>
        <w:lang w:val="en-US" w:eastAsia="zh-CN" w:bidi="ar-SA"/>
      </w:rPr>
    </w:lvl>
    <w:lvl w:ilvl="3">
      <w:start w:val="0"/>
      <w:numFmt w:val="bullet"/>
      <w:lvlText w:val="•"/>
      <w:lvlJc w:val="left"/>
      <w:pPr>
        <w:ind w:left="3314" w:hanging="529"/>
      </w:pPr>
      <w:rPr>
        <w:rFonts w:hint="default"/>
        <w:lang w:val="en-US" w:eastAsia="zh-CN" w:bidi="ar-SA"/>
      </w:rPr>
    </w:lvl>
    <w:lvl w:ilvl="4">
      <w:start w:val="0"/>
      <w:numFmt w:val="bullet"/>
      <w:lvlText w:val="•"/>
      <w:lvlJc w:val="left"/>
      <w:pPr>
        <w:ind w:left="3211" w:hanging="529"/>
      </w:pPr>
      <w:rPr>
        <w:rFonts w:hint="default"/>
        <w:lang w:val="en-US" w:eastAsia="zh-CN" w:bidi="ar-SA"/>
      </w:rPr>
    </w:lvl>
    <w:lvl w:ilvl="5">
      <w:start w:val="0"/>
      <w:numFmt w:val="bullet"/>
      <w:lvlText w:val="•"/>
      <w:lvlJc w:val="left"/>
      <w:pPr>
        <w:ind w:left="3108" w:hanging="529"/>
      </w:pPr>
      <w:rPr>
        <w:rFonts w:hint="default"/>
        <w:lang w:val="en-US" w:eastAsia="zh-CN" w:bidi="ar-SA"/>
      </w:rPr>
    </w:lvl>
    <w:lvl w:ilvl="6">
      <w:start w:val="0"/>
      <w:numFmt w:val="bullet"/>
      <w:lvlText w:val="•"/>
      <w:lvlJc w:val="left"/>
      <w:pPr>
        <w:ind w:left="3005" w:hanging="529"/>
      </w:pPr>
      <w:rPr>
        <w:rFonts w:hint="default"/>
        <w:lang w:val="en-US" w:eastAsia="zh-CN" w:bidi="ar-SA"/>
      </w:rPr>
    </w:lvl>
    <w:lvl w:ilvl="7">
      <w:start w:val="0"/>
      <w:numFmt w:val="bullet"/>
      <w:lvlText w:val="•"/>
      <w:lvlJc w:val="left"/>
      <w:pPr>
        <w:ind w:left="2902" w:hanging="529"/>
      </w:pPr>
      <w:rPr>
        <w:rFonts w:hint="default"/>
        <w:lang w:val="en-US" w:eastAsia="zh-CN" w:bidi="ar-SA"/>
      </w:rPr>
    </w:lvl>
    <w:lvl w:ilvl="8">
      <w:start w:val="0"/>
      <w:numFmt w:val="bullet"/>
      <w:lvlText w:val="•"/>
      <w:lvlJc w:val="left"/>
      <w:pPr>
        <w:ind w:left="2799" w:hanging="529"/>
      </w:pPr>
      <w:rPr>
        <w:rFonts w:hint="default"/>
        <w:lang w:val="en-US" w:eastAsia="zh-CN" w:bidi="ar-SA"/>
      </w:rPr>
    </w:lvl>
  </w:abstractNum>
  <w:abstractNum w:abstractNumId="17">
    <w:multiLevelType w:val="hybridMultilevel"/>
    <w:lvl w:ilvl="0">
      <w:start w:val="1"/>
      <w:numFmt w:val="lowerLetter"/>
      <w:lvlText w:val="%1."/>
      <w:lvlJc w:val="left"/>
      <w:pPr>
        <w:ind w:left="3000" w:hanging="213"/>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70" w:hanging="213"/>
      </w:pPr>
      <w:rPr>
        <w:rFonts w:hint="default"/>
        <w:lang w:val="en-US" w:eastAsia="zh-CN" w:bidi="ar-SA"/>
      </w:rPr>
    </w:lvl>
    <w:lvl w:ilvl="2">
      <w:start w:val="0"/>
      <w:numFmt w:val="bullet"/>
      <w:lvlText w:val="•"/>
      <w:lvlJc w:val="left"/>
      <w:pPr>
        <w:ind w:left="4541" w:hanging="213"/>
      </w:pPr>
      <w:rPr>
        <w:rFonts w:hint="default"/>
        <w:lang w:val="en-US" w:eastAsia="zh-CN" w:bidi="ar-SA"/>
      </w:rPr>
    </w:lvl>
    <w:lvl w:ilvl="3">
      <w:start w:val="0"/>
      <w:numFmt w:val="bullet"/>
      <w:lvlText w:val="•"/>
      <w:lvlJc w:val="left"/>
      <w:pPr>
        <w:ind w:left="5311" w:hanging="213"/>
      </w:pPr>
      <w:rPr>
        <w:rFonts w:hint="default"/>
        <w:lang w:val="en-US" w:eastAsia="zh-CN" w:bidi="ar-SA"/>
      </w:rPr>
    </w:lvl>
    <w:lvl w:ilvl="4">
      <w:start w:val="0"/>
      <w:numFmt w:val="bullet"/>
      <w:lvlText w:val="•"/>
      <w:lvlJc w:val="left"/>
      <w:pPr>
        <w:ind w:left="6082"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623" w:hanging="213"/>
      </w:pPr>
      <w:rPr>
        <w:rFonts w:hint="default"/>
        <w:lang w:val="en-US" w:eastAsia="zh-CN" w:bidi="ar-SA"/>
      </w:rPr>
    </w:lvl>
    <w:lvl w:ilvl="7">
      <w:start w:val="0"/>
      <w:numFmt w:val="bullet"/>
      <w:lvlText w:val="•"/>
      <w:lvlJc w:val="left"/>
      <w:pPr>
        <w:ind w:left="8394" w:hanging="213"/>
      </w:pPr>
      <w:rPr>
        <w:rFonts w:hint="default"/>
        <w:lang w:val="en-US" w:eastAsia="zh-CN" w:bidi="ar-SA"/>
      </w:rPr>
    </w:lvl>
    <w:lvl w:ilvl="8">
      <w:start w:val="0"/>
      <w:numFmt w:val="bullet"/>
      <w:lvlText w:val="•"/>
      <w:lvlJc w:val="left"/>
      <w:pPr>
        <w:ind w:left="9165" w:hanging="213"/>
      </w:pPr>
      <w:rPr>
        <w:rFonts w:hint="default"/>
        <w:lang w:val="en-US" w:eastAsia="zh-CN" w:bidi="ar-SA"/>
      </w:rPr>
    </w:lvl>
  </w:abstractNum>
  <w:abstractNum w:abstractNumId="16">
    <w:multiLevelType w:val="hybridMultilevel"/>
    <w:lvl w:ilvl="0">
      <w:start w:val="1"/>
      <w:numFmt w:val="decimal"/>
      <w:lvlText w:val="（%1）"/>
      <w:lvlJc w:val="left"/>
      <w:pPr>
        <w:ind w:left="793"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517" w:hanging="529"/>
      </w:pPr>
      <w:rPr>
        <w:rFonts w:hint="default"/>
        <w:lang w:val="en-US" w:eastAsia="zh-CN" w:bidi="ar-SA"/>
      </w:rPr>
    </w:lvl>
    <w:lvl w:ilvl="2">
      <w:start w:val="0"/>
      <w:numFmt w:val="bullet"/>
      <w:lvlText w:val="•"/>
      <w:lvlJc w:val="left"/>
      <w:pPr>
        <w:ind w:left="2234"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104" w:hanging="529"/>
      </w:pPr>
      <w:rPr>
        <w:rFonts w:hint="default"/>
        <w:lang w:val="en-US" w:eastAsia="zh-CN" w:bidi="ar-SA"/>
      </w:rPr>
    </w:lvl>
    <w:lvl w:ilvl="7">
      <w:start w:val="0"/>
      <w:numFmt w:val="bullet"/>
      <w:lvlText w:val="•"/>
      <w:lvlJc w:val="left"/>
      <w:pPr>
        <w:ind w:left="5821"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5">
    <w:multiLevelType w:val="hybridMultilevel"/>
    <w:lvl w:ilvl="0">
      <w:start w:val="9"/>
      <w:numFmt w:val="decimal"/>
      <w:lvlText w:val="%1"/>
      <w:lvlJc w:val="left"/>
      <w:pPr>
        <w:ind w:left="1120" w:hanging="853"/>
        <w:jc w:val="left"/>
      </w:pPr>
      <w:rPr>
        <w:rFonts w:hint="default"/>
        <w:lang w:val="en-US" w:eastAsia="zh-CN" w:bidi="ar-SA"/>
      </w:rPr>
    </w:lvl>
    <w:lvl w:ilvl="1">
      <w:start w:val="1"/>
      <w:numFmt w:val="decimal"/>
      <w:lvlText w:val="%1.%2"/>
      <w:lvlJc w:val="left"/>
      <w:pPr>
        <w:ind w:left="112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2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324" w:hanging="529"/>
      </w:pPr>
      <w:rPr>
        <w:rFonts w:hint="default"/>
        <w:lang w:val="en-US" w:eastAsia="zh-CN" w:bidi="ar-SA"/>
      </w:rPr>
    </w:lvl>
    <w:lvl w:ilvl="4">
      <w:start w:val="0"/>
      <w:numFmt w:val="bullet"/>
      <w:lvlText w:val="•"/>
      <w:lvlJc w:val="left"/>
      <w:pPr>
        <w:ind w:left="3226" w:hanging="529"/>
      </w:pPr>
      <w:rPr>
        <w:rFonts w:hint="default"/>
        <w:lang w:val="en-US" w:eastAsia="zh-CN" w:bidi="ar-SA"/>
      </w:rPr>
    </w:lvl>
    <w:lvl w:ilvl="5">
      <w:start w:val="0"/>
      <w:numFmt w:val="bullet"/>
      <w:lvlText w:val="•"/>
      <w:lvlJc w:val="left"/>
      <w:pPr>
        <w:ind w:left="3128" w:hanging="529"/>
      </w:pPr>
      <w:rPr>
        <w:rFonts w:hint="default"/>
        <w:lang w:val="en-US" w:eastAsia="zh-CN" w:bidi="ar-SA"/>
      </w:rPr>
    </w:lvl>
    <w:lvl w:ilvl="6">
      <w:start w:val="0"/>
      <w:numFmt w:val="bullet"/>
      <w:lvlText w:val="•"/>
      <w:lvlJc w:val="left"/>
      <w:pPr>
        <w:ind w:left="3030" w:hanging="529"/>
      </w:pPr>
      <w:rPr>
        <w:rFonts w:hint="default"/>
        <w:lang w:val="en-US" w:eastAsia="zh-CN" w:bidi="ar-SA"/>
      </w:rPr>
    </w:lvl>
    <w:lvl w:ilvl="7">
      <w:start w:val="0"/>
      <w:numFmt w:val="bullet"/>
      <w:lvlText w:val="•"/>
      <w:lvlJc w:val="left"/>
      <w:pPr>
        <w:ind w:left="2932" w:hanging="529"/>
      </w:pPr>
      <w:rPr>
        <w:rFonts w:hint="default"/>
        <w:lang w:val="en-US" w:eastAsia="zh-CN" w:bidi="ar-SA"/>
      </w:rPr>
    </w:lvl>
    <w:lvl w:ilvl="8">
      <w:start w:val="0"/>
      <w:numFmt w:val="bullet"/>
      <w:lvlText w:val="•"/>
      <w:lvlJc w:val="left"/>
      <w:pPr>
        <w:ind w:left="2834" w:hanging="529"/>
      </w:pPr>
      <w:rPr>
        <w:rFonts w:hint="default"/>
        <w:lang w:val="en-US" w:eastAsia="zh-CN" w:bidi="ar-SA"/>
      </w:rPr>
    </w:lvl>
  </w:abstractNum>
  <w:abstractNum w:abstractNumId="14">
    <w:multiLevelType w:val="hybridMultilevel"/>
    <w:lvl w:ilvl="0">
      <w:start w:val="1"/>
      <w:numFmt w:val="decimal"/>
      <w:lvlText w:val="（%1）"/>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8" w:hanging="529"/>
      </w:pPr>
      <w:rPr>
        <w:rFonts w:hint="default"/>
        <w:lang w:val="en-US" w:eastAsia="zh-CN" w:bidi="ar-SA"/>
      </w:rPr>
    </w:lvl>
    <w:lvl w:ilvl="2">
      <w:start w:val="0"/>
      <w:numFmt w:val="bullet"/>
      <w:lvlText w:val="•"/>
      <w:lvlJc w:val="left"/>
      <w:pPr>
        <w:ind w:left="4957" w:hanging="529"/>
      </w:pPr>
      <w:rPr>
        <w:rFonts w:hint="default"/>
        <w:lang w:val="en-US" w:eastAsia="zh-CN" w:bidi="ar-SA"/>
      </w:rPr>
    </w:lvl>
    <w:lvl w:ilvl="3">
      <w:start w:val="0"/>
      <w:numFmt w:val="bullet"/>
      <w:lvlText w:val="•"/>
      <w:lvlJc w:val="left"/>
      <w:pPr>
        <w:ind w:left="5675" w:hanging="529"/>
      </w:pPr>
      <w:rPr>
        <w:rFonts w:hint="default"/>
        <w:lang w:val="en-US" w:eastAsia="zh-CN" w:bidi="ar-SA"/>
      </w:rPr>
    </w:lvl>
    <w:lvl w:ilvl="4">
      <w:start w:val="0"/>
      <w:numFmt w:val="bullet"/>
      <w:lvlText w:val="•"/>
      <w:lvlJc w:val="left"/>
      <w:pPr>
        <w:ind w:left="6394" w:hanging="529"/>
      </w:pPr>
      <w:rPr>
        <w:rFonts w:hint="default"/>
        <w:lang w:val="en-US" w:eastAsia="zh-CN" w:bidi="ar-SA"/>
      </w:rPr>
    </w:lvl>
    <w:lvl w:ilvl="5">
      <w:start w:val="0"/>
      <w:numFmt w:val="bullet"/>
      <w:lvlText w:val="•"/>
      <w:lvlJc w:val="left"/>
      <w:pPr>
        <w:ind w:left="7113" w:hanging="529"/>
      </w:pPr>
      <w:rPr>
        <w:rFonts w:hint="default"/>
        <w:lang w:val="en-US" w:eastAsia="zh-CN" w:bidi="ar-SA"/>
      </w:rPr>
    </w:lvl>
    <w:lvl w:ilvl="6">
      <w:start w:val="0"/>
      <w:numFmt w:val="bullet"/>
      <w:lvlText w:val="•"/>
      <w:lvlJc w:val="left"/>
      <w:pPr>
        <w:ind w:left="783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13">
    <w:multiLevelType w:val="hybridMultilevel"/>
    <w:lvl w:ilvl="0">
      <w:start w:val="1"/>
      <w:numFmt w:val="decimal"/>
      <w:lvlText w:val="（%1）"/>
      <w:lvlJc w:val="left"/>
      <w:pPr>
        <w:ind w:left="686"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894" w:hanging="529"/>
        <w:jc w:val="left"/>
      </w:pPr>
      <w:rPr>
        <w:rFonts w:hint="default" w:ascii="宋体" w:hAnsi="宋体" w:eastAsia="宋体" w:cs="宋体"/>
        <w:b w:val="0"/>
        <w:bCs w:val="0"/>
        <w:i w:val="0"/>
        <w:iCs w:val="0"/>
        <w:spacing w:val="-3"/>
        <w:w w:val="100"/>
        <w:sz w:val="19"/>
        <w:szCs w:val="19"/>
        <w:lang w:val="en-US" w:eastAsia="zh-CN" w:bidi="ar-SA"/>
      </w:rPr>
    </w:lvl>
    <w:lvl w:ilvl="2">
      <w:start w:val="1"/>
      <w:numFmt w:val="decimal"/>
      <w:lvlText w:val="（%3）"/>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062" w:hanging="529"/>
      </w:pPr>
      <w:rPr>
        <w:rFonts w:hint="default"/>
        <w:lang w:val="en-US" w:eastAsia="zh-CN" w:bidi="ar-SA"/>
      </w:rPr>
    </w:lvl>
    <w:lvl w:ilvl="4">
      <w:start w:val="0"/>
      <w:numFmt w:val="bullet"/>
      <w:lvlText w:val="•"/>
      <w:lvlJc w:val="left"/>
      <w:pPr>
        <w:ind w:left="4605" w:hanging="529"/>
      </w:pPr>
      <w:rPr>
        <w:rFonts w:hint="default"/>
        <w:lang w:val="en-US" w:eastAsia="zh-CN" w:bidi="ar-SA"/>
      </w:rPr>
    </w:lvl>
    <w:lvl w:ilvl="5">
      <w:start w:val="0"/>
      <w:numFmt w:val="bullet"/>
      <w:lvlText w:val="•"/>
      <w:lvlJc w:val="left"/>
      <w:pPr>
        <w:ind w:left="5148" w:hanging="529"/>
      </w:pPr>
      <w:rPr>
        <w:rFonts w:hint="default"/>
        <w:lang w:val="en-US" w:eastAsia="zh-CN" w:bidi="ar-SA"/>
      </w:rPr>
    </w:lvl>
    <w:lvl w:ilvl="6">
      <w:start w:val="0"/>
      <w:numFmt w:val="bullet"/>
      <w:lvlText w:val="•"/>
      <w:lvlJc w:val="left"/>
      <w:pPr>
        <w:ind w:left="5691" w:hanging="529"/>
      </w:pPr>
      <w:rPr>
        <w:rFonts w:hint="default"/>
        <w:lang w:val="en-US" w:eastAsia="zh-CN" w:bidi="ar-SA"/>
      </w:rPr>
    </w:lvl>
    <w:lvl w:ilvl="7">
      <w:start w:val="0"/>
      <w:numFmt w:val="bullet"/>
      <w:lvlText w:val="•"/>
      <w:lvlJc w:val="left"/>
      <w:pPr>
        <w:ind w:left="6234" w:hanging="529"/>
      </w:pPr>
      <w:rPr>
        <w:rFonts w:hint="default"/>
        <w:lang w:val="en-US" w:eastAsia="zh-CN" w:bidi="ar-SA"/>
      </w:rPr>
    </w:lvl>
    <w:lvl w:ilvl="8">
      <w:start w:val="0"/>
      <w:numFmt w:val="bullet"/>
      <w:lvlText w:val="•"/>
      <w:lvlJc w:val="left"/>
      <w:pPr>
        <w:ind w:left="6777" w:hanging="529"/>
      </w:pPr>
      <w:rPr>
        <w:rFonts w:hint="default"/>
        <w:lang w:val="en-US" w:eastAsia="zh-CN" w:bidi="ar-SA"/>
      </w:rPr>
    </w:lvl>
  </w:abstractNum>
  <w:abstractNum w:abstractNumId="12">
    <w:multiLevelType w:val="hybridMultilevel"/>
    <w:lvl w:ilvl="0">
      <w:start w:val="7"/>
      <w:numFmt w:val="decimal"/>
      <w:lvlText w:val="%1"/>
      <w:lvlJc w:val="left"/>
      <w:pPr>
        <w:ind w:left="1120" w:hanging="853"/>
        <w:jc w:val="left"/>
      </w:pPr>
      <w:rPr>
        <w:rFonts w:hint="default"/>
        <w:lang w:val="en-US" w:eastAsia="zh-CN" w:bidi="ar-SA"/>
      </w:rPr>
    </w:lvl>
    <w:lvl w:ilvl="1">
      <w:start w:val="1"/>
      <w:numFmt w:val="decimal"/>
      <w:lvlText w:val="%1.%2"/>
      <w:lvlJc w:val="left"/>
      <w:pPr>
        <w:ind w:left="112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2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16" w:hanging="529"/>
      </w:pPr>
      <w:rPr>
        <w:rFonts w:hint="default"/>
        <w:lang w:val="en-US" w:eastAsia="zh-CN" w:bidi="ar-SA"/>
      </w:rPr>
    </w:lvl>
    <w:lvl w:ilvl="4">
      <w:start w:val="0"/>
      <w:numFmt w:val="bullet"/>
      <w:lvlText w:val="•"/>
      <w:lvlJc w:val="left"/>
      <w:pPr>
        <w:ind w:left="5915" w:hanging="529"/>
      </w:pPr>
      <w:rPr>
        <w:rFonts w:hint="default"/>
        <w:lang w:val="en-US" w:eastAsia="zh-CN" w:bidi="ar-SA"/>
      </w:rPr>
    </w:lvl>
    <w:lvl w:ilvl="5">
      <w:start w:val="0"/>
      <w:numFmt w:val="bullet"/>
      <w:lvlText w:val="•"/>
      <w:lvlJc w:val="left"/>
      <w:pPr>
        <w:ind w:left="6713" w:hanging="529"/>
      </w:pPr>
      <w:rPr>
        <w:rFonts w:hint="default"/>
        <w:lang w:val="en-US" w:eastAsia="zh-CN" w:bidi="ar-SA"/>
      </w:rPr>
    </w:lvl>
    <w:lvl w:ilvl="6">
      <w:start w:val="0"/>
      <w:numFmt w:val="bullet"/>
      <w:lvlText w:val="•"/>
      <w:lvlJc w:val="left"/>
      <w:pPr>
        <w:ind w:left="7512" w:hanging="529"/>
      </w:pPr>
      <w:rPr>
        <w:rFonts w:hint="default"/>
        <w:lang w:val="en-US" w:eastAsia="zh-CN" w:bidi="ar-SA"/>
      </w:rPr>
    </w:lvl>
    <w:lvl w:ilvl="7">
      <w:start w:val="0"/>
      <w:numFmt w:val="bullet"/>
      <w:lvlText w:val="•"/>
      <w:lvlJc w:val="left"/>
      <w:pPr>
        <w:ind w:left="8310" w:hanging="529"/>
      </w:pPr>
      <w:rPr>
        <w:rFonts w:hint="default"/>
        <w:lang w:val="en-US" w:eastAsia="zh-CN" w:bidi="ar-SA"/>
      </w:rPr>
    </w:lvl>
    <w:lvl w:ilvl="8">
      <w:start w:val="0"/>
      <w:numFmt w:val="bullet"/>
      <w:lvlText w:val="•"/>
      <w:lvlJc w:val="left"/>
      <w:pPr>
        <w:ind w:left="9109" w:hanging="529"/>
      </w:pPr>
      <w:rPr>
        <w:rFonts w:hint="default"/>
        <w:lang w:val="en-US" w:eastAsia="zh-CN" w:bidi="ar-SA"/>
      </w:rPr>
    </w:lvl>
  </w:abstractNum>
  <w:abstractNum w:abstractNumId="11">
    <w:multiLevelType w:val="hybridMultilevel"/>
    <w:lvl w:ilvl="0">
      <w:start w:val="6"/>
      <w:numFmt w:val="decimal"/>
      <w:lvlText w:val="%1"/>
      <w:lvlJc w:val="left"/>
      <w:pPr>
        <w:ind w:left="1120" w:hanging="853"/>
        <w:jc w:val="left"/>
      </w:pPr>
      <w:rPr>
        <w:rFonts w:hint="default"/>
        <w:lang w:val="en-US" w:eastAsia="zh-CN" w:bidi="ar-SA"/>
      </w:rPr>
    </w:lvl>
    <w:lvl w:ilvl="1">
      <w:start w:val="1"/>
      <w:numFmt w:val="decimal"/>
      <w:lvlText w:val="%1.%2"/>
      <w:lvlJc w:val="left"/>
      <w:pPr>
        <w:ind w:left="112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37" w:hanging="853"/>
      </w:pPr>
      <w:rPr>
        <w:rFonts w:hint="default"/>
        <w:lang w:val="en-US" w:eastAsia="zh-CN" w:bidi="ar-SA"/>
      </w:rPr>
    </w:lvl>
    <w:lvl w:ilvl="3">
      <w:start w:val="0"/>
      <w:numFmt w:val="bullet"/>
      <w:lvlText w:val="•"/>
      <w:lvlJc w:val="left"/>
      <w:pPr>
        <w:ind w:left="3995" w:hanging="853"/>
      </w:pPr>
      <w:rPr>
        <w:rFonts w:hint="default"/>
        <w:lang w:val="en-US" w:eastAsia="zh-CN" w:bidi="ar-SA"/>
      </w:rPr>
    </w:lvl>
    <w:lvl w:ilvl="4">
      <w:start w:val="0"/>
      <w:numFmt w:val="bullet"/>
      <w:lvlText w:val="•"/>
      <w:lvlJc w:val="left"/>
      <w:pPr>
        <w:ind w:left="4954" w:hanging="853"/>
      </w:pPr>
      <w:rPr>
        <w:rFonts w:hint="default"/>
        <w:lang w:val="en-US" w:eastAsia="zh-CN" w:bidi="ar-SA"/>
      </w:rPr>
    </w:lvl>
    <w:lvl w:ilvl="5">
      <w:start w:val="0"/>
      <w:numFmt w:val="bullet"/>
      <w:lvlText w:val="•"/>
      <w:lvlJc w:val="left"/>
      <w:pPr>
        <w:ind w:left="5913" w:hanging="853"/>
      </w:pPr>
      <w:rPr>
        <w:rFonts w:hint="default"/>
        <w:lang w:val="en-US" w:eastAsia="zh-CN" w:bidi="ar-SA"/>
      </w:rPr>
    </w:lvl>
    <w:lvl w:ilvl="6">
      <w:start w:val="0"/>
      <w:numFmt w:val="bullet"/>
      <w:lvlText w:val="•"/>
      <w:lvlJc w:val="left"/>
      <w:pPr>
        <w:ind w:left="6871" w:hanging="853"/>
      </w:pPr>
      <w:rPr>
        <w:rFonts w:hint="default"/>
        <w:lang w:val="en-US" w:eastAsia="zh-CN" w:bidi="ar-SA"/>
      </w:rPr>
    </w:lvl>
    <w:lvl w:ilvl="7">
      <w:start w:val="0"/>
      <w:numFmt w:val="bullet"/>
      <w:lvlText w:val="•"/>
      <w:lvlJc w:val="left"/>
      <w:pPr>
        <w:ind w:left="7830" w:hanging="853"/>
      </w:pPr>
      <w:rPr>
        <w:rFonts w:hint="default"/>
        <w:lang w:val="en-US" w:eastAsia="zh-CN" w:bidi="ar-SA"/>
      </w:rPr>
    </w:lvl>
    <w:lvl w:ilvl="8">
      <w:start w:val="0"/>
      <w:numFmt w:val="bullet"/>
      <w:lvlText w:val="•"/>
      <w:lvlJc w:val="left"/>
      <w:pPr>
        <w:ind w:left="8789" w:hanging="853"/>
      </w:pPr>
      <w:rPr>
        <w:rFonts w:hint="default"/>
        <w:lang w:val="en-US" w:eastAsia="zh-CN" w:bidi="ar-SA"/>
      </w:rPr>
    </w:lvl>
  </w:abstractNum>
  <w:abstractNum w:abstractNumId="10">
    <w:multiLevelType w:val="hybridMultilevel"/>
    <w:lvl w:ilvl="0">
      <w:start w:val="5"/>
      <w:numFmt w:val="decimal"/>
      <w:lvlText w:val="%1"/>
      <w:lvlJc w:val="left"/>
      <w:pPr>
        <w:ind w:left="3000" w:hanging="853"/>
        <w:jc w:val="left"/>
      </w:pPr>
      <w:rPr>
        <w:rFonts w:hint="default"/>
        <w:lang w:val="en-US" w:eastAsia="zh-CN" w:bidi="ar-SA"/>
      </w:rPr>
    </w:lvl>
    <w:lvl w:ilvl="1">
      <w:start w:val="1"/>
      <w:numFmt w:val="decimal"/>
      <w:lvlText w:val="%1.%2"/>
      <w:lvlJc w:val="left"/>
      <w:pPr>
        <w:ind w:left="300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41" w:hanging="853"/>
      </w:pPr>
      <w:rPr>
        <w:rFonts w:hint="default"/>
        <w:lang w:val="en-US" w:eastAsia="zh-CN" w:bidi="ar-SA"/>
      </w:rPr>
    </w:lvl>
    <w:lvl w:ilvl="3">
      <w:start w:val="0"/>
      <w:numFmt w:val="bullet"/>
      <w:lvlText w:val="•"/>
      <w:lvlJc w:val="left"/>
      <w:pPr>
        <w:ind w:left="5311" w:hanging="853"/>
      </w:pPr>
      <w:rPr>
        <w:rFonts w:hint="default"/>
        <w:lang w:val="en-US" w:eastAsia="zh-CN" w:bidi="ar-SA"/>
      </w:rPr>
    </w:lvl>
    <w:lvl w:ilvl="4">
      <w:start w:val="0"/>
      <w:numFmt w:val="bullet"/>
      <w:lvlText w:val="•"/>
      <w:lvlJc w:val="left"/>
      <w:pPr>
        <w:ind w:left="6082" w:hanging="853"/>
      </w:pPr>
      <w:rPr>
        <w:rFonts w:hint="default"/>
        <w:lang w:val="en-US" w:eastAsia="zh-CN" w:bidi="ar-SA"/>
      </w:rPr>
    </w:lvl>
    <w:lvl w:ilvl="5">
      <w:start w:val="0"/>
      <w:numFmt w:val="bullet"/>
      <w:lvlText w:val="•"/>
      <w:lvlJc w:val="left"/>
      <w:pPr>
        <w:ind w:left="6853" w:hanging="853"/>
      </w:pPr>
      <w:rPr>
        <w:rFonts w:hint="default"/>
        <w:lang w:val="en-US" w:eastAsia="zh-CN" w:bidi="ar-SA"/>
      </w:rPr>
    </w:lvl>
    <w:lvl w:ilvl="6">
      <w:start w:val="0"/>
      <w:numFmt w:val="bullet"/>
      <w:lvlText w:val="•"/>
      <w:lvlJc w:val="left"/>
      <w:pPr>
        <w:ind w:left="7623" w:hanging="853"/>
      </w:pPr>
      <w:rPr>
        <w:rFonts w:hint="default"/>
        <w:lang w:val="en-US" w:eastAsia="zh-CN" w:bidi="ar-SA"/>
      </w:rPr>
    </w:lvl>
    <w:lvl w:ilvl="7">
      <w:start w:val="0"/>
      <w:numFmt w:val="bullet"/>
      <w:lvlText w:val="•"/>
      <w:lvlJc w:val="left"/>
      <w:pPr>
        <w:ind w:left="8394" w:hanging="853"/>
      </w:pPr>
      <w:rPr>
        <w:rFonts w:hint="default"/>
        <w:lang w:val="en-US" w:eastAsia="zh-CN" w:bidi="ar-SA"/>
      </w:rPr>
    </w:lvl>
    <w:lvl w:ilvl="8">
      <w:start w:val="0"/>
      <w:numFmt w:val="bullet"/>
      <w:lvlText w:val="•"/>
      <w:lvlJc w:val="left"/>
      <w:pPr>
        <w:ind w:left="9165" w:hanging="853"/>
      </w:pPr>
      <w:rPr>
        <w:rFonts w:hint="default"/>
        <w:lang w:val="en-US" w:eastAsia="zh-CN" w:bidi="ar-SA"/>
      </w:rPr>
    </w:lvl>
  </w:abstractNum>
  <w:abstractNum w:abstractNumId="9">
    <w:multiLevelType w:val="hybridMultilevel"/>
    <w:lvl w:ilvl="0">
      <w:start w:val="4"/>
      <w:numFmt w:val="decimal"/>
      <w:lvlText w:val="%1"/>
      <w:lvlJc w:val="left"/>
      <w:pPr>
        <w:ind w:left="1120" w:hanging="853"/>
        <w:jc w:val="left"/>
      </w:pPr>
      <w:rPr>
        <w:rFonts w:hint="default"/>
        <w:lang w:val="en-US" w:eastAsia="zh-CN" w:bidi="ar-SA"/>
      </w:rPr>
    </w:lvl>
    <w:lvl w:ilvl="1">
      <w:start w:val="1"/>
      <w:numFmt w:val="decimal"/>
      <w:lvlText w:val="%1.%2"/>
      <w:lvlJc w:val="left"/>
      <w:pPr>
        <w:ind w:left="112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381" w:hanging="853"/>
      </w:pPr>
      <w:rPr>
        <w:rFonts w:hint="default"/>
        <w:lang w:val="en-US" w:eastAsia="zh-CN" w:bidi="ar-SA"/>
      </w:rPr>
    </w:lvl>
    <w:lvl w:ilvl="3">
      <w:start w:val="0"/>
      <w:numFmt w:val="bullet"/>
      <w:lvlText w:val="•"/>
      <w:lvlJc w:val="left"/>
      <w:pPr>
        <w:ind w:left="1512" w:hanging="853"/>
      </w:pPr>
      <w:rPr>
        <w:rFonts w:hint="default"/>
        <w:lang w:val="en-US" w:eastAsia="zh-CN" w:bidi="ar-SA"/>
      </w:rPr>
    </w:lvl>
    <w:lvl w:ilvl="4">
      <w:start w:val="0"/>
      <w:numFmt w:val="bullet"/>
      <w:lvlText w:val="•"/>
      <w:lvlJc w:val="left"/>
      <w:pPr>
        <w:ind w:left="1643" w:hanging="853"/>
      </w:pPr>
      <w:rPr>
        <w:rFonts w:hint="default"/>
        <w:lang w:val="en-US" w:eastAsia="zh-CN" w:bidi="ar-SA"/>
      </w:rPr>
    </w:lvl>
    <w:lvl w:ilvl="5">
      <w:start w:val="0"/>
      <w:numFmt w:val="bullet"/>
      <w:lvlText w:val="•"/>
      <w:lvlJc w:val="left"/>
      <w:pPr>
        <w:ind w:left="1773" w:hanging="853"/>
      </w:pPr>
      <w:rPr>
        <w:rFonts w:hint="default"/>
        <w:lang w:val="en-US" w:eastAsia="zh-CN" w:bidi="ar-SA"/>
      </w:rPr>
    </w:lvl>
    <w:lvl w:ilvl="6">
      <w:start w:val="0"/>
      <w:numFmt w:val="bullet"/>
      <w:lvlText w:val="•"/>
      <w:lvlJc w:val="left"/>
      <w:pPr>
        <w:ind w:left="1904" w:hanging="853"/>
      </w:pPr>
      <w:rPr>
        <w:rFonts w:hint="default"/>
        <w:lang w:val="en-US" w:eastAsia="zh-CN" w:bidi="ar-SA"/>
      </w:rPr>
    </w:lvl>
    <w:lvl w:ilvl="7">
      <w:start w:val="0"/>
      <w:numFmt w:val="bullet"/>
      <w:lvlText w:val="•"/>
      <w:lvlJc w:val="left"/>
      <w:pPr>
        <w:ind w:left="2035" w:hanging="853"/>
      </w:pPr>
      <w:rPr>
        <w:rFonts w:hint="default"/>
        <w:lang w:val="en-US" w:eastAsia="zh-CN" w:bidi="ar-SA"/>
      </w:rPr>
    </w:lvl>
    <w:lvl w:ilvl="8">
      <w:start w:val="0"/>
      <w:numFmt w:val="bullet"/>
      <w:lvlText w:val="•"/>
      <w:lvlJc w:val="left"/>
      <w:pPr>
        <w:ind w:left="2166" w:hanging="853"/>
      </w:pPr>
      <w:rPr>
        <w:rFonts w:hint="default"/>
        <w:lang w:val="en-US" w:eastAsia="zh-CN" w:bidi="ar-SA"/>
      </w:rPr>
    </w:lvl>
  </w:abstractNum>
  <w:abstractNum w:abstractNumId="8">
    <w:multiLevelType w:val="hybridMultilevel"/>
    <w:lvl w:ilvl="0">
      <w:start w:val="3"/>
      <w:numFmt w:val="decimal"/>
      <w:lvlText w:val="%1"/>
      <w:lvlJc w:val="left"/>
      <w:pPr>
        <w:ind w:left="2808" w:hanging="853"/>
        <w:jc w:val="left"/>
      </w:pPr>
      <w:rPr>
        <w:rFonts w:hint="default"/>
        <w:lang w:val="en-US" w:eastAsia="zh-CN" w:bidi="ar-SA"/>
      </w:rPr>
    </w:lvl>
    <w:lvl w:ilvl="1">
      <w:start w:val="1"/>
      <w:numFmt w:val="decimal"/>
      <w:lvlText w:val="%1.%2"/>
      <w:lvlJc w:val="left"/>
      <w:pPr>
        <w:ind w:left="2808"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81" w:hanging="853"/>
      </w:pPr>
      <w:rPr>
        <w:rFonts w:hint="default"/>
        <w:lang w:val="en-US" w:eastAsia="zh-CN" w:bidi="ar-SA"/>
      </w:rPr>
    </w:lvl>
    <w:lvl w:ilvl="3">
      <w:start w:val="0"/>
      <w:numFmt w:val="bullet"/>
      <w:lvlText w:val="•"/>
      <w:lvlJc w:val="left"/>
      <w:pPr>
        <w:ind w:left="5171" w:hanging="853"/>
      </w:pPr>
      <w:rPr>
        <w:rFonts w:hint="default"/>
        <w:lang w:val="en-US" w:eastAsia="zh-CN" w:bidi="ar-SA"/>
      </w:rPr>
    </w:lvl>
    <w:lvl w:ilvl="4">
      <w:start w:val="0"/>
      <w:numFmt w:val="bullet"/>
      <w:lvlText w:val="•"/>
      <w:lvlJc w:val="left"/>
      <w:pPr>
        <w:ind w:left="5962" w:hanging="853"/>
      </w:pPr>
      <w:rPr>
        <w:rFonts w:hint="default"/>
        <w:lang w:val="en-US" w:eastAsia="zh-CN" w:bidi="ar-SA"/>
      </w:rPr>
    </w:lvl>
    <w:lvl w:ilvl="5">
      <w:start w:val="0"/>
      <w:numFmt w:val="bullet"/>
      <w:lvlText w:val="•"/>
      <w:lvlJc w:val="left"/>
      <w:pPr>
        <w:ind w:left="6753" w:hanging="853"/>
      </w:pPr>
      <w:rPr>
        <w:rFonts w:hint="default"/>
        <w:lang w:val="en-US" w:eastAsia="zh-CN" w:bidi="ar-SA"/>
      </w:rPr>
    </w:lvl>
    <w:lvl w:ilvl="6">
      <w:start w:val="0"/>
      <w:numFmt w:val="bullet"/>
      <w:lvlText w:val="•"/>
      <w:lvlJc w:val="left"/>
      <w:pPr>
        <w:ind w:left="7543" w:hanging="853"/>
      </w:pPr>
      <w:rPr>
        <w:rFonts w:hint="default"/>
        <w:lang w:val="en-US" w:eastAsia="zh-CN" w:bidi="ar-SA"/>
      </w:rPr>
    </w:lvl>
    <w:lvl w:ilvl="7">
      <w:start w:val="0"/>
      <w:numFmt w:val="bullet"/>
      <w:lvlText w:val="•"/>
      <w:lvlJc w:val="left"/>
      <w:pPr>
        <w:ind w:left="8334" w:hanging="853"/>
      </w:pPr>
      <w:rPr>
        <w:rFonts w:hint="default"/>
        <w:lang w:val="en-US" w:eastAsia="zh-CN" w:bidi="ar-SA"/>
      </w:rPr>
    </w:lvl>
    <w:lvl w:ilvl="8">
      <w:start w:val="0"/>
      <w:numFmt w:val="bullet"/>
      <w:lvlText w:val="•"/>
      <w:lvlJc w:val="left"/>
      <w:pPr>
        <w:ind w:left="9125" w:hanging="853"/>
      </w:pPr>
      <w:rPr>
        <w:rFonts w:hint="default"/>
        <w:lang w:val="en-US" w:eastAsia="zh-CN" w:bidi="ar-SA"/>
      </w:rPr>
    </w:lvl>
  </w:abstractNum>
  <w:abstractNum w:abstractNumId="7">
    <w:multiLevelType w:val="hybridMultilevel"/>
    <w:lvl w:ilvl="0">
      <w:start w:val="1"/>
      <w:numFmt w:val="decimal"/>
      <w:lvlText w:val="（%1）"/>
      <w:lvlJc w:val="left"/>
      <w:pPr>
        <w:ind w:left="3267"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4004" w:hanging="530"/>
      </w:pPr>
      <w:rPr>
        <w:rFonts w:hint="default"/>
        <w:lang w:val="en-US" w:eastAsia="zh-CN" w:bidi="ar-SA"/>
      </w:rPr>
    </w:lvl>
    <w:lvl w:ilvl="2">
      <w:start w:val="0"/>
      <w:numFmt w:val="bullet"/>
      <w:lvlText w:val="•"/>
      <w:lvlJc w:val="left"/>
      <w:pPr>
        <w:ind w:left="4749" w:hanging="530"/>
      </w:pPr>
      <w:rPr>
        <w:rFonts w:hint="default"/>
        <w:lang w:val="en-US" w:eastAsia="zh-CN" w:bidi="ar-SA"/>
      </w:rPr>
    </w:lvl>
    <w:lvl w:ilvl="3">
      <w:start w:val="0"/>
      <w:numFmt w:val="bullet"/>
      <w:lvlText w:val="•"/>
      <w:lvlJc w:val="left"/>
      <w:pPr>
        <w:ind w:left="5493" w:hanging="530"/>
      </w:pPr>
      <w:rPr>
        <w:rFonts w:hint="default"/>
        <w:lang w:val="en-US" w:eastAsia="zh-CN" w:bidi="ar-SA"/>
      </w:rPr>
    </w:lvl>
    <w:lvl w:ilvl="4">
      <w:start w:val="0"/>
      <w:numFmt w:val="bullet"/>
      <w:lvlText w:val="•"/>
      <w:lvlJc w:val="left"/>
      <w:pPr>
        <w:ind w:left="6238" w:hanging="530"/>
      </w:pPr>
      <w:rPr>
        <w:rFonts w:hint="default"/>
        <w:lang w:val="en-US" w:eastAsia="zh-CN" w:bidi="ar-SA"/>
      </w:rPr>
    </w:lvl>
    <w:lvl w:ilvl="5">
      <w:start w:val="0"/>
      <w:numFmt w:val="bullet"/>
      <w:lvlText w:val="•"/>
      <w:lvlJc w:val="left"/>
      <w:pPr>
        <w:ind w:left="6983" w:hanging="530"/>
      </w:pPr>
      <w:rPr>
        <w:rFonts w:hint="default"/>
        <w:lang w:val="en-US" w:eastAsia="zh-CN" w:bidi="ar-SA"/>
      </w:rPr>
    </w:lvl>
    <w:lvl w:ilvl="6">
      <w:start w:val="0"/>
      <w:numFmt w:val="bullet"/>
      <w:lvlText w:val="•"/>
      <w:lvlJc w:val="left"/>
      <w:pPr>
        <w:ind w:left="7727" w:hanging="530"/>
      </w:pPr>
      <w:rPr>
        <w:rFonts w:hint="default"/>
        <w:lang w:val="en-US" w:eastAsia="zh-CN" w:bidi="ar-SA"/>
      </w:rPr>
    </w:lvl>
    <w:lvl w:ilvl="7">
      <w:start w:val="0"/>
      <w:numFmt w:val="bullet"/>
      <w:lvlText w:val="•"/>
      <w:lvlJc w:val="left"/>
      <w:pPr>
        <w:ind w:left="8472" w:hanging="530"/>
      </w:pPr>
      <w:rPr>
        <w:rFonts w:hint="default"/>
        <w:lang w:val="en-US" w:eastAsia="zh-CN" w:bidi="ar-SA"/>
      </w:rPr>
    </w:lvl>
    <w:lvl w:ilvl="8">
      <w:start w:val="0"/>
      <w:numFmt w:val="bullet"/>
      <w:lvlText w:val="•"/>
      <w:lvlJc w:val="left"/>
      <w:pPr>
        <w:ind w:left="9217" w:hanging="530"/>
      </w:pPr>
      <w:rPr>
        <w:rFonts w:hint="default"/>
        <w:lang w:val="en-US" w:eastAsia="zh-CN" w:bidi="ar-SA"/>
      </w:rPr>
    </w:lvl>
  </w:abstractNum>
  <w:abstractNum w:abstractNumId="6">
    <w:multiLevelType w:val="hybridMultilevel"/>
    <w:lvl w:ilvl="0">
      <w:start w:val="1"/>
      <w:numFmt w:val="decimal"/>
      <w:lvlText w:val="（%1）"/>
      <w:lvlJc w:val="left"/>
      <w:pPr>
        <w:ind w:left="3267"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4004" w:hanging="530"/>
      </w:pPr>
      <w:rPr>
        <w:rFonts w:hint="default"/>
        <w:lang w:val="en-US" w:eastAsia="zh-CN" w:bidi="ar-SA"/>
      </w:rPr>
    </w:lvl>
    <w:lvl w:ilvl="2">
      <w:start w:val="0"/>
      <w:numFmt w:val="bullet"/>
      <w:lvlText w:val="•"/>
      <w:lvlJc w:val="left"/>
      <w:pPr>
        <w:ind w:left="4749" w:hanging="530"/>
      </w:pPr>
      <w:rPr>
        <w:rFonts w:hint="default"/>
        <w:lang w:val="en-US" w:eastAsia="zh-CN" w:bidi="ar-SA"/>
      </w:rPr>
    </w:lvl>
    <w:lvl w:ilvl="3">
      <w:start w:val="0"/>
      <w:numFmt w:val="bullet"/>
      <w:lvlText w:val="•"/>
      <w:lvlJc w:val="left"/>
      <w:pPr>
        <w:ind w:left="5493" w:hanging="530"/>
      </w:pPr>
      <w:rPr>
        <w:rFonts w:hint="default"/>
        <w:lang w:val="en-US" w:eastAsia="zh-CN" w:bidi="ar-SA"/>
      </w:rPr>
    </w:lvl>
    <w:lvl w:ilvl="4">
      <w:start w:val="0"/>
      <w:numFmt w:val="bullet"/>
      <w:lvlText w:val="•"/>
      <w:lvlJc w:val="left"/>
      <w:pPr>
        <w:ind w:left="6238" w:hanging="530"/>
      </w:pPr>
      <w:rPr>
        <w:rFonts w:hint="default"/>
        <w:lang w:val="en-US" w:eastAsia="zh-CN" w:bidi="ar-SA"/>
      </w:rPr>
    </w:lvl>
    <w:lvl w:ilvl="5">
      <w:start w:val="0"/>
      <w:numFmt w:val="bullet"/>
      <w:lvlText w:val="•"/>
      <w:lvlJc w:val="left"/>
      <w:pPr>
        <w:ind w:left="6983" w:hanging="530"/>
      </w:pPr>
      <w:rPr>
        <w:rFonts w:hint="default"/>
        <w:lang w:val="en-US" w:eastAsia="zh-CN" w:bidi="ar-SA"/>
      </w:rPr>
    </w:lvl>
    <w:lvl w:ilvl="6">
      <w:start w:val="0"/>
      <w:numFmt w:val="bullet"/>
      <w:lvlText w:val="•"/>
      <w:lvlJc w:val="left"/>
      <w:pPr>
        <w:ind w:left="7727" w:hanging="530"/>
      </w:pPr>
      <w:rPr>
        <w:rFonts w:hint="default"/>
        <w:lang w:val="en-US" w:eastAsia="zh-CN" w:bidi="ar-SA"/>
      </w:rPr>
    </w:lvl>
    <w:lvl w:ilvl="7">
      <w:start w:val="0"/>
      <w:numFmt w:val="bullet"/>
      <w:lvlText w:val="•"/>
      <w:lvlJc w:val="left"/>
      <w:pPr>
        <w:ind w:left="8472" w:hanging="530"/>
      </w:pPr>
      <w:rPr>
        <w:rFonts w:hint="default"/>
        <w:lang w:val="en-US" w:eastAsia="zh-CN" w:bidi="ar-SA"/>
      </w:rPr>
    </w:lvl>
    <w:lvl w:ilvl="8">
      <w:start w:val="0"/>
      <w:numFmt w:val="bullet"/>
      <w:lvlText w:val="•"/>
      <w:lvlJc w:val="left"/>
      <w:pPr>
        <w:ind w:left="9217" w:hanging="530"/>
      </w:pPr>
      <w:rPr>
        <w:rFonts w:hint="default"/>
        <w:lang w:val="en-US" w:eastAsia="zh-CN" w:bidi="ar-SA"/>
      </w:rPr>
    </w:lvl>
  </w:abstractNum>
  <w:abstractNum w:abstractNumId="5">
    <w:multiLevelType w:val="hybridMultilevel"/>
    <w:lvl w:ilvl="0">
      <w:start w:val="1"/>
      <w:numFmt w:val="decimal"/>
      <w:lvlText w:val="（%1）"/>
      <w:lvlJc w:val="left"/>
      <w:pPr>
        <w:ind w:left="704" w:hanging="532"/>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444" w:hanging="532"/>
      </w:pPr>
      <w:rPr>
        <w:rFonts w:hint="default"/>
        <w:lang w:val="en-US" w:eastAsia="zh-CN" w:bidi="ar-SA"/>
      </w:rPr>
    </w:lvl>
    <w:lvl w:ilvl="2">
      <w:start w:val="0"/>
      <w:numFmt w:val="bullet"/>
      <w:lvlText w:val="•"/>
      <w:lvlJc w:val="left"/>
      <w:pPr>
        <w:ind w:left="2188" w:hanging="532"/>
      </w:pPr>
      <w:rPr>
        <w:rFonts w:hint="default"/>
        <w:lang w:val="en-US" w:eastAsia="zh-CN" w:bidi="ar-SA"/>
      </w:rPr>
    </w:lvl>
    <w:lvl w:ilvl="3">
      <w:start w:val="0"/>
      <w:numFmt w:val="bullet"/>
      <w:lvlText w:val="•"/>
      <w:lvlJc w:val="left"/>
      <w:pPr>
        <w:ind w:left="2933" w:hanging="532"/>
      </w:pPr>
      <w:rPr>
        <w:rFonts w:hint="default"/>
        <w:lang w:val="en-US" w:eastAsia="zh-CN" w:bidi="ar-SA"/>
      </w:rPr>
    </w:lvl>
    <w:lvl w:ilvl="4">
      <w:start w:val="0"/>
      <w:numFmt w:val="bullet"/>
      <w:lvlText w:val="•"/>
      <w:lvlJc w:val="left"/>
      <w:pPr>
        <w:ind w:left="3677" w:hanging="532"/>
      </w:pPr>
      <w:rPr>
        <w:rFonts w:hint="default"/>
        <w:lang w:val="en-US" w:eastAsia="zh-CN" w:bidi="ar-SA"/>
      </w:rPr>
    </w:lvl>
    <w:lvl w:ilvl="5">
      <w:start w:val="0"/>
      <w:numFmt w:val="bullet"/>
      <w:lvlText w:val="•"/>
      <w:lvlJc w:val="left"/>
      <w:pPr>
        <w:ind w:left="4422" w:hanging="532"/>
      </w:pPr>
      <w:rPr>
        <w:rFonts w:hint="default"/>
        <w:lang w:val="en-US" w:eastAsia="zh-CN" w:bidi="ar-SA"/>
      </w:rPr>
    </w:lvl>
    <w:lvl w:ilvl="6">
      <w:start w:val="0"/>
      <w:numFmt w:val="bullet"/>
      <w:lvlText w:val="•"/>
      <w:lvlJc w:val="left"/>
      <w:pPr>
        <w:ind w:left="5166" w:hanging="532"/>
      </w:pPr>
      <w:rPr>
        <w:rFonts w:hint="default"/>
        <w:lang w:val="en-US" w:eastAsia="zh-CN" w:bidi="ar-SA"/>
      </w:rPr>
    </w:lvl>
    <w:lvl w:ilvl="7">
      <w:start w:val="0"/>
      <w:numFmt w:val="bullet"/>
      <w:lvlText w:val="•"/>
      <w:lvlJc w:val="left"/>
      <w:pPr>
        <w:ind w:left="5911" w:hanging="532"/>
      </w:pPr>
      <w:rPr>
        <w:rFonts w:hint="default"/>
        <w:lang w:val="en-US" w:eastAsia="zh-CN" w:bidi="ar-SA"/>
      </w:rPr>
    </w:lvl>
    <w:lvl w:ilvl="8">
      <w:start w:val="0"/>
      <w:numFmt w:val="bullet"/>
      <w:lvlText w:val="•"/>
      <w:lvlJc w:val="left"/>
      <w:pPr>
        <w:ind w:left="6655" w:hanging="532"/>
      </w:pPr>
      <w:rPr>
        <w:rFonts w:hint="default"/>
        <w:lang w:val="en-US" w:eastAsia="zh-CN" w:bidi="ar-SA"/>
      </w:rPr>
    </w:lvl>
  </w:abstractNum>
  <w:abstractNum w:abstractNumId="4">
    <w:multiLevelType w:val="hybridMultilevel"/>
    <w:lvl w:ilvl="0">
      <w:start w:val="1"/>
      <w:numFmt w:val="decimal"/>
      <w:lvlText w:val="（%1）"/>
      <w:lvlJc w:val="left"/>
      <w:pPr>
        <w:ind w:left="705" w:hanging="530"/>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444" w:hanging="530"/>
      </w:pPr>
      <w:rPr>
        <w:rFonts w:hint="default"/>
        <w:lang w:val="en-US" w:eastAsia="zh-CN" w:bidi="ar-SA"/>
      </w:rPr>
    </w:lvl>
    <w:lvl w:ilvl="2">
      <w:start w:val="0"/>
      <w:numFmt w:val="bullet"/>
      <w:lvlText w:val="•"/>
      <w:lvlJc w:val="left"/>
      <w:pPr>
        <w:ind w:left="2188" w:hanging="530"/>
      </w:pPr>
      <w:rPr>
        <w:rFonts w:hint="default"/>
        <w:lang w:val="en-US" w:eastAsia="zh-CN" w:bidi="ar-SA"/>
      </w:rPr>
    </w:lvl>
    <w:lvl w:ilvl="3">
      <w:start w:val="0"/>
      <w:numFmt w:val="bullet"/>
      <w:lvlText w:val="•"/>
      <w:lvlJc w:val="left"/>
      <w:pPr>
        <w:ind w:left="2933" w:hanging="530"/>
      </w:pPr>
      <w:rPr>
        <w:rFonts w:hint="default"/>
        <w:lang w:val="en-US" w:eastAsia="zh-CN" w:bidi="ar-SA"/>
      </w:rPr>
    </w:lvl>
    <w:lvl w:ilvl="4">
      <w:start w:val="0"/>
      <w:numFmt w:val="bullet"/>
      <w:lvlText w:val="•"/>
      <w:lvlJc w:val="left"/>
      <w:pPr>
        <w:ind w:left="3677" w:hanging="530"/>
      </w:pPr>
      <w:rPr>
        <w:rFonts w:hint="default"/>
        <w:lang w:val="en-US" w:eastAsia="zh-CN" w:bidi="ar-SA"/>
      </w:rPr>
    </w:lvl>
    <w:lvl w:ilvl="5">
      <w:start w:val="0"/>
      <w:numFmt w:val="bullet"/>
      <w:lvlText w:val="•"/>
      <w:lvlJc w:val="left"/>
      <w:pPr>
        <w:ind w:left="4422" w:hanging="530"/>
      </w:pPr>
      <w:rPr>
        <w:rFonts w:hint="default"/>
        <w:lang w:val="en-US" w:eastAsia="zh-CN" w:bidi="ar-SA"/>
      </w:rPr>
    </w:lvl>
    <w:lvl w:ilvl="6">
      <w:start w:val="0"/>
      <w:numFmt w:val="bullet"/>
      <w:lvlText w:val="•"/>
      <w:lvlJc w:val="left"/>
      <w:pPr>
        <w:ind w:left="5166" w:hanging="530"/>
      </w:pPr>
      <w:rPr>
        <w:rFonts w:hint="default"/>
        <w:lang w:val="en-US" w:eastAsia="zh-CN" w:bidi="ar-SA"/>
      </w:rPr>
    </w:lvl>
    <w:lvl w:ilvl="7">
      <w:start w:val="0"/>
      <w:numFmt w:val="bullet"/>
      <w:lvlText w:val="•"/>
      <w:lvlJc w:val="left"/>
      <w:pPr>
        <w:ind w:left="5911" w:hanging="530"/>
      </w:pPr>
      <w:rPr>
        <w:rFonts w:hint="default"/>
        <w:lang w:val="en-US" w:eastAsia="zh-CN" w:bidi="ar-SA"/>
      </w:rPr>
    </w:lvl>
    <w:lvl w:ilvl="8">
      <w:start w:val="0"/>
      <w:numFmt w:val="bullet"/>
      <w:lvlText w:val="•"/>
      <w:lvlJc w:val="left"/>
      <w:pPr>
        <w:ind w:left="6655" w:hanging="530"/>
      </w:pPr>
      <w:rPr>
        <w:rFonts w:hint="default"/>
        <w:lang w:val="en-US" w:eastAsia="zh-CN" w:bidi="ar-SA"/>
      </w:rPr>
    </w:lvl>
  </w:abstractNum>
  <w:abstractNum w:abstractNumId="3">
    <w:multiLevelType w:val="hybridMultilevel"/>
    <w:lvl w:ilvl="0">
      <w:start w:val="2"/>
      <w:numFmt w:val="decimal"/>
      <w:lvlText w:val="%1"/>
      <w:lvlJc w:val="left"/>
      <w:pPr>
        <w:ind w:left="2738" w:hanging="853"/>
        <w:jc w:val="left"/>
      </w:pPr>
      <w:rPr>
        <w:rFonts w:hint="default"/>
        <w:lang w:val="en-US" w:eastAsia="zh-CN" w:bidi="ar-SA"/>
      </w:rPr>
    </w:lvl>
    <w:lvl w:ilvl="1">
      <w:start w:val="1"/>
      <w:numFmt w:val="decimal"/>
      <w:lvlText w:val="%1.%2"/>
      <w:lvlJc w:val="left"/>
      <w:pPr>
        <w:ind w:left="2738" w:hanging="853"/>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120" w:hanging="853"/>
        <w:jc w:val="left"/>
      </w:pPr>
      <w:rPr>
        <w:rFonts w:hint="default"/>
        <w:w w:val="99"/>
        <w:lang w:val="en-US" w:eastAsia="zh-CN" w:bidi="ar-SA"/>
      </w:rPr>
    </w:lvl>
    <w:lvl w:ilvl="3">
      <w:start w:val="0"/>
      <w:numFmt w:val="bullet"/>
      <w:lvlText w:val="•"/>
      <w:lvlJc w:val="left"/>
      <w:pPr>
        <w:ind w:left="2708" w:hanging="853"/>
      </w:pPr>
      <w:rPr>
        <w:rFonts w:hint="default"/>
        <w:lang w:val="en-US" w:eastAsia="zh-CN" w:bidi="ar-SA"/>
      </w:rPr>
    </w:lvl>
    <w:lvl w:ilvl="4">
      <w:start w:val="0"/>
      <w:numFmt w:val="bullet"/>
      <w:lvlText w:val="•"/>
      <w:lvlJc w:val="left"/>
      <w:pPr>
        <w:ind w:left="2692" w:hanging="853"/>
      </w:pPr>
      <w:rPr>
        <w:rFonts w:hint="default"/>
        <w:lang w:val="en-US" w:eastAsia="zh-CN" w:bidi="ar-SA"/>
      </w:rPr>
    </w:lvl>
    <w:lvl w:ilvl="5">
      <w:start w:val="0"/>
      <w:numFmt w:val="bullet"/>
      <w:lvlText w:val="•"/>
      <w:lvlJc w:val="left"/>
      <w:pPr>
        <w:ind w:left="2677" w:hanging="853"/>
      </w:pPr>
      <w:rPr>
        <w:rFonts w:hint="default"/>
        <w:lang w:val="en-US" w:eastAsia="zh-CN" w:bidi="ar-SA"/>
      </w:rPr>
    </w:lvl>
    <w:lvl w:ilvl="6">
      <w:start w:val="0"/>
      <w:numFmt w:val="bullet"/>
      <w:lvlText w:val="•"/>
      <w:lvlJc w:val="left"/>
      <w:pPr>
        <w:ind w:left="2661" w:hanging="853"/>
      </w:pPr>
      <w:rPr>
        <w:rFonts w:hint="default"/>
        <w:lang w:val="en-US" w:eastAsia="zh-CN" w:bidi="ar-SA"/>
      </w:rPr>
    </w:lvl>
    <w:lvl w:ilvl="7">
      <w:start w:val="0"/>
      <w:numFmt w:val="bullet"/>
      <w:lvlText w:val="•"/>
      <w:lvlJc w:val="left"/>
      <w:pPr>
        <w:ind w:left="2645" w:hanging="853"/>
      </w:pPr>
      <w:rPr>
        <w:rFonts w:hint="default"/>
        <w:lang w:val="en-US" w:eastAsia="zh-CN" w:bidi="ar-SA"/>
      </w:rPr>
    </w:lvl>
    <w:lvl w:ilvl="8">
      <w:start w:val="0"/>
      <w:numFmt w:val="bullet"/>
      <w:lvlText w:val="•"/>
      <w:lvlJc w:val="left"/>
      <w:pPr>
        <w:ind w:left="2630" w:hanging="853"/>
      </w:pPr>
      <w:rPr>
        <w:rFonts w:hint="default"/>
        <w:lang w:val="en-US" w:eastAsia="zh-CN" w:bidi="ar-SA"/>
      </w:rPr>
    </w:lvl>
  </w:abstractNum>
  <w:abstractNum w:abstractNumId="2">
    <w:multiLevelType w:val="hybridMultilevel"/>
    <w:lvl w:ilvl="0">
      <w:start w:val="1"/>
      <w:numFmt w:val="decimal"/>
      <w:lvlText w:val="%1"/>
      <w:lvlJc w:val="left"/>
      <w:pPr>
        <w:ind w:left="2738" w:hanging="853"/>
        <w:jc w:val="left"/>
      </w:pPr>
      <w:rPr>
        <w:rFonts w:hint="default"/>
        <w:lang w:val="en-US" w:eastAsia="zh-CN" w:bidi="ar-SA"/>
      </w:rPr>
    </w:lvl>
    <w:lvl w:ilvl="1">
      <w:start w:val="1"/>
      <w:numFmt w:val="decimal"/>
      <w:lvlText w:val="%1.%2"/>
      <w:lvlJc w:val="left"/>
      <w:pPr>
        <w:ind w:left="2738"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33" w:hanging="853"/>
      </w:pPr>
      <w:rPr>
        <w:rFonts w:hint="default"/>
        <w:lang w:val="en-US" w:eastAsia="zh-CN" w:bidi="ar-SA"/>
      </w:rPr>
    </w:lvl>
    <w:lvl w:ilvl="3">
      <w:start w:val="0"/>
      <w:numFmt w:val="bullet"/>
      <w:lvlText w:val="•"/>
      <w:lvlJc w:val="left"/>
      <w:pPr>
        <w:ind w:left="5129" w:hanging="853"/>
      </w:pPr>
      <w:rPr>
        <w:rFonts w:hint="default"/>
        <w:lang w:val="en-US" w:eastAsia="zh-CN" w:bidi="ar-SA"/>
      </w:rPr>
    </w:lvl>
    <w:lvl w:ilvl="4">
      <w:start w:val="0"/>
      <w:numFmt w:val="bullet"/>
      <w:lvlText w:val="•"/>
      <w:lvlJc w:val="left"/>
      <w:pPr>
        <w:ind w:left="5926" w:hanging="853"/>
      </w:pPr>
      <w:rPr>
        <w:rFonts w:hint="default"/>
        <w:lang w:val="en-US" w:eastAsia="zh-CN" w:bidi="ar-SA"/>
      </w:rPr>
    </w:lvl>
    <w:lvl w:ilvl="5">
      <w:start w:val="0"/>
      <w:numFmt w:val="bullet"/>
      <w:lvlText w:val="•"/>
      <w:lvlJc w:val="left"/>
      <w:pPr>
        <w:ind w:left="6723" w:hanging="853"/>
      </w:pPr>
      <w:rPr>
        <w:rFonts w:hint="default"/>
        <w:lang w:val="en-US" w:eastAsia="zh-CN" w:bidi="ar-SA"/>
      </w:rPr>
    </w:lvl>
    <w:lvl w:ilvl="6">
      <w:start w:val="0"/>
      <w:numFmt w:val="bullet"/>
      <w:lvlText w:val="•"/>
      <w:lvlJc w:val="left"/>
      <w:pPr>
        <w:ind w:left="7519" w:hanging="853"/>
      </w:pPr>
      <w:rPr>
        <w:rFonts w:hint="default"/>
        <w:lang w:val="en-US" w:eastAsia="zh-CN" w:bidi="ar-SA"/>
      </w:rPr>
    </w:lvl>
    <w:lvl w:ilvl="7">
      <w:start w:val="0"/>
      <w:numFmt w:val="bullet"/>
      <w:lvlText w:val="•"/>
      <w:lvlJc w:val="left"/>
      <w:pPr>
        <w:ind w:left="8316" w:hanging="853"/>
      </w:pPr>
      <w:rPr>
        <w:rFonts w:hint="default"/>
        <w:lang w:val="en-US" w:eastAsia="zh-CN" w:bidi="ar-SA"/>
      </w:rPr>
    </w:lvl>
    <w:lvl w:ilvl="8">
      <w:start w:val="0"/>
      <w:numFmt w:val="bullet"/>
      <w:lvlText w:val="•"/>
      <w:lvlJc w:val="left"/>
      <w:pPr>
        <w:ind w:left="9113" w:hanging="853"/>
      </w:pPr>
      <w:rPr>
        <w:rFonts w:hint="default"/>
        <w:lang w:val="en-US" w:eastAsia="zh-CN" w:bidi="ar-SA"/>
      </w:rPr>
    </w:lvl>
  </w:abstractNum>
  <w:abstractNum w:abstractNumId="1">
    <w:multiLevelType w:val="hybridMultilevel"/>
    <w:lvl w:ilvl="0">
      <w:start w:val="1"/>
      <w:numFmt w:val="decimal"/>
      <w:lvlText w:val="%1."/>
      <w:lvlJc w:val="left"/>
      <w:pPr>
        <w:ind w:left="701"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01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20" w:hanging="423"/>
      </w:pPr>
      <w:rPr>
        <w:rFonts w:hint="default"/>
        <w:lang w:val="en-US" w:eastAsia="zh-CN" w:bidi="ar-SA"/>
      </w:rPr>
    </w:lvl>
    <w:lvl w:ilvl="3">
      <w:start w:val="0"/>
      <w:numFmt w:val="bullet"/>
      <w:lvlText w:val="•"/>
      <w:lvlJc w:val="left"/>
      <w:pPr>
        <w:ind w:left="1020" w:hanging="423"/>
      </w:pPr>
      <w:rPr>
        <w:rFonts w:hint="default"/>
        <w:lang w:val="en-US" w:eastAsia="zh-CN" w:bidi="ar-SA"/>
      </w:rPr>
    </w:lvl>
    <w:lvl w:ilvl="4">
      <w:start w:val="0"/>
      <w:numFmt w:val="bullet"/>
      <w:lvlText w:val="•"/>
      <w:lvlJc w:val="left"/>
      <w:pPr>
        <w:ind w:left="868" w:hanging="423"/>
      </w:pPr>
      <w:rPr>
        <w:rFonts w:hint="default"/>
        <w:lang w:val="en-US" w:eastAsia="zh-CN" w:bidi="ar-SA"/>
      </w:rPr>
    </w:lvl>
    <w:lvl w:ilvl="5">
      <w:start w:val="0"/>
      <w:numFmt w:val="bullet"/>
      <w:lvlText w:val="•"/>
      <w:lvlJc w:val="left"/>
      <w:pPr>
        <w:ind w:left="717" w:hanging="423"/>
      </w:pPr>
      <w:rPr>
        <w:rFonts w:hint="default"/>
        <w:lang w:val="en-US" w:eastAsia="zh-CN" w:bidi="ar-SA"/>
      </w:rPr>
    </w:lvl>
    <w:lvl w:ilvl="6">
      <w:start w:val="0"/>
      <w:numFmt w:val="bullet"/>
      <w:lvlText w:val="•"/>
      <w:lvlJc w:val="left"/>
      <w:pPr>
        <w:ind w:left="565" w:hanging="423"/>
      </w:pPr>
      <w:rPr>
        <w:rFonts w:hint="default"/>
        <w:lang w:val="en-US" w:eastAsia="zh-CN" w:bidi="ar-SA"/>
      </w:rPr>
    </w:lvl>
    <w:lvl w:ilvl="7">
      <w:start w:val="0"/>
      <w:numFmt w:val="bullet"/>
      <w:lvlText w:val="•"/>
      <w:lvlJc w:val="left"/>
      <w:pPr>
        <w:ind w:left="414" w:hanging="423"/>
      </w:pPr>
      <w:rPr>
        <w:rFonts w:hint="default"/>
        <w:lang w:val="en-US" w:eastAsia="zh-CN" w:bidi="ar-SA"/>
      </w:rPr>
    </w:lvl>
    <w:lvl w:ilvl="8">
      <w:start w:val="0"/>
      <w:numFmt w:val="bullet"/>
      <w:lvlText w:val="•"/>
      <w:lvlJc w:val="left"/>
      <w:pPr>
        <w:ind w:left="262" w:hanging="423"/>
      </w:pPr>
      <w:rPr>
        <w:rFonts w:hint="default"/>
        <w:lang w:val="en-US" w:eastAsia="zh-CN" w:bidi="ar-SA"/>
      </w:rPr>
    </w:lvl>
  </w:abstractNum>
  <w:abstractNum w:abstractNumId="0">
    <w:multiLevelType w:val="hybridMultilevel"/>
    <w:lvl w:ilvl="0">
      <w:start w:val="0"/>
      <w:numFmt w:val="bullet"/>
      <w:lvlText w:val=""/>
      <w:lvlJc w:val="left"/>
      <w:pPr>
        <w:ind w:left="155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474" w:hanging="420"/>
      </w:pPr>
      <w:rPr>
        <w:rFonts w:hint="default"/>
        <w:lang w:val="en-US" w:eastAsia="zh-CN" w:bidi="ar-SA"/>
      </w:rPr>
    </w:lvl>
    <w:lvl w:ilvl="2">
      <w:start w:val="0"/>
      <w:numFmt w:val="bullet"/>
      <w:lvlText w:val="•"/>
      <w:lvlJc w:val="left"/>
      <w:pPr>
        <w:ind w:left="3389" w:hanging="420"/>
      </w:pPr>
      <w:rPr>
        <w:rFonts w:hint="default"/>
        <w:lang w:val="en-US" w:eastAsia="zh-CN" w:bidi="ar-SA"/>
      </w:rPr>
    </w:lvl>
    <w:lvl w:ilvl="3">
      <w:start w:val="0"/>
      <w:numFmt w:val="bullet"/>
      <w:lvlText w:val="•"/>
      <w:lvlJc w:val="left"/>
      <w:pPr>
        <w:ind w:left="4303" w:hanging="420"/>
      </w:pPr>
      <w:rPr>
        <w:rFonts w:hint="default"/>
        <w:lang w:val="en-US" w:eastAsia="zh-CN" w:bidi="ar-SA"/>
      </w:rPr>
    </w:lvl>
    <w:lvl w:ilvl="4">
      <w:start w:val="0"/>
      <w:numFmt w:val="bullet"/>
      <w:lvlText w:val="•"/>
      <w:lvlJc w:val="left"/>
      <w:pPr>
        <w:ind w:left="5218" w:hanging="420"/>
      </w:pPr>
      <w:rPr>
        <w:rFonts w:hint="default"/>
        <w:lang w:val="en-US" w:eastAsia="zh-CN" w:bidi="ar-SA"/>
      </w:rPr>
    </w:lvl>
    <w:lvl w:ilvl="5">
      <w:start w:val="0"/>
      <w:numFmt w:val="bullet"/>
      <w:lvlText w:val="•"/>
      <w:lvlJc w:val="left"/>
      <w:pPr>
        <w:ind w:left="6133" w:hanging="420"/>
      </w:pPr>
      <w:rPr>
        <w:rFonts w:hint="default"/>
        <w:lang w:val="en-US" w:eastAsia="zh-CN" w:bidi="ar-SA"/>
      </w:rPr>
    </w:lvl>
    <w:lvl w:ilvl="6">
      <w:start w:val="0"/>
      <w:numFmt w:val="bullet"/>
      <w:lvlText w:val="•"/>
      <w:lvlJc w:val="left"/>
      <w:pPr>
        <w:ind w:left="7047" w:hanging="420"/>
      </w:pPr>
      <w:rPr>
        <w:rFonts w:hint="default"/>
        <w:lang w:val="en-US" w:eastAsia="zh-CN" w:bidi="ar-SA"/>
      </w:rPr>
    </w:lvl>
    <w:lvl w:ilvl="7">
      <w:start w:val="0"/>
      <w:numFmt w:val="bullet"/>
      <w:lvlText w:val="•"/>
      <w:lvlJc w:val="left"/>
      <w:pPr>
        <w:ind w:left="7962" w:hanging="420"/>
      </w:pPr>
      <w:rPr>
        <w:rFonts w:hint="default"/>
        <w:lang w:val="en-US" w:eastAsia="zh-CN" w:bidi="ar-SA"/>
      </w:rPr>
    </w:lvl>
    <w:lvl w:ilvl="8">
      <w:start w:val="0"/>
      <w:numFmt w:val="bullet"/>
      <w:lvlText w:val="•"/>
      <w:lvlJc w:val="left"/>
      <w:pPr>
        <w:ind w:left="8877" w:hanging="420"/>
      </w:pPr>
      <w:rPr>
        <w:rFonts w:hint="default"/>
        <w:lang w:val="en-US" w:eastAsia="zh-CN" w:bidi="ar-SA"/>
      </w:rPr>
    </w:lvl>
  </w:abstract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31"/>
      <w:ind w:left="1552" w:hanging="421"/>
    </w:pPr>
    <w:rPr>
      <w:rFonts w:ascii="黑体" w:hAnsi="黑体" w:eastAsia="黑体" w:cs="黑体"/>
      <w:b/>
      <w:bCs/>
      <w:sz w:val="21"/>
      <w:szCs w:val="21"/>
      <w:lang w:val="en-US" w:eastAsia="zh-CN" w:bidi="ar-SA"/>
    </w:rPr>
  </w:style>
  <w:style w:styleId="TOC2" w:type="paragraph">
    <w:name w:val="TOC 2"/>
    <w:basedOn w:val="Normal"/>
    <w:uiPriority w:val="1"/>
    <w:qFormat/>
    <w:pPr>
      <w:spacing w:before="31"/>
      <w:ind w:left="1552" w:hanging="421"/>
    </w:pPr>
    <w:rPr>
      <w:rFonts w:ascii="宋体" w:hAnsi="宋体" w:eastAsia="宋体" w:cs="宋体"/>
      <w:sz w:val="21"/>
      <w:szCs w:val="21"/>
      <w:lang w:val="en-US" w:eastAsia="zh-CN" w:bidi="ar-SA"/>
    </w:rPr>
  </w:style>
  <w:style w:styleId="TOC3" w:type="paragraph">
    <w:name w:val="TOC 3"/>
    <w:basedOn w:val="Normal"/>
    <w:uiPriority w:val="1"/>
    <w:qFormat/>
    <w:pPr>
      <w:spacing w:before="31"/>
      <w:ind w:left="1552" w:hanging="421"/>
    </w:pPr>
    <w:rPr>
      <w:rFonts w:ascii="黑体" w:hAnsi="黑体" w:eastAsia="黑体" w:cs="黑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67"/>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3000"/>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120" w:hanging="530"/>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2023-06-05T08:01:35Z</dcterms:created>
  <dcterms:modified xsi:type="dcterms:W3CDTF">2023-06-05T08:01:35Z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