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9"/>
        <w:ind w:left="0" w:right="358" w:firstLine="0"/>
        <w:jc w:val="right"/>
        <w:rPr>
          <w:rFonts w:ascii="仿宋" w:eastAsia="仿宋"/>
          <w:sz w:val="18"/>
        </w:rPr>
      </w:pPr>
      <w:r>
        <w:rPr/>
        <w:drawing>
          <wp:anchor distT="0" distB="0" distL="0" distR="0" allowOverlap="1" layoutInCell="1" locked="0" behindDoc="0" simplePos="0" relativeHeight="15728640">
            <wp:simplePos x="0" y="0"/>
            <wp:positionH relativeFrom="page">
              <wp:posOffset>5483351</wp:posOffset>
            </wp:positionH>
            <wp:positionV relativeFrom="paragraph">
              <wp:posOffset>178943</wp:posOffset>
            </wp:positionV>
            <wp:extent cx="723899" cy="723899"/>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899" cy="723899"/>
                    </a:xfrm>
                    <a:prstGeom prst="rect">
                      <a:avLst/>
                    </a:prstGeom>
                  </pic:spPr>
                </pic:pic>
              </a:graphicData>
            </a:graphic>
          </wp:anchor>
        </w:drawing>
      </w:r>
      <w:r>
        <w:rPr>
          <w:rFonts w:ascii="仿宋" w:eastAsia="仿宋"/>
          <w:spacing w:val="-2"/>
          <w:sz w:val="18"/>
        </w:rPr>
        <w:t>光大永明人寿[2021]</w:t>
      </w:r>
      <w:r>
        <w:rPr>
          <w:rFonts w:ascii="仿宋" w:eastAsia="仿宋"/>
          <w:spacing w:val="-8"/>
          <w:sz w:val="18"/>
        </w:rPr>
        <w:t>疾病保险 </w:t>
      </w:r>
      <w:r>
        <w:rPr>
          <w:rFonts w:ascii="仿宋" w:eastAsia="仿宋"/>
          <w:spacing w:val="-2"/>
          <w:sz w:val="18"/>
        </w:rPr>
        <w:t>56</w:t>
      </w:r>
      <w:r>
        <w:rPr>
          <w:rFonts w:ascii="仿宋" w:eastAsia="仿宋"/>
          <w:spacing w:val="-20"/>
          <w:sz w:val="18"/>
        </w:rPr>
        <w:t> 号</w:t>
      </w:r>
    </w:p>
    <w:p>
      <w:pPr>
        <w:pStyle w:val="BodyText"/>
        <w:spacing w:before="0"/>
        <w:rPr>
          <w:rFonts w:ascii="仿宋"/>
          <w:sz w:val="20"/>
        </w:rPr>
      </w:pPr>
    </w:p>
    <w:p>
      <w:pPr>
        <w:pStyle w:val="BodyText"/>
        <w:spacing w:before="0"/>
        <w:rPr>
          <w:rFonts w:ascii="仿宋"/>
          <w:sz w:val="20"/>
        </w:rPr>
      </w:pPr>
    </w:p>
    <w:p>
      <w:pPr>
        <w:pStyle w:val="BodyText"/>
        <w:spacing w:before="0"/>
        <w:rPr>
          <w:rFonts w:ascii="仿宋"/>
          <w:sz w:val="20"/>
        </w:rPr>
      </w:pPr>
    </w:p>
    <w:p>
      <w:pPr>
        <w:spacing w:after="0"/>
        <w:rPr>
          <w:rFonts w:ascii="仿宋"/>
          <w:sz w:val="20"/>
        </w:rPr>
        <w:sectPr>
          <w:footerReference w:type="default" r:id="rId5"/>
          <w:type w:val="continuous"/>
          <w:pgSz w:w="11910" w:h="16840"/>
          <w:pgMar w:footer="1120" w:header="0" w:top="1120" w:bottom="1300" w:left="1020" w:right="1020"/>
          <w:pgNumType w:start="1"/>
        </w:sectPr>
      </w:pPr>
    </w:p>
    <w:p>
      <w:pPr>
        <w:pStyle w:val="Title"/>
        <w:spacing w:before="220"/>
        <w:ind w:left="2762"/>
      </w:pPr>
      <w:r>
        <w:rPr>
          <w:w w:val="95"/>
        </w:rPr>
        <w:t>光</w:t>
      </w:r>
      <w:r>
        <w:rPr>
          <w:w w:val="95"/>
        </w:rPr>
        <w:t>大</w:t>
      </w:r>
      <w:r>
        <w:rPr>
          <w:w w:val="95"/>
        </w:rPr>
        <w:t>永</w:t>
      </w:r>
      <w:r>
        <w:rPr>
          <w:w w:val="95"/>
        </w:rPr>
        <w:t>明</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line="240" w:lineRule="auto" w:before="0"/>
        <w:rPr>
          <w:b/>
          <w:sz w:val="18"/>
        </w:rPr>
      </w:pPr>
      <w:r>
        <w:rPr/>
        <w:br w:type="column"/>
      </w:r>
      <w:r>
        <w:rPr>
          <w:b/>
          <w:sz w:val="18"/>
        </w:rPr>
      </w:r>
    </w:p>
    <w:p>
      <w:pPr>
        <w:spacing w:before="141"/>
        <w:ind w:left="86" w:right="0" w:firstLine="0"/>
        <w:jc w:val="left"/>
        <w:rPr>
          <w:rFonts w:ascii="仿宋" w:eastAsia="仿宋"/>
          <w:sz w:val="18"/>
        </w:rPr>
      </w:pPr>
      <w:r>
        <w:rPr>
          <w:rFonts w:ascii="仿宋" w:eastAsia="仿宋"/>
          <w:spacing w:val="-1"/>
          <w:sz w:val="18"/>
        </w:rPr>
        <w:t>请扫描以查询验证条款</w:t>
      </w:r>
    </w:p>
    <w:p>
      <w:pPr>
        <w:spacing w:after="0"/>
        <w:jc w:val="left"/>
        <w:rPr>
          <w:rFonts w:ascii="仿宋" w:eastAsia="仿宋"/>
          <w:sz w:val="18"/>
        </w:rPr>
        <w:sectPr>
          <w:type w:val="continuous"/>
          <w:pgSz w:w="11910" w:h="16840"/>
          <w:pgMar w:header="0" w:footer="1120" w:top="1120" w:bottom="1300" w:left="1020" w:right="1020"/>
          <w:cols w:num="2" w:equalWidth="0">
            <w:col w:w="7106" w:space="40"/>
            <w:col w:w="2724"/>
          </w:cols>
        </w:sectPr>
      </w:pPr>
    </w:p>
    <w:p>
      <w:pPr>
        <w:pStyle w:val="BodyText"/>
        <w:spacing w:before="0"/>
        <w:rPr>
          <w:rFonts w:ascii="仿宋"/>
          <w:sz w:val="20"/>
        </w:rPr>
      </w:pPr>
    </w:p>
    <w:p>
      <w:pPr>
        <w:pStyle w:val="Title"/>
        <w:ind w:right="112"/>
        <w:jc w:val="center"/>
      </w:pPr>
      <w:r>
        <w:rPr>
          <w:w w:val="95"/>
        </w:rPr>
        <w:t>光</w:t>
      </w:r>
      <w:r>
        <w:rPr>
          <w:w w:val="95"/>
        </w:rPr>
        <w:t>大</w:t>
      </w:r>
      <w:r>
        <w:rPr>
          <w:w w:val="95"/>
        </w:rPr>
        <w:t>永</w:t>
      </w:r>
      <w:r>
        <w:rPr>
          <w:w w:val="95"/>
        </w:rPr>
        <w:t>明</w:t>
      </w:r>
      <w:r>
        <w:rPr>
          <w:w w:val="95"/>
        </w:rPr>
        <w:t>光</w:t>
      </w:r>
      <w:r>
        <w:rPr>
          <w:w w:val="95"/>
        </w:rPr>
        <w:t>明</w:t>
      </w:r>
      <w:r>
        <w:rPr>
          <w:w w:val="95"/>
        </w:rPr>
        <w:t>守</w:t>
      </w:r>
      <w:r>
        <w:rPr>
          <w:w w:val="95"/>
        </w:rPr>
        <w:t>护</w:t>
      </w:r>
      <w:r>
        <w:rPr>
          <w:w w:val="95"/>
        </w:rPr>
        <w:t>重</w:t>
      </w:r>
      <w:r>
        <w:rPr>
          <w:w w:val="95"/>
        </w:rPr>
        <w:t>大</w:t>
      </w:r>
      <w:r>
        <w:rPr>
          <w:w w:val="95"/>
        </w:rPr>
        <w:t>疾</w:t>
      </w:r>
      <w:r>
        <w:rPr>
          <w:w w:val="95"/>
        </w:rPr>
        <w:t>病保险</w:t>
      </w:r>
      <w:r>
        <w:rPr>
          <w:w w:val="95"/>
        </w:rPr>
        <w:t>条</w:t>
      </w:r>
      <w:r>
        <w:rPr>
          <w:spacing w:val="-10"/>
          <w:w w:val="95"/>
        </w:rPr>
        <w:t>款</w:t>
      </w:r>
    </w:p>
    <w:p>
      <w:pPr>
        <w:pStyle w:val="BodyText"/>
        <w:spacing w:before="0"/>
        <w:rPr>
          <w:b/>
          <w:sz w:val="36"/>
        </w:rPr>
      </w:pPr>
    </w:p>
    <w:p>
      <w:pPr>
        <w:spacing w:line="597" w:lineRule="auto" w:before="290"/>
        <w:ind w:left="112" w:right="113" w:firstLine="0"/>
        <w:jc w:val="center"/>
        <w:rPr>
          <w:b/>
          <w:sz w:val="21"/>
        </w:rPr>
      </w:pPr>
      <w:r>
        <w:rPr>
          <w:b/>
          <w:spacing w:val="-16"/>
          <w:sz w:val="21"/>
        </w:rPr>
        <w:t>感谢您选择了光大永明人寿。为了帮助您更好地理解本条款，在阅读本条款前，请您注意阅读提示和说明。</w:t>
      </w:r>
      <w:r>
        <w:rPr>
          <w:b/>
          <w:spacing w:val="-4"/>
          <w:sz w:val="21"/>
        </w:rPr>
        <w:t>阅读提示</w:t>
      </w:r>
    </w:p>
    <w:p>
      <w:pPr>
        <w:spacing w:before="60"/>
        <w:ind w:left="112" w:right="112" w:firstLine="0"/>
        <w:jc w:val="center"/>
        <w:rPr>
          <w:b/>
          <w:sz w:val="21"/>
        </w:rPr>
      </w:pPr>
      <w:r>
        <w:rPr>
          <w:b/>
          <w:spacing w:val="-2"/>
          <w:sz w:val="21"/>
        </w:rPr>
        <w:t>您所享有的重要权益</w:t>
      </w:r>
    </w:p>
    <w:p>
      <w:pPr>
        <w:pStyle w:val="BodyText"/>
        <w:spacing w:before="11"/>
        <w:rPr>
          <w:b/>
          <w:sz w:val="15"/>
        </w:rPr>
      </w:pPr>
    </w:p>
    <w:p>
      <w:pPr>
        <w:pStyle w:val="BodyText"/>
        <w:tabs>
          <w:tab w:pos="8179" w:val="left" w:leader="none"/>
          <w:tab w:pos="8695" w:val="left" w:leader="none"/>
          <w:tab w:pos="9211" w:val="left" w:leader="none"/>
        </w:tabs>
        <w:spacing w:before="0"/>
        <w:jc w:val="center"/>
        <w:rPr>
          <w:b/>
        </w:rPr>
      </w:pPr>
      <w:r>
        <w:rPr>
          <w:spacing w:val="-2"/>
        </w:rPr>
        <w:t>本</w:t>
      </w:r>
      <w:r>
        <w:rPr>
          <w:spacing w:val="-2"/>
        </w:rPr>
        <w:t>合</w:t>
      </w:r>
      <w:r>
        <w:rPr>
          <w:spacing w:val="-2"/>
        </w:rPr>
        <w:t>同所提供的</w:t>
      </w:r>
      <w:r>
        <w:rPr>
          <w:spacing w:val="-2"/>
        </w:rPr>
        <w:t>保</w:t>
      </w:r>
      <w:r>
        <w:rPr>
          <w:spacing w:val="-2"/>
        </w:rPr>
        <w:t>障</w:t>
      </w:r>
      <w:r>
        <w:rPr>
          <w:spacing w:val="-63"/>
        </w:rPr>
        <w:t> </w:t>
      </w:r>
      <w:r>
        <w:rPr>
          <w:spacing w:val="-2"/>
        </w:rPr>
        <w:t>.......................................................</w:t>
      </w:r>
      <w:r>
        <w:rPr/>
        <w:tab/>
      </w:r>
      <w:hyperlink w:history="true" w:anchor="_bookmark10">
        <w:r>
          <w:rPr>
            <w:b/>
            <w:spacing w:val="-10"/>
          </w:rPr>
          <w:t>第</w:t>
        </w:r>
        <w:r>
          <w:rPr>
            <w:b/>
          </w:rPr>
          <w:tab/>
        </w:r>
        <w:r>
          <w:rPr>
            <w:b/>
            <w:spacing w:val="-10"/>
          </w:rPr>
          <w:t>九</w:t>
        </w:r>
        <w:r>
          <w:rPr>
            <w:b/>
          </w:rPr>
          <w:tab/>
        </w:r>
        <w:r>
          <w:rPr>
            <w:b/>
            <w:spacing w:val="-10"/>
          </w:rPr>
          <w:t>条</w:t>
        </w:r>
      </w:hyperlink>
    </w:p>
    <w:p>
      <w:pPr>
        <w:pStyle w:val="BodyText"/>
        <w:spacing w:before="12"/>
        <w:rPr>
          <w:b/>
          <w:sz w:val="15"/>
        </w:rPr>
      </w:pPr>
    </w:p>
    <w:p>
      <w:pPr>
        <w:pStyle w:val="BodyText"/>
        <w:tabs>
          <w:tab w:pos="8179" w:val="left" w:leader="none"/>
        </w:tabs>
        <w:spacing w:before="0"/>
        <w:jc w:val="center"/>
        <w:rPr>
          <w:b/>
        </w:rPr>
      </w:pPr>
      <w:r>
        <w:rPr>
          <w:spacing w:val="-2"/>
        </w:rPr>
        <w:t>您</w:t>
      </w:r>
      <w:r>
        <w:rPr>
          <w:spacing w:val="-2"/>
        </w:rPr>
        <w:t>在</w:t>
      </w:r>
      <w:r>
        <w:rPr>
          <w:spacing w:val="-2"/>
        </w:rPr>
        <w:t>犹豫期享有的权</w:t>
      </w:r>
      <w:r>
        <w:rPr>
          <w:spacing w:val="-2"/>
        </w:rPr>
        <w:t>利</w:t>
      </w:r>
      <w:r>
        <w:rPr>
          <w:spacing w:val="-2"/>
        </w:rPr>
        <w:t>.</w:t>
      </w:r>
      <w:r>
        <w:rPr>
          <w:spacing w:val="-59"/>
        </w:rPr>
        <w:t> </w:t>
      </w:r>
      <w:r>
        <w:rPr>
          <w:spacing w:val="-2"/>
        </w:rPr>
        <w:t>....................................................</w:t>
      </w:r>
      <w:r>
        <w:rPr/>
        <w:tab/>
      </w:r>
      <w:hyperlink w:history="true" w:anchor="_bookmark21">
        <w:r>
          <w:rPr>
            <w:b/>
          </w:rPr>
          <w:t>第</w:t>
        </w:r>
        <w:r>
          <w:rPr>
            <w:b/>
            <w:spacing w:val="26"/>
          </w:rPr>
          <w:t> </w:t>
        </w:r>
        <w:r>
          <w:rPr>
            <w:b/>
          </w:rPr>
          <w:t>十</w:t>
        </w:r>
        <w:r>
          <w:rPr>
            <w:b/>
            <w:spacing w:val="26"/>
          </w:rPr>
          <w:t> </w:t>
        </w:r>
        <w:r>
          <w:rPr>
            <w:b/>
          </w:rPr>
          <w:t>八</w:t>
        </w:r>
        <w:r>
          <w:rPr>
            <w:b/>
            <w:spacing w:val="28"/>
          </w:rPr>
          <w:t> </w:t>
        </w:r>
        <w:r>
          <w:rPr>
            <w:b/>
            <w:spacing w:val="-10"/>
          </w:rPr>
          <w:t>条</w:t>
        </w:r>
      </w:hyperlink>
    </w:p>
    <w:p>
      <w:pPr>
        <w:pStyle w:val="BodyText"/>
        <w:spacing w:before="11"/>
        <w:rPr>
          <w:b/>
          <w:sz w:val="15"/>
        </w:rPr>
      </w:pPr>
    </w:p>
    <w:p>
      <w:pPr>
        <w:spacing w:before="0"/>
        <w:ind w:left="112" w:right="112" w:firstLine="0"/>
        <w:jc w:val="center"/>
        <w:rPr>
          <w:b/>
          <w:sz w:val="21"/>
        </w:rPr>
      </w:pPr>
      <w:r>
        <w:rPr>
          <w:b/>
          <w:spacing w:val="-3"/>
          <w:sz w:val="21"/>
        </w:rPr>
        <w:t>您应当特别注意的事项</w:t>
      </w:r>
    </w:p>
    <w:p>
      <w:pPr>
        <w:pStyle w:val="BodyText"/>
        <w:spacing w:before="12"/>
        <w:rPr>
          <w:b/>
          <w:sz w:val="15"/>
        </w:rPr>
      </w:pPr>
    </w:p>
    <w:p>
      <w:pPr>
        <w:pStyle w:val="BodyText"/>
        <w:tabs>
          <w:tab w:pos="8399" w:val="left" w:leader="none"/>
          <w:tab w:pos="8915" w:val="left" w:leader="none"/>
          <w:tab w:pos="9431" w:val="left" w:leader="none"/>
        </w:tabs>
        <w:spacing w:before="0"/>
        <w:ind w:left="220"/>
        <w:rPr>
          <w:b/>
        </w:rPr>
      </w:pPr>
      <w:r>
        <w:rPr>
          <w:spacing w:val="-2"/>
        </w:rPr>
        <w:t>在</w:t>
      </w:r>
      <w:r>
        <w:rPr>
          <w:spacing w:val="-2"/>
        </w:rPr>
        <w:t>某</w:t>
      </w:r>
      <w:r>
        <w:rPr>
          <w:spacing w:val="-2"/>
        </w:rPr>
        <w:t>些情况下，我们不承</w:t>
      </w:r>
      <w:r>
        <w:rPr>
          <w:spacing w:val="-2"/>
        </w:rPr>
        <w:t>担</w:t>
      </w:r>
      <w:r>
        <w:rPr>
          <w:spacing w:val="-2"/>
        </w:rPr>
        <w:t>保</w:t>
      </w:r>
      <w:r>
        <w:rPr>
          <w:spacing w:val="-2"/>
        </w:rPr>
        <w:t>险</w:t>
      </w:r>
      <w:r>
        <w:rPr>
          <w:spacing w:val="-2"/>
        </w:rPr>
        <w:t>责</w:t>
      </w:r>
      <w:r>
        <w:rPr>
          <w:spacing w:val="-2"/>
        </w:rPr>
        <w:t>任</w:t>
      </w:r>
      <w:r>
        <w:rPr>
          <w:spacing w:val="-53"/>
        </w:rPr>
        <w:t> </w:t>
      </w:r>
      <w:r>
        <w:rPr>
          <w:spacing w:val="-2"/>
        </w:rPr>
        <w:t>.........................................</w:t>
      </w:r>
      <w:r>
        <w:rPr/>
        <w:tab/>
      </w:r>
      <w:hyperlink w:history="true" w:anchor="_bookmark11">
        <w:r>
          <w:rPr>
            <w:b/>
            <w:spacing w:val="-10"/>
          </w:rPr>
          <w:t>第</w:t>
        </w:r>
        <w:r>
          <w:rPr>
            <w:b/>
          </w:rPr>
          <w:tab/>
        </w:r>
        <w:r>
          <w:rPr>
            <w:b/>
            <w:spacing w:val="-10"/>
          </w:rPr>
          <w:t>十</w:t>
        </w:r>
        <w:r>
          <w:rPr>
            <w:b/>
          </w:rPr>
          <w:tab/>
        </w:r>
        <w:r>
          <w:rPr>
            <w:b/>
            <w:spacing w:val="-10"/>
          </w:rPr>
          <w:t>条</w:t>
        </w:r>
      </w:hyperlink>
    </w:p>
    <w:p>
      <w:pPr>
        <w:pStyle w:val="BodyText"/>
        <w:spacing w:before="11"/>
        <w:rPr>
          <w:b/>
          <w:sz w:val="15"/>
        </w:rPr>
      </w:pPr>
    </w:p>
    <w:p>
      <w:pPr>
        <w:pStyle w:val="BodyText"/>
        <w:tabs>
          <w:tab w:pos="8399" w:val="left" w:leader="none"/>
        </w:tabs>
        <w:spacing w:line="422" w:lineRule="auto" w:before="0"/>
        <w:ind w:left="220" w:right="218"/>
        <w:rPr>
          <w:b/>
        </w:rPr>
      </w:pPr>
      <w:r>
        <w:rPr/>
        <w:t>发生保险事故后，您应该</w:t>
      </w:r>
      <w:r>
        <w:rPr/>
        <w:t>及时通知我们</w:t>
      </w:r>
      <w:r>
        <w:rPr>
          <w:spacing w:val="-60"/>
        </w:rPr>
        <w:t> </w:t>
      </w:r>
      <w:r>
        <w:rPr/>
        <w:t>.......................................</w:t>
        <w:tab/>
      </w:r>
      <w:hyperlink w:history="true" w:anchor="_bookmark13">
        <w:r>
          <w:rPr>
            <w:b/>
          </w:rPr>
          <w:t>第 十 一 </w:t>
        </w:r>
        <w:r>
          <w:rPr>
            <w:b/>
          </w:rPr>
          <w:t>条</w:t>
        </w:r>
      </w:hyperlink>
      <w:r>
        <w:rPr>
          <w:spacing w:val="-2"/>
        </w:rPr>
        <w:t>如</w:t>
      </w:r>
      <w:r>
        <w:rPr>
          <w:spacing w:val="-2"/>
        </w:rPr>
        <w:t>何</w:t>
      </w:r>
      <w:r>
        <w:rPr>
          <w:spacing w:val="-2"/>
        </w:rPr>
        <w:t>申请保</w:t>
      </w:r>
      <w:r>
        <w:rPr>
          <w:spacing w:val="-2"/>
        </w:rPr>
        <w:t>险</w:t>
      </w:r>
      <w:r>
        <w:rPr>
          <w:spacing w:val="-2"/>
        </w:rPr>
        <w:t>金</w:t>
      </w:r>
      <w:r>
        <w:rPr>
          <w:spacing w:val="-68"/>
        </w:rPr>
        <w:t> </w:t>
      </w:r>
      <w:r>
        <w:rPr>
          <w:spacing w:val="-2"/>
        </w:rPr>
        <w:t>...........................................................</w:t>
      </w:r>
      <w:r>
        <w:rPr/>
        <w:tab/>
      </w:r>
      <w:hyperlink w:history="true" w:anchor="_bookmark14">
        <w:r>
          <w:rPr>
            <w:b/>
          </w:rPr>
          <w:t>第</w:t>
        </w:r>
        <w:r>
          <w:rPr>
            <w:b/>
            <w:spacing w:val="26"/>
          </w:rPr>
          <w:t> </w:t>
        </w:r>
        <w:r>
          <w:rPr>
            <w:b/>
          </w:rPr>
          <w:t>十</w:t>
        </w:r>
        <w:r>
          <w:rPr>
            <w:b/>
            <w:spacing w:val="26"/>
          </w:rPr>
          <w:t> </w:t>
        </w:r>
        <w:r>
          <w:rPr>
            <w:b/>
          </w:rPr>
          <w:t>二</w:t>
        </w:r>
        <w:r>
          <w:rPr>
            <w:b/>
            <w:spacing w:val="28"/>
          </w:rPr>
          <w:t> </w:t>
        </w:r>
        <w:r>
          <w:rPr>
            <w:b/>
            <w:spacing w:val="-10"/>
          </w:rPr>
          <w:t>条</w:t>
        </w:r>
      </w:hyperlink>
    </w:p>
    <w:p>
      <w:pPr>
        <w:pStyle w:val="BodyText"/>
        <w:tabs>
          <w:tab w:pos="8399" w:val="left" w:leader="none"/>
        </w:tabs>
        <w:spacing w:line="268" w:lineRule="exact" w:before="0"/>
        <w:ind w:left="220"/>
        <w:rPr>
          <w:b/>
        </w:rPr>
      </w:pPr>
      <w:r>
        <w:rPr>
          <w:spacing w:val="-2"/>
        </w:rPr>
        <w:t>如</w:t>
      </w:r>
      <w:r>
        <w:rPr>
          <w:spacing w:val="-2"/>
        </w:rPr>
        <w:t>何</w:t>
      </w:r>
      <w:r>
        <w:rPr>
          <w:spacing w:val="-2"/>
        </w:rPr>
        <w:t>给付保</w:t>
      </w:r>
      <w:r>
        <w:rPr>
          <w:spacing w:val="-2"/>
        </w:rPr>
        <w:t>险</w:t>
      </w:r>
      <w:r>
        <w:rPr>
          <w:spacing w:val="-2"/>
        </w:rPr>
        <w:t>金</w:t>
      </w:r>
      <w:r>
        <w:rPr>
          <w:spacing w:val="-68"/>
        </w:rPr>
        <w:t> </w:t>
      </w:r>
      <w:r>
        <w:rPr>
          <w:spacing w:val="-2"/>
        </w:rPr>
        <w:t>...........................................................</w:t>
      </w:r>
      <w:r>
        <w:rPr/>
        <w:tab/>
      </w:r>
      <w:hyperlink w:history="true" w:anchor="_bookmark15">
        <w:r>
          <w:rPr>
            <w:b/>
          </w:rPr>
          <w:t>第</w:t>
        </w:r>
        <w:r>
          <w:rPr>
            <w:b/>
            <w:spacing w:val="26"/>
          </w:rPr>
          <w:t> </w:t>
        </w:r>
        <w:r>
          <w:rPr>
            <w:b/>
          </w:rPr>
          <w:t>十</w:t>
        </w:r>
        <w:r>
          <w:rPr>
            <w:b/>
            <w:spacing w:val="26"/>
          </w:rPr>
          <w:t> </w:t>
        </w:r>
        <w:r>
          <w:rPr>
            <w:b/>
          </w:rPr>
          <w:t>三</w:t>
        </w:r>
        <w:r>
          <w:rPr>
            <w:b/>
            <w:spacing w:val="28"/>
          </w:rPr>
          <w:t> </w:t>
        </w:r>
        <w:r>
          <w:rPr>
            <w:b/>
            <w:spacing w:val="-10"/>
          </w:rPr>
          <w:t>条</w:t>
        </w:r>
      </w:hyperlink>
    </w:p>
    <w:p>
      <w:pPr>
        <w:pStyle w:val="BodyText"/>
        <w:spacing w:before="12"/>
        <w:rPr>
          <w:b/>
          <w:sz w:val="15"/>
        </w:rPr>
      </w:pPr>
    </w:p>
    <w:p>
      <w:pPr>
        <w:pStyle w:val="BodyText"/>
        <w:tabs>
          <w:tab w:pos="8399" w:val="left" w:leader="none"/>
        </w:tabs>
        <w:spacing w:line="422" w:lineRule="auto" w:before="0"/>
        <w:ind w:left="220" w:right="218"/>
        <w:rPr>
          <w:b/>
        </w:rPr>
      </w:pPr>
      <w:r>
        <w:rPr/>
        <w:t>您有解除合同的权利，请</w:t>
      </w:r>
      <w:r>
        <w:rPr/>
        <w:t>您慎重</w:t>
      </w:r>
      <w:r>
        <w:rPr/>
        <w:t>决定</w:t>
      </w:r>
      <w:r>
        <w:rPr>
          <w:spacing w:val="-65"/>
        </w:rPr>
        <w:t> </w:t>
      </w:r>
      <w:r>
        <w:rPr/>
        <w:t>.........................................</w:t>
        <w:tab/>
      </w:r>
      <w:hyperlink w:history="true" w:anchor="_bookmark21">
        <w:r>
          <w:rPr>
            <w:b/>
          </w:rPr>
          <w:t>第 十 八 </w:t>
        </w:r>
        <w:r>
          <w:rPr>
            <w:b/>
          </w:rPr>
          <w:t>条</w:t>
        </w:r>
      </w:hyperlink>
      <w:r>
        <w:rPr/>
        <w:t>释</w:t>
      </w:r>
      <w:r>
        <w:rPr>
          <w:spacing w:val="26"/>
        </w:rPr>
        <w:t>义</w:t>
      </w:r>
      <w:r>
        <w:rPr>
          <w:spacing w:val="-2"/>
        </w:rPr>
        <w:t>.....................................................................</w:t>
      </w:r>
      <w:r>
        <w:rPr/>
        <w:tab/>
      </w:r>
      <w:hyperlink w:history="true" w:anchor="_bookmark33">
        <w:r>
          <w:rPr>
            <w:b/>
          </w:rPr>
          <w:t>第</w:t>
        </w:r>
        <w:r>
          <w:rPr>
            <w:b/>
            <w:spacing w:val="26"/>
          </w:rPr>
          <w:t> </w:t>
        </w:r>
        <w:r>
          <w:rPr>
            <w:b/>
          </w:rPr>
          <w:t>六</w:t>
        </w:r>
        <w:r>
          <w:rPr>
            <w:b/>
            <w:spacing w:val="26"/>
          </w:rPr>
          <w:t> </w:t>
        </w:r>
        <w:r>
          <w:rPr>
            <w:b/>
          </w:rPr>
          <w:t>部</w:t>
        </w:r>
        <w:r>
          <w:rPr>
            <w:b/>
            <w:spacing w:val="28"/>
          </w:rPr>
          <w:t> </w:t>
        </w:r>
        <w:r>
          <w:rPr>
            <w:b/>
            <w:spacing w:val="-10"/>
          </w:rPr>
          <w:t>分</w:t>
        </w:r>
      </w:hyperlink>
    </w:p>
    <w:p>
      <w:pPr>
        <w:pStyle w:val="BodyText"/>
        <w:spacing w:before="2"/>
        <w:rPr>
          <w:b/>
          <w:sz w:val="14"/>
        </w:rPr>
      </w:pPr>
    </w:p>
    <w:p>
      <w:pPr>
        <w:spacing w:before="71"/>
        <w:ind w:left="112" w:right="112" w:firstLine="0"/>
        <w:jc w:val="center"/>
        <w:rPr>
          <w:b/>
          <w:sz w:val="21"/>
        </w:rPr>
      </w:pPr>
      <w:r>
        <w:rPr>
          <w:b/>
          <w:spacing w:val="-5"/>
          <w:sz w:val="21"/>
        </w:rPr>
        <w:t>说明</w:t>
      </w:r>
    </w:p>
    <w:p>
      <w:pPr>
        <w:pStyle w:val="BodyText"/>
        <w:spacing w:before="0"/>
        <w:rPr>
          <w:b/>
          <w:sz w:val="20"/>
        </w:rPr>
      </w:pPr>
    </w:p>
    <w:p>
      <w:pPr>
        <w:pStyle w:val="BodyText"/>
        <w:spacing w:before="9"/>
        <w:rPr>
          <w:b/>
          <w:sz w:val="13"/>
        </w:r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8"/>
        <w:gridCol w:w="551"/>
        <w:gridCol w:w="3119"/>
      </w:tblGrid>
      <w:tr>
        <w:trPr>
          <w:trHeight w:val="285" w:hRule="atLeast"/>
        </w:trPr>
        <w:tc>
          <w:tcPr>
            <w:tcW w:w="1118" w:type="dxa"/>
          </w:tcPr>
          <w:p>
            <w:pPr>
              <w:pStyle w:val="TableParagraph"/>
              <w:spacing w:line="241" w:lineRule="exact" w:before="0"/>
              <w:ind w:left="50"/>
              <w:rPr>
                <w:b/>
                <w:sz w:val="21"/>
              </w:rPr>
            </w:pPr>
            <w:r>
              <w:rPr>
                <w:b/>
                <w:spacing w:val="-5"/>
                <w:sz w:val="21"/>
              </w:rPr>
              <w:t>我们</w:t>
            </w:r>
          </w:p>
        </w:tc>
        <w:tc>
          <w:tcPr>
            <w:tcW w:w="551" w:type="dxa"/>
          </w:tcPr>
          <w:p>
            <w:pPr>
              <w:pStyle w:val="TableParagraph"/>
              <w:spacing w:line="241" w:lineRule="exact" w:before="0"/>
              <w:ind w:left="0" w:right="114"/>
              <w:jc w:val="right"/>
              <w:rPr>
                <w:b/>
                <w:sz w:val="21"/>
              </w:rPr>
            </w:pPr>
            <w:r>
              <w:rPr>
                <w:b/>
                <w:w w:val="100"/>
                <w:sz w:val="21"/>
              </w:rPr>
              <w:t>：</w:t>
            </w:r>
          </w:p>
        </w:tc>
        <w:tc>
          <w:tcPr>
            <w:tcW w:w="3119" w:type="dxa"/>
          </w:tcPr>
          <w:p>
            <w:pPr>
              <w:pStyle w:val="TableParagraph"/>
              <w:spacing w:line="241" w:lineRule="exact" w:before="0"/>
              <w:ind w:left="116"/>
              <w:rPr>
                <w:b/>
                <w:sz w:val="21"/>
              </w:rPr>
            </w:pPr>
            <w:r>
              <w:rPr>
                <w:b/>
                <w:spacing w:val="-3"/>
                <w:sz w:val="21"/>
              </w:rPr>
              <w:t>指光大永明人寿保险有限公司。</w:t>
            </w:r>
          </w:p>
        </w:tc>
      </w:tr>
      <w:tr>
        <w:trPr>
          <w:trHeight w:val="358" w:hRule="atLeast"/>
        </w:trPr>
        <w:tc>
          <w:tcPr>
            <w:tcW w:w="1118" w:type="dxa"/>
          </w:tcPr>
          <w:p>
            <w:pPr>
              <w:pStyle w:val="TableParagraph"/>
              <w:spacing w:before="46"/>
              <w:ind w:left="50"/>
              <w:rPr>
                <w:b/>
                <w:sz w:val="21"/>
              </w:rPr>
            </w:pPr>
            <w:r>
              <w:rPr>
                <w:b/>
                <w:w w:val="100"/>
                <w:sz w:val="21"/>
              </w:rPr>
              <w:t>您</w:t>
            </w:r>
          </w:p>
        </w:tc>
        <w:tc>
          <w:tcPr>
            <w:tcW w:w="551" w:type="dxa"/>
          </w:tcPr>
          <w:p>
            <w:pPr>
              <w:pStyle w:val="TableParagraph"/>
              <w:spacing w:before="46"/>
              <w:ind w:left="0" w:right="114"/>
              <w:jc w:val="right"/>
              <w:rPr>
                <w:b/>
                <w:sz w:val="21"/>
              </w:rPr>
            </w:pPr>
            <w:r>
              <w:rPr>
                <w:b/>
                <w:w w:val="100"/>
                <w:sz w:val="21"/>
              </w:rPr>
              <w:t>：</w:t>
            </w:r>
          </w:p>
        </w:tc>
        <w:tc>
          <w:tcPr>
            <w:tcW w:w="3119" w:type="dxa"/>
          </w:tcPr>
          <w:p>
            <w:pPr>
              <w:pStyle w:val="TableParagraph"/>
              <w:spacing w:before="46"/>
              <w:ind w:left="116"/>
              <w:rPr>
                <w:b/>
                <w:sz w:val="21"/>
              </w:rPr>
            </w:pPr>
            <w:r>
              <w:rPr>
                <w:b/>
                <w:spacing w:val="-2"/>
                <w:sz w:val="21"/>
              </w:rPr>
              <w:t>指投保人。</w:t>
            </w:r>
          </w:p>
        </w:tc>
      </w:tr>
      <w:tr>
        <w:trPr>
          <w:trHeight w:val="284" w:hRule="atLeast"/>
        </w:trPr>
        <w:tc>
          <w:tcPr>
            <w:tcW w:w="1118" w:type="dxa"/>
          </w:tcPr>
          <w:p>
            <w:pPr>
              <w:pStyle w:val="TableParagraph"/>
              <w:spacing w:line="220" w:lineRule="exact" w:before="44"/>
              <w:ind w:left="50"/>
              <w:rPr>
                <w:b/>
                <w:sz w:val="21"/>
              </w:rPr>
            </w:pPr>
            <w:r>
              <w:rPr>
                <w:b/>
                <w:spacing w:val="-3"/>
                <w:sz w:val="21"/>
              </w:rPr>
              <w:t>保险条款</w:t>
            </w:r>
          </w:p>
        </w:tc>
        <w:tc>
          <w:tcPr>
            <w:tcW w:w="551" w:type="dxa"/>
          </w:tcPr>
          <w:p>
            <w:pPr>
              <w:pStyle w:val="TableParagraph"/>
              <w:spacing w:line="220" w:lineRule="exact" w:before="44"/>
              <w:ind w:left="0" w:right="114"/>
              <w:jc w:val="right"/>
              <w:rPr>
                <w:b/>
                <w:sz w:val="21"/>
              </w:rPr>
            </w:pPr>
            <w:r>
              <w:rPr>
                <w:b/>
                <w:w w:val="100"/>
                <w:sz w:val="21"/>
              </w:rPr>
              <w:t>：</w:t>
            </w:r>
          </w:p>
        </w:tc>
        <w:tc>
          <w:tcPr>
            <w:tcW w:w="3119" w:type="dxa"/>
          </w:tcPr>
          <w:p>
            <w:pPr>
              <w:pStyle w:val="TableParagraph"/>
              <w:spacing w:line="220" w:lineRule="exact" w:before="44"/>
              <w:ind w:left="116"/>
              <w:rPr>
                <w:b/>
                <w:sz w:val="21"/>
              </w:rPr>
            </w:pPr>
            <w:r>
              <w:rPr>
                <w:b/>
                <w:spacing w:val="-2"/>
                <w:sz w:val="21"/>
              </w:rPr>
              <w:t>指本条款。</w:t>
            </w:r>
          </w:p>
        </w:tc>
      </w:tr>
    </w:tbl>
    <w:p>
      <w:pPr>
        <w:spacing w:after="0" w:line="220" w:lineRule="exact"/>
        <w:rPr>
          <w:sz w:val="21"/>
        </w:rPr>
        <w:sectPr>
          <w:type w:val="continuous"/>
          <w:pgSz w:w="11910" w:h="16840"/>
          <w:pgMar w:header="0" w:footer="1120" w:top="1120" w:bottom="1300" w:left="1020" w:right="1020"/>
        </w:sectPr>
      </w:pPr>
    </w:p>
    <w:p>
      <w:pPr>
        <w:spacing w:before="46"/>
        <w:ind w:left="112" w:right="112" w:firstLine="0"/>
        <w:jc w:val="center"/>
        <w:rPr>
          <w:b/>
          <w:sz w:val="21"/>
        </w:rPr>
      </w:pPr>
      <w:r>
        <w:rPr>
          <w:b/>
          <w:spacing w:val="-3"/>
          <w:sz w:val="21"/>
        </w:rPr>
        <w:t>条款目录</w:t>
      </w:r>
    </w:p>
    <w:sdt>
      <w:sdtPr>
        <w:docPartObj>
          <w:docPartGallery w:val="Table of Contents"/>
          <w:docPartUnique/>
        </w:docPartObj>
      </w:sdtPr>
      <w:sdtEndPr/>
      <w:sdtContent>
        <w:p>
          <w:pPr>
            <w:pStyle w:val="TOC1"/>
            <w:tabs>
              <w:tab w:pos="9628" w:val="right" w:leader="dot"/>
            </w:tabs>
            <w:spacing w:before="187"/>
            <w:rPr>
              <w:rFonts w:ascii="Calibri" w:eastAsia="Calibri"/>
            </w:rPr>
          </w:pPr>
          <w:r>
            <w:fldChar w:fldCharType="begin"/>
          </w:r>
          <w:r>
            <w:instrText>TOC \o "1-2" \h \z \u </w:instrText>
          </w:r>
          <w:r>
            <w:fldChar w:fldCharType="separate"/>
          </w:r>
          <w:hyperlink w:history="true" w:anchor="_bookmark0">
            <w:r>
              <w:rPr/>
              <w:t>第</w:t>
            </w:r>
            <w:r>
              <w:rPr/>
              <w:t>一</w:t>
            </w:r>
            <w:r>
              <w:rPr/>
              <w:t>部</w:t>
            </w:r>
            <w:r>
              <w:rPr/>
              <w:t>分</w:t>
            </w:r>
            <w:r>
              <w:rPr>
                <w:spacing w:val="140"/>
              </w:rPr>
              <w:t> </w:t>
            </w:r>
            <w:r>
              <w:rPr/>
              <w:t>您</w:t>
            </w:r>
            <w:r>
              <w:rPr/>
              <w:t>与</w:t>
            </w:r>
            <w:r>
              <w:rPr/>
              <w:t>我</w:t>
            </w:r>
            <w:r>
              <w:rPr/>
              <w:t>们</w:t>
            </w:r>
            <w:r>
              <w:rPr/>
              <w:t>的</w:t>
            </w:r>
            <w:r>
              <w:rPr/>
              <w:t>合</w:t>
            </w:r>
            <w:r>
              <w:rPr>
                <w:spacing w:val="-10"/>
              </w:rPr>
              <w:t>同</w:t>
            </w:r>
            <w:r>
              <w:rPr>
                <w:rFonts w:ascii="Times New Roman" w:eastAsia="Times New Roman"/>
                <w:b w:val="0"/>
              </w:rPr>
              <w:tab/>
            </w:r>
            <w:r>
              <w:rPr>
                <w:rFonts w:ascii="Calibri" w:eastAsia="Calibri"/>
                <w:spacing w:val="-10"/>
              </w:rPr>
              <w:t>3</w:t>
            </w:r>
          </w:hyperlink>
        </w:p>
        <w:p>
          <w:pPr>
            <w:pStyle w:val="TOC2"/>
            <w:tabs>
              <w:tab w:pos="9741" w:val="right" w:leader="dot"/>
            </w:tabs>
            <w:spacing w:before="176"/>
            <w:rPr>
              <w:rFonts w:ascii="Calibri" w:eastAsia="Calibri"/>
            </w:rPr>
          </w:pPr>
          <w:hyperlink w:history="true" w:anchor="_bookmark1">
            <w:r>
              <w:rPr>
                <w:w w:val="95"/>
              </w:rPr>
              <w:t>第</w:t>
            </w:r>
            <w:r>
              <w:rPr>
                <w:w w:val="95"/>
              </w:rPr>
              <w:t>一</w:t>
            </w:r>
            <w:r>
              <w:rPr>
                <w:w w:val="95"/>
              </w:rPr>
              <w:t>条</w:t>
            </w:r>
            <w:r>
              <w:rPr>
                <w:spacing w:val="57"/>
              </w:rPr>
              <w:t> </w:t>
            </w:r>
            <w:r>
              <w:rPr>
                <w:w w:val="95"/>
              </w:rPr>
              <w:t>保</w:t>
            </w:r>
            <w:r>
              <w:rPr>
                <w:w w:val="95"/>
              </w:rPr>
              <w:t>险</w:t>
            </w:r>
            <w:r>
              <w:rPr>
                <w:w w:val="95"/>
              </w:rPr>
              <w:t>合</w:t>
            </w:r>
            <w:r>
              <w:rPr>
                <w:w w:val="95"/>
              </w:rPr>
              <w:t>同</w:t>
            </w:r>
            <w:r>
              <w:rPr>
                <w:w w:val="95"/>
              </w:rPr>
              <w:t>的</w:t>
            </w:r>
            <w:r>
              <w:rPr>
                <w:w w:val="95"/>
              </w:rPr>
              <w:t>构</w:t>
            </w:r>
            <w:r>
              <w:rPr>
                <w:spacing w:val="-10"/>
                <w:w w:val="95"/>
              </w:rPr>
              <w:t>成</w:t>
            </w:r>
            <w:r>
              <w:rPr>
                <w:rFonts w:ascii="Times New Roman" w:eastAsia="Times New Roman"/>
              </w:rPr>
              <w:tab/>
            </w:r>
            <w:r>
              <w:rPr>
                <w:rFonts w:ascii="Calibri" w:eastAsia="Calibri"/>
                <w:spacing w:val="-10"/>
              </w:rPr>
              <w:t>3</w:t>
            </w:r>
          </w:hyperlink>
        </w:p>
        <w:p>
          <w:pPr>
            <w:pStyle w:val="TOC2"/>
            <w:tabs>
              <w:tab w:pos="9741" w:val="right" w:leader="dot"/>
            </w:tabs>
            <w:rPr>
              <w:rFonts w:ascii="Calibri" w:eastAsia="Calibri"/>
            </w:rPr>
          </w:pPr>
          <w:hyperlink w:history="true" w:anchor="_bookmark2">
            <w:r>
              <w:rPr>
                <w:w w:val="95"/>
              </w:rPr>
              <w:t>第</w:t>
            </w:r>
            <w:r>
              <w:rPr>
                <w:w w:val="95"/>
              </w:rPr>
              <w:t>二</w:t>
            </w:r>
            <w:r>
              <w:rPr>
                <w:w w:val="95"/>
              </w:rPr>
              <w:t>条</w:t>
            </w:r>
            <w:r>
              <w:rPr>
                <w:spacing w:val="31"/>
              </w:rPr>
              <w:t> </w:t>
            </w:r>
            <w:r>
              <w:rPr>
                <w:w w:val="95"/>
              </w:rPr>
              <w:t>投</w:t>
            </w:r>
            <w:r>
              <w:rPr>
                <w:w w:val="95"/>
              </w:rPr>
              <w:t>保</w:t>
            </w:r>
            <w:r>
              <w:rPr>
                <w:w w:val="95"/>
              </w:rPr>
              <w:t>年</w:t>
            </w:r>
            <w:r>
              <w:rPr>
                <w:spacing w:val="-10"/>
                <w:w w:val="95"/>
              </w:rPr>
              <w:t>龄</w:t>
            </w:r>
            <w:r>
              <w:rPr>
                <w:rFonts w:ascii="Times New Roman" w:eastAsia="Times New Roman"/>
              </w:rPr>
              <w:tab/>
            </w:r>
            <w:r>
              <w:rPr>
                <w:rFonts w:ascii="Calibri" w:eastAsia="Calibri"/>
                <w:spacing w:val="-10"/>
              </w:rPr>
              <w:t>3</w:t>
            </w:r>
          </w:hyperlink>
        </w:p>
        <w:p>
          <w:pPr>
            <w:pStyle w:val="TOC2"/>
            <w:tabs>
              <w:tab w:pos="9741" w:val="right" w:leader="dot"/>
            </w:tabs>
            <w:spacing w:before="55"/>
            <w:rPr>
              <w:rFonts w:ascii="Calibri" w:eastAsia="Calibri"/>
            </w:rPr>
          </w:pPr>
          <w:hyperlink w:history="true" w:anchor="_bookmark3">
            <w:r>
              <w:rPr>
                <w:w w:val="95"/>
              </w:rPr>
              <w:t>第</w:t>
            </w:r>
            <w:r>
              <w:rPr>
                <w:w w:val="95"/>
              </w:rPr>
              <w:t>三</w:t>
            </w:r>
            <w:r>
              <w:rPr>
                <w:w w:val="95"/>
              </w:rPr>
              <w:t>条</w:t>
            </w:r>
            <w:r>
              <w:rPr>
                <w:spacing w:val="33"/>
                <w:w w:val="150"/>
              </w:rPr>
              <w:t> </w:t>
            </w:r>
            <w:r>
              <w:rPr>
                <w:w w:val="95"/>
              </w:rPr>
              <w:t>保</w:t>
            </w:r>
            <w:r>
              <w:rPr>
                <w:w w:val="95"/>
              </w:rPr>
              <w:t>险</w:t>
            </w:r>
            <w:r>
              <w:rPr>
                <w:w w:val="95"/>
              </w:rPr>
              <w:t>合</w:t>
            </w:r>
            <w:r>
              <w:rPr>
                <w:w w:val="95"/>
              </w:rPr>
              <w:t>同</w:t>
            </w:r>
            <w:r>
              <w:rPr>
                <w:w w:val="95"/>
              </w:rPr>
              <w:t>的</w:t>
            </w:r>
            <w:r>
              <w:rPr>
                <w:w w:val="95"/>
              </w:rPr>
              <w:t>成立与</w:t>
            </w:r>
            <w:r>
              <w:rPr>
                <w:w w:val="95"/>
              </w:rPr>
              <w:t>生</w:t>
            </w:r>
            <w:r>
              <w:rPr>
                <w:spacing w:val="-10"/>
                <w:w w:val="95"/>
              </w:rPr>
              <w:t>效</w:t>
            </w:r>
            <w:r>
              <w:rPr>
                <w:rFonts w:ascii="Times New Roman" w:eastAsia="Times New Roman"/>
              </w:rPr>
              <w:tab/>
            </w:r>
            <w:r>
              <w:rPr>
                <w:rFonts w:ascii="Calibri" w:eastAsia="Calibri"/>
                <w:spacing w:val="-10"/>
              </w:rPr>
              <w:t>3</w:t>
            </w:r>
          </w:hyperlink>
        </w:p>
        <w:p>
          <w:pPr>
            <w:pStyle w:val="TOC2"/>
            <w:tabs>
              <w:tab w:pos="9741" w:val="right" w:leader="dot"/>
            </w:tabs>
            <w:rPr>
              <w:rFonts w:ascii="Calibri" w:eastAsia="Calibri"/>
            </w:rPr>
          </w:pPr>
          <w:hyperlink w:history="true" w:anchor="_bookmark4">
            <w:r>
              <w:rPr>
                <w:w w:val="95"/>
              </w:rPr>
              <w:t>第</w:t>
            </w:r>
            <w:r>
              <w:rPr>
                <w:w w:val="95"/>
              </w:rPr>
              <w:t>四</w:t>
            </w:r>
            <w:r>
              <w:rPr>
                <w:w w:val="95"/>
              </w:rPr>
              <w:t>条</w:t>
            </w:r>
            <w:r>
              <w:rPr>
                <w:spacing w:val="31"/>
              </w:rPr>
              <w:t> </w:t>
            </w:r>
            <w:r>
              <w:rPr>
                <w:w w:val="95"/>
              </w:rPr>
              <w:t>保</w:t>
            </w:r>
            <w:r>
              <w:rPr>
                <w:w w:val="95"/>
              </w:rPr>
              <w:t>险</w:t>
            </w:r>
            <w:r>
              <w:rPr>
                <w:w w:val="95"/>
              </w:rPr>
              <w:t>期</w:t>
            </w:r>
            <w:r>
              <w:rPr>
                <w:spacing w:val="-10"/>
                <w:w w:val="95"/>
              </w:rPr>
              <w:t>间</w:t>
            </w:r>
            <w:r>
              <w:rPr>
                <w:rFonts w:ascii="Times New Roman" w:eastAsia="Times New Roman"/>
              </w:rPr>
              <w:tab/>
            </w:r>
            <w:r>
              <w:rPr>
                <w:rFonts w:ascii="Calibri" w:eastAsia="Calibri"/>
                <w:spacing w:val="-10"/>
              </w:rPr>
              <w:t>3</w:t>
            </w:r>
          </w:hyperlink>
        </w:p>
        <w:p>
          <w:pPr>
            <w:pStyle w:val="TOC2"/>
            <w:tabs>
              <w:tab w:pos="9741" w:val="right" w:leader="dot"/>
            </w:tabs>
            <w:rPr>
              <w:rFonts w:ascii="Calibri" w:eastAsia="Calibri"/>
            </w:rPr>
          </w:pPr>
          <w:hyperlink w:history="true" w:anchor="_bookmark5">
            <w:r>
              <w:rPr>
                <w:w w:val="95"/>
              </w:rPr>
              <w:t>第</w:t>
            </w:r>
            <w:r>
              <w:rPr>
                <w:w w:val="95"/>
              </w:rPr>
              <w:t>五</w:t>
            </w:r>
            <w:r>
              <w:rPr>
                <w:w w:val="95"/>
              </w:rPr>
              <w:t>条</w:t>
            </w:r>
            <w:r>
              <w:rPr>
                <w:spacing w:val="47"/>
              </w:rPr>
              <w:t> </w:t>
            </w:r>
            <w:r>
              <w:rPr>
                <w:w w:val="95"/>
              </w:rPr>
              <w:t>保</w:t>
            </w:r>
            <w:r>
              <w:rPr>
                <w:w w:val="95"/>
              </w:rPr>
              <w:t>险</w:t>
            </w:r>
            <w:r>
              <w:rPr>
                <w:w w:val="95"/>
              </w:rPr>
              <w:t>费</w:t>
            </w:r>
            <w:r>
              <w:rPr>
                <w:w w:val="95"/>
              </w:rPr>
              <w:t>的</w:t>
            </w:r>
            <w:r>
              <w:rPr>
                <w:w w:val="95"/>
              </w:rPr>
              <w:t>支</w:t>
            </w:r>
            <w:r>
              <w:rPr>
                <w:spacing w:val="-10"/>
                <w:w w:val="95"/>
              </w:rPr>
              <w:t>付</w:t>
            </w:r>
            <w:r>
              <w:rPr>
                <w:rFonts w:ascii="Times New Roman" w:eastAsia="Times New Roman"/>
              </w:rPr>
              <w:tab/>
            </w:r>
            <w:r>
              <w:rPr>
                <w:rFonts w:ascii="Calibri" w:eastAsia="Calibri"/>
                <w:spacing w:val="-10"/>
              </w:rPr>
              <w:t>3</w:t>
            </w:r>
          </w:hyperlink>
        </w:p>
        <w:p>
          <w:pPr>
            <w:pStyle w:val="TOC2"/>
            <w:tabs>
              <w:tab w:pos="9741" w:val="right" w:leader="dot"/>
            </w:tabs>
            <w:rPr>
              <w:rFonts w:ascii="Calibri" w:eastAsia="Calibri"/>
            </w:rPr>
          </w:pPr>
          <w:hyperlink w:history="true" w:anchor="_bookmark6">
            <w:r>
              <w:rPr>
                <w:w w:val="95"/>
              </w:rPr>
              <w:t>第</w:t>
            </w:r>
            <w:r>
              <w:rPr>
                <w:w w:val="95"/>
              </w:rPr>
              <w:t>六</w:t>
            </w:r>
            <w:r>
              <w:rPr>
                <w:w w:val="95"/>
              </w:rPr>
              <w:t>条</w:t>
            </w:r>
            <w:r>
              <w:rPr>
                <w:spacing w:val="47"/>
              </w:rPr>
              <w:t> </w:t>
            </w:r>
            <w:r>
              <w:rPr>
                <w:w w:val="95"/>
              </w:rPr>
              <w:t>基</w:t>
            </w:r>
            <w:r>
              <w:rPr>
                <w:w w:val="95"/>
              </w:rPr>
              <w:t>本</w:t>
            </w:r>
            <w:r>
              <w:rPr>
                <w:w w:val="95"/>
              </w:rPr>
              <w:t>保</w:t>
            </w:r>
            <w:r>
              <w:rPr>
                <w:w w:val="95"/>
              </w:rPr>
              <w:t>险</w:t>
            </w:r>
            <w:r>
              <w:rPr>
                <w:w w:val="95"/>
              </w:rPr>
              <w:t>金</w:t>
            </w:r>
            <w:r>
              <w:rPr>
                <w:spacing w:val="-10"/>
                <w:w w:val="95"/>
              </w:rPr>
              <w:t>额</w:t>
            </w:r>
            <w:r>
              <w:rPr>
                <w:rFonts w:ascii="Times New Roman" w:eastAsia="Times New Roman"/>
              </w:rPr>
              <w:tab/>
            </w:r>
            <w:r>
              <w:rPr>
                <w:rFonts w:ascii="Calibri" w:eastAsia="Calibri"/>
                <w:spacing w:val="-10"/>
              </w:rPr>
              <w:t>3</w:t>
            </w:r>
          </w:hyperlink>
        </w:p>
        <w:p>
          <w:pPr>
            <w:pStyle w:val="TOC2"/>
            <w:tabs>
              <w:tab w:pos="9741" w:val="right" w:leader="dot"/>
            </w:tabs>
            <w:spacing w:before="55"/>
            <w:rPr>
              <w:rFonts w:ascii="Calibri" w:eastAsia="Calibri"/>
            </w:rPr>
          </w:pPr>
          <w:hyperlink w:history="true" w:anchor="_bookmark7">
            <w:r>
              <w:rPr>
                <w:w w:val="95"/>
              </w:rPr>
              <w:t>第</w:t>
            </w:r>
            <w:r>
              <w:rPr>
                <w:w w:val="95"/>
              </w:rPr>
              <w:t>七</w:t>
            </w:r>
            <w:r>
              <w:rPr>
                <w:w w:val="95"/>
              </w:rPr>
              <w:t>条</w:t>
            </w:r>
            <w:r>
              <w:rPr>
                <w:spacing w:val="57"/>
              </w:rPr>
              <w:t> </w:t>
            </w:r>
            <w:r>
              <w:rPr>
                <w:w w:val="95"/>
              </w:rPr>
              <w:t>保</w:t>
            </w:r>
            <w:r>
              <w:rPr>
                <w:w w:val="95"/>
              </w:rPr>
              <w:t>险</w:t>
            </w:r>
            <w:r>
              <w:rPr>
                <w:w w:val="95"/>
              </w:rPr>
              <w:t>合</w:t>
            </w:r>
            <w:r>
              <w:rPr>
                <w:w w:val="95"/>
              </w:rPr>
              <w:t>同</w:t>
            </w:r>
            <w:r>
              <w:rPr>
                <w:w w:val="95"/>
              </w:rPr>
              <w:t>的</w:t>
            </w:r>
            <w:r>
              <w:rPr>
                <w:w w:val="95"/>
              </w:rPr>
              <w:t>中</w:t>
            </w:r>
            <w:r>
              <w:rPr>
                <w:spacing w:val="-10"/>
                <w:w w:val="95"/>
              </w:rPr>
              <w:t>止</w:t>
            </w:r>
            <w:r>
              <w:rPr>
                <w:rFonts w:ascii="Times New Roman" w:eastAsia="Times New Roman"/>
              </w:rPr>
              <w:tab/>
            </w:r>
            <w:r>
              <w:rPr>
                <w:rFonts w:ascii="Calibri" w:eastAsia="Calibri"/>
                <w:spacing w:val="-10"/>
              </w:rPr>
              <w:t>3</w:t>
            </w:r>
          </w:hyperlink>
        </w:p>
        <w:p>
          <w:pPr>
            <w:pStyle w:val="TOC2"/>
            <w:tabs>
              <w:tab w:pos="9741" w:val="right" w:leader="dot"/>
            </w:tabs>
            <w:rPr>
              <w:rFonts w:ascii="Calibri" w:eastAsia="Calibri"/>
            </w:rPr>
          </w:pPr>
          <w:hyperlink w:history="true" w:anchor="_bookmark8">
            <w:r>
              <w:rPr>
                <w:w w:val="95"/>
              </w:rPr>
              <w:t>第</w:t>
            </w:r>
            <w:r>
              <w:rPr>
                <w:w w:val="95"/>
              </w:rPr>
              <w:t>八</w:t>
            </w:r>
            <w:r>
              <w:rPr>
                <w:w w:val="95"/>
              </w:rPr>
              <w:t>条</w:t>
            </w:r>
            <w:r>
              <w:rPr>
                <w:spacing w:val="57"/>
              </w:rPr>
              <w:t> </w:t>
            </w:r>
            <w:r>
              <w:rPr>
                <w:w w:val="95"/>
              </w:rPr>
              <w:t>保</w:t>
            </w:r>
            <w:r>
              <w:rPr>
                <w:w w:val="95"/>
              </w:rPr>
              <w:t>险</w:t>
            </w:r>
            <w:r>
              <w:rPr>
                <w:w w:val="95"/>
              </w:rPr>
              <w:t>合</w:t>
            </w:r>
            <w:r>
              <w:rPr>
                <w:w w:val="95"/>
              </w:rPr>
              <w:t>同</w:t>
            </w:r>
            <w:r>
              <w:rPr>
                <w:w w:val="95"/>
              </w:rPr>
              <w:t>的</w:t>
            </w:r>
            <w:r>
              <w:rPr>
                <w:w w:val="95"/>
              </w:rPr>
              <w:t>终</w:t>
            </w:r>
            <w:r>
              <w:rPr>
                <w:spacing w:val="-10"/>
                <w:w w:val="95"/>
              </w:rPr>
              <w:t>止</w:t>
            </w:r>
            <w:r>
              <w:rPr>
                <w:rFonts w:ascii="Times New Roman" w:eastAsia="Times New Roman"/>
              </w:rPr>
              <w:tab/>
            </w:r>
            <w:r>
              <w:rPr>
                <w:rFonts w:ascii="Calibri" w:eastAsia="Calibri"/>
                <w:spacing w:val="-10"/>
              </w:rPr>
              <w:t>3</w:t>
            </w:r>
          </w:hyperlink>
        </w:p>
        <w:p>
          <w:pPr>
            <w:pStyle w:val="TOC1"/>
            <w:tabs>
              <w:tab w:pos="9628" w:val="right" w:leader="dot"/>
            </w:tabs>
            <w:rPr>
              <w:rFonts w:ascii="Calibri" w:eastAsia="Calibri"/>
            </w:rPr>
          </w:pPr>
          <w:hyperlink w:history="true" w:anchor="_bookmark9">
            <w:r>
              <w:rPr/>
              <w:t>第</w:t>
            </w:r>
            <w:r>
              <w:rPr/>
              <w:t>二</w:t>
            </w:r>
            <w:r>
              <w:rPr/>
              <w:t>部</w:t>
            </w:r>
            <w:r>
              <w:rPr/>
              <w:t>分</w:t>
            </w:r>
            <w:r>
              <w:rPr>
                <w:spacing w:val="140"/>
              </w:rPr>
              <w:t> </w:t>
            </w:r>
            <w:r>
              <w:rPr/>
              <w:t>我</w:t>
            </w:r>
            <w:r>
              <w:rPr/>
              <w:t>们</w:t>
            </w:r>
            <w:r>
              <w:rPr/>
              <w:t>提</w:t>
            </w:r>
            <w:r>
              <w:rPr/>
              <w:t>供</w:t>
            </w:r>
            <w:r>
              <w:rPr/>
              <w:t>的</w:t>
            </w:r>
            <w:r>
              <w:rPr/>
              <w:t>保</w:t>
            </w:r>
            <w:r>
              <w:rPr>
                <w:spacing w:val="-10"/>
              </w:rPr>
              <w:t>障</w:t>
            </w:r>
            <w:r>
              <w:rPr>
                <w:rFonts w:ascii="Times New Roman" w:eastAsia="Times New Roman"/>
                <w:b w:val="0"/>
              </w:rPr>
              <w:tab/>
            </w:r>
            <w:r>
              <w:rPr>
                <w:rFonts w:ascii="Calibri" w:eastAsia="Calibri"/>
                <w:spacing w:val="-10"/>
              </w:rPr>
              <w:t>4</w:t>
            </w:r>
          </w:hyperlink>
        </w:p>
        <w:p>
          <w:pPr>
            <w:pStyle w:val="TOC2"/>
            <w:tabs>
              <w:tab w:pos="9741" w:val="right" w:leader="dot"/>
            </w:tabs>
            <w:spacing w:before="176"/>
            <w:rPr>
              <w:rFonts w:ascii="Calibri" w:eastAsia="Calibri"/>
            </w:rPr>
          </w:pPr>
          <w:hyperlink w:history="true" w:anchor="_bookmark10">
            <w:r>
              <w:rPr>
                <w:w w:val="95"/>
              </w:rPr>
              <w:t>第</w:t>
            </w:r>
            <w:r>
              <w:rPr>
                <w:w w:val="95"/>
              </w:rPr>
              <w:t>九</w:t>
            </w:r>
            <w:r>
              <w:rPr>
                <w:w w:val="95"/>
              </w:rPr>
              <w:t>条</w:t>
            </w:r>
            <w:r>
              <w:rPr>
                <w:spacing w:val="31"/>
              </w:rPr>
              <w:t> </w:t>
            </w:r>
            <w:r>
              <w:rPr>
                <w:w w:val="95"/>
              </w:rPr>
              <w:t>保</w:t>
            </w:r>
            <w:r>
              <w:rPr>
                <w:w w:val="95"/>
              </w:rPr>
              <w:t>险</w:t>
            </w:r>
            <w:r>
              <w:rPr>
                <w:w w:val="95"/>
              </w:rPr>
              <w:t>责</w:t>
            </w:r>
            <w:r>
              <w:rPr>
                <w:spacing w:val="-10"/>
                <w:w w:val="95"/>
              </w:rPr>
              <w:t>任</w:t>
            </w:r>
            <w:r>
              <w:rPr>
                <w:rFonts w:ascii="Times New Roman" w:eastAsia="Times New Roman"/>
              </w:rPr>
              <w:tab/>
            </w:r>
            <w:r>
              <w:rPr>
                <w:rFonts w:ascii="Calibri" w:eastAsia="Calibri"/>
                <w:spacing w:val="-10"/>
              </w:rPr>
              <w:t>4</w:t>
            </w:r>
          </w:hyperlink>
        </w:p>
        <w:p>
          <w:pPr>
            <w:pStyle w:val="TOC2"/>
            <w:tabs>
              <w:tab w:pos="9741" w:val="right" w:leader="dot"/>
            </w:tabs>
            <w:spacing w:before="55"/>
            <w:rPr>
              <w:rFonts w:ascii="Calibri" w:eastAsia="Calibri"/>
            </w:rPr>
          </w:pPr>
          <w:hyperlink w:history="true" w:anchor="_bookmark11">
            <w:r>
              <w:rPr>
                <w:w w:val="95"/>
              </w:rPr>
              <w:t>第</w:t>
            </w:r>
            <w:r>
              <w:rPr>
                <w:w w:val="95"/>
              </w:rPr>
              <w:t>十</w:t>
            </w:r>
            <w:r>
              <w:rPr>
                <w:w w:val="95"/>
              </w:rPr>
              <w:t>条</w:t>
            </w:r>
            <w:r>
              <w:rPr>
                <w:spacing w:val="31"/>
              </w:rPr>
              <w:t> </w:t>
            </w:r>
            <w:r>
              <w:rPr>
                <w:w w:val="95"/>
              </w:rPr>
              <w:t>责</w:t>
            </w:r>
            <w:r>
              <w:rPr>
                <w:w w:val="95"/>
              </w:rPr>
              <w:t>任</w:t>
            </w:r>
            <w:r>
              <w:rPr>
                <w:w w:val="95"/>
              </w:rPr>
              <w:t>免</w:t>
            </w:r>
            <w:r>
              <w:rPr>
                <w:spacing w:val="-10"/>
                <w:w w:val="95"/>
              </w:rPr>
              <w:t>除</w:t>
            </w:r>
            <w:r>
              <w:rPr>
                <w:rFonts w:ascii="Times New Roman" w:eastAsia="Times New Roman"/>
              </w:rPr>
              <w:tab/>
            </w:r>
            <w:r>
              <w:rPr>
                <w:rFonts w:ascii="Calibri" w:eastAsia="Calibri"/>
                <w:spacing w:val="-10"/>
              </w:rPr>
              <w:t>8</w:t>
            </w:r>
          </w:hyperlink>
        </w:p>
        <w:p>
          <w:pPr>
            <w:pStyle w:val="TOC1"/>
            <w:tabs>
              <w:tab w:pos="9628" w:val="right" w:leader="dot"/>
            </w:tabs>
            <w:rPr>
              <w:rFonts w:ascii="Calibri" w:eastAsia="Calibri"/>
            </w:rPr>
          </w:pPr>
          <w:hyperlink w:history="true" w:anchor="_bookmark12">
            <w:r>
              <w:rPr/>
              <w:t>第</w:t>
            </w:r>
            <w:r>
              <w:rPr/>
              <w:t>三</w:t>
            </w:r>
            <w:r>
              <w:rPr/>
              <w:t>部</w:t>
            </w:r>
            <w:r>
              <w:rPr/>
              <w:t>分</w:t>
            </w:r>
            <w:r>
              <w:rPr>
                <w:spacing w:val="138"/>
              </w:rPr>
              <w:t> </w:t>
            </w:r>
            <w:r>
              <w:rPr/>
              <w:t>如</w:t>
            </w:r>
            <w:r>
              <w:rPr/>
              <w:t>何</w:t>
            </w:r>
            <w:r>
              <w:rPr/>
              <w:t>申</w:t>
            </w:r>
            <w:r>
              <w:rPr/>
              <w:t>请</w:t>
            </w:r>
            <w:r>
              <w:rPr/>
              <w:t>领</w:t>
            </w:r>
            <w:r>
              <w:rPr/>
              <w:t>取</w:t>
            </w:r>
            <w:r>
              <w:rPr/>
              <w:t>保</w:t>
            </w:r>
            <w:r>
              <w:rPr/>
              <w:t>险</w:t>
            </w:r>
            <w:r>
              <w:rPr>
                <w:spacing w:val="-10"/>
              </w:rPr>
              <w:t>金</w:t>
            </w:r>
            <w:r>
              <w:rPr>
                <w:rFonts w:ascii="Times New Roman" w:eastAsia="Times New Roman"/>
                <w:b w:val="0"/>
              </w:rPr>
              <w:tab/>
            </w:r>
            <w:r>
              <w:rPr>
                <w:rFonts w:ascii="Calibri" w:eastAsia="Calibri"/>
                <w:spacing w:val="-10"/>
              </w:rPr>
              <w:t>9</w:t>
            </w:r>
          </w:hyperlink>
        </w:p>
        <w:p>
          <w:pPr>
            <w:pStyle w:val="TOC2"/>
            <w:tabs>
              <w:tab w:pos="9741" w:val="right" w:leader="dot"/>
            </w:tabs>
            <w:spacing w:before="176"/>
            <w:rPr>
              <w:rFonts w:ascii="Calibri" w:eastAsia="Calibri"/>
            </w:rPr>
          </w:pPr>
          <w:hyperlink w:history="true" w:anchor="_bookmark13">
            <w:r>
              <w:rPr>
                <w:w w:val="95"/>
              </w:rPr>
              <w:t>第</w:t>
            </w:r>
            <w:r>
              <w:rPr>
                <w:w w:val="95"/>
              </w:rPr>
              <w:t>十</w:t>
            </w:r>
            <w:r>
              <w:rPr>
                <w:w w:val="95"/>
              </w:rPr>
              <w:t>一</w:t>
            </w:r>
            <w:r>
              <w:rPr>
                <w:w w:val="95"/>
              </w:rPr>
              <w:t>条</w:t>
            </w:r>
            <w:r>
              <w:rPr>
                <w:spacing w:val="57"/>
              </w:rPr>
              <w:t> </w:t>
            </w:r>
            <w:r>
              <w:rPr>
                <w:w w:val="95"/>
              </w:rPr>
              <w:t>保险</w:t>
            </w:r>
            <w:r>
              <w:rPr>
                <w:w w:val="95"/>
              </w:rPr>
              <w:t>事</w:t>
            </w:r>
            <w:r>
              <w:rPr>
                <w:w w:val="95"/>
              </w:rPr>
              <w:t>故</w:t>
            </w:r>
            <w:r>
              <w:rPr>
                <w:w w:val="95"/>
              </w:rPr>
              <w:t>通</w:t>
            </w:r>
            <w:r>
              <w:rPr>
                <w:spacing w:val="-10"/>
                <w:w w:val="95"/>
              </w:rPr>
              <w:t>知</w:t>
            </w:r>
            <w:r>
              <w:rPr>
                <w:rFonts w:ascii="Times New Roman" w:eastAsia="Times New Roman"/>
              </w:rPr>
              <w:tab/>
            </w:r>
            <w:r>
              <w:rPr>
                <w:rFonts w:ascii="Calibri" w:eastAsia="Calibri"/>
                <w:spacing w:val="-10"/>
              </w:rPr>
              <w:t>9</w:t>
            </w:r>
          </w:hyperlink>
        </w:p>
        <w:p>
          <w:pPr>
            <w:pStyle w:val="TOC2"/>
            <w:tabs>
              <w:tab w:pos="9741" w:val="right" w:leader="dot"/>
            </w:tabs>
            <w:rPr>
              <w:rFonts w:ascii="Calibri" w:eastAsia="Calibri"/>
            </w:rPr>
          </w:pPr>
          <w:hyperlink w:history="true" w:anchor="_bookmark14">
            <w:r>
              <w:rPr>
                <w:w w:val="95"/>
              </w:rPr>
              <w:t>第</w:t>
            </w:r>
            <w:r>
              <w:rPr>
                <w:w w:val="95"/>
              </w:rPr>
              <w:t>十</w:t>
            </w:r>
            <w:r>
              <w:rPr>
                <w:w w:val="95"/>
              </w:rPr>
              <w:t>二</w:t>
            </w:r>
            <w:r>
              <w:rPr>
                <w:w w:val="95"/>
              </w:rPr>
              <w:t>条</w:t>
            </w:r>
            <w:r>
              <w:rPr>
                <w:spacing w:val="47"/>
              </w:rPr>
              <w:t> </w:t>
            </w:r>
            <w:r>
              <w:rPr>
                <w:w w:val="95"/>
              </w:rPr>
              <w:t>保险</w:t>
            </w:r>
            <w:r>
              <w:rPr>
                <w:w w:val="95"/>
              </w:rPr>
              <w:t>金</w:t>
            </w:r>
            <w:r>
              <w:rPr>
                <w:w w:val="95"/>
              </w:rPr>
              <w:t>申</w:t>
            </w:r>
            <w:r>
              <w:rPr>
                <w:spacing w:val="-10"/>
                <w:w w:val="95"/>
              </w:rPr>
              <w:t>请</w:t>
            </w:r>
            <w:r>
              <w:rPr>
                <w:rFonts w:ascii="Times New Roman" w:eastAsia="Times New Roman"/>
              </w:rPr>
              <w:tab/>
            </w:r>
            <w:r>
              <w:rPr>
                <w:rFonts w:ascii="Calibri" w:eastAsia="Calibri"/>
                <w:spacing w:val="-10"/>
              </w:rPr>
              <w:t>9</w:t>
            </w:r>
          </w:hyperlink>
        </w:p>
        <w:p>
          <w:pPr>
            <w:pStyle w:val="TOC2"/>
            <w:tabs>
              <w:tab w:pos="9741" w:val="right" w:leader="dot"/>
            </w:tabs>
            <w:spacing w:before="55"/>
            <w:rPr>
              <w:rFonts w:ascii="Calibri" w:eastAsia="Calibri"/>
            </w:rPr>
          </w:pPr>
          <w:hyperlink w:history="true" w:anchor="_bookmark15">
            <w:r>
              <w:rPr>
                <w:w w:val="95"/>
              </w:rPr>
              <w:t>第</w:t>
            </w:r>
            <w:r>
              <w:rPr>
                <w:w w:val="95"/>
              </w:rPr>
              <w:t>十</w:t>
            </w:r>
            <w:r>
              <w:rPr>
                <w:w w:val="95"/>
              </w:rPr>
              <w:t>三</w:t>
            </w:r>
            <w:r>
              <w:rPr>
                <w:w w:val="95"/>
              </w:rPr>
              <w:t>条</w:t>
            </w:r>
            <w:r>
              <w:rPr>
                <w:spacing w:val="47"/>
              </w:rPr>
              <w:t> </w:t>
            </w:r>
            <w:r>
              <w:rPr>
                <w:w w:val="95"/>
              </w:rPr>
              <w:t>保险</w:t>
            </w:r>
            <w:r>
              <w:rPr>
                <w:w w:val="95"/>
              </w:rPr>
              <w:t>金</w:t>
            </w:r>
            <w:r>
              <w:rPr>
                <w:w w:val="95"/>
              </w:rPr>
              <w:t>给</w:t>
            </w:r>
            <w:r>
              <w:rPr>
                <w:spacing w:val="-10"/>
                <w:w w:val="95"/>
              </w:rPr>
              <w:t>付</w:t>
            </w:r>
            <w:r>
              <w:rPr>
                <w:rFonts w:ascii="Times New Roman" w:eastAsia="Times New Roman"/>
              </w:rPr>
              <w:tab/>
            </w:r>
            <w:r>
              <w:rPr>
                <w:rFonts w:ascii="Calibri" w:eastAsia="Calibri"/>
                <w:spacing w:val="-5"/>
              </w:rPr>
              <w:t>10</w:t>
            </w:r>
          </w:hyperlink>
        </w:p>
        <w:p>
          <w:pPr>
            <w:pStyle w:val="TOC2"/>
            <w:tabs>
              <w:tab w:pos="9741" w:val="right" w:leader="dot"/>
            </w:tabs>
            <w:rPr>
              <w:rFonts w:ascii="Calibri" w:eastAsia="Calibri"/>
            </w:rPr>
          </w:pPr>
          <w:hyperlink w:history="true" w:anchor="_bookmark16">
            <w:r>
              <w:rPr>
                <w:w w:val="95"/>
              </w:rPr>
              <w:t>第</w:t>
            </w:r>
            <w:r>
              <w:rPr>
                <w:w w:val="95"/>
              </w:rPr>
              <w:t>十</w:t>
            </w:r>
            <w:r>
              <w:rPr>
                <w:w w:val="95"/>
              </w:rPr>
              <w:t>四</w:t>
            </w:r>
            <w:r>
              <w:rPr>
                <w:w w:val="95"/>
              </w:rPr>
              <w:t>条</w:t>
            </w:r>
            <w:r>
              <w:rPr>
                <w:spacing w:val="47"/>
              </w:rPr>
              <w:t> </w:t>
            </w:r>
            <w:r>
              <w:rPr>
                <w:w w:val="95"/>
              </w:rPr>
              <w:t>欠款</w:t>
            </w:r>
            <w:r>
              <w:rPr>
                <w:w w:val="95"/>
              </w:rPr>
              <w:t>的</w:t>
            </w:r>
            <w:r>
              <w:rPr>
                <w:w w:val="95"/>
              </w:rPr>
              <w:t>扣</w:t>
            </w:r>
            <w:r>
              <w:rPr>
                <w:spacing w:val="-10"/>
                <w:w w:val="95"/>
              </w:rPr>
              <w:t>除</w:t>
            </w:r>
            <w:r>
              <w:rPr>
                <w:rFonts w:ascii="Times New Roman" w:eastAsia="Times New Roman"/>
              </w:rPr>
              <w:tab/>
            </w:r>
            <w:r>
              <w:rPr>
                <w:rFonts w:ascii="Calibri" w:eastAsia="Calibri"/>
                <w:spacing w:val="-5"/>
              </w:rPr>
              <w:t>11</w:t>
            </w:r>
          </w:hyperlink>
        </w:p>
        <w:p>
          <w:pPr>
            <w:pStyle w:val="TOC1"/>
            <w:tabs>
              <w:tab w:pos="9627" w:val="right" w:leader="dot"/>
            </w:tabs>
            <w:ind w:right="11"/>
            <w:rPr>
              <w:rFonts w:ascii="Calibri" w:eastAsia="Calibri"/>
            </w:rPr>
          </w:pPr>
          <w:hyperlink w:history="true" w:anchor="_bookmark17">
            <w:r>
              <w:rPr/>
              <w:t>第</w:t>
            </w:r>
            <w:r>
              <w:rPr/>
              <w:t>四</w:t>
            </w:r>
            <w:r>
              <w:rPr/>
              <w:t>部</w:t>
            </w:r>
            <w:r>
              <w:rPr/>
              <w:t>分</w:t>
            </w:r>
            <w:r>
              <w:rPr>
                <w:spacing w:val="138"/>
              </w:rPr>
              <w:t> </w:t>
            </w:r>
            <w:r>
              <w:rPr/>
              <w:t>您</w:t>
            </w:r>
            <w:r>
              <w:rPr/>
              <w:t>所</w:t>
            </w:r>
            <w:r>
              <w:rPr/>
              <w:t>拥</w:t>
            </w:r>
            <w:r>
              <w:rPr/>
              <w:t>有</w:t>
            </w:r>
            <w:r>
              <w:rPr/>
              <w:t>的</w:t>
            </w:r>
            <w:r>
              <w:rPr/>
              <w:t>重</w:t>
            </w:r>
            <w:r>
              <w:rPr/>
              <w:t>要</w:t>
            </w:r>
            <w:r>
              <w:rPr/>
              <w:t>权</w:t>
            </w:r>
            <w:r>
              <w:rPr>
                <w:spacing w:val="-10"/>
              </w:rPr>
              <w:t>益</w:t>
            </w:r>
            <w:r>
              <w:rPr>
                <w:rFonts w:ascii="Times New Roman" w:eastAsia="Times New Roman"/>
                <w:b w:val="0"/>
              </w:rPr>
              <w:tab/>
            </w:r>
            <w:r>
              <w:rPr>
                <w:rFonts w:ascii="Calibri" w:eastAsia="Calibri"/>
                <w:spacing w:val="-5"/>
              </w:rPr>
              <w:t>11</w:t>
            </w:r>
          </w:hyperlink>
        </w:p>
        <w:p>
          <w:pPr>
            <w:pStyle w:val="TOC2"/>
            <w:tabs>
              <w:tab w:pos="9741" w:val="right" w:leader="dot"/>
            </w:tabs>
            <w:spacing w:before="176"/>
            <w:rPr>
              <w:rFonts w:ascii="Calibri" w:eastAsia="Calibri"/>
            </w:rPr>
          </w:pPr>
          <w:hyperlink w:history="true" w:anchor="_bookmark18">
            <w:r>
              <w:rPr>
                <w:w w:val="95"/>
              </w:rPr>
              <w:t>第</w:t>
            </w:r>
            <w:r>
              <w:rPr>
                <w:w w:val="95"/>
              </w:rPr>
              <w:t>十</w:t>
            </w:r>
            <w:r>
              <w:rPr>
                <w:w w:val="95"/>
              </w:rPr>
              <w:t>五</w:t>
            </w:r>
            <w:r>
              <w:rPr>
                <w:w w:val="95"/>
              </w:rPr>
              <w:t>条</w:t>
            </w:r>
            <w:r>
              <w:rPr>
                <w:spacing w:val="47"/>
              </w:rPr>
              <w:t> </w:t>
            </w:r>
            <w:r>
              <w:rPr>
                <w:w w:val="95"/>
              </w:rPr>
              <w:t>保险</w:t>
            </w:r>
            <w:r>
              <w:rPr>
                <w:w w:val="95"/>
              </w:rPr>
              <w:t>单</w:t>
            </w:r>
            <w:r>
              <w:rPr>
                <w:w w:val="95"/>
              </w:rPr>
              <w:t>借</w:t>
            </w:r>
            <w:r>
              <w:rPr>
                <w:spacing w:val="-10"/>
                <w:w w:val="95"/>
              </w:rPr>
              <w:t>款</w:t>
            </w:r>
            <w:r>
              <w:rPr>
                <w:rFonts w:ascii="Times New Roman" w:eastAsia="Times New Roman"/>
              </w:rPr>
              <w:tab/>
            </w:r>
            <w:r>
              <w:rPr>
                <w:rFonts w:ascii="Calibri" w:eastAsia="Calibri"/>
                <w:spacing w:val="-5"/>
              </w:rPr>
              <w:t>11</w:t>
            </w:r>
          </w:hyperlink>
        </w:p>
        <w:p>
          <w:pPr>
            <w:pStyle w:val="TOC2"/>
            <w:tabs>
              <w:tab w:pos="9741" w:val="right" w:leader="dot"/>
            </w:tabs>
            <w:spacing w:before="55"/>
            <w:rPr>
              <w:rFonts w:ascii="Calibri" w:eastAsia="Calibri"/>
            </w:rPr>
          </w:pPr>
          <w:hyperlink w:history="true" w:anchor="_bookmark19">
            <w:r>
              <w:rPr>
                <w:w w:val="95"/>
              </w:rPr>
              <w:t>第</w:t>
            </w:r>
            <w:r>
              <w:rPr>
                <w:w w:val="95"/>
              </w:rPr>
              <w:t>十</w:t>
            </w:r>
            <w:r>
              <w:rPr>
                <w:w w:val="95"/>
              </w:rPr>
              <w:t>六</w:t>
            </w:r>
            <w:r>
              <w:rPr>
                <w:w w:val="95"/>
              </w:rPr>
              <w:t>条</w:t>
            </w:r>
            <w:r>
              <w:rPr>
                <w:spacing w:val="65"/>
              </w:rPr>
              <w:t> </w:t>
            </w:r>
            <w:r>
              <w:rPr>
                <w:w w:val="95"/>
              </w:rPr>
              <w:t>合同</w:t>
            </w:r>
            <w:r>
              <w:rPr>
                <w:w w:val="95"/>
              </w:rPr>
              <w:t>效</w:t>
            </w:r>
            <w:r>
              <w:rPr>
                <w:w w:val="95"/>
              </w:rPr>
              <w:t>力</w:t>
            </w:r>
            <w:r>
              <w:rPr>
                <w:w w:val="95"/>
              </w:rPr>
              <w:t>的</w:t>
            </w:r>
            <w:r>
              <w:rPr>
                <w:w w:val="95"/>
              </w:rPr>
              <w:t>恢</w:t>
            </w:r>
            <w:r>
              <w:rPr>
                <w:spacing w:val="-10"/>
                <w:w w:val="95"/>
              </w:rPr>
              <w:t>复</w:t>
            </w:r>
            <w:r>
              <w:rPr>
                <w:rFonts w:ascii="Times New Roman" w:eastAsia="Times New Roman"/>
              </w:rPr>
              <w:tab/>
            </w:r>
            <w:r>
              <w:rPr>
                <w:rFonts w:ascii="Calibri" w:eastAsia="Calibri"/>
                <w:spacing w:val="-5"/>
              </w:rPr>
              <w:t>11</w:t>
            </w:r>
          </w:hyperlink>
        </w:p>
        <w:p>
          <w:pPr>
            <w:pStyle w:val="TOC2"/>
            <w:tabs>
              <w:tab w:pos="9741" w:val="right" w:leader="dot"/>
            </w:tabs>
            <w:rPr>
              <w:rFonts w:ascii="Calibri" w:eastAsia="Calibri"/>
            </w:rPr>
          </w:pPr>
          <w:hyperlink w:history="true" w:anchor="_bookmark20">
            <w:r>
              <w:rPr>
                <w:w w:val="95"/>
              </w:rPr>
              <w:t>第</w:t>
            </w:r>
            <w:r>
              <w:rPr>
                <w:w w:val="95"/>
              </w:rPr>
              <w:t>十</w:t>
            </w:r>
            <w:r>
              <w:rPr>
                <w:w w:val="95"/>
              </w:rPr>
              <w:t>七</w:t>
            </w:r>
            <w:r>
              <w:rPr>
                <w:w w:val="95"/>
              </w:rPr>
              <w:t>条</w:t>
            </w:r>
            <w:r>
              <w:rPr>
                <w:spacing w:val="65"/>
              </w:rPr>
              <w:t> </w:t>
            </w:r>
            <w:r>
              <w:rPr>
                <w:w w:val="95"/>
              </w:rPr>
              <w:t>合同</w:t>
            </w:r>
            <w:r>
              <w:rPr>
                <w:w w:val="95"/>
              </w:rPr>
              <w:t>内</w:t>
            </w:r>
            <w:r>
              <w:rPr>
                <w:w w:val="95"/>
              </w:rPr>
              <w:t>容</w:t>
            </w:r>
            <w:r>
              <w:rPr>
                <w:w w:val="95"/>
              </w:rPr>
              <w:t>变</w:t>
            </w:r>
            <w:r>
              <w:rPr>
                <w:w w:val="95"/>
              </w:rPr>
              <w:t>更</w:t>
            </w:r>
            <w:r>
              <w:rPr>
                <w:spacing w:val="-10"/>
                <w:w w:val="95"/>
              </w:rPr>
              <w:t>权</w:t>
            </w:r>
            <w:r>
              <w:rPr>
                <w:rFonts w:ascii="Times New Roman" w:eastAsia="Times New Roman"/>
              </w:rPr>
              <w:tab/>
            </w:r>
            <w:r>
              <w:rPr>
                <w:rFonts w:ascii="Calibri" w:eastAsia="Calibri"/>
                <w:spacing w:val="-5"/>
              </w:rPr>
              <w:t>11</w:t>
            </w:r>
          </w:hyperlink>
        </w:p>
        <w:p>
          <w:pPr>
            <w:pStyle w:val="TOC2"/>
            <w:tabs>
              <w:tab w:pos="9741" w:val="right" w:leader="dot"/>
            </w:tabs>
            <w:rPr>
              <w:rFonts w:ascii="Calibri" w:eastAsia="Calibri"/>
            </w:rPr>
          </w:pPr>
          <w:hyperlink w:history="true" w:anchor="_bookmark21">
            <w:r>
              <w:rPr>
                <w:w w:val="95"/>
              </w:rPr>
              <w:t>第</w:t>
            </w:r>
            <w:r>
              <w:rPr>
                <w:w w:val="95"/>
              </w:rPr>
              <w:t>十</w:t>
            </w:r>
            <w:r>
              <w:rPr>
                <w:w w:val="95"/>
              </w:rPr>
              <w:t>八</w:t>
            </w:r>
            <w:r>
              <w:rPr>
                <w:w w:val="95"/>
              </w:rPr>
              <w:t>条</w:t>
            </w:r>
            <w:r>
              <w:rPr>
                <w:spacing w:val="33"/>
                <w:w w:val="150"/>
              </w:rPr>
              <w:t> </w:t>
            </w:r>
            <w:r>
              <w:rPr>
                <w:w w:val="95"/>
              </w:rPr>
              <w:t>犹豫</w:t>
            </w:r>
            <w:r>
              <w:rPr>
                <w:w w:val="95"/>
              </w:rPr>
              <w:t>期</w:t>
            </w:r>
            <w:r>
              <w:rPr>
                <w:w w:val="95"/>
              </w:rPr>
              <w:t>及</w:t>
            </w:r>
            <w:r>
              <w:rPr>
                <w:w w:val="95"/>
              </w:rPr>
              <w:t>合同解</w:t>
            </w:r>
            <w:r>
              <w:rPr>
                <w:w w:val="95"/>
              </w:rPr>
              <w:t>除</w:t>
            </w:r>
            <w:r>
              <w:rPr>
                <w:spacing w:val="-10"/>
                <w:w w:val="95"/>
              </w:rPr>
              <w:t>权</w:t>
            </w:r>
            <w:r>
              <w:rPr>
                <w:rFonts w:ascii="Times New Roman" w:eastAsia="Times New Roman"/>
              </w:rPr>
              <w:tab/>
            </w:r>
            <w:r>
              <w:rPr>
                <w:rFonts w:ascii="Calibri" w:eastAsia="Calibri"/>
                <w:spacing w:val="-5"/>
              </w:rPr>
              <w:t>11</w:t>
            </w:r>
          </w:hyperlink>
        </w:p>
        <w:p>
          <w:pPr>
            <w:pStyle w:val="TOC1"/>
            <w:tabs>
              <w:tab w:pos="9627" w:val="right" w:leader="dot"/>
            </w:tabs>
            <w:ind w:right="11"/>
            <w:rPr>
              <w:rFonts w:ascii="Calibri" w:eastAsia="Calibri"/>
            </w:rPr>
          </w:pPr>
          <w:hyperlink w:history="true" w:anchor="_bookmark22">
            <w:r>
              <w:rPr/>
              <w:t>第</w:t>
            </w:r>
            <w:r>
              <w:rPr/>
              <w:t>五</w:t>
            </w:r>
            <w:r>
              <w:rPr/>
              <w:t>部</w:t>
            </w:r>
            <w:r>
              <w:rPr/>
              <w:t>分</w:t>
            </w:r>
            <w:r>
              <w:rPr>
                <w:spacing w:val="138"/>
              </w:rPr>
              <w:t> </w:t>
            </w:r>
            <w:r>
              <w:rPr/>
              <w:t>您</w:t>
            </w:r>
            <w:r>
              <w:rPr/>
              <w:t>必</w:t>
            </w:r>
            <w:r>
              <w:rPr/>
              <w:t>须</w:t>
            </w:r>
            <w:r>
              <w:rPr/>
              <w:t>了</w:t>
            </w:r>
            <w:r>
              <w:rPr/>
              <w:t>解</w:t>
            </w:r>
            <w:r>
              <w:rPr/>
              <w:t>的</w:t>
            </w:r>
            <w:r>
              <w:rPr/>
              <w:t>事</w:t>
            </w:r>
            <w:r>
              <w:rPr>
                <w:spacing w:val="-10"/>
              </w:rPr>
              <w:t>项</w:t>
            </w:r>
            <w:r>
              <w:rPr>
                <w:rFonts w:ascii="Times New Roman" w:eastAsia="Times New Roman"/>
                <w:b w:val="0"/>
              </w:rPr>
              <w:tab/>
            </w:r>
            <w:r>
              <w:rPr>
                <w:rFonts w:ascii="Calibri" w:eastAsia="Calibri"/>
                <w:spacing w:val="-5"/>
              </w:rPr>
              <w:t>11</w:t>
            </w:r>
          </w:hyperlink>
        </w:p>
        <w:p>
          <w:pPr>
            <w:pStyle w:val="TOC2"/>
            <w:tabs>
              <w:tab w:pos="9741" w:val="right" w:leader="dot"/>
            </w:tabs>
            <w:spacing w:before="175"/>
            <w:rPr>
              <w:rFonts w:ascii="Calibri" w:eastAsia="Calibri"/>
            </w:rPr>
          </w:pPr>
          <w:hyperlink w:history="true" w:anchor="_bookmark23">
            <w:r>
              <w:rPr>
                <w:w w:val="95"/>
              </w:rPr>
              <w:t>第</w:t>
            </w:r>
            <w:r>
              <w:rPr>
                <w:w w:val="95"/>
              </w:rPr>
              <w:t>十</w:t>
            </w:r>
            <w:r>
              <w:rPr>
                <w:w w:val="95"/>
              </w:rPr>
              <w:t>九</w:t>
            </w:r>
            <w:r>
              <w:rPr>
                <w:w w:val="95"/>
              </w:rPr>
              <w:t>条</w:t>
            </w:r>
            <w:r>
              <w:rPr>
                <w:spacing w:val="49"/>
                <w:w w:val="150"/>
              </w:rPr>
              <w:t> </w:t>
            </w:r>
            <w:r>
              <w:rPr>
                <w:w w:val="95"/>
              </w:rPr>
              <w:t>明确</w:t>
            </w:r>
            <w:r>
              <w:rPr>
                <w:w w:val="95"/>
              </w:rPr>
              <w:t>说</w:t>
            </w:r>
            <w:r>
              <w:rPr>
                <w:w w:val="95"/>
              </w:rPr>
              <w:t>明</w:t>
            </w:r>
            <w:r>
              <w:rPr>
                <w:w w:val="95"/>
              </w:rPr>
              <w:t>和如实</w:t>
            </w:r>
            <w:r>
              <w:rPr>
                <w:w w:val="95"/>
              </w:rPr>
              <w:t>告</w:t>
            </w:r>
            <w:r>
              <w:rPr>
                <w:w w:val="95"/>
              </w:rPr>
              <w:t>知</w:t>
            </w:r>
            <w:r>
              <w:rPr>
                <w:w w:val="95"/>
              </w:rPr>
              <w:t>义</w:t>
            </w:r>
            <w:r>
              <w:rPr>
                <w:spacing w:val="-10"/>
                <w:w w:val="95"/>
              </w:rPr>
              <w:t>务</w:t>
            </w:r>
            <w:r>
              <w:rPr>
                <w:rFonts w:ascii="Times New Roman" w:eastAsia="Times New Roman"/>
              </w:rPr>
              <w:tab/>
            </w:r>
            <w:r>
              <w:rPr>
                <w:rFonts w:ascii="Calibri" w:eastAsia="Calibri"/>
                <w:spacing w:val="-5"/>
              </w:rPr>
              <w:t>11</w:t>
            </w:r>
          </w:hyperlink>
        </w:p>
        <w:p>
          <w:pPr>
            <w:pStyle w:val="TOC2"/>
            <w:tabs>
              <w:tab w:pos="9741" w:val="right" w:leader="dot"/>
            </w:tabs>
            <w:rPr>
              <w:rFonts w:ascii="Calibri" w:eastAsia="Calibri"/>
            </w:rPr>
          </w:pPr>
          <w:hyperlink w:history="true" w:anchor="_bookmark24">
            <w:r>
              <w:rPr>
                <w:w w:val="95"/>
              </w:rPr>
              <w:t>第</w:t>
            </w:r>
            <w:r>
              <w:rPr>
                <w:w w:val="95"/>
              </w:rPr>
              <w:t>二</w:t>
            </w:r>
            <w:r>
              <w:rPr>
                <w:w w:val="95"/>
              </w:rPr>
              <w:t>十</w:t>
            </w:r>
            <w:r>
              <w:rPr>
                <w:w w:val="95"/>
              </w:rPr>
              <w:t>条</w:t>
            </w:r>
            <w:r>
              <w:rPr>
                <w:spacing w:val="33"/>
                <w:w w:val="150"/>
              </w:rPr>
              <w:t> </w:t>
            </w:r>
            <w:r>
              <w:rPr>
                <w:w w:val="95"/>
              </w:rPr>
              <w:t>年龄</w:t>
            </w:r>
            <w:r>
              <w:rPr>
                <w:w w:val="95"/>
              </w:rPr>
              <w:t>计</w:t>
            </w:r>
            <w:r>
              <w:rPr>
                <w:w w:val="95"/>
              </w:rPr>
              <w:t>算</w:t>
            </w:r>
            <w:r>
              <w:rPr>
                <w:w w:val="95"/>
              </w:rPr>
              <w:t>及错误</w:t>
            </w:r>
            <w:r>
              <w:rPr>
                <w:w w:val="95"/>
              </w:rPr>
              <w:t>处</w:t>
            </w:r>
            <w:r>
              <w:rPr>
                <w:spacing w:val="-10"/>
                <w:w w:val="95"/>
              </w:rPr>
              <w:t>理</w:t>
            </w:r>
            <w:r>
              <w:rPr>
                <w:rFonts w:ascii="Times New Roman" w:eastAsia="Times New Roman"/>
              </w:rPr>
              <w:tab/>
            </w:r>
            <w:r>
              <w:rPr>
                <w:rFonts w:ascii="Calibri" w:eastAsia="Calibri"/>
                <w:spacing w:val="-5"/>
              </w:rPr>
              <w:t>12</w:t>
            </w:r>
          </w:hyperlink>
        </w:p>
        <w:p>
          <w:pPr>
            <w:pStyle w:val="TOC2"/>
            <w:tabs>
              <w:tab w:pos="9741" w:val="right" w:leader="dot"/>
            </w:tabs>
            <w:rPr>
              <w:rFonts w:ascii="Calibri" w:eastAsia="Calibri"/>
            </w:rPr>
          </w:pPr>
          <w:hyperlink w:history="true" w:anchor="_bookmark25">
            <w:r>
              <w:rPr>
                <w:w w:val="95"/>
              </w:rPr>
              <w:t>第</w:t>
            </w:r>
            <w:r>
              <w:rPr>
                <w:w w:val="95"/>
              </w:rPr>
              <w:t>二</w:t>
            </w:r>
            <w:r>
              <w:rPr>
                <w:w w:val="95"/>
              </w:rPr>
              <w:t>十</w:t>
            </w:r>
            <w:r>
              <w:rPr>
                <w:w w:val="95"/>
              </w:rPr>
              <w:t>一条</w:t>
            </w:r>
            <w:r>
              <w:rPr>
                <w:spacing w:val="59"/>
                <w:w w:val="150"/>
              </w:rPr>
              <w:t> </w:t>
            </w:r>
            <w:r>
              <w:rPr>
                <w:w w:val="95"/>
              </w:rPr>
              <w:t>本</w:t>
            </w:r>
            <w:r>
              <w:rPr>
                <w:w w:val="95"/>
              </w:rPr>
              <w:t>公</w:t>
            </w:r>
            <w:r>
              <w:rPr>
                <w:w w:val="95"/>
              </w:rPr>
              <w:t>司</w:t>
            </w:r>
            <w:r>
              <w:rPr>
                <w:w w:val="95"/>
              </w:rPr>
              <w:t>合同解</w:t>
            </w:r>
            <w:r>
              <w:rPr>
                <w:w w:val="95"/>
              </w:rPr>
              <w:t>除</w:t>
            </w:r>
            <w:r>
              <w:rPr>
                <w:w w:val="95"/>
              </w:rPr>
              <w:t>权</w:t>
            </w:r>
            <w:r>
              <w:rPr>
                <w:w w:val="95"/>
              </w:rPr>
              <w:t>的</w:t>
            </w:r>
            <w:r>
              <w:rPr>
                <w:w w:val="95"/>
              </w:rPr>
              <w:t>限</w:t>
            </w:r>
            <w:r>
              <w:rPr>
                <w:spacing w:val="-10"/>
                <w:w w:val="95"/>
              </w:rPr>
              <w:t>制</w:t>
            </w:r>
            <w:r>
              <w:rPr>
                <w:rFonts w:ascii="Times New Roman" w:eastAsia="Times New Roman"/>
              </w:rPr>
              <w:tab/>
            </w:r>
            <w:r>
              <w:rPr>
                <w:rFonts w:ascii="Calibri" w:eastAsia="Calibri"/>
                <w:spacing w:val="-5"/>
              </w:rPr>
              <w:t>12</w:t>
            </w:r>
          </w:hyperlink>
        </w:p>
        <w:p>
          <w:pPr>
            <w:pStyle w:val="TOC2"/>
            <w:tabs>
              <w:tab w:pos="9741" w:val="right" w:leader="dot"/>
            </w:tabs>
            <w:rPr>
              <w:rFonts w:ascii="Calibri" w:eastAsia="Calibri"/>
            </w:rPr>
          </w:pPr>
          <w:hyperlink w:history="true" w:anchor="_bookmark26">
            <w:r>
              <w:rPr>
                <w:w w:val="95"/>
              </w:rPr>
              <w:t>第</w:t>
            </w:r>
            <w:r>
              <w:rPr>
                <w:w w:val="95"/>
              </w:rPr>
              <w:t>二</w:t>
            </w:r>
            <w:r>
              <w:rPr>
                <w:w w:val="95"/>
              </w:rPr>
              <w:t>十</w:t>
            </w:r>
            <w:r>
              <w:rPr>
                <w:w w:val="95"/>
              </w:rPr>
              <w:t>二条</w:t>
            </w:r>
            <w:r>
              <w:rPr>
                <w:spacing w:val="41"/>
                <w:w w:val="150"/>
              </w:rPr>
              <w:t> </w:t>
            </w:r>
            <w:r>
              <w:rPr>
                <w:w w:val="95"/>
              </w:rPr>
              <w:t>受</w:t>
            </w:r>
            <w:r>
              <w:rPr>
                <w:w w:val="95"/>
              </w:rPr>
              <w:t>益</w:t>
            </w:r>
            <w:r>
              <w:rPr>
                <w:w w:val="95"/>
              </w:rPr>
              <w:t>人</w:t>
            </w:r>
            <w:r>
              <w:rPr>
                <w:w w:val="95"/>
              </w:rPr>
              <w:t>的指定</w:t>
            </w:r>
            <w:r>
              <w:rPr>
                <w:w w:val="95"/>
              </w:rPr>
              <w:t>与</w:t>
            </w:r>
            <w:r>
              <w:rPr>
                <w:w w:val="95"/>
              </w:rPr>
              <w:t>变</w:t>
            </w:r>
            <w:r>
              <w:rPr>
                <w:spacing w:val="-10"/>
                <w:w w:val="95"/>
              </w:rPr>
              <w:t>更</w:t>
            </w:r>
            <w:r>
              <w:rPr>
                <w:rFonts w:ascii="Times New Roman" w:eastAsia="Times New Roman"/>
              </w:rPr>
              <w:tab/>
            </w:r>
            <w:r>
              <w:rPr>
                <w:rFonts w:ascii="Calibri" w:eastAsia="Calibri"/>
                <w:spacing w:val="-5"/>
              </w:rPr>
              <w:t>12</w:t>
            </w:r>
          </w:hyperlink>
        </w:p>
        <w:p>
          <w:pPr>
            <w:pStyle w:val="TOC2"/>
            <w:tabs>
              <w:tab w:pos="9741" w:val="right" w:leader="dot"/>
            </w:tabs>
            <w:spacing w:before="55"/>
            <w:rPr>
              <w:rFonts w:ascii="Calibri" w:eastAsia="Calibri"/>
            </w:rPr>
          </w:pPr>
          <w:hyperlink w:history="true" w:anchor="_bookmark27">
            <w:r>
              <w:rPr>
                <w:w w:val="95"/>
              </w:rPr>
              <w:t>第</w:t>
            </w:r>
            <w:r>
              <w:rPr>
                <w:w w:val="95"/>
              </w:rPr>
              <w:t>二</w:t>
            </w:r>
            <w:r>
              <w:rPr>
                <w:w w:val="95"/>
              </w:rPr>
              <w:t>十</w:t>
            </w:r>
            <w:r>
              <w:rPr>
                <w:w w:val="95"/>
              </w:rPr>
              <w:t>三条</w:t>
            </w:r>
            <w:r>
              <w:rPr>
                <w:spacing w:val="39"/>
              </w:rPr>
              <w:t> </w:t>
            </w:r>
            <w:r>
              <w:rPr>
                <w:w w:val="95"/>
              </w:rPr>
              <w:t>宽</w:t>
            </w:r>
            <w:r>
              <w:rPr>
                <w:w w:val="95"/>
              </w:rPr>
              <w:t>限</w:t>
            </w:r>
            <w:r>
              <w:rPr>
                <w:spacing w:val="-10"/>
                <w:w w:val="95"/>
              </w:rPr>
              <w:t>期</w:t>
            </w:r>
            <w:r>
              <w:rPr>
                <w:rFonts w:ascii="Times New Roman" w:eastAsia="Times New Roman"/>
              </w:rPr>
              <w:tab/>
            </w:r>
            <w:r>
              <w:rPr>
                <w:rFonts w:ascii="Calibri" w:eastAsia="Calibri"/>
                <w:spacing w:val="-5"/>
              </w:rPr>
              <w:t>13</w:t>
            </w:r>
          </w:hyperlink>
        </w:p>
        <w:p>
          <w:pPr>
            <w:pStyle w:val="TOC2"/>
            <w:tabs>
              <w:tab w:pos="9741" w:val="right" w:leader="dot"/>
            </w:tabs>
            <w:rPr>
              <w:rFonts w:ascii="Calibri" w:eastAsia="Calibri"/>
            </w:rPr>
          </w:pPr>
          <w:hyperlink w:history="true" w:anchor="_bookmark28">
            <w:r>
              <w:rPr>
                <w:w w:val="95"/>
              </w:rPr>
              <w:t>第</w:t>
            </w:r>
            <w:r>
              <w:rPr>
                <w:w w:val="95"/>
              </w:rPr>
              <w:t>二</w:t>
            </w:r>
            <w:r>
              <w:rPr>
                <w:w w:val="95"/>
              </w:rPr>
              <w:t>十</w:t>
            </w:r>
            <w:r>
              <w:rPr>
                <w:w w:val="95"/>
              </w:rPr>
              <w:t>四条</w:t>
            </w:r>
            <w:r>
              <w:rPr>
                <w:spacing w:val="65"/>
              </w:rPr>
              <w:t> </w:t>
            </w:r>
            <w:r>
              <w:rPr>
                <w:w w:val="95"/>
              </w:rPr>
              <w:t>宣</w:t>
            </w:r>
            <w:r>
              <w:rPr>
                <w:w w:val="95"/>
              </w:rPr>
              <w:t>告</w:t>
            </w:r>
            <w:r>
              <w:rPr>
                <w:w w:val="95"/>
              </w:rPr>
              <w:t>死</w:t>
            </w:r>
            <w:r>
              <w:rPr>
                <w:w w:val="95"/>
              </w:rPr>
              <w:t>亡</w:t>
            </w:r>
            <w:r>
              <w:rPr>
                <w:w w:val="95"/>
              </w:rPr>
              <w:t>处</w:t>
            </w:r>
            <w:r>
              <w:rPr>
                <w:spacing w:val="-10"/>
                <w:w w:val="95"/>
              </w:rPr>
              <w:t>理</w:t>
            </w:r>
            <w:r>
              <w:rPr>
                <w:rFonts w:ascii="Times New Roman" w:eastAsia="Times New Roman"/>
              </w:rPr>
              <w:tab/>
            </w:r>
            <w:r>
              <w:rPr>
                <w:rFonts w:ascii="Calibri" w:eastAsia="Calibri"/>
                <w:spacing w:val="-5"/>
              </w:rPr>
              <w:t>13</w:t>
            </w:r>
          </w:hyperlink>
        </w:p>
        <w:p>
          <w:pPr>
            <w:pStyle w:val="TOC2"/>
            <w:tabs>
              <w:tab w:pos="9741" w:val="right" w:leader="dot"/>
            </w:tabs>
            <w:rPr>
              <w:rFonts w:ascii="Calibri" w:eastAsia="Calibri"/>
            </w:rPr>
          </w:pPr>
          <w:hyperlink w:history="true" w:anchor="_bookmark29">
            <w:r>
              <w:rPr>
                <w:w w:val="95"/>
              </w:rPr>
              <w:t>第</w:t>
            </w:r>
            <w:r>
              <w:rPr>
                <w:w w:val="95"/>
              </w:rPr>
              <w:t>二</w:t>
            </w:r>
            <w:r>
              <w:rPr>
                <w:w w:val="95"/>
              </w:rPr>
              <w:t>十</w:t>
            </w:r>
            <w:r>
              <w:rPr>
                <w:w w:val="95"/>
              </w:rPr>
              <w:t>五条</w:t>
            </w:r>
            <w:r>
              <w:rPr>
                <w:spacing w:val="47"/>
              </w:rPr>
              <w:t> </w:t>
            </w:r>
            <w:r>
              <w:rPr>
                <w:w w:val="95"/>
              </w:rPr>
              <w:t>司</w:t>
            </w:r>
            <w:r>
              <w:rPr>
                <w:w w:val="95"/>
              </w:rPr>
              <w:t>法</w:t>
            </w:r>
            <w:r>
              <w:rPr>
                <w:w w:val="95"/>
              </w:rPr>
              <w:t>鉴</w:t>
            </w:r>
            <w:r>
              <w:rPr>
                <w:spacing w:val="-10"/>
                <w:w w:val="95"/>
              </w:rPr>
              <w:t>定</w:t>
            </w:r>
            <w:r>
              <w:rPr>
                <w:rFonts w:ascii="Times New Roman" w:eastAsia="Times New Roman"/>
              </w:rPr>
              <w:tab/>
            </w:r>
            <w:r>
              <w:rPr>
                <w:rFonts w:ascii="Calibri" w:eastAsia="Calibri"/>
                <w:spacing w:val="-5"/>
              </w:rPr>
              <w:t>13</w:t>
            </w:r>
          </w:hyperlink>
        </w:p>
        <w:p>
          <w:pPr>
            <w:pStyle w:val="TOC2"/>
            <w:tabs>
              <w:tab w:pos="9741" w:val="right" w:leader="dot"/>
            </w:tabs>
            <w:rPr>
              <w:rFonts w:ascii="Calibri" w:eastAsia="Calibri"/>
            </w:rPr>
          </w:pPr>
          <w:hyperlink w:history="true" w:anchor="_bookmark30">
            <w:r>
              <w:rPr>
                <w:w w:val="95"/>
              </w:rPr>
              <w:t>第</w:t>
            </w:r>
            <w:r>
              <w:rPr>
                <w:w w:val="95"/>
              </w:rPr>
              <w:t>二</w:t>
            </w:r>
            <w:r>
              <w:rPr>
                <w:w w:val="95"/>
              </w:rPr>
              <w:t>十</w:t>
            </w:r>
            <w:r>
              <w:rPr>
                <w:w w:val="95"/>
              </w:rPr>
              <w:t>六条</w:t>
            </w:r>
            <w:r>
              <w:rPr>
                <w:spacing w:val="41"/>
                <w:w w:val="150"/>
              </w:rPr>
              <w:t> </w:t>
            </w:r>
            <w:r>
              <w:rPr>
                <w:w w:val="95"/>
              </w:rPr>
              <w:t>争</w:t>
            </w:r>
            <w:r>
              <w:rPr>
                <w:w w:val="95"/>
              </w:rPr>
              <w:t>议</w:t>
            </w:r>
            <w:r>
              <w:rPr>
                <w:w w:val="95"/>
              </w:rPr>
              <w:t>处</w:t>
            </w:r>
            <w:r>
              <w:rPr>
                <w:w w:val="95"/>
              </w:rPr>
              <w:t>理与法</w:t>
            </w:r>
            <w:r>
              <w:rPr>
                <w:w w:val="95"/>
              </w:rPr>
              <w:t>律</w:t>
            </w:r>
            <w:r>
              <w:rPr>
                <w:w w:val="95"/>
              </w:rPr>
              <w:t>适</w:t>
            </w:r>
            <w:r>
              <w:rPr>
                <w:spacing w:val="-10"/>
                <w:w w:val="95"/>
              </w:rPr>
              <w:t>用</w:t>
            </w:r>
            <w:r>
              <w:rPr>
                <w:rFonts w:ascii="Times New Roman" w:eastAsia="Times New Roman"/>
              </w:rPr>
              <w:tab/>
            </w:r>
            <w:r>
              <w:rPr>
                <w:rFonts w:ascii="Calibri" w:eastAsia="Calibri"/>
                <w:spacing w:val="-5"/>
              </w:rPr>
              <w:t>13</w:t>
            </w:r>
          </w:hyperlink>
        </w:p>
        <w:p>
          <w:pPr>
            <w:pStyle w:val="TOC2"/>
            <w:tabs>
              <w:tab w:pos="9741" w:val="right" w:leader="dot"/>
            </w:tabs>
            <w:spacing w:before="55"/>
            <w:rPr>
              <w:rFonts w:ascii="Calibri" w:eastAsia="Calibri"/>
            </w:rPr>
          </w:pPr>
          <w:hyperlink w:history="true" w:anchor="_bookmark31">
            <w:r>
              <w:rPr>
                <w:w w:val="95"/>
              </w:rPr>
              <w:t>第</w:t>
            </w:r>
            <w:r>
              <w:rPr>
                <w:w w:val="95"/>
              </w:rPr>
              <w:t>二</w:t>
            </w:r>
            <w:r>
              <w:rPr>
                <w:w w:val="95"/>
              </w:rPr>
              <w:t>十</w:t>
            </w:r>
            <w:r>
              <w:rPr>
                <w:w w:val="95"/>
              </w:rPr>
              <w:t>七条</w:t>
            </w:r>
            <w:r>
              <w:rPr>
                <w:spacing w:val="47"/>
              </w:rPr>
              <w:t> </w:t>
            </w:r>
            <w:r>
              <w:rPr>
                <w:w w:val="95"/>
              </w:rPr>
              <w:t>诉</w:t>
            </w:r>
            <w:r>
              <w:rPr>
                <w:w w:val="95"/>
              </w:rPr>
              <w:t>讼</w:t>
            </w:r>
            <w:r>
              <w:rPr>
                <w:w w:val="95"/>
              </w:rPr>
              <w:t>时</w:t>
            </w:r>
            <w:r>
              <w:rPr>
                <w:spacing w:val="-10"/>
                <w:w w:val="95"/>
              </w:rPr>
              <w:t>效</w:t>
            </w:r>
            <w:r>
              <w:rPr>
                <w:rFonts w:ascii="Times New Roman" w:eastAsia="Times New Roman"/>
              </w:rPr>
              <w:tab/>
            </w:r>
            <w:r>
              <w:rPr>
                <w:rFonts w:ascii="Calibri" w:eastAsia="Calibri"/>
                <w:spacing w:val="-5"/>
              </w:rPr>
              <w:t>13</w:t>
            </w:r>
          </w:hyperlink>
        </w:p>
        <w:p>
          <w:pPr>
            <w:pStyle w:val="TOC2"/>
            <w:tabs>
              <w:tab w:pos="9741" w:val="right" w:leader="dot"/>
            </w:tabs>
            <w:rPr>
              <w:rFonts w:ascii="Calibri" w:eastAsia="Calibri"/>
            </w:rPr>
          </w:pPr>
          <w:hyperlink w:history="true" w:anchor="_bookmark32">
            <w:r>
              <w:rPr>
                <w:w w:val="95"/>
              </w:rPr>
              <w:t>第</w:t>
            </w:r>
            <w:r>
              <w:rPr>
                <w:w w:val="95"/>
              </w:rPr>
              <w:t>二</w:t>
            </w:r>
            <w:r>
              <w:rPr>
                <w:w w:val="95"/>
              </w:rPr>
              <w:t>十</w:t>
            </w:r>
            <w:r>
              <w:rPr>
                <w:w w:val="95"/>
              </w:rPr>
              <w:t>八条</w:t>
            </w:r>
            <w:r>
              <w:rPr>
                <w:spacing w:val="65"/>
              </w:rPr>
              <w:t> </w:t>
            </w:r>
            <w:r>
              <w:rPr>
                <w:w w:val="95"/>
              </w:rPr>
              <w:t>联</w:t>
            </w:r>
            <w:r>
              <w:rPr>
                <w:w w:val="95"/>
              </w:rPr>
              <w:t>系</w:t>
            </w:r>
            <w:r>
              <w:rPr>
                <w:w w:val="95"/>
              </w:rPr>
              <w:t>方</w:t>
            </w:r>
            <w:r>
              <w:rPr>
                <w:w w:val="95"/>
              </w:rPr>
              <w:t>式</w:t>
            </w:r>
            <w:r>
              <w:rPr>
                <w:w w:val="95"/>
              </w:rPr>
              <w:t>变</w:t>
            </w:r>
            <w:r>
              <w:rPr>
                <w:spacing w:val="-10"/>
                <w:w w:val="95"/>
              </w:rPr>
              <w:t>更</w:t>
            </w:r>
            <w:r>
              <w:rPr>
                <w:rFonts w:ascii="Times New Roman" w:eastAsia="Times New Roman"/>
              </w:rPr>
              <w:tab/>
            </w:r>
            <w:r>
              <w:rPr>
                <w:rFonts w:ascii="Calibri" w:eastAsia="Calibri"/>
                <w:spacing w:val="-5"/>
              </w:rPr>
              <w:t>13</w:t>
            </w:r>
          </w:hyperlink>
        </w:p>
        <w:p>
          <w:pPr>
            <w:pStyle w:val="TOC1"/>
            <w:tabs>
              <w:tab w:pos="9626" w:val="right" w:leader="dot"/>
            </w:tabs>
            <w:ind w:right="11"/>
            <w:rPr>
              <w:rFonts w:ascii="Calibri" w:eastAsia="Calibri"/>
            </w:rPr>
          </w:pPr>
          <w:hyperlink w:history="true" w:anchor="_bookmark33">
            <w:r>
              <w:rPr/>
              <w:t>第</w:t>
            </w:r>
            <w:r>
              <w:rPr/>
              <w:t>六</w:t>
            </w:r>
            <w:r>
              <w:rPr/>
              <w:t>部</w:t>
            </w:r>
            <w:r>
              <w:rPr/>
              <w:t>分</w:t>
            </w:r>
            <w:r>
              <w:rPr>
                <w:spacing w:val="142"/>
              </w:rPr>
              <w:t> </w:t>
            </w:r>
            <w:r>
              <w:rPr/>
              <w:t>释</w:t>
            </w:r>
            <w:r>
              <w:rPr>
                <w:spacing w:val="-10"/>
              </w:rPr>
              <w:t>义</w:t>
            </w:r>
            <w:r>
              <w:rPr>
                <w:rFonts w:ascii="Times New Roman" w:eastAsia="Times New Roman"/>
                <w:b w:val="0"/>
              </w:rPr>
              <w:tab/>
            </w:r>
            <w:r>
              <w:rPr>
                <w:rFonts w:ascii="Calibri" w:eastAsia="Calibri"/>
                <w:spacing w:val="-5"/>
              </w:rPr>
              <w:t>13</w:t>
            </w:r>
          </w:hyperlink>
        </w:p>
        <w:p>
          <w:pPr>
            <w:pStyle w:val="TOC2"/>
            <w:tabs>
              <w:tab w:pos="9741" w:val="right" w:leader="dot"/>
            </w:tabs>
            <w:spacing w:before="176"/>
            <w:rPr>
              <w:rFonts w:ascii="Calibri" w:eastAsia="Calibri"/>
            </w:rPr>
          </w:pPr>
          <w:hyperlink w:history="true" w:anchor="_bookmark34">
            <w:r>
              <w:rPr>
                <w:w w:val="95"/>
              </w:rPr>
              <w:t>附</w:t>
            </w:r>
            <w:r>
              <w:rPr>
                <w:w w:val="95"/>
              </w:rPr>
              <w:t>表</w:t>
            </w:r>
            <w:r>
              <w:rPr>
                <w:spacing w:val="-10"/>
                <w:w w:val="95"/>
              </w:rPr>
              <w:t>：</w:t>
            </w:r>
            <w:r>
              <w:rPr>
                <w:rFonts w:ascii="Times New Roman" w:eastAsia="Times New Roman"/>
              </w:rPr>
              <w:tab/>
            </w:r>
            <w:r>
              <w:rPr>
                <w:rFonts w:ascii="Calibri" w:eastAsia="Calibri"/>
                <w:spacing w:val="-5"/>
              </w:rPr>
              <w:t>48</w:t>
            </w:r>
          </w:hyperlink>
        </w:p>
        <w:p>
          <w:pPr/>
          <w:r>
            <w:fldChar w:fldCharType="end"/>
          </w:r>
        </w:p>
      </w:sdtContent>
    </w:sdt>
    <w:p>
      <w:pPr>
        <w:spacing w:after="0"/>
        <w:sectPr>
          <w:pgSz w:w="11910" w:h="16840"/>
          <w:pgMar w:header="0" w:footer="1120" w:top="1060" w:bottom="1400" w:left="1020" w:right="1020"/>
        </w:sectPr>
      </w:pPr>
    </w:p>
    <w:p>
      <w:pPr>
        <w:pStyle w:val="Heading1"/>
        <w:spacing w:before="50"/>
      </w:pPr>
      <w:bookmarkStart w:name="_bookmark0" w:id="1"/>
      <w:bookmarkEnd w:id="1"/>
      <w:r>
        <w:rPr>
          <w:b w:val="0"/>
        </w:rPr>
      </w:r>
      <w:r>
        <w:rPr>
          <w:w w:val="95"/>
        </w:rPr>
        <w:t>第</w:t>
      </w:r>
      <w:r>
        <w:rPr>
          <w:w w:val="95"/>
        </w:rPr>
        <w:t>一</w:t>
      </w:r>
      <w:r>
        <w:rPr>
          <w:spacing w:val="14"/>
          <w:w w:val="95"/>
        </w:rPr>
        <w:t>部分</w:t>
      </w:r>
      <w:r>
        <w:rPr>
          <w:w w:val="95"/>
        </w:rPr>
        <w:t>您</w:t>
      </w:r>
      <w:r>
        <w:rPr>
          <w:w w:val="95"/>
        </w:rPr>
        <w:t>与</w:t>
      </w:r>
      <w:r>
        <w:rPr>
          <w:w w:val="95"/>
        </w:rPr>
        <w:t>我</w:t>
      </w:r>
      <w:r>
        <w:rPr>
          <w:w w:val="95"/>
        </w:rPr>
        <w:t>们</w:t>
      </w:r>
      <w:r>
        <w:rPr>
          <w:w w:val="95"/>
        </w:rPr>
        <w:t>的</w:t>
      </w:r>
      <w:r>
        <w:rPr>
          <w:w w:val="95"/>
        </w:rPr>
        <w:t>合</w:t>
      </w:r>
      <w:r>
        <w:rPr>
          <w:spacing w:val="-10"/>
          <w:w w:val="95"/>
        </w:rPr>
        <w:t>同</w:t>
      </w:r>
    </w:p>
    <w:p>
      <w:pPr>
        <w:pStyle w:val="BodyText"/>
        <w:spacing w:before="4"/>
        <w:rPr>
          <w:b/>
          <w:sz w:val="23"/>
        </w:rPr>
      </w:pPr>
    </w:p>
    <w:p>
      <w:pPr>
        <w:pStyle w:val="Heading2"/>
        <w:spacing w:before="1"/>
        <w:ind w:left="395"/>
        <w:rPr>
          <w:rFonts w:ascii="宋体" w:eastAsia="宋体" w:hint="eastAsia"/>
        </w:rPr>
      </w:pPr>
      <w:bookmarkStart w:name="_bookmark1" w:id="2"/>
      <w:bookmarkEnd w:id="2"/>
      <w:r>
        <w:rPr>
          <w:b w:val="0"/>
        </w:rPr>
      </w:r>
      <w:r>
        <w:rPr>
          <w:rFonts w:ascii="宋体" w:eastAsia="宋体" w:hint="eastAsia"/>
          <w:spacing w:val="-2"/>
        </w:rPr>
        <w:t>第一条 保险合同的构成</w:t>
      </w:r>
    </w:p>
    <w:p>
      <w:pPr>
        <w:pStyle w:val="BodyText"/>
        <w:spacing w:line="319" w:lineRule="auto" w:before="74"/>
        <w:ind w:left="395" w:right="391" w:firstLine="420"/>
      </w:pPr>
      <w:r>
        <w:rPr>
          <w:spacing w:val="-2"/>
        </w:rPr>
        <w:t>本保险合同（</w:t>
      </w:r>
      <w:r>
        <w:rPr>
          <w:spacing w:val="-9"/>
        </w:rPr>
        <w:t>以下简称“本合同”</w:t>
      </w:r>
      <w:r>
        <w:rPr>
          <w:spacing w:val="-59"/>
        </w:rPr>
        <w:t>）</w:t>
      </w:r>
      <w:r>
        <w:rPr>
          <w:spacing w:val="-2"/>
        </w:rPr>
        <w:t>由保险单、保险条款、投保单、投保提示以及与本合同有关</w:t>
      </w:r>
      <w:r>
        <w:rPr>
          <w:spacing w:val="-2"/>
        </w:rPr>
        <w:t>的投保文件、合法有效的声明、批注和其他书面或电子协议共同构成。</w:t>
      </w:r>
    </w:p>
    <w:p>
      <w:pPr>
        <w:pStyle w:val="Heading2"/>
        <w:spacing w:before="138"/>
        <w:ind w:left="395"/>
        <w:rPr>
          <w:rFonts w:ascii="宋体" w:eastAsia="宋体" w:hint="eastAsia"/>
        </w:rPr>
      </w:pPr>
      <w:bookmarkStart w:name="_bookmark2" w:id="3"/>
      <w:bookmarkEnd w:id="3"/>
      <w:r>
        <w:rPr>
          <w:b w:val="0"/>
        </w:rPr>
      </w:r>
      <w:r>
        <w:rPr>
          <w:rFonts w:ascii="宋体" w:eastAsia="宋体" w:hint="eastAsia"/>
          <w:spacing w:val="-3"/>
        </w:rPr>
        <w:t>第二条 投保年龄</w:t>
      </w:r>
    </w:p>
    <w:p>
      <w:pPr>
        <w:pStyle w:val="BodyText"/>
        <w:spacing w:before="72"/>
        <w:ind w:left="816"/>
      </w:pPr>
      <w:r>
        <w:rPr>
          <w:spacing w:val="-6"/>
        </w:rPr>
        <w:t>指投保时被保险人的年龄，投保年龄以</w:t>
      </w:r>
      <w:r>
        <w:rPr>
          <w:b/>
          <w:spacing w:val="-6"/>
        </w:rPr>
        <w:t>周岁</w:t>
      </w:r>
      <w:r>
        <w:rPr>
          <w:spacing w:val="-6"/>
        </w:rPr>
        <w:t>（</w:t>
      </w:r>
      <w:r>
        <w:rPr>
          <w:spacing w:val="-12"/>
        </w:rPr>
        <w:t>见释义 </w:t>
      </w:r>
      <w:r>
        <w:rPr>
          <w:spacing w:val="-6"/>
        </w:rPr>
        <w:t>1）</w:t>
      </w:r>
      <w:r>
        <w:rPr>
          <w:spacing w:val="-8"/>
        </w:rPr>
        <w:t>计算。本合同接受的投保年龄为 </w:t>
      </w:r>
      <w:r>
        <w:rPr>
          <w:spacing w:val="-6"/>
        </w:rPr>
        <w:t>0</w:t>
      </w:r>
      <w:r>
        <w:rPr>
          <w:spacing w:val="-15"/>
        </w:rPr>
        <w:t> 周岁</w:t>
      </w:r>
    </w:p>
    <w:p>
      <w:pPr>
        <w:pStyle w:val="BodyText"/>
        <w:spacing w:before="91"/>
        <w:ind w:left="396"/>
      </w:pPr>
      <w:r>
        <w:rPr>
          <w:spacing w:val="-2"/>
        </w:rPr>
        <w:t>（</w:t>
      </w:r>
      <w:r>
        <w:rPr>
          <w:spacing w:val="-12"/>
        </w:rPr>
        <w:t>指出生满 </w:t>
      </w:r>
      <w:r>
        <w:rPr>
          <w:spacing w:val="-2"/>
        </w:rPr>
        <w:t>30</w:t>
      </w:r>
      <w:r>
        <w:rPr>
          <w:spacing w:val="-9"/>
        </w:rPr>
        <w:t> 日且已健康出院的婴儿</w:t>
      </w:r>
      <w:r>
        <w:rPr>
          <w:spacing w:val="-2"/>
        </w:rPr>
        <w:t>）</w:t>
      </w:r>
      <w:r>
        <w:rPr>
          <w:spacing w:val="-25"/>
        </w:rPr>
        <w:t>至 </w:t>
      </w:r>
      <w:r>
        <w:rPr>
          <w:spacing w:val="-2"/>
        </w:rPr>
        <w:t>55</w:t>
      </w:r>
      <w:r>
        <w:rPr>
          <w:spacing w:val="-16"/>
        </w:rPr>
        <w:t> 周岁。</w:t>
      </w:r>
    </w:p>
    <w:p>
      <w:pPr>
        <w:pStyle w:val="BodyText"/>
        <w:spacing w:before="8"/>
        <w:rPr>
          <w:sz w:val="17"/>
        </w:rPr>
      </w:pPr>
    </w:p>
    <w:p>
      <w:pPr>
        <w:pStyle w:val="Heading2"/>
        <w:spacing w:before="0"/>
        <w:ind w:left="395"/>
        <w:rPr>
          <w:rFonts w:ascii="宋体" w:eastAsia="宋体" w:hint="eastAsia"/>
        </w:rPr>
      </w:pPr>
      <w:bookmarkStart w:name="_bookmark3" w:id="4"/>
      <w:bookmarkEnd w:id="4"/>
      <w:r>
        <w:rPr>
          <w:b w:val="0"/>
        </w:rPr>
      </w:r>
      <w:r>
        <w:rPr>
          <w:rFonts w:ascii="宋体" w:eastAsia="宋体" w:hint="eastAsia"/>
          <w:spacing w:val="-2"/>
        </w:rPr>
        <w:t>第三条 保险合同的成立与生效</w:t>
      </w:r>
    </w:p>
    <w:p>
      <w:pPr>
        <w:pStyle w:val="BodyText"/>
        <w:spacing w:before="74"/>
        <w:ind w:left="816"/>
      </w:pPr>
      <w:r>
        <w:rPr>
          <w:spacing w:val="-3"/>
        </w:rPr>
        <w:t>您向我们提出投保申请且我们同意承保，本合同成立。</w:t>
      </w:r>
    </w:p>
    <w:p>
      <w:pPr>
        <w:pStyle w:val="BodyText"/>
        <w:spacing w:line="321" w:lineRule="auto" w:before="88"/>
        <w:ind w:left="396" w:right="396" w:firstLine="419"/>
      </w:pPr>
      <w:r>
        <w:rPr>
          <w:spacing w:val="-2"/>
        </w:rPr>
        <w:t>自本合同成立且我们收取保险费并签发保险单后，本合同生效。本合同的生效时间以保险单载</w:t>
      </w:r>
      <w:r>
        <w:rPr>
          <w:spacing w:val="-2"/>
        </w:rPr>
        <w:t>明的日期为准，我们自本合同生效日的零时起开始承担保险责任。</w:t>
      </w:r>
    </w:p>
    <w:p>
      <w:pPr>
        <w:spacing w:line="321" w:lineRule="auto" w:before="0"/>
        <w:ind w:left="396" w:right="396" w:firstLine="419"/>
        <w:jc w:val="left"/>
        <w:rPr>
          <w:sz w:val="21"/>
        </w:rPr>
      </w:pPr>
      <w:r>
        <w:rPr>
          <w:spacing w:val="-2"/>
          <w:sz w:val="21"/>
        </w:rPr>
        <w:t>本合同的</w:t>
      </w:r>
      <w:r>
        <w:rPr>
          <w:b/>
          <w:spacing w:val="-2"/>
          <w:sz w:val="21"/>
        </w:rPr>
        <w:t>保险单周年日</w:t>
      </w:r>
      <w:r>
        <w:rPr>
          <w:spacing w:val="-2"/>
          <w:sz w:val="21"/>
        </w:rPr>
        <w:t>（</w:t>
      </w:r>
      <w:r>
        <w:rPr>
          <w:spacing w:val="-15"/>
          <w:sz w:val="21"/>
        </w:rPr>
        <w:t>见释义 </w:t>
      </w:r>
      <w:r>
        <w:rPr>
          <w:sz w:val="21"/>
        </w:rPr>
        <w:t>2</w:t>
      </w:r>
      <w:r>
        <w:rPr>
          <w:spacing w:val="-108"/>
          <w:sz w:val="21"/>
        </w:rPr>
        <w:t>）</w:t>
      </w:r>
      <w:r>
        <w:rPr>
          <w:spacing w:val="-2"/>
          <w:sz w:val="21"/>
        </w:rPr>
        <w:t>、</w:t>
      </w:r>
      <w:r>
        <w:rPr>
          <w:b/>
          <w:spacing w:val="-2"/>
          <w:sz w:val="21"/>
        </w:rPr>
        <w:t>保险单年度</w:t>
      </w:r>
      <w:r>
        <w:rPr>
          <w:spacing w:val="-2"/>
          <w:sz w:val="21"/>
        </w:rPr>
        <w:t>（</w:t>
      </w:r>
      <w:r>
        <w:rPr>
          <w:spacing w:val="-15"/>
          <w:sz w:val="21"/>
        </w:rPr>
        <w:t>见释义 </w:t>
      </w:r>
      <w:r>
        <w:rPr>
          <w:sz w:val="21"/>
        </w:rPr>
        <w:t>3</w:t>
      </w:r>
      <w:r>
        <w:rPr>
          <w:spacing w:val="-108"/>
          <w:sz w:val="21"/>
        </w:rPr>
        <w:t>）</w:t>
      </w:r>
      <w:r>
        <w:rPr>
          <w:spacing w:val="-2"/>
          <w:sz w:val="21"/>
        </w:rPr>
        <w:t>、保险单月份、</w:t>
      </w:r>
      <w:r>
        <w:rPr>
          <w:b/>
          <w:spacing w:val="-2"/>
          <w:sz w:val="21"/>
        </w:rPr>
        <w:t>保险费到期日</w:t>
      </w:r>
      <w:r>
        <w:rPr>
          <w:spacing w:val="-2"/>
          <w:sz w:val="21"/>
        </w:rPr>
        <w:t>（见</w:t>
      </w:r>
      <w:r>
        <w:rPr>
          <w:spacing w:val="-15"/>
          <w:sz w:val="21"/>
        </w:rPr>
        <w:t>释义 </w:t>
      </w:r>
      <w:r>
        <w:rPr>
          <w:sz w:val="21"/>
        </w:rPr>
        <w:t>4）和保险单满期日均以本合同生效日为基础计算。</w:t>
      </w:r>
    </w:p>
    <w:p>
      <w:pPr>
        <w:pStyle w:val="Heading2"/>
        <w:spacing w:before="130"/>
        <w:ind w:left="395"/>
        <w:rPr>
          <w:rFonts w:ascii="宋体" w:eastAsia="宋体" w:hint="eastAsia"/>
        </w:rPr>
      </w:pPr>
      <w:bookmarkStart w:name="_bookmark4" w:id="5"/>
      <w:bookmarkEnd w:id="5"/>
      <w:r>
        <w:rPr>
          <w:b w:val="0"/>
        </w:rPr>
      </w:r>
      <w:r>
        <w:rPr>
          <w:rFonts w:ascii="宋体" w:eastAsia="宋体" w:hint="eastAsia"/>
          <w:spacing w:val="-3"/>
        </w:rPr>
        <w:t>第四条 保险期间</w:t>
      </w:r>
    </w:p>
    <w:p>
      <w:pPr>
        <w:pStyle w:val="BodyText"/>
        <w:spacing w:before="74"/>
        <w:ind w:left="816"/>
      </w:pPr>
      <w:r>
        <w:rPr>
          <w:spacing w:val="-3"/>
        </w:rPr>
        <w:t>本合同的保险期间为终身，自本合同生效日零时起计算。</w:t>
      </w:r>
    </w:p>
    <w:p>
      <w:pPr>
        <w:pStyle w:val="BodyText"/>
        <w:spacing w:before="8"/>
        <w:rPr>
          <w:sz w:val="17"/>
        </w:rPr>
      </w:pPr>
    </w:p>
    <w:p>
      <w:pPr>
        <w:pStyle w:val="Heading2"/>
        <w:spacing w:before="0"/>
        <w:ind w:left="395"/>
        <w:rPr>
          <w:rFonts w:ascii="宋体" w:eastAsia="宋体" w:hint="eastAsia"/>
        </w:rPr>
      </w:pPr>
      <w:bookmarkStart w:name="_bookmark5" w:id="6"/>
      <w:bookmarkEnd w:id="6"/>
      <w:r>
        <w:rPr>
          <w:b w:val="0"/>
        </w:rPr>
      </w:r>
      <w:r>
        <w:rPr>
          <w:rFonts w:ascii="宋体" w:eastAsia="宋体" w:hint="eastAsia"/>
          <w:spacing w:val="-2"/>
        </w:rPr>
        <w:t>第五条 保险费的支付</w:t>
      </w:r>
    </w:p>
    <w:p>
      <w:pPr>
        <w:pStyle w:val="BodyText"/>
        <w:spacing w:line="319" w:lineRule="auto" w:before="91"/>
        <w:ind w:left="816" w:right="396"/>
      </w:pPr>
      <w:r>
        <w:rPr>
          <w:spacing w:val="-2"/>
        </w:rPr>
        <w:t>本合同保险费的支付方式为一次交清或分期支付，由您和我们约定，并在保险合同中载明。</w:t>
      </w:r>
      <w:r>
        <w:rPr>
          <w:spacing w:val="80"/>
        </w:rPr>
        <w:t> </w:t>
      </w:r>
      <w:r>
        <w:rPr>
          <w:spacing w:val="-2"/>
        </w:rPr>
        <w:t>如果您选择分期支付保险费，在支付首期保险费以后，您应按照约定在每个保险费到期日向我</w:t>
      </w:r>
    </w:p>
    <w:p>
      <w:pPr>
        <w:pStyle w:val="BodyText"/>
        <w:spacing w:before="2"/>
        <w:ind w:left="395"/>
      </w:pPr>
      <w:r>
        <w:rPr>
          <w:spacing w:val="-3"/>
        </w:rPr>
        <w:t>们支付续期保险费。</w:t>
      </w:r>
    </w:p>
    <w:p>
      <w:pPr>
        <w:pStyle w:val="BodyText"/>
        <w:spacing w:before="3"/>
        <w:rPr>
          <w:sz w:val="16"/>
        </w:rPr>
      </w:pPr>
    </w:p>
    <w:p>
      <w:pPr>
        <w:pStyle w:val="Heading2"/>
        <w:spacing w:before="0"/>
        <w:ind w:left="395"/>
        <w:rPr>
          <w:rFonts w:ascii="宋体" w:eastAsia="宋体" w:hint="eastAsia"/>
        </w:rPr>
      </w:pPr>
      <w:bookmarkStart w:name="_bookmark6" w:id="7"/>
      <w:bookmarkEnd w:id="7"/>
      <w:r>
        <w:rPr>
          <w:b w:val="0"/>
        </w:rPr>
      </w:r>
      <w:r>
        <w:rPr>
          <w:rFonts w:ascii="宋体" w:eastAsia="宋体" w:hint="eastAsia"/>
          <w:spacing w:val="-2"/>
        </w:rPr>
        <w:t>第六条 基本保险金额</w:t>
      </w:r>
    </w:p>
    <w:p>
      <w:pPr>
        <w:pStyle w:val="BodyText"/>
        <w:spacing w:before="74"/>
        <w:ind w:left="816"/>
      </w:pPr>
      <w:r>
        <w:rPr>
          <w:spacing w:val="-3"/>
        </w:rPr>
        <w:t>本合同的基本保险金额由您在投保时与我们约定，并在保险单上载明。</w:t>
      </w:r>
    </w:p>
    <w:p>
      <w:pPr>
        <w:pStyle w:val="BodyText"/>
        <w:spacing w:before="8"/>
        <w:rPr>
          <w:sz w:val="17"/>
        </w:rPr>
      </w:pPr>
    </w:p>
    <w:p>
      <w:pPr>
        <w:pStyle w:val="Heading2"/>
        <w:spacing w:before="0"/>
        <w:ind w:left="395"/>
        <w:rPr>
          <w:rFonts w:ascii="宋体" w:eastAsia="宋体" w:hint="eastAsia"/>
        </w:rPr>
      </w:pPr>
      <w:bookmarkStart w:name="_bookmark7" w:id="8"/>
      <w:bookmarkEnd w:id="8"/>
      <w:r>
        <w:rPr>
          <w:b w:val="0"/>
        </w:rPr>
      </w:r>
      <w:r>
        <w:rPr>
          <w:rFonts w:ascii="宋体" w:eastAsia="宋体" w:hint="eastAsia"/>
          <w:spacing w:val="-2"/>
        </w:rPr>
        <w:t>第七条 保险合同的中止</w:t>
      </w:r>
    </w:p>
    <w:p>
      <w:pPr>
        <w:pStyle w:val="BodyText"/>
        <w:spacing w:before="74"/>
        <w:ind w:left="816"/>
      </w:pPr>
      <w:r>
        <w:rPr>
          <w:spacing w:val="-3"/>
        </w:rPr>
        <w:t>发生下列情况之一时，本合同中止：</w:t>
      </w:r>
    </w:p>
    <w:p>
      <w:pPr>
        <w:pStyle w:val="BodyText"/>
        <w:spacing w:line="319" w:lineRule="auto" w:before="105"/>
        <w:ind w:left="816" w:right="1845" w:hanging="1"/>
      </w:pPr>
      <w:r>
        <w:rPr>
          <w:spacing w:val="-5"/>
        </w:rPr>
        <w:t>一、 保险单借款后，本合同</w:t>
      </w:r>
      <w:r>
        <w:rPr>
          <w:b/>
        </w:rPr>
        <w:t>现金价值</w:t>
      </w:r>
      <w:r>
        <w:rPr/>
        <w:t>（</w:t>
      </w:r>
      <w:r>
        <w:rPr>
          <w:spacing w:val="-8"/>
        </w:rPr>
        <w:t>见释义 </w:t>
      </w:r>
      <w:r>
        <w:rPr/>
        <w:t>5）</w:t>
      </w:r>
      <w:r>
        <w:rPr>
          <w:b/>
        </w:rPr>
        <w:t>净额</w:t>
      </w:r>
      <w:r>
        <w:rPr/>
        <w:t>（</w:t>
      </w:r>
      <w:r>
        <w:rPr>
          <w:spacing w:val="-8"/>
        </w:rPr>
        <w:t>见释义 </w:t>
      </w:r>
      <w:r>
        <w:rPr/>
        <w:t>6）为零时；</w:t>
      </w:r>
      <w:r>
        <w:rPr>
          <w:spacing w:val="-8"/>
        </w:rPr>
        <w:t>二、 若您选择分期支付保险费，且在宽限期结束时，您仍未付清当期保险费；</w:t>
      </w:r>
      <w:r>
        <w:rPr>
          <w:spacing w:val="-6"/>
        </w:rPr>
        <w:t>三、 本合同条款所列其他中止情形。</w:t>
      </w:r>
    </w:p>
    <w:p>
      <w:pPr>
        <w:spacing w:line="291" w:lineRule="exact" w:before="0"/>
        <w:ind w:left="816" w:right="0" w:firstLine="0"/>
        <w:jc w:val="left"/>
        <w:rPr>
          <w:rFonts w:ascii="黑体" w:eastAsia="黑体"/>
          <w:sz w:val="24"/>
        </w:rPr>
      </w:pPr>
      <w:r>
        <w:rPr>
          <w:rFonts w:ascii="黑体" w:eastAsia="黑体"/>
          <w:spacing w:val="-1"/>
          <w:sz w:val="24"/>
        </w:rPr>
        <w:t>特别提示和说明：在本合同效力中止期间，我们不承担保险责任。</w:t>
      </w:r>
    </w:p>
    <w:p>
      <w:pPr>
        <w:pStyle w:val="Heading2"/>
        <w:spacing w:before="191"/>
        <w:ind w:left="395"/>
        <w:rPr>
          <w:rFonts w:ascii="宋体" w:eastAsia="宋体" w:hint="eastAsia"/>
        </w:rPr>
      </w:pPr>
      <w:bookmarkStart w:name="_bookmark8" w:id="9"/>
      <w:bookmarkEnd w:id="9"/>
      <w:r>
        <w:rPr>
          <w:b w:val="0"/>
        </w:rPr>
      </w:r>
      <w:r>
        <w:rPr>
          <w:rFonts w:ascii="宋体" w:eastAsia="宋体" w:hint="eastAsia"/>
          <w:spacing w:val="-2"/>
        </w:rPr>
        <w:t>第八条 保险合同的终止</w:t>
      </w:r>
    </w:p>
    <w:p>
      <w:pPr>
        <w:pStyle w:val="BodyText"/>
        <w:spacing w:before="91"/>
        <w:ind w:left="816"/>
      </w:pPr>
      <w:r>
        <w:rPr>
          <w:spacing w:val="-3"/>
        </w:rPr>
        <w:t>发生下列情形之一时，本合同终止：</w:t>
      </w:r>
    </w:p>
    <w:p>
      <w:pPr>
        <w:pStyle w:val="BodyText"/>
        <w:spacing w:line="321" w:lineRule="auto" w:before="88"/>
        <w:ind w:left="816" w:right="3110"/>
      </w:pPr>
      <w:r>
        <w:rPr>
          <w:spacing w:val="-5"/>
        </w:rPr>
        <w:t>一、 被保险人身故或达到本合同定义的</w:t>
      </w:r>
      <w:r>
        <w:rPr>
          <w:b/>
        </w:rPr>
        <w:t>高度残疾</w:t>
      </w:r>
      <w:r>
        <w:rPr/>
        <w:t>（</w:t>
      </w:r>
      <w:r>
        <w:rPr>
          <w:spacing w:val="-14"/>
        </w:rPr>
        <w:t>见释义 </w:t>
      </w:r>
      <w:r>
        <w:rPr/>
        <w:t>7）；</w:t>
      </w:r>
      <w:r>
        <w:rPr/>
        <w:t>二、 被保险人已达到</w:t>
      </w:r>
      <w:r>
        <w:rPr>
          <w:b/>
        </w:rPr>
        <w:t>疾病终末期阶段</w:t>
      </w:r>
      <w:r>
        <w:rPr/>
        <w:t>（</w:t>
      </w:r>
      <w:r>
        <w:rPr>
          <w:spacing w:val="-4"/>
        </w:rPr>
        <w:t>见释义 </w:t>
      </w:r>
      <w:r>
        <w:rPr/>
        <w:t>8）；</w:t>
      </w:r>
    </w:p>
    <w:p>
      <w:pPr>
        <w:pStyle w:val="BodyText"/>
        <w:spacing w:line="266" w:lineRule="exact" w:before="0"/>
        <w:ind w:left="816"/>
      </w:pPr>
      <w:r>
        <w:rPr>
          <w:spacing w:val="-5"/>
        </w:rPr>
        <w:t>三、 您申请解除本合同；</w:t>
      </w:r>
    </w:p>
    <w:p>
      <w:pPr>
        <w:pStyle w:val="BodyText"/>
        <w:spacing w:line="319" w:lineRule="auto" w:before="91"/>
        <w:ind w:left="816" w:right="289"/>
      </w:pPr>
      <w:r>
        <w:rPr>
          <w:spacing w:val="-7"/>
        </w:rPr>
        <w:t>四、 因本合同条款所列情形而效力中止，且在 </w:t>
      </w:r>
      <w:r>
        <w:rPr/>
        <w:t>2</w:t>
      </w:r>
      <w:r>
        <w:rPr>
          <w:spacing w:val="-6"/>
        </w:rPr>
        <w:t> 年内未按【合同效力的恢复】条款办理复效；</w:t>
      </w:r>
      <w:r>
        <w:rPr/>
        <w:t>五、 本合同条款所列其他终止情形。</w:t>
      </w:r>
    </w:p>
    <w:p>
      <w:pPr>
        <w:spacing w:after="0" w:line="319" w:lineRule="auto"/>
        <w:sectPr>
          <w:pgSz w:w="11910" w:h="16840"/>
          <w:pgMar w:header="0" w:footer="1120" w:top="1480" w:bottom="1300" w:left="1020" w:right="1020"/>
        </w:sectPr>
      </w:pPr>
    </w:p>
    <w:p>
      <w:pPr>
        <w:pStyle w:val="Heading1"/>
        <w:spacing w:before="50"/>
      </w:pPr>
      <w:bookmarkStart w:name="_bookmark9" w:id="10"/>
      <w:bookmarkEnd w:id="10"/>
      <w:r>
        <w:rPr>
          <w:b w:val="0"/>
        </w:rPr>
      </w:r>
      <w:r>
        <w:rPr>
          <w:w w:val="95"/>
        </w:rPr>
        <w:t>第</w:t>
      </w:r>
      <w:r>
        <w:rPr>
          <w:w w:val="95"/>
        </w:rPr>
        <w:t>二</w:t>
      </w:r>
      <w:r>
        <w:rPr>
          <w:spacing w:val="14"/>
          <w:w w:val="95"/>
        </w:rPr>
        <w:t>部分</w:t>
      </w:r>
      <w:r>
        <w:rPr>
          <w:w w:val="95"/>
        </w:rPr>
        <w:t>我</w:t>
      </w:r>
      <w:r>
        <w:rPr>
          <w:w w:val="95"/>
        </w:rPr>
        <w:t>们</w:t>
      </w:r>
      <w:r>
        <w:rPr>
          <w:w w:val="95"/>
        </w:rPr>
        <w:t>提</w:t>
      </w:r>
      <w:r>
        <w:rPr>
          <w:w w:val="95"/>
        </w:rPr>
        <w:t>供</w:t>
      </w:r>
      <w:r>
        <w:rPr>
          <w:w w:val="95"/>
        </w:rPr>
        <w:t>的</w:t>
      </w:r>
      <w:r>
        <w:rPr>
          <w:w w:val="95"/>
        </w:rPr>
        <w:t>保</w:t>
      </w:r>
      <w:r>
        <w:rPr>
          <w:spacing w:val="-10"/>
          <w:w w:val="95"/>
        </w:rPr>
        <w:t>障</w:t>
      </w:r>
    </w:p>
    <w:p>
      <w:pPr>
        <w:pStyle w:val="BodyText"/>
        <w:spacing w:before="4"/>
        <w:rPr>
          <w:b/>
          <w:sz w:val="23"/>
        </w:rPr>
      </w:pPr>
    </w:p>
    <w:p>
      <w:pPr>
        <w:pStyle w:val="Heading2"/>
        <w:spacing w:before="1"/>
        <w:ind w:left="395"/>
        <w:rPr>
          <w:rFonts w:ascii="宋体" w:eastAsia="宋体" w:hint="eastAsia"/>
        </w:rPr>
      </w:pPr>
      <w:bookmarkStart w:name="_bookmark10" w:id="11"/>
      <w:bookmarkEnd w:id="11"/>
      <w:r>
        <w:rPr>
          <w:b w:val="0"/>
        </w:rPr>
      </w:r>
      <w:r>
        <w:rPr>
          <w:rFonts w:ascii="宋体" w:eastAsia="宋体" w:hint="eastAsia"/>
          <w:spacing w:val="-3"/>
        </w:rPr>
        <w:t>第九条 保险责任</w:t>
      </w:r>
    </w:p>
    <w:p>
      <w:pPr>
        <w:pStyle w:val="BodyText"/>
        <w:spacing w:line="319" w:lineRule="auto" w:before="74"/>
        <w:ind w:left="395" w:right="430" w:firstLine="422"/>
      </w:pPr>
      <w:r>
        <w:rPr>
          <w:spacing w:val="-2"/>
        </w:rPr>
        <w:t>本合同的保险责任分为必选责任和可选责任，必选责任为您在投保时必须选择的部分，可选责</w:t>
      </w:r>
      <w:r>
        <w:rPr>
          <w:spacing w:val="-2"/>
        </w:rPr>
        <w:t>任由您选择的保险计划确认。</w:t>
      </w:r>
    </w:p>
    <w:p>
      <w:pPr>
        <w:pStyle w:val="BodyText"/>
        <w:spacing w:line="319" w:lineRule="auto" w:before="2"/>
        <w:ind w:left="818" w:right="1478"/>
      </w:pPr>
      <w:r>
        <w:rPr>
          <w:spacing w:val="-9"/>
        </w:rPr>
        <w:t>本合同包含 </w:t>
      </w:r>
      <w:r>
        <w:rPr/>
        <w:t>8</w:t>
      </w:r>
      <w:r>
        <w:rPr>
          <w:spacing w:val="-8"/>
        </w:rPr>
        <w:t> 个保险计划，您在投保时可选择其中一个保险计划，具体详见附表。</w:t>
      </w:r>
      <w:r>
        <w:rPr>
          <w:spacing w:val="-2"/>
        </w:rPr>
        <w:t>在本合同有效期内，我们将按照您在投保时所选择的保险计划，承担保险责任。</w:t>
      </w:r>
    </w:p>
    <w:p>
      <w:pPr>
        <w:pStyle w:val="BodyText"/>
        <w:spacing w:before="4"/>
        <w:rPr>
          <w:sz w:val="23"/>
        </w:rPr>
      </w:pPr>
    </w:p>
    <w:p>
      <w:pPr>
        <w:spacing w:before="0"/>
        <w:ind w:left="395" w:right="0" w:firstLine="0"/>
        <w:jc w:val="left"/>
        <w:rPr>
          <w:b/>
          <w:sz w:val="21"/>
        </w:rPr>
      </w:pPr>
      <w:r>
        <w:rPr>
          <w:b/>
          <w:spacing w:val="-2"/>
          <w:sz w:val="21"/>
        </w:rPr>
        <w:t>一、必选责任</w:t>
      </w:r>
    </w:p>
    <w:p>
      <w:pPr>
        <w:pStyle w:val="BodyText"/>
        <w:spacing w:before="72"/>
        <w:ind w:left="816"/>
      </w:pPr>
      <w:r>
        <w:rPr>
          <w:spacing w:val="-3"/>
        </w:rPr>
        <w:t>在本合同有效期内，我们承担下列保险责任：</w:t>
      </w:r>
    </w:p>
    <w:p>
      <w:pPr>
        <w:spacing w:before="108"/>
        <w:ind w:left="816" w:right="0" w:firstLine="0"/>
        <w:jc w:val="left"/>
        <w:rPr>
          <w:rFonts w:ascii="黑体" w:eastAsia="黑体" w:hint="eastAsia"/>
          <w:b/>
          <w:sz w:val="21"/>
        </w:rPr>
      </w:pPr>
      <w:r>
        <w:rPr>
          <w:rFonts w:ascii="黑体" w:eastAsia="黑体" w:hint="eastAsia"/>
          <w:b/>
          <w:spacing w:val="-3"/>
          <w:sz w:val="21"/>
        </w:rPr>
        <w:t>(一) 首次重大疾病保险金</w:t>
      </w:r>
    </w:p>
    <w:p>
      <w:pPr>
        <w:pStyle w:val="BodyText"/>
        <w:spacing w:line="319" w:lineRule="auto" w:before="72"/>
        <w:ind w:left="396" w:right="391" w:firstLine="419"/>
        <w:jc w:val="both"/>
      </w:pPr>
      <w:r>
        <w:rPr>
          <w:w w:val="95"/>
        </w:rPr>
        <w:t>若</w:t>
      </w:r>
      <w:r>
        <w:rPr>
          <w:w w:val="95"/>
        </w:rPr>
        <w:t>被</w:t>
      </w:r>
      <w:r>
        <w:rPr>
          <w:w w:val="95"/>
        </w:rPr>
        <w:t>保险人于本合同生效（</w:t>
      </w:r>
      <w:r>
        <w:rPr>
          <w:w w:val="95"/>
        </w:rPr>
        <w:t>或</w:t>
      </w:r>
      <w:r>
        <w:rPr>
          <w:w w:val="95"/>
        </w:rPr>
        <w:t>最后复效）之日起</w:t>
      </w:r>
      <w:r>
        <w:rPr>
          <w:spacing w:val="40"/>
        </w:rPr>
        <w:t> </w:t>
      </w:r>
      <w:r>
        <w:rPr>
          <w:w w:val="95"/>
        </w:rPr>
        <w:t>90</w:t>
      </w:r>
      <w:r>
        <w:rPr>
          <w:spacing w:val="35"/>
        </w:rPr>
        <w:t> </w:t>
      </w:r>
      <w:r>
        <w:rPr>
          <w:w w:val="95"/>
        </w:rPr>
        <w:t>日</w:t>
      </w:r>
      <w:r>
        <w:rPr>
          <w:w w:val="95"/>
        </w:rPr>
        <w:t>内</w:t>
      </w:r>
      <w:r>
        <w:rPr>
          <w:w w:val="95"/>
        </w:rPr>
        <w:t>（含当日）因</w:t>
      </w:r>
      <w:r>
        <w:rPr>
          <w:b/>
          <w:w w:val="95"/>
        </w:rPr>
        <w:t>意</w:t>
      </w:r>
      <w:r>
        <w:rPr>
          <w:b/>
          <w:w w:val="95"/>
        </w:rPr>
        <w:t>外</w:t>
      </w:r>
      <w:r>
        <w:rPr>
          <w:b/>
          <w:w w:val="95"/>
        </w:rPr>
        <w:t>伤</w:t>
      </w:r>
      <w:r>
        <w:rPr>
          <w:b/>
          <w:w w:val="95"/>
        </w:rPr>
        <w:t>害</w:t>
      </w:r>
      <w:r>
        <w:rPr>
          <w:w w:val="95"/>
        </w:rPr>
        <w:t>（见</w:t>
      </w:r>
      <w:r>
        <w:rPr>
          <w:w w:val="95"/>
        </w:rPr>
        <w:t>释</w:t>
      </w:r>
      <w:r>
        <w:rPr>
          <w:w w:val="95"/>
        </w:rPr>
        <w:t>义</w:t>
      </w:r>
      <w:r>
        <w:rPr>
          <w:spacing w:val="40"/>
        </w:rPr>
        <w:t> </w:t>
      </w:r>
      <w:r>
        <w:rPr>
          <w:w w:val="95"/>
        </w:rPr>
        <w:t>9）</w:t>
      </w:r>
      <w:r>
        <w:rPr>
          <w:w w:val="95"/>
        </w:rPr>
        <w:t>以</w:t>
      </w:r>
      <w:r>
        <w:rPr>
          <w:spacing w:val="-13"/>
        </w:rPr>
        <w:t>外的原因，确诊</w:t>
      </w:r>
      <w:r>
        <w:rPr>
          <w:b/>
          <w:spacing w:val="-17"/>
        </w:rPr>
        <w:t>首次患有</w:t>
      </w:r>
      <w:r>
        <w:rPr>
          <w:spacing w:val="-4"/>
        </w:rPr>
        <w:t>（</w:t>
      </w:r>
      <w:r>
        <w:rPr>
          <w:spacing w:val="-9"/>
        </w:rPr>
        <w:t>见释义 </w:t>
      </w:r>
      <w:r>
        <w:rPr>
          <w:spacing w:val="-4"/>
        </w:rPr>
        <w:t>10）本合同所定义的</w:t>
      </w:r>
      <w:r>
        <w:rPr>
          <w:b/>
          <w:spacing w:val="-17"/>
        </w:rPr>
        <w:t>重大疾病</w:t>
      </w:r>
      <w:r>
        <w:rPr>
          <w:spacing w:val="-4"/>
        </w:rPr>
        <w:t>（</w:t>
      </w:r>
      <w:r>
        <w:rPr>
          <w:spacing w:val="-9"/>
        </w:rPr>
        <w:t>见释义 </w:t>
      </w:r>
      <w:r>
        <w:rPr>
          <w:spacing w:val="-4"/>
        </w:rPr>
        <w:t>11）中的任意一种或多种，</w:t>
      </w:r>
      <w:r>
        <w:rPr>
          <w:spacing w:val="-2"/>
        </w:rPr>
        <w:t>我们将按本合同已交保险费向疾病保险金受益人给付首次重大疾病保险金，本合同终止。</w:t>
      </w:r>
    </w:p>
    <w:p>
      <w:pPr>
        <w:pStyle w:val="BodyText"/>
        <w:spacing w:line="319" w:lineRule="auto" w:before="4"/>
        <w:ind w:left="396" w:right="393" w:firstLine="419"/>
        <w:jc w:val="both"/>
      </w:pPr>
      <w:r>
        <w:rPr>
          <w:spacing w:val="-16"/>
        </w:rPr>
        <w:t>若被保险人因意外伤害，或于本合同生效</w:t>
      </w:r>
      <w:r>
        <w:rPr>
          <w:spacing w:val="-2"/>
        </w:rPr>
        <w:t>（或最后复效</w:t>
      </w:r>
      <w:r>
        <w:rPr>
          <w:spacing w:val="-92"/>
        </w:rPr>
        <w:t>）</w:t>
      </w:r>
      <w:r>
        <w:rPr>
          <w:spacing w:val="-8"/>
        </w:rPr>
        <w:t>之日起 </w:t>
      </w:r>
      <w:r>
        <w:rPr>
          <w:spacing w:val="-2"/>
        </w:rPr>
        <w:t>90</w:t>
      </w:r>
      <w:r>
        <w:rPr>
          <w:spacing w:val="-7"/>
        </w:rPr>
        <w:t> 日后因意外伤害以外的原因，</w:t>
      </w:r>
      <w:r>
        <w:rPr>
          <w:spacing w:val="-2"/>
        </w:rPr>
        <w:t>确诊首次患有本合同所定义的重大疾病中的任意一种或多种，我们将按以下三项金额中的最大者向</w:t>
      </w:r>
      <w:r>
        <w:rPr>
          <w:spacing w:val="-2"/>
        </w:rPr>
        <w:t>疾病保险金受益人给付首次重大疾病保险金：</w:t>
      </w:r>
    </w:p>
    <w:p>
      <w:pPr>
        <w:pStyle w:val="ListParagraph"/>
        <w:numPr>
          <w:ilvl w:val="0"/>
          <w:numId w:val="1"/>
        </w:numPr>
        <w:tabs>
          <w:tab w:pos="1351" w:val="left" w:leader="none"/>
        </w:tabs>
        <w:spacing w:line="240" w:lineRule="auto" w:before="18" w:after="0"/>
        <w:ind w:left="1350" w:right="0" w:hanging="530"/>
        <w:jc w:val="left"/>
        <w:rPr>
          <w:sz w:val="21"/>
        </w:rPr>
      </w:pPr>
      <w:r>
        <w:rPr>
          <w:spacing w:val="-3"/>
          <w:sz w:val="21"/>
        </w:rPr>
        <w:t>被保险人确诊首次患有本合同所定义的重大疾病时本合同已交保险费；</w:t>
      </w:r>
    </w:p>
    <w:p>
      <w:pPr>
        <w:pStyle w:val="ListParagraph"/>
        <w:numPr>
          <w:ilvl w:val="0"/>
          <w:numId w:val="1"/>
        </w:numPr>
        <w:tabs>
          <w:tab w:pos="1347" w:val="left" w:leader="none"/>
        </w:tabs>
        <w:spacing w:line="240" w:lineRule="auto" w:before="91" w:after="0"/>
        <w:ind w:left="1346" w:right="0" w:hanging="530"/>
        <w:jc w:val="left"/>
        <w:rPr>
          <w:sz w:val="21"/>
        </w:rPr>
      </w:pPr>
      <w:r>
        <w:rPr>
          <w:spacing w:val="-3"/>
          <w:sz w:val="21"/>
        </w:rPr>
        <w:t>被保险人确诊首次患有本合同所定义的重大疾病时本合同的现金价值；</w:t>
      </w:r>
    </w:p>
    <w:p>
      <w:pPr>
        <w:pStyle w:val="ListParagraph"/>
        <w:numPr>
          <w:ilvl w:val="0"/>
          <w:numId w:val="1"/>
        </w:numPr>
        <w:tabs>
          <w:tab w:pos="1347" w:val="left" w:leader="none"/>
        </w:tabs>
        <w:spacing w:line="240" w:lineRule="auto" w:before="89" w:after="0"/>
        <w:ind w:left="1346" w:right="0" w:hanging="530"/>
        <w:jc w:val="left"/>
        <w:rPr>
          <w:sz w:val="21"/>
        </w:rPr>
      </w:pPr>
      <w:r>
        <w:rPr>
          <w:spacing w:val="-3"/>
          <w:sz w:val="21"/>
        </w:rPr>
        <w:t>本合同的基本保险金额。</w:t>
      </w:r>
    </w:p>
    <w:p>
      <w:pPr>
        <w:spacing w:before="70"/>
        <w:ind w:left="816" w:right="0" w:firstLine="0"/>
        <w:jc w:val="left"/>
        <w:rPr>
          <w:rFonts w:ascii="黑体" w:eastAsia="黑体"/>
          <w:sz w:val="24"/>
        </w:rPr>
      </w:pPr>
      <w:r>
        <w:rPr>
          <w:rFonts w:ascii="黑体" w:eastAsia="黑体"/>
          <w:spacing w:val="-2"/>
          <w:sz w:val="24"/>
        </w:rPr>
        <w:t>特别提示和说明：</w:t>
      </w:r>
    </w:p>
    <w:p>
      <w:pPr>
        <w:pStyle w:val="ListParagraph"/>
        <w:numPr>
          <w:ilvl w:val="0"/>
          <w:numId w:val="2"/>
        </w:numPr>
        <w:tabs>
          <w:tab w:pos="1057" w:val="left" w:leader="none"/>
        </w:tabs>
        <w:spacing w:line="280" w:lineRule="auto" w:before="50" w:after="0"/>
        <w:ind w:left="395" w:right="394" w:firstLine="420"/>
        <w:jc w:val="both"/>
        <w:rPr>
          <w:rFonts w:ascii="黑体" w:hAnsi="黑体" w:eastAsia="黑体"/>
          <w:sz w:val="24"/>
        </w:rPr>
      </w:pPr>
      <w:r>
        <w:rPr>
          <w:rFonts w:ascii="黑体" w:hAnsi="黑体" w:eastAsia="黑体"/>
          <w:spacing w:val="-7"/>
          <w:sz w:val="24"/>
        </w:rPr>
        <w:t>若您选择的保险计划包含第三类可选责任“</w:t>
      </w:r>
      <w:r>
        <w:rPr>
          <w:rFonts w:ascii="黑体" w:hAnsi="黑体" w:eastAsia="黑体"/>
          <w:sz w:val="24"/>
        </w:rPr>
        <w:t>（三）</w:t>
      </w:r>
      <w:r>
        <w:rPr>
          <w:rFonts w:ascii="黑体" w:hAnsi="黑体" w:eastAsia="黑体"/>
          <w:spacing w:val="-10"/>
          <w:sz w:val="24"/>
        </w:rPr>
        <w:t>多次重大疾病保险金责任”，我</w:t>
      </w:r>
      <w:r>
        <w:rPr>
          <w:rFonts w:ascii="黑体" w:hAnsi="黑体" w:eastAsia="黑体"/>
          <w:spacing w:val="3"/>
          <w:sz w:val="24"/>
        </w:rPr>
        <w:t>们在给付“首次重大疾病保险金”后，我们对被保险人除继续承担第三类可选责任中 “3.2</w:t>
      </w:r>
      <w:r>
        <w:rPr>
          <w:rFonts w:ascii="黑体" w:hAnsi="黑体" w:eastAsia="黑体"/>
          <w:spacing w:val="-10"/>
          <w:sz w:val="24"/>
        </w:rPr>
        <w:t> 第二次重大疾病保险金”责任</w:t>
      </w:r>
      <w:r>
        <w:rPr>
          <w:rFonts w:ascii="黑体" w:hAnsi="黑体" w:eastAsia="黑体"/>
          <w:spacing w:val="-147"/>
          <w:sz w:val="24"/>
        </w:rPr>
        <w:t>、</w:t>
      </w:r>
      <w:r>
        <w:rPr>
          <w:rFonts w:ascii="黑体" w:hAnsi="黑体" w:eastAsia="黑体"/>
          <w:sz w:val="24"/>
        </w:rPr>
        <w:t>“3.3</w:t>
      </w:r>
      <w:r>
        <w:rPr>
          <w:rFonts w:ascii="黑体" w:hAnsi="黑体" w:eastAsia="黑体"/>
          <w:spacing w:val="-10"/>
          <w:sz w:val="24"/>
        </w:rPr>
        <w:t> 第三次重大疾病保险金”责任</w:t>
      </w:r>
      <w:r>
        <w:rPr>
          <w:rFonts w:ascii="黑体" w:hAnsi="黑体" w:eastAsia="黑体"/>
          <w:spacing w:val="-147"/>
          <w:sz w:val="24"/>
        </w:rPr>
        <w:t>、</w:t>
      </w:r>
      <w:r>
        <w:rPr>
          <w:rFonts w:ascii="黑体" w:hAnsi="黑体" w:eastAsia="黑体"/>
          <w:sz w:val="24"/>
        </w:rPr>
        <w:t>“3.4</w:t>
      </w:r>
      <w:r>
        <w:rPr>
          <w:rFonts w:ascii="黑体" w:hAnsi="黑体" w:eastAsia="黑体"/>
          <w:spacing w:val="-19"/>
          <w:sz w:val="24"/>
        </w:rPr>
        <w:t> 第四次</w:t>
      </w:r>
      <w:r>
        <w:rPr>
          <w:rFonts w:ascii="黑体" w:hAnsi="黑体" w:eastAsia="黑体"/>
          <w:spacing w:val="-14"/>
          <w:sz w:val="24"/>
        </w:rPr>
        <w:t>重大疾病保险金”责任、</w:t>
      </w:r>
      <w:r>
        <w:rPr>
          <w:rFonts w:ascii="黑体" w:hAnsi="黑体" w:eastAsia="黑体"/>
          <w:sz w:val="24"/>
        </w:rPr>
        <w:t>“3.5</w:t>
      </w:r>
      <w:r>
        <w:rPr>
          <w:rFonts w:ascii="黑体" w:hAnsi="黑体" w:eastAsia="黑体"/>
          <w:spacing w:val="-10"/>
          <w:sz w:val="24"/>
        </w:rPr>
        <w:t> 第五次重大疾病保险金”责任与</w:t>
      </w:r>
      <w:r>
        <w:rPr>
          <w:rFonts w:ascii="黑体" w:hAnsi="黑体" w:eastAsia="黑体"/>
          <w:sz w:val="24"/>
        </w:rPr>
        <w:t>“3.6</w:t>
      </w:r>
      <w:r>
        <w:rPr>
          <w:rFonts w:ascii="黑体" w:hAnsi="黑体" w:eastAsia="黑体"/>
          <w:spacing w:val="-9"/>
          <w:sz w:val="24"/>
        </w:rPr>
        <w:t> 第六次重大疾病保</w:t>
      </w:r>
      <w:r>
        <w:rPr>
          <w:rFonts w:ascii="黑体" w:hAnsi="黑体" w:eastAsia="黑体"/>
          <w:spacing w:val="-16"/>
          <w:sz w:val="24"/>
        </w:rPr>
        <w:t>险金”责任</w:t>
      </w:r>
      <w:r>
        <w:rPr>
          <w:rFonts w:ascii="黑体" w:hAnsi="黑体" w:eastAsia="黑体"/>
          <w:sz w:val="24"/>
        </w:rPr>
        <w:t>（即</w:t>
      </w:r>
      <w:r>
        <w:rPr>
          <w:rFonts w:ascii="黑体" w:hAnsi="黑体" w:eastAsia="黑体" w:hint="eastAsia"/>
          <w:b/>
          <w:spacing w:val="-6"/>
          <w:w w:val="99"/>
          <w:sz w:val="24"/>
        </w:rPr>
        <w:t>重大疾病分组</w:t>
      </w:r>
      <w:r>
        <w:rPr>
          <w:rFonts w:ascii="黑体" w:hAnsi="黑体" w:eastAsia="黑体"/>
          <w:sz w:val="24"/>
        </w:rPr>
        <w:t>（</w:t>
      </w:r>
      <w:r>
        <w:rPr>
          <w:rFonts w:ascii="黑体" w:hAnsi="黑体" w:eastAsia="黑体"/>
          <w:spacing w:val="-15"/>
          <w:sz w:val="24"/>
        </w:rPr>
        <w:t>见释义 </w:t>
      </w:r>
      <w:r>
        <w:rPr>
          <w:rFonts w:ascii="黑体" w:hAnsi="黑体" w:eastAsia="黑体"/>
          <w:sz w:val="24"/>
        </w:rPr>
        <w:t>12</w:t>
      </w:r>
      <w:r>
        <w:rPr>
          <w:rFonts w:ascii="黑体" w:hAnsi="黑体" w:eastAsia="黑体"/>
          <w:spacing w:val="-39"/>
          <w:sz w:val="24"/>
        </w:rPr>
        <w:t>）</w:t>
      </w:r>
      <w:r>
        <w:rPr>
          <w:rFonts w:ascii="黑体" w:hAnsi="黑体" w:eastAsia="黑体"/>
          <w:spacing w:val="-2"/>
          <w:sz w:val="24"/>
        </w:rPr>
        <w:t>中其他组别重大疾病的保险金责任</w:t>
      </w:r>
      <w:r>
        <w:rPr>
          <w:rFonts w:ascii="黑体" w:hAnsi="黑体" w:eastAsia="黑体"/>
          <w:spacing w:val="-39"/>
          <w:sz w:val="24"/>
        </w:rPr>
        <w:t>）与</w:t>
      </w:r>
      <w:r>
        <w:rPr>
          <w:rFonts w:ascii="黑体" w:hAnsi="黑体" w:eastAsia="黑体"/>
          <w:spacing w:val="-4"/>
          <w:sz w:val="24"/>
        </w:rPr>
        <w:t>“3.1</w:t>
      </w:r>
      <w:r>
        <w:rPr>
          <w:rFonts w:ascii="黑体" w:hAnsi="黑体" w:eastAsia="黑体"/>
          <w:spacing w:val="-6"/>
          <w:sz w:val="24"/>
        </w:rPr>
        <w:t>重大疾病豁免保险费”责任外，其他各项保险责任均终止，同时本合同的现金价值降为</w:t>
      </w:r>
      <w:r>
        <w:rPr>
          <w:rFonts w:ascii="黑体" w:hAnsi="黑体" w:eastAsia="黑体"/>
          <w:sz w:val="24"/>
        </w:rPr>
        <w:t>零，本合同继续有效；</w:t>
      </w:r>
    </w:p>
    <w:p>
      <w:pPr>
        <w:pStyle w:val="ListParagraph"/>
        <w:numPr>
          <w:ilvl w:val="0"/>
          <w:numId w:val="2"/>
        </w:numPr>
        <w:tabs>
          <w:tab w:pos="1119" w:val="left" w:leader="none"/>
        </w:tabs>
        <w:spacing w:line="278" w:lineRule="auto" w:before="0" w:after="0"/>
        <w:ind w:left="395" w:right="276" w:firstLine="480"/>
        <w:jc w:val="left"/>
        <w:rPr>
          <w:rFonts w:ascii="黑体" w:hAnsi="黑体" w:eastAsia="黑体"/>
          <w:sz w:val="24"/>
        </w:rPr>
      </w:pPr>
      <w:r>
        <w:rPr>
          <w:rFonts w:ascii="黑体" w:hAnsi="黑体" w:eastAsia="黑体"/>
          <w:spacing w:val="-8"/>
          <w:sz w:val="24"/>
        </w:rPr>
        <w:t>若您选择的保险计划不包含第三类可选责任“</w:t>
      </w:r>
      <w:r>
        <w:rPr>
          <w:rFonts w:ascii="黑体" w:hAnsi="黑体" w:eastAsia="黑体"/>
          <w:spacing w:val="2"/>
          <w:sz w:val="24"/>
        </w:rPr>
        <w:t>（</w:t>
      </w:r>
      <w:r>
        <w:rPr>
          <w:rFonts w:ascii="黑体" w:hAnsi="黑体" w:eastAsia="黑体"/>
          <w:spacing w:val="-2"/>
          <w:sz w:val="24"/>
        </w:rPr>
        <w:t>三）</w:t>
      </w:r>
      <w:r>
        <w:rPr>
          <w:rFonts w:ascii="黑体" w:hAnsi="黑体" w:eastAsia="黑体"/>
          <w:spacing w:val="-12"/>
          <w:sz w:val="24"/>
        </w:rPr>
        <w:t>多次重大疾病保险金责任”，</w:t>
      </w:r>
      <w:r>
        <w:rPr>
          <w:rFonts w:ascii="黑体" w:hAnsi="黑体" w:eastAsia="黑体"/>
          <w:spacing w:val="-2"/>
          <w:sz w:val="24"/>
        </w:rPr>
        <w:t>我们在给付“首次重大疾病保险金”后，本合同终止；</w:t>
      </w:r>
    </w:p>
    <w:p>
      <w:pPr>
        <w:pStyle w:val="ListParagraph"/>
        <w:numPr>
          <w:ilvl w:val="0"/>
          <w:numId w:val="2"/>
        </w:numPr>
        <w:tabs>
          <w:tab w:pos="1121" w:val="left" w:leader="none"/>
        </w:tabs>
        <w:spacing w:line="278" w:lineRule="auto" w:before="0" w:after="0"/>
        <w:ind w:left="395" w:right="398" w:firstLine="480"/>
        <w:jc w:val="left"/>
        <w:rPr>
          <w:rFonts w:ascii="黑体" w:eastAsia="黑体"/>
          <w:sz w:val="24"/>
        </w:rPr>
      </w:pPr>
      <w:r>
        <w:rPr>
          <w:rFonts w:ascii="黑体" w:eastAsia="黑体"/>
          <w:spacing w:val="3"/>
          <w:sz w:val="24"/>
        </w:rPr>
        <w:t>若被保险人因同一原因导致其首次患有符合本合同定义的两种或两种以上的重大疾病，我们按一种重大疾病给付首次重大疾病保险金。</w:t>
      </w:r>
    </w:p>
    <w:p>
      <w:pPr>
        <w:spacing w:before="0"/>
        <w:ind w:left="816" w:right="0" w:firstLine="0"/>
        <w:jc w:val="left"/>
        <w:rPr>
          <w:rFonts w:ascii="黑体" w:eastAsia="黑体" w:hint="eastAsia"/>
          <w:b/>
          <w:sz w:val="21"/>
        </w:rPr>
      </w:pPr>
      <w:r>
        <w:rPr>
          <w:rFonts w:ascii="黑体" w:eastAsia="黑体" w:hint="eastAsia"/>
          <w:b/>
          <w:spacing w:val="-3"/>
          <w:sz w:val="21"/>
        </w:rPr>
        <w:t>(二) 身故保险金</w:t>
      </w:r>
    </w:p>
    <w:p>
      <w:pPr>
        <w:pStyle w:val="BodyText"/>
        <w:spacing w:line="319" w:lineRule="auto" w:before="50"/>
        <w:ind w:left="395" w:right="395" w:firstLine="420"/>
      </w:pPr>
      <w:r>
        <w:rPr>
          <w:spacing w:val="-2"/>
        </w:rPr>
        <w:t>若被保险人于本合同生效（或最后复效）</w:t>
      </w:r>
      <w:r>
        <w:rPr>
          <w:spacing w:val="-15"/>
        </w:rPr>
        <w:t>之日起 </w:t>
      </w:r>
      <w:r>
        <w:rPr>
          <w:spacing w:val="-2"/>
        </w:rPr>
        <w:t>90</w:t>
      </w:r>
      <w:r>
        <w:rPr>
          <w:spacing w:val="-20"/>
        </w:rPr>
        <w:t> 日内</w:t>
      </w:r>
      <w:r>
        <w:rPr>
          <w:spacing w:val="-2"/>
        </w:rPr>
        <w:t>（含当日）因意外伤害以外的原因导致</w:t>
      </w:r>
      <w:r>
        <w:rPr>
          <w:spacing w:val="-2"/>
        </w:rPr>
        <w:t>身故，我们将按本合同已交保险费向身故保险金受益人给付身故保险金，本合同终止。</w:t>
      </w:r>
    </w:p>
    <w:p>
      <w:pPr>
        <w:pStyle w:val="BodyText"/>
        <w:spacing w:before="18"/>
        <w:ind w:left="816"/>
      </w:pPr>
      <w:r>
        <w:rPr>
          <w:spacing w:val="-4"/>
        </w:rPr>
        <w:t>若被保险人因意外伤害，或于本合同生效（或最后复效）</w:t>
      </w:r>
      <w:r>
        <w:rPr>
          <w:spacing w:val="-11"/>
        </w:rPr>
        <w:t>之日起 </w:t>
      </w:r>
      <w:r>
        <w:rPr>
          <w:rFonts w:ascii="Times New Roman" w:eastAsia="Times New Roman"/>
          <w:spacing w:val="-4"/>
        </w:rPr>
        <w:t>90</w:t>
      </w:r>
      <w:r>
        <w:rPr>
          <w:rFonts w:ascii="Times New Roman" w:eastAsia="Times New Roman"/>
          <w:spacing w:val="21"/>
        </w:rPr>
        <w:t> </w:t>
      </w:r>
      <w:r>
        <w:rPr>
          <w:spacing w:val="-5"/>
        </w:rPr>
        <w:t>日后因意外伤害以外的原因</w:t>
      </w:r>
    </w:p>
    <w:p>
      <w:pPr>
        <w:pStyle w:val="BodyText"/>
        <w:spacing w:line="319" w:lineRule="auto" w:before="89"/>
        <w:ind w:left="396" w:right="395" w:hanging="1"/>
      </w:pPr>
      <w:r>
        <w:rPr>
          <w:spacing w:val="-6"/>
        </w:rPr>
        <w:t>导致身故，且被保险人身故时未满 </w:t>
      </w:r>
      <w:r>
        <w:rPr>
          <w:rFonts w:ascii="Times New Roman" w:eastAsia="Times New Roman"/>
          <w:spacing w:val="-2"/>
        </w:rPr>
        <w:t>18</w:t>
      </w:r>
      <w:r>
        <w:rPr>
          <w:rFonts w:ascii="Times New Roman" w:eastAsia="Times New Roman"/>
          <w:spacing w:val="-7"/>
        </w:rPr>
        <w:t> </w:t>
      </w:r>
      <w:r>
        <w:rPr>
          <w:spacing w:val="-2"/>
        </w:rPr>
        <w:t>周岁的，我们将按以下两项金额中的较大者向身故保险金受益</w:t>
      </w:r>
      <w:r>
        <w:rPr>
          <w:spacing w:val="-2"/>
        </w:rPr>
        <w:t>人给付身故保险金，本合同终止：</w:t>
      </w:r>
    </w:p>
    <w:p>
      <w:pPr>
        <w:pStyle w:val="ListParagraph"/>
        <w:numPr>
          <w:ilvl w:val="0"/>
          <w:numId w:val="3"/>
        </w:numPr>
        <w:tabs>
          <w:tab w:pos="1351" w:val="left" w:leader="none"/>
        </w:tabs>
        <w:spacing w:line="240" w:lineRule="auto" w:before="2" w:after="0"/>
        <w:ind w:left="1350" w:right="0" w:hanging="530"/>
        <w:jc w:val="left"/>
        <w:rPr>
          <w:sz w:val="21"/>
        </w:rPr>
      </w:pPr>
      <w:r>
        <w:rPr>
          <w:spacing w:val="-3"/>
          <w:sz w:val="21"/>
        </w:rPr>
        <w:t>被保险人身故时本合同已交保险费；</w:t>
      </w:r>
    </w:p>
    <w:p>
      <w:pPr>
        <w:spacing w:after="0" w:line="240" w:lineRule="auto"/>
        <w:jc w:val="left"/>
        <w:rPr>
          <w:sz w:val="21"/>
        </w:rPr>
        <w:sectPr>
          <w:pgSz w:w="11910" w:h="16840"/>
          <w:pgMar w:header="0" w:footer="1120" w:top="1480" w:bottom="1300" w:left="1020" w:right="1020"/>
        </w:sectPr>
      </w:pPr>
    </w:p>
    <w:p>
      <w:pPr>
        <w:pStyle w:val="ListParagraph"/>
        <w:numPr>
          <w:ilvl w:val="0"/>
          <w:numId w:val="3"/>
        </w:numPr>
        <w:tabs>
          <w:tab w:pos="1345" w:val="left" w:leader="none"/>
        </w:tabs>
        <w:spacing w:line="240" w:lineRule="auto" w:before="64" w:after="0"/>
        <w:ind w:left="1345" w:right="0" w:hanging="529"/>
        <w:jc w:val="left"/>
        <w:rPr>
          <w:sz w:val="21"/>
        </w:rPr>
      </w:pPr>
      <w:r>
        <w:rPr>
          <w:spacing w:val="-3"/>
          <w:sz w:val="21"/>
        </w:rPr>
        <w:t>被保险人身故时本合同的现金价值。</w:t>
      </w:r>
    </w:p>
    <w:p>
      <w:pPr>
        <w:pStyle w:val="BodyText"/>
        <w:spacing w:before="91"/>
        <w:ind w:left="816"/>
      </w:pPr>
      <w:r>
        <w:rPr>
          <w:spacing w:val="-4"/>
        </w:rPr>
        <w:t>若被保险人因意外伤害，或于本合同生效（或最后复效）</w:t>
      </w:r>
      <w:r>
        <w:rPr>
          <w:spacing w:val="-11"/>
        </w:rPr>
        <w:t>之日起 </w:t>
      </w:r>
      <w:r>
        <w:rPr>
          <w:rFonts w:ascii="Times New Roman" w:eastAsia="Times New Roman"/>
          <w:spacing w:val="-4"/>
        </w:rPr>
        <w:t>90</w:t>
      </w:r>
      <w:r>
        <w:rPr>
          <w:rFonts w:ascii="Times New Roman" w:eastAsia="Times New Roman"/>
          <w:spacing w:val="21"/>
        </w:rPr>
        <w:t> </w:t>
      </w:r>
      <w:r>
        <w:rPr>
          <w:spacing w:val="-5"/>
        </w:rPr>
        <w:t>日后因意外伤害以外的原因</w:t>
      </w:r>
    </w:p>
    <w:p>
      <w:pPr>
        <w:pStyle w:val="BodyText"/>
        <w:spacing w:line="321" w:lineRule="auto" w:before="89"/>
        <w:ind w:left="396" w:right="393"/>
      </w:pPr>
      <w:r>
        <w:rPr>
          <w:spacing w:val="-6"/>
        </w:rPr>
        <w:t>导致身故，且被保险人身故时已满 </w:t>
      </w:r>
      <w:r>
        <w:rPr>
          <w:rFonts w:ascii="Times New Roman" w:eastAsia="Times New Roman"/>
          <w:spacing w:val="-2"/>
        </w:rPr>
        <w:t>18</w:t>
      </w:r>
      <w:r>
        <w:rPr>
          <w:rFonts w:ascii="Times New Roman" w:eastAsia="Times New Roman"/>
          <w:spacing w:val="-6"/>
        </w:rPr>
        <w:t> </w:t>
      </w:r>
      <w:r>
        <w:rPr>
          <w:spacing w:val="-2"/>
        </w:rPr>
        <w:t>周岁（含）的，我们将按以下三项金额中的最大者向身故保险</w:t>
      </w:r>
      <w:r>
        <w:rPr>
          <w:spacing w:val="-2"/>
        </w:rPr>
        <w:t>金受益人给付身故保险金，本合同终止：</w:t>
      </w:r>
    </w:p>
    <w:p>
      <w:pPr>
        <w:pStyle w:val="ListParagraph"/>
        <w:numPr>
          <w:ilvl w:val="0"/>
          <w:numId w:val="4"/>
        </w:numPr>
        <w:tabs>
          <w:tab w:pos="1350" w:val="left" w:leader="none"/>
        </w:tabs>
        <w:spacing w:line="266" w:lineRule="exact" w:before="0" w:after="0"/>
        <w:ind w:left="1349" w:right="0" w:hanging="530"/>
        <w:jc w:val="left"/>
        <w:rPr>
          <w:sz w:val="21"/>
        </w:rPr>
      </w:pPr>
      <w:r>
        <w:rPr>
          <w:spacing w:val="-3"/>
          <w:sz w:val="21"/>
        </w:rPr>
        <w:t>被保险人身故时本合同已交保险费；</w:t>
      </w:r>
    </w:p>
    <w:p>
      <w:pPr>
        <w:pStyle w:val="ListParagraph"/>
        <w:numPr>
          <w:ilvl w:val="0"/>
          <w:numId w:val="4"/>
        </w:numPr>
        <w:tabs>
          <w:tab w:pos="1345" w:val="left" w:leader="none"/>
        </w:tabs>
        <w:spacing w:line="240" w:lineRule="auto" w:before="91" w:after="0"/>
        <w:ind w:left="1345" w:right="0" w:hanging="529"/>
        <w:jc w:val="left"/>
        <w:rPr>
          <w:sz w:val="21"/>
        </w:rPr>
      </w:pPr>
      <w:r>
        <w:rPr>
          <w:spacing w:val="-3"/>
          <w:sz w:val="21"/>
        </w:rPr>
        <w:t>被保险人身故时本合同的现金价值；</w:t>
      </w:r>
    </w:p>
    <w:p>
      <w:pPr>
        <w:pStyle w:val="ListParagraph"/>
        <w:numPr>
          <w:ilvl w:val="0"/>
          <w:numId w:val="4"/>
        </w:numPr>
        <w:tabs>
          <w:tab w:pos="1345" w:val="left" w:leader="none"/>
        </w:tabs>
        <w:spacing w:line="240" w:lineRule="auto" w:before="88" w:after="0"/>
        <w:ind w:left="1345" w:right="0" w:hanging="529"/>
        <w:jc w:val="left"/>
        <w:rPr>
          <w:sz w:val="21"/>
        </w:rPr>
      </w:pPr>
      <w:r>
        <w:rPr>
          <w:spacing w:val="-3"/>
          <w:sz w:val="21"/>
        </w:rPr>
        <w:t>本合同的基本保险金额。</w:t>
      </w:r>
    </w:p>
    <w:p>
      <w:pPr>
        <w:spacing w:before="91"/>
        <w:ind w:left="816" w:right="0" w:firstLine="0"/>
        <w:jc w:val="left"/>
        <w:rPr>
          <w:rFonts w:ascii="黑体" w:eastAsia="黑体" w:hint="eastAsia"/>
          <w:b/>
          <w:sz w:val="21"/>
        </w:rPr>
      </w:pPr>
      <w:r>
        <w:rPr>
          <w:rFonts w:ascii="黑体" w:eastAsia="黑体" w:hint="eastAsia"/>
          <w:b/>
          <w:spacing w:val="-3"/>
          <w:sz w:val="21"/>
        </w:rPr>
        <w:t>(三) 高度残疾保险金</w:t>
      </w:r>
    </w:p>
    <w:p>
      <w:pPr>
        <w:pStyle w:val="BodyText"/>
        <w:spacing w:line="319" w:lineRule="auto" w:before="88"/>
        <w:ind w:left="395" w:right="394" w:firstLine="420"/>
        <w:jc w:val="both"/>
      </w:pPr>
      <w:r>
        <w:rPr>
          <w:spacing w:val="-2"/>
        </w:rPr>
        <w:t>若被保险人于本合同生效（或最后复效）</w:t>
      </w:r>
      <w:r>
        <w:rPr>
          <w:spacing w:val="-8"/>
        </w:rPr>
        <w:t>之日起 </w:t>
      </w:r>
      <w:r>
        <w:rPr>
          <w:rFonts w:ascii="Times New Roman" w:eastAsia="Times New Roman"/>
          <w:spacing w:val="-2"/>
        </w:rPr>
        <w:t>90</w:t>
      </w:r>
      <w:r>
        <w:rPr>
          <w:rFonts w:ascii="Times New Roman" w:eastAsia="Times New Roman"/>
          <w:spacing w:val="-11"/>
        </w:rPr>
        <w:t> </w:t>
      </w:r>
      <w:r>
        <w:rPr>
          <w:spacing w:val="-2"/>
        </w:rPr>
        <w:t>日内（含当日）因意外伤害以外的原因导致</w:t>
      </w:r>
      <w:r>
        <w:rPr>
          <w:spacing w:val="-2"/>
        </w:rPr>
        <w:t>本合同所定义的高度残疾，我们将按本合同已交保险费向高度残疾保险金受益人给付高度残疾保险</w:t>
      </w:r>
      <w:r>
        <w:rPr>
          <w:spacing w:val="-2"/>
        </w:rPr>
        <w:t>金，本合同终止。</w:t>
      </w:r>
    </w:p>
    <w:p>
      <w:pPr>
        <w:pStyle w:val="BodyText"/>
        <w:spacing w:before="5"/>
        <w:ind w:left="815"/>
        <w:jc w:val="both"/>
      </w:pPr>
      <w:r>
        <w:rPr>
          <w:spacing w:val="-4"/>
        </w:rPr>
        <w:t>若被保险人因意外伤害，或于本合同生效（或最后复效）</w:t>
      </w:r>
      <w:r>
        <w:rPr>
          <w:spacing w:val="-11"/>
        </w:rPr>
        <w:t>之日起 </w:t>
      </w:r>
      <w:r>
        <w:rPr>
          <w:rFonts w:ascii="Times New Roman" w:eastAsia="Times New Roman"/>
          <w:spacing w:val="-4"/>
        </w:rPr>
        <w:t>90</w:t>
      </w:r>
      <w:r>
        <w:rPr>
          <w:rFonts w:ascii="Times New Roman" w:eastAsia="Times New Roman"/>
          <w:spacing w:val="21"/>
        </w:rPr>
        <w:t> </w:t>
      </w:r>
      <w:r>
        <w:rPr>
          <w:spacing w:val="-5"/>
        </w:rPr>
        <w:t>日后因意外伤害以外的原因</w:t>
      </w:r>
    </w:p>
    <w:p>
      <w:pPr>
        <w:pStyle w:val="BodyText"/>
        <w:spacing w:line="321" w:lineRule="auto" w:before="88"/>
        <w:ind w:left="396" w:right="395" w:hanging="1"/>
        <w:jc w:val="both"/>
      </w:pPr>
      <w:r>
        <w:rPr>
          <w:spacing w:val="-3"/>
        </w:rPr>
        <w:t>导致本合同所定义的高度残疾，且被保险人高度残疾时未满 </w:t>
      </w:r>
      <w:r>
        <w:rPr>
          <w:rFonts w:ascii="Times New Roman" w:eastAsia="Times New Roman"/>
          <w:spacing w:val="-2"/>
        </w:rPr>
        <w:t>18</w:t>
      </w:r>
      <w:r>
        <w:rPr>
          <w:rFonts w:ascii="Times New Roman" w:eastAsia="Times New Roman"/>
          <w:spacing w:val="-11"/>
        </w:rPr>
        <w:t> </w:t>
      </w:r>
      <w:r>
        <w:rPr>
          <w:spacing w:val="-2"/>
        </w:rPr>
        <w:t>周岁的，我们将按以下两项金额中的</w:t>
      </w:r>
      <w:r>
        <w:rPr>
          <w:spacing w:val="-2"/>
        </w:rPr>
        <w:t>较大者向高度残疾保险金受益人给付高度残疾保险金，本合同终止：</w:t>
      </w:r>
    </w:p>
    <w:p>
      <w:pPr>
        <w:pStyle w:val="ListParagraph"/>
        <w:numPr>
          <w:ilvl w:val="0"/>
          <w:numId w:val="5"/>
        </w:numPr>
        <w:tabs>
          <w:tab w:pos="1351" w:val="left" w:leader="none"/>
        </w:tabs>
        <w:spacing w:line="266" w:lineRule="exact" w:before="0" w:after="0"/>
        <w:ind w:left="1350" w:right="0" w:hanging="530"/>
        <w:jc w:val="left"/>
        <w:rPr>
          <w:sz w:val="21"/>
        </w:rPr>
      </w:pPr>
      <w:r>
        <w:rPr>
          <w:spacing w:val="-3"/>
          <w:sz w:val="21"/>
        </w:rPr>
        <w:t>被保险人高度残疾时本合同已交保险费；</w:t>
      </w:r>
    </w:p>
    <w:p>
      <w:pPr>
        <w:pStyle w:val="ListParagraph"/>
        <w:numPr>
          <w:ilvl w:val="0"/>
          <w:numId w:val="5"/>
        </w:numPr>
        <w:tabs>
          <w:tab w:pos="1346" w:val="left" w:leader="none"/>
        </w:tabs>
        <w:spacing w:line="240" w:lineRule="auto" w:before="91" w:after="0"/>
        <w:ind w:left="1345" w:right="0" w:hanging="530"/>
        <w:jc w:val="left"/>
        <w:rPr>
          <w:sz w:val="21"/>
        </w:rPr>
      </w:pPr>
      <w:r>
        <w:rPr>
          <w:spacing w:val="-3"/>
          <w:sz w:val="21"/>
        </w:rPr>
        <w:t>被保险人高度残疾时本合同的现金价值。</w:t>
      </w:r>
    </w:p>
    <w:p>
      <w:pPr>
        <w:pStyle w:val="BodyText"/>
        <w:spacing w:before="89"/>
        <w:ind w:left="816"/>
      </w:pPr>
      <w:r>
        <w:rPr>
          <w:spacing w:val="-4"/>
        </w:rPr>
        <w:t>若被保险人因意外伤害，或于本合同生效（或最后复效）</w:t>
      </w:r>
      <w:r>
        <w:rPr>
          <w:spacing w:val="-11"/>
        </w:rPr>
        <w:t>之日起 </w:t>
      </w:r>
      <w:r>
        <w:rPr>
          <w:rFonts w:ascii="Times New Roman" w:eastAsia="Times New Roman"/>
          <w:spacing w:val="-4"/>
        </w:rPr>
        <w:t>90</w:t>
      </w:r>
      <w:r>
        <w:rPr>
          <w:rFonts w:ascii="Times New Roman" w:eastAsia="Times New Roman"/>
          <w:spacing w:val="22"/>
        </w:rPr>
        <w:t> </w:t>
      </w:r>
      <w:r>
        <w:rPr>
          <w:spacing w:val="-5"/>
        </w:rPr>
        <w:t>日后因意外伤害以外的原因</w:t>
      </w:r>
    </w:p>
    <w:p>
      <w:pPr>
        <w:pStyle w:val="BodyText"/>
        <w:spacing w:line="319" w:lineRule="auto" w:before="91"/>
        <w:ind w:left="396" w:right="391"/>
      </w:pPr>
      <w:r>
        <w:rPr>
          <w:spacing w:val="-4"/>
        </w:rPr>
        <w:t>导致本合同所定义的高度残疾，且被保险人高度残疾时已满 </w:t>
      </w:r>
      <w:r>
        <w:rPr>
          <w:rFonts w:ascii="Times New Roman" w:eastAsia="Times New Roman"/>
          <w:spacing w:val="-2"/>
        </w:rPr>
        <w:t>18</w:t>
      </w:r>
      <w:r>
        <w:rPr>
          <w:rFonts w:ascii="Times New Roman" w:eastAsia="Times New Roman"/>
          <w:spacing w:val="-4"/>
        </w:rPr>
        <w:t> </w:t>
      </w:r>
      <w:r>
        <w:rPr>
          <w:spacing w:val="-2"/>
        </w:rPr>
        <w:t>周岁（含）的，我们将按以下三项金</w:t>
      </w:r>
      <w:r>
        <w:rPr>
          <w:spacing w:val="-2"/>
        </w:rPr>
        <w:t>额中的最大者向高度残疾保险金受益人给付高度残疾保险金，本合同终止：</w:t>
      </w:r>
    </w:p>
    <w:p>
      <w:pPr>
        <w:pStyle w:val="ListParagraph"/>
        <w:numPr>
          <w:ilvl w:val="0"/>
          <w:numId w:val="6"/>
        </w:numPr>
        <w:tabs>
          <w:tab w:pos="1351" w:val="left" w:leader="none"/>
        </w:tabs>
        <w:spacing w:line="240" w:lineRule="auto" w:before="2" w:after="0"/>
        <w:ind w:left="1350" w:right="0" w:hanging="530"/>
        <w:jc w:val="left"/>
        <w:rPr>
          <w:sz w:val="21"/>
        </w:rPr>
      </w:pPr>
      <w:r>
        <w:rPr>
          <w:spacing w:val="-3"/>
          <w:sz w:val="21"/>
        </w:rPr>
        <w:t>被保险人高度残疾时本合同已交保险费；</w:t>
      </w:r>
    </w:p>
    <w:p>
      <w:pPr>
        <w:pStyle w:val="ListParagraph"/>
        <w:numPr>
          <w:ilvl w:val="0"/>
          <w:numId w:val="6"/>
        </w:numPr>
        <w:tabs>
          <w:tab w:pos="1346" w:val="left" w:leader="none"/>
        </w:tabs>
        <w:spacing w:line="240" w:lineRule="auto" w:before="88" w:after="0"/>
        <w:ind w:left="1345" w:right="0" w:hanging="530"/>
        <w:jc w:val="left"/>
        <w:rPr>
          <w:sz w:val="21"/>
        </w:rPr>
      </w:pPr>
      <w:r>
        <w:rPr>
          <w:spacing w:val="-3"/>
          <w:sz w:val="21"/>
        </w:rPr>
        <w:t>被保险人高度残疾时本合同的现金价值；</w:t>
      </w:r>
    </w:p>
    <w:p>
      <w:pPr>
        <w:pStyle w:val="ListParagraph"/>
        <w:numPr>
          <w:ilvl w:val="0"/>
          <w:numId w:val="6"/>
        </w:numPr>
        <w:tabs>
          <w:tab w:pos="1346" w:val="left" w:leader="none"/>
        </w:tabs>
        <w:spacing w:line="240" w:lineRule="auto" w:before="91" w:after="0"/>
        <w:ind w:left="1345" w:right="0" w:hanging="530"/>
        <w:jc w:val="left"/>
        <w:rPr>
          <w:sz w:val="21"/>
        </w:rPr>
      </w:pPr>
      <w:r>
        <w:rPr>
          <w:spacing w:val="-3"/>
          <w:sz w:val="21"/>
        </w:rPr>
        <w:t>本合同的基本保险金额。</w:t>
      </w:r>
    </w:p>
    <w:p>
      <w:pPr>
        <w:spacing w:before="88"/>
        <w:ind w:left="816" w:right="0" w:firstLine="0"/>
        <w:jc w:val="both"/>
        <w:rPr>
          <w:rFonts w:ascii="黑体" w:eastAsia="黑体" w:hint="eastAsia"/>
          <w:b/>
          <w:sz w:val="21"/>
        </w:rPr>
      </w:pPr>
      <w:r>
        <w:rPr>
          <w:rFonts w:ascii="黑体" w:eastAsia="黑体" w:hint="eastAsia"/>
          <w:b/>
          <w:spacing w:val="-3"/>
          <w:sz w:val="21"/>
        </w:rPr>
        <w:t>(四) 疾病终末期保险金</w:t>
      </w:r>
    </w:p>
    <w:p>
      <w:pPr>
        <w:pStyle w:val="BodyText"/>
        <w:spacing w:line="319" w:lineRule="auto" w:before="91"/>
        <w:ind w:left="395" w:right="391" w:firstLine="420"/>
        <w:jc w:val="both"/>
      </w:pPr>
      <w:r>
        <w:rPr>
          <w:spacing w:val="-2"/>
        </w:rPr>
        <w:t>若被保险人于本合同生效（或最后复效）</w:t>
      </w:r>
      <w:r>
        <w:rPr>
          <w:spacing w:val="-8"/>
        </w:rPr>
        <w:t>之日起 </w:t>
      </w:r>
      <w:r>
        <w:rPr>
          <w:rFonts w:ascii="Times New Roman" w:eastAsia="Times New Roman"/>
          <w:spacing w:val="-2"/>
        </w:rPr>
        <w:t>90</w:t>
      </w:r>
      <w:r>
        <w:rPr>
          <w:rFonts w:ascii="Times New Roman" w:eastAsia="Times New Roman"/>
          <w:spacing w:val="-11"/>
        </w:rPr>
        <w:t> </w:t>
      </w:r>
      <w:r>
        <w:rPr>
          <w:spacing w:val="-2"/>
        </w:rPr>
        <w:t>日内（含当日）因意外伤害以外的原因确诊</w:t>
      </w:r>
      <w:r>
        <w:rPr>
          <w:b/>
          <w:spacing w:val="-2"/>
        </w:rPr>
        <w:t>首次达到</w:t>
      </w:r>
      <w:r>
        <w:rPr>
          <w:spacing w:val="-2"/>
        </w:rPr>
        <w:t>（</w:t>
      </w:r>
      <w:r>
        <w:rPr>
          <w:spacing w:val="-4"/>
        </w:rPr>
        <w:t>见释义 </w:t>
      </w:r>
      <w:r>
        <w:rPr>
          <w:rFonts w:ascii="Times New Roman" w:eastAsia="Times New Roman"/>
          <w:spacing w:val="-2"/>
        </w:rPr>
        <w:t>13</w:t>
      </w:r>
      <w:r>
        <w:rPr>
          <w:spacing w:val="-2"/>
        </w:rPr>
        <w:t>）本合同所定义的疾病终末期阶段，我们将按本合同已交保险费向疾病终末期</w:t>
      </w:r>
      <w:r>
        <w:rPr>
          <w:spacing w:val="-2"/>
        </w:rPr>
        <w:t>保险金受益人给付疾病终末期保险金，本合同终止。</w:t>
      </w:r>
    </w:p>
    <w:p>
      <w:pPr>
        <w:pStyle w:val="BodyText"/>
        <w:spacing w:before="2"/>
        <w:ind w:left="816"/>
        <w:jc w:val="both"/>
      </w:pPr>
      <w:r>
        <w:rPr>
          <w:spacing w:val="-4"/>
        </w:rPr>
        <w:t>若被保险人因意外伤害，或于本合同生效（或最后复效）</w:t>
      </w:r>
      <w:r>
        <w:rPr>
          <w:spacing w:val="-11"/>
        </w:rPr>
        <w:t>之日起 </w:t>
      </w:r>
      <w:r>
        <w:rPr>
          <w:rFonts w:ascii="Times New Roman" w:eastAsia="Times New Roman"/>
          <w:spacing w:val="-4"/>
        </w:rPr>
        <w:t>90</w:t>
      </w:r>
      <w:r>
        <w:rPr>
          <w:rFonts w:ascii="Times New Roman" w:eastAsia="Times New Roman"/>
          <w:spacing w:val="22"/>
        </w:rPr>
        <w:t> </w:t>
      </w:r>
      <w:r>
        <w:rPr>
          <w:spacing w:val="-5"/>
        </w:rPr>
        <w:t>日后因意外伤害以外的原因</w:t>
      </w:r>
    </w:p>
    <w:p>
      <w:pPr>
        <w:pStyle w:val="BodyText"/>
        <w:spacing w:line="319" w:lineRule="auto" w:before="91"/>
        <w:ind w:left="396" w:right="285"/>
        <w:jc w:val="both"/>
      </w:pPr>
      <w:r>
        <w:rPr>
          <w:spacing w:val="-1"/>
        </w:rPr>
        <w:t>确诊首次达到本合同所定义的疾病终末期阶段，且被保险人达到疾病终末期阶段时未满 </w:t>
      </w:r>
      <w:r>
        <w:rPr>
          <w:rFonts w:ascii="Times New Roman" w:eastAsia="Times New Roman"/>
        </w:rPr>
        <w:t>18</w:t>
      </w:r>
      <w:r>
        <w:rPr>
          <w:rFonts w:ascii="Times New Roman" w:eastAsia="Times New Roman"/>
          <w:spacing w:val="-12"/>
        </w:rPr>
        <w:t> </w:t>
      </w:r>
      <w:r>
        <w:rPr/>
        <w:t>周岁的，</w:t>
      </w:r>
      <w:r>
        <w:rPr>
          <w:spacing w:val="-5"/>
        </w:rPr>
        <w:t>我们将按以下两项金额中的较大者向疾病终末期保险金受益人给付疾病终末期保险金，本合同终止：</w:t>
      </w:r>
    </w:p>
    <w:p>
      <w:pPr>
        <w:pStyle w:val="ListParagraph"/>
        <w:numPr>
          <w:ilvl w:val="0"/>
          <w:numId w:val="7"/>
        </w:numPr>
        <w:tabs>
          <w:tab w:pos="1351" w:val="left" w:leader="none"/>
        </w:tabs>
        <w:spacing w:line="240" w:lineRule="auto" w:before="2" w:after="0"/>
        <w:ind w:left="1350" w:right="0" w:hanging="530"/>
        <w:jc w:val="left"/>
        <w:rPr>
          <w:sz w:val="21"/>
        </w:rPr>
      </w:pPr>
      <w:r>
        <w:rPr>
          <w:spacing w:val="-3"/>
          <w:sz w:val="21"/>
        </w:rPr>
        <w:t>被保险人达到疾病终末期阶段时本合同已交保险费；</w:t>
      </w:r>
    </w:p>
    <w:p>
      <w:pPr>
        <w:pStyle w:val="ListParagraph"/>
        <w:numPr>
          <w:ilvl w:val="0"/>
          <w:numId w:val="7"/>
        </w:numPr>
        <w:tabs>
          <w:tab w:pos="1346" w:val="left" w:leader="none"/>
        </w:tabs>
        <w:spacing w:line="240" w:lineRule="auto" w:before="88" w:after="0"/>
        <w:ind w:left="1345" w:right="0" w:hanging="530"/>
        <w:jc w:val="left"/>
        <w:rPr>
          <w:sz w:val="21"/>
        </w:rPr>
      </w:pPr>
      <w:r>
        <w:rPr>
          <w:spacing w:val="-3"/>
          <w:sz w:val="21"/>
        </w:rPr>
        <w:t>被保险人达到疾病终末期阶段时本合同的现金价值。</w:t>
      </w:r>
    </w:p>
    <w:p>
      <w:pPr>
        <w:pStyle w:val="BodyText"/>
        <w:spacing w:before="91"/>
        <w:ind w:left="816"/>
      </w:pPr>
      <w:r>
        <w:rPr>
          <w:spacing w:val="-4"/>
        </w:rPr>
        <w:t>若被保险人因意外伤害，或于本合同生效（或最后复效）</w:t>
      </w:r>
      <w:r>
        <w:rPr>
          <w:spacing w:val="-11"/>
        </w:rPr>
        <w:t>之日起 </w:t>
      </w:r>
      <w:r>
        <w:rPr>
          <w:rFonts w:ascii="Times New Roman" w:eastAsia="Times New Roman"/>
          <w:spacing w:val="-4"/>
        </w:rPr>
        <w:t>90</w:t>
      </w:r>
      <w:r>
        <w:rPr>
          <w:rFonts w:ascii="Times New Roman" w:eastAsia="Times New Roman"/>
          <w:spacing w:val="22"/>
        </w:rPr>
        <w:t> </w:t>
      </w:r>
      <w:r>
        <w:rPr>
          <w:spacing w:val="-5"/>
        </w:rPr>
        <w:t>日后因意外伤害以外的原因</w:t>
      </w:r>
    </w:p>
    <w:p>
      <w:pPr>
        <w:pStyle w:val="BodyText"/>
        <w:spacing w:line="319" w:lineRule="auto" w:before="89"/>
        <w:ind w:left="396" w:right="285"/>
      </w:pPr>
      <w:r>
        <w:rPr>
          <w:spacing w:val="-7"/>
          <w:w w:val="100"/>
        </w:rPr>
        <w:t>确诊首次达到本合同所定义的疾病终末期阶段，且被保险人达到疾病终末期阶段时已满</w:t>
      </w:r>
      <w:r>
        <w:rPr>
          <w:spacing w:val="-53"/>
        </w:rPr>
        <w:t> </w:t>
      </w:r>
      <w:r>
        <w:rPr>
          <w:rFonts w:ascii="Times New Roman" w:eastAsia="Times New Roman"/>
          <w:spacing w:val="-3"/>
          <w:w w:val="100"/>
        </w:rPr>
        <w:t>1</w:t>
      </w:r>
      <w:r>
        <w:rPr>
          <w:rFonts w:ascii="Times New Roman" w:eastAsia="Times New Roman"/>
          <w:w w:val="100"/>
        </w:rPr>
        <w:t>8</w:t>
      </w:r>
      <w:r>
        <w:rPr>
          <w:rFonts w:ascii="Times New Roman" w:eastAsia="Times New Roman"/>
        </w:rPr>
        <w:t> </w:t>
      </w:r>
      <w:r>
        <w:rPr>
          <w:spacing w:val="-44"/>
          <w:w w:val="100"/>
        </w:rPr>
        <w:t>周岁</w:t>
      </w:r>
      <w:r>
        <w:rPr>
          <w:spacing w:val="-3"/>
          <w:w w:val="100"/>
        </w:rPr>
        <w:t>（</w:t>
      </w:r>
      <w:r>
        <w:rPr>
          <w:w w:val="100"/>
        </w:rPr>
        <w:t>含）</w:t>
      </w:r>
      <w:r>
        <w:rPr>
          <w:spacing w:val="-3"/>
          <w:w w:val="100"/>
        </w:rPr>
        <w:t>的，我们将按以下三项金额中的最大者向疾病终末期保险金受益人给付疾病终末期保险金，本合同终止：</w:t>
      </w:r>
    </w:p>
    <w:p>
      <w:pPr>
        <w:pStyle w:val="ListParagraph"/>
        <w:numPr>
          <w:ilvl w:val="0"/>
          <w:numId w:val="8"/>
        </w:numPr>
        <w:tabs>
          <w:tab w:pos="1351" w:val="left" w:leader="none"/>
        </w:tabs>
        <w:spacing w:line="240" w:lineRule="auto" w:before="4" w:after="0"/>
        <w:ind w:left="1350" w:right="0" w:hanging="530"/>
        <w:jc w:val="left"/>
        <w:rPr>
          <w:sz w:val="21"/>
        </w:rPr>
      </w:pPr>
      <w:r>
        <w:rPr>
          <w:spacing w:val="-3"/>
          <w:sz w:val="21"/>
        </w:rPr>
        <w:t>被保险人达到疾病终末期阶段时本合同已交保险费；</w:t>
      </w:r>
    </w:p>
    <w:p>
      <w:pPr>
        <w:pStyle w:val="ListParagraph"/>
        <w:numPr>
          <w:ilvl w:val="0"/>
          <w:numId w:val="8"/>
        </w:numPr>
        <w:tabs>
          <w:tab w:pos="1347" w:val="left" w:leader="none"/>
        </w:tabs>
        <w:spacing w:line="240" w:lineRule="auto" w:before="89" w:after="0"/>
        <w:ind w:left="1346" w:right="0" w:hanging="530"/>
        <w:jc w:val="left"/>
        <w:rPr>
          <w:sz w:val="21"/>
        </w:rPr>
      </w:pPr>
      <w:r>
        <w:rPr>
          <w:spacing w:val="-3"/>
          <w:sz w:val="21"/>
        </w:rPr>
        <w:t>被保险人达到疾病终末期阶段时本合同的现金价值；</w:t>
      </w:r>
    </w:p>
    <w:p>
      <w:pPr>
        <w:pStyle w:val="ListParagraph"/>
        <w:numPr>
          <w:ilvl w:val="0"/>
          <w:numId w:val="8"/>
        </w:numPr>
        <w:tabs>
          <w:tab w:pos="1347" w:val="left" w:leader="none"/>
        </w:tabs>
        <w:spacing w:line="240" w:lineRule="auto" w:before="91" w:after="0"/>
        <w:ind w:left="1346" w:right="0" w:hanging="530"/>
        <w:jc w:val="left"/>
        <w:rPr>
          <w:sz w:val="21"/>
        </w:rPr>
      </w:pPr>
      <w:r>
        <w:rPr>
          <w:spacing w:val="-3"/>
          <w:sz w:val="21"/>
        </w:rPr>
        <w:t>本合同的基本保险金额。</w:t>
      </w:r>
    </w:p>
    <w:p>
      <w:pPr>
        <w:spacing w:after="0" w:line="240" w:lineRule="auto"/>
        <w:jc w:val="left"/>
        <w:rPr>
          <w:sz w:val="21"/>
        </w:rPr>
        <w:sectPr>
          <w:pgSz w:w="11910" w:h="16840"/>
          <w:pgMar w:header="0" w:footer="1120" w:top="1380" w:bottom="1300" w:left="1020" w:right="1020"/>
        </w:sectPr>
      </w:pPr>
    </w:p>
    <w:p>
      <w:pPr>
        <w:spacing w:before="47"/>
        <w:ind w:left="395" w:right="0" w:firstLine="0"/>
        <w:jc w:val="left"/>
        <w:rPr>
          <w:b/>
          <w:sz w:val="21"/>
        </w:rPr>
      </w:pPr>
      <w:r>
        <w:rPr>
          <w:b/>
          <w:spacing w:val="-2"/>
          <w:sz w:val="21"/>
        </w:rPr>
        <w:t>二、可选责任</w:t>
      </w:r>
    </w:p>
    <w:p>
      <w:pPr>
        <w:pStyle w:val="BodyText"/>
        <w:spacing w:line="319" w:lineRule="auto" w:before="88"/>
        <w:ind w:left="395" w:right="391" w:firstLine="420"/>
      </w:pPr>
      <w:r>
        <w:rPr>
          <w:spacing w:val="-2"/>
        </w:rPr>
        <w:t>本合同的可选责任包含</w:t>
      </w:r>
      <w:r>
        <w:rPr>
          <w:spacing w:val="-116"/>
        </w:rPr>
        <w:t>：“</w:t>
      </w:r>
      <w:r>
        <w:rPr/>
        <w:t>（</w:t>
      </w:r>
      <w:r>
        <w:rPr>
          <w:spacing w:val="-2"/>
        </w:rPr>
        <w:t>一）</w:t>
      </w:r>
      <w:r>
        <w:rPr>
          <w:spacing w:val="-11"/>
        </w:rPr>
        <w:t>轻症疾病与中症疾病责任”</w:t>
      </w:r>
      <w:r>
        <w:rPr>
          <w:spacing w:val="-116"/>
        </w:rPr>
        <w:t>、“</w:t>
      </w:r>
      <w:r>
        <w:rPr/>
        <w:t>（</w:t>
      </w:r>
      <w:r>
        <w:rPr>
          <w:spacing w:val="-2"/>
        </w:rPr>
        <w:t>二）重大疾病关爱保险金与特定</w:t>
      </w:r>
      <w:r>
        <w:rPr>
          <w:spacing w:val="-13"/>
        </w:rPr>
        <w:t>疾病保险金责任”与“</w:t>
      </w:r>
      <w:r>
        <w:rPr>
          <w:spacing w:val="-3"/>
        </w:rPr>
        <w:t>（</w:t>
      </w:r>
      <w:r>
        <w:rPr>
          <w:spacing w:val="-2"/>
        </w:rPr>
        <w:t>三）多次重大疾病保险金责任”三类可选责任。</w:t>
      </w:r>
    </w:p>
    <w:p>
      <w:pPr>
        <w:pStyle w:val="BodyText"/>
        <w:spacing w:line="319" w:lineRule="auto" w:before="2"/>
        <w:ind w:left="395" w:right="396" w:firstLine="420"/>
      </w:pPr>
      <w:r>
        <w:rPr>
          <w:spacing w:val="-2"/>
        </w:rPr>
        <w:t>本合同包含的可选责任的类别由您在投保时选择的保险计划确认，每个保险计划中各类可选责</w:t>
      </w:r>
      <w:r>
        <w:rPr>
          <w:spacing w:val="-2"/>
        </w:rPr>
        <w:t>任的设置，详见附表。</w:t>
      </w:r>
    </w:p>
    <w:p>
      <w:pPr>
        <w:spacing w:before="55"/>
        <w:ind w:left="816" w:right="0" w:firstLine="0"/>
        <w:jc w:val="left"/>
        <w:rPr>
          <w:rFonts w:ascii="黑体" w:eastAsia="黑体" w:hint="eastAsia"/>
          <w:b/>
          <w:sz w:val="21"/>
        </w:rPr>
      </w:pPr>
      <w:r>
        <w:rPr>
          <w:rFonts w:ascii="黑体" w:eastAsia="黑体" w:hint="eastAsia"/>
          <w:b/>
          <w:spacing w:val="-4"/>
          <w:sz w:val="21"/>
        </w:rPr>
        <w:t>(一) 轻症疾病与中症疾病责任</w:t>
      </w:r>
    </w:p>
    <w:p>
      <w:pPr>
        <w:pStyle w:val="BodyText"/>
        <w:spacing w:line="319" w:lineRule="auto" w:before="146"/>
        <w:ind w:left="396" w:right="391" w:firstLine="419"/>
      </w:pPr>
      <w:r>
        <w:rPr>
          <w:spacing w:val="-8"/>
        </w:rPr>
        <w:t>该类可选责任包含</w:t>
      </w:r>
      <w:r>
        <w:rPr/>
        <w:t>“1.1</w:t>
      </w:r>
      <w:r>
        <w:rPr>
          <w:spacing w:val="-19"/>
        </w:rPr>
        <w:t> 轻症疾病保险金”</w:t>
      </w:r>
      <w:r>
        <w:rPr>
          <w:spacing w:val="-82"/>
        </w:rPr>
        <w:t>、“</w:t>
      </w:r>
      <w:r>
        <w:rPr/>
        <w:t>1.2</w:t>
      </w:r>
      <w:r>
        <w:rPr>
          <w:spacing w:val="-17"/>
        </w:rPr>
        <w:t> 轻症疾病豁免保险费”</w:t>
      </w:r>
      <w:r>
        <w:rPr>
          <w:spacing w:val="-82"/>
        </w:rPr>
        <w:t>、“</w:t>
      </w:r>
      <w:r>
        <w:rPr>
          <w:rFonts w:ascii="Times New Roman" w:hAnsi="Times New Roman" w:eastAsia="Times New Roman"/>
        </w:rPr>
        <w:t>1.3</w:t>
      </w:r>
      <w:r>
        <w:rPr>
          <w:rFonts w:ascii="Times New Roman" w:hAnsi="Times New Roman" w:eastAsia="Times New Roman"/>
          <w:spacing w:val="-14"/>
        </w:rPr>
        <w:t> </w:t>
      </w:r>
      <w:r>
        <w:rPr/>
        <w:t>中症疾病保险金”与“1.4</w:t>
      </w:r>
      <w:r>
        <w:rPr>
          <w:spacing w:val="-7"/>
        </w:rPr>
        <w:t> 中症疾病豁免保险费”共四项责任。</w:t>
      </w:r>
    </w:p>
    <w:p>
      <w:pPr>
        <w:pStyle w:val="ListParagraph"/>
        <w:numPr>
          <w:ilvl w:val="1"/>
          <w:numId w:val="9"/>
        </w:numPr>
        <w:tabs>
          <w:tab w:pos="1186" w:val="left" w:leader="none"/>
        </w:tabs>
        <w:spacing w:line="240" w:lineRule="auto" w:before="54" w:after="0"/>
        <w:ind w:left="1185" w:right="0" w:hanging="370"/>
        <w:jc w:val="left"/>
        <w:rPr>
          <w:rFonts w:ascii="黑体" w:eastAsia="黑体" w:hint="eastAsia"/>
          <w:b/>
          <w:sz w:val="21"/>
        </w:rPr>
      </w:pPr>
      <w:r>
        <w:rPr>
          <w:rFonts w:ascii="黑体" w:eastAsia="黑体" w:hint="eastAsia"/>
          <w:b/>
          <w:spacing w:val="-2"/>
          <w:sz w:val="21"/>
        </w:rPr>
        <w:t>轻症疾病保险金</w:t>
      </w:r>
    </w:p>
    <w:p>
      <w:pPr>
        <w:pStyle w:val="BodyText"/>
        <w:spacing w:line="319" w:lineRule="auto" w:before="130"/>
        <w:ind w:left="396" w:right="537" w:firstLine="419"/>
        <w:jc w:val="both"/>
      </w:pPr>
      <w:r>
        <w:rPr>
          <w:spacing w:val="-2"/>
        </w:rPr>
        <w:t>若被保险人于本合同生效（或最后复效）</w:t>
      </w:r>
      <w:r>
        <w:rPr>
          <w:spacing w:val="-8"/>
        </w:rPr>
        <w:t>之日起 </w:t>
      </w:r>
      <w:r>
        <w:rPr>
          <w:spacing w:val="-2"/>
        </w:rPr>
        <w:t>90</w:t>
      </w:r>
      <w:r>
        <w:rPr>
          <w:spacing w:val="-10"/>
        </w:rPr>
        <w:t> 日内</w:t>
      </w:r>
      <w:r>
        <w:rPr>
          <w:spacing w:val="-2"/>
        </w:rPr>
        <w:t>（含当日）因意外伤害以外的原因，</w:t>
      </w:r>
      <w:r>
        <w:rPr/>
        <w:t>确诊首次患有本合同所定义的</w:t>
      </w:r>
      <w:r>
        <w:rPr>
          <w:b/>
        </w:rPr>
        <w:t>轻症疾病</w:t>
      </w:r>
      <w:r>
        <w:rPr/>
        <w:t>（</w:t>
      </w:r>
      <w:r>
        <w:rPr>
          <w:spacing w:val="-7"/>
        </w:rPr>
        <w:t>见释义 </w:t>
      </w:r>
      <w:r>
        <w:rPr/>
        <w:t>14）中的任意一种或多种，我们将按本合同已交</w:t>
      </w:r>
      <w:r>
        <w:rPr>
          <w:spacing w:val="-2"/>
        </w:rPr>
        <w:t>保险费向疾病保险金受益人给付轻症疾病保险金，本合同终止。</w:t>
      </w:r>
    </w:p>
    <w:p>
      <w:pPr>
        <w:pStyle w:val="BodyText"/>
        <w:spacing w:before="1"/>
        <w:ind w:right="391"/>
        <w:jc w:val="right"/>
      </w:pPr>
      <w:r>
        <w:rPr>
          <w:spacing w:val="-16"/>
        </w:rPr>
        <w:t>若被保险人因意外伤害，或于本合同生效</w:t>
      </w:r>
      <w:r>
        <w:rPr>
          <w:spacing w:val="-2"/>
        </w:rPr>
        <w:t>（或最后复效</w:t>
      </w:r>
      <w:r>
        <w:rPr>
          <w:spacing w:val="-99"/>
        </w:rPr>
        <w:t>）</w:t>
      </w:r>
      <w:r>
        <w:rPr>
          <w:spacing w:val="-13"/>
        </w:rPr>
        <w:t>之日起 </w:t>
      </w:r>
      <w:r>
        <w:rPr>
          <w:rFonts w:ascii="Arial" w:eastAsia="Arial"/>
          <w:spacing w:val="-2"/>
        </w:rPr>
        <w:t>90</w:t>
      </w:r>
      <w:r>
        <w:rPr>
          <w:rFonts w:ascii="Arial" w:eastAsia="Arial"/>
          <w:spacing w:val="6"/>
        </w:rPr>
        <w:t> </w:t>
      </w:r>
      <w:r>
        <w:rPr>
          <w:spacing w:val="-3"/>
        </w:rPr>
        <w:t>日后因意外伤害以外的原因，</w:t>
      </w:r>
    </w:p>
    <w:p>
      <w:pPr>
        <w:pStyle w:val="BodyText"/>
        <w:spacing w:before="92"/>
        <w:ind w:right="390"/>
        <w:jc w:val="right"/>
        <w:rPr>
          <w:rFonts w:ascii="Arial" w:eastAsia="Arial"/>
        </w:rPr>
      </w:pPr>
      <w:r>
        <w:rPr>
          <w:spacing w:val="-3"/>
        </w:rPr>
        <w:t>确诊首次患有本合同所定义的轻症疾病中的任意一种或多种，我们将按本合同基本保险金额的 </w:t>
      </w:r>
      <w:r>
        <w:rPr>
          <w:rFonts w:ascii="Arial" w:eastAsia="Arial"/>
          <w:spacing w:val="-5"/>
        </w:rPr>
        <w:t>30%</w:t>
      </w:r>
    </w:p>
    <w:p>
      <w:pPr>
        <w:pStyle w:val="BodyText"/>
        <w:spacing w:before="88"/>
        <w:ind w:left="396"/>
      </w:pPr>
      <w:r>
        <w:rPr>
          <w:spacing w:val="-3"/>
        </w:rPr>
        <w:t>向疾病保险金受益人给付轻症疾病保险金。</w:t>
      </w:r>
    </w:p>
    <w:p>
      <w:pPr>
        <w:spacing w:before="87"/>
        <w:ind w:left="816" w:right="0" w:firstLine="0"/>
        <w:jc w:val="left"/>
        <w:rPr>
          <w:rFonts w:ascii="黑体" w:eastAsia="黑体"/>
          <w:sz w:val="24"/>
        </w:rPr>
      </w:pPr>
      <w:r>
        <w:rPr>
          <w:rFonts w:ascii="黑体" w:eastAsia="黑体"/>
          <w:spacing w:val="-2"/>
          <w:sz w:val="24"/>
        </w:rPr>
        <w:t>特别提示和说明：</w:t>
      </w:r>
    </w:p>
    <w:p>
      <w:pPr>
        <w:pStyle w:val="ListParagraph"/>
        <w:numPr>
          <w:ilvl w:val="0"/>
          <w:numId w:val="10"/>
        </w:numPr>
        <w:tabs>
          <w:tab w:pos="1057" w:val="left" w:leader="none"/>
        </w:tabs>
        <w:spacing w:line="280" w:lineRule="auto" w:before="50" w:after="0"/>
        <w:ind w:left="395" w:right="396" w:firstLine="420"/>
        <w:jc w:val="both"/>
        <w:rPr>
          <w:rFonts w:ascii="黑体" w:eastAsia="黑体"/>
          <w:sz w:val="24"/>
        </w:rPr>
      </w:pPr>
      <w:r>
        <w:rPr>
          <w:rFonts w:ascii="黑体" w:eastAsia="黑体"/>
          <w:spacing w:val="-2"/>
          <w:sz w:val="24"/>
        </w:rPr>
        <w:t>每种轻症疾病我们仅给付一次轻症疾病保险金，但本合同下其他不同种类的轻症</w:t>
      </w:r>
      <w:r>
        <w:rPr>
          <w:rFonts w:ascii="黑体" w:eastAsia="黑体"/>
          <w:spacing w:val="-2"/>
          <w:sz w:val="24"/>
        </w:rPr>
        <w:t>疾病可以再行给付，本合同的轻症疾病保险金累计给付次数以三次为限。当轻症疾病保</w:t>
      </w:r>
      <w:r>
        <w:rPr>
          <w:rFonts w:ascii="黑体" w:eastAsia="黑体"/>
          <w:spacing w:val="-2"/>
          <w:sz w:val="24"/>
        </w:rPr>
        <w:t>险金给付次数达到三次时，轻症疾病保险金责任终止，本合同继续有效。</w:t>
      </w:r>
    </w:p>
    <w:p>
      <w:pPr>
        <w:pStyle w:val="ListParagraph"/>
        <w:numPr>
          <w:ilvl w:val="0"/>
          <w:numId w:val="10"/>
        </w:numPr>
        <w:tabs>
          <w:tab w:pos="1057" w:val="left" w:leader="none"/>
        </w:tabs>
        <w:spacing w:line="278" w:lineRule="auto" w:before="0" w:after="0"/>
        <w:ind w:left="395" w:right="396" w:firstLine="420"/>
        <w:jc w:val="left"/>
        <w:rPr>
          <w:rFonts w:ascii="黑体" w:eastAsia="黑体"/>
          <w:sz w:val="24"/>
        </w:rPr>
      </w:pPr>
      <w:r>
        <w:rPr>
          <w:rFonts w:ascii="黑体" w:eastAsia="黑体"/>
          <w:spacing w:val="-2"/>
          <w:sz w:val="24"/>
        </w:rPr>
        <w:t>若被保险人因同一原因导致其首次患有符合本合同定义的两种或两种以上的轻症</w:t>
      </w:r>
      <w:r>
        <w:rPr>
          <w:rFonts w:ascii="黑体" w:eastAsia="黑体"/>
          <w:spacing w:val="-2"/>
          <w:sz w:val="24"/>
        </w:rPr>
        <w:t>疾病，我们按一种轻症疾病给付轻症疾病保险金。</w:t>
      </w:r>
    </w:p>
    <w:p>
      <w:pPr>
        <w:pStyle w:val="ListParagraph"/>
        <w:numPr>
          <w:ilvl w:val="1"/>
          <w:numId w:val="9"/>
        </w:numPr>
        <w:tabs>
          <w:tab w:pos="1188" w:val="left" w:leader="none"/>
        </w:tabs>
        <w:spacing w:line="240" w:lineRule="auto" w:before="76" w:after="0"/>
        <w:ind w:left="1188" w:right="0" w:hanging="370"/>
        <w:jc w:val="left"/>
        <w:rPr>
          <w:rFonts w:ascii="黑体" w:eastAsia="黑体" w:hint="eastAsia"/>
          <w:b/>
          <w:sz w:val="21"/>
        </w:rPr>
      </w:pPr>
      <w:r>
        <w:rPr>
          <w:rFonts w:ascii="黑体" w:eastAsia="黑体" w:hint="eastAsia"/>
          <w:b/>
          <w:spacing w:val="-2"/>
          <w:sz w:val="21"/>
        </w:rPr>
        <w:t>轻症疾病豁免保险费</w:t>
      </w:r>
    </w:p>
    <w:p>
      <w:pPr>
        <w:pStyle w:val="BodyText"/>
        <w:spacing w:line="319" w:lineRule="auto" w:before="129"/>
        <w:ind w:left="396" w:right="393" w:firstLine="419"/>
        <w:jc w:val="both"/>
      </w:pPr>
      <w:r>
        <w:rPr>
          <w:spacing w:val="-16"/>
        </w:rPr>
        <w:t>若被保险人因意外伤害，或于本合同生效</w:t>
      </w:r>
      <w:r>
        <w:rPr>
          <w:spacing w:val="-2"/>
        </w:rPr>
        <w:t>（或最后复效</w:t>
      </w:r>
      <w:r>
        <w:rPr>
          <w:spacing w:val="-92"/>
        </w:rPr>
        <w:t>）</w:t>
      </w:r>
      <w:r>
        <w:rPr>
          <w:spacing w:val="-8"/>
        </w:rPr>
        <w:t>之日起 </w:t>
      </w:r>
      <w:r>
        <w:rPr>
          <w:spacing w:val="-2"/>
        </w:rPr>
        <w:t>90</w:t>
      </w:r>
      <w:r>
        <w:rPr>
          <w:spacing w:val="-7"/>
        </w:rPr>
        <w:t> 日后因意外伤害以外的原因，</w:t>
      </w:r>
      <w:r>
        <w:rPr>
          <w:spacing w:val="-2"/>
        </w:rPr>
        <w:t>确诊首次患有本合同所定义的轻症疾病中的任意一种或多种，自确诊日后首个保险费到期日开始至</w:t>
      </w:r>
      <w:r>
        <w:rPr>
          <w:spacing w:val="-2"/>
        </w:rPr>
        <w:t>最后一期保险费到期日止，我们豁免上述期间内您应支付的本合同保险费，本合同继续有效。</w:t>
      </w:r>
    </w:p>
    <w:p>
      <w:pPr>
        <w:pStyle w:val="ListParagraph"/>
        <w:numPr>
          <w:ilvl w:val="1"/>
          <w:numId w:val="9"/>
        </w:numPr>
        <w:tabs>
          <w:tab w:pos="1188" w:val="left" w:leader="none"/>
        </w:tabs>
        <w:spacing w:line="240" w:lineRule="auto" w:before="72" w:after="0"/>
        <w:ind w:left="1188" w:right="0" w:hanging="370"/>
        <w:jc w:val="left"/>
        <w:rPr>
          <w:rFonts w:ascii="黑体" w:eastAsia="黑体" w:hint="eastAsia"/>
          <w:b/>
          <w:sz w:val="21"/>
        </w:rPr>
      </w:pPr>
      <w:r>
        <w:rPr>
          <w:rFonts w:ascii="黑体" w:eastAsia="黑体" w:hint="eastAsia"/>
          <w:b/>
          <w:spacing w:val="-2"/>
          <w:sz w:val="21"/>
        </w:rPr>
        <w:t>中症疾病保险金</w:t>
      </w:r>
    </w:p>
    <w:p>
      <w:pPr>
        <w:pStyle w:val="BodyText"/>
        <w:spacing w:line="319" w:lineRule="auto" w:before="129"/>
        <w:ind w:left="396" w:right="391" w:firstLine="420"/>
        <w:jc w:val="both"/>
      </w:pPr>
      <w:r>
        <w:rPr>
          <w:spacing w:val="-4"/>
        </w:rPr>
        <w:t>若被保险人于本合同生效（或最后复效）</w:t>
      </w:r>
      <w:r>
        <w:rPr>
          <w:spacing w:val="-7"/>
        </w:rPr>
        <w:t>之日起 </w:t>
      </w:r>
      <w:r>
        <w:rPr>
          <w:spacing w:val="-4"/>
        </w:rPr>
        <w:t>90</w:t>
      </w:r>
      <w:r>
        <w:rPr>
          <w:spacing w:val="-9"/>
        </w:rPr>
        <w:t> 日内</w:t>
      </w:r>
      <w:r>
        <w:rPr>
          <w:spacing w:val="-4"/>
        </w:rPr>
        <w:t>（含当日）因意外伤害以外的原因，确</w:t>
      </w:r>
      <w:r>
        <w:rPr>
          <w:spacing w:val="-2"/>
        </w:rPr>
        <w:t>诊首次患有本合同所定义的</w:t>
      </w:r>
      <w:r>
        <w:rPr>
          <w:b/>
          <w:spacing w:val="-2"/>
        </w:rPr>
        <w:t>中症疾病</w:t>
      </w:r>
      <w:r>
        <w:rPr>
          <w:spacing w:val="-2"/>
        </w:rPr>
        <w:t>（</w:t>
      </w:r>
      <w:r>
        <w:rPr>
          <w:spacing w:val="-4"/>
        </w:rPr>
        <w:t>见释义 </w:t>
      </w:r>
      <w:r>
        <w:rPr>
          <w:spacing w:val="-2"/>
        </w:rPr>
        <w:t>15）中的任意一种或多种，我们将按本合同已交保险</w:t>
      </w:r>
      <w:r>
        <w:rPr>
          <w:spacing w:val="-2"/>
        </w:rPr>
        <w:t>费向疾病保险金受益人给付中症疾病保险金，本合同终止。</w:t>
      </w:r>
    </w:p>
    <w:p>
      <w:pPr>
        <w:pStyle w:val="BodyText"/>
        <w:spacing w:before="4"/>
        <w:ind w:right="393"/>
        <w:jc w:val="right"/>
      </w:pPr>
      <w:r>
        <w:rPr>
          <w:spacing w:val="-16"/>
        </w:rPr>
        <w:t>若被保险人因意外伤害，或于本合同生效</w:t>
      </w:r>
      <w:r>
        <w:rPr>
          <w:spacing w:val="-2"/>
        </w:rPr>
        <w:t>（或最后复效</w:t>
      </w:r>
      <w:r>
        <w:rPr>
          <w:spacing w:val="-92"/>
        </w:rPr>
        <w:t>）</w:t>
      </w:r>
      <w:r>
        <w:rPr>
          <w:spacing w:val="-13"/>
        </w:rPr>
        <w:t>之日起 </w:t>
      </w:r>
      <w:r>
        <w:rPr>
          <w:spacing w:val="-2"/>
        </w:rPr>
        <w:t>90</w:t>
      </w:r>
      <w:r>
        <w:rPr>
          <w:spacing w:val="-10"/>
        </w:rPr>
        <w:t> 日后因意外伤害以外的原因，</w:t>
      </w:r>
    </w:p>
    <w:p>
      <w:pPr>
        <w:pStyle w:val="BodyText"/>
        <w:spacing w:before="89"/>
        <w:ind w:right="390"/>
        <w:jc w:val="right"/>
        <w:rPr>
          <w:rFonts w:ascii="Arial" w:eastAsia="Arial"/>
        </w:rPr>
      </w:pPr>
      <w:r>
        <w:rPr>
          <w:spacing w:val="-3"/>
        </w:rPr>
        <w:t>确诊首次患有本合同所定义的中症疾病中的任意一种或多种，我们将按本合同基本保险金额的 </w:t>
      </w:r>
      <w:r>
        <w:rPr>
          <w:rFonts w:ascii="Arial" w:eastAsia="Arial"/>
          <w:spacing w:val="-5"/>
        </w:rPr>
        <w:t>50%</w:t>
      </w:r>
    </w:p>
    <w:p>
      <w:pPr>
        <w:pStyle w:val="BodyText"/>
        <w:spacing w:before="91"/>
        <w:ind w:left="396"/>
      </w:pPr>
      <w:r>
        <w:rPr>
          <w:spacing w:val="-3"/>
        </w:rPr>
        <w:t>向疾病保险金受益人给付中症疾病保险金。</w:t>
      </w:r>
    </w:p>
    <w:p>
      <w:pPr>
        <w:spacing w:before="84"/>
        <w:ind w:left="816" w:right="0" w:firstLine="0"/>
        <w:jc w:val="left"/>
        <w:rPr>
          <w:rFonts w:ascii="黑体" w:eastAsia="黑体"/>
          <w:sz w:val="24"/>
        </w:rPr>
      </w:pPr>
      <w:r>
        <w:rPr>
          <w:rFonts w:ascii="黑体" w:eastAsia="黑体"/>
          <w:spacing w:val="-2"/>
          <w:sz w:val="24"/>
        </w:rPr>
        <w:t>特别提示和说明：</w:t>
      </w:r>
    </w:p>
    <w:p>
      <w:pPr>
        <w:pStyle w:val="ListParagraph"/>
        <w:numPr>
          <w:ilvl w:val="0"/>
          <w:numId w:val="11"/>
        </w:numPr>
        <w:tabs>
          <w:tab w:pos="1057" w:val="left" w:leader="none"/>
        </w:tabs>
        <w:spacing w:line="280" w:lineRule="auto" w:before="53" w:after="0"/>
        <w:ind w:left="395" w:right="396" w:firstLine="420"/>
        <w:jc w:val="both"/>
        <w:rPr>
          <w:rFonts w:ascii="黑体" w:eastAsia="黑体"/>
          <w:sz w:val="24"/>
        </w:rPr>
      </w:pPr>
      <w:r>
        <w:rPr>
          <w:rFonts w:ascii="黑体" w:eastAsia="黑体"/>
          <w:spacing w:val="-2"/>
          <w:sz w:val="24"/>
        </w:rPr>
        <w:t>每种中症疾病我们仅给付一次中症疾病保险金，但本合同下其他不同种类的中症</w:t>
      </w:r>
      <w:r>
        <w:rPr>
          <w:rFonts w:ascii="黑体" w:eastAsia="黑体"/>
          <w:spacing w:val="-2"/>
          <w:sz w:val="24"/>
        </w:rPr>
        <w:t>疾病可以再行给付，本合同的中症疾病保险金累计给付次数以两次为限。当中症疾病保</w:t>
      </w:r>
      <w:r>
        <w:rPr>
          <w:rFonts w:ascii="黑体" w:eastAsia="黑体"/>
          <w:spacing w:val="-2"/>
          <w:sz w:val="24"/>
        </w:rPr>
        <w:t>险金给付次数达到两次时，中症疾病保险金责任终止，本合同继续有效。</w:t>
      </w:r>
    </w:p>
    <w:p>
      <w:pPr>
        <w:pStyle w:val="ListParagraph"/>
        <w:numPr>
          <w:ilvl w:val="0"/>
          <w:numId w:val="11"/>
        </w:numPr>
        <w:tabs>
          <w:tab w:pos="1121" w:val="left" w:leader="none"/>
        </w:tabs>
        <w:spacing w:line="303" w:lineRule="exact" w:before="0" w:after="0"/>
        <w:ind w:left="1120" w:right="0" w:hanging="246"/>
        <w:jc w:val="left"/>
        <w:rPr>
          <w:rFonts w:ascii="黑体" w:eastAsia="黑体"/>
          <w:sz w:val="24"/>
        </w:rPr>
      </w:pPr>
      <w:r>
        <w:rPr>
          <w:rFonts w:ascii="黑体" w:eastAsia="黑体"/>
          <w:spacing w:val="-1"/>
          <w:sz w:val="24"/>
        </w:rPr>
        <w:t>若被保险人因同一原因导致其首次患有符合本合同定义的两种或两种以上的中</w:t>
      </w:r>
    </w:p>
    <w:p>
      <w:pPr>
        <w:spacing w:after="0" w:line="303" w:lineRule="exact"/>
        <w:jc w:val="left"/>
        <w:rPr>
          <w:rFonts w:ascii="黑体" w:eastAsia="黑体"/>
          <w:sz w:val="24"/>
        </w:rPr>
        <w:sectPr>
          <w:pgSz w:w="11910" w:h="16840"/>
          <w:pgMar w:header="0" w:footer="1120" w:top="1400" w:bottom="1300" w:left="1020" w:right="1020"/>
        </w:sectPr>
      </w:pPr>
    </w:p>
    <w:p>
      <w:pPr>
        <w:spacing w:before="44"/>
        <w:ind w:left="395" w:right="0" w:firstLine="0"/>
        <w:jc w:val="left"/>
        <w:rPr>
          <w:rFonts w:ascii="黑体" w:eastAsia="黑体"/>
          <w:sz w:val="24"/>
        </w:rPr>
      </w:pPr>
      <w:r>
        <w:rPr>
          <w:rFonts w:ascii="黑体" w:eastAsia="黑体"/>
          <w:spacing w:val="-1"/>
          <w:sz w:val="24"/>
        </w:rPr>
        <w:t>症疾病，我们按一种中症疾病给付中症疾病保险金。</w:t>
      </w:r>
    </w:p>
    <w:p>
      <w:pPr>
        <w:pStyle w:val="ListParagraph"/>
        <w:numPr>
          <w:ilvl w:val="1"/>
          <w:numId w:val="9"/>
        </w:numPr>
        <w:tabs>
          <w:tab w:pos="1188" w:val="left" w:leader="none"/>
        </w:tabs>
        <w:spacing w:line="240" w:lineRule="auto" w:before="125" w:after="0"/>
        <w:ind w:left="1188" w:right="0" w:hanging="370"/>
        <w:jc w:val="left"/>
        <w:rPr>
          <w:rFonts w:ascii="黑体" w:eastAsia="黑体" w:hint="eastAsia"/>
          <w:b/>
          <w:sz w:val="21"/>
        </w:rPr>
      </w:pPr>
      <w:r>
        <w:rPr>
          <w:rFonts w:ascii="黑体" w:eastAsia="黑体" w:hint="eastAsia"/>
          <w:b/>
          <w:spacing w:val="-2"/>
          <w:sz w:val="21"/>
        </w:rPr>
        <w:t>中症疾病豁免保险费</w:t>
      </w:r>
    </w:p>
    <w:p>
      <w:pPr>
        <w:pStyle w:val="BodyText"/>
        <w:spacing w:line="319" w:lineRule="auto" w:before="130"/>
        <w:ind w:left="396" w:right="393" w:firstLine="419"/>
        <w:jc w:val="both"/>
      </w:pPr>
      <w:r>
        <w:rPr>
          <w:spacing w:val="-16"/>
        </w:rPr>
        <w:t>若被保险人因意外伤害，或于本合同生效</w:t>
      </w:r>
      <w:r>
        <w:rPr>
          <w:spacing w:val="-2"/>
        </w:rPr>
        <w:t>（或最后复效</w:t>
      </w:r>
      <w:r>
        <w:rPr>
          <w:spacing w:val="-92"/>
        </w:rPr>
        <w:t>）</w:t>
      </w:r>
      <w:r>
        <w:rPr>
          <w:spacing w:val="-8"/>
        </w:rPr>
        <w:t>之日起 </w:t>
      </w:r>
      <w:r>
        <w:rPr>
          <w:spacing w:val="-2"/>
        </w:rPr>
        <w:t>90</w:t>
      </w:r>
      <w:r>
        <w:rPr>
          <w:spacing w:val="-7"/>
        </w:rPr>
        <w:t> 日后因意外伤害以外的原因，</w:t>
      </w:r>
      <w:r>
        <w:rPr>
          <w:spacing w:val="-2"/>
        </w:rPr>
        <w:t>确诊首次患有本合同所定义的中症疾病中的任意一种或多种，自确诊日后首个保险费到期日开始至</w:t>
      </w:r>
      <w:r>
        <w:rPr>
          <w:spacing w:val="-2"/>
        </w:rPr>
        <w:t>最后一期保险费到期日止，我们豁免上述期间内您应支付的本合同保险费，本合同继续有效。</w:t>
      </w:r>
    </w:p>
    <w:p>
      <w:pPr>
        <w:spacing w:before="71"/>
        <w:ind w:left="816" w:right="0" w:firstLine="0"/>
        <w:jc w:val="left"/>
        <w:rPr>
          <w:rFonts w:ascii="黑体" w:eastAsia="黑体" w:hint="eastAsia"/>
          <w:b/>
          <w:sz w:val="21"/>
        </w:rPr>
      </w:pPr>
      <w:r>
        <w:rPr>
          <w:rFonts w:ascii="黑体" w:eastAsia="黑体" w:hint="eastAsia"/>
          <w:b/>
          <w:spacing w:val="-4"/>
          <w:sz w:val="21"/>
        </w:rPr>
        <w:t>(二) 重大疾病关爱保险金与特定疾病保险金责任</w:t>
      </w:r>
    </w:p>
    <w:p>
      <w:pPr>
        <w:pStyle w:val="BodyText"/>
        <w:spacing w:before="146"/>
        <w:ind w:left="816"/>
      </w:pPr>
      <w:r>
        <w:rPr>
          <w:spacing w:val="-2"/>
        </w:rPr>
        <w:t>该类可选责任包含“2.1</w:t>
      </w:r>
      <w:r>
        <w:rPr>
          <w:spacing w:val="-8"/>
        </w:rPr>
        <w:t> 重大疾病关爱保险金”与</w:t>
      </w:r>
      <w:r>
        <w:rPr>
          <w:spacing w:val="-2"/>
        </w:rPr>
        <w:t>“2.2</w:t>
      </w:r>
      <w:r>
        <w:rPr>
          <w:spacing w:val="-9"/>
        </w:rPr>
        <w:t> 特定疾病保险金”两项责任。</w:t>
      </w:r>
    </w:p>
    <w:p>
      <w:pPr>
        <w:pStyle w:val="ListParagraph"/>
        <w:numPr>
          <w:ilvl w:val="1"/>
          <w:numId w:val="12"/>
        </w:numPr>
        <w:tabs>
          <w:tab w:pos="1186" w:val="left" w:leader="none"/>
        </w:tabs>
        <w:spacing w:line="240" w:lineRule="auto" w:before="144" w:after="0"/>
        <w:ind w:left="1185" w:right="0" w:hanging="370"/>
        <w:jc w:val="left"/>
        <w:rPr>
          <w:rFonts w:ascii="黑体" w:eastAsia="黑体" w:hint="eastAsia"/>
          <w:b/>
          <w:sz w:val="21"/>
        </w:rPr>
      </w:pPr>
      <w:r>
        <w:rPr>
          <w:rFonts w:ascii="黑体" w:eastAsia="黑体" w:hint="eastAsia"/>
          <w:b/>
          <w:spacing w:val="-3"/>
          <w:sz w:val="21"/>
        </w:rPr>
        <w:t>重大疾病关爱保险金</w:t>
      </w:r>
    </w:p>
    <w:p>
      <w:pPr>
        <w:pStyle w:val="BodyText"/>
        <w:spacing w:before="129"/>
        <w:ind w:left="816"/>
      </w:pPr>
      <w:r>
        <w:rPr>
          <w:spacing w:val="-16"/>
        </w:rPr>
        <w:t>若被保险人因意外伤害，或于本合同生效</w:t>
      </w:r>
      <w:r>
        <w:rPr>
          <w:spacing w:val="-2"/>
        </w:rPr>
        <w:t>（或最后复效</w:t>
      </w:r>
      <w:r>
        <w:rPr>
          <w:spacing w:val="-92"/>
        </w:rPr>
        <w:t>）</w:t>
      </w:r>
      <w:r>
        <w:rPr>
          <w:spacing w:val="-13"/>
        </w:rPr>
        <w:t>之日起 </w:t>
      </w:r>
      <w:r>
        <w:rPr>
          <w:spacing w:val="-2"/>
        </w:rPr>
        <w:t>90</w:t>
      </w:r>
      <w:r>
        <w:rPr>
          <w:spacing w:val="-10"/>
        </w:rPr>
        <w:t> 日后因意外伤害以外的原因，</w:t>
      </w:r>
    </w:p>
    <w:p>
      <w:pPr>
        <w:pStyle w:val="BodyText"/>
        <w:spacing w:line="321" w:lineRule="auto" w:before="89"/>
        <w:ind w:left="396" w:right="288" w:hanging="1"/>
      </w:pPr>
      <w:r>
        <w:rPr>
          <w:spacing w:val="-2"/>
        </w:rPr>
        <w:t>确诊首次患有本合同所定义的重大疾病中的任意一种或多种，且被保险人确诊时未满 </w:t>
      </w:r>
      <w:r>
        <w:rPr/>
        <w:t>60</w:t>
      </w:r>
      <w:r>
        <w:rPr>
          <w:spacing w:val="-9"/>
        </w:rPr>
        <w:t> 周岁的，并</w:t>
      </w:r>
      <w:r>
        <w:rPr>
          <w:spacing w:val="-23"/>
        </w:rPr>
        <w:t>同时满足“</w:t>
      </w:r>
      <w:r>
        <w:rPr/>
        <w:t>（</w:t>
      </w:r>
      <w:r>
        <w:rPr>
          <w:spacing w:val="-2"/>
        </w:rPr>
        <w:t>一）首次重大疾病保险金”责任的给付条件，我们在给付首次重大疾病保险金的同时，</w:t>
      </w:r>
      <w:r>
        <w:rPr/>
        <w:t>将按本合同基本保险金额的 50%额外向疾病保险金受益人给付重大疾病关爱保险金，本项保险责任</w:t>
      </w:r>
      <w:r>
        <w:rPr>
          <w:spacing w:val="-4"/>
        </w:rPr>
        <w:t>终止。</w:t>
      </w:r>
    </w:p>
    <w:p>
      <w:pPr>
        <w:pStyle w:val="ListParagraph"/>
        <w:numPr>
          <w:ilvl w:val="1"/>
          <w:numId w:val="12"/>
        </w:numPr>
        <w:tabs>
          <w:tab w:pos="1188" w:val="left" w:leader="none"/>
        </w:tabs>
        <w:spacing w:line="240" w:lineRule="auto" w:before="62" w:after="0"/>
        <w:ind w:left="1188" w:right="0" w:hanging="370"/>
        <w:jc w:val="left"/>
        <w:rPr>
          <w:rFonts w:ascii="黑体" w:eastAsia="黑体" w:hint="eastAsia"/>
          <w:b/>
          <w:sz w:val="21"/>
        </w:rPr>
      </w:pPr>
      <w:r>
        <w:rPr>
          <w:rFonts w:ascii="黑体" w:eastAsia="黑体" w:hint="eastAsia"/>
          <w:b/>
          <w:spacing w:val="-2"/>
          <w:sz w:val="21"/>
        </w:rPr>
        <w:t>特定疾病保险金</w:t>
      </w:r>
    </w:p>
    <w:p>
      <w:pPr>
        <w:pStyle w:val="BodyText"/>
        <w:spacing w:line="321" w:lineRule="auto" w:before="130"/>
        <w:ind w:left="396" w:right="393" w:firstLine="419"/>
        <w:jc w:val="both"/>
      </w:pPr>
      <w:r>
        <w:rPr>
          <w:spacing w:val="-16"/>
        </w:rPr>
        <w:t>若被保险人因意外伤害，或于本合同生效</w:t>
      </w:r>
      <w:r>
        <w:rPr>
          <w:spacing w:val="-2"/>
        </w:rPr>
        <w:t>（或最后复效</w:t>
      </w:r>
      <w:r>
        <w:rPr>
          <w:spacing w:val="-92"/>
        </w:rPr>
        <w:t>）</w:t>
      </w:r>
      <w:r>
        <w:rPr>
          <w:spacing w:val="-8"/>
        </w:rPr>
        <w:t>之日起 </w:t>
      </w:r>
      <w:r>
        <w:rPr>
          <w:spacing w:val="-2"/>
        </w:rPr>
        <w:t>90</w:t>
      </w:r>
      <w:r>
        <w:rPr>
          <w:spacing w:val="-7"/>
        </w:rPr>
        <w:t> 日后因意外伤害以外的原因，</w:t>
      </w:r>
      <w:r>
        <w:rPr>
          <w:spacing w:val="-4"/>
        </w:rPr>
        <w:t>确诊首次患有本合同所定义的</w:t>
      </w:r>
      <w:r>
        <w:rPr>
          <w:b/>
          <w:spacing w:val="-4"/>
        </w:rPr>
        <w:t>特定疾病</w:t>
      </w:r>
      <w:r>
        <w:rPr>
          <w:spacing w:val="-4"/>
        </w:rPr>
        <w:t>（</w:t>
      </w:r>
      <w:r>
        <w:rPr>
          <w:spacing w:val="-9"/>
        </w:rPr>
        <w:t>见释义 </w:t>
      </w:r>
      <w:r>
        <w:rPr>
          <w:spacing w:val="-4"/>
        </w:rPr>
        <w:t>16）</w:t>
      </w:r>
      <w:r>
        <w:rPr>
          <w:spacing w:val="-11"/>
        </w:rPr>
        <w:t>中的任意一种或多种，并同时满足“</w:t>
      </w:r>
      <w:r>
        <w:rPr>
          <w:spacing w:val="-3"/>
        </w:rPr>
        <w:t>（</w:t>
      </w:r>
      <w:r>
        <w:rPr>
          <w:spacing w:val="-4"/>
        </w:rPr>
        <w:t>一）首次</w:t>
      </w:r>
      <w:r>
        <w:rPr>
          <w:spacing w:val="-2"/>
        </w:rPr>
        <w:t>重大疾病保险金”责任的给付条件，我们在给付首次重大疾病保险金的同时，将按本合同基本保险</w:t>
      </w:r>
      <w:r>
        <w:rPr>
          <w:spacing w:val="-11"/>
        </w:rPr>
        <w:t>金额的 </w:t>
      </w:r>
      <w:r>
        <w:rPr/>
        <w:t>50%额外向疾病保险金受益人给付特定疾病保险金，本项保险责任终止。</w:t>
      </w:r>
    </w:p>
    <w:p>
      <w:pPr>
        <w:pStyle w:val="BodyText"/>
        <w:spacing w:line="321" w:lineRule="auto" w:before="10"/>
        <w:ind w:left="396" w:right="185" w:firstLine="420"/>
      </w:pPr>
      <w:r>
        <w:rPr>
          <w:spacing w:val="-2"/>
        </w:rPr>
        <w:t>我们根据被保险人确诊首次患有本合同所定义的特定疾病时所处的年龄段承担相应的保险责任，</w:t>
      </w:r>
      <w:r>
        <w:rPr>
          <w:spacing w:val="-2"/>
        </w:rPr>
        <w:t>具体如下：</w:t>
      </w:r>
    </w:p>
    <w:p>
      <w:pPr>
        <w:pStyle w:val="ListParagraph"/>
        <w:numPr>
          <w:ilvl w:val="0"/>
          <w:numId w:val="13"/>
        </w:numPr>
        <w:tabs>
          <w:tab w:pos="1345" w:val="left" w:leader="none"/>
        </w:tabs>
        <w:spacing w:line="319" w:lineRule="auto" w:before="0" w:after="0"/>
        <w:ind w:left="395" w:right="394" w:firstLine="419"/>
        <w:jc w:val="both"/>
        <w:rPr>
          <w:sz w:val="21"/>
        </w:rPr>
      </w:pPr>
      <w:r>
        <w:rPr>
          <w:spacing w:val="-7"/>
          <w:sz w:val="21"/>
        </w:rPr>
        <w:t>被保险人 </w:t>
      </w:r>
      <w:r>
        <w:rPr>
          <w:rFonts w:ascii="Times New Roman" w:eastAsia="Times New Roman"/>
          <w:spacing w:val="-2"/>
          <w:sz w:val="21"/>
        </w:rPr>
        <w:t>18</w:t>
      </w:r>
      <w:r>
        <w:rPr>
          <w:rFonts w:ascii="Times New Roman" w:eastAsia="Times New Roman"/>
          <w:spacing w:val="25"/>
          <w:sz w:val="21"/>
        </w:rPr>
        <w:t> </w:t>
      </w:r>
      <w:r>
        <w:rPr>
          <w:spacing w:val="-2"/>
          <w:sz w:val="21"/>
        </w:rPr>
        <w:t>周岁前确诊首次患有本合同所定义的</w:t>
      </w:r>
      <w:r>
        <w:rPr>
          <w:b/>
          <w:spacing w:val="-2"/>
          <w:sz w:val="21"/>
        </w:rPr>
        <w:t>白血病</w:t>
      </w:r>
      <w:r>
        <w:rPr>
          <w:spacing w:val="-2"/>
          <w:sz w:val="21"/>
        </w:rPr>
        <w:t>（</w:t>
      </w:r>
      <w:r>
        <w:rPr>
          <w:spacing w:val="-8"/>
          <w:sz w:val="21"/>
        </w:rPr>
        <w:t>见释义 </w:t>
      </w:r>
      <w:r>
        <w:rPr>
          <w:rFonts w:ascii="Times New Roman" w:eastAsia="Times New Roman"/>
          <w:spacing w:val="20"/>
          <w:sz w:val="21"/>
        </w:rPr>
        <w:t>16.</w:t>
      </w:r>
      <w:r>
        <w:rPr>
          <w:rFonts w:ascii="Times New Roman" w:eastAsia="Times New Roman"/>
          <w:spacing w:val="17"/>
          <w:sz w:val="21"/>
        </w:rPr>
        <w:t>1</w:t>
      </w:r>
      <w:r>
        <w:rPr>
          <w:spacing w:val="-88"/>
          <w:sz w:val="21"/>
        </w:rPr>
        <w:t>）</w:t>
      </w:r>
      <w:r>
        <w:rPr>
          <w:spacing w:val="-2"/>
          <w:sz w:val="21"/>
        </w:rPr>
        <w:t>、</w:t>
      </w:r>
      <w:r>
        <w:rPr>
          <w:b/>
          <w:spacing w:val="-2"/>
          <w:sz w:val="21"/>
        </w:rPr>
        <w:t>重大器官移植</w:t>
      </w:r>
      <w:r>
        <w:rPr>
          <w:b/>
          <w:spacing w:val="-2"/>
          <w:w w:val="95"/>
          <w:sz w:val="21"/>
        </w:rPr>
        <w:t>术</w:t>
      </w:r>
      <w:r>
        <w:rPr>
          <w:b/>
          <w:spacing w:val="-2"/>
          <w:w w:val="95"/>
          <w:sz w:val="21"/>
        </w:rPr>
        <w:t>或</w:t>
      </w:r>
      <w:r>
        <w:rPr>
          <w:b/>
          <w:spacing w:val="-2"/>
          <w:w w:val="95"/>
          <w:sz w:val="21"/>
        </w:rPr>
        <w:t>造</w:t>
      </w:r>
      <w:r>
        <w:rPr>
          <w:b/>
          <w:spacing w:val="-2"/>
          <w:w w:val="95"/>
          <w:sz w:val="21"/>
        </w:rPr>
        <w:t>血</w:t>
      </w:r>
      <w:r>
        <w:rPr>
          <w:b/>
          <w:spacing w:val="-2"/>
          <w:w w:val="95"/>
          <w:sz w:val="21"/>
        </w:rPr>
        <w:t>干</w:t>
      </w:r>
      <w:r>
        <w:rPr>
          <w:b/>
          <w:spacing w:val="-2"/>
          <w:w w:val="95"/>
          <w:sz w:val="21"/>
        </w:rPr>
        <w:t>细</w:t>
      </w:r>
      <w:r>
        <w:rPr>
          <w:b/>
          <w:spacing w:val="-2"/>
          <w:w w:val="95"/>
          <w:sz w:val="21"/>
        </w:rPr>
        <w:t>胞</w:t>
      </w:r>
      <w:r>
        <w:rPr>
          <w:b/>
          <w:spacing w:val="-2"/>
          <w:w w:val="95"/>
          <w:sz w:val="21"/>
        </w:rPr>
        <w:t>移</w:t>
      </w:r>
      <w:r>
        <w:rPr>
          <w:b/>
          <w:spacing w:val="-2"/>
          <w:w w:val="95"/>
          <w:sz w:val="21"/>
        </w:rPr>
        <w:t>植</w:t>
      </w:r>
      <w:r>
        <w:rPr>
          <w:b/>
          <w:spacing w:val="-2"/>
          <w:w w:val="95"/>
          <w:sz w:val="21"/>
        </w:rPr>
        <w:t>术</w:t>
      </w:r>
      <w:r>
        <w:rPr>
          <w:spacing w:val="-2"/>
          <w:w w:val="95"/>
          <w:sz w:val="21"/>
        </w:rPr>
        <w:t>（</w:t>
      </w:r>
      <w:r>
        <w:rPr>
          <w:spacing w:val="-2"/>
          <w:w w:val="95"/>
          <w:sz w:val="21"/>
        </w:rPr>
        <w:t>见</w:t>
      </w:r>
      <w:r>
        <w:rPr>
          <w:spacing w:val="-2"/>
          <w:w w:val="95"/>
          <w:sz w:val="21"/>
        </w:rPr>
        <w:t>释</w:t>
      </w:r>
      <w:r>
        <w:rPr>
          <w:spacing w:val="-2"/>
          <w:w w:val="95"/>
          <w:sz w:val="21"/>
        </w:rPr>
        <w:t>义</w:t>
      </w:r>
      <w:r>
        <w:rPr>
          <w:spacing w:val="-2"/>
          <w:w w:val="95"/>
          <w:sz w:val="21"/>
        </w:rPr>
        <w:t> </w:t>
      </w:r>
      <w:r>
        <w:rPr>
          <w:rFonts w:ascii="Times New Roman" w:eastAsia="Times New Roman"/>
          <w:spacing w:val="17"/>
          <w:w w:val="95"/>
          <w:sz w:val="21"/>
        </w:rPr>
        <w:t>1</w:t>
      </w:r>
      <w:r>
        <w:rPr>
          <w:rFonts w:ascii="Times New Roman" w:eastAsia="Times New Roman"/>
          <w:spacing w:val="20"/>
          <w:w w:val="95"/>
          <w:sz w:val="21"/>
        </w:rPr>
        <w:t>6.</w:t>
      </w:r>
      <w:r>
        <w:rPr>
          <w:rFonts w:ascii="Times New Roman" w:eastAsia="Times New Roman"/>
          <w:spacing w:val="19"/>
          <w:w w:val="95"/>
          <w:sz w:val="21"/>
        </w:rPr>
        <w:t>2</w:t>
      </w:r>
      <w:r>
        <w:rPr>
          <w:spacing w:val="-86"/>
          <w:w w:val="95"/>
          <w:sz w:val="21"/>
        </w:rPr>
        <w:t>）</w:t>
      </w:r>
      <w:r>
        <w:rPr>
          <w:spacing w:val="-2"/>
          <w:w w:val="95"/>
          <w:sz w:val="21"/>
        </w:rPr>
        <w:t>、</w:t>
      </w:r>
      <w:r>
        <w:rPr>
          <w:b/>
          <w:spacing w:val="-2"/>
          <w:w w:val="95"/>
          <w:sz w:val="21"/>
        </w:rPr>
        <w:t>严</w:t>
      </w:r>
      <w:r>
        <w:rPr>
          <w:b/>
          <w:spacing w:val="-2"/>
          <w:w w:val="95"/>
          <w:sz w:val="21"/>
        </w:rPr>
        <w:t>重</w:t>
      </w:r>
      <w:r>
        <w:rPr>
          <w:b/>
          <w:spacing w:val="-2"/>
          <w:w w:val="95"/>
          <w:sz w:val="21"/>
        </w:rPr>
        <w:t>脑</w:t>
      </w:r>
      <w:r>
        <w:rPr>
          <w:b/>
          <w:spacing w:val="-2"/>
          <w:w w:val="95"/>
          <w:sz w:val="21"/>
        </w:rPr>
        <w:t>损</w:t>
      </w:r>
      <w:r>
        <w:rPr>
          <w:b/>
          <w:spacing w:val="-2"/>
          <w:w w:val="95"/>
          <w:sz w:val="21"/>
        </w:rPr>
        <w:t>伤</w:t>
      </w:r>
      <w:r>
        <w:rPr>
          <w:spacing w:val="-2"/>
          <w:w w:val="95"/>
          <w:sz w:val="21"/>
        </w:rPr>
        <w:t>（见释义 </w:t>
      </w:r>
      <w:r>
        <w:rPr>
          <w:rFonts w:ascii="Times New Roman" w:eastAsia="Times New Roman"/>
          <w:spacing w:val="19"/>
          <w:w w:val="95"/>
          <w:sz w:val="21"/>
        </w:rPr>
        <w:t>16.</w:t>
      </w:r>
      <w:r>
        <w:rPr>
          <w:rFonts w:ascii="Times New Roman" w:eastAsia="Times New Roman"/>
          <w:spacing w:val="16"/>
          <w:w w:val="95"/>
          <w:sz w:val="21"/>
        </w:rPr>
        <w:t>3</w:t>
      </w:r>
      <w:r>
        <w:rPr>
          <w:spacing w:val="-87"/>
          <w:w w:val="95"/>
          <w:sz w:val="21"/>
        </w:rPr>
        <w:t>）</w:t>
      </w:r>
      <w:r>
        <w:rPr>
          <w:spacing w:val="-2"/>
          <w:w w:val="95"/>
          <w:sz w:val="21"/>
        </w:rPr>
        <w:t>、</w:t>
      </w:r>
      <w:r>
        <w:rPr>
          <w:b/>
          <w:spacing w:val="-2"/>
          <w:w w:val="95"/>
          <w:sz w:val="21"/>
        </w:rPr>
        <w:t>严</w:t>
      </w:r>
      <w:r>
        <w:rPr>
          <w:b/>
          <w:spacing w:val="-2"/>
          <w:w w:val="95"/>
          <w:sz w:val="21"/>
        </w:rPr>
        <w:t>重</w:t>
      </w:r>
      <w:r>
        <w:rPr>
          <w:b/>
          <w:spacing w:val="-2"/>
          <w:w w:val="95"/>
          <w:sz w:val="21"/>
        </w:rPr>
        <w:t>心</w:t>
      </w:r>
      <w:r>
        <w:rPr>
          <w:b/>
          <w:spacing w:val="-2"/>
          <w:w w:val="95"/>
          <w:sz w:val="21"/>
        </w:rPr>
        <w:t>肌</w:t>
      </w:r>
      <w:r>
        <w:rPr>
          <w:b/>
          <w:spacing w:val="-2"/>
          <w:w w:val="95"/>
          <w:sz w:val="21"/>
        </w:rPr>
        <w:t>病</w:t>
      </w:r>
      <w:r>
        <w:rPr>
          <w:spacing w:val="-2"/>
          <w:w w:val="95"/>
          <w:sz w:val="21"/>
        </w:rPr>
        <w:t>（</w:t>
      </w:r>
      <w:r>
        <w:rPr>
          <w:spacing w:val="-2"/>
          <w:w w:val="95"/>
          <w:sz w:val="21"/>
        </w:rPr>
        <w:t>见</w:t>
      </w:r>
      <w:r>
        <w:rPr>
          <w:spacing w:val="-2"/>
          <w:w w:val="95"/>
          <w:sz w:val="21"/>
        </w:rPr>
        <w:t>释义 </w:t>
      </w:r>
      <w:r>
        <w:rPr>
          <w:rFonts w:ascii="Times New Roman" w:eastAsia="Times New Roman"/>
          <w:spacing w:val="20"/>
          <w:w w:val="95"/>
          <w:sz w:val="21"/>
        </w:rPr>
        <w:t>16</w:t>
      </w:r>
      <w:r>
        <w:rPr>
          <w:rFonts w:ascii="Times New Roman" w:eastAsia="Times New Roman"/>
          <w:spacing w:val="17"/>
          <w:w w:val="95"/>
          <w:sz w:val="21"/>
        </w:rPr>
        <w:t>.</w:t>
      </w:r>
      <w:r>
        <w:rPr>
          <w:rFonts w:ascii="Times New Roman" w:eastAsia="Times New Roman"/>
          <w:spacing w:val="19"/>
          <w:w w:val="95"/>
          <w:sz w:val="21"/>
        </w:rPr>
        <w:t>4</w:t>
      </w:r>
      <w:r>
        <w:rPr>
          <w:spacing w:val="-86"/>
          <w:w w:val="95"/>
          <w:sz w:val="21"/>
        </w:rPr>
        <w:t>）</w:t>
      </w:r>
      <w:r>
        <w:rPr>
          <w:spacing w:val="-2"/>
          <w:w w:val="95"/>
          <w:sz w:val="21"/>
        </w:rPr>
        <w:t>、</w:t>
      </w:r>
      <w:r>
        <w:rPr>
          <w:b/>
          <w:spacing w:val="-2"/>
          <w:w w:val="95"/>
          <w:sz w:val="21"/>
        </w:rPr>
        <w:t>严</w:t>
      </w:r>
      <w:r>
        <w:rPr>
          <w:b/>
          <w:spacing w:val="-4"/>
          <w:sz w:val="21"/>
        </w:rPr>
        <w:t>重川崎病冠状动脉瘤手术</w:t>
      </w:r>
      <w:r>
        <w:rPr>
          <w:spacing w:val="-4"/>
          <w:sz w:val="21"/>
        </w:rPr>
        <w:t>（</w:t>
      </w:r>
      <w:r>
        <w:rPr>
          <w:spacing w:val="-17"/>
          <w:sz w:val="21"/>
        </w:rPr>
        <w:t>见释义 </w:t>
      </w:r>
      <w:r>
        <w:rPr>
          <w:rFonts w:ascii="Times New Roman" w:eastAsia="Times New Roman"/>
          <w:spacing w:val="17"/>
          <w:sz w:val="21"/>
        </w:rPr>
        <w:t>16.</w:t>
      </w:r>
      <w:r>
        <w:rPr>
          <w:rFonts w:ascii="Times New Roman" w:eastAsia="Times New Roman"/>
          <w:spacing w:val="14"/>
          <w:sz w:val="21"/>
        </w:rPr>
        <w:t>5</w:t>
      </w:r>
      <w:r>
        <w:rPr>
          <w:spacing w:val="-89"/>
          <w:sz w:val="21"/>
        </w:rPr>
        <w:t>）</w:t>
      </w:r>
      <w:r>
        <w:rPr>
          <w:spacing w:val="-4"/>
          <w:sz w:val="21"/>
        </w:rPr>
        <w:t>、</w:t>
      </w:r>
      <w:r>
        <w:rPr>
          <w:b/>
          <w:spacing w:val="-4"/>
          <w:sz w:val="21"/>
        </w:rPr>
        <w:t>斯蒂尔病（全身型幼年类风湿性关节炎</w:t>
      </w:r>
      <w:r>
        <w:rPr>
          <w:b/>
          <w:spacing w:val="-106"/>
          <w:sz w:val="21"/>
        </w:rPr>
        <w:t>）</w:t>
      </w:r>
      <w:r>
        <w:rPr>
          <w:sz w:val="21"/>
        </w:rPr>
        <w:t>（</w:t>
      </w:r>
      <w:r>
        <w:rPr>
          <w:spacing w:val="-17"/>
          <w:sz w:val="21"/>
        </w:rPr>
        <w:t>见释义 </w:t>
      </w:r>
      <w:r>
        <w:rPr>
          <w:rFonts w:ascii="Times New Roman" w:eastAsia="Times New Roman"/>
          <w:spacing w:val="17"/>
          <w:sz w:val="21"/>
        </w:rPr>
        <w:t>16.6</w:t>
      </w:r>
      <w:r>
        <w:rPr>
          <w:spacing w:val="-91"/>
          <w:sz w:val="21"/>
        </w:rPr>
        <w:t>）</w:t>
      </w:r>
      <w:r>
        <w:rPr>
          <w:spacing w:val="-108"/>
          <w:sz w:val="21"/>
        </w:rPr>
        <w:t>。</w:t>
      </w:r>
    </w:p>
    <w:p>
      <w:pPr>
        <w:pStyle w:val="ListParagraph"/>
        <w:numPr>
          <w:ilvl w:val="0"/>
          <w:numId w:val="13"/>
        </w:numPr>
        <w:tabs>
          <w:tab w:pos="1345" w:val="left" w:leader="none"/>
        </w:tabs>
        <w:spacing w:line="319" w:lineRule="auto" w:before="0" w:after="0"/>
        <w:ind w:left="395" w:right="391" w:firstLine="419"/>
        <w:jc w:val="both"/>
        <w:rPr>
          <w:b/>
          <w:sz w:val="21"/>
        </w:rPr>
      </w:pPr>
      <w:r>
        <w:rPr>
          <w:spacing w:val="-4"/>
          <w:sz w:val="21"/>
        </w:rPr>
        <w:t>被保险人年满 </w:t>
      </w:r>
      <w:r>
        <w:rPr>
          <w:rFonts w:ascii="Times New Roman" w:hAnsi="Times New Roman" w:eastAsia="Times New Roman"/>
          <w:sz w:val="21"/>
        </w:rPr>
        <w:t>18</w:t>
      </w:r>
      <w:r>
        <w:rPr>
          <w:rFonts w:ascii="Times New Roman" w:hAnsi="Times New Roman" w:eastAsia="Times New Roman"/>
          <w:spacing w:val="-13"/>
          <w:sz w:val="21"/>
        </w:rPr>
        <w:t> </w:t>
      </w:r>
      <w:r>
        <w:rPr>
          <w:sz w:val="21"/>
        </w:rPr>
        <w:t>周岁（含）后确诊首次患有本合同所定义的白血病、</w:t>
      </w:r>
      <w:r>
        <w:rPr>
          <w:b/>
          <w:sz w:val="21"/>
        </w:rPr>
        <w:t>肾恶性肿瘤——重</w:t>
      </w:r>
      <w:r>
        <w:rPr>
          <w:b/>
          <w:w w:val="95"/>
          <w:sz w:val="21"/>
        </w:rPr>
        <w:t>度</w:t>
      </w:r>
      <w:r>
        <w:rPr>
          <w:w w:val="95"/>
          <w:sz w:val="21"/>
        </w:rPr>
        <w:t>（见</w:t>
      </w:r>
      <w:r>
        <w:rPr>
          <w:w w:val="95"/>
          <w:sz w:val="21"/>
        </w:rPr>
        <w:t>释</w:t>
      </w:r>
      <w:r>
        <w:rPr>
          <w:w w:val="95"/>
          <w:sz w:val="21"/>
        </w:rPr>
        <w:t>义</w:t>
      </w:r>
      <w:r>
        <w:rPr>
          <w:w w:val="95"/>
          <w:sz w:val="21"/>
        </w:rPr>
        <w:t> </w:t>
      </w:r>
      <w:r>
        <w:rPr>
          <w:rFonts w:ascii="Times New Roman" w:hAnsi="Times New Roman" w:eastAsia="Times New Roman"/>
          <w:spacing w:val="22"/>
          <w:w w:val="95"/>
          <w:sz w:val="21"/>
        </w:rPr>
        <w:t>16</w:t>
      </w:r>
      <w:r>
        <w:rPr>
          <w:rFonts w:ascii="Times New Roman" w:hAnsi="Times New Roman" w:eastAsia="Times New Roman"/>
          <w:spacing w:val="19"/>
          <w:w w:val="95"/>
          <w:sz w:val="21"/>
        </w:rPr>
        <w:t>.</w:t>
      </w:r>
      <w:r>
        <w:rPr>
          <w:rFonts w:ascii="Times New Roman" w:hAnsi="Times New Roman" w:eastAsia="Times New Roman"/>
          <w:spacing w:val="21"/>
          <w:w w:val="95"/>
          <w:sz w:val="21"/>
        </w:rPr>
        <w:t>7</w:t>
      </w:r>
      <w:r>
        <w:rPr>
          <w:spacing w:val="-84"/>
          <w:w w:val="95"/>
          <w:sz w:val="21"/>
        </w:rPr>
        <w:t>）</w:t>
      </w:r>
      <w:r>
        <w:rPr>
          <w:w w:val="95"/>
          <w:sz w:val="21"/>
        </w:rPr>
        <w:t>、</w:t>
      </w:r>
      <w:r>
        <w:rPr>
          <w:b/>
          <w:w w:val="95"/>
          <w:sz w:val="21"/>
        </w:rPr>
        <w:t>胰</w:t>
      </w:r>
      <w:r>
        <w:rPr>
          <w:b/>
          <w:w w:val="95"/>
          <w:sz w:val="21"/>
        </w:rPr>
        <w:t>腺</w:t>
      </w:r>
      <w:r>
        <w:rPr>
          <w:b/>
          <w:w w:val="95"/>
          <w:sz w:val="21"/>
        </w:rPr>
        <w:t>恶</w:t>
      </w:r>
      <w:r>
        <w:rPr>
          <w:b/>
          <w:w w:val="95"/>
          <w:sz w:val="21"/>
        </w:rPr>
        <w:t>性</w:t>
      </w:r>
      <w:r>
        <w:rPr>
          <w:b/>
          <w:w w:val="95"/>
          <w:sz w:val="21"/>
        </w:rPr>
        <w:t>肿</w:t>
      </w:r>
      <w:r>
        <w:rPr>
          <w:b/>
          <w:w w:val="95"/>
          <w:sz w:val="21"/>
        </w:rPr>
        <w:t>瘤</w:t>
      </w:r>
      <w:r>
        <w:rPr>
          <w:b/>
          <w:w w:val="95"/>
          <w:sz w:val="21"/>
        </w:rPr>
        <w:t>——</w:t>
      </w:r>
      <w:r>
        <w:rPr>
          <w:b/>
          <w:w w:val="95"/>
          <w:sz w:val="21"/>
        </w:rPr>
        <w:t>重</w:t>
      </w:r>
      <w:r>
        <w:rPr>
          <w:b/>
          <w:w w:val="95"/>
          <w:sz w:val="21"/>
        </w:rPr>
        <w:t>度</w:t>
      </w:r>
      <w:r>
        <w:rPr>
          <w:w w:val="95"/>
          <w:sz w:val="21"/>
        </w:rPr>
        <w:t>（</w:t>
      </w:r>
      <w:r>
        <w:rPr>
          <w:w w:val="95"/>
          <w:sz w:val="21"/>
        </w:rPr>
        <w:t>见</w:t>
      </w:r>
      <w:r>
        <w:rPr>
          <w:w w:val="95"/>
          <w:sz w:val="21"/>
        </w:rPr>
        <w:t>释</w:t>
      </w:r>
      <w:r>
        <w:rPr>
          <w:w w:val="95"/>
          <w:sz w:val="21"/>
        </w:rPr>
        <w:t>义</w:t>
      </w:r>
      <w:r>
        <w:rPr>
          <w:spacing w:val="-1"/>
          <w:w w:val="95"/>
          <w:sz w:val="21"/>
        </w:rPr>
        <w:t> </w:t>
      </w:r>
      <w:r>
        <w:rPr>
          <w:rFonts w:ascii="Times New Roman" w:hAnsi="Times New Roman" w:eastAsia="Times New Roman"/>
          <w:spacing w:val="21"/>
          <w:w w:val="95"/>
          <w:sz w:val="21"/>
        </w:rPr>
        <w:t>16.8</w:t>
      </w:r>
      <w:r>
        <w:rPr>
          <w:spacing w:val="-87"/>
          <w:w w:val="95"/>
          <w:sz w:val="21"/>
        </w:rPr>
        <w:t>）</w:t>
      </w:r>
      <w:r>
        <w:rPr>
          <w:w w:val="95"/>
          <w:sz w:val="21"/>
        </w:rPr>
        <w:t>、</w:t>
      </w:r>
      <w:r>
        <w:rPr>
          <w:b/>
          <w:w w:val="95"/>
          <w:sz w:val="21"/>
        </w:rPr>
        <w:t>淋</w:t>
      </w:r>
      <w:r>
        <w:rPr>
          <w:b/>
          <w:w w:val="95"/>
          <w:sz w:val="21"/>
        </w:rPr>
        <w:t>巴</w:t>
      </w:r>
      <w:r>
        <w:rPr>
          <w:b/>
          <w:w w:val="95"/>
          <w:sz w:val="21"/>
        </w:rPr>
        <w:t>恶</w:t>
      </w:r>
      <w:r>
        <w:rPr>
          <w:b/>
          <w:w w:val="95"/>
          <w:sz w:val="21"/>
        </w:rPr>
        <w:t>性</w:t>
      </w:r>
      <w:r>
        <w:rPr>
          <w:b/>
          <w:w w:val="95"/>
          <w:sz w:val="21"/>
        </w:rPr>
        <w:t>肿</w:t>
      </w:r>
      <w:r>
        <w:rPr>
          <w:b/>
          <w:w w:val="95"/>
          <w:sz w:val="21"/>
        </w:rPr>
        <w:t>瘤</w:t>
      </w:r>
      <w:r>
        <w:rPr>
          <w:b/>
          <w:w w:val="95"/>
          <w:sz w:val="21"/>
        </w:rPr>
        <w:t>——</w:t>
      </w:r>
      <w:r>
        <w:rPr>
          <w:b/>
          <w:w w:val="95"/>
          <w:sz w:val="21"/>
        </w:rPr>
        <w:t>重</w:t>
      </w:r>
      <w:r>
        <w:rPr>
          <w:b/>
          <w:w w:val="95"/>
          <w:sz w:val="21"/>
        </w:rPr>
        <w:t>度</w:t>
      </w:r>
      <w:r>
        <w:rPr>
          <w:w w:val="95"/>
          <w:sz w:val="21"/>
        </w:rPr>
        <w:t>（见</w:t>
      </w:r>
      <w:r>
        <w:rPr>
          <w:w w:val="95"/>
          <w:sz w:val="21"/>
        </w:rPr>
        <w:t>释</w:t>
      </w:r>
      <w:r>
        <w:rPr>
          <w:w w:val="95"/>
          <w:sz w:val="21"/>
        </w:rPr>
        <w:t>义</w:t>
      </w:r>
      <w:r>
        <w:rPr>
          <w:w w:val="95"/>
          <w:sz w:val="21"/>
        </w:rPr>
        <w:t> </w:t>
      </w:r>
      <w:r>
        <w:rPr>
          <w:rFonts w:ascii="Times New Roman" w:hAnsi="Times New Roman" w:eastAsia="Times New Roman"/>
          <w:spacing w:val="22"/>
          <w:w w:val="95"/>
          <w:sz w:val="21"/>
        </w:rPr>
        <w:t>1</w:t>
      </w:r>
      <w:r>
        <w:rPr>
          <w:rFonts w:ascii="Times New Roman" w:hAnsi="Times New Roman" w:eastAsia="Times New Roman"/>
          <w:spacing w:val="19"/>
          <w:w w:val="95"/>
          <w:sz w:val="21"/>
        </w:rPr>
        <w:t>6</w:t>
      </w:r>
      <w:r>
        <w:rPr>
          <w:rFonts w:ascii="Times New Roman" w:hAnsi="Times New Roman" w:eastAsia="Times New Roman"/>
          <w:spacing w:val="22"/>
          <w:w w:val="95"/>
          <w:sz w:val="21"/>
        </w:rPr>
        <w:t>.</w:t>
      </w:r>
      <w:r>
        <w:rPr>
          <w:rFonts w:ascii="Times New Roman" w:hAnsi="Times New Roman" w:eastAsia="Times New Roman"/>
          <w:spacing w:val="21"/>
          <w:w w:val="95"/>
          <w:sz w:val="21"/>
        </w:rPr>
        <w:t>9</w:t>
      </w:r>
      <w:r>
        <w:rPr>
          <w:spacing w:val="-84"/>
          <w:w w:val="95"/>
          <w:sz w:val="21"/>
        </w:rPr>
        <w:t>）</w:t>
      </w:r>
      <w:r>
        <w:rPr>
          <w:spacing w:val="-106"/>
          <w:w w:val="95"/>
          <w:sz w:val="21"/>
        </w:rPr>
        <w:t>、</w:t>
      </w:r>
      <w:r>
        <w:rPr>
          <w:b/>
          <w:spacing w:val="-6"/>
          <w:sz w:val="21"/>
        </w:rPr>
        <w:t>结肠恶性肿瘤——重度</w:t>
      </w:r>
      <w:r>
        <w:rPr>
          <w:spacing w:val="-6"/>
          <w:sz w:val="21"/>
        </w:rPr>
        <w:t>（</w:t>
      </w:r>
      <w:r>
        <w:rPr>
          <w:spacing w:val="-8"/>
          <w:sz w:val="21"/>
        </w:rPr>
        <w:t>见释义 </w:t>
      </w:r>
      <w:r>
        <w:rPr>
          <w:rFonts w:ascii="Times New Roman" w:hAnsi="Times New Roman" w:eastAsia="Times New Roman"/>
          <w:spacing w:val="12"/>
          <w:sz w:val="21"/>
        </w:rPr>
        <w:t>16</w:t>
      </w:r>
      <w:r>
        <w:rPr>
          <w:rFonts w:ascii="Times New Roman" w:hAnsi="Times New Roman" w:eastAsia="Times New Roman"/>
          <w:spacing w:val="9"/>
          <w:sz w:val="21"/>
        </w:rPr>
        <w:t>.</w:t>
      </w:r>
      <w:r>
        <w:rPr>
          <w:rFonts w:ascii="Times New Roman" w:hAnsi="Times New Roman" w:eastAsia="Times New Roman"/>
          <w:spacing w:val="12"/>
          <w:sz w:val="21"/>
        </w:rPr>
        <w:t>1</w:t>
      </w:r>
      <w:r>
        <w:rPr>
          <w:rFonts w:ascii="Times New Roman" w:hAnsi="Times New Roman" w:eastAsia="Times New Roman"/>
          <w:spacing w:val="11"/>
          <w:sz w:val="21"/>
        </w:rPr>
        <w:t>0</w:t>
      </w:r>
      <w:r>
        <w:rPr>
          <w:spacing w:val="-96"/>
          <w:sz w:val="21"/>
        </w:rPr>
        <w:t>）</w:t>
      </w:r>
      <w:r>
        <w:rPr>
          <w:spacing w:val="-6"/>
          <w:sz w:val="21"/>
        </w:rPr>
        <w:t>、</w:t>
      </w:r>
      <w:r>
        <w:rPr>
          <w:b/>
          <w:spacing w:val="-6"/>
          <w:sz w:val="21"/>
        </w:rPr>
        <w:t>直肠恶性肿瘤——重度</w:t>
      </w:r>
      <w:r>
        <w:rPr>
          <w:spacing w:val="-6"/>
          <w:sz w:val="21"/>
        </w:rPr>
        <w:t>（</w:t>
      </w:r>
      <w:r>
        <w:rPr>
          <w:spacing w:val="-8"/>
          <w:sz w:val="21"/>
        </w:rPr>
        <w:t>见释义 </w:t>
      </w:r>
      <w:r>
        <w:rPr>
          <w:rFonts w:ascii="Times New Roman" w:hAnsi="Times New Roman" w:eastAsia="Times New Roman"/>
          <w:spacing w:val="11"/>
          <w:sz w:val="21"/>
        </w:rPr>
        <w:t>1</w:t>
      </w:r>
      <w:r>
        <w:rPr>
          <w:rFonts w:ascii="Times New Roman" w:hAnsi="Times New Roman" w:eastAsia="Times New Roman"/>
          <w:spacing w:val="14"/>
          <w:sz w:val="21"/>
        </w:rPr>
        <w:t>6</w:t>
      </w:r>
      <w:r>
        <w:rPr>
          <w:rFonts w:ascii="Times New Roman" w:hAnsi="Times New Roman" w:eastAsia="Times New Roman"/>
          <w:spacing w:val="11"/>
          <w:sz w:val="21"/>
        </w:rPr>
        <w:t>.</w:t>
      </w:r>
      <w:r>
        <w:rPr>
          <w:rFonts w:ascii="Times New Roman" w:hAnsi="Times New Roman" w:eastAsia="Times New Roman"/>
          <w:spacing w:val="6"/>
          <w:sz w:val="21"/>
        </w:rPr>
        <w:t>1</w:t>
      </w:r>
      <w:r>
        <w:rPr>
          <w:rFonts w:ascii="Times New Roman" w:hAnsi="Times New Roman" w:eastAsia="Times New Roman"/>
          <w:spacing w:val="13"/>
          <w:sz w:val="21"/>
        </w:rPr>
        <w:t>1</w:t>
      </w:r>
      <w:r>
        <w:rPr>
          <w:spacing w:val="-92"/>
          <w:sz w:val="21"/>
        </w:rPr>
        <w:t>）</w:t>
      </w:r>
      <w:r>
        <w:rPr>
          <w:spacing w:val="-6"/>
          <w:sz w:val="21"/>
        </w:rPr>
        <w:t>、</w:t>
      </w:r>
      <w:r>
        <w:rPr>
          <w:b/>
          <w:spacing w:val="-6"/>
          <w:sz w:val="21"/>
        </w:rPr>
        <w:t>乳腺恶性肿瘤—</w:t>
      </w:r>
    </w:p>
    <w:p>
      <w:pPr>
        <w:spacing w:line="321" w:lineRule="auto" w:before="2"/>
        <w:ind w:left="395" w:right="396" w:firstLine="0"/>
        <w:jc w:val="both"/>
        <w:rPr>
          <w:sz w:val="21"/>
        </w:rPr>
      </w:pPr>
      <w:r>
        <w:rPr>
          <w:b/>
          <w:spacing w:val="-6"/>
          <w:sz w:val="21"/>
        </w:rPr>
        <w:t>—重度</w:t>
      </w:r>
      <w:r>
        <w:rPr>
          <w:spacing w:val="-6"/>
          <w:sz w:val="21"/>
        </w:rPr>
        <w:t>（</w:t>
      </w:r>
      <w:r>
        <w:rPr>
          <w:spacing w:val="-8"/>
          <w:sz w:val="21"/>
        </w:rPr>
        <w:t>见释义 </w:t>
      </w:r>
      <w:r>
        <w:rPr>
          <w:rFonts w:ascii="Times New Roman" w:hAnsi="Times New Roman" w:eastAsia="Times New Roman"/>
          <w:spacing w:val="12"/>
          <w:sz w:val="21"/>
        </w:rPr>
        <w:t>1</w:t>
      </w:r>
      <w:r>
        <w:rPr>
          <w:rFonts w:ascii="Times New Roman" w:hAnsi="Times New Roman" w:eastAsia="Times New Roman"/>
          <w:spacing w:val="9"/>
          <w:sz w:val="21"/>
        </w:rPr>
        <w:t>6</w:t>
      </w:r>
      <w:r>
        <w:rPr>
          <w:rFonts w:ascii="Times New Roman" w:hAnsi="Times New Roman" w:eastAsia="Times New Roman"/>
          <w:spacing w:val="12"/>
          <w:sz w:val="21"/>
        </w:rPr>
        <w:t>.1</w:t>
      </w:r>
      <w:r>
        <w:rPr>
          <w:rFonts w:ascii="Times New Roman" w:hAnsi="Times New Roman" w:eastAsia="Times New Roman"/>
          <w:spacing w:val="11"/>
          <w:sz w:val="21"/>
        </w:rPr>
        <w:t>2</w:t>
      </w:r>
      <w:r>
        <w:rPr>
          <w:spacing w:val="-96"/>
          <w:sz w:val="21"/>
        </w:rPr>
        <w:t>）</w:t>
      </w:r>
      <w:r>
        <w:rPr>
          <w:spacing w:val="-6"/>
          <w:sz w:val="21"/>
        </w:rPr>
        <w:t>、</w:t>
      </w:r>
      <w:r>
        <w:rPr>
          <w:b/>
          <w:spacing w:val="-6"/>
          <w:sz w:val="21"/>
        </w:rPr>
        <w:t>宫颈恶性肿瘤——重度</w:t>
      </w:r>
      <w:r>
        <w:rPr>
          <w:spacing w:val="-6"/>
          <w:sz w:val="21"/>
        </w:rPr>
        <w:t>（</w:t>
      </w:r>
      <w:r>
        <w:rPr>
          <w:spacing w:val="-8"/>
          <w:sz w:val="21"/>
        </w:rPr>
        <w:t>见释义 </w:t>
      </w:r>
      <w:r>
        <w:rPr>
          <w:rFonts w:ascii="Times New Roman" w:hAnsi="Times New Roman" w:eastAsia="Times New Roman"/>
          <w:spacing w:val="12"/>
          <w:sz w:val="21"/>
        </w:rPr>
        <w:t>1</w:t>
      </w:r>
      <w:r>
        <w:rPr>
          <w:rFonts w:ascii="Times New Roman" w:hAnsi="Times New Roman" w:eastAsia="Times New Roman"/>
          <w:spacing w:val="9"/>
          <w:sz w:val="21"/>
        </w:rPr>
        <w:t>6</w:t>
      </w:r>
      <w:r>
        <w:rPr>
          <w:rFonts w:ascii="Times New Roman" w:hAnsi="Times New Roman" w:eastAsia="Times New Roman"/>
          <w:spacing w:val="12"/>
          <w:sz w:val="21"/>
        </w:rPr>
        <w:t>.1</w:t>
      </w:r>
      <w:r>
        <w:rPr>
          <w:rFonts w:ascii="Times New Roman" w:hAnsi="Times New Roman" w:eastAsia="Times New Roman"/>
          <w:spacing w:val="11"/>
          <w:sz w:val="21"/>
        </w:rPr>
        <w:t>3</w:t>
      </w:r>
      <w:r>
        <w:rPr>
          <w:spacing w:val="-96"/>
          <w:sz w:val="21"/>
        </w:rPr>
        <w:t>）</w:t>
      </w:r>
      <w:r>
        <w:rPr>
          <w:spacing w:val="-6"/>
          <w:sz w:val="21"/>
        </w:rPr>
        <w:t>、</w:t>
      </w:r>
      <w:r>
        <w:rPr>
          <w:b/>
          <w:spacing w:val="-6"/>
          <w:sz w:val="21"/>
        </w:rPr>
        <w:t>前列腺恶性肿瘤——重度</w:t>
      </w:r>
      <w:r>
        <w:rPr>
          <w:spacing w:val="-6"/>
          <w:sz w:val="21"/>
        </w:rPr>
        <w:t>（见释</w:t>
      </w:r>
      <w:r>
        <w:rPr>
          <w:spacing w:val="-26"/>
          <w:sz w:val="21"/>
        </w:rPr>
        <w:t>义 </w:t>
      </w:r>
      <w:r>
        <w:rPr>
          <w:rFonts w:ascii="Times New Roman" w:hAnsi="Times New Roman" w:eastAsia="Times New Roman"/>
          <w:spacing w:val="16"/>
          <w:sz w:val="21"/>
        </w:rPr>
        <w:t>16.</w:t>
      </w:r>
      <w:r>
        <w:rPr>
          <w:rFonts w:ascii="Times New Roman" w:hAnsi="Times New Roman" w:eastAsia="Times New Roman"/>
          <w:spacing w:val="13"/>
          <w:sz w:val="21"/>
        </w:rPr>
        <w:t>1</w:t>
      </w:r>
      <w:r>
        <w:rPr>
          <w:rFonts w:ascii="Times New Roman" w:hAnsi="Times New Roman" w:eastAsia="Times New Roman"/>
          <w:spacing w:val="15"/>
          <w:sz w:val="21"/>
        </w:rPr>
        <w:t>4</w:t>
      </w:r>
      <w:r>
        <w:rPr>
          <w:spacing w:val="-90"/>
          <w:sz w:val="21"/>
        </w:rPr>
        <w:t>）</w:t>
      </w:r>
      <w:r>
        <w:rPr>
          <w:spacing w:val="-2"/>
          <w:sz w:val="21"/>
        </w:rPr>
        <w:t>、</w:t>
      </w:r>
      <w:r>
        <w:rPr>
          <w:b/>
          <w:spacing w:val="-2"/>
          <w:sz w:val="21"/>
        </w:rPr>
        <w:t>睾丸恶性肿瘤——重度</w:t>
      </w:r>
      <w:r>
        <w:rPr>
          <w:spacing w:val="-2"/>
          <w:sz w:val="21"/>
        </w:rPr>
        <w:t>（</w:t>
      </w:r>
      <w:r>
        <w:rPr>
          <w:spacing w:val="-14"/>
          <w:sz w:val="21"/>
        </w:rPr>
        <w:t>见释义 </w:t>
      </w:r>
      <w:r>
        <w:rPr>
          <w:rFonts w:ascii="Times New Roman" w:hAnsi="Times New Roman" w:eastAsia="Times New Roman"/>
          <w:spacing w:val="16"/>
          <w:sz w:val="21"/>
        </w:rPr>
        <w:t>16</w:t>
      </w:r>
      <w:r>
        <w:rPr>
          <w:rFonts w:ascii="Times New Roman" w:hAnsi="Times New Roman" w:eastAsia="Times New Roman"/>
          <w:spacing w:val="13"/>
          <w:sz w:val="21"/>
        </w:rPr>
        <w:t>.</w:t>
      </w:r>
      <w:r>
        <w:rPr>
          <w:rFonts w:ascii="Times New Roman" w:hAnsi="Times New Roman" w:eastAsia="Times New Roman"/>
          <w:spacing w:val="16"/>
          <w:sz w:val="21"/>
        </w:rPr>
        <w:t>15</w:t>
      </w:r>
      <w:r>
        <w:rPr>
          <w:spacing w:val="-92"/>
          <w:sz w:val="21"/>
        </w:rPr>
        <w:t>）</w:t>
      </w:r>
      <w:r>
        <w:rPr>
          <w:spacing w:val="-108"/>
          <w:sz w:val="21"/>
        </w:rPr>
        <w:t>。</w:t>
      </w:r>
    </w:p>
    <w:p>
      <w:pPr>
        <w:spacing w:before="49"/>
        <w:ind w:left="816" w:right="0" w:firstLine="0"/>
        <w:jc w:val="left"/>
        <w:rPr>
          <w:rFonts w:ascii="黑体" w:eastAsia="黑体" w:hint="eastAsia"/>
          <w:b/>
          <w:sz w:val="21"/>
        </w:rPr>
      </w:pPr>
      <w:r>
        <w:rPr>
          <w:rFonts w:ascii="黑体" w:eastAsia="黑体" w:hint="eastAsia"/>
          <w:b/>
          <w:spacing w:val="-4"/>
          <w:sz w:val="21"/>
        </w:rPr>
        <w:t>(三) 多次重大疾病保险金责任</w:t>
      </w:r>
    </w:p>
    <w:p>
      <w:pPr>
        <w:pStyle w:val="BodyText"/>
        <w:spacing w:line="319" w:lineRule="auto" w:before="146"/>
        <w:ind w:left="396" w:right="393" w:firstLine="419"/>
        <w:jc w:val="both"/>
      </w:pPr>
      <w:r>
        <w:rPr>
          <w:w w:val="95"/>
        </w:rPr>
        <w:t>该</w:t>
      </w:r>
      <w:r>
        <w:rPr>
          <w:w w:val="95"/>
        </w:rPr>
        <w:t>类</w:t>
      </w:r>
      <w:r>
        <w:rPr>
          <w:w w:val="95"/>
        </w:rPr>
        <w:t>可选责任包含“3.1</w:t>
      </w:r>
      <w:r>
        <w:rPr>
          <w:spacing w:val="38"/>
        </w:rPr>
        <w:t> </w:t>
      </w:r>
      <w:r>
        <w:rPr>
          <w:w w:val="95"/>
        </w:rPr>
        <w:t>重</w:t>
      </w:r>
      <w:r>
        <w:rPr>
          <w:w w:val="95"/>
        </w:rPr>
        <w:t>大</w:t>
      </w:r>
      <w:r>
        <w:rPr>
          <w:spacing w:val="-23"/>
          <w:w w:val="95"/>
        </w:rPr>
        <w:t>疾病豁免保险费”、“</w:t>
      </w:r>
      <w:r>
        <w:rPr>
          <w:w w:val="95"/>
        </w:rPr>
        <w:t>3.2</w:t>
      </w:r>
      <w:r>
        <w:rPr>
          <w:spacing w:val="40"/>
        </w:rPr>
        <w:t> </w:t>
      </w:r>
      <w:r>
        <w:rPr>
          <w:w w:val="95"/>
        </w:rPr>
        <w:t>第二次重大疾病保</w:t>
      </w:r>
      <w:r>
        <w:rPr>
          <w:w w:val="95"/>
        </w:rPr>
        <w:t>险</w:t>
      </w:r>
      <w:r>
        <w:rPr>
          <w:w w:val="95"/>
        </w:rPr>
        <w:t>金</w:t>
      </w:r>
      <w:r>
        <w:rPr>
          <w:spacing w:val="-72"/>
          <w:w w:val="95"/>
        </w:rPr>
        <w:t>”、“</w:t>
      </w:r>
      <w:r>
        <w:rPr>
          <w:w w:val="95"/>
        </w:rPr>
        <w:t>3.3</w:t>
      </w:r>
      <w:r>
        <w:rPr>
          <w:spacing w:val="35"/>
        </w:rPr>
        <w:t> </w:t>
      </w:r>
      <w:r>
        <w:rPr>
          <w:w w:val="95"/>
        </w:rPr>
        <w:t>第三</w:t>
      </w:r>
      <w:r>
        <w:rPr>
          <w:w w:val="95"/>
        </w:rPr>
        <w:t>次</w:t>
      </w:r>
      <w:r>
        <w:rPr>
          <w:w w:val="95"/>
        </w:rPr>
        <w:t>重</w:t>
      </w:r>
      <w:r>
        <w:rPr>
          <w:w w:val="95"/>
        </w:rPr>
        <w:t>大</w:t>
      </w:r>
      <w:r>
        <w:rPr>
          <w:w w:val="95"/>
        </w:rPr>
        <w:t>疾</w:t>
      </w:r>
      <w:r>
        <w:rPr>
          <w:spacing w:val="-32"/>
          <w:w w:val="95"/>
        </w:rPr>
        <w:t>病保险金”、“</w:t>
      </w:r>
      <w:r>
        <w:rPr>
          <w:w w:val="95"/>
        </w:rPr>
        <w:t>3.4</w:t>
      </w:r>
      <w:r>
        <w:rPr>
          <w:spacing w:val="39"/>
        </w:rPr>
        <w:t> </w:t>
      </w:r>
      <w:r>
        <w:rPr>
          <w:w w:val="95"/>
        </w:rPr>
        <w:t>第</w:t>
      </w:r>
      <w:r>
        <w:rPr>
          <w:w w:val="95"/>
        </w:rPr>
        <w:t>四</w:t>
      </w:r>
      <w:r>
        <w:rPr>
          <w:w w:val="95"/>
        </w:rPr>
        <w:t>次</w:t>
      </w:r>
      <w:r>
        <w:rPr>
          <w:spacing w:val="-23"/>
          <w:w w:val="95"/>
        </w:rPr>
        <w:t>重大疾病保险金”、“</w:t>
      </w:r>
      <w:r>
        <w:rPr>
          <w:w w:val="95"/>
        </w:rPr>
        <w:t>3.5</w:t>
      </w:r>
      <w:r>
        <w:rPr>
          <w:spacing w:val="39"/>
        </w:rPr>
        <w:t> </w:t>
      </w:r>
      <w:r>
        <w:rPr>
          <w:w w:val="95"/>
        </w:rPr>
        <w:t>第五次重大疾病保</w:t>
      </w:r>
      <w:r>
        <w:rPr>
          <w:w w:val="95"/>
        </w:rPr>
        <w:t>险</w:t>
      </w:r>
      <w:r>
        <w:rPr>
          <w:w w:val="95"/>
        </w:rPr>
        <w:t>金</w:t>
      </w:r>
      <w:r>
        <w:rPr>
          <w:w w:val="95"/>
        </w:rPr>
        <w:t>”与“3.6</w:t>
      </w:r>
      <w:r>
        <w:rPr>
          <w:spacing w:val="39"/>
        </w:rPr>
        <w:t> </w:t>
      </w:r>
      <w:r>
        <w:rPr>
          <w:w w:val="95"/>
        </w:rPr>
        <w:t>第六次</w:t>
      </w:r>
      <w:r>
        <w:rPr>
          <w:w w:val="95"/>
        </w:rPr>
        <w:t>重</w:t>
      </w:r>
      <w:r>
        <w:rPr>
          <w:w w:val="95"/>
        </w:rPr>
        <w:t>大</w:t>
      </w:r>
      <w:r>
        <w:rPr>
          <w:spacing w:val="-2"/>
        </w:rPr>
        <w:t>疾病保险金”共六项责任。</w:t>
      </w:r>
    </w:p>
    <w:p>
      <w:pPr>
        <w:pStyle w:val="ListParagraph"/>
        <w:numPr>
          <w:ilvl w:val="1"/>
          <w:numId w:val="14"/>
        </w:numPr>
        <w:tabs>
          <w:tab w:pos="1200" w:val="left" w:leader="none"/>
        </w:tabs>
        <w:spacing w:line="240" w:lineRule="auto" w:before="57" w:after="0"/>
        <w:ind w:left="1200" w:right="0" w:hanging="370"/>
        <w:jc w:val="left"/>
        <w:rPr>
          <w:rFonts w:ascii="黑体" w:eastAsia="黑体" w:hint="eastAsia"/>
          <w:b/>
          <w:sz w:val="21"/>
        </w:rPr>
      </w:pPr>
      <w:r>
        <w:rPr>
          <w:rFonts w:ascii="黑体" w:eastAsia="黑体" w:hint="eastAsia"/>
          <w:b/>
          <w:spacing w:val="-2"/>
          <w:sz w:val="21"/>
        </w:rPr>
        <w:t>重大疾病豁免保险费</w:t>
      </w:r>
    </w:p>
    <w:p>
      <w:pPr>
        <w:pStyle w:val="BodyText"/>
        <w:spacing w:line="319" w:lineRule="auto" w:before="129"/>
        <w:ind w:left="396" w:right="393" w:firstLine="419"/>
        <w:jc w:val="both"/>
      </w:pPr>
      <w:r>
        <w:rPr>
          <w:spacing w:val="-16"/>
        </w:rPr>
        <w:t>若被保险人因意外伤害，或于本合同生效</w:t>
      </w:r>
      <w:r>
        <w:rPr>
          <w:spacing w:val="-2"/>
        </w:rPr>
        <w:t>（或最后复效</w:t>
      </w:r>
      <w:r>
        <w:rPr>
          <w:spacing w:val="-92"/>
        </w:rPr>
        <w:t>）</w:t>
      </w:r>
      <w:r>
        <w:rPr>
          <w:spacing w:val="-8"/>
        </w:rPr>
        <w:t>之日起 </w:t>
      </w:r>
      <w:r>
        <w:rPr>
          <w:spacing w:val="-2"/>
        </w:rPr>
        <w:t>90</w:t>
      </w:r>
      <w:r>
        <w:rPr>
          <w:spacing w:val="-7"/>
        </w:rPr>
        <w:t> 日后因意外伤害以外的原因，</w:t>
      </w:r>
      <w:r>
        <w:rPr>
          <w:spacing w:val="-2"/>
        </w:rPr>
        <w:t>确诊首次患有本合同所定义的重大疾病中的任意一种或多种，自确诊日后首个保险费到期日开始至</w:t>
      </w:r>
      <w:r>
        <w:rPr>
          <w:spacing w:val="-2"/>
        </w:rPr>
        <w:t>最后一期保险费到期日止，我们豁免上述期间内您应支付的本合同保险费，本合同继续有效。</w:t>
      </w:r>
    </w:p>
    <w:p>
      <w:pPr>
        <w:pStyle w:val="ListParagraph"/>
        <w:numPr>
          <w:ilvl w:val="1"/>
          <w:numId w:val="14"/>
        </w:numPr>
        <w:tabs>
          <w:tab w:pos="1200" w:val="left" w:leader="none"/>
        </w:tabs>
        <w:spacing w:line="240" w:lineRule="auto" w:before="72" w:after="0"/>
        <w:ind w:left="1200" w:right="0" w:hanging="370"/>
        <w:jc w:val="left"/>
        <w:rPr>
          <w:rFonts w:ascii="黑体" w:eastAsia="黑体" w:hint="eastAsia"/>
          <w:b/>
          <w:sz w:val="21"/>
        </w:rPr>
      </w:pPr>
      <w:r>
        <w:rPr>
          <w:rFonts w:ascii="黑体" w:eastAsia="黑体" w:hint="eastAsia"/>
          <w:b/>
          <w:spacing w:val="-3"/>
          <w:sz w:val="21"/>
        </w:rPr>
        <w:t>第二次重大疾病保险金</w:t>
      </w:r>
    </w:p>
    <w:p>
      <w:pPr>
        <w:spacing w:after="0" w:line="240" w:lineRule="auto"/>
        <w:jc w:val="left"/>
        <w:rPr>
          <w:rFonts w:ascii="黑体" w:eastAsia="黑体" w:hint="eastAsia"/>
          <w:sz w:val="21"/>
        </w:rPr>
        <w:sectPr>
          <w:pgSz w:w="11910" w:h="16840"/>
          <w:pgMar w:header="0" w:footer="1120" w:top="1380" w:bottom="1300" w:left="1020" w:right="1020"/>
        </w:sectPr>
      </w:pPr>
    </w:p>
    <w:p>
      <w:pPr>
        <w:pStyle w:val="BodyText"/>
        <w:spacing w:line="319" w:lineRule="auto" w:before="47"/>
        <w:ind w:left="396" w:right="393" w:firstLine="419"/>
        <w:jc w:val="both"/>
      </w:pPr>
      <w:r>
        <w:rPr>
          <w:spacing w:val="-4"/>
        </w:rPr>
        <w:t>若被保险人自首次重大疾病确诊日 180 日后（不含当日</w:t>
      </w:r>
      <w:r>
        <w:rPr>
          <w:spacing w:val="-70"/>
        </w:rPr>
        <w:t>）</w:t>
      </w:r>
      <w:r>
        <w:rPr>
          <w:spacing w:val="-13"/>
        </w:rPr>
        <w:t>，确诊首次患有本合同所定义的且与首</w:t>
      </w:r>
      <w:r>
        <w:rPr>
          <w:spacing w:val="-2"/>
        </w:rPr>
        <w:t>次确诊的重大疾病所属为不同组别（参照重大疾病分组）中的重大疾病中的任意一种或多种，我们</w:t>
      </w:r>
      <w:r>
        <w:rPr>
          <w:spacing w:val="-2"/>
        </w:rPr>
        <w:t>将按本合同基本保险金额向疾病保险金受益人给付第二次重大疾病保险金。</w:t>
      </w:r>
    </w:p>
    <w:p>
      <w:pPr>
        <w:pStyle w:val="ListParagraph"/>
        <w:numPr>
          <w:ilvl w:val="1"/>
          <w:numId w:val="14"/>
        </w:numPr>
        <w:tabs>
          <w:tab w:pos="1188" w:val="left" w:leader="none"/>
        </w:tabs>
        <w:spacing w:line="240" w:lineRule="auto" w:before="74" w:after="0"/>
        <w:ind w:left="1188" w:right="0" w:hanging="370"/>
        <w:jc w:val="left"/>
        <w:rPr>
          <w:rFonts w:ascii="黑体" w:eastAsia="黑体" w:hint="eastAsia"/>
          <w:b/>
          <w:sz w:val="21"/>
        </w:rPr>
      </w:pPr>
      <w:r>
        <w:rPr>
          <w:rFonts w:ascii="黑体" w:eastAsia="黑体" w:hint="eastAsia"/>
          <w:b/>
          <w:spacing w:val="-3"/>
          <w:sz w:val="21"/>
        </w:rPr>
        <w:t>第三次重大疾病保险金</w:t>
      </w:r>
    </w:p>
    <w:p>
      <w:pPr>
        <w:pStyle w:val="BodyText"/>
        <w:spacing w:line="319" w:lineRule="auto" w:before="129"/>
        <w:ind w:left="395" w:right="391" w:firstLine="420"/>
        <w:jc w:val="both"/>
      </w:pPr>
      <w:r>
        <w:rPr>
          <w:spacing w:val="-4"/>
        </w:rPr>
        <w:t>若被保险人自第二次重大疾病确诊日 180 日后（不含当日</w:t>
      </w:r>
      <w:r>
        <w:rPr>
          <w:spacing w:val="-70"/>
        </w:rPr>
        <w:t>）</w:t>
      </w:r>
      <w:r>
        <w:rPr>
          <w:spacing w:val="-13"/>
        </w:rPr>
        <w:t>，确诊首次患有本合同所定义的且与</w:t>
      </w:r>
      <w:r>
        <w:rPr>
          <w:spacing w:val="-7"/>
        </w:rPr>
        <w:t>前两次确诊的重大疾病均所属为不同组别</w:t>
      </w:r>
      <w:r>
        <w:rPr>
          <w:spacing w:val="-2"/>
        </w:rPr>
        <w:t>（参照重大疾病分组</w:t>
      </w:r>
      <w:r>
        <w:rPr>
          <w:spacing w:val="-87"/>
        </w:rPr>
        <w:t>）</w:t>
      </w:r>
      <w:r>
        <w:rPr>
          <w:spacing w:val="-2"/>
        </w:rPr>
        <w:t>中的重大疾病中的任意一种或多种，</w:t>
      </w:r>
      <w:r>
        <w:rPr>
          <w:spacing w:val="-2"/>
        </w:rPr>
        <w:t>我们将按本合同基本保险金额向疾病保险金受益人给付第三次重大疾病保险金。</w:t>
      </w:r>
    </w:p>
    <w:p>
      <w:pPr>
        <w:pStyle w:val="ListParagraph"/>
        <w:numPr>
          <w:ilvl w:val="1"/>
          <w:numId w:val="14"/>
        </w:numPr>
        <w:tabs>
          <w:tab w:pos="1203" w:val="left" w:leader="none"/>
        </w:tabs>
        <w:spacing w:line="240" w:lineRule="auto" w:before="72" w:after="0"/>
        <w:ind w:left="1202" w:right="0" w:hanging="371"/>
        <w:jc w:val="left"/>
        <w:rPr>
          <w:rFonts w:ascii="黑体" w:eastAsia="黑体" w:hint="eastAsia"/>
          <w:b/>
          <w:sz w:val="21"/>
        </w:rPr>
      </w:pPr>
      <w:r>
        <w:rPr>
          <w:rFonts w:ascii="黑体" w:eastAsia="黑体" w:hint="eastAsia"/>
          <w:b/>
          <w:spacing w:val="-3"/>
          <w:sz w:val="21"/>
        </w:rPr>
        <w:t>第四次重大疾病保险金</w:t>
      </w:r>
    </w:p>
    <w:p>
      <w:pPr>
        <w:pStyle w:val="BodyText"/>
        <w:spacing w:line="319" w:lineRule="auto" w:before="146"/>
        <w:ind w:left="396" w:right="391" w:firstLine="419"/>
        <w:jc w:val="both"/>
      </w:pPr>
      <w:r>
        <w:rPr>
          <w:spacing w:val="-4"/>
        </w:rPr>
        <w:t>若被保险人自第三次重大疾病确诊日 180 日后（不含当日</w:t>
      </w:r>
      <w:r>
        <w:rPr>
          <w:spacing w:val="-70"/>
        </w:rPr>
        <w:t>）</w:t>
      </w:r>
      <w:r>
        <w:rPr>
          <w:spacing w:val="-13"/>
        </w:rPr>
        <w:t>，确诊首次患有本合同所定义的且与</w:t>
      </w:r>
      <w:r>
        <w:rPr>
          <w:spacing w:val="-7"/>
        </w:rPr>
        <w:t>前三次确诊的重大疾病均所属为不同组别</w:t>
      </w:r>
      <w:r>
        <w:rPr>
          <w:spacing w:val="-2"/>
        </w:rPr>
        <w:t>（参照重大疾病分组</w:t>
      </w:r>
      <w:r>
        <w:rPr>
          <w:spacing w:val="-87"/>
        </w:rPr>
        <w:t>）</w:t>
      </w:r>
      <w:r>
        <w:rPr>
          <w:spacing w:val="-2"/>
        </w:rPr>
        <w:t>中的重大疾病中的任意一种或多种，</w:t>
      </w:r>
      <w:r>
        <w:rPr>
          <w:spacing w:val="-2"/>
        </w:rPr>
        <w:t>我们将按本合同基本保险金额向疾病保险金受益人给付第四次重大疾病保险金。</w:t>
      </w:r>
    </w:p>
    <w:p>
      <w:pPr>
        <w:pStyle w:val="ListParagraph"/>
        <w:numPr>
          <w:ilvl w:val="1"/>
          <w:numId w:val="14"/>
        </w:numPr>
        <w:tabs>
          <w:tab w:pos="1203" w:val="left" w:leader="none"/>
        </w:tabs>
        <w:spacing w:line="240" w:lineRule="auto" w:before="56" w:after="0"/>
        <w:ind w:left="1202" w:right="0" w:hanging="371"/>
        <w:jc w:val="left"/>
        <w:rPr>
          <w:rFonts w:ascii="黑体" w:eastAsia="黑体" w:hint="eastAsia"/>
          <w:b/>
          <w:sz w:val="21"/>
        </w:rPr>
      </w:pPr>
      <w:r>
        <w:rPr>
          <w:rFonts w:ascii="黑体" w:eastAsia="黑体" w:hint="eastAsia"/>
          <w:b/>
          <w:spacing w:val="-3"/>
          <w:sz w:val="21"/>
        </w:rPr>
        <w:t>第五次重大疾病保险金</w:t>
      </w:r>
    </w:p>
    <w:p>
      <w:pPr>
        <w:pStyle w:val="BodyText"/>
        <w:spacing w:line="319" w:lineRule="auto" w:before="147"/>
        <w:ind w:left="396" w:right="391" w:firstLine="436"/>
        <w:jc w:val="both"/>
      </w:pPr>
      <w:r>
        <w:rPr>
          <w:spacing w:val="-4"/>
        </w:rPr>
        <w:t>若被保险人自第四次重大疾病确诊日 180</w:t>
      </w:r>
      <w:r>
        <w:rPr>
          <w:spacing w:val="-5"/>
        </w:rPr>
        <w:t> 日后</w:t>
      </w:r>
      <w:r>
        <w:rPr>
          <w:spacing w:val="-4"/>
        </w:rPr>
        <w:t>（不含当日</w:t>
      </w:r>
      <w:r>
        <w:rPr>
          <w:spacing w:val="-74"/>
        </w:rPr>
        <w:t>）</w:t>
      </w:r>
      <w:r>
        <w:rPr>
          <w:spacing w:val="-13"/>
        </w:rPr>
        <w:t>，确诊首次患有本合同所定义的且与</w:t>
      </w:r>
      <w:r>
        <w:rPr>
          <w:spacing w:val="-7"/>
        </w:rPr>
        <w:t>前四次确诊的重大疾病均所属为不同组别</w:t>
      </w:r>
      <w:r>
        <w:rPr>
          <w:spacing w:val="-2"/>
        </w:rPr>
        <w:t>（参照重大疾病分组</w:t>
      </w:r>
      <w:r>
        <w:rPr>
          <w:spacing w:val="-87"/>
        </w:rPr>
        <w:t>）</w:t>
      </w:r>
      <w:r>
        <w:rPr>
          <w:spacing w:val="-2"/>
        </w:rPr>
        <w:t>中的重大疾病中的任意一种或多种，</w:t>
      </w:r>
      <w:r>
        <w:rPr>
          <w:spacing w:val="-2"/>
        </w:rPr>
        <w:t>我们将按本合同基本保险金额向疾病保险金受益人给付第五次重大疾病保险金。</w:t>
      </w:r>
    </w:p>
    <w:p>
      <w:pPr>
        <w:pStyle w:val="ListParagraph"/>
        <w:numPr>
          <w:ilvl w:val="1"/>
          <w:numId w:val="14"/>
        </w:numPr>
        <w:tabs>
          <w:tab w:pos="1203" w:val="left" w:leader="none"/>
        </w:tabs>
        <w:spacing w:line="240" w:lineRule="auto" w:before="54" w:after="0"/>
        <w:ind w:left="1202" w:right="0" w:hanging="371"/>
        <w:jc w:val="left"/>
        <w:rPr>
          <w:rFonts w:ascii="黑体" w:eastAsia="黑体" w:hint="eastAsia"/>
          <w:b/>
          <w:sz w:val="21"/>
        </w:rPr>
      </w:pPr>
      <w:r>
        <w:rPr>
          <w:rFonts w:ascii="黑体" w:eastAsia="黑体" w:hint="eastAsia"/>
          <w:b/>
          <w:spacing w:val="-3"/>
          <w:sz w:val="21"/>
        </w:rPr>
        <w:t>第六次重大疾病保险金</w:t>
      </w:r>
    </w:p>
    <w:p>
      <w:pPr>
        <w:pStyle w:val="BodyText"/>
        <w:spacing w:line="319" w:lineRule="auto" w:before="129"/>
        <w:ind w:left="396" w:right="393" w:firstLine="419"/>
        <w:jc w:val="both"/>
      </w:pPr>
      <w:r>
        <w:rPr>
          <w:spacing w:val="-4"/>
        </w:rPr>
        <w:t>若被保险人自第五次重大疾病确诊日 180 日后（不含当日</w:t>
      </w:r>
      <w:r>
        <w:rPr>
          <w:spacing w:val="-70"/>
        </w:rPr>
        <w:t>）</w:t>
      </w:r>
      <w:r>
        <w:rPr>
          <w:spacing w:val="-13"/>
        </w:rPr>
        <w:t>，确诊首次患有本合同所定义的且与</w:t>
      </w:r>
      <w:r>
        <w:rPr>
          <w:spacing w:val="-2"/>
        </w:rPr>
        <w:t>前五次确诊的重大疾病均所属不同组别（参照重大疾病分组）中的重大疾病中的任意一种或多种，</w:t>
      </w:r>
      <w:r>
        <w:rPr>
          <w:spacing w:val="-2"/>
        </w:rPr>
        <w:t>我们将按本合同基本保险金额向疾病保险金受益人给付第六次重大疾病保险金。</w:t>
      </w:r>
    </w:p>
    <w:p>
      <w:pPr>
        <w:pStyle w:val="BodyText"/>
        <w:spacing w:before="0"/>
        <w:rPr>
          <w:sz w:val="28"/>
        </w:rPr>
      </w:pPr>
    </w:p>
    <w:p>
      <w:pPr>
        <w:spacing w:before="0"/>
        <w:ind w:left="816" w:right="0" w:firstLine="0"/>
        <w:jc w:val="left"/>
        <w:rPr>
          <w:rFonts w:ascii="黑体" w:eastAsia="黑体"/>
          <w:sz w:val="24"/>
        </w:rPr>
      </w:pPr>
      <w:r>
        <w:rPr>
          <w:rFonts w:ascii="黑体" w:eastAsia="黑体"/>
          <w:spacing w:val="-2"/>
          <w:sz w:val="24"/>
        </w:rPr>
        <w:t>特别提示和说明：</w:t>
      </w:r>
    </w:p>
    <w:p>
      <w:pPr>
        <w:pStyle w:val="ListParagraph"/>
        <w:numPr>
          <w:ilvl w:val="0"/>
          <w:numId w:val="15"/>
        </w:numPr>
        <w:tabs>
          <w:tab w:pos="1057" w:val="left" w:leader="none"/>
        </w:tabs>
        <w:spacing w:line="280" w:lineRule="auto" w:before="52" w:after="0"/>
        <w:ind w:left="396" w:right="396" w:firstLine="420"/>
        <w:jc w:val="both"/>
        <w:rPr>
          <w:rFonts w:ascii="黑体" w:hAnsi="黑体" w:eastAsia="黑体"/>
          <w:sz w:val="24"/>
        </w:rPr>
      </w:pPr>
      <w:r>
        <w:rPr>
          <w:rFonts w:ascii="黑体" w:hAnsi="黑体" w:eastAsia="黑体"/>
          <w:w w:val="95"/>
          <w:sz w:val="24"/>
        </w:rPr>
        <w:t>本</w:t>
      </w:r>
      <w:r>
        <w:rPr>
          <w:rFonts w:ascii="黑体" w:hAnsi="黑体" w:eastAsia="黑体"/>
          <w:w w:val="95"/>
          <w:sz w:val="24"/>
        </w:rPr>
        <w:t>合</w:t>
      </w:r>
      <w:r>
        <w:rPr>
          <w:rFonts w:ascii="黑体" w:hAnsi="黑体" w:eastAsia="黑体"/>
          <w:w w:val="95"/>
          <w:sz w:val="24"/>
        </w:rPr>
        <w:t>同</w:t>
      </w:r>
      <w:r>
        <w:rPr>
          <w:rFonts w:ascii="黑体" w:hAnsi="黑体" w:eastAsia="黑体"/>
          <w:w w:val="95"/>
          <w:sz w:val="24"/>
        </w:rPr>
        <w:t>所</w:t>
      </w:r>
      <w:r>
        <w:rPr>
          <w:rFonts w:ascii="黑体" w:hAnsi="黑体" w:eastAsia="黑体"/>
          <w:w w:val="95"/>
          <w:sz w:val="24"/>
        </w:rPr>
        <w:t>列</w:t>
      </w:r>
      <w:r>
        <w:rPr>
          <w:rFonts w:ascii="黑体" w:hAnsi="黑体" w:eastAsia="黑体"/>
          <w:w w:val="95"/>
          <w:sz w:val="24"/>
        </w:rPr>
        <w:t>的</w:t>
      </w:r>
      <w:r>
        <w:rPr>
          <w:rFonts w:ascii="黑体" w:hAnsi="黑体" w:eastAsia="黑体"/>
          <w:w w:val="95"/>
          <w:sz w:val="24"/>
        </w:rPr>
        <w:t>重</w:t>
      </w:r>
      <w:r>
        <w:rPr>
          <w:rFonts w:ascii="黑体" w:hAnsi="黑体" w:eastAsia="黑体"/>
          <w:w w:val="95"/>
          <w:sz w:val="24"/>
        </w:rPr>
        <w:t>大</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分</w:t>
      </w:r>
      <w:r>
        <w:rPr>
          <w:rFonts w:ascii="黑体" w:hAnsi="黑体" w:eastAsia="黑体"/>
          <w:w w:val="95"/>
          <w:sz w:val="24"/>
        </w:rPr>
        <w:t>为</w:t>
      </w:r>
      <w:r>
        <w:rPr>
          <w:rFonts w:ascii="黑体" w:hAnsi="黑体" w:eastAsia="黑体"/>
          <w:w w:val="95"/>
          <w:sz w:val="24"/>
        </w:rPr>
        <w:t> A、B、C、D、E、F </w:t>
      </w:r>
      <w:r>
        <w:rPr>
          <w:rFonts w:ascii="黑体" w:hAnsi="黑体" w:eastAsia="黑体"/>
          <w:w w:val="95"/>
          <w:sz w:val="24"/>
        </w:rPr>
        <w:t>六</w:t>
      </w:r>
      <w:r>
        <w:rPr>
          <w:rFonts w:ascii="黑体" w:hAnsi="黑体" w:eastAsia="黑体"/>
          <w:w w:val="95"/>
          <w:sz w:val="24"/>
        </w:rPr>
        <w:t>组</w:t>
      </w:r>
      <w:r>
        <w:rPr>
          <w:rFonts w:ascii="黑体" w:hAnsi="黑体" w:eastAsia="黑体"/>
          <w:w w:val="95"/>
          <w:sz w:val="24"/>
        </w:rPr>
        <w:t>，</w:t>
      </w:r>
      <w:r>
        <w:rPr>
          <w:rFonts w:ascii="黑体" w:hAnsi="黑体" w:eastAsia="黑体"/>
          <w:w w:val="95"/>
          <w:sz w:val="24"/>
        </w:rPr>
        <w:t>具</w:t>
      </w:r>
      <w:r>
        <w:rPr>
          <w:rFonts w:ascii="黑体" w:hAnsi="黑体" w:eastAsia="黑体"/>
          <w:w w:val="95"/>
          <w:sz w:val="24"/>
        </w:rPr>
        <w:t>体</w:t>
      </w:r>
      <w:r>
        <w:rPr>
          <w:rFonts w:ascii="黑体" w:hAnsi="黑体" w:eastAsia="黑体"/>
          <w:w w:val="95"/>
          <w:sz w:val="24"/>
        </w:rPr>
        <w:t>分</w:t>
      </w:r>
      <w:r>
        <w:rPr>
          <w:rFonts w:ascii="黑体" w:hAnsi="黑体" w:eastAsia="黑体"/>
          <w:w w:val="95"/>
          <w:sz w:val="24"/>
        </w:rPr>
        <w:t>组</w:t>
      </w:r>
      <w:r>
        <w:rPr>
          <w:rFonts w:ascii="黑体" w:hAnsi="黑体" w:eastAsia="黑体"/>
          <w:w w:val="95"/>
          <w:sz w:val="24"/>
        </w:rPr>
        <w:t>信</w:t>
      </w:r>
      <w:r>
        <w:rPr>
          <w:rFonts w:ascii="黑体" w:hAnsi="黑体" w:eastAsia="黑体"/>
          <w:w w:val="95"/>
          <w:sz w:val="24"/>
        </w:rPr>
        <w:t>息</w:t>
      </w:r>
      <w:r>
        <w:rPr>
          <w:rFonts w:ascii="黑体" w:hAnsi="黑体" w:eastAsia="黑体"/>
          <w:w w:val="95"/>
          <w:sz w:val="24"/>
        </w:rPr>
        <w:t>请</w:t>
      </w:r>
      <w:r>
        <w:rPr>
          <w:rFonts w:ascii="黑体" w:hAnsi="黑体" w:eastAsia="黑体"/>
          <w:w w:val="95"/>
          <w:sz w:val="24"/>
        </w:rPr>
        <w:t>见</w:t>
      </w:r>
      <w:r>
        <w:rPr>
          <w:rFonts w:ascii="黑体" w:hAnsi="黑体" w:eastAsia="黑体"/>
          <w:w w:val="95"/>
          <w:sz w:val="24"/>
        </w:rPr>
        <w:t>重</w:t>
      </w:r>
      <w:r>
        <w:rPr>
          <w:rFonts w:ascii="黑体" w:hAnsi="黑体" w:eastAsia="黑体"/>
          <w:w w:val="95"/>
          <w:sz w:val="24"/>
        </w:rPr>
        <w:t>大</w:t>
      </w:r>
      <w:r>
        <w:rPr>
          <w:rFonts w:ascii="黑体" w:hAnsi="黑体" w:eastAsia="黑体"/>
          <w:w w:val="95"/>
          <w:sz w:val="24"/>
        </w:rPr>
        <w:t>疾</w:t>
      </w:r>
      <w:r>
        <w:rPr>
          <w:rFonts w:ascii="黑体" w:hAnsi="黑体" w:eastAsia="黑体"/>
          <w:w w:val="95"/>
          <w:sz w:val="24"/>
        </w:rPr>
        <w:t>病</w:t>
      </w:r>
      <w:r>
        <w:rPr>
          <w:rFonts w:ascii="黑体" w:hAnsi="黑体" w:eastAsia="黑体"/>
          <w:spacing w:val="-8"/>
          <w:sz w:val="24"/>
        </w:rPr>
        <w:t>分组。若您选择的保险计划包含第三类可选责任“</w:t>
      </w:r>
      <w:r>
        <w:rPr>
          <w:rFonts w:ascii="黑体" w:hAnsi="黑体" w:eastAsia="黑体"/>
          <w:sz w:val="24"/>
        </w:rPr>
        <w:t>（</w:t>
      </w:r>
      <w:r>
        <w:rPr>
          <w:rFonts w:ascii="黑体" w:hAnsi="黑体" w:eastAsia="黑体"/>
          <w:spacing w:val="-2"/>
          <w:sz w:val="24"/>
        </w:rPr>
        <w:t>三）</w:t>
      </w:r>
      <w:r>
        <w:rPr>
          <w:rFonts w:ascii="黑体" w:hAnsi="黑体" w:eastAsia="黑体"/>
          <w:spacing w:val="-12"/>
          <w:sz w:val="24"/>
        </w:rPr>
        <w:t>多次重大疾病保险金责任”，每</w:t>
      </w:r>
      <w:r>
        <w:rPr>
          <w:rFonts w:ascii="黑体" w:hAnsi="黑体" w:eastAsia="黑体"/>
          <w:spacing w:val="-2"/>
          <w:sz w:val="24"/>
        </w:rPr>
        <w:t>组重大疾病我们仅给付一次重大疾病保险金，给付后该组重大疾病的保险责任终止。但</w:t>
      </w:r>
      <w:r>
        <w:rPr>
          <w:rFonts w:ascii="黑体" w:hAnsi="黑体" w:eastAsia="黑体"/>
          <w:spacing w:val="-2"/>
          <w:sz w:val="24"/>
        </w:rPr>
        <w:t>确诊首次患有本合同下其他不同组别的重大疾病可以再行给付，本合同的重大疾病保险</w:t>
      </w:r>
      <w:r>
        <w:rPr>
          <w:rFonts w:ascii="黑体" w:hAnsi="黑体" w:eastAsia="黑体"/>
          <w:spacing w:val="-2"/>
          <w:sz w:val="24"/>
        </w:rPr>
        <w:t>金累计给付次数以六次为限，当必选责任中“首次重大疾病保险金”责任与第三类可选</w:t>
      </w:r>
      <w:r>
        <w:rPr>
          <w:rFonts w:ascii="黑体" w:hAnsi="黑体" w:eastAsia="黑体"/>
          <w:spacing w:val="-42"/>
          <w:sz w:val="24"/>
        </w:rPr>
        <w:t>责任“</w:t>
      </w:r>
      <w:r>
        <w:rPr>
          <w:rFonts w:ascii="黑体" w:hAnsi="黑体" w:eastAsia="黑体"/>
          <w:sz w:val="24"/>
        </w:rPr>
        <w:t>（</w:t>
      </w:r>
      <w:r>
        <w:rPr>
          <w:rFonts w:ascii="黑体" w:hAnsi="黑体" w:eastAsia="黑体"/>
          <w:spacing w:val="-2"/>
          <w:sz w:val="24"/>
        </w:rPr>
        <w:t>三）多次重大疾病保险金责任”的给付次数之和达到六次时，本合同终止；</w:t>
      </w:r>
    </w:p>
    <w:p>
      <w:pPr>
        <w:pStyle w:val="ListParagraph"/>
        <w:numPr>
          <w:ilvl w:val="0"/>
          <w:numId w:val="15"/>
        </w:numPr>
        <w:tabs>
          <w:tab w:pos="1057" w:val="left" w:leader="none"/>
        </w:tabs>
        <w:spacing w:line="278" w:lineRule="auto" w:before="0" w:after="0"/>
        <w:ind w:left="396" w:right="398" w:firstLine="420"/>
        <w:jc w:val="left"/>
        <w:rPr>
          <w:rFonts w:ascii="黑体" w:eastAsia="黑体"/>
          <w:sz w:val="24"/>
        </w:rPr>
      </w:pPr>
      <w:r>
        <w:rPr>
          <w:rFonts w:ascii="黑体" w:eastAsia="黑体"/>
          <w:spacing w:val="-2"/>
          <w:sz w:val="24"/>
        </w:rPr>
        <w:t>若被保险人因同一原因导致其首次患有符合本合同定义的两种或两种以上的重大</w:t>
      </w:r>
      <w:r>
        <w:rPr>
          <w:rFonts w:ascii="黑体" w:eastAsia="黑体"/>
          <w:spacing w:val="-2"/>
          <w:sz w:val="24"/>
        </w:rPr>
        <w:t>疾病，我们按一种重大疾病给付重大疾病保险金；</w:t>
      </w:r>
    </w:p>
    <w:p>
      <w:pPr>
        <w:pStyle w:val="ListParagraph"/>
        <w:numPr>
          <w:ilvl w:val="0"/>
          <w:numId w:val="15"/>
        </w:numPr>
        <w:tabs>
          <w:tab w:pos="1057" w:val="left" w:leader="none"/>
        </w:tabs>
        <w:spacing w:line="280" w:lineRule="auto" w:before="0" w:after="0"/>
        <w:ind w:left="396" w:right="394" w:firstLine="420"/>
        <w:jc w:val="both"/>
        <w:rPr>
          <w:rFonts w:ascii="黑体" w:hAnsi="黑体" w:eastAsia="黑体"/>
          <w:sz w:val="24"/>
        </w:rPr>
      </w:pPr>
      <w:r>
        <w:rPr>
          <w:rFonts w:ascii="黑体" w:hAnsi="黑体" w:eastAsia="黑体"/>
          <w:spacing w:val="-4"/>
          <w:sz w:val="24"/>
        </w:rPr>
        <w:t>若被保险人同时符合必选责任中“首次重大疾病保险金”责任</w:t>
      </w:r>
      <w:r>
        <w:rPr>
          <w:rFonts w:ascii="黑体" w:hAnsi="黑体" w:eastAsia="黑体"/>
          <w:spacing w:val="-22"/>
          <w:sz w:val="24"/>
        </w:rPr>
        <w:t>、“身故保险金”责</w:t>
      </w:r>
      <w:r>
        <w:rPr>
          <w:rFonts w:ascii="黑体" w:hAnsi="黑体" w:eastAsia="黑体"/>
          <w:spacing w:val="-19"/>
          <w:sz w:val="24"/>
        </w:rPr>
        <w:t>任、“高度残疾保险金”责任、“疾病终末期保险金”责任与可选责任中</w:t>
      </w:r>
      <w:r>
        <w:rPr>
          <w:rFonts w:ascii="黑体" w:hAnsi="黑体" w:eastAsia="黑体"/>
          <w:spacing w:val="-2"/>
          <w:sz w:val="24"/>
        </w:rPr>
        <w:t>“1.1</w:t>
      </w:r>
      <w:r>
        <w:rPr>
          <w:rFonts w:ascii="黑体" w:hAnsi="黑体" w:eastAsia="黑体"/>
          <w:spacing w:val="-4"/>
          <w:sz w:val="24"/>
        </w:rPr>
        <w:t> 轻症疾病</w:t>
      </w:r>
      <w:r>
        <w:rPr>
          <w:rFonts w:ascii="黑体" w:hAnsi="黑体" w:eastAsia="黑体"/>
          <w:spacing w:val="-19"/>
          <w:sz w:val="24"/>
        </w:rPr>
        <w:t>保险金”责任、</w:t>
      </w:r>
      <w:r>
        <w:rPr>
          <w:rFonts w:ascii="黑体" w:hAnsi="黑体" w:eastAsia="黑体"/>
          <w:spacing w:val="-2"/>
          <w:sz w:val="24"/>
        </w:rPr>
        <w:t>“1.3</w:t>
      </w:r>
      <w:r>
        <w:rPr>
          <w:rFonts w:ascii="黑体" w:hAnsi="黑体" w:eastAsia="黑体"/>
          <w:spacing w:val="-13"/>
          <w:sz w:val="24"/>
        </w:rPr>
        <w:t> 中症疾病保险金”责任或“</w:t>
      </w:r>
      <w:r>
        <w:rPr>
          <w:rFonts w:ascii="黑体" w:hAnsi="黑体" w:eastAsia="黑体"/>
          <w:sz w:val="24"/>
        </w:rPr>
        <w:t>（</w:t>
      </w:r>
      <w:r>
        <w:rPr>
          <w:rFonts w:ascii="黑体" w:hAnsi="黑体" w:eastAsia="黑体"/>
          <w:spacing w:val="-2"/>
          <w:sz w:val="24"/>
        </w:rPr>
        <w:t>三）多次重大疾病保险金”责任中的</w:t>
      </w:r>
      <w:r>
        <w:rPr>
          <w:rFonts w:ascii="黑体" w:hAnsi="黑体" w:eastAsia="黑体"/>
          <w:spacing w:val="-2"/>
          <w:sz w:val="24"/>
        </w:rPr>
        <w:t>一种或多种，我们仅给付其中金额最高的一项保险金；</w:t>
      </w:r>
    </w:p>
    <w:p>
      <w:pPr>
        <w:pStyle w:val="ListParagraph"/>
        <w:numPr>
          <w:ilvl w:val="0"/>
          <w:numId w:val="15"/>
        </w:numPr>
        <w:tabs>
          <w:tab w:pos="1057" w:val="left" w:leader="none"/>
        </w:tabs>
        <w:spacing w:line="278" w:lineRule="auto" w:before="0" w:after="0"/>
        <w:ind w:left="396" w:right="281" w:firstLine="420"/>
        <w:jc w:val="left"/>
        <w:rPr>
          <w:rFonts w:ascii="黑体" w:hAnsi="黑体" w:eastAsia="黑体"/>
          <w:sz w:val="24"/>
        </w:rPr>
      </w:pPr>
      <w:r>
        <w:rPr>
          <w:rFonts w:ascii="黑体" w:hAnsi="黑体" w:eastAsia="黑体"/>
          <w:spacing w:val="-8"/>
          <w:sz w:val="24"/>
        </w:rPr>
        <w:t>本合同第九条保险责任中所述“已交保险费”，是指您为本合同已支付的保险费，</w:t>
      </w:r>
      <w:r>
        <w:rPr>
          <w:rFonts w:ascii="黑体" w:hAnsi="黑体" w:eastAsia="黑体"/>
          <w:spacing w:val="-2"/>
          <w:sz w:val="24"/>
        </w:rPr>
        <w:t>包含我们给付保险金之日前您已被豁免的保险费。</w:t>
      </w:r>
    </w:p>
    <w:p>
      <w:pPr>
        <w:pStyle w:val="Heading2"/>
        <w:spacing w:before="139"/>
        <w:ind w:left="395"/>
        <w:rPr>
          <w:rFonts w:ascii="宋体" w:eastAsia="宋体" w:hint="eastAsia"/>
        </w:rPr>
      </w:pPr>
      <w:bookmarkStart w:name="_bookmark11" w:id="12"/>
      <w:bookmarkEnd w:id="12"/>
      <w:r>
        <w:rPr>
          <w:b w:val="0"/>
        </w:rPr>
      </w:r>
      <w:r>
        <w:rPr>
          <w:rFonts w:ascii="宋体" w:eastAsia="宋体" w:hint="eastAsia"/>
          <w:spacing w:val="-3"/>
        </w:rPr>
        <w:t>第十条 责任免除</w:t>
      </w:r>
    </w:p>
    <w:p>
      <w:pPr>
        <w:spacing w:before="68"/>
        <w:ind w:left="816" w:right="0" w:firstLine="0"/>
        <w:jc w:val="left"/>
        <w:rPr>
          <w:rFonts w:ascii="黑体" w:eastAsia="黑体"/>
          <w:sz w:val="24"/>
        </w:rPr>
      </w:pPr>
      <w:r>
        <w:rPr>
          <w:rFonts w:ascii="黑体" w:eastAsia="黑体"/>
          <w:spacing w:val="-12"/>
          <w:sz w:val="24"/>
        </w:rPr>
        <w:t>因下列第 </w:t>
      </w:r>
      <w:r>
        <w:rPr>
          <w:rFonts w:ascii="黑体" w:eastAsia="黑体"/>
          <w:sz w:val="24"/>
        </w:rPr>
        <w:t>1</w:t>
      </w:r>
      <w:r>
        <w:rPr>
          <w:rFonts w:ascii="黑体" w:eastAsia="黑体"/>
          <w:spacing w:val="-24"/>
          <w:sz w:val="24"/>
        </w:rPr>
        <w:t> 项至第 </w:t>
      </w:r>
      <w:r>
        <w:rPr>
          <w:rFonts w:ascii="黑体" w:eastAsia="黑体"/>
          <w:sz w:val="24"/>
        </w:rPr>
        <w:t>7</w:t>
      </w:r>
      <w:r>
        <w:rPr>
          <w:rFonts w:ascii="黑体" w:eastAsia="黑体"/>
          <w:spacing w:val="-9"/>
          <w:sz w:val="24"/>
        </w:rPr>
        <w:t> 项情形之一，导致被保险人身故、本合同所定义的高度残疾，</w:t>
      </w:r>
    </w:p>
    <w:p>
      <w:pPr>
        <w:spacing w:after="0"/>
        <w:jc w:val="left"/>
        <w:rPr>
          <w:rFonts w:ascii="黑体" w:eastAsia="黑体"/>
          <w:sz w:val="24"/>
        </w:rPr>
        <w:sectPr>
          <w:pgSz w:w="11910" w:h="16840"/>
          <w:pgMar w:header="0" w:footer="1120" w:top="1380" w:bottom="1300" w:left="1020" w:right="1020"/>
        </w:sectPr>
      </w:pPr>
    </w:p>
    <w:p>
      <w:pPr>
        <w:spacing w:line="280" w:lineRule="auto" w:before="44"/>
        <w:ind w:left="395" w:right="396" w:firstLine="0"/>
        <w:jc w:val="left"/>
        <w:rPr>
          <w:rFonts w:ascii="黑体" w:hAnsi="黑体" w:eastAsia="黑体"/>
          <w:sz w:val="24"/>
        </w:rPr>
      </w:pPr>
      <w:r>
        <w:rPr>
          <w:rFonts w:ascii="黑体" w:hAnsi="黑体" w:eastAsia="黑体"/>
          <w:spacing w:val="-2"/>
          <w:sz w:val="24"/>
        </w:rPr>
        <w:t>或达到本合同所定义的疾病终末期阶段的，我们不承担给付“身故保险金”、“高度残</w:t>
      </w:r>
      <w:r>
        <w:rPr>
          <w:rFonts w:ascii="黑体" w:hAnsi="黑体" w:eastAsia="黑体"/>
          <w:spacing w:val="-2"/>
          <w:sz w:val="24"/>
        </w:rPr>
        <w:t>疾保险金”或“疾病终末期保险金”的责任：</w:t>
      </w:r>
    </w:p>
    <w:p>
      <w:pPr>
        <w:spacing w:line="280" w:lineRule="auto" w:before="0"/>
        <w:ind w:left="396" w:right="271" w:firstLine="420"/>
        <w:jc w:val="both"/>
        <w:rPr>
          <w:rFonts w:ascii="黑体" w:hAnsi="黑体" w:eastAsia="黑体"/>
          <w:sz w:val="24"/>
        </w:rPr>
      </w:pPr>
      <w:r>
        <w:rPr>
          <w:rFonts w:ascii="黑体" w:hAnsi="黑体" w:eastAsia="黑体"/>
          <w:w w:val="95"/>
          <w:sz w:val="24"/>
        </w:rPr>
        <w:t>因</w:t>
      </w:r>
      <w:r>
        <w:rPr>
          <w:rFonts w:ascii="黑体" w:hAnsi="黑体" w:eastAsia="黑体"/>
          <w:w w:val="95"/>
          <w:sz w:val="24"/>
        </w:rPr>
        <w:t>下</w:t>
      </w:r>
      <w:r>
        <w:rPr>
          <w:rFonts w:ascii="黑体" w:hAnsi="黑体" w:eastAsia="黑体"/>
          <w:w w:val="95"/>
          <w:sz w:val="24"/>
        </w:rPr>
        <w:t>列</w:t>
      </w:r>
      <w:r>
        <w:rPr>
          <w:rFonts w:ascii="黑体" w:hAnsi="黑体" w:eastAsia="黑体"/>
          <w:w w:val="95"/>
          <w:sz w:val="24"/>
        </w:rPr>
        <w:t>第</w:t>
      </w:r>
      <w:r>
        <w:rPr>
          <w:rFonts w:ascii="黑体" w:hAnsi="黑体" w:eastAsia="黑体"/>
          <w:w w:val="95"/>
          <w:sz w:val="24"/>
        </w:rPr>
        <w:t> 1 </w:t>
      </w:r>
      <w:r>
        <w:rPr>
          <w:rFonts w:ascii="黑体" w:hAnsi="黑体" w:eastAsia="黑体"/>
          <w:w w:val="95"/>
          <w:sz w:val="24"/>
        </w:rPr>
        <w:t>项</w:t>
      </w:r>
      <w:r>
        <w:rPr>
          <w:rFonts w:ascii="黑体" w:hAnsi="黑体" w:eastAsia="黑体"/>
          <w:w w:val="95"/>
          <w:sz w:val="24"/>
        </w:rPr>
        <w:t>至</w:t>
      </w:r>
      <w:r>
        <w:rPr>
          <w:rFonts w:ascii="黑体" w:hAnsi="黑体" w:eastAsia="黑体"/>
          <w:w w:val="95"/>
          <w:sz w:val="24"/>
        </w:rPr>
        <w:t>第</w:t>
      </w:r>
      <w:r>
        <w:rPr>
          <w:rFonts w:ascii="黑体" w:hAnsi="黑体" w:eastAsia="黑体"/>
          <w:w w:val="95"/>
          <w:sz w:val="24"/>
        </w:rPr>
        <w:t> 9 项</w:t>
      </w:r>
      <w:r>
        <w:rPr>
          <w:rFonts w:ascii="黑体" w:hAnsi="黑体" w:eastAsia="黑体"/>
          <w:w w:val="95"/>
          <w:sz w:val="24"/>
        </w:rPr>
        <w:t>情</w:t>
      </w:r>
      <w:r>
        <w:rPr>
          <w:rFonts w:ascii="黑体" w:hAnsi="黑体" w:eastAsia="黑体"/>
          <w:w w:val="95"/>
          <w:sz w:val="24"/>
        </w:rPr>
        <w:t>形</w:t>
      </w:r>
      <w:r>
        <w:rPr>
          <w:rFonts w:ascii="黑体" w:hAnsi="黑体" w:eastAsia="黑体"/>
          <w:w w:val="95"/>
          <w:sz w:val="24"/>
        </w:rPr>
        <w:t>之</w:t>
      </w:r>
      <w:r>
        <w:rPr>
          <w:rFonts w:ascii="黑体" w:hAnsi="黑体" w:eastAsia="黑体"/>
          <w:w w:val="95"/>
          <w:sz w:val="24"/>
        </w:rPr>
        <w:t>一</w:t>
      </w:r>
      <w:r>
        <w:rPr>
          <w:rFonts w:ascii="黑体" w:hAnsi="黑体" w:eastAsia="黑体"/>
          <w:w w:val="95"/>
          <w:sz w:val="24"/>
        </w:rPr>
        <w:t>，</w:t>
      </w:r>
      <w:r>
        <w:rPr>
          <w:rFonts w:ascii="黑体" w:hAnsi="黑体" w:eastAsia="黑体"/>
          <w:w w:val="95"/>
          <w:sz w:val="24"/>
        </w:rPr>
        <w:t>导</w:t>
      </w:r>
      <w:r>
        <w:rPr>
          <w:rFonts w:ascii="黑体" w:hAnsi="黑体" w:eastAsia="黑体"/>
          <w:w w:val="95"/>
          <w:sz w:val="24"/>
        </w:rPr>
        <w:t>致</w:t>
      </w:r>
      <w:r>
        <w:rPr>
          <w:rFonts w:ascii="黑体" w:hAnsi="黑体" w:eastAsia="黑体"/>
          <w:w w:val="95"/>
          <w:sz w:val="24"/>
        </w:rPr>
        <w:t>被</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人</w:t>
      </w:r>
      <w:r>
        <w:rPr>
          <w:rFonts w:ascii="黑体" w:hAnsi="黑体" w:eastAsia="黑体"/>
          <w:w w:val="95"/>
          <w:sz w:val="24"/>
        </w:rPr>
        <w:t>患</w:t>
      </w:r>
      <w:r>
        <w:rPr>
          <w:rFonts w:ascii="黑体" w:hAnsi="黑体" w:eastAsia="黑体"/>
          <w:w w:val="95"/>
          <w:sz w:val="24"/>
        </w:rPr>
        <w:t>有</w:t>
      </w:r>
      <w:r>
        <w:rPr>
          <w:rFonts w:ascii="黑体" w:hAnsi="黑体" w:eastAsia="黑体"/>
          <w:w w:val="95"/>
          <w:sz w:val="24"/>
        </w:rPr>
        <w:t>本</w:t>
      </w:r>
      <w:r>
        <w:rPr>
          <w:rFonts w:ascii="黑体" w:hAnsi="黑体" w:eastAsia="黑体"/>
          <w:w w:val="95"/>
          <w:sz w:val="24"/>
        </w:rPr>
        <w:t>合</w:t>
      </w:r>
      <w:r>
        <w:rPr>
          <w:rFonts w:ascii="黑体" w:hAnsi="黑体" w:eastAsia="黑体"/>
          <w:w w:val="95"/>
          <w:sz w:val="24"/>
        </w:rPr>
        <w:t>同</w:t>
      </w:r>
      <w:r>
        <w:rPr>
          <w:rFonts w:ascii="黑体" w:hAnsi="黑体" w:eastAsia="黑体"/>
          <w:w w:val="95"/>
          <w:sz w:val="24"/>
        </w:rPr>
        <w:t>所</w:t>
      </w:r>
      <w:r>
        <w:rPr>
          <w:rFonts w:ascii="黑体" w:hAnsi="黑体" w:eastAsia="黑体"/>
          <w:w w:val="95"/>
          <w:sz w:val="24"/>
        </w:rPr>
        <w:t>列</w:t>
      </w:r>
      <w:r>
        <w:rPr>
          <w:rFonts w:ascii="黑体" w:hAnsi="黑体" w:eastAsia="黑体"/>
          <w:w w:val="95"/>
          <w:sz w:val="24"/>
        </w:rPr>
        <w:t>的</w:t>
      </w:r>
      <w:r>
        <w:rPr>
          <w:rFonts w:ascii="黑体" w:hAnsi="黑体" w:eastAsia="黑体"/>
          <w:spacing w:val="40"/>
          <w:sz w:val="24"/>
        </w:rPr>
        <w:t> </w:t>
      </w:r>
      <w:r>
        <w:rPr>
          <w:rFonts w:ascii="黑体" w:hAnsi="黑体" w:eastAsia="黑体"/>
          <w:w w:val="95"/>
          <w:sz w:val="24"/>
        </w:rPr>
        <w:t>“</w:t>
      </w:r>
      <w:r>
        <w:rPr>
          <w:rFonts w:ascii="黑体" w:hAnsi="黑体" w:eastAsia="黑体"/>
          <w:w w:val="95"/>
          <w:sz w:val="24"/>
        </w:rPr>
        <w:t>轻</w:t>
      </w:r>
      <w:r>
        <w:rPr>
          <w:rFonts w:ascii="黑体" w:hAnsi="黑体" w:eastAsia="黑体"/>
          <w:w w:val="95"/>
          <w:sz w:val="24"/>
        </w:rPr>
        <w:t>症</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 </w:t>
      </w:r>
      <w:r>
        <w:rPr>
          <w:rFonts w:ascii="黑体" w:hAnsi="黑体" w:eastAsia="黑体"/>
          <w:spacing w:val="-2"/>
          <w:sz w:val="24"/>
        </w:rPr>
        <w:t>“中症疾病”、“重大疾病”、“特定疾病”的，我们不承担给付各项保险金的责任，</w:t>
      </w:r>
      <w:r>
        <w:rPr>
          <w:rFonts w:ascii="黑体" w:hAnsi="黑体" w:eastAsia="黑体"/>
          <w:spacing w:val="-2"/>
          <w:sz w:val="24"/>
        </w:rPr>
        <w:t>且不承担豁免保险费的责任：</w:t>
      </w:r>
    </w:p>
    <w:p>
      <w:pPr>
        <w:pStyle w:val="ListParagraph"/>
        <w:numPr>
          <w:ilvl w:val="0"/>
          <w:numId w:val="16"/>
        </w:numPr>
        <w:tabs>
          <w:tab w:pos="1126" w:val="left" w:leader="none"/>
        </w:tabs>
        <w:spacing w:line="306" w:lineRule="exact" w:before="0" w:after="0"/>
        <w:ind w:left="1125" w:right="0" w:hanging="306"/>
        <w:jc w:val="both"/>
        <w:rPr>
          <w:rFonts w:ascii="黑体" w:eastAsia="黑体"/>
          <w:sz w:val="24"/>
        </w:rPr>
      </w:pPr>
      <w:r>
        <w:rPr>
          <w:rFonts w:ascii="黑体" w:eastAsia="黑体"/>
          <w:spacing w:val="-1"/>
          <w:sz w:val="24"/>
        </w:rPr>
        <w:t>您对被保险人的故意杀害、故意伤害；</w:t>
      </w:r>
    </w:p>
    <w:p>
      <w:pPr>
        <w:pStyle w:val="ListParagraph"/>
        <w:numPr>
          <w:ilvl w:val="0"/>
          <w:numId w:val="16"/>
        </w:numPr>
        <w:tabs>
          <w:tab w:pos="1126" w:val="left" w:leader="none"/>
        </w:tabs>
        <w:spacing w:line="240" w:lineRule="auto" w:before="48" w:after="0"/>
        <w:ind w:left="1125" w:right="0" w:hanging="306"/>
        <w:jc w:val="both"/>
        <w:rPr>
          <w:rFonts w:ascii="黑体" w:eastAsia="黑体"/>
          <w:sz w:val="24"/>
        </w:rPr>
      </w:pPr>
      <w:r>
        <w:rPr>
          <w:rFonts w:ascii="黑体" w:eastAsia="黑体"/>
          <w:spacing w:val="-1"/>
          <w:sz w:val="24"/>
        </w:rPr>
        <w:t>被保险人故意犯罪或者抗拒依法采取的刑事强制措施；</w:t>
      </w:r>
    </w:p>
    <w:p>
      <w:pPr>
        <w:pStyle w:val="ListParagraph"/>
        <w:numPr>
          <w:ilvl w:val="0"/>
          <w:numId w:val="16"/>
        </w:numPr>
        <w:tabs>
          <w:tab w:pos="1126" w:val="left" w:leader="none"/>
        </w:tabs>
        <w:spacing w:line="278" w:lineRule="auto" w:before="52" w:after="0"/>
        <w:ind w:left="1101" w:right="396" w:hanging="281"/>
        <w:jc w:val="both"/>
        <w:rPr>
          <w:rFonts w:ascii="黑体" w:eastAsia="黑体"/>
          <w:sz w:val="24"/>
        </w:rPr>
      </w:pPr>
      <w:r>
        <w:rPr>
          <w:rFonts w:ascii="黑体" w:eastAsia="黑体"/>
          <w:w w:val="95"/>
          <w:sz w:val="24"/>
        </w:rPr>
        <w:t>被</w:t>
      </w:r>
      <w:r>
        <w:rPr>
          <w:rFonts w:ascii="黑体" w:eastAsia="黑体"/>
          <w:w w:val="95"/>
          <w:sz w:val="24"/>
        </w:rPr>
        <w:t>保</w:t>
      </w:r>
      <w:r>
        <w:rPr>
          <w:rFonts w:ascii="黑体" w:eastAsia="黑体"/>
          <w:w w:val="95"/>
          <w:sz w:val="24"/>
        </w:rPr>
        <w:t>险</w:t>
      </w:r>
      <w:r>
        <w:rPr>
          <w:rFonts w:ascii="黑体" w:eastAsia="黑体"/>
          <w:w w:val="95"/>
          <w:sz w:val="24"/>
        </w:rPr>
        <w:t>人</w:t>
      </w:r>
      <w:r>
        <w:rPr>
          <w:rFonts w:ascii="黑体" w:eastAsia="黑体"/>
          <w:w w:val="95"/>
          <w:sz w:val="24"/>
        </w:rPr>
        <w:t>故</w:t>
      </w:r>
      <w:r>
        <w:rPr>
          <w:rFonts w:ascii="黑体" w:eastAsia="黑体"/>
          <w:w w:val="95"/>
          <w:sz w:val="24"/>
        </w:rPr>
        <w:t>意</w:t>
      </w:r>
      <w:r>
        <w:rPr>
          <w:rFonts w:ascii="黑体" w:eastAsia="黑体"/>
          <w:w w:val="95"/>
          <w:sz w:val="24"/>
        </w:rPr>
        <w:t>自</w:t>
      </w:r>
      <w:r>
        <w:rPr>
          <w:rFonts w:ascii="黑体" w:eastAsia="黑体"/>
          <w:w w:val="95"/>
          <w:sz w:val="24"/>
        </w:rPr>
        <w:t>伤</w:t>
      </w:r>
      <w:r>
        <w:rPr>
          <w:rFonts w:ascii="黑体" w:eastAsia="黑体"/>
          <w:w w:val="95"/>
          <w:sz w:val="24"/>
        </w:rPr>
        <w:t>、</w:t>
      </w:r>
      <w:r>
        <w:rPr>
          <w:rFonts w:ascii="黑体" w:eastAsia="黑体"/>
          <w:w w:val="95"/>
          <w:sz w:val="24"/>
        </w:rPr>
        <w:t>或</w:t>
      </w:r>
      <w:r>
        <w:rPr>
          <w:rFonts w:ascii="黑体" w:eastAsia="黑体"/>
          <w:w w:val="95"/>
          <w:sz w:val="24"/>
        </w:rPr>
        <w:t>自</w:t>
      </w:r>
      <w:r>
        <w:rPr>
          <w:rFonts w:ascii="黑体" w:eastAsia="黑体"/>
          <w:w w:val="95"/>
          <w:sz w:val="24"/>
        </w:rPr>
        <w:t>本</w:t>
      </w:r>
      <w:r>
        <w:rPr>
          <w:rFonts w:ascii="黑体" w:eastAsia="黑体"/>
          <w:w w:val="95"/>
          <w:sz w:val="24"/>
        </w:rPr>
        <w:t>合</w:t>
      </w:r>
      <w:r>
        <w:rPr>
          <w:rFonts w:ascii="黑体" w:eastAsia="黑体"/>
          <w:w w:val="95"/>
          <w:sz w:val="24"/>
        </w:rPr>
        <w:t>同</w:t>
      </w:r>
      <w:r>
        <w:rPr>
          <w:rFonts w:ascii="黑体" w:eastAsia="黑体"/>
          <w:w w:val="95"/>
          <w:sz w:val="24"/>
        </w:rPr>
        <w:t>成</w:t>
      </w:r>
      <w:r>
        <w:rPr>
          <w:rFonts w:ascii="黑体" w:eastAsia="黑体"/>
          <w:w w:val="95"/>
          <w:sz w:val="24"/>
        </w:rPr>
        <w:t>立</w:t>
      </w:r>
      <w:r>
        <w:rPr>
          <w:rFonts w:ascii="黑体" w:eastAsia="黑体"/>
          <w:w w:val="95"/>
          <w:sz w:val="24"/>
        </w:rPr>
        <w:t>或</w:t>
      </w:r>
      <w:r>
        <w:rPr>
          <w:rFonts w:ascii="黑体" w:eastAsia="黑体"/>
          <w:w w:val="95"/>
          <w:sz w:val="24"/>
        </w:rPr>
        <w:t>者</w:t>
      </w:r>
      <w:r>
        <w:rPr>
          <w:rFonts w:ascii="黑体" w:eastAsia="黑体"/>
          <w:w w:val="95"/>
          <w:sz w:val="24"/>
        </w:rPr>
        <w:t>最</w:t>
      </w:r>
      <w:r>
        <w:rPr>
          <w:rFonts w:ascii="黑体" w:eastAsia="黑体"/>
          <w:w w:val="95"/>
          <w:sz w:val="24"/>
        </w:rPr>
        <w:t>后</w:t>
      </w:r>
      <w:r>
        <w:rPr>
          <w:rFonts w:ascii="黑体" w:eastAsia="黑体"/>
          <w:w w:val="95"/>
          <w:sz w:val="24"/>
        </w:rPr>
        <w:t>复</w:t>
      </w:r>
      <w:r>
        <w:rPr>
          <w:rFonts w:ascii="黑体" w:eastAsia="黑体"/>
          <w:w w:val="95"/>
          <w:sz w:val="24"/>
        </w:rPr>
        <w:t>效</w:t>
      </w:r>
      <w:r>
        <w:rPr>
          <w:rFonts w:ascii="黑体" w:eastAsia="黑体"/>
          <w:w w:val="95"/>
          <w:sz w:val="24"/>
        </w:rPr>
        <w:t>之</w:t>
      </w:r>
      <w:r>
        <w:rPr>
          <w:rFonts w:ascii="黑体" w:eastAsia="黑体"/>
          <w:w w:val="95"/>
          <w:sz w:val="24"/>
        </w:rPr>
        <w:t>日</w:t>
      </w:r>
      <w:r>
        <w:rPr>
          <w:rFonts w:ascii="黑体" w:eastAsia="黑体"/>
          <w:w w:val="95"/>
          <w:sz w:val="24"/>
        </w:rPr>
        <w:t>起</w:t>
      </w:r>
      <w:r>
        <w:rPr>
          <w:rFonts w:ascii="黑体" w:eastAsia="黑体"/>
          <w:spacing w:val="39"/>
          <w:sz w:val="24"/>
        </w:rPr>
        <w:t> </w:t>
      </w:r>
      <w:r>
        <w:rPr>
          <w:rFonts w:ascii="黑体" w:eastAsia="黑体"/>
          <w:w w:val="95"/>
          <w:sz w:val="24"/>
        </w:rPr>
        <w:t>2</w:t>
      </w:r>
      <w:r>
        <w:rPr>
          <w:rFonts w:ascii="黑体" w:eastAsia="黑体"/>
          <w:spacing w:val="39"/>
          <w:sz w:val="24"/>
        </w:rPr>
        <w:t> </w:t>
      </w:r>
      <w:r>
        <w:rPr>
          <w:rFonts w:ascii="黑体" w:eastAsia="黑体"/>
          <w:w w:val="95"/>
          <w:sz w:val="24"/>
        </w:rPr>
        <w:t>年</w:t>
      </w:r>
      <w:r>
        <w:rPr>
          <w:rFonts w:ascii="黑体" w:eastAsia="黑体"/>
          <w:w w:val="95"/>
          <w:sz w:val="24"/>
        </w:rPr>
        <w:t>内</w:t>
      </w:r>
      <w:r>
        <w:rPr>
          <w:rFonts w:ascii="黑体" w:eastAsia="黑体"/>
          <w:w w:val="95"/>
          <w:sz w:val="24"/>
        </w:rPr>
        <w:t>自</w:t>
      </w:r>
      <w:r>
        <w:rPr>
          <w:rFonts w:ascii="黑体" w:eastAsia="黑体"/>
          <w:w w:val="95"/>
          <w:sz w:val="24"/>
        </w:rPr>
        <w:t>杀</w:t>
      </w:r>
      <w:r>
        <w:rPr>
          <w:rFonts w:ascii="黑体" w:eastAsia="黑体"/>
          <w:w w:val="95"/>
          <w:sz w:val="24"/>
        </w:rPr>
        <w:t>，</w:t>
      </w:r>
      <w:r>
        <w:rPr>
          <w:rFonts w:ascii="黑体" w:eastAsia="黑体"/>
          <w:w w:val="95"/>
          <w:sz w:val="24"/>
        </w:rPr>
        <w:t>但</w:t>
      </w:r>
      <w:r>
        <w:rPr>
          <w:rFonts w:ascii="黑体" w:eastAsia="黑体"/>
          <w:w w:val="95"/>
          <w:sz w:val="24"/>
        </w:rPr>
        <w:t>被</w:t>
      </w:r>
      <w:r>
        <w:rPr>
          <w:rFonts w:ascii="黑体" w:eastAsia="黑体"/>
          <w:w w:val="95"/>
          <w:sz w:val="24"/>
        </w:rPr>
        <w:t>保</w:t>
      </w:r>
      <w:r>
        <w:rPr>
          <w:rFonts w:ascii="黑体" w:eastAsia="黑体"/>
          <w:w w:val="95"/>
          <w:sz w:val="24"/>
        </w:rPr>
        <w:t>险</w:t>
      </w:r>
      <w:r>
        <w:rPr>
          <w:rFonts w:ascii="黑体" w:eastAsia="黑体"/>
          <w:spacing w:val="-2"/>
          <w:sz w:val="24"/>
        </w:rPr>
        <w:t>人自杀时为无民事行为能力人的除外；</w:t>
      </w:r>
    </w:p>
    <w:p>
      <w:pPr>
        <w:pStyle w:val="ListParagraph"/>
        <w:numPr>
          <w:ilvl w:val="0"/>
          <w:numId w:val="16"/>
        </w:numPr>
        <w:tabs>
          <w:tab w:pos="1126" w:val="left" w:leader="none"/>
        </w:tabs>
        <w:spacing w:line="240" w:lineRule="auto" w:before="5" w:after="0"/>
        <w:ind w:left="1125" w:right="0" w:hanging="306"/>
        <w:jc w:val="both"/>
        <w:rPr>
          <w:rFonts w:ascii="黑体" w:eastAsia="黑体"/>
          <w:sz w:val="24"/>
        </w:rPr>
      </w:pPr>
      <w:r>
        <w:rPr>
          <w:rFonts w:ascii="黑体" w:eastAsia="黑体"/>
          <w:w w:val="95"/>
          <w:sz w:val="24"/>
        </w:rPr>
        <w:t>被</w:t>
      </w:r>
      <w:r>
        <w:rPr>
          <w:rFonts w:ascii="黑体" w:eastAsia="黑体"/>
          <w:w w:val="95"/>
          <w:sz w:val="24"/>
        </w:rPr>
        <w:t>保</w:t>
      </w:r>
      <w:r>
        <w:rPr>
          <w:rFonts w:ascii="黑体" w:eastAsia="黑体"/>
          <w:w w:val="95"/>
          <w:sz w:val="24"/>
        </w:rPr>
        <w:t>险</w:t>
      </w:r>
      <w:r>
        <w:rPr>
          <w:rFonts w:ascii="黑体" w:eastAsia="黑体"/>
          <w:w w:val="95"/>
          <w:sz w:val="24"/>
        </w:rPr>
        <w:t>人</w:t>
      </w:r>
      <w:r>
        <w:rPr>
          <w:rFonts w:ascii="黑体" w:eastAsia="黑体"/>
          <w:w w:val="95"/>
          <w:sz w:val="24"/>
        </w:rPr>
        <w:t>服</w:t>
      </w:r>
      <w:r>
        <w:rPr>
          <w:rFonts w:ascii="黑体" w:eastAsia="黑体"/>
          <w:w w:val="95"/>
          <w:sz w:val="24"/>
        </w:rPr>
        <w:t>用</w:t>
      </w:r>
      <w:r>
        <w:rPr>
          <w:rFonts w:ascii="黑体" w:eastAsia="黑体"/>
          <w:w w:val="95"/>
          <w:sz w:val="24"/>
        </w:rPr>
        <w:t>、</w:t>
      </w:r>
      <w:r>
        <w:rPr>
          <w:rFonts w:ascii="黑体" w:eastAsia="黑体"/>
          <w:w w:val="95"/>
          <w:sz w:val="24"/>
        </w:rPr>
        <w:t>吸</w:t>
      </w:r>
      <w:r>
        <w:rPr>
          <w:rFonts w:ascii="黑体" w:eastAsia="黑体"/>
          <w:w w:val="95"/>
          <w:sz w:val="24"/>
        </w:rPr>
        <w:t>食</w:t>
      </w:r>
      <w:r>
        <w:rPr>
          <w:rFonts w:ascii="黑体" w:eastAsia="黑体"/>
          <w:w w:val="95"/>
          <w:sz w:val="24"/>
        </w:rPr>
        <w:t>或</w:t>
      </w:r>
      <w:r>
        <w:rPr>
          <w:rFonts w:ascii="黑体" w:eastAsia="黑体"/>
          <w:w w:val="95"/>
          <w:sz w:val="24"/>
        </w:rPr>
        <w:t>注</w:t>
      </w:r>
      <w:r>
        <w:rPr>
          <w:rFonts w:ascii="黑体" w:eastAsia="黑体"/>
          <w:w w:val="95"/>
          <w:sz w:val="24"/>
        </w:rPr>
        <w:t>射</w:t>
      </w:r>
      <w:r>
        <w:rPr>
          <w:rFonts w:ascii="黑体" w:eastAsia="黑体" w:hint="eastAsia"/>
          <w:b/>
          <w:w w:val="95"/>
          <w:sz w:val="24"/>
        </w:rPr>
        <w:t>毒</w:t>
      </w:r>
      <w:r>
        <w:rPr>
          <w:rFonts w:ascii="黑体" w:eastAsia="黑体" w:hint="eastAsia"/>
          <w:b/>
          <w:w w:val="95"/>
          <w:sz w:val="24"/>
        </w:rPr>
        <w:t>品</w:t>
      </w:r>
      <w:r>
        <w:rPr>
          <w:rFonts w:ascii="黑体" w:eastAsia="黑体"/>
          <w:w w:val="95"/>
          <w:sz w:val="24"/>
        </w:rPr>
        <w:t>（</w:t>
      </w:r>
      <w:r>
        <w:rPr>
          <w:rFonts w:ascii="黑体" w:eastAsia="黑体"/>
          <w:w w:val="95"/>
          <w:sz w:val="24"/>
        </w:rPr>
        <w:t>见</w:t>
      </w:r>
      <w:r>
        <w:rPr>
          <w:rFonts w:ascii="黑体" w:eastAsia="黑体"/>
          <w:w w:val="95"/>
          <w:sz w:val="24"/>
        </w:rPr>
        <w:t>释</w:t>
      </w:r>
      <w:r>
        <w:rPr>
          <w:rFonts w:ascii="黑体" w:eastAsia="黑体"/>
          <w:w w:val="95"/>
          <w:sz w:val="24"/>
        </w:rPr>
        <w:t>义</w:t>
      </w:r>
      <w:r>
        <w:rPr>
          <w:rFonts w:ascii="黑体" w:eastAsia="黑体"/>
          <w:spacing w:val="17"/>
          <w:sz w:val="24"/>
        </w:rPr>
        <w:t>  </w:t>
      </w:r>
      <w:r>
        <w:rPr>
          <w:rFonts w:ascii="黑体" w:eastAsia="黑体"/>
          <w:spacing w:val="-4"/>
          <w:w w:val="95"/>
          <w:sz w:val="24"/>
        </w:rPr>
        <w:t>17）；</w:t>
      </w:r>
    </w:p>
    <w:p>
      <w:pPr>
        <w:pStyle w:val="ListParagraph"/>
        <w:numPr>
          <w:ilvl w:val="0"/>
          <w:numId w:val="16"/>
        </w:numPr>
        <w:tabs>
          <w:tab w:pos="1126" w:val="left" w:leader="none"/>
        </w:tabs>
        <w:spacing w:line="280" w:lineRule="auto" w:before="50" w:after="0"/>
        <w:ind w:left="1101" w:right="396" w:hanging="281"/>
        <w:jc w:val="left"/>
        <w:rPr>
          <w:rFonts w:ascii="黑体" w:eastAsia="黑体"/>
          <w:sz w:val="24"/>
        </w:rPr>
      </w:pPr>
      <w:r>
        <w:rPr>
          <w:rFonts w:ascii="黑体" w:eastAsia="黑体"/>
          <w:sz w:val="24"/>
        </w:rPr>
        <w:t>被保险人</w:t>
      </w:r>
      <w:r>
        <w:rPr>
          <w:rFonts w:ascii="黑体" w:eastAsia="黑体" w:hint="eastAsia"/>
          <w:b/>
          <w:sz w:val="24"/>
        </w:rPr>
        <w:t>酒后</w:t>
      </w:r>
      <w:r>
        <w:rPr>
          <w:rFonts w:ascii="黑体" w:eastAsia="黑体" w:hint="eastAsia"/>
          <w:b/>
          <w:sz w:val="24"/>
        </w:rPr>
        <w:t>驾</w:t>
      </w:r>
      <w:r>
        <w:rPr>
          <w:rFonts w:ascii="黑体" w:eastAsia="黑体" w:hint="eastAsia"/>
          <w:b/>
          <w:sz w:val="24"/>
        </w:rPr>
        <w:t>驶</w:t>
      </w:r>
      <w:r>
        <w:rPr>
          <w:rFonts w:ascii="黑体" w:eastAsia="黑体"/>
          <w:sz w:val="24"/>
        </w:rPr>
        <w:t>（</w:t>
      </w:r>
      <w:r>
        <w:rPr>
          <w:rFonts w:ascii="黑体" w:eastAsia="黑体"/>
          <w:spacing w:val="-9"/>
          <w:sz w:val="24"/>
        </w:rPr>
        <w:t>见释义 </w:t>
      </w:r>
      <w:r>
        <w:rPr>
          <w:rFonts w:ascii="黑体" w:eastAsia="黑体"/>
          <w:sz w:val="24"/>
        </w:rPr>
        <w:t>18）、</w:t>
      </w:r>
      <w:r>
        <w:rPr>
          <w:rFonts w:ascii="黑体" w:eastAsia="黑体" w:hint="eastAsia"/>
          <w:b/>
          <w:sz w:val="24"/>
        </w:rPr>
        <w:t>无合法有效驾驶</w:t>
      </w:r>
      <w:r>
        <w:rPr>
          <w:rFonts w:ascii="黑体" w:eastAsia="黑体" w:hint="eastAsia"/>
          <w:b/>
          <w:sz w:val="24"/>
        </w:rPr>
        <w:t>证</w:t>
      </w:r>
      <w:r>
        <w:rPr>
          <w:rFonts w:ascii="黑体" w:eastAsia="黑体" w:hint="eastAsia"/>
          <w:b/>
          <w:sz w:val="24"/>
        </w:rPr>
        <w:t>驾</w:t>
      </w:r>
      <w:r>
        <w:rPr>
          <w:rFonts w:ascii="黑体" w:eastAsia="黑体" w:hint="eastAsia"/>
          <w:b/>
          <w:sz w:val="24"/>
        </w:rPr>
        <w:t>驶</w:t>
      </w:r>
      <w:r>
        <w:rPr>
          <w:rFonts w:ascii="黑体" w:eastAsia="黑体"/>
          <w:sz w:val="24"/>
        </w:rPr>
        <w:t>（</w:t>
      </w:r>
      <w:r>
        <w:rPr>
          <w:rFonts w:ascii="黑体" w:eastAsia="黑体"/>
          <w:spacing w:val="-9"/>
          <w:sz w:val="24"/>
        </w:rPr>
        <w:t>见释义 </w:t>
      </w:r>
      <w:r>
        <w:rPr>
          <w:rFonts w:ascii="黑体" w:eastAsia="黑体"/>
          <w:sz w:val="24"/>
        </w:rPr>
        <w:t>19）或驾驶</w:t>
      </w:r>
      <w:r>
        <w:rPr>
          <w:rFonts w:ascii="黑体" w:eastAsia="黑体" w:hint="eastAsia"/>
          <w:b/>
          <w:sz w:val="24"/>
        </w:rPr>
        <w:t>无有效</w:t>
      </w:r>
      <w:r>
        <w:rPr>
          <w:rFonts w:ascii="黑体" w:eastAsia="黑体" w:hint="eastAsia"/>
          <w:b/>
          <w:sz w:val="24"/>
        </w:rPr>
        <w:t>行</w:t>
      </w:r>
      <w:r>
        <w:rPr>
          <w:rFonts w:ascii="黑体" w:eastAsia="黑体" w:hint="eastAsia"/>
          <w:b/>
          <w:sz w:val="24"/>
        </w:rPr>
        <w:t>驶</w:t>
      </w:r>
      <w:r>
        <w:rPr>
          <w:rFonts w:ascii="黑体" w:eastAsia="黑体" w:hint="eastAsia"/>
          <w:b/>
          <w:sz w:val="24"/>
        </w:rPr>
        <w:t>证</w:t>
      </w:r>
      <w:r>
        <w:rPr>
          <w:rFonts w:ascii="黑体" w:eastAsia="黑体"/>
          <w:sz w:val="24"/>
        </w:rPr>
        <w:t>（</w:t>
      </w:r>
      <w:r>
        <w:rPr>
          <w:rFonts w:ascii="黑体" w:eastAsia="黑体"/>
          <w:spacing w:val="-6"/>
          <w:sz w:val="24"/>
        </w:rPr>
        <w:t>见释义 </w:t>
      </w:r>
      <w:r>
        <w:rPr>
          <w:rFonts w:ascii="黑体" w:eastAsia="黑体"/>
          <w:sz w:val="24"/>
        </w:rPr>
        <w:t>20）的</w:t>
      </w:r>
      <w:r>
        <w:rPr>
          <w:rFonts w:ascii="黑体" w:eastAsia="黑体" w:hint="eastAsia"/>
          <w:b/>
          <w:sz w:val="24"/>
        </w:rPr>
        <w:t>机动车</w:t>
      </w:r>
      <w:r>
        <w:rPr>
          <w:rFonts w:ascii="黑体" w:eastAsia="黑体"/>
          <w:sz w:val="24"/>
        </w:rPr>
        <w:t>（</w:t>
      </w:r>
      <w:r>
        <w:rPr>
          <w:rFonts w:ascii="黑体" w:eastAsia="黑体"/>
          <w:spacing w:val="-6"/>
          <w:sz w:val="24"/>
        </w:rPr>
        <w:t>见释义 </w:t>
      </w:r>
      <w:r>
        <w:rPr>
          <w:rFonts w:ascii="黑体" w:eastAsia="黑体"/>
          <w:sz w:val="24"/>
        </w:rPr>
        <w:t>21）；</w:t>
      </w:r>
    </w:p>
    <w:p>
      <w:pPr>
        <w:pStyle w:val="ListParagraph"/>
        <w:numPr>
          <w:ilvl w:val="0"/>
          <w:numId w:val="16"/>
        </w:numPr>
        <w:tabs>
          <w:tab w:pos="1126" w:val="left" w:leader="none"/>
        </w:tabs>
        <w:spacing w:line="306" w:lineRule="exact" w:before="0" w:after="0"/>
        <w:ind w:left="1125" w:right="0" w:hanging="306"/>
        <w:jc w:val="left"/>
        <w:rPr>
          <w:rFonts w:ascii="黑体" w:eastAsia="黑体"/>
          <w:sz w:val="24"/>
        </w:rPr>
      </w:pPr>
      <w:r>
        <w:rPr>
          <w:rFonts w:ascii="黑体" w:eastAsia="黑体"/>
          <w:spacing w:val="-1"/>
          <w:sz w:val="24"/>
        </w:rPr>
        <w:t>战争、军事冲突、暴乱或武装叛乱；</w:t>
      </w:r>
    </w:p>
    <w:p>
      <w:pPr>
        <w:pStyle w:val="ListParagraph"/>
        <w:numPr>
          <w:ilvl w:val="0"/>
          <w:numId w:val="16"/>
        </w:numPr>
        <w:tabs>
          <w:tab w:pos="1126" w:val="left" w:leader="none"/>
        </w:tabs>
        <w:spacing w:line="240" w:lineRule="auto" w:before="52" w:after="0"/>
        <w:ind w:left="1125" w:right="0" w:hanging="306"/>
        <w:jc w:val="left"/>
        <w:rPr>
          <w:rFonts w:ascii="黑体" w:eastAsia="黑体"/>
          <w:sz w:val="24"/>
        </w:rPr>
      </w:pPr>
      <w:r>
        <w:rPr>
          <w:rFonts w:ascii="黑体" w:eastAsia="黑体"/>
          <w:spacing w:val="-1"/>
          <w:sz w:val="24"/>
        </w:rPr>
        <w:t>核爆炸、核辐射或核污染；</w:t>
      </w:r>
    </w:p>
    <w:p>
      <w:pPr>
        <w:pStyle w:val="ListParagraph"/>
        <w:numPr>
          <w:ilvl w:val="0"/>
          <w:numId w:val="16"/>
        </w:numPr>
        <w:tabs>
          <w:tab w:pos="1126" w:val="left" w:leader="none"/>
        </w:tabs>
        <w:spacing w:line="280" w:lineRule="auto" w:before="50" w:after="0"/>
        <w:ind w:left="1101" w:right="394" w:hanging="281"/>
        <w:jc w:val="both"/>
        <w:rPr>
          <w:rFonts w:ascii="黑体" w:eastAsia="黑体"/>
          <w:sz w:val="24"/>
        </w:rPr>
      </w:pPr>
      <w:r>
        <w:rPr>
          <w:rFonts w:ascii="黑体" w:eastAsia="黑体"/>
          <w:sz w:val="24"/>
        </w:rPr>
        <w:t>被保险人</w:t>
      </w:r>
      <w:r>
        <w:rPr>
          <w:rFonts w:ascii="黑体" w:eastAsia="黑体" w:hint="eastAsia"/>
          <w:b/>
          <w:spacing w:val="-2"/>
          <w:w w:val="99"/>
          <w:sz w:val="24"/>
        </w:rPr>
        <w:t>感染艾滋病病毒或患艾滋病</w:t>
      </w:r>
      <w:r>
        <w:rPr>
          <w:rFonts w:ascii="黑体" w:eastAsia="黑体"/>
          <w:sz w:val="24"/>
        </w:rPr>
        <w:t>（</w:t>
      </w:r>
      <w:r>
        <w:rPr>
          <w:rFonts w:ascii="黑体" w:eastAsia="黑体"/>
          <w:spacing w:val="-15"/>
          <w:sz w:val="24"/>
        </w:rPr>
        <w:t>见释义 </w:t>
      </w:r>
      <w:r>
        <w:rPr>
          <w:rFonts w:ascii="黑体" w:eastAsia="黑体"/>
          <w:sz w:val="24"/>
        </w:rPr>
        <w:t>22</w:t>
      </w:r>
      <w:r>
        <w:rPr>
          <w:rFonts w:ascii="黑体" w:eastAsia="黑体"/>
          <w:spacing w:val="-27"/>
          <w:sz w:val="24"/>
        </w:rPr>
        <w:t>），</w:t>
      </w:r>
      <w:r>
        <w:rPr>
          <w:rFonts w:ascii="黑体" w:eastAsia="黑体"/>
          <w:spacing w:val="-7"/>
          <w:sz w:val="24"/>
        </w:rPr>
        <w:t>但不包括【释义】中所定义的</w:t>
      </w:r>
      <w:r>
        <w:rPr>
          <w:rFonts w:ascii="黑体" w:eastAsia="黑体" w:hint="eastAsia"/>
          <w:b/>
          <w:spacing w:val="-2"/>
          <w:w w:val="99"/>
          <w:sz w:val="24"/>
        </w:rPr>
        <w:t>经输血导致的人类免疫缺陷病毒</w:t>
      </w:r>
      <w:r>
        <w:rPr>
          <w:rFonts w:ascii="黑体" w:eastAsia="黑体" w:hint="eastAsia"/>
          <w:b/>
          <w:w w:val="99"/>
          <w:sz w:val="24"/>
        </w:rPr>
        <w:t>（</w:t>
      </w:r>
      <w:r>
        <w:rPr>
          <w:rFonts w:ascii="黑体" w:eastAsia="黑体" w:hint="eastAsia"/>
          <w:b/>
          <w:w w:val="99"/>
          <w:sz w:val="24"/>
        </w:rPr>
        <w:t>H</w:t>
      </w:r>
      <w:r>
        <w:rPr>
          <w:rFonts w:ascii="黑体" w:eastAsia="黑体" w:hint="eastAsia"/>
          <w:b/>
          <w:spacing w:val="2"/>
          <w:w w:val="99"/>
          <w:sz w:val="24"/>
        </w:rPr>
        <w:t>I</w:t>
      </w:r>
      <w:r>
        <w:rPr>
          <w:rFonts w:ascii="黑体" w:eastAsia="黑体" w:hint="eastAsia"/>
          <w:b/>
          <w:w w:val="99"/>
          <w:sz w:val="24"/>
        </w:rPr>
        <w:t>V</w:t>
      </w:r>
      <w:r>
        <w:rPr>
          <w:rFonts w:ascii="黑体" w:eastAsia="黑体" w:hint="eastAsia"/>
          <w:b/>
          <w:spacing w:val="-22"/>
          <w:w w:val="99"/>
          <w:sz w:val="24"/>
        </w:rPr>
        <w:t>）</w:t>
      </w:r>
      <w:r>
        <w:rPr>
          <w:rFonts w:ascii="黑体" w:eastAsia="黑体" w:hint="eastAsia"/>
          <w:b/>
          <w:spacing w:val="-11"/>
          <w:w w:val="99"/>
          <w:sz w:val="24"/>
        </w:rPr>
        <w:t>感染</w:t>
      </w:r>
      <w:r>
        <w:rPr>
          <w:rFonts w:ascii="黑体" w:eastAsia="黑体"/>
          <w:sz w:val="24"/>
        </w:rPr>
        <w:t>（</w:t>
      </w:r>
      <w:r>
        <w:rPr>
          <w:rFonts w:ascii="黑体" w:eastAsia="黑体"/>
          <w:spacing w:val="-15"/>
          <w:sz w:val="24"/>
        </w:rPr>
        <w:t>见释义 </w:t>
      </w:r>
      <w:r>
        <w:rPr>
          <w:rFonts w:ascii="黑体" w:eastAsia="黑体"/>
          <w:sz w:val="24"/>
        </w:rPr>
        <w:t>11.91</w:t>
      </w:r>
      <w:r>
        <w:rPr>
          <w:rFonts w:ascii="黑体" w:eastAsia="黑体"/>
          <w:spacing w:val="-24"/>
          <w:sz w:val="24"/>
        </w:rPr>
        <w:t>）、</w:t>
      </w:r>
      <w:r>
        <w:rPr>
          <w:rFonts w:ascii="黑体" w:eastAsia="黑体" w:hint="eastAsia"/>
          <w:b/>
          <w:spacing w:val="-3"/>
          <w:w w:val="99"/>
          <w:sz w:val="24"/>
        </w:rPr>
        <w:t>因职业关系导</w:t>
      </w:r>
      <w:r>
        <w:rPr>
          <w:rFonts w:ascii="黑体" w:eastAsia="黑体" w:hint="eastAsia"/>
          <w:b/>
          <w:spacing w:val="-3"/>
          <w:w w:val="99"/>
          <w:sz w:val="24"/>
        </w:rPr>
        <w:t>致的人类免疫缺陷病毒</w:t>
      </w:r>
      <w:r>
        <w:rPr>
          <w:rFonts w:ascii="黑体" w:eastAsia="黑体" w:hint="eastAsia"/>
          <w:b/>
          <w:w w:val="99"/>
          <w:sz w:val="24"/>
        </w:rPr>
        <w:t>（</w:t>
      </w:r>
      <w:r>
        <w:rPr>
          <w:rFonts w:ascii="黑体" w:eastAsia="黑体" w:hint="eastAsia"/>
          <w:b/>
          <w:spacing w:val="2"/>
          <w:w w:val="99"/>
          <w:sz w:val="24"/>
        </w:rPr>
        <w:t>H</w:t>
      </w:r>
      <w:r>
        <w:rPr>
          <w:rFonts w:ascii="黑体" w:eastAsia="黑体" w:hint="eastAsia"/>
          <w:b/>
          <w:w w:val="99"/>
          <w:sz w:val="24"/>
        </w:rPr>
        <w:t>IV</w:t>
      </w:r>
      <w:r>
        <w:rPr>
          <w:rFonts w:ascii="黑体" w:eastAsia="黑体" w:hint="eastAsia"/>
          <w:b/>
          <w:spacing w:val="-29"/>
          <w:w w:val="99"/>
          <w:sz w:val="24"/>
        </w:rPr>
        <w:t>）</w:t>
      </w:r>
      <w:r>
        <w:rPr>
          <w:rFonts w:ascii="黑体" w:eastAsia="黑体" w:hint="eastAsia"/>
          <w:b/>
          <w:spacing w:val="-14"/>
          <w:w w:val="99"/>
          <w:sz w:val="24"/>
        </w:rPr>
        <w:t>感染</w:t>
      </w:r>
      <w:r>
        <w:rPr>
          <w:rFonts w:ascii="黑体" w:eastAsia="黑体"/>
          <w:sz w:val="24"/>
        </w:rPr>
        <w:t>（</w:t>
      </w:r>
      <w:r>
        <w:rPr>
          <w:rFonts w:ascii="黑体" w:eastAsia="黑体"/>
          <w:spacing w:val="-15"/>
          <w:sz w:val="24"/>
        </w:rPr>
        <w:t>见释义 </w:t>
      </w:r>
      <w:r>
        <w:rPr>
          <w:rFonts w:ascii="黑体" w:eastAsia="黑体"/>
          <w:sz w:val="24"/>
        </w:rPr>
        <w:t>11.92</w:t>
      </w:r>
      <w:r>
        <w:rPr>
          <w:rFonts w:ascii="黑体" w:eastAsia="黑体"/>
          <w:spacing w:val="-29"/>
          <w:sz w:val="24"/>
        </w:rPr>
        <w:t>）</w:t>
      </w:r>
      <w:r>
        <w:rPr>
          <w:rFonts w:ascii="黑体" w:eastAsia="黑体"/>
          <w:sz w:val="24"/>
        </w:rPr>
        <w:t>和</w:t>
      </w:r>
      <w:r>
        <w:rPr>
          <w:rFonts w:ascii="黑体" w:eastAsia="黑体" w:hint="eastAsia"/>
          <w:b/>
          <w:spacing w:val="-2"/>
          <w:w w:val="99"/>
          <w:sz w:val="24"/>
        </w:rPr>
        <w:t>因器官移植导致的人类免</w:t>
      </w:r>
      <w:r>
        <w:rPr>
          <w:rFonts w:ascii="黑体" w:eastAsia="黑体" w:hint="eastAsia"/>
          <w:b/>
          <w:w w:val="99"/>
          <w:sz w:val="24"/>
        </w:rPr>
        <w:t>疫缺陷病毒</w:t>
      </w:r>
      <w:r>
        <w:rPr>
          <w:rFonts w:ascii="黑体" w:eastAsia="黑体" w:hint="eastAsia"/>
          <w:b/>
          <w:spacing w:val="2"/>
          <w:w w:val="99"/>
          <w:sz w:val="24"/>
        </w:rPr>
        <w:t>（</w:t>
      </w:r>
      <w:r>
        <w:rPr>
          <w:rFonts w:ascii="黑体" w:eastAsia="黑体" w:hint="eastAsia"/>
          <w:b/>
          <w:w w:val="99"/>
          <w:sz w:val="24"/>
        </w:rPr>
        <w:t>H</w:t>
      </w:r>
      <w:r>
        <w:rPr>
          <w:rFonts w:ascii="黑体" w:eastAsia="黑体" w:hint="eastAsia"/>
          <w:b/>
          <w:spacing w:val="2"/>
          <w:w w:val="99"/>
          <w:sz w:val="24"/>
        </w:rPr>
        <w:t>I</w:t>
      </w:r>
      <w:r>
        <w:rPr>
          <w:rFonts w:ascii="黑体" w:eastAsia="黑体" w:hint="eastAsia"/>
          <w:b/>
          <w:w w:val="99"/>
          <w:sz w:val="24"/>
        </w:rPr>
        <w:t>V</w:t>
      </w:r>
      <w:r>
        <w:rPr>
          <w:rFonts w:ascii="黑体" w:eastAsia="黑体" w:hint="eastAsia"/>
          <w:b/>
          <w:w w:val="99"/>
          <w:sz w:val="24"/>
        </w:rPr>
        <w:t>）</w:t>
      </w:r>
      <w:r>
        <w:rPr>
          <w:rFonts w:ascii="黑体" w:eastAsia="黑体" w:hint="eastAsia"/>
          <w:b/>
          <w:spacing w:val="1"/>
          <w:w w:val="99"/>
          <w:sz w:val="24"/>
        </w:rPr>
        <w:t>感染</w:t>
      </w:r>
      <w:r>
        <w:rPr>
          <w:rFonts w:ascii="黑体" w:eastAsia="黑体"/>
          <w:sz w:val="24"/>
        </w:rPr>
        <w:t>（</w:t>
      </w:r>
      <w:r>
        <w:rPr>
          <w:rFonts w:ascii="黑体" w:eastAsia="黑体"/>
          <w:spacing w:val="-15"/>
          <w:sz w:val="24"/>
        </w:rPr>
        <w:t>见释义 </w:t>
      </w:r>
      <w:r>
        <w:rPr>
          <w:rFonts w:ascii="黑体" w:eastAsia="黑体"/>
          <w:sz w:val="24"/>
        </w:rPr>
        <w:t>11.93）；</w:t>
      </w:r>
    </w:p>
    <w:p>
      <w:pPr>
        <w:pStyle w:val="ListParagraph"/>
        <w:numPr>
          <w:ilvl w:val="0"/>
          <w:numId w:val="16"/>
        </w:numPr>
        <w:tabs>
          <w:tab w:pos="1126" w:val="left" w:leader="none"/>
        </w:tabs>
        <w:spacing w:line="280" w:lineRule="auto" w:before="0" w:after="0"/>
        <w:ind w:left="816" w:right="396" w:firstLine="4"/>
        <w:jc w:val="both"/>
        <w:rPr>
          <w:rFonts w:ascii="黑体" w:eastAsia="黑体"/>
          <w:sz w:val="24"/>
        </w:rPr>
      </w:pPr>
      <w:r>
        <w:rPr>
          <w:rFonts w:ascii="黑体" w:eastAsia="黑体" w:hint="eastAsia"/>
          <w:b/>
          <w:sz w:val="24"/>
        </w:rPr>
        <w:t>遗传性疾病</w:t>
      </w:r>
      <w:r>
        <w:rPr>
          <w:rFonts w:ascii="黑体" w:eastAsia="黑体"/>
          <w:sz w:val="24"/>
        </w:rPr>
        <w:t>（见释义 23）、</w:t>
      </w:r>
      <w:r>
        <w:rPr>
          <w:rFonts w:ascii="黑体" w:eastAsia="黑体" w:hint="eastAsia"/>
          <w:b/>
          <w:sz w:val="24"/>
        </w:rPr>
        <w:t>先天性</w:t>
      </w:r>
      <w:r>
        <w:rPr>
          <w:rFonts w:ascii="黑体" w:eastAsia="黑体" w:hint="eastAsia"/>
          <w:b/>
          <w:sz w:val="24"/>
        </w:rPr>
        <w:t>畸</w:t>
      </w:r>
      <w:r>
        <w:rPr>
          <w:rFonts w:ascii="黑体" w:eastAsia="黑体" w:hint="eastAsia"/>
          <w:b/>
          <w:sz w:val="24"/>
        </w:rPr>
        <w:t>形</w:t>
      </w:r>
      <w:r>
        <w:rPr>
          <w:rFonts w:ascii="黑体" w:eastAsia="黑体" w:hint="eastAsia"/>
          <w:b/>
          <w:sz w:val="24"/>
        </w:rPr>
        <w:t>、变形或染</w:t>
      </w:r>
      <w:r>
        <w:rPr>
          <w:rFonts w:ascii="黑体" w:eastAsia="黑体" w:hint="eastAsia"/>
          <w:b/>
          <w:sz w:val="24"/>
        </w:rPr>
        <w:t>色</w:t>
      </w:r>
      <w:r>
        <w:rPr>
          <w:rFonts w:ascii="黑体" w:eastAsia="黑体" w:hint="eastAsia"/>
          <w:b/>
          <w:sz w:val="24"/>
        </w:rPr>
        <w:t>体</w:t>
      </w:r>
      <w:r>
        <w:rPr>
          <w:rFonts w:ascii="黑体" w:eastAsia="黑体" w:hint="eastAsia"/>
          <w:b/>
          <w:sz w:val="24"/>
        </w:rPr>
        <w:t>异常</w:t>
      </w:r>
      <w:r>
        <w:rPr>
          <w:rFonts w:ascii="黑体" w:eastAsia="黑体"/>
          <w:sz w:val="24"/>
        </w:rPr>
        <w:t>（见释义 24）。</w:t>
      </w:r>
      <w:r>
        <w:rPr>
          <w:rFonts w:ascii="黑体" w:eastAsia="黑体"/>
          <w:sz w:val="24"/>
        </w:rPr>
        <w:t> </w:t>
      </w:r>
      <w:r>
        <w:rPr>
          <w:rFonts w:ascii="黑体" w:eastAsia="黑体"/>
          <w:spacing w:val="-8"/>
          <w:sz w:val="24"/>
        </w:rPr>
        <w:t>发生上述第 </w:t>
      </w:r>
      <w:r>
        <w:rPr>
          <w:rFonts w:ascii="黑体" w:eastAsia="黑体"/>
          <w:spacing w:val="-2"/>
          <w:sz w:val="24"/>
        </w:rPr>
        <w:t>1</w:t>
      </w:r>
      <w:r>
        <w:rPr>
          <w:rFonts w:ascii="黑体" w:eastAsia="黑体"/>
          <w:spacing w:val="-8"/>
          <w:sz w:val="24"/>
        </w:rPr>
        <w:t> 项情形导致被保险人身故、本合同所定义的高度残疾、达到本合同所</w:t>
      </w:r>
    </w:p>
    <w:p>
      <w:pPr>
        <w:spacing w:line="280" w:lineRule="auto" w:before="0"/>
        <w:ind w:left="396" w:right="276" w:firstLine="0"/>
        <w:jc w:val="left"/>
        <w:rPr>
          <w:rFonts w:ascii="黑体" w:hAnsi="黑体" w:eastAsia="黑体"/>
          <w:sz w:val="24"/>
        </w:rPr>
      </w:pPr>
      <w:r>
        <w:rPr>
          <w:rFonts w:ascii="黑体" w:hAnsi="黑体" w:eastAsia="黑体"/>
          <w:spacing w:val="-2"/>
          <w:sz w:val="24"/>
        </w:rPr>
        <w:t>定义的疾病终末期阶段、患有本合同所定义的“轻症疾病”、“中症疾病”、“重大疾</w:t>
      </w:r>
      <w:r>
        <w:rPr>
          <w:rFonts w:ascii="黑体" w:hAnsi="黑体" w:eastAsia="黑体"/>
          <w:spacing w:val="-2"/>
          <w:sz w:val="24"/>
        </w:rPr>
        <w:t>病”或“特定疾病”的，本合同终止。若您已交足 </w:t>
      </w:r>
      <w:r>
        <w:rPr>
          <w:rFonts w:ascii="黑体" w:hAnsi="黑体" w:eastAsia="黑体"/>
          <w:sz w:val="24"/>
        </w:rPr>
        <w:t>2</w:t>
      </w:r>
      <w:r>
        <w:rPr>
          <w:rFonts w:ascii="黑体" w:hAnsi="黑体" w:eastAsia="黑体"/>
          <w:spacing w:val="-6"/>
          <w:sz w:val="24"/>
        </w:rPr>
        <w:t> 年以上保险费，被保险人生存的，</w:t>
      </w:r>
      <w:r>
        <w:rPr>
          <w:rFonts w:ascii="黑体" w:hAnsi="黑体" w:eastAsia="黑体"/>
          <w:spacing w:val="-2"/>
          <w:sz w:val="24"/>
        </w:rPr>
        <w:t>我们向被保险人退还本合同终止时的现金价值，被保险人身故的，我们向被保险人的继</w:t>
      </w:r>
      <w:r>
        <w:rPr>
          <w:rFonts w:ascii="黑体" w:hAnsi="黑体" w:eastAsia="黑体"/>
          <w:spacing w:val="-2"/>
          <w:sz w:val="24"/>
        </w:rPr>
        <w:t>承人退还本合同终止时的现金价值。</w:t>
      </w:r>
    </w:p>
    <w:p>
      <w:pPr>
        <w:spacing w:line="304" w:lineRule="exact" w:before="0"/>
        <w:ind w:left="816" w:right="0" w:firstLine="0"/>
        <w:jc w:val="both"/>
        <w:rPr>
          <w:rFonts w:ascii="黑体" w:eastAsia="黑体"/>
          <w:sz w:val="24"/>
        </w:rPr>
      </w:pPr>
      <w:r>
        <w:rPr>
          <w:rFonts w:ascii="黑体" w:eastAsia="黑体"/>
          <w:spacing w:val="-10"/>
          <w:sz w:val="24"/>
        </w:rPr>
        <w:t>发生上述第 </w:t>
      </w:r>
      <w:r>
        <w:rPr>
          <w:rFonts w:ascii="黑体" w:eastAsia="黑体"/>
          <w:sz w:val="24"/>
        </w:rPr>
        <w:t>2</w:t>
      </w:r>
      <w:r>
        <w:rPr>
          <w:rFonts w:ascii="黑体" w:eastAsia="黑体"/>
          <w:spacing w:val="-24"/>
          <w:sz w:val="24"/>
        </w:rPr>
        <w:t> 项至第 </w:t>
      </w:r>
      <w:r>
        <w:rPr>
          <w:rFonts w:ascii="黑体" w:eastAsia="黑体"/>
          <w:sz w:val="24"/>
        </w:rPr>
        <w:t>7</w:t>
      </w:r>
      <w:r>
        <w:rPr>
          <w:rFonts w:ascii="黑体" w:eastAsia="黑体"/>
          <w:spacing w:val="-9"/>
          <w:sz w:val="24"/>
        </w:rPr>
        <w:t> 项情形导致被保险人身故、本合同所定义的高度残疾或达到</w:t>
      </w:r>
    </w:p>
    <w:p>
      <w:pPr>
        <w:spacing w:line="280" w:lineRule="auto" w:before="47"/>
        <w:ind w:left="396" w:right="396" w:firstLine="0"/>
        <w:jc w:val="both"/>
        <w:rPr>
          <w:rFonts w:ascii="黑体" w:hAnsi="黑体" w:eastAsia="黑体"/>
          <w:sz w:val="24"/>
        </w:rPr>
      </w:pPr>
      <w:r>
        <w:rPr>
          <w:rFonts w:ascii="黑体" w:hAnsi="黑体" w:eastAsia="黑体"/>
          <w:w w:val="95"/>
          <w:sz w:val="24"/>
        </w:rPr>
        <w:t>本</w:t>
      </w:r>
      <w:r>
        <w:rPr>
          <w:rFonts w:ascii="黑体" w:hAnsi="黑体" w:eastAsia="黑体"/>
          <w:w w:val="95"/>
          <w:sz w:val="24"/>
        </w:rPr>
        <w:t>合</w:t>
      </w:r>
      <w:r>
        <w:rPr>
          <w:rFonts w:ascii="黑体" w:hAnsi="黑体" w:eastAsia="黑体"/>
          <w:w w:val="95"/>
          <w:sz w:val="24"/>
        </w:rPr>
        <w:t>同</w:t>
      </w:r>
      <w:r>
        <w:rPr>
          <w:rFonts w:ascii="黑体" w:hAnsi="黑体" w:eastAsia="黑体"/>
          <w:w w:val="95"/>
          <w:sz w:val="24"/>
        </w:rPr>
        <w:t>所</w:t>
      </w:r>
      <w:r>
        <w:rPr>
          <w:rFonts w:ascii="黑体" w:hAnsi="黑体" w:eastAsia="黑体"/>
          <w:w w:val="95"/>
          <w:sz w:val="24"/>
        </w:rPr>
        <w:t>定</w:t>
      </w:r>
      <w:r>
        <w:rPr>
          <w:rFonts w:ascii="黑体" w:hAnsi="黑体" w:eastAsia="黑体"/>
          <w:w w:val="95"/>
          <w:sz w:val="24"/>
        </w:rPr>
        <w:t>义</w:t>
      </w:r>
      <w:r>
        <w:rPr>
          <w:rFonts w:ascii="黑体" w:hAnsi="黑体" w:eastAsia="黑体"/>
          <w:w w:val="95"/>
          <w:sz w:val="24"/>
        </w:rPr>
        <w:t>的</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终</w:t>
      </w:r>
      <w:r>
        <w:rPr>
          <w:rFonts w:ascii="黑体" w:hAnsi="黑体" w:eastAsia="黑体"/>
          <w:w w:val="95"/>
          <w:sz w:val="24"/>
        </w:rPr>
        <w:t>末</w:t>
      </w:r>
      <w:r>
        <w:rPr>
          <w:rFonts w:ascii="黑体" w:hAnsi="黑体" w:eastAsia="黑体"/>
          <w:w w:val="95"/>
          <w:sz w:val="24"/>
        </w:rPr>
        <w:t>期</w:t>
      </w:r>
      <w:r>
        <w:rPr>
          <w:rFonts w:ascii="黑体" w:hAnsi="黑体" w:eastAsia="黑体"/>
          <w:w w:val="95"/>
          <w:sz w:val="24"/>
        </w:rPr>
        <w:t>阶</w:t>
      </w:r>
      <w:r>
        <w:rPr>
          <w:rFonts w:ascii="黑体" w:hAnsi="黑体" w:eastAsia="黑体"/>
          <w:w w:val="95"/>
          <w:sz w:val="24"/>
        </w:rPr>
        <w:t>段</w:t>
      </w:r>
      <w:r>
        <w:rPr>
          <w:rFonts w:ascii="黑体" w:hAnsi="黑体" w:eastAsia="黑体"/>
          <w:w w:val="95"/>
          <w:sz w:val="24"/>
        </w:rPr>
        <w:t>的</w:t>
      </w:r>
      <w:r>
        <w:rPr>
          <w:rFonts w:ascii="黑体" w:hAnsi="黑体" w:eastAsia="黑体"/>
          <w:w w:val="95"/>
          <w:sz w:val="24"/>
        </w:rPr>
        <w:t>，</w:t>
      </w:r>
      <w:r>
        <w:rPr>
          <w:rFonts w:ascii="黑体" w:hAnsi="黑体" w:eastAsia="黑体"/>
          <w:w w:val="95"/>
          <w:sz w:val="24"/>
        </w:rPr>
        <w:t>或</w:t>
      </w:r>
      <w:r>
        <w:rPr>
          <w:rFonts w:ascii="黑体" w:hAnsi="黑体" w:eastAsia="黑体"/>
          <w:w w:val="95"/>
          <w:sz w:val="24"/>
        </w:rPr>
        <w:t>发</w:t>
      </w:r>
      <w:r>
        <w:rPr>
          <w:rFonts w:ascii="黑体" w:hAnsi="黑体" w:eastAsia="黑体"/>
          <w:w w:val="95"/>
          <w:sz w:val="24"/>
        </w:rPr>
        <w:t>生</w:t>
      </w:r>
      <w:r>
        <w:rPr>
          <w:rFonts w:ascii="黑体" w:hAnsi="黑体" w:eastAsia="黑体"/>
          <w:w w:val="95"/>
          <w:sz w:val="24"/>
        </w:rPr>
        <w:t>上</w:t>
      </w:r>
      <w:r>
        <w:rPr>
          <w:rFonts w:ascii="黑体" w:hAnsi="黑体" w:eastAsia="黑体"/>
          <w:w w:val="95"/>
          <w:sz w:val="24"/>
        </w:rPr>
        <w:t>述</w:t>
      </w:r>
      <w:r>
        <w:rPr>
          <w:rFonts w:ascii="黑体" w:hAnsi="黑体" w:eastAsia="黑体"/>
          <w:w w:val="95"/>
          <w:sz w:val="24"/>
        </w:rPr>
        <w:t>第</w:t>
      </w:r>
      <w:r>
        <w:rPr>
          <w:rFonts w:ascii="黑体" w:hAnsi="黑体" w:eastAsia="黑体"/>
          <w:w w:val="95"/>
          <w:sz w:val="24"/>
        </w:rPr>
        <w:t> 2 </w:t>
      </w:r>
      <w:r>
        <w:rPr>
          <w:rFonts w:ascii="黑体" w:hAnsi="黑体" w:eastAsia="黑体"/>
          <w:w w:val="95"/>
          <w:sz w:val="24"/>
        </w:rPr>
        <w:t>项</w:t>
      </w:r>
      <w:r>
        <w:rPr>
          <w:rFonts w:ascii="黑体" w:hAnsi="黑体" w:eastAsia="黑体"/>
          <w:w w:val="95"/>
          <w:sz w:val="24"/>
        </w:rPr>
        <w:t>至</w:t>
      </w:r>
      <w:r>
        <w:rPr>
          <w:rFonts w:ascii="黑体" w:hAnsi="黑体" w:eastAsia="黑体"/>
          <w:w w:val="95"/>
          <w:sz w:val="24"/>
        </w:rPr>
        <w:t>第</w:t>
      </w:r>
      <w:r>
        <w:rPr>
          <w:rFonts w:ascii="黑体" w:hAnsi="黑体" w:eastAsia="黑体"/>
          <w:w w:val="95"/>
          <w:sz w:val="24"/>
        </w:rPr>
        <w:t> 9 </w:t>
      </w:r>
      <w:r>
        <w:rPr>
          <w:rFonts w:ascii="黑体" w:hAnsi="黑体" w:eastAsia="黑体"/>
          <w:w w:val="95"/>
          <w:sz w:val="24"/>
        </w:rPr>
        <w:t>项</w:t>
      </w:r>
      <w:r>
        <w:rPr>
          <w:rFonts w:ascii="黑体" w:hAnsi="黑体" w:eastAsia="黑体"/>
          <w:w w:val="95"/>
          <w:sz w:val="24"/>
        </w:rPr>
        <w:t>情</w:t>
      </w:r>
      <w:r>
        <w:rPr>
          <w:rFonts w:ascii="黑体" w:hAnsi="黑体" w:eastAsia="黑体"/>
          <w:w w:val="95"/>
          <w:sz w:val="24"/>
        </w:rPr>
        <w:t>形</w:t>
      </w:r>
      <w:r>
        <w:rPr>
          <w:rFonts w:ascii="黑体" w:hAnsi="黑体" w:eastAsia="黑体"/>
          <w:w w:val="95"/>
          <w:sz w:val="24"/>
        </w:rPr>
        <w:t>导</w:t>
      </w:r>
      <w:r>
        <w:rPr>
          <w:rFonts w:ascii="黑体" w:hAnsi="黑体" w:eastAsia="黑体"/>
          <w:w w:val="95"/>
          <w:sz w:val="24"/>
        </w:rPr>
        <w:t>致</w:t>
      </w:r>
      <w:r>
        <w:rPr>
          <w:rFonts w:ascii="黑体" w:hAnsi="黑体" w:eastAsia="黑体"/>
          <w:w w:val="95"/>
          <w:sz w:val="24"/>
        </w:rPr>
        <w:t>被</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人</w:t>
      </w:r>
      <w:r>
        <w:rPr>
          <w:rFonts w:ascii="黑体" w:hAnsi="黑体" w:eastAsia="黑体"/>
          <w:w w:val="95"/>
          <w:sz w:val="24"/>
        </w:rPr>
        <w:t>患</w:t>
      </w:r>
      <w:r>
        <w:rPr>
          <w:rFonts w:ascii="黑体" w:hAnsi="黑体" w:eastAsia="黑体"/>
          <w:w w:val="95"/>
          <w:sz w:val="24"/>
        </w:rPr>
        <w:t>有</w:t>
      </w:r>
      <w:r>
        <w:rPr>
          <w:rFonts w:ascii="黑体" w:hAnsi="黑体" w:eastAsia="黑体"/>
          <w:spacing w:val="-2"/>
          <w:sz w:val="24"/>
        </w:rPr>
        <w:t>本合同所定义的“轻症疾病”、“中症疾病”、“重大疾病”、“特定疾病”的，本合</w:t>
      </w:r>
      <w:r>
        <w:rPr>
          <w:rFonts w:ascii="黑体" w:hAnsi="黑体" w:eastAsia="黑体"/>
          <w:spacing w:val="-2"/>
          <w:sz w:val="24"/>
        </w:rPr>
        <w:t>同终止。我们将向您退还本合同终止时的现金价值。</w:t>
      </w:r>
    </w:p>
    <w:p>
      <w:pPr>
        <w:pStyle w:val="BodyText"/>
        <w:spacing w:before="4"/>
        <w:rPr>
          <w:rFonts w:ascii="黑体"/>
          <w:sz w:val="17"/>
        </w:rPr>
      </w:pPr>
    </w:p>
    <w:p>
      <w:pPr>
        <w:pStyle w:val="Heading1"/>
      </w:pPr>
      <w:bookmarkStart w:name="_bookmark12" w:id="13"/>
      <w:bookmarkEnd w:id="13"/>
      <w:r>
        <w:rPr>
          <w:b w:val="0"/>
        </w:rPr>
      </w:r>
      <w:r>
        <w:rPr>
          <w:w w:val="95"/>
        </w:rPr>
        <w:t>第</w:t>
      </w:r>
      <w:r>
        <w:rPr>
          <w:w w:val="95"/>
        </w:rPr>
        <w:t>三</w:t>
      </w:r>
      <w:r>
        <w:rPr>
          <w:spacing w:val="14"/>
          <w:w w:val="95"/>
        </w:rPr>
        <w:t>部分</w:t>
      </w:r>
      <w:r>
        <w:rPr>
          <w:w w:val="95"/>
        </w:rPr>
        <w:t>如</w:t>
      </w:r>
      <w:r>
        <w:rPr>
          <w:w w:val="95"/>
        </w:rPr>
        <w:t>何</w:t>
      </w:r>
      <w:r>
        <w:rPr>
          <w:w w:val="95"/>
        </w:rPr>
        <w:t>申</w:t>
      </w:r>
      <w:r>
        <w:rPr>
          <w:w w:val="95"/>
        </w:rPr>
        <w:t>请</w:t>
      </w:r>
      <w:r>
        <w:rPr>
          <w:w w:val="95"/>
        </w:rPr>
        <w:t>领</w:t>
      </w:r>
      <w:r>
        <w:rPr>
          <w:w w:val="95"/>
        </w:rPr>
        <w:t>取</w:t>
      </w:r>
      <w:r>
        <w:rPr>
          <w:w w:val="95"/>
        </w:rPr>
        <w:t>保</w:t>
      </w:r>
      <w:r>
        <w:rPr>
          <w:w w:val="95"/>
        </w:rPr>
        <w:t>险</w:t>
      </w:r>
      <w:r>
        <w:rPr>
          <w:spacing w:val="-10"/>
          <w:w w:val="95"/>
        </w:rPr>
        <w:t>金</w:t>
      </w:r>
    </w:p>
    <w:p>
      <w:pPr>
        <w:pStyle w:val="BodyText"/>
        <w:spacing w:before="5"/>
        <w:rPr>
          <w:b/>
          <w:sz w:val="23"/>
        </w:rPr>
      </w:pPr>
    </w:p>
    <w:p>
      <w:pPr>
        <w:pStyle w:val="Heading2"/>
        <w:spacing w:before="0"/>
        <w:ind w:left="395"/>
        <w:jc w:val="both"/>
        <w:rPr>
          <w:rFonts w:ascii="宋体" w:eastAsia="宋体" w:hint="eastAsia"/>
        </w:rPr>
      </w:pPr>
      <w:bookmarkStart w:name="_bookmark13" w:id="14"/>
      <w:bookmarkEnd w:id="14"/>
      <w:r>
        <w:rPr>
          <w:b w:val="0"/>
        </w:rPr>
      </w:r>
      <w:r>
        <w:rPr>
          <w:rFonts w:ascii="宋体" w:eastAsia="宋体" w:hint="eastAsia"/>
          <w:spacing w:val="-2"/>
        </w:rPr>
        <w:t>第十一条 保险事故通知</w:t>
      </w:r>
    </w:p>
    <w:p>
      <w:pPr>
        <w:spacing w:line="278" w:lineRule="auto" w:before="46"/>
        <w:ind w:left="395" w:right="420" w:firstLine="420"/>
        <w:jc w:val="both"/>
        <w:rPr>
          <w:sz w:val="21"/>
        </w:rPr>
      </w:pPr>
      <w:r>
        <w:rPr>
          <w:spacing w:val="-9"/>
          <w:w w:val="95"/>
          <w:sz w:val="21"/>
        </w:rPr>
        <w:t>您、被保险人或受益人</w:t>
      </w:r>
      <w:r>
        <w:rPr>
          <w:w w:val="95"/>
          <w:sz w:val="21"/>
        </w:rPr>
        <w:t>应</w:t>
      </w:r>
      <w:r>
        <w:rPr>
          <w:w w:val="95"/>
          <w:sz w:val="21"/>
        </w:rPr>
        <w:t>于</w:t>
      </w:r>
      <w:r>
        <w:rPr>
          <w:w w:val="95"/>
          <w:sz w:val="21"/>
        </w:rPr>
        <w:t>知</w:t>
      </w:r>
      <w:r>
        <w:rPr>
          <w:w w:val="95"/>
          <w:sz w:val="21"/>
        </w:rPr>
        <w:t>道</w:t>
      </w:r>
      <w:r>
        <w:rPr>
          <w:w w:val="95"/>
          <w:sz w:val="21"/>
        </w:rPr>
        <w:t>保</w:t>
      </w:r>
      <w:r>
        <w:rPr>
          <w:w w:val="95"/>
          <w:sz w:val="21"/>
        </w:rPr>
        <w:t>险</w:t>
      </w:r>
      <w:r>
        <w:rPr>
          <w:b/>
          <w:w w:val="95"/>
          <w:sz w:val="21"/>
        </w:rPr>
        <w:t>事</w:t>
      </w:r>
      <w:r>
        <w:rPr>
          <w:b/>
          <w:w w:val="95"/>
          <w:sz w:val="21"/>
        </w:rPr>
        <w:t>故</w:t>
      </w:r>
      <w:r>
        <w:rPr>
          <w:b/>
          <w:w w:val="95"/>
          <w:sz w:val="21"/>
        </w:rPr>
        <w:t>发</w:t>
      </w:r>
      <w:r>
        <w:rPr>
          <w:b/>
          <w:w w:val="95"/>
          <w:sz w:val="21"/>
        </w:rPr>
        <w:t>生</w:t>
      </w:r>
      <w:r>
        <w:rPr>
          <w:b/>
          <w:w w:val="95"/>
          <w:sz w:val="21"/>
        </w:rPr>
        <w:t>之</w:t>
      </w:r>
      <w:r>
        <w:rPr>
          <w:b/>
          <w:spacing w:val="-68"/>
          <w:w w:val="95"/>
          <w:sz w:val="21"/>
        </w:rPr>
        <w:t>日</w:t>
      </w:r>
      <w:r>
        <w:rPr>
          <w:w w:val="95"/>
          <w:sz w:val="21"/>
        </w:rPr>
        <w:t>（见释义</w:t>
      </w:r>
      <w:r>
        <w:rPr>
          <w:sz w:val="21"/>
        </w:rPr>
        <w:t> </w:t>
      </w:r>
      <w:r>
        <w:rPr>
          <w:w w:val="95"/>
          <w:sz w:val="21"/>
        </w:rPr>
        <w:t>25）起</w:t>
      </w:r>
      <w:r>
        <w:rPr>
          <w:sz w:val="21"/>
        </w:rPr>
        <w:t> </w:t>
      </w:r>
      <w:r>
        <w:rPr>
          <w:w w:val="95"/>
          <w:sz w:val="21"/>
        </w:rPr>
        <w:t>10</w:t>
      </w:r>
      <w:r>
        <w:rPr>
          <w:sz w:val="21"/>
        </w:rPr>
        <w:t> </w:t>
      </w:r>
      <w:r>
        <w:rPr>
          <w:w w:val="95"/>
          <w:sz w:val="21"/>
        </w:rPr>
        <w:t>日内</w:t>
      </w:r>
      <w:r>
        <w:rPr>
          <w:w w:val="95"/>
          <w:sz w:val="21"/>
        </w:rPr>
        <w:t>通</w:t>
      </w:r>
      <w:r>
        <w:rPr>
          <w:w w:val="95"/>
          <w:sz w:val="21"/>
        </w:rPr>
        <w:t>知</w:t>
      </w:r>
      <w:r>
        <w:rPr>
          <w:w w:val="95"/>
          <w:sz w:val="21"/>
        </w:rPr>
        <w:t>我</w:t>
      </w:r>
      <w:r>
        <w:rPr>
          <w:w w:val="95"/>
          <w:sz w:val="21"/>
        </w:rPr>
        <w:t>们</w:t>
      </w:r>
      <w:r>
        <w:rPr>
          <w:spacing w:val="-68"/>
          <w:w w:val="95"/>
          <w:sz w:val="21"/>
        </w:rPr>
        <w:t>，</w:t>
      </w:r>
      <w:r>
        <w:rPr>
          <w:rFonts w:ascii="黑体" w:eastAsia="黑体"/>
          <w:w w:val="95"/>
          <w:sz w:val="24"/>
        </w:rPr>
        <w:t>如</w:t>
      </w:r>
      <w:r>
        <w:rPr>
          <w:rFonts w:ascii="黑体" w:eastAsia="黑体"/>
          <w:w w:val="95"/>
          <w:sz w:val="24"/>
        </w:rPr>
        <w:t>果</w:t>
      </w:r>
      <w:r>
        <w:rPr>
          <w:rFonts w:ascii="黑体" w:eastAsia="黑体"/>
          <w:w w:val="95"/>
          <w:sz w:val="24"/>
        </w:rPr>
        <w:t>您</w:t>
      </w:r>
      <w:r>
        <w:rPr>
          <w:rFonts w:ascii="黑体" w:eastAsia="黑体"/>
          <w:w w:val="95"/>
          <w:sz w:val="24"/>
        </w:rPr>
        <w:t>、</w:t>
      </w:r>
      <w:r>
        <w:rPr>
          <w:rFonts w:ascii="黑体" w:eastAsia="黑体"/>
          <w:spacing w:val="-2"/>
          <w:sz w:val="24"/>
        </w:rPr>
        <w:t>被保险人或受益人故意或者因重大过失未及时通知，致使保险事故的性质、原因、损失</w:t>
      </w:r>
      <w:r>
        <w:rPr>
          <w:rFonts w:ascii="黑体" w:eastAsia="黑体"/>
          <w:spacing w:val="-4"/>
          <w:sz w:val="24"/>
        </w:rPr>
        <w:t>程度等难以确定的，我们对无法确定的部分，不承担给付保险金的责任，</w:t>
      </w:r>
      <w:r>
        <w:rPr>
          <w:spacing w:val="-4"/>
          <w:sz w:val="21"/>
        </w:rPr>
        <w:t>但我们通过其他</w:t>
      </w:r>
      <w:r>
        <w:rPr>
          <w:spacing w:val="-2"/>
          <w:sz w:val="21"/>
        </w:rPr>
        <w:t>途径已经及时知道或者应当及时知道保险事故发生，或者虽未及时通知但不影响我们确定保险事故</w:t>
      </w:r>
      <w:r>
        <w:rPr>
          <w:spacing w:val="-2"/>
          <w:sz w:val="21"/>
        </w:rPr>
        <w:t>的性质、原因、损失程度的除外。</w:t>
      </w:r>
    </w:p>
    <w:p>
      <w:pPr>
        <w:pStyle w:val="Heading2"/>
        <w:spacing w:before="170"/>
        <w:ind w:left="395"/>
        <w:rPr>
          <w:rFonts w:ascii="宋体" w:eastAsia="宋体" w:hint="eastAsia"/>
        </w:rPr>
      </w:pPr>
      <w:bookmarkStart w:name="_bookmark14" w:id="15"/>
      <w:bookmarkEnd w:id="15"/>
      <w:r>
        <w:rPr>
          <w:b w:val="0"/>
        </w:rPr>
      </w:r>
      <w:r>
        <w:rPr>
          <w:rFonts w:ascii="宋体" w:eastAsia="宋体" w:hint="eastAsia"/>
          <w:spacing w:val="-2"/>
        </w:rPr>
        <w:t>第十二条 保险金申请</w:t>
      </w:r>
    </w:p>
    <w:p>
      <w:pPr>
        <w:pStyle w:val="BodyText"/>
        <w:spacing w:before="91"/>
        <w:ind w:left="816"/>
      </w:pPr>
      <w:r>
        <w:rPr>
          <w:spacing w:val="-3"/>
        </w:rPr>
        <w:t>在申请保险金时，应依据下列方式办理：</w:t>
      </w:r>
    </w:p>
    <w:p>
      <w:pPr>
        <w:spacing w:after="0"/>
        <w:sectPr>
          <w:pgSz w:w="11910" w:h="16840"/>
          <w:pgMar w:header="0" w:footer="1120" w:top="1380" w:bottom="1300" w:left="1020" w:right="1020"/>
        </w:sectPr>
      </w:pPr>
    </w:p>
    <w:p>
      <w:pPr>
        <w:pStyle w:val="BodyText"/>
        <w:spacing w:line="321" w:lineRule="auto" w:before="44"/>
        <w:ind w:left="396" w:right="184" w:firstLine="419"/>
      </w:pPr>
      <w:r>
        <w:rPr>
          <w:spacing w:val="-13"/>
        </w:rPr>
        <w:t>一、“首次重大疾病保险金”</w:t>
      </w:r>
      <w:r>
        <w:rPr>
          <w:spacing w:val="-24"/>
        </w:rPr>
        <w:t>、“高度残疾保险金”</w:t>
      </w:r>
      <w:r>
        <w:rPr>
          <w:spacing w:val="-22"/>
        </w:rPr>
        <w:t>、“疾病终末期保险金”</w:t>
      </w:r>
      <w:r>
        <w:rPr>
          <w:spacing w:val="-32"/>
        </w:rPr>
        <w:t>、“轻症疾病保险金”、</w:t>
      </w:r>
      <w:r>
        <w:rPr>
          <w:spacing w:val="40"/>
        </w:rPr>
        <w:t> </w:t>
      </w:r>
      <w:r>
        <w:rPr>
          <w:spacing w:val="-10"/>
        </w:rPr>
        <w:t>“轻症疾病豁免保险费”、“中症疾病保险金”</w:t>
      </w:r>
      <w:r>
        <w:rPr>
          <w:spacing w:val="-21"/>
        </w:rPr>
        <w:t>、“中症疾病豁免保险费”、“重大疾病关爱保险金”、</w:t>
      </w:r>
      <w:r>
        <w:rPr>
          <w:spacing w:val="-2"/>
        </w:rPr>
        <w:t> </w:t>
      </w:r>
      <w:r>
        <w:rPr>
          <w:spacing w:val="-15"/>
        </w:rPr>
        <w:t>“特定疾病保险金”、“重大疾病豁免保险费”、“第二次重大疾病保险金”、“第三次重大疾病保</w:t>
      </w:r>
      <w:r>
        <w:rPr>
          <w:spacing w:val="80"/>
        </w:rPr>
        <w:t> </w:t>
      </w:r>
      <w:r>
        <w:rPr>
          <w:spacing w:val="-24"/>
        </w:rPr>
        <w:t>险金”、“第四次重大疾病保险金”、“第五次重大疾病保险金”与“第六次重大疾病保险金”的申请</w:t>
      </w:r>
    </w:p>
    <w:p>
      <w:pPr>
        <w:pStyle w:val="BodyText"/>
        <w:spacing w:line="321" w:lineRule="auto" w:before="0"/>
        <w:ind w:left="396" w:right="395" w:firstLine="420"/>
      </w:pPr>
      <w:r>
        <w:rPr>
          <w:spacing w:val="-2"/>
        </w:rPr>
        <w:t>若被保险人符合上述各项保险金的给付条件时，上述保险金申请人需填写保险金给付申请书，</w:t>
      </w:r>
      <w:r>
        <w:rPr>
          <w:spacing w:val="-2"/>
        </w:rPr>
        <w:t>并凭下列证明材料向我们申请理赔：</w:t>
      </w:r>
    </w:p>
    <w:p>
      <w:pPr>
        <w:pStyle w:val="ListParagraph"/>
        <w:numPr>
          <w:ilvl w:val="0"/>
          <w:numId w:val="17"/>
        </w:numPr>
        <w:tabs>
          <w:tab w:pos="1085" w:val="left" w:leader="none"/>
        </w:tabs>
        <w:spacing w:line="321" w:lineRule="auto" w:before="0" w:after="0"/>
        <w:ind w:left="1082" w:right="391" w:hanging="267"/>
        <w:jc w:val="left"/>
        <w:rPr>
          <w:sz w:val="21"/>
        </w:rPr>
      </w:pPr>
      <w:r>
        <w:rPr>
          <w:spacing w:val="-4"/>
          <w:sz w:val="21"/>
        </w:rPr>
        <w:t>申请人的</w:t>
      </w:r>
      <w:r>
        <w:rPr>
          <w:b/>
          <w:spacing w:val="-4"/>
          <w:sz w:val="21"/>
        </w:rPr>
        <w:t>有效身份证件</w:t>
      </w:r>
      <w:r>
        <w:rPr>
          <w:spacing w:val="-4"/>
          <w:sz w:val="21"/>
        </w:rPr>
        <w:t>（见释义 </w:t>
      </w:r>
      <w:r>
        <w:rPr>
          <w:spacing w:val="32"/>
          <w:sz w:val="21"/>
        </w:rPr>
        <w:t>26</w:t>
      </w:r>
      <w:r>
        <w:rPr>
          <w:spacing w:val="-76"/>
          <w:sz w:val="21"/>
        </w:rPr>
        <w:t>）</w:t>
      </w:r>
      <w:r>
        <w:rPr>
          <w:spacing w:val="-4"/>
          <w:sz w:val="21"/>
        </w:rPr>
        <w:t>。当申请人为监护人时，还须提供能够证明监护关系的</w:t>
      </w:r>
      <w:r>
        <w:rPr>
          <w:spacing w:val="-2"/>
          <w:sz w:val="21"/>
        </w:rPr>
        <w:t>证明文件；</w:t>
      </w:r>
    </w:p>
    <w:p>
      <w:pPr>
        <w:pStyle w:val="ListParagraph"/>
        <w:numPr>
          <w:ilvl w:val="0"/>
          <w:numId w:val="17"/>
        </w:numPr>
        <w:tabs>
          <w:tab w:pos="1090" w:val="left" w:leader="none"/>
        </w:tabs>
        <w:spacing w:line="265" w:lineRule="exact" w:before="0" w:after="0"/>
        <w:ind w:left="1089" w:right="0" w:hanging="267"/>
        <w:jc w:val="left"/>
        <w:rPr>
          <w:sz w:val="21"/>
        </w:rPr>
      </w:pPr>
      <w:r>
        <w:rPr>
          <w:b/>
          <w:spacing w:val="-2"/>
          <w:sz w:val="21"/>
        </w:rPr>
        <w:t>我们认可的医疗机构</w:t>
      </w:r>
      <w:r>
        <w:rPr>
          <w:spacing w:val="-2"/>
          <w:sz w:val="21"/>
        </w:rPr>
        <w:t>（</w:t>
      </w:r>
      <w:r>
        <w:rPr>
          <w:spacing w:val="-9"/>
          <w:sz w:val="21"/>
        </w:rPr>
        <w:t>见释义 </w:t>
      </w:r>
      <w:r>
        <w:rPr>
          <w:spacing w:val="-2"/>
          <w:sz w:val="21"/>
        </w:rPr>
        <w:t>27）</w:t>
      </w:r>
      <w:r>
        <w:rPr>
          <w:spacing w:val="-3"/>
          <w:sz w:val="21"/>
        </w:rPr>
        <w:t>出具的诊断证明以及相关资料；</w:t>
      </w:r>
    </w:p>
    <w:p>
      <w:pPr>
        <w:pStyle w:val="ListParagraph"/>
        <w:numPr>
          <w:ilvl w:val="0"/>
          <w:numId w:val="17"/>
        </w:numPr>
        <w:tabs>
          <w:tab w:pos="1086" w:val="left" w:leader="none"/>
        </w:tabs>
        <w:spacing w:line="240" w:lineRule="auto" w:before="81" w:after="0"/>
        <w:ind w:left="1085" w:right="0" w:hanging="270"/>
        <w:jc w:val="left"/>
        <w:rPr>
          <w:sz w:val="21"/>
        </w:rPr>
      </w:pPr>
      <w:r>
        <w:rPr>
          <w:spacing w:val="-3"/>
          <w:sz w:val="21"/>
        </w:rPr>
        <w:t>所能提供的与确认保险事故的性质、原因有关的其他证明和资料；</w:t>
      </w:r>
    </w:p>
    <w:p>
      <w:pPr>
        <w:pStyle w:val="ListParagraph"/>
        <w:numPr>
          <w:ilvl w:val="0"/>
          <w:numId w:val="17"/>
        </w:numPr>
        <w:tabs>
          <w:tab w:pos="1086" w:val="left" w:leader="none"/>
        </w:tabs>
        <w:spacing w:line="321" w:lineRule="auto" w:before="88" w:after="0"/>
        <w:ind w:left="1082" w:right="391" w:hanging="267"/>
        <w:jc w:val="left"/>
        <w:rPr>
          <w:sz w:val="21"/>
        </w:rPr>
      </w:pPr>
      <w:r>
        <w:rPr>
          <w:spacing w:val="-2"/>
          <w:sz w:val="21"/>
        </w:rPr>
        <w:t>当申请高度残疾保险金时，还须提供我们认可的医疗机构出具的诊断证明或有资质的鉴定机</w:t>
      </w:r>
      <w:r>
        <w:rPr>
          <w:spacing w:val="-2"/>
          <w:sz w:val="21"/>
        </w:rPr>
        <w:t>构所出具的与本合同定义的高度残疾释义相符合的被保险人伤残程度鉴定书。</w:t>
      </w:r>
    </w:p>
    <w:p>
      <w:pPr>
        <w:pStyle w:val="BodyText"/>
        <w:spacing w:line="266" w:lineRule="exact" w:before="0"/>
        <w:ind w:left="816"/>
      </w:pPr>
      <w:r>
        <w:rPr>
          <w:spacing w:val="-3"/>
        </w:rPr>
        <w:t>二、身故保险金申请</w:t>
      </w:r>
    </w:p>
    <w:p>
      <w:pPr>
        <w:pStyle w:val="BodyText"/>
        <w:spacing w:line="319" w:lineRule="auto" w:before="91"/>
        <w:ind w:left="396" w:right="396" w:firstLine="420"/>
      </w:pPr>
      <w:r>
        <w:rPr>
          <w:spacing w:val="-2"/>
        </w:rPr>
        <w:t>若被保险人身故，身故保险金申请人需填写保险金给付申请书，并凭下列证明材料向我们申请</w:t>
      </w:r>
      <w:r>
        <w:rPr>
          <w:spacing w:val="-4"/>
        </w:rPr>
        <w:t>理赔：</w:t>
      </w:r>
    </w:p>
    <w:p>
      <w:pPr>
        <w:pStyle w:val="ListParagraph"/>
        <w:numPr>
          <w:ilvl w:val="0"/>
          <w:numId w:val="18"/>
        </w:numPr>
        <w:tabs>
          <w:tab w:pos="1088" w:val="left" w:leader="none"/>
        </w:tabs>
        <w:spacing w:line="319" w:lineRule="auto" w:before="2" w:after="0"/>
        <w:ind w:left="1101" w:right="393" w:hanging="281"/>
        <w:jc w:val="left"/>
        <w:rPr>
          <w:sz w:val="21"/>
        </w:rPr>
      </w:pPr>
      <w:r>
        <w:rPr>
          <w:spacing w:val="-2"/>
          <w:sz w:val="21"/>
        </w:rPr>
        <w:t>身故保险金申请人的有效身份证件。当身故保险金申请人为监护人时，还须提供能够证明监</w:t>
      </w:r>
      <w:r>
        <w:rPr>
          <w:spacing w:val="-2"/>
          <w:sz w:val="21"/>
        </w:rPr>
        <w:t>护关系的证明文件；</w:t>
      </w:r>
    </w:p>
    <w:p>
      <w:pPr>
        <w:pStyle w:val="ListParagraph"/>
        <w:numPr>
          <w:ilvl w:val="0"/>
          <w:numId w:val="18"/>
        </w:numPr>
        <w:tabs>
          <w:tab w:pos="1088" w:val="left" w:leader="none"/>
        </w:tabs>
        <w:spacing w:line="319" w:lineRule="auto" w:before="2" w:after="0"/>
        <w:ind w:left="1101" w:right="391" w:hanging="281"/>
        <w:jc w:val="left"/>
        <w:rPr>
          <w:sz w:val="21"/>
        </w:rPr>
      </w:pPr>
      <w:r>
        <w:rPr>
          <w:spacing w:val="-2"/>
          <w:sz w:val="21"/>
        </w:rPr>
        <w:t>国家卫生行政部门认定的医疗机构、公安部门或其他相关机构出具的被保险人的死亡证明或</w:t>
      </w:r>
      <w:r>
        <w:rPr>
          <w:spacing w:val="-2"/>
          <w:sz w:val="21"/>
        </w:rPr>
        <w:t>人民法院出具的宣告死亡的裁判文书；</w:t>
      </w:r>
    </w:p>
    <w:p>
      <w:pPr>
        <w:pStyle w:val="ListParagraph"/>
        <w:numPr>
          <w:ilvl w:val="0"/>
          <w:numId w:val="18"/>
        </w:numPr>
        <w:tabs>
          <w:tab w:pos="1088" w:val="left" w:leader="none"/>
        </w:tabs>
        <w:spacing w:line="240" w:lineRule="auto" w:before="2" w:after="0"/>
        <w:ind w:left="1087" w:right="0" w:hanging="267"/>
        <w:jc w:val="left"/>
        <w:rPr>
          <w:sz w:val="21"/>
        </w:rPr>
      </w:pPr>
      <w:r>
        <w:rPr>
          <w:spacing w:val="-3"/>
          <w:sz w:val="21"/>
        </w:rPr>
        <w:t>所能提供的与确认保险事故的性质、原因有关的其他证明和资料。</w:t>
      </w:r>
    </w:p>
    <w:p>
      <w:pPr>
        <w:pStyle w:val="BodyText"/>
        <w:spacing w:before="89"/>
        <w:ind w:left="816"/>
      </w:pPr>
      <w:r>
        <w:rPr>
          <w:spacing w:val="-3"/>
        </w:rPr>
        <w:t>保险金作为被保险人遗产时，必须提供可证明合法继承权的相关权利文件。</w:t>
      </w:r>
    </w:p>
    <w:p>
      <w:pPr>
        <w:pStyle w:val="BodyText"/>
        <w:spacing w:before="91"/>
        <w:ind w:left="816"/>
      </w:pPr>
      <w:r>
        <w:rPr>
          <w:spacing w:val="-3"/>
        </w:rPr>
        <w:t>以上证明和资料不完整的，我们将及时一次性通知申请人补充提供有关证明和资料。</w:t>
      </w:r>
    </w:p>
    <w:p>
      <w:pPr>
        <w:pStyle w:val="BodyText"/>
        <w:spacing w:before="3"/>
        <w:rPr>
          <w:sz w:val="16"/>
        </w:rPr>
      </w:pPr>
    </w:p>
    <w:p>
      <w:pPr>
        <w:pStyle w:val="Heading2"/>
        <w:spacing w:before="0"/>
        <w:ind w:left="395"/>
        <w:rPr>
          <w:rFonts w:ascii="宋体" w:eastAsia="宋体" w:hint="eastAsia"/>
        </w:rPr>
      </w:pPr>
      <w:bookmarkStart w:name="_bookmark15" w:id="16"/>
      <w:bookmarkEnd w:id="16"/>
      <w:r>
        <w:rPr>
          <w:b w:val="0"/>
        </w:rPr>
      </w:r>
      <w:r>
        <w:rPr>
          <w:rFonts w:ascii="宋体" w:eastAsia="宋体" w:hint="eastAsia"/>
          <w:spacing w:val="-2"/>
        </w:rPr>
        <w:t>第十三条 保险金给付</w:t>
      </w:r>
    </w:p>
    <w:p>
      <w:pPr>
        <w:pStyle w:val="BodyText"/>
        <w:spacing w:before="91"/>
        <w:ind w:right="393"/>
        <w:jc w:val="right"/>
      </w:pPr>
      <w:r>
        <w:rPr>
          <w:spacing w:val="-3"/>
        </w:rPr>
        <w:t>我们在收到保险金给付申请书及本合同约定的证明和资料后，将在 </w:t>
      </w:r>
      <w:r>
        <w:rPr>
          <w:spacing w:val="-2"/>
        </w:rPr>
        <w:t>3</w:t>
      </w:r>
      <w:r>
        <w:rPr>
          <w:spacing w:val="-7"/>
        </w:rPr>
        <w:t> 日内作出核定；情形复杂</w:t>
      </w:r>
    </w:p>
    <w:p>
      <w:pPr>
        <w:pStyle w:val="BodyText"/>
        <w:spacing w:before="88"/>
        <w:ind w:right="391"/>
        <w:jc w:val="right"/>
      </w:pPr>
      <w:r>
        <w:rPr>
          <w:spacing w:val="-11"/>
        </w:rPr>
        <w:t>的，在 </w:t>
      </w:r>
      <w:r>
        <w:rPr>
          <w:spacing w:val="-4"/>
        </w:rPr>
        <w:t>30</w:t>
      </w:r>
      <w:r>
        <w:rPr>
          <w:spacing w:val="-10"/>
        </w:rPr>
        <w:t> 日内作出核定。对属于保险责任的，我们在与被保险人或者受益人达成给付保险金的协议</w:t>
      </w:r>
    </w:p>
    <w:p>
      <w:pPr>
        <w:pStyle w:val="BodyText"/>
        <w:spacing w:before="91"/>
        <w:ind w:left="395"/>
      </w:pPr>
      <w:r>
        <w:rPr>
          <w:spacing w:val="-26"/>
        </w:rPr>
        <w:t>后 </w:t>
      </w:r>
      <w:r>
        <w:rPr>
          <w:spacing w:val="-2"/>
        </w:rPr>
        <w:t>10</w:t>
      </w:r>
      <w:r>
        <w:rPr>
          <w:spacing w:val="-10"/>
        </w:rPr>
        <w:t> 日内，履行给付保险金义务。</w:t>
      </w:r>
    </w:p>
    <w:p>
      <w:pPr>
        <w:pStyle w:val="BodyText"/>
        <w:spacing w:before="89"/>
        <w:ind w:right="391"/>
        <w:jc w:val="right"/>
      </w:pPr>
      <w:r>
        <w:rPr>
          <w:spacing w:val="-4"/>
        </w:rPr>
        <w:t>若我们在收到保险金给付申请书及上述有关证明和资料后第 </w:t>
      </w:r>
      <w:r>
        <w:rPr>
          <w:spacing w:val="-2"/>
        </w:rPr>
        <w:t>30</w:t>
      </w:r>
      <w:r>
        <w:rPr>
          <w:spacing w:val="-13"/>
        </w:rPr>
        <w:t> 日仍未作出核定，除支付保险金</w:t>
      </w:r>
    </w:p>
    <w:p>
      <w:pPr>
        <w:pStyle w:val="BodyText"/>
        <w:spacing w:before="91"/>
        <w:ind w:right="393"/>
        <w:jc w:val="right"/>
      </w:pPr>
      <w:r>
        <w:rPr>
          <w:spacing w:val="-8"/>
        </w:rPr>
        <w:t>外，我们将从第 </w:t>
      </w:r>
      <w:r>
        <w:rPr>
          <w:spacing w:val="-4"/>
        </w:rPr>
        <w:t>31</w:t>
      </w:r>
      <w:r>
        <w:rPr>
          <w:spacing w:val="-10"/>
        </w:rPr>
        <w:t> 日起按超过天数赔偿受益人因此受到的利息损失。若我们要求投保人、被保险人</w:t>
      </w:r>
    </w:p>
    <w:p>
      <w:pPr>
        <w:pStyle w:val="BodyText"/>
        <w:spacing w:line="321" w:lineRule="auto" w:before="88"/>
        <w:ind w:left="396" w:right="393"/>
        <w:jc w:val="both"/>
      </w:pPr>
      <w:r>
        <w:rPr>
          <w:spacing w:val="-5"/>
        </w:rPr>
        <w:t>或者受益人补充提供有关证明和资料的，上述 </w:t>
      </w:r>
      <w:r>
        <w:rPr>
          <w:spacing w:val="-4"/>
        </w:rPr>
        <w:t>30</w:t>
      </w:r>
      <w:r>
        <w:rPr>
          <w:spacing w:val="-7"/>
        </w:rPr>
        <w:t> 日期间会扣除投保人、被保险人或者受益人补充提</w:t>
      </w:r>
      <w:r>
        <w:rPr>
          <w:spacing w:val="-2"/>
        </w:rPr>
        <w:t>供有关证明和资料期间，扣除期间自我们作出的通知到达投保人、被保险人或者受益人之日起，至</w:t>
      </w:r>
      <w:r>
        <w:rPr>
          <w:spacing w:val="-2"/>
        </w:rPr>
        <w:t>投保人、被保险人或者受益人按照通知要求补充提供的有关证明和资料到达我们之日止。其中利息</w:t>
      </w:r>
      <w:r>
        <w:rPr>
          <w:spacing w:val="-2"/>
        </w:rPr>
        <w:t>损失按照同期中国人民银行公布的金融机构人民币活期存款基准利率并按单利计算。</w:t>
      </w:r>
    </w:p>
    <w:p>
      <w:pPr>
        <w:pStyle w:val="BodyText"/>
        <w:spacing w:line="321" w:lineRule="auto" w:before="0"/>
        <w:ind w:left="396" w:right="393" w:firstLine="419"/>
        <w:jc w:val="both"/>
      </w:pPr>
      <w:r>
        <w:rPr>
          <w:spacing w:val="-8"/>
        </w:rPr>
        <w:t>对不属于保险责任的，我们自作出核定之日起 </w:t>
      </w:r>
      <w:r>
        <w:rPr/>
        <w:t>3</w:t>
      </w:r>
      <w:r>
        <w:rPr>
          <w:spacing w:val="-4"/>
        </w:rPr>
        <w:t> 日内向被保险人或受益人发出拒绝给付保险金</w:t>
      </w:r>
      <w:r>
        <w:rPr>
          <w:spacing w:val="-2"/>
        </w:rPr>
        <w:t>通知书并说明理由。</w:t>
      </w:r>
    </w:p>
    <w:p>
      <w:pPr>
        <w:pStyle w:val="BodyText"/>
        <w:spacing w:line="319" w:lineRule="auto" w:before="0"/>
        <w:ind w:left="396" w:right="392" w:firstLine="420"/>
        <w:jc w:val="both"/>
      </w:pPr>
      <w:r>
        <w:rPr>
          <w:spacing w:val="-3"/>
        </w:rPr>
        <w:t>我们在收到保险金给付申请书及有关证明和资料之日起 </w:t>
      </w:r>
      <w:r>
        <w:rPr>
          <w:spacing w:val="-2"/>
        </w:rPr>
        <w:t>60</w:t>
      </w:r>
      <w:r>
        <w:rPr>
          <w:spacing w:val="-12"/>
        </w:rPr>
        <w:t> 日内，对给付保险金的数额不能确定</w:t>
      </w:r>
      <w:r>
        <w:rPr>
          <w:spacing w:val="-2"/>
        </w:rPr>
        <w:t>的，根据已有证明和资料对可以确定的数额先予支付，我们最终确定给付保险金的数额后，给付相</w:t>
      </w:r>
      <w:r>
        <w:rPr>
          <w:spacing w:val="-2"/>
        </w:rPr>
        <w:t>应的差额。</w:t>
      </w:r>
    </w:p>
    <w:p>
      <w:pPr>
        <w:spacing w:after="0" w:line="319" w:lineRule="auto"/>
        <w:jc w:val="both"/>
        <w:sectPr>
          <w:pgSz w:w="11910" w:h="16840"/>
          <w:pgMar w:header="0" w:footer="1120" w:top="1400" w:bottom="1300" w:left="1020" w:right="1020"/>
        </w:sectPr>
      </w:pPr>
    </w:p>
    <w:p>
      <w:pPr>
        <w:pStyle w:val="Heading2"/>
        <w:spacing w:before="44"/>
        <w:ind w:left="395"/>
        <w:rPr>
          <w:rFonts w:ascii="宋体" w:eastAsia="宋体" w:hint="eastAsia"/>
        </w:rPr>
      </w:pPr>
      <w:bookmarkStart w:name="_bookmark16" w:id="17"/>
      <w:bookmarkEnd w:id="17"/>
      <w:r>
        <w:rPr>
          <w:b w:val="0"/>
        </w:rPr>
      </w:r>
      <w:r>
        <w:rPr>
          <w:rFonts w:ascii="宋体" w:eastAsia="宋体" w:hint="eastAsia"/>
          <w:spacing w:val="-2"/>
        </w:rPr>
        <w:t>第十四条 欠款的扣除</w:t>
      </w:r>
    </w:p>
    <w:p>
      <w:pPr>
        <w:spacing w:line="278" w:lineRule="auto" w:before="71"/>
        <w:ind w:left="395" w:right="396" w:firstLine="480"/>
        <w:jc w:val="left"/>
        <w:rPr>
          <w:rFonts w:ascii="黑体" w:eastAsia="黑体"/>
          <w:sz w:val="24"/>
        </w:rPr>
      </w:pPr>
      <w:r>
        <w:rPr>
          <w:rFonts w:ascii="黑体" w:eastAsia="黑体"/>
          <w:spacing w:val="-2"/>
          <w:sz w:val="24"/>
        </w:rPr>
        <w:t>我们在给付各项保险金或退还现金价值时，如果您有尚未偿还的保险单借款或尚未</w:t>
      </w:r>
      <w:r>
        <w:rPr>
          <w:rFonts w:ascii="黑体" w:eastAsia="黑体"/>
          <w:sz w:val="24"/>
        </w:rPr>
        <w:t>支付的保险费，我们将在扣除上述欠款及</w:t>
      </w:r>
      <w:r>
        <w:rPr>
          <w:rFonts w:ascii="黑体" w:eastAsia="黑体" w:hint="eastAsia"/>
          <w:b/>
          <w:sz w:val="24"/>
        </w:rPr>
        <w:t>利息</w:t>
      </w:r>
      <w:r>
        <w:rPr>
          <w:rFonts w:ascii="黑体" w:eastAsia="黑体"/>
          <w:sz w:val="24"/>
        </w:rPr>
        <w:t>（</w:t>
      </w:r>
      <w:r>
        <w:rPr>
          <w:rFonts w:ascii="黑体" w:eastAsia="黑体"/>
          <w:spacing w:val="-11"/>
          <w:sz w:val="24"/>
        </w:rPr>
        <w:t>见释义 </w:t>
      </w:r>
      <w:r>
        <w:rPr>
          <w:rFonts w:ascii="黑体" w:eastAsia="黑体"/>
          <w:sz w:val="24"/>
        </w:rPr>
        <w:t>28）后再行给付。</w:t>
      </w:r>
    </w:p>
    <w:p>
      <w:pPr>
        <w:pStyle w:val="BodyText"/>
        <w:spacing w:before="12"/>
        <w:rPr>
          <w:rFonts w:ascii="黑体"/>
          <w:sz w:val="17"/>
        </w:rPr>
      </w:pPr>
    </w:p>
    <w:p>
      <w:pPr>
        <w:pStyle w:val="Heading1"/>
      </w:pPr>
      <w:bookmarkStart w:name="_bookmark17" w:id="18"/>
      <w:bookmarkEnd w:id="18"/>
      <w:r>
        <w:rPr>
          <w:b w:val="0"/>
        </w:rPr>
      </w:r>
      <w:r>
        <w:rPr>
          <w:w w:val="95"/>
        </w:rPr>
        <w:t>第</w:t>
      </w:r>
      <w:r>
        <w:rPr>
          <w:w w:val="95"/>
        </w:rPr>
        <w:t>四</w:t>
      </w:r>
      <w:r>
        <w:rPr>
          <w:spacing w:val="14"/>
          <w:w w:val="95"/>
        </w:rPr>
        <w:t>部分</w:t>
      </w:r>
      <w:r>
        <w:rPr>
          <w:w w:val="95"/>
        </w:rPr>
        <w:t>您</w:t>
      </w:r>
      <w:r>
        <w:rPr>
          <w:w w:val="95"/>
        </w:rPr>
        <w:t>所</w:t>
      </w:r>
      <w:r>
        <w:rPr>
          <w:w w:val="95"/>
        </w:rPr>
        <w:t>拥</w:t>
      </w:r>
      <w:r>
        <w:rPr>
          <w:w w:val="95"/>
        </w:rPr>
        <w:t>有</w:t>
      </w:r>
      <w:r>
        <w:rPr>
          <w:w w:val="95"/>
        </w:rPr>
        <w:t>的</w:t>
      </w:r>
      <w:r>
        <w:rPr>
          <w:w w:val="95"/>
        </w:rPr>
        <w:t>重</w:t>
      </w:r>
      <w:r>
        <w:rPr>
          <w:w w:val="95"/>
        </w:rPr>
        <w:t>要</w:t>
      </w:r>
      <w:r>
        <w:rPr>
          <w:w w:val="95"/>
        </w:rPr>
        <w:t>权</w:t>
      </w:r>
      <w:r>
        <w:rPr>
          <w:spacing w:val="-10"/>
          <w:w w:val="95"/>
        </w:rPr>
        <w:t>益</w:t>
      </w:r>
    </w:p>
    <w:p>
      <w:pPr>
        <w:pStyle w:val="BodyText"/>
        <w:spacing w:before="5"/>
        <w:rPr>
          <w:b/>
          <w:sz w:val="23"/>
        </w:rPr>
      </w:pPr>
    </w:p>
    <w:p>
      <w:pPr>
        <w:pStyle w:val="Heading2"/>
        <w:spacing w:before="0"/>
        <w:ind w:left="395"/>
        <w:rPr>
          <w:rFonts w:ascii="宋体" w:eastAsia="宋体" w:hint="eastAsia"/>
        </w:rPr>
      </w:pPr>
      <w:bookmarkStart w:name="_bookmark18" w:id="19"/>
      <w:bookmarkEnd w:id="19"/>
      <w:r>
        <w:rPr>
          <w:b w:val="0"/>
        </w:rPr>
      </w:r>
      <w:r>
        <w:rPr>
          <w:rFonts w:ascii="宋体" w:eastAsia="宋体" w:hint="eastAsia"/>
          <w:spacing w:val="-2"/>
        </w:rPr>
        <w:t>第十五条 保险单借款</w:t>
      </w:r>
    </w:p>
    <w:p>
      <w:pPr>
        <w:pStyle w:val="BodyText"/>
        <w:spacing w:line="321" w:lineRule="auto" w:before="89"/>
        <w:ind w:left="395" w:right="394" w:firstLine="420"/>
      </w:pPr>
      <w:r>
        <w:rPr>
          <w:spacing w:val="-2"/>
        </w:rPr>
        <w:t>在本合同有效期内且在犹豫期满后，您可以书面形式向我们申请保险单借款，您提供的借款材</w:t>
      </w:r>
      <w:r>
        <w:rPr>
          <w:spacing w:val="-3"/>
        </w:rPr>
        <w:t>料及借款额度经我们同意后，向您发放保险单借款。累积借款金额最高不得超过本合同及附加合同</w:t>
      </w:r>
    </w:p>
    <w:p>
      <w:pPr>
        <w:pStyle w:val="BodyText"/>
        <w:spacing w:line="321" w:lineRule="auto" w:before="0"/>
        <w:ind w:left="396" w:right="391" w:hanging="1"/>
      </w:pPr>
      <w:r>
        <w:rPr>
          <w:spacing w:val="-4"/>
        </w:rPr>
        <w:t>（如果有附加合同）</w:t>
      </w:r>
      <w:r>
        <w:rPr>
          <w:spacing w:val="-8"/>
        </w:rPr>
        <w:t>当时现金价值净额的 </w:t>
      </w:r>
      <w:r>
        <w:rPr>
          <w:spacing w:val="-4"/>
        </w:rPr>
        <w:t>80</w:t>
      </w:r>
      <w:r>
        <w:rPr>
          <w:spacing w:val="-7"/>
        </w:rPr>
        <w:t>%，每次借款期限最长为 </w:t>
      </w:r>
      <w:r>
        <w:rPr>
          <w:spacing w:val="-4"/>
        </w:rPr>
        <w:t>180</w:t>
      </w:r>
      <w:r>
        <w:rPr>
          <w:spacing w:val="-10"/>
        </w:rPr>
        <w:t> 天。在保险单借款期间，将</w:t>
      </w:r>
      <w:r>
        <w:rPr>
          <w:spacing w:val="-2"/>
        </w:rPr>
        <w:t>按我们公布的保险单借款利率计算保险单借款利息。</w:t>
      </w:r>
    </w:p>
    <w:p>
      <w:pPr>
        <w:spacing w:line="284" w:lineRule="exact" w:before="0"/>
        <w:ind w:left="876" w:right="0" w:firstLine="0"/>
        <w:jc w:val="left"/>
        <w:rPr>
          <w:rFonts w:ascii="黑体" w:eastAsia="黑体"/>
          <w:sz w:val="24"/>
        </w:rPr>
      </w:pPr>
      <w:r>
        <w:rPr>
          <w:rFonts w:ascii="黑体" w:eastAsia="黑体"/>
          <w:spacing w:val="-18"/>
          <w:sz w:val="24"/>
        </w:rPr>
        <w:t>特别提示和说明：保险单借款后，当本合同现金价值净额为零时，本合同效力中止。</w:t>
      </w:r>
    </w:p>
    <w:p>
      <w:pPr>
        <w:pStyle w:val="Heading2"/>
        <w:spacing w:before="189"/>
        <w:ind w:left="395"/>
        <w:rPr>
          <w:rFonts w:ascii="宋体" w:eastAsia="宋体" w:hint="eastAsia"/>
        </w:rPr>
      </w:pPr>
      <w:bookmarkStart w:name="_bookmark19" w:id="20"/>
      <w:bookmarkEnd w:id="20"/>
      <w:r>
        <w:rPr>
          <w:b w:val="0"/>
        </w:rPr>
      </w:r>
      <w:r>
        <w:rPr>
          <w:rFonts w:ascii="宋体" w:eastAsia="宋体" w:hint="eastAsia"/>
          <w:spacing w:val="-2"/>
        </w:rPr>
        <w:t>第十六条 合同效力的恢复</w:t>
      </w:r>
    </w:p>
    <w:p>
      <w:pPr>
        <w:pStyle w:val="BodyText"/>
        <w:spacing w:line="321" w:lineRule="auto" w:before="89"/>
        <w:ind w:left="395" w:right="391" w:firstLine="420"/>
      </w:pPr>
      <w:r>
        <w:rPr>
          <w:spacing w:val="-4"/>
        </w:rPr>
        <w:t>本合同效力中止后 </w:t>
      </w:r>
      <w:r>
        <w:rPr/>
        <w:t>2</w:t>
      </w:r>
      <w:r>
        <w:rPr>
          <w:spacing w:val="-6"/>
        </w:rPr>
        <w:t> 年内，您可以申请恢复合同效力，经我们与您协商并达成协议，自您补交</w:t>
      </w:r>
      <w:r>
        <w:rPr>
          <w:spacing w:val="-2"/>
        </w:rPr>
        <w:t>所欠保险费及利息、借款及利息的次日零时起，本合同效力恢复。</w:t>
      </w:r>
    </w:p>
    <w:p>
      <w:pPr>
        <w:spacing w:line="284" w:lineRule="exact" w:before="0"/>
        <w:ind w:left="876" w:right="0" w:firstLine="0"/>
        <w:jc w:val="left"/>
        <w:rPr>
          <w:rFonts w:ascii="黑体" w:eastAsia="黑体"/>
          <w:sz w:val="24"/>
        </w:rPr>
      </w:pPr>
      <w:r>
        <w:rPr>
          <w:rFonts w:ascii="黑体" w:eastAsia="黑体"/>
          <w:spacing w:val="-5"/>
          <w:sz w:val="24"/>
        </w:rPr>
        <w:t>您与我们在本合同效力中止之日起满 </w:t>
      </w:r>
      <w:r>
        <w:rPr>
          <w:rFonts w:ascii="黑体" w:eastAsia="黑体"/>
          <w:spacing w:val="-2"/>
          <w:sz w:val="24"/>
        </w:rPr>
        <w:t>2</w:t>
      </w:r>
      <w:r>
        <w:rPr>
          <w:rFonts w:ascii="黑体" w:eastAsia="黑体"/>
          <w:spacing w:val="-10"/>
          <w:sz w:val="24"/>
        </w:rPr>
        <w:t> 年，仍未达成复效协议的，本合同即自行终</w:t>
      </w:r>
    </w:p>
    <w:p>
      <w:pPr>
        <w:spacing w:before="52"/>
        <w:ind w:left="396" w:right="0" w:firstLine="0"/>
        <w:jc w:val="left"/>
        <w:rPr>
          <w:rFonts w:ascii="黑体" w:eastAsia="黑体"/>
          <w:sz w:val="24"/>
        </w:rPr>
      </w:pPr>
      <w:r>
        <w:rPr>
          <w:rFonts w:ascii="黑体" w:eastAsia="黑体"/>
          <w:spacing w:val="-1"/>
          <w:sz w:val="24"/>
        </w:rPr>
        <w:t>止，我们向您退还合同效力中止时的保险单现金价值。</w:t>
      </w:r>
    </w:p>
    <w:p>
      <w:pPr>
        <w:pStyle w:val="Heading2"/>
        <w:spacing w:before="191"/>
        <w:ind w:left="395"/>
        <w:rPr>
          <w:rFonts w:ascii="宋体" w:eastAsia="宋体" w:hint="eastAsia"/>
        </w:rPr>
      </w:pPr>
      <w:bookmarkStart w:name="_bookmark20" w:id="21"/>
      <w:bookmarkEnd w:id="21"/>
      <w:r>
        <w:rPr>
          <w:b w:val="0"/>
        </w:rPr>
      </w:r>
      <w:r>
        <w:rPr>
          <w:rFonts w:ascii="宋体" w:eastAsia="宋体" w:hint="eastAsia"/>
          <w:spacing w:val="-2"/>
        </w:rPr>
        <w:t>第十七条 合同内容变更权</w:t>
      </w:r>
    </w:p>
    <w:p>
      <w:pPr>
        <w:pStyle w:val="BodyText"/>
        <w:spacing w:line="319" w:lineRule="auto" w:before="90"/>
        <w:ind w:left="395" w:right="396" w:firstLine="420"/>
      </w:pPr>
      <w:r>
        <w:rPr>
          <w:spacing w:val="-2"/>
        </w:rPr>
        <w:t>您在本合同有效期内，经您与我们协商一致，可申请变更本合同内容。变更本合同的，应当由</w:t>
      </w:r>
      <w:r>
        <w:rPr>
          <w:spacing w:val="-2"/>
        </w:rPr>
        <w:t>我们在保险单或者其他凭证上批注或者附贴批单，或者由您与我们订立书面的变更协议。</w:t>
      </w:r>
    </w:p>
    <w:p>
      <w:pPr>
        <w:pStyle w:val="BodyText"/>
        <w:spacing w:before="2"/>
        <w:ind w:left="815"/>
      </w:pPr>
      <w:r>
        <w:rPr>
          <w:spacing w:val="-3"/>
        </w:rPr>
        <w:t>被保险人身故后，对合同内容的任何变更无效。</w:t>
      </w:r>
    </w:p>
    <w:p>
      <w:pPr>
        <w:pStyle w:val="BodyText"/>
        <w:spacing w:before="4"/>
        <w:rPr>
          <w:sz w:val="16"/>
        </w:rPr>
      </w:pPr>
    </w:p>
    <w:p>
      <w:pPr>
        <w:pStyle w:val="Heading2"/>
        <w:spacing w:before="0"/>
        <w:ind w:left="395"/>
        <w:rPr>
          <w:rFonts w:ascii="宋体" w:eastAsia="宋体" w:hint="eastAsia"/>
        </w:rPr>
      </w:pPr>
      <w:bookmarkStart w:name="_bookmark21" w:id="22"/>
      <w:bookmarkEnd w:id="22"/>
      <w:r>
        <w:rPr>
          <w:b w:val="0"/>
        </w:rPr>
      </w:r>
      <w:r>
        <w:rPr>
          <w:rFonts w:ascii="宋体" w:eastAsia="宋体" w:hint="eastAsia"/>
          <w:spacing w:val="-2"/>
        </w:rPr>
        <w:t>第十八条 犹豫期及合同解除权</w:t>
      </w:r>
    </w:p>
    <w:p>
      <w:pPr>
        <w:pStyle w:val="BodyText"/>
        <w:spacing w:line="319" w:lineRule="auto" w:before="91"/>
        <w:ind w:left="395" w:right="394" w:firstLine="420"/>
      </w:pPr>
      <w:r>
        <w:rPr>
          <w:spacing w:val="-2"/>
        </w:rPr>
        <w:t>在本合同有效期内，您可随时申请解除本合同。我们收到解除合同申请书时，本合同终止。为</w:t>
      </w:r>
      <w:r>
        <w:rPr>
          <w:spacing w:val="-3"/>
        </w:rPr>
        <w:t>了让您能够更清楚地了解相关的保险条款和内容，以及有更多的考虑时间，自您签收本合同次日起</w:t>
      </w:r>
    </w:p>
    <w:p>
      <w:pPr>
        <w:pStyle w:val="BodyText"/>
        <w:spacing w:before="2"/>
        <w:ind w:left="395"/>
      </w:pPr>
      <w:r>
        <w:rPr>
          <w:spacing w:val="-2"/>
        </w:rPr>
        <w:t>（含该日）15</w:t>
      </w:r>
      <w:r>
        <w:rPr>
          <w:spacing w:val="-10"/>
        </w:rPr>
        <w:t> 天内为犹豫期。</w:t>
      </w:r>
    </w:p>
    <w:p>
      <w:pPr>
        <w:pStyle w:val="BodyText"/>
        <w:spacing w:line="321" w:lineRule="auto" w:before="88"/>
        <w:ind w:left="396" w:right="393" w:firstLine="419"/>
      </w:pPr>
      <w:r>
        <w:rPr>
          <w:spacing w:val="-9"/>
        </w:rPr>
        <w:t>一、 若您在犹豫期内要求解除本合同，我们将于收到本条第三款所列的证明材料并扣除不超过</w:t>
      </w:r>
      <w:r>
        <w:rPr>
          <w:spacing w:val="-2"/>
        </w:rPr>
        <w:t>十元工本费后无息退还已收的全部保险费，本合同自始无效。</w:t>
      </w:r>
    </w:p>
    <w:p>
      <w:pPr>
        <w:pStyle w:val="BodyText"/>
        <w:spacing w:line="321" w:lineRule="auto" w:before="0"/>
        <w:ind w:left="396" w:right="393" w:firstLine="420"/>
      </w:pPr>
      <w:r>
        <w:rPr>
          <w:spacing w:val="-6"/>
        </w:rPr>
        <w:t>二、 若您在犹豫期后要求解除本合同，我们在收到本条第三款所列的证明材料后 </w:t>
      </w:r>
      <w:r>
        <w:rPr/>
        <w:t>30</w:t>
      </w:r>
      <w:r>
        <w:rPr>
          <w:spacing w:val="-8"/>
        </w:rPr>
        <w:t> 日内向您</w:t>
      </w:r>
      <w:r>
        <w:rPr>
          <w:spacing w:val="-2"/>
        </w:rPr>
        <w:t>退还本合同终止时的保险单现金价值。</w:t>
      </w:r>
    </w:p>
    <w:p>
      <w:pPr>
        <w:pStyle w:val="BodyText"/>
        <w:spacing w:line="266" w:lineRule="exact" w:before="0"/>
        <w:ind w:left="816"/>
      </w:pPr>
      <w:r>
        <w:rPr>
          <w:spacing w:val="-7"/>
        </w:rPr>
        <w:t>三、 您要求解除本合同时，应提供下列证明材料：</w:t>
      </w:r>
    </w:p>
    <w:p>
      <w:pPr>
        <w:pStyle w:val="ListParagraph"/>
        <w:numPr>
          <w:ilvl w:val="0"/>
          <w:numId w:val="19"/>
        </w:numPr>
        <w:tabs>
          <w:tab w:pos="1086" w:val="left" w:leader="none"/>
        </w:tabs>
        <w:spacing w:line="240" w:lineRule="auto" w:before="88" w:after="0"/>
        <w:ind w:left="1085" w:right="0" w:hanging="270"/>
        <w:jc w:val="left"/>
        <w:rPr>
          <w:sz w:val="21"/>
        </w:rPr>
      </w:pPr>
      <w:r>
        <w:rPr>
          <w:spacing w:val="-4"/>
          <w:sz w:val="21"/>
        </w:rPr>
        <w:t>解除合同申请书；</w:t>
      </w:r>
    </w:p>
    <w:p>
      <w:pPr>
        <w:pStyle w:val="ListParagraph"/>
        <w:numPr>
          <w:ilvl w:val="0"/>
          <w:numId w:val="19"/>
        </w:numPr>
        <w:tabs>
          <w:tab w:pos="1086" w:val="left" w:leader="none"/>
        </w:tabs>
        <w:spacing w:line="240" w:lineRule="auto" w:before="88" w:after="0"/>
        <w:ind w:left="1085" w:right="0" w:hanging="270"/>
        <w:jc w:val="left"/>
        <w:rPr>
          <w:sz w:val="21"/>
        </w:rPr>
      </w:pPr>
      <w:r>
        <w:rPr>
          <w:spacing w:val="-3"/>
          <w:sz w:val="21"/>
        </w:rPr>
        <w:t>您的有效身份证件。</w:t>
      </w:r>
    </w:p>
    <w:p>
      <w:pPr>
        <w:spacing w:before="71"/>
        <w:ind w:left="876" w:right="0" w:firstLine="0"/>
        <w:jc w:val="left"/>
        <w:rPr>
          <w:rFonts w:ascii="黑体" w:eastAsia="黑体"/>
          <w:sz w:val="24"/>
        </w:rPr>
      </w:pPr>
      <w:r>
        <w:rPr>
          <w:rFonts w:ascii="黑体" w:eastAsia="黑体"/>
          <w:spacing w:val="-1"/>
          <w:sz w:val="24"/>
        </w:rPr>
        <w:t>特别提示和说明：您在犹豫期后解除合同可能会受到一定的损失。</w:t>
      </w:r>
    </w:p>
    <w:p>
      <w:pPr>
        <w:pStyle w:val="BodyText"/>
        <w:spacing w:before="7"/>
        <w:rPr>
          <w:rFonts w:ascii="黑体"/>
        </w:rPr>
      </w:pPr>
    </w:p>
    <w:p>
      <w:pPr>
        <w:pStyle w:val="Heading1"/>
        <w:ind w:left="112" w:right="112"/>
      </w:pPr>
      <w:bookmarkStart w:name="_bookmark22" w:id="23"/>
      <w:bookmarkEnd w:id="23"/>
      <w:r>
        <w:rPr>
          <w:b w:val="0"/>
        </w:rPr>
      </w:r>
      <w:r>
        <w:rPr>
          <w:w w:val="95"/>
        </w:rPr>
        <w:t>第</w:t>
      </w:r>
      <w:r>
        <w:rPr>
          <w:w w:val="95"/>
        </w:rPr>
        <w:t>五</w:t>
      </w:r>
      <w:r>
        <w:rPr>
          <w:spacing w:val="14"/>
          <w:w w:val="95"/>
        </w:rPr>
        <w:t>部分</w:t>
      </w:r>
      <w:r>
        <w:rPr>
          <w:w w:val="95"/>
        </w:rPr>
        <w:t>您</w:t>
      </w:r>
      <w:r>
        <w:rPr>
          <w:w w:val="95"/>
        </w:rPr>
        <w:t>必</w:t>
      </w:r>
      <w:r>
        <w:rPr>
          <w:w w:val="95"/>
        </w:rPr>
        <w:t>须</w:t>
      </w:r>
      <w:r>
        <w:rPr>
          <w:w w:val="95"/>
        </w:rPr>
        <w:t>了</w:t>
      </w:r>
      <w:r>
        <w:rPr>
          <w:w w:val="95"/>
        </w:rPr>
        <w:t>解</w:t>
      </w:r>
      <w:r>
        <w:rPr>
          <w:w w:val="95"/>
        </w:rPr>
        <w:t>的</w:t>
      </w:r>
      <w:r>
        <w:rPr>
          <w:w w:val="95"/>
        </w:rPr>
        <w:t>事</w:t>
      </w:r>
      <w:r>
        <w:rPr>
          <w:spacing w:val="-10"/>
          <w:w w:val="95"/>
        </w:rPr>
        <w:t>项</w:t>
      </w:r>
    </w:p>
    <w:p>
      <w:pPr>
        <w:pStyle w:val="BodyText"/>
        <w:spacing w:before="5"/>
        <w:rPr>
          <w:b/>
          <w:sz w:val="23"/>
        </w:rPr>
      </w:pPr>
    </w:p>
    <w:p>
      <w:pPr>
        <w:pStyle w:val="Heading2"/>
        <w:spacing w:before="0"/>
        <w:ind w:left="395"/>
        <w:rPr>
          <w:rFonts w:ascii="宋体" w:eastAsia="宋体" w:hint="eastAsia"/>
        </w:rPr>
      </w:pPr>
      <w:bookmarkStart w:name="_bookmark23" w:id="24"/>
      <w:bookmarkEnd w:id="24"/>
      <w:r>
        <w:rPr>
          <w:b w:val="0"/>
        </w:rPr>
      </w:r>
      <w:r>
        <w:rPr>
          <w:rFonts w:ascii="宋体" w:eastAsia="宋体" w:hint="eastAsia"/>
          <w:spacing w:val="-3"/>
        </w:rPr>
        <w:t>第十九条 明确说明和如实告知义务</w:t>
      </w:r>
    </w:p>
    <w:p>
      <w:pPr>
        <w:pStyle w:val="BodyText"/>
        <w:spacing w:before="91"/>
        <w:ind w:left="816"/>
      </w:pPr>
      <w:r>
        <w:rPr>
          <w:spacing w:val="-3"/>
        </w:rPr>
        <w:t>订立本合同时，我们应向您说明本合同的内容。</w:t>
      </w:r>
    </w:p>
    <w:p>
      <w:pPr>
        <w:pStyle w:val="BodyText"/>
        <w:spacing w:before="88"/>
        <w:ind w:left="815"/>
      </w:pPr>
      <w:r>
        <w:rPr>
          <w:spacing w:val="-3"/>
        </w:rPr>
        <w:t>对保险条款中免除我们责任的条款，我们在订立合同时应当在投保单、保险单或者其他保险凭</w:t>
      </w:r>
    </w:p>
    <w:p>
      <w:pPr>
        <w:spacing w:after="0"/>
        <w:sectPr>
          <w:pgSz w:w="11910" w:h="16840"/>
          <w:pgMar w:header="0" w:footer="1120" w:top="1400" w:bottom="1300" w:left="1020" w:right="1020"/>
        </w:sectPr>
      </w:pPr>
    </w:p>
    <w:p>
      <w:pPr>
        <w:pStyle w:val="BodyText"/>
        <w:spacing w:line="321" w:lineRule="auto" w:before="44"/>
        <w:ind w:left="395" w:right="394"/>
      </w:pPr>
      <w:r>
        <w:rPr>
          <w:spacing w:val="-2"/>
        </w:rPr>
        <w:t>证上作出足以引起您注意的提示，并对该条款的内容以书面或者口头形式向您作出明确说明，未作</w:t>
      </w:r>
      <w:r>
        <w:rPr>
          <w:spacing w:val="-2"/>
        </w:rPr>
        <w:t>提示或者明确说明的，该条款不产生效力。</w:t>
      </w:r>
    </w:p>
    <w:p>
      <w:pPr>
        <w:pStyle w:val="BodyText"/>
        <w:spacing w:line="266" w:lineRule="exact" w:before="0"/>
        <w:ind w:left="816"/>
      </w:pPr>
      <w:r>
        <w:rPr>
          <w:spacing w:val="-3"/>
        </w:rPr>
        <w:t>我们就您和被保险人的有关情况提出询问，您应当如实告知。</w:t>
      </w:r>
    </w:p>
    <w:p>
      <w:pPr>
        <w:spacing w:line="278" w:lineRule="auto" w:before="71"/>
        <w:ind w:left="395" w:right="396" w:firstLine="480"/>
        <w:jc w:val="left"/>
        <w:rPr>
          <w:rFonts w:ascii="黑体" w:eastAsia="黑体"/>
          <w:sz w:val="24"/>
        </w:rPr>
      </w:pPr>
      <w:r>
        <w:rPr>
          <w:rFonts w:ascii="黑体" w:eastAsia="黑体"/>
          <w:spacing w:val="-2"/>
          <w:sz w:val="24"/>
        </w:rPr>
        <w:t>如果您故意或者因重大过失未履行前款规定的如实告知义务，足以影响我们决定是</w:t>
      </w:r>
      <w:r>
        <w:rPr>
          <w:rFonts w:ascii="黑体" w:eastAsia="黑体"/>
          <w:spacing w:val="-2"/>
          <w:sz w:val="24"/>
        </w:rPr>
        <w:t>否同意承保或者提高保险费率的，我们有权解除本合同。</w:t>
      </w:r>
    </w:p>
    <w:p>
      <w:pPr>
        <w:spacing w:line="278" w:lineRule="auto" w:before="4"/>
        <w:ind w:left="395" w:right="396" w:firstLine="480"/>
        <w:jc w:val="left"/>
        <w:rPr>
          <w:rFonts w:ascii="黑体" w:eastAsia="黑体"/>
          <w:sz w:val="24"/>
        </w:rPr>
      </w:pPr>
      <w:r>
        <w:rPr>
          <w:rFonts w:ascii="黑体" w:eastAsia="黑体"/>
          <w:spacing w:val="-2"/>
          <w:sz w:val="24"/>
        </w:rPr>
        <w:t>如果您故意不履行如实告知义务，对于本合同解除前发生的保险事故，我们不承担</w:t>
      </w:r>
      <w:r>
        <w:rPr>
          <w:rFonts w:ascii="黑体" w:eastAsia="黑体"/>
          <w:spacing w:val="-2"/>
          <w:sz w:val="24"/>
        </w:rPr>
        <w:t>给付保险金的责任，并不退还保险费。</w:t>
      </w:r>
    </w:p>
    <w:p>
      <w:pPr>
        <w:spacing w:line="278" w:lineRule="auto" w:before="4"/>
        <w:ind w:left="395" w:right="271" w:firstLine="480"/>
        <w:jc w:val="left"/>
        <w:rPr>
          <w:rFonts w:ascii="黑体" w:eastAsia="黑体"/>
          <w:sz w:val="24"/>
        </w:rPr>
      </w:pPr>
      <w:r>
        <w:rPr>
          <w:rFonts w:ascii="黑体" w:eastAsia="黑体"/>
          <w:spacing w:val="-2"/>
          <w:sz w:val="24"/>
        </w:rPr>
        <w:t>如果您因重大过失未履行如实告知义务，对保险事故的发生有严重影响的，对于本</w:t>
      </w:r>
      <w:r>
        <w:rPr>
          <w:rFonts w:ascii="黑体" w:eastAsia="黑体"/>
          <w:spacing w:val="-2"/>
          <w:sz w:val="24"/>
        </w:rPr>
        <w:t>合同解除前发生的保险事故，我们不承担给付保险金的责任，但应当向您退还保险费。</w:t>
      </w:r>
    </w:p>
    <w:p>
      <w:pPr>
        <w:pStyle w:val="BodyText"/>
        <w:spacing w:line="319" w:lineRule="auto" w:before="25"/>
        <w:ind w:left="395" w:right="396" w:firstLine="420"/>
      </w:pPr>
      <w:r>
        <w:rPr>
          <w:spacing w:val="-2"/>
        </w:rPr>
        <w:t>我们在合同订立时已经知道您未如实告知的情况的，我们不得解除合同；发生保险事故的，我</w:t>
      </w:r>
      <w:r>
        <w:rPr>
          <w:spacing w:val="-2"/>
        </w:rPr>
        <w:t>们承担给付保险金的责任。</w:t>
      </w:r>
    </w:p>
    <w:p>
      <w:pPr>
        <w:pStyle w:val="Heading2"/>
        <w:spacing w:before="121"/>
        <w:ind w:left="395"/>
        <w:rPr>
          <w:rFonts w:ascii="宋体" w:eastAsia="宋体" w:hint="eastAsia"/>
        </w:rPr>
      </w:pPr>
      <w:bookmarkStart w:name="_bookmark24" w:id="25"/>
      <w:bookmarkEnd w:id="25"/>
      <w:r>
        <w:rPr>
          <w:b w:val="0"/>
        </w:rPr>
      </w:r>
      <w:r>
        <w:rPr>
          <w:rFonts w:ascii="宋体" w:eastAsia="宋体" w:hint="eastAsia"/>
          <w:spacing w:val="-2"/>
        </w:rPr>
        <w:t>第二十条 年龄计算及错误处理</w:t>
      </w:r>
    </w:p>
    <w:p>
      <w:pPr>
        <w:pStyle w:val="BodyText"/>
        <w:spacing w:line="321" w:lineRule="auto" w:before="89"/>
        <w:ind w:left="395" w:right="286" w:firstLine="420"/>
      </w:pPr>
      <w:r>
        <w:rPr>
          <w:spacing w:val="-4"/>
        </w:rPr>
        <w:t>被保险人的投保年龄为有效身份证件载明的出生日期为基础计算的周岁年龄。您在申请投保时，</w:t>
      </w:r>
      <w:r>
        <w:rPr>
          <w:spacing w:val="-2"/>
        </w:rPr>
        <w:t>应将被保险人的真实年龄在投保书上填明，若发生错误按下列规定办理：</w:t>
      </w:r>
    </w:p>
    <w:p>
      <w:pPr>
        <w:spacing w:line="284" w:lineRule="exact" w:before="0"/>
        <w:ind w:left="876" w:right="0" w:firstLine="0"/>
        <w:jc w:val="left"/>
        <w:rPr>
          <w:rFonts w:ascii="黑体" w:eastAsia="黑体"/>
          <w:sz w:val="24"/>
        </w:rPr>
      </w:pPr>
      <w:r>
        <w:rPr>
          <w:rFonts w:ascii="黑体" w:eastAsia="黑体"/>
          <w:spacing w:val="-3"/>
          <w:sz w:val="24"/>
        </w:rPr>
        <w:t>一、您申报的被保险人年龄不真实，且真实投保年龄不符合本合同约定的投保年龄</w:t>
      </w:r>
    </w:p>
    <w:p>
      <w:pPr>
        <w:spacing w:line="278" w:lineRule="auto" w:before="53"/>
        <w:ind w:left="395" w:right="398" w:firstLine="0"/>
        <w:jc w:val="left"/>
        <w:rPr>
          <w:rFonts w:ascii="黑体" w:hAnsi="黑体" w:eastAsia="黑体"/>
          <w:sz w:val="24"/>
        </w:rPr>
      </w:pPr>
      <w:r>
        <w:rPr>
          <w:rFonts w:ascii="黑体" w:hAnsi="黑体" w:eastAsia="黑体"/>
          <w:spacing w:val="-2"/>
          <w:sz w:val="24"/>
        </w:rPr>
        <w:t>限制的，我们有权解除合同，并向您退还解除保险合同时保险单的现金价值。我们行使</w:t>
      </w:r>
      <w:r>
        <w:rPr>
          <w:rFonts w:ascii="黑体" w:hAnsi="黑体" w:eastAsia="黑体"/>
          <w:spacing w:val="-2"/>
          <w:sz w:val="24"/>
        </w:rPr>
        <w:t>合同解除权适用“本公司合同解除权的限制”的规定。</w:t>
      </w:r>
    </w:p>
    <w:p>
      <w:pPr>
        <w:spacing w:line="280" w:lineRule="auto" w:before="4"/>
        <w:ind w:left="395" w:right="396" w:firstLine="480"/>
        <w:jc w:val="both"/>
        <w:rPr>
          <w:rFonts w:ascii="黑体" w:eastAsia="黑体"/>
          <w:sz w:val="24"/>
        </w:rPr>
      </w:pPr>
      <w:r>
        <w:rPr>
          <w:rFonts w:ascii="黑体" w:eastAsia="黑体"/>
          <w:spacing w:val="-2"/>
          <w:sz w:val="24"/>
        </w:rPr>
        <w:t>二、您申报的被保险人年龄不真实，致使您实付保险费少于应付保险费的，我们有</w:t>
      </w:r>
      <w:r>
        <w:rPr>
          <w:rFonts w:ascii="黑体" w:eastAsia="黑体"/>
          <w:spacing w:val="-2"/>
          <w:sz w:val="24"/>
        </w:rPr>
        <w:t>权更正并要求您补交保险费。若补交保险费前已发生保险事故，我们按照实付保险费与</w:t>
      </w:r>
      <w:r>
        <w:rPr>
          <w:rFonts w:ascii="黑体" w:eastAsia="黑体"/>
          <w:spacing w:val="-2"/>
          <w:sz w:val="24"/>
        </w:rPr>
        <w:t>应付保险费的比例给付保险金。</w:t>
      </w:r>
    </w:p>
    <w:p>
      <w:pPr>
        <w:spacing w:line="280" w:lineRule="auto" w:before="0"/>
        <w:ind w:left="395" w:right="398" w:firstLine="480"/>
        <w:jc w:val="left"/>
        <w:rPr>
          <w:rFonts w:ascii="黑体" w:eastAsia="黑体"/>
          <w:sz w:val="24"/>
        </w:rPr>
      </w:pPr>
      <w:r>
        <w:rPr>
          <w:rFonts w:ascii="黑体" w:eastAsia="黑体"/>
          <w:spacing w:val="-2"/>
          <w:sz w:val="24"/>
        </w:rPr>
        <w:t>三、您申报的被保险人年龄不真实，致使您实付保险费多于应付保险费的，我们会</w:t>
      </w:r>
      <w:r>
        <w:rPr>
          <w:rFonts w:ascii="黑体" w:eastAsia="黑体"/>
          <w:spacing w:val="-2"/>
          <w:sz w:val="24"/>
        </w:rPr>
        <w:t>将多收的保险费退还给您。</w:t>
      </w:r>
    </w:p>
    <w:p>
      <w:pPr>
        <w:spacing w:line="280" w:lineRule="auto" w:before="0"/>
        <w:ind w:left="395" w:right="398" w:firstLine="480"/>
        <w:jc w:val="left"/>
        <w:rPr>
          <w:rFonts w:ascii="黑体" w:eastAsia="黑体"/>
          <w:sz w:val="24"/>
        </w:rPr>
      </w:pPr>
      <w:r>
        <w:rPr>
          <w:rFonts w:ascii="黑体" w:eastAsia="黑体"/>
          <w:spacing w:val="-2"/>
          <w:sz w:val="24"/>
        </w:rPr>
        <w:t>四、您申报的被保险人的年龄不真实，且对本合同的现金价值、保险单借款额度以</w:t>
      </w:r>
      <w:r>
        <w:rPr>
          <w:rFonts w:ascii="黑体" w:eastAsia="黑体"/>
          <w:spacing w:val="-2"/>
          <w:sz w:val="24"/>
        </w:rPr>
        <w:t>及各项保险金产生实质影响的，我们有权根据被保险人的实际年龄予以调整。</w:t>
      </w:r>
    </w:p>
    <w:p>
      <w:pPr>
        <w:pStyle w:val="Heading2"/>
        <w:spacing w:before="132"/>
        <w:ind w:left="395"/>
        <w:jc w:val="both"/>
        <w:rPr>
          <w:rFonts w:ascii="宋体" w:eastAsia="宋体" w:hint="eastAsia"/>
        </w:rPr>
      </w:pPr>
      <w:bookmarkStart w:name="_bookmark25" w:id="26"/>
      <w:bookmarkEnd w:id="26"/>
      <w:r>
        <w:rPr>
          <w:b w:val="0"/>
        </w:rPr>
      </w:r>
      <w:r>
        <w:rPr>
          <w:rFonts w:ascii="宋体" w:eastAsia="宋体" w:hint="eastAsia"/>
          <w:spacing w:val="-2"/>
        </w:rPr>
        <w:t>第二十一条 本公司合同解除权的限制</w:t>
      </w:r>
    </w:p>
    <w:p>
      <w:pPr>
        <w:pStyle w:val="BodyText"/>
        <w:spacing w:line="319" w:lineRule="auto" w:before="91"/>
        <w:ind w:left="396" w:right="391" w:firstLine="420"/>
        <w:jc w:val="both"/>
      </w:pPr>
      <w:r>
        <w:rPr>
          <w:spacing w:val="-2"/>
        </w:rPr>
        <w:t>本合同“</w:t>
      </w:r>
      <w:r>
        <w:rPr>
          <w:b/>
          <w:spacing w:val="-2"/>
        </w:rPr>
        <w:t>明确说明和如实告知义务</w:t>
      </w:r>
      <w:r>
        <w:rPr>
          <w:spacing w:val="-2"/>
        </w:rPr>
        <w:t>”和“</w:t>
      </w:r>
      <w:r>
        <w:rPr>
          <w:b/>
          <w:spacing w:val="-2"/>
        </w:rPr>
        <w:t>年龄计算及错误处理</w:t>
      </w:r>
      <w:r>
        <w:rPr>
          <w:spacing w:val="-2"/>
        </w:rPr>
        <w:t>”所指的合同解除权，自我们知</w:t>
      </w:r>
      <w:r>
        <w:rPr>
          <w:w w:val="95"/>
        </w:rPr>
        <w:t>道</w:t>
      </w:r>
      <w:r>
        <w:rPr>
          <w:w w:val="95"/>
        </w:rPr>
        <w:t>有</w:t>
      </w:r>
      <w:r>
        <w:rPr>
          <w:w w:val="95"/>
        </w:rPr>
        <w:t>解除事由之日起，超过</w:t>
      </w:r>
      <w:r>
        <w:rPr/>
        <w:t> </w:t>
      </w:r>
      <w:r>
        <w:rPr>
          <w:w w:val="95"/>
        </w:rPr>
        <w:t>30 日不行使而消灭。自</w:t>
      </w:r>
      <w:r>
        <w:rPr>
          <w:w w:val="95"/>
        </w:rPr>
        <w:t>本</w:t>
      </w:r>
      <w:r>
        <w:rPr>
          <w:w w:val="95"/>
        </w:rPr>
        <w:t>合</w:t>
      </w:r>
      <w:r>
        <w:rPr>
          <w:w w:val="95"/>
        </w:rPr>
        <w:t>同成立之日起超过</w:t>
      </w:r>
      <w:r>
        <w:rPr/>
        <w:t> </w:t>
      </w:r>
      <w:r>
        <w:rPr>
          <w:w w:val="95"/>
        </w:rPr>
        <w:t>2 </w:t>
      </w:r>
      <w:r>
        <w:rPr>
          <w:w w:val="95"/>
        </w:rPr>
        <w:t>年</w:t>
      </w:r>
      <w:r>
        <w:rPr>
          <w:w w:val="95"/>
        </w:rPr>
        <w:t>的</w:t>
      </w:r>
      <w:r>
        <w:rPr>
          <w:w w:val="95"/>
        </w:rPr>
        <w:t>，我们不得解除</w:t>
      </w:r>
      <w:r>
        <w:rPr>
          <w:w w:val="95"/>
        </w:rPr>
        <w:t>合</w:t>
      </w:r>
      <w:r>
        <w:rPr>
          <w:spacing w:val="-2"/>
        </w:rPr>
        <w:t>同；发生保险事故的，我们承担给付保险金的责任。</w:t>
      </w:r>
    </w:p>
    <w:p>
      <w:pPr>
        <w:pStyle w:val="Heading2"/>
        <w:spacing w:before="122"/>
        <w:ind w:left="395"/>
        <w:jc w:val="both"/>
        <w:rPr>
          <w:rFonts w:ascii="宋体" w:eastAsia="宋体" w:hint="eastAsia"/>
        </w:rPr>
      </w:pPr>
      <w:bookmarkStart w:name="_bookmark26" w:id="27"/>
      <w:bookmarkEnd w:id="27"/>
      <w:r>
        <w:rPr>
          <w:b w:val="0"/>
        </w:rPr>
      </w:r>
      <w:r>
        <w:rPr>
          <w:rFonts w:ascii="宋体" w:eastAsia="宋体" w:hint="eastAsia"/>
          <w:spacing w:val="-2"/>
        </w:rPr>
        <w:t>第二十二条 受益人的指定与变更</w:t>
      </w:r>
    </w:p>
    <w:p>
      <w:pPr>
        <w:pStyle w:val="BodyText"/>
        <w:spacing w:line="319" w:lineRule="auto" w:before="91"/>
        <w:ind w:left="395" w:right="394" w:firstLine="420"/>
        <w:jc w:val="both"/>
      </w:pPr>
      <w:r>
        <w:rPr>
          <w:spacing w:val="-2"/>
        </w:rPr>
        <w:t>您或被保险人可指定一人或数人为保险金受益人，但您指定受益人须征得被保险人同意。受益</w:t>
      </w:r>
      <w:r>
        <w:rPr>
          <w:spacing w:val="-2"/>
        </w:rPr>
        <w:t>人为数人时，应确定受益顺序和受益份额；未确定受益顺序和受益份额的，各受益人按照相等份额</w:t>
      </w:r>
      <w:r>
        <w:rPr>
          <w:spacing w:val="-2"/>
        </w:rPr>
        <w:t>享有受益权。被保险人为无民事行为能力人或者限制民事行为能力人的，可以由其监护人指定受益</w:t>
      </w:r>
      <w:r>
        <w:rPr>
          <w:spacing w:val="-6"/>
        </w:rPr>
        <w:t>人。</w:t>
      </w:r>
    </w:p>
    <w:p>
      <w:pPr>
        <w:pStyle w:val="BodyText"/>
        <w:spacing w:line="319" w:lineRule="auto" w:before="4"/>
        <w:ind w:left="395" w:right="396" w:firstLine="420"/>
      </w:pPr>
      <w:r>
        <w:rPr>
          <w:spacing w:val="-2"/>
        </w:rPr>
        <w:t>在本合同有效期内，您或被保险人可以变更受益人并书面通知我们，我们在收到变更受益人的</w:t>
      </w:r>
      <w:r>
        <w:rPr>
          <w:spacing w:val="-2"/>
        </w:rPr>
        <w:t>书面通知后，应当做出批注或附贴批单，但您变更受益人须征得被保险人同意。</w:t>
      </w:r>
    </w:p>
    <w:p>
      <w:pPr>
        <w:pStyle w:val="BodyText"/>
        <w:spacing w:line="319" w:lineRule="auto" w:before="1"/>
        <w:ind w:left="395" w:right="396" w:firstLine="420"/>
      </w:pPr>
      <w:r>
        <w:rPr>
          <w:spacing w:val="-2"/>
        </w:rPr>
        <w:t>被保险人身故后，有下列情形之一的，保险金作为被保险人的遗产，由我们依照法律规定履行</w:t>
      </w:r>
      <w:r>
        <w:rPr>
          <w:spacing w:val="-2"/>
        </w:rPr>
        <w:t>给付保险金的义务：</w:t>
      </w:r>
    </w:p>
    <w:p>
      <w:pPr>
        <w:pStyle w:val="BodyText"/>
        <w:spacing w:before="2"/>
        <w:ind w:left="815"/>
      </w:pPr>
      <w:r>
        <w:rPr>
          <w:spacing w:val="-3"/>
        </w:rPr>
        <w:t>一、 没有指定受益人，或者受益人指定不明无法确定的；</w:t>
      </w:r>
    </w:p>
    <w:p>
      <w:pPr>
        <w:spacing w:after="0"/>
        <w:sectPr>
          <w:pgSz w:w="11910" w:h="16840"/>
          <w:pgMar w:header="0" w:footer="1120" w:top="1400" w:bottom="1300" w:left="1020" w:right="1020"/>
        </w:sectPr>
      </w:pPr>
    </w:p>
    <w:p>
      <w:pPr>
        <w:pStyle w:val="BodyText"/>
        <w:spacing w:before="44"/>
        <w:ind w:left="816"/>
      </w:pPr>
      <w:r>
        <w:rPr>
          <w:spacing w:val="-3"/>
        </w:rPr>
        <w:t>二、 受益人先于被保险人死亡，没有其他受益人的；</w:t>
      </w:r>
    </w:p>
    <w:p>
      <w:pPr>
        <w:pStyle w:val="BodyText"/>
        <w:spacing w:before="91"/>
        <w:ind w:left="815"/>
      </w:pPr>
      <w:r>
        <w:rPr>
          <w:spacing w:val="-3"/>
        </w:rPr>
        <w:t>三、 受益人依法丧失受益权或者放弃受益权，没有其他受益人的。</w:t>
      </w:r>
    </w:p>
    <w:p>
      <w:pPr>
        <w:pStyle w:val="BodyText"/>
        <w:spacing w:before="89"/>
        <w:ind w:left="816"/>
      </w:pPr>
      <w:r>
        <w:rPr>
          <w:spacing w:val="-3"/>
        </w:rPr>
        <w:t>受益人与被保险人在同一事件中死亡，且不能确定死亡先后顺序的，推定受益人死亡在先。</w:t>
      </w:r>
    </w:p>
    <w:p>
      <w:pPr>
        <w:spacing w:line="278" w:lineRule="auto" w:before="70"/>
        <w:ind w:left="395" w:right="396" w:firstLine="480"/>
        <w:jc w:val="left"/>
        <w:rPr>
          <w:rFonts w:ascii="黑体" w:eastAsia="黑体"/>
          <w:sz w:val="24"/>
        </w:rPr>
      </w:pPr>
      <w:r>
        <w:rPr>
          <w:rFonts w:ascii="黑体" w:eastAsia="黑体"/>
          <w:spacing w:val="-2"/>
          <w:sz w:val="24"/>
        </w:rPr>
        <w:t>受益人故意造成被保险人身故、伤残、疾病的，或者故意杀害被保险人未遂的，该</w:t>
      </w:r>
      <w:r>
        <w:rPr>
          <w:rFonts w:ascii="黑体" w:eastAsia="黑体"/>
          <w:spacing w:val="-2"/>
          <w:sz w:val="24"/>
        </w:rPr>
        <w:t>受益人丧失受益权。</w:t>
      </w:r>
    </w:p>
    <w:p>
      <w:pPr>
        <w:pStyle w:val="BodyText"/>
        <w:spacing w:line="319" w:lineRule="auto" w:before="25"/>
        <w:ind w:left="395" w:right="396" w:firstLine="420"/>
      </w:pPr>
      <w:r>
        <w:rPr>
          <w:spacing w:val="-2"/>
        </w:rPr>
        <w:t>除另有约定外，本合同的疾病保险金受益人、高度残疾保险金受益人和疾病终末期保险金受益</w:t>
      </w:r>
      <w:r>
        <w:rPr>
          <w:spacing w:val="-2"/>
        </w:rPr>
        <w:t>人均为被保险人本人。</w:t>
      </w:r>
    </w:p>
    <w:p>
      <w:pPr>
        <w:pStyle w:val="Heading2"/>
        <w:spacing w:before="122"/>
        <w:ind w:left="395"/>
        <w:rPr>
          <w:rFonts w:ascii="宋体" w:eastAsia="宋体" w:hint="eastAsia"/>
        </w:rPr>
      </w:pPr>
      <w:bookmarkStart w:name="_bookmark27" w:id="28"/>
      <w:bookmarkEnd w:id="28"/>
      <w:r>
        <w:rPr>
          <w:b w:val="0"/>
        </w:rPr>
      </w:r>
      <w:r>
        <w:rPr>
          <w:rFonts w:ascii="宋体" w:eastAsia="宋体" w:hint="eastAsia"/>
          <w:spacing w:val="-2"/>
        </w:rPr>
        <w:t>第二十三条 宽限期</w:t>
      </w:r>
    </w:p>
    <w:p>
      <w:pPr>
        <w:pStyle w:val="BodyText"/>
        <w:spacing w:line="321" w:lineRule="auto" w:before="88"/>
        <w:ind w:left="395" w:right="392" w:firstLine="420"/>
        <w:jc w:val="both"/>
      </w:pPr>
      <w:r>
        <w:rPr>
          <w:spacing w:val="-13"/>
        </w:rPr>
        <w:t>分期支付保险费的，自您支付首期保险费后，除本合同另有约定外，如果您到期未支付保险费，</w:t>
      </w:r>
      <w:r>
        <w:rPr>
          <w:spacing w:val="-2"/>
        </w:rPr>
        <w:t>每个保险费到期日次日起（含该日）60</w:t>
      </w:r>
      <w:r>
        <w:rPr>
          <w:spacing w:val="-4"/>
        </w:rPr>
        <w:t> 天为支付保险费的宽限期。宽限期内发生保险事故，我们仍</w:t>
      </w:r>
      <w:r>
        <w:rPr>
          <w:spacing w:val="-2"/>
        </w:rPr>
        <w:t>承担保险责任，但我们给付的保险金将扣除您未支付的保险费。如果在宽限期结束时，您仍未支付</w:t>
      </w:r>
      <w:r>
        <w:rPr>
          <w:spacing w:val="-2"/>
        </w:rPr>
        <w:t>保险费，则自宽限期结束的次日起本合同效力中止。</w:t>
      </w:r>
    </w:p>
    <w:p>
      <w:pPr>
        <w:spacing w:line="280" w:lineRule="exact" w:before="0"/>
        <w:ind w:left="756" w:right="0" w:firstLine="0"/>
        <w:jc w:val="left"/>
        <w:rPr>
          <w:rFonts w:ascii="黑体" w:eastAsia="黑体"/>
          <w:sz w:val="24"/>
        </w:rPr>
      </w:pPr>
      <w:r>
        <w:rPr>
          <w:rFonts w:ascii="黑体" w:eastAsia="黑体"/>
          <w:spacing w:val="-1"/>
          <w:sz w:val="24"/>
        </w:rPr>
        <w:t>特别提示和说明：合同效力中止期间，我们不承担保险责任。</w:t>
      </w:r>
    </w:p>
    <w:p>
      <w:pPr>
        <w:pStyle w:val="Heading2"/>
        <w:spacing w:before="193"/>
        <w:ind w:left="395"/>
        <w:jc w:val="both"/>
        <w:rPr>
          <w:rFonts w:ascii="宋体" w:eastAsia="宋体" w:hint="eastAsia"/>
        </w:rPr>
      </w:pPr>
      <w:bookmarkStart w:name="_bookmark28" w:id="29"/>
      <w:bookmarkEnd w:id="29"/>
      <w:r>
        <w:rPr>
          <w:b w:val="0"/>
        </w:rPr>
      </w:r>
      <w:r>
        <w:rPr>
          <w:rFonts w:ascii="宋体" w:eastAsia="宋体" w:hint="eastAsia"/>
          <w:spacing w:val="-2"/>
        </w:rPr>
        <w:t>第二十四条 宣告死亡处理</w:t>
      </w:r>
    </w:p>
    <w:p>
      <w:pPr>
        <w:pStyle w:val="BodyText"/>
        <w:spacing w:line="319" w:lineRule="auto" w:before="89"/>
        <w:ind w:left="395" w:right="394" w:firstLine="420"/>
        <w:jc w:val="both"/>
      </w:pPr>
      <w:r>
        <w:rPr>
          <w:spacing w:val="-2"/>
        </w:rPr>
        <w:t>如果被保险人在本合同有效期内下落不明，后经法院宣告死亡，如果被保险人被宣告死亡之日</w:t>
      </w:r>
      <w:r>
        <w:rPr>
          <w:spacing w:val="-2"/>
        </w:rPr>
        <w:t>在保险责任期间内，或者有证据证明下落不明之日在保险责任期间之内的，我们按照本合同的约定</w:t>
      </w:r>
      <w:r>
        <w:rPr>
          <w:spacing w:val="-2"/>
        </w:rPr>
        <w:t>给付身故保险金，本合同终止。</w:t>
      </w:r>
    </w:p>
    <w:p>
      <w:pPr>
        <w:pStyle w:val="BodyText"/>
        <w:spacing w:line="319" w:lineRule="auto" w:before="4"/>
        <w:ind w:left="395" w:right="396" w:firstLine="420"/>
        <w:jc w:val="both"/>
      </w:pPr>
      <w:r>
        <w:rPr>
          <w:spacing w:val="-2"/>
        </w:rPr>
        <w:t>如果被保险人重新出现或确知其没有死亡的，身故保险金受益人应于知道或应当知道被保险人</w:t>
      </w:r>
      <w:r>
        <w:rPr>
          <w:spacing w:val="-6"/>
        </w:rPr>
        <w:t>生还后 </w:t>
      </w:r>
      <w:r>
        <w:rPr/>
        <w:t>30</w:t>
      </w:r>
      <w:r>
        <w:rPr>
          <w:spacing w:val="-5"/>
        </w:rPr>
        <w:t> 天内将领取的身故保险金退还给我们，本合同的效力依法确定。</w:t>
      </w:r>
    </w:p>
    <w:p>
      <w:pPr>
        <w:pStyle w:val="Heading2"/>
        <w:spacing w:before="122"/>
        <w:ind w:left="395"/>
        <w:jc w:val="both"/>
        <w:rPr>
          <w:rFonts w:ascii="宋体" w:eastAsia="宋体" w:hint="eastAsia"/>
        </w:rPr>
      </w:pPr>
      <w:bookmarkStart w:name="_bookmark29" w:id="30"/>
      <w:bookmarkEnd w:id="30"/>
      <w:r>
        <w:rPr>
          <w:b w:val="0"/>
        </w:rPr>
      </w:r>
      <w:r>
        <w:rPr>
          <w:rFonts w:ascii="宋体" w:eastAsia="宋体" w:hint="eastAsia"/>
          <w:spacing w:val="-2"/>
        </w:rPr>
        <w:t>第二十五条 司法鉴定</w:t>
      </w:r>
    </w:p>
    <w:p>
      <w:pPr>
        <w:pStyle w:val="BodyText"/>
        <w:spacing w:line="321" w:lineRule="auto" w:before="88"/>
        <w:ind w:left="395" w:right="396" w:firstLine="420"/>
      </w:pPr>
      <w:r>
        <w:rPr>
          <w:spacing w:val="-2"/>
        </w:rPr>
        <w:t>如果保险金申请人与我们就是否达到本合同约定的理赔程度或条件发生争议时，保险金申请人</w:t>
      </w:r>
      <w:r>
        <w:rPr>
          <w:spacing w:val="-2"/>
        </w:rPr>
        <w:t>和我们均有权申请司法鉴定机构进行相关鉴定，以确定其原因及程度等。</w:t>
      </w:r>
    </w:p>
    <w:p>
      <w:pPr>
        <w:pStyle w:val="Heading2"/>
        <w:spacing w:before="117"/>
        <w:ind w:left="395"/>
        <w:rPr>
          <w:rFonts w:ascii="宋体" w:eastAsia="宋体" w:hint="eastAsia"/>
        </w:rPr>
      </w:pPr>
      <w:bookmarkStart w:name="_bookmark30" w:id="31"/>
      <w:bookmarkEnd w:id="31"/>
      <w:r>
        <w:rPr>
          <w:b w:val="0"/>
        </w:rPr>
      </w:r>
      <w:r>
        <w:rPr>
          <w:rFonts w:ascii="宋体" w:eastAsia="宋体" w:hint="eastAsia"/>
          <w:spacing w:val="-2"/>
        </w:rPr>
        <w:t>第二十六条 争议处理与法律适用</w:t>
      </w:r>
    </w:p>
    <w:p>
      <w:pPr>
        <w:pStyle w:val="BodyText"/>
        <w:spacing w:line="319" w:lineRule="auto" w:before="91"/>
        <w:ind w:left="395" w:right="396" w:firstLine="420"/>
      </w:pPr>
      <w:r>
        <w:rPr>
          <w:spacing w:val="-2"/>
        </w:rPr>
        <w:t>本合同履行过程中发生任何争议，双方首先通过协商加以解决。若双方协商未达成协议的，可</w:t>
      </w:r>
      <w:r>
        <w:rPr>
          <w:spacing w:val="-2"/>
        </w:rPr>
        <w:t>依法向有管辖权的人民法院提起诉讼。</w:t>
      </w:r>
    </w:p>
    <w:p>
      <w:pPr>
        <w:pStyle w:val="BodyText"/>
        <w:spacing w:line="319" w:lineRule="auto" w:before="1"/>
        <w:ind w:left="395" w:right="396" w:firstLine="420"/>
      </w:pPr>
      <w:r>
        <w:rPr>
          <w:spacing w:val="-2"/>
        </w:rPr>
        <w:t>与本合同有关的以及履行本合同产生的一切争议处理适用中华人民共和国法律（不包括香港、</w:t>
      </w:r>
      <w:r>
        <w:rPr>
          <w:spacing w:val="-2"/>
        </w:rPr>
        <w:t>澳门特别行政区和台湾地区法律</w:t>
      </w:r>
      <w:r>
        <w:rPr>
          <w:spacing w:val="-106"/>
        </w:rPr>
        <w:t>）</w:t>
      </w:r>
      <w:r>
        <w:rPr>
          <w:spacing w:val="-2"/>
        </w:rPr>
        <w:t>。</w:t>
      </w:r>
    </w:p>
    <w:p>
      <w:pPr>
        <w:pStyle w:val="Heading2"/>
        <w:spacing w:before="122"/>
        <w:ind w:left="395"/>
        <w:rPr>
          <w:rFonts w:ascii="宋体" w:eastAsia="宋体" w:hint="eastAsia"/>
        </w:rPr>
      </w:pPr>
      <w:bookmarkStart w:name="_bookmark31" w:id="32"/>
      <w:bookmarkEnd w:id="32"/>
      <w:r>
        <w:rPr>
          <w:b w:val="0"/>
        </w:rPr>
      </w:r>
      <w:r>
        <w:rPr>
          <w:rFonts w:ascii="宋体" w:eastAsia="宋体" w:hint="eastAsia"/>
          <w:spacing w:val="-2"/>
        </w:rPr>
        <w:t>第二十七条 诉讼时效</w:t>
      </w:r>
    </w:p>
    <w:p>
      <w:pPr>
        <w:pStyle w:val="BodyText"/>
        <w:spacing w:line="321" w:lineRule="auto" w:before="89"/>
        <w:ind w:left="395" w:right="393" w:firstLine="420"/>
      </w:pPr>
      <w:r>
        <w:rPr>
          <w:spacing w:val="-1"/>
        </w:rPr>
        <w:t>本合同的被保险人或者受益人向我们请求给付保险金的诉讼时效期间为 </w:t>
      </w:r>
      <w:r>
        <w:rPr/>
        <w:t>2</w:t>
      </w:r>
      <w:r>
        <w:rPr>
          <w:spacing w:val="-6"/>
        </w:rPr>
        <w:t> 年，自其知道或应当</w:t>
      </w:r>
      <w:r>
        <w:rPr>
          <w:spacing w:val="-2"/>
        </w:rPr>
        <w:t>知道保险事故发生之日起计算。</w:t>
      </w:r>
    </w:p>
    <w:p>
      <w:pPr>
        <w:pStyle w:val="Heading2"/>
        <w:spacing w:before="116"/>
        <w:ind w:left="395"/>
        <w:rPr>
          <w:rFonts w:ascii="宋体" w:eastAsia="宋体" w:hint="eastAsia"/>
        </w:rPr>
      </w:pPr>
      <w:bookmarkStart w:name="_bookmark32" w:id="33"/>
      <w:bookmarkEnd w:id="33"/>
      <w:r>
        <w:rPr>
          <w:b w:val="0"/>
        </w:rPr>
      </w:r>
      <w:r>
        <w:rPr>
          <w:rFonts w:ascii="宋体" w:eastAsia="宋体" w:hint="eastAsia"/>
          <w:spacing w:val="-2"/>
        </w:rPr>
        <w:t>第二十八条 联系方式变更</w:t>
      </w:r>
    </w:p>
    <w:p>
      <w:pPr>
        <w:pStyle w:val="BodyText"/>
        <w:spacing w:line="319" w:lineRule="auto" w:before="91"/>
        <w:ind w:left="395" w:right="391" w:firstLine="420"/>
        <w:jc w:val="both"/>
      </w:pPr>
      <w:r>
        <w:rPr>
          <w:spacing w:val="-2"/>
        </w:rPr>
        <w:t>您的住所、通讯地址、邮箱或电话等联系方式变更时，您应及时以书面形式或双方认可的其他</w:t>
      </w:r>
      <w:r>
        <w:rPr>
          <w:spacing w:val="-15"/>
        </w:rPr>
        <w:t>形式通知我们。若您未以书面形式或双方认可的其他形式通知我们，我们按本合同载明的最后住所、</w:t>
      </w:r>
      <w:r>
        <w:rPr>
          <w:spacing w:val="-2"/>
        </w:rPr>
        <w:t>通讯地址、邮箱或电话等联系方式发送有关通知，均视为已送达给您。</w:t>
      </w:r>
    </w:p>
    <w:p>
      <w:pPr>
        <w:pStyle w:val="BodyText"/>
        <w:spacing w:before="7"/>
        <w:rPr>
          <w:sz w:val="25"/>
        </w:rPr>
      </w:pPr>
    </w:p>
    <w:p>
      <w:pPr>
        <w:pStyle w:val="Heading1"/>
        <w:spacing w:before="1"/>
      </w:pPr>
      <w:bookmarkStart w:name="_bookmark33" w:id="34"/>
      <w:bookmarkEnd w:id="34"/>
      <w:r>
        <w:rPr>
          <w:b w:val="0"/>
        </w:rPr>
      </w:r>
      <w:r>
        <w:rPr>
          <w:w w:val="95"/>
        </w:rPr>
        <w:t>第</w:t>
      </w:r>
      <w:r>
        <w:rPr>
          <w:w w:val="95"/>
        </w:rPr>
        <w:t>六</w:t>
      </w:r>
      <w:r>
        <w:rPr>
          <w:spacing w:val="14"/>
          <w:w w:val="95"/>
        </w:rPr>
        <w:t>部分</w:t>
      </w:r>
      <w:r>
        <w:rPr>
          <w:w w:val="95"/>
        </w:rPr>
        <w:t>释</w:t>
      </w:r>
      <w:r>
        <w:rPr>
          <w:spacing w:val="-10"/>
          <w:w w:val="95"/>
        </w:rPr>
        <w:t>义</w:t>
      </w:r>
    </w:p>
    <w:p>
      <w:pPr>
        <w:spacing w:after="0"/>
        <w:sectPr>
          <w:pgSz w:w="11910" w:h="16840"/>
          <w:pgMar w:header="0" w:footer="1120" w:top="1400" w:bottom="1300" w:left="1020" w:right="1020"/>
        </w:sectPr>
      </w:pPr>
    </w:p>
    <w:p>
      <w:pPr>
        <w:pStyle w:val="ListParagraph"/>
        <w:numPr>
          <w:ilvl w:val="0"/>
          <w:numId w:val="20"/>
        </w:numPr>
        <w:tabs>
          <w:tab w:pos="609" w:val="left" w:leader="none"/>
          <w:tab w:pos="1922" w:val="left" w:leader="none"/>
        </w:tabs>
        <w:spacing w:line="278" w:lineRule="auto" w:before="43" w:after="0"/>
        <w:ind w:left="1922" w:right="214" w:hanging="1527"/>
        <w:jc w:val="left"/>
        <w:rPr>
          <w:sz w:val="21"/>
        </w:rPr>
      </w:pPr>
      <w:r>
        <w:rPr>
          <w:b/>
          <w:spacing w:val="-6"/>
          <w:sz w:val="21"/>
        </w:rPr>
        <w:t>周</w:t>
      </w:r>
      <w:r>
        <w:rPr>
          <w:b/>
          <w:spacing w:val="-6"/>
          <w:sz w:val="21"/>
        </w:rPr>
        <w:t>岁</w:t>
      </w:r>
      <w:r>
        <w:rPr>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w:t>
      </w:r>
      <w:r>
        <w:rPr>
          <w:spacing w:val="-2"/>
          <w:sz w:val="21"/>
        </w:rPr>
        <w:t>每</w:t>
      </w:r>
      <w:r>
        <w:rPr>
          <w:spacing w:val="-2"/>
          <w:sz w:val="21"/>
        </w:rPr>
        <w:t>经</w:t>
      </w:r>
      <w:r>
        <w:rPr>
          <w:spacing w:val="-2"/>
          <w:sz w:val="21"/>
        </w:rPr>
        <w:t>过一</w:t>
      </w:r>
      <w:r>
        <w:rPr>
          <w:spacing w:val="-2"/>
          <w:sz w:val="21"/>
        </w:rPr>
        <w:t>年</w:t>
      </w:r>
      <w:r>
        <w:rPr>
          <w:spacing w:val="-2"/>
          <w:sz w:val="21"/>
        </w:rPr>
        <w:t>增</w:t>
      </w:r>
      <w:r>
        <w:rPr>
          <w:spacing w:val="-2"/>
          <w:sz w:val="21"/>
        </w:rPr>
        <w:t>加一岁，不足一年的</w:t>
      </w:r>
      <w:r>
        <w:rPr>
          <w:spacing w:val="-2"/>
          <w:sz w:val="21"/>
        </w:rPr>
        <w:t>不</w:t>
      </w:r>
      <w:r>
        <w:rPr>
          <w:spacing w:val="-2"/>
          <w:sz w:val="21"/>
        </w:rPr>
        <w:t>计</w:t>
      </w:r>
      <w:r>
        <w:rPr>
          <w:spacing w:val="-2"/>
          <w:sz w:val="21"/>
        </w:rPr>
        <w:t>。</w:t>
      </w:r>
    </w:p>
    <w:p>
      <w:pPr>
        <w:pStyle w:val="BodyText"/>
        <w:spacing w:before="7"/>
        <w:rPr>
          <w:sz w:val="17"/>
        </w:rPr>
      </w:pPr>
    </w:p>
    <w:p>
      <w:pPr>
        <w:pStyle w:val="ListParagraph"/>
        <w:numPr>
          <w:ilvl w:val="0"/>
          <w:numId w:val="20"/>
        </w:numPr>
        <w:tabs>
          <w:tab w:pos="639" w:val="left" w:leader="none"/>
        </w:tabs>
        <w:spacing w:line="240" w:lineRule="auto" w:before="0" w:after="0"/>
        <w:ind w:left="638" w:right="0" w:hanging="244"/>
        <w:jc w:val="left"/>
        <w:rPr>
          <w:sz w:val="21"/>
        </w:rPr>
      </w:pPr>
      <w:r>
        <w:rPr>
          <w:b/>
          <w:spacing w:val="3"/>
          <w:sz w:val="21"/>
        </w:rPr>
        <w:t>保险单周年 </w:t>
      </w:r>
      <w:r>
        <w:rPr>
          <w:spacing w:val="-1"/>
          <w:sz w:val="21"/>
        </w:rPr>
        <w:t>指在本合同有效期内的每一个保险单年度内本合同生效日的对应日。若当月没有对应</w:t>
      </w:r>
    </w:p>
    <w:p>
      <w:pPr>
        <w:pStyle w:val="BodyText"/>
        <w:tabs>
          <w:tab w:pos="1922" w:val="left" w:leader="none"/>
        </w:tabs>
        <w:spacing w:line="278" w:lineRule="auto"/>
        <w:ind w:left="1922" w:right="213" w:hanging="1527"/>
      </w:pPr>
      <w:r>
        <w:rPr>
          <w:b/>
          <w:spacing w:val="-10"/>
        </w:rPr>
        <w:t>日</w:t>
      </w:r>
      <w:r>
        <w:rPr>
          <w:b/>
        </w:rPr>
        <w:tab/>
      </w:r>
      <w:r>
        <w:rPr>
          <w:spacing w:val="-2"/>
        </w:rPr>
        <w:t>的</w:t>
      </w:r>
      <w:r>
        <w:rPr>
          <w:spacing w:val="-2"/>
        </w:rPr>
        <w:t>同</w:t>
      </w:r>
      <w:r>
        <w:rPr>
          <w:spacing w:val="-2"/>
        </w:rPr>
        <w:t>一日，则以该月最后</w:t>
      </w:r>
      <w:r>
        <w:rPr>
          <w:spacing w:val="-2"/>
        </w:rPr>
        <w:t>一</w:t>
      </w:r>
      <w:r>
        <w:rPr>
          <w:spacing w:val="-2"/>
        </w:rPr>
        <w:t>日</w:t>
      </w:r>
      <w:r>
        <w:rPr>
          <w:spacing w:val="-2"/>
        </w:rPr>
        <w:t>为对应日。第一个保</w:t>
      </w:r>
      <w:r>
        <w:rPr>
          <w:spacing w:val="-2"/>
        </w:rPr>
        <w:t>险</w:t>
      </w:r>
      <w:r>
        <w:rPr>
          <w:spacing w:val="-2"/>
        </w:rPr>
        <w:t>单</w:t>
      </w:r>
      <w:r>
        <w:rPr>
          <w:spacing w:val="-2"/>
        </w:rPr>
        <w:t>周年日是指保险单生</w:t>
      </w:r>
      <w:r>
        <w:rPr>
          <w:spacing w:val="-2"/>
        </w:rPr>
        <w:t>效</w:t>
      </w:r>
      <w:r>
        <w:rPr>
          <w:spacing w:val="-2"/>
        </w:rPr>
        <w:t>一</w:t>
      </w:r>
      <w:r>
        <w:rPr>
          <w:spacing w:val="-2"/>
        </w:rPr>
        <w:t>年</w:t>
      </w:r>
      <w:r>
        <w:rPr>
          <w:spacing w:val="-2"/>
        </w:rPr>
        <w:t>后</w:t>
      </w:r>
      <w:r>
        <w:rPr>
          <w:spacing w:val="-2"/>
        </w:rPr>
        <w:t>的</w:t>
      </w:r>
      <w:r>
        <w:rPr>
          <w:spacing w:val="-2"/>
        </w:rPr>
        <w:t>本</w:t>
      </w:r>
      <w:r>
        <w:rPr>
          <w:spacing w:val="-2"/>
        </w:rPr>
        <w:t>合同生效日期的对应</w:t>
      </w:r>
      <w:r>
        <w:rPr>
          <w:spacing w:val="-2"/>
        </w:rPr>
        <w:t>日</w:t>
      </w:r>
      <w:r>
        <w:rPr>
          <w:spacing w:val="-2"/>
        </w:rPr>
        <w:t>。</w:t>
      </w:r>
    </w:p>
    <w:p>
      <w:pPr>
        <w:pStyle w:val="BodyText"/>
        <w:spacing w:before="2"/>
        <w:rPr>
          <w:sz w:val="12"/>
        </w:rPr>
      </w:pPr>
    </w:p>
    <w:p>
      <w:pPr>
        <w:pStyle w:val="ListParagraph"/>
        <w:numPr>
          <w:ilvl w:val="0"/>
          <w:numId w:val="20"/>
        </w:numPr>
        <w:tabs>
          <w:tab w:pos="609" w:val="left" w:leader="none"/>
        </w:tabs>
        <w:spacing w:line="278" w:lineRule="auto" w:before="72" w:after="0"/>
        <w:ind w:left="1922" w:right="215" w:hanging="1527"/>
        <w:jc w:val="left"/>
        <w:rPr>
          <w:sz w:val="21"/>
        </w:rPr>
      </w:pPr>
      <w:r>
        <w:rPr>
          <w:b/>
          <w:sz w:val="21"/>
        </w:rPr>
        <w:t>保险单年度</w:t>
      </w:r>
      <w:r>
        <w:rPr>
          <w:b/>
          <w:spacing w:val="80"/>
          <w:w w:val="150"/>
          <w:sz w:val="21"/>
        </w:rPr>
        <w:t> </w:t>
      </w:r>
      <w:r>
        <w:rPr>
          <w:sz w:val="21"/>
        </w:rPr>
        <w:t>从本合同生效日或保险单周年日零时起至下一年度的保险单周年日前一日的二十四</w:t>
      </w:r>
      <w:r>
        <w:rPr>
          <w:spacing w:val="-2"/>
          <w:sz w:val="21"/>
        </w:rPr>
        <w:t>时止为一个保险单年度。</w:t>
      </w:r>
    </w:p>
    <w:p>
      <w:pPr>
        <w:pStyle w:val="BodyText"/>
        <w:spacing w:before="10"/>
        <w:rPr>
          <w:sz w:val="17"/>
        </w:rPr>
      </w:pPr>
    </w:p>
    <w:p>
      <w:pPr>
        <w:pStyle w:val="ListParagraph"/>
        <w:numPr>
          <w:ilvl w:val="0"/>
          <w:numId w:val="20"/>
        </w:numPr>
        <w:tabs>
          <w:tab w:pos="639" w:val="left" w:leader="none"/>
        </w:tabs>
        <w:spacing w:line="240" w:lineRule="auto" w:before="0" w:after="0"/>
        <w:ind w:left="638" w:right="0" w:hanging="244"/>
        <w:jc w:val="left"/>
        <w:rPr>
          <w:sz w:val="21"/>
        </w:rPr>
      </w:pPr>
      <w:r>
        <w:rPr>
          <w:b/>
          <w:spacing w:val="3"/>
          <w:sz w:val="21"/>
        </w:rPr>
        <w:t>保险费到期 </w:t>
      </w:r>
      <w:r>
        <w:rPr>
          <w:sz w:val="21"/>
        </w:rPr>
        <w:t>指本合同生效日在每月、每季、每半年或每年（根据交费方式确定）</w:t>
      </w:r>
      <w:r>
        <w:rPr>
          <w:spacing w:val="-2"/>
          <w:sz w:val="21"/>
        </w:rPr>
        <w:t>的对应日。若当</w:t>
      </w:r>
    </w:p>
    <w:p>
      <w:pPr>
        <w:pStyle w:val="BodyText"/>
        <w:tabs>
          <w:tab w:pos="1922" w:val="left" w:leader="none"/>
        </w:tabs>
        <w:ind w:left="395"/>
      </w:pPr>
      <w:r>
        <w:rPr>
          <w:b/>
          <w:spacing w:val="-10"/>
        </w:rPr>
        <w:t>日</w:t>
      </w:r>
      <w:r>
        <w:rPr>
          <w:b/>
        </w:rPr>
        <w:tab/>
      </w:r>
      <w:r>
        <w:rPr>
          <w:spacing w:val="-2"/>
        </w:rPr>
        <w:t>月</w:t>
      </w:r>
      <w:r>
        <w:rPr>
          <w:spacing w:val="-2"/>
        </w:rPr>
        <w:t>没</w:t>
      </w:r>
      <w:r>
        <w:rPr>
          <w:spacing w:val="-2"/>
        </w:rPr>
        <w:t>有对应的同一日，则</w:t>
      </w:r>
      <w:r>
        <w:rPr>
          <w:spacing w:val="-2"/>
        </w:rPr>
        <w:t>以</w:t>
      </w:r>
      <w:r>
        <w:rPr>
          <w:spacing w:val="-2"/>
        </w:rPr>
        <w:t>该</w:t>
      </w:r>
      <w:r>
        <w:rPr>
          <w:spacing w:val="-2"/>
        </w:rPr>
        <w:t>月最后一日为对应日</w:t>
      </w:r>
      <w:r>
        <w:rPr>
          <w:spacing w:val="-10"/>
        </w:rPr>
        <w:t>。</w:t>
      </w:r>
    </w:p>
    <w:p>
      <w:pPr>
        <w:pStyle w:val="BodyText"/>
        <w:spacing w:before="5"/>
        <w:rPr>
          <w:sz w:val="15"/>
        </w:rPr>
      </w:pPr>
    </w:p>
    <w:p>
      <w:pPr>
        <w:pStyle w:val="ListParagraph"/>
        <w:numPr>
          <w:ilvl w:val="0"/>
          <w:numId w:val="20"/>
        </w:numPr>
        <w:tabs>
          <w:tab w:pos="609" w:val="left" w:leader="none"/>
          <w:tab w:pos="1814" w:val="left" w:leader="none"/>
        </w:tabs>
        <w:spacing w:line="278" w:lineRule="auto" w:before="71" w:after="0"/>
        <w:ind w:left="1814" w:right="113" w:hanging="1419"/>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w:t>
      </w:r>
      <w:r>
        <w:rPr>
          <w:spacing w:val="-2"/>
          <w:sz w:val="21"/>
        </w:rPr>
        <w:t>本</w:t>
      </w:r>
      <w:r>
        <w:rPr>
          <w:spacing w:val="-2"/>
          <w:sz w:val="21"/>
        </w:rPr>
        <w:t>公</w:t>
      </w:r>
      <w:r>
        <w:rPr>
          <w:spacing w:val="-2"/>
          <w:sz w:val="21"/>
        </w:rPr>
        <w:t>司</w:t>
      </w:r>
      <w:r>
        <w:rPr>
          <w:spacing w:val="-2"/>
          <w:sz w:val="21"/>
        </w:rPr>
        <w:t>退</w:t>
      </w:r>
      <w:r>
        <w:rPr>
          <w:spacing w:val="-2"/>
          <w:sz w:val="21"/>
        </w:rPr>
        <w:t>还</w:t>
      </w:r>
      <w:r>
        <w:rPr>
          <w:spacing w:val="-2"/>
          <w:sz w:val="21"/>
        </w:rPr>
        <w:t>的</w:t>
      </w:r>
      <w:r>
        <w:rPr>
          <w:spacing w:val="-2"/>
          <w:sz w:val="21"/>
        </w:rPr>
        <w:t>那</w:t>
      </w:r>
      <w:r>
        <w:rPr>
          <w:spacing w:val="-2"/>
          <w:sz w:val="21"/>
        </w:rPr>
        <w:t>部分金</w:t>
      </w:r>
      <w:r>
        <w:rPr>
          <w:spacing w:val="-2"/>
          <w:sz w:val="21"/>
        </w:rPr>
        <w:t>额</w:t>
      </w:r>
      <w:r>
        <w:rPr>
          <w:spacing w:val="-2"/>
          <w:sz w:val="21"/>
        </w:rPr>
        <w:t>。</w:t>
      </w:r>
    </w:p>
    <w:p>
      <w:pPr>
        <w:pStyle w:val="BodyText"/>
        <w:spacing w:before="12"/>
        <w:rPr>
          <w:sz w:val="24"/>
        </w:rPr>
      </w:pPr>
    </w:p>
    <w:p>
      <w:pPr>
        <w:pStyle w:val="ListParagraph"/>
        <w:numPr>
          <w:ilvl w:val="0"/>
          <w:numId w:val="20"/>
        </w:numPr>
        <w:tabs>
          <w:tab w:pos="639" w:val="left" w:leader="none"/>
        </w:tabs>
        <w:spacing w:line="278" w:lineRule="auto" w:before="0" w:after="0"/>
        <w:ind w:left="395" w:right="1427" w:firstLine="0"/>
        <w:jc w:val="left"/>
        <w:rPr>
          <w:b/>
          <w:sz w:val="21"/>
        </w:rPr>
      </w:pPr>
      <w:r>
        <w:rPr>
          <w:b/>
          <w:spacing w:val="15"/>
          <w:sz w:val="21"/>
        </w:rPr>
        <w:t>现金价值净 </w:t>
      </w:r>
      <w:r>
        <w:rPr>
          <w:sz w:val="21"/>
        </w:rPr>
        <w:t>指现金价值扣除未还清款项及其利息、欠交保险费及其利息后的余额。</w:t>
      </w:r>
      <w:r>
        <w:rPr>
          <w:b/>
          <w:spacing w:val="-10"/>
          <w:sz w:val="21"/>
        </w:rPr>
        <w:t>额</w:t>
      </w:r>
    </w:p>
    <w:p>
      <w:pPr>
        <w:pStyle w:val="BodyText"/>
        <w:spacing w:before="8"/>
        <w:rPr>
          <w:b/>
          <w:sz w:val="11"/>
        </w:rPr>
      </w:pPr>
    </w:p>
    <w:p>
      <w:pPr>
        <w:pStyle w:val="ListParagraph"/>
        <w:numPr>
          <w:ilvl w:val="0"/>
          <w:numId w:val="20"/>
        </w:numPr>
        <w:tabs>
          <w:tab w:pos="609" w:val="left" w:leader="none"/>
        </w:tabs>
        <w:spacing w:line="240" w:lineRule="auto" w:before="79" w:after="0"/>
        <w:ind w:left="608" w:right="0" w:hanging="214"/>
        <w:jc w:val="both"/>
        <w:rPr>
          <w:sz w:val="21"/>
        </w:rPr>
      </w:pPr>
      <w:r>
        <w:rPr>
          <w:b/>
          <w:spacing w:val="66"/>
          <w:sz w:val="21"/>
        </w:rPr>
        <w:t>高度残疾 </w:t>
      </w:r>
      <w:r>
        <w:rPr>
          <w:spacing w:val="-3"/>
          <w:sz w:val="21"/>
        </w:rPr>
        <w:t>《人身保险伤残评定标准及代码》所列伤残等级为 </w:t>
      </w:r>
      <w:r>
        <w:rPr>
          <w:rFonts w:ascii="Times New Roman" w:eastAsia="Times New Roman"/>
          <w:sz w:val="21"/>
        </w:rPr>
        <w:t>1</w:t>
      </w:r>
      <w:r>
        <w:rPr>
          <w:rFonts w:ascii="Times New Roman" w:eastAsia="Times New Roman"/>
          <w:spacing w:val="-3"/>
          <w:sz w:val="21"/>
        </w:rPr>
        <w:t> </w:t>
      </w:r>
      <w:r>
        <w:rPr>
          <w:spacing w:val="-2"/>
          <w:sz w:val="21"/>
        </w:rPr>
        <w:t>级的情形。</w:t>
      </w:r>
    </w:p>
    <w:p>
      <w:pPr>
        <w:pStyle w:val="BodyText"/>
        <w:spacing w:line="278" w:lineRule="auto" w:before="42"/>
        <w:ind w:left="1922" w:right="216" w:hanging="1"/>
        <w:jc w:val="both"/>
      </w:pPr>
      <w:r>
        <w:rPr>
          <w:spacing w:val="-14"/>
        </w:rPr>
        <w:t>其中，《人身保险伤残评定标准及代码</w:t>
      </w:r>
      <w:r>
        <w:rPr>
          <w:spacing w:val="-131"/>
        </w:rPr>
        <w:t>》</w:t>
      </w:r>
      <w:r>
        <w:rPr>
          <w:spacing w:val="-2"/>
        </w:rPr>
        <w:t>（</w:t>
      </w:r>
      <w:r>
        <w:rPr>
          <w:rFonts w:ascii="Times New Roman" w:hAnsi="Times New Roman" w:eastAsia="Times New Roman"/>
          <w:spacing w:val="-2"/>
        </w:rPr>
        <w:t>JR/T</w:t>
      </w:r>
      <w:r>
        <w:rPr>
          <w:rFonts w:ascii="Times New Roman" w:hAnsi="Times New Roman" w:eastAsia="Times New Roman"/>
          <w:spacing w:val="-10"/>
        </w:rPr>
        <w:t> </w:t>
      </w:r>
      <w:r>
        <w:rPr>
          <w:rFonts w:ascii="Times New Roman" w:hAnsi="Times New Roman" w:eastAsia="Times New Roman"/>
          <w:spacing w:val="-2"/>
        </w:rPr>
        <w:t>0083—2013</w:t>
      </w:r>
      <w:r>
        <w:rPr>
          <w:spacing w:val="-2"/>
        </w:rPr>
        <w:t>）是由原中国保险监督管理</w:t>
      </w:r>
      <w:r>
        <w:rPr/>
        <w:t>委员会发布（保监发</w:t>
      </w:r>
      <w:r>
        <w:rPr>
          <w:rFonts w:ascii="Times New Roman" w:hAnsi="Times New Roman" w:eastAsia="Times New Roman"/>
        </w:rPr>
        <w:t>[2014]6 </w:t>
      </w:r>
      <w:r>
        <w:rPr/>
        <w:t>号）并经国家标准化委员会备案的中华人民共和国金融</w:t>
      </w:r>
      <w:r>
        <w:rPr>
          <w:spacing w:val="-2"/>
        </w:rPr>
        <w:t>行业标准。</w:t>
      </w:r>
    </w:p>
    <w:p>
      <w:pPr>
        <w:pStyle w:val="BodyText"/>
        <w:spacing w:before="8"/>
        <w:rPr>
          <w:sz w:val="17"/>
        </w:rPr>
      </w:pPr>
    </w:p>
    <w:p>
      <w:pPr>
        <w:pStyle w:val="ListParagraph"/>
        <w:numPr>
          <w:ilvl w:val="0"/>
          <w:numId w:val="20"/>
        </w:numPr>
        <w:tabs>
          <w:tab w:pos="639" w:val="left" w:leader="none"/>
        </w:tabs>
        <w:spacing w:line="240" w:lineRule="auto" w:before="0" w:after="0"/>
        <w:ind w:left="638" w:right="0" w:hanging="244"/>
        <w:jc w:val="left"/>
        <w:rPr>
          <w:sz w:val="21"/>
        </w:rPr>
      </w:pPr>
      <w:r>
        <w:rPr>
          <w:b/>
          <w:spacing w:val="12"/>
          <w:sz w:val="21"/>
        </w:rPr>
        <w:t>疾病终末期 </w:t>
      </w:r>
      <w:r>
        <w:rPr>
          <w:spacing w:val="-7"/>
          <w:sz w:val="21"/>
        </w:rPr>
        <w:t>指被保险人经过 </w:t>
      </w:r>
      <w:r>
        <w:rPr>
          <w:sz w:val="21"/>
        </w:rPr>
        <w:t>90</w:t>
      </w:r>
      <w:r>
        <w:rPr>
          <w:spacing w:val="-8"/>
          <w:sz w:val="21"/>
        </w:rPr>
        <w:t> 天以上的积极治疗后，由</w:t>
      </w:r>
      <w:r>
        <w:rPr>
          <w:b/>
          <w:sz w:val="21"/>
        </w:rPr>
        <w:t>专科医生</w:t>
      </w:r>
      <w:r>
        <w:rPr>
          <w:sz w:val="21"/>
        </w:rPr>
        <w:t>（</w:t>
      </w:r>
      <w:r>
        <w:rPr>
          <w:spacing w:val="-14"/>
          <w:sz w:val="21"/>
        </w:rPr>
        <w:t>见释义 </w:t>
      </w:r>
      <w:r>
        <w:rPr>
          <w:sz w:val="21"/>
        </w:rPr>
        <w:t>29）</w:t>
      </w:r>
      <w:r>
        <w:rPr>
          <w:spacing w:val="-2"/>
          <w:sz w:val="21"/>
        </w:rPr>
        <w:t>出具诊断证明和</w:t>
      </w:r>
    </w:p>
    <w:p>
      <w:pPr>
        <w:pStyle w:val="BodyText"/>
        <w:spacing w:line="278" w:lineRule="auto"/>
        <w:ind w:left="1922" w:right="213" w:hanging="1527"/>
        <w:jc w:val="both"/>
      </w:pPr>
      <w:r>
        <w:rPr>
          <w:b/>
        </w:rPr>
        <w:t>阶段</w:t>
      </w:r>
      <w:r>
        <w:rPr>
          <w:b/>
          <w:spacing w:val="924"/>
        </w:rPr>
        <w:t> </w:t>
      </w:r>
      <w:r>
        <w:rPr/>
        <w:t>提交临床检查证据，最终确认为处于疾病终末期状态。该疾病已经无法以现有的医疗</w:t>
      </w:r>
      <w:r>
        <w:rPr>
          <w:spacing w:val="-5"/>
        </w:rPr>
        <w:t>技术治疗或缓解并且将导致被保险人在未来 </w:t>
      </w:r>
      <w:r>
        <w:rPr>
          <w:spacing w:val="-4"/>
        </w:rPr>
        <w:t>6</w:t>
      </w:r>
      <w:r>
        <w:rPr>
          <w:spacing w:val="-8"/>
        </w:rPr>
        <w:t> 个月内死亡。在被保险人及其家属的要</w:t>
      </w:r>
      <w:r>
        <w:rPr>
          <w:spacing w:val="-2"/>
        </w:rPr>
        <w:t>求和专科医生的同意下一切积极治疗已被放弃，所有治疗措施仅以减轻被保险人痛苦</w:t>
      </w:r>
      <w:r>
        <w:rPr>
          <w:spacing w:val="-4"/>
        </w:rPr>
        <w:t>为目的。</w:t>
      </w:r>
    </w:p>
    <w:p>
      <w:pPr>
        <w:pStyle w:val="BodyText"/>
        <w:spacing w:before="2"/>
        <w:rPr>
          <w:sz w:val="12"/>
        </w:rPr>
      </w:pPr>
    </w:p>
    <w:p>
      <w:pPr>
        <w:pStyle w:val="ListParagraph"/>
        <w:numPr>
          <w:ilvl w:val="0"/>
          <w:numId w:val="20"/>
        </w:numPr>
        <w:tabs>
          <w:tab w:pos="609" w:val="left" w:leader="none"/>
        </w:tabs>
        <w:spacing w:line="256" w:lineRule="auto" w:before="72" w:after="0"/>
        <w:ind w:left="1922" w:right="214" w:hanging="1527"/>
        <w:jc w:val="both"/>
        <w:rPr>
          <w:rFonts w:ascii="黑体" w:eastAsia="黑体"/>
          <w:sz w:val="24"/>
        </w:rPr>
      </w:pPr>
      <w:r>
        <w:rPr>
          <w:b/>
          <w:spacing w:val="57"/>
          <w:sz w:val="21"/>
        </w:rPr>
        <w:t>意外伤害 </w:t>
      </w:r>
      <w:r>
        <w:rPr>
          <w:sz w:val="21"/>
        </w:rPr>
        <w:t>指因遭受意外事故并以此为直接且单独原因导致的身体伤害。意外事故指外来的、非</w:t>
      </w:r>
      <w:r>
        <w:rPr>
          <w:spacing w:val="-2"/>
          <w:sz w:val="21"/>
        </w:rPr>
        <w:t>本意的、突然的、剧烈的、非疾病的意外事件。</w:t>
      </w:r>
      <w:r>
        <w:rPr>
          <w:rFonts w:ascii="黑体" w:eastAsia="黑体"/>
          <w:spacing w:val="-2"/>
          <w:sz w:val="24"/>
        </w:rPr>
        <w:t>猝死不属于意外伤害。</w:t>
      </w:r>
    </w:p>
    <w:p>
      <w:pPr>
        <w:spacing w:line="292" w:lineRule="exact" w:before="0"/>
        <w:ind w:left="1922" w:right="0" w:firstLine="0"/>
        <w:jc w:val="left"/>
        <w:rPr>
          <w:rFonts w:ascii="黑体" w:eastAsia="黑体"/>
          <w:sz w:val="24"/>
        </w:rPr>
      </w:pPr>
      <w:r>
        <w:rPr>
          <w:rFonts w:ascii="黑体" w:eastAsia="黑体"/>
          <w:spacing w:val="-3"/>
          <w:sz w:val="24"/>
        </w:rPr>
        <w:t>猝死是指貌似健康的人因潜在疾病、机能障碍或其他原因在出现症状后 </w:t>
      </w:r>
      <w:r>
        <w:rPr>
          <w:rFonts w:ascii="黑体" w:eastAsia="黑体"/>
          <w:spacing w:val="-5"/>
          <w:sz w:val="24"/>
        </w:rPr>
        <w:t>24</w:t>
      </w:r>
    </w:p>
    <w:p>
      <w:pPr>
        <w:spacing w:before="4"/>
        <w:ind w:left="1922" w:right="0" w:firstLine="0"/>
        <w:jc w:val="left"/>
        <w:rPr>
          <w:rFonts w:ascii="黑体" w:eastAsia="黑体"/>
          <w:sz w:val="24"/>
        </w:rPr>
      </w:pPr>
      <w:r>
        <w:rPr>
          <w:rFonts w:ascii="黑体" w:eastAsia="黑体"/>
          <w:spacing w:val="-1"/>
          <w:sz w:val="24"/>
        </w:rPr>
        <w:t>小时内发生的非暴力性突然死亡，属于疾病身故。</w:t>
      </w:r>
    </w:p>
    <w:p>
      <w:pPr>
        <w:pStyle w:val="BodyText"/>
        <w:spacing w:before="9"/>
        <w:rPr>
          <w:rFonts w:ascii="黑体"/>
          <w:sz w:val="19"/>
        </w:rPr>
      </w:pPr>
    </w:p>
    <w:p>
      <w:pPr>
        <w:pStyle w:val="ListParagraph"/>
        <w:numPr>
          <w:ilvl w:val="0"/>
          <w:numId w:val="20"/>
        </w:numPr>
        <w:tabs>
          <w:tab w:pos="714" w:val="left" w:leader="none"/>
        </w:tabs>
        <w:spacing w:line="278" w:lineRule="auto" w:before="1" w:after="0"/>
        <w:ind w:left="1922" w:right="214" w:hanging="1527"/>
        <w:jc w:val="both"/>
        <w:rPr>
          <w:sz w:val="21"/>
        </w:rPr>
      </w:pPr>
      <w:r>
        <w:rPr>
          <w:b/>
          <w:spacing w:val="36"/>
          <w:sz w:val="21"/>
        </w:rPr>
        <w:t>首次患有 </w:t>
      </w:r>
      <w:r>
        <w:rPr>
          <w:sz w:val="21"/>
        </w:rPr>
        <w:t>指被保险人自出生后第一次患有本合同所定义的轻症疾病、中症疾病、重大疾病或特</w:t>
      </w:r>
      <w:r>
        <w:rPr>
          <w:spacing w:val="-4"/>
          <w:sz w:val="21"/>
        </w:rPr>
        <w:t>定疾病。</w:t>
      </w:r>
    </w:p>
    <w:p>
      <w:pPr>
        <w:pStyle w:val="BodyText"/>
        <w:spacing w:before="9"/>
        <w:rPr>
          <w:sz w:val="17"/>
        </w:rPr>
      </w:pPr>
    </w:p>
    <w:p>
      <w:pPr>
        <w:pStyle w:val="ListParagraph"/>
        <w:numPr>
          <w:ilvl w:val="0"/>
          <w:numId w:val="20"/>
        </w:numPr>
        <w:tabs>
          <w:tab w:pos="714" w:val="left" w:leader="none"/>
        </w:tabs>
        <w:spacing w:line="278" w:lineRule="auto" w:before="1" w:after="0"/>
        <w:ind w:left="1922" w:right="213" w:hanging="1527"/>
        <w:jc w:val="both"/>
        <w:rPr>
          <w:sz w:val="21"/>
        </w:rPr>
      </w:pPr>
      <w:r>
        <w:rPr>
          <w:b/>
          <w:spacing w:val="43"/>
          <w:sz w:val="21"/>
        </w:rPr>
        <w:t>重大疾病 </w:t>
      </w:r>
      <w:r>
        <w:rPr>
          <w:sz w:val="21"/>
        </w:rPr>
        <w:t>指被保险人发生符合以下疾病定义所述条件的疾病（</w:t>
      </w:r>
      <w:r>
        <w:rPr>
          <w:spacing w:val="-14"/>
          <w:sz w:val="21"/>
        </w:rPr>
        <w:t>共 </w:t>
      </w:r>
      <w:r>
        <w:rPr>
          <w:rFonts w:ascii="Arial" w:eastAsia="Arial"/>
          <w:sz w:val="21"/>
        </w:rPr>
        <w:t>110 </w:t>
      </w:r>
      <w:r>
        <w:rPr>
          <w:sz w:val="21"/>
        </w:rPr>
        <w:t>种</w:t>
      </w:r>
      <w:r>
        <w:rPr>
          <w:spacing w:val="-106"/>
          <w:sz w:val="21"/>
        </w:rPr>
        <w:t>）</w:t>
      </w:r>
      <w:r>
        <w:rPr>
          <w:spacing w:val="-2"/>
          <w:sz w:val="21"/>
        </w:rPr>
        <w:t>，应当由专科医生明</w:t>
      </w:r>
      <w:r>
        <w:rPr>
          <w:spacing w:val="-6"/>
          <w:sz w:val="21"/>
        </w:rPr>
        <w:t>确诊断。第 </w:t>
      </w:r>
      <w:r>
        <w:rPr>
          <w:rFonts w:ascii="Arial" w:eastAsia="Arial"/>
          <w:spacing w:val="-2"/>
          <w:sz w:val="21"/>
        </w:rPr>
        <w:t>1</w:t>
      </w:r>
      <w:r>
        <w:rPr>
          <w:rFonts w:ascii="Arial" w:eastAsia="Arial"/>
          <w:spacing w:val="-12"/>
          <w:sz w:val="21"/>
        </w:rPr>
        <w:t> </w:t>
      </w:r>
      <w:r>
        <w:rPr>
          <w:spacing w:val="-10"/>
          <w:sz w:val="21"/>
        </w:rPr>
        <w:t>至第 </w:t>
      </w:r>
      <w:r>
        <w:rPr>
          <w:rFonts w:ascii="Arial" w:eastAsia="Arial"/>
          <w:spacing w:val="-2"/>
          <w:sz w:val="21"/>
        </w:rPr>
        <w:t>28</w:t>
      </w:r>
      <w:r>
        <w:rPr>
          <w:rFonts w:ascii="Arial" w:eastAsia="Arial"/>
          <w:spacing w:val="12"/>
          <w:sz w:val="21"/>
        </w:rPr>
        <w:t> </w:t>
      </w:r>
      <w:r>
        <w:rPr>
          <w:spacing w:val="-2"/>
          <w:sz w:val="21"/>
        </w:rPr>
        <w:t>项为中国保险行业协会与中国医师协会共同制定的《重大疾病</w:t>
      </w:r>
      <w:r>
        <w:rPr>
          <w:spacing w:val="-3"/>
          <w:sz w:val="21"/>
        </w:rPr>
        <w:t>保险的疾病定义使用规范 </w:t>
      </w:r>
      <w:r>
        <w:rPr>
          <w:sz w:val="21"/>
        </w:rPr>
        <w:t>（</w:t>
      </w:r>
      <w:r>
        <w:rPr>
          <w:rFonts w:ascii="Times New Roman" w:eastAsia="Times New Roman"/>
          <w:sz w:val="21"/>
        </w:rPr>
        <w:t>2020</w:t>
      </w:r>
      <w:r>
        <w:rPr>
          <w:rFonts w:ascii="Times New Roman" w:eastAsia="Times New Roman"/>
          <w:spacing w:val="7"/>
          <w:sz w:val="21"/>
        </w:rPr>
        <w:t> </w:t>
      </w:r>
      <w:r>
        <w:rPr>
          <w:sz w:val="21"/>
        </w:rPr>
        <w:t>年修订版</w:t>
      </w:r>
      <w:r>
        <w:rPr>
          <w:spacing w:val="-106"/>
          <w:sz w:val="21"/>
        </w:rPr>
        <w:t>）</w:t>
      </w:r>
      <w:r>
        <w:rPr>
          <w:spacing w:val="-2"/>
          <w:sz w:val="21"/>
        </w:rPr>
        <w:t>》中的重度疾病名称及疾病定义，第 </w:t>
      </w:r>
      <w:r>
        <w:rPr>
          <w:rFonts w:ascii="Arial" w:eastAsia="Arial"/>
          <w:sz w:val="21"/>
        </w:rPr>
        <w:t>29</w:t>
      </w:r>
      <w:r>
        <w:rPr>
          <w:spacing w:val="-9"/>
          <w:sz w:val="21"/>
        </w:rPr>
        <w:t>至第 </w:t>
      </w:r>
      <w:r>
        <w:rPr>
          <w:rFonts w:ascii="Arial" w:eastAsia="Arial"/>
          <w:sz w:val="21"/>
        </w:rPr>
        <w:t>110 </w:t>
      </w:r>
      <w:r>
        <w:rPr>
          <w:sz w:val="21"/>
        </w:rPr>
        <w:t>项为我们增加的疾病种类并自行制定的疾病定义。</w:t>
      </w:r>
    </w:p>
    <w:p>
      <w:pPr>
        <w:pStyle w:val="BodyText"/>
        <w:spacing w:before="2"/>
        <w:rPr>
          <w:sz w:val="12"/>
        </w:rPr>
      </w:pPr>
    </w:p>
    <w:p>
      <w:pPr>
        <w:spacing w:after="0"/>
        <w:rPr>
          <w:sz w:val="12"/>
        </w:rPr>
        <w:sectPr>
          <w:pgSz w:w="11910" w:h="16840"/>
          <w:pgMar w:header="0" w:footer="1120" w:top="138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hAnsi="楷体" w:eastAsia="楷体" w:hint="eastAsia"/>
          <w:b/>
          <w:sz w:val="21"/>
        </w:rPr>
      </w:pPr>
      <w:r>
        <w:rPr>
          <w:rFonts w:ascii="楷体" w:hAnsi="楷体" w:eastAsia="楷体" w:hint="eastAsia"/>
          <w:b/>
          <w:spacing w:val="-4"/>
          <w:sz w:val="21"/>
        </w:rPr>
        <w:t>恶性肿</w:t>
      </w:r>
      <w:r>
        <w:rPr>
          <w:rFonts w:ascii="楷体" w:hAnsi="楷体" w:eastAsia="楷体" w:hint="eastAsia"/>
          <w:b/>
          <w:spacing w:val="-2"/>
          <w:sz w:val="21"/>
        </w:rPr>
        <w:t>瘤——重度</w:t>
      </w:r>
    </w:p>
    <w:p>
      <w:pPr>
        <w:pStyle w:val="BodyText"/>
        <w:spacing w:line="278" w:lineRule="auto" w:before="71"/>
        <w:ind w:left="178" w:right="167"/>
        <w:jc w:val="both"/>
      </w:pPr>
      <w:r>
        <w:rPr/>
        <w:br w:type="column"/>
      </w:r>
      <w:r>
        <w:rPr>
          <w:spacing w:val="-2"/>
        </w:rPr>
        <w:t>指恶性细胞不受控制的进行性增长和扩散，浸润和破坏周围正常组织，可以经血管、</w:t>
      </w:r>
      <w:r>
        <w:rPr>
          <w:spacing w:val="-4"/>
        </w:rPr>
        <w:t>淋巴管和体腔扩散转移到身体其它部位，病灶经</w:t>
      </w:r>
      <w:r>
        <w:rPr>
          <w:b/>
          <w:spacing w:val="-4"/>
        </w:rPr>
        <w:t>组织病理学检查</w:t>
      </w:r>
      <w:r>
        <w:rPr>
          <w:spacing w:val="-4"/>
        </w:rPr>
        <w:t>（见释义 </w:t>
      </w:r>
      <w:r>
        <w:rPr>
          <w:spacing w:val="21"/>
        </w:rPr>
        <w:t>30</w:t>
      </w:r>
      <w:r>
        <w:rPr>
          <w:spacing w:val="-82"/>
        </w:rPr>
        <w:t>）</w:t>
      </w:r>
      <w:r>
        <w:rPr>
          <w:spacing w:val="24"/>
        </w:rPr>
        <w:t>（</w:t>
      </w:r>
      <w:r>
        <w:rPr>
          <w:spacing w:val="-4"/>
        </w:rPr>
        <w:t>涵盖</w:t>
      </w:r>
      <w:r>
        <w:rPr/>
        <w:t>骨髓病理学检查）结果明确诊断，临床诊断属于世界卫生组织（WHO</w:t>
      </w:r>
      <w:r>
        <w:rPr>
          <w:spacing w:val="-2"/>
        </w:rPr>
        <w:t>， </w:t>
      </w:r>
      <w:r>
        <w:rPr/>
        <w:t>World</w:t>
      </w:r>
      <w:r>
        <w:rPr>
          <w:spacing w:val="-27"/>
        </w:rPr>
        <w:t> </w:t>
      </w:r>
      <w:r>
        <w:rPr/>
        <w:t>Health </w:t>
      </w:r>
      <w:r>
        <w:rPr>
          <w:spacing w:val="3"/>
        </w:rPr>
        <w:t>Organ</w:t>
      </w:r>
      <w:r>
        <w:rPr/>
        <w:t>i</w:t>
      </w:r>
      <w:r>
        <w:rPr>
          <w:spacing w:val="3"/>
        </w:rPr>
        <w:t>zat</w:t>
      </w:r>
      <w:r>
        <w:rPr/>
        <w:t>i</w:t>
      </w:r>
      <w:r>
        <w:rPr>
          <w:spacing w:val="3"/>
        </w:rPr>
        <w:t>on</w:t>
      </w:r>
      <w:r>
        <w:rPr>
          <w:spacing w:val="-117"/>
        </w:rPr>
        <w:t>）</w:t>
      </w:r>
      <w:r>
        <w:rPr>
          <w:spacing w:val="-6"/>
        </w:rPr>
        <w:t>《疾病和有关健康问题的国际统计分类》第十次修订版（</w:t>
      </w:r>
      <w:r>
        <w:rPr>
          <w:b/>
          <w:spacing w:val="-6"/>
        </w:rPr>
        <w:t>ICD-</w:t>
      </w:r>
      <w:r>
        <w:rPr>
          <w:b/>
          <w:spacing w:val="24"/>
          <w:w w:val="99"/>
        </w:rPr>
        <w:t>1</w:t>
      </w:r>
      <w:r>
        <w:rPr>
          <w:b/>
          <w:spacing w:val="26"/>
          <w:w w:val="99"/>
        </w:rPr>
        <w:t>0</w:t>
      </w:r>
      <w:r>
        <w:rPr>
          <w:spacing w:val="-96"/>
        </w:rPr>
        <w:t>）</w:t>
      </w:r>
      <w:r>
        <w:rPr>
          <w:spacing w:val="21"/>
        </w:rPr>
        <w:t>（</w:t>
      </w:r>
      <w:r>
        <w:rPr>
          <w:spacing w:val="-6"/>
        </w:rPr>
        <w:t>见</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line="278" w:lineRule="auto" w:before="60"/>
        <w:ind w:left="1922" w:right="216" w:hanging="1"/>
      </w:pPr>
      <w:r>
        <w:rPr>
          <w:spacing w:val="-18"/>
        </w:rPr>
        <w:t>释义 </w:t>
      </w:r>
      <w:r>
        <w:rPr>
          <w:spacing w:val="-6"/>
        </w:rPr>
        <w:t>31）的恶性肿瘤类别及《国际疾病分类肿瘤学专辑》第三版（</w:t>
      </w:r>
      <w:r>
        <w:rPr>
          <w:b/>
          <w:spacing w:val="-6"/>
        </w:rPr>
        <w:t>ICD-O-</w:t>
      </w:r>
      <w:r>
        <w:rPr>
          <w:b/>
          <w:spacing w:val="37"/>
          <w:w w:val="99"/>
        </w:rPr>
        <w:t>3</w:t>
      </w:r>
      <w:r>
        <w:rPr>
          <w:spacing w:val="-93"/>
        </w:rPr>
        <w:t>）</w:t>
      </w:r>
      <w:r>
        <w:rPr>
          <w:spacing w:val="37"/>
        </w:rPr>
        <w:t>（</w:t>
      </w:r>
      <w:r>
        <w:rPr>
          <w:spacing w:val="-6"/>
        </w:rPr>
        <w:t>见释义 </w:t>
      </w:r>
      <w:r>
        <w:rPr/>
        <w:t>31）</w:t>
      </w:r>
      <w:r>
        <w:rPr>
          <w:spacing w:val="-4"/>
        </w:rPr>
        <w:t>的肿瘤形态学编码属于 </w:t>
      </w:r>
      <w:r>
        <w:rPr/>
        <w:t>3、6、9（恶性肿瘤）范畴的疾病。</w:t>
      </w:r>
    </w:p>
    <w:p>
      <w:pPr>
        <w:spacing w:line="284" w:lineRule="exact" w:before="0"/>
        <w:ind w:left="1922" w:right="0" w:firstLine="0"/>
        <w:jc w:val="left"/>
        <w:rPr>
          <w:rFonts w:ascii="黑体" w:hAnsi="黑体" w:eastAsia="黑体"/>
          <w:sz w:val="24"/>
        </w:rPr>
      </w:pPr>
      <w:r>
        <w:rPr>
          <w:rFonts w:ascii="黑体" w:hAnsi="黑体" w:eastAsia="黑体"/>
          <w:spacing w:val="-9"/>
          <w:sz w:val="24"/>
        </w:rPr>
        <w:t>下列疾病不属于“恶性肿瘤——重度”，不在保障范围内：</w:t>
      </w:r>
    </w:p>
    <w:p>
      <w:pPr>
        <w:pStyle w:val="ListParagraph"/>
        <w:numPr>
          <w:ilvl w:val="2"/>
          <w:numId w:val="20"/>
        </w:numPr>
        <w:tabs>
          <w:tab w:pos="2524" w:val="left" w:leader="none"/>
        </w:tabs>
        <w:spacing w:line="242" w:lineRule="auto" w:before="5" w:after="0"/>
        <w:ind w:left="1922" w:right="142" w:firstLine="0"/>
        <w:jc w:val="left"/>
        <w:rPr>
          <w:rFonts w:ascii="黑体" w:eastAsia="黑体"/>
          <w:sz w:val="22"/>
        </w:rPr>
      </w:pPr>
      <w:r>
        <w:rPr>
          <w:rFonts w:ascii="黑体" w:eastAsia="黑体"/>
          <w:spacing w:val="-2"/>
          <w:sz w:val="24"/>
        </w:rPr>
        <w:t>ICD-O-3</w:t>
      </w:r>
      <w:r>
        <w:rPr>
          <w:rFonts w:ascii="黑体" w:eastAsia="黑体"/>
          <w:spacing w:val="-13"/>
          <w:sz w:val="24"/>
        </w:rPr>
        <w:t> 肿瘤形态学编码属于 </w:t>
      </w:r>
      <w:r>
        <w:rPr>
          <w:rFonts w:ascii="黑体" w:eastAsia="黑体"/>
          <w:spacing w:val="-2"/>
          <w:sz w:val="24"/>
        </w:rPr>
        <w:t>0（良性肿瘤</w:t>
      </w:r>
      <w:r>
        <w:rPr>
          <w:rFonts w:ascii="黑体" w:eastAsia="黑体"/>
          <w:spacing w:val="-120"/>
          <w:sz w:val="24"/>
        </w:rPr>
        <w:t>）</w:t>
      </w:r>
      <w:r>
        <w:rPr>
          <w:rFonts w:ascii="黑体" w:eastAsia="黑体"/>
          <w:spacing w:val="-2"/>
          <w:sz w:val="24"/>
        </w:rPr>
        <w:t>、1（动态未定性肿瘤</w:t>
      </w:r>
      <w:r>
        <w:rPr>
          <w:rFonts w:ascii="黑体" w:eastAsia="黑体"/>
          <w:spacing w:val="-120"/>
          <w:sz w:val="24"/>
        </w:rPr>
        <w:t>）</w:t>
      </w:r>
      <w:r>
        <w:rPr>
          <w:rFonts w:ascii="黑体" w:eastAsia="黑体"/>
          <w:spacing w:val="-2"/>
          <w:sz w:val="24"/>
        </w:rPr>
        <w:t>、</w:t>
      </w:r>
      <w:r>
        <w:rPr>
          <w:rFonts w:ascii="黑体" w:eastAsia="黑体"/>
          <w:spacing w:val="-2"/>
          <w:sz w:val="24"/>
        </w:rPr>
        <w:t> 2（原位癌和非侵袭性癌）范畴的疾病，如：</w:t>
      </w:r>
    </w:p>
    <w:p>
      <w:pPr>
        <w:pStyle w:val="ListParagraph"/>
        <w:numPr>
          <w:ilvl w:val="0"/>
          <w:numId w:val="21"/>
        </w:numPr>
        <w:tabs>
          <w:tab w:pos="2164" w:val="left" w:leader="none"/>
        </w:tabs>
        <w:spacing w:line="242" w:lineRule="auto" w:before="2" w:after="0"/>
        <w:ind w:left="1922" w:right="98" w:firstLine="0"/>
        <w:jc w:val="left"/>
        <w:rPr>
          <w:rFonts w:ascii="黑体" w:eastAsia="黑体"/>
          <w:sz w:val="24"/>
        </w:rPr>
      </w:pPr>
      <w:r>
        <w:rPr>
          <w:rFonts w:ascii="黑体" w:eastAsia="黑体"/>
          <w:spacing w:val="-4"/>
          <w:sz w:val="24"/>
        </w:rPr>
        <w:t>原位癌，癌前病变，非浸润性癌，非侵袭性癌，肿瘤细胞未侵犯基底层，</w:t>
      </w:r>
      <w:r>
        <w:rPr>
          <w:rFonts w:ascii="黑体" w:eastAsia="黑体"/>
          <w:spacing w:val="-2"/>
          <w:sz w:val="24"/>
        </w:rPr>
        <w:t>上皮内瘤变，细胞不典型性增生等；</w:t>
      </w:r>
    </w:p>
    <w:p>
      <w:pPr>
        <w:pStyle w:val="ListParagraph"/>
        <w:numPr>
          <w:ilvl w:val="0"/>
          <w:numId w:val="21"/>
        </w:numPr>
        <w:tabs>
          <w:tab w:pos="2164" w:val="left" w:leader="none"/>
        </w:tabs>
        <w:spacing w:line="240" w:lineRule="auto" w:before="3" w:after="0"/>
        <w:ind w:left="2163" w:right="0" w:hanging="242"/>
        <w:jc w:val="left"/>
        <w:rPr>
          <w:rFonts w:ascii="黑体" w:eastAsia="黑体"/>
          <w:sz w:val="24"/>
        </w:rPr>
      </w:pPr>
      <w:r>
        <w:rPr>
          <w:rFonts w:ascii="黑体" w:eastAsia="黑体"/>
          <w:spacing w:val="-5"/>
          <w:sz w:val="24"/>
        </w:rPr>
        <w:t>交界性肿瘤，交界恶性肿瘤，肿瘤低度恶性潜能，潜在低度恶性肿瘤等；</w:t>
      </w:r>
    </w:p>
    <w:p>
      <w:pPr>
        <w:pStyle w:val="ListParagraph"/>
        <w:numPr>
          <w:ilvl w:val="2"/>
          <w:numId w:val="20"/>
        </w:numPr>
        <w:tabs>
          <w:tab w:pos="2524" w:val="left" w:leader="none"/>
        </w:tabs>
        <w:spacing w:line="240" w:lineRule="auto" w:before="5" w:after="0"/>
        <w:ind w:left="2523" w:right="0" w:hanging="602"/>
        <w:jc w:val="left"/>
        <w:rPr>
          <w:rFonts w:ascii="黑体" w:hAnsi="黑体" w:eastAsia="黑体"/>
          <w:sz w:val="22"/>
        </w:rPr>
      </w:pPr>
      <w:r>
        <w:rPr>
          <w:rFonts w:ascii="黑体" w:hAnsi="黑体" w:eastAsia="黑体" w:hint="eastAsia"/>
          <w:b/>
          <w:w w:val="95"/>
          <w:sz w:val="24"/>
        </w:rPr>
        <w:t>TNM</w:t>
      </w:r>
      <w:r>
        <w:rPr>
          <w:rFonts w:ascii="黑体" w:hAnsi="黑体" w:eastAsia="黑体" w:hint="eastAsia"/>
          <w:b/>
          <w:spacing w:val="42"/>
          <w:sz w:val="24"/>
        </w:rPr>
        <w:t> </w:t>
      </w:r>
      <w:r>
        <w:rPr>
          <w:rFonts w:ascii="黑体" w:hAnsi="黑体" w:eastAsia="黑体" w:hint="eastAsia"/>
          <w:b/>
          <w:w w:val="95"/>
          <w:sz w:val="24"/>
        </w:rPr>
        <w:t>分期</w:t>
      </w:r>
      <w:r>
        <w:rPr>
          <w:w w:val="95"/>
          <w:sz w:val="21"/>
        </w:rPr>
        <w:t>（见释义</w:t>
      </w:r>
      <w:r>
        <w:rPr>
          <w:spacing w:val="27"/>
          <w:sz w:val="21"/>
        </w:rPr>
        <w:t> </w:t>
      </w:r>
      <w:r>
        <w:rPr>
          <w:w w:val="95"/>
          <w:sz w:val="21"/>
        </w:rPr>
        <w:t>32）</w:t>
      </w:r>
      <w:r>
        <w:rPr>
          <w:rFonts w:ascii="黑体" w:hAnsi="黑体" w:eastAsia="黑体"/>
          <w:w w:val="95"/>
          <w:sz w:val="24"/>
        </w:rPr>
        <w:t>为</w:t>
      </w:r>
      <w:r>
        <w:rPr>
          <w:rFonts w:ascii="黑体" w:hAnsi="黑体" w:eastAsia="黑体" w:hint="eastAsia"/>
          <w:b/>
          <w:w w:val="95"/>
          <w:sz w:val="24"/>
        </w:rPr>
        <w:t>Ⅰ期或</w:t>
      </w:r>
      <w:r>
        <w:rPr>
          <w:rFonts w:ascii="黑体" w:hAnsi="黑体" w:eastAsia="黑体" w:hint="eastAsia"/>
          <w:b/>
          <w:w w:val="95"/>
          <w:sz w:val="24"/>
        </w:rPr>
        <w:t>更</w:t>
      </w:r>
      <w:r>
        <w:rPr>
          <w:rFonts w:ascii="黑体" w:hAnsi="黑体" w:eastAsia="黑体" w:hint="eastAsia"/>
          <w:b/>
          <w:w w:val="95"/>
          <w:sz w:val="24"/>
        </w:rPr>
        <w:t>轻</w:t>
      </w:r>
      <w:r>
        <w:rPr>
          <w:rFonts w:ascii="黑体" w:hAnsi="黑体" w:eastAsia="黑体" w:hint="eastAsia"/>
          <w:b/>
          <w:w w:val="95"/>
          <w:sz w:val="24"/>
        </w:rPr>
        <w:t>分期的甲状</w:t>
      </w:r>
      <w:r>
        <w:rPr>
          <w:rFonts w:ascii="黑体" w:hAnsi="黑体" w:eastAsia="黑体" w:hint="eastAsia"/>
          <w:b/>
          <w:w w:val="95"/>
          <w:sz w:val="24"/>
        </w:rPr>
        <w:t>腺</w:t>
      </w:r>
      <w:r>
        <w:rPr>
          <w:rFonts w:ascii="黑体" w:hAnsi="黑体" w:eastAsia="黑体" w:hint="eastAsia"/>
          <w:b/>
          <w:w w:val="95"/>
          <w:sz w:val="24"/>
        </w:rPr>
        <w:t>癌</w:t>
      </w:r>
      <w:r>
        <w:rPr>
          <w:w w:val="95"/>
          <w:sz w:val="21"/>
        </w:rPr>
        <w:t>（</w:t>
      </w:r>
      <w:r>
        <w:rPr>
          <w:w w:val="95"/>
          <w:sz w:val="21"/>
        </w:rPr>
        <w:t>见</w:t>
      </w:r>
      <w:r>
        <w:rPr>
          <w:w w:val="95"/>
          <w:sz w:val="21"/>
        </w:rPr>
        <w:t>释义</w:t>
      </w:r>
      <w:r>
        <w:rPr>
          <w:spacing w:val="32"/>
          <w:sz w:val="21"/>
        </w:rPr>
        <w:t> </w:t>
      </w:r>
      <w:r>
        <w:rPr>
          <w:spacing w:val="21"/>
          <w:w w:val="95"/>
          <w:sz w:val="21"/>
        </w:rPr>
        <w:t>3</w:t>
      </w:r>
      <w:r>
        <w:rPr>
          <w:spacing w:val="24"/>
          <w:w w:val="95"/>
          <w:sz w:val="21"/>
        </w:rPr>
        <w:t>3</w:t>
      </w:r>
      <w:r>
        <w:rPr>
          <w:spacing w:val="-85"/>
          <w:w w:val="95"/>
          <w:sz w:val="21"/>
        </w:rPr>
        <w:t>）</w:t>
      </w:r>
      <w:r>
        <w:rPr>
          <w:rFonts w:ascii="黑体" w:hAnsi="黑体" w:eastAsia="黑体"/>
          <w:spacing w:val="24"/>
          <w:w w:val="95"/>
          <w:sz w:val="24"/>
        </w:rPr>
        <w:t>；</w:t>
      </w:r>
    </w:p>
    <w:p>
      <w:pPr>
        <w:pStyle w:val="ListParagraph"/>
        <w:numPr>
          <w:ilvl w:val="2"/>
          <w:numId w:val="20"/>
        </w:numPr>
        <w:tabs>
          <w:tab w:pos="2524" w:val="left" w:leader="none"/>
        </w:tabs>
        <w:spacing w:line="240" w:lineRule="auto" w:before="4" w:after="0"/>
        <w:ind w:left="2523" w:right="0" w:hanging="602"/>
        <w:jc w:val="left"/>
        <w:rPr>
          <w:rFonts w:ascii="黑体" w:eastAsia="黑体"/>
          <w:sz w:val="22"/>
        </w:rPr>
      </w:pPr>
      <w:r>
        <w:rPr>
          <w:rFonts w:ascii="黑体" w:eastAsia="黑体"/>
          <w:position w:val="2"/>
          <w:sz w:val="24"/>
        </w:rPr>
        <w:t>TNM</w:t>
      </w:r>
      <w:r>
        <w:rPr>
          <w:rFonts w:ascii="黑体" w:eastAsia="黑体"/>
          <w:spacing w:val="-24"/>
          <w:position w:val="2"/>
          <w:sz w:val="24"/>
        </w:rPr>
        <w:t> 分期为 </w:t>
      </w:r>
      <w:r>
        <w:rPr>
          <w:rFonts w:ascii="黑体" w:eastAsia="黑体"/>
          <w:position w:val="2"/>
          <w:sz w:val="24"/>
        </w:rPr>
        <w:t>T</w:t>
      </w:r>
      <w:r>
        <w:rPr>
          <w:rFonts w:ascii="黑体" w:eastAsia="黑体"/>
          <w:sz w:val="12"/>
        </w:rPr>
        <w:t>1</w:t>
      </w:r>
      <w:r>
        <w:rPr>
          <w:rFonts w:ascii="黑体" w:eastAsia="黑体"/>
          <w:position w:val="2"/>
          <w:sz w:val="24"/>
        </w:rPr>
        <w:t>N</w:t>
      </w:r>
      <w:r>
        <w:rPr>
          <w:rFonts w:ascii="黑体" w:eastAsia="黑体"/>
          <w:sz w:val="12"/>
        </w:rPr>
        <w:t>0</w:t>
      </w:r>
      <w:r>
        <w:rPr>
          <w:rFonts w:ascii="黑体" w:eastAsia="黑体"/>
          <w:position w:val="2"/>
          <w:sz w:val="24"/>
        </w:rPr>
        <w:t>M</w:t>
      </w:r>
      <w:r>
        <w:rPr>
          <w:rFonts w:ascii="黑体" w:eastAsia="黑体"/>
          <w:sz w:val="12"/>
        </w:rPr>
        <w:t>0</w:t>
      </w:r>
      <w:r>
        <w:rPr>
          <w:rFonts w:ascii="黑体" w:eastAsia="黑体"/>
          <w:spacing w:val="-29"/>
          <w:sz w:val="12"/>
        </w:rPr>
        <w:t> </w:t>
      </w:r>
      <w:r>
        <w:rPr>
          <w:rFonts w:ascii="黑体" w:eastAsia="黑体"/>
          <w:spacing w:val="-1"/>
          <w:position w:val="2"/>
          <w:sz w:val="24"/>
        </w:rPr>
        <w:t>期或更轻分期的前列腺癌；</w:t>
      </w:r>
    </w:p>
    <w:p>
      <w:pPr>
        <w:pStyle w:val="ListParagraph"/>
        <w:numPr>
          <w:ilvl w:val="2"/>
          <w:numId w:val="20"/>
        </w:numPr>
        <w:tabs>
          <w:tab w:pos="2524" w:val="left" w:leader="none"/>
        </w:tabs>
        <w:spacing w:line="240" w:lineRule="auto" w:before="5" w:after="0"/>
        <w:ind w:left="2523" w:right="0" w:hanging="602"/>
        <w:jc w:val="left"/>
        <w:rPr>
          <w:rFonts w:ascii="黑体" w:eastAsia="黑体"/>
          <w:sz w:val="22"/>
        </w:rPr>
      </w:pPr>
      <w:r>
        <w:rPr>
          <w:rFonts w:ascii="黑体" w:eastAsia="黑体"/>
          <w:spacing w:val="-1"/>
          <w:sz w:val="24"/>
        </w:rPr>
        <w:t>黑色素瘤以外的未发生淋巴结和远处转移的皮肤恶性肿瘤；</w:t>
      </w:r>
    </w:p>
    <w:p>
      <w:pPr>
        <w:pStyle w:val="ListParagraph"/>
        <w:numPr>
          <w:ilvl w:val="2"/>
          <w:numId w:val="20"/>
        </w:numPr>
        <w:tabs>
          <w:tab w:pos="2524" w:val="left" w:leader="none"/>
        </w:tabs>
        <w:spacing w:line="240" w:lineRule="auto" w:before="4" w:after="0"/>
        <w:ind w:left="2523" w:right="0" w:hanging="602"/>
        <w:jc w:val="left"/>
        <w:rPr>
          <w:rFonts w:ascii="黑体" w:eastAsia="黑体"/>
          <w:sz w:val="22"/>
        </w:rPr>
      </w:pPr>
      <w:r>
        <w:rPr>
          <w:rFonts w:ascii="黑体" w:eastAsia="黑体"/>
          <w:spacing w:val="-15"/>
          <w:sz w:val="24"/>
        </w:rPr>
        <w:t>相当于 </w:t>
      </w:r>
      <w:r>
        <w:rPr>
          <w:rFonts w:ascii="黑体" w:eastAsia="黑体"/>
          <w:sz w:val="24"/>
        </w:rPr>
        <w:t>Binet</w:t>
      </w:r>
      <w:r>
        <w:rPr>
          <w:rFonts w:ascii="黑体" w:eastAsia="黑体"/>
          <w:spacing w:val="-20"/>
          <w:sz w:val="24"/>
        </w:rPr>
        <w:t> 分期方案 </w:t>
      </w:r>
      <w:r>
        <w:rPr>
          <w:rFonts w:ascii="黑体" w:eastAsia="黑体"/>
          <w:sz w:val="24"/>
        </w:rPr>
        <w:t>A</w:t>
      </w:r>
      <w:r>
        <w:rPr>
          <w:rFonts w:ascii="黑体" w:eastAsia="黑体"/>
          <w:spacing w:val="-9"/>
          <w:sz w:val="24"/>
        </w:rPr>
        <w:t> 期程度的慢性淋巴细胞白血病；</w:t>
      </w:r>
    </w:p>
    <w:p>
      <w:pPr>
        <w:pStyle w:val="ListParagraph"/>
        <w:numPr>
          <w:ilvl w:val="2"/>
          <w:numId w:val="20"/>
        </w:numPr>
        <w:tabs>
          <w:tab w:pos="2524" w:val="left" w:leader="none"/>
        </w:tabs>
        <w:spacing w:line="240" w:lineRule="auto" w:before="5" w:after="0"/>
        <w:ind w:left="2523" w:right="0" w:hanging="602"/>
        <w:jc w:val="left"/>
        <w:rPr>
          <w:rFonts w:ascii="黑体" w:hAnsi="黑体" w:eastAsia="黑体"/>
          <w:sz w:val="22"/>
        </w:rPr>
      </w:pPr>
      <w:r>
        <w:rPr>
          <w:rFonts w:ascii="黑体" w:hAnsi="黑体" w:eastAsia="黑体"/>
          <w:spacing w:val="-15"/>
          <w:sz w:val="24"/>
        </w:rPr>
        <w:t>相当于 </w:t>
      </w:r>
      <w:r>
        <w:rPr>
          <w:rFonts w:ascii="黑体" w:hAnsi="黑体" w:eastAsia="黑体"/>
          <w:sz w:val="24"/>
        </w:rPr>
        <w:t>Ann Arbor</w:t>
      </w:r>
      <w:r>
        <w:rPr>
          <w:rFonts w:ascii="黑体" w:hAnsi="黑体" w:eastAsia="黑体"/>
          <w:spacing w:val="-9"/>
          <w:sz w:val="24"/>
        </w:rPr>
        <w:t> 分期方案Ⅰ期程度的何杰金氏病；</w:t>
      </w:r>
    </w:p>
    <w:p>
      <w:pPr>
        <w:pStyle w:val="ListParagraph"/>
        <w:numPr>
          <w:ilvl w:val="2"/>
          <w:numId w:val="20"/>
        </w:numPr>
        <w:tabs>
          <w:tab w:pos="2643" w:val="left" w:leader="none"/>
        </w:tabs>
        <w:spacing w:line="242" w:lineRule="auto" w:before="4" w:after="0"/>
        <w:ind w:left="1922" w:right="218" w:firstLine="0"/>
        <w:jc w:val="left"/>
        <w:rPr>
          <w:rFonts w:ascii="黑体" w:hAnsi="黑体" w:eastAsia="黑体"/>
          <w:sz w:val="24"/>
        </w:rPr>
      </w:pPr>
      <w:r>
        <w:rPr>
          <w:rFonts w:ascii="黑体" w:hAnsi="黑体" w:eastAsia="黑体"/>
          <w:spacing w:val="-3"/>
          <w:sz w:val="24"/>
        </w:rPr>
        <w:t>未发生淋巴结和远处转移且 </w:t>
      </w:r>
      <w:r>
        <w:rPr>
          <w:rFonts w:ascii="黑体" w:hAnsi="黑体" w:eastAsia="黑体"/>
          <w:sz w:val="24"/>
        </w:rPr>
        <w:t>WHO</w:t>
      </w:r>
      <w:r>
        <w:rPr>
          <w:rFonts w:ascii="黑体" w:hAnsi="黑体" w:eastAsia="黑体"/>
          <w:spacing w:val="-12"/>
          <w:sz w:val="24"/>
        </w:rPr>
        <w:t> 分级为 </w:t>
      </w:r>
      <w:r>
        <w:rPr>
          <w:rFonts w:ascii="黑体" w:hAnsi="黑体" w:eastAsia="黑体"/>
          <w:sz w:val="24"/>
        </w:rPr>
        <w:t>G1</w:t>
      </w:r>
      <w:r>
        <w:rPr>
          <w:rFonts w:ascii="黑体" w:hAnsi="黑体" w:eastAsia="黑体"/>
          <w:spacing w:val="-10"/>
          <w:sz w:val="24"/>
        </w:rPr>
        <w:t> 级别</w:t>
      </w:r>
      <w:r>
        <w:rPr>
          <w:rFonts w:ascii="黑体" w:hAnsi="黑体" w:eastAsia="黑体"/>
          <w:sz w:val="24"/>
        </w:rPr>
        <w:t>（核分裂像</w:t>
      </w:r>
      <w:r>
        <w:rPr>
          <w:rFonts w:ascii="黑体" w:hAnsi="黑体" w:eastAsia="黑体"/>
          <w:sz w:val="24"/>
        </w:rPr>
        <w:t>&lt;10/50 HPF</w:t>
      </w:r>
      <w:r>
        <w:rPr>
          <w:rFonts w:ascii="黑体" w:hAnsi="黑体" w:eastAsia="黑体"/>
          <w:spacing w:val="-15"/>
          <w:sz w:val="24"/>
        </w:rPr>
        <w:t> 和 </w:t>
      </w:r>
      <w:r>
        <w:rPr>
          <w:rFonts w:ascii="黑体" w:hAnsi="黑体" w:eastAsia="黑体"/>
          <w:sz w:val="24"/>
        </w:rPr>
        <w:t>ki-67≤2%）或更轻分级的神经内分泌肿瘤。</w:t>
      </w:r>
    </w:p>
    <w:p>
      <w:pPr>
        <w:pStyle w:val="BodyText"/>
        <w:spacing w:before="3"/>
        <w:rPr>
          <w:rFonts w:ascii="黑体"/>
          <w:sz w:val="14"/>
        </w:rPr>
      </w:pPr>
    </w:p>
    <w:p>
      <w:pPr>
        <w:spacing w:after="0"/>
        <w:rPr>
          <w:rFonts w:ascii="黑体"/>
          <w:sz w:val="14"/>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较重急</w:t>
      </w:r>
      <w:r>
        <w:rPr>
          <w:rFonts w:ascii="楷体" w:eastAsia="楷体" w:hint="eastAsia"/>
          <w:b/>
          <w:spacing w:val="-2"/>
          <w:sz w:val="21"/>
        </w:rPr>
        <w:t>性心肌梗死</w:t>
      </w:r>
    </w:p>
    <w:p>
      <w:pPr>
        <w:pStyle w:val="BodyText"/>
        <w:spacing w:line="278" w:lineRule="auto" w:before="72"/>
        <w:ind w:left="178" w:right="110"/>
      </w:pPr>
      <w:r>
        <w:rPr/>
        <w:br w:type="column"/>
      </w:r>
      <w:r>
        <w:rPr>
          <w:spacing w:val="2"/>
          <w:w w:val="100"/>
        </w:rPr>
        <w:t>急性心肌梗死指由于冠状动脉闭塞或梗阻引起部分心肌严重的持久性缺血造成急性</w:t>
      </w:r>
      <w:r>
        <w:rPr>
          <w:spacing w:val="-11"/>
          <w:w w:val="100"/>
        </w:rPr>
        <w:t>心肌坏死。急性心肌梗死的诊断必须依据国际国内诊断标准，符合</w:t>
      </w:r>
      <w:r>
        <w:rPr>
          <w:w w:val="100"/>
        </w:rPr>
        <w:t>（1</w:t>
      </w:r>
      <w:r>
        <w:rPr>
          <w:spacing w:val="-41"/>
          <w:w w:val="100"/>
        </w:rPr>
        <w:t>）</w:t>
      </w:r>
      <w:r>
        <w:rPr>
          <w:spacing w:val="-3"/>
          <w:w w:val="100"/>
        </w:rPr>
        <w:t>检测到肌酸激</w:t>
      </w:r>
      <w:r>
        <w:rPr>
          <w:spacing w:val="-11"/>
          <w:w w:val="100"/>
        </w:rPr>
        <w:t>酶同工酶</w:t>
      </w:r>
      <w:r>
        <w:rPr>
          <w:w w:val="100"/>
        </w:rPr>
        <w:t>（</w:t>
      </w:r>
      <w:r>
        <w:rPr>
          <w:spacing w:val="-3"/>
          <w:w w:val="100"/>
        </w:rPr>
        <w:t>C</w:t>
      </w:r>
      <w:r>
        <w:rPr>
          <w:w w:val="100"/>
        </w:rPr>
        <w:t>K-M</w:t>
      </w:r>
      <w:r>
        <w:rPr>
          <w:spacing w:val="-3"/>
          <w:w w:val="100"/>
        </w:rPr>
        <w:t>B</w:t>
      </w:r>
      <w:r>
        <w:rPr>
          <w:spacing w:val="-32"/>
          <w:w w:val="100"/>
        </w:rPr>
        <w:t>）</w:t>
      </w:r>
      <w:r>
        <w:rPr>
          <w:spacing w:val="-9"/>
          <w:w w:val="100"/>
        </w:rPr>
        <w:t>或肌钙蛋白</w:t>
      </w:r>
      <w:r>
        <w:rPr>
          <w:w w:val="100"/>
        </w:rPr>
        <w:t>（</w:t>
      </w:r>
      <w:r>
        <w:rPr>
          <w:spacing w:val="-3"/>
          <w:w w:val="100"/>
        </w:rPr>
        <w:t>c</w:t>
      </w:r>
      <w:r>
        <w:rPr>
          <w:w w:val="100"/>
        </w:rPr>
        <w:t>Tn</w:t>
      </w:r>
      <w:r>
        <w:rPr>
          <w:spacing w:val="-34"/>
          <w:w w:val="100"/>
        </w:rPr>
        <w:t>）</w:t>
      </w:r>
      <w:r>
        <w:rPr>
          <w:spacing w:val="-6"/>
          <w:w w:val="100"/>
        </w:rPr>
        <w:t>升高和/或降低的动态变化，至少一次达到或超</w:t>
      </w:r>
      <w:r>
        <w:rPr>
          <w:spacing w:val="-4"/>
          <w:w w:val="100"/>
        </w:rPr>
        <w:t>过心肌梗死的临床诊断标准</w:t>
      </w:r>
      <w:r>
        <w:rPr>
          <w:spacing w:val="-144"/>
          <w:w w:val="100"/>
        </w:rPr>
        <w:t>；</w:t>
      </w:r>
      <w:r>
        <w:rPr>
          <w:w w:val="100"/>
        </w:rPr>
        <w:t>（</w:t>
      </w:r>
      <w:r>
        <w:rPr>
          <w:spacing w:val="-3"/>
          <w:w w:val="100"/>
        </w:rPr>
        <w:t>2</w:t>
      </w:r>
      <w:r>
        <w:rPr>
          <w:spacing w:val="-39"/>
          <w:w w:val="100"/>
        </w:rPr>
        <w:t>）</w:t>
      </w:r>
      <w:r>
        <w:rPr>
          <w:spacing w:val="-9"/>
          <w:w w:val="100"/>
        </w:rPr>
        <w:t>同时存在下列之一的证据，包括：缺血性胸痛症状、</w:t>
      </w:r>
      <w:r>
        <w:rPr>
          <w:spacing w:val="-7"/>
          <w:w w:val="100"/>
        </w:rPr>
        <w:t>新发生的缺血性心电图改变、新生成的病理性</w:t>
      </w:r>
      <w:r>
        <w:rPr>
          <w:spacing w:val="-53"/>
        </w:rPr>
        <w:t> </w:t>
      </w:r>
      <w:r>
        <w:rPr>
          <w:w w:val="100"/>
        </w:rPr>
        <w:t>Q</w:t>
      </w:r>
      <w:r>
        <w:rPr>
          <w:spacing w:val="-53"/>
        </w:rPr>
        <w:t> </w:t>
      </w:r>
      <w:r>
        <w:rPr>
          <w:spacing w:val="-7"/>
          <w:w w:val="100"/>
        </w:rPr>
        <w:t>波、影像学证据显示有新出现的心肌</w:t>
      </w:r>
      <w:r>
        <w:rPr>
          <w:spacing w:val="-3"/>
          <w:w w:val="100"/>
        </w:rPr>
        <w:t>活性丧失或新出现局部室壁运动异常、冠脉造影证实存在冠状动脉血栓。</w:t>
      </w:r>
    </w:p>
    <w:p>
      <w:pPr>
        <w:pStyle w:val="BodyText"/>
        <w:spacing w:line="278" w:lineRule="auto" w:before="0"/>
        <w:ind w:left="178" w:right="213"/>
      </w:pPr>
      <w:r>
        <w:rPr>
          <w:spacing w:val="-2"/>
        </w:rPr>
        <w:t>较重急性心肌梗死指依照上述标准被明确诊断为急性心肌梗死，并且必须同时满足下</w:t>
      </w:r>
      <w:r>
        <w:rPr>
          <w:spacing w:val="-2"/>
        </w:rPr>
        <w:t>列至少一项条件：</w:t>
      </w:r>
    </w:p>
    <w:p>
      <w:pPr>
        <w:pStyle w:val="ListParagraph"/>
        <w:numPr>
          <w:ilvl w:val="0"/>
          <w:numId w:val="22"/>
        </w:numPr>
        <w:tabs>
          <w:tab w:pos="775" w:val="left" w:leader="none"/>
        </w:tabs>
        <w:spacing w:line="278" w:lineRule="auto" w:before="0" w:after="0"/>
        <w:ind w:left="812" w:right="216" w:hanging="567"/>
        <w:jc w:val="left"/>
        <w:rPr>
          <w:sz w:val="21"/>
        </w:rPr>
      </w:pPr>
      <w:r>
        <w:rPr>
          <w:spacing w:val="-2"/>
          <w:sz w:val="21"/>
        </w:rPr>
        <w:t>心肌损伤标志物肌钙蛋白（cTn）升高，至少一次检测结果达到该检验正常参</w:t>
      </w:r>
      <w:r>
        <w:rPr>
          <w:spacing w:val="-4"/>
          <w:sz w:val="21"/>
        </w:rPr>
        <w:t>考值上限的 </w:t>
      </w:r>
      <w:r>
        <w:rPr>
          <w:sz w:val="21"/>
        </w:rPr>
        <w:t>15</w:t>
      </w:r>
      <w:r>
        <w:rPr>
          <w:spacing w:val="-11"/>
          <w:sz w:val="21"/>
        </w:rPr>
        <w:t> 倍</w:t>
      </w:r>
      <w:r>
        <w:rPr>
          <w:sz w:val="21"/>
        </w:rPr>
        <w:t>（含）以上；</w:t>
      </w:r>
    </w:p>
    <w:p>
      <w:pPr>
        <w:pStyle w:val="ListParagraph"/>
        <w:numPr>
          <w:ilvl w:val="0"/>
          <w:numId w:val="22"/>
        </w:numPr>
        <w:tabs>
          <w:tab w:pos="775" w:val="left" w:leader="none"/>
        </w:tabs>
        <w:spacing w:line="278" w:lineRule="auto" w:before="0" w:after="0"/>
        <w:ind w:left="812" w:right="216" w:hanging="567"/>
        <w:jc w:val="left"/>
        <w:rPr>
          <w:sz w:val="21"/>
        </w:rPr>
      </w:pPr>
      <w:r>
        <w:rPr>
          <w:spacing w:val="-2"/>
          <w:sz w:val="21"/>
        </w:rPr>
        <w:t>肌酸激酶同工酶（CK-MB）升高，至少一次检测结果达到该检验正常参考值上</w:t>
      </w:r>
      <w:r>
        <w:rPr>
          <w:spacing w:val="-8"/>
          <w:sz w:val="21"/>
        </w:rPr>
        <w:t>限的 </w:t>
      </w:r>
      <w:r>
        <w:rPr>
          <w:sz w:val="21"/>
        </w:rPr>
        <w:t>2</w:t>
      </w:r>
      <w:r>
        <w:rPr>
          <w:spacing w:val="-11"/>
          <w:sz w:val="21"/>
        </w:rPr>
        <w:t> 倍</w:t>
      </w:r>
      <w:r>
        <w:rPr>
          <w:sz w:val="21"/>
        </w:rPr>
        <w:t>（含）以上；</w:t>
      </w:r>
    </w:p>
    <w:p>
      <w:pPr>
        <w:pStyle w:val="ListParagraph"/>
        <w:numPr>
          <w:ilvl w:val="0"/>
          <w:numId w:val="22"/>
        </w:numPr>
        <w:tabs>
          <w:tab w:pos="778" w:val="left" w:leader="none"/>
        </w:tabs>
        <w:spacing w:line="269" w:lineRule="exact" w:before="0" w:after="0"/>
        <w:ind w:left="777" w:right="0" w:hanging="530"/>
        <w:jc w:val="left"/>
        <w:rPr>
          <w:sz w:val="21"/>
        </w:rPr>
      </w:pPr>
      <w:r>
        <w:rPr>
          <w:spacing w:val="-5"/>
          <w:sz w:val="21"/>
        </w:rPr>
        <w:t>出现左心室收缩功能下降，在确诊 </w:t>
      </w:r>
      <w:r>
        <w:rPr>
          <w:spacing w:val="-2"/>
          <w:sz w:val="21"/>
        </w:rPr>
        <w:t>6</w:t>
      </w:r>
      <w:r>
        <w:rPr>
          <w:spacing w:val="-9"/>
          <w:sz w:val="21"/>
        </w:rPr>
        <w:t> 周以后，检测左室射血分数</w:t>
      </w:r>
      <w:r>
        <w:rPr>
          <w:spacing w:val="-2"/>
          <w:sz w:val="21"/>
        </w:rPr>
        <w:t>（LVEF）</w:t>
      </w:r>
      <w:r>
        <w:rPr>
          <w:spacing w:val="-6"/>
          <w:sz w:val="21"/>
        </w:rPr>
        <w:t>低于</w:t>
      </w:r>
    </w:p>
    <w:p>
      <w:pPr>
        <w:pStyle w:val="BodyText"/>
        <w:spacing w:before="41"/>
        <w:ind w:left="812"/>
      </w:pPr>
      <w:r>
        <w:rPr>
          <w:spacing w:val="-2"/>
        </w:rPr>
        <w:t>50%（不含</w:t>
      </w:r>
      <w:r>
        <w:rPr>
          <w:spacing w:val="-113"/>
        </w:rPr>
        <w:t>）</w:t>
      </w:r>
      <w:r>
        <w:rPr>
          <w:spacing w:val="-5"/>
        </w:rPr>
        <w:t>；</w:t>
      </w:r>
    </w:p>
    <w:p>
      <w:pPr>
        <w:pStyle w:val="ListParagraph"/>
        <w:numPr>
          <w:ilvl w:val="0"/>
          <w:numId w:val="22"/>
        </w:numPr>
        <w:tabs>
          <w:tab w:pos="711" w:val="left" w:leader="none"/>
        </w:tabs>
        <w:spacing w:line="278" w:lineRule="auto" w:before="43" w:after="0"/>
        <w:ind w:left="812" w:right="216" w:hanging="634"/>
        <w:jc w:val="left"/>
        <w:rPr>
          <w:sz w:val="21"/>
        </w:rPr>
      </w:pPr>
      <w:r>
        <w:rPr>
          <w:spacing w:val="-2"/>
          <w:sz w:val="21"/>
        </w:rPr>
        <w:t>影像学检查证实存在新发的乳头肌功能失调或断裂引起的中度（含）以上的二</w:t>
      </w:r>
      <w:r>
        <w:rPr>
          <w:spacing w:val="-2"/>
          <w:sz w:val="21"/>
        </w:rPr>
        <w:t>尖瓣反流；</w:t>
      </w:r>
    </w:p>
    <w:p>
      <w:pPr>
        <w:pStyle w:val="ListParagraph"/>
        <w:numPr>
          <w:ilvl w:val="0"/>
          <w:numId w:val="22"/>
        </w:numPr>
        <w:tabs>
          <w:tab w:pos="708" w:val="left" w:leader="none"/>
        </w:tabs>
        <w:spacing w:line="269" w:lineRule="exact" w:before="0" w:after="0"/>
        <w:ind w:left="707" w:right="0" w:hanging="530"/>
        <w:jc w:val="left"/>
        <w:rPr>
          <w:sz w:val="21"/>
        </w:rPr>
      </w:pPr>
      <w:r>
        <w:rPr>
          <w:spacing w:val="-3"/>
          <w:sz w:val="21"/>
        </w:rPr>
        <w:t>影像学检查证实存在新出现的室壁瘤；</w:t>
      </w:r>
    </w:p>
    <w:p>
      <w:pPr>
        <w:pStyle w:val="ListParagraph"/>
        <w:numPr>
          <w:ilvl w:val="0"/>
          <w:numId w:val="22"/>
        </w:numPr>
        <w:tabs>
          <w:tab w:pos="708" w:val="left" w:leader="none"/>
        </w:tabs>
        <w:spacing w:line="240" w:lineRule="auto" w:before="43" w:after="0"/>
        <w:ind w:left="707" w:right="0" w:hanging="530"/>
        <w:jc w:val="left"/>
        <w:rPr>
          <w:sz w:val="21"/>
        </w:rPr>
      </w:pPr>
      <w:r>
        <w:rPr>
          <w:spacing w:val="-3"/>
          <w:sz w:val="21"/>
        </w:rPr>
        <w:t>出现室性心动过速、心室颤动或心源性休克。</w:t>
      </w:r>
    </w:p>
    <w:p>
      <w:pPr>
        <w:spacing w:before="21"/>
        <w:ind w:left="178" w:right="0" w:firstLine="0"/>
        <w:jc w:val="left"/>
        <w:rPr>
          <w:rFonts w:ascii="黑体" w:eastAsia="黑体"/>
          <w:sz w:val="24"/>
        </w:rPr>
      </w:pPr>
      <w:r>
        <w:rPr>
          <w:rFonts w:ascii="黑体" w:eastAsia="黑体"/>
          <w:spacing w:val="-9"/>
          <w:sz w:val="24"/>
        </w:rPr>
        <w:t>其他非冠状动脉阻塞性疾病所引起的肌钙蛋白</w:t>
      </w:r>
      <w:r>
        <w:rPr>
          <w:rFonts w:ascii="黑体" w:eastAsia="黑体"/>
          <w:spacing w:val="-4"/>
          <w:sz w:val="24"/>
        </w:rPr>
        <w:t>（cTn）</w:t>
      </w:r>
      <w:r>
        <w:rPr>
          <w:rFonts w:ascii="黑体" w:eastAsia="黑体"/>
          <w:spacing w:val="-5"/>
          <w:sz w:val="24"/>
        </w:rPr>
        <w:t>升高不在保障范围内。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严重脑</w:t>
      </w:r>
      <w:r>
        <w:rPr>
          <w:rFonts w:ascii="楷体" w:eastAsia="楷体" w:hint="eastAsia"/>
          <w:b/>
          <w:spacing w:val="-2"/>
          <w:sz w:val="21"/>
        </w:rPr>
        <w:t>中风后遗症</w:t>
      </w:r>
    </w:p>
    <w:p>
      <w:pPr>
        <w:pStyle w:val="BodyText"/>
        <w:spacing w:line="278" w:lineRule="auto" w:before="72"/>
        <w:ind w:left="178" w:right="216"/>
        <w:jc w:val="both"/>
      </w:pPr>
      <w:r>
        <w:rPr/>
        <w:br w:type="column"/>
      </w:r>
      <w:r>
        <w:rPr>
          <w:spacing w:val="-8"/>
        </w:rPr>
        <w:t>指因脑血管的突发病变引起脑血管出血、栓塞或梗塞，须由头颅断层扫描</w:t>
      </w:r>
      <w:r>
        <w:rPr>
          <w:spacing w:val="17"/>
        </w:rPr>
        <w:t>（</w:t>
      </w:r>
      <w:r>
        <w:rPr>
          <w:spacing w:val="20"/>
        </w:rPr>
        <w:t>C</w:t>
      </w:r>
      <w:r>
        <w:rPr>
          <w:spacing w:val="17"/>
        </w:rPr>
        <w:t>T</w:t>
      </w:r>
      <w:r>
        <w:rPr>
          <w:spacing w:val="-86"/>
        </w:rPr>
        <w:t>）</w:t>
      </w:r>
      <w:r>
        <w:rPr>
          <w:spacing w:val="-8"/>
        </w:rPr>
        <w:t>、核磁</w:t>
      </w:r>
      <w:r>
        <w:rPr>
          <w:spacing w:val="-4"/>
        </w:rPr>
        <w:t>共振检查（MRI）等影像学检查证实，并导致神经系统永久性的功能障碍。神经系统永</w:t>
      </w:r>
      <w:r>
        <w:rPr>
          <w:spacing w:val="-2"/>
        </w:rPr>
        <w:t>久性的功能障碍，指疾病确诊 </w:t>
      </w:r>
      <w:r>
        <w:rPr/>
        <w:t>180</w:t>
      </w:r>
      <w:r>
        <w:rPr>
          <w:spacing w:val="-5"/>
        </w:rPr>
        <w:t> 天后，仍遗留下列至少一种障碍：</w:t>
      </w:r>
    </w:p>
    <w:p>
      <w:pPr>
        <w:pStyle w:val="ListParagraph"/>
        <w:numPr>
          <w:ilvl w:val="0"/>
          <w:numId w:val="23"/>
        </w:numPr>
        <w:tabs>
          <w:tab w:pos="708" w:val="left" w:leader="none"/>
        </w:tabs>
        <w:spacing w:line="269" w:lineRule="exact" w:before="0" w:after="0"/>
        <w:ind w:left="707" w:right="0" w:hanging="530"/>
        <w:jc w:val="both"/>
        <w:rPr>
          <w:sz w:val="21"/>
        </w:rPr>
      </w:pPr>
      <w:r>
        <w:rPr>
          <w:spacing w:val="-2"/>
          <w:sz w:val="21"/>
        </w:rPr>
        <w:t>一肢（含）以上</w:t>
      </w:r>
      <w:r>
        <w:rPr>
          <w:b/>
          <w:spacing w:val="-2"/>
          <w:sz w:val="21"/>
        </w:rPr>
        <w:t>肢体</w:t>
      </w:r>
      <w:r>
        <w:rPr>
          <w:spacing w:val="-2"/>
          <w:sz w:val="21"/>
        </w:rPr>
        <w:t>（</w:t>
      </w:r>
      <w:r>
        <w:rPr>
          <w:spacing w:val="-13"/>
          <w:sz w:val="21"/>
        </w:rPr>
        <w:t>见释义 </w:t>
      </w:r>
      <w:r>
        <w:rPr>
          <w:spacing w:val="-2"/>
          <w:sz w:val="21"/>
        </w:rPr>
        <w:t>34）</w:t>
      </w:r>
      <w:r>
        <w:rPr>
          <w:b/>
          <w:spacing w:val="-2"/>
          <w:sz w:val="21"/>
        </w:rPr>
        <w:t>肌力</w:t>
      </w:r>
      <w:r>
        <w:rPr>
          <w:spacing w:val="-2"/>
          <w:sz w:val="21"/>
        </w:rPr>
        <w:t>（</w:t>
      </w:r>
      <w:r>
        <w:rPr>
          <w:spacing w:val="-13"/>
          <w:sz w:val="21"/>
        </w:rPr>
        <w:t>见释义 </w:t>
      </w:r>
      <w:r>
        <w:rPr>
          <w:spacing w:val="-2"/>
          <w:sz w:val="21"/>
        </w:rPr>
        <w:t>35）2</w:t>
      </w:r>
      <w:r>
        <w:rPr>
          <w:spacing w:val="-24"/>
          <w:sz w:val="21"/>
        </w:rPr>
        <w:t> 级</w:t>
      </w:r>
      <w:r>
        <w:rPr>
          <w:spacing w:val="-2"/>
          <w:sz w:val="21"/>
        </w:rPr>
        <w:t>（含）</w:t>
      </w:r>
      <w:r>
        <w:rPr>
          <w:spacing w:val="-5"/>
          <w:sz w:val="21"/>
        </w:rPr>
        <w:t>以下；</w:t>
      </w:r>
    </w:p>
    <w:p>
      <w:pPr>
        <w:pStyle w:val="ListParagraph"/>
        <w:numPr>
          <w:ilvl w:val="0"/>
          <w:numId w:val="23"/>
        </w:numPr>
        <w:tabs>
          <w:tab w:pos="708" w:val="left" w:leader="none"/>
        </w:tabs>
        <w:spacing w:line="240" w:lineRule="auto" w:before="43" w:after="0"/>
        <w:ind w:left="707" w:right="0" w:hanging="530"/>
        <w:jc w:val="both"/>
        <w:rPr>
          <w:sz w:val="21"/>
        </w:rPr>
      </w:pPr>
      <w:r>
        <w:rPr>
          <w:b/>
          <w:spacing w:val="-2"/>
          <w:sz w:val="21"/>
        </w:rPr>
        <w:t>语言能力完全丧失或严重咀嚼吞咽功能障碍</w:t>
      </w:r>
      <w:r>
        <w:rPr>
          <w:spacing w:val="-2"/>
          <w:sz w:val="21"/>
        </w:rPr>
        <w:t>（</w:t>
      </w:r>
      <w:r>
        <w:rPr>
          <w:spacing w:val="-8"/>
          <w:sz w:val="21"/>
        </w:rPr>
        <w:t>见释义 </w:t>
      </w:r>
      <w:r>
        <w:rPr>
          <w:spacing w:val="-4"/>
          <w:sz w:val="21"/>
        </w:rPr>
        <w:t>36</w:t>
      </w:r>
      <w:r>
        <w:rPr>
          <w:spacing w:val="-112"/>
          <w:sz w:val="21"/>
        </w:rPr>
        <w:t>）；</w:t>
      </w:r>
    </w:p>
    <w:p>
      <w:pPr>
        <w:pStyle w:val="ListParagraph"/>
        <w:numPr>
          <w:ilvl w:val="0"/>
          <w:numId w:val="23"/>
        </w:numPr>
        <w:tabs>
          <w:tab w:pos="708" w:val="left" w:leader="none"/>
        </w:tabs>
        <w:spacing w:line="278" w:lineRule="auto" w:before="42" w:after="0"/>
        <w:ind w:left="178" w:right="216" w:hanging="1"/>
        <w:jc w:val="both"/>
        <w:rPr>
          <w:sz w:val="21"/>
        </w:rPr>
      </w:pPr>
      <w:r>
        <w:rPr>
          <w:spacing w:val="-2"/>
          <w:sz w:val="21"/>
        </w:rPr>
        <w:t>自主生活能力完全丧失，无法独立完成</w:t>
      </w:r>
      <w:r>
        <w:rPr>
          <w:b/>
          <w:spacing w:val="-2"/>
          <w:sz w:val="21"/>
        </w:rPr>
        <w:t>六项基本日常生活活动</w:t>
      </w:r>
      <w:r>
        <w:rPr>
          <w:spacing w:val="-2"/>
          <w:sz w:val="21"/>
        </w:rPr>
        <w:t>（见释义</w:t>
      </w:r>
      <w:r>
        <w:rPr>
          <w:rFonts w:ascii="Times New Roman" w:eastAsia="Times New Roman"/>
          <w:spacing w:val="-2"/>
          <w:sz w:val="21"/>
        </w:rPr>
        <w:t>37</w:t>
      </w:r>
      <w:r>
        <w:rPr>
          <w:spacing w:val="-2"/>
          <w:sz w:val="21"/>
        </w:rPr>
        <w:t>）中的三项或三项以上。</w:t>
      </w:r>
    </w:p>
    <w:p>
      <w:pPr>
        <w:spacing w:after="0" w:line="278" w:lineRule="auto"/>
        <w:jc w:val="both"/>
        <w:rPr>
          <w:sz w:val="21"/>
        </w:rPr>
        <w:sectPr>
          <w:type w:val="continuous"/>
          <w:pgSz w:w="11910" w:h="16840"/>
          <w:pgMar w:header="0" w:footer="1120" w:top="1120" w:bottom="1300" w:left="1020" w:right="1020"/>
          <w:cols w:num="2" w:equalWidth="0">
            <w:col w:w="1705" w:space="40"/>
            <w:col w:w="8125"/>
          </w:cols>
        </w:sectPr>
      </w:pPr>
    </w:p>
    <w:p>
      <w:pPr>
        <w:pStyle w:val="ListParagraph"/>
        <w:numPr>
          <w:ilvl w:val="1"/>
          <w:numId w:val="20"/>
        </w:numPr>
        <w:tabs>
          <w:tab w:pos="1071" w:val="left" w:leader="none"/>
        </w:tabs>
        <w:spacing w:line="278" w:lineRule="auto" w:before="60" w:after="0"/>
        <w:ind w:left="504" w:right="0" w:firstLine="0"/>
        <w:jc w:val="both"/>
        <w:rPr>
          <w:rFonts w:ascii="楷体" w:eastAsia="楷体" w:hint="eastAsia"/>
          <w:b/>
          <w:sz w:val="21"/>
        </w:rPr>
      </w:pPr>
      <w:r>
        <w:rPr>
          <w:rFonts w:ascii="楷体" w:eastAsia="楷体" w:hint="eastAsia"/>
          <w:b/>
          <w:spacing w:val="-4"/>
          <w:sz w:val="21"/>
        </w:rPr>
        <w:t>重大器</w:t>
      </w:r>
      <w:r>
        <w:rPr>
          <w:rFonts w:ascii="楷体" w:eastAsia="楷体" w:hint="eastAsia"/>
          <w:b/>
          <w:spacing w:val="-2"/>
          <w:sz w:val="21"/>
        </w:rPr>
        <w:t>官移植术或造</w:t>
      </w:r>
      <w:r>
        <w:rPr>
          <w:rFonts w:ascii="楷体" w:eastAsia="楷体" w:hint="eastAsia"/>
          <w:b/>
          <w:spacing w:val="-2"/>
          <w:sz w:val="21"/>
        </w:rPr>
        <w:t>血干细胞移植</w:t>
      </w:r>
      <w:r>
        <w:rPr>
          <w:rFonts w:ascii="楷体" w:eastAsia="楷体" w:hint="eastAsia"/>
          <w:b/>
          <w:spacing w:val="-10"/>
          <w:sz w:val="21"/>
        </w:rPr>
        <w:t>术</w:t>
      </w:r>
    </w:p>
    <w:p>
      <w:pPr>
        <w:pStyle w:val="BodyText"/>
        <w:spacing w:line="278" w:lineRule="auto" w:before="60"/>
        <w:ind w:left="111" w:right="214"/>
      </w:pPr>
      <w:r>
        <w:rPr/>
        <w:br w:type="column"/>
      </w:r>
      <w:r>
        <w:rPr>
          <w:spacing w:val="-2"/>
        </w:rPr>
        <w:t>重大器官移植术，指因相应器官功能衰竭，已经实施了肾脏、肝脏、心脏、肺脏或小</w:t>
      </w:r>
      <w:r>
        <w:rPr>
          <w:spacing w:val="-2"/>
        </w:rPr>
        <w:t>肠的异体移植手术；</w:t>
      </w:r>
    </w:p>
    <w:p>
      <w:pPr>
        <w:pStyle w:val="BodyText"/>
        <w:spacing w:line="269" w:lineRule="exact" w:before="0"/>
        <w:ind w:left="111"/>
      </w:pPr>
      <w:r>
        <w:rPr>
          <w:spacing w:val="-5"/>
        </w:rPr>
        <w:t>造血干细胞移植术，指因造血功能损害或造血系统恶性肿瘤，已经实施了造血干细胞</w:t>
      </w:r>
    </w:p>
    <w:p>
      <w:pPr>
        <w:pStyle w:val="BodyText"/>
        <w:ind w:left="111"/>
      </w:pPr>
      <w:r>
        <w:rPr>
          <w:spacing w:val="-2"/>
        </w:rPr>
        <w:t>（包括骨髓造血干细胞、外周血造血干细胞和脐血造血干细胞）</w:t>
      </w:r>
      <w:r>
        <w:rPr>
          <w:spacing w:val="-4"/>
        </w:rPr>
        <w:t>的移植手术。</w:t>
      </w:r>
    </w:p>
    <w:p>
      <w:pPr>
        <w:spacing w:after="0"/>
        <w:sectPr>
          <w:pgSz w:w="11910" w:h="16840"/>
          <w:pgMar w:header="0" w:footer="1120" w:top="136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冠状动</w:t>
      </w:r>
      <w:r>
        <w:rPr>
          <w:rFonts w:ascii="楷体" w:eastAsia="楷体" w:hint="eastAsia"/>
          <w:b/>
          <w:spacing w:val="-2"/>
          <w:sz w:val="21"/>
        </w:rPr>
        <w:t>脉搭桥术（</w:t>
      </w:r>
      <w:r>
        <w:rPr>
          <w:rFonts w:ascii="楷体" w:eastAsia="楷体" w:hint="eastAsia"/>
          <w:b/>
          <w:spacing w:val="-2"/>
          <w:sz w:val="21"/>
        </w:rPr>
        <w:t>或</w:t>
      </w:r>
      <w:r>
        <w:rPr>
          <w:rFonts w:ascii="楷体" w:eastAsia="楷体" w:hint="eastAsia"/>
          <w:b/>
          <w:spacing w:val="-2"/>
          <w:sz w:val="21"/>
        </w:rPr>
        <w:t>称冠状动脉旁</w:t>
      </w:r>
      <w:r>
        <w:rPr>
          <w:rFonts w:ascii="楷体" w:eastAsia="楷体" w:hint="eastAsia"/>
          <w:b/>
          <w:spacing w:val="-2"/>
          <w:sz w:val="21"/>
        </w:rPr>
        <w:t>路移植术）</w:t>
      </w:r>
    </w:p>
    <w:p>
      <w:pPr>
        <w:pStyle w:val="BodyText"/>
        <w:spacing w:before="72"/>
        <w:ind w:left="111"/>
      </w:pPr>
      <w:r>
        <w:rPr/>
        <w:br w:type="column"/>
      </w:r>
      <w:r>
        <w:rPr>
          <w:spacing w:val="-3"/>
        </w:rPr>
        <w:t>指为治疗严重的冠心病，已经实施了切开心包进行的冠状动脉血管旁路移植的手术。</w:t>
      </w:r>
    </w:p>
    <w:p>
      <w:pPr>
        <w:spacing w:before="20"/>
        <w:ind w:left="103" w:right="0" w:firstLine="0"/>
        <w:jc w:val="left"/>
        <w:rPr>
          <w:rFonts w:ascii="黑体" w:eastAsia="黑体"/>
          <w:sz w:val="24"/>
        </w:rPr>
      </w:pPr>
      <w:r>
        <w:rPr>
          <w:rFonts w:ascii="黑体" w:eastAsia="黑体"/>
          <w:spacing w:val="-1"/>
          <w:sz w:val="24"/>
        </w:rPr>
        <w:t>所有未切开心包的冠状动脉介入治疗不在保障范围内。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2"/>
        <w:rPr>
          <w:rFonts w:ascii="黑体"/>
          <w:sz w:val="12"/>
        </w:rPr>
      </w:pPr>
    </w:p>
    <w:p>
      <w:pPr>
        <w:spacing w:after="0"/>
        <w:rPr>
          <w:rFonts w:ascii="黑体"/>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严重慢</w:t>
      </w:r>
      <w:r>
        <w:rPr>
          <w:rFonts w:ascii="楷体" w:eastAsia="楷体" w:hint="eastAsia"/>
          <w:b/>
          <w:spacing w:val="-4"/>
          <w:sz w:val="21"/>
        </w:rPr>
        <w:t>性肾衰竭</w:t>
      </w:r>
    </w:p>
    <w:p>
      <w:pPr>
        <w:pStyle w:val="BodyText"/>
        <w:spacing w:line="278" w:lineRule="auto" w:before="72"/>
        <w:ind w:left="178" w:right="213"/>
        <w:jc w:val="both"/>
      </w:pPr>
      <w:r>
        <w:rPr/>
        <w:br w:type="column"/>
      </w:r>
      <w:r>
        <w:rPr>
          <w:spacing w:val="-2"/>
        </w:rPr>
        <w:t>指双肾功能慢性不可逆性衰竭，依据肾脏病预后质量倡议（K/DOQI）制定的指南，分</w:t>
      </w:r>
      <w:r>
        <w:rPr>
          <w:spacing w:val="-2"/>
        </w:rPr>
        <w:t>期达到慢性肾脏病5期，且经诊断后已经进行了至少90天的规律性透析治疗。规律性</w:t>
      </w:r>
      <w:r>
        <w:rPr>
          <w:spacing w:val="-2"/>
        </w:rPr>
        <w:t>透析是指每周进行血液透析或每天进行腹膜透析。</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多个肢</w:t>
      </w:r>
      <w:r>
        <w:rPr>
          <w:rFonts w:ascii="楷体" w:eastAsia="楷体" w:hint="eastAsia"/>
          <w:b/>
          <w:spacing w:val="-4"/>
          <w:sz w:val="21"/>
        </w:rPr>
        <w:t>体缺失</w:t>
      </w:r>
    </w:p>
    <w:p>
      <w:pPr>
        <w:pStyle w:val="BodyText"/>
        <w:spacing w:line="278" w:lineRule="auto" w:before="71"/>
        <w:ind w:left="178" w:right="167"/>
      </w:pPr>
      <w:r>
        <w:rPr/>
        <w:br w:type="column"/>
      </w:r>
      <w:r>
        <w:rPr>
          <w:spacing w:val="-2"/>
        </w:rPr>
        <w:t>指因疾病或意外伤害导致两个或两个以上肢体自腕关节或踝关节近端（靠近躯干端）</w:t>
      </w:r>
      <w:r>
        <w:rPr>
          <w:spacing w:val="-2"/>
        </w:rPr>
        <w:t>以上完全性断离。</w:t>
      </w:r>
    </w:p>
    <w:p>
      <w:pPr>
        <w:spacing w:after="0" w:line="278" w:lineRule="auto"/>
        <w:sectPr>
          <w:type w:val="continuous"/>
          <w:pgSz w:w="11910" w:h="16840"/>
          <w:pgMar w:header="0" w:footer="1120" w:top="1120" w:bottom="1300" w:left="1020" w:right="1020"/>
          <w:cols w:num="2" w:equalWidth="0">
            <w:col w:w="1705" w:space="40"/>
            <w:col w:w="8125"/>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急性重</w:t>
      </w:r>
      <w:r>
        <w:rPr>
          <w:rFonts w:ascii="楷体" w:eastAsia="楷体" w:hint="eastAsia"/>
          <w:b/>
          <w:spacing w:val="-2"/>
          <w:sz w:val="21"/>
        </w:rPr>
        <w:t>症肝炎或亚急</w:t>
      </w:r>
      <w:r>
        <w:rPr>
          <w:rFonts w:ascii="楷体" w:eastAsia="楷体" w:hint="eastAsia"/>
          <w:b/>
          <w:spacing w:val="-2"/>
          <w:sz w:val="21"/>
        </w:rPr>
        <w:t>性重症肝炎</w:t>
      </w:r>
    </w:p>
    <w:p>
      <w:pPr>
        <w:pStyle w:val="BodyText"/>
        <w:spacing w:line="278" w:lineRule="auto" w:before="71"/>
        <w:ind w:left="111" w:right="214"/>
      </w:pPr>
      <w:r>
        <w:rPr/>
        <w:br w:type="column"/>
      </w:r>
      <w:r>
        <w:rPr>
          <w:spacing w:val="-2"/>
        </w:rPr>
        <w:t>指因肝炎病毒感染引起肝脏组织弥漫性坏死，导致急性肝功能衰竭，且经血清学或病</w:t>
      </w:r>
      <w:r>
        <w:rPr>
          <w:spacing w:val="-2"/>
        </w:rPr>
        <w:t>毒学检查证实，并须满足下列全部条件：</w:t>
      </w:r>
    </w:p>
    <w:p>
      <w:pPr>
        <w:pStyle w:val="ListParagraph"/>
        <w:numPr>
          <w:ilvl w:val="0"/>
          <w:numId w:val="24"/>
        </w:numPr>
        <w:tabs>
          <w:tab w:pos="641" w:val="left" w:leader="none"/>
        </w:tabs>
        <w:spacing w:line="269" w:lineRule="exact" w:before="0" w:after="0"/>
        <w:ind w:left="640" w:right="0" w:hanging="530"/>
        <w:jc w:val="left"/>
        <w:rPr>
          <w:sz w:val="21"/>
        </w:rPr>
      </w:pPr>
      <w:r>
        <w:rPr>
          <w:spacing w:val="-3"/>
          <w:sz w:val="21"/>
        </w:rPr>
        <w:t>重度黄疸或黄疸迅速加重；</w:t>
      </w:r>
    </w:p>
    <w:p>
      <w:pPr>
        <w:pStyle w:val="ListParagraph"/>
        <w:numPr>
          <w:ilvl w:val="0"/>
          <w:numId w:val="24"/>
        </w:numPr>
        <w:tabs>
          <w:tab w:pos="641" w:val="left" w:leader="none"/>
        </w:tabs>
        <w:spacing w:line="240" w:lineRule="auto" w:before="43" w:after="0"/>
        <w:ind w:left="640" w:right="0" w:hanging="530"/>
        <w:jc w:val="left"/>
        <w:rPr>
          <w:sz w:val="21"/>
        </w:rPr>
      </w:pPr>
      <w:r>
        <w:rPr>
          <w:spacing w:val="-4"/>
          <w:sz w:val="21"/>
        </w:rPr>
        <w:t>肝性脑病；</w:t>
      </w:r>
    </w:p>
    <w:p>
      <w:pPr>
        <w:pStyle w:val="BodyText"/>
        <w:ind w:left="111"/>
      </w:pPr>
      <w:r>
        <w:rPr>
          <w:spacing w:val="-2"/>
        </w:rPr>
        <w:t>（</w:t>
      </w:r>
      <w:r>
        <w:rPr>
          <w:rFonts w:ascii="Times New Roman" w:eastAsia="Times New Roman"/>
          <w:spacing w:val="-2"/>
        </w:rPr>
        <w:t>3</w:t>
      </w:r>
      <w:r>
        <w:rPr>
          <w:spacing w:val="-2"/>
        </w:rPr>
        <w:t>）</w:t>
      </w:r>
      <w:r>
        <w:rPr>
          <w:rFonts w:ascii="Times New Roman" w:eastAsia="Times New Roman"/>
          <w:spacing w:val="-2"/>
        </w:rPr>
        <w:t>B</w:t>
      </w:r>
      <w:r>
        <w:rPr>
          <w:rFonts w:ascii="Times New Roman" w:eastAsia="Times New Roman"/>
          <w:spacing w:val="11"/>
        </w:rPr>
        <w:t> </w:t>
      </w:r>
      <w:r>
        <w:rPr>
          <w:spacing w:val="-3"/>
        </w:rPr>
        <w:t>超或其他影像学检查显示肝脏体积急速萎缩；</w:t>
      </w:r>
    </w:p>
    <w:p>
      <w:pPr>
        <w:pStyle w:val="BodyText"/>
        <w:ind w:left="111"/>
      </w:pPr>
      <w:r>
        <w:rPr>
          <w:spacing w:val="-2"/>
        </w:rPr>
        <w:t>（4）</w:t>
      </w:r>
      <w:r>
        <w:rPr>
          <w:spacing w:val="-3"/>
        </w:rPr>
        <w:t>肝功能指标进行性恶化。</w:t>
      </w:r>
    </w:p>
    <w:p>
      <w:pPr>
        <w:spacing w:after="0"/>
        <w:sectPr>
          <w:type w:val="continuous"/>
          <w:pgSz w:w="11910" w:h="16840"/>
          <w:pgMar w:header="0" w:footer="1120" w:top="1120" w:bottom="1300" w:left="1020" w:right="1020"/>
          <w:cols w:num="2" w:equalWidth="0">
            <w:col w:w="1772" w:space="40"/>
            <w:col w:w="8058"/>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严重非</w:t>
      </w:r>
      <w:r>
        <w:rPr>
          <w:rFonts w:ascii="楷体" w:eastAsia="楷体" w:hint="eastAsia"/>
          <w:b/>
          <w:spacing w:val="-2"/>
          <w:sz w:val="21"/>
        </w:rPr>
        <w:t>恶性颅内肿瘤</w:t>
      </w:r>
    </w:p>
    <w:p>
      <w:pPr>
        <w:pStyle w:val="BodyText"/>
        <w:spacing w:line="278" w:lineRule="auto" w:before="72"/>
        <w:ind w:left="111" w:right="213" w:hanging="1"/>
        <w:jc w:val="both"/>
      </w:pPr>
      <w:r>
        <w:rPr/>
        <w:br w:type="column"/>
      </w:r>
      <w:r>
        <w:rPr/>
        <w:t>指起源于脑、脑神经、脑被膜的非恶性肿瘤，ICD-O-3</w:t>
      </w:r>
      <w:r>
        <w:rPr>
          <w:spacing w:val="-8"/>
        </w:rPr>
        <w:t> 肿瘤形态学编码属于 </w:t>
      </w:r>
      <w:r>
        <w:rPr/>
        <w:t>0（良性</w:t>
      </w:r>
      <w:r>
        <w:rPr>
          <w:spacing w:val="-2"/>
        </w:rPr>
        <w:t>肿瘤</w:t>
      </w:r>
      <w:r>
        <w:rPr>
          <w:spacing w:val="-108"/>
        </w:rPr>
        <w:t>）</w:t>
      </w:r>
      <w:r>
        <w:rPr>
          <w:spacing w:val="-2"/>
        </w:rPr>
        <w:t>、1（动态未定性肿瘤）范畴，并已经引起颅内压升高或神经系统功能损害，出</w:t>
      </w:r>
      <w:r>
        <w:rPr>
          <w:spacing w:val="-5"/>
        </w:rPr>
        <w:t>现视乳头水肿或视觉受损、听觉受损、面部或肢体瘫痪、癫痫等，须由头颅断层扫描</w:t>
      </w:r>
    </w:p>
    <w:p>
      <w:pPr>
        <w:pStyle w:val="BodyText"/>
        <w:spacing w:line="278" w:lineRule="auto" w:before="0"/>
        <w:ind w:left="111" w:right="215" w:hanging="1"/>
      </w:pPr>
      <w:r>
        <w:rPr>
          <w:spacing w:val="18"/>
        </w:rPr>
        <w:t>（CT</w:t>
      </w:r>
      <w:r>
        <w:rPr>
          <w:spacing w:val="-88"/>
        </w:rPr>
        <w:t>）</w:t>
      </w:r>
      <w:r>
        <w:rPr>
          <w:spacing w:val="-8"/>
        </w:rPr>
        <w:t>、核磁共振检查（MRI）或正电子发射断层扫描（PET）等影像学检查证实，且须</w:t>
      </w:r>
      <w:r>
        <w:rPr>
          <w:spacing w:val="-2"/>
        </w:rPr>
        <w:t>满足下列至少一项条件：</w:t>
      </w:r>
    </w:p>
    <w:p>
      <w:pPr>
        <w:pStyle w:val="ListParagraph"/>
        <w:numPr>
          <w:ilvl w:val="0"/>
          <w:numId w:val="25"/>
        </w:numPr>
        <w:tabs>
          <w:tab w:pos="641" w:val="left" w:leader="none"/>
        </w:tabs>
        <w:spacing w:line="269" w:lineRule="exact" w:before="0" w:after="0"/>
        <w:ind w:left="640" w:right="0" w:hanging="530"/>
        <w:jc w:val="left"/>
        <w:rPr>
          <w:sz w:val="21"/>
        </w:rPr>
      </w:pPr>
      <w:r>
        <w:rPr>
          <w:spacing w:val="-3"/>
          <w:sz w:val="21"/>
        </w:rPr>
        <w:t>已经实施了开颅进行的颅内肿瘤完全或部分切除手术；</w:t>
      </w:r>
    </w:p>
    <w:p>
      <w:pPr>
        <w:pStyle w:val="ListParagraph"/>
        <w:numPr>
          <w:ilvl w:val="0"/>
          <w:numId w:val="25"/>
        </w:numPr>
        <w:tabs>
          <w:tab w:pos="641" w:val="left" w:leader="none"/>
        </w:tabs>
        <w:spacing w:line="240" w:lineRule="auto" w:before="42" w:after="0"/>
        <w:ind w:left="640" w:right="0" w:hanging="530"/>
        <w:jc w:val="left"/>
        <w:rPr>
          <w:sz w:val="21"/>
        </w:rPr>
      </w:pPr>
      <w:r>
        <w:rPr>
          <w:spacing w:val="-2"/>
          <w:sz w:val="21"/>
        </w:rPr>
        <w:t>已经实施了针对颅内肿瘤的放射治疗，如γ</w:t>
      </w:r>
      <w:r>
        <w:rPr>
          <w:spacing w:val="-3"/>
          <w:sz w:val="21"/>
        </w:rPr>
        <w:t>刀、质子重离子治疗等。</w:t>
      </w:r>
    </w:p>
    <w:p>
      <w:pPr>
        <w:spacing w:before="20"/>
        <w:ind w:left="111" w:right="0" w:firstLine="0"/>
        <w:jc w:val="left"/>
        <w:rPr>
          <w:rFonts w:ascii="黑体" w:eastAsia="黑体"/>
          <w:sz w:val="24"/>
        </w:rPr>
      </w:pPr>
      <w:r>
        <w:rPr>
          <w:rFonts w:ascii="黑体" w:eastAsia="黑体"/>
          <w:spacing w:val="-1"/>
          <w:sz w:val="24"/>
        </w:rPr>
        <w:t>下列疾病不在保障范围内：</w:t>
      </w:r>
    </w:p>
    <w:p>
      <w:pPr>
        <w:pStyle w:val="ListParagraph"/>
        <w:numPr>
          <w:ilvl w:val="0"/>
          <w:numId w:val="26"/>
        </w:numPr>
        <w:tabs>
          <w:tab w:pos="713" w:val="left" w:leader="none"/>
        </w:tabs>
        <w:spacing w:line="240" w:lineRule="auto" w:before="5" w:after="0"/>
        <w:ind w:left="712" w:right="0" w:hanging="602"/>
        <w:jc w:val="left"/>
        <w:rPr>
          <w:rFonts w:ascii="黑体" w:eastAsia="黑体"/>
          <w:sz w:val="24"/>
        </w:rPr>
      </w:pPr>
      <w:r>
        <w:rPr>
          <w:rFonts w:ascii="黑体" w:eastAsia="黑体"/>
          <w:spacing w:val="-2"/>
          <w:sz w:val="24"/>
        </w:rPr>
        <w:t>脑垂体瘤；</w:t>
      </w:r>
    </w:p>
    <w:p>
      <w:pPr>
        <w:pStyle w:val="ListParagraph"/>
        <w:numPr>
          <w:ilvl w:val="0"/>
          <w:numId w:val="26"/>
        </w:numPr>
        <w:tabs>
          <w:tab w:pos="713" w:val="left" w:leader="none"/>
        </w:tabs>
        <w:spacing w:line="240" w:lineRule="auto" w:before="4" w:after="0"/>
        <w:ind w:left="712" w:right="0" w:hanging="602"/>
        <w:jc w:val="left"/>
        <w:rPr>
          <w:rFonts w:ascii="黑体" w:eastAsia="黑体"/>
          <w:sz w:val="24"/>
        </w:rPr>
      </w:pPr>
      <w:r>
        <w:rPr>
          <w:rFonts w:ascii="黑体" w:eastAsia="黑体"/>
          <w:spacing w:val="-3"/>
          <w:sz w:val="24"/>
        </w:rPr>
        <w:t>脑囊肿；</w:t>
      </w:r>
    </w:p>
    <w:p>
      <w:pPr>
        <w:pStyle w:val="ListParagraph"/>
        <w:numPr>
          <w:ilvl w:val="0"/>
          <w:numId w:val="26"/>
        </w:numPr>
        <w:tabs>
          <w:tab w:pos="713" w:val="left" w:leader="none"/>
        </w:tabs>
        <w:spacing w:line="242" w:lineRule="auto" w:before="5" w:after="0"/>
        <w:ind w:left="111" w:right="218" w:firstLine="0"/>
        <w:jc w:val="left"/>
        <w:rPr>
          <w:rFonts w:ascii="黑体" w:eastAsia="黑体"/>
          <w:sz w:val="24"/>
        </w:rPr>
      </w:pPr>
      <w:r>
        <w:rPr>
          <w:rFonts w:ascii="黑体" w:eastAsia="黑体"/>
          <w:spacing w:val="-4"/>
          <w:sz w:val="24"/>
        </w:rPr>
        <w:t>颅内血管性疾病（如脑动脉瘤、脑动静脉畸形、海绵状血管瘤、毛细</w:t>
      </w:r>
      <w:r>
        <w:rPr>
          <w:rFonts w:ascii="黑体" w:eastAsia="黑体"/>
          <w:spacing w:val="-2"/>
          <w:sz w:val="24"/>
        </w:rPr>
        <w:t>血管扩张症等</w:t>
      </w:r>
      <w:r>
        <w:rPr>
          <w:rFonts w:ascii="黑体" w:eastAsia="黑体"/>
          <w:spacing w:val="-120"/>
          <w:sz w:val="24"/>
        </w:rPr>
        <w:t>）</w:t>
      </w:r>
      <w:r>
        <w:rPr>
          <w:rFonts w:ascii="黑体" w:eastAsia="黑体"/>
          <w:spacing w:val="-2"/>
          <w:sz w:val="24"/>
        </w:rPr>
        <w:t>。</w:t>
      </w:r>
    </w:p>
    <w:p>
      <w:pPr>
        <w:spacing w:after="0" w:line="242" w:lineRule="auto"/>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严重慢</w:t>
      </w:r>
      <w:r>
        <w:rPr>
          <w:rFonts w:ascii="楷体" w:eastAsia="楷体" w:hint="eastAsia"/>
          <w:b/>
          <w:spacing w:val="-4"/>
          <w:sz w:val="21"/>
        </w:rPr>
        <w:t>性肝衰竭</w:t>
      </w:r>
    </w:p>
    <w:p>
      <w:pPr>
        <w:pStyle w:val="BodyText"/>
        <w:spacing w:before="72"/>
        <w:ind w:left="178"/>
      </w:pPr>
      <w:r>
        <w:rPr/>
        <w:br w:type="column"/>
      </w:r>
      <w:r>
        <w:rPr>
          <w:spacing w:val="-3"/>
        </w:rPr>
        <w:t>指因慢性肝脏疾病导致的肝衰竭，且须满足下列全部条件：</w:t>
      </w:r>
    </w:p>
    <w:p>
      <w:pPr>
        <w:pStyle w:val="BodyText"/>
        <w:ind w:left="178"/>
      </w:pPr>
      <w:r>
        <w:rPr>
          <w:spacing w:val="-2"/>
        </w:rPr>
        <w:t>（</w:t>
      </w:r>
      <w:r>
        <w:rPr>
          <w:rFonts w:ascii="Times New Roman" w:eastAsia="Times New Roman"/>
          <w:spacing w:val="-2"/>
        </w:rPr>
        <w:t>1</w:t>
      </w:r>
      <w:r>
        <w:rPr>
          <w:spacing w:val="-2"/>
        </w:rPr>
        <w:t>）</w:t>
      </w:r>
      <w:r>
        <w:rPr>
          <w:spacing w:val="-4"/>
        </w:rPr>
        <w:t>持续性黄疸；</w:t>
      </w:r>
    </w:p>
    <w:p>
      <w:pPr>
        <w:pStyle w:val="BodyText"/>
        <w:ind w:left="178"/>
      </w:pPr>
      <w:r>
        <w:rPr>
          <w:spacing w:val="-2"/>
        </w:rPr>
        <w:t>（</w:t>
      </w:r>
      <w:r>
        <w:rPr>
          <w:rFonts w:ascii="Times New Roman" w:eastAsia="Times New Roman"/>
          <w:spacing w:val="-2"/>
        </w:rPr>
        <w:t>2</w:t>
      </w:r>
      <w:r>
        <w:rPr>
          <w:spacing w:val="-2"/>
        </w:rPr>
        <w:t>）</w:t>
      </w:r>
      <w:r>
        <w:rPr>
          <w:spacing w:val="-5"/>
        </w:rPr>
        <w:t>腹水；</w:t>
      </w:r>
    </w:p>
    <w:p>
      <w:pPr>
        <w:pStyle w:val="ListParagraph"/>
        <w:numPr>
          <w:ilvl w:val="0"/>
          <w:numId w:val="27"/>
        </w:numPr>
        <w:tabs>
          <w:tab w:pos="708" w:val="left" w:leader="none"/>
        </w:tabs>
        <w:spacing w:line="240" w:lineRule="auto" w:before="43" w:after="0"/>
        <w:ind w:left="707" w:right="0" w:hanging="530"/>
        <w:jc w:val="left"/>
        <w:rPr>
          <w:sz w:val="21"/>
        </w:rPr>
      </w:pPr>
      <w:r>
        <w:rPr>
          <w:spacing w:val="-4"/>
          <w:sz w:val="21"/>
        </w:rPr>
        <w:t>肝性脑病；</w:t>
      </w:r>
    </w:p>
    <w:p>
      <w:pPr>
        <w:pStyle w:val="ListParagraph"/>
        <w:numPr>
          <w:ilvl w:val="0"/>
          <w:numId w:val="27"/>
        </w:numPr>
        <w:tabs>
          <w:tab w:pos="708" w:val="left" w:leader="none"/>
        </w:tabs>
        <w:spacing w:line="240" w:lineRule="auto" w:before="43" w:after="0"/>
        <w:ind w:left="707" w:right="0" w:hanging="530"/>
        <w:jc w:val="left"/>
        <w:rPr>
          <w:sz w:val="21"/>
        </w:rPr>
      </w:pPr>
      <w:r>
        <w:rPr>
          <w:spacing w:val="-3"/>
          <w:sz w:val="21"/>
        </w:rPr>
        <w:t>充血性脾肿大伴脾功能亢进或食管胃底静脉曲张。</w:t>
      </w:r>
    </w:p>
    <w:p>
      <w:pPr>
        <w:spacing w:before="20"/>
        <w:ind w:left="178" w:right="0" w:firstLine="0"/>
        <w:jc w:val="left"/>
        <w:rPr>
          <w:rFonts w:ascii="黑体" w:eastAsia="黑体"/>
          <w:sz w:val="24"/>
        </w:rPr>
      </w:pPr>
      <w:r>
        <w:rPr>
          <w:rFonts w:ascii="黑体" w:eastAsia="黑体"/>
          <w:spacing w:val="-1"/>
          <w:sz w:val="24"/>
        </w:rPr>
        <w:t>因酗酒或药物滥用导致的肝衰竭不在保障范围内。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严重脑</w:t>
      </w:r>
      <w:r>
        <w:rPr>
          <w:rFonts w:ascii="楷体" w:eastAsia="楷体" w:hint="eastAsia"/>
          <w:b/>
          <w:spacing w:val="-2"/>
          <w:sz w:val="21"/>
        </w:rPr>
        <w:t>炎后遗症或严</w:t>
      </w:r>
    </w:p>
    <w:p>
      <w:pPr>
        <w:pStyle w:val="BodyText"/>
        <w:spacing w:line="278" w:lineRule="auto" w:before="72"/>
        <w:ind w:left="111" w:right="215"/>
      </w:pPr>
      <w:r>
        <w:rPr/>
        <w:br w:type="column"/>
      </w:r>
      <w:r>
        <w:rPr>
          <w:spacing w:val="2"/>
          <w:w w:val="100"/>
        </w:rPr>
        <w:t>指因患脑炎或脑膜炎导致的神经系统永久性的功能障碍。神经系统永久性的功能障</w:t>
      </w:r>
      <w:r>
        <w:rPr>
          <w:spacing w:val="-3"/>
          <w:w w:val="100"/>
        </w:rPr>
        <w:t>碍，指经相关专科医生确诊疾病</w:t>
      </w:r>
      <w:r>
        <w:rPr>
          <w:spacing w:val="-53"/>
        </w:rPr>
        <w:t> </w:t>
      </w:r>
      <w:r>
        <w:rPr>
          <w:w w:val="100"/>
        </w:rPr>
        <w:t>180</w:t>
      </w:r>
      <w:r>
        <w:rPr>
          <w:spacing w:val="-55"/>
        </w:rPr>
        <w:t> </w:t>
      </w:r>
      <w:r>
        <w:rPr>
          <w:spacing w:val="-3"/>
          <w:w w:val="100"/>
        </w:rPr>
        <w:t>天后，仍遗留下列至少一种障碍：</w:t>
      </w:r>
    </w:p>
    <w:p>
      <w:pPr>
        <w:spacing w:after="0" w:line="278" w:lineRule="auto"/>
        <w:sectPr>
          <w:type w:val="continuous"/>
          <w:pgSz w:w="11910" w:h="16840"/>
          <w:pgMar w:header="0" w:footer="1120" w:top="1120" w:bottom="1300" w:left="1020" w:right="1020"/>
          <w:cols w:num="2" w:equalWidth="0">
            <w:col w:w="1772" w:space="40"/>
            <w:col w:w="8058"/>
          </w:cols>
        </w:sectPr>
      </w:pPr>
    </w:p>
    <w:p>
      <w:pPr>
        <w:spacing w:line="278" w:lineRule="auto" w:before="60"/>
        <w:ind w:left="504" w:right="0" w:firstLine="0"/>
        <w:jc w:val="left"/>
        <w:rPr>
          <w:rFonts w:ascii="楷体" w:eastAsia="楷体" w:hint="eastAsia"/>
          <w:b/>
          <w:sz w:val="21"/>
        </w:rPr>
      </w:pPr>
      <w:r>
        <w:rPr>
          <w:rFonts w:ascii="楷体" w:eastAsia="楷体" w:hint="eastAsia"/>
          <w:b/>
          <w:spacing w:val="-2"/>
          <w:sz w:val="21"/>
        </w:rPr>
        <w:t>重脑膜炎后遗</w:t>
      </w:r>
      <w:r>
        <w:rPr>
          <w:rFonts w:ascii="楷体" w:eastAsia="楷体" w:hint="eastAsia"/>
          <w:b/>
          <w:spacing w:val="-10"/>
          <w:sz w:val="21"/>
        </w:rPr>
        <w:t>症</w:t>
      </w:r>
    </w:p>
    <w:p>
      <w:pPr>
        <w:pStyle w:val="ListParagraph"/>
        <w:numPr>
          <w:ilvl w:val="0"/>
          <w:numId w:val="28"/>
        </w:numPr>
        <w:tabs>
          <w:tab w:pos="641" w:val="left" w:leader="none"/>
        </w:tabs>
        <w:spacing w:line="240" w:lineRule="auto" w:before="60" w:after="0"/>
        <w:ind w:left="640" w:right="0" w:hanging="530"/>
        <w:jc w:val="left"/>
        <w:rPr>
          <w:sz w:val="21"/>
        </w:rPr>
      </w:pPr>
      <w:r>
        <w:rPr>
          <w:sz w:val="21"/>
        </w:rPr>
        <w:br w:type="column"/>
      </w: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28"/>
        </w:numPr>
        <w:tabs>
          <w:tab w:pos="641" w:val="left" w:leader="none"/>
        </w:tabs>
        <w:spacing w:line="240" w:lineRule="auto" w:before="43" w:after="0"/>
        <w:ind w:left="640" w:right="0" w:hanging="530"/>
        <w:jc w:val="left"/>
        <w:rPr>
          <w:sz w:val="21"/>
        </w:rPr>
      </w:pPr>
      <w:r>
        <w:rPr>
          <w:spacing w:val="-3"/>
          <w:sz w:val="21"/>
        </w:rPr>
        <w:t>语言能力完全丧失或严重咀嚼吞咽功能障碍；</w:t>
      </w:r>
    </w:p>
    <w:p>
      <w:pPr>
        <w:pStyle w:val="ListParagraph"/>
        <w:numPr>
          <w:ilvl w:val="0"/>
          <w:numId w:val="28"/>
        </w:numPr>
        <w:tabs>
          <w:tab w:pos="641" w:val="left" w:leader="none"/>
        </w:tabs>
        <w:spacing w:line="278" w:lineRule="auto" w:before="43" w:after="0"/>
        <w:ind w:left="111" w:right="216" w:firstLine="0"/>
        <w:jc w:val="left"/>
        <w:rPr>
          <w:sz w:val="21"/>
        </w:rPr>
      </w:pPr>
      <w:r>
        <w:rPr>
          <w:sz w:val="21"/>
        </w:rPr>
        <w:t>由具有评估资格的专科医生根据临床痴呆评定量表（CDR，Clinical Dementia Rating）</w:t>
      </w:r>
      <w:r>
        <w:rPr>
          <w:spacing w:val="-4"/>
          <w:sz w:val="21"/>
        </w:rPr>
        <w:t>评估结果为 </w:t>
      </w:r>
      <w:r>
        <w:rPr>
          <w:sz w:val="21"/>
        </w:rPr>
        <w:t>3</w:t>
      </w:r>
      <w:r>
        <w:rPr>
          <w:spacing w:val="-8"/>
          <w:sz w:val="21"/>
        </w:rPr>
        <w:t> 分；</w:t>
      </w:r>
    </w:p>
    <w:p>
      <w:pPr>
        <w:pStyle w:val="ListParagraph"/>
        <w:numPr>
          <w:ilvl w:val="0"/>
          <w:numId w:val="28"/>
        </w:numPr>
        <w:tabs>
          <w:tab w:pos="643" w:val="left" w:leader="none"/>
        </w:tabs>
        <w:spacing w:line="278" w:lineRule="auto" w:before="0" w:after="0"/>
        <w:ind w:left="111" w:right="216" w:firstLine="0"/>
        <w:jc w:val="left"/>
        <w:rPr>
          <w:sz w:val="21"/>
        </w:rPr>
      </w:pPr>
      <w:r>
        <w:rPr>
          <w:spacing w:val="-2"/>
          <w:sz w:val="21"/>
        </w:rPr>
        <w:t>自主生活能力完全丧失，无法独立完成六项基本日常生活活动中的三项或三项</w:t>
      </w:r>
      <w:r>
        <w:rPr>
          <w:spacing w:val="-4"/>
          <w:sz w:val="21"/>
        </w:rPr>
        <w:t>以上。</w:t>
      </w:r>
    </w:p>
    <w:p>
      <w:pPr>
        <w:spacing w:after="0" w:line="278" w:lineRule="auto"/>
        <w:jc w:val="left"/>
        <w:rPr>
          <w:sz w:val="21"/>
        </w:rPr>
        <w:sectPr>
          <w:pgSz w:w="11910" w:h="16840"/>
          <w:pgMar w:header="0" w:footer="1120" w:top="136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深度昏</w:t>
      </w:r>
      <w:r>
        <w:rPr>
          <w:rFonts w:ascii="楷体" w:eastAsia="楷体" w:hint="eastAsia"/>
          <w:b/>
          <w:spacing w:val="-10"/>
          <w:sz w:val="21"/>
        </w:rPr>
        <w:t>迷</w:t>
      </w:r>
    </w:p>
    <w:p>
      <w:pPr>
        <w:pStyle w:val="BodyText"/>
        <w:spacing w:line="278" w:lineRule="auto" w:before="72"/>
        <w:ind w:left="178" w:right="273"/>
      </w:pPr>
      <w:r>
        <w:rPr/>
        <w:br w:type="column"/>
      </w:r>
      <w:r>
        <w:rPr>
          <w:spacing w:val="-2"/>
        </w:rPr>
        <w:t>指因疾病或意外伤害导致意识丧失，对外界刺激和体内需求均无反应，昏迷程度按</w:t>
      </w:r>
      <w:r>
        <w:rPr/>
        <w:t>照格拉斯哥昏迷分级（</w:t>
      </w:r>
      <w:r>
        <w:rPr>
          <w:rFonts w:ascii="Arial" w:eastAsia="Arial"/>
        </w:rPr>
        <w:t>GCS</w:t>
      </w:r>
      <w:r>
        <w:rPr/>
        <w:t>，</w:t>
      </w:r>
      <w:r>
        <w:rPr>
          <w:rFonts w:ascii="Arial" w:eastAsia="Arial"/>
        </w:rPr>
        <w:t>Glasgow</w:t>
      </w:r>
      <w:r>
        <w:rPr>
          <w:rFonts w:ascii="Arial" w:eastAsia="Arial"/>
          <w:spacing w:val="-15"/>
        </w:rPr>
        <w:t> </w:t>
      </w:r>
      <w:r>
        <w:rPr>
          <w:rFonts w:ascii="Arial" w:eastAsia="Arial"/>
        </w:rPr>
        <w:t>coma</w:t>
      </w:r>
      <w:r>
        <w:rPr>
          <w:rFonts w:ascii="Arial" w:eastAsia="Arial"/>
          <w:spacing w:val="-15"/>
        </w:rPr>
        <w:t> </w:t>
      </w:r>
      <w:r>
        <w:rPr>
          <w:rFonts w:ascii="Arial" w:eastAsia="Arial"/>
        </w:rPr>
        <w:t>scale</w:t>
      </w:r>
      <w:r>
        <w:rPr/>
        <w:t>）结果为</w:t>
      </w:r>
      <w:r>
        <w:rPr>
          <w:rFonts w:ascii="Arial" w:eastAsia="Arial"/>
        </w:rPr>
        <w:t>5</w:t>
      </w:r>
      <w:r>
        <w:rPr/>
        <w:t>分或</w:t>
      </w:r>
      <w:r>
        <w:rPr>
          <w:rFonts w:ascii="Arial" w:eastAsia="Arial"/>
        </w:rPr>
        <w:t>5</w:t>
      </w:r>
      <w:r>
        <w:rPr/>
        <w:t>分以下，且已经</w:t>
      </w:r>
      <w:r>
        <w:rPr>
          <w:spacing w:val="-2"/>
        </w:rPr>
        <w:t>持续使用呼吸机及其它生命维持系统</w:t>
      </w:r>
      <w:r>
        <w:rPr>
          <w:rFonts w:ascii="Arial" w:eastAsia="Arial"/>
          <w:spacing w:val="-2"/>
        </w:rPr>
        <w:t>96</w:t>
      </w:r>
      <w:r>
        <w:rPr>
          <w:spacing w:val="-2"/>
        </w:rPr>
        <w:t>小时以上。</w:t>
      </w:r>
    </w:p>
    <w:p>
      <w:pPr>
        <w:spacing w:line="284" w:lineRule="exact" w:before="0"/>
        <w:ind w:left="178" w:right="0" w:firstLine="0"/>
        <w:jc w:val="left"/>
        <w:rPr>
          <w:rFonts w:ascii="黑体" w:eastAsia="黑体"/>
          <w:sz w:val="24"/>
        </w:rPr>
      </w:pPr>
      <w:r>
        <w:rPr>
          <w:rFonts w:ascii="黑体" w:eastAsia="黑体"/>
          <w:spacing w:val="-1"/>
          <w:sz w:val="24"/>
        </w:rPr>
        <w:t>因酗酒或药物滥用导致的深度昏迷不在保障范围内。</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双耳失</w:t>
      </w:r>
      <w:r>
        <w:rPr>
          <w:rFonts w:ascii="楷体" w:eastAsia="楷体" w:hint="eastAsia"/>
          <w:b/>
          <w:spacing w:val="-2"/>
          <w:sz w:val="21"/>
        </w:rPr>
        <w:t>聪－三周岁开</w:t>
      </w:r>
      <w:r>
        <w:rPr>
          <w:rFonts w:ascii="楷体" w:eastAsia="楷体" w:hint="eastAsia"/>
          <w:b/>
          <w:spacing w:val="-4"/>
          <w:sz w:val="21"/>
        </w:rPr>
        <w:t>始理赔</w:t>
      </w:r>
    </w:p>
    <w:p>
      <w:pPr>
        <w:pStyle w:val="BodyText"/>
        <w:spacing w:line="278" w:lineRule="auto" w:before="72"/>
        <w:ind w:left="111" w:right="117"/>
      </w:pPr>
      <w:r>
        <w:rPr/>
        <w:br w:type="column"/>
      </w:r>
      <w:r>
        <w:rPr/>
        <w:t>指因疾病或意外伤害导致双耳听力</w:t>
      </w:r>
      <w:r>
        <w:rPr>
          <w:b/>
        </w:rPr>
        <w:t>永久不可逆</w:t>
      </w:r>
      <w:r>
        <w:rPr/>
        <w:t>（见释义 38）性丧失，在 500 赫兹、 1000</w:t>
      </w:r>
      <w:r>
        <w:rPr>
          <w:spacing w:val="-23"/>
        </w:rPr>
        <w:t> 赫兹和 </w:t>
      </w:r>
      <w:r>
        <w:rPr/>
        <w:t>2000</w:t>
      </w:r>
      <w:r>
        <w:rPr>
          <w:spacing w:val="-11"/>
        </w:rPr>
        <w:t> 赫兹语音频率下，平均听阈大于等于 </w:t>
      </w:r>
      <w:r>
        <w:rPr/>
        <w:t>91</w:t>
      </w:r>
      <w:r>
        <w:rPr>
          <w:spacing w:val="-8"/>
        </w:rPr>
        <w:t> 分贝，且经纯音听力测试、</w:t>
      </w:r>
      <w:r>
        <w:rPr>
          <w:spacing w:val="-2"/>
        </w:rPr>
        <w:t>声导抗检测或听觉诱发电位检测等证实。</w:t>
      </w:r>
    </w:p>
    <w:p>
      <w:pPr>
        <w:spacing w:line="284" w:lineRule="exact" w:before="0"/>
        <w:ind w:left="111" w:right="0" w:firstLine="0"/>
        <w:jc w:val="left"/>
        <w:rPr>
          <w:rFonts w:ascii="黑体" w:eastAsia="黑体"/>
          <w:sz w:val="24"/>
        </w:rPr>
      </w:pPr>
      <w:r>
        <w:rPr>
          <w:rFonts w:ascii="黑体" w:eastAsia="黑体"/>
          <w:spacing w:val="-1"/>
          <w:sz w:val="24"/>
        </w:rPr>
        <w:t>申请理赔时，被保险人年龄必须在三周岁以上，并且提供理赔当时的听力</w:t>
      </w:r>
    </w:p>
    <w:p>
      <w:pPr>
        <w:spacing w:before="4"/>
        <w:ind w:left="111" w:right="0" w:firstLine="0"/>
        <w:jc w:val="left"/>
        <w:rPr>
          <w:rFonts w:ascii="黑体" w:eastAsia="黑体"/>
          <w:sz w:val="24"/>
        </w:rPr>
      </w:pPr>
      <w:r>
        <w:rPr>
          <w:rFonts w:ascii="黑体" w:eastAsia="黑体"/>
          <w:spacing w:val="-1"/>
          <w:sz w:val="24"/>
        </w:rPr>
        <w:t>丧失诊断及检查证据。</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双目失</w:t>
      </w:r>
      <w:r>
        <w:rPr>
          <w:rFonts w:ascii="楷体" w:eastAsia="楷体" w:hint="eastAsia"/>
          <w:b/>
          <w:spacing w:val="-2"/>
          <w:sz w:val="21"/>
        </w:rPr>
        <w:t>明－三周岁开</w:t>
      </w:r>
      <w:r>
        <w:rPr>
          <w:rFonts w:ascii="楷体" w:eastAsia="楷体" w:hint="eastAsia"/>
          <w:b/>
          <w:spacing w:val="-4"/>
          <w:sz w:val="21"/>
        </w:rPr>
        <w:t>始理赔</w:t>
      </w:r>
    </w:p>
    <w:p>
      <w:pPr>
        <w:pStyle w:val="BodyText"/>
        <w:spacing w:line="278" w:lineRule="auto" w:before="72"/>
        <w:ind w:left="111" w:right="214"/>
      </w:pPr>
      <w:r>
        <w:rPr/>
        <w:br w:type="column"/>
      </w:r>
      <w:r>
        <w:rPr>
          <w:spacing w:val="-2"/>
        </w:rPr>
        <w:t>指因疾病或意外伤害导致双眼视力永久不可逆性丧失，双眼中较好眼须满足下列至少</w:t>
      </w:r>
      <w:r>
        <w:rPr>
          <w:spacing w:val="-2"/>
        </w:rPr>
        <w:t>一项条件：</w:t>
      </w:r>
    </w:p>
    <w:p>
      <w:pPr>
        <w:pStyle w:val="ListParagraph"/>
        <w:numPr>
          <w:ilvl w:val="0"/>
          <w:numId w:val="29"/>
        </w:numPr>
        <w:tabs>
          <w:tab w:pos="641" w:val="left" w:leader="none"/>
        </w:tabs>
        <w:spacing w:line="269" w:lineRule="exact" w:before="0" w:after="0"/>
        <w:ind w:left="640" w:right="0" w:hanging="530"/>
        <w:jc w:val="left"/>
        <w:rPr>
          <w:sz w:val="21"/>
        </w:rPr>
      </w:pPr>
      <w:r>
        <w:rPr>
          <w:spacing w:val="-4"/>
          <w:sz w:val="21"/>
        </w:rPr>
        <w:t>眼球缺失或摘除；</w:t>
      </w:r>
    </w:p>
    <w:p>
      <w:pPr>
        <w:pStyle w:val="ListParagraph"/>
        <w:numPr>
          <w:ilvl w:val="0"/>
          <w:numId w:val="29"/>
        </w:numPr>
        <w:tabs>
          <w:tab w:pos="641" w:val="left" w:leader="none"/>
        </w:tabs>
        <w:spacing w:line="240" w:lineRule="auto" w:before="43" w:after="0"/>
        <w:ind w:left="640" w:right="0" w:hanging="530"/>
        <w:jc w:val="left"/>
        <w:rPr>
          <w:sz w:val="21"/>
        </w:rPr>
      </w:pPr>
      <w:r>
        <w:rPr>
          <w:spacing w:val="-6"/>
          <w:sz w:val="21"/>
        </w:rPr>
        <w:t>矫正视力低于 </w:t>
      </w:r>
      <w:r>
        <w:rPr>
          <w:spacing w:val="-2"/>
          <w:sz w:val="21"/>
        </w:rPr>
        <w:t>0.02（采用国际标准视力表，如果使用其它视力表应进行换算</w:t>
      </w:r>
      <w:r>
        <w:rPr>
          <w:spacing w:val="-113"/>
          <w:sz w:val="21"/>
        </w:rPr>
        <w:t>）</w:t>
      </w:r>
      <w:r>
        <w:rPr>
          <w:spacing w:val="-5"/>
          <w:sz w:val="21"/>
        </w:rPr>
        <w:t>；</w:t>
      </w:r>
    </w:p>
    <w:p>
      <w:pPr>
        <w:pStyle w:val="ListParagraph"/>
        <w:numPr>
          <w:ilvl w:val="0"/>
          <w:numId w:val="29"/>
        </w:numPr>
        <w:tabs>
          <w:tab w:pos="641" w:val="left" w:leader="none"/>
        </w:tabs>
        <w:spacing w:line="240" w:lineRule="auto" w:before="43" w:after="0"/>
        <w:ind w:left="640" w:right="0" w:hanging="530"/>
        <w:jc w:val="left"/>
        <w:rPr>
          <w:sz w:val="21"/>
        </w:rPr>
      </w:pPr>
      <w:r>
        <w:rPr>
          <w:spacing w:val="-10"/>
          <w:sz w:val="21"/>
        </w:rPr>
        <w:t>视野半径小于 </w:t>
      </w:r>
      <w:r>
        <w:rPr>
          <w:spacing w:val="-2"/>
          <w:sz w:val="21"/>
        </w:rPr>
        <w:t>5</w:t>
      </w:r>
      <w:r>
        <w:rPr>
          <w:spacing w:val="-21"/>
          <w:sz w:val="21"/>
        </w:rPr>
        <w:t> 度。</w:t>
      </w:r>
    </w:p>
    <w:p>
      <w:pPr>
        <w:spacing w:line="242" w:lineRule="auto" w:before="20"/>
        <w:ind w:left="111" w:right="263" w:firstLine="0"/>
        <w:jc w:val="left"/>
        <w:rPr>
          <w:rFonts w:ascii="黑体" w:eastAsia="黑体"/>
          <w:sz w:val="24"/>
        </w:rPr>
      </w:pPr>
      <w:r>
        <w:rPr>
          <w:rFonts w:ascii="黑体" w:eastAsia="黑体"/>
          <w:spacing w:val="-2"/>
          <w:sz w:val="24"/>
        </w:rPr>
        <w:t>申请理赔时，被保险人年龄必须在三周岁以上，并且提供理赔当时的视力</w:t>
      </w:r>
      <w:r>
        <w:rPr>
          <w:rFonts w:ascii="黑体" w:eastAsia="黑体"/>
          <w:spacing w:val="-2"/>
          <w:sz w:val="24"/>
        </w:rPr>
        <w:t>丧失诊断及检查证据。</w:t>
      </w:r>
    </w:p>
    <w:p>
      <w:pPr>
        <w:spacing w:after="0" w:line="242" w:lineRule="auto"/>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2"/>
        <w:rPr>
          <w:rFonts w:ascii="黑体"/>
          <w:sz w:val="14"/>
        </w:rPr>
      </w:pPr>
    </w:p>
    <w:p>
      <w:pPr>
        <w:pStyle w:val="ListParagraph"/>
        <w:numPr>
          <w:ilvl w:val="1"/>
          <w:numId w:val="20"/>
        </w:numPr>
        <w:tabs>
          <w:tab w:pos="1071" w:val="left" w:leader="none"/>
        </w:tabs>
        <w:spacing w:line="278" w:lineRule="auto" w:before="72" w:after="0"/>
        <w:ind w:left="1922" w:right="214" w:hanging="1419"/>
        <w:jc w:val="both"/>
        <w:rPr>
          <w:rFonts w:ascii="楷体" w:eastAsia="楷体" w:hint="eastAsia"/>
          <w:b/>
          <w:sz w:val="21"/>
        </w:rPr>
      </w:pPr>
      <w:r>
        <w:rPr>
          <w:rFonts w:ascii="楷体" w:eastAsia="楷体" w:hint="eastAsia"/>
          <w:b/>
          <w:spacing w:val="99"/>
          <w:sz w:val="21"/>
        </w:rPr>
        <w:t>瘫痪 </w:t>
      </w:r>
      <w:r>
        <w:rPr>
          <w:spacing w:val="-2"/>
          <w:sz w:val="21"/>
        </w:rPr>
        <w:t>指因疾病或意外伤害导致两肢或两肢以上肢体随意运动功能永久完全丧失。肢体随意</w:t>
      </w:r>
      <w:r>
        <w:rPr>
          <w:spacing w:val="-2"/>
          <w:sz w:val="21"/>
        </w:rPr>
        <w:t>运动功能永久完全丧失，指疾病确诊180天后或意外伤害发生180天后，每肢三大关节</w:t>
      </w:r>
      <w:r>
        <w:rPr>
          <w:spacing w:val="-2"/>
          <w:sz w:val="21"/>
        </w:rPr>
        <w:t>中的两大关节仍然完全僵硬，或肢体肌力在2级（含）以下。</w:t>
      </w: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心脏瓣</w:t>
      </w:r>
      <w:r>
        <w:rPr>
          <w:rFonts w:ascii="楷体" w:eastAsia="楷体" w:hint="eastAsia"/>
          <w:b/>
          <w:spacing w:val="-4"/>
          <w:sz w:val="21"/>
        </w:rPr>
        <w:t>膜手术</w:t>
      </w:r>
    </w:p>
    <w:p>
      <w:pPr>
        <w:pStyle w:val="BodyText"/>
        <w:spacing w:before="72"/>
        <w:ind w:left="178"/>
      </w:pPr>
      <w:r>
        <w:rPr/>
        <w:br w:type="column"/>
      </w:r>
      <w:r>
        <w:rPr>
          <w:spacing w:val="-3"/>
        </w:rPr>
        <w:t>指为治疗心脏瓣膜疾病，已经实施了切开心脏进行的心脏瓣膜置换或修复的手术。</w:t>
      </w:r>
    </w:p>
    <w:p>
      <w:pPr>
        <w:spacing w:before="20"/>
        <w:ind w:left="178" w:right="0" w:firstLine="0"/>
        <w:jc w:val="left"/>
        <w:rPr>
          <w:rFonts w:ascii="黑体" w:eastAsia="黑体"/>
          <w:sz w:val="24"/>
        </w:rPr>
      </w:pPr>
      <w:r>
        <w:rPr>
          <w:rFonts w:ascii="黑体" w:eastAsia="黑体"/>
          <w:spacing w:val="-1"/>
          <w:sz w:val="24"/>
        </w:rPr>
        <w:t>所有未切开心脏的心脏瓣膜介入手术不在保障范围内。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2"/>
        <w:rPr>
          <w:rFonts w:ascii="黑体"/>
          <w:sz w:val="12"/>
        </w:rPr>
      </w:pPr>
    </w:p>
    <w:p>
      <w:pPr>
        <w:spacing w:after="0"/>
        <w:rPr>
          <w:rFonts w:ascii="黑体"/>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严重阿</w:t>
      </w:r>
      <w:r>
        <w:rPr>
          <w:rFonts w:ascii="楷体" w:eastAsia="楷体" w:hint="eastAsia"/>
          <w:b/>
          <w:spacing w:val="-2"/>
          <w:sz w:val="21"/>
        </w:rPr>
        <w:t>尔茨海默病</w:t>
      </w:r>
    </w:p>
    <w:p>
      <w:pPr>
        <w:pStyle w:val="BodyText"/>
        <w:spacing w:line="278" w:lineRule="auto" w:before="72"/>
        <w:ind w:left="178" w:right="214"/>
        <w:jc w:val="both"/>
      </w:pPr>
      <w:r>
        <w:rPr/>
        <w:br w:type="column"/>
      </w:r>
      <w:r>
        <w:rPr>
          <w:spacing w:val="-2"/>
        </w:rPr>
        <w:t>指因大脑进行性、不可逆性改变导致智能严重衰退或丧失，临床表现为严重的认知功</w:t>
      </w:r>
      <w:r>
        <w:rPr>
          <w:spacing w:val="-2"/>
        </w:rPr>
        <w:t>能障碍、精神行为异常和社交能力减退等，其日常生活必须持续受到他人监护。须由</w:t>
      </w:r>
      <w:r>
        <w:rPr>
          <w:spacing w:val="-8"/>
        </w:rPr>
        <w:t>头颅断层扫描</w:t>
      </w:r>
      <w:r>
        <w:rPr>
          <w:spacing w:val="19"/>
        </w:rPr>
        <w:t>（</w:t>
      </w:r>
      <w:r>
        <w:rPr>
          <w:spacing w:val="16"/>
        </w:rPr>
        <w:t>C</w:t>
      </w:r>
      <w:r>
        <w:rPr>
          <w:spacing w:val="18"/>
        </w:rPr>
        <w:t>T</w:t>
      </w:r>
      <w:r>
        <w:rPr>
          <w:spacing w:val="-87"/>
        </w:rPr>
        <w:t>）</w:t>
      </w:r>
      <w:r>
        <w:rPr>
          <w:spacing w:val="-8"/>
        </w:rPr>
        <w:t>、核磁共振检查（MRI）或正电子发射断层扫描（PET）等影像学检</w:t>
      </w:r>
      <w:r>
        <w:rPr>
          <w:spacing w:val="-2"/>
        </w:rPr>
        <w:t>查证实，并经相关专科医生确诊，且须满足下列至少一项条件：</w:t>
      </w:r>
    </w:p>
    <w:p>
      <w:pPr>
        <w:pStyle w:val="ListParagraph"/>
        <w:numPr>
          <w:ilvl w:val="0"/>
          <w:numId w:val="30"/>
        </w:numPr>
        <w:tabs>
          <w:tab w:pos="708" w:val="left" w:leader="none"/>
        </w:tabs>
        <w:spacing w:line="278" w:lineRule="auto" w:before="0" w:after="0"/>
        <w:ind w:left="178" w:right="216" w:firstLine="0"/>
        <w:jc w:val="both"/>
        <w:rPr>
          <w:sz w:val="21"/>
        </w:rPr>
      </w:pPr>
      <w:r>
        <w:rPr>
          <w:sz w:val="21"/>
        </w:rPr>
        <w:t>由具有评估资格的专科医生根据临床痴呆评定量表（CDR，Clinical Dementia Rating）</w:t>
      </w:r>
      <w:r>
        <w:rPr>
          <w:spacing w:val="-4"/>
          <w:sz w:val="21"/>
        </w:rPr>
        <w:t>评估结果为 </w:t>
      </w:r>
      <w:r>
        <w:rPr>
          <w:sz w:val="21"/>
        </w:rPr>
        <w:t>3</w:t>
      </w:r>
      <w:r>
        <w:rPr>
          <w:spacing w:val="-8"/>
          <w:sz w:val="21"/>
        </w:rPr>
        <w:t> 分；</w:t>
      </w:r>
    </w:p>
    <w:p>
      <w:pPr>
        <w:pStyle w:val="ListParagraph"/>
        <w:numPr>
          <w:ilvl w:val="0"/>
          <w:numId w:val="30"/>
        </w:numPr>
        <w:tabs>
          <w:tab w:pos="710" w:val="left" w:leader="none"/>
        </w:tabs>
        <w:spacing w:line="278" w:lineRule="auto" w:before="0" w:after="0"/>
        <w:ind w:left="178" w:right="216" w:firstLine="0"/>
        <w:jc w:val="left"/>
        <w:rPr>
          <w:sz w:val="21"/>
        </w:rPr>
      </w:pPr>
      <w:r>
        <w:rPr>
          <w:spacing w:val="-2"/>
          <w:sz w:val="21"/>
        </w:rPr>
        <w:t>自主生活能力完全丧失，无法独立完成六项基本日常生活活动中的三项或三项</w:t>
      </w:r>
      <w:r>
        <w:rPr>
          <w:spacing w:val="-4"/>
          <w:sz w:val="21"/>
        </w:rPr>
        <w:t>以上。</w:t>
      </w:r>
    </w:p>
    <w:p>
      <w:pPr>
        <w:spacing w:line="285" w:lineRule="exact" w:before="0"/>
        <w:ind w:left="178" w:right="0" w:firstLine="0"/>
        <w:jc w:val="left"/>
        <w:rPr>
          <w:rFonts w:ascii="黑体" w:eastAsia="黑体"/>
          <w:sz w:val="24"/>
        </w:rPr>
      </w:pPr>
      <w:r>
        <w:rPr>
          <w:rFonts w:ascii="黑体" w:eastAsia="黑体"/>
          <w:spacing w:val="-1"/>
          <w:sz w:val="24"/>
        </w:rPr>
        <w:t>阿尔茨海默病之外的其它类型痴呆不在保障范围内。</w:t>
      </w:r>
    </w:p>
    <w:p>
      <w:pPr>
        <w:spacing w:after="0" w:line="285" w:lineRule="exact"/>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1"/>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严重脑</w:t>
      </w:r>
      <w:r>
        <w:rPr>
          <w:rFonts w:ascii="楷体" w:eastAsia="楷体" w:hint="eastAsia"/>
          <w:b/>
          <w:spacing w:val="-6"/>
          <w:sz w:val="21"/>
        </w:rPr>
        <w:t>损伤</w:t>
      </w:r>
    </w:p>
    <w:p>
      <w:pPr>
        <w:pStyle w:val="BodyText"/>
        <w:spacing w:line="278" w:lineRule="auto" w:before="71"/>
        <w:ind w:left="178" w:right="167"/>
        <w:jc w:val="both"/>
      </w:pPr>
      <w:r>
        <w:rPr/>
        <w:br w:type="column"/>
      </w:r>
      <w:r>
        <w:rPr>
          <w:spacing w:val="-2"/>
        </w:rPr>
        <w:t>指因头部遭受机械性外力，引起脑重要部位损伤，导致神经系统永久性的功能障碍。</w:t>
      </w:r>
      <w:r>
        <w:rPr>
          <w:spacing w:val="-6"/>
        </w:rPr>
        <w:t>须由头颅断层扫描</w:t>
      </w:r>
      <w:r>
        <w:rPr>
          <w:spacing w:val="21"/>
        </w:rPr>
        <w:t>（</w:t>
      </w:r>
      <w:r>
        <w:rPr>
          <w:spacing w:val="18"/>
        </w:rPr>
        <w:t>C</w:t>
      </w:r>
      <w:r>
        <w:rPr>
          <w:spacing w:val="21"/>
        </w:rPr>
        <w:t>T</w:t>
      </w:r>
      <w:r>
        <w:rPr>
          <w:spacing w:val="-85"/>
        </w:rPr>
        <w:t>）</w:t>
      </w:r>
      <w:r>
        <w:rPr>
          <w:spacing w:val="-6"/>
        </w:rPr>
        <w:t>、核磁共振检查（MRI）或正电子发射断层扫描（PET）等影像</w:t>
      </w:r>
      <w:r>
        <w:rPr>
          <w:spacing w:val="-3"/>
        </w:rPr>
        <w:t>学检查证实。神经系统永久性的功能障碍，指脑损伤 </w:t>
      </w:r>
      <w:r>
        <w:rPr/>
        <w:t>180</w:t>
      </w:r>
      <w:r>
        <w:rPr>
          <w:spacing w:val="-8"/>
        </w:rPr>
        <w:t> 天后，仍遗留下列至少一种</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before="60"/>
        <w:ind w:left="1922"/>
      </w:pPr>
      <w:r>
        <w:rPr>
          <w:spacing w:val="-4"/>
        </w:rPr>
        <w:t>障碍：</w:t>
      </w:r>
    </w:p>
    <w:p>
      <w:pPr>
        <w:pStyle w:val="ListParagraph"/>
        <w:numPr>
          <w:ilvl w:val="0"/>
          <w:numId w:val="31"/>
        </w:numPr>
        <w:tabs>
          <w:tab w:pos="2452" w:val="left" w:leader="none"/>
        </w:tabs>
        <w:spacing w:line="240" w:lineRule="auto" w:before="43" w:after="0"/>
        <w:ind w:left="2451"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31"/>
        </w:numPr>
        <w:tabs>
          <w:tab w:pos="2452" w:val="left" w:leader="none"/>
        </w:tabs>
        <w:spacing w:line="240" w:lineRule="auto" w:before="43" w:after="0"/>
        <w:ind w:left="2451" w:right="0" w:hanging="530"/>
        <w:jc w:val="left"/>
        <w:rPr>
          <w:sz w:val="21"/>
        </w:rPr>
      </w:pPr>
      <w:r>
        <w:rPr>
          <w:spacing w:val="-3"/>
          <w:sz w:val="21"/>
        </w:rPr>
        <w:t>语言能力完全丧失或严重咀嚼吞咽功能障碍；</w:t>
      </w:r>
    </w:p>
    <w:p>
      <w:pPr>
        <w:pStyle w:val="ListParagraph"/>
        <w:numPr>
          <w:ilvl w:val="0"/>
          <w:numId w:val="31"/>
        </w:numPr>
        <w:tabs>
          <w:tab w:pos="2454" w:val="left" w:leader="none"/>
        </w:tabs>
        <w:spacing w:line="278" w:lineRule="auto" w:before="43" w:after="0"/>
        <w:ind w:left="1922" w:right="216" w:firstLine="0"/>
        <w:jc w:val="left"/>
        <w:rPr>
          <w:sz w:val="21"/>
        </w:rPr>
      </w:pPr>
      <w:r>
        <w:rPr>
          <w:spacing w:val="-2"/>
          <w:sz w:val="21"/>
        </w:rPr>
        <w:t>自主生活能力完全丧失，无法独立完成六项基本日常生活活动中的三项或三项</w:t>
      </w:r>
      <w:r>
        <w:rPr>
          <w:spacing w:val="-4"/>
          <w:sz w:val="21"/>
        </w:rPr>
        <w:t>以上。</w:t>
      </w:r>
    </w:p>
    <w:p>
      <w:pPr>
        <w:pStyle w:val="BodyText"/>
        <w:spacing w:before="2"/>
        <w:rPr>
          <w:sz w:val="12"/>
        </w:rPr>
      </w:pPr>
    </w:p>
    <w:p>
      <w:pPr>
        <w:spacing w:after="0"/>
        <w:rPr>
          <w:sz w:val="12"/>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严重原</w:t>
      </w:r>
      <w:r>
        <w:rPr>
          <w:rFonts w:ascii="楷体" w:eastAsia="楷体" w:hint="eastAsia"/>
          <w:b/>
          <w:spacing w:val="-2"/>
          <w:sz w:val="21"/>
        </w:rPr>
        <w:t>发性帕金森病</w:t>
      </w:r>
    </w:p>
    <w:p>
      <w:pPr>
        <w:pStyle w:val="BodyText"/>
        <w:spacing w:line="278" w:lineRule="auto" w:before="72"/>
        <w:ind w:left="111" w:right="167"/>
        <w:jc w:val="both"/>
      </w:pPr>
      <w:r>
        <w:rPr/>
        <w:br w:type="column"/>
      </w:r>
      <w:r>
        <w:rPr>
          <w:spacing w:val="-2"/>
        </w:rPr>
        <w:t>是一种中枢神经系统的退行性疾病，临床表现为运动迟缓、静止性震颤或肌强直等。</w:t>
      </w:r>
      <w:r>
        <w:rPr>
          <w:spacing w:val="-2"/>
        </w:rPr>
        <w:t>经相关专科医生确诊，且须满足自主生活能力完全丧失，无法独立完成六项基本日常</w:t>
      </w:r>
      <w:r>
        <w:rPr>
          <w:spacing w:val="-2"/>
        </w:rPr>
        <w:t>生活活动中的三项或三项以上。</w:t>
      </w:r>
    </w:p>
    <w:p>
      <w:pPr>
        <w:spacing w:line="284" w:lineRule="exact" w:before="0"/>
        <w:ind w:left="111" w:right="0" w:firstLine="0"/>
        <w:jc w:val="left"/>
        <w:rPr>
          <w:rFonts w:ascii="黑体" w:eastAsia="黑体"/>
          <w:sz w:val="24"/>
        </w:rPr>
      </w:pPr>
      <w:r>
        <w:rPr>
          <w:rFonts w:ascii="黑体" w:eastAsia="黑体"/>
          <w:spacing w:val="-1"/>
          <w:sz w:val="24"/>
        </w:rPr>
        <w:t>继发性帕金森综合征、帕金森叠加综合征不在保障范围内。</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7"/>
        <w:rPr>
          <w:rFonts w:ascii="黑体"/>
          <w:sz w:val="13"/>
        </w:rPr>
      </w:pPr>
    </w:p>
    <w:p>
      <w:pPr>
        <w:spacing w:after="0"/>
        <w:rPr>
          <w:rFonts w:ascii="黑体"/>
          <w:sz w:val="13"/>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82" w:after="0"/>
        <w:ind w:left="504" w:right="0" w:firstLine="0"/>
        <w:jc w:val="left"/>
        <w:rPr>
          <w:rFonts w:ascii="楷体" w:hAnsi="楷体" w:eastAsia="楷体" w:hint="eastAsia"/>
          <w:b/>
          <w:sz w:val="21"/>
        </w:rPr>
      </w:pPr>
      <w:r>
        <w:rPr>
          <w:rFonts w:ascii="楷体" w:hAnsi="楷体" w:eastAsia="楷体" w:hint="eastAsia"/>
          <w:b/>
          <w:spacing w:val="-4"/>
          <w:sz w:val="21"/>
        </w:rPr>
        <w:t>严重Ⅲ</w:t>
      </w:r>
      <w:r>
        <w:rPr>
          <w:rFonts w:ascii="楷体" w:hAnsi="楷体" w:eastAsia="楷体" w:hint="eastAsia"/>
          <w:b/>
          <w:spacing w:val="-4"/>
          <w:sz w:val="21"/>
        </w:rPr>
        <w:t>度烧伤</w:t>
      </w:r>
    </w:p>
    <w:p>
      <w:pPr>
        <w:pStyle w:val="BodyText"/>
        <w:spacing w:line="278" w:lineRule="auto" w:before="82"/>
        <w:ind w:left="178" w:right="216"/>
      </w:pPr>
      <w:r>
        <w:rPr/>
        <w:br w:type="column"/>
      </w:r>
      <w:r>
        <w:rPr>
          <w:spacing w:val="-2"/>
        </w:rPr>
        <w:t>指烧伤程度为Ⅲ度，且Ⅲ度烧伤的面积达到全身体表面积的</w:t>
      </w:r>
      <w:r>
        <w:rPr>
          <w:rFonts w:ascii="Arial" w:hAnsi="Arial" w:eastAsia="Arial"/>
          <w:spacing w:val="-2"/>
        </w:rPr>
        <w:t>20%</w:t>
      </w:r>
      <w:r>
        <w:rPr>
          <w:spacing w:val="-2"/>
        </w:rPr>
        <w:t>或</w:t>
      </w:r>
      <w:r>
        <w:rPr>
          <w:rFonts w:ascii="Arial" w:hAnsi="Arial" w:eastAsia="Arial"/>
          <w:spacing w:val="-2"/>
        </w:rPr>
        <w:t>20%</w:t>
      </w:r>
      <w:r>
        <w:rPr>
          <w:spacing w:val="-2"/>
        </w:rPr>
        <w:t>以上。体表面</w:t>
      </w:r>
      <w:r>
        <w:rPr>
          <w:spacing w:val="-2"/>
        </w:rPr>
        <w:t>积根据《中国新九分法》计算。</w:t>
      </w:r>
    </w:p>
    <w:p>
      <w:pPr>
        <w:spacing w:after="0" w:line="278" w:lineRule="auto"/>
        <w:sectPr>
          <w:type w:val="continuous"/>
          <w:pgSz w:w="11910" w:h="16840"/>
          <w:pgMar w:header="0" w:footer="1120" w:top="1120" w:bottom="1300" w:left="1020" w:right="1020"/>
          <w:cols w:num="2" w:equalWidth="0">
            <w:col w:w="1705" w:space="40"/>
            <w:col w:w="8125"/>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严重特</w:t>
      </w:r>
      <w:r>
        <w:rPr>
          <w:rFonts w:ascii="楷体" w:eastAsia="楷体" w:hint="eastAsia"/>
          <w:b/>
          <w:spacing w:val="-2"/>
          <w:sz w:val="21"/>
        </w:rPr>
        <w:t>发性肺动脉高</w:t>
      </w:r>
      <w:r>
        <w:rPr>
          <w:rFonts w:ascii="楷体" w:eastAsia="楷体" w:hint="eastAsia"/>
          <w:b/>
          <w:spacing w:val="-10"/>
          <w:sz w:val="21"/>
        </w:rPr>
        <w:t>压</w:t>
      </w:r>
    </w:p>
    <w:p>
      <w:pPr>
        <w:spacing w:line="278" w:lineRule="auto" w:before="71"/>
        <w:ind w:left="111" w:right="214" w:firstLine="0"/>
        <w:jc w:val="both"/>
        <w:rPr>
          <w:sz w:val="21"/>
        </w:rPr>
      </w:pPr>
      <w:r>
        <w:rPr/>
        <w:br w:type="column"/>
      </w:r>
      <w:r>
        <w:rPr>
          <w:spacing w:val="-2"/>
          <w:sz w:val="21"/>
        </w:rPr>
        <w:t>指不明原因的肺动脉压力持续性增高，进行性发展而导致的慢性疾病，已经造成永久</w:t>
      </w:r>
      <w:r>
        <w:rPr>
          <w:spacing w:val="20"/>
          <w:sz w:val="21"/>
        </w:rPr>
        <w:t>不可逆性的体力活动能力受限，达到</w:t>
      </w:r>
      <w:r>
        <w:rPr>
          <w:b/>
          <w:spacing w:val="24"/>
          <w:sz w:val="21"/>
        </w:rPr>
        <w:t>美国纽约心脏病学会</w:t>
      </w:r>
      <w:r>
        <w:rPr>
          <w:b/>
          <w:sz w:val="21"/>
        </w:rPr>
        <w:t>（</w:t>
      </w:r>
      <w:r>
        <w:rPr>
          <w:b/>
          <w:spacing w:val="-27"/>
          <w:sz w:val="21"/>
        </w:rPr>
        <w:t> </w:t>
      </w:r>
      <w:r>
        <w:rPr>
          <w:b/>
          <w:sz w:val="21"/>
        </w:rPr>
        <w:t>New</w:t>
      </w:r>
      <w:r>
        <w:rPr>
          <w:b/>
          <w:spacing w:val="16"/>
          <w:sz w:val="21"/>
        </w:rPr>
        <w:t> </w:t>
      </w:r>
      <w:r>
        <w:rPr>
          <w:b/>
          <w:sz w:val="21"/>
        </w:rPr>
        <w:t>York</w:t>
      </w:r>
      <w:r>
        <w:rPr>
          <w:b/>
          <w:spacing w:val="40"/>
          <w:sz w:val="21"/>
        </w:rPr>
        <w:t> </w:t>
      </w:r>
      <w:r>
        <w:rPr>
          <w:b/>
          <w:sz w:val="21"/>
        </w:rPr>
        <w:t>Heart </w:t>
      </w:r>
      <w:r>
        <w:rPr>
          <w:b/>
          <w:spacing w:val="-4"/>
          <w:sz w:val="21"/>
        </w:rPr>
        <w:t>Association，NYHA）心功能状态分级</w:t>
      </w:r>
      <w:r>
        <w:rPr>
          <w:spacing w:val="-4"/>
          <w:sz w:val="21"/>
        </w:rPr>
        <w:t>（见释义</w:t>
      </w:r>
      <w:r>
        <w:rPr>
          <w:rFonts w:ascii="Times New Roman" w:hAnsi="Times New Roman" w:eastAsia="Times New Roman"/>
          <w:spacing w:val="-4"/>
          <w:sz w:val="21"/>
        </w:rPr>
        <w:t>39</w:t>
      </w:r>
      <w:r>
        <w:rPr>
          <w:spacing w:val="-4"/>
          <w:sz w:val="21"/>
        </w:rPr>
        <w:t>）Ⅳ级，且静息状态下肺动脉平均压</w:t>
      </w:r>
      <w:r>
        <w:rPr>
          <w:spacing w:val="-2"/>
          <w:sz w:val="21"/>
        </w:rPr>
        <w:t>在36mmHg（含）以上。</w:t>
      </w:r>
    </w:p>
    <w:p>
      <w:pPr>
        <w:spacing w:after="0" w:line="278" w:lineRule="auto"/>
        <w:jc w:val="both"/>
        <w:rPr>
          <w:sz w:val="21"/>
        </w:rPr>
        <w:sectPr>
          <w:type w:val="continuous"/>
          <w:pgSz w:w="11910" w:h="16840"/>
          <w:pgMar w:header="0" w:footer="1120" w:top="112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严重运</w:t>
      </w:r>
      <w:r>
        <w:rPr>
          <w:rFonts w:ascii="楷体" w:eastAsia="楷体" w:hint="eastAsia"/>
          <w:b/>
          <w:spacing w:val="-2"/>
          <w:sz w:val="21"/>
        </w:rPr>
        <w:t>动神经元病</w:t>
      </w:r>
    </w:p>
    <w:p>
      <w:pPr>
        <w:pStyle w:val="BodyText"/>
        <w:spacing w:line="278" w:lineRule="auto" w:before="72"/>
        <w:ind w:left="178" w:right="214"/>
        <w:jc w:val="both"/>
      </w:pPr>
      <w:r>
        <w:rPr/>
        <w:br w:type="column"/>
      </w:r>
      <w:r>
        <w:rPr>
          <w:spacing w:val="-2"/>
        </w:rPr>
        <w:t>是一组中枢神经系统运动神经元的进行性变性疾病，包括进行性脊肌萎缩症、进行性</w:t>
      </w:r>
      <w:r>
        <w:rPr>
          <w:spacing w:val="-2"/>
        </w:rPr>
        <w:t>延髓麻痹症、原发性侧索硬化症、肌萎缩性侧索硬化症。经相关专科医生确诊，且须</w:t>
      </w:r>
      <w:r>
        <w:rPr>
          <w:spacing w:val="-2"/>
        </w:rPr>
        <w:t>满足下列至少一项条件：</w:t>
      </w:r>
    </w:p>
    <w:p>
      <w:pPr>
        <w:pStyle w:val="ListParagraph"/>
        <w:numPr>
          <w:ilvl w:val="0"/>
          <w:numId w:val="32"/>
        </w:numPr>
        <w:tabs>
          <w:tab w:pos="708" w:val="left" w:leader="none"/>
        </w:tabs>
        <w:spacing w:line="269" w:lineRule="exact" w:before="0" w:after="0"/>
        <w:ind w:left="707" w:right="0" w:hanging="530"/>
        <w:jc w:val="left"/>
        <w:rPr>
          <w:sz w:val="21"/>
        </w:rPr>
      </w:pPr>
      <w:r>
        <w:rPr>
          <w:spacing w:val="-3"/>
          <w:sz w:val="21"/>
        </w:rPr>
        <w:t>严重咀嚼吞咽功能障碍；</w:t>
      </w:r>
    </w:p>
    <w:p>
      <w:pPr>
        <w:pStyle w:val="ListParagraph"/>
        <w:numPr>
          <w:ilvl w:val="0"/>
          <w:numId w:val="32"/>
        </w:numPr>
        <w:tabs>
          <w:tab w:pos="708" w:val="left" w:leader="none"/>
        </w:tabs>
        <w:spacing w:line="240" w:lineRule="auto" w:before="43" w:after="0"/>
        <w:ind w:left="707" w:right="0" w:hanging="530"/>
        <w:jc w:val="left"/>
        <w:rPr>
          <w:sz w:val="21"/>
        </w:rPr>
      </w:pPr>
      <w:r>
        <w:rPr>
          <w:spacing w:val="-2"/>
          <w:sz w:val="21"/>
        </w:rPr>
        <w:t>呼吸肌麻痹导致严重呼吸困难，且已经持续使用呼吸机7天（含）</w:t>
      </w:r>
      <w:r>
        <w:rPr>
          <w:spacing w:val="-5"/>
          <w:sz w:val="21"/>
        </w:rPr>
        <w:t>以上；</w:t>
      </w:r>
    </w:p>
    <w:p>
      <w:pPr>
        <w:pStyle w:val="ListParagraph"/>
        <w:numPr>
          <w:ilvl w:val="0"/>
          <w:numId w:val="32"/>
        </w:numPr>
        <w:tabs>
          <w:tab w:pos="710" w:val="left" w:leader="none"/>
        </w:tabs>
        <w:spacing w:line="278" w:lineRule="auto" w:before="43" w:after="0"/>
        <w:ind w:left="178" w:right="216" w:firstLine="0"/>
        <w:jc w:val="left"/>
        <w:rPr>
          <w:sz w:val="21"/>
        </w:rPr>
      </w:pPr>
      <w:r>
        <w:rPr>
          <w:spacing w:val="-2"/>
          <w:sz w:val="21"/>
        </w:rPr>
        <w:t>自主生活能力完全丧失，无法独立完成六项基本日常生活活动中的三项或三项</w:t>
      </w:r>
      <w:r>
        <w:rPr>
          <w:spacing w:val="-4"/>
          <w:sz w:val="21"/>
        </w:rPr>
        <w:t>以上。</w:t>
      </w:r>
    </w:p>
    <w:p>
      <w:pPr>
        <w:spacing w:after="0" w:line="278"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语言能</w:t>
      </w:r>
      <w:r>
        <w:rPr>
          <w:rFonts w:ascii="楷体" w:eastAsia="楷体" w:hint="eastAsia"/>
          <w:b/>
          <w:spacing w:val="-2"/>
          <w:sz w:val="21"/>
        </w:rPr>
        <w:t>力丧失－三周</w:t>
      </w:r>
      <w:r>
        <w:rPr>
          <w:rFonts w:ascii="楷体" w:eastAsia="楷体" w:hint="eastAsia"/>
          <w:b/>
          <w:spacing w:val="-2"/>
          <w:sz w:val="21"/>
        </w:rPr>
        <w:t>岁开始理赔</w:t>
      </w:r>
    </w:p>
    <w:p>
      <w:pPr>
        <w:pStyle w:val="BodyText"/>
        <w:spacing w:line="278" w:lineRule="auto" w:before="72"/>
        <w:ind w:left="111" w:right="216"/>
      </w:pPr>
      <w:r>
        <w:rPr/>
        <w:br w:type="column"/>
      </w:r>
      <w:r>
        <w:rPr>
          <w:spacing w:val="-1"/>
        </w:rPr>
        <w:t>指因疾病或意外伤害导致语言能力完全丧失，经过积极治疗至少 </w:t>
      </w:r>
      <w:r>
        <w:rPr/>
        <w:t>12</w:t>
      </w:r>
      <w:r>
        <w:rPr>
          <w:spacing w:val="-9"/>
        </w:rPr>
        <w:t> 个月</w:t>
      </w:r>
      <w:r>
        <w:rPr/>
        <w:t>（声带完全</w:t>
      </w:r>
      <w:r>
        <w:rPr>
          <w:spacing w:val="-2"/>
        </w:rPr>
        <w:t>切除不受此时间限制</w:t>
      </w:r>
      <w:r>
        <w:rPr>
          <w:spacing w:val="-106"/>
        </w:rPr>
        <w:t>）</w:t>
      </w:r>
      <w:r>
        <w:rPr>
          <w:spacing w:val="-3"/>
        </w:rPr>
        <w:t>，仍无法通过现有医疗手段恢复。</w:t>
      </w:r>
    </w:p>
    <w:p>
      <w:pPr>
        <w:spacing w:line="284" w:lineRule="exact" w:before="0"/>
        <w:ind w:left="111" w:right="0" w:firstLine="0"/>
        <w:jc w:val="left"/>
        <w:rPr>
          <w:rFonts w:ascii="黑体" w:eastAsia="黑体"/>
          <w:sz w:val="24"/>
        </w:rPr>
      </w:pPr>
      <w:r>
        <w:rPr>
          <w:rFonts w:ascii="黑体" w:eastAsia="黑体"/>
          <w:spacing w:val="-1"/>
          <w:sz w:val="24"/>
        </w:rPr>
        <w:t>精神心理因素所致的语言能力丧失不在保障范围内。</w:t>
      </w:r>
    </w:p>
    <w:p>
      <w:pPr>
        <w:spacing w:line="242" w:lineRule="auto" w:before="4"/>
        <w:ind w:left="111" w:right="213" w:firstLine="0"/>
        <w:jc w:val="left"/>
        <w:rPr>
          <w:rFonts w:ascii="黑体" w:eastAsia="黑体"/>
          <w:sz w:val="24"/>
        </w:rPr>
      </w:pPr>
      <w:r>
        <w:rPr>
          <w:rFonts w:ascii="黑体" w:eastAsia="黑体"/>
          <w:spacing w:val="-2"/>
          <w:sz w:val="24"/>
        </w:rPr>
        <w:t>申请理赔时，被保险人年龄必须在三周岁以上，并且提供理赔当时的语言</w:t>
      </w:r>
      <w:r>
        <w:rPr>
          <w:rFonts w:ascii="黑体" w:eastAsia="黑体"/>
          <w:spacing w:val="-2"/>
          <w:sz w:val="24"/>
        </w:rPr>
        <w:t>能力丧失诊断及检查证据。</w:t>
      </w:r>
    </w:p>
    <w:p>
      <w:pPr>
        <w:spacing w:after="0" w:line="242" w:lineRule="auto"/>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3"/>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重型再</w:t>
      </w:r>
      <w:r>
        <w:rPr>
          <w:rFonts w:ascii="楷体" w:eastAsia="楷体" w:hint="eastAsia"/>
          <w:b/>
          <w:spacing w:val="-2"/>
          <w:sz w:val="21"/>
        </w:rPr>
        <w:t>生障碍性贫血</w:t>
      </w:r>
    </w:p>
    <w:p>
      <w:pPr>
        <w:pStyle w:val="BodyText"/>
        <w:spacing w:line="278" w:lineRule="auto" w:before="72"/>
        <w:ind w:left="111" w:right="214"/>
      </w:pPr>
      <w:r>
        <w:rPr/>
        <w:br w:type="column"/>
      </w:r>
      <w:r>
        <w:rPr>
          <w:spacing w:val="-2"/>
        </w:rPr>
        <w:t>指因骨髓造血功能慢性持续性衰竭导致的贫血、中性粒细胞减少及血小板减少。须满</w:t>
      </w:r>
      <w:r>
        <w:rPr>
          <w:spacing w:val="-2"/>
        </w:rPr>
        <w:t>足下列全部条件：</w:t>
      </w:r>
    </w:p>
    <w:p>
      <w:pPr>
        <w:pStyle w:val="ListParagraph"/>
        <w:numPr>
          <w:ilvl w:val="0"/>
          <w:numId w:val="33"/>
        </w:numPr>
        <w:tabs>
          <w:tab w:pos="641" w:val="left" w:leader="none"/>
        </w:tabs>
        <w:spacing w:line="278" w:lineRule="auto" w:before="0" w:after="0"/>
        <w:ind w:left="111" w:right="216" w:firstLine="0"/>
        <w:jc w:val="left"/>
        <w:rPr>
          <w:sz w:val="21"/>
        </w:rPr>
      </w:pPr>
      <w:r>
        <w:rPr>
          <w:spacing w:val="-3"/>
          <w:sz w:val="21"/>
        </w:rPr>
        <w:t>骨髓穿刺检查或骨髓活检结果支持诊断：骨髓细胞增生程度&lt;正常的 </w:t>
      </w:r>
      <w:r>
        <w:rPr>
          <w:spacing w:val="-2"/>
          <w:sz w:val="21"/>
        </w:rPr>
        <w:t>25%；如≥</w:t>
      </w:r>
      <w:r>
        <w:rPr>
          <w:spacing w:val="-11"/>
          <w:sz w:val="21"/>
        </w:rPr>
        <w:t>正常的 </w:t>
      </w:r>
      <w:r>
        <w:rPr>
          <w:sz w:val="21"/>
        </w:rPr>
        <w:t>25%但&lt;50%，则残存的造血细胞应&lt;30%；</w:t>
      </w:r>
    </w:p>
    <w:p>
      <w:pPr>
        <w:pStyle w:val="ListParagraph"/>
        <w:numPr>
          <w:ilvl w:val="0"/>
          <w:numId w:val="33"/>
        </w:numPr>
        <w:tabs>
          <w:tab w:pos="641" w:val="left" w:leader="none"/>
        </w:tabs>
        <w:spacing w:line="269" w:lineRule="exact" w:before="0" w:after="0"/>
        <w:ind w:left="640" w:right="0" w:hanging="530"/>
        <w:jc w:val="left"/>
        <w:rPr>
          <w:sz w:val="21"/>
        </w:rPr>
      </w:pPr>
      <w:r>
        <w:rPr>
          <w:spacing w:val="-3"/>
          <w:sz w:val="21"/>
        </w:rPr>
        <w:t>外周血象须具备以下三项条件中的两项：</w:t>
      </w:r>
    </w:p>
    <w:p>
      <w:pPr>
        <w:pStyle w:val="BodyText"/>
        <w:spacing w:before="20"/>
        <w:ind w:left="111"/>
      </w:pPr>
      <w:r>
        <w:rPr>
          <w:spacing w:val="-2"/>
        </w:rPr>
        <w:t>①中性粒细胞绝对值&lt;0.5×10</w:t>
      </w:r>
      <w:r>
        <w:rPr>
          <w:rFonts w:ascii="仿宋" w:hAnsi="仿宋" w:eastAsia="仿宋"/>
          <w:spacing w:val="-2"/>
          <w:position w:val="12"/>
          <w:sz w:val="12"/>
        </w:rPr>
        <w:t>9</w:t>
      </w:r>
      <w:r>
        <w:rPr>
          <w:spacing w:val="-2"/>
        </w:rPr>
        <w:t>/L；</w:t>
      </w:r>
    </w:p>
    <w:p>
      <w:pPr>
        <w:pStyle w:val="BodyText"/>
        <w:spacing w:before="12"/>
        <w:ind w:left="111"/>
      </w:pPr>
      <w:r>
        <w:rPr>
          <w:spacing w:val="-2"/>
        </w:rPr>
        <w:t>②网织红细胞计数&lt;20×10</w:t>
      </w:r>
      <w:r>
        <w:rPr>
          <w:rFonts w:ascii="仿宋" w:hAnsi="仿宋" w:eastAsia="仿宋"/>
          <w:spacing w:val="-2"/>
          <w:position w:val="12"/>
          <w:sz w:val="12"/>
        </w:rPr>
        <w:t>9</w:t>
      </w:r>
      <w:r>
        <w:rPr>
          <w:spacing w:val="-2"/>
        </w:rPr>
        <w:t>/L；</w:t>
      </w:r>
    </w:p>
    <w:p>
      <w:pPr>
        <w:pStyle w:val="BodyText"/>
        <w:ind w:left="111"/>
      </w:pPr>
      <w:r>
        <w:rPr>
          <w:spacing w:val="-2"/>
        </w:rPr>
        <w:t>③血小板绝对值</w:t>
      </w:r>
      <w:r>
        <w:rPr>
          <w:rFonts w:ascii="Times New Roman" w:hAnsi="Times New Roman" w:eastAsia="Times New Roman"/>
          <w:spacing w:val="-2"/>
        </w:rPr>
        <w:t>&lt;20</w:t>
      </w:r>
      <w:r>
        <w:rPr>
          <w:spacing w:val="-2"/>
        </w:rPr>
        <w:t>×</w:t>
      </w:r>
      <w:r>
        <w:rPr>
          <w:rFonts w:ascii="Times New Roman" w:hAnsi="Times New Roman" w:eastAsia="Times New Roman"/>
          <w:spacing w:val="-2"/>
        </w:rPr>
        <w:t>10</w:t>
      </w:r>
      <w:r>
        <w:rPr>
          <w:rFonts w:ascii="仿宋" w:hAnsi="仿宋" w:eastAsia="仿宋"/>
          <w:spacing w:val="-2"/>
          <w:vertAlign w:val="superscript"/>
        </w:rPr>
        <w:t>9</w:t>
      </w:r>
      <w:r>
        <w:rPr>
          <w:rFonts w:ascii="Times New Roman" w:hAnsi="Times New Roman" w:eastAsia="Times New Roman"/>
          <w:spacing w:val="-2"/>
          <w:vertAlign w:val="baseline"/>
        </w:rPr>
        <w:t>/L</w:t>
      </w:r>
      <w:r>
        <w:rPr>
          <w:spacing w:val="-10"/>
          <w:vertAlign w:val="baseline"/>
        </w:rPr>
        <w:t>。</w:t>
      </w:r>
    </w:p>
    <w:p>
      <w:pPr>
        <w:spacing w:after="0"/>
        <w:sectPr>
          <w:type w:val="continuous"/>
          <w:pgSz w:w="11910" w:h="16840"/>
          <w:pgMar w:header="0" w:footer="1120" w:top="1120" w:bottom="1300" w:left="1020" w:right="1020"/>
          <w:cols w:num="2" w:equalWidth="0">
            <w:col w:w="1772" w:space="40"/>
            <w:col w:w="8058"/>
          </w:cols>
        </w:sectPr>
      </w:pPr>
    </w:p>
    <w:p>
      <w:pPr>
        <w:pStyle w:val="BodyText"/>
        <w:spacing w:before="11"/>
        <w:rPr>
          <w:sz w:val="14"/>
        </w:rPr>
      </w:pPr>
    </w:p>
    <w:p>
      <w:pPr>
        <w:spacing w:after="0"/>
        <w:rPr>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主动脉</w:t>
      </w:r>
      <w:r>
        <w:rPr>
          <w:rFonts w:ascii="楷体" w:eastAsia="楷体" w:hint="eastAsia"/>
          <w:b/>
          <w:spacing w:val="-6"/>
          <w:sz w:val="21"/>
        </w:rPr>
        <w:t>手术</w:t>
      </w:r>
    </w:p>
    <w:p>
      <w:pPr>
        <w:pStyle w:val="BodyText"/>
        <w:spacing w:line="278" w:lineRule="auto" w:before="71"/>
        <w:ind w:left="178" w:right="214"/>
        <w:jc w:val="both"/>
      </w:pPr>
      <w:r>
        <w:rPr/>
        <w:br w:type="column"/>
      </w:r>
      <w:r>
        <w:rPr>
          <w:spacing w:val="-2"/>
        </w:rPr>
        <w:t>指为治疗主动脉疾病或主动脉创伤，已经实施了开胸（含胸腔镜下）或开腹（含腹腔</w:t>
      </w:r>
      <w:r>
        <w:rPr>
          <w:spacing w:val="-2"/>
        </w:rPr>
        <w:t>镜下）进行的切除、置换、修补病损主动脉血管、主动脉创伤后修复的手术。主动脉</w:t>
      </w:r>
      <w:r>
        <w:rPr>
          <w:spacing w:val="-4"/>
        </w:rPr>
        <w:t>指升主动脉、主动脉弓和降主动脉（含胸主动脉和腹主动脉</w:t>
      </w:r>
      <w:r>
        <w:rPr>
          <w:spacing w:val="-74"/>
        </w:rPr>
        <w:t>）</w:t>
      </w:r>
      <w:r>
        <w:rPr>
          <w:spacing w:val="-13"/>
        </w:rPr>
        <w:t>，不包括升主动脉、主动</w:t>
      </w:r>
      <w:r>
        <w:rPr>
          <w:spacing w:val="-2"/>
        </w:rPr>
        <w:t>脉弓和降主动脉的分支血管。</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spacing w:before="37"/>
        <w:ind w:left="331" w:right="113" w:firstLine="0"/>
        <w:jc w:val="center"/>
        <w:rPr>
          <w:rFonts w:ascii="黑体" w:eastAsia="黑体"/>
          <w:sz w:val="24"/>
        </w:rPr>
      </w:pPr>
      <w:r>
        <w:rPr>
          <w:rFonts w:ascii="黑体" w:eastAsia="黑体"/>
          <w:spacing w:val="-1"/>
          <w:sz w:val="24"/>
        </w:rPr>
        <w:t>所有未实施开胸或开腹的动脉内介入治疗不在保障范围内。</w:t>
      </w:r>
    </w:p>
    <w:p>
      <w:pPr>
        <w:pStyle w:val="BodyText"/>
        <w:spacing w:before="5"/>
        <w:rPr>
          <w:rFonts w:ascii="黑体"/>
          <w:sz w:val="14"/>
        </w:rPr>
      </w:pPr>
    </w:p>
    <w:p>
      <w:pPr>
        <w:spacing w:after="0"/>
        <w:rPr>
          <w:rFonts w:ascii="黑体"/>
          <w:sz w:val="14"/>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严重慢</w:t>
      </w:r>
      <w:r>
        <w:rPr>
          <w:rFonts w:ascii="楷体" w:eastAsia="楷体" w:hint="eastAsia"/>
          <w:b/>
          <w:spacing w:val="-2"/>
          <w:sz w:val="21"/>
        </w:rPr>
        <w:t>性呼吸衰竭</w:t>
      </w:r>
    </w:p>
    <w:p>
      <w:pPr>
        <w:pStyle w:val="BodyText"/>
        <w:spacing w:line="278" w:lineRule="auto" w:before="71"/>
        <w:ind w:left="178" w:right="216"/>
      </w:pPr>
      <w:r>
        <w:rPr/>
        <w:br w:type="column"/>
      </w:r>
      <w:r>
        <w:rPr>
          <w:spacing w:val="-4"/>
        </w:rPr>
        <w:t>指因慢性呼吸系统疾病导致永久不可逆性的呼吸衰竭，经过积极治疗 </w:t>
      </w:r>
      <w:r>
        <w:rPr>
          <w:spacing w:val="-2"/>
        </w:rPr>
        <w:t>180</w:t>
      </w:r>
      <w:r>
        <w:rPr>
          <w:spacing w:val="-12"/>
        </w:rPr>
        <w:t> 天后满足以</w:t>
      </w:r>
      <w:r>
        <w:rPr>
          <w:spacing w:val="-2"/>
        </w:rPr>
        <w:t>下所有条件：</w:t>
      </w:r>
    </w:p>
    <w:p>
      <w:pPr>
        <w:pStyle w:val="ListParagraph"/>
        <w:numPr>
          <w:ilvl w:val="0"/>
          <w:numId w:val="34"/>
        </w:numPr>
        <w:tabs>
          <w:tab w:pos="708" w:val="left" w:leader="none"/>
        </w:tabs>
        <w:spacing w:line="269" w:lineRule="exact" w:before="0" w:after="0"/>
        <w:ind w:left="707" w:right="0" w:hanging="530"/>
        <w:jc w:val="left"/>
        <w:rPr>
          <w:sz w:val="21"/>
        </w:rPr>
      </w:pPr>
      <w:r>
        <w:rPr>
          <w:spacing w:val="-3"/>
          <w:sz w:val="21"/>
        </w:rPr>
        <w:t>静息时出现呼吸困难；</w:t>
      </w:r>
    </w:p>
    <w:p>
      <w:pPr>
        <w:pStyle w:val="ListParagraph"/>
        <w:numPr>
          <w:ilvl w:val="0"/>
          <w:numId w:val="34"/>
        </w:numPr>
        <w:tabs>
          <w:tab w:pos="708" w:val="left" w:leader="none"/>
        </w:tabs>
        <w:spacing w:line="240" w:lineRule="auto" w:before="50" w:after="0"/>
        <w:ind w:left="707" w:right="0" w:hanging="530"/>
        <w:jc w:val="left"/>
        <w:rPr>
          <w:sz w:val="21"/>
        </w:rPr>
      </w:pPr>
      <w:r>
        <w:rPr>
          <w:spacing w:val="-2"/>
          <w:position w:val="2"/>
          <w:sz w:val="21"/>
        </w:rPr>
        <w:t>肺功能第一秒用力呼气容积（FEV</w:t>
      </w:r>
      <w:r>
        <w:rPr>
          <w:rFonts w:ascii="仿宋" w:eastAsia="仿宋"/>
          <w:spacing w:val="-2"/>
          <w:sz w:val="12"/>
        </w:rPr>
        <w:t>1</w:t>
      </w:r>
      <w:r>
        <w:rPr>
          <w:spacing w:val="-2"/>
          <w:position w:val="2"/>
          <w:sz w:val="21"/>
        </w:rPr>
        <w:t>）占预计值的百分比＜30%；</w:t>
      </w:r>
    </w:p>
    <w:p>
      <w:pPr>
        <w:pStyle w:val="ListParagraph"/>
        <w:numPr>
          <w:ilvl w:val="0"/>
          <w:numId w:val="34"/>
        </w:numPr>
        <w:tabs>
          <w:tab w:pos="708" w:val="left" w:leader="none"/>
        </w:tabs>
        <w:spacing w:line="240" w:lineRule="auto" w:before="43" w:after="0"/>
        <w:ind w:left="707" w:right="0" w:hanging="530"/>
        <w:jc w:val="left"/>
        <w:rPr>
          <w:sz w:val="21"/>
        </w:rPr>
      </w:pPr>
      <w:r>
        <w:rPr>
          <w:spacing w:val="-2"/>
          <w:position w:val="2"/>
          <w:sz w:val="21"/>
        </w:rPr>
        <w:t>在静息状态、呼吸空气条件下，动脉血氧分压（PaO</w:t>
      </w:r>
      <w:r>
        <w:rPr>
          <w:rFonts w:ascii="仿宋" w:eastAsia="仿宋"/>
          <w:spacing w:val="-2"/>
          <w:sz w:val="12"/>
        </w:rPr>
        <w:t>2</w:t>
      </w:r>
      <w:r>
        <w:rPr>
          <w:spacing w:val="-2"/>
          <w:position w:val="2"/>
          <w:sz w:val="21"/>
        </w:rPr>
        <w:t>）＜50mmHg</w:t>
      </w:r>
      <w:r>
        <w:rPr>
          <w:spacing w:val="-10"/>
          <w:position w:val="2"/>
          <w:sz w:val="21"/>
        </w:rPr>
        <w:t>。</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0"/>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严重克</w:t>
      </w:r>
      <w:r>
        <w:rPr>
          <w:rFonts w:ascii="楷体" w:eastAsia="楷体" w:hint="eastAsia"/>
          <w:b/>
          <w:spacing w:val="-4"/>
          <w:sz w:val="21"/>
        </w:rPr>
        <w:t>罗恩病</w:t>
      </w:r>
    </w:p>
    <w:p>
      <w:pPr>
        <w:pStyle w:val="BodyText"/>
        <w:spacing w:line="278" w:lineRule="auto" w:before="72"/>
        <w:ind w:left="178" w:right="215"/>
      </w:pPr>
      <w:r>
        <w:rPr/>
        <w:br w:type="column"/>
      </w:r>
      <w:r>
        <w:rPr/>
        <w:t>指一种慢性肉芽肿性肠炎，具有特征性的克罗恩病（Crohn</w:t>
      </w:r>
      <w:r>
        <w:rPr>
          <w:spacing w:val="-24"/>
        </w:rPr>
        <w:t> 病</w:t>
      </w:r>
      <w:r>
        <w:rPr/>
        <w:t>）病理组织学变化，须</w:t>
      </w:r>
      <w:r>
        <w:rPr>
          <w:spacing w:val="-2"/>
        </w:rPr>
        <w:t>根据组织病理学特点诊断，且已经造成瘘管形成并伴有肠梗阻或肠穿孔。</w:t>
      </w:r>
    </w:p>
    <w:p>
      <w:pPr>
        <w:spacing w:after="0" w:line="278" w:lineRule="auto"/>
        <w:sectPr>
          <w:type w:val="continuous"/>
          <w:pgSz w:w="11910" w:h="16840"/>
          <w:pgMar w:header="0" w:footer="1120" w:top="1120" w:bottom="1300" w:left="1020" w:right="1020"/>
          <w:cols w:num="2" w:equalWidth="0">
            <w:col w:w="1705" w:space="40"/>
            <w:col w:w="8125"/>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严重溃</w:t>
      </w:r>
      <w:r>
        <w:rPr>
          <w:rFonts w:ascii="楷体" w:eastAsia="楷体" w:hint="eastAsia"/>
          <w:b/>
          <w:spacing w:val="-2"/>
          <w:sz w:val="21"/>
        </w:rPr>
        <w:t>疡性结肠炎</w:t>
      </w:r>
    </w:p>
    <w:p>
      <w:pPr>
        <w:pStyle w:val="BodyText"/>
        <w:spacing w:line="278" w:lineRule="auto" w:before="72"/>
        <w:ind w:left="178" w:right="214"/>
        <w:jc w:val="both"/>
      </w:pPr>
      <w:r>
        <w:rPr/>
        <w:br w:type="column"/>
      </w:r>
      <w:r>
        <w:rPr>
          <w:spacing w:val="-2"/>
        </w:rPr>
        <w:t>指伴有致命性电解质紊乱的急性暴发性溃疡性结肠炎，病变已经累及全结肠，表现为</w:t>
      </w:r>
      <w:r>
        <w:rPr>
          <w:spacing w:val="-2"/>
        </w:rPr>
        <w:t>严重的血便和系统性症状体征，须根据组织病理学特点诊断，且已经实施了结肠切除</w:t>
      </w:r>
      <w:r>
        <w:rPr>
          <w:spacing w:val="-2"/>
        </w:rPr>
        <w:t>或回肠造瘘术。</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嗜铬细</w:t>
      </w:r>
      <w:r>
        <w:rPr>
          <w:rFonts w:ascii="楷体" w:eastAsia="楷体" w:hint="eastAsia"/>
          <w:b/>
          <w:spacing w:val="-6"/>
          <w:sz w:val="21"/>
        </w:rPr>
        <w:t>胞瘤</w:t>
      </w:r>
    </w:p>
    <w:p>
      <w:pPr>
        <w:pStyle w:val="BodyText"/>
        <w:spacing w:line="278" w:lineRule="auto" w:before="72"/>
        <w:ind w:left="178" w:right="215"/>
      </w:pPr>
      <w:r>
        <w:rPr/>
        <w:br w:type="column"/>
      </w:r>
      <w:r>
        <w:rPr>
          <w:spacing w:val="2"/>
          <w:w w:val="100"/>
        </w:rPr>
        <w:t>指发生在肾上腺或肾上腺外嗜铬组织的以分泌过多的儿茶酚胺为表现的神经内分泌</w:t>
      </w:r>
      <w:r>
        <w:rPr>
          <w:spacing w:val="-3"/>
          <w:w w:val="100"/>
        </w:rPr>
        <w:t>肿瘤。且须满足下列全部条件：</w:t>
      </w:r>
    </w:p>
    <w:p>
      <w:pPr>
        <w:pStyle w:val="ListParagraph"/>
        <w:numPr>
          <w:ilvl w:val="0"/>
          <w:numId w:val="35"/>
        </w:numPr>
        <w:tabs>
          <w:tab w:pos="708" w:val="left" w:leader="none"/>
        </w:tabs>
        <w:spacing w:line="269" w:lineRule="exact" w:before="0" w:after="0"/>
        <w:ind w:left="707" w:right="0" w:hanging="530"/>
        <w:jc w:val="left"/>
        <w:rPr>
          <w:sz w:val="21"/>
        </w:rPr>
      </w:pPr>
      <w:r>
        <w:rPr>
          <w:spacing w:val="-3"/>
          <w:sz w:val="21"/>
        </w:rPr>
        <w:t>临床有高血压症候群表现；</w:t>
      </w:r>
    </w:p>
    <w:p>
      <w:pPr>
        <w:pStyle w:val="ListParagraph"/>
        <w:numPr>
          <w:ilvl w:val="0"/>
          <w:numId w:val="35"/>
        </w:numPr>
        <w:tabs>
          <w:tab w:pos="708" w:val="left" w:leader="none"/>
        </w:tabs>
        <w:spacing w:line="240" w:lineRule="auto" w:before="42" w:after="0"/>
        <w:ind w:left="707" w:right="0" w:hanging="530"/>
        <w:jc w:val="left"/>
        <w:rPr>
          <w:sz w:val="21"/>
        </w:rPr>
      </w:pPr>
      <w:r>
        <w:rPr>
          <w:spacing w:val="-3"/>
          <w:sz w:val="21"/>
        </w:rPr>
        <w:t>已经实施了切除嗜铬细胞瘤手术。</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12"/>
        <w:rPr>
          <w:sz w:val="14"/>
        </w:rPr>
      </w:pPr>
    </w:p>
    <w:p>
      <w:pPr>
        <w:spacing w:after="0"/>
        <w:rPr>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8" w:after="0"/>
        <w:ind w:left="504" w:right="0" w:firstLine="0"/>
        <w:jc w:val="left"/>
        <w:rPr>
          <w:rFonts w:ascii="楷体" w:eastAsia="楷体" w:hint="eastAsia"/>
          <w:b/>
          <w:sz w:val="21"/>
        </w:rPr>
      </w:pPr>
      <w:r>
        <w:rPr>
          <w:rFonts w:ascii="楷体" w:eastAsia="楷体" w:hint="eastAsia"/>
          <w:b/>
          <w:spacing w:val="-4"/>
          <w:sz w:val="21"/>
        </w:rPr>
        <w:t>恶性葡</w:t>
      </w:r>
      <w:r>
        <w:rPr>
          <w:rFonts w:ascii="楷体" w:eastAsia="楷体" w:hint="eastAsia"/>
          <w:b/>
          <w:spacing w:val="-6"/>
          <w:sz w:val="21"/>
        </w:rPr>
        <w:t>萄胎</w:t>
      </w:r>
    </w:p>
    <w:p>
      <w:pPr>
        <w:spacing w:line="266" w:lineRule="auto" w:before="70"/>
        <w:ind w:left="178" w:right="108" w:firstLine="0"/>
        <w:jc w:val="left"/>
        <w:rPr>
          <w:sz w:val="22"/>
        </w:rPr>
      </w:pPr>
      <w:r>
        <w:rPr/>
        <w:br w:type="column"/>
      </w:r>
      <w:r>
        <w:rPr>
          <w:spacing w:val="-2"/>
          <w:sz w:val="22"/>
        </w:rPr>
        <w:t>指因异常增生的绒毛组织浸润性生长浸入子宫肌层或转移至其他器官或组织的葡</w:t>
      </w:r>
      <w:r>
        <w:rPr>
          <w:spacing w:val="-4"/>
          <w:sz w:val="22"/>
        </w:rPr>
        <w:t>萄胎。须由病理及血液检测等检查证实，并经相关专科医生确诊。为治疗该疾病，</w:t>
      </w:r>
      <w:r>
        <w:rPr>
          <w:spacing w:val="-2"/>
          <w:sz w:val="22"/>
        </w:rPr>
        <w:t>已经实施了化疗或手术。</w:t>
      </w:r>
    </w:p>
    <w:p>
      <w:pPr>
        <w:spacing w:after="0" w:line="266" w:lineRule="auto"/>
        <w:jc w:val="left"/>
        <w:rPr>
          <w:sz w:val="22"/>
        </w:rPr>
        <w:sectPr>
          <w:type w:val="continuous"/>
          <w:pgSz w:w="11910" w:h="16840"/>
          <w:pgMar w:header="0" w:footer="1120" w:top="1120" w:bottom="1300" w:left="1020" w:right="1020"/>
          <w:cols w:num="2" w:equalWidth="0">
            <w:col w:w="1705" w:space="40"/>
            <w:col w:w="8125"/>
          </w:cols>
        </w:sectPr>
      </w:pPr>
    </w:p>
    <w:p>
      <w:pPr>
        <w:pStyle w:val="BodyText"/>
        <w:spacing w:before="8"/>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系统性</w:t>
      </w:r>
      <w:r>
        <w:rPr>
          <w:rFonts w:ascii="楷体" w:eastAsia="楷体" w:hint="eastAsia"/>
          <w:b/>
          <w:spacing w:val="-2"/>
          <w:sz w:val="21"/>
        </w:rPr>
        <w:t>红斑狼疮性肾</w:t>
      </w:r>
      <w:r>
        <w:rPr>
          <w:rFonts w:ascii="楷体" w:eastAsia="楷体" w:hint="eastAsia"/>
          <w:b/>
          <w:spacing w:val="-10"/>
          <w:sz w:val="21"/>
        </w:rPr>
        <w:t>炎</w:t>
      </w:r>
    </w:p>
    <w:p>
      <w:pPr>
        <w:pStyle w:val="BodyText"/>
        <w:spacing w:line="278" w:lineRule="auto" w:before="71"/>
        <w:ind w:left="111" w:right="214"/>
        <w:jc w:val="both"/>
      </w:pPr>
      <w:r>
        <w:rPr/>
        <w:br w:type="column"/>
      </w:r>
      <w:r>
        <w:rPr>
          <w:spacing w:val="-2"/>
        </w:rPr>
        <w:t>系统性红斑狼疮是由多种因素引起，累及多系统的自身免疫性疾病。其特点是生成自</w:t>
      </w:r>
      <w:r>
        <w:rPr>
          <w:spacing w:val="-2"/>
        </w:rPr>
        <w:t>身抗体对抗多种自身抗原。多见于育龄妇女。系统性红斑狼疮累及肾脏时称为狼疮性</w:t>
      </w:r>
      <w:r>
        <w:rPr>
          <w:spacing w:val="-2"/>
        </w:rPr>
        <w:t>肾炎，世界卫生组织狼疮性肾炎分型根据肾活检病理分为Ⅰ-Ⅴ型。被保险人必须被</w:t>
      </w:r>
      <w:r>
        <w:rPr>
          <w:spacing w:val="-2"/>
        </w:rPr>
        <w:t>明确诊断为狼疮性肾炎并且满足下列全部条件：</w:t>
      </w:r>
    </w:p>
    <w:p>
      <w:pPr>
        <w:pStyle w:val="ListParagraph"/>
        <w:numPr>
          <w:ilvl w:val="0"/>
          <w:numId w:val="36"/>
        </w:numPr>
        <w:tabs>
          <w:tab w:pos="743" w:val="left" w:leader="none"/>
        </w:tabs>
        <w:spacing w:line="269" w:lineRule="exact" w:before="0" w:after="0"/>
        <w:ind w:left="742" w:right="0" w:hanging="632"/>
        <w:jc w:val="both"/>
        <w:rPr>
          <w:sz w:val="21"/>
        </w:rPr>
      </w:pPr>
      <w:r>
        <w:rPr>
          <w:spacing w:val="-2"/>
          <w:sz w:val="21"/>
        </w:rPr>
        <w:t>肾小球滤过率&lt;</w:t>
      </w:r>
      <w:r>
        <w:rPr>
          <w:rFonts w:ascii="Arial" w:eastAsia="Arial"/>
          <w:spacing w:val="-2"/>
          <w:sz w:val="21"/>
        </w:rPr>
        <w:t>30ml/min/1.73m</w:t>
      </w:r>
      <w:r>
        <w:rPr>
          <w:rFonts w:ascii="Arial" w:eastAsia="Arial"/>
          <w:spacing w:val="-2"/>
          <w:position w:val="7"/>
          <w:sz w:val="14"/>
        </w:rPr>
        <w:t>2</w:t>
      </w:r>
      <w:r>
        <w:rPr>
          <w:spacing w:val="-2"/>
          <w:sz w:val="21"/>
        </w:rPr>
        <w:t>；</w:t>
      </w:r>
    </w:p>
    <w:p>
      <w:pPr>
        <w:pStyle w:val="ListParagraph"/>
        <w:numPr>
          <w:ilvl w:val="0"/>
          <w:numId w:val="36"/>
        </w:numPr>
        <w:tabs>
          <w:tab w:pos="743" w:val="left" w:leader="none"/>
        </w:tabs>
        <w:spacing w:line="240" w:lineRule="auto" w:before="43" w:after="0"/>
        <w:ind w:left="742" w:right="0" w:hanging="632"/>
        <w:jc w:val="both"/>
        <w:rPr>
          <w:sz w:val="21"/>
        </w:rPr>
      </w:pPr>
      <w:r>
        <w:rPr>
          <w:spacing w:val="-2"/>
          <w:sz w:val="21"/>
        </w:rPr>
        <w:t>血肌酐&gt;</w:t>
      </w:r>
      <w:r>
        <w:rPr>
          <w:rFonts w:ascii="Arial" w:eastAsia="Arial"/>
          <w:spacing w:val="-2"/>
          <w:sz w:val="21"/>
        </w:rPr>
        <w:t>5mg/dl</w:t>
      </w:r>
      <w:r>
        <w:rPr>
          <w:rFonts w:ascii="Arial" w:eastAsia="Arial"/>
          <w:spacing w:val="-1"/>
          <w:sz w:val="21"/>
        </w:rPr>
        <w:t> </w:t>
      </w:r>
      <w:r>
        <w:rPr>
          <w:spacing w:val="-24"/>
          <w:sz w:val="21"/>
        </w:rPr>
        <w:t>或 </w:t>
      </w:r>
      <w:r>
        <w:rPr>
          <w:rFonts w:ascii="Arial" w:eastAsia="Arial"/>
          <w:spacing w:val="-2"/>
          <w:sz w:val="21"/>
        </w:rPr>
        <w:t>442umol/L</w:t>
      </w:r>
      <w:r>
        <w:rPr>
          <w:spacing w:val="-2"/>
          <w:sz w:val="21"/>
        </w:rPr>
        <w:t>；</w:t>
      </w:r>
    </w:p>
    <w:p>
      <w:pPr>
        <w:pStyle w:val="ListParagraph"/>
        <w:numPr>
          <w:ilvl w:val="0"/>
          <w:numId w:val="36"/>
        </w:numPr>
        <w:tabs>
          <w:tab w:pos="743" w:val="left" w:leader="none"/>
        </w:tabs>
        <w:spacing w:line="240" w:lineRule="auto" w:before="43" w:after="0"/>
        <w:ind w:left="742" w:right="0" w:hanging="632"/>
        <w:jc w:val="left"/>
        <w:rPr>
          <w:sz w:val="21"/>
        </w:rPr>
      </w:pPr>
      <w:r>
        <w:rPr>
          <w:spacing w:val="-18"/>
          <w:sz w:val="21"/>
        </w:rPr>
        <w:t>持续 </w:t>
      </w:r>
      <w:r>
        <w:rPr>
          <w:rFonts w:ascii="Arial" w:eastAsia="Arial"/>
          <w:sz w:val="21"/>
        </w:rPr>
        <w:t>180</w:t>
      </w:r>
      <w:r>
        <w:rPr>
          <w:rFonts w:ascii="Arial" w:eastAsia="Arial"/>
          <w:spacing w:val="-14"/>
          <w:sz w:val="21"/>
        </w:rPr>
        <w:t> </w:t>
      </w:r>
      <w:r>
        <w:rPr>
          <w:spacing w:val="-3"/>
          <w:sz w:val="21"/>
        </w:rPr>
        <w:t>天以上。</w:t>
      </w:r>
    </w:p>
    <w:p>
      <w:pPr>
        <w:spacing w:before="20"/>
        <w:ind w:left="111" w:right="0" w:firstLine="0"/>
        <w:jc w:val="left"/>
        <w:rPr>
          <w:rFonts w:ascii="黑体" w:eastAsia="黑体"/>
          <w:sz w:val="24"/>
        </w:rPr>
      </w:pPr>
      <w:r>
        <w:rPr>
          <w:rFonts w:ascii="黑体" w:eastAsia="黑体"/>
          <w:spacing w:val="-1"/>
          <w:sz w:val="24"/>
        </w:rPr>
        <w:t>其他类型的红斑性狼疮或系统性红斑狼疮不在保障范围內。</w:t>
      </w:r>
    </w:p>
    <w:p>
      <w:pPr>
        <w:pStyle w:val="BodyText"/>
        <w:spacing w:before="28"/>
        <w:ind w:left="111"/>
      </w:pPr>
      <w:r>
        <w:rPr>
          <w:spacing w:val="-2"/>
        </w:rPr>
        <w:t>Ⅰ型（微小病变型</w:t>
      </w:r>
      <w:r>
        <w:rPr>
          <w:spacing w:val="-108"/>
        </w:rPr>
        <w:t>）</w:t>
      </w:r>
      <w:r>
        <w:rPr>
          <w:spacing w:val="-3"/>
        </w:rPr>
        <w:t>：镜下阴性，尿液正常；</w:t>
      </w:r>
    </w:p>
    <w:p>
      <w:pPr>
        <w:pStyle w:val="BodyText"/>
        <w:spacing w:line="278" w:lineRule="auto"/>
        <w:ind w:left="111" w:right="2873"/>
      </w:pPr>
      <w:r>
        <w:rPr>
          <w:spacing w:val="-2"/>
        </w:rPr>
        <w:t>Ⅱ型（系膜病变型</w:t>
      </w:r>
      <w:r>
        <w:rPr>
          <w:spacing w:val="-108"/>
        </w:rPr>
        <w:t>）</w:t>
      </w:r>
      <w:r>
        <w:rPr>
          <w:spacing w:val="-2"/>
        </w:rPr>
        <w:t>：中度蛋白尿，偶有尿沉渣改变； Ⅲ型（局灶及节段增生型</w:t>
      </w:r>
      <w:r>
        <w:rPr>
          <w:spacing w:val="-108"/>
        </w:rPr>
        <w:t>）</w:t>
      </w:r>
      <w:r>
        <w:rPr>
          <w:spacing w:val="-2"/>
        </w:rPr>
        <w:t>：蛋白尿，尿沉渣改变；</w:t>
      </w:r>
    </w:p>
    <w:p>
      <w:pPr>
        <w:pStyle w:val="BodyText"/>
        <w:spacing w:line="278" w:lineRule="auto" w:before="0"/>
        <w:ind w:left="111" w:right="1852"/>
      </w:pPr>
      <w:r>
        <w:rPr>
          <w:spacing w:val="-2"/>
        </w:rPr>
        <w:t>Ⅳ型（弥漫增生型</w:t>
      </w:r>
      <w:r>
        <w:rPr>
          <w:spacing w:val="-108"/>
        </w:rPr>
        <w:t>）</w:t>
      </w:r>
      <w:r>
        <w:rPr>
          <w:spacing w:val="-2"/>
        </w:rPr>
        <w:t>：急性肾炎伴有尿沉渣改变及/或肾病综合征； Ⅴ型（膜型</w:t>
      </w:r>
      <w:r>
        <w:rPr>
          <w:spacing w:val="-106"/>
        </w:rPr>
        <w:t>）</w:t>
      </w:r>
      <w:r>
        <w:rPr>
          <w:spacing w:val="-3"/>
        </w:rPr>
        <w:t>：肾病综合征或重度蛋白尿。</w:t>
      </w:r>
    </w:p>
    <w:p>
      <w:pPr>
        <w:spacing w:after="0" w:line="278" w:lineRule="auto"/>
        <w:sectPr>
          <w:type w:val="continuous"/>
          <w:pgSz w:w="11910" w:h="16840"/>
          <w:pgMar w:header="0" w:footer="1120" w:top="1120" w:bottom="1300" w:left="1020" w:right="1020"/>
          <w:cols w:num="2" w:equalWidth="0">
            <w:col w:w="1772" w:space="40"/>
            <w:col w:w="8058"/>
          </w:cols>
        </w:sectPr>
      </w:pPr>
    </w:p>
    <w:p>
      <w:pPr>
        <w:pStyle w:val="BodyText"/>
        <w:spacing w:before="12"/>
        <w:rPr>
          <w:sz w:val="11"/>
        </w:rPr>
      </w:pPr>
    </w:p>
    <w:p>
      <w:pPr>
        <w:spacing w:after="0"/>
        <w:rPr>
          <w:sz w:val="11"/>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特发性</w:t>
      </w:r>
      <w:r>
        <w:rPr>
          <w:rFonts w:ascii="楷体" w:eastAsia="楷体" w:hint="eastAsia"/>
          <w:b/>
          <w:spacing w:val="-2"/>
          <w:sz w:val="21"/>
        </w:rPr>
        <w:t>慢性肾上腺皮</w:t>
      </w:r>
      <w:r>
        <w:rPr>
          <w:rFonts w:ascii="楷体" w:eastAsia="楷体" w:hint="eastAsia"/>
          <w:b/>
          <w:spacing w:val="-2"/>
          <w:sz w:val="21"/>
        </w:rPr>
        <w:t>质功能衰竭</w:t>
      </w:r>
    </w:p>
    <w:p>
      <w:pPr>
        <w:pStyle w:val="BodyText"/>
        <w:spacing w:line="278" w:lineRule="auto" w:before="72"/>
        <w:ind w:left="111" w:right="216"/>
      </w:pPr>
      <w:r>
        <w:rPr/>
        <w:br w:type="column"/>
      </w:r>
      <w:r>
        <w:rPr>
          <w:spacing w:val="-2"/>
        </w:rPr>
        <w:t>指自身免疫性肾上腺炎（既往称：特发性肾上腺皮质萎缩）导致肾上腺萎缩和慢性肾</w:t>
      </w:r>
      <w:r>
        <w:rPr>
          <w:spacing w:val="-2"/>
        </w:rPr>
        <w:t>上腺皮质功能减退。经相关专科医生确诊，且须满足下列全部条件：</w:t>
      </w:r>
    </w:p>
    <w:p>
      <w:pPr>
        <w:pStyle w:val="ListParagraph"/>
        <w:numPr>
          <w:ilvl w:val="0"/>
          <w:numId w:val="37"/>
        </w:numPr>
        <w:tabs>
          <w:tab w:pos="641" w:val="left" w:leader="none"/>
        </w:tabs>
        <w:spacing w:line="278" w:lineRule="auto" w:before="0" w:after="0"/>
        <w:ind w:left="636" w:right="218" w:hanging="526"/>
        <w:jc w:val="both"/>
        <w:rPr>
          <w:sz w:val="21"/>
        </w:rPr>
      </w:pPr>
      <w:r>
        <w:rPr>
          <w:spacing w:val="-2"/>
          <w:sz w:val="21"/>
        </w:rPr>
        <w:t>血浆促肾上腺皮质激素（</w:t>
      </w:r>
      <w:r>
        <w:rPr>
          <w:rFonts w:ascii="Times New Roman" w:hAnsi="Times New Roman" w:eastAsia="Times New Roman"/>
          <w:spacing w:val="-2"/>
          <w:sz w:val="21"/>
        </w:rPr>
        <w:t>ACTH</w:t>
      </w:r>
      <w:r>
        <w:rPr>
          <w:spacing w:val="-2"/>
          <w:sz w:val="21"/>
        </w:rPr>
        <w:t>）水平测定</w:t>
      </w:r>
      <w:r>
        <w:rPr>
          <w:rFonts w:ascii="Times New Roman" w:hAnsi="Times New Roman" w:eastAsia="Times New Roman"/>
          <w:spacing w:val="-2"/>
          <w:sz w:val="21"/>
        </w:rPr>
        <w:t>&gt;100pg/ml</w:t>
      </w:r>
      <w:r>
        <w:rPr>
          <w:spacing w:val="-7"/>
          <w:sz w:val="21"/>
        </w:rPr>
        <w:t>； 血浆肾素活性、血管紧</w:t>
      </w:r>
      <w:r>
        <w:rPr>
          <w:spacing w:val="-3"/>
          <w:sz w:val="21"/>
        </w:rPr>
        <w:t>张素Ⅱ和醛固酮测定，显示为原发性肾上腺皮质功能减退症； 促肾上腺皮质激</w:t>
      </w:r>
      <w:r>
        <w:rPr>
          <w:spacing w:val="-2"/>
          <w:sz w:val="21"/>
        </w:rPr>
        <w:t>素（</w:t>
      </w:r>
      <w:r>
        <w:rPr>
          <w:rFonts w:ascii="Times New Roman" w:hAnsi="Times New Roman" w:eastAsia="Times New Roman"/>
          <w:spacing w:val="-2"/>
          <w:sz w:val="21"/>
        </w:rPr>
        <w:t>ACTH</w:t>
      </w:r>
      <w:r>
        <w:rPr>
          <w:spacing w:val="-2"/>
          <w:sz w:val="21"/>
        </w:rPr>
        <w:t>）刺激试验显示为原发性肾上腺皮质功能减退症。</w:t>
      </w:r>
    </w:p>
    <w:p>
      <w:pPr>
        <w:pStyle w:val="ListParagraph"/>
        <w:numPr>
          <w:ilvl w:val="0"/>
          <w:numId w:val="37"/>
        </w:numPr>
        <w:tabs>
          <w:tab w:pos="641" w:val="left" w:leader="none"/>
        </w:tabs>
        <w:spacing w:line="269" w:lineRule="exact" w:before="0" w:after="0"/>
        <w:ind w:left="640" w:right="0" w:hanging="530"/>
        <w:jc w:val="both"/>
        <w:rPr>
          <w:sz w:val="21"/>
        </w:rPr>
      </w:pPr>
      <w:r>
        <w:rPr>
          <w:spacing w:val="-6"/>
          <w:sz w:val="21"/>
        </w:rPr>
        <w:t>已经采用皮质类固醇替代治疗 </w:t>
      </w:r>
      <w:r>
        <w:rPr>
          <w:rFonts w:ascii="Times New Roman" w:eastAsia="Times New Roman"/>
          <w:spacing w:val="-2"/>
          <w:sz w:val="21"/>
        </w:rPr>
        <w:t>180</w:t>
      </w:r>
      <w:r>
        <w:rPr>
          <w:rFonts w:ascii="Times New Roman" w:eastAsia="Times New Roman"/>
          <w:spacing w:val="6"/>
          <w:sz w:val="21"/>
        </w:rPr>
        <w:t> </w:t>
      </w:r>
      <w:r>
        <w:rPr>
          <w:spacing w:val="-4"/>
          <w:sz w:val="21"/>
        </w:rPr>
        <w:t>天以上。</w:t>
      </w:r>
    </w:p>
    <w:p>
      <w:pPr>
        <w:spacing w:before="20"/>
        <w:ind w:left="111" w:right="0" w:firstLine="0"/>
        <w:jc w:val="left"/>
        <w:rPr>
          <w:rFonts w:ascii="黑体" w:eastAsia="黑体"/>
          <w:sz w:val="24"/>
        </w:rPr>
      </w:pPr>
      <w:r>
        <w:rPr>
          <w:rFonts w:ascii="黑体" w:eastAsia="黑体"/>
          <w:spacing w:val="-1"/>
          <w:sz w:val="24"/>
        </w:rPr>
        <w:t>本保障仅包括由自身免疫功能紊乱所导致的慢性肾上腺功能减退。</w:t>
      </w:r>
    </w:p>
    <w:p>
      <w:pPr>
        <w:spacing w:before="4"/>
        <w:ind w:left="111" w:right="0" w:firstLine="0"/>
        <w:jc w:val="left"/>
        <w:rPr>
          <w:rFonts w:ascii="黑体" w:eastAsia="黑体"/>
          <w:sz w:val="24"/>
        </w:rPr>
      </w:pPr>
      <w:r>
        <w:rPr>
          <w:rFonts w:ascii="黑体" w:eastAsia="黑体"/>
          <w:spacing w:val="-2"/>
          <w:sz w:val="24"/>
        </w:rPr>
        <w:t>其他成因（包括但不限于：肾上腺结核、HIV</w:t>
      </w:r>
      <w:r>
        <w:rPr>
          <w:rFonts w:ascii="黑体" w:eastAsia="黑体"/>
          <w:spacing w:val="-5"/>
          <w:sz w:val="24"/>
        </w:rPr>
        <w:t> 感染或艾滋病、感染、肿瘤</w:t>
      </w:r>
      <w:r>
        <w:rPr>
          <w:rFonts w:ascii="黑体" w:eastAsia="黑体"/>
          <w:spacing w:val="-10"/>
          <w:sz w:val="24"/>
        </w:rPr>
        <w:t>）</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spacing w:line="242" w:lineRule="auto" w:before="37"/>
        <w:ind w:left="1922" w:right="213" w:firstLine="0"/>
        <w:jc w:val="left"/>
        <w:rPr>
          <w:rFonts w:ascii="黑体" w:eastAsia="黑体"/>
          <w:sz w:val="24"/>
        </w:rPr>
      </w:pPr>
      <w:r>
        <w:rPr>
          <w:rFonts w:ascii="黑体" w:eastAsia="黑体"/>
          <w:spacing w:val="-2"/>
          <w:sz w:val="24"/>
        </w:rPr>
        <w:t>所致的原发性肾上腺皮质功能减退和继发性肾上腺皮质功能减退均不在保</w:t>
      </w:r>
      <w:r>
        <w:rPr>
          <w:rFonts w:ascii="黑体" w:eastAsia="黑体"/>
          <w:spacing w:val="-2"/>
          <w:sz w:val="24"/>
        </w:rPr>
        <w:t>障范围内。</w:t>
      </w:r>
    </w:p>
    <w:p>
      <w:pPr>
        <w:pStyle w:val="BodyText"/>
        <w:spacing w:before="3"/>
        <w:rPr>
          <w:rFonts w:ascii="黑体"/>
          <w:sz w:val="14"/>
        </w:rPr>
      </w:pPr>
    </w:p>
    <w:p>
      <w:pPr>
        <w:spacing w:after="0"/>
        <w:rPr>
          <w:rFonts w:ascii="黑体"/>
          <w:sz w:val="14"/>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原发性</w:t>
      </w:r>
      <w:r>
        <w:rPr>
          <w:rFonts w:ascii="楷体" w:eastAsia="楷体" w:hint="eastAsia"/>
          <w:b/>
          <w:spacing w:val="-2"/>
          <w:sz w:val="21"/>
        </w:rPr>
        <w:t>硬化性胆管炎</w:t>
      </w:r>
    </w:p>
    <w:p>
      <w:pPr>
        <w:pStyle w:val="BodyText"/>
        <w:spacing w:line="278" w:lineRule="auto" w:before="72"/>
        <w:ind w:left="111" w:right="214"/>
        <w:jc w:val="both"/>
      </w:pPr>
      <w:r>
        <w:rPr/>
        <w:br w:type="column"/>
      </w:r>
      <w:r>
        <w:rPr>
          <w:spacing w:val="-2"/>
        </w:rPr>
        <w:t>指一种胆汁淤积综合征，其特征是肝内、肝外胆道因纤维化性炎症逐渐狭窄，并最终</w:t>
      </w:r>
      <w:r>
        <w:rPr>
          <w:spacing w:val="-2"/>
        </w:rPr>
        <w:t>导致完全阻塞而发展为肝硬化。须由内镜逆行胰胆管造影等影像学检查证实，且须满</w:t>
      </w:r>
      <w:r>
        <w:rPr>
          <w:spacing w:val="-2"/>
        </w:rPr>
        <w:t>足下列全部条件：</w:t>
      </w:r>
    </w:p>
    <w:p>
      <w:pPr>
        <w:pStyle w:val="ListParagraph"/>
        <w:numPr>
          <w:ilvl w:val="0"/>
          <w:numId w:val="38"/>
        </w:numPr>
        <w:tabs>
          <w:tab w:pos="641" w:val="left" w:leader="none"/>
        </w:tabs>
        <w:spacing w:line="269" w:lineRule="exact" w:before="0" w:after="0"/>
        <w:ind w:left="640" w:right="0" w:hanging="530"/>
        <w:jc w:val="both"/>
        <w:rPr>
          <w:sz w:val="21"/>
        </w:rPr>
      </w:pPr>
      <w:r>
        <w:rPr>
          <w:spacing w:val="-5"/>
          <w:sz w:val="21"/>
        </w:rPr>
        <w:t>总胆红素和直接胆红素同时升高，血清 </w:t>
      </w:r>
      <w:r>
        <w:rPr>
          <w:rFonts w:ascii="Times New Roman" w:eastAsia="Times New Roman"/>
          <w:spacing w:val="-2"/>
          <w:sz w:val="21"/>
        </w:rPr>
        <w:t>ALP&gt;200U/L</w:t>
      </w:r>
      <w:r>
        <w:rPr>
          <w:spacing w:val="-2"/>
          <w:sz w:val="21"/>
        </w:rPr>
        <w:t>；</w:t>
      </w:r>
    </w:p>
    <w:p>
      <w:pPr>
        <w:pStyle w:val="ListParagraph"/>
        <w:numPr>
          <w:ilvl w:val="0"/>
          <w:numId w:val="38"/>
        </w:numPr>
        <w:tabs>
          <w:tab w:pos="641" w:val="left" w:leader="none"/>
        </w:tabs>
        <w:spacing w:line="240" w:lineRule="auto" w:before="42" w:after="0"/>
        <w:ind w:left="640" w:right="0" w:hanging="530"/>
        <w:jc w:val="left"/>
        <w:rPr>
          <w:sz w:val="21"/>
        </w:rPr>
      </w:pPr>
      <w:r>
        <w:rPr>
          <w:spacing w:val="-4"/>
          <w:sz w:val="21"/>
        </w:rPr>
        <w:t>持续性黄疸病史；</w:t>
      </w:r>
    </w:p>
    <w:p>
      <w:pPr>
        <w:pStyle w:val="ListParagraph"/>
        <w:numPr>
          <w:ilvl w:val="0"/>
          <w:numId w:val="38"/>
        </w:numPr>
        <w:tabs>
          <w:tab w:pos="641" w:val="left" w:leader="none"/>
        </w:tabs>
        <w:spacing w:line="240" w:lineRule="auto" w:before="43" w:after="0"/>
        <w:ind w:left="640" w:right="0" w:hanging="530"/>
        <w:jc w:val="left"/>
        <w:rPr>
          <w:sz w:val="21"/>
        </w:rPr>
      </w:pPr>
      <w:r>
        <w:rPr>
          <w:spacing w:val="-3"/>
          <w:sz w:val="21"/>
        </w:rPr>
        <w:t>出现胆汁性肝硬化或门脉高压。</w:t>
      </w:r>
    </w:p>
    <w:p>
      <w:pPr>
        <w:spacing w:before="21"/>
        <w:ind w:left="111" w:right="0" w:firstLine="0"/>
        <w:jc w:val="left"/>
        <w:rPr>
          <w:rFonts w:ascii="黑体" w:eastAsia="黑体"/>
          <w:sz w:val="24"/>
        </w:rPr>
      </w:pPr>
      <w:r>
        <w:rPr>
          <w:rFonts w:ascii="黑体" w:eastAsia="黑体"/>
          <w:spacing w:val="-1"/>
          <w:sz w:val="24"/>
        </w:rPr>
        <w:t>因肿瘤或胆管损伤等继发性的硬化性胆管炎不在保障范围内。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hAnsi="楷体" w:eastAsia="楷体" w:hint="eastAsia"/>
          <w:b/>
          <w:sz w:val="21"/>
        </w:rPr>
      </w:pPr>
      <w:r>
        <w:rPr>
          <w:rFonts w:ascii="楷体" w:hAnsi="楷体" w:eastAsia="楷体" w:hint="eastAsia"/>
          <w:b/>
          <w:spacing w:val="-4"/>
          <w:sz w:val="21"/>
        </w:rPr>
        <w:t>Ⅱ级重</w:t>
      </w:r>
      <w:r>
        <w:rPr>
          <w:rFonts w:ascii="楷体" w:hAnsi="楷体" w:eastAsia="楷体" w:hint="eastAsia"/>
          <w:b/>
          <w:spacing w:val="-2"/>
          <w:sz w:val="21"/>
        </w:rPr>
        <w:t>症急性胰腺炎</w:t>
      </w:r>
    </w:p>
    <w:p>
      <w:pPr>
        <w:pStyle w:val="BodyText"/>
        <w:spacing w:before="72"/>
        <w:ind w:left="111"/>
      </w:pPr>
      <w:r>
        <w:rPr/>
        <w:br w:type="column"/>
      </w:r>
      <w:r>
        <w:rPr>
          <w:spacing w:val="-3"/>
        </w:rPr>
        <w:t>指急性胰腺炎伴有脏器功能障碍。经相关专科医生确诊，且须满足下列全部条件：</w:t>
      </w:r>
    </w:p>
    <w:p>
      <w:pPr>
        <w:pStyle w:val="ListParagraph"/>
        <w:numPr>
          <w:ilvl w:val="0"/>
          <w:numId w:val="39"/>
        </w:numPr>
        <w:tabs>
          <w:tab w:pos="641" w:val="left" w:leader="none"/>
        </w:tabs>
        <w:spacing w:line="278" w:lineRule="auto" w:before="43" w:after="0"/>
        <w:ind w:left="111" w:right="218" w:firstLine="0"/>
        <w:jc w:val="left"/>
        <w:rPr>
          <w:sz w:val="21"/>
        </w:rPr>
      </w:pPr>
      <w:r>
        <w:rPr>
          <w:spacing w:val="-16"/>
          <w:sz w:val="21"/>
        </w:rPr>
        <w:t>按 </w:t>
      </w:r>
      <w:r>
        <w:rPr>
          <w:sz w:val="21"/>
        </w:rPr>
        <w:t>APACHE</w:t>
      </w:r>
      <w:r>
        <w:rPr>
          <w:spacing w:val="-6"/>
          <w:sz w:val="21"/>
        </w:rPr>
        <w:t>Ⅱ评分达到 </w:t>
      </w:r>
      <w:r>
        <w:rPr>
          <w:rFonts w:ascii="Times New Roman" w:hAnsi="Times New Roman" w:eastAsia="Times New Roman"/>
          <w:sz w:val="21"/>
        </w:rPr>
        <w:t>8</w:t>
      </w:r>
      <w:r>
        <w:rPr>
          <w:rFonts w:ascii="Times New Roman" w:hAnsi="Times New Roman" w:eastAsia="Times New Roman"/>
          <w:spacing w:val="-2"/>
          <w:sz w:val="21"/>
        </w:rPr>
        <w:t> </w:t>
      </w:r>
      <w:r>
        <w:rPr>
          <w:spacing w:val="-11"/>
          <w:sz w:val="21"/>
        </w:rPr>
        <w:t>分或 </w:t>
      </w:r>
      <w:r>
        <w:rPr>
          <w:rFonts w:ascii="Times New Roman" w:hAnsi="Times New Roman" w:eastAsia="Times New Roman"/>
          <w:sz w:val="21"/>
        </w:rPr>
        <w:t>8</w:t>
      </w:r>
      <w:r>
        <w:rPr>
          <w:rFonts w:ascii="Times New Roman" w:hAnsi="Times New Roman" w:eastAsia="Times New Roman"/>
          <w:spacing w:val="16"/>
          <w:sz w:val="21"/>
        </w:rPr>
        <w:t> </w:t>
      </w:r>
      <w:r>
        <w:rPr>
          <w:spacing w:val="-7"/>
          <w:sz w:val="21"/>
        </w:rPr>
        <w:t>分以上和 </w:t>
      </w:r>
      <w:r>
        <w:rPr>
          <w:rFonts w:ascii="Times New Roman" w:hAnsi="Times New Roman" w:eastAsia="Times New Roman"/>
          <w:sz w:val="21"/>
        </w:rPr>
        <w:t>Balthazar</w:t>
      </w:r>
      <w:r>
        <w:rPr>
          <w:rFonts w:ascii="Times New Roman" w:hAnsi="Times New Roman" w:eastAsia="Times New Roman"/>
          <w:spacing w:val="14"/>
          <w:sz w:val="21"/>
        </w:rPr>
        <w:t> </w:t>
      </w:r>
      <w:r>
        <w:rPr>
          <w:sz w:val="21"/>
        </w:rPr>
        <w:t>分级系统达到Ⅱ级或Ⅱ级以</w:t>
      </w:r>
      <w:r>
        <w:rPr>
          <w:spacing w:val="-6"/>
          <w:sz w:val="21"/>
        </w:rPr>
        <w:t>上；</w:t>
      </w:r>
    </w:p>
    <w:p>
      <w:pPr>
        <w:pStyle w:val="ListParagraph"/>
        <w:numPr>
          <w:ilvl w:val="0"/>
          <w:numId w:val="39"/>
        </w:numPr>
        <w:tabs>
          <w:tab w:pos="641" w:val="left" w:leader="none"/>
        </w:tabs>
        <w:spacing w:line="269" w:lineRule="exact" w:before="0" w:after="0"/>
        <w:ind w:left="640" w:right="0" w:hanging="530"/>
        <w:jc w:val="left"/>
        <w:rPr>
          <w:sz w:val="21"/>
        </w:rPr>
      </w:pPr>
      <w:r>
        <w:rPr>
          <w:spacing w:val="-3"/>
          <w:sz w:val="21"/>
        </w:rPr>
        <w:t>为清除坏死组织、切除坏死病灶或胰腺，已经实施了外科剖腹手术治疗。</w:t>
      </w:r>
    </w:p>
    <w:p>
      <w:pPr>
        <w:spacing w:line="242" w:lineRule="auto" w:before="20"/>
        <w:ind w:left="111" w:right="213" w:firstLine="0"/>
        <w:jc w:val="left"/>
        <w:rPr>
          <w:rFonts w:ascii="黑体" w:eastAsia="黑体"/>
          <w:sz w:val="24"/>
        </w:rPr>
      </w:pPr>
      <w:r>
        <w:rPr>
          <w:rFonts w:ascii="黑体" w:eastAsia="黑体"/>
          <w:spacing w:val="-2"/>
          <w:sz w:val="24"/>
        </w:rPr>
        <w:t>因酗酒或饮酒过量导致的急性坏死性胰腺炎以及腹腔镜手术不在保障范围</w:t>
      </w:r>
      <w:r>
        <w:rPr>
          <w:rFonts w:ascii="黑体" w:eastAsia="黑体"/>
          <w:spacing w:val="-6"/>
          <w:sz w:val="24"/>
        </w:rPr>
        <w:t>内。</w:t>
      </w:r>
    </w:p>
    <w:p>
      <w:pPr>
        <w:spacing w:after="0" w:line="242" w:lineRule="auto"/>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0"/>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严重慢</w:t>
      </w:r>
      <w:r>
        <w:rPr>
          <w:rFonts w:ascii="楷体" w:eastAsia="楷体" w:hint="eastAsia"/>
          <w:b/>
          <w:spacing w:val="-2"/>
          <w:sz w:val="21"/>
        </w:rPr>
        <w:t>性复发性胰腺</w:t>
      </w:r>
      <w:r>
        <w:rPr>
          <w:rFonts w:ascii="楷体" w:eastAsia="楷体" w:hint="eastAsia"/>
          <w:b/>
          <w:spacing w:val="-10"/>
          <w:sz w:val="21"/>
        </w:rPr>
        <w:t>炎</w:t>
      </w:r>
    </w:p>
    <w:p>
      <w:pPr>
        <w:pStyle w:val="BodyText"/>
        <w:spacing w:line="278" w:lineRule="auto" w:before="72"/>
        <w:ind w:left="111" w:right="214"/>
      </w:pPr>
      <w:r>
        <w:rPr/>
        <w:br w:type="column"/>
      </w:r>
      <w:r>
        <w:rPr>
          <w:spacing w:val="-2"/>
        </w:rPr>
        <w:t>指因慢性反复发作的胰腺炎症导致胰腺的广泛纤维化、坏死、弥漫性钙化及假性囊肿</w:t>
      </w:r>
      <w:r>
        <w:rPr>
          <w:spacing w:val="-2"/>
        </w:rPr>
        <w:t>形成，导致胰腺功能障碍出现严重糖尿病和营养不良。且须满足下列全部条件：</w:t>
      </w:r>
    </w:p>
    <w:p>
      <w:pPr>
        <w:pStyle w:val="ListParagraph"/>
        <w:numPr>
          <w:ilvl w:val="0"/>
          <w:numId w:val="40"/>
        </w:numPr>
        <w:tabs>
          <w:tab w:pos="641" w:val="left" w:leader="none"/>
        </w:tabs>
        <w:spacing w:line="269" w:lineRule="exact" w:before="0" w:after="0"/>
        <w:ind w:left="640" w:right="0" w:hanging="530"/>
        <w:jc w:val="left"/>
        <w:rPr>
          <w:sz w:val="21"/>
        </w:rPr>
      </w:pPr>
      <w:r>
        <w:rPr>
          <w:spacing w:val="-2"/>
          <w:sz w:val="21"/>
        </w:rPr>
        <w:t>CT</w:t>
      </w:r>
      <w:r>
        <w:rPr>
          <w:spacing w:val="-8"/>
          <w:sz w:val="21"/>
        </w:rPr>
        <w:t> 显示胰腺广泛钙化或逆行胰胆管造影</w:t>
      </w:r>
      <w:r>
        <w:rPr>
          <w:spacing w:val="-2"/>
          <w:sz w:val="21"/>
        </w:rPr>
        <w:t>（</w:t>
      </w:r>
      <w:r>
        <w:rPr>
          <w:rFonts w:ascii="Times New Roman" w:eastAsia="Times New Roman"/>
          <w:spacing w:val="-2"/>
          <w:sz w:val="21"/>
        </w:rPr>
        <w:t>ERCP</w:t>
      </w:r>
      <w:r>
        <w:rPr>
          <w:spacing w:val="-2"/>
          <w:sz w:val="21"/>
        </w:rPr>
        <w:t>）</w:t>
      </w:r>
      <w:r>
        <w:rPr>
          <w:spacing w:val="-3"/>
          <w:sz w:val="21"/>
        </w:rPr>
        <w:t>显示胰管扭曲、扩张和狭窄；</w:t>
      </w:r>
    </w:p>
    <w:p>
      <w:pPr>
        <w:pStyle w:val="ListParagraph"/>
        <w:numPr>
          <w:ilvl w:val="0"/>
          <w:numId w:val="40"/>
        </w:numPr>
        <w:tabs>
          <w:tab w:pos="641" w:val="left" w:leader="none"/>
        </w:tabs>
        <w:spacing w:line="240" w:lineRule="auto" w:before="43" w:after="0"/>
        <w:ind w:left="640" w:right="0" w:hanging="530"/>
        <w:jc w:val="left"/>
        <w:rPr>
          <w:sz w:val="21"/>
        </w:rPr>
      </w:pPr>
      <w:r>
        <w:rPr>
          <w:spacing w:val="-5"/>
          <w:sz w:val="21"/>
        </w:rPr>
        <w:t>接受胰岛素替代治疗和酶替代治疗 </w:t>
      </w:r>
      <w:r>
        <w:rPr>
          <w:rFonts w:ascii="Times New Roman" w:eastAsia="Times New Roman"/>
          <w:spacing w:val="-2"/>
          <w:sz w:val="21"/>
        </w:rPr>
        <w:t>180</w:t>
      </w:r>
      <w:r>
        <w:rPr>
          <w:rFonts w:ascii="Times New Roman" w:eastAsia="Times New Roman"/>
          <w:spacing w:val="7"/>
          <w:sz w:val="21"/>
        </w:rPr>
        <w:t> </w:t>
      </w:r>
      <w:r>
        <w:rPr>
          <w:spacing w:val="-4"/>
          <w:sz w:val="21"/>
        </w:rPr>
        <w:t>天以上。</w:t>
      </w:r>
    </w:p>
    <w:p>
      <w:pPr>
        <w:spacing w:before="20"/>
        <w:ind w:left="111" w:right="0" w:firstLine="0"/>
        <w:jc w:val="left"/>
        <w:rPr>
          <w:rFonts w:ascii="黑体" w:eastAsia="黑体"/>
          <w:sz w:val="24"/>
        </w:rPr>
      </w:pPr>
      <w:r>
        <w:rPr>
          <w:rFonts w:ascii="黑体" w:eastAsia="黑体"/>
          <w:spacing w:val="-1"/>
          <w:sz w:val="24"/>
        </w:rPr>
        <w:t>因酒精导致的慢性复发性胰腺炎不在本保障范围内。</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系统性</w:t>
      </w:r>
      <w:r>
        <w:rPr>
          <w:rFonts w:ascii="楷体" w:eastAsia="楷体" w:hint="eastAsia"/>
          <w:b/>
          <w:spacing w:val="-4"/>
          <w:sz w:val="21"/>
        </w:rPr>
        <w:t>硬皮病</w:t>
      </w:r>
    </w:p>
    <w:p>
      <w:pPr>
        <w:pStyle w:val="BodyText"/>
        <w:spacing w:line="278" w:lineRule="auto" w:before="72"/>
        <w:ind w:left="178" w:right="108"/>
      </w:pPr>
      <w:r>
        <w:rPr/>
        <w:br w:type="column"/>
      </w:r>
      <w:r>
        <w:rPr>
          <w:spacing w:val="-2"/>
        </w:rPr>
        <w:t>系统性硬皮病（须累及内脏器官</w:t>
      </w:r>
      <w:r>
        <w:rPr>
          <w:spacing w:val="-62"/>
        </w:rPr>
        <w:t>）</w:t>
      </w:r>
      <w:r>
        <w:rPr>
          <w:spacing w:val="-10"/>
        </w:rPr>
        <w:t>，指一种以局限性或弥漫性皮肤增厚和皮肤、血管、</w:t>
      </w:r>
      <w:r>
        <w:rPr>
          <w:spacing w:val="-2"/>
        </w:rPr>
        <w:t>内脏器官异常纤维化为特征的结缔组织病。且须满足下列至少一项条件：</w:t>
      </w:r>
    </w:p>
    <w:p>
      <w:pPr>
        <w:pStyle w:val="ListParagraph"/>
        <w:numPr>
          <w:ilvl w:val="0"/>
          <w:numId w:val="41"/>
        </w:numPr>
        <w:tabs>
          <w:tab w:pos="708" w:val="left" w:leader="none"/>
        </w:tabs>
        <w:spacing w:line="269" w:lineRule="exact" w:before="0" w:after="0"/>
        <w:ind w:left="707" w:right="0" w:hanging="530"/>
        <w:jc w:val="left"/>
        <w:rPr>
          <w:sz w:val="21"/>
        </w:rPr>
      </w:pPr>
      <w:r>
        <w:rPr>
          <w:spacing w:val="-3"/>
          <w:sz w:val="21"/>
        </w:rPr>
        <w:t>肺脏：肺部病变进而发展为肺间质纤维化和肺动脉高压；</w:t>
      </w:r>
    </w:p>
    <w:p>
      <w:pPr>
        <w:pStyle w:val="ListParagraph"/>
        <w:numPr>
          <w:ilvl w:val="0"/>
          <w:numId w:val="41"/>
        </w:numPr>
        <w:tabs>
          <w:tab w:pos="708" w:val="left" w:leader="none"/>
        </w:tabs>
        <w:spacing w:line="278" w:lineRule="auto" w:before="43" w:after="0"/>
        <w:ind w:left="178" w:right="218" w:firstLine="0"/>
        <w:jc w:val="left"/>
        <w:rPr>
          <w:sz w:val="21"/>
        </w:rPr>
      </w:pPr>
      <w:r>
        <w:rPr>
          <w:sz w:val="21"/>
        </w:rPr>
        <w:t>心脏：心功能受损达到美国纽约心脏病学会（New York Heart Association， </w:t>
      </w:r>
      <w:r>
        <w:rPr>
          <w:spacing w:val="-2"/>
          <w:sz w:val="21"/>
        </w:rPr>
        <w:t>NYHA）心功能状态分级Ⅳ级；</w:t>
      </w:r>
    </w:p>
    <w:p>
      <w:pPr>
        <w:pStyle w:val="ListParagraph"/>
        <w:numPr>
          <w:ilvl w:val="0"/>
          <w:numId w:val="41"/>
        </w:numPr>
        <w:tabs>
          <w:tab w:pos="708" w:val="left" w:leader="none"/>
        </w:tabs>
        <w:spacing w:line="269" w:lineRule="exact" w:before="0" w:after="0"/>
        <w:ind w:left="707" w:right="0" w:hanging="530"/>
        <w:jc w:val="left"/>
        <w:rPr>
          <w:sz w:val="21"/>
        </w:rPr>
      </w:pPr>
      <w:r>
        <w:rPr>
          <w:spacing w:val="-3"/>
          <w:sz w:val="21"/>
        </w:rPr>
        <w:t>肾脏：肾脏受损导致双肾功能慢性不可逆衰竭，达到尿毒症期。</w:t>
      </w:r>
    </w:p>
    <w:p>
      <w:pPr>
        <w:spacing w:before="20"/>
        <w:ind w:left="178" w:right="0" w:firstLine="0"/>
        <w:jc w:val="left"/>
        <w:rPr>
          <w:rFonts w:ascii="黑体" w:eastAsia="黑体"/>
          <w:sz w:val="24"/>
        </w:rPr>
      </w:pPr>
      <w:r>
        <w:rPr>
          <w:rFonts w:ascii="黑体" w:eastAsia="黑体"/>
          <w:spacing w:val="-1"/>
          <w:sz w:val="24"/>
        </w:rPr>
        <w:t>下列疾病不在本保障范围内：</w:t>
      </w:r>
    </w:p>
    <w:p>
      <w:pPr>
        <w:spacing w:before="5"/>
        <w:ind w:left="178" w:right="0" w:firstLine="0"/>
        <w:jc w:val="left"/>
        <w:rPr>
          <w:rFonts w:ascii="黑体" w:hAnsi="黑体" w:eastAsia="黑体"/>
          <w:sz w:val="24"/>
        </w:rPr>
      </w:pPr>
      <w:r>
        <w:rPr>
          <w:rFonts w:ascii="黑体" w:hAnsi="黑体" w:eastAsia="黑体"/>
          <w:sz w:val="24"/>
        </w:rPr>
        <w:t>①局部性硬皮病（如：带状硬皮病、硬斑病</w:t>
      </w:r>
      <w:r>
        <w:rPr>
          <w:rFonts w:ascii="黑体" w:hAnsi="黑体" w:eastAsia="黑体"/>
          <w:spacing w:val="-125"/>
          <w:sz w:val="24"/>
        </w:rPr>
        <w:t>）</w:t>
      </w:r>
      <w:r>
        <w:rPr>
          <w:rFonts w:ascii="黑体" w:hAnsi="黑体" w:eastAsia="黑体"/>
          <w:spacing w:val="-5"/>
          <w:sz w:val="24"/>
        </w:rPr>
        <w:t>；</w:t>
      </w:r>
    </w:p>
    <w:p>
      <w:pPr>
        <w:spacing w:before="4"/>
        <w:ind w:left="178" w:right="0" w:firstLine="0"/>
        <w:jc w:val="left"/>
        <w:rPr>
          <w:rFonts w:ascii="黑体" w:hAnsi="黑体" w:eastAsia="黑体"/>
          <w:sz w:val="24"/>
        </w:rPr>
      </w:pPr>
      <w:r>
        <w:rPr>
          <w:rFonts w:ascii="黑体" w:hAnsi="黑体" w:eastAsia="黑体"/>
          <w:spacing w:val="-1"/>
          <w:sz w:val="24"/>
        </w:rPr>
        <w:t>②嗜酸性粒细胞性筋膜炎；</w:t>
      </w:r>
    </w:p>
    <w:p>
      <w:pPr>
        <w:spacing w:before="5"/>
        <w:ind w:left="178" w:right="0" w:firstLine="0"/>
        <w:jc w:val="left"/>
        <w:rPr>
          <w:rFonts w:ascii="黑体" w:hAnsi="黑体" w:eastAsia="黑体"/>
          <w:sz w:val="24"/>
        </w:rPr>
      </w:pPr>
      <w:r>
        <w:rPr>
          <w:rFonts w:ascii="黑体" w:hAnsi="黑体" w:eastAsia="黑体"/>
          <w:sz w:val="24"/>
        </w:rPr>
        <w:t>③CREST</w:t>
      </w:r>
      <w:r>
        <w:rPr>
          <w:rFonts w:ascii="黑体" w:hAnsi="黑体" w:eastAsia="黑体"/>
          <w:spacing w:val="-14"/>
          <w:sz w:val="24"/>
        </w:rPr>
        <w:t> 综合征。</w:t>
      </w:r>
    </w:p>
    <w:p>
      <w:pPr>
        <w:spacing w:after="0"/>
        <w:jc w:val="left"/>
        <w:rPr>
          <w:rFonts w:ascii="黑体" w:hAns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1"/>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胰腺移</w:t>
      </w:r>
      <w:r>
        <w:rPr>
          <w:rFonts w:ascii="楷体" w:eastAsia="楷体" w:hint="eastAsia"/>
          <w:b/>
          <w:spacing w:val="-10"/>
          <w:sz w:val="21"/>
        </w:rPr>
        <w:t>植</w:t>
      </w:r>
    </w:p>
    <w:p>
      <w:pPr>
        <w:pStyle w:val="BodyText"/>
        <w:spacing w:before="72"/>
        <w:ind w:left="178"/>
      </w:pPr>
      <w:r>
        <w:rPr/>
        <w:br w:type="column"/>
      </w:r>
      <w:r>
        <w:rPr>
          <w:spacing w:val="-3"/>
        </w:rPr>
        <w:t>指因胰腺功能衰竭，已经实施了在全身麻醉下进行的胰腺的异体器官移植手术。</w:t>
      </w:r>
    </w:p>
    <w:p>
      <w:pPr>
        <w:spacing w:before="20"/>
        <w:ind w:left="178" w:right="0" w:firstLine="0"/>
        <w:jc w:val="left"/>
        <w:rPr>
          <w:rFonts w:ascii="黑体" w:eastAsia="黑体"/>
          <w:sz w:val="24"/>
        </w:rPr>
      </w:pPr>
      <w:r>
        <w:rPr>
          <w:rFonts w:ascii="黑体" w:eastAsia="黑体"/>
          <w:spacing w:val="-1"/>
          <w:sz w:val="24"/>
        </w:rPr>
        <w:t>单纯胰岛移植、部分胰腺组织或细胞的移植不在本保障范围内。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2"/>
        <w:rPr>
          <w:rFonts w:ascii="黑体"/>
          <w:sz w:val="12"/>
        </w:rPr>
      </w:pPr>
    </w:p>
    <w:p>
      <w:pPr>
        <w:spacing w:after="0"/>
        <w:rPr>
          <w:rFonts w:ascii="黑体"/>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严重自</w:t>
      </w:r>
      <w:r>
        <w:rPr>
          <w:rFonts w:ascii="楷体" w:eastAsia="楷体" w:hint="eastAsia"/>
          <w:b/>
          <w:spacing w:val="-2"/>
          <w:sz w:val="21"/>
        </w:rPr>
        <w:t>身免疫性肝炎</w:t>
      </w:r>
    </w:p>
    <w:p>
      <w:pPr>
        <w:pStyle w:val="BodyText"/>
        <w:spacing w:line="278" w:lineRule="auto" w:before="72"/>
        <w:ind w:left="111" w:right="214"/>
        <w:jc w:val="both"/>
      </w:pPr>
      <w:r>
        <w:rPr/>
        <w:br w:type="column"/>
      </w:r>
      <w:r>
        <w:rPr>
          <w:spacing w:val="-2"/>
        </w:rPr>
        <w:t>是一种原因不明的慢性肝脏的坏死性炎性疾病，机体免疫机制被破坏，产生针对肝脏</w:t>
      </w:r>
      <w:r>
        <w:rPr>
          <w:spacing w:val="-2"/>
        </w:rPr>
        <w:t>自身抗原的抗体导致自身免疫反应，从而破坏肝细胞造成肝脏炎症坏死，进而发展为</w:t>
      </w:r>
      <w:r>
        <w:rPr>
          <w:spacing w:val="-2"/>
        </w:rPr>
        <w:t>肝硬化。且须满足下列全部条件：</w:t>
      </w:r>
    </w:p>
    <w:p>
      <w:pPr>
        <w:pStyle w:val="ListParagraph"/>
        <w:numPr>
          <w:ilvl w:val="0"/>
          <w:numId w:val="42"/>
        </w:numPr>
        <w:tabs>
          <w:tab w:pos="653" w:val="left" w:leader="none"/>
        </w:tabs>
        <w:spacing w:line="269" w:lineRule="exact" w:before="0" w:after="0"/>
        <w:ind w:left="652" w:right="0" w:hanging="542"/>
        <w:jc w:val="left"/>
        <w:rPr>
          <w:sz w:val="21"/>
        </w:rPr>
      </w:pPr>
      <w:r>
        <w:rPr>
          <w:spacing w:val="-2"/>
          <w:sz w:val="21"/>
        </w:rPr>
        <w:t>高γ</w:t>
      </w:r>
      <w:r>
        <w:rPr>
          <w:spacing w:val="-4"/>
          <w:sz w:val="21"/>
        </w:rPr>
        <w:t>球蛋白血症；</w:t>
      </w:r>
    </w:p>
    <w:p>
      <w:pPr>
        <w:pStyle w:val="ListParagraph"/>
        <w:numPr>
          <w:ilvl w:val="0"/>
          <w:numId w:val="42"/>
        </w:numPr>
        <w:tabs>
          <w:tab w:pos="653" w:val="left" w:leader="none"/>
        </w:tabs>
        <w:spacing w:line="278" w:lineRule="auto" w:before="43" w:after="0"/>
        <w:ind w:left="637" w:right="216" w:hanging="526"/>
        <w:jc w:val="left"/>
        <w:rPr>
          <w:sz w:val="21"/>
        </w:rPr>
      </w:pPr>
      <w:r>
        <w:rPr>
          <w:spacing w:val="-2"/>
          <w:sz w:val="21"/>
        </w:rPr>
        <w:t>血液中存在高水平的自身免疫抗体，如 </w:t>
      </w:r>
      <w:r>
        <w:rPr>
          <w:rFonts w:ascii="Arial" w:eastAsia="Arial"/>
          <w:sz w:val="21"/>
        </w:rPr>
        <w:t>ANA</w:t>
      </w:r>
      <w:r>
        <w:rPr>
          <w:sz w:val="21"/>
        </w:rPr>
        <w:t>（抗核抗体</w:t>
      </w:r>
      <w:r>
        <w:rPr>
          <w:spacing w:val="-108"/>
          <w:sz w:val="21"/>
        </w:rPr>
        <w:t>）</w:t>
      </w:r>
      <w:r>
        <w:rPr>
          <w:sz w:val="21"/>
        </w:rPr>
        <w:t>、</w:t>
      </w:r>
      <w:r>
        <w:rPr>
          <w:rFonts w:ascii="Arial" w:eastAsia="Arial"/>
          <w:sz w:val="21"/>
        </w:rPr>
        <w:t>SMA</w:t>
      </w:r>
      <w:r>
        <w:rPr>
          <w:sz w:val="21"/>
        </w:rPr>
        <w:t>（抗平滑肌抗体</w:t>
      </w:r>
      <w:r>
        <w:rPr>
          <w:spacing w:val="-106"/>
          <w:sz w:val="21"/>
        </w:rPr>
        <w:t>）</w:t>
      </w:r>
      <w:r>
        <w:rPr>
          <w:spacing w:val="-5"/>
          <w:sz w:val="21"/>
        </w:rPr>
        <w:t>、抗 </w:t>
      </w:r>
      <w:r>
        <w:rPr>
          <w:rFonts w:ascii="Arial" w:eastAsia="Arial"/>
          <w:sz w:val="21"/>
        </w:rPr>
        <w:t>LKM1 </w:t>
      </w:r>
      <w:r>
        <w:rPr>
          <w:sz w:val="21"/>
        </w:rPr>
        <w:t>抗体或抗</w:t>
      </w:r>
      <w:r>
        <w:rPr>
          <w:rFonts w:ascii="Arial" w:eastAsia="Arial"/>
          <w:sz w:val="21"/>
        </w:rPr>
        <w:t>-SLA/LP </w:t>
      </w:r>
      <w:r>
        <w:rPr>
          <w:sz w:val="21"/>
        </w:rPr>
        <w:t>抗体；</w:t>
      </w:r>
    </w:p>
    <w:p>
      <w:pPr>
        <w:pStyle w:val="ListParagraph"/>
        <w:numPr>
          <w:ilvl w:val="0"/>
          <w:numId w:val="42"/>
        </w:numPr>
        <w:tabs>
          <w:tab w:pos="653" w:val="left" w:leader="none"/>
        </w:tabs>
        <w:spacing w:line="269" w:lineRule="exact" w:before="0" w:after="0"/>
        <w:ind w:left="652" w:right="0" w:hanging="542"/>
        <w:jc w:val="left"/>
        <w:rPr>
          <w:sz w:val="21"/>
        </w:rPr>
      </w:pPr>
      <w:r>
        <w:rPr>
          <w:spacing w:val="-3"/>
          <w:sz w:val="21"/>
        </w:rPr>
        <w:t>肝脏活检证实免疫性肝炎；</w:t>
      </w:r>
    </w:p>
    <w:p>
      <w:pPr>
        <w:pStyle w:val="ListParagraph"/>
        <w:numPr>
          <w:ilvl w:val="0"/>
          <w:numId w:val="42"/>
        </w:numPr>
        <w:tabs>
          <w:tab w:pos="653" w:val="left" w:leader="none"/>
        </w:tabs>
        <w:spacing w:line="240" w:lineRule="auto" w:before="43" w:after="0"/>
        <w:ind w:left="652" w:right="0" w:hanging="542"/>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ListParagraph"/>
        <w:numPr>
          <w:ilvl w:val="1"/>
          <w:numId w:val="20"/>
        </w:numPr>
        <w:tabs>
          <w:tab w:pos="1071" w:val="left" w:leader="none"/>
        </w:tabs>
        <w:spacing w:line="278" w:lineRule="auto" w:before="68" w:after="0"/>
        <w:ind w:left="504" w:right="0" w:firstLine="0"/>
        <w:jc w:val="left"/>
        <w:rPr>
          <w:rFonts w:ascii="楷体" w:eastAsia="楷体" w:hint="eastAsia"/>
          <w:b/>
          <w:sz w:val="21"/>
        </w:rPr>
      </w:pPr>
      <w:r>
        <w:rPr>
          <w:rFonts w:ascii="楷体" w:eastAsia="楷体" w:hint="eastAsia"/>
          <w:b/>
          <w:spacing w:val="-4"/>
          <w:sz w:val="21"/>
        </w:rPr>
        <w:t>胆道重</w:t>
      </w:r>
      <w:r>
        <w:rPr>
          <w:rFonts w:ascii="楷体" w:eastAsia="楷体" w:hint="eastAsia"/>
          <w:b/>
          <w:spacing w:val="-4"/>
          <w:sz w:val="21"/>
        </w:rPr>
        <w:t>建手术</w:t>
      </w:r>
    </w:p>
    <w:p>
      <w:pPr>
        <w:pStyle w:val="BodyText"/>
        <w:spacing w:line="278" w:lineRule="auto" w:before="68"/>
        <w:ind w:left="178" w:right="214"/>
      </w:pPr>
      <w:r>
        <w:rPr/>
        <w:br w:type="column"/>
      </w:r>
      <w:r>
        <w:rPr>
          <w:spacing w:val="-4"/>
        </w:rPr>
        <w:t>指因疾病或胆道创伤导致接受涉及胆总管小肠吻合术的胆道重建手术。手术必须经相</w:t>
      </w:r>
      <w:r>
        <w:rPr>
          <w:spacing w:val="1"/>
        </w:rPr>
        <w:t>关专科医生认为是医疗所需的情况下进 。</w:t>
      </w:r>
    </w:p>
    <w:p>
      <w:pPr>
        <w:spacing w:line="284" w:lineRule="exact" w:before="0"/>
        <w:ind w:left="178" w:right="0" w:firstLine="0"/>
        <w:jc w:val="left"/>
        <w:rPr>
          <w:rFonts w:ascii="黑体" w:eastAsia="黑体"/>
          <w:sz w:val="24"/>
        </w:rPr>
      </w:pPr>
      <w:r>
        <w:rPr>
          <w:rFonts w:ascii="黑体" w:eastAsia="黑体"/>
          <w:spacing w:val="-1"/>
          <w:sz w:val="24"/>
        </w:rPr>
        <w:t>胆道闭锁并不在保障范围内。</w:t>
      </w:r>
    </w:p>
    <w:p>
      <w:pPr>
        <w:spacing w:after="0" w:line="284" w:lineRule="exact"/>
        <w:jc w:val="left"/>
        <w:rPr>
          <w:rFonts w:ascii="黑体" w:eastAsia="黑体"/>
          <w:sz w:val="24"/>
        </w:rPr>
        <w:sectPr>
          <w:pgSz w:w="11910" w:h="16840"/>
          <w:pgMar w:header="0" w:footer="1120" w:top="158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严重肠</w:t>
      </w:r>
      <w:r>
        <w:rPr>
          <w:rFonts w:ascii="楷体" w:eastAsia="楷体" w:hint="eastAsia"/>
          <w:b/>
          <w:spacing w:val="-2"/>
          <w:sz w:val="21"/>
        </w:rPr>
        <w:t>道疾病并发症</w:t>
      </w:r>
    </w:p>
    <w:p>
      <w:pPr>
        <w:pStyle w:val="BodyText"/>
        <w:spacing w:before="72"/>
        <w:ind w:left="111"/>
      </w:pPr>
      <w:r>
        <w:rPr/>
        <w:br w:type="column"/>
      </w:r>
      <w:r>
        <w:rPr>
          <w:spacing w:val="-3"/>
        </w:rPr>
        <w:t>是一种严重肠道疾病或外伤导致小肠损害并发症，且须满足下列全部条件：</w:t>
      </w:r>
    </w:p>
    <w:p>
      <w:pPr>
        <w:pStyle w:val="ListParagraph"/>
        <w:numPr>
          <w:ilvl w:val="0"/>
          <w:numId w:val="43"/>
        </w:numPr>
        <w:tabs>
          <w:tab w:pos="641" w:val="left" w:leader="none"/>
        </w:tabs>
        <w:spacing w:line="240" w:lineRule="auto" w:before="43" w:after="0"/>
        <w:ind w:left="640" w:right="0" w:hanging="530"/>
        <w:jc w:val="left"/>
        <w:rPr>
          <w:sz w:val="21"/>
        </w:rPr>
      </w:pPr>
      <w:r>
        <w:rPr>
          <w:spacing w:val="-3"/>
          <w:sz w:val="21"/>
        </w:rPr>
        <w:t>至少切除了三分之二小肠；</w:t>
      </w:r>
    </w:p>
    <w:p>
      <w:pPr>
        <w:pStyle w:val="ListParagraph"/>
        <w:numPr>
          <w:ilvl w:val="0"/>
          <w:numId w:val="43"/>
        </w:numPr>
        <w:tabs>
          <w:tab w:pos="641" w:val="left" w:leader="none"/>
        </w:tabs>
        <w:spacing w:line="240" w:lineRule="auto" w:before="43" w:after="0"/>
        <w:ind w:left="640" w:right="0" w:hanging="530"/>
        <w:jc w:val="left"/>
        <w:rPr>
          <w:sz w:val="21"/>
        </w:rPr>
      </w:pPr>
      <w:r>
        <w:rPr>
          <w:spacing w:val="-3"/>
          <w:sz w:val="21"/>
        </w:rPr>
        <w:t>完全肠外营养支持三个月以上。</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肺淋巴</w:t>
      </w:r>
      <w:r>
        <w:rPr>
          <w:rFonts w:ascii="楷体" w:eastAsia="楷体" w:hint="eastAsia"/>
          <w:b/>
          <w:spacing w:val="-4"/>
          <w:sz w:val="21"/>
        </w:rPr>
        <w:t>管肌瘤病</w:t>
      </w:r>
    </w:p>
    <w:p>
      <w:pPr>
        <w:pStyle w:val="BodyText"/>
        <w:spacing w:line="278" w:lineRule="auto" w:before="71"/>
        <w:ind w:left="178" w:right="216"/>
      </w:pPr>
      <w:r>
        <w:rPr/>
        <w:br w:type="column"/>
      </w:r>
      <w:r>
        <w:rPr>
          <w:spacing w:val="-2"/>
        </w:rPr>
        <w:t>是一种弥漫性肺部疾病，主要病理改变为肺间质、支气管、血管和淋巴管内出现未成</w:t>
      </w:r>
      <w:r>
        <w:rPr>
          <w:spacing w:val="-2"/>
        </w:rPr>
        <w:t>熟的平滑肌异常增生，并须满足下列全部条件：</w:t>
      </w:r>
    </w:p>
    <w:p>
      <w:pPr>
        <w:pStyle w:val="ListParagraph"/>
        <w:numPr>
          <w:ilvl w:val="0"/>
          <w:numId w:val="44"/>
        </w:numPr>
        <w:tabs>
          <w:tab w:pos="708" w:val="left" w:leader="none"/>
        </w:tabs>
        <w:spacing w:line="269" w:lineRule="exact" w:before="0" w:after="0"/>
        <w:ind w:left="707" w:right="0" w:hanging="530"/>
        <w:jc w:val="left"/>
        <w:rPr>
          <w:sz w:val="21"/>
        </w:rPr>
      </w:pPr>
      <w:r>
        <w:rPr>
          <w:spacing w:val="-3"/>
          <w:sz w:val="21"/>
        </w:rPr>
        <w:t>经组织病理学诊断；</w:t>
      </w:r>
    </w:p>
    <w:p>
      <w:pPr>
        <w:pStyle w:val="ListParagraph"/>
        <w:numPr>
          <w:ilvl w:val="0"/>
          <w:numId w:val="44"/>
        </w:numPr>
        <w:tabs>
          <w:tab w:pos="708" w:val="left" w:leader="none"/>
        </w:tabs>
        <w:spacing w:line="240" w:lineRule="auto" w:before="43" w:after="0"/>
        <w:ind w:left="707" w:right="0" w:hanging="530"/>
        <w:jc w:val="left"/>
        <w:rPr>
          <w:sz w:val="21"/>
        </w:rPr>
      </w:pPr>
      <w:r>
        <w:rPr>
          <w:spacing w:val="-2"/>
          <w:sz w:val="21"/>
        </w:rPr>
        <w:t>CT</w:t>
      </w:r>
      <w:r>
        <w:rPr>
          <w:spacing w:val="-10"/>
          <w:sz w:val="21"/>
        </w:rPr>
        <w:t> 显示双肺弥漫性囊性改变；</w:t>
      </w:r>
    </w:p>
    <w:p>
      <w:pPr>
        <w:pStyle w:val="ListParagraph"/>
        <w:numPr>
          <w:ilvl w:val="0"/>
          <w:numId w:val="44"/>
        </w:numPr>
        <w:tabs>
          <w:tab w:pos="708" w:val="left" w:leader="none"/>
        </w:tabs>
        <w:spacing w:line="240" w:lineRule="auto" w:before="43" w:after="0"/>
        <w:ind w:left="707" w:right="0" w:hanging="530"/>
        <w:jc w:val="left"/>
        <w:rPr>
          <w:sz w:val="21"/>
        </w:rPr>
      </w:pPr>
      <w:r>
        <w:rPr>
          <w:spacing w:val="-2"/>
          <w:position w:val="1"/>
          <w:sz w:val="21"/>
        </w:rPr>
        <w:t>血气提示低氧血症，动脉血氧分压（PaO</w:t>
      </w:r>
      <w:r>
        <w:rPr>
          <w:spacing w:val="-2"/>
          <w:sz w:val="11"/>
        </w:rPr>
        <w:t>2</w:t>
      </w:r>
      <w:r>
        <w:rPr>
          <w:spacing w:val="-2"/>
          <w:position w:val="1"/>
          <w:sz w:val="21"/>
        </w:rPr>
        <w:t>）持续&lt;50mmHg</w:t>
      </w:r>
      <w:r>
        <w:rPr>
          <w:spacing w:val="-10"/>
          <w:position w:val="1"/>
          <w:sz w:val="21"/>
        </w:rPr>
        <w:t>。</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严重获</w:t>
      </w:r>
      <w:r>
        <w:rPr>
          <w:rFonts w:ascii="楷体" w:eastAsia="楷体" w:hint="eastAsia"/>
          <w:b/>
          <w:spacing w:val="-2"/>
          <w:sz w:val="21"/>
        </w:rPr>
        <w:t>得性或继发性</w:t>
      </w:r>
      <w:r>
        <w:rPr>
          <w:rFonts w:ascii="楷体" w:eastAsia="楷体" w:hint="eastAsia"/>
          <w:b/>
          <w:spacing w:val="-2"/>
          <w:sz w:val="21"/>
        </w:rPr>
        <w:t>肺泡蛋白质沉</w:t>
      </w:r>
      <w:r>
        <w:rPr>
          <w:rFonts w:ascii="楷体" w:eastAsia="楷体" w:hint="eastAsia"/>
          <w:b/>
          <w:spacing w:val="-6"/>
          <w:sz w:val="21"/>
        </w:rPr>
        <w:t>积症</w:t>
      </w:r>
    </w:p>
    <w:p>
      <w:pPr>
        <w:pStyle w:val="BodyText"/>
        <w:spacing w:line="278" w:lineRule="auto" w:before="72"/>
        <w:ind w:left="111" w:right="215"/>
      </w:pPr>
      <w:r>
        <w:rPr/>
        <w:br w:type="column"/>
      </w:r>
      <w:r>
        <w:rPr>
          <w:spacing w:val="2"/>
          <w:w w:val="100"/>
        </w:rPr>
        <w:t>是一种因获得性或继发性原因或导致双肺肺泡和细支气管腔内充满不可溶性富磷脂</w:t>
      </w:r>
      <w:r>
        <w:rPr>
          <w:spacing w:val="-3"/>
          <w:w w:val="100"/>
        </w:rPr>
        <w:t>蛋白的疾病。且须满足下列全部条件：</w:t>
      </w:r>
    </w:p>
    <w:p>
      <w:pPr>
        <w:pStyle w:val="ListParagraph"/>
        <w:numPr>
          <w:ilvl w:val="0"/>
          <w:numId w:val="45"/>
        </w:numPr>
        <w:tabs>
          <w:tab w:pos="641" w:val="left" w:leader="none"/>
        </w:tabs>
        <w:spacing w:line="278" w:lineRule="auto" w:before="0" w:after="0"/>
        <w:ind w:left="531" w:right="214" w:hanging="420"/>
        <w:jc w:val="left"/>
        <w:rPr>
          <w:sz w:val="21"/>
        </w:rPr>
      </w:pPr>
      <w:r>
        <w:rPr>
          <w:spacing w:val="-4"/>
          <w:w w:val="100"/>
          <w:sz w:val="21"/>
        </w:rPr>
        <w:t>支气管镜活检或开胸肺活检病理检查证实肺泡内充满有过碘酸雪夫</w:t>
      </w:r>
      <w:r>
        <w:rPr>
          <w:w w:val="100"/>
          <w:sz w:val="21"/>
        </w:rPr>
        <w:t>（PA</w:t>
      </w:r>
      <w:r>
        <w:rPr>
          <w:spacing w:val="-3"/>
          <w:w w:val="100"/>
          <w:sz w:val="21"/>
        </w:rPr>
        <w:t>S</w:t>
      </w:r>
      <w:r>
        <w:rPr>
          <w:spacing w:val="-17"/>
          <w:w w:val="100"/>
          <w:sz w:val="21"/>
        </w:rPr>
        <w:t>）</w:t>
      </w:r>
      <w:r>
        <w:rPr>
          <w:w w:val="100"/>
          <w:sz w:val="21"/>
        </w:rPr>
        <w:t>染</w:t>
      </w:r>
      <w:r>
        <w:rPr>
          <w:spacing w:val="-3"/>
          <w:w w:val="100"/>
          <w:sz w:val="21"/>
        </w:rPr>
        <w:t>色阳性的蛋白样物质；</w:t>
      </w:r>
    </w:p>
    <w:p>
      <w:pPr>
        <w:pStyle w:val="ListParagraph"/>
        <w:numPr>
          <w:ilvl w:val="0"/>
          <w:numId w:val="45"/>
        </w:numPr>
        <w:tabs>
          <w:tab w:pos="641" w:val="left" w:leader="none"/>
        </w:tabs>
        <w:spacing w:line="269" w:lineRule="exact" w:before="0" w:after="0"/>
        <w:ind w:left="640" w:right="0" w:hanging="530"/>
        <w:jc w:val="left"/>
        <w:rPr>
          <w:sz w:val="21"/>
        </w:rPr>
      </w:pPr>
      <w:r>
        <w:rPr>
          <w:spacing w:val="-3"/>
          <w:sz w:val="21"/>
        </w:rPr>
        <w:t>因中、重度呼吸困难或低氧血症而实际已实施全身麻醉下的全肺灌洗治疗。</w:t>
      </w:r>
    </w:p>
    <w:p>
      <w:pPr>
        <w:spacing w:after="0" w:line="269" w:lineRule="exact"/>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肾髓质</w:t>
      </w:r>
      <w:r>
        <w:rPr>
          <w:rFonts w:ascii="楷体" w:eastAsia="楷体" w:hint="eastAsia"/>
          <w:b/>
          <w:spacing w:val="-4"/>
          <w:sz w:val="21"/>
        </w:rPr>
        <w:t>囊性病</w:t>
      </w:r>
    </w:p>
    <w:p>
      <w:pPr>
        <w:pStyle w:val="BodyText"/>
        <w:spacing w:line="278" w:lineRule="auto" w:before="71"/>
        <w:ind w:left="178" w:right="214"/>
      </w:pPr>
      <w:r>
        <w:rPr/>
        <w:br w:type="column"/>
      </w:r>
      <w:r>
        <w:rPr>
          <w:spacing w:val="-7"/>
        </w:rPr>
        <w:t>是一种遗传性肾脏疾病，特点为肾髓质多发大小不等的囊肿并且伴有小管炎症和间质</w:t>
      </w:r>
      <w:r>
        <w:rPr>
          <w:spacing w:val="-2"/>
        </w:rPr>
        <w:t>性肾炎。且须满足下列全部条件：</w:t>
      </w:r>
    </w:p>
    <w:p>
      <w:pPr>
        <w:pStyle w:val="ListParagraph"/>
        <w:numPr>
          <w:ilvl w:val="0"/>
          <w:numId w:val="46"/>
        </w:numPr>
        <w:tabs>
          <w:tab w:pos="708" w:val="left" w:leader="none"/>
        </w:tabs>
        <w:spacing w:line="269" w:lineRule="exact" w:before="0" w:after="0"/>
        <w:ind w:left="707" w:right="0" w:hanging="530"/>
        <w:jc w:val="left"/>
        <w:rPr>
          <w:sz w:val="21"/>
        </w:rPr>
      </w:pPr>
      <w:r>
        <w:rPr>
          <w:spacing w:val="-3"/>
          <w:sz w:val="21"/>
        </w:rPr>
        <w:t>经肾组织活检明确诊断；</w:t>
      </w:r>
    </w:p>
    <w:p>
      <w:pPr>
        <w:pStyle w:val="ListParagraph"/>
        <w:numPr>
          <w:ilvl w:val="0"/>
          <w:numId w:val="46"/>
        </w:numPr>
        <w:tabs>
          <w:tab w:pos="708" w:val="left" w:leader="none"/>
        </w:tabs>
        <w:spacing w:line="240" w:lineRule="auto" w:before="43" w:after="0"/>
        <w:ind w:left="707" w:right="0" w:hanging="530"/>
        <w:jc w:val="left"/>
        <w:rPr>
          <w:sz w:val="21"/>
        </w:rPr>
      </w:pPr>
      <w:r>
        <w:rPr>
          <w:spacing w:val="-3"/>
          <w:sz w:val="21"/>
        </w:rPr>
        <w:t>临床有肾脏衰竭和肾小管功能障碍表现；</w:t>
      </w:r>
    </w:p>
    <w:p>
      <w:pPr>
        <w:pStyle w:val="ListParagraph"/>
        <w:numPr>
          <w:ilvl w:val="0"/>
          <w:numId w:val="46"/>
        </w:numPr>
        <w:tabs>
          <w:tab w:pos="708" w:val="left" w:leader="none"/>
        </w:tabs>
        <w:spacing w:line="240" w:lineRule="auto" w:before="43" w:after="0"/>
        <w:ind w:left="707" w:right="0" w:hanging="530"/>
        <w:jc w:val="left"/>
        <w:rPr>
          <w:sz w:val="21"/>
        </w:rPr>
      </w:pPr>
      <w:r>
        <w:rPr>
          <w:spacing w:val="-3"/>
          <w:sz w:val="21"/>
        </w:rPr>
        <w:t>影像学证据显示肾髓质多发囊肿。</w:t>
      </w:r>
    </w:p>
    <w:p>
      <w:pPr>
        <w:spacing w:before="20"/>
        <w:ind w:left="178" w:right="0" w:firstLine="0"/>
        <w:jc w:val="left"/>
        <w:rPr>
          <w:rFonts w:ascii="黑体" w:eastAsia="黑体"/>
          <w:sz w:val="24"/>
        </w:rPr>
      </w:pPr>
      <w:r>
        <w:rPr>
          <w:rFonts w:ascii="黑体" w:eastAsia="黑体"/>
          <w:spacing w:val="-1"/>
          <w:sz w:val="24"/>
        </w:rPr>
        <w:t>其他肾脏囊性病变不在本保障范围内。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5"/>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严重肝</w:t>
      </w:r>
      <w:r>
        <w:rPr>
          <w:rFonts w:ascii="楷体" w:eastAsia="楷体" w:hint="eastAsia"/>
          <w:b/>
          <w:spacing w:val="-2"/>
          <w:sz w:val="21"/>
        </w:rPr>
        <w:t>豆状核变性</w:t>
      </w:r>
    </w:p>
    <w:p>
      <w:pPr>
        <w:spacing w:line="278" w:lineRule="auto" w:before="0"/>
        <w:ind w:left="504" w:right="353" w:firstLine="0"/>
        <w:jc w:val="left"/>
        <w:rPr>
          <w:rFonts w:ascii="楷体" w:eastAsia="楷体" w:hint="eastAsia"/>
          <w:b/>
          <w:sz w:val="21"/>
        </w:rPr>
      </w:pPr>
      <w:r>
        <w:rPr>
          <w:rFonts w:ascii="楷体" w:eastAsia="楷体" w:hint="eastAsia"/>
          <w:b/>
          <w:spacing w:val="-2"/>
          <w:sz w:val="21"/>
        </w:rPr>
        <w:t>（Wilson</w:t>
      </w:r>
      <w:r>
        <w:rPr>
          <w:rFonts w:ascii="楷体" w:eastAsia="楷体" w:hint="eastAsia"/>
          <w:b/>
          <w:spacing w:val="-6"/>
          <w:sz w:val="21"/>
        </w:rPr>
        <w:t>病）</w:t>
      </w:r>
    </w:p>
    <w:p>
      <w:pPr>
        <w:pStyle w:val="BodyText"/>
        <w:spacing w:line="278" w:lineRule="auto" w:before="71"/>
        <w:ind w:left="178" w:right="214"/>
        <w:jc w:val="both"/>
      </w:pPr>
      <w:r>
        <w:rPr/>
        <w:br w:type="column"/>
      </w:r>
      <w:r>
        <w:rPr>
          <w:spacing w:val="-2"/>
        </w:rPr>
        <w:t>是一种遗传性铜代谢障碍疾病。临床表现为体内的铜离子在肝、脑、肾、角膜等处沉</w:t>
      </w:r>
      <w:r>
        <w:rPr>
          <w:spacing w:val="-2"/>
        </w:rPr>
        <w:t>积，引起进行性加重的肝硬化、锥体外系症状、精神症状、肾损害及角膜色素环。且</w:t>
      </w:r>
      <w:r>
        <w:rPr>
          <w:spacing w:val="-2"/>
        </w:rPr>
        <w:t>须满足以下至少一项条件：</w:t>
      </w:r>
    </w:p>
    <w:p>
      <w:pPr>
        <w:pStyle w:val="ListParagraph"/>
        <w:numPr>
          <w:ilvl w:val="0"/>
          <w:numId w:val="47"/>
        </w:numPr>
        <w:tabs>
          <w:tab w:pos="708" w:val="left" w:leader="none"/>
        </w:tabs>
        <w:spacing w:line="269" w:lineRule="exact" w:before="0" w:after="0"/>
        <w:ind w:left="707" w:right="0" w:hanging="530"/>
        <w:jc w:val="left"/>
        <w:rPr>
          <w:sz w:val="21"/>
        </w:rPr>
      </w:pPr>
      <w:r>
        <w:rPr>
          <w:spacing w:val="-3"/>
          <w:sz w:val="21"/>
        </w:rPr>
        <w:t>失代偿性肝硬化，临床已经出现腹水、食道静脉曲张和脾肿大等表现；</w:t>
      </w:r>
    </w:p>
    <w:p>
      <w:pPr>
        <w:pStyle w:val="ListParagraph"/>
        <w:numPr>
          <w:ilvl w:val="0"/>
          <w:numId w:val="47"/>
        </w:numPr>
        <w:tabs>
          <w:tab w:pos="708" w:val="left" w:leader="none"/>
        </w:tabs>
        <w:spacing w:line="240" w:lineRule="auto" w:before="43" w:after="0"/>
        <w:ind w:left="707" w:right="0" w:hanging="530"/>
        <w:jc w:val="left"/>
        <w:rPr>
          <w:sz w:val="21"/>
        </w:rPr>
      </w:pPr>
      <w:r>
        <w:rPr>
          <w:spacing w:val="-3"/>
          <w:sz w:val="21"/>
        </w:rPr>
        <w:t>慢性肾功能衰竭，已开始肾脏透析治疗；</w:t>
      </w:r>
    </w:p>
    <w:p>
      <w:pPr>
        <w:pStyle w:val="ListParagraph"/>
        <w:numPr>
          <w:ilvl w:val="0"/>
          <w:numId w:val="47"/>
        </w:numPr>
        <w:tabs>
          <w:tab w:pos="708" w:val="left" w:leader="none"/>
        </w:tabs>
        <w:spacing w:line="240" w:lineRule="auto" w:before="43" w:after="0"/>
        <w:ind w:left="707" w:right="0" w:hanging="530"/>
        <w:jc w:val="left"/>
        <w:rPr>
          <w:sz w:val="21"/>
        </w:rPr>
      </w:pPr>
      <w:r>
        <w:rPr>
          <w:spacing w:val="-3"/>
          <w:sz w:val="21"/>
        </w:rPr>
        <w:t>已经实施了肝移植或肾移植手术。</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严重肺</w:t>
      </w:r>
      <w:r>
        <w:rPr>
          <w:rFonts w:ascii="楷体" w:eastAsia="楷体" w:hint="eastAsia"/>
          <w:b/>
          <w:spacing w:val="-4"/>
          <w:sz w:val="21"/>
        </w:rPr>
        <w:t>结节病</w:t>
      </w:r>
    </w:p>
    <w:p>
      <w:pPr>
        <w:pStyle w:val="BodyText"/>
        <w:spacing w:line="278" w:lineRule="auto" w:before="72"/>
        <w:ind w:left="178" w:right="214"/>
        <w:jc w:val="both"/>
      </w:pPr>
      <w:r>
        <w:rPr/>
        <w:br w:type="column"/>
      </w:r>
      <w:r>
        <w:rPr>
          <w:spacing w:val="-2"/>
        </w:rPr>
        <w:t>结节病是一种原因未明的慢性肉芽肿病，可侵犯全身多个器官，以肺和淋巴结受累最</w:t>
      </w:r>
      <w:r>
        <w:rPr>
          <w:spacing w:val="-2"/>
        </w:rPr>
        <w:t>为常见。严重肺结节病表现为肺的广泛纤维化导致慢性呼吸功能衰竭。必须满足下列</w:t>
      </w:r>
      <w:r>
        <w:rPr>
          <w:spacing w:val="-2"/>
        </w:rPr>
        <w:t>全部条件：</w:t>
      </w:r>
    </w:p>
    <w:p>
      <w:pPr>
        <w:pStyle w:val="ListParagraph"/>
        <w:numPr>
          <w:ilvl w:val="0"/>
          <w:numId w:val="48"/>
        </w:numPr>
        <w:tabs>
          <w:tab w:pos="708" w:val="left" w:leader="none"/>
        </w:tabs>
        <w:spacing w:line="269" w:lineRule="exact" w:before="0" w:after="0"/>
        <w:ind w:left="707" w:right="0" w:hanging="530"/>
        <w:jc w:val="both"/>
        <w:rPr>
          <w:sz w:val="21"/>
        </w:rPr>
      </w:pPr>
      <w:r>
        <w:rPr>
          <w:spacing w:val="-10"/>
          <w:sz w:val="21"/>
        </w:rPr>
        <w:t>肺结节病的 </w:t>
      </w:r>
      <w:r>
        <w:rPr>
          <w:spacing w:val="-2"/>
          <w:sz w:val="21"/>
        </w:rPr>
        <w:t>X</w:t>
      </w:r>
      <w:r>
        <w:rPr>
          <w:spacing w:val="-10"/>
          <w:sz w:val="21"/>
        </w:rPr>
        <w:t> 线分期为Ⅳ期，即广泛肺纤维化；</w:t>
      </w:r>
    </w:p>
    <w:p>
      <w:pPr>
        <w:pStyle w:val="ListParagraph"/>
        <w:numPr>
          <w:ilvl w:val="0"/>
          <w:numId w:val="48"/>
        </w:numPr>
        <w:tabs>
          <w:tab w:pos="708" w:val="left" w:leader="none"/>
        </w:tabs>
        <w:spacing w:line="278" w:lineRule="auto" w:before="42" w:after="0"/>
        <w:ind w:left="178" w:right="214" w:hanging="1"/>
        <w:jc w:val="both"/>
        <w:rPr>
          <w:sz w:val="21"/>
        </w:rPr>
      </w:pPr>
      <w:r>
        <w:rPr>
          <w:spacing w:val="-7"/>
          <w:position w:val="1"/>
          <w:sz w:val="21"/>
        </w:rPr>
        <w:t>永久不可逆性的慢性呼吸功能衰竭，临床持续 </w:t>
      </w:r>
      <w:r>
        <w:rPr>
          <w:position w:val="1"/>
          <w:sz w:val="21"/>
        </w:rPr>
        <w:t>180</w:t>
      </w:r>
      <w:r>
        <w:rPr>
          <w:spacing w:val="-14"/>
          <w:position w:val="1"/>
          <w:sz w:val="21"/>
        </w:rPr>
        <w:t> 天动脉血氧分压</w:t>
      </w:r>
      <w:r>
        <w:rPr>
          <w:spacing w:val="5"/>
          <w:position w:val="1"/>
          <w:sz w:val="21"/>
        </w:rPr>
        <w:t>（</w:t>
      </w:r>
      <w:r>
        <w:rPr>
          <w:spacing w:val="3"/>
          <w:position w:val="1"/>
          <w:sz w:val="21"/>
        </w:rPr>
        <w:t>P</w:t>
      </w:r>
      <w:r>
        <w:rPr>
          <w:spacing w:val="6"/>
          <w:position w:val="1"/>
          <w:sz w:val="21"/>
        </w:rPr>
        <w:t>a</w:t>
      </w:r>
      <w:r>
        <w:rPr>
          <w:spacing w:val="5"/>
          <w:position w:val="1"/>
          <w:sz w:val="21"/>
        </w:rPr>
        <w:t>O</w:t>
      </w:r>
      <w:r>
        <w:rPr>
          <w:spacing w:val="6"/>
          <w:sz w:val="11"/>
        </w:rPr>
        <w:t>2</w:t>
      </w:r>
      <w:r>
        <w:rPr>
          <w:spacing w:val="-100"/>
          <w:position w:val="1"/>
          <w:sz w:val="21"/>
        </w:rPr>
        <w:t>）</w:t>
      </w:r>
      <w:r>
        <w:rPr>
          <w:spacing w:val="3"/>
          <w:position w:val="1"/>
          <w:sz w:val="21"/>
        </w:rPr>
        <w:t>&lt;</w:t>
      </w:r>
      <w:r>
        <w:rPr>
          <w:spacing w:val="6"/>
          <w:position w:val="1"/>
          <w:sz w:val="21"/>
        </w:rPr>
        <w:t>50mmHg</w:t>
      </w:r>
      <w:r>
        <w:rPr>
          <w:spacing w:val="-2"/>
          <w:position w:val="1"/>
          <w:sz w:val="21"/>
        </w:rPr>
        <w:t>和动脉血氧饱和度（SaO</w:t>
      </w:r>
      <w:r>
        <w:rPr>
          <w:spacing w:val="-2"/>
          <w:sz w:val="11"/>
        </w:rPr>
        <w:t>2</w:t>
      </w:r>
      <w:r>
        <w:rPr>
          <w:spacing w:val="-2"/>
          <w:position w:val="1"/>
          <w:sz w:val="21"/>
        </w:rPr>
        <w:t>）&lt;80%。</w:t>
      </w:r>
    </w:p>
    <w:p>
      <w:pPr>
        <w:spacing w:after="0" w:line="278" w:lineRule="auto"/>
        <w:jc w:val="both"/>
        <w:rPr>
          <w:sz w:val="21"/>
        </w:rPr>
        <w:sectPr>
          <w:type w:val="continuous"/>
          <w:pgSz w:w="11910" w:h="16840"/>
          <w:pgMar w:header="0" w:footer="1120" w:top="1120" w:bottom="1300" w:left="1020" w:right="1020"/>
          <w:cols w:num="2" w:equalWidth="0">
            <w:col w:w="1705" w:space="40"/>
            <w:col w:w="8125"/>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溶血性</w:t>
      </w:r>
      <w:r>
        <w:rPr>
          <w:rFonts w:ascii="楷体" w:eastAsia="楷体" w:hint="eastAsia"/>
          <w:b/>
          <w:spacing w:val="-2"/>
          <w:sz w:val="21"/>
        </w:rPr>
        <w:t>尿毒综合征</w:t>
      </w:r>
    </w:p>
    <w:p>
      <w:pPr>
        <w:pStyle w:val="BodyText"/>
        <w:spacing w:line="278" w:lineRule="auto" w:before="72"/>
        <w:ind w:left="178" w:right="374"/>
      </w:pPr>
      <w:r>
        <w:rPr/>
        <w:br w:type="column"/>
      </w:r>
      <w:r>
        <w:rPr>
          <w:spacing w:val="-2"/>
        </w:rPr>
        <w:t>指一种由于感染导致的急性综合征，引起红细胞溶血，肾功能衰竭及尿毒症。且须</w:t>
      </w:r>
      <w:r>
        <w:rPr>
          <w:spacing w:val="-2"/>
        </w:rPr>
        <w:t>满足下列全部条件：</w:t>
      </w:r>
    </w:p>
    <w:p>
      <w:pPr>
        <w:pStyle w:val="ListParagraph"/>
        <w:numPr>
          <w:ilvl w:val="0"/>
          <w:numId w:val="49"/>
        </w:numPr>
        <w:tabs>
          <w:tab w:pos="708" w:val="left" w:leader="none"/>
        </w:tabs>
        <w:spacing w:line="269" w:lineRule="exact" w:before="0" w:after="0"/>
        <w:ind w:left="707" w:right="0" w:hanging="530"/>
        <w:jc w:val="left"/>
        <w:rPr>
          <w:sz w:val="21"/>
        </w:rPr>
      </w:pPr>
      <w:r>
        <w:rPr>
          <w:spacing w:val="-3"/>
          <w:sz w:val="21"/>
        </w:rPr>
        <w:t>实验室检查确认有溶血性贫血、血尿、尿毒症、血小板减少性紫癜；</w:t>
      </w:r>
    </w:p>
    <w:p>
      <w:pPr>
        <w:pStyle w:val="ListParagraph"/>
        <w:numPr>
          <w:ilvl w:val="0"/>
          <w:numId w:val="49"/>
        </w:numPr>
        <w:tabs>
          <w:tab w:pos="708" w:val="left" w:leader="none"/>
        </w:tabs>
        <w:spacing w:line="240" w:lineRule="auto" w:before="43" w:after="0"/>
        <w:ind w:left="707" w:right="0" w:hanging="530"/>
        <w:jc w:val="left"/>
        <w:rPr>
          <w:sz w:val="21"/>
        </w:rPr>
      </w:pPr>
      <w:r>
        <w:rPr>
          <w:spacing w:val="-3"/>
          <w:sz w:val="21"/>
        </w:rPr>
        <w:t>因肾脏功能衰竭已经实施了肾脏透析治疗。</w:t>
      </w:r>
    </w:p>
    <w:p>
      <w:pPr>
        <w:spacing w:before="20"/>
        <w:ind w:left="178" w:right="0" w:firstLine="0"/>
        <w:jc w:val="left"/>
        <w:rPr>
          <w:rFonts w:ascii="黑体" w:eastAsia="黑体"/>
          <w:sz w:val="24"/>
        </w:rPr>
      </w:pPr>
      <w:r>
        <w:rPr>
          <w:rFonts w:ascii="黑体" w:eastAsia="黑体"/>
          <w:spacing w:val="-1"/>
          <w:sz w:val="24"/>
        </w:rPr>
        <w:t>任何非因感染导致的溶血性贫血，如：自身免疫性溶血性贫血、与红细胞</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spacing w:line="242" w:lineRule="auto" w:before="37"/>
        <w:ind w:left="1922" w:right="213" w:firstLine="0"/>
        <w:jc w:val="left"/>
        <w:rPr>
          <w:rFonts w:ascii="黑体" w:eastAsia="黑体"/>
          <w:sz w:val="24"/>
        </w:rPr>
      </w:pPr>
      <w:r>
        <w:rPr>
          <w:rFonts w:ascii="黑体" w:eastAsia="黑体"/>
          <w:spacing w:val="-2"/>
          <w:sz w:val="24"/>
        </w:rPr>
        <w:t>末缺陷有关的溶血性贫血、红细胞酶病、血红蛋白病等，不在本保障范围</w:t>
      </w:r>
      <w:r>
        <w:rPr>
          <w:rFonts w:ascii="黑体" w:eastAsia="黑体"/>
          <w:spacing w:val="-6"/>
          <w:sz w:val="24"/>
        </w:rPr>
        <w:t>内。</w:t>
      </w:r>
    </w:p>
    <w:p>
      <w:pPr>
        <w:pStyle w:val="BodyText"/>
        <w:spacing w:before="3"/>
        <w:rPr>
          <w:rFonts w:ascii="黑体"/>
          <w:sz w:val="14"/>
        </w:rPr>
      </w:pPr>
    </w:p>
    <w:p>
      <w:pPr>
        <w:spacing w:after="0"/>
        <w:rPr>
          <w:rFonts w:ascii="黑体"/>
          <w:sz w:val="14"/>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席汉氏</w:t>
      </w:r>
      <w:r>
        <w:rPr>
          <w:rFonts w:ascii="楷体" w:eastAsia="楷体" w:hint="eastAsia"/>
          <w:b/>
          <w:spacing w:val="-4"/>
          <w:sz w:val="21"/>
        </w:rPr>
        <w:t>综合征</w:t>
      </w:r>
    </w:p>
    <w:p>
      <w:pPr>
        <w:pStyle w:val="BodyText"/>
        <w:spacing w:line="278" w:lineRule="auto" w:before="72"/>
        <w:ind w:left="178" w:right="213"/>
        <w:jc w:val="both"/>
      </w:pPr>
      <w:r>
        <w:rPr/>
        <w:br w:type="column"/>
      </w:r>
      <w:r>
        <w:rPr>
          <w:spacing w:val="-2"/>
        </w:rPr>
        <w:t>指因产后大出血并发休克、全身循环衰竭、弥漫性血管内凝血导致脑垂体缺血坏死和</w:t>
      </w:r>
      <w:r>
        <w:rPr>
          <w:spacing w:val="-2"/>
        </w:rPr>
        <w:t>垂体分泌激素不足，造成性腺、甲状腺、肾上腺皮质功能减退。且须满足下列全部条</w:t>
      </w:r>
      <w:r>
        <w:rPr>
          <w:spacing w:val="-6"/>
        </w:rPr>
        <w:t>件：</w:t>
      </w:r>
    </w:p>
    <w:p>
      <w:pPr>
        <w:pStyle w:val="ListParagraph"/>
        <w:numPr>
          <w:ilvl w:val="0"/>
          <w:numId w:val="50"/>
        </w:numPr>
        <w:tabs>
          <w:tab w:pos="720" w:val="left" w:leader="none"/>
        </w:tabs>
        <w:spacing w:line="269" w:lineRule="exact" w:before="0" w:after="0"/>
        <w:ind w:left="719" w:right="0" w:hanging="542"/>
        <w:jc w:val="left"/>
        <w:rPr>
          <w:sz w:val="21"/>
        </w:rPr>
      </w:pPr>
      <w:r>
        <w:rPr>
          <w:spacing w:val="-3"/>
          <w:sz w:val="21"/>
        </w:rPr>
        <w:t>产后大出血休克病史；</w:t>
      </w:r>
    </w:p>
    <w:p>
      <w:pPr>
        <w:pStyle w:val="ListParagraph"/>
        <w:numPr>
          <w:ilvl w:val="0"/>
          <w:numId w:val="50"/>
        </w:numPr>
        <w:tabs>
          <w:tab w:pos="720" w:val="left" w:leader="none"/>
        </w:tabs>
        <w:spacing w:line="240" w:lineRule="auto" w:before="42" w:after="0"/>
        <w:ind w:left="719" w:right="0" w:hanging="542"/>
        <w:jc w:val="left"/>
        <w:rPr>
          <w:sz w:val="21"/>
        </w:rPr>
      </w:pPr>
      <w:r>
        <w:rPr>
          <w:spacing w:val="-2"/>
          <w:sz w:val="21"/>
        </w:rPr>
        <w:t>严重腺垂体功能破坏，破坏程度</w:t>
      </w:r>
      <w:r>
        <w:rPr>
          <w:rFonts w:ascii="Arial" w:eastAsia="Arial"/>
          <w:spacing w:val="-4"/>
          <w:sz w:val="21"/>
        </w:rPr>
        <w:t>&gt;95%</w:t>
      </w:r>
      <w:r>
        <w:rPr>
          <w:spacing w:val="-4"/>
          <w:sz w:val="21"/>
        </w:rPr>
        <w:t>；</w:t>
      </w:r>
    </w:p>
    <w:p>
      <w:pPr>
        <w:pStyle w:val="ListParagraph"/>
        <w:numPr>
          <w:ilvl w:val="0"/>
          <w:numId w:val="50"/>
        </w:numPr>
        <w:tabs>
          <w:tab w:pos="720" w:val="left" w:leader="none"/>
        </w:tabs>
        <w:spacing w:line="240" w:lineRule="auto" w:before="43" w:after="0"/>
        <w:ind w:left="719" w:right="0" w:hanging="542"/>
        <w:jc w:val="left"/>
        <w:rPr>
          <w:sz w:val="21"/>
        </w:rPr>
      </w:pPr>
      <w:r>
        <w:rPr>
          <w:spacing w:val="-3"/>
          <w:sz w:val="21"/>
        </w:rPr>
        <w:t>影像学检查显示脑垂体严重萎缩或消失；</w:t>
      </w:r>
    </w:p>
    <w:p>
      <w:pPr>
        <w:pStyle w:val="ListParagraph"/>
        <w:numPr>
          <w:ilvl w:val="0"/>
          <w:numId w:val="50"/>
        </w:numPr>
        <w:tabs>
          <w:tab w:pos="720" w:val="left" w:leader="none"/>
        </w:tabs>
        <w:spacing w:line="240" w:lineRule="auto" w:before="43" w:after="0"/>
        <w:ind w:left="719" w:right="0" w:hanging="542"/>
        <w:jc w:val="left"/>
        <w:rPr>
          <w:sz w:val="21"/>
        </w:rPr>
      </w:pPr>
      <w:r>
        <w:rPr>
          <w:spacing w:val="-4"/>
          <w:sz w:val="21"/>
        </w:rPr>
        <w:t>实验室检查显示：</w:t>
      </w:r>
    </w:p>
    <w:p>
      <w:pPr>
        <w:pStyle w:val="BodyText"/>
        <w:spacing w:line="278" w:lineRule="auto"/>
        <w:ind w:left="912" w:right="216" w:hanging="209"/>
      </w:pPr>
      <w:r>
        <w:rPr>
          <w:spacing w:val="-6"/>
        </w:rPr>
        <w:t>①垂体前叶激素全面低下（包括生长激素、促甲状腺素、促肾上腺皮质激素、卵</w:t>
      </w:r>
      <w:r>
        <w:rPr>
          <w:spacing w:val="-2"/>
        </w:rPr>
        <w:t>泡刺激素和黄体生成素</w:t>
      </w:r>
      <w:r>
        <w:rPr>
          <w:spacing w:val="-108"/>
        </w:rPr>
        <w:t>）</w:t>
      </w:r>
      <w:r>
        <w:rPr>
          <w:spacing w:val="-3"/>
        </w:rPr>
        <w:t>；和</w:t>
      </w:r>
    </w:p>
    <w:p>
      <w:pPr>
        <w:pStyle w:val="BodyText"/>
        <w:spacing w:line="269" w:lineRule="exact" w:before="0"/>
        <w:ind w:left="704"/>
      </w:pPr>
      <w:r>
        <w:rPr>
          <w:spacing w:val="-3"/>
        </w:rPr>
        <w:t>②性激素、甲状腺素、肾上腺皮质激素全面低下；</w:t>
      </w:r>
    </w:p>
    <w:p>
      <w:pPr>
        <w:pStyle w:val="ListParagraph"/>
        <w:numPr>
          <w:ilvl w:val="0"/>
          <w:numId w:val="50"/>
        </w:numPr>
        <w:tabs>
          <w:tab w:pos="720" w:val="left" w:leader="none"/>
        </w:tabs>
        <w:spacing w:line="240" w:lineRule="auto" w:before="43" w:after="0"/>
        <w:ind w:left="719" w:right="0" w:hanging="542"/>
        <w:jc w:val="left"/>
        <w:rPr>
          <w:sz w:val="21"/>
        </w:rPr>
      </w:pPr>
      <w:r>
        <w:rPr>
          <w:spacing w:val="-3"/>
          <w:sz w:val="21"/>
        </w:rPr>
        <w:t>需要终身激素替代治疗以维持身体功能，持续服用各种替代激素超过一年。</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8"/>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范可尼</w:t>
      </w:r>
      <w:r>
        <w:rPr>
          <w:rFonts w:ascii="楷体" w:eastAsia="楷体" w:hint="eastAsia"/>
          <w:b/>
          <w:spacing w:val="-2"/>
          <w:sz w:val="21"/>
        </w:rPr>
        <w:t>综合征－三周</w:t>
      </w:r>
      <w:r>
        <w:rPr>
          <w:rFonts w:ascii="楷体" w:eastAsia="楷体" w:hint="eastAsia"/>
          <w:b/>
          <w:spacing w:val="-2"/>
          <w:sz w:val="21"/>
        </w:rPr>
        <w:t>岁开始理赔</w:t>
      </w:r>
    </w:p>
    <w:p>
      <w:pPr>
        <w:pStyle w:val="BodyText"/>
        <w:spacing w:line="278" w:lineRule="auto" w:before="71"/>
        <w:ind w:left="111" w:right="216"/>
      </w:pPr>
      <w:r>
        <w:rPr/>
        <w:br w:type="column"/>
      </w:r>
      <w:r>
        <w:rPr>
          <w:spacing w:val="-8"/>
        </w:rPr>
        <w:t>范可尼综合征也称 </w:t>
      </w:r>
      <w:r>
        <w:rPr>
          <w:spacing w:val="-2"/>
        </w:rPr>
        <w:t>Fanconi</w:t>
      </w:r>
      <w:r>
        <w:rPr>
          <w:spacing w:val="-10"/>
        </w:rPr>
        <w:t> 综合征，指近端肾小管的功能异常引起的一组症候群。且</w:t>
      </w:r>
      <w:r>
        <w:rPr>
          <w:spacing w:val="-2"/>
        </w:rPr>
        <w:t>须满足下列至少三项条件：</w:t>
      </w:r>
    </w:p>
    <w:p>
      <w:pPr>
        <w:pStyle w:val="ListParagraph"/>
        <w:numPr>
          <w:ilvl w:val="0"/>
          <w:numId w:val="51"/>
        </w:numPr>
        <w:tabs>
          <w:tab w:pos="641" w:val="left" w:leader="none"/>
        </w:tabs>
        <w:spacing w:line="269" w:lineRule="exact" w:before="0" w:after="0"/>
        <w:ind w:left="640" w:right="0" w:hanging="530"/>
        <w:jc w:val="left"/>
        <w:rPr>
          <w:sz w:val="21"/>
        </w:rPr>
      </w:pPr>
      <w:r>
        <w:rPr>
          <w:spacing w:val="-3"/>
          <w:sz w:val="21"/>
        </w:rPr>
        <w:t>尿液检查出现肾性糖尿、全氨基酸糖尿或磷酸盐尿；</w:t>
      </w:r>
    </w:p>
    <w:p>
      <w:pPr>
        <w:pStyle w:val="ListParagraph"/>
        <w:numPr>
          <w:ilvl w:val="0"/>
          <w:numId w:val="51"/>
        </w:numPr>
        <w:tabs>
          <w:tab w:pos="641" w:val="left" w:leader="none"/>
        </w:tabs>
        <w:spacing w:line="240" w:lineRule="auto" w:before="43" w:after="0"/>
        <w:ind w:left="640" w:right="0" w:hanging="530"/>
        <w:jc w:val="left"/>
        <w:rPr>
          <w:sz w:val="21"/>
        </w:rPr>
      </w:pPr>
      <w:r>
        <w:rPr>
          <w:spacing w:val="-3"/>
          <w:sz w:val="21"/>
        </w:rPr>
        <w:t>血液检查出现低磷血症、低尿酸血症或近端肾小管酸中毒；</w:t>
      </w:r>
    </w:p>
    <w:p>
      <w:pPr>
        <w:pStyle w:val="ListParagraph"/>
        <w:numPr>
          <w:ilvl w:val="0"/>
          <w:numId w:val="51"/>
        </w:numPr>
        <w:tabs>
          <w:tab w:pos="641" w:val="left" w:leader="none"/>
        </w:tabs>
        <w:spacing w:line="240" w:lineRule="auto" w:before="43" w:after="0"/>
        <w:ind w:left="640" w:right="0" w:hanging="530"/>
        <w:jc w:val="left"/>
        <w:rPr>
          <w:sz w:val="21"/>
        </w:rPr>
      </w:pPr>
      <w:r>
        <w:rPr>
          <w:spacing w:val="-3"/>
          <w:sz w:val="21"/>
        </w:rPr>
        <w:t>出现骨质疏松、骨骼畸形或尿路结石；</w:t>
      </w:r>
    </w:p>
    <w:p>
      <w:pPr>
        <w:pStyle w:val="ListParagraph"/>
        <w:numPr>
          <w:ilvl w:val="0"/>
          <w:numId w:val="51"/>
        </w:numPr>
        <w:tabs>
          <w:tab w:pos="641" w:val="left" w:leader="none"/>
        </w:tabs>
        <w:spacing w:line="240" w:lineRule="auto" w:before="43" w:after="0"/>
        <w:ind w:left="640" w:right="0" w:hanging="530"/>
        <w:jc w:val="left"/>
        <w:rPr>
          <w:sz w:val="21"/>
        </w:rPr>
      </w:pPr>
      <w:r>
        <w:rPr>
          <w:spacing w:val="-5"/>
          <w:sz w:val="21"/>
        </w:rPr>
        <w:t>通过骨髓片、白细胞、直肠黏膜中的结晶分析或裂隙灯检查角膜有胱氨酸结晶。</w:t>
      </w:r>
    </w:p>
    <w:p>
      <w:pPr>
        <w:spacing w:before="20"/>
        <w:ind w:left="111" w:right="0" w:firstLine="0"/>
        <w:jc w:val="left"/>
        <w:rPr>
          <w:rFonts w:ascii="黑体" w:eastAsia="黑体"/>
          <w:sz w:val="24"/>
        </w:rPr>
      </w:pPr>
      <w:r>
        <w:rPr>
          <w:rFonts w:ascii="黑体" w:eastAsia="黑体"/>
          <w:sz w:val="24"/>
        </w:rPr>
        <w:t>申请理赔时，被保险人年龄必须在三周岁（含）</w:t>
      </w:r>
      <w:r>
        <w:rPr>
          <w:rFonts w:ascii="黑体" w:eastAsia="黑体"/>
          <w:spacing w:val="-4"/>
          <w:sz w:val="24"/>
        </w:rPr>
        <w:t>以上。</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重症原</w:t>
      </w:r>
      <w:r>
        <w:rPr>
          <w:rFonts w:ascii="楷体" w:eastAsia="楷体" w:hint="eastAsia"/>
          <w:b/>
          <w:spacing w:val="-2"/>
          <w:sz w:val="21"/>
        </w:rPr>
        <w:t>发性血小板减</w:t>
      </w:r>
      <w:r>
        <w:rPr>
          <w:rFonts w:ascii="楷体" w:eastAsia="楷体" w:hint="eastAsia"/>
          <w:b/>
          <w:spacing w:val="-4"/>
          <w:sz w:val="21"/>
        </w:rPr>
        <w:t>少性紫癜</w:t>
      </w:r>
    </w:p>
    <w:p>
      <w:pPr>
        <w:pStyle w:val="BodyText"/>
        <w:spacing w:line="278" w:lineRule="auto" w:before="72"/>
        <w:ind w:left="111" w:right="214"/>
      </w:pPr>
      <w:r>
        <w:rPr/>
        <w:br w:type="column"/>
      </w:r>
      <w:r>
        <w:rPr>
          <w:spacing w:val="-2"/>
        </w:rPr>
        <w:t>指原因不明的免疫介导的血小板减少，临床表现为皮肤粘膜出血及内脏出血。重症特</w:t>
      </w:r>
      <w:r>
        <w:rPr>
          <w:spacing w:val="-2"/>
        </w:rPr>
        <w:t>发性血小板减少性紫癜必须满足下列全部条件：</w:t>
      </w:r>
    </w:p>
    <w:p>
      <w:pPr>
        <w:pStyle w:val="ListParagraph"/>
        <w:numPr>
          <w:ilvl w:val="0"/>
          <w:numId w:val="52"/>
        </w:numPr>
        <w:tabs>
          <w:tab w:pos="641" w:val="left" w:leader="none"/>
        </w:tabs>
        <w:spacing w:line="240" w:lineRule="auto" w:before="7" w:after="0"/>
        <w:ind w:left="640" w:right="0" w:hanging="530"/>
        <w:jc w:val="left"/>
        <w:rPr>
          <w:sz w:val="21"/>
        </w:rPr>
      </w:pPr>
      <w:r>
        <w:rPr>
          <w:spacing w:val="-2"/>
          <w:sz w:val="21"/>
        </w:rPr>
        <w:t>血小板计数&lt;10x</w:t>
      </w:r>
      <w:r>
        <w:rPr>
          <w:rFonts w:ascii="Times New Roman" w:eastAsia="Times New Roman"/>
          <w:spacing w:val="-2"/>
          <w:sz w:val="21"/>
        </w:rPr>
        <w:t>10</w:t>
      </w:r>
      <w:r>
        <w:rPr>
          <w:rFonts w:ascii="仿宋" w:eastAsia="仿宋"/>
          <w:spacing w:val="-2"/>
          <w:sz w:val="21"/>
          <w:vertAlign w:val="superscript"/>
        </w:rPr>
        <w:t>9</w:t>
      </w:r>
      <w:r>
        <w:rPr>
          <w:spacing w:val="-2"/>
          <w:sz w:val="21"/>
          <w:vertAlign w:val="baseline"/>
        </w:rPr>
        <w:t>/L</w:t>
      </w:r>
    </w:p>
    <w:p>
      <w:pPr>
        <w:pStyle w:val="ListParagraph"/>
        <w:numPr>
          <w:ilvl w:val="0"/>
          <w:numId w:val="52"/>
        </w:numPr>
        <w:tabs>
          <w:tab w:pos="641" w:val="left" w:leader="none"/>
        </w:tabs>
        <w:spacing w:line="240" w:lineRule="auto" w:before="36" w:after="0"/>
        <w:ind w:left="640" w:right="0" w:hanging="530"/>
        <w:jc w:val="left"/>
        <w:rPr>
          <w:sz w:val="21"/>
        </w:rPr>
      </w:pPr>
      <w:r>
        <w:rPr>
          <w:spacing w:val="-4"/>
          <w:sz w:val="21"/>
        </w:rPr>
        <w:t>颅内出血；</w:t>
      </w:r>
    </w:p>
    <w:p>
      <w:pPr>
        <w:pStyle w:val="ListParagraph"/>
        <w:numPr>
          <w:ilvl w:val="0"/>
          <w:numId w:val="52"/>
        </w:numPr>
        <w:tabs>
          <w:tab w:pos="641" w:val="left" w:leader="none"/>
        </w:tabs>
        <w:spacing w:line="240" w:lineRule="auto" w:before="42" w:after="0"/>
        <w:ind w:left="640" w:right="0" w:hanging="530"/>
        <w:jc w:val="left"/>
        <w:rPr>
          <w:sz w:val="21"/>
        </w:rPr>
      </w:pPr>
      <w:r>
        <w:rPr>
          <w:spacing w:val="-2"/>
          <w:sz w:val="21"/>
        </w:rPr>
        <w:t>内脏出血（肺、胃肠道和/或泌尿生殖系统）</w:t>
      </w:r>
      <w:r>
        <w:rPr>
          <w:spacing w:val="-4"/>
          <w:sz w:val="21"/>
        </w:rPr>
        <w:t>且伴有贫血。</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8"/>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原发性</w:t>
      </w:r>
      <w:r>
        <w:rPr>
          <w:rFonts w:ascii="楷体" w:eastAsia="楷体" w:hint="eastAsia"/>
          <w:b/>
          <w:spacing w:val="-2"/>
          <w:sz w:val="21"/>
        </w:rPr>
        <w:t>系统性淀粉样</w:t>
      </w:r>
      <w:r>
        <w:rPr>
          <w:rFonts w:ascii="楷体" w:eastAsia="楷体" w:hint="eastAsia"/>
          <w:b/>
          <w:spacing w:val="-6"/>
          <w:sz w:val="21"/>
        </w:rPr>
        <w:t>变性</w:t>
      </w:r>
    </w:p>
    <w:p>
      <w:pPr>
        <w:pStyle w:val="BodyText"/>
        <w:spacing w:line="278" w:lineRule="auto" w:before="71"/>
        <w:ind w:left="111" w:right="214"/>
      </w:pPr>
      <w:r>
        <w:rPr/>
        <w:br w:type="column"/>
      </w:r>
      <w:r>
        <w:rPr>
          <w:spacing w:val="-2"/>
        </w:rPr>
        <w:t>是一组蛋白质代谢障碍性疾病，病理表现为淀粉样蛋白沉积于组织或器官。原发性系</w:t>
      </w:r>
      <w:r>
        <w:rPr>
          <w:spacing w:val="-2"/>
        </w:rPr>
        <w:t>统性淀粉样变性原因不明，通常累及肾脏和/或心脏。</w:t>
      </w:r>
    </w:p>
    <w:p>
      <w:pPr>
        <w:pStyle w:val="BodyText"/>
        <w:spacing w:line="269" w:lineRule="exact" w:before="0"/>
        <w:ind w:left="111"/>
      </w:pPr>
      <w:r>
        <w:rPr>
          <w:spacing w:val="-3"/>
        </w:rPr>
        <w:t>被保险人经活检组织病理学检查被明确诊断为淀粉样变性，并满足下列条件之一：</w:t>
      </w:r>
    </w:p>
    <w:p>
      <w:pPr>
        <w:pStyle w:val="ListParagraph"/>
        <w:numPr>
          <w:ilvl w:val="0"/>
          <w:numId w:val="53"/>
        </w:numPr>
        <w:tabs>
          <w:tab w:pos="643" w:val="left" w:leader="none"/>
        </w:tabs>
        <w:spacing w:line="278" w:lineRule="auto" w:before="43" w:after="0"/>
        <w:ind w:left="111" w:right="110" w:firstLine="0"/>
        <w:jc w:val="left"/>
        <w:rPr>
          <w:sz w:val="21"/>
        </w:rPr>
      </w:pPr>
      <w:r>
        <w:rPr>
          <w:w w:val="100"/>
          <w:sz w:val="21"/>
        </w:rPr>
        <w:t>心脏淀粉样变性，被保险人存在限制性心肌病及其所致的充血性心力衰竭，达</w:t>
      </w:r>
      <w:r>
        <w:rPr>
          <w:spacing w:val="-6"/>
          <w:w w:val="100"/>
          <w:sz w:val="21"/>
        </w:rPr>
        <w:t>到美国纽约心脏病学会</w:t>
      </w:r>
      <w:r>
        <w:rPr>
          <w:w w:val="100"/>
          <w:sz w:val="21"/>
        </w:rPr>
        <w:t>（</w:t>
      </w:r>
      <w:r>
        <w:rPr>
          <w:spacing w:val="-3"/>
          <w:w w:val="100"/>
          <w:sz w:val="21"/>
        </w:rPr>
        <w:t>N</w:t>
      </w:r>
      <w:r>
        <w:rPr>
          <w:w w:val="100"/>
          <w:sz w:val="21"/>
        </w:rPr>
        <w:t>ew</w:t>
      </w:r>
      <w:r>
        <w:rPr>
          <w:spacing w:val="-26"/>
          <w:sz w:val="21"/>
        </w:rPr>
        <w:t> </w:t>
      </w:r>
      <w:r>
        <w:rPr>
          <w:w w:val="100"/>
          <w:sz w:val="21"/>
        </w:rPr>
        <w:t>Yo</w:t>
      </w:r>
      <w:r>
        <w:rPr>
          <w:spacing w:val="-3"/>
          <w:w w:val="100"/>
          <w:sz w:val="21"/>
        </w:rPr>
        <w:t>r</w:t>
      </w:r>
      <w:r>
        <w:rPr>
          <w:w w:val="100"/>
          <w:sz w:val="21"/>
        </w:rPr>
        <w:t>k</w:t>
      </w:r>
      <w:r>
        <w:rPr>
          <w:spacing w:val="-26"/>
          <w:sz w:val="21"/>
        </w:rPr>
        <w:t> </w:t>
      </w:r>
      <w:r>
        <w:rPr>
          <w:w w:val="100"/>
          <w:sz w:val="21"/>
        </w:rPr>
        <w:t>H</w:t>
      </w:r>
      <w:r>
        <w:rPr>
          <w:spacing w:val="-3"/>
          <w:w w:val="100"/>
          <w:sz w:val="21"/>
        </w:rPr>
        <w:t>e</w:t>
      </w:r>
      <w:r>
        <w:rPr>
          <w:w w:val="100"/>
          <w:sz w:val="21"/>
        </w:rPr>
        <w:t>art</w:t>
      </w:r>
      <w:r>
        <w:rPr>
          <w:spacing w:val="-29"/>
          <w:sz w:val="21"/>
        </w:rPr>
        <w:t> </w:t>
      </w:r>
      <w:r>
        <w:rPr>
          <w:w w:val="100"/>
          <w:sz w:val="21"/>
        </w:rPr>
        <w:t>Ass</w:t>
      </w:r>
      <w:r>
        <w:rPr>
          <w:spacing w:val="-3"/>
          <w:w w:val="100"/>
          <w:sz w:val="21"/>
        </w:rPr>
        <w:t>o</w:t>
      </w:r>
      <w:r>
        <w:rPr>
          <w:w w:val="100"/>
          <w:sz w:val="21"/>
        </w:rPr>
        <w:t>ciat</w:t>
      </w:r>
      <w:r>
        <w:rPr>
          <w:spacing w:val="-3"/>
          <w:w w:val="100"/>
          <w:sz w:val="21"/>
        </w:rPr>
        <w:t>io</w:t>
      </w:r>
      <w:r>
        <w:rPr>
          <w:w w:val="100"/>
          <w:sz w:val="21"/>
        </w:rPr>
        <w:t>n</w:t>
      </w:r>
      <w:r>
        <w:rPr>
          <w:spacing w:val="-25"/>
          <w:w w:val="100"/>
          <w:sz w:val="21"/>
        </w:rPr>
        <w:t>，</w:t>
      </w:r>
      <w:r>
        <w:rPr>
          <w:spacing w:val="-3"/>
          <w:w w:val="100"/>
          <w:sz w:val="21"/>
        </w:rPr>
        <w:t>N</w:t>
      </w:r>
      <w:r>
        <w:rPr>
          <w:w w:val="100"/>
          <w:sz w:val="21"/>
        </w:rPr>
        <w:t>YH</w:t>
      </w:r>
      <w:r>
        <w:rPr>
          <w:spacing w:val="-3"/>
          <w:w w:val="100"/>
          <w:sz w:val="21"/>
        </w:rPr>
        <w:t>A</w:t>
      </w:r>
      <w:r>
        <w:rPr>
          <w:spacing w:val="-24"/>
          <w:w w:val="100"/>
          <w:sz w:val="21"/>
        </w:rPr>
        <w:t>）</w:t>
      </w:r>
      <w:r>
        <w:rPr>
          <w:spacing w:val="-3"/>
          <w:w w:val="100"/>
          <w:sz w:val="21"/>
        </w:rPr>
        <w:t>心功能状态分级Ⅲ级，并持续</w:t>
      </w:r>
      <w:r>
        <w:rPr>
          <w:w w:val="100"/>
          <w:sz w:val="21"/>
        </w:rPr>
        <w:t>18</w:t>
      </w:r>
      <w:r>
        <w:rPr>
          <w:spacing w:val="-3"/>
          <w:w w:val="100"/>
          <w:sz w:val="21"/>
        </w:rPr>
        <w:t>0</w:t>
      </w:r>
      <w:r>
        <w:rPr>
          <w:spacing w:val="-2"/>
          <w:w w:val="100"/>
          <w:sz w:val="21"/>
        </w:rPr>
        <w:t>天以上；</w:t>
      </w:r>
    </w:p>
    <w:p>
      <w:pPr>
        <w:pStyle w:val="ListParagraph"/>
        <w:numPr>
          <w:ilvl w:val="0"/>
          <w:numId w:val="53"/>
        </w:numPr>
        <w:tabs>
          <w:tab w:pos="643" w:val="left" w:leader="none"/>
        </w:tabs>
        <w:spacing w:line="268" w:lineRule="auto" w:before="0" w:after="0"/>
        <w:ind w:left="111" w:right="216" w:firstLine="0"/>
        <w:jc w:val="left"/>
        <w:rPr>
          <w:sz w:val="21"/>
        </w:rPr>
      </w:pPr>
      <w:r>
        <w:rPr>
          <w:spacing w:val="-2"/>
          <w:sz w:val="21"/>
        </w:rPr>
        <w:t>肾脏淀粉样变性，被保险人存在肾病综合征及其所致的严重的肾脏功能衰竭，</w:t>
      </w:r>
      <w:r>
        <w:rPr>
          <w:spacing w:val="-2"/>
          <w:sz w:val="21"/>
        </w:rPr>
        <w:t>肾小球滤过率&lt;30ml/min/1.73m</w:t>
      </w:r>
      <w:r>
        <w:rPr>
          <w:spacing w:val="-2"/>
          <w:position w:val="11"/>
          <w:sz w:val="11"/>
        </w:rPr>
        <w:t>2</w:t>
      </w:r>
      <w:r>
        <w:rPr>
          <w:spacing w:val="-2"/>
          <w:sz w:val="21"/>
        </w:rPr>
        <w:t>，并持续180天以上。</w:t>
      </w:r>
    </w:p>
    <w:p>
      <w:pPr>
        <w:spacing w:line="296" w:lineRule="exact" w:before="0"/>
        <w:ind w:left="111" w:right="0" w:firstLine="0"/>
        <w:jc w:val="left"/>
        <w:rPr>
          <w:rFonts w:ascii="黑体" w:eastAsia="黑体"/>
          <w:sz w:val="24"/>
        </w:rPr>
      </w:pPr>
      <w:r>
        <w:rPr>
          <w:rFonts w:ascii="黑体" w:eastAsia="黑体"/>
          <w:spacing w:val="-1"/>
          <w:sz w:val="24"/>
        </w:rPr>
        <w:t>继发性淀粉样变性不在保障范围内。</w:t>
      </w:r>
    </w:p>
    <w:p>
      <w:pPr>
        <w:spacing w:after="0" w:line="296" w:lineRule="exact"/>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2"/>
          <w:sz w:val="21"/>
        </w:rPr>
        <w:t>Erdhei m-Chester</w:t>
      </w:r>
      <w:r>
        <w:rPr>
          <w:rFonts w:ascii="楷体" w:eastAsia="楷体" w:hint="eastAsia"/>
          <w:b/>
          <w:spacing w:val="-29"/>
          <w:sz w:val="21"/>
        </w:rPr>
        <w:t> 病</w:t>
      </w:r>
    </w:p>
    <w:p>
      <w:pPr>
        <w:spacing w:line="269" w:lineRule="exact" w:before="0"/>
        <w:ind w:left="504" w:right="0" w:firstLine="0"/>
        <w:jc w:val="left"/>
        <w:rPr>
          <w:rFonts w:ascii="楷体" w:eastAsia="楷体" w:hint="eastAsia"/>
          <w:b/>
          <w:sz w:val="21"/>
        </w:rPr>
      </w:pPr>
      <w:r>
        <w:rPr>
          <w:rFonts w:ascii="楷体" w:eastAsia="楷体" w:hint="eastAsia"/>
          <w:b/>
          <w:spacing w:val="-2"/>
          <w:sz w:val="21"/>
        </w:rPr>
        <w:t>（ECD）</w:t>
      </w:r>
    </w:p>
    <w:p>
      <w:pPr>
        <w:pStyle w:val="BodyText"/>
        <w:spacing w:line="278" w:lineRule="auto" w:before="71"/>
        <w:ind w:left="161" w:right="216"/>
        <w:jc w:val="both"/>
      </w:pPr>
      <w:r>
        <w:rPr/>
        <w:br w:type="column"/>
      </w:r>
      <w:r>
        <w:rPr>
          <w:spacing w:val="-2"/>
        </w:rPr>
        <w:t>是一种非朗格汉斯细胞组织细胞增多疾病，病变累及心血管系统、中枢神经系统、呼</w:t>
      </w:r>
      <w:r>
        <w:rPr>
          <w:spacing w:val="-2"/>
        </w:rPr>
        <w:t>吸系统、骨骼、腹膜后、眼眶等。</w:t>
      </w:r>
      <w:r>
        <w:rPr>
          <w:rFonts w:ascii="Arial" w:eastAsia="Arial"/>
          <w:spacing w:val="-2"/>
        </w:rPr>
        <w:t>ECD</w:t>
      </w:r>
      <w:r>
        <w:rPr>
          <w:spacing w:val="-2"/>
        </w:rPr>
        <w:t>必须经组织病理学检查明确诊断，并且必须满</w:t>
      </w:r>
      <w:r>
        <w:rPr>
          <w:spacing w:val="-2"/>
        </w:rPr>
        <w:t>足下列至少二项条件：</w:t>
      </w:r>
    </w:p>
    <w:p>
      <w:pPr>
        <w:pStyle w:val="ListParagraph"/>
        <w:numPr>
          <w:ilvl w:val="0"/>
          <w:numId w:val="54"/>
        </w:numPr>
        <w:tabs>
          <w:tab w:pos="703" w:val="left" w:leader="none"/>
        </w:tabs>
        <w:spacing w:line="269" w:lineRule="exact" w:before="0" w:after="0"/>
        <w:ind w:left="702" w:right="0" w:hanging="542"/>
        <w:jc w:val="left"/>
        <w:rPr>
          <w:sz w:val="21"/>
        </w:rPr>
      </w:pPr>
      <w:r>
        <w:rPr>
          <w:spacing w:val="-3"/>
          <w:sz w:val="21"/>
        </w:rPr>
        <w:t>单侧或双侧突眼、腹膜后病变、下肢骨硬化或肺内多发病灶；</w:t>
      </w:r>
    </w:p>
    <w:p>
      <w:pPr>
        <w:pStyle w:val="ListParagraph"/>
        <w:numPr>
          <w:ilvl w:val="0"/>
          <w:numId w:val="54"/>
        </w:numPr>
        <w:tabs>
          <w:tab w:pos="701" w:val="left" w:leader="none"/>
        </w:tabs>
        <w:spacing w:line="240" w:lineRule="auto" w:before="44" w:after="0"/>
        <w:ind w:left="700" w:right="0" w:hanging="540"/>
        <w:jc w:val="left"/>
        <w:rPr>
          <w:sz w:val="21"/>
        </w:rPr>
      </w:pPr>
      <w:r>
        <w:rPr>
          <w:spacing w:val="-5"/>
          <w:sz w:val="21"/>
        </w:rPr>
        <w:t>心包受累出现心包积液、冠状动脉受累出现心肌缺血、心肌受累出现心力衰竭；</w:t>
      </w:r>
    </w:p>
    <w:p>
      <w:pPr>
        <w:pStyle w:val="ListParagraph"/>
        <w:numPr>
          <w:ilvl w:val="0"/>
          <w:numId w:val="54"/>
        </w:numPr>
        <w:tabs>
          <w:tab w:pos="703" w:val="left" w:leader="none"/>
        </w:tabs>
        <w:spacing w:line="240" w:lineRule="auto" w:before="42" w:after="0"/>
        <w:ind w:left="702" w:right="0" w:hanging="542"/>
        <w:jc w:val="left"/>
        <w:rPr>
          <w:sz w:val="21"/>
        </w:rPr>
      </w:pPr>
      <w:r>
        <w:rPr>
          <w:spacing w:val="-3"/>
          <w:sz w:val="21"/>
        </w:rPr>
        <w:t>脑或脊髓病灶引起肢体瘫痪。</w:t>
      </w:r>
    </w:p>
    <w:p>
      <w:pPr>
        <w:spacing w:after="0" w:line="240" w:lineRule="auto"/>
        <w:jc w:val="left"/>
        <w:rPr>
          <w:sz w:val="21"/>
        </w:rPr>
        <w:sectPr>
          <w:type w:val="continuous"/>
          <w:pgSz w:w="11910" w:h="16840"/>
          <w:pgMar w:header="0" w:footer="1120" w:top="1120" w:bottom="1300" w:left="1020" w:right="1020"/>
          <w:cols w:num="2" w:equalWidth="0">
            <w:col w:w="1721" w:space="40"/>
            <w:col w:w="8109"/>
          </w:cols>
        </w:sectPr>
      </w:pPr>
    </w:p>
    <w:p>
      <w:pPr>
        <w:pStyle w:val="ListParagraph"/>
        <w:numPr>
          <w:ilvl w:val="1"/>
          <w:numId w:val="20"/>
        </w:numPr>
        <w:tabs>
          <w:tab w:pos="1071" w:val="left" w:leader="none"/>
        </w:tabs>
        <w:spacing w:line="278" w:lineRule="auto" w:before="60" w:after="0"/>
        <w:ind w:left="504" w:right="0" w:firstLine="0"/>
        <w:jc w:val="left"/>
        <w:rPr>
          <w:rFonts w:ascii="楷体" w:eastAsia="楷体" w:hint="eastAsia"/>
          <w:b/>
          <w:sz w:val="21"/>
        </w:rPr>
      </w:pPr>
      <w:r>
        <w:rPr>
          <w:rFonts w:ascii="楷体" w:eastAsia="楷体" w:hint="eastAsia"/>
          <w:b/>
          <w:spacing w:val="-4"/>
          <w:sz w:val="21"/>
        </w:rPr>
        <w:t>肺孢子</w:t>
      </w:r>
      <w:r>
        <w:rPr>
          <w:rFonts w:ascii="楷体" w:eastAsia="楷体" w:hint="eastAsia"/>
          <w:b/>
          <w:spacing w:val="-4"/>
          <w:sz w:val="21"/>
        </w:rPr>
        <w:t>菌肺炎</w:t>
      </w:r>
    </w:p>
    <w:p>
      <w:pPr>
        <w:pStyle w:val="BodyText"/>
        <w:spacing w:before="60"/>
        <w:ind w:left="178"/>
      </w:pPr>
      <w:r>
        <w:rPr/>
        <w:br w:type="column"/>
      </w:r>
      <w:r>
        <w:rPr>
          <w:spacing w:val="-3"/>
        </w:rPr>
        <w:t>指由肺孢子菌引起的间质性浆细胞炎。并须满足下列全部条件：</w:t>
      </w:r>
    </w:p>
    <w:p>
      <w:pPr>
        <w:pStyle w:val="ListParagraph"/>
        <w:numPr>
          <w:ilvl w:val="0"/>
          <w:numId w:val="55"/>
        </w:numPr>
        <w:tabs>
          <w:tab w:pos="708" w:val="left" w:leader="none"/>
        </w:tabs>
        <w:spacing w:line="240" w:lineRule="auto" w:before="43" w:after="0"/>
        <w:ind w:left="707" w:right="0" w:hanging="530"/>
        <w:jc w:val="left"/>
        <w:rPr>
          <w:sz w:val="21"/>
        </w:rPr>
      </w:pPr>
      <w:r>
        <w:rPr>
          <w:spacing w:val="-2"/>
          <w:sz w:val="21"/>
        </w:rPr>
        <w:t>第一秒末用力呼气量（FEV1）</w:t>
      </w:r>
      <w:r>
        <w:rPr>
          <w:spacing w:val="-18"/>
          <w:sz w:val="21"/>
        </w:rPr>
        <w:t>小于 </w:t>
      </w:r>
      <w:r>
        <w:rPr>
          <w:spacing w:val="-2"/>
          <w:sz w:val="21"/>
        </w:rPr>
        <w:t>1</w:t>
      </w:r>
      <w:r>
        <w:rPr>
          <w:spacing w:val="-20"/>
          <w:sz w:val="21"/>
        </w:rPr>
        <w:t> 升；</w:t>
      </w:r>
    </w:p>
    <w:p>
      <w:pPr>
        <w:pStyle w:val="ListParagraph"/>
        <w:numPr>
          <w:ilvl w:val="0"/>
          <w:numId w:val="55"/>
        </w:numPr>
        <w:tabs>
          <w:tab w:pos="708" w:val="left" w:leader="none"/>
        </w:tabs>
        <w:spacing w:line="240" w:lineRule="auto" w:before="43" w:after="0"/>
        <w:ind w:left="707" w:right="0" w:hanging="530"/>
        <w:jc w:val="left"/>
        <w:rPr>
          <w:sz w:val="21"/>
        </w:rPr>
      </w:pPr>
      <w:r>
        <w:rPr>
          <w:spacing w:val="-6"/>
          <w:sz w:val="21"/>
        </w:rPr>
        <w:t>气道内阻力增加，至少达到 </w:t>
      </w:r>
      <w:r>
        <w:rPr>
          <w:spacing w:val="-2"/>
          <w:sz w:val="21"/>
        </w:rPr>
        <w:t>0.5kPa/l/s；</w:t>
      </w:r>
    </w:p>
    <w:p>
      <w:pPr>
        <w:pStyle w:val="ListParagraph"/>
        <w:numPr>
          <w:ilvl w:val="0"/>
          <w:numId w:val="55"/>
        </w:numPr>
        <w:tabs>
          <w:tab w:pos="708" w:val="left" w:leader="none"/>
        </w:tabs>
        <w:spacing w:line="240" w:lineRule="auto" w:before="43" w:after="0"/>
        <w:ind w:left="707" w:right="0" w:hanging="530"/>
        <w:jc w:val="left"/>
        <w:rPr>
          <w:sz w:val="21"/>
        </w:rPr>
      </w:pPr>
      <w:r>
        <w:rPr>
          <w:spacing w:val="-2"/>
          <w:sz w:val="21"/>
        </w:rPr>
        <w:t>残气容积（RV）占肺总量（TLC）</w:t>
      </w:r>
      <w:r>
        <w:rPr>
          <w:spacing w:val="-21"/>
          <w:sz w:val="21"/>
        </w:rPr>
        <w:t>的 </w:t>
      </w:r>
      <w:r>
        <w:rPr>
          <w:spacing w:val="-2"/>
          <w:sz w:val="21"/>
        </w:rPr>
        <w:t>60</w:t>
      </w:r>
      <w:r>
        <w:rPr>
          <w:spacing w:val="-4"/>
          <w:sz w:val="21"/>
        </w:rPr>
        <w:t>%以上；</w:t>
      </w:r>
    </w:p>
    <w:p>
      <w:pPr>
        <w:pStyle w:val="ListParagraph"/>
        <w:numPr>
          <w:ilvl w:val="0"/>
          <w:numId w:val="55"/>
        </w:numPr>
        <w:tabs>
          <w:tab w:pos="709" w:val="left" w:leader="none"/>
        </w:tabs>
        <w:spacing w:line="240" w:lineRule="auto" w:before="43" w:after="0"/>
        <w:ind w:left="708" w:right="0" w:hanging="530"/>
        <w:jc w:val="left"/>
        <w:rPr>
          <w:sz w:val="21"/>
        </w:rPr>
      </w:pPr>
      <w:r>
        <w:rPr>
          <w:spacing w:val="-6"/>
          <w:sz w:val="21"/>
        </w:rPr>
        <w:t>胸内气体容积升高，超过 </w:t>
      </w:r>
      <w:r>
        <w:rPr>
          <w:spacing w:val="-2"/>
          <w:sz w:val="21"/>
        </w:rPr>
        <w:t>170（基值的百分比</w:t>
      </w:r>
      <w:r>
        <w:rPr>
          <w:spacing w:val="-113"/>
          <w:sz w:val="21"/>
        </w:rPr>
        <w:t>）</w:t>
      </w:r>
      <w:r>
        <w:rPr>
          <w:spacing w:val="-5"/>
          <w:sz w:val="21"/>
        </w:rPr>
        <w:t>；</w:t>
      </w:r>
    </w:p>
    <w:p>
      <w:pPr>
        <w:pStyle w:val="ListParagraph"/>
        <w:numPr>
          <w:ilvl w:val="0"/>
          <w:numId w:val="55"/>
        </w:numPr>
        <w:tabs>
          <w:tab w:pos="709" w:val="left" w:leader="none"/>
        </w:tabs>
        <w:spacing w:line="240" w:lineRule="auto" w:before="42" w:after="0"/>
        <w:ind w:left="708" w:right="0" w:hanging="530"/>
        <w:jc w:val="left"/>
        <w:rPr>
          <w:sz w:val="21"/>
        </w:rPr>
      </w:pPr>
      <w:r>
        <w:rPr>
          <w:spacing w:val="-2"/>
          <w:position w:val="1"/>
          <w:sz w:val="21"/>
        </w:rPr>
        <w:t>PaO</w:t>
      </w:r>
      <w:r>
        <w:rPr>
          <w:spacing w:val="-2"/>
          <w:sz w:val="11"/>
        </w:rPr>
        <w:t>2</w:t>
      </w:r>
      <w:r>
        <w:rPr>
          <w:spacing w:val="-2"/>
          <w:position w:val="1"/>
          <w:sz w:val="21"/>
        </w:rPr>
        <w:t>＜60mmHg,PaCO</w:t>
      </w:r>
      <w:r>
        <w:rPr>
          <w:spacing w:val="-2"/>
          <w:sz w:val="11"/>
        </w:rPr>
        <w:t>2</w:t>
      </w:r>
      <w:r>
        <w:rPr>
          <w:spacing w:val="-2"/>
          <w:position w:val="1"/>
          <w:sz w:val="21"/>
        </w:rPr>
        <w:t>＞50mmHg</w:t>
      </w:r>
      <w:r>
        <w:rPr>
          <w:spacing w:val="-10"/>
          <w:position w:val="1"/>
          <w:sz w:val="21"/>
        </w:rPr>
        <w:t>。</w:t>
      </w:r>
    </w:p>
    <w:p>
      <w:pPr>
        <w:spacing w:before="21"/>
        <w:ind w:left="178" w:right="0" w:firstLine="0"/>
        <w:jc w:val="left"/>
        <w:rPr>
          <w:rFonts w:ascii="黑体" w:eastAsia="黑体"/>
          <w:sz w:val="24"/>
        </w:rPr>
      </w:pPr>
      <w:r>
        <w:rPr>
          <w:rFonts w:ascii="黑体" w:eastAsia="黑体"/>
          <w:spacing w:val="-1"/>
          <w:sz w:val="24"/>
        </w:rPr>
        <w:t>感染艾滋病病毒或患艾滋病期间所患肺孢子菌肺炎不在保障范围内。</w:t>
      </w:r>
    </w:p>
    <w:p>
      <w:pPr>
        <w:spacing w:after="0"/>
        <w:jc w:val="left"/>
        <w:rPr>
          <w:rFonts w:ascii="黑体" w:eastAsia="黑体"/>
          <w:sz w:val="24"/>
        </w:rPr>
        <w:sectPr>
          <w:pgSz w:w="11910" w:h="16840"/>
          <w:pgMar w:header="0" w:footer="1120" w:top="136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严重冠</w:t>
      </w:r>
      <w:r>
        <w:rPr>
          <w:rFonts w:ascii="楷体" w:eastAsia="楷体" w:hint="eastAsia"/>
          <w:b/>
          <w:spacing w:val="-6"/>
          <w:sz w:val="21"/>
        </w:rPr>
        <w:t>心病</w:t>
      </w:r>
    </w:p>
    <w:p>
      <w:pPr>
        <w:pStyle w:val="BodyText"/>
        <w:spacing w:line="278" w:lineRule="auto" w:before="72"/>
        <w:ind w:left="178" w:right="214"/>
        <w:jc w:val="both"/>
      </w:pPr>
      <w:r>
        <w:rPr/>
        <w:br w:type="column"/>
      </w:r>
      <w:r>
        <w:rPr>
          <w:spacing w:val="-2"/>
        </w:rPr>
        <w:t>指经根据冠状动脉造影检查结果明确诊断为三支主要血管严重狭窄性病变（至少一支</w:t>
      </w:r>
      <w:r>
        <w:rPr>
          <w:spacing w:val="-1"/>
        </w:rPr>
        <w:t>血管管腔直径减少 </w:t>
      </w:r>
      <w:r>
        <w:rPr>
          <w:rFonts w:ascii="Arial" w:eastAsia="Arial"/>
        </w:rPr>
        <w:t>75</w:t>
      </w:r>
      <w:r>
        <w:rPr>
          <w:spacing w:val="-1"/>
        </w:rPr>
        <w:t>％以上和其他两支血管管腔直径减少 </w:t>
      </w:r>
      <w:r>
        <w:rPr>
          <w:rFonts w:ascii="Arial" w:eastAsia="Arial"/>
        </w:rPr>
        <w:t>60</w:t>
      </w:r>
      <w:r>
        <w:rPr/>
        <w:t>％以上</w:t>
      </w:r>
      <w:r>
        <w:rPr>
          <w:spacing w:val="-108"/>
        </w:rPr>
        <w:t>）</w:t>
      </w:r>
      <w:r>
        <w:rPr/>
        <w:t>。冠状动脉的</w:t>
      </w:r>
      <w:r>
        <w:rPr>
          <w:spacing w:val="-2"/>
        </w:rPr>
        <w:t>主要血管指左冠状动脉主干、前降支、左旋支及右冠状动脉。</w:t>
      </w:r>
    </w:p>
    <w:p>
      <w:pPr>
        <w:spacing w:line="284" w:lineRule="exact" w:before="0"/>
        <w:ind w:left="178" w:right="0" w:firstLine="0"/>
        <w:jc w:val="left"/>
        <w:rPr>
          <w:rFonts w:ascii="黑体" w:eastAsia="黑体"/>
          <w:sz w:val="24"/>
        </w:rPr>
      </w:pPr>
      <w:r>
        <w:rPr>
          <w:rFonts w:ascii="黑体" w:eastAsia="黑体"/>
          <w:spacing w:val="-10"/>
          <w:sz w:val="24"/>
        </w:rPr>
        <w:t>前降支、左旋支及右冠状动脉的分支血管的狭窄不作为本保障的衡量指标。</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严重心</w:t>
      </w:r>
      <w:r>
        <w:rPr>
          <w:rFonts w:ascii="楷体" w:eastAsia="楷体" w:hint="eastAsia"/>
          <w:b/>
          <w:spacing w:val="-6"/>
          <w:sz w:val="21"/>
        </w:rPr>
        <w:t>肌病</w:t>
      </w:r>
    </w:p>
    <w:p>
      <w:pPr>
        <w:pStyle w:val="BodyText"/>
        <w:spacing w:line="278" w:lineRule="auto" w:before="72"/>
        <w:ind w:left="178" w:right="213"/>
        <w:jc w:val="both"/>
      </w:pPr>
      <w:r>
        <w:rPr/>
        <w:br w:type="column"/>
      </w:r>
      <w:r>
        <w:rPr>
          <w:spacing w:val="-2"/>
        </w:rPr>
        <w:t>指因心肌病（包括扩张型心肌病、肥厚型心肌病及限制型心肌病）导致慢性心功能损</w:t>
      </w:r>
      <w:r>
        <w:rPr>
          <w:spacing w:val="-2"/>
        </w:rPr>
        <w:t>害造成永久不可逆性的心功能衰竭，已经造成永久不可逆性的体力活动能力受限，不</w:t>
      </w:r>
      <w:r>
        <w:rPr/>
        <w:t>能从事任何体力活动。心功能衰竭程度达到美国纽约心脏病学会（New York Heart </w:t>
      </w:r>
      <w:r>
        <w:rPr>
          <w:spacing w:val="-2"/>
        </w:rPr>
        <w:t>Association，NYHA）心功能状态分级Ⅳ级。</w:t>
      </w:r>
    </w:p>
    <w:p>
      <w:pPr>
        <w:spacing w:line="284" w:lineRule="exact" w:before="0"/>
        <w:ind w:left="178" w:right="0" w:firstLine="0"/>
        <w:jc w:val="left"/>
        <w:rPr>
          <w:rFonts w:ascii="黑体" w:eastAsia="黑体"/>
          <w:sz w:val="24"/>
        </w:rPr>
      </w:pPr>
      <w:r>
        <w:rPr>
          <w:rFonts w:ascii="黑体" w:eastAsia="黑体"/>
          <w:spacing w:val="-1"/>
          <w:sz w:val="24"/>
        </w:rPr>
        <w:t>继发于酒精滥用性的心肌病不在保障范围之内。</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严重心</w:t>
      </w:r>
      <w:r>
        <w:rPr>
          <w:rFonts w:ascii="楷体" w:eastAsia="楷体" w:hint="eastAsia"/>
          <w:b/>
          <w:spacing w:val="-6"/>
          <w:sz w:val="21"/>
        </w:rPr>
        <w:t>肌炎</w:t>
      </w:r>
    </w:p>
    <w:p>
      <w:pPr>
        <w:pStyle w:val="BodyText"/>
        <w:spacing w:line="278" w:lineRule="auto" w:before="71"/>
        <w:ind w:left="178" w:right="213"/>
      </w:pPr>
      <w:r>
        <w:rPr/>
        <w:br w:type="column"/>
      </w:r>
      <w:r>
        <w:rPr>
          <w:spacing w:val="-2"/>
        </w:rPr>
        <w:t>指因严重心肌炎性病变导致心功能损害造成持续的永久不可逆性的心功能衰竭。且须</w:t>
      </w:r>
      <w:r>
        <w:rPr>
          <w:spacing w:val="-2"/>
        </w:rPr>
        <w:t>满足下列全部条件：</w:t>
      </w:r>
    </w:p>
    <w:p>
      <w:pPr>
        <w:pStyle w:val="ListParagraph"/>
        <w:numPr>
          <w:ilvl w:val="0"/>
          <w:numId w:val="56"/>
        </w:numPr>
        <w:tabs>
          <w:tab w:pos="708" w:val="left" w:leader="none"/>
        </w:tabs>
        <w:spacing w:line="278" w:lineRule="auto" w:before="0" w:after="0"/>
        <w:ind w:left="704" w:right="216" w:hanging="526"/>
        <w:jc w:val="left"/>
        <w:rPr>
          <w:sz w:val="21"/>
        </w:rPr>
      </w:pPr>
      <w:r>
        <w:rPr>
          <w:sz w:val="21"/>
        </w:rPr>
        <w:t>达到美国纽约心脏病学会（New York Heart Association，NYHA）心功能状态分级Ⅳ级，或左室射血数（LVEF）</w:t>
      </w:r>
      <w:r>
        <w:rPr>
          <w:spacing w:val="-15"/>
          <w:sz w:val="21"/>
        </w:rPr>
        <w:t>低于 </w:t>
      </w:r>
      <w:r>
        <w:rPr>
          <w:rFonts w:ascii="Times New Roman" w:hAnsi="Times New Roman" w:eastAsia="Times New Roman"/>
          <w:sz w:val="21"/>
        </w:rPr>
        <w:t>30%</w:t>
      </w:r>
      <w:r>
        <w:rPr>
          <w:sz w:val="21"/>
        </w:rPr>
        <w:t>；</w:t>
      </w:r>
    </w:p>
    <w:p>
      <w:pPr>
        <w:pStyle w:val="ListParagraph"/>
        <w:numPr>
          <w:ilvl w:val="0"/>
          <w:numId w:val="56"/>
        </w:numPr>
        <w:tabs>
          <w:tab w:pos="708" w:val="left" w:leader="none"/>
        </w:tabs>
        <w:spacing w:line="269" w:lineRule="exact" w:before="0" w:after="0"/>
        <w:ind w:left="707" w:right="0" w:hanging="530"/>
        <w:jc w:val="left"/>
        <w:rPr>
          <w:sz w:val="21"/>
        </w:rPr>
      </w:pPr>
      <w:r>
        <w:rPr>
          <w:spacing w:val="-11"/>
          <w:sz w:val="21"/>
        </w:rPr>
        <w:t>持续不间断 </w:t>
      </w:r>
      <w:r>
        <w:rPr>
          <w:rFonts w:ascii="Times New Roman" w:eastAsia="Times New Roman"/>
          <w:spacing w:val="-2"/>
          <w:sz w:val="21"/>
        </w:rPr>
        <w:t>180</w:t>
      </w:r>
      <w:r>
        <w:rPr>
          <w:rFonts w:ascii="Times New Roman" w:eastAsia="Times New Roman"/>
          <w:spacing w:val="4"/>
          <w:sz w:val="21"/>
        </w:rPr>
        <w:t> </w:t>
      </w:r>
      <w:r>
        <w:rPr>
          <w:spacing w:val="-4"/>
          <w:sz w:val="21"/>
        </w:rPr>
        <w:t>天以上；</w:t>
      </w:r>
    </w:p>
    <w:p>
      <w:pPr>
        <w:pStyle w:val="ListParagraph"/>
        <w:numPr>
          <w:ilvl w:val="0"/>
          <w:numId w:val="56"/>
        </w:numPr>
        <w:tabs>
          <w:tab w:pos="709" w:val="left" w:leader="none"/>
        </w:tabs>
        <w:spacing w:line="240" w:lineRule="auto" w:before="43" w:after="0"/>
        <w:ind w:left="708" w:right="0" w:hanging="530"/>
        <w:jc w:val="left"/>
        <w:rPr>
          <w:sz w:val="21"/>
        </w:rPr>
      </w:pPr>
      <w:r>
        <w:rPr>
          <w:spacing w:val="-3"/>
          <w:sz w:val="21"/>
        </w:rPr>
        <w:t>已经造成永久不可逆性的体力活动能力受限。</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肺源性</w:t>
      </w:r>
      <w:r>
        <w:rPr>
          <w:rFonts w:ascii="楷体" w:eastAsia="楷体" w:hint="eastAsia"/>
          <w:b/>
          <w:spacing w:val="-4"/>
          <w:sz w:val="21"/>
        </w:rPr>
        <w:t>心脏病</w:t>
      </w:r>
    </w:p>
    <w:p>
      <w:pPr>
        <w:pStyle w:val="BodyText"/>
        <w:spacing w:line="278" w:lineRule="auto" w:before="72"/>
        <w:ind w:left="178" w:right="215"/>
        <w:jc w:val="both"/>
      </w:pPr>
      <w:r>
        <w:rPr/>
        <w:br w:type="column"/>
      </w:r>
      <w:r>
        <w:rPr>
          <w:spacing w:val="-2"/>
        </w:rPr>
        <w:t>指因慢性肺部疾病导致慢性心功能损害导致永久不可逆性的心功能衰竭，已经造成永</w:t>
      </w:r>
      <w:r>
        <w:rPr>
          <w:spacing w:val="-2"/>
        </w:rPr>
        <w:t>久不可逆性的体力活动能力受限，不能从事任何体力活动。心功能衰竭程度达到美国</w:t>
      </w:r>
      <w:r>
        <w:rPr/>
        <w:t>纽约心脏病学会（New York Heart Association，NYHA）心功能状态分级Ⅳ级。</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感染性</w:t>
      </w:r>
      <w:r>
        <w:rPr>
          <w:rFonts w:ascii="楷体" w:eastAsia="楷体" w:hint="eastAsia"/>
          <w:b/>
          <w:spacing w:val="-4"/>
          <w:sz w:val="21"/>
        </w:rPr>
        <w:t>心内膜炎</w:t>
      </w:r>
    </w:p>
    <w:p>
      <w:pPr>
        <w:pStyle w:val="BodyText"/>
        <w:spacing w:line="278" w:lineRule="auto" w:before="71"/>
        <w:ind w:left="178" w:right="214"/>
      </w:pPr>
      <w:r>
        <w:rPr/>
        <w:br w:type="column"/>
      </w:r>
      <w:r>
        <w:rPr>
          <w:spacing w:val="-2"/>
        </w:rPr>
        <w:t>是一种因细菌、真菌和其他微生物感染而产生心瓣膜或心室壁内膜的炎症，引起心脏</w:t>
      </w:r>
      <w:r>
        <w:rPr>
          <w:spacing w:val="-2"/>
        </w:rPr>
        <w:t>瓣膜关闭不全的疾病。且须满足下列全部条件：</w:t>
      </w:r>
    </w:p>
    <w:p>
      <w:pPr>
        <w:pStyle w:val="ListParagraph"/>
        <w:numPr>
          <w:ilvl w:val="0"/>
          <w:numId w:val="57"/>
        </w:numPr>
        <w:tabs>
          <w:tab w:pos="720" w:val="left" w:leader="none"/>
        </w:tabs>
        <w:spacing w:line="269" w:lineRule="exact" w:before="0" w:after="0"/>
        <w:ind w:left="719" w:right="0" w:hanging="542"/>
        <w:jc w:val="left"/>
        <w:rPr>
          <w:sz w:val="21"/>
        </w:rPr>
      </w:pPr>
      <w:r>
        <w:rPr>
          <w:spacing w:val="-3"/>
          <w:sz w:val="21"/>
        </w:rPr>
        <w:t>临床表现为急性或亚急性感染性心内膜炎；</w:t>
      </w:r>
    </w:p>
    <w:p>
      <w:pPr>
        <w:pStyle w:val="ListParagraph"/>
        <w:numPr>
          <w:ilvl w:val="0"/>
          <w:numId w:val="57"/>
        </w:numPr>
        <w:tabs>
          <w:tab w:pos="720" w:val="left" w:leader="none"/>
        </w:tabs>
        <w:spacing w:line="240" w:lineRule="auto" w:before="43" w:after="0"/>
        <w:ind w:left="719" w:right="0" w:hanging="542"/>
        <w:jc w:val="left"/>
        <w:rPr>
          <w:sz w:val="21"/>
        </w:rPr>
      </w:pPr>
      <w:r>
        <w:rPr>
          <w:spacing w:val="-3"/>
          <w:sz w:val="21"/>
        </w:rPr>
        <w:t>血培养病原体阳性；</w:t>
      </w:r>
    </w:p>
    <w:p>
      <w:pPr>
        <w:pStyle w:val="ListParagraph"/>
        <w:numPr>
          <w:ilvl w:val="0"/>
          <w:numId w:val="57"/>
        </w:numPr>
        <w:tabs>
          <w:tab w:pos="717" w:val="left" w:leader="none"/>
        </w:tabs>
        <w:spacing w:line="278" w:lineRule="auto" w:before="43" w:after="0"/>
        <w:ind w:left="178" w:right="213" w:firstLine="0"/>
        <w:jc w:val="left"/>
        <w:rPr>
          <w:sz w:val="21"/>
        </w:rPr>
      </w:pPr>
      <w:r>
        <w:rPr>
          <w:spacing w:val="-2"/>
          <w:sz w:val="21"/>
        </w:rPr>
        <w:t>心功能衰竭达到美国纽约心脏病学会（</w:t>
      </w:r>
      <w:r>
        <w:rPr>
          <w:rFonts w:ascii="Times New Roman" w:hAnsi="Times New Roman" w:eastAsia="Times New Roman"/>
          <w:spacing w:val="-2"/>
          <w:sz w:val="21"/>
        </w:rPr>
        <w:t>New York Heart Association</w:t>
      </w:r>
      <w:r>
        <w:rPr>
          <w:spacing w:val="-2"/>
          <w:sz w:val="21"/>
        </w:rPr>
        <w:t>，</w:t>
      </w:r>
      <w:r>
        <w:rPr>
          <w:rFonts w:ascii="Times New Roman" w:hAnsi="Times New Roman" w:eastAsia="Times New Roman"/>
          <w:spacing w:val="-2"/>
          <w:sz w:val="21"/>
        </w:rPr>
        <w:t>NYHA</w:t>
      </w:r>
      <w:r>
        <w:rPr>
          <w:spacing w:val="-2"/>
          <w:sz w:val="21"/>
        </w:rPr>
        <w:t>）心</w:t>
      </w:r>
      <w:r>
        <w:rPr>
          <w:spacing w:val="-2"/>
          <w:sz w:val="21"/>
        </w:rPr>
        <w:t>功能状态分级Ⅳ级，且持续 </w:t>
      </w:r>
      <w:r>
        <w:rPr>
          <w:rFonts w:ascii="Arial" w:hAnsi="Arial" w:eastAsia="Arial"/>
          <w:sz w:val="21"/>
        </w:rPr>
        <w:t>180 </w:t>
      </w:r>
      <w:r>
        <w:rPr>
          <w:sz w:val="21"/>
        </w:rPr>
        <w:t>天或已经实施了心脏瓣膜置换手术。</w:t>
      </w:r>
    </w:p>
    <w:p>
      <w:pPr>
        <w:spacing w:after="0" w:line="278"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完全性</w:t>
      </w:r>
      <w:r>
        <w:rPr>
          <w:rFonts w:ascii="楷体" w:eastAsia="楷体" w:hint="eastAsia"/>
          <w:b/>
          <w:spacing w:val="-2"/>
          <w:sz w:val="21"/>
        </w:rPr>
        <w:t>房室传导阻滞</w:t>
      </w:r>
    </w:p>
    <w:p>
      <w:pPr>
        <w:pStyle w:val="BodyText"/>
        <w:spacing w:line="278" w:lineRule="auto" w:before="71"/>
        <w:ind w:left="111" w:right="216"/>
        <w:jc w:val="both"/>
      </w:pPr>
      <w:r>
        <w:rPr/>
        <w:br w:type="column"/>
      </w:r>
      <w:r>
        <w:rPr>
          <w:spacing w:val="-7"/>
        </w:rPr>
        <w:t>“完全性房室传导阻滞”又称“三度房室传导阻滞”，是指心房的激动不能正常地传</w:t>
      </w:r>
      <w:r>
        <w:rPr>
          <w:spacing w:val="-4"/>
        </w:rPr>
        <w:t>导到心室，造成心室率过于缓慢，出现心力衰竭和因大脑供血不足导致的晕厥、阿</w:t>
      </w:r>
      <w:r>
        <w:rPr>
          <w:rFonts w:ascii="Arial" w:hAnsi="Arial" w:eastAsia="Arial"/>
          <w:spacing w:val="-4"/>
        </w:rPr>
        <w:t>-</w:t>
      </w:r>
      <w:r>
        <w:rPr>
          <w:spacing w:val="-4"/>
        </w:rPr>
        <w:t>斯</w:t>
      </w:r>
      <w:r>
        <w:rPr>
          <w:spacing w:val="-2"/>
        </w:rPr>
        <w:t>综合征。经相关专科医生确诊，且须满足下列全部条件：</w:t>
      </w:r>
    </w:p>
    <w:p>
      <w:pPr>
        <w:pStyle w:val="ListParagraph"/>
        <w:numPr>
          <w:ilvl w:val="0"/>
          <w:numId w:val="58"/>
        </w:numPr>
        <w:tabs>
          <w:tab w:pos="653" w:val="left" w:leader="none"/>
        </w:tabs>
        <w:spacing w:line="269" w:lineRule="exact" w:before="0" w:after="0"/>
        <w:ind w:left="652" w:right="0" w:hanging="542"/>
        <w:jc w:val="both"/>
        <w:rPr>
          <w:sz w:val="21"/>
        </w:rPr>
      </w:pPr>
      <w:r>
        <w:rPr>
          <w:spacing w:val="-5"/>
          <w:sz w:val="21"/>
        </w:rPr>
        <w:t>心电图表现为室性逸搏心律，心室率持续低于 </w:t>
      </w:r>
      <w:r>
        <w:rPr>
          <w:rFonts w:ascii="Arial" w:eastAsia="Arial"/>
          <w:spacing w:val="-2"/>
          <w:sz w:val="21"/>
        </w:rPr>
        <w:t>40</w:t>
      </w:r>
      <w:r>
        <w:rPr>
          <w:rFonts w:ascii="Arial" w:eastAsia="Arial"/>
          <w:spacing w:val="2"/>
          <w:sz w:val="21"/>
        </w:rPr>
        <w:t> </w:t>
      </w:r>
      <w:r>
        <w:rPr>
          <w:spacing w:val="-2"/>
          <w:sz w:val="21"/>
        </w:rPr>
        <w:t>次</w:t>
      </w:r>
      <w:r>
        <w:rPr>
          <w:rFonts w:ascii="Arial" w:eastAsia="Arial"/>
          <w:spacing w:val="-2"/>
          <w:sz w:val="21"/>
        </w:rPr>
        <w:t>/</w:t>
      </w:r>
      <w:r>
        <w:rPr>
          <w:spacing w:val="-6"/>
          <w:sz w:val="21"/>
        </w:rPr>
        <w:t>分；</w:t>
      </w:r>
    </w:p>
    <w:p>
      <w:pPr>
        <w:pStyle w:val="ListParagraph"/>
        <w:numPr>
          <w:ilvl w:val="0"/>
          <w:numId w:val="58"/>
        </w:numPr>
        <w:tabs>
          <w:tab w:pos="653" w:val="left" w:leader="none"/>
        </w:tabs>
        <w:spacing w:line="240" w:lineRule="auto" w:before="43" w:after="0"/>
        <w:ind w:left="652" w:right="0" w:hanging="542"/>
        <w:jc w:val="left"/>
        <w:rPr>
          <w:sz w:val="21"/>
        </w:rPr>
      </w:pPr>
      <w:r>
        <w:rPr>
          <w:spacing w:val="-2"/>
          <w:sz w:val="21"/>
        </w:rPr>
        <w:t>曾经有晕厥、阿</w:t>
      </w:r>
      <w:r>
        <w:rPr>
          <w:rFonts w:ascii="Arial" w:eastAsia="Arial"/>
          <w:spacing w:val="-2"/>
          <w:sz w:val="21"/>
        </w:rPr>
        <w:t>-</w:t>
      </w:r>
      <w:r>
        <w:rPr>
          <w:spacing w:val="-4"/>
          <w:sz w:val="21"/>
        </w:rPr>
        <w:t>斯综合征发作；</w:t>
      </w:r>
    </w:p>
    <w:p>
      <w:pPr>
        <w:pStyle w:val="ListParagraph"/>
        <w:numPr>
          <w:ilvl w:val="0"/>
          <w:numId w:val="58"/>
        </w:numPr>
        <w:tabs>
          <w:tab w:pos="653" w:val="left" w:leader="none"/>
        </w:tabs>
        <w:spacing w:line="240" w:lineRule="auto" w:before="43" w:after="0"/>
        <w:ind w:left="652" w:right="0" w:hanging="542"/>
        <w:jc w:val="left"/>
        <w:rPr>
          <w:sz w:val="21"/>
        </w:rPr>
      </w:pPr>
      <w:r>
        <w:rPr>
          <w:spacing w:val="-3"/>
          <w:sz w:val="21"/>
        </w:rPr>
        <w:t>已经实施了植入永久性人工心脏起搏器的手术。</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ListParagraph"/>
        <w:numPr>
          <w:ilvl w:val="1"/>
          <w:numId w:val="20"/>
        </w:numPr>
        <w:tabs>
          <w:tab w:pos="1071" w:val="left" w:leader="none"/>
        </w:tabs>
        <w:spacing w:line="278" w:lineRule="auto" w:before="60" w:after="0"/>
        <w:ind w:left="504" w:right="0" w:firstLine="0"/>
        <w:jc w:val="both"/>
        <w:rPr>
          <w:rFonts w:ascii="楷体" w:eastAsia="楷体" w:hint="eastAsia"/>
          <w:b/>
          <w:sz w:val="21"/>
        </w:rPr>
      </w:pPr>
      <w:r>
        <w:rPr>
          <w:rFonts w:ascii="楷体" w:eastAsia="楷体" w:hint="eastAsia"/>
          <w:b/>
          <w:spacing w:val="-4"/>
          <w:sz w:val="21"/>
        </w:rPr>
        <w:t>严重川</w:t>
      </w:r>
      <w:r>
        <w:rPr>
          <w:rFonts w:ascii="楷体" w:eastAsia="楷体" w:hint="eastAsia"/>
          <w:b/>
          <w:spacing w:val="-2"/>
          <w:sz w:val="21"/>
        </w:rPr>
        <w:t>崎病冠状动脉</w:t>
      </w:r>
      <w:r>
        <w:rPr>
          <w:rFonts w:ascii="楷体" w:eastAsia="楷体" w:hint="eastAsia"/>
          <w:b/>
          <w:spacing w:val="-4"/>
          <w:sz w:val="21"/>
        </w:rPr>
        <w:t>瘤手术</w:t>
      </w:r>
    </w:p>
    <w:p>
      <w:pPr>
        <w:pStyle w:val="BodyText"/>
        <w:spacing w:line="278" w:lineRule="auto" w:before="60"/>
        <w:ind w:left="111" w:right="214"/>
      </w:pPr>
      <w:r>
        <w:rPr/>
        <w:br w:type="column"/>
      </w:r>
      <w:r>
        <w:rPr>
          <w:spacing w:val="-5"/>
        </w:rPr>
        <w:t>严重川崎病是一种病因不明的系统性血管炎。严重川崎病冠状动脉瘤手术需满足以下</w:t>
      </w:r>
      <w:r>
        <w:rPr>
          <w:spacing w:val="-2"/>
        </w:rPr>
        <w:t>所有条件：</w:t>
      </w:r>
    </w:p>
    <w:p>
      <w:pPr>
        <w:pStyle w:val="ListParagraph"/>
        <w:numPr>
          <w:ilvl w:val="0"/>
          <w:numId w:val="59"/>
        </w:numPr>
        <w:tabs>
          <w:tab w:pos="641" w:val="left" w:leader="none"/>
        </w:tabs>
        <w:spacing w:line="269" w:lineRule="exact" w:before="0" w:after="0"/>
        <w:ind w:left="640" w:right="0" w:hanging="530"/>
        <w:jc w:val="left"/>
        <w:rPr>
          <w:sz w:val="21"/>
        </w:rPr>
      </w:pPr>
      <w:r>
        <w:rPr>
          <w:spacing w:val="-4"/>
          <w:sz w:val="21"/>
        </w:rPr>
        <w:t>临床明确诊断；</w:t>
      </w:r>
    </w:p>
    <w:p>
      <w:pPr>
        <w:pStyle w:val="ListParagraph"/>
        <w:numPr>
          <w:ilvl w:val="0"/>
          <w:numId w:val="59"/>
        </w:numPr>
        <w:tabs>
          <w:tab w:pos="641" w:val="left" w:leader="none"/>
        </w:tabs>
        <w:spacing w:line="240" w:lineRule="auto" w:before="43" w:after="0"/>
        <w:ind w:left="640" w:right="0" w:hanging="530"/>
        <w:jc w:val="left"/>
        <w:rPr>
          <w:sz w:val="21"/>
        </w:rPr>
      </w:pPr>
      <w:r>
        <w:rPr>
          <w:spacing w:val="-3"/>
          <w:sz w:val="21"/>
        </w:rPr>
        <w:t>影像学检查证实存在大或巨大冠状动脉瘤；</w:t>
      </w:r>
    </w:p>
    <w:p>
      <w:pPr>
        <w:pStyle w:val="ListParagraph"/>
        <w:numPr>
          <w:ilvl w:val="0"/>
          <w:numId w:val="59"/>
        </w:numPr>
        <w:tabs>
          <w:tab w:pos="641" w:val="left" w:leader="none"/>
        </w:tabs>
        <w:spacing w:line="240" w:lineRule="auto" w:before="43" w:after="0"/>
        <w:ind w:left="640" w:right="0" w:hanging="530"/>
        <w:jc w:val="left"/>
        <w:rPr>
          <w:sz w:val="21"/>
        </w:rPr>
      </w:pPr>
      <w:r>
        <w:rPr>
          <w:spacing w:val="-3"/>
          <w:sz w:val="21"/>
        </w:rPr>
        <w:t>已经接受了手术治疗。</w:t>
      </w:r>
    </w:p>
    <w:p>
      <w:pPr>
        <w:spacing w:after="0" w:line="240" w:lineRule="auto"/>
        <w:jc w:val="left"/>
        <w:rPr>
          <w:sz w:val="21"/>
        </w:rPr>
        <w:sectPr>
          <w:pgSz w:w="11910" w:h="16840"/>
          <w:pgMar w:header="0" w:footer="1120" w:top="1360" w:bottom="1300" w:left="1020" w:right="1020"/>
          <w:cols w:num="2" w:equalWidth="0">
            <w:col w:w="1772" w:space="40"/>
            <w:col w:w="8058"/>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严重慢</w:t>
      </w:r>
      <w:r>
        <w:rPr>
          <w:rFonts w:ascii="楷体" w:eastAsia="楷体" w:hint="eastAsia"/>
          <w:b/>
          <w:spacing w:val="-2"/>
          <w:sz w:val="21"/>
        </w:rPr>
        <w:t>性缩窄性心包</w:t>
      </w:r>
      <w:r>
        <w:rPr>
          <w:rFonts w:ascii="楷体" w:eastAsia="楷体" w:hint="eastAsia"/>
          <w:b/>
          <w:spacing w:val="-10"/>
          <w:sz w:val="21"/>
        </w:rPr>
        <w:t>炎</w:t>
      </w:r>
    </w:p>
    <w:p>
      <w:pPr>
        <w:pStyle w:val="BodyText"/>
        <w:spacing w:line="278" w:lineRule="auto" w:before="72"/>
        <w:ind w:left="111" w:right="216"/>
        <w:jc w:val="both"/>
      </w:pPr>
      <w:r>
        <w:rPr/>
        <w:br w:type="column"/>
      </w:r>
      <w:r>
        <w:rPr>
          <w:spacing w:val="-2"/>
        </w:rPr>
        <w:t>指因慢性心包炎症导致心包脏层和壁层广泛瘢痕粘连、增厚和钙化，心包腔闭塞，形</w:t>
      </w:r>
      <w:r>
        <w:rPr>
          <w:spacing w:val="-2"/>
        </w:rPr>
        <w:t>成一个纤维瘢痕外壳，使心脏和大血管根部受压，阻碍心脏的舒张。须经相关专科医</w:t>
      </w:r>
      <w:r>
        <w:rPr>
          <w:spacing w:val="-2"/>
        </w:rPr>
        <w:t>生确诊，且须满足下列全部条件：</w:t>
      </w:r>
    </w:p>
    <w:p>
      <w:pPr>
        <w:pStyle w:val="ListParagraph"/>
        <w:numPr>
          <w:ilvl w:val="0"/>
          <w:numId w:val="60"/>
        </w:numPr>
        <w:tabs>
          <w:tab w:pos="653" w:val="left" w:leader="none"/>
        </w:tabs>
        <w:spacing w:line="278" w:lineRule="auto" w:before="0" w:after="0"/>
        <w:ind w:left="636" w:right="216" w:hanging="526"/>
        <w:jc w:val="both"/>
        <w:rPr>
          <w:sz w:val="21"/>
        </w:rPr>
      </w:pPr>
      <w:r>
        <w:rPr>
          <w:spacing w:val="-9"/>
          <w:sz w:val="21"/>
        </w:rPr>
        <w:t>已经造成永久不可逆的体力活动能力受限，达到美国纽约心脏病学会</w:t>
      </w:r>
      <w:r>
        <w:rPr>
          <w:spacing w:val="-2"/>
          <w:sz w:val="21"/>
        </w:rPr>
        <w:t>（</w:t>
      </w:r>
      <w:r>
        <w:rPr>
          <w:rFonts w:ascii="Arial" w:hAnsi="Arial" w:eastAsia="Arial"/>
          <w:spacing w:val="-2"/>
          <w:sz w:val="21"/>
        </w:rPr>
        <w:t>New</w:t>
      </w:r>
      <w:r>
        <w:rPr>
          <w:rFonts w:ascii="Arial" w:hAnsi="Arial" w:eastAsia="Arial"/>
          <w:spacing w:val="40"/>
          <w:sz w:val="21"/>
        </w:rPr>
        <w:t> </w:t>
      </w:r>
      <w:r>
        <w:rPr>
          <w:rFonts w:ascii="Arial" w:hAnsi="Arial" w:eastAsia="Arial"/>
          <w:sz w:val="21"/>
        </w:rPr>
        <w:t>York Heart Association</w:t>
      </w:r>
      <w:r>
        <w:rPr>
          <w:sz w:val="21"/>
        </w:rPr>
        <w:t>，</w:t>
      </w:r>
      <w:r>
        <w:rPr>
          <w:rFonts w:ascii="Arial" w:hAnsi="Arial" w:eastAsia="Arial"/>
          <w:sz w:val="21"/>
        </w:rPr>
        <w:t>NYHA</w:t>
      </w:r>
      <w:r>
        <w:rPr>
          <w:sz w:val="21"/>
        </w:rPr>
        <w:t>）心功能状态分级Ⅳ级，且静息状态下左室射</w:t>
      </w:r>
      <w:r>
        <w:rPr>
          <w:spacing w:val="-4"/>
          <w:sz w:val="21"/>
        </w:rPr>
        <w:t>血分数</w:t>
      </w:r>
    </w:p>
    <w:p>
      <w:pPr>
        <w:pStyle w:val="BodyText"/>
        <w:spacing w:line="269" w:lineRule="exact" w:before="0"/>
        <w:ind w:left="636"/>
      </w:pPr>
      <w:r>
        <w:rPr>
          <w:spacing w:val="-4"/>
        </w:rPr>
        <w:t>（</w:t>
      </w:r>
      <w:r>
        <w:rPr>
          <w:rFonts w:ascii="Arial" w:eastAsia="Arial"/>
          <w:spacing w:val="-4"/>
        </w:rPr>
        <w:t>LVEF</w:t>
      </w:r>
      <w:r>
        <w:rPr>
          <w:spacing w:val="-4"/>
        </w:rPr>
        <w:t>）</w:t>
      </w:r>
      <w:r>
        <w:rPr>
          <w:spacing w:val="-18"/>
        </w:rPr>
        <w:t>低于 </w:t>
      </w:r>
      <w:r>
        <w:rPr>
          <w:rFonts w:ascii="Arial" w:eastAsia="Arial"/>
          <w:spacing w:val="-4"/>
        </w:rPr>
        <w:t>30%</w:t>
      </w:r>
      <w:r>
        <w:rPr>
          <w:spacing w:val="-4"/>
        </w:rPr>
        <w:t>；</w:t>
      </w:r>
    </w:p>
    <w:p>
      <w:pPr>
        <w:pStyle w:val="ListParagraph"/>
        <w:numPr>
          <w:ilvl w:val="0"/>
          <w:numId w:val="60"/>
        </w:numPr>
        <w:tabs>
          <w:tab w:pos="653" w:val="left" w:leader="none"/>
        </w:tabs>
        <w:spacing w:line="240" w:lineRule="auto" w:before="42" w:after="0"/>
        <w:ind w:left="652" w:right="0" w:hanging="542"/>
        <w:jc w:val="left"/>
        <w:rPr>
          <w:sz w:val="21"/>
        </w:rPr>
      </w:pPr>
      <w:r>
        <w:rPr>
          <w:spacing w:val="-2"/>
          <w:sz w:val="21"/>
        </w:rPr>
        <w:t>已经实施了开胸（含胸腔镜）</w:t>
      </w:r>
      <w:r>
        <w:rPr>
          <w:spacing w:val="-3"/>
          <w:sz w:val="21"/>
        </w:rPr>
        <w:t>进行的心包剥脱或心包切除手术。</w:t>
      </w:r>
    </w:p>
    <w:p>
      <w:pPr>
        <w:spacing w:before="21"/>
        <w:ind w:left="111" w:right="0" w:firstLine="0"/>
        <w:jc w:val="left"/>
        <w:rPr>
          <w:rFonts w:ascii="黑体" w:eastAsia="黑体"/>
          <w:sz w:val="24"/>
        </w:rPr>
      </w:pPr>
      <w:r>
        <w:rPr>
          <w:rFonts w:ascii="黑体" w:eastAsia="黑体"/>
          <w:spacing w:val="-1"/>
          <w:sz w:val="24"/>
        </w:rPr>
        <w:t>单纯的心包粘连松解手术不在保障范围内。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11"/>
        <w:rPr>
          <w:rFonts w:ascii="黑体"/>
          <w:sz w:val="13"/>
        </w:rPr>
      </w:pPr>
    </w:p>
    <w:p>
      <w:pPr>
        <w:spacing w:after="0"/>
        <w:rPr>
          <w:rFonts w:ascii="黑体"/>
          <w:sz w:val="13"/>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7" w:after="0"/>
        <w:ind w:left="504" w:right="0" w:firstLine="0"/>
        <w:jc w:val="left"/>
        <w:rPr>
          <w:rFonts w:ascii="楷体" w:eastAsia="楷体" w:hint="eastAsia"/>
          <w:b/>
          <w:sz w:val="21"/>
        </w:rPr>
      </w:pPr>
      <w:r>
        <w:rPr>
          <w:rFonts w:ascii="楷体" w:eastAsia="楷体" w:hint="eastAsia"/>
          <w:b/>
          <w:spacing w:val="-4"/>
          <w:sz w:val="21"/>
        </w:rPr>
        <w:t>心脏粘</w:t>
      </w:r>
      <w:r>
        <w:rPr>
          <w:rFonts w:ascii="楷体" w:eastAsia="楷体" w:hint="eastAsia"/>
          <w:b/>
          <w:spacing w:val="-6"/>
          <w:sz w:val="21"/>
        </w:rPr>
        <w:t>液瘤</w:t>
      </w:r>
    </w:p>
    <w:p>
      <w:pPr>
        <w:spacing w:before="70"/>
        <w:ind w:left="178" w:right="0" w:firstLine="0"/>
        <w:jc w:val="left"/>
        <w:rPr>
          <w:sz w:val="22"/>
        </w:rPr>
      </w:pPr>
      <w:r>
        <w:rPr/>
        <w:br w:type="column"/>
      </w:r>
      <w:r>
        <w:rPr>
          <w:spacing w:val="-3"/>
          <w:sz w:val="22"/>
        </w:rPr>
        <w:t>指为了治疗心脏粘液瘤，已经实施了开胸开心心脏粘液瘤切除手术。</w:t>
      </w:r>
    </w:p>
    <w:p>
      <w:pPr>
        <w:spacing w:before="15"/>
        <w:ind w:left="178" w:right="0" w:firstLine="0"/>
        <w:jc w:val="left"/>
        <w:rPr>
          <w:rFonts w:ascii="黑体" w:eastAsia="黑体"/>
          <w:sz w:val="24"/>
        </w:rPr>
      </w:pPr>
      <w:r>
        <w:rPr>
          <w:rFonts w:ascii="黑体" w:eastAsia="黑体"/>
          <w:spacing w:val="-1"/>
          <w:sz w:val="24"/>
        </w:rPr>
        <w:t>经导管介入手术治疗不在保障范围内。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0"/>
        <w:rPr>
          <w:rFonts w:ascii="黑体"/>
          <w:sz w:val="12"/>
        </w:rPr>
      </w:pPr>
    </w:p>
    <w:p>
      <w:pPr>
        <w:spacing w:after="0"/>
        <w:rPr>
          <w:rFonts w:ascii="黑体"/>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室壁瘤</w:t>
      </w:r>
      <w:r>
        <w:rPr>
          <w:rFonts w:ascii="楷体" w:eastAsia="楷体" w:hint="eastAsia"/>
          <w:b/>
          <w:spacing w:val="-4"/>
          <w:sz w:val="21"/>
        </w:rPr>
        <w:t>切除手术</w:t>
      </w:r>
    </w:p>
    <w:p>
      <w:pPr>
        <w:pStyle w:val="BodyText"/>
        <w:spacing w:line="278" w:lineRule="auto" w:before="72"/>
        <w:ind w:left="171" w:right="219"/>
      </w:pPr>
      <w:r>
        <w:rPr/>
        <w:br w:type="column"/>
      </w:r>
      <w:r>
        <w:rPr>
          <w:spacing w:val="-2"/>
        </w:rPr>
        <w:t>指被明确诊断为左室室壁瘤。为了治疗该疾病已经实施了切开心脏进行的室壁瘤切除</w:t>
      </w:r>
      <w:r>
        <w:rPr>
          <w:spacing w:val="-4"/>
        </w:rPr>
        <w:t>手术。</w:t>
      </w:r>
    </w:p>
    <w:p>
      <w:pPr>
        <w:spacing w:line="284" w:lineRule="exact" w:before="0"/>
        <w:ind w:left="178" w:right="0" w:firstLine="0"/>
        <w:jc w:val="left"/>
        <w:rPr>
          <w:rFonts w:ascii="黑体" w:eastAsia="黑体"/>
          <w:sz w:val="24"/>
        </w:rPr>
      </w:pPr>
      <w:r>
        <w:rPr>
          <w:rFonts w:ascii="黑体" w:eastAsia="黑体"/>
          <w:spacing w:val="-1"/>
          <w:sz w:val="24"/>
        </w:rPr>
        <w:t>非切开心脏的经导管心室内手术治疗不在保障范围内。</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严重心</w:t>
      </w:r>
      <w:r>
        <w:rPr>
          <w:rFonts w:ascii="楷体" w:eastAsia="楷体" w:hint="eastAsia"/>
          <w:b/>
          <w:spacing w:val="-2"/>
          <w:w w:val="95"/>
          <w:sz w:val="21"/>
        </w:rPr>
        <w:t>脏</w:t>
      </w:r>
      <w:r>
        <w:rPr>
          <w:rFonts w:ascii="楷体" w:eastAsia="楷体" w:hint="eastAsia"/>
          <w:b/>
          <w:spacing w:val="-2"/>
          <w:w w:val="95"/>
          <w:sz w:val="21"/>
        </w:rPr>
        <w:t>衰</w:t>
      </w:r>
      <w:r>
        <w:rPr>
          <w:rFonts w:ascii="楷体" w:eastAsia="楷体" w:hint="eastAsia"/>
          <w:b/>
          <w:spacing w:val="-2"/>
          <w:w w:val="95"/>
          <w:sz w:val="21"/>
        </w:rPr>
        <w:t>竭</w:t>
      </w:r>
      <w:r>
        <w:rPr>
          <w:rFonts w:ascii="楷体" w:eastAsia="楷体" w:hint="eastAsia"/>
          <w:b/>
          <w:spacing w:val="-20"/>
          <w:w w:val="95"/>
          <w:sz w:val="21"/>
        </w:rPr>
        <w:t> </w:t>
      </w:r>
      <w:r>
        <w:rPr>
          <w:rFonts w:ascii="楷体" w:eastAsia="楷体" w:hint="eastAsia"/>
          <w:b/>
          <w:spacing w:val="-2"/>
          <w:w w:val="95"/>
          <w:sz w:val="21"/>
        </w:rPr>
        <w:t>CRT</w:t>
      </w:r>
      <w:r>
        <w:rPr>
          <w:rFonts w:ascii="楷体" w:eastAsia="楷体" w:hint="eastAsia"/>
          <w:b/>
          <w:spacing w:val="-19"/>
          <w:w w:val="95"/>
          <w:sz w:val="21"/>
        </w:rPr>
        <w:t> </w:t>
      </w:r>
      <w:r>
        <w:rPr>
          <w:rFonts w:ascii="楷体" w:eastAsia="楷体" w:hint="eastAsia"/>
          <w:b/>
          <w:spacing w:val="-2"/>
          <w:w w:val="95"/>
          <w:sz w:val="21"/>
        </w:rPr>
        <w:t>心</w:t>
      </w:r>
      <w:r>
        <w:rPr>
          <w:rFonts w:ascii="楷体" w:eastAsia="楷体" w:hint="eastAsia"/>
          <w:b/>
          <w:spacing w:val="-2"/>
          <w:sz w:val="21"/>
        </w:rPr>
        <w:t>脏再同步治疗</w:t>
      </w:r>
    </w:p>
    <w:p>
      <w:pPr>
        <w:pStyle w:val="BodyText"/>
        <w:spacing w:line="278" w:lineRule="auto" w:before="72"/>
        <w:ind w:left="111" w:right="213"/>
        <w:jc w:val="both"/>
      </w:pPr>
      <w:r>
        <w:rPr/>
        <w:br w:type="column"/>
      </w:r>
      <w:r>
        <w:rPr>
          <w:spacing w:val="-2"/>
        </w:rPr>
        <w:t>是一种因缺血性心脏病或扩张性心肌病导致慢性严重心脏衰竭疾病；为矫正心室收缩</w:t>
      </w:r>
      <w:r>
        <w:rPr>
          <w:spacing w:val="-2"/>
        </w:rPr>
        <w:t>不协调和改善心脏功能，已经实施了CRT治疗。实施CRT治疗之前，须满足下列全部条</w:t>
      </w:r>
      <w:r>
        <w:rPr>
          <w:spacing w:val="-6"/>
        </w:rPr>
        <w:t>件：</w:t>
      </w:r>
    </w:p>
    <w:p>
      <w:pPr>
        <w:pStyle w:val="ListParagraph"/>
        <w:numPr>
          <w:ilvl w:val="0"/>
          <w:numId w:val="61"/>
        </w:numPr>
        <w:tabs>
          <w:tab w:pos="641" w:val="left" w:leader="none"/>
        </w:tabs>
        <w:spacing w:line="278" w:lineRule="auto" w:before="0" w:after="0"/>
        <w:ind w:left="636" w:right="218" w:hanging="526"/>
        <w:jc w:val="left"/>
        <w:rPr>
          <w:sz w:val="21"/>
        </w:rPr>
      </w:pPr>
      <w:r>
        <w:rPr>
          <w:sz w:val="21"/>
        </w:rPr>
        <w:t>心功能衰竭程度达到纽约心脏病学会（New York Heart Association，NYHA）</w:t>
      </w:r>
      <w:r>
        <w:rPr>
          <w:spacing w:val="-2"/>
          <w:sz w:val="21"/>
        </w:rPr>
        <w:t>心功能分级标准之心功能Ⅲ级或Ⅳ级；</w:t>
      </w:r>
    </w:p>
    <w:p>
      <w:pPr>
        <w:pStyle w:val="ListParagraph"/>
        <w:numPr>
          <w:ilvl w:val="0"/>
          <w:numId w:val="61"/>
        </w:numPr>
        <w:tabs>
          <w:tab w:pos="641" w:val="left" w:leader="none"/>
        </w:tabs>
        <w:spacing w:line="269" w:lineRule="exact" w:before="0" w:after="0"/>
        <w:ind w:left="640" w:right="0" w:hanging="530"/>
        <w:jc w:val="left"/>
        <w:rPr>
          <w:sz w:val="21"/>
        </w:rPr>
      </w:pPr>
      <w:r>
        <w:rPr>
          <w:spacing w:val="-8"/>
          <w:sz w:val="21"/>
        </w:rPr>
        <w:t>左室射血分数低于 </w:t>
      </w:r>
      <w:r>
        <w:rPr>
          <w:spacing w:val="-4"/>
          <w:sz w:val="21"/>
        </w:rPr>
        <w:t>35%；</w:t>
      </w:r>
    </w:p>
    <w:p>
      <w:pPr>
        <w:pStyle w:val="ListParagraph"/>
        <w:numPr>
          <w:ilvl w:val="0"/>
          <w:numId w:val="61"/>
        </w:numPr>
        <w:tabs>
          <w:tab w:pos="641" w:val="left" w:leader="none"/>
        </w:tabs>
        <w:spacing w:line="240" w:lineRule="auto" w:before="42" w:after="0"/>
        <w:ind w:left="640" w:right="0" w:hanging="530"/>
        <w:jc w:val="left"/>
        <w:rPr>
          <w:sz w:val="21"/>
        </w:rPr>
      </w:pPr>
      <w:r>
        <w:rPr>
          <w:spacing w:val="-2"/>
          <w:sz w:val="21"/>
        </w:rPr>
        <w:t>左室舒张末期内径≥55mm；</w:t>
      </w:r>
    </w:p>
    <w:p>
      <w:pPr>
        <w:pStyle w:val="ListParagraph"/>
        <w:numPr>
          <w:ilvl w:val="0"/>
          <w:numId w:val="61"/>
        </w:numPr>
        <w:tabs>
          <w:tab w:pos="641" w:val="left" w:leader="none"/>
        </w:tabs>
        <w:spacing w:line="240" w:lineRule="auto" w:before="43" w:after="0"/>
        <w:ind w:left="640" w:right="0" w:hanging="530"/>
        <w:jc w:val="left"/>
        <w:rPr>
          <w:sz w:val="21"/>
        </w:rPr>
      </w:pPr>
      <w:r>
        <w:rPr>
          <w:spacing w:val="-2"/>
          <w:sz w:val="21"/>
        </w:rPr>
        <w:t>QRS</w:t>
      </w:r>
      <w:r>
        <w:rPr>
          <w:spacing w:val="-19"/>
          <w:sz w:val="21"/>
        </w:rPr>
        <w:t> 时间</w:t>
      </w:r>
      <w:r>
        <w:rPr>
          <w:spacing w:val="-2"/>
          <w:sz w:val="21"/>
        </w:rPr>
        <w:t>≥130msec；</w:t>
      </w:r>
    </w:p>
    <w:p>
      <w:pPr>
        <w:pStyle w:val="ListParagraph"/>
        <w:numPr>
          <w:ilvl w:val="0"/>
          <w:numId w:val="61"/>
        </w:numPr>
        <w:tabs>
          <w:tab w:pos="641" w:val="left" w:leader="none"/>
        </w:tabs>
        <w:spacing w:line="240" w:lineRule="auto" w:before="43" w:after="0"/>
        <w:ind w:left="640" w:right="0" w:hanging="530"/>
        <w:jc w:val="left"/>
        <w:rPr>
          <w:sz w:val="21"/>
        </w:rPr>
      </w:pPr>
      <w:r>
        <w:rPr>
          <w:spacing w:val="-3"/>
          <w:sz w:val="21"/>
        </w:rPr>
        <w:t>药物治疗效果不佳，仍有症状。</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肠系膜</w:t>
      </w:r>
      <w:r>
        <w:rPr>
          <w:rFonts w:ascii="楷体" w:eastAsia="楷体" w:hint="eastAsia"/>
          <w:b/>
          <w:spacing w:val="-2"/>
          <w:sz w:val="21"/>
        </w:rPr>
        <w:t>上动脉梗塞致</w:t>
      </w:r>
      <w:r>
        <w:rPr>
          <w:rFonts w:ascii="楷体" w:eastAsia="楷体" w:hint="eastAsia"/>
          <w:b/>
          <w:spacing w:val="-2"/>
          <w:sz w:val="21"/>
        </w:rPr>
        <w:t>严重肠坏死</w:t>
      </w:r>
    </w:p>
    <w:p>
      <w:pPr>
        <w:pStyle w:val="BodyText"/>
        <w:spacing w:line="278" w:lineRule="auto" w:before="72"/>
        <w:ind w:left="111" w:right="167"/>
      </w:pPr>
      <w:r>
        <w:rPr/>
        <w:br w:type="column"/>
      </w:r>
      <w:r>
        <w:rPr>
          <w:spacing w:val="-2"/>
        </w:rPr>
        <w:t>因肠系膜上动脉栓塞或血栓形成引起广泛小肠缺血坏死，临床表现为突发剧烈腹痛。</w:t>
      </w:r>
      <w:r>
        <w:rPr>
          <w:spacing w:val="-2"/>
        </w:rPr>
        <w:t>被保险人实际接受了下列两项外科开腹手术治疗：</w:t>
      </w:r>
    </w:p>
    <w:p>
      <w:pPr>
        <w:pStyle w:val="ListParagraph"/>
        <w:numPr>
          <w:ilvl w:val="0"/>
          <w:numId w:val="62"/>
        </w:numPr>
        <w:tabs>
          <w:tab w:pos="653" w:val="left" w:leader="none"/>
        </w:tabs>
        <w:spacing w:line="269" w:lineRule="exact" w:before="0" w:after="0"/>
        <w:ind w:left="652" w:right="0" w:hanging="542"/>
        <w:jc w:val="left"/>
        <w:rPr>
          <w:sz w:val="21"/>
        </w:rPr>
      </w:pPr>
      <w:r>
        <w:rPr>
          <w:spacing w:val="-2"/>
          <w:sz w:val="21"/>
        </w:rPr>
        <w:t>肠系膜上动脉血栓摘除术（血栓内膜剥脱术）</w:t>
      </w:r>
      <w:r>
        <w:rPr>
          <w:spacing w:val="-4"/>
          <w:sz w:val="21"/>
        </w:rPr>
        <w:t>或搭桥手术；</w:t>
      </w:r>
    </w:p>
    <w:p>
      <w:pPr>
        <w:pStyle w:val="ListParagraph"/>
        <w:numPr>
          <w:ilvl w:val="0"/>
          <w:numId w:val="62"/>
        </w:numPr>
        <w:tabs>
          <w:tab w:pos="653" w:val="left" w:leader="none"/>
        </w:tabs>
        <w:spacing w:line="240" w:lineRule="auto" w:before="43" w:after="0"/>
        <w:ind w:left="652" w:right="0" w:hanging="542"/>
        <w:jc w:val="left"/>
        <w:rPr>
          <w:sz w:val="21"/>
        </w:rPr>
      </w:pPr>
      <w:r>
        <w:rPr>
          <w:spacing w:val="-4"/>
          <w:sz w:val="21"/>
        </w:rPr>
        <w:t>坏死肠管切除术。</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植物人</w:t>
      </w:r>
      <w:r>
        <w:rPr>
          <w:rFonts w:ascii="楷体" w:eastAsia="楷体" w:hint="eastAsia"/>
          <w:b/>
          <w:spacing w:val="-6"/>
          <w:sz w:val="21"/>
        </w:rPr>
        <w:t>状态</w:t>
      </w:r>
    </w:p>
    <w:p>
      <w:pPr>
        <w:pStyle w:val="BodyText"/>
        <w:spacing w:line="278" w:lineRule="auto" w:before="72"/>
        <w:ind w:left="178" w:right="206"/>
        <w:jc w:val="both"/>
      </w:pPr>
      <w:r>
        <w:rPr/>
        <w:br w:type="column"/>
      </w:r>
      <w:r>
        <w:rPr>
          <w:spacing w:val="4"/>
          <w:w w:val="100"/>
        </w:rPr>
        <w:t>指脑皮质广泛性坏死而导致对自身及周边的认知能力完全丧失,但脑干功能依然存</w:t>
      </w:r>
      <w:r>
        <w:rPr>
          <w:spacing w:val="-9"/>
          <w:w w:val="100"/>
        </w:rPr>
        <w:t>在。必须由神经专科医生明确诊断,并有头颅断层扫描</w:t>
      </w:r>
      <w:r>
        <w:rPr>
          <w:spacing w:val="-1"/>
          <w:w w:val="100"/>
        </w:rPr>
        <w:t>（</w:t>
      </w:r>
      <w:r>
        <w:rPr>
          <w:w w:val="100"/>
        </w:rPr>
        <w:t>CT</w:t>
      </w:r>
      <w:r>
        <w:rPr>
          <w:spacing w:val="-108"/>
          <w:w w:val="100"/>
        </w:rPr>
        <w:t>）</w:t>
      </w:r>
      <w:r>
        <w:rPr>
          <w:spacing w:val="-12"/>
          <w:w w:val="100"/>
        </w:rPr>
        <w:t>，核磁共振检查</w:t>
      </w:r>
      <w:r>
        <w:rPr>
          <w:spacing w:val="-1"/>
          <w:w w:val="100"/>
        </w:rPr>
        <w:t>（</w:t>
      </w:r>
      <w:r>
        <w:rPr>
          <w:spacing w:val="-3"/>
          <w:w w:val="100"/>
        </w:rPr>
        <w:t>M</w:t>
      </w:r>
      <w:r>
        <w:rPr>
          <w:w w:val="100"/>
        </w:rPr>
        <w:t>RI</w:t>
      </w:r>
      <w:r>
        <w:rPr>
          <w:spacing w:val="-32"/>
          <w:w w:val="100"/>
        </w:rPr>
        <w:t>）或</w:t>
      </w:r>
      <w:r>
        <w:rPr>
          <w:spacing w:val="-3"/>
          <w:w w:val="100"/>
        </w:rPr>
        <w:t>正电子发射断层扫描</w:t>
      </w:r>
      <w:r>
        <w:rPr>
          <w:w w:val="100"/>
        </w:rPr>
        <w:t>（P</w:t>
      </w:r>
      <w:r>
        <w:rPr>
          <w:spacing w:val="-3"/>
          <w:w w:val="100"/>
        </w:rPr>
        <w:t>ET</w:t>
      </w:r>
      <w:r>
        <w:rPr>
          <w:w w:val="100"/>
        </w:rPr>
        <w:t>）</w:t>
      </w:r>
      <w:r>
        <w:rPr>
          <w:spacing w:val="-3"/>
          <w:w w:val="100"/>
        </w:rPr>
        <w:t>等影像学检查证实。</w:t>
      </w:r>
    </w:p>
    <w:p>
      <w:pPr>
        <w:spacing w:line="284" w:lineRule="exact" w:before="0"/>
        <w:ind w:left="178" w:right="0" w:firstLine="0"/>
        <w:jc w:val="left"/>
        <w:rPr>
          <w:rFonts w:ascii="黑体" w:eastAsia="黑体"/>
          <w:sz w:val="24"/>
        </w:rPr>
      </w:pPr>
      <w:r>
        <w:rPr>
          <w:rFonts w:ascii="黑体" w:eastAsia="黑体"/>
          <w:spacing w:val="-1"/>
          <w:sz w:val="24"/>
        </w:rPr>
        <w:t>上述情况必须有至少一个月的病历记录加以证实。</w:t>
      </w:r>
    </w:p>
    <w:p>
      <w:pPr>
        <w:spacing w:before="4"/>
        <w:ind w:left="178" w:right="0" w:firstLine="0"/>
        <w:jc w:val="left"/>
        <w:rPr>
          <w:rFonts w:ascii="黑体" w:eastAsia="黑体"/>
          <w:sz w:val="24"/>
        </w:rPr>
      </w:pPr>
      <w:r>
        <w:rPr>
          <w:rFonts w:ascii="黑体" w:eastAsia="黑体"/>
          <w:spacing w:val="-1"/>
          <w:sz w:val="24"/>
        </w:rPr>
        <w:t>由于酗酒或滥用药物所致的植物人状态不在保障范围内。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严重多</w:t>
      </w:r>
      <w:r>
        <w:rPr>
          <w:rFonts w:ascii="楷体" w:eastAsia="楷体" w:hint="eastAsia"/>
          <w:b/>
          <w:spacing w:val="-4"/>
          <w:sz w:val="21"/>
        </w:rPr>
        <w:t>发性硬化</w:t>
      </w:r>
    </w:p>
    <w:p>
      <w:pPr>
        <w:pStyle w:val="BodyText"/>
        <w:spacing w:line="278" w:lineRule="auto" w:before="72"/>
        <w:ind w:left="178" w:right="216"/>
        <w:jc w:val="both"/>
      </w:pPr>
      <w:r>
        <w:rPr/>
        <w:br w:type="column"/>
      </w:r>
      <w:r>
        <w:rPr>
          <w:spacing w:val="-2"/>
        </w:rPr>
        <w:t>指被保险人因脑及脊髓内的脱髓鞘病变而出现神经系统多灶性（多发性）多时相（至</w:t>
      </w:r>
      <w:r>
        <w:rPr>
          <w:spacing w:val="-8"/>
        </w:rPr>
        <w:t>少6个月以内有一次以上（不包含一次）的发作）的病变，须由计算机断层扫描</w:t>
      </w:r>
      <w:r>
        <w:rPr>
          <w:spacing w:val="19"/>
        </w:rPr>
        <w:t>（CT</w:t>
      </w:r>
      <w:r>
        <w:rPr>
          <w:spacing w:val="-89"/>
        </w:rPr>
        <w:t>）</w:t>
      </w:r>
      <w:r>
        <w:rPr>
          <w:spacing w:val="-108"/>
        </w:rPr>
        <w:t>、</w:t>
      </w:r>
      <w:r>
        <w:rPr>
          <w:spacing w:val="-4"/>
        </w:rPr>
        <w:t>核磁共振检查（MRI）或正电子发射断层扫描（PET）</w:t>
      </w:r>
      <w:r>
        <w:rPr>
          <w:spacing w:val="-5"/>
        </w:rPr>
        <w:t>等影像学检查证实，且须满足自</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line="278" w:lineRule="auto" w:before="60"/>
        <w:ind w:left="1922" w:right="216"/>
      </w:pPr>
      <w:r>
        <w:rPr>
          <w:spacing w:val="-2"/>
        </w:rPr>
        <w:t>主生活能力严重丧失，无法独立完成六项基本日常生活活动中的三项，至少持续</w:t>
      </w:r>
      <w:r>
        <w:rPr>
          <w:spacing w:val="-2"/>
        </w:rPr>
        <w:t>180</w:t>
      </w:r>
      <w:r>
        <w:rPr>
          <w:spacing w:val="-6"/>
        </w:rPr>
        <w:t>天。</w:t>
      </w:r>
    </w:p>
    <w:p>
      <w:pPr>
        <w:pStyle w:val="BodyText"/>
        <w:spacing w:before="2"/>
        <w:rPr>
          <w:sz w:val="12"/>
        </w:rPr>
      </w:pPr>
    </w:p>
    <w:p>
      <w:pPr>
        <w:spacing w:after="0"/>
        <w:rPr>
          <w:sz w:val="12"/>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非阿尔</w:t>
      </w:r>
      <w:r>
        <w:rPr>
          <w:rFonts w:ascii="楷体" w:eastAsia="楷体" w:hint="eastAsia"/>
          <w:b/>
          <w:spacing w:val="-2"/>
          <w:sz w:val="21"/>
        </w:rPr>
        <w:t>茨海默病所致</w:t>
      </w:r>
      <w:r>
        <w:rPr>
          <w:rFonts w:ascii="楷体" w:eastAsia="楷体" w:hint="eastAsia"/>
          <w:b/>
          <w:spacing w:val="-4"/>
          <w:sz w:val="21"/>
        </w:rPr>
        <w:t>严重痴呆</w:t>
      </w:r>
    </w:p>
    <w:p>
      <w:pPr>
        <w:pStyle w:val="BodyText"/>
        <w:spacing w:line="278" w:lineRule="auto" w:before="72"/>
        <w:ind w:left="111" w:right="213"/>
        <w:jc w:val="both"/>
      </w:pPr>
      <w:r>
        <w:rPr/>
        <w:br w:type="column"/>
      </w:r>
      <w:r>
        <w:rPr>
          <w:spacing w:val="2"/>
          <w:w w:val="100"/>
        </w:rPr>
        <w:t>指因阿尔茨海默病以外的脑的器质性疾病造成脑功能衰竭导致永久不可逆性的严重</w:t>
      </w:r>
      <w:r>
        <w:rPr>
          <w:spacing w:val="-7"/>
          <w:w w:val="100"/>
        </w:rPr>
        <w:t>痴呆，临床表现为明显的认知能力障碍、行为异常和社交能力减退，其日常生活必须持续受到他人监护。须由完整的临床、实验室和影像学检查结果证实，并经相关专科</w:t>
      </w:r>
      <w:r>
        <w:rPr>
          <w:spacing w:val="-9"/>
          <w:w w:val="100"/>
        </w:rPr>
        <w:t>医生确诊，且须满足自主生活能力完全丧失，无法独立完成六项基本日常生活活动中</w:t>
      </w:r>
      <w:r>
        <w:rPr>
          <w:spacing w:val="-5"/>
          <w:w w:val="100"/>
        </w:rPr>
        <w:t>的三项或三项以上。</w:t>
      </w:r>
    </w:p>
    <w:p>
      <w:pPr>
        <w:spacing w:line="284" w:lineRule="exact" w:before="0"/>
        <w:ind w:left="111" w:right="0" w:firstLine="0"/>
        <w:jc w:val="left"/>
        <w:rPr>
          <w:rFonts w:ascii="黑体" w:eastAsia="黑体"/>
          <w:sz w:val="24"/>
        </w:rPr>
      </w:pPr>
      <w:r>
        <w:rPr>
          <w:rFonts w:ascii="黑体" w:eastAsia="黑体"/>
          <w:spacing w:val="-1"/>
          <w:sz w:val="24"/>
        </w:rPr>
        <w:t>神经官能症，精神疾病及酗酒导致的脑损害不在保障范围内。</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破裂脑</w:t>
      </w:r>
      <w:r>
        <w:rPr>
          <w:rFonts w:ascii="楷体" w:eastAsia="楷体" w:hint="eastAsia"/>
          <w:b/>
          <w:spacing w:val="-2"/>
          <w:sz w:val="21"/>
        </w:rPr>
        <w:t>动脉瘤夹闭手</w:t>
      </w:r>
      <w:r>
        <w:rPr>
          <w:rFonts w:ascii="楷体" w:eastAsia="楷体" w:hint="eastAsia"/>
          <w:b/>
          <w:spacing w:val="-10"/>
          <w:sz w:val="21"/>
        </w:rPr>
        <w:t>术</w:t>
      </w:r>
    </w:p>
    <w:p>
      <w:pPr>
        <w:pStyle w:val="BodyText"/>
        <w:spacing w:line="278" w:lineRule="auto" w:before="72"/>
        <w:ind w:left="111" w:right="214"/>
      </w:pPr>
      <w:r>
        <w:rPr/>
        <w:br w:type="column"/>
      </w:r>
      <w:r>
        <w:rPr>
          <w:spacing w:val="-5"/>
        </w:rPr>
        <w:t>指因脑动脉瘤破裂造成蛛网膜下腔出血，已经实施了在全麻下进行的开颅动脉瘤夹闭</w:t>
      </w:r>
      <w:r>
        <w:rPr>
          <w:spacing w:val="-4"/>
        </w:rPr>
        <w:t>手术。</w:t>
      </w:r>
    </w:p>
    <w:p>
      <w:pPr>
        <w:spacing w:line="284" w:lineRule="exact" w:before="0"/>
        <w:ind w:left="111" w:right="0" w:firstLine="0"/>
        <w:jc w:val="left"/>
        <w:rPr>
          <w:rFonts w:ascii="黑体" w:eastAsia="黑体"/>
          <w:sz w:val="24"/>
        </w:rPr>
      </w:pPr>
      <w:r>
        <w:rPr>
          <w:rFonts w:ascii="黑体" w:eastAsia="黑体"/>
          <w:spacing w:val="-8"/>
          <w:sz w:val="24"/>
        </w:rPr>
        <w:t>脑动脉瘤（未破裂）</w:t>
      </w:r>
      <w:r>
        <w:rPr>
          <w:rFonts w:ascii="黑体" w:eastAsia="黑体"/>
          <w:spacing w:val="-9"/>
          <w:sz w:val="24"/>
        </w:rPr>
        <w:t>预防性手术、颅骨打孔手术、动脉瘤栓塞手术、血管内</w:t>
      </w:r>
    </w:p>
    <w:p>
      <w:pPr>
        <w:spacing w:before="5"/>
        <w:ind w:left="111" w:right="0" w:firstLine="0"/>
        <w:jc w:val="left"/>
        <w:rPr>
          <w:rFonts w:ascii="黑体" w:eastAsia="黑体"/>
          <w:sz w:val="24"/>
        </w:rPr>
      </w:pPr>
      <w:r>
        <w:rPr>
          <w:rFonts w:ascii="黑体" w:eastAsia="黑体"/>
          <w:spacing w:val="-1"/>
          <w:sz w:val="24"/>
        </w:rPr>
        <w:t>手术及其他颅脑手术不在本保障范围内。</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1"/>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亚急性</w:t>
      </w:r>
      <w:r>
        <w:rPr>
          <w:rFonts w:ascii="楷体" w:eastAsia="楷体" w:hint="eastAsia"/>
          <w:b/>
          <w:spacing w:val="-2"/>
          <w:sz w:val="21"/>
        </w:rPr>
        <w:t>硬化性全脑炎</w:t>
      </w:r>
    </w:p>
    <w:p>
      <w:pPr>
        <w:pStyle w:val="BodyText"/>
        <w:spacing w:line="278" w:lineRule="auto" w:before="72"/>
        <w:ind w:left="111" w:right="213" w:hanging="1"/>
      </w:pPr>
      <w:r>
        <w:rPr/>
        <w:br w:type="column"/>
      </w:r>
      <w:r>
        <w:rPr>
          <w:spacing w:val="-4"/>
        </w:rPr>
        <w:t>指因麻疹或麻疹样病毒导致的一种中枢神经系统慢感染。中枢神经系统呈现灰质和白</w:t>
      </w:r>
      <w:r>
        <w:rPr>
          <w:spacing w:val="-2"/>
        </w:rPr>
        <w:t>质破坏为特征的慢性和急性混合存在的炎症。且须满足下列全部条件：</w:t>
      </w:r>
    </w:p>
    <w:p>
      <w:pPr>
        <w:pStyle w:val="ListParagraph"/>
        <w:numPr>
          <w:ilvl w:val="0"/>
          <w:numId w:val="63"/>
        </w:numPr>
        <w:tabs>
          <w:tab w:pos="639" w:val="left" w:leader="none"/>
        </w:tabs>
        <w:spacing w:line="278" w:lineRule="auto" w:before="0" w:after="0"/>
        <w:ind w:left="637" w:right="215" w:hanging="526"/>
        <w:jc w:val="left"/>
        <w:rPr>
          <w:sz w:val="21"/>
        </w:rPr>
      </w:pPr>
      <w:r>
        <w:rPr>
          <w:spacing w:val="-2"/>
          <w:sz w:val="21"/>
        </w:rPr>
        <w:t>临床检查证实脑电图存在周期性复合波、脑脊液</w:t>
      </w:r>
      <w:r>
        <w:rPr>
          <w:rFonts w:ascii="Times New Roman" w:hAnsi="Times New Roman" w:eastAsia="Times New Roman"/>
          <w:spacing w:val="-2"/>
          <w:sz w:val="21"/>
        </w:rPr>
        <w:t>Ƴ</w:t>
      </w:r>
      <w:r>
        <w:rPr>
          <w:spacing w:val="-2"/>
          <w:sz w:val="21"/>
        </w:rPr>
        <w:t>-球蛋白升高、脑脊液和血清</w:t>
      </w:r>
      <w:r>
        <w:rPr>
          <w:spacing w:val="-2"/>
          <w:sz w:val="21"/>
        </w:rPr>
        <w:t>中麻疹抗体滴定度升高；</w:t>
      </w:r>
    </w:p>
    <w:p>
      <w:pPr>
        <w:pStyle w:val="ListParagraph"/>
        <w:numPr>
          <w:ilvl w:val="0"/>
          <w:numId w:val="63"/>
        </w:numPr>
        <w:tabs>
          <w:tab w:pos="641" w:val="left" w:leader="none"/>
        </w:tabs>
        <w:spacing w:line="269" w:lineRule="exact" w:before="0" w:after="0"/>
        <w:ind w:left="640" w:right="0" w:hanging="530"/>
        <w:jc w:val="left"/>
        <w:rPr>
          <w:sz w:val="21"/>
        </w:rPr>
      </w:pPr>
      <w:r>
        <w:rPr>
          <w:spacing w:val="-4"/>
          <w:sz w:val="21"/>
        </w:rPr>
        <w:t>运动功能障碍；</w:t>
      </w:r>
    </w:p>
    <w:p>
      <w:pPr>
        <w:pStyle w:val="ListParagraph"/>
        <w:numPr>
          <w:ilvl w:val="0"/>
          <w:numId w:val="63"/>
        </w:numPr>
        <w:tabs>
          <w:tab w:pos="643" w:val="left" w:leader="none"/>
        </w:tabs>
        <w:spacing w:line="278" w:lineRule="auto" w:before="43" w:after="0"/>
        <w:ind w:left="111" w:right="216" w:firstLine="0"/>
        <w:jc w:val="left"/>
        <w:rPr>
          <w:sz w:val="21"/>
        </w:rPr>
      </w:pPr>
      <w:r>
        <w:rPr>
          <w:spacing w:val="-2"/>
          <w:sz w:val="21"/>
        </w:rPr>
        <w:t>自主生活能力完全丧失，无法独立完成六项基本日常生活活动中的三项或三项</w:t>
      </w:r>
      <w:r>
        <w:rPr>
          <w:spacing w:val="-4"/>
          <w:sz w:val="21"/>
        </w:rPr>
        <w:t>以上。</w:t>
      </w:r>
    </w:p>
    <w:p>
      <w:pPr>
        <w:spacing w:after="0" w:line="278" w:lineRule="auto"/>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脊髓灰</w:t>
      </w:r>
      <w:r>
        <w:rPr>
          <w:rFonts w:ascii="楷体" w:eastAsia="楷体" w:hint="eastAsia"/>
          <w:b/>
          <w:spacing w:val="-2"/>
          <w:sz w:val="21"/>
        </w:rPr>
        <w:t>质炎后遗症</w:t>
      </w:r>
    </w:p>
    <w:p>
      <w:pPr>
        <w:pStyle w:val="BodyText"/>
        <w:spacing w:line="278" w:lineRule="auto" w:before="72"/>
        <w:ind w:left="178" w:right="215"/>
        <w:jc w:val="both"/>
      </w:pPr>
      <w:r>
        <w:rPr/>
        <w:br w:type="column"/>
      </w:r>
      <w:r>
        <w:rPr>
          <w:spacing w:val="2"/>
          <w:w w:val="100"/>
        </w:rPr>
        <w:t>是由于脊髓灰质炎病毒感染所致的瘫痪性疾病，临床表现为运动功能损害或呼吸无</w:t>
      </w:r>
      <w:r>
        <w:rPr>
          <w:spacing w:val="-6"/>
          <w:w w:val="100"/>
        </w:rPr>
        <w:t>力。经相关专科医生确诊，且须满足该病造成神经系统功能损害导致一肢</w:t>
      </w:r>
      <w:r>
        <w:rPr>
          <w:spacing w:val="-3"/>
          <w:w w:val="100"/>
        </w:rPr>
        <w:t>（</w:t>
      </w:r>
      <w:r>
        <w:rPr>
          <w:spacing w:val="-1"/>
          <w:w w:val="100"/>
        </w:rPr>
        <w:t>含</w:t>
      </w:r>
      <w:r>
        <w:rPr>
          <w:spacing w:val="-13"/>
          <w:w w:val="100"/>
        </w:rPr>
        <w:t>）</w:t>
      </w:r>
      <w:r>
        <w:rPr>
          <w:spacing w:val="-3"/>
          <w:w w:val="100"/>
        </w:rPr>
        <w:t>以上肢体随意运动功能永久完全丧失。肢体随意运动功能永久完全丧失，指疾病确诊</w:t>
      </w:r>
      <w:r>
        <w:rPr>
          <w:rFonts w:ascii="Arial" w:eastAsia="Arial"/>
          <w:w w:val="100"/>
        </w:rPr>
        <w:t>180</w:t>
      </w:r>
      <w:r>
        <w:rPr>
          <w:spacing w:val="-3"/>
          <w:w w:val="100"/>
        </w:rPr>
        <w:t>天后，每肢三大关节中的两大关节仍然完全僵硬，或肢体肌力在</w:t>
      </w:r>
      <w:r>
        <w:rPr>
          <w:rFonts w:ascii="Arial" w:eastAsia="Arial"/>
          <w:spacing w:val="-3"/>
          <w:w w:val="100"/>
        </w:rPr>
        <w:t>2</w:t>
      </w:r>
      <w:r>
        <w:rPr>
          <w:w w:val="100"/>
        </w:rPr>
        <w:t>级</w:t>
      </w:r>
      <w:r>
        <w:rPr>
          <w:spacing w:val="-3"/>
          <w:w w:val="100"/>
        </w:rPr>
        <w:t>（</w:t>
      </w:r>
      <w:r>
        <w:rPr>
          <w:w w:val="100"/>
        </w:rPr>
        <w:t>含</w:t>
      </w:r>
      <w:r>
        <w:rPr>
          <w:spacing w:val="-3"/>
          <w:w w:val="100"/>
        </w:rPr>
        <w:t>）</w:t>
      </w:r>
      <w:r>
        <w:rPr>
          <w:spacing w:val="-2"/>
          <w:w w:val="100"/>
        </w:rPr>
        <w:t>以下。</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before="3"/>
        <w:rPr>
          <w:sz w:val="11"/>
        </w:rPr>
      </w:pPr>
    </w:p>
    <w:p>
      <w:pPr>
        <w:spacing w:after="0"/>
        <w:rPr>
          <w:sz w:val="11"/>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81" w:after="0"/>
        <w:ind w:left="504" w:right="0" w:firstLine="0"/>
        <w:jc w:val="left"/>
        <w:rPr>
          <w:rFonts w:ascii="楷体" w:eastAsia="楷体" w:hint="eastAsia"/>
          <w:b/>
          <w:sz w:val="21"/>
        </w:rPr>
      </w:pPr>
      <w:r>
        <w:rPr>
          <w:rFonts w:ascii="楷体" w:eastAsia="楷体" w:hint="eastAsia"/>
          <w:b/>
          <w:spacing w:val="-4"/>
          <w:sz w:val="21"/>
        </w:rPr>
        <w:t>进行性</w:t>
      </w:r>
      <w:r>
        <w:rPr>
          <w:rFonts w:ascii="楷体" w:eastAsia="楷体" w:hint="eastAsia"/>
          <w:b/>
          <w:spacing w:val="-2"/>
          <w:sz w:val="21"/>
        </w:rPr>
        <w:t>核上性麻痹</w:t>
      </w:r>
    </w:p>
    <w:p>
      <w:pPr>
        <w:pStyle w:val="BodyText"/>
        <w:spacing w:line="278" w:lineRule="auto" w:before="81"/>
        <w:ind w:left="178" w:right="112"/>
      </w:pPr>
      <w:r>
        <w:rPr/>
        <w:br w:type="column"/>
      </w:r>
      <w:r>
        <w:rPr>
          <w:spacing w:val="-9"/>
        </w:rPr>
        <w:t>进行性核上性麻痹</w:t>
      </w:r>
      <w:r>
        <w:rPr>
          <w:spacing w:val="-2"/>
        </w:rPr>
        <w:t>（</w:t>
      </w:r>
      <w:r>
        <w:rPr>
          <w:rFonts w:ascii="Arial" w:hAnsi="Arial" w:eastAsia="Arial"/>
          <w:spacing w:val="-2"/>
        </w:rPr>
        <w:t>PSP</w:t>
      </w:r>
      <w:r>
        <w:rPr>
          <w:spacing w:val="-2"/>
        </w:rPr>
        <w:t>）又称</w:t>
      </w:r>
      <w:r>
        <w:rPr>
          <w:rFonts w:ascii="Arial" w:hAnsi="Arial" w:eastAsia="Arial"/>
          <w:spacing w:val="-2"/>
        </w:rPr>
        <w:t>Steele-Rchardson—Olszewski</w:t>
      </w:r>
      <w:r>
        <w:rPr>
          <w:spacing w:val="-10"/>
        </w:rPr>
        <w:t>综合征，是一种少见的</w:t>
      </w:r>
      <w:r>
        <w:rPr>
          <w:spacing w:val="-13"/>
        </w:rPr>
        <w:t>神经系统变性疾病，临床表现为假球麻痹、垂直性核上性眼肌麻痹、锥体外系肌僵直、</w:t>
      </w:r>
      <w:r>
        <w:rPr>
          <w:spacing w:val="-2"/>
        </w:rPr>
        <w:t>步态共济失调和轻度痴呆。经相关专科医生确诊，且须满足自主生活能力完全丧失，</w:t>
      </w:r>
      <w:r>
        <w:rPr>
          <w:spacing w:val="-2"/>
        </w:rPr>
        <w:t>无法独立完成六项基本日常生活活动中的三项或三项以上。</w:t>
      </w:r>
    </w:p>
    <w:p>
      <w:pPr>
        <w:spacing w:after="0" w:line="278" w:lineRule="auto"/>
        <w:sectPr>
          <w:type w:val="continuous"/>
          <w:pgSz w:w="11910" w:h="16840"/>
          <w:pgMar w:header="0" w:footer="1120" w:top="1120" w:bottom="1300" w:left="1020" w:right="1020"/>
          <w:cols w:num="2" w:equalWidth="0">
            <w:col w:w="1705" w:space="40"/>
            <w:col w:w="8125"/>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脊髓小</w:t>
      </w:r>
      <w:r>
        <w:rPr>
          <w:rFonts w:ascii="楷体" w:eastAsia="楷体" w:hint="eastAsia"/>
          <w:b/>
          <w:spacing w:val="-4"/>
          <w:sz w:val="21"/>
        </w:rPr>
        <w:t>脑变性症</w:t>
      </w:r>
    </w:p>
    <w:p>
      <w:pPr>
        <w:pStyle w:val="BodyText"/>
        <w:spacing w:before="72"/>
        <w:ind w:left="178"/>
      </w:pPr>
      <w:r>
        <w:rPr/>
        <w:br w:type="column"/>
      </w:r>
      <w:r>
        <w:rPr>
          <w:spacing w:val="-3"/>
        </w:rPr>
        <w:t>是一种以小脑萎缩和共济失调为主要临床特点的疾病。且须满足下列全部条件：</w:t>
      </w:r>
    </w:p>
    <w:p>
      <w:pPr>
        <w:pStyle w:val="ListParagraph"/>
        <w:numPr>
          <w:ilvl w:val="0"/>
          <w:numId w:val="64"/>
        </w:numPr>
        <w:tabs>
          <w:tab w:pos="708" w:val="left" w:leader="none"/>
        </w:tabs>
        <w:spacing w:line="240" w:lineRule="auto" w:before="43" w:after="0"/>
        <w:ind w:left="707" w:right="0" w:hanging="530"/>
        <w:jc w:val="left"/>
        <w:rPr>
          <w:sz w:val="21"/>
        </w:rPr>
      </w:pPr>
      <w:r>
        <w:rPr>
          <w:spacing w:val="-3"/>
          <w:sz w:val="21"/>
        </w:rPr>
        <w:t>影像学检查证实存在小脑萎缩；</w:t>
      </w:r>
    </w:p>
    <w:p>
      <w:pPr>
        <w:pStyle w:val="ListParagraph"/>
        <w:numPr>
          <w:ilvl w:val="0"/>
          <w:numId w:val="64"/>
        </w:numPr>
        <w:tabs>
          <w:tab w:pos="708" w:val="left" w:leader="none"/>
        </w:tabs>
        <w:spacing w:line="240" w:lineRule="auto" w:before="43" w:after="0"/>
        <w:ind w:left="707" w:right="0" w:hanging="530"/>
        <w:jc w:val="left"/>
        <w:rPr>
          <w:sz w:val="21"/>
        </w:rPr>
      </w:pPr>
      <w:r>
        <w:rPr>
          <w:spacing w:val="-3"/>
          <w:sz w:val="21"/>
        </w:rPr>
        <w:t>临床表现存在共济失调、语言障碍和肌张力异常；</w:t>
      </w:r>
    </w:p>
    <w:p>
      <w:pPr>
        <w:pStyle w:val="ListParagraph"/>
        <w:numPr>
          <w:ilvl w:val="0"/>
          <w:numId w:val="64"/>
        </w:numPr>
        <w:tabs>
          <w:tab w:pos="710" w:val="left" w:leader="none"/>
        </w:tabs>
        <w:spacing w:line="278" w:lineRule="auto" w:before="43" w:after="0"/>
        <w:ind w:left="178" w:right="216" w:firstLine="0"/>
        <w:jc w:val="left"/>
        <w:rPr>
          <w:sz w:val="21"/>
        </w:rPr>
      </w:pPr>
      <w:r>
        <w:rPr>
          <w:spacing w:val="-2"/>
          <w:sz w:val="21"/>
        </w:rPr>
        <w:t>运动功能严重障碍，自主生活能力完全丧失，无法独立完成六项基本日常生活</w:t>
      </w:r>
      <w:r>
        <w:rPr>
          <w:spacing w:val="-2"/>
          <w:sz w:val="21"/>
        </w:rPr>
        <w:t>活动中的三项或三项以上。</w:t>
      </w:r>
    </w:p>
    <w:p>
      <w:pPr>
        <w:spacing w:after="0" w:line="278"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严重瑞</w:t>
      </w:r>
      <w:r>
        <w:rPr>
          <w:rFonts w:ascii="楷体" w:eastAsia="楷体" w:hint="eastAsia"/>
          <w:b/>
          <w:spacing w:val="-4"/>
          <w:sz w:val="21"/>
        </w:rPr>
        <w:t>氏综合征</w:t>
      </w:r>
    </w:p>
    <w:p>
      <w:pPr>
        <w:pStyle w:val="BodyText"/>
        <w:spacing w:line="278" w:lineRule="auto" w:before="71"/>
        <w:ind w:left="178" w:right="374"/>
        <w:jc w:val="both"/>
      </w:pPr>
      <w:r>
        <w:rPr/>
        <w:br w:type="column"/>
      </w:r>
      <w:r>
        <w:rPr>
          <w:spacing w:val="-2"/>
        </w:rPr>
        <w:t>瑞氏综合征（Reye综合征）是线粒体功能障碍性疾病，导致脂肪代谢障碍，引起短</w:t>
      </w:r>
      <w:r>
        <w:rPr>
          <w:spacing w:val="-2"/>
        </w:rPr>
        <w:t>链脂肪酸、血氨升高，造成脑水肿。主要临床表现为急性发热、反复呕吐、惊厥及</w:t>
      </w:r>
      <w:r>
        <w:rPr>
          <w:spacing w:val="-2"/>
        </w:rPr>
        <w:t>意识障碍等。须由肝脏活检证实，且须满足下列全部条件：</w:t>
      </w:r>
    </w:p>
    <w:p>
      <w:pPr>
        <w:pStyle w:val="ListParagraph"/>
        <w:numPr>
          <w:ilvl w:val="0"/>
          <w:numId w:val="65"/>
        </w:numPr>
        <w:tabs>
          <w:tab w:pos="708" w:val="left" w:leader="none"/>
        </w:tabs>
        <w:spacing w:line="269" w:lineRule="exact" w:before="0" w:after="0"/>
        <w:ind w:left="707" w:right="0" w:hanging="530"/>
        <w:jc w:val="left"/>
        <w:rPr>
          <w:sz w:val="21"/>
        </w:rPr>
      </w:pPr>
      <w:r>
        <w:rPr>
          <w:spacing w:val="-3"/>
          <w:sz w:val="21"/>
        </w:rPr>
        <w:t>有脑水肿和颅内压升高的脑脊液检查和影像学检查证实；</w:t>
      </w:r>
    </w:p>
    <w:p>
      <w:pPr>
        <w:pStyle w:val="ListParagraph"/>
        <w:numPr>
          <w:ilvl w:val="0"/>
          <w:numId w:val="65"/>
        </w:numPr>
        <w:tabs>
          <w:tab w:pos="708" w:val="left" w:leader="none"/>
        </w:tabs>
        <w:spacing w:line="240" w:lineRule="auto" w:before="43" w:after="0"/>
        <w:ind w:left="707" w:right="0" w:hanging="530"/>
        <w:jc w:val="left"/>
        <w:rPr>
          <w:sz w:val="21"/>
        </w:rPr>
      </w:pPr>
      <w:r>
        <w:rPr>
          <w:spacing w:val="-2"/>
          <w:sz w:val="21"/>
        </w:rPr>
        <w:t>血氨超过正常值的3</w:t>
      </w:r>
      <w:r>
        <w:rPr>
          <w:spacing w:val="-6"/>
          <w:sz w:val="21"/>
        </w:rPr>
        <w:t>倍；</w:t>
      </w:r>
    </w:p>
    <w:p>
      <w:pPr>
        <w:pStyle w:val="ListParagraph"/>
        <w:numPr>
          <w:ilvl w:val="0"/>
          <w:numId w:val="65"/>
        </w:numPr>
        <w:tabs>
          <w:tab w:pos="708" w:val="left" w:leader="none"/>
        </w:tabs>
        <w:spacing w:line="240" w:lineRule="auto" w:before="43" w:after="0"/>
        <w:ind w:left="707" w:right="0" w:hanging="530"/>
        <w:jc w:val="left"/>
        <w:rPr>
          <w:sz w:val="21"/>
        </w:rPr>
      </w:pPr>
      <w:r>
        <w:rPr>
          <w:spacing w:val="-2"/>
          <w:sz w:val="21"/>
        </w:rPr>
        <w:t>临床出现昏迷，病程至少达到疾病分期第3</w:t>
      </w:r>
      <w:r>
        <w:rPr>
          <w:spacing w:val="-6"/>
          <w:sz w:val="21"/>
        </w:rPr>
        <w:t>期。</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ListParagraph"/>
        <w:numPr>
          <w:ilvl w:val="1"/>
          <w:numId w:val="20"/>
        </w:numPr>
        <w:tabs>
          <w:tab w:pos="1071" w:val="left" w:leader="none"/>
        </w:tabs>
        <w:spacing w:line="278" w:lineRule="auto" w:before="60" w:after="0"/>
        <w:ind w:left="504" w:right="0" w:firstLine="0"/>
        <w:jc w:val="left"/>
        <w:rPr>
          <w:rFonts w:ascii="楷体" w:eastAsia="楷体" w:hint="eastAsia"/>
          <w:b/>
          <w:sz w:val="21"/>
        </w:rPr>
      </w:pPr>
      <w:r>
        <w:rPr>
          <w:rFonts w:ascii="楷体" w:eastAsia="楷体" w:hint="eastAsia"/>
          <w:b/>
          <w:spacing w:val="-4"/>
          <w:sz w:val="21"/>
        </w:rPr>
        <w:t>神经白</w:t>
      </w:r>
      <w:r>
        <w:rPr>
          <w:rFonts w:ascii="楷体" w:eastAsia="楷体" w:hint="eastAsia"/>
          <w:b/>
          <w:spacing w:val="-6"/>
          <w:sz w:val="21"/>
        </w:rPr>
        <w:t>塞病</w:t>
      </w:r>
    </w:p>
    <w:p>
      <w:pPr>
        <w:pStyle w:val="BodyText"/>
        <w:spacing w:line="278" w:lineRule="auto" w:before="60"/>
        <w:ind w:left="178" w:right="110"/>
      </w:pPr>
      <w:r>
        <w:rPr/>
        <w:br w:type="column"/>
      </w:r>
      <w:r>
        <w:rPr>
          <w:spacing w:val="-9"/>
        </w:rPr>
        <w:t>白塞病是一种慢性全身性血管炎症性疾病，主要表现为复发性口腔溃疡、生殖器溃疡、</w:t>
      </w:r>
      <w:r>
        <w:rPr>
          <w:spacing w:val="-2"/>
        </w:rPr>
        <w:t>眼炎及皮肤损害，并可累及大血管、神经系统、消化道、肺、肾等等。累及神经系统</w:t>
      </w:r>
      <w:r>
        <w:rPr>
          <w:spacing w:val="-2"/>
        </w:rPr>
        <w:t>损害的白塞病称为神经白塞病。神经白塞病必须明确诊断，并导致神经系统永久性的</w:t>
      </w:r>
      <w:r>
        <w:rPr>
          <w:spacing w:val="-2"/>
        </w:rPr>
        <w:t>功能损害。神经系统永久性的功能损害，指疾病确诊 </w:t>
      </w:r>
      <w:r>
        <w:rPr/>
        <w:t>180</w:t>
      </w:r>
      <w:r>
        <w:rPr>
          <w:spacing w:val="-7"/>
        </w:rPr>
        <w:t> 天后，无法独立完成下列基</w:t>
      </w:r>
      <w:r>
        <w:rPr>
          <w:spacing w:val="-2"/>
        </w:rPr>
        <w:t>本日常生活活动之一：</w:t>
      </w:r>
    </w:p>
    <w:p>
      <w:pPr>
        <w:pStyle w:val="ListParagraph"/>
        <w:numPr>
          <w:ilvl w:val="0"/>
          <w:numId w:val="66"/>
        </w:numPr>
        <w:tabs>
          <w:tab w:pos="708" w:val="left" w:leader="none"/>
        </w:tabs>
        <w:spacing w:line="268" w:lineRule="exact" w:before="0" w:after="0"/>
        <w:ind w:left="707" w:right="0" w:hanging="530"/>
        <w:jc w:val="left"/>
        <w:rPr>
          <w:sz w:val="21"/>
        </w:rPr>
      </w:pPr>
      <w:r>
        <w:rPr>
          <w:spacing w:val="-3"/>
          <w:sz w:val="21"/>
        </w:rPr>
        <w:t>移动：自己从一个房间到另一个房间；</w:t>
      </w:r>
    </w:p>
    <w:p>
      <w:pPr>
        <w:pStyle w:val="ListParagraph"/>
        <w:numPr>
          <w:ilvl w:val="0"/>
          <w:numId w:val="66"/>
        </w:numPr>
        <w:tabs>
          <w:tab w:pos="708" w:val="left" w:leader="none"/>
        </w:tabs>
        <w:spacing w:line="240" w:lineRule="auto" w:before="43" w:after="0"/>
        <w:ind w:left="707" w:right="0" w:hanging="530"/>
        <w:jc w:val="left"/>
        <w:rPr>
          <w:sz w:val="21"/>
        </w:rPr>
      </w:pPr>
      <w:r>
        <w:rPr>
          <w:spacing w:val="-3"/>
          <w:sz w:val="21"/>
        </w:rPr>
        <w:t>进食：自己从已准备好的碗或碟中取食物放入口中。</w:t>
      </w:r>
    </w:p>
    <w:p>
      <w:pPr>
        <w:spacing w:after="0" w:line="240" w:lineRule="auto"/>
        <w:jc w:val="left"/>
        <w:rPr>
          <w:sz w:val="21"/>
        </w:rPr>
        <w:sectPr>
          <w:pgSz w:w="11910" w:h="16840"/>
          <w:pgMar w:header="0" w:footer="1120" w:top="1360" w:bottom="1300" w:left="1020" w:right="1020"/>
          <w:cols w:num="2" w:equalWidth="0">
            <w:col w:w="1705" w:space="40"/>
            <w:col w:w="8125"/>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严重全</w:t>
      </w:r>
      <w:r>
        <w:rPr>
          <w:rFonts w:ascii="楷体" w:eastAsia="楷体" w:hint="eastAsia"/>
          <w:b/>
          <w:spacing w:val="-2"/>
          <w:sz w:val="21"/>
        </w:rPr>
        <w:t>身性重症肌无</w:t>
      </w:r>
      <w:r>
        <w:rPr>
          <w:rFonts w:ascii="楷体" w:eastAsia="楷体" w:hint="eastAsia"/>
          <w:b/>
          <w:spacing w:val="-10"/>
          <w:sz w:val="21"/>
        </w:rPr>
        <w:t>力</w:t>
      </w:r>
    </w:p>
    <w:p>
      <w:pPr>
        <w:pStyle w:val="BodyText"/>
        <w:spacing w:line="278" w:lineRule="auto" w:before="72"/>
        <w:ind w:left="111" w:right="214"/>
        <w:jc w:val="both"/>
      </w:pPr>
      <w:r>
        <w:rPr/>
        <w:br w:type="column"/>
      </w:r>
      <w:r>
        <w:rPr>
          <w:spacing w:val="-2"/>
        </w:rPr>
        <w:t>是一种神经肌肉接头传递障碍所致的疾病，临床表现为局部或全身骨骼肌（特别是眼</w:t>
      </w:r>
      <w:r>
        <w:rPr>
          <w:spacing w:val="-2"/>
        </w:rPr>
        <w:t>外肌）极易疲劳。疾病可以累及呼吸肌、上肢或下肢的近端肌群或全身肌肉，且须满</w:t>
      </w:r>
      <w:r>
        <w:rPr>
          <w:spacing w:val="-2"/>
        </w:rPr>
        <w:t>足下列全部条件：</w:t>
      </w:r>
    </w:p>
    <w:p>
      <w:pPr>
        <w:pStyle w:val="ListParagraph"/>
        <w:numPr>
          <w:ilvl w:val="0"/>
          <w:numId w:val="67"/>
        </w:numPr>
        <w:tabs>
          <w:tab w:pos="641" w:val="left" w:leader="none"/>
        </w:tabs>
        <w:spacing w:line="269" w:lineRule="exact" w:before="0" w:after="0"/>
        <w:ind w:left="640" w:right="0" w:hanging="530"/>
        <w:jc w:val="left"/>
        <w:rPr>
          <w:sz w:val="21"/>
        </w:rPr>
      </w:pPr>
      <w:r>
        <w:rPr>
          <w:spacing w:val="-3"/>
          <w:sz w:val="21"/>
        </w:rPr>
        <w:t>经药物治疗和胸腺切除治疗一年以上仍无法控制病情；</w:t>
      </w:r>
    </w:p>
    <w:p>
      <w:pPr>
        <w:pStyle w:val="ListParagraph"/>
        <w:numPr>
          <w:ilvl w:val="0"/>
          <w:numId w:val="67"/>
        </w:numPr>
        <w:tabs>
          <w:tab w:pos="643" w:val="left" w:leader="none"/>
        </w:tabs>
        <w:spacing w:line="278" w:lineRule="auto" w:before="43" w:after="0"/>
        <w:ind w:left="111" w:right="216" w:firstLine="0"/>
        <w:jc w:val="left"/>
        <w:rPr>
          <w:sz w:val="21"/>
        </w:rPr>
      </w:pPr>
      <w:r>
        <w:rPr>
          <w:spacing w:val="-2"/>
          <w:sz w:val="21"/>
        </w:rPr>
        <w:t>自主生活能力完全丧失，无法独立完成六项基本日常生活活动中的三项或三项</w:t>
      </w:r>
      <w:r>
        <w:rPr>
          <w:spacing w:val="-4"/>
          <w:sz w:val="21"/>
        </w:rPr>
        <w:t>以上。</w:t>
      </w:r>
    </w:p>
    <w:p>
      <w:pPr>
        <w:spacing w:after="0" w:line="278" w:lineRule="auto"/>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开颅手</w:t>
      </w:r>
      <w:r>
        <w:rPr>
          <w:rFonts w:ascii="楷体" w:eastAsia="楷体" w:hint="eastAsia"/>
          <w:b/>
          <w:spacing w:val="-10"/>
          <w:sz w:val="21"/>
        </w:rPr>
        <w:t>术</w:t>
      </w:r>
    </w:p>
    <w:p>
      <w:pPr>
        <w:pStyle w:val="BodyText"/>
        <w:spacing w:line="278" w:lineRule="auto" w:before="72"/>
        <w:ind w:left="178" w:right="214"/>
      </w:pPr>
      <w:r>
        <w:rPr/>
        <w:br w:type="column"/>
      </w:r>
      <w:r>
        <w:rPr>
          <w:spacing w:val="-2"/>
        </w:rPr>
        <w:t>指因疾病或意外已经实施全麻下的开颅手术（不包括颅骨钻孔手术和经鼻蝶窦入颅手</w:t>
      </w:r>
      <w:r>
        <w:rPr>
          <w:spacing w:val="-10"/>
        </w:rPr>
        <w:t>术</w:t>
      </w:r>
      <w:r>
        <w:rPr>
          <w:spacing w:val="-106"/>
        </w:rPr>
        <w:t>）。</w:t>
      </w:r>
    </w:p>
    <w:p>
      <w:pPr>
        <w:spacing w:line="284" w:lineRule="exact" w:before="0"/>
        <w:ind w:left="178" w:right="0" w:firstLine="0"/>
        <w:jc w:val="left"/>
        <w:rPr>
          <w:rFonts w:ascii="黑体" w:eastAsia="黑体"/>
          <w:sz w:val="24"/>
        </w:rPr>
      </w:pPr>
      <w:r>
        <w:rPr>
          <w:rFonts w:ascii="黑体" w:eastAsia="黑体"/>
          <w:spacing w:val="-8"/>
          <w:sz w:val="24"/>
        </w:rPr>
        <w:t>脑垂体瘤、脑囊肿、颅内血管性疾病（</w:t>
      </w:r>
      <w:r>
        <w:rPr>
          <w:rFonts w:ascii="黑体" w:eastAsia="黑体"/>
          <w:spacing w:val="-9"/>
          <w:sz w:val="24"/>
        </w:rPr>
        <w:t>如脑动脉瘤、脑动静脉畸形、海绵状</w:t>
      </w:r>
    </w:p>
    <w:p>
      <w:pPr>
        <w:spacing w:before="5"/>
        <w:ind w:left="178" w:right="0" w:firstLine="0"/>
        <w:jc w:val="left"/>
        <w:rPr>
          <w:rFonts w:ascii="黑体" w:eastAsia="黑体"/>
          <w:sz w:val="24"/>
        </w:rPr>
      </w:pPr>
      <w:r>
        <w:rPr>
          <w:rFonts w:ascii="黑体" w:eastAsia="黑体"/>
          <w:sz w:val="24"/>
        </w:rPr>
        <w:t>血管瘤、毛细血管扩张症等）</w:t>
      </w:r>
      <w:r>
        <w:rPr>
          <w:rFonts w:ascii="黑体" w:eastAsia="黑体"/>
          <w:spacing w:val="-1"/>
          <w:sz w:val="24"/>
        </w:rPr>
        <w:t>而进行的开颅手术不在保障范围内。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1"/>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脊髓空</w:t>
      </w:r>
      <w:r>
        <w:rPr>
          <w:rFonts w:ascii="楷体" w:eastAsia="楷体" w:hint="eastAsia"/>
          <w:b/>
          <w:spacing w:val="-6"/>
          <w:sz w:val="21"/>
        </w:rPr>
        <w:t>洞症</w:t>
      </w:r>
    </w:p>
    <w:p>
      <w:pPr>
        <w:pStyle w:val="BodyText"/>
        <w:spacing w:line="278" w:lineRule="auto" w:before="72"/>
        <w:ind w:left="178" w:right="167"/>
        <w:jc w:val="both"/>
      </w:pPr>
      <w:r>
        <w:rPr/>
        <w:br w:type="column"/>
      </w:r>
      <w:r>
        <w:rPr>
          <w:spacing w:val="-2"/>
        </w:rPr>
        <w:t>是慢性进行性的脊髓变性性疾病，其特征为脊髓内空洞形成。临床表现为感觉异常、</w:t>
      </w:r>
      <w:r>
        <w:rPr>
          <w:spacing w:val="-2"/>
        </w:rPr>
        <w:t>肌萎缩及神经营养障碍。脊髓空洞症累及延髓称为延髓空洞症，表现为延髓麻痹。经</w:t>
      </w:r>
      <w:r>
        <w:rPr>
          <w:spacing w:val="-2"/>
        </w:rPr>
        <w:t>相关专科医生确诊，且须满足下列全部条件：</w:t>
      </w:r>
    </w:p>
    <w:p>
      <w:pPr>
        <w:pStyle w:val="ListParagraph"/>
        <w:numPr>
          <w:ilvl w:val="0"/>
          <w:numId w:val="68"/>
        </w:numPr>
        <w:tabs>
          <w:tab w:pos="708" w:val="left" w:leader="none"/>
        </w:tabs>
        <w:spacing w:line="269" w:lineRule="exact" w:before="0" w:after="0"/>
        <w:ind w:left="707" w:right="0" w:hanging="530"/>
        <w:jc w:val="left"/>
        <w:rPr>
          <w:sz w:val="21"/>
        </w:rPr>
      </w:pPr>
      <w:r>
        <w:rPr>
          <w:spacing w:val="-2"/>
          <w:sz w:val="21"/>
        </w:rPr>
        <w:t>神经系统永久性的功能障碍，存在持续至少180</w:t>
      </w:r>
      <w:r>
        <w:rPr>
          <w:spacing w:val="-3"/>
          <w:sz w:val="21"/>
        </w:rPr>
        <w:t>天以上的神经系统功能缺失；</w:t>
      </w:r>
    </w:p>
    <w:p>
      <w:pPr>
        <w:pStyle w:val="ListParagraph"/>
        <w:numPr>
          <w:ilvl w:val="0"/>
          <w:numId w:val="68"/>
        </w:numPr>
        <w:tabs>
          <w:tab w:pos="708" w:val="left" w:leader="none"/>
        </w:tabs>
        <w:spacing w:line="278" w:lineRule="auto" w:before="43" w:after="0"/>
        <w:ind w:left="178" w:right="110" w:firstLine="0"/>
        <w:jc w:val="left"/>
        <w:rPr>
          <w:sz w:val="21"/>
        </w:rPr>
      </w:pPr>
      <w:r>
        <w:rPr>
          <w:spacing w:val="-6"/>
          <w:w w:val="100"/>
          <w:sz w:val="21"/>
        </w:rPr>
        <w:t>延髓麻痹呈现显著舌肌萎缩、构音困难和吞咽困难；或双手萎缩呈“爪形手</w:t>
      </w:r>
      <w:r>
        <w:rPr>
          <w:spacing w:val="-2"/>
          <w:w w:val="100"/>
          <w:sz w:val="21"/>
        </w:rPr>
        <w:t>”，肌力</w:t>
      </w:r>
      <w:r>
        <w:rPr>
          <w:spacing w:val="-3"/>
          <w:w w:val="100"/>
          <w:sz w:val="21"/>
        </w:rPr>
        <w:t>2级或以下。</w:t>
      </w:r>
    </w:p>
    <w:p>
      <w:pPr>
        <w:spacing w:after="0" w:line="278"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细菌性</w:t>
      </w:r>
      <w:r>
        <w:rPr>
          <w:rFonts w:ascii="楷体" w:eastAsia="楷体" w:hint="eastAsia"/>
          <w:b/>
          <w:spacing w:val="-2"/>
          <w:sz w:val="21"/>
        </w:rPr>
        <w:t>脑脊髓膜炎后</w:t>
      </w:r>
      <w:r>
        <w:rPr>
          <w:rFonts w:ascii="楷体" w:eastAsia="楷体" w:hint="eastAsia"/>
          <w:b/>
          <w:spacing w:val="-6"/>
          <w:sz w:val="21"/>
        </w:rPr>
        <w:t>遗症</w:t>
      </w:r>
    </w:p>
    <w:p>
      <w:pPr>
        <w:pStyle w:val="BodyText"/>
        <w:spacing w:line="278" w:lineRule="auto" w:before="71"/>
        <w:ind w:left="111" w:right="213"/>
        <w:jc w:val="both"/>
      </w:pPr>
      <w:r>
        <w:rPr/>
        <w:br w:type="column"/>
      </w:r>
      <w:r>
        <w:rPr>
          <w:spacing w:val="2"/>
          <w:w w:val="100"/>
        </w:rPr>
        <w:t>指因脑膜炎双球菌感染引起脑脊髓膜化脓性病变，脑脊液检查显示脑膜炎双球菌阳</w:t>
      </w:r>
      <w:r>
        <w:rPr>
          <w:spacing w:val="-8"/>
          <w:w w:val="100"/>
        </w:rPr>
        <w:t>性，且导致神经系统永久性的损害。神经系统永久性损害是指由细菌性脑脊髓膜炎引</w:t>
      </w:r>
      <w:r>
        <w:rPr>
          <w:spacing w:val="-11"/>
          <w:w w:val="100"/>
        </w:rPr>
        <w:t>起的耳聋、失明、动眼神经麻痹、瘫痪、脑积水的损害，且上述症状持续</w:t>
      </w:r>
      <w:r>
        <w:rPr>
          <w:w w:val="100"/>
        </w:rPr>
        <w:t>1</w:t>
      </w:r>
      <w:r>
        <w:rPr>
          <w:spacing w:val="-3"/>
          <w:w w:val="100"/>
        </w:rPr>
        <w:t>8</w:t>
      </w:r>
      <w:r>
        <w:rPr>
          <w:w w:val="100"/>
        </w:rPr>
        <w:t>0</w:t>
      </w:r>
      <w:r>
        <w:rPr>
          <w:spacing w:val="-2"/>
        </w:rPr>
        <w:t> </w:t>
      </w:r>
      <w:r>
        <w:rPr>
          <w:spacing w:val="-3"/>
          <w:w w:val="100"/>
        </w:rPr>
        <w:t>天以上</w:t>
      </w:r>
      <w:r>
        <w:rPr>
          <w:spacing w:val="-2"/>
          <w:w w:val="100"/>
        </w:rPr>
        <w:t>仍无改善迹象。</w:t>
      </w:r>
    </w:p>
    <w:p>
      <w:pPr>
        <w:spacing w:after="0" w:line="278" w:lineRule="auto"/>
        <w:jc w:val="both"/>
        <w:sectPr>
          <w:type w:val="continuous"/>
          <w:pgSz w:w="11910" w:h="16840"/>
          <w:pgMar w:header="0" w:footer="1120" w:top="1120" w:bottom="1300" w:left="1020" w:right="1020"/>
          <w:cols w:num="2" w:equalWidth="0">
            <w:col w:w="1772" w:space="40"/>
            <w:col w:w="8058"/>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亚历山</w:t>
      </w:r>
      <w:r>
        <w:rPr>
          <w:rFonts w:ascii="楷体" w:eastAsia="楷体" w:hint="eastAsia"/>
          <w:b/>
          <w:spacing w:val="-6"/>
          <w:sz w:val="21"/>
        </w:rPr>
        <w:t>大病</w:t>
      </w:r>
    </w:p>
    <w:p>
      <w:pPr>
        <w:pStyle w:val="BodyText"/>
        <w:spacing w:line="278" w:lineRule="auto" w:before="72"/>
        <w:ind w:left="178" w:right="110"/>
      </w:pPr>
      <w:r>
        <w:rPr/>
        <w:br w:type="column"/>
      </w:r>
      <w:r>
        <w:rPr>
          <w:spacing w:val="-2"/>
        </w:rPr>
        <w:t>是一种遗传性中枢神经系统退行性病变，特点为脑白质营养不良性。临床表现为惊厥</w:t>
      </w:r>
      <w:r>
        <w:rPr>
          <w:spacing w:val="-6"/>
        </w:rPr>
        <w:t>发作、智力下降、球麻痹、共济失调、痉性瘫痪、其日常生活必须持续受到他人护理，</w:t>
      </w:r>
      <w:r>
        <w:rPr>
          <w:spacing w:val="-2"/>
        </w:rPr>
        <w:t>导致神经系统永久性的功能障碍。经相关专科医生确诊，且须满足自主生活能力完全</w:t>
      </w:r>
      <w:r>
        <w:rPr>
          <w:spacing w:val="-2"/>
        </w:rPr>
        <w:t>丧失，无法独立完成六项基本日常生活活动中的三项或三项以上。</w:t>
      </w:r>
    </w:p>
    <w:p>
      <w:pPr>
        <w:spacing w:line="284" w:lineRule="exact" w:before="0"/>
        <w:ind w:left="178" w:right="0" w:firstLine="0"/>
        <w:jc w:val="left"/>
        <w:rPr>
          <w:rFonts w:ascii="黑体" w:eastAsia="黑体"/>
          <w:sz w:val="24"/>
        </w:rPr>
      </w:pPr>
      <w:r>
        <w:rPr>
          <w:rFonts w:ascii="黑体" w:eastAsia="黑体"/>
          <w:spacing w:val="-1"/>
          <w:sz w:val="24"/>
        </w:rPr>
        <w:t>未明确诊断的疑似病例除外。</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进行性</w:t>
      </w:r>
      <w:r>
        <w:rPr>
          <w:rFonts w:ascii="楷体" w:eastAsia="楷体" w:hint="eastAsia"/>
          <w:b/>
          <w:spacing w:val="-2"/>
          <w:sz w:val="21"/>
        </w:rPr>
        <w:t>风疹性全脑炎</w:t>
      </w:r>
    </w:p>
    <w:p>
      <w:pPr>
        <w:spacing w:line="278" w:lineRule="auto" w:before="0"/>
        <w:ind w:left="504" w:right="0" w:firstLine="0"/>
        <w:jc w:val="left"/>
        <w:rPr>
          <w:rFonts w:ascii="楷体" w:eastAsia="楷体" w:hint="eastAsia"/>
          <w:b/>
          <w:sz w:val="21"/>
        </w:rPr>
      </w:pPr>
      <w:r>
        <w:rPr>
          <w:rFonts w:ascii="楷体" w:eastAsia="楷体" w:hint="eastAsia"/>
          <w:b/>
          <w:spacing w:val="-2"/>
          <w:sz w:val="21"/>
        </w:rPr>
        <w:t>－十九周岁之</w:t>
      </w:r>
      <w:r>
        <w:rPr>
          <w:rFonts w:ascii="楷体" w:eastAsia="楷体" w:hint="eastAsia"/>
          <w:b/>
          <w:spacing w:val="-4"/>
          <w:sz w:val="21"/>
        </w:rPr>
        <w:t>前理赔</w:t>
      </w:r>
    </w:p>
    <w:p>
      <w:pPr>
        <w:pStyle w:val="BodyText"/>
        <w:spacing w:before="72"/>
        <w:ind w:left="111"/>
      </w:pPr>
      <w:r>
        <w:rPr/>
        <w:br w:type="column"/>
      </w:r>
      <w:r>
        <w:rPr>
          <w:spacing w:val="-5"/>
        </w:rPr>
        <w:t>指由风疹病毒感染引起的儿童和青少年的慢性脑炎。经相关专科医生确诊，疾病确诊</w:t>
      </w:r>
    </w:p>
    <w:p>
      <w:pPr>
        <w:pStyle w:val="BodyText"/>
        <w:spacing w:before="42"/>
        <w:ind w:left="111"/>
      </w:pPr>
      <w:r>
        <w:rPr/>
        <w:t>180</w:t>
      </w:r>
      <w:r>
        <w:rPr>
          <w:spacing w:val="-6"/>
        </w:rPr>
        <w:t> 天后，且须满足下列至少一项条件：</w:t>
      </w:r>
    </w:p>
    <w:p>
      <w:pPr>
        <w:pStyle w:val="ListParagraph"/>
        <w:numPr>
          <w:ilvl w:val="0"/>
          <w:numId w:val="69"/>
        </w:numPr>
        <w:tabs>
          <w:tab w:pos="641" w:val="left" w:leader="none"/>
        </w:tabs>
        <w:spacing w:line="240" w:lineRule="auto" w:before="43" w:after="0"/>
        <w:ind w:left="640" w:right="0" w:hanging="530"/>
        <w:jc w:val="left"/>
        <w:rPr>
          <w:sz w:val="21"/>
        </w:rPr>
      </w:pPr>
      <w:r>
        <w:rPr>
          <w:spacing w:val="-2"/>
          <w:sz w:val="21"/>
        </w:rPr>
        <w:t>一肢（含）</w:t>
      </w:r>
      <w:r>
        <w:rPr>
          <w:spacing w:val="-3"/>
          <w:sz w:val="21"/>
        </w:rPr>
        <w:t>以上肢体随意运动功能永久完全丧失；</w:t>
      </w:r>
    </w:p>
    <w:p>
      <w:pPr>
        <w:pStyle w:val="ListParagraph"/>
        <w:numPr>
          <w:ilvl w:val="0"/>
          <w:numId w:val="69"/>
        </w:numPr>
        <w:tabs>
          <w:tab w:pos="641" w:val="left" w:leader="none"/>
        </w:tabs>
        <w:spacing w:line="240" w:lineRule="auto" w:before="43" w:after="0"/>
        <w:ind w:left="640" w:right="0" w:hanging="530"/>
        <w:jc w:val="left"/>
        <w:rPr>
          <w:sz w:val="21"/>
        </w:rPr>
      </w:pPr>
      <w:r>
        <w:rPr>
          <w:spacing w:val="-3"/>
          <w:sz w:val="21"/>
        </w:rPr>
        <w:t>语言能力或咀嚼吞咽能力完全丧失；</w:t>
      </w:r>
    </w:p>
    <w:p>
      <w:pPr>
        <w:pStyle w:val="ListParagraph"/>
        <w:numPr>
          <w:ilvl w:val="0"/>
          <w:numId w:val="69"/>
        </w:numPr>
        <w:tabs>
          <w:tab w:pos="643" w:val="left" w:leader="none"/>
        </w:tabs>
        <w:spacing w:line="278" w:lineRule="auto" w:before="43" w:after="0"/>
        <w:ind w:left="636" w:right="216" w:hanging="526"/>
        <w:jc w:val="left"/>
        <w:rPr>
          <w:sz w:val="21"/>
        </w:rPr>
      </w:pPr>
      <w:r>
        <w:rPr>
          <w:spacing w:val="-2"/>
          <w:sz w:val="21"/>
        </w:rPr>
        <w:t>自主生活能力完全丧失，无法独立完成六项基本日常生活活动中的三项或三项</w:t>
      </w:r>
      <w:r>
        <w:rPr>
          <w:spacing w:val="-4"/>
          <w:sz w:val="21"/>
        </w:rPr>
        <w:t>以上。</w:t>
      </w:r>
    </w:p>
    <w:p>
      <w:pPr>
        <w:spacing w:line="285" w:lineRule="exact" w:before="0"/>
        <w:ind w:left="111" w:right="0" w:firstLine="0"/>
        <w:jc w:val="left"/>
        <w:rPr>
          <w:rFonts w:ascii="黑体" w:eastAsia="黑体"/>
          <w:sz w:val="24"/>
        </w:rPr>
      </w:pPr>
      <w:r>
        <w:rPr>
          <w:rFonts w:ascii="黑体" w:eastAsia="黑体"/>
          <w:spacing w:val="-1"/>
          <w:sz w:val="24"/>
        </w:rPr>
        <w:t>申请理赔时，被保险人的年龄必须在年满十九周岁之前。</w:t>
      </w:r>
    </w:p>
    <w:p>
      <w:pPr>
        <w:spacing w:after="0" w:line="285" w:lineRule="exact"/>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ListParagraph"/>
        <w:numPr>
          <w:ilvl w:val="1"/>
          <w:numId w:val="20"/>
        </w:numPr>
        <w:tabs>
          <w:tab w:pos="1071" w:val="left" w:leader="none"/>
        </w:tabs>
        <w:spacing w:line="278" w:lineRule="auto" w:before="60" w:after="0"/>
        <w:ind w:left="504" w:right="0" w:firstLine="0"/>
        <w:jc w:val="both"/>
        <w:rPr>
          <w:rFonts w:ascii="楷体" w:eastAsia="楷体" w:hint="eastAsia"/>
          <w:b/>
          <w:sz w:val="21"/>
        </w:rPr>
      </w:pPr>
      <w:r>
        <w:rPr>
          <w:rFonts w:ascii="楷体" w:eastAsia="楷体" w:hint="eastAsia"/>
          <w:b/>
          <w:spacing w:val="-4"/>
          <w:sz w:val="21"/>
        </w:rPr>
        <w:t>进行性</w:t>
      </w:r>
      <w:r>
        <w:rPr>
          <w:rFonts w:ascii="楷体" w:eastAsia="楷体" w:hint="eastAsia"/>
          <w:b/>
          <w:spacing w:val="-2"/>
          <w:sz w:val="21"/>
        </w:rPr>
        <w:t>多灶性白质脑</w:t>
      </w:r>
      <w:r>
        <w:rPr>
          <w:rFonts w:ascii="楷体" w:eastAsia="楷体" w:hint="eastAsia"/>
          <w:b/>
          <w:spacing w:val="-10"/>
          <w:sz w:val="21"/>
        </w:rPr>
        <w:t>病</w:t>
      </w:r>
    </w:p>
    <w:p>
      <w:pPr>
        <w:pStyle w:val="BodyText"/>
        <w:spacing w:before="60"/>
        <w:ind w:left="111"/>
      </w:pPr>
      <w:r>
        <w:rPr/>
        <w:br w:type="column"/>
      </w:r>
      <w:r>
        <w:rPr>
          <w:spacing w:val="-3"/>
        </w:rPr>
        <w:t>是一种亚急性脱髓鞘脑病，常常发生于免疫缺陷病人。必须满足下列全部条件：</w:t>
      </w:r>
    </w:p>
    <w:p>
      <w:pPr>
        <w:pStyle w:val="ListParagraph"/>
        <w:numPr>
          <w:ilvl w:val="0"/>
          <w:numId w:val="70"/>
        </w:numPr>
        <w:tabs>
          <w:tab w:pos="641" w:val="left" w:leader="none"/>
        </w:tabs>
        <w:spacing w:line="240" w:lineRule="auto" w:before="43" w:after="0"/>
        <w:ind w:left="640" w:right="0" w:hanging="530"/>
        <w:jc w:val="left"/>
        <w:rPr>
          <w:sz w:val="21"/>
        </w:rPr>
      </w:pPr>
      <w:r>
        <w:rPr>
          <w:spacing w:val="-3"/>
          <w:sz w:val="21"/>
        </w:rPr>
        <w:t>根据脑组织活检确诊；</w:t>
      </w:r>
    </w:p>
    <w:p>
      <w:pPr>
        <w:pStyle w:val="ListParagraph"/>
        <w:numPr>
          <w:ilvl w:val="0"/>
          <w:numId w:val="70"/>
        </w:numPr>
        <w:tabs>
          <w:tab w:pos="643" w:val="left" w:leader="none"/>
        </w:tabs>
        <w:spacing w:line="278" w:lineRule="auto" w:before="43" w:after="0"/>
        <w:ind w:left="636" w:right="216" w:hanging="526"/>
        <w:jc w:val="left"/>
        <w:rPr>
          <w:sz w:val="21"/>
        </w:rPr>
      </w:pPr>
      <w:r>
        <w:rPr>
          <w:spacing w:val="-2"/>
          <w:sz w:val="21"/>
        </w:rPr>
        <w:t>永久不可逆丧失自主生活能力，无法独立完成六项基本日常生活活动中的三项</w:t>
      </w:r>
      <w:r>
        <w:rPr>
          <w:spacing w:val="-2"/>
          <w:sz w:val="21"/>
        </w:rPr>
        <w:t>或三项以上。</w:t>
      </w:r>
    </w:p>
    <w:p>
      <w:pPr>
        <w:spacing w:after="0" w:line="278" w:lineRule="auto"/>
        <w:jc w:val="left"/>
        <w:rPr>
          <w:sz w:val="21"/>
        </w:rPr>
        <w:sectPr>
          <w:pgSz w:w="11910" w:h="16840"/>
          <w:pgMar w:header="0" w:footer="1120" w:top="136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脊髓内</w:t>
      </w:r>
      <w:r>
        <w:rPr>
          <w:rFonts w:ascii="楷体" w:eastAsia="楷体" w:hint="eastAsia"/>
          <w:b/>
          <w:spacing w:val="-4"/>
          <w:sz w:val="21"/>
        </w:rPr>
        <w:t>良性肿瘤</w:t>
      </w:r>
    </w:p>
    <w:p>
      <w:pPr>
        <w:pStyle w:val="BodyText"/>
        <w:spacing w:before="72"/>
        <w:ind w:left="178"/>
      </w:pPr>
      <w:r>
        <w:rPr/>
        <w:br w:type="column"/>
      </w:r>
      <w:r>
        <w:rPr>
          <w:spacing w:val="-3"/>
        </w:rPr>
        <w:t>指脊髓内良性肿瘤，并且此肿瘤造成脊髓损害导致瘫痪。且须满足下列全部条件：</w:t>
      </w:r>
    </w:p>
    <w:p>
      <w:pPr>
        <w:pStyle w:val="ListParagraph"/>
        <w:numPr>
          <w:ilvl w:val="0"/>
          <w:numId w:val="71"/>
        </w:numPr>
        <w:tabs>
          <w:tab w:pos="708" w:val="left" w:leader="none"/>
        </w:tabs>
        <w:spacing w:line="240" w:lineRule="auto" w:before="43" w:after="0"/>
        <w:ind w:left="707" w:right="0" w:hanging="530"/>
        <w:jc w:val="left"/>
        <w:rPr>
          <w:sz w:val="21"/>
        </w:rPr>
      </w:pPr>
      <w:r>
        <w:rPr>
          <w:spacing w:val="-3"/>
          <w:sz w:val="21"/>
        </w:rPr>
        <w:t>已经实施了切除肿瘤的手术；</w:t>
      </w:r>
    </w:p>
    <w:p>
      <w:pPr>
        <w:pStyle w:val="ListParagraph"/>
        <w:numPr>
          <w:ilvl w:val="0"/>
          <w:numId w:val="71"/>
        </w:numPr>
        <w:tabs>
          <w:tab w:pos="708" w:val="left" w:leader="none"/>
        </w:tabs>
        <w:spacing w:line="240" w:lineRule="auto" w:before="43" w:after="0"/>
        <w:ind w:left="707" w:right="0" w:hanging="530"/>
        <w:jc w:val="left"/>
        <w:rPr>
          <w:sz w:val="21"/>
        </w:rPr>
      </w:pPr>
      <w:r>
        <w:rPr>
          <w:spacing w:val="-2"/>
          <w:sz w:val="21"/>
        </w:rPr>
        <w:t>手术180</w:t>
      </w:r>
      <w:r>
        <w:rPr>
          <w:spacing w:val="-3"/>
          <w:sz w:val="21"/>
        </w:rPr>
        <w:t>天后，仍然无法独立完成下列基本日常生活活动之一：</w:t>
      </w:r>
    </w:p>
    <w:p>
      <w:pPr>
        <w:pStyle w:val="ListParagraph"/>
        <w:numPr>
          <w:ilvl w:val="1"/>
          <w:numId w:val="71"/>
        </w:numPr>
        <w:tabs>
          <w:tab w:pos="1022" w:val="left" w:leader="none"/>
        </w:tabs>
        <w:spacing w:line="240" w:lineRule="auto" w:before="43" w:after="0"/>
        <w:ind w:left="1021" w:right="0" w:hanging="316"/>
        <w:jc w:val="left"/>
        <w:rPr>
          <w:sz w:val="21"/>
        </w:rPr>
      </w:pPr>
      <w:r>
        <w:rPr>
          <w:spacing w:val="-3"/>
          <w:sz w:val="21"/>
        </w:rPr>
        <w:t>移动：自己从一个房间到另一个房间；</w:t>
      </w:r>
    </w:p>
    <w:p>
      <w:pPr>
        <w:pStyle w:val="ListParagraph"/>
        <w:numPr>
          <w:ilvl w:val="1"/>
          <w:numId w:val="71"/>
        </w:numPr>
        <w:tabs>
          <w:tab w:pos="1022" w:val="left" w:leader="none"/>
        </w:tabs>
        <w:spacing w:line="240" w:lineRule="auto" w:before="43" w:after="0"/>
        <w:ind w:left="1021" w:right="0" w:hanging="316"/>
        <w:jc w:val="left"/>
        <w:rPr>
          <w:sz w:val="21"/>
        </w:rPr>
      </w:pPr>
      <w:r>
        <w:rPr>
          <w:spacing w:val="-3"/>
          <w:sz w:val="21"/>
        </w:rPr>
        <w:t>进食：自己从已准备好的碗或碟中取食物放入口中。</w:t>
      </w:r>
    </w:p>
    <w:p>
      <w:pPr>
        <w:spacing w:before="20"/>
        <w:ind w:left="178" w:right="0" w:firstLine="0"/>
        <w:jc w:val="left"/>
        <w:rPr>
          <w:rFonts w:ascii="黑体" w:eastAsia="黑体"/>
          <w:sz w:val="24"/>
        </w:rPr>
      </w:pPr>
      <w:r>
        <w:rPr>
          <w:rFonts w:ascii="黑体" w:eastAsia="黑体"/>
          <w:spacing w:val="-1"/>
          <w:sz w:val="24"/>
        </w:rPr>
        <w:t>非脊髓内的其他椎管内肿瘤、脊柱肿瘤、神经纤维瘤不在保障范围内。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严重结</w:t>
      </w:r>
      <w:r>
        <w:rPr>
          <w:rFonts w:ascii="楷体" w:eastAsia="楷体" w:hint="eastAsia"/>
          <w:b/>
          <w:spacing w:val="-2"/>
          <w:sz w:val="21"/>
        </w:rPr>
        <w:t>核性脑膜炎</w:t>
      </w:r>
    </w:p>
    <w:p>
      <w:pPr>
        <w:pStyle w:val="BodyText"/>
        <w:spacing w:line="278" w:lineRule="auto" w:before="72"/>
        <w:ind w:left="178" w:right="214"/>
        <w:jc w:val="both"/>
      </w:pPr>
      <w:r>
        <w:rPr/>
        <w:br w:type="column"/>
      </w:r>
      <w:r>
        <w:rPr>
          <w:spacing w:val="-2"/>
        </w:rPr>
        <w:t>指由于结核杆菌感染引起脑膜、脑实质的非化脓性炎症，引起显著颅内压升高和严重</w:t>
      </w:r>
      <w:r>
        <w:rPr>
          <w:spacing w:val="-2"/>
        </w:rPr>
        <w:t>神经系统功能损害，表现为意识障碍、颅神经损害、瘫痪、癫痫等。被保险人必须被</w:t>
      </w:r>
      <w:r>
        <w:rPr>
          <w:spacing w:val="-2"/>
        </w:rPr>
        <w:t>明确诊断为结核性脑膜炎，并且满足下列全部条件：</w:t>
      </w:r>
    </w:p>
    <w:p>
      <w:pPr>
        <w:pStyle w:val="ListParagraph"/>
        <w:numPr>
          <w:ilvl w:val="0"/>
          <w:numId w:val="72"/>
        </w:numPr>
        <w:tabs>
          <w:tab w:pos="710" w:val="left" w:leader="none"/>
        </w:tabs>
        <w:spacing w:line="278" w:lineRule="auto" w:before="0" w:after="0"/>
        <w:ind w:left="178" w:right="216" w:firstLine="0"/>
        <w:jc w:val="left"/>
        <w:rPr>
          <w:sz w:val="21"/>
        </w:rPr>
      </w:pPr>
      <w:r>
        <w:rPr>
          <w:spacing w:val="-2"/>
          <w:sz w:val="21"/>
        </w:rPr>
        <w:t>严重高颅压或脑积水，并且实际接受了外科减压性手术、脑脊液分流手术或外</w:t>
      </w:r>
      <w:r>
        <w:rPr>
          <w:spacing w:val="-2"/>
          <w:sz w:val="21"/>
        </w:rPr>
        <w:t>引流手术治疗；</w:t>
      </w:r>
    </w:p>
    <w:p>
      <w:pPr>
        <w:pStyle w:val="ListParagraph"/>
        <w:numPr>
          <w:ilvl w:val="0"/>
          <w:numId w:val="72"/>
        </w:numPr>
        <w:tabs>
          <w:tab w:pos="708" w:val="left" w:leader="none"/>
        </w:tabs>
        <w:spacing w:line="269" w:lineRule="exact" w:before="0" w:after="0"/>
        <w:ind w:left="707" w:right="0" w:hanging="530"/>
        <w:jc w:val="left"/>
        <w:rPr>
          <w:sz w:val="21"/>
        </w:rPr>
      </w:pPr>
      <w:r>
        <w:rPr>
          <w:spacing w:val="-19"/>
          <w:sz w:val="21"/>
        </w:rPr>
        <w:t>确诊 </w:t>
      </w:r>
      <w:r>
        <w:rPr>
          <w:spacing w:val="-2"/>
          <w:sz w:val="21"/>
        </w:rPr>
        <w:t>180</w:t>
      </w:r>
      <w:r>
        <w:rPr>
          <w:spacing w:val="-11"/>
          <w:sz w:val="21"/>
        </w:rPr>
        <w:t> 天后，仍有一肢体或多肢体瘫痪，肌力 </w:t>
      </w:r>
      <w:r>
        <w:rPr>
          <w:spacing w:val="-2"/>
          <w:sz w:val="21"/>
        </w:rPr>
        <w:t>3</w:t>
      </w:r>
      <w:r>
        <w:rPr>
          <w:spacing w:val="-24"/>
          <w:sz w:val="21"/>
        </w:rPr>
        <w:t> 级</w:t>
      </w:r>
      <w:r>
        <w:rPr>
          <w:spacing w:val="-2"/>
          <w:sz w:val="21"/>
        </w:rPr>
        <w:t>（含）</w:t>
      </w:r>
      <w:r>
        <w:rPr>
          <w:spacing w:val="-5"/>
          <w:sz w:val="21"/>
        </w:rPr>
        <w:t>以下；</w:t>
      </w:r>
    </w:p>
    <w:p>
      <w:pPr>
        <w:pStyle w:val="ListParagraph"/>
        <w:numPr>
          <w:ilvl w:val="0"/>
          <w:numId w:val="72"/>
        </w:numPr>
        <w:tabs>
          <w:tab w:pos="708" w:val="left" w:leader="none"/>
        </w:tabs>
        <w:spacing w:line="240" w:lineRule="auto" w:before="42" w:after="0"/>
        <w:ind w:left="707" w:right="0" w:hanging="530"/>
        <w:jc w:val="left"/>
        <w:rPr>
          <w:sz w:val="21"/>
        </w:rPr>
      </w:pPr>
      <w:r>
        <w:rPr>
          <w:spacing w:val="-17"/>
          <w:sz w:val="21"/>
        </w:rPr>
        <w:t>确诊 </w:t>
      </w:r>
      <w:r>
        <w:rPr>
          <w:spacing w:val="-2"/>
          <w:sz w:val="21"/>
        </w:rPr>
        <w:t>180</w:t>
      </w:r>
      <w:r>
        <w:rPr>
          <w:spacing w:val="-10"/>
          <w:sz w:val="21"/>
        </w:rPr>
        <w:t> 天后，仍有斜视、面神经麻痹或视力下降。</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脑型疟</w:t>
      </w:r>
      <w:r>
        <w:rPr>
          <w:rFonts w:ascii="楷体" w:eastAsia="楷体" w:hint="eastAsia"/>
          <w:b/>
          <w:spacing w:val="-4"/>
          <w:sz w:val="21"/>
        </w:rPr>
        <w:t>疾后遗症</w:t>
      </w:r>
    </w:p>
    <w:p>
      <w:pPr>
        <w:pStyle w:val="BodyText"/>
        <w:spacing w:line="278" w:lineRule="auto" w:before="72"/>
        <w:ind w:left="178" w:right="214"/>
        <w:jc w:val="both"/>
      </w:pPr>
      <w:r>
        <w:rPr/>
        <w:br w:type="column"/>
      </w:r>
      <w:r>
        <w:rPr>
          <w:spacing w:val="-2"/>
        </w:rPr>
        <w:t>指由于疟原虫导致的中枢神经系统感染，临床表现有高热、昏迷、痫性发作、行为异</w:t>
      </w:r>
      <w:r>
        <w:rPr>
          <w:spacing w:val="-8"/>
        </w:rPr>
        <w:t>常、瘫痪、失语、听力受损、视力障碍。被保险人被明确诊断为脑型疟疾，在诊断 180</w:t>
      </w:r>
      <w:r>
        <w:rPr>
          <w:spacing w:val="-2"/>
        </w:rPr>
        <w:t>天后仍然遗留神经系统后遗症。必须满足下列全部条件之一：</w:t>
      </w:r>
    </w:p>
    <w:p>
      <w:pPr>
        <w:pStyle w:val="ListParagraph"/>
        <w:numPr>
          <w:ilvl w:val="0"/>
          <w:numId w:val="73"/>
        </w:numPr>
        <w:tabs>
          <w:tab w:pos="708" w:val="left" w:leader="none"/>
        </w:tabs>
        <w:spacing w:line="269" w:lineRule="exact" w:before="0" w:after="0"/>
        <w:ind w:left="707" w:right="0" w:hanging="530"/>
        <w:jc w:val="both"/>
        <w:rPr>
          <w:sz w:val="21"/>
        </w:rPr>
      </w:pPr>
      <w:r>
        <w:rPr>
          <w:spacing w:val="-2"/>
          <w:sz w:val="21"/>
        </w:rPr>
        <w:t>一肢（含）</w:t>
      </w:r>
      <w:r>
        <w:rPr>
          <w:spacing w:val="-9"/>
          <w:sz w:val="21"/>
        </w:rPr>
        <w:t>以上肢体肌力 </w:t>
      </w:r>
      <w:r>
        <w:rPr>
          <w:spacing w:val="-2"/>
          <w:sz w:val="21"/>
        </w:rPr>
        <w:t>3</w:t>
      </w:r>
      <w:r>
        <w:rPr>
          <w:spacing w:val="-26"/>
          <w:sz w:val="21"/>
        </w:rPr>
        <w:t> 级</w:t>
      </w:r>
      <w:r>
        <w:rPr>
          <w:spacing w:val="-2"/>
          <w:sz w:val="21"/>
        </w:rPr>
        <w:t>（含）</w:t>
      </w:r>
      <w:r>
        <w:rPr>
          <w:spacing w:val="-5"/>
          <w:sz w:val="21"/>
        </w:rPr>
        <w:t>以下；</w:t>
      </w:r>
    </w:p>
    <w:p>
      <w:pPr>
        <w:pStyle w:val="ListParagraph"/>
        <w:numPr>
          <w:ilvl w:val="0"/>
          <w:numId w:val="73"/>
        </w:numPr>
        <w:tabs>
          <w:tab w:pos="708" w:val="left" w:leader="none"/>
        </w:tabs>
        <w:spacing w:line="278" w:lineRule="auto" w:before="43" w:after="0"/>
        <w:ind w:left="178" w:right="216" w:hanging="1"/>
        <w:jc w:val="left"/>
        <w:rPr>
          <w:sz w:val="21"/>
        </w:rPr>
      </w:pPr>
      <w:r>
        <w:rPr>
          <w:spacing w:val="-7"/>
          <w:sz w:val="21"/>
        </w:rPr>
        <w:t>听力障碍，双耳听力在 </w:t>
      </w:r>
      <w:r>
        <w:rPr>
          <w:spacing w:val="-2"/>
          <w:sz w:val="21"/>
        </w:rPr>
        <w:t>500</w:t>
      </w:r>
      <w:r>
        <w:rPr>
          <w:spacing w:val="-16"/>
          <w:sz w:val="21"/>
        </w:rPr>
        <w:t> 赫兹、</w:t>
      </w:r>
      <w:r>
        <w:rPr>
          <w:spacing w:val="-2"/>
          <w:sz w:val="21"/>
        </w:rPr>
        <w:t>1000</w:t>
      </w:r>
      <w:r>
        <w:rPr>
          <w:spacing w:val="-16"/>
          <w:sz w:val="21"/>
        </w:rPr>
        <w:t> 赫兹、</w:t>
      </w:r>
      <w:r>
        <w:rPr>
          <w:spacing w:val="-2"/>
          <w:sz w:val="21"/>
        </w:rPr>
        <w:t>2000</w:t>
      </w:r>
      <w:r>
        <w:rPr>
          <w:spacing w:val="-10"/>
          <w:sz w:val="21"/>
        </w:rPr>
        <w:t> 赫兹语音频率下平均听阈大</w:t>
      </w:r>
      <w:r>
        <w:rPr>
          <w:spacing w:val="-11"/>
          <w:sz w:val="21"/>
        </w:rPr>
        <w:t>于等于 </w:t>
      </w:r>
      <w:r>
        <w:rPr>
          <w:sz w:val="21"/>
        </w:rPr>
        <w:t>70（含）分贝；</w:t>
      </w:r>
    </w:p>
    <w:p>
      <w:pPr>
        <w:pStyle w:val="ListParagraph"/>
        <w:numPr>
          <w:ilvl w:val="0"/>
          <w:numId w:val="73"/>
        </w:numPr>
        <w:tabs>
          <w:tab w:pos="709" w:val="left" w:leader="none"/>
        </w:tabs>
        <w:spacing w:line="269" w:lineRule="exact" w:before="0" w:after="0"/>
        <w:ind w:left="708" w:right="0" w:hanging="530"/>
        <w:jc w:val="left"/>
        <w:rPr>
          <w:sz w:val="21"/>
        </w:rPr>
      </w:pPr>
      <w:r>
        <w:rPr>
          <w:spacing w:val="-3"/>
          <w:sz w:val="21"/>
        </w:rPr>
        <w:t>语言能力完全丧失。</w:t>
      </w:r>
    </w:p>
    <w:p>
      <w:pPr>
        <w:spacing w:after="0" w:line="269" w:lineRule="exact"/>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脊髓血</w:t>
      </w:r>
      <w:r>
        <w:rPr>
          <w:rFonts w:ascii="楷体" w:eastAsia="楷体" w:hint="eastAsia"/>
          <w:b/>
          <w:spacing w:val="-2"/>
          <w:sz w:val="21"/>
        </w:rPr>
        <w:t>管病后遗症</w:t>
      </w:r>
    </w:p>
    <w:p>
      <w:pPr>
        <w:pStyle w:val="BodyText"/>
        <w:spacing w:line="278" w:lineRule="auto" w:before="72"/>
        <w:ind w:left="178" w:right="214"/>
        <w:jc w:val="both"/>
      </w:pPr>
      <w:r>
        <w:rPr/>
        <w:br w:type="column"/>
      </w:r>
      <w:r>
        <w:rPr>
          <w:spacing w:val="2"/>
          <w:w w:val="100"/>
        </w:rPr>
        <w:t>指因脊髓血管的突发病变引起脊髓梗塞或脊髓出血，导致神经系统永久性的功能损</w:t>
      </w:r>
      <w:r>
        <w:rPr>
          <w:spacing w:val="-14"/>
          <w:w w:val="100"/>
        </w:rPr>
        <w:t>害，表现为截瘫或四肢瘫。神经系统永久性的功能障碍，指经相关专科医生确诊</w:t>
      </w:r>
      <w:r>
        <w:rPr>
          <w:w w:val="100"/>
        </w:rPr>
        <w:t>18</w:t>
      </w:r>
      <w:r>
        <w:rPr>
          <w:spacing w:val="-3"/>
          <w:w w:val="100"/>
        </w:rPr>
        <w:t>0</w:t>
      </w:r>
      <w:r>
        <w:rPr>
          <w:w w:val="100"/>
        </w:rPr>
        <w:t>天</w:t>
      </w:r>
      <w:r>
        <w:rPr>
          <w:spacing w:val="-3"/>
          <w:w w:val="100"/>
        </w:rPr>
        <w:t>后，仍然无法独立完成下列基本日常生活活动之一：</w:t>
      </w:r>
    </w:p>
    <w:p>
      <w:pPr>
        <w:pStyle w:val="ListParagraph"/>
        <w:numPr>
          <w:ilvl w:val="0"/>
          <w:numId w:val="74"/>
        </w:numPr>
        <w:tabs>
          <w:tab w:pos="708" w:val="left" w:leader="none"/>
        </w:tabs>
        <w:spacing w:line="269" w:lineRule="exact" w:before="0" w:after="0"/>
        <w:ind w:left="707" w:right="0" w:hanging="530"/>
        <w:jc w:val="left"/>
        <w:rPr>
          <w:sz w:val="21"/>
        </w:rPr>
      </w:pPr>
      <w:r>
        <w:rPr>
          <w:spacing w:val="-3"/>
          <w:sz w:val="21"/>
        </w:rPr>
        <w:t>移动：自己从一个房间到另一个房间；</w:t>
      </w:r>
    </w:p>
    <w:p>
      <w:pPr>
        <w:pStyle w:val="ListParagraph"/>
        <w:numPr>
          <w:ilvl w:val="0"/>
          <w:numId w:val="74"/>
        </w:numPr>
        <w:tabs>
          <w:tab w:pos="708" w:val="left" w:leader="none"/>
        </w:tabs>
        <w:spacing w:line="240" w:lineRule="auto" w:before="43" w:after="0"/>
        <w:ind w:left="707" w:right="0" w:hanging="530"/>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严重多</w:t>
      </w:r>
      <w:r>
        <w:rPr>
          <w:rFonts w:ascii="楷体" w:eastAsia="楷体" w:hint="eastAsia"/>
          <w:b/>
          <w:spacing w:val="-4"/>
          <w:sz w:val="21"/>
        </w:rPr>
        <w:t>系统萎缩</w:t>
      </w:r>
    </w:p>
    <w:p>
      <w:pPr>
        <w:pStyle w:val="BodyText"/>
        <w:spacing w:line="278" w:lineRule="auto" w:before="71"/>
        <w:ind w:left="178" w:right="214"/>
        <w:jc w:val="both"/>
      </w:pPr>
      <w:r>
        <w:rPr/>
        <w:br w:type="column"/>
      </w:r>
      <w:r>
        <w:rPr>
          <w:spacing w:val="-2"/>
        </w:rPr>
        <w:t>是一种原因不明的神经系统变性疾病，病变主要累及椎体外系、椎体系、小脑和自主</w:t>
      </w:r>
      <w:r>
        <w:rPr>
          <w:spacing w:val="-2"/>
        </w:rPr>
        <w:t>神经。临床表现为直立性低血压、帕金森综合征、小脑共济失调。多系统萎缩需由专</w:t>
      </w:r>
      <w:r>
        <w:rPr>
          <w:spacing w:val="-2"/>
        </w:rPr>
        <w:t>科医生明确诊断，且被保险人自主生活能力完全丧失，无法独立完成六项基本日常生</w:t>
      </w:r>
      <w:r>
        <w:rPr>
          <w:spacing w:val="-2"/>
        </w:rPr>
        <w:t>活活动中的三项或三项以上。</w:t>
      </w:r>
    </w:p>
    <w:p>
      <w:pPr>
        <w:spacing w:after="0" w:line="278" w:lineRule="auto"/>
        <w:jc w:val="both"/>
        <w:sectPr>
          <w:type w:val="continuous"/>
          <w:pgSz w:w="11910" w:h="16840"/>
          <w:pgMar w:header="0" w:footer="1120" w:top="1120" w:bottom="1300" w:left="1020" w:right="1020"/>
          <w:cols w:num="2" w:equalWidth="0">
            <w:col w:w="1705" w:space="40"/>
            <w:col w:w="8125"/>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横贯性</w:t>
      </w:r>
      <w:r>
        <w:rPr>
          <w:rFonts w:ascii="楷体" w:eastAsia="楷体" w:hint="eastAsia"/>
          <w:b/>
          <w:spacing w:val="-2"/>
          <w:sz w:val="21"/>
        </w:rPr>
        <w:t>脊髓炎后遗症</w:t>
      </w:r>
    </w:p>
    <w:p>
      <w:pPr>
        <w:pStyle w:val="BodyText"/>
        <w:spacing w:line="278" w:lineRule="auto" w:before="72"/>
        <w:ind w:left="111" w:right="214"/>
        <w:jc w:val="both"/>
      </w:pPr>
      <w:r>
        <w:rPr/>
        <w:br w:type="column"/>
      </w:r>
      <w:r>
        <w:rPr>
          <w:spacing w:val="-2"/>
        </w:rPr>
        <w:t>脊髓炎是一种炎症性脊髓疾病。横贯性脊髓炎是指炎症扩展横贯整个脊髓，表现为运</w:t>
      </w:r>
      <w:r>
        <w:rPr>
          <w:spacing w:val="-2"/>
        </w:rPr>
        <w:t>动障碍、感觉障碍和自主神经功能障碍。横贯性脊髓炎必须明确诊断，并且已经造成</w:t>
      </w:r>
      <w:r>
        <w:rPr>
          <w:spacing w:val="-9"/>
        </w:rPr>
        <w:t>永久不可逆的神经系统功能损害。永久不可逆的神经系统损害指被保险人持续 </w:t>
      </w:r>
      <w:r>
        <w:rPr>
          <w:rFonts w:ascii="Arial" w:eastAsia="Arial"/>
          <w:spacing w:val="-2"/>
        </w:rPr>
        <w:t>180</w:t>
      </w:r>
      <w:r>
        <w:rPr>
          <w:rFonts w:ascii="Arial" w:eastAsia="Arial"/>
          <w:spacing w:val="12"/>
        </w:rPr>
        <w:t> </w:t>
      </w:r>
      <w:r>
        <w:rPr>
          <w:spacing w:val="-2"/>
        </w:rPr>
        <w:t>天</w:t>
      </w:r>
      <w:r>
        <w:rPr>
          <w:spacing w:val="-2"/>
        </w:rPr>
        <w:t>无法独立完成下列基本日常生活活动之一：</w:t>
      </w:r>
    </w:p>
    <w:p>
      <w:pPr>
        <w:pStyle w:val="ListParagraph"/>
        <w:numPr>
          <w:ilvl w:val="0"/>
          <w:numId w:val="75"/>
        </w:numPr>
        <w:tabs>
          <w:tab w:pos="653" w:val="left" w:leader="none"/>
        </w:tabs>
        <w:spacing w:line="268" w:lineRule="exact" w:before="0" w:after="0"/>
        <w:ind w:left="652" w:right="0" w:hanging="542"/>
        <w:jc w:val="left"/>
        <w:rPr>
          <w:sz w:val="21"/>
        </w:rPr>
      </w:pPr>
      <w:r>
        <w:rPr>
          <w:spacing w:val="-3"/>
          <w:sz w:val="21"/>
        </w:rPr>
        <w:t>移动：自己从一个房间到另一个房间；</w:t>
      </w:r>
    </w:p>
    <w:p>
      <w:pPr>
        <w:pStyle w:val="ListParagraph"/>
        <w:numPr>
          <w:ilvl w:val="0"/>
          <w:numId w:val="75"/>
        </w:numPr>
        <w:tabs>
          <w:tab w:pos="653" w:val="left" w:leader="none"/>
        </w:tabs>
        <w:spacing w:line="240" w:lineRule="auto" w:before="43" w:after="0"/>
        <w:ind w:left="652" w:right="0" w:hanging="542"/>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ListParagraph"/>
        <w:numPr>
          <w:ilvl w:val="1"/>
          <w:numId w:val="20"/>
        </w:numPr>
        <w:tabs>
          <w:tab w:pos="1071" w:val="left" w:leader="none"/>
        </w:tabs>
        <w:spacing w:line="278" w:lineRule="auto" w:before="60" w:after="0"/>
        <w:ind w:left="504" w:right="0" w:firstLine="0"/>
        <w:jc w:val="both"/>
        <w:rPr>
          <w:rFonts w:ascii="楷体" w:eastAsia="楷体" w:hint="eastAsia"/>
          <w:b/>
          <w:sz w:val="21"/>
        </w:rPr>
      </w:pPr>
      <w:r>
        <w:rPr>
          <w:rFonts w:ascii="楷体" w:eastAsia="楷体" w:hint="eastAsia"/>
          <w:b/>
          <w:spacing w:val="-4"/>
          <w:sz w:val="21"/>
        </w:rPr>
        <w:t>婴儿进</w:t>
      </w:r>
      <w:r>
        <w:rPr>
          <w:rFonts w:ascii="楷体" w:eastAsia="楷体" w:hint="eastAsia"/>
          <w:b/>
          <w:spacing w:val="-2"/>
          <w:sz w:val="21"/>
        </w:rPr>
        <w:t>行性脊肌萎缩</w:t>
      </w:r>
      <w:r>
        <w:rPr>
          <w:rFonts w:ascii="楷体" w:eastAsia="楷体" w:hint="eastAsia"/>
          <w:b/>
          <w:spacing w:val="-10"/>
          <w:sz w:val="21"/>
        </w:rPr>
        <w:t>症</w:t>
      </w:r>
    </w:p>
    <w:p>
      <w:pPr>
        <w:pStyle w:val="BodyText"/>
        <w:spacing w:line="278" w:lineRule="auto" w:before="60"/>
        <w:ind w:left="111" w:right="374"/>
      </w:pPr>
      <w:r>
        <w:rPr/>
        <w:br w:type="column"/>
      </w:r>
      <w:r>
        <w:rPr>
          <w:spacing w:val="-2"/>
        </w:rPr>
        <w:t>指累及脊髓前角细胞及延髓运动核的神经元退行性变性病。在出生后两年内出现的</w:t>
      </w:r>
      <w:r>
        <w:rPr>
          <w:spacing w:val="-2"/>
        </w:rPr>
        <w:t>脊髓和脑干颅神经前角细胞进行性机能障碍，伴随肌肉无力和延髓机能障碍。</w:t>
      </w:r>
    </w:p>
    <w:p>
      <w:pPr>
        <w:pStyle w:val="BodyText"/>
        <w:spacing w:line="278" w:lineRule="auto" w:before="0"/>
        <w:ind w:left="111" w:right="374"/>
      </w:pPr>
      <w:r>
        <w:rPr>
          <w:spacing w:val="-2"/>
        </w:rPr>
        <w:t>该病须由神经科专科医生通过肌肉活检而确诊。理赔时必须提供肌肉活检的病理报</w:t>
      </w:r>
      <w:r>
        <w:rPr>
          <w:spacing w:val="-6"/>
        </w:rPr>
        <w:t>告。</w:t>
      </w:r>
    </w:p>
    <w:p>
      <w:pPr>
        <w:spacing w:line="285" w:lineRule="exact" w:before="0"/>
        <w:ind w:left="111" w:right="0" w:firstLine="0"/>
        <w:jc w:val="left"/>
        <w:rPr>
          <w:rFonts w:ascii="黑体" w:hAnsi="黑体" w:eastAsia="黑体"/>
          <w:sz w:val="24"/>
        </w:rPr>
      </w:pPr>
      <w:r>
        <w:rPr>
          <w:rFonts w:ascii="黑体" w:hAnsi="黑体" w:eastAsia="黑体"/>
          <w:spacing w:val="-1"/>
          <w:sz w:val="24"/>
        </w:rPr>
        <w:t>其他类型的脊肌萎缩症如Ⅱ型中间型进行性脊肌萎缩症，Ⅲ型少年型脊肌</w:t>
      </w:r>
    </w:p>
    <w:p>
      <w:pPr>
        <w:spacing w:before="4"/>
        <w:ind w:left="111" w:right="0" w:firstLine="0"/>
        <w:jc w:val="left"/>
        <w:rPr>
          <w:rFonts w:ascii="黑体" w:eastAsia="黑体"/>
          <w:sz w:val="24"/>
        </w:rPr>
      </w:pPr>
      <w:r>
        <w:rPr>
          <w:rFonts w:ascii="黑体" w:eastAsia="黑体"/>
          <w:sz w:val="24"/>
        </w:rPr>
        <w:t>萎缩症(Kugelberg-Welander</w:t>
      </w:r>
      <w:r>
        <w:rPr>
          <w:rFonts w:ascii="黑体" w:eastAsia="黑体"/>
          <w:spacing w:val="-9"/>
          <w:sz w:val="24"/>
        </w:rPr>
        <w:t> 氏病)不在保障范围内。</w:t>
      </w:r>
    </w:p>
    <w:p>
      <w:pPr>
        <w:spacing w:after="0"/>
        <w:jc w:val="left"/>
        <w:rPr>
          <w:rFonts w:ascii="黑体" w:eastAsia="黑体"/>
          <w:sz w:val="24"/>
        </w:rPr>
        <w:sectPr>
          <w:pgSz w:w="11910" w:h="16840"/>
          <w:pgMar w:header="0" w:footer="1120" w:top="1360" w:bottom="1488" w:left="1020" w:right="1020"/>
          <w:cols w:num="2" w:equalWidth="0">
            <w:col w:w="1772" w:space="40"/>
            <w:col w:w="8058"/>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肾上腺</w:t>
      </w:r>
      <w:r>
        <w:rPr>
          <w:rFonts w:ascii="楷体" w:eastAsia="楷体" w:hint="eastAsia"/>
          <w:b/>
          <w:spacing w:val="-2"/>
          <w:sz w:val="21"/>
        </w:rPr>
        <w:t>脑白质营养不</w:t>
      </w:r>
      <w:r>
        <w:rPr>
          <w:rFonts w:ascii="楷体" w:eastAsia="楷体" w:hint="eastAsia"/>
          <w:b/>
          <w:spacing w:val="-10"/>
          <w:sz w:val="21"/>
        </w:rPr>
        <w:t>良</w:t>
      </w:r>
    </w:p>
    <w:p>
      <w:pPr>
        <w:pStyle w:val="BodyText"/>
        <w:spacing w:line="278" w:lineRule="auto" w:before="72"/>
        <w:ind w:left="111" w:right="214"/>
        <w:jc w:val="both"/>
      </w:pPr>
      <w:r>
        <w:rPr/>
        <w:br w:type="column"/>
      </w:r>
      <w:r>
        <w:rPr>
          <w:spacing w:val="-2"/>
        </w:rPr>
        <w:t>指一种最常见的过氧化物酶体病，主要累及肾上腺和脑白质，主要表现为进行性的精</w:t>
      </w:r>
      <w:r>
        <w:rPr>
          <w:spacing w:val="-2"/>
        </w:rPr>
        <w:t>神运动障碍，视力及听力下降或肾上腺皮质功能低下等。须由专科医生诊断，且已经</w:t>
      </w:r>
      <w:r>
        <w:rPr>
          <w:spacing w:val="-2"/>
        </w:rPr>
        <w:t>造成自主生活能力完全丧失，无法独立完成六项基本日常生活活动中的三项或三项以</w:t>
      </w:r>
      <w:r>
        <w:rPr>
          <w:spacing w:val="-4"/>
        </w:rPr>
        <w:t>上，持续至少 </w:t>
      </w:r>
      <w:r>
        <w:rPr/>
        <w:t>180</w:t>
      </w:r>
      <w:r>
        <w:rPr>
          <w:spacing w:val="-8"/>
        </w:rPr>
        <w:t> 天。</w:t>
      </w:r>
    </w:p>
    <w:p>
      <w:pPr>
        <w:spacing w:after="0" w:line="278" w:lineRule="auto"/>
        <w:jc w:val="both"/>
        <w:sectPr>
          <w:type w:val="continuous"/>
          <w:pgSz w:w="11910" w:h="16840"/>
          <w:pgMar w:header="0" w:footer="1120" w:top="112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严重视</w:t>
      </w:r>
      <w:r>
        <w:rPr>
          <w:rFonts w:ascii="楷体" w:eastAsia="楷体" w:hint="eastAsia"/>
          <w:b/>
          <w:spacing w:val="-2"/>
          <w:sz w:val="21"/>
        </w:rPr>
        <w:t>神经脊髓炎</w:t>
      </w:r>
    </w:p>
    <w:p>
      <w:pPr>
        <w:pStyle w:val="BodyText"/>
        <w:spacing w:line="278" w:lineRule="auto" w:before="72"/>
        <w:ind w:left="178" w:right="214"/>
        <w:jc w:val="both"/>
      </w:pPr>
      <w:r>
        <w:rPr/>
        <w:br w:type="column"/>
      </w:r>
      <w:r>
        <w:rPr>
          <w:spacing w:val="-2"/>
        </w:rPr>
        <w:t>是一种免疫介导的以视神经和脊髓受累为主的，呈现为复发性病程的中枢神经系统疾</w:t>
      </w:r>
      <w:r>
        <w:rPr>
          <w:spacing w:val="-2"/>
        </w:rPr>
        <w:t>病。被保险人被明确诊断为视神经脊髓炎（视神经脊髓炎谱系疾病</w:t>
      </w:r>
      <w:r>
        <w:rPr>
          <w:spacing w:val="-106"/>
        </w:rPr>
        <w:t>）</w:t>
      </w:r>
      <w:r>
        <w:rPr>
          <w:spacing w:val="-2"/>
        </w:rPr>
        <w:t>，并且已经造成</w:t>
      </w:r>
      <w:r>
        <w:rPr>
          <w:spacing w:val="-2"/>
        </w:rPr>
        <w:t>永久性视力损害及肢体运动障碍，必须满足下列条件之一：</w:t>
      </w:r>
    </w:p>
    <w:p>
      <w:pPr>
        <w:pStyle w:val="ListParagraph"/>
        <w:numPr>
          <w:ilvl w:val="0"/>
          <w:numId w:val="76"/>
        </w:numPr>
        <w:tabs>
          <w:tab w:pos="708" w:val="left" w:leader="none"/>
        </w:tabs>
        <w:spacing w:line="269" w:lineRule="exact" w:before="0" w:after="0"/>
        <w:ind w:left="707" w:right="0" w:hanging="530"/>
        <w:jc w:val="both"/>
        <w:rPr>
          <w:sz w:val="21"/>
        </w:rPr>
      </w:pPr>
      <w:r>
        <w:rPr>
          <w:spacing w:val="-5"/>
          <w:sz w:val="21"/>
        </w:rPr>
        <w:t>视力损害，双眼中较好眼矫正视力低于 </w:t>
      </w:r>
      <w:r>
        <w:rPr>
          <w:spacing w:val="-2"/>
          <w:sz w:val="21"/>
        </w:rPr>
        <w:t>0.1（含）</w:t>
      </w:r>
      <w:r>
        <w:rPr>
          <w:spacing w:val="-17"/>
          <w:sz w:val="21"/>
        </w:rPr>
        <w:t>持续 </w:t>
      </w:r>
      <w:r>
        <w:rPr>
          <w:spacing w:val="-2"/>
          <w:sz w:val="21"/>
        </w:rPr>
        <w:t>180</w:t>
      </w:r>
      <w:r>
        <w:rPr>
          <w:spacing w:val="-14"/>
          <w:sz w:val="21"/>
        </w:rPr>
        <w:t> 天以上；</w:t>
      </w:r>
    </w:p>
    <w:p>
      <w:pPr>
        <w:pStyle w:val="ListParagraph"/>
        <w:numPr>
          <w:ilvl w:val="0"/>
          <w:numId w:val="76"/>
        </w:numPr>
        <w:tabs>
          <w:tab w:pos="708" w:val="left" w:leader="none"/>
        </w:tabs>
        <w:spacing w:line="240" w:lineRule="auto" w:before="43" w:after="0"/>
        <w:ind w:left="707" w:right="0" w:hanging="530"/>
        <w:jc w:val="both"/>
        <w:rPr>
          <w:sz w:val="21"/>
        </w:rPr>
      </w:pPr>
      <w:r>
        <w:rPr>
          <w:spacing w:val="-6"/>
          <w:sz w:val="21"/>
        </w:rPr>
        <w:t>不能独立行走，一下肢肌力 </w:t>
      </w:r>
      <w:r>
        <w:rPr>
          <w:spacing w:val="-2"/>
          <w:sz w:val="21"/>
        </w:rPr>
        <w:t>2</w:t>
      </w:r>
      <w:r>
        <w:rPr>
          <w:spacing w:val="-25"/>
          <w:sz w:val="21"/>
        </w:rPr>
        <w:t> 级</w:t>
      </w:r>
      <w:r>
        <w:rPr>
          <w:spacing w:val="-2"/>
          <w:sz w:val="21"/>
        </w:rPr>
        <w:t>（含）</w:t>
      </w:r>
      <w:r>
        <w:rPr>
          <w:spacing w:val="-12"/>
          <w:sz w:val="21"/>
        </w:rPr>
        <w:t>以下持续 </w:t>
      </w:r>
      <w:r>
        <w:rPr>
          <w:spacing w:val="-2"/>
          <w:sz w:val="21"/>
        </w:rPr>
        <w:t>180</w:t>
      </w:r>
      <w:r>
        <w:rPr>
          <w:spacing w:val="-14"/>
          <w:sz w:val="21"/>
        </w:rPr>
        <w:t> 天以上。</w:t>
      </w:r>
    </w:p>
    <w:p>
      <w:pPr>
        <w:spacing w:after="0" w:line="240" w:lineRule="auto"/>
        <w:jc w:val="both"/>
        <w:rPr>
          <w:sz w:val="21"/>
        </w:rPr>
        <w:sectPr>
          <w:type w:val="continuous"/>
          <w:pgSz w:w="11910" w:h="16840"/>
          <w:pgMar w:header="0" w:footer="1120" w:top="1120" w:bottom="1300" w:left="1020" w:right="1020"/>
          <w:cols w:num="2" w:equalWidth="0">
            <w:col w:w="1705" w:space="40"/>
            <w:col w:w="8125"/>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经输血</w:t>
      </w:r>
      <w:r>
        <w:rPr>
          <w:rFonts w:ascii="楷体" w:eastAsia="楷体" w:hint="eastAsia"/>
          <w:b/>
          <w:spacing w:val="-2"/>
          <w:sz w:val="21"/>
        </w:rPr>
        <w:t>导致的人类免</w:t>
      </w:r>
      <w:r>
        <w:rPr>
          <w:rFonts w:ascii="楷体" w:eastAsia="楷体" w:hint="eastAsia"/>
          <w:b/>
          <w:spacing w:val="-2"/>
          <w:sz w:val="21"/>
        </w:rPr>
        <w:t>疫缺陷病毒</w:t>
      </w:r>
    </w:p>
    <w:p>
      <w:pPr>
        <w:spacing w:line="269" w:lineRule="exact" w:before="0"/>
        <w:ind w:left="504" w:right="0" w:firstLine="0"/>
        <w:jc w:val="left"/>
        <w:rPr>
          <w:rFonts w:ascii="楷体" w:eastAsia="楷体" w:hint="eastAsia"/>
          <w:b/>
          <w:sz w:val="21"/>
        </w:rPr>
      </w:pPr>
      <w:r>
        <w:rPr>
          <w:rFonts w:ascii="楷体" w:eastAsia="楷体" w:hint="eastAsia"/>
          <w:b/>
          <w:w w:val="95"/>
          <w:sz w:val="21"/>
        </w:rPr>
        <w:t>（HIV）</w:t>
      </w:r>
      <w:r>
        <w:rPr>
          <w:rFonts w:ascii="楷体" w:eastAsia="楷体" w:hint="eastAsia"/>
          <w:b/>
          <w:w w:val="95"/>
          <w:sz w:val="21"/>
        </w:rPr>
        <w:t>感</w:t>
      </w:r>
      <w:r>
        <w:rPr>
          <w:rFonts w:ascii="楷体" w:eastAsia="楷体" w:hint="eastAsia"/>
          <w:b/>
          <w:spacing w:val="-10"/>
          <w:w w:val="95"/>
          <w:sz w:val="21"/>
        </w:rPr>
        <w:t>染</w:t>
      </w:r>
    </w:p>
    <w:p>
      <w:pPr>
        <w:pStyle w:val="BodyText"/>
        <w:spacing w:before="71"/>
        <w:ind w:left="111"/>
      </w:pPr>
      <w:r>
        <w:rPr/>
        <w:br w:type="column"/>
      </w:r>
      <w:r>
        <w:rPr>
          <w:spacing w:val="-6"/>
        </w:rPr>
        <w:t>被保险人感染上人类免疫缺陷病毒</w:t>
      </w:r>
      <w:r>
        <w:rPr>
          <w:spacing w:val="9"/>
        </w:rPr>
        <w:t>（</w:t>
      </w:r>
      <w:r>
        <w:rPr>
          <w:spacing w:val="12"/>
        </w:rPr>
        <w:t>HIV</w:t>
      </w:r>
      <w:r>
        <w:rPr>
          <w:spacing w:val="-96"/>
        </w:rPr>
        <w:t>）</w:t>
      </w:r>
      <w:r>
        <w:rPr>
          <w:spacing w:val="-7"/>
        </w:rPr>
        <w:t>，并须满足下列全部条件：</w:t>
      </w:r>
    </w:p>
    <w:p>
      <w:pPr>
        <w:pStyle w:val="ListParagraph"/>
        <w:numPr>
          <w:ilvl w:val="0"/>
          <w:numId w:val="77"/>
        </w:numPr>
        <w:tabs>
          <w:tab w:pos="640" w:val="left" w:leader="none"/>
        </w:tabs>
        <w:spacing w:line="240" w:lineRule="auto" w:before="43" w:after="0"/>
        <w:ind w:left="639" w:right="0" w:hanging="530"/>
        <w:jc w:val="left"/>
        <w:rPr>
          <w:sz w:val="21"/>
        </w:rPr>
      </w:pPr>
      <w:r>
        <w:rPr>
          <w:spacing w:val="-3"/>
          <w:sz w:val="21"/>
        </w:rPr>
        <w:t>被保险人因治疗必需而接受输血，并且因输血而感染人类免疫缺陷病毒</w:t>
      </w:r>
    </w:p>
    <w:p>
      <w:pPr>
        <w:pStyle w:val="BodyText"/>
        <w:ind w:left="110"/>
      </w:pPr>
      <w:r>
        <w:rPr>
          <w:spacing w:val="31"/>
        </w:rPr>
        <w:t>（HIV</w:t>
      </w:r>
      <w:r>
        <w:rPr>
          <w:spacing w:val="-77"/>
        </w:rPr>
        <w:t>）；</w:t>
      </w:r>
    </w:p>
    <w:p>
      <w:pPr>
        <w:pStyle w:val="ListParagraph"/>
        <w:numPr>
          <w:ilvl w:val="0"/>
          <w:numId w:val="77"/>
        </w:numPr>
        <w:tabs>
          <w:tab w:pos="640" w:val="left" w:leader="none"/>
        </w:tabs>
        <w:spacing w:line="278" w:lineRule="auto" w:before="43" w:after="0"/>
        <w:ind w:left="110" w:right="271" w:firstLine="0"/>
        <w:jc w:val="left"/>
        <w:rPr>
          <w:sz w:val="21"/>
        </w:rPr>
      </w:pPr>
      <w:r>
        <w:rPr>
          <w:spacing w:val="-2"/>
          <w:sz w:val="21"/>
        </w:rPr>
        <w:t>提供输血治疗的输血中心或医院出具该项输血感染属医疗责任事故的报告，或</w:t>
      </w:r>
      <w:r>
        <w:rPr>
          <w:spacing w:val="-2"/>
          <w:sz w:val="21"/>
        </w:rPr>
        <w:t>者法院终审裁定为医疗责任并且不准上诉；</w:t>
      </w:r>
    </w:p>
    <w:p>
      <w:pPr>
        <w:pStyle w:val="ListParagraph"/>
        <w:numPr>
          <w:ilvl w:val="0"/>
          <w:numId w:val="77"/>
        </w:numPr>
        <w:tabs>
          <w:tab w:pos="640" w:val="left" w:leader="none"/>
        </w:tabs>
        <w:spacing w:line="269" w:lineRule="exact" w:before="0" w:after="0"/>
        <w:ind w:left="639" w:right="0" w:hanging="530"/>
        <w:jc w:val="left"/>
        <w:rPr>
          <w:sz w:val="21"/>
        </w:rPr>
      </w:pPr>
      <w:r>
        <w:rPr>
          <w:spacing w:val="-3"/>
          <w:sz w:val="21"/>
        </w:rPr>
        <w:t>受感染的被保险人不是血友病患者；</w:t>
      </w:r>
    </w:p>
    <w:p>
      <w:pPr>
        <w:pStyle w:val="ListParagraph"/>
        <w:numPr>
          <w:ilvl w:val="0"/>
          <w:numId w:val="77"/>
        </w:numPr>
        <w:tabs>
          <w:tab w:pos="640" w:val="left" w:leader="none"/>
        </w:tabs>
        <w:spacing w:line="240" w:lineRule="auto" w:before="43" w:after="0"/>
        <w:ind w:left="639" w:right="0" w:hanging="530"/>
        <w:jc w:val="left"/>
        <w:rPr>
          <w:sz w:val="21"/>
        </w:rPr>
      </w:pPr>
      <w:r>
        <w:rPr>
          <w:spacing w:val="-3"/>
          <w:sz w:val="21"/>
        </w:rPr>
        <w:t>提供输血治疗的输血中心或医院必须拥有合法经营执照。</w:t>
      </w:r>
    </w:p>
    <w:p>
      <w:pPr>
        <w:spacing w:line="242" w:lineRule="auto" w:before="20"/>
        <w:ind w:left="111" w:right="383" w:firstLine="0"/>
        <w:jc w:val="left"/>
        <w:rPr>
          <w:rFonts w:ascii="黑体" w:eastAsia="黑体"/>
          <w:sz w:val="24"/>
        </w:rPr>
      </w:pPr>
      <w:r>
        <w:rPr>
          <w:rFonts w:ascii="黑体" w:eastAsia="黑体"/>
          <w:spacing w:val="-2"/>
          <w:sz w:val="24"/>
        </w:rPr>
        <w:t>在任何治愈艾滋病（AIDS）或阻止HIV病毒作用的疗法被发现以后，或能</w:t>
      </w:r>
      <w:r>
        <w:rPr>
          <w:rFonts w:ascii="黑体" w:eastAsia="黑体"/>
          <w:spacing w:val="-2"/>
          <w:sz w:val="24"/>
        </w:rPr>
        <w:t>防止AIDS发生的医疗方法被研究出来以后，本保障将不再予以赔付。</w:t>
      </w:r>
    </w:p>
    <w:p>
      <w:pPr>
        <w:spacing w:line="242" w:lineRule="auto" w:before="3"/>
        <w:ind w:left="111" w:right="383" w:firstLine="0"/>
        <w:jc w:val="left"/>
        <w:rPr>
          <w:rFonts w:ascii="黑体" w:eastAsia="黑体"/>
          <w:sz w:val="24"/>
        </w:rPr>
      </w:pPr>
      <w:r>
        <w:rPr>
          <w:rFonts w:ascii="黑体" w:eastAsia="黑体"/>
          <w:spacing w:val="-2"/>
          <w:sz w:val="24"/>
        </w:rPr>
        <w:t>任何因其他传播方式（包括：性传播或静脉注射毒品）导致的HIV感染不</w:t>
      </w:r>
      <w:r>
        <w:rPr>
          <w:rFonts w:ascii="黑体" w:eastAsia="黑体"/>
          <w:spacing w:val="-2"/>
          <w:sz w:val="24"/>
        </w:rPr>
        <w:t>在本保单保障范围内。</w:t>
      </w:r>
    </w:p>
    <w:p>
      <w:pPr>
        <w:pStyle w:val="BodyText"/>
        <w:spacing w:line="278" w:lineRule="auto" w:before="26"/>
        <w:ind w:left="111" w:right="215"/>
      </w:pPr>
      <w:r>
        <w:rPr>
          <w:spacing w:val="2"/>
          <w:w w:val="100"/>
        </w:rPr>
        <w:t>保险公司必须拥有获得使用被保险人的所有血液样本的权利和能够对这些样本进行</w:t>
      </w:r>
      <w:r>
        <w:rPr>
          <w:spacing w:val="-3"/>
          <w:w w:val="100"/>
        </w:rPr>
        <w:t>独立检验的权利。</w:t>
      </w:r>
    </w:p>
    <w:p>
      <w:pPr>
        <w:spacing w:after="0" w:line="278" w:lineRule="auto"/>
        <w:sectPr>
          <w:type w:val="continuous"/>
          <w:pgSz w:w="11910" w:h="16840"/>
          <w:pgMar w:header="0" w:footer="1120" w:top="112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因职业</w:t>
      </w:r>
      <w:r>
        <w:rPr>
          <w:rFonts w:ascii="楷体" w:eastAsia="楷体" w:hint="eastAsia"/>
          <w:b/>
          <w:spacing w:val="-2"/>
          <w:sz w:val="21"/>
        </w:rPr>
        <w:t>关系导致的人</w:t>
      </w:r>
      <w:r>
        <w:rPr>
          <w:rFonts w:ascii="楷体" w:eastAsia="楷体" w:hint="eastAsia"/>
          <w:b/>
          <w:spacing w:val="-2"/>
          <w:sz w:val="21"/>
        </w:rPr>
        <w:t>类免疫缺陷病</w:t>
      </w:r>
      <w:r>
        <w:rPr>
          <w:rFonts w:ascii="楷体" w:eastAsia="楷体" w:hint="eastAsia"/>
          <w:b/>
          <w:spacing w:val="-2"/>
          <w:sz w:val="21"/>
        </w:rPr>
        <w:t>毒（HIV）感</w:t>
      </w:r>
      <w:r>
        <w:rPr>
          <w:rFonts w:ascii="楷体" w:eastAsia="楷体" w:hint="eastAsia"/>
          <w:b/>
          <w:spacing w:val="-10"/>
          <w:sz w:val="21"/>
        </w:rPr>
        <w:t>染</w:t>
      </w:r>
    </w:p>
    <w:p>
      <w:pPr>
        <w:pStyle w:val="BodyText"/>
        <w:spacing w:line="278" w:lineRule="auto" w:before="72"/>
        <w:ind w:left="111" w:right="214"/>
      </w:pPr>
      <w:r>
        <w:rPr/>
        <w:br w:type="column"/>
      </w:r>
      <w:r>
        <w:rPr>
          <w:spacing w:val="-5"/>
        </w:rPr>
        <w:t>被保险人在其常规职业工作过程中遭遇外伤，或者职业需要处理血液或者其他体液时</w:t>
      </w:r>
      <w:r>
        <w:rPr>
          <w:spacing w:val="-2"/>
        </w:rPr>
        <w:t>感染上人类免疫缺陷病毒</w:t>
      </w:r>
      <w:r>
        <w:rPr>
          <w:spacing w:val="19"/>
        </w:rPr>
        <w:t>（</w:t>
      </w:r>
      <w:r>
        <w:rPr>
          <w:rFonts w:ascii="Arial" w:eastAsia="Arial"/>
          <w:spacing w:val="20"/>
        </w:rPr>
        <w:t>H</w:t>
      </w:r>
      <w:r>
        <w:rPr>
          <w:rFonts w:ascii="Arial" w:eastAsia="Arial"/>
          <w:spacing w:val="15"/>
        </w:rPr>
        <w:t>I</w:t>
      </w:r>
      <w:r>
        <w:rPr>
          <w:rFonts w:ascii="Arial" w:eastAsia="Arial"/>
          <w:spacing w:val="19"/>
        </w:rPr>
        <w:t>V</w:t>
      </w:r>
      <w:r>
        <w:rPr>
          <w:spacing w:val="-87"/>
        </w:rPr>
        <w:t>）</w:t>
      </w:r>
      <w:r>
        <w:rPr>
          <w:spacing w:val="-106"/>
        </w:rPr>
        <w:t>。</w:t>
      </w:r>
    </w:p>
    <w:p>
      <w:pPr>
        <w:pStyle w:val="BodyText"/>
        <w:spacing w:line="269" w:lineRule="exact" w:before="0"/>
        <w:ind w:left="111"/>
      </w:pPr>
      <w:r>
        <w:rPr>
          <w:spacing w:val="-3"/>
        </w:rPr>
        <w:t>且须满足下列全部条件：</w:t>
      </w:r>
    </w:p>
    <w:p>
      <w:pPr>
        <w:pStyle w:val="ListParagraph"/>
        <w:numPr>
          <w:ilvl w:val="0"/>
          <w:numId w:val="78"/>
        </w:numPr>
        <w:tabs>
          <w:tab w:pos="643" w:val="left" w:leader="none"/>
        </w:tabs>
        <w:spacing w:line="278" w:lineRule="auto" w:before="43" w:after="0"/>
        <w:ind w:left="636" w:right="216" w:hanging="526"/>
        <w:jc w:val="left"/>
        <w:rPr>
          <w:sz w:val="21"/>
        </w:rPr>
      </w:pPr>
      <w:r>
        <w:rPr>
          <w:spacing w:val="-2"/>
          <w:sz w:val="21"/>
        </w:rPr>
        <w:t>感染必须是在被保险人正在从事其职业工作中发生，该职业必须属于以下列表</w:t>
      </w:r>
      <w:r>
        <w:rPr>
          <w:spacing w:val="-2"/>
          <w:sz w:val="21"/>
        </w:rPr>
        <w:t>内的职业；</w:t>
      </w:r>
    </w:p>
    <w:p>
      <w:pPr>
        <w:pStyle w:val="ListParagraph"/>
        <w:numPr>
          <w:ilvl w:val="0"/>
          <w:numId w:val="78"/>
        </w:numPr>
        <w:tabs>
          <w:tab w:pos="640" w:val="left" w:leader="none"/>
        </w:tabs>
        <w:spacing w:line="269" w:lineRule="exact" w:before="0" w:after="0"/>
        <w:ind w:left="639" w:right="0" w:hanging="530"/>
        <w:jc w:val="left"/>
        <w:rPr>
          <w:sz w:val="21"/>
        </w:rPr>
      </w:pPr>
      <w:r>
        <w:rPr>
          <w:spacing w:val="-6"/>
          <w:sz w:val="21"/>
        </w:rPr>
        <w:t>血清转化必须出现在事故发生后的 </w:t>
      </w:r>
      <w:r>
        <w:rPr>
          <w:rFonts w:ascii="Arial" w:eastAsia="Arial"/>
          <w:spacing w:val="-2"/>
          <w:sz w:val="21"/>
        </w:rPr>
        <w:t>6</w:t>
      </w:r>
      <w:r>
        <w:rPr>
          <w:rFonts w:ascii="Arial" w:eastAsia="Arial"/>
          <w:sz w:val="21"/>
        </w:rPr>
        <w:t> </w:t>
      </w:r>
      <w:r>
        <w:rPr>
          <w:spacing w:val="-4"/>
          <w:sz w:val="21"/>
        </w:rPr>
        <w:t>个月以内；</w:t>
      </w:r>
    </w:p>
    <w:p>
      <w:pPr>
        <w:pStyle w:val="ListParagraph"/>
        <w:numPr>
          <w:ilvl w:val="0"/>
          <w:numId w:val="78"/>
        </w:numPr>
        <w:tabs>
          <w:tab w:pos="641" w:val="left" w:leader="none"/>
        </w:tabs>
        <w:spacing w:line="278" w:lineRule="auto" w:before="43" w:after="0"/>
        <w:ind w:left="636" w:right="216" w:hanging="526"/>
        <w:jc w:val="left"/>
        <w:rPr>
          <w:sz w:val="21"/>
        </w:rPr>
      </w:pPr>
      <w:r>
        <w:rPr>
          <w:spacing w:val="-2"/>
          <w:sz w:val="21"/>
        </w:rPr>
        <w:t>必须提供被保险人在所报事故发生后的 </w:t>
      </w:r>
      <w:r>
        <w:rPr>
          <w:rFonts w:ascii="Arial" w:eastAsia="Arial"/>
          <w:sz w:val="21"/>
        </w:rPr>
        <w:t>5</w:t>
      </w:r>
      <w:r>
        <w:rPr>
          <w:rFonts w:ascii="Arial" w:eastAsia="Arial"/>
          <w:spacing w:val="-11"/>
          <w:sz w:val="21"/>
        </w:rPr>
        <w:t> </w:t>
      </w:r>
      <w:r>
        <w:rPr>
          <w:sz w:val="21"/>
        </w:rPr>
        <w:t>天以内进行的检查报告，该报告必须</w:t>
      </w:r>
      <w:r>
        <w:rPr>
          <w:spacing w:val="-2"/>
          <w:sz w:val="21"/>
        </w:rPr>
        <w:t>显示被保险人血液 </w:t>
      </w:r>
      <w:r>
        <w:rPr>
          <w:sz w:val="21"/>
        </w:rPr>
        <w:t>HIV</w:t>
      </w:r>
      <w:r>
        <w:rPr>
          <w:spacing w:val="-6"/>
          <w:sz w:val="21"/>
        </w:rPr>
        <w:t> 病毒阴性和/或 </w:t>
      </w:r>
      <w:r>
        <w:rPr>
          <w:sz w:val="21"/>
        </w:rPr>
        <w:t>HIV</w:t>
      </w:r>
      <w:r>
        <w:rPr>
          <w:spacing w:val="-4"/>
          <w:sz w:val="21"/>
        </w:rPr>
        <w:t> 抗体阴性；</w:t>
      </w:r>
    </w:p>
    <w:p>
      <w:pPr>
        <w:pStyle w:val="ListParagraph"/>
        <w:numPr>
          <w:ilvl w:val="0"/>
          <w:numId w:val="78"/>
        </w:numPr>
        <w:tabs>
          <w:tab w:pos="641" w:val="left" w:leader="none"/>
        </w:tabs>
        <w:spacing w:line="269" w:lineRule="exact" w:before="0" w:after="0"/>
        <w:ind w:left="640" w:right="0" w:hanging="530"/>
        <w:jc w:val="left"/>
        <w:rPr>
          <w:sz w:val="21"/>
        </w:rPr>
      </w:pPr>
      <w:r>
        <w:rPr>
          <w:spacing w:val="-7"/>
          <w:sz w:val="21"/>
        </w:rPr>
        <w:t>必须在事故发生后的 </w:t>
      </w:r>
      <w:r>
        <w:rPr>
          <w:rFonts w:ascii="Arial" w:eastAsia="Arial"/>
          <w:spacing w:val="-2"/>
          <w:sz w:val="21"/>
        </w:rPr>
        <w:t>12</w:t>
      </w:r>
      <w:r>
        <w:rPr>
          <w:rFonts w:ascii="Arial" w:eastAsia="Arial"/>
          <w:spacing w:val="-5"/>
          <w:sz w:val="21"/>
        </w:rPr>
        <w:t> </w:t>
      </w:r>
      <w:r>
        <w:rPr>
          <w:spacing w:val="-6"/>
          <w:sz w:val="21"/>
        </w:rPr>
        <w:t>个月内证实被保险人体内存在 </w:t>
      </w:r>
      <w:r>
        <w:rPr>
          <w:spacing w:val="-2"/>
          <w:sz w:val="21"/>
        </w:rPr>
        <w:t>HIV</w:t>
      </w:r>
      <w:r>
        <w:rPr>
          <w:spacing w:val="-19"/>
          <w:sz w:val="21"/>
        </w:rPr>
        <w:t> 病毒或者 </w:t>
      </w:r>
      <w:r>
        <w:rPr>
          <w:spacing w:val="-2"/>
          <w:sz w:val="21"/>
        </w:rPr>
        <w:t>HIV</w:t>
      </w:r>
      <w:r>
        <w:rPr>
          <w:spacing w:val="-16"/>
          <w:sz w:val="21"/>
        </w:rPr>
        <w:t> 抗体。</w:t>
      </w:r>
    </w:p>
    <w:p>
      <w:pPr>
        <w:spacing w:before="20"/>
        <w:ind w:left="111" w:right="0" w:firstLine="0"/>
        <w:jc w:val="left"/>
        <w:rPr>
          <w:rFonts w:ascii="黑体" w:eastAsia="黑体"/>
          <w:sz w:val="24"/>
        </w:rPr>
      </w:pPr>
      <w:r>
        <w:rPr>
          <w:rFonts w:ascii="黑体" w:eastAsia="黑体"/>
          <w:spacing w:val="-2"/>
          <w:sz w:val="24"/>
        </w:rPr>
        <w:t>职业限制如下所示:</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tbl>
      <w:tblPr>
        <w:tblW w:w="0" w:type="auto"/>
        <w:jc w:val="left"/>
        <w:tblInd w:w="3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47"/>
        <w:gridCol w:w="2949"/>
      </w:tblGrid>
      <w:tr>
        <w:trPr>
          <w:trHeight w:val="328" w:hRule="atLeast"/>
        </w:trPr>
        <w:tc>
          <w:tcPr>
            <w:tcW w:w="2947" w:type="dxa"/>
          </w:tcPr>
          <w:p>
            <w:pPr>
              <w:pStyle w:val="TableParagraph"/>
              <w:spacing w:line="307" w:lineRule="exact" w:before="0"/>
              <w:ind w:left="107"/>
              <w:rPr>
                <w:rFonts w:ascii="黑体" w:eastAsia="黑体"/>
                <w:sz w:val="24"/>
              </w:rPr>
            </w:pPr>
            <w:r>
              <w:rPr>
                <w:rFonts w:ascii="黑体" w:eastAsia="黑体"/>
                <w:spacing w:val="-2"/>
                <w:sz w:val="24"/>
              </w:rPr>
              <w:t>医生和牙科医生</w:t>
            </w:r>
          </w:p>
        </w:tc>
        <w:tc>
          <w:tcPr>
            <w:tcW w:w="2949" w:type="dxa"/>
          </w:tcPr>
          <w:p>
            <w:pPr>
              <w:pStyle w:val="TableParagraph"/>
              <w:spacing w:line="307" w:lineRule="exact" w:before="0"/>
              <w:ind w:left="110"/>
              <w:rPr>
                <w:rFonts w:ascii="黑体" w:eastAsia="黑体"/>
                <w:sz w:val="24"/>
              </w:rPr>
            </w:pPr>
            <w:r>
              <w:rPr>
                <w:rFonts w:ascii="黑体" w:eastAsia="黑体"/>
                <w:spacing w:val="-5"/>
                <w:sz w:val="24"/>
              </w:rPr>
              <w:t>护士</w:t>
            </w:r>
          </w:p>
        </w:tc>
      </w:tr>
      <w:tr>
        <w:trPr>
          <w:trHeight w:val="330" w:hRule="atLeast"/>
        </w:trPr>
        <w:tc>
          <w:tcPr>
            <w:tcW w:w="2947" w:type="dxa"/>
          </w:tcPr>
          <w:p>
            <w:pPr>
              <w:pStyle w:val="TableParagraph"/>
              <w:spacing w:before="2"/>
              <w:ind w:left="107"/>
              <w:rPr>
                <w:rFonts w:ascii="黑体" w:eastAsia="黑体"/>
                <w:sz w:val="24"/>
              </w:rPr>
            </w:pPr>
            <w:r>
              <w:rPr>
                <w:rFonts w:ascii="黑体" w:eastAsia="黑体"/>
                <w:spacing w:val="-2"/>
                <w:sz w:val="24"/>
              </w:rPr>
              <w:t>医院化验室工作人员</w:t>
            </w:r>
          </w:p>
        </w:tc>
        <w:tc>
          <w:tcPr>
            <w:tcW w:w="2949" w:type="dxa"/>
          </w:tcPr>
          <w:p>
            <w:pPr>
              <w:pStyle w:val="TableParagraph"/>
              <w:spacing w:before="2"/>
              <w:ind w:left="110"/>
              <w:rPr>
                <w:rFonts w:ascii="黑体" w:eastAsia="黑体"/>
                <w:sz w:val="24"/>
              </w:rPr>
            </w:pPr>
            <w:r>
              <w:rPr>
                <w:rFonts w:ascii="黑体" w:eastAsia="黑体"/>
                <w:spacing w:val="-3"/>
                <w:sz w:val="24"/>
              </w:rPr>
              <w:t>医院护工</w:t>
            </w:r>
          </w:p>
        </w:tc>
      </w:tr>
      <w:tr>
        <w:trPr>
          <w:trHeight w:val="330" w:hRule="atLeast"/>
        </w:trPr>
        <w:tc>
          <w:tcPr>
            <w:tcW w:w="2947" w:type="dxa"/>
          </w:tcPr>
          <w:p>
            <w:pPr>
              <w:pStyle w:val="TableParagraph"/>
              <w:spacing w:before="0"/>
              <w:ind w:left="107"/>
              <w:rPr>
                <w:rFonts w:ascii="黑体" w:eastAsia="黑体"/>
                <w:sz w:val="24"/>
              </w:rPr>
            </w:pPr>
            <w:r>
              <w:rPr>
                <w:rFonts w:ascii="黑体" w:eastAsia="黑体"/>
                <w:spacing w:val="-2"/>
                <w:sz w:val="24"/>
              </w:rPr>
              <w:t>医生助理和牙医助理</w:t>
            </w:r>
          </w:p>
        </w:tc>
        <w:tc>
          <w:tcPr>
            <w:tcW w:w="2949" w:type="dxa"/>
          </w:tcPr>
          <w:p>
            <w:pPr>
              <w:pStyle w:val="TableParagraph"/>
              <w:spacing w:before="0"/>
              <w:ind w:left="110"/>
              <w:rPr>
                <w:rFonts w:ascii="黑体" w:eastAsia="黑体"/>
                <w:sz w:val="24"/>
              </w:rPr>
            </w:pPr>
            <w:r>
              <w:rPr>
                <w:rFonts w:ascii="黑体" w:eastAsia="黑体"/>
                <w:spacing w:val="-2"/>
                <w:sz w:val="24"/>
              </w:rPr>
              <w:t>救护车工作人员</w:t>
            </w:r>
          </w:p>
        </w:tc>
      </w:tr>
    </w:tbl>
    <w:p>
      <w:pPr>
        <w:spacing w:after="0"/>
        <w:rPr>
          <w:rFonts w:ascii="黑体" w:eastAsia="黑体"/>
          <w:sz w:val="24"/>
        </w:rPr>
        <w:sectPr>
          <w:type w:val="continuous"/>
          <w:pgSz w:w="11910" w:h="16840"/>
          <w:pgMar w:header="0" w:footer="1120" w:top="1120" w:bottom="1300" w:left="1020" w:right="1020"/>
        </w:sectPr>
      </w:pPr>
    </w:p>
    <w:tbl>
      <w:tblPr>
        <w:tblW w:w="0" w:type="auto"/>
        <w:jc w:val="left"/>
        <w:tblInd w:w="3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47"/>
        <w:gridCol w:w="2949"/>
      </w:tblGrid>
      <w:tr>
        <w:trPr>
          <w:trHeight w:val="330" w:hRule="atLeast"/>
        </w:trPr>
        <w:tc>
          <w:tcPr>
            <w:tcW w:w="2947" w:type="dxa"/>
          </w:tcPr>
          <w:p>
            <w:pPr>
              <w:pStyle w:val="TableParagraph"/>
              <w:spacing w:line="307" w:lineRule="exact" w:before="0"/>
              <w:ind w:left="107"/>
              <w:rPr>
                <w:rFonts w:ascii="黑体" w:eastAsia="黑体"/>
                <w:sz w:val="24"/>
              </w:rPr>
            </w:pPr>
            <w:r>
              <w:rPr>
                <w:rFonts w:ascii="黑体" w:eastAsia="黑体"/>
                <w:spacing w:val="-4"/>
                <w:sz w:val="24"/>
              </w:rPr>
              <w:t>助产士</w:t>
            </w:r>
          </w:p>
        </w:tc>
        <w:tc>
          <w:tcPr>
            <w:tcW w:w="2949" w:type="dxa"/>
          </w:tcPr>
          <w:p>
            <w:pPr>
              <w:pStyle w:val="TableParagraph"/>
              <w:spacing w:line="307" w:lineRule="exact" w:before="0"/>
              <w:ind w:left="110"/>
              <w:rPr>
                <w:rFonts w:ascii="黑体" w:eastAsia="黑体"/>
                <w:sz w:val="24"/>
              </w:rPr>
            </w:pPr>
            <w:r>
              <w:rPr>
                <w:rFonts w:ascii="黑体" w:eastAsia="黑体"/>
                <w:spacing w:val="-3"/>
                <w:sz w:val="24"/>
              </w:rPr>
              <w:t>消防队员</w:t>
            </w:r>
          </w:p>
        </w:tc>
      </w:tr>
      <w:tr>
        <w:trPr>
          <w:trHeight w:val="311" w:hRule="atLeast"/>
        </w:trPr>
        <w:tc>
          <w:tcPr>
            <w:tcW w:w="2947" w:type="dxa"/>
          </w:tcPr>
          <w:p>
            <w:pPr>
              <w:pStyle w:val="TableParagraph"/>
              <w:spacing w:line="292" w:lineRule="exact" w:before="0"/>
              <w:ind w:left="107"/>
              <w:rPr>
                <w:rFonts w:ascii="黑体" w:eastAsia="黑体"/>
                <w:sz w:val="24"/>
              </w:rPr>
            </w:pPr>
            <w:r>
              <w:rPr>
                <w:rFonts w:ascii="黑体" w:eastAsia="黑体"/>
                <w:spacing w:val="-5"/>
                <w:sz w:val="24"/>
              </w:rPr>
              <w:t>警察</w:t>
            </w:r>
          </w:p>
        </w:tc>
        <w:tc>
          <w:tcPr>
            <w:tcW w:w="2949" w:type="dxa"/>
          </w:tcPr>
          <w:p>
            <w:pPr>
              <w:pStyle w:val="TableParagraph"/>
              <w:spacing w:line="292" w:lineRule="exact" w:before="0"/>
              <w:ind w:left="110"/>
              <w:rPr>
                <w:rFonts w:ascii="黑体" w:eastAsia="黑体"/>
                <w:sz w:val="24"/>
              </w:rPr>
            </w:pPr>
            <w:r>
              <w:rPr>
                <w:rFonts w:ascii="黑体" w:eastAsia="黑体"/>
                <w:spacing w:val="-5"/>
                <w:sz w:val="24"/>
              </w:rPr>
              <w:t>狱警</w:t>
            </w:r>
          </w:p>
        </w:tc>
      </w:tr>
    </w:tbl>
    <w:p>
      <w:pPr>
        <w:spacing w:line="242" w:lineRule="auto" w:before="0"/>
        <w:ind w:left="1922" w:right="218" w:firstLine="0"/>
        <w:jc w:val="left"/>
        <w:rPr>
          <w:rFonts w:ascii="黑体" w:eastAsia="黑体"/>
          <w:sz w:val="24"/>
        </w:rPr>
      </w:pPr>
      <w:r>
        <w:rPr>
          <w:rFonts w:ascii="黑体" w:eastAsia="黑体"/>
          <w:spacing w:val="-2"/>
          <w:sz w:val="24"/>
        </w:rPr>
        <w:t>在任何治愈艾滋病（AIDS）</w:t>
      </w:r>
      <w:r>
        <w:rPr>
          <w:rFonts w:ascii="黑体" w:eastAsia="黑体"/>
          <w:spacing w:val="-7"/>
          <w:sz w:val="24"/>
        </w:rPr>
        <w:t>或阻止 </w:t>
      </w:r>
      <w:r>
        <w:rPr>
          <w:rFonts w:ascii="黑体" w:eastAsia="黑体"/>
          <w:spacing w:val="-2"/>
          <w:sz w:val="24"/>
        </w:rPr>
        <w:t>HIV</w:t>
      </w:r>
      <w:r>
        <w:rPr>
          <w:rFonts w:ascii="黑体" w:eastAsia="黑体"/>
          <w:spacing w:val="-7"/>
          <w:sz w:val="24"/>
        </w:rPr>
        <w:t> 病毒作用的疗法被发现以后，或能</w:t>
      </w:r>
      <w:r>
        <w:rPr>
          <w:rFonts w:ascii="黑体" w:eastAsia="黑体"/>
          <w:spacing w:val="-8"/>
          <w:sz w:val="24"/>
        </w:rPr>
        <w:t>防止 </w:t>
      </w:r>
      <w:r>
        <w:rPr>
          <w:rFonts w:ascii="黑体" w:eastAsia="黑体"/>
          <w:sz w:val="24"/>
        </w:rPr>
        <w:t>AIDS</w:t>
      </w:r>
      <w:r>
        <w:rPr>
          <w:rFonts w:ascii="黑体" w:eastAsia="黑体"/>
          <w:spacing w:val="-5"/>
          <w:sz w:val="24"/>
        </w:rPr>
        <w:t> 发生的医疗方法被研究出来以后，本保障将不再予以赔付。</w:t>
      </w:r>
    </w:p>
    <w:p>
      <w:pPr>
        <w:spacing w:line="242" w:lineRule="auto" w:before="1"/>
        <w:ind w:left="1922" w:right="218" w:firstLine="0"/>
        <w:jc w:val="left"/>
        <w:rPr>
          <w:rFonts w:ascii="黑体" w:eastAsia="黑体"/>
          <w:sz w:val="24"/>
        </w:rPr>
      </w:pPr>
      <w:r>
        <w:rPr>
          <w:rFonts w:ascii="黑体" w:eastAsia="黑体"/>
          <w:spacing w:val="-2"/>
          <w:sz w:val="24"/>
        </w:rPr>
        <w:t>任何因其他传播方式（包括：性传播或静脉注射毒品）</w:t>
      </w:r>
      <w:r>
        <w:rPr>
          <w:rFonts w:ascii="黑体" w:eastAsia="黑体"/>
          <w:spacing w:val="-8"/>
          <w:sz w:val="24"/>
        </w:rPr>
        <w:t>导致的 </w:t>
      </w:r>
      <w:r>
        <w:rPr>
          <w:rFonts w:ascii="黑体" w:eastAsia="黑体"/>
          <w:spacing w:val="-2"/>
          <w:sz w:val="24"/>
        </w:rPr>
        <w:t>HIV</w:t>
      </w:r>
      <w:r>
        <w:rPr>
          <w:rFonts w:ascii="黑体" w:eastAsia="黑体"/>
          <w:spacing w:val="-8"/>
          <w:sz w:val="24"/>
        </w:rPr>
        <w:t> 感染不</w:t>
      </w:r>
      <w:r>
        <w:rPr>
          <w:rFonts w:ascii="黑体" w:eastAsia="黑体"/>
          <w:spacing w:val="-2"/>
          <w:sz w:val="24"/>
        </w:rPr>
        <w:t>在本保单保障范围内。</w:t>
      </w:r>
    </w:p>
    <w:p>
      <w:pPr>
        <w:pStyle w:val="BodyText"/>
        <w:spacing w:line="278" w:lineRule="auto" w:before="26"/>
        <w:ind w:left="1922" w:right="215"/>
      </w:pPr>
      <w:r>
        <w:rPr>
          <w:spacing w:val="2"/>
          <w:w w:val="100"/>
        </w:rPr>
        <w:t>保险公司必须拥有获得使用被保险人的所有血液样本的权利和能够对这些样本进行</w:t>
      </w:r>
      <w:r>
        <w:rPr>
          <w:spacing w:val="-3"/>
          <w:w w:val="100"/>
        </w:rPr>
        <w:t>独立检验的权利。</w:t>
      </w:r>
    </w:p>
    <w:p>
      <w:pPr>
        <w:pStyle w:val="BodyText"/>
        <w:spacing w:before="2"/>
        <w:rPr>
          <w:sz w:val="12"/>
        </w:rPr>
      </w:pPr>
    </w:p>
    <w:p>
      <w:pPr>
        <w:spacing w:after="0"/>
        <w:rPr>
          <w:sz w:val="12"/>
        </w:rPr>
        <w:sectPr>
          <w:type w:val="continuous"/>
          <w:pgSz w:w="11910" w:h="16840"/>
          <w:pgMar w:header="0" w:footer="1120" w:top="140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因器官</w:t>
      </w:r>
      <w:r>
        <w:rPr>
          <w:rFonts w:ascii="楷体" w:eastAsia="楷体" w:hint="eastAsia"/>
          <w:b/>
          <w:spacing w:val="-2"/>
          <w:sz w:val="21"/>
        </w:rPr>
        <w:t>移植导致的人</w:t>
      </w:r>
      <w:r>
        <w:rPr>
          <w:rFonts w:ascii="楷体" w:eastAsia="楷体" w:hint="eastAsia"/>
          <w:b/>
          <w:spacing w:val="-2"/>
          <w:sz w:val="21"/>
        </w:rPr>
        <w:t>类免疫缺陷病</w:t>
      </w:r>
      <w:r>
        <w:rPr>
          <w:rFonts w:ascii="楷体" w:eastAsia="楷体" w:hint="eastAsia"/>
          <w:b/>
          <w:spacing w:val="-2"/>
          <w:sz w:val="21"/>
        </w:rPr>
        <w:t>毒（HIV）感</w:t>
      </w:r>
      <w:r>
        <w:rPr>
          <w:rFonts w:ascii="楷体" w:eastAsia="楷体" w:hint="eastAsia"/>
          <w:b/>
          <w:spacing w:val="-10"/>
          <w:sz w:val="21"/>
        </w:rPr>
        <w:t>染</w:t>
      </w:r>
    </w:p>
    <w:p>
      <w:pPr>
        <w:pStyle w:val="BodyText"/>
        <w:spacing w:before="72"/>
        <w:ind w:left="111"/>
      </w:pPr>
      <w:r>
        <w:rPr/>
        <w:br w:type="column"/>
      </w:r>
      <w:r>
        <w:rPr>
          <w:spacing w:val="-6"/>
        </w:rPr>
        <w:t>指因进行器官移植而感染上人类免疫缺陷病毒</w:t>
      </w:r>
      <w:r>
        <w:rPr>
          <w:spacing w:val="12"/>
        </w:rPr>
        <w:t>（H</w:t>
      </w:r>
      <w:r>
        <w:rPr>
          <w:spacing w:val="9"/>
        </w:rPr>
        <w:t>IV</w:t>
      </w:r>
      <w:r>
        <w:rPr>
          <w:spacing w:val="-94"/>
        </w:rPr>
        <w:t>）</w:t>
      </w:r>
      <w:r>
        <w:rPr>
          <w:spacing w:val="-7"/>
        </w:rPr>
        <w:t>，且须满足下列全部条件：</w:t>
      </w:r>
    </w:p>
    <w:p>
      <w:pPr>
        <w:pStyle w:val="ListParagraph"/>
        <w:numPr>
          <w:ilvl w:val="0"/>
          <w:numId w:val="79"/>
        </w:numPr>
        <w:tabs>
          <w:tab w:pos="641" w:val="left" w:leader="none"/>
        </w:tabs>
        <w:spacing w:line="240" w:lineRule="auto" w:before="43" w:after="0"/>
        <w:ind w:left="640" w:right="0" w:hanging="530"/>
        <w:jc w:val="left"/>
        <w:rPr>
          <w:sz w:val="21"/>
        </w:rPr>
      </w:pPr>
      <w:r>
        <w:rPr>
          <w:spacing w:val="-3"/>
          <w:sz w:val="21"/>
        </w:rPr>
        <w:t>因治疗必需而实施器官移植，并且因器官移植而感染人类免疫缺陷病毒；</w:t>
      </w:r>
    </w:p>
    <w:p>
      <w:pPr>
        <w:pStyle w:val="ListParagraph"/>
        <w:numPr>
          <w:ilvl w:val="0"/>
          <w:numId w:val="79"/>
        </w:numPr>
        <w:tabs>
          <w:tab w:pos="643" w:val="left" w:leader="none"/>
        </w:tabs>
        <w:spacing w:line="278" w:lineRule="auto" w:before="43" w:after="0"/>
        <w:ind w:left="111" w:right="216" w:firstLine="0"/>
        <w:jc w:val="left"/>
        <w:rPr>
          <w:sz w:val="21"/>
        </w:rPr>
      </w:pPr>
      <w:r>
        <w:rPr>
          <w:spacing w:val="-2"/>
          <w:sz w:val="21"/>
        </w:rPr>
        <w:t>提供器官移植治疗的器官移植中心或医院出具的此次因器官移植感染人类免疫</w:t>
      </w:r>
      <w:r>
        <w:rPr>
          <w:spacing w:val="-2"/>
          <w:sz w:val="21"/>
        </w:rPr>
        <w:t>缺陷病毒，属于医疗事故的报告，或者法院终审裁定为医疗事故并且不准上诉；</w:t>
      </w:r>
    </w:p>
    <w:p>
      <w:pPr>
        <w:pStyle w:val="ListParagraph"/>
        <w:numPr>
          <w:ilvl w:val="0"/>
          <w:numId w:val="79"/>
        </w:numPr>
        <w:tabs>
          <w:tab w:pos="641" w:val="left" w:leader="none"/>
        </w:tabs>
        <w:spacing w:line="269" w:lineRule="exact" w:before="0" w:after="0"/>
        <w:ind w:left="640" w:right="0" w:hanging="530"/>
        <w:jc w:val="left"/>
        <w:rPr>
          <w:sz w:val="21"/>
        </w:rPr>
      </w:pPr>
      <w:r>
        <w:rPr>
          <w:spacing w:val="-3"/>
          <w:sz w:val="21"/>
        </w:rPr>
        <w:t>提供器官移植治疗的器官移植中心或医院必须拥有合法经营执照。</w:t>
      </w:r>
    </w:p>
    <w:p>
      <w:pPr>
        <w:spacing w:line="242" w:lineRule="auto" w:before="20"/>
        <w:ind w:left="111" w:right="218" w:firstLine="0"/>
        <w:jc w:val="left"/>
        <w:rPr>
          <w:rFonts w:ascii="黑体" w:eastAsia="黑体"/>
          <w:sz w:val="24"/>
        </w:rPr>
      </w:pPr>
      <w:r>
        <w:rPr>
          <w:rFonts w:ascii="黑体" w:eastAsia="黑体"/>
          <w:spacing w:val="-2"/>
          <w:sz w:val="24"/>
        </w:rPr>
        <w:t>在任何治愈艾滋病（AIDS）</w:t>
      </w:r>
      <w:r>
        <w:rPr>
          <w:rFonts w:ascii="黑体" w:eastAsia="黑体"/>
          <w:spacing w:val="-7"/>
          <w:sz w:val="24"/>
        </w:rPr>
        <w:t>或阻止 </w:t>
      </w:r>
      <w:r>
        <w:rPr>
          <w:rFonts w:ascii="黑体" w:eastAsia="黑体"/>
          <w:spacing w:val="-2"/>
          <w:sz w:val="24"/>
        </w:rPr>
        <w:t>HIV</w:t>
      </w:r>
      <w:r>
        <w:rPr>
          <w:rFonts w:ascii="黑体" w:eastAsia="黑体"/>
          <w:spacing w:val="-7"/>
          <w:sz w:val="24"/>
        </w:rPr>
        <w:t> 病毒作用的疗法被发现以后，或能</w:t>
      </w:r>
      <w:r>
        <w:rPr>
          <w:rFonts w:ascii="黑体" w:eastAsia="黑体"/>
          <w:spacing w:val="-8"/>
          <w:sz w:val="24"/>
        </w:rPr>
        <w:t>防止 </w:t>
      </w:r>
      <w:r>
        <w:rPr>
          <w:rFonts w:ascii="黑体" w:eastAsia="黑体"/>
          <w:sz w:val="24"/>
        </w:rPr>
        <w:t>AIDS</w:t>
      </w:r>
      <w:r>
        <w:rPr>
          <w:rFonts w:ascii="黑体" w:eastAsia="黑体"/>
          <w:spacing w:val="-5"/>
          <w:sz w:val="24"/>
        </w:rPr>
        <w:t> 发生的医疗方法被研究出来以后，本保障将不再予以赔付。</w:t>
      </w:r>
    </w:p>
    <w:p>
      <w:pPr>
        <w:spacing w:line="242" w:lineRule="auto" w:before="3"/>
        <w:ind w:left="111" w:right="218" w:firstLine="0"/>
        <w:jc w:val="left"/>
        <w:rPr>
          <w:rFonts w:ascii="黑体" w:eastAsia="黑体"/>
          <w:sz w:val="24"/>
        </w:rPr>
      </w:pPr>
      <w:r>
        <w:rPr>
          <w:rFonts w:ascii="黑体" w:eastAsia="黑体"/>
          <w:spacing w:val="-2"/>
          <w:sz w:val="24"/>
        </w:rPr>
        <w:t>任何因其他传播方式（包括：性传播或静脉注射毒品）</w:t>
      </w:r>
      <w:r>
        <w:rPr>
          <w:rFonts w:ascii="黑体" w:eastAsia="黑体"/>
          <w:spacing w:val="-8"/>
          <w:sz w:val="24"/>
        </w:rPr>
        <w:t>导致的 </w:t>
      </w:r>
      <w:r>
        <w:rPr>
          <w:rFonts w:ascii="黑体" w:eastAsia="黑体"/>
          <w:spacing w:val="-2"/>
          <w:sz w:val="24"/>
        </w:rPr>
        <w:t>HIV</w:t>
      </w:r>
      <w:r>
        <w:rPr>
          <w:rFonts w:ascii="黑体" w:eastAsia="黑体"/>
          <w:spacing w:val="-8"/>
          <w:sz w:val="24"/>
        </w:rPr>
        <w:t> 感染不</w:t>
      </w:r>
      <w:r>
        <w:rPr>
          <w:rFonts w:ascii="黑体" w:eastAsia="黑体"/>
          <w:spacing w:val="-2"/>
          <w:sz w:val="24"/>
        </w:rPr>
        <w:t>在本保单保障范围内。</w:t>
      </w:r>
    </w:p>
    <w:p>
      <w:pPr>
        <w:pStyle w:val="BodyText"/>
        <w:spacing w:line="278" w:lineRule="auto" w:before="25"/>
        <w:ind w:left="111" w:right="215"/>
      </w:pPr>
      <w:r>
        <w:rPr>
          <w:spacing w:val="2"/>
          <w:w w:val="100"/>
        </w:rPr>
        <w:t>保险公司必须拥有获得使用被保险人的所有血液样本的权利和能够对这些样本进行</w:t>
      </w:r>
      <w:r>
        <w:rPr>
          <w:spacing w:val="-3"/>
          <w:w w:val="100"/>
        </w:rPr>
        <w:t>独立检验的权利。</w:t>
      </w:r>
    </w:p>
    <w:p>
      <w:pPr>
        <w:spacing w:after="0" w:line="278" w:lineRule="auto"/>
        <w:sectPr>
          <w:type w:val="continuous"/>
          <w:pgSz w:w="11910" w:h="16840"/>
          <w:pgMar w:header="0" w:footer="1120" w:top="1120" w:bottom="1300" w:left="1020" w:right="1020"/>
          <w:cols w:num="2" w:equalWidth="0">
            <w:col w:w="1772" w:space="40"/>
            <w:col w:w="8058"/>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严重类</w:t>
      </w:r>
      <w:r>
        <w:rPr>
          <w:rFonts w:ascii="楷体" w:eastAsia="楷体" w:hint="eastAsia"/>
          <w:b/>
          <w:spacing w:val="-2"/>
          <w:sz w:val="21"/>
        </w:rPr>
        <w:t>风湿性关节炎</w:t>
      </w:r>
    </w:p>
    <w:p>
      <w:pPr>
        <w:pStyle w:val="BodyText"/>
        <w:spacing w:line="278" w:lineRule="auto" w:before="71"/>
        <w:ind w:left="111" w:right="214"/>
        <w:jc w:val="both"/>
      </w:pPr>
      <w:r>
        <w:rPr/>
        <w:br w:type="column"/>
      </w:r>
      <w:r>
        <w:rPr>
          <w:spacing w:val="-2"/>
        </w:rPr>
        <w:t>是一种广泛分布的慢性进行性多关节病变，临床表现为关节严重变形，侵犯至少三个</w:t>
      </w:r>
      <w:r>
        <w:rPr>
          <w:spacing w:val="-2"/>
        </w:rPr>
        <w:t>主要关节或关节组（如：双手（多手指）关节、双足（多足趾）关节、双腕关节、双</w:t>
      </w:r>
      <w:r>
        <w:rPr>
          <w:spacing w:val="-2"/>
        </w:rPr>
        <w:t>膝关节和双髋关节</w:t>
      </w:r>
      <w:r>
        <w:rPr>
          <w:spacing w:val="-108"/>
        </w:rPr>
        <w:t>）</w:t>
      </w:r>
      <w:r>
        <w:rPr>
          <w:spacing w:val="-2"/>
        </w:rPr>
        <w:t>。</w:t>
      </w:r>
    </w:p>
    <w:p>
      <w:pPr>
        <w:pStyle w:val="BodyText"/>
        <w:spacing w:line="278" w:lineRule="auto" w:before="0"/>
        <w:ind w:left="111" w:right="213" w:hanging="1"/>
      </w:pPr>
      <w:r>
        <w:rPr>
          <w:spacing w:val="-2"/>
        </w:rPr>
        <w:t>经相关专科医生确诊，已经达到类风湿性关节炎功能分类Ⅳ级的永久不可逆性关节功</w:t>
      </w:r>
      <w:r>
        <w:rPr>
          <w:spacing w:val="-2"/>
        </w:rPr>
        <w:t>能障碍（生活不能自理，且丧失工作能力</w:t>
      </w:r>
      <w:r>
        <w:rPr>
          <w:spacing w:val="-106"/>
        </w:rPr>
        <w:t>）</w:t>
      </w:r>
      <w:r>
        <w:rPr>
          <w:spacing w:val="-3"/>
        </w:rPr>
        <w:t>，且须满足下列全部条件：</w:t>
      </w:r>
    </w:p>
    <w:p>
      <w:pPr>
        <w:pStyle w:val="BodyText"/>
        <w:spacing w:line="269" w:lineRule="exact" w:before="0"/>
        <w:ind w:left="111"/>
      </w:pPr>
      <w:r>
        <w:rPr>
          <w:spacing w:val="-2"/>
        </w:rPr>
        <w:t>（1）</w:t>
      </w:r>
      <w:r>
        <w:rPr>
          <w:spacing w:val="-5"/>
        </w:rPr>
        <w:t>晨僵；</w:t>
      </w:r>
    </w:p>
    <w:p>
      <w:pPr>
        <w:pStyle w:val="ListParagraph"/>
        <w:numPr>
          <w:ilvl w:val="0"/>
          <w:numId w:val="80"/>
        </w:numPr>
        <w:tabs>
          <w:tab w:pos="641" w:val="left" w:leader="none"/>
        </w:tabs>
        <w:spacing w:line="240" w:lineRule="auto" w:before="43" w:after="0"/>
        <w:ind w:left="640" w:right="0" w:hanging="530"/>
        <w:jc w:val="left"/>
        <w:rPr>
          <w:sz w:val="21"/>
        </w:rPr>
      </w:pPr>
      <w:r>
        <w:rPr>
          <w:spacing w:val="-4"/>
          <w:sz w:val="21"/>
        </w:rPr>
        <w:t>对称性关节炎；</w:t>
      </w:r>
    </w:p>
    <w:p>
      <w:pPr>
        <w:pStyle w:val="ListParagraph"/>
        <w:numPr>
          <w:ilvl w:val="0"/>
          <w:numId w:val="80"/>
        </w:numPr>
        <w:tabs>
          <w:tab w:pos="641" w:val="left" w:leader="none"/>
        </w:tabs>
        <w:spacing w:line="240" w:lineRule="auto" w:before="43" w:after="0"/>
        <w:ind w:left="640" w:right="0" w:hanging="530"/>
        <w:jc w:val="left"/>
        <w:rPr>
          <w:sz w:val="21"/>
        </w:rPr>
      </w:pPr>
      <w:r>
        <w:rPr>
          <w:spacing w:val="-3"/>
          <w:sz w:val="21"/>
        </w:rPr>
        <w:t>类风湿性皮下结节；</w:t>
      </w:r>
    </w:p>
    <w:p>
      <w:pPr>
        <w:pStyle w:val="ListParagraph"/>
        <w:numPr>
          <w:ilvl w:val="0"/>
          <w:numId w:val="80"/>
        </w:numPr>
        <w:tabs>
          <w:tab w:pos="641" w:val="left" w:leader="none"/>
        </w:tabs>
        <w:spacing w:line="240" w:lineRule="auto" w:before="43" w:after="0"/>
        <w:ind w:left="640" w:right="0" w:hanging="530"/>
        <w:jc w:val="left"/>
        <w:rPr>
          <w:sz w:val="21"/>
        </w:rPr>
      </w:pPr>
      <w:r>
        <w:rPr>
          <w:spacing w:val="-3"/>
          <w:sz w:val="21"/>
        </w:rPr>
        <w:t>类风湿因子滴度升高；</w:t>
      </w:r>
    </w:p>
    <w:p>
      <w:pPr>
        <w:pStyle w:val="BodyText"/>
        <w:spacing w:before="42"/>
        <w:ind w:left="111"/>
      </w:pPr>
      <w:r>
        <w:rPr>
          <w:spacing w:val="-2"/>
        </w:rPr>
        <w:t>（5）X</w:t>
      </w:r>
      <w:r>
        <w:rPr>
          <w:spacing w:val="-8"/>
        </w:rPr>
        <w:t> 线显示严重的关节</w:t>
      </w:r>
      <w:r>
        <w:rPr>
          <w:spacing w:val="-2"/>
        </w:rPr>
        <w:t>（软骨和骨）</w:t>
      </w:r>
      <w:r>
        <w:rPr>
          <w:spacing w:val="-4"/>
        </w:rPr>
        <w:t>破坏和关节畸形。</w:t>
      </w:r>
    </w:p>
    <w:p>
      <w:pPr>
        <w:spacing w:after="0"/>
        <w:sectPr>
          <w:type w:val="continuous"/>
          <w:pgSz w:w="11910" w:h="16840"/>
          <w:pgMar w:header="0" w:footer="1120" w:top="1120" w:bottom="1300" w:left="1020" w:right="1020"/>
          <w:cols w:num="2" w:equalWidth="0">
            <w:col w:w="1772" w:space="40"/>
            <w:col w:w="8058"/>
          </w:cols>
        </w:sectPr>
      </w:pPr>
    </w:p>
    <w:p>
      <w:pPr>
        <w:pStyle w:val="BodyText"/>
        <w:spacing w:before="6"/>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克-雅</w:t>
      </w:r>
      <w:r>
        <w:rPr>
          <w:rFonts w:ascii="楷体" w:eastAsia="楷体" w:hint="eastAsia"/>
          <w:b/>
          <w:spacing w:val="-2"/>
          <w:sz w:val="21"/>
        </w:rPr>
        <w:t>氏病（CJD、</w:t>
      </w:r>
      <w:r>
        <w:rPr>
          <w:rFonts w:ascii="楷体" w:eastAsia="楷体" w:hint="eastAsia"/>
          <w:b/>
          <w:spacing w:val="-2"/>
          <w:sz w:val="21"/>
        </w:rPr>
        <w:t>人类疯牛病</w:t>
      </w:r>
      <w:r>
        <w:rPr>
          <w:rFonts w:ascii="楷体" w:eastAsia="楷体" w:hint="eastAsia"/>
          <w:b/>
          <w:spacing w:val="-2"/>
          <w:sz w:val="21"/>
        </w:rPr>
        <w:t>）</w:t>
      </w:r>
    </w:p>
    <w:p>
      <w:pPr>
        <w:pStyle w:val="BodyText"/>
        <w:spacing w:line="278" w:lineRule="auto" w:before="71"/>
        <w:ind w:left="111" w:right="110"/>
      </w:pPr>
      <w:r>
        <w:rPr/>
        <w:br w:type="column"/>
      </w:r>
      <w:r>
        <w:rPr>
          <w:spacing w:val="-12"/>
        </w:rPr>
        <w:t>是一种传染性海绵状脑病，临床表现为快速进行性痴呆、肌阵挛和特征性脑电图变化。</w:t>
      </w:r>
      <w:r>
        <w:rPr>
          <w:spacing w:val="-4"/>
        </w:rPr>
        <w:t>经相关专科医生根据 </w:t>
      </w:r>
      <w:r>
        <w:rPr>
          <w:rFonts w:ascii="Arial" w:eastAsia="Arial"/>
        </w:rPr>
        <w:t>WHO </w:t>
      </w:r>
      <w:r>
        <w:rPr/>
        <w:t>诊断标准确诊，且须满足自主生活能力完全丧失，无法独</w:t>
      </w:r>
      <w:r>
        <w:rPr>
          <w:spacing w:val="-2"/>
        </w:rPr>
        <w:t>立完成六项基本日常生活活动中的三项或三项以上。</w:t>
      </w:r>
    </w:p>
    <w:p>
      <w:pPr>
        <w:spacing w:line="284" w:lineRule="exact" w:before="0"/>
        <w:ind w:left="111" w:right="0" w:firstLine="0"/>
        <w:jc w:val="left"/>
        <w:rPr>
          <w:rFonts w:ascii="黑体" w:eastAsia="黑体"/>
          <w:sz w:val="24"/>
        </w:rPr>
      </w:pPr>
      <w:r>
        <w:rPr>
          <w:rFonts w:ascii="黑体" w:eastAsia="黑体"/>
          <w:spacing w:val="-1"/>
          <w:sz w:val="24"/>
        </w:rPr>
        <w:t>克-雅氏病疑似病例除外。</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5"/>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斯蒂尔</w:t>
      </w:r>
      <w:r>
        <w:rPr>
          <w:rFonts w:ascii="楷体" w:eastAsia="楷体" w:hint="eastAsia"/>
          <w:b/>
          <w:spacing w:val="-2"/>
          <w:sz w:val="21"/>
        </w:rPr>
        <w:t>病（全身型幼</w:t>
      </w:r>
      <w:r>
        <w:rPr>
          <w:rFonts w:ascii="楷体" w:eastAsia="楷体" w:hint="eastAsia"/>
          <w:b/>
          <w:spacing w:val="-2"/>
          <w:sz w:val="21"/>
        </w:rPr>
        <w:t>年类风湿性关</w:t>
      </w:r>
      <w:r>
        <w:rPr>
          <w:rFonts w:ascii="楷体" w:eastAsia="楷体" w:hint="eastAsia"/>
          <w:b/>
          <w:spacing w:val="-4"/>
          <w:sz w:val="21"/>
        </w:rPr>
        <w:t>节炎）</w:t>
      </w:r>
    </w:p>
    <w:p>
      <w:pPr>
        <w:pStyle w:val="BodyText"/>
        <w:spacing w:line="278" w:lineRule="auto" w:before="71"/>
        <w:ind w:left="111" w:right="374"/>
      </w:pPr>
      <w:r>
        <w:rPr/>
        <w:br w:type="column"/>
      </w:r>
      <w:r>
        <w:rPr>
          <w:spacing w:val="-2"/>
        </w:rPr>
        <w:t>指未成年时期的一种全身结缔组织病。以慢性关节炎为主要特征性表现伴有多关节</w:t>
      </w:r>
      <w:r>
        <w:rPr>
          <w:spacing w:val="-2"/>
        </w:rPr>
        <w:t>外器官损害的全身性疾病。须明确诊断，并且满足下列条件之一：</w:t>
      </w:r>
    </w:p>
    <w:p>
      <w:pPr>
        <w:pStyle w:val="ListParagraph"/>
        <w:numPr>
          <w:ilvl w:val="0"/>
          <w:numId w:val="81"/>
        </w:numPr>
        <w:tabs>
          <w:tab w:pos="641" w:val="left" w:leader="none"/>
        </w:tabs>
        <w:spacing w:line="269" w:lineRule="exact" w:before="0" w:after="0"/>
        <w:ind w:left="640" w:right="0" w:hanging="530"/>
        <w:jc w:val="left"/>
        <w:rPr>
          <w:sz w:val="21"/>
        </w:rPr>
      </w:pPr>
      <w:r>
        <w:rPr>
          <w:spacing w:val="-3"/>
          <w:sz w:val="21"/>
        </w:rPr>
        <w:t>实际接受了膝关节或髋关节置换手术治疗。</w:t>
      </w:r>
    </w:p>
    <w:p>
      <w:pPr>
        <w:pStyle w:val="ListParagraph"/>
        <w:numPr>
          <w:ilvl w:val="0"/>
          <w:numId w:val="81"/>
        </w:numPr>
        <w:tabs>
          <w:tab w:pos="641" w:val="left" w:leader="none"/>
        </w:tabs>
        <w:spacing w:line="278" w:lineRule="auto" w:before="43" w:after="0"/>
        <w:ind w:left="111" w:right="379" w:firstLine="0"/>
        <w:jc w:val="left"/>
        <w:rPr>
          <w:sz w:val="21"/>
        </w:rPr>
      </w:pPr>
      <w:r>
        <w:rPr>
          <w:spacing w:val="-2"/>
          <w:sz w:val="21"/>
        </w:rPr>
        <w:t>全身型幼年特发性关节炎（SJIA）合并巨噬细胞活化综合征（MAS）并且存在</w:t>
      </w:r>
      <w:r>
        <w:rPr>
          <w:spacing w:val="-2"/>
          <w:sz w:val="21"/>
        </w:rPr>
        <w:t>下列一项器官功能损害：</w:t>
      </w:r>
    </w:p>
    <w:p>
      <w:pPr>
        <w:pStyle w:val="BodyText"/>
        <w:spacing w:line="269" w:lineRule="exact" w:before="0"/>
        <w:ind w:left="111"/>
      </w:pPr>
      <w:r>
        <w:rPr>
          <w:spacing w:val="-3"/>
        </w:rPr>
        <w:t>①肾功能衰竭，接受了血液透析治疗；</w:t>
      </w:r>
    </w:p>
    <w:p>
      <w:pPr>
        <w:pStyle w:val="BodyText"/>
        <w:ind w:left="111"/>
      </w:pPr>
      <w:r>
        <w:rPr>
          <w:spacing w:val="-3"/>
        </w:rPr>
        <w:t>②心功能衰竭，接受了强心药物治疗；</w:t>
      </w:r>
    </w:p>
    <w:p>
      <w:pPr>
        <w:pStyle w:val="BodyText"/>
        <w:ind w:left="111"/>
      </w:pPr>
      <w:r>
        <w:rPr>
          <w:spacing w:val="-3"/>
        </w:rPr>
        <w:t>③呼吸功能衰竭，接受了呼吸机治疗。</w:t>
      </w:r>
    </w:p>
    <w:p>
      <w:pPr>
        <w:spacing w:after="0"/>
        <w:sectPr>
          <w:type w:val="continuous"/>
          <w:pgSz w:w="11910" w:h="16840"/>
          <w:pgMar w:header="0" w:footer="1120" w:top="1120" w:bottom="1300" w:left="1020" w:right="1020"/>
          <w:cols w:num="2" w:equalWidth="0">
            <w:col w:w="1772" w:space="40"/>
            <w:col w:w="8058"/>
          </w:cols>
        </w:sectPr>
      </w:pPr>
    </w:p>
    <w:p>
      <w:pPr>
        <w:spacing w:before="37"/>
        <w:ind w:left="0" w:right="259" w:firstLine="0"/>
        <w:jc w:val="center"/>
        <w:rPr>
          <w:rFonts w:ascii="黑体" w:eastAsia="黑体"/>
          <w:sz w:val="24"/>
        </w:rPr>
      </w:pPr>
      <w:r>
        <w:rPr>
          <w:rFonts w:ascii="黑体" w:eastAsia="黑体"/>
          <w:spacing w:val="-1"/>
          <w:sz w:val="24"/>
        </w:rPr>
        <w:t>未成年人其他类型的类风湿性关节炎不在保障范围内。</w:t>
      </w:r>
    </w:p>
    <w:p>
      <w:pPr>
        <w:pStyle w:val="BodyText"/>
        <w:spacing w:before="5"/>
        <w:rPr>
          <w:rFonts w:ascii="黑体"/>
          <w:sz w:val="14"/>
        </w:rPr>
      </w:pPr>
    </w:p>
    <w:p>
      <w:pPr>
        <w:spacing w:after="0"/>
        <w:rPr>
          <w:rFonts w:ascii="黑体"/>
          <w:sz w:val="14"/>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失去一</w:t>
      </w:r>
      <w:r>
        <w:rPr>
          <w:rFonts w:ascii="楷体" w:eastAsia="楷体" w:hint="eastAsia"/>
          <w:b/>
          <w:spacing w:val="-4"/>
          <w:sz w:val="21"/>
        </w:rPr>
        <w:t>肢及一眼</w:t>
      </w:r>
    </w:p>
    <w:p>
      <w:pPr>
        <w:pStyle w:val="BodyText"/>
        <w:spacing w:line="278" w:lineRule="auto" w:before="71"/>
        <w:ind w:left="178" w:right="214"/>
      </w:pPr>
      <w:r>
        <w:rPr/>
        <w:br w:type="column"/>
      </w:r>
      <w:r>
        <w:rPr>
          <w:spacing w:val="-2"/>
        </w:rPr>
        <w:t>指因疾病或意外伤害导致单眼视力丧失及任何一肢自腕关节或踝关节近端（靠近躯干</w:t>
      </w:r>
      <w:r>
        <w:rPr>
          <w:spacing w:val="-2"/>
        </w:rPr>
        <w:t>端）以上完全性断离。</w:t>
      </w:r>
    </w:p>
    <w:p>
      <w:pPr>
        <w:pStyle w:val="BodyText"/>
        <w:spacing w:line="269" w:lineRule="exact" w:before="0"/>
        <w:ind w:left="178"/>
      </w:pPr>
      <w:r>
        <w:rPr>
          <w:spacing w:val="-3"/>
        </w:rPr>
        <w:t>单眼视力丧失指单眼视力永久不可逆性丧失，患眼须满足下列至少一项条件：</w:t>
      </w:r>
    </w:p>
    <w:p>
      <w:pPr>
        <w:pStyle w:val="ListParagraph"/>
        <w:numPr>
          <w:ilvl w:val="0"/>
          <w:numId w:val="82"/>
        </w:numPr>
        <w:tabs>
          <w:tab w:pos="708" w:val="left" w:leader="none"/>
        </w:tabs>
        <w:spacing w:line="240" w:lineRule="auto" w:before="43" w:after="0"/>
        <w:ind w:left="707" w:right="0" w:hanging="530"/>
        <w:jc w:val="left"/>
        <w:rPr>
          <w:sz w:val="21"/>
        </w:rPr>
      </w:pPr>
      <w:r>
        <w:rPr>
          <w:spacing w:val="-4"/>
          <w:sz w:val="21"/>
        </w:rPr>
        <w:t>眼球缺失或摘除；</w:t>
      </w:r>
    </w:p>
    <w:p>
      <w:pPr>
        <w:pStyle w:val="ListParagraph"/>
        <w:numPr>
          <w:ilvl w:val="0"/>
          <w:numId w:val="82"/>
        </w:numPr>
        <w:tabs>
          <w:tab w:pos="708" w:val="left" w:leader="none"/>
        </w:tabs>
        <w:spacing w:line="240" w:lineRule="auto" w:before="43" w:after="0"/>
        <w:ind w:left="707" w:right="0" w:hanging="530"/>
        <w:jc w:val="left"/>
        <w:rPr>
          <w:sz w:val="21"/>
        </w:rPr>
      </w:pPr>
      <w:r>
        <w:rPr>
          <w:spacing w:val="-6"/>
          <w:sz w:val="21"/>
        </w:rPr>
        <w:t>矫正视力低于 </w:t>
      </w:r>
      <w:r>
        <w:rPr>
          <w:spacing w:val="-2"/>
          <w:sz w:val="21"/>
        </w:rPr>
        <w:t>0.02（采用国际标准视力表，如果使用其它视力表应进行换算</w:t>
      </w:r>
      <w:r>
        <w:rPr>
          <w:spacing w:val="-113"/>
          <w:sz w:val="21"/>
        </w:rPr>
        <w:t>）</w:t>
      </w:r>
      <w:r>
        <w:rPr>
          <w:spacing w:val="-5"/>
          <w:sz w:val="21"/>
        </w:rPr>
        <w:t>；</w:t>
      </w:r>
    </w:p>
    <w:p>
      <w:pPr>
        <w:pStyle w:val="ListParagraph"/>
        <w:numPr>
          <w:ilvl w:val="0"/>
          <w:numId w:val="82"/>
        </w:numPr>
        <w:tabs>
          <w:tab w:pos="708" w:val="left" w:leader="none"/>
        </w:tabs>
        <w:spacing w:line="240" w:lineRule="auto" w:before="43" w:after="0"/>
        <w:ind w:left="707" w:right="0" w:hanging="530"/>
        <w:jc w:val="left"/>
        <w:rPr>
          <w:sz w:val="21"/>
        </w:rPr>
      </w:pPr>
      <w:r>
        <w:rPr>
          <w:spacing w:val="-10"/>
          <w:sz w:val="21"/>
        </w:rPr>
        <w:t>视野半径小于 </w:t>
      </w:r>
      <w:r>
        <w:rPr>
          <w:spacing w:val="-2"/>
          <w:sz w:val="21"/>
        </w:rPr>
        <w:t>5</w:t>
      </w:r>
      <w:r>
        <w:rPr>
          <w:spacing w:val="-21"/>
          <w:sz w:val="21"/>
        </w:rPr>
        <w:t> 度。</w:t>
      </w:r>
    </w:p>
    <w:p>
      <w:pPr>
        <w:spacing w:before="20"/>
        <w:ind w:left="178" w:right="0" w:firstLine="0"/>
        <w:jc w:val="left"/>
        <w:rPr>
          <w:rFonts w:ascii="黑体" w:eastAsia="黑体"/>
          <w:sz w:val="24"/>
        </w:rPr>
      </w:pPr>
      <w:r>
        <w:rPr>
          <w:rFonts w:ascii="黑体" w:eastAsia="黑体"/>
          <w:spacing w:val="-1"/>
          <w:sz w:val="24"/>
        </w:rPr>
        <w:t>被保险人在三周岁之前因疾病导致单眼视力丧失不在保障范围内。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705" w:space="40"/>
            <w:col w:w="8125"/>
          </w:cols>
        </w:sectPr>
      </w:pPr>
    </w:p>
    <w:p>
      <w:pPr>
        <w:pStyle w:val="BodyText"/>
        <w:spacing w:before="5"/>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多处臂</w:t>
      </w:r>
      <w:r>
        <w:rPr>
          <w:rFonts w:ascii="楷体" w:eastAsia="楷体" w:hint="eastAsia"/>
          <w:b/>
          <w:spacing w:val="-2"/>
          <w:sz w:val="21"/>
        </w:rPr>
        <w:t>丛神经根性撕</w:t>
      </w:r>
      <w:r>
        <w:rPr>
          <w:rFonts w:ascii="楷体" w:eastAsia="楷体" w:hint="eastAsia"/>
          <w:b/>
          <w:spacing w:val="-10"/>
          <w:sz w:val="21"/>
        </w:rPr>
        <w:t>脱</w:t>
      </w:r>
    </w:p>
    <w:p>
      <w:pPr>
        <w:pStyle w:val="BodyText"/>
        <w:spacing w:line="278" w:lineRule="auto" w:before="71"/>
        <w:ind w:left="111" w:right="214"/>
      </w:pPr>
      <w:r>
        <w:rPr/>
        <w:br w:type="column"/>
      </w:r>
      <w:r>
        <w:rPr>
          <w:spacing w:val="-2"/>
        </w:rPr>
        <w:t>指因疾病或意外伤害导致至少两根臂丛神经根性撕脱，所造成的手臂感觉功能与运动</w:t>
      </w:r>
      <w:r>
        <w:rPr>
          <w:spacing w:val="-2"/>
        </w:rPr>
        <w:t>功能完全永久性丧失。须由完整的电生理检查结果证实，并经相关专科医生确诊。</w:t>
      </w:r>
    </w:p>
    <w:p>
      <w:pPr>
        <w:spacing w:after="0" w:line="278" w:lineRule="auto"/>
        <w:sectPr>
          <w:type w:val="continuous"/>
          <w:pgSz w:w="11910" w:h="16840"/>
          <w:pgMar w:header="0" w:footer="1120" w:top="1120" w:bottom="1300" w:left="1020" w:right="1020"/>
          <w:cols w:num="2" w:equalWidth="0">
            <w:col w:w="1772" w:space="40"/>
            <w:col w:w="8058"/>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溶血性</w:t>
      </w:r>
      <w:r>
        <w:rPr>
          <w:rFonts w:ascii="楷体" w:eastAsia="楷体" w:hint="eastAsia"/>
          <w:b/>
          <w:spacing w:val="-2"/>
          <w:sz w:val="21"/>
        </w:rPr>
        <w:t>链球菌感染引</w:t>
      </w:r>
      <w:r>
        <w:rPr>
          <w:rFonts w:ascii="楷体" w:eastAsia="楷体" w:hint="eastAsia"/>
          <w:b/>
          <w:spacing w:val="-4"/>
          <w:sz w:val="21"/>
        </w:rPr>
        <w:t>起的坏疽</w:t>
      </w:r>
    </w:p>
    <w:p>
      <w:pPr>
        <w:pStyle w:val="BodyText"/>
        <w:spacing w:line="278" w:lineRule="auto" w:before="72"/>
        <w:ind w:left="111" w:right="214"/>
      </w:pPr>
      <w:r>
        <w:rPr/>
        <w:br w:type="column"/>
      </w:r>
      <w:r>
        <w:rPr>
          <w:spacing w:val="-2"/>
        </w:rPr>
        <w:t>指因急性溶血性链球菌感染导致广泛的皮肤、皮下组织和深层组织的坏死。且须满足</w:t>
      </w:r>
      <w:r>
        <w:rPr>
          <w:spacing w:val="-2"/>
        </w:rPr>
        <w:t>下列全部条件：</w:t>
      </w:r>
    </w:p>
    <w:p>
      <w:pPr>
        <w:pStyle w:val="ListParagraph"/>
        <w:numPr>
          <w:ilvl w:val="0"/>
          <w:numId w:val="83"/>
        </w:numPr>
        <w:tabs>
          <w:tab w:pos="641" w:val="left" w:leader="none"/>
        </w:tabs>
        <w:spacing w:line="269" w:lineRule="exact" w:before="0" w:after="0"/>
        <w:ind w:left="640" w:right="0" w:hanging="530"/>
        <w:jc w:val="left"/>
        <w:rPr>
          <w:sz w:val="21"/>
        </w:rPr>
      </w:pPr>
      <w:r>
        <w:rPr>
          <w:spacing w:val="-3"/>
          <w:sz w:val="21"/>
        </w:rPr>
        <w:t>细菌培养证实致病菌为溶血性链球菌；</w:t>
      </w:r>
    </w:p>
    <w:p>
      <w:pPr>
        <w:pStyle w:val="ListParagraph"/>
        <w:numPr>
          <w:ilvl w:val="0"/>
          <w:numId w:val="83"/>
        </w:numPr>
        <w:tabs>
          <w:tab w:pos="641" w:val="left" w:leader="none"/>
        </w:tabs>
        <w:spacing w:line="240" w:lineRule="auto" w:before="43" w:after="0"/>
        <w:ind w:left="640" w:right="0" w:hanging="530"/>
        <w:jc w:val="left"/>
        <w:rPr>
          <w:sz w:val="21"/>
        </w:rPr>
      </w:pPr>
      <w:r>
        <w:rPr>
          <w:spacing w:val="-2"/>
          <w:sz w:val="21"/>
        </w:rPr>
        <w:t>受感染肢体被截肢（自腕关节或踝关节近端</w:t>
      </w:r>
      <w:r>
        <w:rPr>
          <w:spacing w:val="-108"/>
          <w:sz w:val="21"/>
        </w:rPr>
        <w:t>）</w:t>
      </w:r>
      <w:r>
        <w:rPr>
          <w:spacing w:val="-10"/>
          <w:sz w:val="21"/>
        </w:rPr>
        <w:t>。</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hAnsi="楷体" w:eastAsia="楷体" w:hint="eastAsia"/>
          <w:b/>
          <w:sz w:val="21"/>
        </w:rPr>
      </w:pPr>
      <w:r>
        <w:rPr>
          <w:rFonts w:ascii="楷体" w:hAnsi="楷体" w:eastAsia="楷体" w:hint="eastAsia"/>
          <w:b/>
          <w:spacing w:val="-4"/>
          <w:sz w:val="21"/>
        </w:rPr>
        <w:t>Ⅲ型成</w:t>
      </w:r>
      <w:r>
        <w:rPr>
          <w:rFonts w:ascii="楷体" w:hAnsi="楷体" w:eastAsia="楷体" w:hint="eastAsia"/>
          <w:b/>
          <w:spacing w:val="-2"/>
          <w:sz w:val="21"/>
        </w:rPr>
        <w:t>骨不全症－十</w:t>
      </w:r>
      <w:r>
        <w:rPr>
          <w:rFonts w:ascii="楷体" w:hAnsi="楷体" w:eastAsia="楷体" w:hint="eastAsia"/>
          <w:b/>
          <w:spacing w:val="-2"/>
          <w:sz w:val="21"/>
        </w:rPr>
        <w:t>八周岁之前理</w:t>
      </w:r>
      <w:r>
        <w:rPr>
          <w:rFonts w:ascii="楷体" w:hAnsi="楷体" w:eastAsia="楷体" w:hint="eastAsia"/>
          <w:b/>
          <w:spacing w:val="-10"/>
          <w:sz w:val="21"/>
        </w:rPr>
        <w:t>赔</w:t>
      </w:r>
    </w:p>
    <w:p>
      <w:pPr>
        <w:pStyle w:val="BodyText"/>
        <w:spacing w:line="278" w:lineRule="auto" w:before="72"/>
        <w:ind w:left="111" w:right="213" w:hanging="1"/>
        <w:jc w:val="both"/>
      </w:pPr>
      <w:r>
        <w:rPr/>
        <w:br w:type="column"/>
      </w:r>
      <w:r>
        <w:rPr>
          <w:spacing w:val="-2"/>
        </w:rPr>
        <w:t>是一种胶原病，特征为骨易碎，骨质疏松和易骨折。临床表现为发展迟缓、多发性骨</w:t>
      </w:r>
      <w:r>
        <w:rPr>
          <w:spacing w:val="-4"/>
        </w:rPr>
        <w:t>折、进行性脊柱后侧凸及听力损害。须由身体检查，家族史，X线检查和皮肤活检报告</w:t>
      </w:r>
      <w:r>
        <w:rPr>
          <w:spacing w:val="-2"/>
        </w:rPr>
        <w:t>资料等检查证实，并经相关专科医生确诊，且须满足下列全部条件：</w:t>
      </w:r>
    </w:p>
    <w:p>
      <w:pPr>
        <w:pStyle w:val="ListParagraph"/>
        <w:numPr>
          <w:ilvl w:val="0"/>
          <w:numId w:val="84"/>
        </w:numPr>
        <w:tabs>
          <w:tab w:pos="641" w:val="left" w:leader="none"/>
        </w:tabs>
        <w:spacing w:line="269" w:lineRule="exact" w:before="0" w:after="0"/>
        <w:ind w:left="640" w:right="0" w:hanging="530"/>
        <w:jc w:val="left"/>
        <w:rPr>
          <w:sz w:val="21"/>
        </w:rPr>
      </w:pPr>
      <w:r>
        <w:rPr>
          <w:spacing w:val="-3"/>
          <w:sz w:val="21"/>
        </w:rPr>
        <w:t>皮肤切片的病理检查结果为阳性；</w:t>
      </w:r>
    </w:p>
    <w:p>
      <w:pPr>
        <w:pStyle w:val="ListParagraph"/>
        <w:numPr>
          <w:ilvl w:val="0"/>
          <w:numId w:val="84"/>
        </w:numPr>
        <w:tabs>
          <w:tab w:pos="641" w:val="left" w:leader="none"/>
        </w:tabs>
        <w:spacing w:line="240" w:lineRule="auto" w:before="42" w:after="0"/>
        <w:ind w:left="640" w:right="0" w:hanging="530"/>
        <w:jc w:val="left"/>
        <w:rPr>
          <w:sz w:val="21"/>
        </w:rPr>
      </w:pPr>
      <w:r>
        <w:rPr>
          <w:spacing w:val="-2"/>
          <w:sz w:val="21"/>
        </w:rPr>
        <w:t>X</w:t>
      </w:r>
      <w:r>
        <w:rPr>
          <w:spacing w:val="-3"/>
          <w:sz w:val="21"/>
        </w:rPr>
        <w:t>光片结果显示多处骨折及逐步脊柱后侧凸畸形；</w:t>
      </w:r>
    </w:p>
    <w:p>
      <w:pPr>
        <w:pStyle w:val="ListParagraph"/>
        <w:numPr>
          <w:ilvl w:val="0"/>
          <w:numId w:val="84"/>
        </w:numPr>
        <w:tabs>
          <w:tab w:pos="641" w:val="left" w:leader="none"/>
        </w:tabs>
        <w:spacing w:line="240" w:lineRule="auto" w:before="43" w:after="0"/>
        <w:ind w:left="640" w:right="0" w:hanging="530"/>
        <w:jc w:val="left"/>
        <w:rPr>
          <w:sz w:val="21"/>
        </w:rPr>
      </w:pPr>
      <w:r>
        <w:rPr>
          <w:spacing w:val="-3"/>
          <w:sz w:val="21"/>
        </w:rPr>
        <w:t>有证明是因此疾病导致发育迟缓及听力损伤；</w:t>
      </w:r>
    </w:p>
    <w:p>
      <w:pPr>
        <w:spacing w:before="21"/>
        <w:ind w:left="111" w:right="0" w:firstLine="0"/>
        <w:jc w:val="left"/>
        <w:rPr>
          <w:rFonts w:ascii="黑体" w:eastAsia="黑体"/>
          <w:sz w:val="24"/>
        </w:rPr>
      </w:pPr>
      <w:r>
        <w:rPr>
          <w:rFonts w:ascii="黑体" w:eastAsia="黑体"/>
          <w:spacing w:val="-1"/>
          <w:sz w:val="24"/>
        </w:rPr>
        <w:t>申请理赔时，被保险人的年龄必须在年满十八周岁之前。</w:t>
      </w:r>
    </w:p>
    <w:p>
      <w:pPr>
        <w:spacing w:after="0"/>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9"/>
        <w:rPr>
          <w:rFonts w:ascii="黑体"/>
          <w:sz w:val="26"/>
        </w:rPr>
      </w:pPr>
    </w:p>
    <w:p>
      <w:pPr>
        <w:spacing w:after="0"/>
        <w:rPr>
          <w:rFonts w:ascii="黑体"/>
          <w:sz w:val="26"/>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严重强</w:t>
      </w:r>
      <w:r>
        <w:rPr>
          <w:rFonts w:ascii="楷体" w:eastAsia="楷体" w:hint="eastAsia"/>
          <w:b/>
          <w:spacing w:val="-2"/>
          <w:sz w:val="21"/>
        </w:rPr>
        <w:t>直性脊柱炎</w:t>
      </w:r>
    </w:p>
    <w:p>
      <w:pPr>
        <w:pStyle w:val="BodyText"/>
        <w:spacing w:line="278" w:lineRule="auto" w:before="71"/>
        <w:ind w:left="178" w:right="216"/>
      </w:pPr>
      <w:r>
        <w:rPr/>
        <w:br w:type="column"/>
      </w:r>
      <w:r>
        <w:rPr>
          <w:spacing w:val="-2"/>
        </w:rPr>
        <w:t>是一种慢性全身性炎性疾病，主要侵犯脊柱导致脊柱畸形。经相关专科医生确诊，且</w:t>
      </w:r>
      <w:r>
        <w:rPr>
          <w:spacing w:val="-2"/>
        </w:rPr>
        <w:t>须满足下列全部条件：</w:t>
      </w:r>
    </w:p>
    <w:p>
      <w:pPr>
        <w:pStyle w:val="ListParagraph"/>
        <w:numPr>
          <w:ilvl w:val="0"/>
          <w:numId w:val="85"/>
        </w:numPr>
        <w:tabs>
          <w:tab w:pos="708" w:val="left" w:leader="none"/>
        </w:tabs>
        <w:spacing w:line="269" w:lineRule="exact" w:before="0" w:after="0"/>
        <w:ind w:left="707" w:right="0" w:hanging="530"/>
        <w:jc w:val="left"/>
        <w:rPr>
          <w:sz w:val="21"/>
        </w:rPr>
      </w:pPr>
      <w:r>
        <w:rPr>
          <w:spacing w:val="-4"/>
          <w:sz w:val="21"/>
        </w:rPr>
        <w:t>严重脊柱畸形；</w:t>
      </w:r>
    </w:p>
    <w:p>
      <w:pPr>
        <w:pStyle w:val="ListParagraph"/>
        <w:numPr>
          <w:ilvl w:val="0"/>
          <w:numId w:val="85"/>
        </w:numPr>
        <w:tabs>
          <w:tab w:pos="710" w:val="left" w:leader="none"/>
        </w:tabs>
        <w:spacing w:line="278" w:lineRule="auto" w:before="43" w:after="0"/>
        <w:ind w:left="178" w:right="216" w:firstLine="0"/>
        <w:jc w:val="left"/>
        <w:rPr>
          <w:sz w:val="21"/>
        </w:rPr>
      </w:pPr>
      <w:r>
        <w:rPr>
          <w:spacing w:val="-2"/>
          <w:sz w:val="21"/>
        </w:rPr>
        <w:t>自主生活能力完全丧失，无法独立完成六项基本日常生活活动中的三项或三项</w:t>
      </w:r>
      <w:r>
        <w:rPr>
          <w:spacing w:val="-4"/>
          <w:sz w:val="21"/>
        </w:rPr>
        <w:t>以上。</w:t>
      </w:r>
    </w:p>
    <w:p>
      <w:pPr>
        <w:spacing w:after="0" w:line="278"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意外导</w:t>
      </w:r>
      <w:r>
        <w:rPr>
          <w:rFonts w:ascii="楷体" w:eastAsia="楷体" w:hint="eastAsia"/>
          <w:b/>
          <w:spacing w:val="-2"/>
          <w:sz w:val="21"/>
        </w:rPr>
        <w:t>致的重度面部</w:t>
      </w:r>
      <w:r>
        <w:rPr>
          <w:rFonts w:ascii="楷体" w:eastAsia="楷体" w:hint="eastAsia"/>
          <w:b/>
          <w:spacing w:val="-6"/>
          <w:sz w:val="21"/>
        </w:rPr>
        <w:t>烧伤</w:t>
      </w:r>
    </w:p>
    <w:p>
      <w:pPr>
        <w:pStyle w:val="BodyText"/>
        <w:spacing w:line="278" w:lineRule="auto" w:before="72"/>
        <w:ind w:left="111" w:right="216"/>
      </w:pPr>
      <w:r>
        <w:rPr/>
        <w:br w:type="column"/>
      </w:r>
      <w:r>
        <w:rPr>
          <w:spacing w:val="-4"/>
        </w:rPr>
        <w:t>重度面部烧伤指面部烧伤程度为Ⅲ度，且烧伤面积达到面部表面积的 </w:t>
      </w:r>
      <w:r>
        <w:rPr>
          <w:spacing w:val="-2"/>
        </w:rPr>
        <w:t>2/3</w:t>
      </w:r>
      <w:r>
        <w:rPr>
          <w:spacing w:val="-12"/>
        </w:rPr>
        <w:t> 或全身体表</w:t>
      </w:r>
      <w:r>
        <w:rPr>
          <w:spacing w:val="-11"/>
        </w:rPr>
        <w:t>面积的 </w:t>
      </w:r>
      <w:r>
        <w:rPr/>
        <w:t>2%。</w:t>
      </w:r>
    </w:p>
    <w:p>
      <w:pPr>
        <w:pStyle w:val="BodyText"/>
        <w:spacing w:line="278" w:lineRule="auto" w:before="0"/>
        <w:ind w:left="111" w:right="218"/>
      </w:pPr>
      <w:r>
        <w:rPr>
          <w:spacing w:val="-6"/>
        </w:rPr>
        <w:t>体表面积根据《中国新九分法》计算，面部总面积为全身体表面积的 </w:t>
      </w:r>
      <w:r>
        <w:rPr>
          <w:spacing w:val="-4"/>
        </w:rPr>
        <w:t>3%。面部面积不</w:t>
      </w:r>
      <w:r>
        <w:rPr>
          <w:spacing w:val="-2"/>
        </w:rPr>
        <w:t>包括发部和颈部。</w:t>
      </w:r>
    </w:p>
    <w:p>
      <w:pPr>
        <w:spacing w:after="0" w:line="278" w:lineRule="auto"/>
        <w:sectPr>
          <w:type w:val="continuous"/>
          <w:pgSz w:w="11910" w:h="16840"/>
          <w:pgMar w:header="0" w:footer="1120" w:top="112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严重甲</w:t>
      </w:r>
      <w:r>
        <w:rPr>
          <w:rFonts w:ascii="楷体" w:eastAsia="楷体" w:hint="eastAsia"/>
          <w:b/>
          <w:spacing w:val="-2"/>
          <w:sz w:val="21"/>
        </w:rPr>
        <w:t>型及乙型血友</w:t>
      </w:r>
      <w:r>
        <w:rPr>
          <w:rFonts w:ascii="楷体" w:eastAsia="楷体" w:hint="eastAsia"/>
          <w:b/>
          <w:spacing w:val="-10"/>
          <w:sz w:val="21"/>
        </w:rPr>
        <w:t>病</w:t>
      </w:r>
    </w:p>
    <w:p>
      <w:pPr>
        <w:pStyle w:val="BodyText"/>
        <w:spacing w:line="278" w:lineRule="auto" w:before="72"/>
        <w:ind w:left="111" w:right="216"/>
        <w:jc w:val="both"/>
      </w:pPr>
      <w:r>
        <w:rPr/>
        <w:br w:type="column"/>
      </w:r>
      <w:r>
        <w:rPr>
          <w:spacing w:val="-2"/>
        </w:rPr>
        <w:t>被保险人必须是患上严重甲型血友病（缺乏Ⅷ凝血因子）或严重乙型血友病（缺乏Ⅸ</w:t>
      </w:r>
      <w:r>
        <w:rPr>
          <w:spacing w:val="-2"/>
        </w:rPr>
        <w:t>凝血因子</w:t>
      </w:r>
      <w:r>
        <w:rPr>
          <w:spacing w:val="-106"/>
        </w:rPr>
        <w:t>）</w:t>
      </w:r>
      <w:r>
        <w:rPr>
          <w:spacing w:val="-2"/>
        </w:rPr>
        <w:t>，而凝血因子Ⅷ或凝血因子Ⅸ的活性水平少于百分之一。诊断须由血液病</w:t>
      </w:r>
      <w:r>
        <w:rPr>
          <w:spacing w:val="-2"/>
        </w:rPr>
        <w:t>专科医生确认。</w:t>
      </w:r>
    </w:p>
    <w:p>
      <w:pPr>
        <w:spacing w:after="0" w:line="278" w:lineRule="auto"/>
        <w:jc w:val="both"/>
        <w:sectPr>
          <w:type w:val="continuous"/>
          <w:pgSz w:w="11910" w:h="16840"/>
          <w:pgMar w:header="0" w:footer="1120" w:top="1120" w:bottom="1300" w:left="1020" w:right="1020"/>
          <w:cols w:num="2" w:equalWidth="0">
            <w:col w:w="1772" w:space="40"/>
            <w:col w:w="8058"/>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both"/>
        <w:rPr>
          <w:rFonts w:ascii="楷体" w:eastAsia="楷体" w:hint="eastAsia"/>
          <w:b/>
          <w:sz w:val="21"/>
        </w:rPr>
      </w:pPr>
      <w:r>
        <w:rPr>
          <w:rFonts w:ascii="楷体" w:eastAsia="楷体" w:hint="eastAsia"/>
          <w:b/>
          <w:spacing w:val="-4"/>
          <w:sz w:val="21"/>
        </w:rPr>
        <w:t>重症急</w:t>
      </w:r>
      <w:r>
        <w:rPr>
          <w:rFonts w:ascii="楷体" w:eastAsia="楷体" w:hint="eastAsia"/>
          <w:b/>
          <w:spacing w:val="-2"/>
          <w:sz w:val="21"/>
        </w:rPr>
        <w:t>性坏死性筋膜</w:t>
      </w:r>
      <w:r>
        <w:rPr>
          <w:rFonts w:ascii="楷体" w:eastAsia="楷体" w:hint="eastAsia"/>
          <w:b/>
          <w:spacing w:val="-10"/>
          <w:sz w:val="21"/>
        </w:rPr>
        <w:t>炎</w:t>
      </w:r>
    </w:p>
    <w:p>
      <w:pPr>
        <w:pStyle w:val="BodyText"/>
        <w:spacing w:line="278" w:lineRule="auto" w:before="71"/>
        <w:ind w:left="111" w:right="167"/>
      </w:pPr>
      <w:r>
        <w:rPr/>
        <w:br w:type="column"/>
      </w:r>
      <w:r>
        <w:rPr>
          <w:spacing w:val="-2"/>
        </w:rPr>
        <w:t>指因一种由细菌侵入皮下组织和筋膜引起的急性坏死性软组织感染，可伴有毒血症、</w:t>
      </w:r>
      <w:r>
        <w:rPr>
          <w:spacing w:val="-2"/>
        </w:rPr>
        <w:t>败血症、中毒性休克、弥漫性血管内凝血及多器官衰竭。且须满足下列全部条件：</w:t>
      </w:r>
    </w:p>
    <w:p>
      <w:pPr>
        <w:pStyle w:val="ListParagraph"/>
        <w:numPr>
          <w:ilvl w:val="0"/>
          <w:numId w:val="86"/>
        </w:numPr>
        <w:tabs>
          <w:tab w:pos="641" w:val="left" w:leader="none"/>
        </w:tabs>
        <w:spacing w:line="269" w:lineRule="exact" w:before="0" w:after="0"/>
        <w:ind w:left="640" w:right="0" w:hanging="530"/>
        <w:jc w:val="left"/>
        <w:rPr>
          <w:sz w:val="21"/>
        </w:rPr>
      </w:pPr>
      <w:r>
        <w:rPr>
          <w:spacing w:val="-3"/>
          <w:sz w:val="21"/>
        </w:rPr>
        <w:t>细菌培养和临床表现符合坏死性筋膜炎诊断标准；</w:t>
      </w:r>
    </w:p>
    <w:p>
      <w:pPr>
        <w:pStyle w:val="ListParagraph"/>
        <w:numPr>
          <w:ilvl w:val="0"/>
          <w:numId w:val="86"/>
        </w:numPr>
        <w:tabs>
          <w:tab w:pos="641" w:val="left" w:leader="none"/>
        </w:tabs>
        <w:spacing w:line="240" w:lineRule="auto" w:before="43" w:after="0"/>
        <w:ind w:left="640" w:right="0" w:hanging="530"/>
        <w:jc w:val="left"/>
        <w:rPr>
          <w:sz w:val="21"/>
        </w:rPr>
      </w:pPr>
      <w:r>
        <w:rPr>
          <w:spacing w:val="-3"/>
          <w:sz w:val="21"/>
        </w:rPr>
        <w:t>病情迅速恶化，有脓毒血症表现；</w:t>
      </w:r>
    </w:p>
    <w:p>
      <w:pPr>
        <w:spacing w:after="0" w:line="240" w:lineRule="auto"/>
        <w:jc w:val="left"/>
        <w:rPr>
          <w:sz w:val="21"/>
        </w:rPr>
        <w:sectPr>
          <w:type w:val="continuous"/>
          <w:pgSz w:w="11910" w:h="16840"/>
          <w:pgMar w:header="0" w:footer="1120" w:top="1120" w:bottom="1300" w:left="1020" w:right="1020"/>
          <w:cols w:num="2" w:equalWidth="0">
            <w:col w:w="1772" w:space="40"/>
            <w:col w:w="8058"/>
          </w:cols>
        </w:sectPr>
      </w:pPr>
    </w:p>
    <w:p>
      <w:pPr>
        <w:pStyle w:val="ListParagraph"/>
        <w:numPr>
          <w:ilvl w:val="0"/>
          <w:numId w:val="86"/>
        </w:numPr>
        <w:tabs>
          <w:tab w:pos="2452" w:val="left" w:leader="none"/>
        </w:tabs>
        <w:spacing w:line="240" w:lineRule="auto" w:before="60" w:after="0"/>
        <w:ind w:left="2451" w:right="0" w:hanging="530"/>
        <w:jc w:val="left"/>
        <w:rPr>
          <w:sz w:val="21"/>
        </w:rPr>
      </w:pPr>
      <w:r>
        <w:rPr>
          <w:spacing w:val="-2"/>
          <w:sz w:val="21"/>
        </w:rPr>
        <w:t>受感染肢体被截肢（自腕关节或踝关节近端</w:t>
      </w:r>
      <w:r>
        <w:rPr>
          <w:spacing w:val="-108"/>
          <w:sz w:val="21"/>
        </w:rPr>
        <w:t>）</w:t>
      </w:r>
      <w:r>
        <w:rPr>
          <w:spacing w:val="-10"/>
          <w:sz w:val="21"/>
        </w:rPr>
        <w:t>。</w:t>
      </w:r>
    </w:p>
    <w:p>
      <w:pPr>
        <w:pStyle w:val="BodyText"/>
        <w:spacing w:before="7"/>
        <w:rPr>
          <w:sz w:val="15"/>
        </w:rPr>
      </w:pPr>
    </w:p>
    <w:p>
      <w:pPr>
        <w:spacing w:after="0"/>
        <w:rPr>
          <w:sz w:val="15"/>
        </w:rPr>
        <w:sectPr>
          <w:pgSz w:w="11910" w:h="16840"/>
          <w:pgMar w:header="0" w:footer="1120" w:top="136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丝虫病</w:t>
      </w:r>
      <w:r>
        <w:rPr>
          <w:rFonts w:ascii="楷体" w:eastAsia="楷体" w:hint="eastAsia"/>
          <w:b/>
          <w:spacing w:val="-2"/>
          <w:sz w:val="21"/>
        </w:rPr>
        <w:t>所致象皮病</w:t>
      </w:r>
    </w:p>
    <w:p>
      <w:pPr>
        <w:pStyle w:val="BodyText"/>
        <w:spacing w:line="278" w:lineRule="auto" w:before="72"/>
        <w:ind w:left="178" w:right="213"/>
      </w:pPr>
      <w:r>
        <w:rPr/>
        <w:br w:type="column"/>
      </w:r>
      <w:r>
        <w:rPr>
          <w:spacing w:val="-5"/>
        </w:rPr>
        <w:t>指因丝虫感染导致淋巴阻塞性出现严重淋巴水肿，达到国际淋巴学会淋巴肿分期第Ⅲ</w:t>
      </w:r>
      <w:r>
        <w:rPr>
          <w:spacing w:val="-2"/>
        </w:rPr>
        <w:t>期。且须满足下列全部条件：</w:t>
      </w:r>
    </w:p>
    <w:p>
      <w:pPr>
        <w:pStyle w:val="ListParagraph"/>
        <w:numPr>
          <w:ilvl w:val="0"/>
          <w:numId w:val="87"/>
        </w:numPr>
        <w:tabs>
          <w:tab w:pos="720" w:val="left" w:leader="none"/>
        </w:tabs>
        <w:spacing w:line="269" w:lineRule="exact" w:before="0" w:after="0"/>
        <w:ind w:left="719" w:right="0" w:hanging="542"/>
        <w:jc w:val="left"/>
        <w:rPr>
          <w:sz w:val="21"/>
        </w:rPr>
      </w:pPr>
      <w:r>
        <w:rPr>
          <w:spacing w:val="-4"/>
          <w:sz w:val="21"/>
        </w:rPr>
        <w:t>临床表现为肢体象皮肿，患肢较健肢增粗 </w:t>
      </w:r>
      <w:r>
        <w:rPr>
          <w:rFonts w:ascii="Arial" w:eastAsia="Arial"/>
          <w:spacing w:val="-2"/>
          <w:sz w:val="21"/>
        </w:rPr>
        <w:t>30%</w:t>
      </w:r>
      <w:r>
        <w:rPr>
          <w:spacing w:val="-5"/>
          <w:sz w:val="21"/>
        </w:rPr>
        <w:t>以上；</w:t>
      </w:r>
    </w:p>
    <w:p>
      <w:pPr>
        <w:pStyle w:val="ListParagraph"/>
        <w:numPr>
          <w:ilvl w:val="0"/>
          <w:numId w:val="87"/>
        </w:numPr>
        <w:tabs>
          <w:tab w:pos="720" w:val="left" w:leader="none"/>
        </w:tabs>
        <w:spacing w:line="240" w:lineRule="auto" w:before="43" w:after="0"/>
        <w:ind w:left="719" w:right="0" w:hanging="542"/>
        <w:jc w:val="left"/>
        <w:rPr>
          <w:sz w:val="21"/>
        </w:rPr>
      </w:pPr>
      <w:r>
        <w:rPr>
          <w:spacing w:val="-3"/>
          <w:sz w:val="21"/>
        </w:rPr>
        <w:t>无法独立完成六项基本日常生活活动中的三项或三项以上。</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6"/>
        <w:rPr>
          <w:sz w:val="25"/>
        </w:rPr>
      </w:pPr>
    </w:p>
    <w:p>
      <w:pPr>
        <w:spacing w:after="0"/>
        <w:rPr>
          <w:sz w:val="2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埃博拉</w:t>
      </w:r>
      <w:r>
        <w:rPr>
          <w:rFonts w:ascii="楷体" w:eastAsia="楷体" w:hint="eastAsia"/>
          <w:b/>
          <w:spacing w:val="-2"/>
          <w:sz w:val="21"/>
        </w:rPr>
        <w:t>病毒感染（</w:t>
      </w:r>
      <w:r>
        <w:rPr>
          <w:rFonts w:ascii="楷体" w:eastAsia="楷体" w:hint="eastAsia"/>
          <w:b/>
          <w:spacing w:val="-2"/>
          <w:sz w:val="21"/>
        </w:rPr>
        <w:t>伊</w:t>
      </w:r>
      <w:r>
        <w:rPr>
          <w:rFonts w:ascii="楷体" w:eastAsia="楷体" w:hint="eastAsia"/>
          <w:b/>
          <w:spacing w:val="-2"/>
          <w:sz w:val="21"/>
        </w:rPr>
        <w:t>波拉病毒感</w:t>
      </w:r>
      <w:r>
        <w:rPr>
          <w:rFonts w:ascii="楷体" w:eastAsia="楷体" w:hint="eastAsia"/>
          <w:b/>
          <w:spacing w:val="-2"/>
          <w:sz w:val="21"/>
        </w:rPr>
        <w:t> </w:t>
      </w:r>
      <w:r>
        <w:rPr>
          <w:rFonts w:ascii="楷体" w:eastAsia="楷体" w:hint="eastAsia"/>
          <w:b/>
          <w:spacing w:val="-6"/>
          <w:sz w:val="21"/>
        </w:rPr>
        <w:t>染）</w:t>
      </w:r>
    </w:p>
    <w:p>
      <w:pPr>
        <w:pStyle w:val="BodyText"/>
        <w:spacing w:line="278" w:lineRule="auto" w:before="72"/>
        <w:ind w:left="111" w:right="216"/>
      </w:pPr>
      <w:r>
        <w:rPr/>
        <w:br w:type="column"/>
      </w:r>
      <w:r>
        <w:rPr>
          <w:spacing w:val="-2"/>
        </w:rPr>
        <w:t>指因埃博拉病毒感染导致的急性出血性传染病。埃博拉病毒病须经相关专科医生确诊</w:t>
      </w:r>
      <w:r>
        <w:rPr>
          <w:spacing w:val="-2"/>
        </w:rPr>
        <w:t>并且上报国家疾病控制中心接受了隔离和治疗，且须满足下列全部条件：</w:t>
      </w:r>
    </w:p>
    <w:p>
      <w:pPr>
        <w:pStyle w:val="ListParagraph"/>
        <w:numPr>
          <w:ilvl w:val="0"/>
          <w:numId w:val="88"/>
        </w:numPr>
        <w:tabs>
          <w:tab w:pos="653" w:val="left" w:leader="none"/>
        </w:tabs>
        <w:spacing w:line="269" w:lineRule="exact" w:before="0" w:after="0"/>
        <w:ind w:left="652" w:right="0" w:hanging="542"/>
        <w:jc w:val="left"/>
        <w:rPr>
          <w:sz w:val="21"/>
        </w:rPr>
      </w:pPr>
      <w:r>
        <w:rPr>
          <w:spacing w:val="-3"/>
          <w:sz w:val="21"/>
        </w:rPr>
        <w:t>实验室检查证据证实存在埃博拉病毒感染；</w:t>
      </w:r>
    </w:p>
    <w:p>
      <w:pPr>
        <w:pStyle w:val="ListParagraph"/>
        <w:numPr>
          <w:ilvl w:val="0"/>
          <w:numId w:val="88"/>
        </w:numPr>
        <w:tabs>
          <w:tab w:pos="653" w:val="left" w:leader="none"/>
        </w:tabs>
        <w:spacing w:line="240" w:lineRule="auto" w:before="43" w:after="0"/>
        <w:ind w:left="652" w:right="0" w:hanging="542"/>
        <w:jc w:val="left"/>
        <w:rPr>
          <w:sz w:val="21"/>
        </w:rPr>
      </w:pPr>
      <w:r>
        <w:rPr>
          <w:spacing w:val="-3"/>
          <w:sz w:val="21"/>
        </w:rPr>
        <w:t>存在广泛出血的临床表现；</w:t>
      </w:r>
    </w:p>
    <w:p>
      <w:pPr>
        <w:pStyle w:val="ListParagraph"/>
        <w:numPr>
          <w:ilvl w:val="0"/>
          <w:numId w:val="88"/>
        </w:numPr>
        <w:tabs>
          <w:tab w:pos="653" w:val="left" w:leader="none"/>
        </w:tabs>
        <w:spacing w:line="240" w:lineRule="auto" w:before="42" w:after="0"/>
        <w:ind w:left="652" w:right="0" w:hanging="542"/>
        <w:jc w:val="left"/>
        <w:rPr>
          <w:sz w:val="21"/>
        </w:rPr>
      </w:pPr>
      <w:r>
        <w:rPr>
          <w:spacing w:val="-2"/>
          <w:sz w:val="21"/>
        </w:rPr>
        <w:t>病程持续</w:t>
      </w:r>
      <w:r>
        <w:rPr>
          <w:rFonts w:ascii="Arial" w:eastAsia="Arial"/>
          <w:spacing w:val="-2"/>
          <w:sz w:val="21"/>
        </w:rPr>
        <w:t>30</w:t>
      </w:r>
      <w:r>
        <w:rPr>
          <w:spacing w:val="-4"/>
          <w:sz w:val="21"/>
        </w:rPr>
        <w:t>天以上。</w:t>
      </w:r>
    </w:p>
    <w:p>
      <w:pPr>
        <w:spacing w:line="242" w:lineRule="auto" w:before="21"/>
        <w:ind w:left="111" w:right="213" w:firstLine="0"/>
        <w:jc w:val="left"/>
        <w:rPr>
          <w:rFonts w:ascii="黑体" w:eastAsia="黑体"/>
          <w:sz w:val="24"/>
        </w:rPr>
      </w:pPr>
      <w:r>
        <w:rPr>
          <w:rFonts w:ascii="黑体" w:eastAsia="黑体"/>
          <w:spacing w:val="-2"/>
          <w:sz w:val="24"/>
        </w:rPr>
        <w:t>单纯实验室诊断但没有临床出血表现的或者在确诊之前已经死亡的不在本</w:t>
      </w:r>
      <w:r>
        <w:rPr>
          <w:rFonts w:ascii="黑体" w:eastAsia="黑体"/>
          <w:spacing w:val="-2"/>
          <w:sz w:val="24"/>
        </w:rPr>
        <w:t>保障范围内。</w:t>
      </w:r>
    </w:p>
    <w:p>
      <w:pPr>
        <w:spacing w:after="0" w:line="242" w:lineRule="auto"/>
        <w:jc w:val="left"/>
        <w:rPr>
          <w:rFonts w:ascii="黑体" w:eastAsia="黑体"/>
          <w:sz w:val="24"/>
        </w:rPr>
        <w:sectPr>
          <w:type w:val="continuous"/>
          <w:pgSz w:w="11910" w:h="16840"/>
          <w:pgMar w:header="0" w:footer="1120" w:top="1120" w:bottom="1300" w:left="1020" w:right="1020"/>
          <w:cols w:num="2" w:equalWidth="0">
            <w:col w:w="1772" w:space="40"/>
            <w:col w:w="8058"/>
          </w:cols>
        </w:sectPr>
      </w:pPr>
    </w:p>
    <w:p>
      <w:pPr>
        <w:pStyle w:val="BodyText"/>
        <w:spacing w:before="0"/>
        <w:rPr>
          <w:rFonts w:ascii="黑体"/>
          <w:sz w:val="14"/>
        </w:rPr>
      </w:pPr>
    </w:p>
    <w:p>
      <w:pPr>
        <w:pStyle w:val="ListParagraph"/>
        <w:numPr>
          <w:ilvl w:val="1"/>
          <w:numId w:val="20"/>
        </w:numPr>
        <w:tabs>
          <w:tab w:pos="1071" w:val="left" w:leader="none"/>
        </w:tabs>
        <w:spacing w:line="278" w:lineRule="auto" w:before="72" w:after="0"/>
        <w:ind w:left="1922" w:right="111" w:hanging="1419"/>
        <w:jc w:val="left"/>
        <w:rPr>
          <w:rFonts w:ascii="楷体" w:eastAsia="楷体" w:hint="eastAsia"/>
          <w:b/>
          <w:sz w:val="21"/>
        </w:rPr>
      </w:pPr>
      <w:r>
        <w:rPr>
          <w:rFonts w:ascii="楷体" w:eastAsia="楷体" w:hint="eastAsia"/>
          <w:b/>
          <w:spacing w:val="27"/>
          <w:sz w:val="21"/>
        </w:rPr>
        <w:t>狂犬病 </w:t>
      </w:r>
      <w:r>
        <w:rPr>
          <w:sz w:val="21"/>
        </w:rPr>
        <w:t>指狂犬病毒所致的急性传染病，人多因被病兽咬伤而感染。临床表现为特有的恐水、</w:t>
      </w:r>
      <w:r>
        <w:rPr>
          <w:spacing w:val="-16"/>
          <w:sz w:val="21"/>
        </w:rPr>
        <w:t>怕风、咽肌痉挛、进行性瘫痪等。本病须由我们认可的医疗机构的专科医生明确诊断。</w:t>
      </w:r>
    </w:p>
    <w:p>
      <w:pPr>
        <w:pStyle w:val="BodyText"/>
        <w:spacing w:before="10"/>
        <w:rPr>
          <w:sz w:val="17"/>
        </w:rPr>
      </w:pPr>
    </w:p>
    <w:p>
      <w:pPr>
        <w:pStyle w:val="ListParagraph"/>
        <w:numPr>
          <w:ilvl w:val="1"/>
          <w:numId w:val="20"/>
        </w:numPr>
        <w:tabs>
          <w:tab w:pos="1071" w:val="left" w:leader="none"/>
        </w:tabs>
        <w:spacing w:line="278" w:lineRule="auto" w:before="0" w:after="0"/>
        <w:ind w:left="1922" w:right="214" w:hanging="1419"/>
        <w:jc w:val="left"/>
        <w:rPr>
          <w:rFonts w:ascii="楷体" w:eastAsia="楷体" w:hint="eastAsia"/>
          <w:b/>
          <w:sz w:val="21"/>
        </w:rPr>
      </w:pPr>
      <w:r>
        <w:rPr>
          <w:rFonts w:ascii="楷体" w:eastAsia="楷体" w:hint="eastAsia"/>
          <w:b/>
          <w:spacing w:val="9"/>
          <w:sz w:val="21"/>
        </w:rPr>
        <w:t>破伤风 </w:t>
      </w:r>
      <w:r>
        <w:rPr>
          <w:sz w:val="21"/>
        </w:rPr>
        <w:t>指破伤风梭菌经由皮肤或粘膜伤口侵入人体，在缺氧环境下生长繁殖，产生毒素而引</w:t>
      </w:r>
      <w:r>
        <w:rPr>
          <w:spacing w:val="-2"/>
          <w:sz w:val="21"/>
        </w:rPr>
        <w:t>起肌痉挛的一种特异性感染。须经专科医生明确诊断。</w:t>
      </w: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rFonts w:ascii="楷体" w:eastAsia="楷体" w:hint="eastAsia"/>
          <w:b/>
          <w:sz w:val="21"/>
        </w:rPr>
      </w:pPr>
      <w:r>
        <w:rPr>
          <w:rFonts w:ascii="楷体" w:eastAsia="楷体" w:hint="eastAsia"/>
          <w:b/>
          <w:spacing w:val="-4"/>
          <w:sz w:val="21"/>
        </w:rPr>
        <w:t>创伤弧</w:t>
      </w:r>
      <w:r>
        <w:rPr>
          <w:rFonts w:ascii="楷体" w:eastAsia="楷体" w:hint="eastAsia"/>
          <w:b/>
          <w:spacing w:val="-2"/>
          <w:sz w:val="21"/>
        </w:rPr>
        <w:t>菌感染截肢</w:t>
      </w:r>
    </w:p>
    <w:p>
      <w:pPr>
        <w:pStyle w:val="BodyText"/>
        <w:spacing w:before="72"/>
        <w:ind w:left="178"/>
      </w:pPr>
      <w:r>
        <w:rPr/>
        <w:br w:type="column"/>
      </w:r>
      <w:r>
        <w:rPr>
          <w:spacing w:val="-3"/>
        </w:rPr>
        <w:t>因创伤弧菌感染导致败血症和肢体损害。必须满足下列全部条件：</w:t>
      </w:r>
    </w:p>
    <w:p>
      <w:pPr>
        <w:pStyle w:val="ListParagraph"/>
        <w:numPr>
          <w:ilvl w:val="0"/>
          <w:numId w:val="89"/>
        </w:numPr>
        <w:tabs>
          <w:tab w:pos="708" w:val="left" w:leader="none"/>
        </w:tabs>
        <w:spacing w:line="240" w:lineRule="auto" w:before="43" w:after="0"/>
        <w:ind w:left="707" w:right="0" w:hanging="530"/>
        <w:jc w:val="left"/>
        <w:rPr>
          <w:sz w:val="21"/>
        </w:rPr>
      </w:pPr>
      <w:r>
        <w:rPr>
          <w:spacing w:val="-3"/>
          <w:sz w:val="21"/>
        </w:rPr>
        <w:t>近期被海产品刺伤或肢体创口接触海水史；</w:t>
      </w:r>
    </w:p>
    <w:p>
      <w:pPr>
        <w:pStyle w:val="ListParagraph"/>
        <w:numPr>
          <w:ilvl w:val="0"/>
          <w:numId w:val="89"/>
        </w:numPr>
        <w:tabs>
          <w:tab w:pos="708" w:val="left" w:leader="none"/>
        </w:tabs>
        <w:spacing w:line="240" w:lineRule="auto" w:before="42" w:after="0"/>
        <w:ind w:left="707" w:right="0" w:hanging="530"/>
        <w:jc w:val="left"/>
        <w:rPr>
          <w:sz w:val="21"/>
        </w:rPr>
      </w:pPr>
      <w:r>
        <w:rPr>
          <w:spacing w:val="-3"/>
          <w:sz w:val="21"/>
        </w:rPr>
        <w:t>病原学检查证实致病菌为创伤弧菌；</w:t>
      </w:r>
    </w:p>
    <w:p>
      <w:pPr>
        <w:pStyle w:val="ListParagraph"/>
        <w:numPr>
          <w:ilvl w:val="0"/>
          <w:numId w:val="89"/>
        </w:numPr>
        <w:tabs>
          <w:tab w:pos="708" w:val="left" w:leader="none"/>
        </w:tabs>
        <w:spacing w:line="240" w:lineRule="auto" w:before="43" w:after="0"/>
        <w:ind w:left="707" w:right="0" w:hanging="530"/>
        <w:jc w:val="left"/>
        <w:rPr>
          <w:sz w:val="21"/>
        </w:rPr>
      </w:pPr>
      <w:r>
        <w:rPr>
          <w:spacing w:val="-3"/>
          <w:sz w:val="21"/>
        </w:rPr>
        <w:t>出现脓毒败血症或休克；</w:t>
      </w:r>
    </w:p>
    <w:p>
      <w:pPr>
        <w:pStyle w:val="ListParagraph"/>
        <w:numPr>
          <w:ilvl w:val="0"/>
          <w:numId w:val="89"/>
        </w:numPr>
        <w:tabs>
          <w:tab w:pos="708" w:val="left" w:leader="none"/>
        </w:tabs>
        <w:spacing w:line="240" w:lineRule="auto" w:before="43" w:after="0"/>
        <w:ind w:left="707" w:right="0" w:hanging="530"/>
        <w:jc w:val="left"/>
        <w:rPr>
          <w:sz w:val="21"/>
        </w:rPr>
      </w:pPr>
      <w:r>
        <w:rPr>
          <w:spacing w:val="-2"/>
          <w:sz w:val="21"/>
        </w:rPr>
        <w:t>受感染肢体（一肢体或多肢体）</w:t>
      </w:r>
      <w:r>
        <w:rPr>
          <w:spacing w:val="-3"/>
          <w:sz w:val="21"/>
        </w:rPr>
        <w:t>自腕关节或踝关节近端截肢。</w:t>
      </w:r>
    </w:p>
    <w:p>
      <w:pPr>
        <w:spacing w:after="0" w:line="240"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left"/>
        <w:rPr>
          <w:b/>
          <w:sz w:val="21"/>
        </w:rPr>
      </w:pPr>
      <w:r>
        <w:rPr>
          <w:rFonts w:ascii="楷体" w:eastAsia="楷体" w:hint="eastAsia"/>
          <w:b/>
          <w:spacing w:val="-4"/>
          <w:sz w:val="21"/>
        </w:rPr>
        <w:t>严重气</w:t>
      </w:r>
      <w:r>
        <w:rPr>
          <w:rFonts w:ascii="楷体" w:eastAsia="楷体" w:hint="eastAsia"/>
          <w:b/>
          <w:spacing w:val="-4"/>
          <w:sz w:val="21"/>
        </w:rPr>
        <w:t>性坏疽</w:t>
      </w:r>
    </w:p>
    <w:p>
      <w:pPr>
        <w:pStyle w:val="BodyText"/>
        <w:spacing w:line="278" w:lineRule="auto" w:before="72"/>
        <w:ind w:left="178" w:right="214"/>
      </w:pPr>
      <w:r>
        <w:rPr/>
        <w:br w:type="column"/>
      </w:r>
      <w:r>
        <w:rPr>
          <w:spacing w:val="-2"/>
        </w:rPr>
        <w:t>指由梭状芽胞杆菌所致的肌坏死或肌炎。须经专科医生明确诊断，且须满足下列全部</w:t>
      </w:r>
      <w:r>
        <w:rPr>
          <w:spacing w:val="-4"/>
        </w:rPr>
        <w:t>条件：</w:t>
      </w:r>
    </w:p>
    <w:p>
      <w:pPr>
        <w:pStyle w:val="ListParagraph"/>
        <w:numPr>
          <w:ilvl w:val="0"/>
          <w:numId w:val="90"/>
        </w:numPr>
        <w:tabs>
          <w:tab w:pos="708" w:val="left" w:leader="none"/>
        </w:tabs>
        <w:spacing w:line="269" w:lineRule="exact" w:before="0" w:after="0"/>
        <w:ind w:left="707" w:right="0" w:hanging="530"/>
        <w:jc w:val="left"/>
        <w:rPr>
          <w:sz w:val="21"/>
        </w:rPr>
      </w:pPr>
      <w:r>
        <w:rPr>
          <w:spacing w:val="-3"/>
          <w:sz w:val="21"/>
        </w:rPr>
        <w:t>符合气性坏疽的一般临床表现；</w:t>
      </w:r>
    </w:p>
    <w:p>
      <w:pPr>
        <w:pStyle w:val="ListParagraph"/>
        <w:numPr>
          <w:ilvl w:val="0"/>
          <w:numId w:val="90"/>
        </w:numPr>
        <w:tabs>
          <w:tab w:pos="708" w:val="left" w:leader="none"/>
        </w:tabs>
        <w:spacing w:line="240" w:lineRule="auto" w:before="43" w:after="0"/>
        <w:ind w:left="707" w:right="0" w:hanging="530"/>
        <w:jc w:val="left"/>
        <w:rPr>
          <w:sz w:val="21"/>
        </w:rPr>
      </w:pPr>
      <w:r>
        <w:rPr>
          <w:spacing w:val="-3"/>
          <w:sz w:val="21"/>
        </w:rPr>
        <w:t>细菌培养检出致病菌；</w:t>
      </w:r>
    </w:p>
    <w:p>
      <w:pPr>
        <w:pStyle w:val="ListParagraph"/>
        <w:numPr>
          <w:ilvl w:val="0"/>
          <w:numId w:val="90"/>
        </w:numPr>
        <w:tabs>
          <w:tab w:pos="710" w:val="left" w:leader="none"/>
        </w:tabs>
        <w:spacing w:line="278" w:lineRule="auto" w:before="43" w:after="0"/>
        <w:ind w:left="178" w:right="216" w:firstLine="0"/>
        <w:jc w:val="left"/>
        <w:rPr>
          <w:sz w:val="21"/>
        </w:rPr>
      </w:pPr>
      <w:r>
        <w:rPr>
          <w:spacing w:val="-2"/>
          <w:sz w:val="21"/>
        </w:rPr>
        <w:t>出现广泛性肌肉及组织坏死，并确实实施了坏死组织和筋膜以及肌肉的切除手</w:t>
      </w:r>
      <w:r>
        <w:rPr>
          <w:spacing w:val="-6"/>
          <w:sz w:val="21"/>
        </w:rPr>
        <w:t>术。</w:t>
      </w:r>
    </w:p>
    <w:p>
      <w:pPr>
        <w:spacing w:after="0" w:line="278" w:lineRule="auto"/>
        <w:jc w:val="left"/>
        <w:rPr>
          <w:sz w:val="21"/>
        </w:rPr>
        <w:sectPr>
          <w:type w:val="continuous"/>
          <w:pgSz w:w="11910" w:h="16840"/>
          <w:pgMar w:header="0" w:footer="1120" w:top="1120" w:bottom="1300" w:left="1020" w:right="1020"/>
          <w:cols w:num="2" w:equalWidth="0">
            <w:col w:w="1705" w:space="40"/>
            <w:col w:w="8125"/>
          </w:cols>
        </w:sectPr>
      </w:pPr>
    </w:p>
    <w:p>
      <w:pPr>
        <w:pStyle w:val="BodyText"/>
        <w:spacing w:before="9"/>
        <w:rPr>
          <w:sz w:val="16"/>
        </w:rPr>
      </w:pPr>
    </w:p>
    <w:p>
      <w:pPr>
        <w:spacing w:after="0"/>
        <w:rPr>
          <w:sz w:val="16"/>
        </w:rPr>
        <w:sectPr>
          <w:type w:val="continuous"/>
          <w:pgSz w:w="11910" w:h="16840"/>
          <w:pgMar w:header="0" w:footer="1120" w:top="1120" w:bottom="1300" w:left="1020" w:right="1020"/>
        </w:sectPr>
      </w:pPr>
    </w:p>
    <w:p>
      <w:pPr>
        <w:pStyle w:val="ListParagraph"/>
        <w:numPr>
          <w:ilvl w:val="0"/>
          <w:numId w:val="20"/>
        </w:numPr>
        <w:tabs>
          <w:tab w:pos="723" w:val="left" w:leader="none"/>
        </w:tabs>
        <w:spacing w:line="278" w:lineRule="auto" w:before="88" w:after="0"/>
        <w:ind w:left="395" w:right="0" w:firstLine="0"/>
        <w:jc w:val="left"/>
        <w:rPr>
          <w:b/>
          <w:sz w:val="21"/>
        </w:rPr>
      </w:pPr>
      <w:r>
        <w:rPr>
          <w:b/>
          <w:spacing w:val="-2"/>
          <w:sz w:val="21"/>
        </w:rPr>
        <w:t>重大疾病分</w:t>
      </w:r>
      <w:r>
        <w:rPr>
          <w:b/>
          <w:spacing w:val="-10"/>
          <w:sz w:val="21"/>
        </w:rPr>
        <w:t>组</w:t>
      </w:r>
    </w:p>
    <w:p>
      <w:pPr>
        <w:spacing w:line="266" w:lineRule="auto" w:before="80"/>
        <w:ind w:left="70" w:right="216" w:hanging="1"/>
        <w:jc w:val="left"/>
        <w:rPr>
          <w:sz w:val="22"/>
        </w:rPr>
      </w:pPr>
      <w:r>
        <w:rPr/>
        <w:br w:type="column"/>
      </w:r>
      <w:r>
        <w:rPr>
          <w:spacing w:val="-2"/>
          <w:sz w:val="21"/>
        </w:rPr>
        <w:t>本合同所列</w:t>
      </w:r>
      <w:r>
        <w:rPr>
          <w:spacing w:val="-29"/>
          <w:sz w:val="22"/>
        </w:rPr>
        <w:t>的 </w:t>
      </w:r>
      <w:r>
        <w:rPr>
          <w:rFonts w:ascii="Arial" w:eastAsia="Arial"/>
          <w:spacing w:val="-2"/>
          <w:sz w:val="22"/>
        </w:rPr>
        <w:t>110</w:t>
      </w:r>
      <w:r>
        <w:rPr>
          <w:rFonts w:ascii="Arial" w:eastAsia="Arial"/>
          <w:spacing w:val="-14"/>
          <w:sz w:val="22"/>
        </w:rPr>
        <w:t> </w:t>
      </w:r>
      <w:r>
        <w:rPr>
          <w:spacing w:val="-8"/>
          <w:sz w:val="22"/>
        </w:rPr>
        <w:t>种重大疾病分为以下 </w:t>
      </w:r>
      <w:r>
        <w:rPr>
          <w:rFonts w:ascii="Arial" w:eastAsia="Arial"/>
          <w:spacing w:val="-2"/>
          <w:sz w:val="22"/>
        </w:rPr>
        <w:t>A</w:t>
      </w:r>
      <w:r>
        <w:rPr>
          <w:spacing w:val="-2"/>
          <w:sz w:val="22"/>
        </w:rPr>
        <w:t>、</w:t>
      </w:r>
      <w:r>
        <w:rPr>
          <w:rFonts w:ascii="Arial" w:eastAsia="Arial"/>
          <w:spacing w:val="-2"/>
          <w:sz w:val="22"/>
        </w:rPr>
        <w:t>B</w:t>
      </w:r>
      <w:r>
        <w:rPr>
          <w:spacing w:val="-2"/>
          <w:sz w:val="22"/>
        </w:rPr>
        <w:t>、</w:t>
      </w:r>
      <w:r>
        <w:rPr>
          <w:rFonts w:ascii="Arial" w:eastAsia="Arial"/>
          <w:spacing w:val="-2"/>
          <w:sz w:val="22"/>
        </w:rPr>
        <w:t>C</w:t>
      </w:r>
      <w:r>
        <w:rPr>
          <w:spacing w:val="-2"/>
          <w:sz w:val="22"/>
        </w:rPr>
        <w:t>、</w:t>
      </w:r>
      <w:r>
        <w:rPr>
          <w:rFonts w:ascii="Arial" w:eastAsia="Arial"/>
          <w:spacing w:val="-2"/>
          <w:sz w:val="22"/>
        </w:rPr>
        <w:t>D</w:t>
      </w:r>
      <w:r>
        <w:rPr>
          <w:spacing w:val="-2"/>
          <w:sz w:val="22"/>
        </w:rPr>
        <w:t>、</w:t>
      </w:r>
      <w:r>
        <w:rPr>
          <w:rFonts w:ascii="Arial" w:eastAsia="Arial"/>
          <w:spacing w:val="-2"/>
          <w:sz w:val="22"/>
        </w:rPr>
        <w:t>E</w:t>
      </w:r>
      <w:r>
        <w:rPr>
          <w:spacing w:val="-2"/>
          <w:sz w:val="22"/>
        </w:rPr>
        <w:t>、</w:t>
      </w:r>
      <w:r>
        <w:rPr>
          <w:rFonts w:ascii="Arial" w:eastAsia="Arial"/>
          <w:spacing w:val="-2"/>
          <w:sz w:val="22"/>
        </w:rPr>
        <w:t>F</w:t>
      </w:r>
      <w:r>
        <w:rPr>
          <w:rFonts w:ascii="Arial" w:eastAsia="Arial"/>
          <w:spacing w:val="-13"/>
          <w:sz w:val="22"/>
        </w:rPr>
        <w:t> </w:t>
      </w:r>
      <w:r>
        <w:rPr>
          <w:spacing w:val="-2"/>
          <w:sz w:val="22"/>
        </w:rPr>
        <w:t>六组，具体疾病分组</w:t>
      </w:r>
      <w:r>
        <w:rPr>
          <w:spacing w:val="-2"/>
          <w:sz w:val="22"/>
        </w:rPr>
        <w:t>情况如下：</w:t>
      </w:r>
    </w:p>
    <w:p>
      <w:pPr>
        <w:spacing w:after="0" w:line="266" w:lineRule="auto"/>
        <w:jc w:val="left"/>
        <w:rPr>
          <w:sz w:val="22"/>
        </w:rPr>
        <w:sectPr>
          <w:type w:val="continuous"/>
          <w:pgSz w:w="11910" w:h="16840"/>
          <w:pgMar w:header="0" w:footer="1120" w:top="1120" w:bottom="1300" w:left="1020" w:right="1020"/>
          <w:cols w:num="2" w:equalWidth="0">
            <w:col w:w="1813" w:space="40"/>
            <w:col w:w="8017"/>
          </w:cols>
        </w:sectPr>
      </w:pPr>
    </w:p>
    <w:p>
      <w:pPr>
        <w:pStyle w:val="BodyText"/>
        <w:spacing w:before="0"/>
        <w:rPr>
          <w:sz w:val="2"/>
        </w:rPr>
      </w:pPr>
    </w:p>
    <w:p>
      <w:pPr>
        <w:pStyle w:val="BodyText"/>
        <w:spacing w:before="0"/>
        <w:ind w:left="391"/>
        <w:rPr>
          <w:sz w:val="20"/>
        </w:rPr>
      </w:pPr>
      <w:r>
        <w:rPr>
          <w:sz w:val="20"/>
        </w:rPr>
        <w:pict>
          <v:shape style="width:467.8pt;height:47.65pt;mso-position-horizontal-relative:char;mso-position-vertical-relative:line" type="#_x0000_t202" id="docshape2" filled="false" stroked="true" strokeweight=".481pt" strokecolor="#000000">
            <w10:anchorlock/>
            <v:textbox inset="0,0,0,0">
              <w:txbxContent>
                <w:p>
                  <w:pPr>
                    <w:spacing w:before="15"/>
                    <w:ind w:left="-5" w:right="0" w:firstLine="0"/>
                    <w:jc w:val="left"/>
                    <w:rPr>
                      <w:sz w:val="21"/>
                    </w:rPr>
                  </w:pPr>
                  <w:r>
                    <w:rPr>
                      <w:b/>
                      <w:spacing w:val="-2"/>
                      <w:sz w:val="22"/>
                    </w:rPr>
                    <w:t>110</w:t>
                  </w:r>
                  <w:r>
                    <w:rPr>
                      <w:b/>
                      <w:spacing w:val="-13"/>
                      <w:sz w:val="22"/>
                    </w:rPr>
                    <w:t> 种重疾</w:t>
                  </w:r>
                  <w:r>
                    <w:rPr>
                      <w:b/>
                      <w:spacing w:val="-2"/>
                      <w:sz w:val="22"/>
                    </w:rPr>
                    <w:t>A</w:t>
                  </w:r>
                  <w:r>
                    <w:rPr>
                      <w:b/>
                      <w:spacing w:val="-24"/>
                      <w:sz w:val="22"/>
                    </w:rPr>
                    <w:t> 组 </w:t>
                  </w:r>
                  <w:r>
                    <w:rPr>
                      <w:rFonts w:ascii="Times New Roman" w:hAnsi="Times New Roman" w:eastAsia="Times New Roman"/>
                      <w:spacing w:val="-2"/>
                      <w:sz w:val="21"/>
                    </w:rPr>
                    <w:t>11.1</w:t>
                  </w:r>
                  <w:r>
                    <w:rPr>
                      <w:rFonts w:ascii="Times New Roman" w:hAnsi="Times New Roman" w:eastAsia="Times New Roman"/>
                      <w:spacing w:val="15"/>
                      <w:sz w:val="21"/>
                    </w:rPr>
                    <w:t> </w:t>
                  </w:r>
                  <w:r>
                    <w:rPr>
                      <w:spacing w:val="-3"/>
                      <w:sz w:val="21"/>
                    </w:rPr>
                    <w:t>恶性肿瘤——重度</w:t>
                  </w:r>
                </w:p>
                <w:p>
                  <w:pPr>
                    <w:pStyle w:val="BodyText"/>
                    <w:numPr>
                      <w:ilvl w:val="0"/>
                      <w:numId w:val="91"/>
                    </w:numPr>
                    <w:tabs>
                      <w:tab w:pos="2093" w:val="left" w:leader="none"/>
                    </w:tabs>
                    <w:spacing w:line="240" w:lineRule="auto" w:before="35" w:after="0"/>
                    <w:ind w:left="2092" w:right="0" w:hanging="572"/>
                    <w:jc w:val="left"/>
                  </w:pPr>
                  <w:r>
                    <w:rPr>
                      <w:spacing w:val="-6"/>
                    </w:rPr>
                    <w:t>嗜铬细胞瘤</w:t>
                  </w:r>
                </w:p>
                <w:p>
                  <w:pPr>
                    <w:pStyle w:val="BodyText"/>
                    <w:numPr>
                      <w:ilvl w:val="0"/>
                      <w:numId w:val="91"/>
                    </w:numPr>
                    <w:tabs>
                      <w:tab w:pos="2093" w:val="left" w:leader="none"/>
                    </w:tabs>
                    <w:spacing w:line="240" w:lineRule="auto" w:before="50" w:after="0"/>
                    <w:ind w:left="2092" w:right="0" w:hanging="572"/>
                    <w:jc w:val="left"/>
                  </w:pPr>
                  <w:r>
                    <w:rPr>
                      <w:spacing w:val="-6"/>
                    </w:rPr>
                    <w:t>恶性葡萄胎</w:t>
                  </w:r>
                </w:p>
              </w:txbxContent>
            </v:textbox>
            <v:stroke dashstyle="solid"/>
          </v:shape>
        </w:pict>
      </w:r>
      <w:r>
        <w:rPr>
          <w:sz w:val="20"/>
        </w:rPr>
      </w:r>
    </w:p>
    <w:p>
      <w:pPr>
        <w:spacing w:line="259" w:lineRule="exact" w:before="0"/>
        <w:ind w:left="395" w:right="0" w:firstLine="0"/>
        <w:jc w:val="left"/>
        <w:rPr>
          <w:sz w:val="21"/>
        </w:rPr>
      </w:pPr>
      <w:r>
        <w:rPr/>
        <w:drawing>
          <wp:anchor distT="0" distB="0" distL="0" distR="0" allowOverlap="1" layoutInCell="1" locked="0" behindDoc="0" simplePos="0" relativeHeight="15729664">
            <wp:simplePos x="0" y="0"/>
            <wp:positionH relativeFrom="page">
              <wp:posOffset>896111</wp:posOffset>
            </wp:positionH>
            <wp:positionV relativeFrom="paragraph">
              <wp:posOffset>-24350</wp:posOffset>
            </wp:positionV>
            <wp:extent cx="6096" cy="120548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96" cy="1205484"/>
                    </a:xfrm>
                    <a:prstGeom prst="rect">
                      <a:avLst/>
                    </a:prstGeom>
                  </pic:spPr>
                </pic:pic>
              </a:graphicData>
            </a:graphic>
          </wp:anchor>
        </w:drawing>
      </w:r>
      <w:r>
        <w:rPr/>
        <w:drawing>
          <wp:anchor distT="0" distB="0" distL="0" distR="0" allowOverlap="1" layoutInCell="1" locked="0" behindDoc="0" simplePos="0" relativeHeight="15730176">
            <wp:simplePos x="0" y="0"/>
            <wp:positionH relativeFrom="page">
              <wp:posOffset>6836664</wp:posOffset>
            </wp:positionH>
            <wp:positionV relativeFrom="paragraph">
              <wp:posOffset>-24350</wp:posOffset>
            </wp:positionV>
            <wp:extent cx="6108" cy="1205484"/>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7" cstate="print"/>
                    <a:stretch>
                      <a:fillRect/>
                    </a:stretch>
                  </pic:blipFill>
                  <pic:spPr>
                    <a:xfrm>
                      <a:off x="0" y="0"/>
                      <a:ext cx="6108" cy="1205484"/>
                    </a:xfrm>
                    <a:prstGeom prst="rect">
                      <a:avLst/>
                    </a:prstGeom>
                  </pic:spPr>
                </pic:pic>
              </a:graphicData>
            </a:graphic>
          </wp:anchor>
        </w:drawing>
      </w:r>
      <w:r>
        <w:rPr>
          <w:b/>
          <w:sz w:val="22"/>
        </w:rPr>
        <w:t>110</w:t>
      </w:r>
      <w:r>
        <w:rPr>
          <w:b/>
          <w:spacing w:val="-42"/>
          <w:sz w:val="22"/>
        </w:rPr>
        <w:t> 种</w:t>
      </w:r>
      <w:r>
        <w:rPr>
          <w:b/>
          <w:sz w:val="22"/>
        </w:rPr>
        <w:t>重</w:t>
      </w:r>
      <w:r>
        <w:rPr>
          <w:b/>
          <w:spacing w:val="28"/>
          <w:sz w:val="22"/>
        </w:rPr>
        <w:t>疾</w:t>
      </w:r>
      <w:r>
        <w:rPr>
          <w:b/>
          <w:sz w:val="22"/>
        </w:rPr>
        <w:t>B</w:t>
      </w:r>
      <w:r>
        <w:rPr>
          <w:b/>
          <w:spacing w:val="-36"/>
          <w:sz w:val="22"/>
        </w:rPr>
        <w:t> 组 </w:t>
      </w:r>
      <w:r>
        <w:rPr>
          <w:rFonts w:ascii="Times New Roman" w:eastAsia="Times New Roman"/>
          <w:sz w:val="21"/>
        </w:rPr>
        <w:t>11.4</w:t>
      </w:r>
      <w:r>
        <w:rPr>
          <w:rFonts w:ascii="Times New Roman" w:eastAsia="Times New Roman"/>
          <w:spacing w:val="34"/>
          <w:sz w:val="21"/>
        </w:rPr>
        <w:t> </w:t>
      </w:r>
      <w:r>
        <w:rPr>
          <w:spacing w:val="-1"/>
          <w:sz w:val="21"/>
        </w:rPr>
        <w:t>重大器官移植术或造血干细胞移植术</w:t>
      </w:r>
    </w:p>
    <w:p>
      <w:pPr>
        <w:pStyle w:val="BodyText"/>
        <w:spacing w:before="37"/>
        <w:ind w:left="1922"/>
      </w:pPr>
      <w:r>
        <w:rPr>
          <w:rFonts w:ascii="Times New Roman" w:eastAsia="Times New Roman"/>
        </w:rPr>
        <w:t>11.6</w:t>
      </w:r>
      <w:r>
        <w:rPr>
          <w:rFonts w:ascii="Times New Roman" w:eastAsia="Times New Roman"/>
          <w:spacing w:val="31"/>
        </w:rPr>
        <w:t> </w:t>
      </w:r>
      <w:r>
        <w:rPr>
          <w:spacing w:val="-2"/>
        </w:rPr>
        <w:t>严重慢性肾衰竭</w:t>
      </w:r>
    </w:p>
    <w:p>
      <w:pPr>
        <w:pStyle w:val="BodyText"/>
        <w:spacing w:before="48"/>
        <w:ind w:left="1922"/>
      </w:pPr>
      <w:r>
        <w:rPr>
          <w:rFonts w:ascii="Times New Roman" w:eastAsia="Times New Roman"/>
        </w:rPr>
        <w:t>11.8</w:t>
      </w:r>
      <w:r>
        <w:rPr>
          <w:rFonts w:ascii="Times New Roman" w:eastAsia="Times New Roman"/>
          <w:spacing w:val="22"/>
        </w:rPr>
        <w:t> </w:t>
      </w:r>
      <w:r>
        <w:rPr>
          <w:spacing w:val="-1"/>
        </w:rPr>
        <w:t>急性重症肝炎或亚急性重症肝炎</w:t>
      </w:r>
    </w:p>
    <w:p>
      <w:pPr>
        <w:pStyle w:val="BodyText"/>
        <w:spacing w:before="50"/>
        <w:ind w:left="1922"/>
      </w:pPr>
      <w:r>
        <w:rPr>
          <w:rFonts w:ascii="Times New Roman" w:eastAsia="Times New Roman"/>
        </w:rPr>
        <w:t>11.10</w:t>
      </w:r>
      <w:r>
        <w:rPr>
          <w:rFonts w:ascii="Times New Roman" w:eastAsia="Times New Roman"/>
          <w:spacing w:val="33"/>
        </w:rPr>
        <w:t> </w:t>
      </w:r>
      <w:r>
        <w:rPr>
          <w:spacing w:val="-2"/>
        </w:rPr>
        <w:t>严重慢性肝衰竭</w:t>
      </w:r>
    </w:p>
    <w:p>
      <w:pPr>
        <w:pStyle w:val="BodyText"/>
        <w:spacing w:before="48"/>
        <w:ind w:left="1922"/>
      </w:pPr>
      <w:r>
        <w:rPr>
          <w:rFonts w:ascii="Times New Roman" w:eastAsia="Times New Roman"/>
        </w:rPr>
        <w:t>11.24</w:t>
      </w:r>
      <w:r>
        <w:rPr>
          <w:rFonts w:ascii="Times New Roman" w:eastAsia="Times New Roman"/>
          <w:spacing w:val="27"/>
        </w:rPr>
        <w:t> </w:t>
      </w:r>
      <w:r>
        <w:rPr>
          <w:spacing w:val="-2"/>
        </w:rPr>
        <w:t>重型再生障碍性贫血</w:t>
      </w:r>
    </w:p>
    <w:p>
      <w:pPr>
        <w:pStyle w:val="BodyText"/>
        <w:spacing w:before="50"/>
        <w:ind w:left="1922"/>
      </w:pPr>
      <w:r>
        <w:rPr>
          <w:rFonts w:ascii="Times New Roman" w:eastAsia="Times New Roman"/>
        </w:rPr>
        <w:t>11.26</w:t>
      </w:r>
      <w:r>
        <w:rPr>
          <w:rFonts w:ascii="Times New Roman" w:eastAsia="Times New Roman"/>
          <w:spacing w:val="30"/>
        </w:rPr>
        <w:t> </w:t>
      </w:r>
      <w:r>
        <w:rPr>
          <w:spacing w:val="-2"/>
        </w:rPr>
        <w:t>严重慢性呼吸衰竭</w:t>
      </w:r>
    </w:p>
    <w:p>
      <w:pPr>
        <w:spacing w:after="0"/>
        <w:sectPr>
          <w:type w:val="continuous"/>
          <w:pgSz w:w="11910" w:h="16840"/>
          <w:pgMar w:header="0" w:footer="1120" w:top="1120" w:bottom="1300" w:left="1020" w:right="1020"/>
        </w:sectPr>
      </w:pPr>
    </w:p>
    <w:tbl>
      <w:tblPr>
        <w:tblW w:w="0" w:type="auto"/>
        <w:jc w:val="left"/>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355"/>
      </w:tblGrid>
      <w:tr>
        <w:trPr>
          <w:trHeight w:val="7631" w:hRule="atLeast"/>
        </w:trPr>
        <w:tc>
          <w:tcPr>
            <w:tcW w:w="9355" w:type="dxa"/>
            <w:tcBorders>
              <w:top w:val="nil"/>
            </w:tcBorders>
          </w:tcPr>
          <w:p>
            <w:pPr>
              <w:pStyle w:val="TableParagraph"/>
              <w:numPr>
                <w:ilvl w:val="1"/>
                <w:numId w:val="92"/>
              </w:numPr>
              <w:tabs>
                <w:tab w:pos="2098" w:val="left" w:leader="none"/>
              </w:tabs>
              <w:spacing w:line="240" w:lineRule="auto" w:before="25" w:after="0"/>
              <w:ind w:left="2097" w:right="0" w:hanging="572"/>
              <w:jc w:val="left"/>
              <w:rPr>
                <w:sz w:val="21"/>
              </w:rPr>
            </w:pPr>
            <w:r>
              <w:rPr>
                <w:spacing w:val="-4"/>
                <w:sz w:val="21"/>
              </w:rPr>
              <w:t>严重克罗恩病</w:t>
            </w:r>
          </w:p>
          <w:p>
            <w:pPr>
              <w:pStyle w:val="TableParagraph"/>
              <w:numPr>
                <w:ilvl w:val="1"/>
                <w:numId w:val="92"/>
              </w:numPr>
              <w:tabs>
                <w:tab w:pos="2098" w:val="left" w:leader="none"/>
              </w:tabs>
              <w:spacing w:line="240" w:lineRule="auto" w:before="48" w:after="0"/>
              <w:ind w:left="2097" w:right="0" w:hanging="572"/>
              <w:jc w:val="left"/>
              <w:rPr>
                <w:sz w:val="21"/>
              </w:rPr>
            </w:pPr>
            <w:r>
              <w:rPr>
                <w:spacing w:val="-4"/>
                <w:sz w:val="21"/>
              </w:rPr>
              <w:t>严重溃疡性结肠炎</w:t>
            </w:r>
          </w:p>
          <w:p>
            <w:pPr>
              <w:pStyle w:val="TableParagraph"/>
              <w:numPr>
                <w:ilvl w:val="1"/>
                <w:numId w:val="93"/>
              </w:numPr>
              <w:tabs>
                <w:tab w:pos="2098" w:val="left" w:leader="none"/>
              </w:tabs>
              <w:spacing w:line="240" w:lineRule="auto" w:before="50" w:after="0"/>
              <w:ind w:left="2097" w:right="0" w:hanging="572"/>
              <w:jc w:val="left"/>
              <w:rPr>
                <w:sz w:val="21"/>
              </w:rPr>
            </w:pPr>
            <w:r>
              <w:rPr>
                <w:spacing w:val="-3"/>
                <w:sz w:val="21"/>
              </w:rPr>
              <w:t>系统性红斑狼疮性肾炎</w:t>
            </w:r>
          </w:p>
          <w:p>
            <w:pPr>
              <w:pStyle w:val="TableParagraph"/>
              <w:numPr>
                <w:ilvl w:val="1"/>
                <w:numId w:val="93"/>
              </w:numPr>
              <w:tabs>
                <w:tab w:pos="2098" w:val="left" w:leader="none"/>
              </w:tabs>
              <w:spacing w:line="240" w:lineRule="auto" w:before="48" w:after="0"/>
              <w:ind w:left="2097" w:right="0" w:hanging="572"/>
              <w:jc w:val="left"/>
              <w:rPr>
                <w:sz w:val="21"/>
              </w:rPr>
            </w:pPr>
            <w:r>
              <w:rPr>
                <w:spacing w:val="-3"/>
                <w:sz w:val="21"/>
              </w:rPr>
              <w:t>特发性慢性肾上腺皮质功能衰竭</w:t>
            </w:r>
          </w:p>
          <w:p>
            <w:pPr>
              <w:pStyle w:val="TableParagraph"/>
              <w:numPr>
                <w:ilvl w:val="1"/>
                <w:numId w:val="93"/>
              </w:numPr>
              <w:tabs>
                <w:tab w:pos="2098" w:val="left" w:leader="none"/>
              </w:tabs>
              <w:spacing w:line="240" w:lineRule="auto" w:before="50" w:after="0"/>
              <w:ind w:left="2097" w:right="0" w:hanging="572"/>
              <w:jc w:val="left"/>
              <w:rPr>
                <w:sz w:val="21"/>
              </w:rPr>
            </w:pPr>
            <w:r>
              <w:rPr>
                <w:spacing w:val="-3"/>
                <w:sz w:val="21"/>
              </w:rPr>
              <w:t>原发性硬化性胆管炎</w:t>
            </w:r>
          </w:p>
          <w:p>
            <w:pPr>
              <w:pStyle w:val="TableParagraph"/>
              <w:numPr>
                <w:ilvl w:val="1"/>
                <w:numId w:val="93"/>
              </w:numPr>
              <w:tabs>
                <w:tab w:pos="2098" w:val="left" w:leader="none"/>
              </w:tabs>
              <w:spacing w:line="240" w:lineRule="auto" w:before="47" w:after="0"/>
              <w:ind w:left="2097" w:right="0" w:hanging="572"/>
              <w:jc w:val="left"/>
              <w:rPr>
                <w:sz w:val="21"/>
              </w:rPr>
            </w:pPr>
            <w:r>
              <w:rPr>
                <w:spacing w:val="-3"/>
                <w:sz w:val="21"/>
              </w:rPr>
              <w:t>Ⅱ级重症急性胰腺炎</w:t>
            </w:r>
          </w:p>
          <w:p>
            <w:pPr>
              <w:pStyle w:val="TableParagraph"/>
              <w:numPr>
                <w:ilvl w:val="1"/>
                <w:numId w:val="93"/>
              </w:numPr>
              <w:tabs>
                <w:tab w:pos="2098" w:val="left" w:leader="none"/>
              </w:tabs>
              <w:spacing w:line="240" w:lineRule="auto" w:before="51" w:after="0"/>
              <w:ind w:left="2097" w:right="0" w:hanging="572"/>
              <w:jc w:val="left"/>
              <w:rPr>
                <w:sz w:val="21"/>
              </w:rPr>
            </w:pPr>
            <w:r>
              <w:rPr>
                <w:spacing w:val="-3"/>
                <w:sz w:val="21"/>
              </w:rPr>
              <w:t>严重慢性复发性胰腺炎</w:t>
            </w:r>
          </w:p>
          <w:p>
            <w:pPr>
              <w:pStyle w:val="TableParagraph"/>
              <w:numPr>
                <w:ilvl w:val="1"/>
                <w:numId w:val="93"/>
              </w:numPr>
              <w:tabs>
                <w:tab w:pos="2098" w:val="left" w:leader="none"/>
              </w:tabs>
              <w:spacing w:line="240" w:lineRule="auto" w:before="47" w:after="0"/>
              <w:ind w:left="2097" w:right="0" w:hanging="572"/>
              <w:jc w:val="left"/>
              <w:rPr>
                <w:sz w:val="21"/>
              </w:rPr>
            </w:pPr>
            <w:r>
              <w:rPr>
                <w:spacing w:val="-4"/>
                <w:sz w:val="21"/>
              </w:rPr>
              <w:t>系统性硬皮病</w:t>
            </w:r>
          </w:p>
          <w:p>
            <w:pPr>
              <w:pStyle w:val="TableParagraph"/>
              <w:numPr>
                <w:ilvl w:val="1"/>
                <w:numId w:val="93"/>
              </w:numPr>
              <w:tabs>
                <w:tab w:pos="2098" w:val="left" w:leader="none"/>
              </w:tabs>
              <w:spacing w:line="240" w:lineRule="auto" w:before="50" w:after="0"/>
              <w:ind w:left="2097" w:right="0" w:hanging="572"/>
              <w:jc w:val="left"/>
              <w:rPr>
                <w:sz w:val="21"/>
              </w:rPr>
            </w:pPr>
            <w:r>
              <w:rPr>
                <w:spacing w:val="-4"/>
                <w:sz w:val="21"/>
              </w:rPr>
              <w:t>胰腺移植</w:t>
            </w:r>
          </w:p>
          <w:p>
            <w:pPr>
              <w:pStyle w:val="TableParagraph"/>
              <w:numPr>
                <w:ilvl w:val="1"/>
                <w:numId w:val="93"/>
              </w:numPr>
              <w:tabs>
                <w:tab w:pos="2098" w:val="left" w:leader="none"/>
              </w:tabs>
              <w:spacing w:line="240" w:lineRule="auto" w:before="48" w:after="0"/>
              <w:ind w:left="2097" w:right="0" w:hanging="572"/>
              <w:jc w:val="left"/>
              <w:rPr>
                <w:sz w:val="21"/>
              </w:rPr>
            </w:pPr>
            <w:r>
              <w:rPr>
                <w:spacing w:val="-3"/>
                <w:sz w:val="21"/>
              </w:rPr>
              <w:t>严重自身免疫性肝炎</w:t>
            </w:r>
          </w:p>
          <w:p>
            <w:pPr>
              <w:pStyle w:val="TableParagraph"/>
              <w:numPr>
                <w:ilvl w:val="1"/>
                <w:numId w:val="93"/>
              </w:numPr>
              <w:tabs>
                <w:tab w:pos="2098" w:val="left" w:leader="none"/>
              </w:tabs>
              <w:spacing w:line="240" w:lineRule="auto" w:before="50" w:after="0"/>
              <w:ind w:left="2097" w:right="0" w:hanging="572"/>
              <w:jc w:val="left"/>
              <w:rPr>
                <w:sz w:val="21"/>
              </w:rPr>
            </w:pPr>
            <w:r>
              <w:rPr>
                <w:spacing w:val="-4"/>
                <w:sz w:val="21"/>
              </w:rPr>
              <w:t>胆道重建手术</w:t>
            </w:r>
          </w:p>
          <w:p>
            <w:pPr>
              <w:pStyle w:val="TableParagraph"/>
              <w:numPr>
                <w:ilvl w:val="1"/>
                <w:numId w:val="93"/>
              </w:numPr>
              <w:tabs>
                <w:tab w:pos="2098" w:val="left" w:leader="none"/>
              </w:tabs>
              <w:spacing w:line="240" w:lineRule="auto" w:before="48" w:after="0"/>
              <w:ind w:left="2097" w:right="0" w:hanging="572"/>
              <w:jc w:val="left"/>
              <w:rPr>
                <w:sz w:val="21"/>
              </w:rPr>
            </w:pPr>
            <w:r>
              <w:rPr>
                <w:spacing w:val="-3"/>
                <w:sz w:val="21"/>
              </w:rPr>
              <w:t>严重肠道疾病并发症</w:t>
            </w:r>
          </w:p>
          <w:p>
            <w:pPr>
              <w:pStyle w:val="TableParagraph"/>
              <w:numPr>
                <w:ilvl w:val="1"/>
                <w:numId w:val="93"/>
              </w:numPr>
              <w:tabs>
                <w:tab w:pos="2098" w:val="left" w:leader="none"/>
              </w:tabs>
              <w:spacing w:line="240" w:lineRule="auto" w:before="50" w:after="0"/>
              <w:ind w:left="2097" w:right="0" w:hanging="572"/>
              <w:jc w:val="left"/>
              <w:rPr>
                <w:sz w:val="21"/>
              </w:rPr>
            </w:pPr>
            <w:r>
              <w:rPr>
                <w:spacing w:val="-4"/>
                <w:sz w:val="21"/>
              </w:rPr>
              <w:t>肺淋巴管肌瘤病</w:t>
            </w:r>
          </w:p>
          <w:p>
            <w:pPr>
              <w:pStyle w:val="TableParagraph"/>
              <w:numPr>
                <w:ilvl w:val="1"/>
                <w:numId w:val="93"/>
              </w:numPr>
              <w:tabs>
                <w:tab w:pos="2098" w:val="left" w:leader="none"/>
              </w:tabs>
              <w:spacing w:line="240" w:lineRule="auto" w:before="48" w:after="0"/>
              <w:ind w:left="2097" w:right="0" w:hanging="572"/>
              <w:jc w:val="left"/>
              <w:rPr>
                <w:sz w:val="21"/>
              </w:rPr>
            </w:pPr>
            <w:r>
              <w:rPr>
                <w:spacing w:val="-3"/>
                <w:sz w:val="21"/>
              </w:rPr>
              <w:t>严重获得性或继发性肺泡蛋白质沉积症</w:t>
            </w:r>
          </w:p>
          <w:p>
            <w:pPr>
              <w:pStyle w:val="TableParagraph"/>
              <w:numPr>
                <w:ilvl w:val="1"/>
                <w:numId w:val="93"/>
              </w:numPr>
              <w:tabs>
                <w:tab w:pos="2098" w:val="left" w:leader="none"/>
              </w:tabs>
              <w:spacing w:line="240" w:lineRule="auto" w:before="50" w:after="0"/>
              <w:ind w:left="2097" w:right="0" w:hanging="572"/>
              <w:jc w:val="left"/>
              <w:rPr>
                <w:sz w:val="21"/>
              </w:rPr>
            </w:pPr>
            <w:r>
              <w:rPr>
                <w:spacing w:val="-4"/>
                <w:sz w:val="21"/>
              </w:rPr>
              <w:t>肾髓质囊性病</w:t>
            </w:r>
          </w:p>
          <w:p>
            <w:pPr>
              <w:pStyle w:val="TableParagraph"/>
              <w:numPr>
                <w:ilvl w:val="1"/>
                <w:numId w:val="93"/>
              </w:numPr>
              <w:tabs>
                <w:tab w:pos="2098" w:val="left" w:leader="none"/>
              </w:tabs>
              <w:spacing w:line="240" w:lineRule="auto" w:before="48" w:after="0"/>
              <w:ind w:left="2097" w:right="0" w:hanging="572"/>
              <w:jc w:val="left"/>
              <w:rPr>
                <w:sz w:val="21"/>
              </w:rPr>
            </w:pPr>
            <w:r>
              <w:rPr>
                <w:spacing w:val="-2"/>
                <w:sz w:val="21"/>
              </w:rPr>
              <w:t>严重肝豆状核变性（</w:t>
            </w:r>
            <w:r>
              <w:rPr>
                <w:rFonts w:ascii="Times New Roman" w:eastAsia="Times New Roman"/>
                <w:spacing w:val="-2"/>
                <w:sz w:val="21"/>
              </w:rPr>
              <w:t>Wilson</w:t>
            </w:r>
            <w:r>
              <w:rPr>
                <w:rFonts w:ascii="Times New Roman" w:eastAsia="Times New Roman"/>
                <w:spacing w:val="1"/>
                <w:sz w:val="21"/>
              </w:rPr>
              <w:t> </w:t>
            </w:r>
            <w:r>
              <w:rPr>
                <w:spacing w:val="-2"/>
                <w:sz w:val="21"/>
              </w:rPr>
              <w:t>病</w:t>
            </w:r>
            <w:r>
              <w:rPr>
                <w:spacing w:val="-10"/>
                <w:sz w:val="21"/>
              </w:rPr>
              <w:t>）</w:t>
            </w:r>
          </w:p>
          <w:p>
            <w:pPr>
              <w:pStyle w:val="TableParagraph"/>
              <w:numPr>
                <w:ilvl w:val="1"/>
                <w:numId w:val="93"/>
              </w:numPr>
              <w:tabs>
                <w:tab w:pos="2098" w:val="left" w:leader="none"/>
              </w:tabs>
              <w:spacing w:line="240" w:lineRule="auto" w:before="50" w:after="0"/>
              <w:ind w:left="2097" w:right="0" w:hanging="572"/>
              <w:jc w:val="left"/>
              <w:rPr>
                <w:sz w:val="21"/>
              </w:rPr>
            </w:pPr>
            <w:r>
              <w:rPr>
                <w:spacing w:val="-4"/>
                <w:sz w:val="21"/>
              </w:rPr>
              <w:t>严重肺结节病</w:t>
            </w:r>
          </w:p>
          <w:p>
            <w:pPr>
              <w:pStyle w:val="TableParagraph"/>
              <w:numPr>
                <w:ilvl w:val="1"/>
                <w:numId w:val="93"/>
              </w:numPr>
              <w:tabs>
                <w:tab w:pos="2098" w:val="left" w:leader="none"/>
              </w:tabs>
              <w:spacing w:line="240" w:lineRule="auto" w:before="48" w:after="0"/>
              <w:ind w:left="2097" w:right="0" w:hanging="572"/>
              <w:jc w:val="left"/>
              <w:rPr>
                <w:sz w:val="21"/>
              </w:rPr>
            </w:pPr>
            <w:r>
              <w:rPr>
                <w:spacing w:val="-4"/>
                <w:sz w:val="21"/>
              </w:rPr>
              <w:t>溶血性尿毒综合征</w:t>
            </w:r>
          </w:p>
          <w:p>
            <w:pPr>
              <w:pStyle w:val="TableParagraph"/>
              <w:numPr>
                <w:ilvl w:val="1"/>
                <w:numId w:val="93"/>
              </w:numPr>
              <w:tabs>
                <w:tab w:pos="2098" w:val="left" w:leader="none"/>
              </w:tabs>
              <w:spacing w:line="240" w:lineRule="auto" w:before="50" w:after="0"/>
              <w:ind w:left="2097" w:right="0" w:hanging="572"/>
              <w:jc w:val="left"/>
              <w:rPr>
                <w:sz w:val="21"/>
              </w:rPr>
            </w:pPr>
            <w:r>
              <w:rPr>
                <w:spacing w:val="-4"/>
                <w:sz w:val="21"/>
              </w:rPr>
              <w:t>席汉氏综合征</w:t>
            </w:r>
          </w:p>
          <w:p>
            <w:pPr>
              <w:pStyle w:val="TableParagraph"/>
              <w:numPr>
                <w:ilvl w:val="1"/>
                <w:numId w:val="93"/>
              </w:numPr>
              <w:tabs>
                <w:tab w:pos="2098" w:val="left" w:leader="none"/>
              </w:tabs>
              <w:spacing w:line="240" w:lineRule="auto" w:before="48" w:after="0"/>
              <w:ind w:left="2097" w:right="0" w:hanging="572"/>
              <w:jc w:val="left"/>
              <w:rPr>
                <w:sz w:val="21"/>
              </w:rPr>
            </w:pPr>
            <w:r>
              <w:rPr>
                <w:spacing w:val="-3"/>
                <w:sz w:val="21"/>
              </w:rPr>
              <w:t>范可尼综合征－三周岁开始理赔</w:t>
            </w:r>
          </w:p>
          <w:p>
            <w:pPr>
              <w:pStyle w:val="TableParagraph"/>
              <w:numPr>
                <w:ilvl w:val="1"/>
                <w:numId w:val="93"/>
              </w:numPr>
              <w:tabs>
                <w:tab w:pos="2098" w:val="left" w:leader="none"/>
              </w:tabs>
              <w:spacing w:line="240" w:lineRule="auto" w:before="50" w:after="0"/>
              <w:ind w:left="2097" w:right="0" w:hanging="572"/>
              <w:jc w:val="left"/>
              <w:rPr>
                <w:sz w:val="21"/>
              </w:rPr>
            </w:pPr>
            <w:r>
              <w:rPr>
                <w:spacing w:val="-3"/>
                <w:sz w:val="21"/>
              </w:rPr>
              <w:t>重症原发性血小板减少性紫癜</w:t>
            </w:r>
          </w:p>
          <w:p>
            <w:pPr>
              <w:pStyle w:val="TableParagraph"/>
              <w:numPr>
                <w:ilvl w:val="1"/>
                <w:numId w:val="93"/>
              </w:numPr>
              <w:tabs>
                <w:tab w:pos="2098" w:val="left" w:leader="none"/>
              </w:tabs>
              <w:spacing w:line="240" w:lineRule="auto" w:before="47" w:after="0"/>
              <w:ind w:left="2097" w:right="0" w:hanging="572"/>
              <w:jc w:val="left"/>
              <w:rPr>
                <w:sz w:val="21"/>
              </w:rPr>
            </w:pPr>
            <w:r>
              <w:rPr>
                <w:spacing w:val="-3"/>
                <w:sz w:val="21"/>
              </w:rPr>
              <w:t>原发性系统性淀粉样变性</w:t>
            </w:r>
          </w:p>
          <w:p>
            <w:pPr>
              <w:pStyle w:val="TableParagraph"/>
              <w:numPr>
                <w:ilvl w:val="1"/>
                <w:numId w:val="93"/>
              </w:numPr>
              <w:tabs>
                <w:tab w:pos="2045" w:val="left" w:leader="none"/>
              </w:tabs>
              <w:spacing w:line="240" w:lineRule="auto" w:before="51" w:after="0"/>
              <w:ind w:left="2044" w:right="0" w:hanging="519"/>
              <w:jc w:val="left"/>
              <w:rPr>
                <w:sz w:val="21"/>
              </w:rPr>
            </w:pPr>
            <w:r>
              <w:rPr>
                <w:rFonts w:ascii="Times New Roman" w:eastAsia="Times New Roman"/>
                <w:spacing w:val="-2"/>
                <w:sz w:val="21"/>
              </w:rPr>
              <w:t>Erdheim-Chester</w:t>
            </w:r>
            <w:r>
              <w:rPr>
                <w:rFonts w:ascii="Times New Roman" w:eastAsia="Times New Roman"/>
                <w:spacing w:val="11"/>
                <w:sz w:val="21"/>
              </w:rPr>
              <w:t> </w:t>
            </w:r>
            <w:r>
              <w:rPr>
                <w:spacing w:val="-2"/>
                <w:sz w:val="21"/>
              </w:rPr>
              <w:t>病</w:t>
            </w:r>
            <w:r>
              <w:rPr>
                <w:spacing w:val="-4"/>
                <w:sz w:val="21"/>
              </w:rPr>
              <w:t>（</w:t>
            </w:r>
            <w:r>
              <w:rPr>
                <w:rFonts w:ascii="Times New Roman" w:eastAsia="Times New Roman"/>
                <w:spacing w:val="-4"/>
                <w:sz w:val="21"/>
              </w:rPr>
              <w:t>ECD</w:t>
            </w:r>
            <w:r>
              <w:rPr>
                <w:spacing w:val="-4"/>
                <w:sz w:val="21"/>
              </w:rPr>
              <w:t>）</w:t>
            </w:r>
          </w:p>
          <w:p>
            <w:pPr>
              <w:pStyle w:val="TableParagraph"/>
              <w:numPr>
                <w:ilvl w:val="1"/>
                <w:numId w:val="93"/>
              </w:numPr>
              <w:tabs>
                <w:tab w:pos="2098" w:val="left" w:leader="none"/>
              </w:tabs>
              <w:spacing w:line="240" w:lineRule="auto" w:before="47" w:after="0"/>
              <w:ind w:left="2097" w:right="0" w:hanging="572"/>
              <w:jc w:val="left"/>
              <w:rPr>
                <w:sz w:val="21"/>
              </w:rPr>
            </w:pPr>
            <w:r>
              <w:rPr>
                <w:spacing w:val="-4"/>
                <w:sz w:val="21"/>
              </w:rPr>
              <w:t>肺孢子菌肺炎</w:t>
            </w:r>
          </w:p>
        </w:tc>
      </w:tr>
      <w:tr>
        <w:trPr>
          <w:trHeight w:val="5714" w:hRule="atLeast"/>
        </w:trPr>
        <w:tc>
          <w:tcPr>
            <w:tcW w:w="9355" w:type="dxa"/>
          </w:tcPr>
          <w:p>
            <w:pPr>
              <w:pStyle w:val="TableParagraph"/>
              <w:spacing w:before="15"/>
              <w:ind w:left="-1"/>
              <w:rPr>
                <w:sz w:val="21"/>
              </w:rPr>
            </w:pPr>
            <w:r>
              <w:rPr>
                <w:b/>
                <w:sz w:val="22"/>
              </w:rPr>
              <w:t>110</w:t>
            </w:r>
            <w:r>
              <w:rPr>
                <w:b/>
                <w:spacing w:val="-42"/>
                <w:sz w:val="22"/>
              </w:rPr>
              <w:t> 种</w:t>
            </w:r>
            <w:r>
              <w:rPr>
                <w:b/>
                <w:sz w:val="22"/>
              </w:rPr>
              <w:t>重</w:t>
            </w:r>
            <w:r>
              <w:rPr>
                <w:b/>
                <w:spacing w:val="28"/>
                <w:sz w:val="22"/>
              </w:rPr>
              <w:t>疾</w:t>
            </w:r>
            <w:r>
              <w:rPr>
                <w:b/>
                <w:sz w:val="22"/>
              </w:rPr>
              <w:t>C</w:t>
            </w:r>
            <w:r>
              <w:rPr>
                <w:b/>
                <w:spacing w:val="-34"/>
                <w:sz w:val="22"/>
              </w:rPr>
              <w:t> 组 </w:t>
            </w:r>
            <w:r>
              <w:rPr>
                <w:rFonts w:ascii="Times New Roman" w:eastAsia="Times New Roman"/>
                <w:sz w:val="21"/>
              </w:rPr>
              <w:t>11.2</w:t>
            </w:r>
            <w:r>
              <w:rPr>
                <w:rFonts w:ascii="Times New Roman" w:eastAsia="Times New Roman"/>
                <w:spacing w:val="39"/>
                <w:sz w:val="21"/>
              </w:rPr>
              <w:t> </w:t>
            </w:r>
            <w:r>
              <w:rPr>
                <w:spacing w:val="-2"/>
                <w:sz w:val="21"/>
              </w:rPr>
              <w:t>较重急性心肌梗死</w:t>
            </w:r>
          </w:p>
          <w:p>
            <w:pPr>
              <w:pStyle w:val="TableParagraph"/>
              <w:spacing w:before="35"/>
              <w:ind w:left="1526"/>
              <w:rPr>
                <w:sz w:val="21"/>
              </w:rPr>
            </w:pPr>
            <w:r>
              <w:rPr>
                <w:rFonts w:ascii="Times New Roman" w:eastAsia="Times New Roman"/>
                <w:sz w:val="21"/>
              </w:rPr>
              <w:t>11.3</w:t>
            </w:r>
            <w:r>
              <w:rPr>
                <w:rFonts w:ascii="Times New Roman" w:eastAsia="Times New Roman"/>
                <w:spacing w:val="31"/>
                <w:sz w:val="21"/>
              </w:rPr>
              <w:t> </w:t>
            </w:r>
            <w:r>
              <w:rPr>
                <w:spacing w:val="-2"/>
                <w:sz w:val="21"/>
              </w:rPr>
              <w:t>严重脑中风后遗症</w:t>
            </w:r>
          </w:p>
          <w:p>
            <w:pPr>
              <w:pStyle w:val="TableParagraph"/>
              <w:spacing w:before="50"/>
              <w:ind w:left="1526"/>
              <w:rPr>
                <w:sz w:val="21"/>
              </w:rPr>
            </w:pPr>
            <w:r>
              <w:rPr>
                <w:rFonts w:ascii="Times New Roman" w:eastAsia="Times New Roman"/>
                <w:sz w:val="21"/>
              </w:rPr>
              <w:t>11.5</w:t>
            </w:r>
            <w:r>
              <w:rPr>
                <w:rFonts w:ascii="Times New Roman" w:eastAsia="Times New Roman"/>
                <w:spacing w:val="13"/>
                <w:sz w:val="21"/>
              </w:rPr>
              <w:t> </w:t>
            </w:r>
            <w:r>
              <w:rPr>
                <w:sz w:val="21"/>
              </w:rPr>
              <w:t>冠状动脉搭桥术（或称冠状动脉旁路移植术</w:t>
            </w:r>
            <w:r>
              <w:rPr>
                <w:spacing w:val="-10"/>
                <w:sz w:val="21"/>
              </w:rPr>
              <w:t>）</w:t>
            </w:r>
          </w:p>
          <w:p>
            <w:pPr>
              <w:pStyle w:val="TableParagraph"/>
              <w:spacing w:before="48"/>
              <w:ind w:left="1526"/>
              <w:rPr>
                <w:sz w:val="21"/>
              </w:rPr>
            </w:pPr>
            <w:r>
              <w:rPr>
                <w:rFonts w:ascii="Times New Roman" w:eastAsia="Times New Roman"/>
                <w:sz w:val="21"/>
              </w:rPr>
              <w:t>11.16</w:t>
            </w:r>
            <w:r>
              <w:rPr>
                <w:rFonts w:ascii="Times New Roman" w:eastAsia="Times New Roman"/>
                <w:spacing w:val="33"/>
                <w:sz w:val="21"/>
              </w:rPr>
              <w:t> </w:t>
            </w:r>
            <w:r>
              <w:rPr>
                <w:spacing w:val="-2"/>
                <w:sz w:val="21"/>
              </w:rPr>
              <w:t>心脏瓣膜手术</w:t>
            </w:r>
          </w:p>
          <w:p>
            <w:pPr>
              <w:pStyle w:val="TableParagraph"/>
              <w:spacing w:before="50"/>
              <w:ind w:left="1526"/>
              <w:rPr>
                <w:sz w:val="21"/>
              </w:rPr>
            </w:pPr>
            <w:r>
              <w:rPr>
                <w:rFonts w:ascii="Times New Roman" w:eastAsia="Times New Roman"/>
                <w:sz w:val="21"/>
              </w:rPr>
              <w:t>11.21</w:t>
            </w:r>
            <w:r>
              <w:rPr>
                <w:rFonts w:ascii="Times New Roman" w:eastAsia="Times New Roman"/>
                <w:spacing w:val="27"/>
                <w:sz w:val="21"/>
              </w:rPr>
              <w:t> </w:t>
            </w:r>
            <w:r>
              <w:rPr>
                <w:spacing w:val="-2"/>
                <w:sz w:val="21"/>
              </w:rPr>
              <w:t>严重特发性肺动脉高压</w:t>
            </w:r>
          </w:p>
          <w:p>
            <w:pPr>
              <w:pStyle w:val="TableParagraph"/>
              <w:spacing w:before="48"/>
              <w:ind w:left="1526"/>
              <w:rPr>
                <w:sz w:val="21"/>
              </w:rPr>
            </w:pPr>
            <w:r>
              <w:rPr>
                <w:rFonts w:ascii="Times New Roman" w:eastAsia="Times New Roman"/>
                <w:sz w:val="21"/>
              </w:rPr>
              <w:t>11.25</w:t>
            </w:r>
            <w:r>
              <w:rPr>
                <w:rFonts w:ascii="Times New Roman" w:eastAsia="Times New Roman"/>
                <w:spacing w:val="36"/>
                <w:sz w:val="21"/>
              </w:rPr>
              <w:t> </w:t>
            </w:r>
            <w:r>
              <w:rPr>
                <w:spacing w:val="-2"/>
                <w:sz w:val="21"/>
              </w:rPr>
              <w:t>主动脉手术</w:t>
            </w:r>
          </w:p>
          <w:p>
            <w:pPr>
              <w:pStyle w:val="TableParagraph"/>
              <w:numPr>
                <w:ilvl w:val="1"/>
                <w:numId w:val="94"/>
              </w:numPr>
              <w:tabs>
                <w:tab w:pos="2098" w:val="left" w:leader="none"/>
              </w:tabs>
              <w:spacing w:line="240" w:lineRule="auto" w:before="50" w:after="0"/>
              <w:ind w:left="2097" w:right="0" w:hanging="572"/>
              <w:jc w:val="left"/>
              <w:rPr>
                <w:sz w:val="21"/>
              </w:rPr>
            </w:pPr>
            <w:r>
              <w:rPr>
                <w:spacing w:val="-4"/>
                <w:sz w:val="21"/>
              </w:rPr>
              <w:t>严重冠心病</w:t>
            </w:r>
          </w:p>
          <w:p>
            <w:pPr>
              <w:pStyle w:val="TableParagraph"/>
              <w:numPr>
                <w:ilvl w:val="1"/>
                <w:numId w:val="94"/>
              </w:numPr>
              <w:tabs>
                <w:tab w:pos="2098" w:val="left" w:leader="none"/>
              </w:tabs>
              <w:spacing w:line="240" w:lineRule="auto" w:before="48" w:after="0"/>
              <w:ind w:left="2097" w:right="0" w:hanging="572"/>
              <w:jc w:val="left"/>
              <w:rPr>
                <w:sz w:val="21"/>
              </w:rPr>
            </w:pPr>
            <w:r>
              <w:rPr>
                <w:spacing w:val="-4"/>
                <w:sz w:val="21"/>
              </w:rPr>
              <w:t>严重心肌病</w:t>
            </w:r>
          </w:p>
          <w:p>
            <w:pPr>
              <w:pStyle w:val="TableParagraph"/>
              <w:numPr>
                <w:ilvl w:val="1"/>
                <w:numId w:val="94"/>
              </w:numPr>
              <w:tabs>
                <w:tab w:pos="2098" w:val="left" w:leader="none"/>
              </w:tabs>
              <w:spacing w:line="240" w:lineRule="auto" w:before="50" w:after="0"/>
              <w:ind w:left="2097" w:right="0" w:hanging="572"/>
              <w:jc w:val="left"/>
              <w:rPr>
                <w:sz w:val="21"/>
              </w:rPr>
            </w:pPr>
            <w:r>
              <w:rPr>
                <w:spacing w:val="-4"/>
                <w:sz w:val="21"/>
              </w:rPr>
              <w:t>严重心肌炎</w:t>
            </w:r>
          </w:p>
          <w:p>
            <w:pPr>
              <w:pStyle w:val="TableParagraph"/>
              <w:numPr>
                <w:ilvl w:val="1"/>
                <w:numId w:val="94"/>
              </w:numPr>
              <w:tabs>
                <w:tab w:pos="2098" w:val="left" w:leader="none"/>
              </w:tabs>
              <w:spacing w:line="240" w:lineRule="auto" w:before="48" w:after="0"/>
              <w:ind w:left="2097" w:right="0" w:hanging="572"/>
              <w:jc w:val="left"/>
              <w:rPr>
                <w:sz w:val="21"/>
              </w:rPr>
            </w:pPr>
            <w:r>
              <w:rPr>
                <w:spacing w:val="-4"/>
                <w:sz w:val="21"/>
              </w:rPr>
              <w:t>肺源性心脏病</w:t>
            </w:r>
          </w:p>
          <w:p>
            <w:pPr>
              <w:pStyle w:val="TableParagraph"/>
              <w:numPr>
                <w:ilvl w:val="1"/>
                <w:numId w:val="94"/>
              </w:numPr>
              <w:tabs>
                <w:tab w:pos="2098" w:val="left" w:leader="none"/>
              </w:tabs>
              <w:spacing w:line="240" w:lineRule="auto" w:before="50" w:after="0"/>
              <w:ind w:left="2097" w:right="0" w:hanging="572"/>
              <w:jc w:val="left"/>
              <w:rPr>
                <w:sz w:val="21"/>
              </w:rPr>
            </w:pPr>
            <w:r>
              <w:rPr>
                <w:spacing w:val="-4"/>
                <w:sz w:val="21"/>
              </w:rPr>
              <w:t>感染性心内膜炎</w:t>
            </w:r>
          </w:p>
          <w:p>
            <w:pPr>
              <w:pStyle w:val="TableParagraph"/>
              <w:numPr>
                <w:ilvl w:val="1"/>
                <w:numId w:val="94"/>
              </w:numPr>
              <w:tabs>
                <w:tab w:pos="2098" w:val="left" w:leader="none"/>
              </w:tabs>
              <w:spacing w:line="240" w:lineRule="auto" w:before="47" w:after="0"/>
              <w:ind w:left="2097" w:right="0" w:hanging="572"/>
              <w:jc w:val="left"/>
              <w:rPr>
                <w:sz w:val="21"/>
              </w:rPr>
            </w:pPr>
            <w:r>
              <w:rPr>
                <w:spacing w:val="-3"/>
                <w:sz w:val="21"/>
              </w:rPr>
              <w:t>完全性房室传导阻滞</w:t>
            </w:r>
          </w:p>
          <w:p>
            <w:pPr>
              <w:pStyle w:val="TableParagraph"/>
              <w:numPr>
                <w:ilvl w:val="1"/>
                <w:numId w:val="94"/>
              </w:numPr>
              <w:tabs>
                <w:tab w:pos="2098" w:val="left" w:leader="none"/>
              </w:tabs>
              <w:spacing w:line="240" w:lineRule="auto" w:before="51" w:after="0"/>
              <w:ind w:left="2097" w:right="0" w:hanging="572"/>
              <w:jc w:val="left"/>
              <w:rPr>
                <w:sz w:val="21"/>
              </w:rPr>
            </w:pPr>
            <w:r>
              <w:rPr>
                <w:spacing w:val="-3"/>
                <w:sz w:val="21"/>
              </w:rPr>
              <w:t>严重川崎病冠状动脉瘤手术</w:t>
            </w:r>
          </w:p>
          <w:p>
            <w:pPr>
              <w:pStyle w:val="TableParagraph"/>
              <w:numPr>
                <w:ilvl w:val="1"/>
                <w:numId w:val="94"/>
              </w:numPr>
              <w:tabs>
                <w:tab w:pos="2098" w:val="left" w:leader="none"/>
              </w:tabs>
              <w:spacing w:line="240" w:lineRule="auto" w:before="47" w:after="0"/>
              <w:ind w:left="2097" w:right="0" w:hanging="572"/>
              <w:jc w:val="left"/>
              <w:rPr>
                <w:sz w:val="21"/>
              </w:rPr>
            </w:pPr>
            <w:r>
              <w:rPr>
                <w:spacing w:val="-3"/>
                <w:sz w:val="21"/>
              </w:rPr>
              <w:t>严重慢性缩窄性心包炎</w:t>
            </w:r>
          </w:p>
          <w:p>
            <w:pPr>
              <w:pStyle w:val="TableParagraph"/>
              <w:numPr>
                <w:ilvl w:val="1"/>
                <w:numId w:val="94"/>
              </w:numPr>
              <w:tabs>
                <w:tab w:pos="2098" w:val="left" w:leader="none"/>
              </w:tabs>
              <w:spacing w:line="240" w:lineRule="auto" w:before="50" w:after="0"/>
              <w:ind w:left="2097" w:right="0" w:hanging="572"/>
              <w:jc w:val="left"/>
              <w:rPr>
                <w:sz w:val="21"/>
              </w:rPr>
            </w:pPr>
            <w:r>
              <w:rPr>
                <w:spacing w:val="-4"/>
                <w:sz w:val="21"/>
              </w:rPr>
              <w:t>心脏粘液瘤</w:t>
            </w:r>
          </w:p>
          <w:p>
            <w:pPr>
              <w:pStyle w:val="TableParagraph"/>
              <w:numPr>
                <w:ilvl w:val="1"/>
                <w:numId w:val="94"/>
              </w:numPr>
              <w:tabs>
                <w:tab w:pos="2098" w:val="left" w:leader="none"/>
              </w:tabs>
              <w:spacing w:line="240" w:lineRule="auto" w:before="48" w:after="0"/>
              <w:ind w:left="2097" w:right="0" w:hanging="572"/>
              <w:jc w:val="left"/>
              <w:rPr>
                <w:sz w:val="21"/>
              </w:rPr>
            </w:pPr>
            <w:r>
              <w:rPr>
                <w:spacing w:val="-4"/>
                <w:sz w:val="21"/>
              </w:rPr>
              <w:t>室壁瘤切除手术</w:t>
            </w:r>
          </w:p>
          <w:p>
            <w:pPr>
              <w:pStyle w:val="TableParagraph"/>
              <w:numPr>
                <w:ilvl w:val="1"/>
                <w:numId w:val="94"/>
              </w:numPr>
              <w:tabs>
                <w:tab w:pos="2098" w:val="left" w:leader="none"/>
              </w:tabs>
              <w:spacing w:line="240" w:lineRule="auto" w:before="50" w:after="0"/>
              <w:ind w:left="2097" w:right="0" w:hanging="572"/>
              <w:jc w:val="left"/>
              <w:rPr>
                <w:sz w:val="21"/>
              </w:rPr>
            </w:pPr>
            <w:r>
              <w:rPr>
                <w:spacing w:val="-10"/>
                <w:sz w:val="21"/>
              </w:rPr>
              <w:t>严重心脏衰竭 </w:t>
            </w:r>
            <w:r>
              <w:rPr>
                <w:rFonts w:ascii="Times New Roman" w:eastAsia="Times New Roman"/>
                <w:spacing w:val="-2"/>
                <w:sz w:val="21"/>
              </w:rPr>
              <w:t>CRT</w:t>
            </w:r>
            <w:r>
              <w:rPr>
                <w:rFonts w:ascii="Times New Roman" w:eastAsia="Times New Roman"/>
                <w:spacing w:val="-3"/>
                <w:sz w:val="21"/>
              </w:rPr>
              <w:t> </w:t>
            </w:r>
            <w:r>
              <w:rPr>
                <w:spacing w:val="-4"/>
                <w:sz w:val="21"/>
              </w:rPr>
              <w:t>心脏再同步治疗</w:t>
            </w:r>
          </w:p>
          <w:p>
            <w:pPr>
              <w:pStyle w:val="TableParagraph"/>
              <w:numPr>
                <w:ilvl w:val="1"/>
                <w:numId w:val="94"/>
              </w:numPr>
              <w:tabs>
                <w:tab w:pos="2098" w:val="left" w:leader="none"/>
              </w:tabs>
              <w:spacing w:line="240" w:lineRule="auto" w:before="48" w:after="0"/>
              <w:ind w:left="2097" w:right="0" w:hanging="572"/>
              <w:jc w:val="left"/>
              <w:rPr>
                <w:sz w:val="21"/>
              </w:rPr>
            </w:pPr>
            <w:r>
              <w:rPr>
                <w:spacing w:val="-3"/>
                <w:sz w:val="21"/>
              </w:rPr>
              <w:t>肠系膜上动脉梗塞致严重肠坏死</w:t>
            </w:r>
          </w:p>
        </w:tc>
      </w:tr>
      <w:tr>
        <w:trPr>
          <w:trHeight w:val="626" w:hRule="atLeast"/>
        </w:trPr>
        <w:tc>
          <w:tcPr>
            <w:tcW w:w="9355" w:type="dxa"/>
            <w:tcBorders>
              <w:bottom w:val="nil"/>
            </w:tcBorders>
          </w:tcPr>
          <w:p>
            <w:pPr>
              <w:pStyle w:val="TableParagraph"/>
              <w:spacing w:before="15"/>
              <w:ind w:left="-1"/>
              <w:rPr>
                <w:sz w:val="21"/>
              </w:rPr>
            </w:pPr>
            <w:r>
              <w:rPr>
                <w:b/>
                <w:sz w:val="22"/>
              </w:rPr>
              <w:t>110</w:t>
            </w:r>
            <w:r>
              <w:rPr>
                <w:b/>
                <w:spacing w:val="-42"/>
                <w:sz w:val="22"/>
              </w:rPr>
              <w:t> 种</w:t>
            </w:r>
            <w:r>
              <w:rPr>
                <w:b/>
                <w:sz w:val="22"/>
              </w:rPr>
              <w:t>重</w:t>
            </w:r>
            <w:r>
              <w:rPr>
                <w:b/>
                <w:spacing w:val="28"/>
                <w:sz w:val="22"/>
              </w:rPr>
              <w:t>疾</w:t>
            </w:r>
            <w:r>
              <w:rPr>
                <w:b/>
                <w:sz w:val="22"/>
              </w:rPr>
              <w:t>D</w:t>
            </w:r>
            <w:r>
              <w:rPr>
                <w:b/>
                <w:spacing w:val="-35"/>
                <w:sz w:val="22"/>
              </w:rPr>
              <w:t> 组 </w:t>
            </w:r>
            <w:r>
              <w:rPr>
                <w:rFonts w:ascii="Times New Roman" w:eastAsia="Times New Roman"/>
                <w:sz w:val="21"/>
              </w:rPr>
              <w:t>11.9</w:t>
            </w:r>
            <w:r>
              <w:rPr>
                <w:rFonts w:ascii="Times New Roman" w:eastAsia="Times New Roman"/>
                <w:spacing w:val="38"/>
                <w:sz w:val="21"/>
              </w:rPr>
              <w:t> </w:t>
            </w:r>
            <w:r>
              <w:rPr>
                <w:spacing w:val="-2"/>
                <w:sz w:val="21"/>
              </w:rPr>
              <w:t>严重非恶性颅内肿瘤</w:t>
            </w:r>
          </w:p>
          <w:p>
            <w:pPr>
              <w:pStyle w:val="TableParagraph"/>
              <w:spacing w:before="35"/>
              <w:ind w:left="1526"/>
              <w:rPr>
                <w:sz w:val="21"/>
              </w:rPr>
            </w:pPr>
            <w:r>
              <w:rPr>
                <w:rFonts w:ascii="Times New Roman" w:eastAsia="Times New Roman"/>
                <w:spacing w:val="-2"/>
                <w:sz w:val="21"/>
              </w:rPr>
              <w:t>11.11</w:t>
            </w:r>
            <w:r>
              <w:rPr>
                <w:rFonts w:ascii="Times New Roman" w:eastAsia="Times New Roman"/>
                <w:spacing w:val="53"/>
                <w:sz w:val="21"/>
              </w:rPr>
              <w:t> </w:t>
            </w:r>
            <w:r>
              <w:rPr>
                <w:spacing w:val="-3"/>
                <w:sz w:val="21"/>
              </w:rPr>
              <w:t>严重脑炎后遗症或严重脑膜炎后遗症</w:t>
            </w:r>
          </w:p>
        </w:tc>
      </w:tr>
    </w:tbl>
    <w:p>
      <w:pPr>
        <w:spacing w:after="0"/>
        <w:rPr>
          <w:sz w:val="21"/>
        </w:rPr>
        <w:sectPr>
          <w:pgSz w:w="11910" w:h="16840"/>
          <w:pgMar w:header="0" w:footer="1120" w:top="1400" w:bottom="1300" w:left="1020" w:right="1020"/>
        </w:sectPr>
      </w:pPr>
    </w:p>
    <w:tbl>
      <w:tblPr>
        <w:tblW w:w="0" w:type="auto"/>
        <w:jc w:val="left"/>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355"/>
      </w:tblGrid>
      <w:tr>
        <w:trPr>
          <w:trHeight w:val="10495" w:hRule="atLeast"/>
        </w:trPr>
        <w:tc>
          <w:tcPr>
            <w:tcW w:w="9355" w:type="dxa"/>
            <w:tcBorders>
              <w:top w:val="nil"/>
            </w:tcBorders>
          </w:tcPr>
          <w:p>
            <w:pPr>
              <w:pStyle w:val="TableParagraph"/>
              <w:spacing w:before="25"/>
              <w:ind w:left="1526"/>
              <w:rPr>
                <w:sz w:val="21"/>
              </w:rPr>
            </w:pPr>
            <w:r>
              <w:rPr>
                <w:rFonts w:ascii="Times New Roman" w:eastAsia="Times New Roman"/>
                <w:sz w:val="21"/>
              </w:rPr>
              <w:t>11.12</w:t>
            </w:r>
            <w:r>
              <w:rPr>
                <w:rFonts w:ascii="Times New Roman" w:eastAsia="Times New Roman"/>
                <w:spacing w:val="36"/>
                <w:sz w:val="21"/>
              </w:rPr>
              <w:t> </w:t>
            </w:r>
            <w:r>
              <w:rPr>
                <w:spacing w:val="-3"/>
                <w:sz w:val="21"/>
              </w:rPr>
              <w:t>深度昏迷</w:t>
            </w:r>
          </w:p>
          <w:p>
            <w:pPr>
              <w:pStyle w:val="TableParagraph"/>
              <w:spacing w:before="48"/>
              <w:ind w:left="1526"/>
              <w:rPr>
                <w:sz w:val="21"/>
              </w:rPr>
            </w:pPr>
            <w:r>
              <w:rPr>
                <w:rFonts w:ascii="Times New Roman" w:eastAsia="Times New Roman"/>
                <w:sz w:val="21"/>
              </w:rPr>
              <w:t>11.15</w:t>
            </w:r>
            <w:r>
              <w:rPr>
                <w:rFonts w:ascii="Times New Roman" w:eastAsia="Times New Roman"/>
                <w:spacing w:val="39"/>
                <w:sz w:val="21"/>
              </w:rPr>
              <w:t> </w:t>
            </w:r>
            <w:r>
              <w:rPr>
                <w:spacing w:val="-5"/>
                <w:sz w:val="21"/>
              </w:rPr>
              <w:t>瘫痪</w:t>
            </w:r>
          </w:p>
          <w:p>
            <w:pPr>
              <w:pStyle w:val="TableParagraph"/>
              <w:numPr>
                <w:ilvl w:val="1"/>
                <w:numId w:val="95"/>
              </w:numPr>
              <w:tabs>
                <w:tab w:pos="2098" w:val="left" w:leader="none"/>
              </w:tabs>
              <w:spacing w:line="240" w:lineRule="auto" w:before="50" w:after="0"/>
              <w:ind w:left="2097" w:right="0" w:hanging="572"/>
              <w:jc w:val="left"/>
              <w:rPr>
                <w:sz w:val="21"/>
              </w:rPr>
            </w:pPr>
            <w:r>
              <w:rPr>
                <w:spacing w:val="-4"/>
                <w:sz w:val="21"/>
              </w:rPr>
              <w:t>严重阿尔茨海默病</w:t>
            </w:r>
          </w:p>
          <w:p>
            <w:pPr>
              <w:pStyle w:val="TableParagraph"/>
              <w:numPr>
                <w:ilvl w:val="1"/>
                <w:numId w:val="95"/>
              </w:numPr>
              <w:tabs>
                <w:tab w:pos="2098" w:val="left" w:leader="none"/>
              </w:tabs>
              <w:spacing w:line="240" w:lineRule="auto" w:before="48" w:after="0"/>
              <w:ind w:left="2097" w:right="0" w:hanging="572"/>
              <w:jc w:val="left"/>
              <w:rPr>
                <w:sz w:val="21"/>
              </w:rPr>
            </w:pPr>
            <w:r>
              <w:rPr>
                <w:spacing w:val="-4"/>
                <w:sz w:val="21"/>
              </w:rPr>
              <w:t>严重脑损伤</w:t>
            </w:r>
          </w:p>
          <w:p>
            <w:pPr>
              <w:pStyle w:val="TableParagraph"/>
              <w:numPr>
                <w:ilvl w:val="1"/>
                <w:numId w:val="95"/>
              </w:numPr>
              <w:tabs>
                <w:tab w:pos="2098" w:val="left" w:leader="none"/>
              </w:tabs>
              <w:spacing w:line="240" w:lineRule="auto" w:before="50" w:after="0"/>
              <w:ind w:left="2097" w:right="0" w:hanging="572"/>
              <w:jc w:val="left"/>
              <w:rPr>
                <w:sz w:val="21"/>
              </w:rPr>
            </w:pPr>
            <w:r>
              <w:rPr>
                <w:spacing w:val="-3"/>
                <w:sz w:val="21"/>
              </w:rPr>
              <w:t>严重原发性帕金森病</w:t>
            </w:r>
          </w:p>
          <w:p>
            <w:pPr>
              <w:pStyle w:val="TableParagraph"/>
              <w:numPr>
                <w:ilvl w:val="1"/>
                <w:numId w:val="96"/>
              </w:numPr>
              <w:tabs>
                <w:tab w:pos="2098" w:val="left" w:leader="none"/>
              </w:tabs>
              <w:spacing w:line="240" w:lineRule="auto" w:before="47" w:after="0"/>
              <w:ind w:left="2097" w:right="0" w:hanging="572"/>
              <w:jc w:val="left"/>
              <w:rPr>
                <w:sz w:val="21"/>
              </w:rPr>
            </w:pPr>
            <w:r>
              <w:rPr>
                <w:spacing w:val="-4"/>
                <w:sz w:val="21"/>
              </w:rPr>
              <w:t>严重运动神经元病</w:t>
            </w:r>
          </w:p>
          <w:p>
            <w:pPr>
              <w:pStyle w:val="TableParagraph"/>
              <w:numPr>
                <w:ilvl w:val="1"/>
                <w:numId w:val="96"/>
              </w:numPr>
              <w:tabs>
                <w:tab w:pos="2098" w:val="left" w:leader="none"/>
              </w:tabs>
              <w:spacing w:line="240" w:lineRule="auto" w:before="51" w:after="0"/>
              <w:ind w:left="2097" w:right="0" w:hanging="572"/>
              <w:jc w:val="left"/>
              <w:rPr>
                <w:sz w:val="21"/>
              </w:rPr>
            </w:pPr>
            <w:r>
              <w:rPr>
                <w:spacing w:val="-3"/>
                <w:sz w:val="21"/>
              </w:rPr>
              <w:t>语言能力丧失－三周岁开始理赔</w:t>
            </w:r>
          </w:p>
          <w:p>
            <w:pPr>
              <w:pStyle w:val="TableParagraph"/>
              <w:numPr>
                <w:ilvl w:val="1"/>
                <w:numId w:val="97"/>
              </w:numPr>
              <w:tabs>
                <w:tab w:pos="2098" w:val="left" w:leader="none"/>
              </w:tabs>
              <w:spacing w:line="240" w:lineRule="auto" w:before="47" w:after="0"/>
              <w:ind w:left="2097" w:right="0" w:hanging="572"/>
              <w:jc w:val="left"/>
              <w:rPr>
                <w:sz w:val="21"/>
              </w:rPr>
            </w:pPr>
            <w:r>
              <w:rPr>
                <w:spacing w:val="-4"/>
                <w:sz w:val="21"/>
              </w:rPr>
              <w:t>植物人状态</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严重多发性硬化</w:t>
            </w:r>
          </w:p>
          <w:p>
            <w:pPr>
              <w:pStyle w:val="TableParagraph"/>
              <w:numPr>
                <w:ilvl w:val="1"/>
                <w:numId w:val="97"/>
              </w:numPr>
              <w:tabs>
                <w:tab w:pos="2098" w:val="left" w:leader="none"/>
              </w:tabs>
              <w:spacing w:line="240" w:lineRule="auto" w:before="48" w:after="0"/>
              <w:ind w:left="2097" w:right="0" w:hanging="572"/>
              <w:jc w:val="left"/>
              <w:rPr>
                <w:sz w:val="21"/>
              </w:rPr>
            </w:pPr>
            <w:r>
              <w:rPr>
                <w:spacing w:val="-3"/>
                <w:sz w:val="21"/>
              </w:rPr>
              <w:t>非阿尔茨海默病所致严重痴呆</w:t>
            </w:r>
          </w:p>
          <w:p>
            <w:pPr>
              <w:pStyle w:val="TableParagraph"/>
              <w:numPr>
                <w:ilvl w:val="1"/>
                <w:numId w:val="97"/>
              </w:numPr>
              <w:tabs>
                <w:tab w:pos="2098" w:val="left" w:leader="none"/>
              </w:tabs>
              <w:spacing w:line="240" w:lineRule="auto" w:before="50" w:after="0"/>
              <w:ind w:left="2097" w:right="0" w:hanging="572"/>
              <w:jc w:val="left"/>
              <w:rPr>
                <w:sz w:val="21"/>
              </w:rPr>
            </w:pPr>
            <w:r>
              <w:rPr>
                <w:spacing w:val="-3"/>
                <w:sz w:val="21"/>
              </w:rPr>
              <w:t>破裂脑动脉瘤夹闭手术</w:t>
            </w:r>
          </w:p>
          <w:p>
            <w:pPr>
              <w:pStyle w:val="TableParagraph"/>
              <w:numPr>
                <w:ilvl w:val="1"/>
                <w:numId w:val="97"/>
              </w:numPr>
              <w:tabs>
                <w:tab w:pos="2098" w:val="left" w:leader="none"/>
              </w:tabs>
              <w:spacing w:line="240" w:lineRule="auto" w:before="48" w:after="0"/>
              <w:ind w:left="2097" w:right="0" w:hanging="572"/>
              <w:jc w:val="left"/>
              <w:rPr>
                <w:sz w:val="21"/>
              </w:rPr>
            </w:pPr>
            <w:r>
              <w:rPr>
                <w:spacing w:val="-3"/>
                <w:sz w:val="21"/>
              </w:rPr>
              <w:t>亚急性硬化性全脑炎</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脊髓灰质炎后遗症</w:t>
            </w:r>
          </w:p>
          <w:p>
            <w:pPr>
              <w:pStyle w:val="TableParagraph"/>
              <w:numPr>
                <w:ilvl w:val="1"/>
                <w:numId w:val="97"/>
              </w:numPr>
              <w:tabs>
                <w:tab w:pos="2098" w:val="left" w:leader="none"/>
              </w:tabs>
              <w:spacing w:line="240" w:lineRule="auto" w:before="48" w:after="0"/>
              <w:ind w:left="2097" w:right="0" w:hanging="572"/>
              <w:jc w:val="left"/>
              <w:rPr>
                <w:sz w:val="21"/>
              </w:rPr>
            </w:pPr>
            <w:r>
              <w:rPr>
                <w:spacing w:val="-4"/>
                <w:sz w:val="21"/>
              </w:rPr>
              <w:t>进行性核上性麻痹</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脊髓小脑变性症</w:t>
            </w:r>
          </w:p>
          <w:p>
            <w:pPr>
              <w:pStyle w:val="TableParagraph"/>
              <w:numPr>
                <w:ilvl w:val="1"/>
                <w:numId w:val="97"/>
              </w:numPr>
              <w:tabs>
                <w:tab w:pos="2098" w:val="left" w:leader="none"/>
              </w:tabs>
              <w:spacing w:line="240" w:lineRule="auto" w:before="48" w:after="0"/>
              <w:ind w:left="2097" w:right="0" w:hanging="572"/>
              <w:jc w:val="left"/>
              <w:rPr>
                <w:sz w:val="21"/>
              </w:rPr>
            </w:pPr>
            <w:r>
              <w:rPr>
                <w:spacing w:val="-4"/>
                <w:sz w:val="21"/>
              </w:rPr>
              <w:t>严重瑞氏综合征</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神经白塞病</w:t>
            </w:r>
          </w:p>
          <w:p>
            <w:pPr>
              <w:pStyle w:val="TableParagraph"/>
              <w:numPr>
                <w:ilvl w:val="1"/>
                <w:numId w:val="97"/>
              </w:numPr>
              <w:tabs>
                <w:tab w:pos="2098" w:val="left" w:leader="none"/>
              </w:tabs>
              <w:spacing w:line="240" w:lineRule="auto" w:before="48" w:after="0"/>
              <w:ind w:left="2097" w:right="0" w:hanging="572"/>
              <w:jc w:val="left"/>
              <w:rPr>
                <w:sz w:val="21"/>
              </w:rPr>
            </w:pPr>
            <w:r>
              <w:rPr>
                <w:spacing w:val="-3"/>
                <w:sz w:val="21"/>
              </w:rPr>
              <w:t>严重全身性重症肌无力</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开颅手术</w:t>
            </w:r>
          </w:p>
          <w:p>
            <w:pPr>
              <w:pStyle w:val="TableParagraph"/>
              <w:numPr>
                <w:ilvl w:val="1"/>
                <w:numId w:val="97"/>
              </w:numPr>
              <w:tabs>
                <w:tab w:pos="2098" w:val="left" w:leader="none"/>
              </w:tabs>
              <w:spacing w:line="240" w:lineRule="auto" w:before="48" w:after="0"/>
              <w:ind w:left="2097" w:right="0" w:hanging="572"/>
              <w:jc w:val="left"/>
              <w:rPr>
                <w:sz w:val="21"/>
              </w:rPr>
            </w:pPr>
            <w:r>
              <w:rPr>
                <w:spacing w:val="-4"/>
                <w:sz w:val="21"/>
              </w:rPr>
              <w:t>脊髓空洞症</w:t>
            </w:r>
          </w:p>
          <w:p>
            <w:pPr>
              <w:pStyle w:val="TableParagraph"/>
              <w:numPr>
                <w:ilvl w:val="1"/>
                <w:numId w:val="97"/>
              </w:numPr>
              <w:tabs>
                <w:tab w:pos="2098" w:val="left" w:leader="none"/>
              </w:tabs>
              <w:spacing w:line="240" w:lineRule="auto" w:before="50" w:after="0"/>
              <w:ind w:left="2097" w:right="0" w:hanging="572"/>
              <w:jc w:val="left"/>
              <w:rPr>
                <w:sz w:val="21"/>
              </w:rPr>
            </w:pPr>
            <w:r>
              <w:rPr>
                <w:spacing w:val="-3"/>
                <w:sz w:val="21"/>
              </w:rPr>
              <w:t>细菌性脑脊髓膜炎后遗症</w:t>
            </w:r>
          </w:p>
          <w:p>
            <w:pPr>
              <w:pStyle w:val="TableParagraph"/>
              <w:numPr>
                <w:ilvl w:val="1"/>
                <w:numId w:val="97"/>
              </w:numPr>
              <w:tabs>
                <w:tab w:pos="2098" w:val="left" w:leader="none"/>
              </w:tabs>
              <w:spacing w:line="240" w:lineRule="auto" w:before="47" w:after="0"/>
              <w:ind w:left="2097" w:right="0" w:hanging="572"/>
              <w:jc w:val="left"/>
              <w:rPr>
                <w:sz w:val="21"/>
              </w:rPr>
            </w:pPr>
            <w:r>
              <w:rPr>
                <w:spacing w:val="-4"/>
                <w:sz w:val="21"/>
              </w:rPr>
              <w:t>亚历山大病</w:t>
            </w:r>
          </w:p>
          <w:p>
            <w:pPr>
              <w:pStyle w:val="TableParagraph"/>
              <w:numPr>
                <w:ilvl w:val="1"/>
                <w:numId w:val="97"/>
              </w:numPr>
              <w:tabs>
                <w:tab w:pos="2098" w:val="left" w:leader="none"/>
              </w:tabs>
              <w:spacing w:line="240" w:lineRule="auto" w:before="51" w:after="0"/>
              <w:ind w:left="2097" w:right="0" w:hanging="572"/>
              <w:jc w:val="left"/>
              <w:rPr>
                <w:sz w:val="21"/>
              </w:rPr>
            </w:pPr>
            <w:r>
              <w:rPr>
                <w:spacing w:val="-2"/>
                <w:sz w:val="21"/>
              </w:rPr>
              <w:t>进行性风疹性全脑炎</w:t>
            </w:r>
            <w:r>
              <w:rPr>
                <w:rFonts w:ascii="Times New Roman" w:eastAsia="Times New Roman"/>
                <w:spacing w:val="-2"/>
                <w:sz w:val="21"/>
              </w:rPr>
              <w:t>-</w:t>
            </w:r>
            <w:r>
              <w:rPr>
                <w:spacing w:val="-4"/>
                <w:sz w:val="21"/>
              </w:rPr>
              <w:t>十九周岁之前理赔</w:t>
            </w:r>
          </w:p>
          <w:p>
            <w:pPr>
              <w:pStyle w:val="TableParagraph"/>
              <w:numPr>
                <w:ilvl w:val="1"/>
                <w:numId w:val="97"/>
              </w:numPr>
              <w:tabs>
                <w:tab w:pos="2098" w:val="left" w:leader="none"/>
              </w:tabs>
              <w:spacing w:line="240" w:lineRule="auto" w:before="47" w:after="0"/>
              <w:ind w:left="2097" w:right="0" w:hanging="572"/>
              <w:jc w:val="left"/>
              <w:rPr>
                <w:sz w:val="21"/>
              </w:rPr>
            </w:pPr>
            <w:r>
              <w:rPr>
                <w:spacing w:val="-3"/>
                <w:sz w:val="21"/>
              </w:rPr>
              <w:t>进行性多灶性白质脑病</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脊髓内良性肿瘤</w:t>
            </w:r>
          </w:p>
          <w:p>
            <w:pPr>
              <w:pStyle w:val="TableParagraph"/>
              <w:numPr>
                <w:ilvl w:val="1"/>
                <w:numId w:val="97"/>
              </w:numPr>
              <w:tabs>
                <w:tab w:pos="2098" w:val="left" w:leader="none"/>
              </w:tabs>
              <w:spacing w:line="240" w:lineRule="auto" w:before="48" w:after="0"/>
              <w:ind w:left="2097" w:right="0" w:hanging="572"/>
              <w:jc w:val="left"/>
              <w:rPr>
                <w:sz w:val="21"/>
              </w:rPr>
            </w:pPr>
            <w:r>
              <w:rPr>
                <w:spacing w:val="-4"/>
                <w:sz w:val="21"/>
              </w:rPr>
              <w:t>严重结核性脑膜炎</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脑型疟疾后遗症</w:t>
            </w:r>
          </w:p>
          <w:p>
            <w:pPr>
              <w:pStyle w:val="TableParagraph"/>
              <w:numPr>
                <w:ilvl w:val="1"/>
                <w:numId w:val="97"/>
              </w:numPr>
              <w:tabs>
                <w:tab w:pos="2098" w:val="left" w:leader="none"/>
              </w:tabs>
              <w:spacing w:line="240" w:lineRule="auto" w:before="48" w:after="0"/>
              <w:ind w:left="2097" w:right="0" w:hanging="572"/>
              <w:jc w:val="left"/>
              <w:rPr>
                <w:sz w:val="21"/>
              </w:rPr>
            </w:pPr>
            <w:r>
              <w:rPr>
                <w:spacing w:val="-4"/>
                <w:sz w:val="21"/>
              </w:rPr>
              <w:t>脊髓血管病后遗症</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严重多系统萎缩</w:t>
            </w:r>
          </w:p>
          <w:p>
            <w:pPr>
              <w:pStyle w:val="TableParagraph"/>
              <w:numPr>
                <w:ilvl w:val="1"/>
                <w:numId w:val="97"/>
              </w:numPr>
              <w:tabs>
                <w:tab w:pos="2098" w:val="left" w:leader="none"/>
              </w:tabs>
              <w:spacing w:line="240" w:lineRule="auto" w:before="48" w:after="0"/>
              <w:ind w:left="2097" w:right="0" w:hanging="572"/>
              <w:jc w:val="left"/>
              <w:rPr>
                <w:sz w:val="21"/>
              </w:rPr>
            </w:pPr>
            <w:r>
              <w:rPr>
                <w:spacing w:val="-3"/>
                <w:sz w:val="21"/>
              </w:rPr>
              <w:t>横贯性脊髓炎后遗症</w:t>
            </w:r>
          </w:p>
          <w:p>
            <w:pPr>
              <w:pStyle w:val="TableParagraph"/>
              <w:numPr>
                <w:ilvl w:val="1"/>
                <w:numId w:val="97"/>
              </w:numPr>
              <w:tabs>
                <w:tab w:pos="2098" w:val="left" w:leader="none"/>
              </w:tabs>
              <w:spacing w:line="240" w:lineRule="auto" w:before="50" w:after="0"/>
              <w:ind w:left="2097" w:right="0" w:hanging="572"/>
              <w:jc w:val="left"/>
              <w:rPr>
                <w:sz w:val="21"/>
              </w:rPr>
            </w:pPr>
            <w:r>
              <w:rPr>
                <w:spacing w:val="-3"/>
                <w:sz w:val="21"/>
              </w:rPr>
              <w:t>婴儿进行性脊肌萎缩症</w:t>
            </w:r>
          </w:p>
          <w:p>
            <w:pPr>
              <w:pStyle w:val="TableParagraph"/>
              <w:numPr>
                <w:ilvl w:val="1"/>
                <w:numId w:val="97"/>
              </w:numPr>
              <w:tabs>
                <w:tab w:pos="2098" w:val="left" w:leader="none"/>
              </w:tabs>
              <w:spacing w:line="240" w:lineRule="auto" w:before="48" w:after="0"/>
              <w:ind w:left="2097" w:right="0" w:hanging="572"/>
              <w:jc w:val="left"/>
              <w:rPr>
                <w:sz w:val="21"/>
              </w:rPr>
            </w:pPr>
            <w:r>
              <w:rPr>
                <w:spacing w:val="-3"/>
                <w:sz w:val="21"/>
              </w:rPr>
              <w:t>肾上腺脑白质营养不良</w:t>
            </w:r>
          </w:p>
          <w:p>
            <w:pPr>
              <w:pStyle w:val="TableParagraph"/>
              <w:numPr>
                <w:ilvl w:val="1"/>
                <w:numId w:val="97"/>
              </w:numPr>
              <w:tabs>
                <w:tab w:pos="2098" w:val="left" w:leader="none"/>
              </w:tabs>
              <w:spacing w:line="240" w:lineRule="auto" w:before="50" w:after="0"/>
              <w:ind w:left="2097" w:right="0" w:hanging="572"/>
              <w:jc w:val="left"/>
              <w:rPr>
                <w:sz w:val="21"/>
              </w:rPr>
            </w:pPr>
            <w:r>
              <w:rPr>
                <w:spacing w:val="-4"/>
                <w:sz w:val="21"/>
              </w:rPr>
              <w:t>严重视神经脊髓炎</w:t>
            </w:r>
          </w:p>
        </w:tc>
      </w:tr>
      <w:tr>
        <w:trPr>
          <w:trHeight w:val="3487" w:hRule="atLeast"/>
        </w:trPr>
        <w:tc>
          <w:tcPr>
            <w:tcW w:w="9355" w:type="dxa"/>
            <w:tcBorders>
              <w:bottom w:val="nil"/>
            </w:tcBorders>
          </w:tcPr>
          <w:p>
            <w:pPr>
              <w:pStyle w:val="TableParagraph"/>
              <w:spacing w:before="12"/>
              <w:ind w:left="-1"/>
              <w:rPr>
                <w:sz w:val="21"/>
              </w:rPr>
            </w:pPr>
            <w:r>
              <w:rPr>
                <w:b/>
                <w:sz w:val="22"/>
              </w:rPr>
              <w:t>110</w:t>
            </w:r>
            <w:r>
              <w:rPr>
                <w:b/>
                <w:spacing w:val="-13"/>
                <w:sz w:val="22"/>
              </w:rPr>
              <w:t> 种重疾</w:t>
            </w:r>
            <w:r>
              <w:rPr>
                <w:b/>
                <w:sz w:val="22"/>
              </w:rPr>
              <w:t>E</w:t>
            </w:r>
            <w:r>
              <w:rPr>
                <w:b/>
                <w:spacing w:val="-80"/>
                <w:sz w:val="22"/>
              </w:rPr>
              <w:t> </w:t>
            </w:r>
            <w:r>
              <w:rPr>
                <w:b/>
                <w:spacing w:val="-4"/>
                <w:sz w:val="21"/>
              </w:rPr>
              <w:t>组 </w:t>
            </w:r>
            <w:r>
              <w:rPr>
                <w:rFonts w:ascii="Times New Roman" w:eastAsia="Times New Roman"/>
                <w:sz w:val="21"/>
              </w:rPr>
              <w:t>11.7</w:t>
            </w:r>
            <w:r>
              <w:rPr>
                <w:rFonts w:ascii="Times New Roman" w:eastAsia="Times New Roman"/>
                <w:spacing w:val="42"/>
                <w:sz w:val="21"/>
              </w:rPr>
              <w:t> </w:t>
            </w:r>
            <w:r>
              <w:rPr>
                <w:spacing w:val="-2"/>
                <w:sz w:val="21"/>
              </w:rPr>
              <w:t>多个肢体缺失</w:t>
            </w:r>
          </w:p>
          <w:p>
            <w:pPr>
              <w:pStyle w:val="TableParagraph"/>
              <w:numPr>
                <w:ilvl w:val="0"/>
                <w:numId w:val="98"/>
              </w:numPr>
              <w:tabs>
                <w:tab w:pos="2098" w:val="left" w:leader="none"/>
              </w:tabs>
              <w:spacing w:line="240" w:lineRule="auto" w:before="38" w:after="0"/>
              <w:ind w:left="2097" w:right="0" w:hanging="572"/>
              <w:jc w:val="left"/>
              <w:rPr>
                <w:sz w:val="21"/>
              </w:rPr>
            </w:pPr>
            <w:r>
              <w:rPr>
                <w:spacing w:val="-3"/>
                <w:sz w:val="21"/>
              </w:rPr>
              <w:t>双耳失聪－三周岁开始理赔</w:t>
            </w:r>
          </w:p>
          <w:p>
            <w:pPr>
              <w:pStyle w:val="TableParagraph"/>
              <w:numPr>
                <w:ilvl w:val="0"/>
                <w:numId w:val="98"/>
              </w:numPr>
              <w:tabs>
                <w:tab w:pos="2098" w:val="left" w:leader="none"/>
              </w:tabs>
              <w:spacing w:line="240" w:lineRule="auto" w:before="48" w:after="0"/>
              <w:ind w:left="2097" w:right="0" w:hanging="572"/>
              <w:jc w:val="left"/>
              <w:rPr>
                <w:sz w:val="21"/>
              </w:rPr>
            </w:pPr>
            <w:r>
              <w:rPr>
                <w:spacing w:val="-3"/>
                <w:sz w:val="21"/>
              </w:rPr>
              <w:t>双目失明－三周岁开始理赔</w:t>
            </w:r>
          </w:p>
          <w:p>
            <w:pPr>
              <w:pStyle w:val="TableParagraph"/>
              <w:spacing w:before="50"/>
              <w:ind w:left="1526"/>
              <w:rPr>
                <w:sz w:val="21"/>
              </w:rPr>
            </w:pPr>
            <w:r>
              <w:rPr>
                <w:rFonts w:ascii="Times New Roman" w:hAnsi="Times New Roman" w:eastAsia="Times New Roman"/>
                <w:sz w:val="21"/>
              </w:rPr>
              <w:t>11.20</w:t>
            </w:r>
            <w:r>
              <w:rPr>
                <w:rFonts w:ascii="Times New Roman" w:hAnsi="Times New Roman" w:eastAsia="Times New Roman"/>
                <w:spacing w:val="33"/>
                <w:sz w:val="21"/>
              </w:rPr>
              <w:t> </w:t>
            </w:r>
            <w:r>
              <w:rPr>
                <w:spacing w:val="-2"/>
                <w:sz w:val="21"/>
              </w:rPr>
              <w:t>严重Ⅲ度烧伤</w:t>
            </w:r>
          </w:p>
          <w:p>
            <w:pPr>
              <w:pStyle w:val="TableParagraph"/>
              <w:numPr>
                <w:ilvl w:val="1"/>
                <w:numId w:val="99"/>
              </w:numPr>
              <w:tabs>
                <w:tab w:pos="2098" w:val="left" w:leader="none"/>
              </w:tabs>
              <w:spacing w:line="240" w:lineRule="auto" w:before="48" w:after="0"/>
              <w:ind w:left="2097" w:right="0" w:hanging="572"/>
              <w:jc w:val="left"/>
              <w:rPr>
                <w:sz w:val="21"/>
              </w:rPr>
            </w:pPr>
            <w:r>
              <w:rPr>
                <w:spacing w:val="-2"/>
                <w:sz w:val="21"/>
              </w:rPr>
              <w:t>经输血导致的人类免疫缺陷病毒（</w:t>
            </w:r>
            <w:r>
              <w:rPr>
                <w:rFonts w:ascii="Times New Roman" w:eastAsia="Times New Roman"/>
                <w:spacing w:val="-2"/>
                <w:sz w:val="21"/>
              </w:rPr>
              <w:t>HIV</w:t>
            </w:r>
            <w:r>
              <w:rPr>
                <w:spacing w:val="-2"/>
                <w:sz w:val="21"/>
              </w:rPr>
              <w:t>）</w:t>
            </w:r>
            <w:r>
              <w:rPr>
                <w:spacing w:val="-6"/>
                <w:sz w:val="21"/>
              </w:rPr>
              <w:t>感染</w:t>
            </w:r>
          </w:p>
          <w:p>
            <w:pPr>
              <w:pStyle w:val="TableParagraph"/>
              <w:numPr>
                <w:ilvl w:val="1"/>
                <w:numId w:val="99"/>
              </w:numPr>
              <w:tabs>
                <w:tab w:pos="2098" w:val="left" w:leader="none"/>
              </w:tabs>
              <w:spacing w:line="240" w:lineRule="auto" w:before="50" w:after="0"/>
              <w:ind w:left="2097" w:right="0" w:hanging="572"/>
              <w:jc w:val="left"/>
              <w:rPr>
                <w:sz w:val="21"/>
              </w:rPr>
            </w:pPr>
            <w:r>
              <w:rPr>
                <w:spacing w:val="-2"/>
                <w:sz w:val="21"/>
              </w:rPr>
              <w:t>因职业关系导致的人类免疫缺陷病毒（</w:t>
            </w:r>
            <w:r>
              <w:rPr>
                <w:rFonts w:ascii="Times New Roman" w:eastAsia="Times New Roman"/>
                <w:spacing w:val="-2"/>
                <w:sz w:val="21"/>
              </w:rPr>
              <w:t>HIV</w:t>
            </w:r>
            <w:r>
              <w:rPr>
                <w:spacing w:val="-2"/>
                <w:sz w:val="21"/>
              </w:rPr>
              <w:t>）</w:t>
            </w:r>
            <w:r>
              <w:rPr>
                <w:spacing w:val="-6"/>
                <w:sz w:val="21"/>
              </w:rPr>
              <w:t>感染</w:t>
            </w:r>
          </w:p>
          <w:p>
            <w:pPr>
              <w:pStyle w:val="TableParagraph"/>
              <w:numPr>
                <w:ilvl w:val="1"/>
                <w:numId w:val="99"/>
              </w:numPr>
              <w:tabs>
                <w:tab w:pos="2098" w:val="left" w:leader="none"/>
              </w:tabs>
              <w:spacing w:line="240" w:lineRule="auto" w:before="48" w:after="0"/>
              <w:ind w:left="2097" w:right="0" w:hanging="572"/>
              <w:jc w:val="left"/>
              <w:rPr>
                <w:sz w:val="21"/>
              </w:rPr>
            </w:pPr>
            <w:r>
              <w:rPr>
                <w:spacing w:val="-2"/>
                <w:sz w:val="21"/>
              </w:rPr>
              <w:t>因器官移植导致的人类免疫缺陷病毒（</w:t>
            </w:r>
            <w:r>
              <w:rPr>
                <w:rFonts w:ascii="Times New Roman" w:eastAsia="Times New Roman"/>
                <w:spacing w:val="-2"/>
                <w:sz w:val="21"/>
              </w:rPr>
              <w:t>HIV</w:t>
            </w:r>
            <w:r>
              <w:rPr>
                <w:spacing w:val="-2"/>
                <w:sz w:val="21"/>
              </w:rPr>
              <w:t>）</w:t>
            </w:r>
            <w:r>
              <w:rPr>
                <w:spacing w:val="-6"/>
                <w:sz w:val="21"/>
              </w:rPr>
              <w:t>感染</w:t>
            </w:r>
          </w:p>
          <w:p>
            <w:pPr>
              <w:pStyle w:val="TableParagraph"/>
              <w:numPr>
                <w:ilvl w:val="1"/>
                <w:numId w:val="99"/>
              </w:numPr>
              <w:tabs>
                <w:tab w:pos="2098" w:val="left" w:leader="none"/>
              </w:tabs>
              <w:spacing w:line="240" w:lineRule="auto" w:before="50" w:after="0"/>
              <w:ind w:left="2097" w:right="0" w:hanging="572"/>
              <w:jc w:val="left"/>
              <w:rPr>
                <w:sz w:val="21"/>
              </w:rPr>
            </w:pPr>
            <w:r>
              <w:rPr>
                <w:spacing w:val="-3"/>
                <w:sz w:val="21"/>
              </w:rPr>
              <w:t>严重类风湿性关节炎</w:t>
            </w:r>
          </w:p>
          <w:p>
            <w:pPr>
              <w:pStyle w:val="TableParagraph"/>
              <w:numPr>
                <w:ilvl w:val="1"/>
                <w:numId w:val="99"/>
              </w:numPr>
              <w:tabs>
                <w:tab w:pos="2098" w:val="left" w:leader="none"/>
              </w:tabs>
              <w:spacing w:line="240" w:lineRule="auto" w:before="47" w:after="0"/>
              <w:ind w:left="2097" w:right="0" w:hanging="572"/>
              <w:jc w:val="left"/>
              <w:rPr>
                <w:sz w:val="21"/>
              </w:rPr>
            </w:pPr>
            <w:r>
              <w:rPr>
                <w:spacing w:val="-2"/>
                <w:sz w:val="21"/>
              </w:rPr>
              <w:t>克</w:t>
            </w:r>
            <w:r>
              <w:rPr>
                <w:rFonts w:ascii="Times New Roman" w:eastAsia="Times New Roman"/>
                <w:spacing w:val="-2"/>
                <w:sz w:val="21"/>
              </w:rPr>
              <w:t>-</w:t>
            </w:r>
            <w:r>
              <w:rPr>
                <w:spacing w:val="-2"/>
                <w:sz w:val="21"/>
              </w:rPr>
              <w:t>雅氏病（</w:t>
            </w:r>
            <w:r>
              <w:rPr>
                <w:rFonts w:ascii="Times New Roman" w:eastAsia="Times New Roman"/>
                <w:spacing w:val="-2"/>
                <w:sz w:val="21"/>
              </w:rPr>
              <w:t>CJD</w:t>
            </w:r>
            <w:r>
              <w:rPr>
                <w:spacing w:val="-2"/>
                <w:sz w:val="21"/>
              </w:rPr>
              <w:t>、人类疯牛病</w:t>
            </w:r>
            <w:r>
              <w:rPr>
                <w:spacing w:val="-10"/>
                <w:sz w:val="21"/>
              </w:rPr>
              <w:t>）</w:t>
            </w:r>
          </w:p>
          <w:p>
            <w:pPr>
              <w:pStyle w:val="TableParagraph"/>
              <w:numPr>
                <w:ilvl w:val="1"/>
                <w:numId w:val="99"/>
              </w:numPr>
              <w:tabs>
                <w:tab w:pos="2098" w:val="left" w:leader="none"/>
              </w:tabs>
              <w:spacing w:line="240" w:lineRule="auto" w:before="51" w:after="0"/>
              <w:ind w:left="2097" w:right="0" w:hanging="572"/>
              <w:jc w:val="left"/>
              <w:rPr>
                <w:sz w:val="21"/>
              </w:rPr>
            </w:pPr>
            <w:r>
              <w:rPr>
                <w:spacing w:val="-2"/>
                <w:sz w:val="21"/>
              </w:rPr>
              <w:t>斯蒂尔病（全身型幼年类风湿性关节炎</w:t>
            </w:r>
            <w:r>
              <w:rPr>
                <w:spacing w:val="-10"/>
                <w:sz w:val="21"/>
              </w:rPr>
              <w:t>）</w:t>
            </w:r>
          </w:p>
          <w:p>
            <w:pPr>
              <w:pStyle w:val="TableParagraph"/>
              <w:numPr>
                <w:ilvl w:val="1"/>
                <w:numId w:val="99"/>
              </w:numPr>
              <w:tabs>
                <w:tab w:pos="2098" w:val="left" w:leader="none"/>
              </w:tabs>
              <w:spacing w:line="240" w:lineRule="auto" w:before="47" w:after="0"/>
              <w:ind w:left="2097" w:right="0" w:hanging="572"/>
              <w:jc w:val="left"/>
              <w:rPr>
                <w:sz w:val="21"/>
              </w:rPr>
            </w:pPr>
            <w:r>
              <w:rPr>
                <w:spacing w:val="-4"/>
                <w:sz w:val="21"/>
              </w:rPr>
              <w:t>失去一肢及一眼</w:t>
            </w:r>
          </w:p>
        </w:tc>
      </w:tr>
    </w:tbl>
    <w:p>
      <w:pPr>
        <w:spacing w:after="0" w:line="240" w:lineRule="auto"/>
        <w:jc w:val="left"/>
        <w:rPr>
          <w:sz w:val="21"/>
        </w:rPr>
        <w:sectPr>
          <w:type w:val="continuous"/>
          <w:pgSz w:w="11910" w:h="16840"/>
          <w:pgMar w:header="0" w:footer="1120" w:top="1400" w:bottom="1300" w:left="1020" w:right="1020"/>
        </w:sectPr>
      </w:pPr>
    </w:p>
    <w:tbl>
      <w:tblPr>
        <w:tblW w:w="0" w:type="auto"/>
        <w:jc w:val="left"/>
        <w:tblInd w:w="4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0"/>
        <w:gridCol w:w="680"/>
        <w:gridCol w:w="7204"/>
      </w:tblGrid>
      <w:tr>
        <w:trPr>
          <w:trHeight w:val="642" w:hRule="atLeast"/>
        </w:trPr>
        <w:tc>
          <w:tcPr>
            <w:tcW w:w="9354" w:type="dxa"/>
            <w:gridSpan w:val="3"/>
            <w:tcBorders>
              <w:left w:val="single" w:sz="4" w:space="0" w:color="000000"/>
              <w:right w:val="single" w:sz="4" w:space="0" w:color="000000"/>
            </w:tcBorders>
          </w:tcPr>
          <w:p>
            <w:pPr>
              <w:pStyle w:val="TableParagraph"/>
              <w:numPr>
                <w:ilvl w:val="1"/>
                <w:numId w:val="100"/>
              </w:numPr>
              <w:tabs>
                <w:tab w:pos="2098" w:val="left" w:leader="none"/>
              </w:tabs>
              <w:spacing w:line="240" w:lineRule="auto" w:before="25" w:after="0"/>
              <w:ind w:left="2097" w:right="0" w:hanging="572"/>
              <w:jc w:val="left"/>
              <w:rPr>
                <w:sz w:val="21"/>
              </w:rPr>
            </w:pPr>
            <w:r>
              <w:rPr>
                <w:spacing w:val="-3"/>
                <w:sz w:val="21"/>
              </w:rPr>
              <w:t>多处臂丛神经根性撕脱</w:t>
            </w:r>
          </w:p>
          <w:p>
            <w:pPr>
              <w:pStyle w:val="TableParagraph"/>
              <w:numPr>
                <w:ilvl w:val="1"/>
                <w:numId w:val="100"/>
              </w:numPr>
              <w:tabs>
                <w:tab w:pos="2098" w:val="left" w:leader="none"/>
              </w:tabs>
              <w:spacing w:line="240" w:lineRule="auto" w:before="48" w:after="0"/>
              <w:ind w:left="2097" w:right="0" w:hanging="572"/>
              <w:jc w:val="left"/>
              <w:rPr>
                <w:sz w:val="21"/>
              </w:rPr>
            </w:pPr>
            <w:r>
              <w:rPr>
                <w:spacing w:val="-3"/>
                <w:sz w:val="21"/>
              </w:rPr>
              <w:t>溶血性链球菌感染引起的坏疽</w:t>
            </w:r>
          </w:p>
        </w:tc>
      </w:tr>
      <w:tr>
        <w:trPr>
          <w:trHeight w:val="318"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32"/>
              <w:ind w:left="43" w:right="30"/>
              <w:jc w:val="center"/>
              <w:rPr>
                <w:rFonts w:ascii="Times New Roman"/>
                <w:sz w:val="21"/>
              </w:rPr>
            </w:pPr>
            <w:r>
              <w:rPr>
                <w:rFonts w:ascii="Times New Roman"/>
                <w:spacing w:val="-2"/>
                <w:sz w:val="21"/>
              </w:rPr>
              <w:t>11.100</w:t>
            </w:r>
          </w:p>
        </w:tc>
        <w:tc>
          <w:tcPr>
            <w:tcW w:w="7204" w:type="dxa"/>
            <w:tcBorders>
              <w:right w:val="single" w:sz="4" w:space="0" w:color="000000"/>
            </w:tcBorders>
          </w:tcPr>
          <w:p>
            <w:pPr>
              <w:pStyle w:val="TableParagraph"/>
              <w:spacing w:before="18"/>
              <w:ind w:left="53"/>
              <w:rPr>
                <w:sz w:val="21"/>
              </w:rPr>
            </w:pPr>
            <w:r>
              <w:rPr>
                <w:spacing w:val="-2"/>
                <w:sz w:val="21"/>
              </w:rPr>
              <w:t>Ⅲ型成骨不全症</w:t>
            </w:r>
            <w:r>
              <w:rPr>
                <w:rFonts w:ascii="Times New Roman" w:hAnsi="Times New Roman" w:eastAsia="Times New Roman"/>
                <w:spacing w:val="-2"/>
                <w:sz w:val="21"/>
              </w:rPr>
              <w:t>-</w:t>
            </w:r>
            <w:r>
              <w:rPr>
                <w:spacing w:val="-4"/>
                <w:sz w:val="21"/>
              </w:rPr>
              <w:t>十八周岁之前理赔</w:t>
            </w:r>
          </w:p>
        </w:tc>
      </w:tr>
      <w:tr>
        <w:trPr>
          <w:trHeight w:val="317"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31"/>
              <w:ind w:left="43" w:right="30"/>
              <w:jc w:val="center"/>
              <w:rPr>
                <w:rFonts w:ascii="Times New Roman"/>
                <w:sz w:val="21"/>
              </w:rPr>
            </w:pPr>
            <w:r>
              <w:rPr>
                <w:rFonts w:ascii="Times New Roman"/>
                <w:spacing w:val="-2"/>
                <w:sz w:val="21"/>
              </w:rPr>
              <w:t>11.101</w:t>
            </w:r>
          </w:p>
        </w:tc>
        <w:tc>
          <w:tcPr>
            <w:tcW w:w="7204" w:type="dxa"/>
            <w:tcBorders>
              <w:right w:val="single" w:sz="4" w:space="0" w:color="000000"/>
            </w:tcBorders>
          </w:tcPr>
          <w:p>
            <w:pPr>
              <w:pStyle w:val="TableParagraph"/>
              <w:spacing w:before="17"/>
              <w:ind w:left="53"/>
              <w:rPr>
                <w:sz w:val="21"/>
              </w:rPr>
            </w:pPr>
            <w:r>
              <w:rPr>
                <w:spacing w:val="-4"/>
                <w:sz w:val="21"/>
              </w:rPr>
              <w:t>严重强直性脊柱炎</w:t>
            </w:r>
          </w:p>
        </w:tc>
      </w:tr>
      <w:tr>
        <w:trPr>
          <w:trHeight w:val="317"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32"/>
              <w:ind w:left="43" w:right="30"/>
              <w:jc w:val="center"/>
              <w:rPr>
                <w:rFonts w:ascii="Times New Roman"/>
                <w:sz w:val="21"/>
              </w:rPr>
            </w:pPr>
            <w:r>
              <w:rPr>
                <w:rFonts w:ascii="Times New Roman"/>
                <w:spacing w:val="-2"/>
                <w:sz w:val="21"/>
              </w:rPr>
              <w:t>11.102</w:t>
            </w:r>
          </w:p>
        </w:tc>
        <w:tc>
          <w:tcPr>
            <w:tcW w:w="7204" w:type="dxa"/>
            <w:tcBorders>
              <w:right w:val="single" w:sz="4" w:space="0" w:color="000000"/>
            </w:tcBorders>
          </w:tcPr>
          <w:p>
            <w:pPr>
              <w:pStyle w:val="TableParagraph"/>
              <w:spacing w:before="18"/>
              <w:ind w:left="53"/>
              <w:rPr>
                <w:sz w:val="21"/>
              </w:rPr>
            </w:pPr>
            <w:r>
              <w:rPr>
                <w:spacing w:val="-3"/>
                <w:sz w:val="21"/>
              </w:rPr>
              <w:t>意外导致的重度面部烧伤</w:t>
            </w:r>
          </w:p>
        </w:tc>
      </w:tr>
      <w:tr>
        <w:trPr>
          <w:trHeight w:val="311" w:hRule="atLeast"/>
        </w:trPr>
        <w:tc>
          <w:tcPr>
            <w:tcW w:w="1470" w:type="dxa"/>
            <w:tcBorders>
              <w:left w:val="single" w:sz="4" w:space="0" w:color="000000"/>
              <w:bottom w:val="single" w:sz="4" w:space="0" w:color="000000"/>
            </w:tcBorders>
          </w:tcPr>
          <w:p>
            <w:pPr>
              <w:pStyle w:val="TableParagraph"/>
              <w:spacing w:before="0"/>
              <w:ind w:left="0"/>
              <w:rPr>
                <w:rFonts w:ascii="Times New Roman"/>
                <w:sz w:val="20"/>
              </w:rPr>
            </w:pPr>
          </w:p>
        </w:tc>
        <w:tc>
          <w:tcPr>
            <w:tcW w:w="680" w:type="dxa"/>
            <w:tcBorders>
              <w:bottom w:val="single" w:sz="4" w:space="0" w:color="000000"/>
            </w:tcBorders>
          </w:tcPr>
          <w:p>
            <w:pPr>
              <w:pStyle w:val="TableParagraph"/>
              <w:spacing w:before="31"/>
              <w:ind w:left="43" w:right="30"/>
              <w:jc w:val="center"/>
              <w:rPr>
                <w:rFonts w:ascii="Times New Roman"/>
                <w:sz w:val="21"/>
              </w:rPr>
            </w:pPr>
            <w:r>
              <w:rPr>
                <w:rFonts w:ascii="Times New Roman"/>
                <w:spacing w:val="-2"/>
                <w:sz w:val="21"/>
              </w:rPr>
              <w:t>11.103</w:t>
            </w:r>
          </w:p>
        </w:tc>
        <w:tc>
          <w:tcPr>
            <w:tcW w:w="7204" w:type="dxa"/>
            <w:tcBorders>
              <w:bottom w:val="single" w:sz="4" w:space="0" w:color="000000"/>
              <w:right w:val="single" w:sz="4" w:space="0" w:color="000000"/>
            </w:tcBorders>
          </w:tcPr>
          <w:p>
            <w:pPr>
              <w:pStyle w:val="TableParagraph"/>
              <w:spacing w:before="17"/>
              <w:ind w:left="53"/>
              <w:rPr>
                <w:sz w:val="21"/>
              </w:rPr>
            </w:pPr>
            <w:r>
              <w:rPr>
                <w:spacing w:val="-3"/>
                <w:sz w:val="21"/>
              </w:rPr>
              <w:t>严重甲型及乙型血友病</w:t>
            </w:r>
          </w:p>
        </w:tc>
      </w:tr>
      <w:tr>
        <w:trPr>
          <w:trHeight w:val="318" w:hRule="atLeast"/>
        </w:trPr>
        <w:tc>
          <w:tcPr>
            <w:tcW w:w="1470" w:type="dxa"/>
            <w:tcBorders>
              <w:top w:val="single" w:sz="4" w:space="0" w:color="000000"/>
              <w:left w:val="single" w:sz="4" w:space="0" w:color="000000"/>
            </w:tcBorders>
          </w:tcPr>
          <w:p>
            <w:pPr>
              <w:pStyle w:val="TableParagraph"/>
              <w:spacing w:before="15"/>
              <w:ind w:left="-1"/>
              <w:rPr>
                <w:b/>
                <w:sz w:val="21"/>
              </w:rPr>
            </w:pPr>
            <w:r>
              <w:rPr>
                <w:b/>
                <w:w w:val="95"/>
                <w:sz w:val="22"/>
              </w:rPr>
              <w:t>110</w:t>
            </w:r>
            <w:r>
              <w:rPr>
                <w:b/>
                <w:spacing w:val="-6"/>
                <w:w w:val="95"/>
                <w:sz w:val="22"/>
              </w:rPr>
              <w:t> 种重疾</w:t>
            </w:r>
            <w:r>
              <w:rPr>
                <w:b/>
                <w:w w:val="95"/>
                <w:sz w:val="22"/>
              </w:rPr>
              <w:t>F</w:t>
            </w:r>
            <w:r>
              <w:rPr>
                <w:b/>
                <w:spacing w:val="-50"/>
                <w:w w:val="95"/>
                <w:sz w:val="22"/>
              </w:rPr>
              <w:t> </w:t>
            </w:r>
            <w:r>
              <w:rPr>
                <w:b/>
                <w:spacing w:val="-10"/>
                <w:w w:val="95"/>
                <w:sz w:val="21"/>
              </w:rPr>
              <w:t>组</w:t>
            </w:r>
          </w:p>
        </w:tc>
        <w:tc>
          <w:tcPr>
            <w:tcW w:w="680" w:type="dxa"/>
            <w:tcBorders>
              <w:top w:val="single" w:sz="4" w:space="0" w:color="000000"/>
            </w:tcBorders>
          </w:tcPr>
          <w:p>
            <w:pPr>
              <w:pStyle w:val="TableParagraph"/>
              <w:spacing w:before="36"/>
              <w:ind w:left="43" w:right="30"/>
              <w:jc w:val="center"/>
              <w:rPr>
                <w:rFonts w:ascii="Times New Roman"/>
                <w:sz w:val="21"/>
              </w:rPr>
            </w:pPr>
            <w:r>
              <w:rPr>
                <w:rFonts w:ascii="Times New Roman"/>
                <w:spacing w:val="-2"/>
                <w:sz w:val="21"/>
              </w:rPr>
              <w:t>11.104</w:t>
            </w:r>
          </w:p>
        </w:tc>
        <w:tc>
          <w:tcPr>
            <w:tcW w:w="7204" w:type="dxa"/>
            <w:tcBorders>
              <w:top w:val="single" w:sz="4" w:space="0" w:color="000000"/>
              <w:right w:val="single" w:sz="4" w:space="0" w:color="000000"/>
            </w:tcBorders>
          </w:tcPr>
          <w:p>
            <w:pPr>
              <w:pStyle w:val="TableParagraph"/>
              <w:ind w:left="53"/>
              <w:rPr>
                <w:sz w:val="21"/>
              </w:rPr>
            </w:pPr>
            <w:r>
              <w:rPr>
                <w:spacing w:val="-3"/>
                <w:sz w:val="21"/>
              </w:rPr>
              <w:t>重症急性坏死性筋膜炎</w:t>
            </w:r>
          </w:p>
        </w:tc>
      </w:tr>
      <w:tr>
        <w:trPr>
          <w:trHeight w:val="314"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27"/>
              <w:ind w:left="43" w:right="30"/>
              <w:jc w:val="center"/>
              <w:rPr>
                <w:rFonts w:ascii="Times New Roman"/>
                <w:sz w:val="21"/>
              </w:rPr>
            </w:pPr>
            <w:r>
              <w:rPr>
                <w:rFonts w:ascii="Times New Roman"/>
                <w:spacing w:val="-2"/>
                <w:sz w:val="21"/>
              </w:rPr>
              <w:t>11.105</w:t>
            </w:r>
          </w:p>
        </w:tc>
        <w:tc>
          <w:tcPr>
            <w:tcW w:w="7204" w:type="dxa"/>
            <w:tcBorders>
              <w:right w:val="single" w:sz="4" w:space="0" w:color="000000"/>
            </w:tcBorders>
          </w:tcPr>
          <w:p>
            <w:pPr>
              <w:pStyle w:val="TableParagraph"/>
              <w:spacing w:before="13"/>
              <w:ind w:left="53"/>
              <w:rPr>
                <w:sz w:val="21"/>
              </w:rPr>
            </w:pPr>
            <w:r>
              <w:rPr>
                <w:spacing w:val="-4"/>
                <w:sz w:val="21"/>
              </w:rPr>
              <w:t>丝虫病所致象皮病</w:t>
            </w:r>
          </w:p>
        </w:tc>
      </w:tr>
      <w:tr>
        <w:trPr>
          <w:trHeight w:val="317"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32"/>
              <w:ind w:left="43" w:right="30"/>
              <w:jc w:val="center"/>
              <w:rPr>
                <w:rFonts w:ascii="Times New Roman"/>
                <w:sz w:val="21"/>
              </w:rPr>
            </w:pPr>
            <w:r>
              <w:rPr>
                <w:rFonts w:ascii="Times New Roman"/>
                <w:spacing w:val="-2"/>
                <w:sz w:val="21"/>
              </w:rPr>
              <w:t>11.106</w:t>
            </w:r>
          </w:p>
        </w:tc>
        <w:tc>
          <w:tcPr>
            <w:tcW w:w="7204" w:type="dxa"/>
            <w:tcBorders>
              <w:right w:val="single" w:sz="4" w:space="0" w:color="000000"/>
            </w:tcBorders>
          </w:tcPr>
          <w:p>
            <w:pPr>
              <w:pStyle w:val="TableParagraph"/>
              <w:spacing w:before="18"/>
              <w:ind w:left="53"/>
              <w:rPr>
                <w:sz w:val="21"/>
              </w:rPr>
            </w:pPr>
            <w:r>
              <w:rPr>
                <w:spacing w:val="-2"/>
                <w:sz w:val="21"/>
              </w:rPr>
              <w:t>埃博拉病毒感染（伊波拉病毒感染</w:t>
            </w:r>
            <w:r>
              <w:rPr>
                <w:spacing w:val="-10"/>
                <w:sz w:val="21"/>
              </w:rPr>
              <w:t>）</w:t>
            </w:r>
          </w:p>
        </w:tc>
      </w:tr>
      <w:tr>
        <w:trPr>
          <w:trHeight w:val="317"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31"/>
              <w:ind w:left="43" w:right="30"/>
              <w:jc w:val="center"/>
              <w:rPr>
                <w:rFonts w:ascii="Times New Roman"/>
                <w:sz w:val="21"/>
              </w:rPr>
            </w:pPr>
            <w:r>
              <w:rPr>
                <w:rFonts w:ascii="Times New Roman"/>
                <w:spacing w:val="-2"/>
                <w:sz w:val="21"/>
              </w:rPr>
              <w:t>11.107</w:t>
            </w:r>
          </w:p>
        </w:tc>
        <w:tc>
          <w:tcPr>
            <w:tcW w:w="7204" w:type="dxa"/>
            <w:tcBorders>
              <w:right w:val="single" w:sz="4" w:space="0" w:color="000000"/>
            </w:tcBorders>
          </w:tcPr>
          <w:p>
            <w:pPr>
              <w:pStyle w:val="TableParagraph"/>
              <w:spacing w:before="17"/>
              <w:ind w:left="53"/>
              <w:rPr>
                <w:sz w:val="21"/>
              </w:rPr>
            </w:pPr>
            <w:r>
              <w:rPr>
                <w:spacing w:val="-5"/>
                <w:sz w:val="21"/>
              </w:rPr>
              <w:t>狂犬病</w:t>
            </w:r>
          </w:p>
        </w:tc>
      </w:tr>
      <w:tr>
        <w:trPr>
          <w:trHeight w:val="318"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32"/>
              <w:ind w:left="43" w:right="30"/>
              <w:jc w:val="center"/>
              <w:rPr>
                <w:rFonts w:ascii="Times New Roman"/>
                <w:sz w:val="21"/>
              </w:rPr>
            </w:pPr>
            <w:r>
              <w:rPr>
                <w:rFonts w:ascii="Times New Roman"/>
                <w:spacing w:val="-2"/>
                <w:sz w:val="21"/>
              </w:rPr>
              <w:t>11.108</w:t>
            </w:r>
          </w:p>
        </w:tc>
        <w:tc>
          <w:tcPr>
            <w:tcW w:w="7204" w:type="dxa"/>
            <w:tcBorders>
              <w:right w:val="single" w:sz="4" w:space="0" w:color="000000"/>
            </w:tcBorders>
          </w:tcPr>
          <w:p>
            <w:pPr>
              <w:pStyle w:val="TableParagraph"/>
              <w:spacing w:before="18"/>
              <w:ind w:left="53"/>
              <w:rPr>
                <w:sz w:val="21"/>
              </w:rPr>
            </w:pPr>
            <w:r>
              <w:rPr>
                <w:spacing w:val="-5"/>
                <w:sz w:val="21"/>
              </w:rPr>
              <w:t>破伤风</w:t>
            </w:r>
          </w:p>
        </w:tc>
      </w:tr>
      <w:tr>
        <w:trPr>
          <w:trHeight w:val="317" w:hRule="atLeast"/>
        </w:trPr>
        <w:tc>
          <w:tcPr>
            <w:tcW w:w="1470" w:type="dxa"/>
            <w:tcBorders>
              <w:left w:val="single" w:sz="4" w:space="0" w:color="000000"/>
            </w:tcBorders>
          </w:tcPr>
          <w:p>
            <w:pPr>
              <w:pStyle w:val="TableParagraph"/>
              <w:spacing w:before="0"/>
              <w:ind w:left="0"/>
              <w:rPr>
                <w:rFonts w:ascii="Times New Roman"/>
                <w:sz w:val="20"/>
              </w:rPr>
            </w:pPr>
          </w:p>
        </w:tc>
        <w:tc>
          <w:tcPr>
            <w:tcW w:w="680" w:type="dxa"/>
          </w:tcPr>
          <w:p>
            <w:pPr>
              <w:pStyle w:val="TableParagraph"/>
              <w:spacing w:before="31"/>
              <w:ind w:left="43" w:right="30"/>
              <w:jc w:val="center"/>
              <w:rPr>
                <w:rFonts w:ascii="Times New Roman"/>
                <w:sz w:val="21"/>
              </w:rPr>
            </w:pPr>
            <w:r>
              <w:rPr>
                <w:rFonts w:ascii="Times New Roman"/>
                <w:spacing w:val="-2"/>
                <w:sz w:val="21"/>
              </w:rPr>
              <w:t>11.109</w:t>
            </w:r>
          </w:p>
        </w:tc>
        <w:tc>
          <w:tcPr>
            <w:tcW w:w="7204" w:type="dxa"/>
            <w:tcBorders>
              <w:right w:val="single" w:sz="4" w:space="0" w:color="000000"/>
            </w:tcBorders>
          </w:tcPr>
          <w:p>
            <w:pPr>
              <w:pStyle w:val="TableParagraph"/>
              <w:spacing w:before="17"/>
              <w:ind w:left="53"/>
              <w:rPr>
                <w:sz w:val="21"/>
              </w:rPr>
            </w:pPr>
            <w:r>
              <w:rPr>
                <w:spacing w:val="-4"/>
                <w:sz w:val="21"/>
              </w:rPr>
              <w:t>创伤弧菌感染截肢</w:t>
            </w:r>
          </w:p>
        </w:tc>
      </w:tr>
      <w:tr>
        <w:trPr>
          <w:trHeight w:val="312" w:hRule="atLeast"/>
        </w:trPr>
        <w:tc>
          <w:tcPr>
            <w:tcW w:w="9354" w:type="dxa"/>
            <w:gridSpan w:val="3"/>
            <w:tcBorders>
              <w:left w:val="single" w:sz="4" w:space="0" w:color="000000"/>
              <w:bottom w:val="single" w:sz="4" w:space="0" w:color="000000"/>
              <w:right w:val="single" w:sz="4" w:space="0" w:color="000000"/>
            </w:tcBorders>
          </w:tcPr>
          <w:p>
            <w:pPr>
              <w:pStyle w:val="TableParagraph"/>
              <w:spacing w:before="18"/>
              <w:ind w:left="1526"/>
              <w:rPr>
                <w:sz w:val="21"/>
              </w:rPr>
            </w:pPr>
            <w:r>
              <w:rPr>
                <w:rFonts w:ascii="Times New Roman" w:eastAsia="Times New Roman"/>
                <w:sz w:val="21"/>
              </w:rPr>
              <w:t>11.110</w:t>
            </w:r>
            <w:r>
              <w:rPr>
                <w:rFonts w:ascii="Times New Roman" w:eastAsia="Times New Roman"/>
                <w:spacing w:val="26"/>
                <w:sz w:val="21"/>
              </w:rPr>
              <w:t> </w:t>
            </w:r>
            <w:r>
              <w:rPr>
                <w:spacing w:val="-2"/>
                <w:sz w:val="21"/>
              </w:rPr>
              <w:t>严重气性坏疽</w:t>
            </w:r>
          </w:p>
        </w:tc>
      </w:tr>
    </w:tbl>
    <w:p>
      <w:pPr>
        <w:pStyle w:val="BodyText"/>
        <w:spacing w:before="5"/>
        <w:rPr>
          <w:sz w:val="13"/>
        </w:rPr>
      </w:pPr>
    </w:p>
    <w:p>
      <w:pPr>
        <w:pStyle w:val="ListParagraph"/>
        <w:numPr>
          <w:ilvl w:val="0"/>
          <w:numId w:val="20"/>
        </w:numPr>
        <w:tabs>
          <w:tab w:pos="714" w:val="left" w:leader="none"/>
          <w:tab w:pos="1922" w:val="left" w:leader="none"/>
        </w:tabs>
        <w:spacing w:line="240" w:lineRule="auto" w:before="71" w:after="0"/>
        <w:ind w:left="713" w:right="0" w:hanging="319"/>
        <w:jc w:val="left"/>
        <w:rPr>
          <w:sz w:val="21"/>
        </w:rPr>
      </w:pPr>
      <w:r>
        <w:rPr>
          <w:b/>
          <w:sz w:val="21"/>
        </w:rPr>
        <w:t>首次达</w:t>
      </w:r>
      <w:r>
        <w:rPr>
          <w:b/>
          <w:spacing w:val="-10"/>
          <w:sz w:val="21"/>
        </w:rPr>
        <w:t>到</w:t>
      </w:r>
      <w:r>
        <w:rPr>
          <w:b/>
          <w:sz w:val="21"/>
        </w:rPr>
        <w:tab/>
      </w:r>
      <w:r>
        <w:rPr>
          <w:spacing w:val="-2"/>
          <w:sz w:val="21"/>
        </w:rPr>
        <w:t>指</w:t>
      </w:r>
      <w:r>
        <w:rPr>
          <w:spacing w:val="-2"/>
          <w:sz w:val="21"/>
        </w:rPr>
        <w:t>被</w:t>
      </w:r>
      <w:r>
        <w:rPr>
          <w:spacing w:val="-2"/>
          <w:sz w:val="21"/>
        </w:rPr>
        <w:t>保险人自出生后第一</w:t>
      </w:r>
      <w:r>
        <w:rPr>
          <w:spacing w:val="-2"/>
          <w:sz w:val="21"/>
        </w:rPr>
        <w:t>次</w:t>
      </w:r>
      <w:r>
        <w:rPr>
          <w:spacing w:val="-2"/>
          <w:sz w:val="21"/>
        </w:rPr>
        <w:t>达</w:t>
      </w:r>
      <w:r>
        <w:rPr>
          <w:spacing w:val="-2"/>
          <w:sz w:val="21"/>
        </w:rPr>
        <w:t>到本合同所定义的疾</w:t>
      </w:r>
      <w:r>
        <w:rPr>
          <w:spacing w:val="-2"/>
          <w:sz w:val="21"/>
        </w:rPr>
        <w:t>病</w:t>
      </w:r>
      <w:r>
        <w:rPr>
          <w:spacing w:val="-2"/>
          <w:sz w:val="21"/>
        </w:rPr>
        <w:t>终</w:t>
      </w:r>
      <w:r>
        <w:rPr>
          <w:spacing w:val="-2"/>
          <w:sz w:val="21"/>
        </w:rPr>
        <w:t>末期阶段</w:t>
      </w:r>
      <w:r>
        <w:rPr>
          <w:spacing w:val="-10"/>
          <w:sz w:val="21"/>
        </w:rPr>
        <w:t>。</w:t>
      </w:r>
    </w:p>
    <w:p>
      <w:pPr>
        <w:pStyle w:val="BodyText"/>
        <w:spacing w:before="3"/>
        <w:rPr>
          <w:sz w:val="29"/>
        </w:rPr>
      </w:pPr>
    </w:p>
    <w:p>
      <w:pPr>
        <w:pStyle w:val="ListParagraph"/>
        <w:numPr>
          <w:ilvl w:val="0"/>
          <w:numId w:val="20"/>
        </w:numPr>
        <w:tabs>
          <w:tab w:pos="714" w:val="left" w:leader="none"/>
        </w:tabs>
        <w:spacing w:line="278" w:lineRule="auto" w:before="0" w:after="0"/>
        <w:ind w:left="1922" w:right="213" w:hanging="1527"/>
        <w:jc w:val="both"/>
        <w:rPr>
          <w:sz w:val="21"/>
        </w:rPr>
      </w:pPr>
      <w:r>
        <w:rPr>
          <w:b/>
          <w:spacing w:val="31"/>
          <w:sz w:val="21"/>
        </w:rPr>
        <w:t>轻症疾病 </w:t>
      </w:r>
      <w:r>
        <w:rPr>
          <w:sz w:val="21"/>
        </w:rPr>
        <w:t>指被保险人发生符合以下疾病定义所述条件的疾病（</w:t>
      </w:r>
      <w:r>
        <w:rPr>
          <w:spacing w:val="-14"/>
          <w:sz w:val="21"/>
        </w:rPr>
        <w:t>共 </w:t>
      </w:r>
      <w:r>
        <w:rPr>
          <w:sz w:val="21"/>
        </w:rPr>
        <w:t>35</w:t>
      </w:r>
      <w:r>
        <w:rPr>
          <w:spacing w:val="-13"/>
          <w:sz w:val="21"/>
        </w:rPr>
        <w:t> 种</w:t>
      </w:r>
      <w:r>
        <w:rPr>
          <w:spacing w:val="-66"/>
          <w:sz w:val="21"/>
        </w:rPr>
        <w:t>）</w:t>
      </w:r>
      <w:r>
        <w:rPr>
          <w:spacing w:val="-9"/>
          <w:sz w:val="21"/>
        </w:rPr>
        <w:t>，应当由专科医生明确</w:t>
      </w:r>
      <w:r>
        <w:rPr>
          <w:w w:val="95"/>
          <w:sz w:val="21"/>
        </w:rPr>
        <w:t>诊</w:t>
      </w:r>
      <w:r>
        <w:rPr>
          <w:w w:val="95"/>
          <w:sz w:val="21"/>
        </w:rPr>
        <w:t>断</w:t>
      </w:r>
      <w:r>
        <w:rPr>
          <w:w w:val="95"/>
          <w:sz w:val="21"/>
        </w:rPr>
        <w:t>。第 1 至第 3 项为中</w:t>
      </w:r>
      <w:r>
        <w:rPr>
          <w:w w:val="95"/>
          <w:sz w:val="21"/>
        </w:rPr>
        <w:t>国</w:t>
      </w:r>
      <w:r>
        <w:rPr>
          <w:w w:val="95"/>
          <w:sz w:val="21"/>
        </w:rPr>
        <w:t>保</w:t>
      </w:r>
      <w:r>
        <w:rPr>
          <w:w w:val="95"/>
          <w:sz w:val="21"/>
        </w:rPr>
        <w:t>险行业协会与中国医</w:t>
      </w:r>
      <w:r>
        <w:rPr>
          <w:w w:val="95"/>
          <w:sz w:val="21"/>
        </w:rPr>
        <w:t>师</w:t>
      </w:r>
      <w:r>
        <w:rPr>
          <w:w w:val="95"/>
          <w:sz w:val="21"/>
        </w:rPr>
        <w:t>协</w:t>
      </w:r>
      <w:r>
        <w:rPr>
          <w:w w:val="95"/>
          <w:sz w:val="21"/>
        </w:rPr>
        <w:t>会共同制定的《重大</w:t>
      </w:r>
      <w:r>
        <w:rPr>
          <w:w w:val="95"/>
          <w:sz w:val="21"/>
        </w:rPr>
        <w:t>疾</w:t>
      </w:r>
      <w:r>
        <w:rPr>
          <w:w w:val="95"/>
          <w:sz w:val="21"/>
        </w:rPr>
        <w:t>病</w:t>
      </w:r>
      <w:r>
        <w:rPr>
          <w:w w:val="95"/>
          <w:sz w:val="21"/>
        </w:rPr>
        <w:t>保险</w:t>
      </w:r>
      <w:r>
        <w:rPr>
          <w:spacing w:val="-3"/>
          <w:sz w:val="21"/>
        </w:rPr>
        <w:t>的疾病定义使用规范 </w:t>
      </w:r>
      <w:r>
        <w:rPr>
          <w:sz w:val="21"/>
        </w:rPr>
        <w:t>（2020 年修订版</w:t>
      </w:r>
      <w:r>
        <w:rPr>
          <w:spacing w:val="-108"/>
          <w:sz w:val="21"/>
        </w:rPr>
        <w:t>）</w:t>
      </w:r>
      <w:r>
        <w:rPr>
          <w:spacing w:val="-2"/>
          <w:sz w:val="21"/>
        </w:rPr>
        <w:t>》中的轻度疾病名称及疾病定义，第 </w:t>
      </w:r>
      <w:r>
        <w:rPr>
          <w:sz w:val="21"/>
        </w:rPr>
        <w:t>4</w:t>
      </w:r>
      <w:r>
        <w:rPr>
          <w:spacing w:val="-10"/>
          <w:sz w:val="21"/>
        </w:rPr>
        <w:t> 至第</w:t>
      </w:r>
      <w:r>
        <w:rPr>
          <w:sz w:val="21"/>
        </w:rPr>
        <w:t> 35</w:t>
      </w:r>
      <w:r>
        <w:rPr>
          <w:spacing w:val="-7"/>
          <w:sz w:val="21"/>
        </w:rPr>
        <w:t> 项为我们增加的疾病种类并自行制定的疾病定义。</w:t>
      </w:r>
    </w:p>
    <w:p>
      <w:pPr>
        <w:pStyle w:val="BodyText"/>
        <w:spacing w:before="9"/>
        <w:rPr>
          <w:sz w:val="17"/>
        </w:rPr>
      </w:pPr>
    </w:p>
    <w:p>
      <w:pPr>
        <w:pStyle w:val="ListParagraph"/>
        <w:numPr>
          <w:ilvl w:val="1"/>
          <w:numId w:val="20"/>
        </w:numPr>
        <w:tabs>
          <w:tab w:pos="934" w:val="left" w:leader="none"/>
        </w:tabs>
        <w:spacing w:line="240" w:lineRule="auto" w:before="1" w:after="0"/>
        <w:ind w:left="933" w:right="0" w:hanging="539"/>
        <w:jc w:val="left"/>
        <w:rPr>
          <w:rFonts w:ascii="楷体" w:eastAsia="楷体" w:hint="eastAsia"/>
          <w:b/>
          <w:sz w:val="21"/>
        </w:rPr>
      </w:pPr>
      <w:r>
        <w:rPr>
          <w:rFonts w:ascii="楷体" w:eastAsia="楷体" w:hint="eastAsia"/>
          <w:b/>
          <w:spacing w:val="-3"/>
          <w:sz w:val="21"/>
        </w:rPr>
        <w:t>恶性肿瘤 </w:t>
      </w:r>
      <w:r>
        <w:rPr>
          <w:spacing w:val="-1"/>
          <w:sz w:val="21"/>
        </w:rPr>
        <w:t>指恶性细胞不受控制的进行性增长和扩散，浸润和破坏周围正常组织，可以经血管、</w:t>
      </w:r>
    </w:p>
    <w:p>
      <w:pPr>
        <w:spacing w:after="0" w:line="240" w:lineRule="auto"/>
        <w:jc w:val="left"/>
        <w:rPr>
          <w:rFonts w:ascii="楷体" w:eastAsia="楷体" w:hint="eastAsia"/>
          <w:sz w:val="21"/>
        </w:rPr>
        <w:sectPr>
          <w:type w:val="continuous"/>
          <w:pgSz w:w="11910" w:h="16840"/>
          <w:pgMar w:header="0" w:footer="1120" w:top="1400" w:bottom="1300" w:left="1020" w:right="1020"/>
        </w:sectPr>
      </w:pPr>
    </w:p>
    <w:p>
      <w:pPr>
        <w:spacing w:before="43"/>
        <w:ind w:left="395" w:right="0" w:firstLine="0"/>
        <w:jc w:val="left"/>
        <w:rPr>
          <w:rFonts w:ascii="楷体" w:hAnsi="楷体" w:eastAsia="楷体" w:hint="eastAsia"/>
          <w:b/>
          <w:sz w:val="21"/>
        </w:rPr>
      </w:pPr>
      <w:r>
        <w:rPr>
          <w:rFonts w:ascii="楷体" w:hAnsi="楷体" w:eastAsia="楷体" w:hint="eastAsia"/>
          <w:b/>
          <w:spacing w:val="-3"/>
          <w:sz w:val="21"/>
        </w:rPr>
        <w:t>——轻度</w:t>
      </w:r>
    </w:p>
    <w:p>
      <w:pPr>
        <w:pStyle w:val="BodyText"/>
        <w:spacing w:line="278" w:lineRule="auto"/>
        <w:ind w:left="396" w:right="110"/>
      </w:pPr>
      <w:r>
        <w:rPr/>
        <w:br w:type="column"/>
      </w:r>
      <w:r>
        <w:rPr>
          <w:spacing w:val="-2"/>
        </w:rPr>
        <w:t>淋巴管和体腔扩散转移到身体其它部位，病灶经组织病理学检查（涵盖骨髓病理学检</w:t>
      </w:r>
      <w:r>
        <w:rPr/>
        <w:t>查</w:t>
      </w:r>
      <w:r>
        <w:rPr>
          <w:spacing w:val="-53"/>
        </w:rPr>
        <w:t>）</w:t>
      </w:r>
      <w:r>
        <w:rPr>
          <w:spacing w:val="-10"/>
        </w:rPr>
        <w:t>结果明确诊断，临床诊断属于世界卫生组织</w:t>
      </w:r>
      <w:r>
        <w:rPr/>
        <w:t>（WHO</w:t>
      </w:r>
      <w:r>
        <w:rPr>
          <w:spacing w:val="-25"/>
        </w:rPr>
        <w:t>， </w:t>
      </w:r>
      <w:r>
        <w:rPr/>
        <w:t>World</w:t>
      </w:r>
      <w:r>
        <w:rPr>
          <w:spacing w:val="-29"/>
        </w:rPr>
        <w:t> </w:t>
      </w:r>
      <w:r>
        <w:rPr/>
        <w:t>Health</w:t>
      </w:r>
      <w:r>
        <w:rPr>
          <w:spacing w:val="-27"/>
        </w:rPr>
        <w:t> </w:t>
      </w:r>
      <w:r>
        <w:rPr/>
        <w:t>Organization）</w:t>
      </w:r>
    </w:p>
    <w:p>
      <w:pPr>
        <w:pStyle w:val="BodyText"/>
        <w:spacing w:before="0"/>
        <w:ind w:left="396"/>
      </w:pPr>
      <w:r>
        <w:rPr>
          <w:spacing w:val="-4"/>
        </w:rPr>
        <w:t>《疾病和有关健康问题的国际统计分类》第十次修订版（ICD-10）</w:t>
      </w:r>
      <w:r>
        <w:rPr>
          <w:spacing w:val="-5"/>
        </w:rPr>
        <w:t>的恶性肿瘤类别及</w:t>
      </w:r>
    </w:p>
    <w:p>
      <w:pPr>
        <w:pStyle w:val="BodyText"/>
        <w:spacing w:line="278" w:lineRule="auto" w:before="42"/>
        <w:ind w:left="396" w:right="216"/>
        <w:jc w:val="both"/>
      </w:pPr>
      <w:r>
        <w:rPr>
          <w:spacing w:val="-4"/>
        </w:rPr>
        <w:t>《国际疾病分类肿瘤学专辑》第三版（ICD-O-3）</w:t>
      </w:r>
      <w:r>
        <w:rPr>
          <w:spacing w:val="-6"/>
        </w:rPr>
        <w:t>的肿瘤形态学编码属于 </w:t>
      </w:r>
      <w:r>
        <w:rPr>
          <w:spacing w:val="-4"/>
        </w:rPr>
        <w:t>3、6、9（恶</w:t>
      </w:r>
      <w:r>
        <w:rPr>
          <w:spacing w:val="-4"/>
        </w:rPr>
        <w:t>性肿瘤）范畴，但不在“恶性肿瘤——重度（</w:t>
      </w:r>
      <w:r>
        <w:rPr>
          <w:spacing w:val="-9"/>
        </w:rPr>
        <w:t>见释义 </w:t>
      </w:r>
      <w:r>
        <w:rPr>
          <w:spacing w:val="14"/>
        </w:rPr>
        <w:t>11</w:t>
      </w:r>
      <w:r>
        <w:rPr>
          <w:spacing w:val="11"/>
        </w:rPr>
        <w:t>.</w:t>
      </w:r>
      <w:r>
        <w:rPr>
          <w:spacing w:val="14"/>
        </w:rPr>
        <w:t>1</w:t>
      </w:r>
      <w:r>
        <w:rPr>
          <w:spacing w:val="-92"/>
        </w:rPr>
        <w:t>）</w:t>
      </w:r>
      <w:r>
        <w:rPr>
          <w:spacing w:val="-4"/>
        </w:rPr>
        <w:t>”保障范围的疾病。且特</w:t>
      </w:r>
      <w:r>
        <w:rPr>
          <w:spacing w:val="-2"/>
        </w:rPr>
        <w:t>指下列六项之一：</w:t>
      </w:r>
    </w:p>
    <w:p>
      <w:pPr>
        <w:pStyle w:val="ListParagraph"/>
        <w:numPr>
          <w:ilvl w:val="0"/>
          <w:numId w:val="101"/>
        </w:numPr>
        <w:tabs>
          <w:tab w:pos="926" w:val="left" w:leader="none"/>
        </w:tabs>
        <w:spacing w:line="269" w:lineRule="exact" w:before="0" w:after="0"/>
        <w:ind w:left="925" w:right="0" w:hanging="530"/>
        <w:jc w:val="both"/>
        <w:rPr>
          <w:sz w:val="21"/>
        </w:rPr>
      </w:pPr>
      <w:r>
        <w:rPr>
          <w:spacing w:val="-2"/>
          <w:sz w:val="21"/>
        </w:rPr>
        <w:t>TNM</w:t>
      </w:r>
      <w:r>
        <w:rPr>
          <w:spacing w:val="-10"/>
          <w:sz w:val="21"/>
        </w:rPr>
        <w:t> 分期为Ⅰ期的甲状腺癌；</w:t>
      </w:r>
    </w:p>
    <w:p>
      <w:pPr>
        <w:pStyle w:val="ListParagraph"/>
        <w:numPr>
          <w:ilvl w:val="0"/>
          <w:numId w:val="101"/>
        </w:numPr>
        <w:tabs>
          <w:tab w:pos="926" w:val="left" w:leader="none"/>
        </w:tabs>
        <w:spacing w:line="240" w:lineRule="auto" w:before="43" w:after="0"/>
        <w:ind w:left="925" w:right="0" w:hanging="530"/>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w:t>
      </w:r>
      <w:r>
        <w:rPr>
          <w:spacing w:val="-4"/>
          <w:position w:val="1"/>
          <w:sz w:val="21"/>
        </w:rPr>
        <w:t>期的前列腺癌；</w:t>
      </w:r>
    </w:p>
    <w:p>
      <w:pPr>
        <w:pStyle w:val="ListParagraph"/>
        <w:numPr>
          <w:ilvl w:val="0"/>
          <w:numId w:val="101"/>
        </w:numPr>
        <w:tabs>
          <w:tab w:pos="926" w:val="left" w:leader="none"/>
        </w:tabs>
        <w:spacing w:line="240" w:lineRule="auto" w:before="43" w:after="0"/>
        <w:ind w:left="925" w:right="0" w:hanging="530"/>
        <w:jc w:val="left"/>
        <w:rPr>
          <w:sz w:val="21"/>
        </w:rPr>
      </w:pPr>
      <w:r>
        <w:rPr>
          <w:spacing w:val="-3"/>
          <w:sz w:val="21"/>
        </w:rPr>
        <w:t>黑色素瘤以外的未发生淋巴结和远处转移的皮肤恶性肿瘤；</w:t>
      </w:r>
    </w:p>
    <w:p>
      <w:pPr>
        <w:pStyle w:val="ListParagraph"/>
        <w:numPr>
          <w:ilvl w:val="0"/>
          <w:numId w:val="101"/>
        </w:numPr>
        <w:tabs>
          <w:tab w:pos="926" w:val="left" w:leader="none"/>
        </w:tabs>
        <w:spacing w:line="240" w:lineRule="auto" w:before="43" w:after="0"/>
        <w:ind w:left="925" w:right="0" w:hanging="530"/>
        <w:jc w:val="left"/>
        <w:rPr>
          <w:sz w:val="21"/>
        </w:rPr>
      </w:pPr>
      <w:r>
        <w:rPr>
          <w:spacing w:val="-14"/>
          <w:sz w:val="21"/>
        </w:rPr>
        <w:t>相当于 </w:t>
      </w:r>
      <w:r>
        <w:rPr>
          <w:spacing w:val="-2"/>
          <w:sz w:val="21"/>
        </w:rPr>
        <w:t>Binet</w:t>
      </w:r>
      <w:r>
        <w:rPr>
          <w:spacing w:val="-19"/>
          <w:sz w:val="21"/>
        </w:rPr>
        <w:t> 分期方案 </w:t>
      </w:r>
      <w:r>
        <w:rPr>
          <w:spacing w:val="-2"/>
          <w:sz w:val="21"/>
        </w:rPr>
        <w:t>A</w:t>
      </w:r>
      <w:r>
        <w:rPr>
          <w:spacing w:val="-10"/>
          <w:sz w:val="21"/>
        </w:rPr>
        <w:t> 期程度的慢性淋巴细胞白血病；</w:t>
      </w:r>
    </w:p>
    <w:p>
      <w:pPr>
        <w:pStyle w:val="ListParagraph"/>
        <w:numPr>
          <w:ilvl w:val="0"/>
          <w:numId w:val="101"/>
        </w:numPr>
        <w:tabs>
          <w:tab w:pos="926" w:val="left" w:leader="none"/>
        </w:tabs>
        <w:spacing w:line="240" w:lineRule="auto" w:before="43" w:after="0"/>
        <w:ind w:left="925" w:right="0" w:hanging="530"/>
        <w:jc w:val="left"/>
        <w:rPr>
          <w:sz w:val="21"/>
        </w:rPr>
      </w:pPr>
      <w:r>
        <w:rPr>
          <w:spacing w:val="-14"/>
          <w:sz w:val="21"/>
        </w:rPr>
        <w:t>相当于 </w:t>
      </w:r>
      <w:r>
        <w:rPr>
          <w:spacing w:val="-2"/>
          <w:sz w:val="21"/>
        </w:rPr>
        <w:t>Ann</w:t>
      </w:r>
      <w:r>
        <w:rPr>
          <w:spacing w:val="12"/>
          <w:sz w:val="21"/>
        </w:rPr>
        <w:t> </w:t>
      </w:r>
      <w:r>
        <w:rPr>
          <w:spacing w:val="-2"/>
          <w:sz w:val="21"/>
        </w:rPr>
        <w:t>Arbor</w:t>
      </w:r>
      <w:r>
        <w:rPr>
          <w:spacing w:val="-10"/>
          <w:sz w:val="21"/>
        </w:rPr>
        <w:t> 分期方案Ⅰ期程度的何杰金氏病；</w:t>
      </w:r>
    </w:p>
    <w:p>
      <w:pPr>
        <w:pStyle w:val="ListParagraph"/>
        <w:numPr>
          <w:ilvl w:val="0"/>
          <w:numId w:val="101"/>
        </w:numPr>
        <w:tabs>
          <w:tab w:pos="925" w:val="left" w:leader="none"/>
        </w:tabs>
        <w:spacing w:line="240" w:lineRule="auto" w:before="43" w:after="0"/>
        <w:ind w:left="925" w:right="0" w:hanging="530"/>
        <w:jc w:val="left"/>
        <w:rPr>
          <w:sz w:val="21"/>
        </w:rPr>
      </w:pPr>
      <w:r>
        <w:rPr>
          <w:spacing w:val="-6"/>
          <w:sz w:val="21"/>
        </w:rPr>
        <w:t>未发生淋巴结和远处转移且 </w:t>
      </w:r>
      <w:r>
        <w:rPr>
          <w:spacing w:val="-2"/>
          <w:sz w:val="21"/>
        </w:rPr>
        <w:t>WHO</w:t>
      </w:r>
      <w:r>
        <w:rPr>
          <w:spacing w:val="-22"/>
          <w:sz w:val="21"/>
        </w:rPr>
        <w:t> 分级为 </w:t>
      </w:r>
      <w:r>
        <w:rPr>
          <w:spacing w:val="-2"/>
          <w:sz w:val="21"/>
        </w:rPr>
        <w:t>G1</w:t>
      </w:r>
      <w:r>
        <w:rPr>
          <w:spacing w:val="-18"/>
          <w:sz w:val="21"/>
        </w:rPr>
        <w:t> 级别</w:t>
      </w:r>
      <w:r>
        <w:rPr>
          <w:spacing w:val="-2"/>
          <w:sz w:val="21"/>
        </w:rPr>
        <w:t>（核分裂像&lt;10/50</w:t>
      </w:r>
      <w:r>
        <w:rPr>
          <w:spacing w:val="-23"/>
          <w:sz w:val="21"/>
        </w:rPr>
        <w:t> </w:t>
      </w:r>
      <w:r>
        <w:rPr>
          <w:spacing w:val="-2"/>
          <w:sz w:val="21"/>
        </w:rPr>
        <w:t>HPF</w:t>
      </w:r>
      <w:r>
        <w:rPr>
          <w:spacing w:val="-35"/>
          <w:sz w:val="21"/>
        </w:rPr>
        <w:t> 和 </w:t>
      </w:r>
      <w:r>
        <w:rPr>
          <w:spacing w:val="-2"/>
          <w:sz w:val="21"/>
        </w:rPr>
        <w:t>ki-</w:t>
      </w:r>
      <w:r>
        <w:rPr>
          <w:spacing w:val="-5"/>
          <w:sz w:val="21"/>
        </w:rPr>
        <w:t>67</w:t>
      </w:r>
    </w:p>
    <w:p>
      <w:pPr>
        <w:pStyle w:val="BodyText"/>
        <w:ind w:left="396"/>
      </w:pPr>
      <w:r>
        <w:rPr>
          <w:spacing w:val="-2"/>
        </w:rPr>
        <w:t>≤2%）</w:t>
      </w:r>
      <w:r>
        <w:rPr>
          <w:spacing w:val="-3"/>
        </w:rPr>
        <w:t>的神经内分泌肿瘤。</w:t>
      </w:r>
    </w:p>
    <w:p>
      <w:pPr>
        <w:spacing w:before="20"/>
        <w:ind w:left="396" w:right="0" w:firstLine="0"/>
        <w:jc w:val="left"/>
        <w:rPr>
          <w:rFonts w:ascii="黑体" w:hAnsi="黑体" w:eastAsia="黑体"/>
          <w:sz w:val="24"/>
        </w:rPr>
      </w:pPr>
      <w:r>
        <w:rPr>
          <w:rFonts w:ascii="黑体" w:hAnsi="黑体" w:eastAsia="黑体"/>
          <w:spacing w:val="-9"/>
          <w:sz w:val="24"/>
        </w:rPr>
        <w:t>下列疾病不属于“恶性肿瘤——轻度”，不在保障范围内：</w:t>
      </w:r>
    </w:p>
    <w:p>
      <w:pPr>
        <w:spacing w:line="242" w:lineRule="auto" w:before="5"/>
        <w:ind w:left="396" w:right="221" w:firstLine="0"/>
        <w:jc w:val="left"/>
        <w:rPr>
          <w:rFonts w:ascii="黑体" w:eastAsia="黑体"/>
          <w:sz w:val="24"/>
        </w:rPr>
      </w:pPr>
      <w:r>
        <w:rPr>
          <w:rFonts w:ascii="黑体" w:eastAsia="黑体"/>
          <w:spacing w:val="-4"/>
          <w:sz w:val="24"/>
        </w:rPr>
        <w:t>ICD-O-3</w:t>
      </w:r>
      <w:r>
        <w:rPr>
          <w:rFonts w:ascii="黑体" w:eastAsia="黑体"/>
          <w:spacing w:val="-15"/>
          <w:sz w:val="24"/>
        </w:rPr>
        <w:t> 肿瘤形态学编码属于 </w:t>
      </w:r>
      <w:r>
        <w:rPr>
          <w:rFonts w:ascii="黑体" w:eastAsia="黑体"/>
          <w:spacing w:val="-4"/>
          <w:sz w:val="24"/>
        </w:rPr>
        <w:t>0（良性肿瘤</w:t>
      </w:r>
      <w:r>
        <w:rPr>
          <w:rFonts w:ascii="黑体" w:eastAsia="黑体"/>
          <w:spacing w:val="-120"/>
          <w:sz w:val="24"/>
        </w:rPr>
        <w:t>）</w:t>
      </w:r>
      <w:r>
        <w:rPr>
          <w:rFonts w:ascii="黑体" w:eastAsia="黑体"/>
          <w:spacing w:val="-4"/>
          <w:sz w:val="24"/>
        </w:rPr>
        <w:t>、1（动态未定性肿瘤</w:t>
      </w:r>
      <w:r>
        <w:rPr>
          <w:rFonts w:ascii="黑体" w:eastAsia="黑体"/>
          <w:spacing w:val="-120"/>
          <w:sz w:val="24"/>
        </w:rPr>
        <w:t>）</w:t>
      </w:r>
      <w:r>
        <w:rPr>
          <w:rFonts w:ascii="黑体" w:eastAsia="黑体"/>
          <w:spacing w:val="-4"/>
          <w:sz w:val="24"/>
        </w:rPr>
        <w:t>、2（</w:t>
      </w:r>
      <w:r>
        <w:rPr>
          <w:rFonts w:ascii="黑体" w:eastAsia="黑体"/>
          <w:spacing w:val="-4"/>
          <w:sz w:val="24"/>
        </w:rPr>
        <w:t>原</w:t>
      </w:r>
      <w:r>
        <w:rPr>
          <w:rFonts w:ascii="黑体" w:eastAsia="黑体"/>
          <w:spacing w:val="-2"/>
          <w:sz w:val="24"/>
        </w:rPr>
        <w:t>位癌和非侵袭性癌）范畴的疾病，如：</w:t>
      </w:r>
    </w:p>
    <w:p>
      <w:pPr>
        <w:pStyle w:val="ListParagraph"/>
        <w:numPr>
          <w:ilvl w:val="0"/>
          <w:numId w:val="102"/>
        </w:numPr>
        <w:tabs>
          <w:tab w:pos="638" w:val="left" w:leader="none"/>
        </w:tabs>
        <w:spacing w:line="242" w:lineRule="auto" w:before="3" w:after="0"/>
        <w:ind w:left="396" w:right="98" w:firstLine="0"/>
        <w:jc w:val="left"/>
        <w:rPr>
          <w:rFonts w:ascii="黑体" w:eastAsia="黑体"/>
          <w:sz w:val="24"/>
        </w:rPr>
      </w:pPr>
      <w:r>
        <w:rPr>
          <w:rFonts w:ascii="黑体" w:eastAsia="黑体"/>
          <w:spacing w:val="-4"/>
          <w:sz w:val="24"/>
        </w:rPr>
        <w:t>原位癌，癌前病变，非浸润性癌，非侵袭性癌，肿瘤细胞未侵犯基底层，</w:t>
      </w:r>
      <w:r>
        <w:rPr>
          <w:rFonts w:ascii="黑体" w:eastAsia="黑体"/>
          <w:spacing w:val="-2"/>
          <w:sz w:val="24"/>
        </w:rPr>
        <w:t>上皮内瘤变，细胞不典型性增生等；</w:t>
      </w:r>
    </w:p>
    <w:p>
      <w:pPr>
        <w:pStyle w:val="ListParagraph"/>
        <w:numPr>
          <w:ilvl w:val="0"/>
          <w:numId w:val="102"/>
        </w:numPr>
        <w:tabs>
          <w:tab w:pos="638" w:val="left" w:leader="none"/>
        </w:tabs>
        <w:spacing w:line="240" w:lineRule="auto" w:before="2" w:after="0"/>
        <w:ind w:left="637" w:right="0" w:hanging="242"/>
        <w:jc w:val="left"/>
        <w:rPr>
          <w:rFonts w:ascii="黑体" w:eastAsia="黑体"/>
          <w:sz w:val="24"/>
        </w:rPr>
      </w:pPr>
      <w:r>
        <w:rPr>
          <w:rFonts w:ascii="黑体" w:eastAsia="黑体"/>
          <w:spacing w:val="-5"/>
          <w:sz w:val="24"/>
        </w:rPr>
        <w:t>交界性肿瘤，交界恶性肿瘤，肿瘤低度恶性潜能，潜在低度恶性肿瘤等。</w:t>
      </w:r>
    </w:p>
    <w:p>
      <w:pPr>
        <w:spacing w:after="0" w:line="240" w:lineRule="auto"/>
        <w:jc w:val="left"/>
        <w:rPr>
          <w:rFonts w:ascii="黑体" w:eastAsia="黑体"/>
          <w:sz w:val="24"/>
        </w:rPr>
        <w:sectPr>
          <w:type w:val="continuous"/>
          <w:pgSz w:w="11910" w:h="16840"/>
          <w:pgMar w:header="0" w:footer="1120" w:top="1120" w:bottom="1300" w:left="1020" w:right="1020"/>
          <w:cols w:num="2" w:equalWidth="0">
            <w:col w:w="1281" w:space="245"/>
            <w:col w:w="8344"/>
          </w:cols>
        </w:sectPr>
      </w:pPr>
    </w:p>
    <w:p>
      <w:pPr>
        <w:pStyle w:val="BodyText"/>
        <w:spacing w:before="5"/>
        <w:rPr>
          <w:rFonts w:ascii="黑体"/>
          <w:sz w:val="14"/>
        </w:rPr>
      </w:pPr>
    </w:p>
    <w:p>
      <w:pPr>
        <w:pStyle w:val="ListParagraph"/>
        <w:numPr>
          <w:ilvl w:val="1"/>
          <w:numId w:val="20"/>
        </w:numPr>
        <w:tabs>
          <w:tab w:pos="934" w:val="left" w:leader="none"/>
        </w:tabs>
        <w:spacing w:line="240" w:lineRule="auto" w:before="71" w:after="0"/>
        <w:ind w:left="933" w:right="0" w:hanging="539"/>
        <w:jc w:val="left"/>
        <w:rPr>
          <w:rFonts w:ascii="楷体" w:eastAsia="楷体" w:hint="eastAsia"/>
          <w:b/>
          <w:sz w:val="21"/>
        </w:rPr>
      </w:pPr>
      <w:r>
        <w:rPr>
          <w:rFonts w:ascii="楷体" w:eastAsia="楷体" w:hint="eastAsia"/>
          <w:b/>
          <w:spacing w:val="5"/>
          <w:sz w:val="21"/>
        </w:rPr>
        <w:t>较轻急性</w:t>
      </w:r>
      <w:r>
        <w:rPr>
          <w:rFonts w:ascii="楷体" w:eastAsia="楷体" w:hint="eastAsia"/>
          <w:b/>
          <w:spacing w:val="62"/>
          <w:w w:val="150"/>
          <w:sz w:val="21"/>
        </w:rPr>
        <w:t> </w:t>
      </w:r>
      <w:r>
        <w:rPr>
          <w:spacing w:val="-1"/>
          <w:sz w:val="21"/>
        </w:rPr>
        <w:t>急性心肌梗死指由于冠状动脉闭塞或梗阻引起部分心肌严重的持久性缺血造成急性</w:t>
      </w:r>
    </w:p>
    <w:p>
      <w:pPr>
        <w:spacing w:after="0" w:line="240" w:lineRule="auto"/>
        <w:jc w:val="left"/>
        <w:rPr>
          <w:rFonts w:ascii="楷体" w:eastAsia="楷体" w:hint="eastAsia"/>
          <w:sz w:val="21"/>
        </w:rPr>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3"/>
          <w:sz w:val="21"/>
        </w:rPr>
        <w:t>心肌梗死</w:t>
      </w:r>
    </w:p>
    <w:p>
      <w:pPr>
        <w:pStyle w:val="BodyText"/>
        <w:spacing w:line="278" w:lineRule="auto"/>
        <w:ind w:left="395" w:right="214"/>
      </w:pPr>
      <w:r>
        <w:rPr/>
        <w:br w:type="column"/>
      </w:r>
      <w:r>
        <w:rPr>
          <w:spacing w:val="-4"/>
        </w:rPr>
        <w:t>心肌坏死。急性心肌梗死的诊断必须依据国际国内诊断标准，符合（1）检测到肌酸激</w:t>
      </w:r>
      <w:r>
        <w:rPr>
          <w:spacing w:val="-6"/>
        </w:rPr>
        <w:t>酶同工酶（CK-MB）或肌钙蛋白（cTn）</w:t>
      </w:r>
      <w:r>
        <w:rPr>
          <w:spacing w:val="-7"/>
        </w:rPr>
        <w:t>升高和/或降低的动态变化，至少一次达到或超</w:t>
      </w:r>
    </w:p>
    <w:p>
      <w:pPr>
        <w:spacing w:after="0" w:line="278" w:lineRule="auto"/>
        <w:sectPr>
          <w:type w:val="continuous"/>
          <w:pgSz w:w="11910" w:h="16840"/>
          <w:pgMar w:header="0" w:footer="1120" w:top="1120" w:bottom="1300" w:left="1020" w:right="1020"/>
          <w:cols w:num="2" w:equalWidth="0">
            <w:col w:w="1281" w:space="245"/>
            <w:col w:w="8344"/>
          </w:cols>
        </w:sectPr>
      </w:pPr>
    </w:p>
    <w:p>
      <w:pPr>
        <w:pStyle w:val="BodyText"/>
        <w:spacing w:line="278" w:lineRule="auto" w:before="60"/>
        <w:ind w:left="1922" w:right="110"/>
      </w:pPr>
      <w:r>
        <w:rPr>
          <w:spacing w:val="-16"/>
        </w:rPr>
        <w:t>过心肌梗死的临床诊断标准；</w:t>
      </w:r>
      <w:r>
        <w:rPr>
          <w:spacing w:val="38"/>
        </w:rPr>
        <w:t>（</w:t>
      </w:r>
      <w:r>
        <w:rPr>
          <w:spacing w:val="35"/>
        </w:rPr>
        <w:t>2</w:t>
      </w:r>
      <w:r>
        <w:rPr>
          <w:spacing w:val="-1"/>
        </w:rPr>
        <w:t>）</w:t>
      </w:r>
      <w:r>
        <w:rPr>
          <w:spacing w:val="-8"/>
        </w:rPr>
        <w:t>同时存在下列之一的证据，包括：缺血性胸痛症状、</w:t>
      </w:r>
      <w:r>
        <w:rPr>
          <w:spacing w:val="-2"/>
        </w:rPr>
        <w:t>新发生的缺血性心电图改变、新生成的病理性 </w:t>
      </w:r>
      <w:r>
        <w:rPr/>
        <w:t>Q</w:t>
      </w:r>
      <w:r>
        <w:rPr>
          <w:spacing w:val="-7"/>
        </w:rPr>
        <w:t> 波、影像学证据显示有新出现的心肌</w:t>
      </w:r>
      <w:r>
        <w:rPr>
          <w:spacing w:val="-2"/>
        </w:rPr>
        <w:t>活性丧失或新出现局部室壁运动异常、冠脉造影证实存在冠状动脉血栓。</w:t>
      </w:r>
    </w:p>
    <w:p>
      <w:pPr>
        <w:pStyle w:val="BodyText"/>
        <w:spacing w:line="278" w:lineRule="auto" w:before="0"/>
        <w:ind w:left="1922" w:right="216"/>
      </w:pPr>
      <w:r>
        <w:rPr/>
        <w:t>较轻急性心肌梗死指依照上述标准被明确诊断为急性心肌梗死，但未达到 “较重急</w:t>
      </w:r>
      <w:r>
        <w:rPr/>
        <w:t>性心肌梗死（</w:t>
      </w:r>
      <w:r>
        <w:rPr>
          <w:spacing w:val="-11"/>
        </w:rPr>
        <w:t>见释义 </w:t>
      </w:r>
      <w:r>
        <w:rPr>
          <w:spacing w:val="18"/>
        </w:rPr>
        <w:t>11</w:t>
      </w:r>
      <w:r>
        <w:rPr>
          <w:spacing w:val="15"/>
        </w:rPr>
        <w:t>.2</w:t>
      </w:r>
      <w:r>
        <w:rPr>
          <w:spacing w:val="-88"/>
        </w:rPr>
        <w:t>）</w:t>
      </w:r>
      <w:r>
        <w:rPr>
          <w:spacing w:val="1"/>
        </w:rPr>
        <w:t>”的给付标准。</w:t>
      </w:r>
    </w:p>
    <w:p>
      <w:pPr>
        <w:spacing w:line="285" w:lineRule="exact" w:before="0"/>
        <w:ind w:left="1922" w:right="0" w:firstLine="0"/>
        <w:jc w:val="left"/>
        <w:rPr>
          <w:rFonts w:ascii="黑体" w:eastAsia="黑体"/>
          <w:sz w:val="24"/>
        </w:rPr>
      </w:pPr>
      <w:r>
        <w:rPr>
          <w:rFonts w:ascii="黑体" w:eastAsia="黑体"/>
          <w:sz w:val="24"/>
        </w:rPr>
        <w:t>其他非冠状动脉阻塞性疾病引起的肌钙蛋白（cTn）</w:t>
      </w:r>
      <w:r>
        <w:rPr>
          <w:rFonts w:ascii="黑体" w:eastAsia="黑体"/>
          <w:spacing w:val="-1"/>
          <w:sz w:val="24"/>
        </w:rPr>
        <w:t>升高不在保障范围内。</w:t>
      </w:r>
    </w:p>
    <w:p>
      <w:pPr>
        <w:pStyle w:val="BodyText"/>
        <w:spacing w:before="11"/>
        <w:rPr>
          <w:rFonts w:ascii="黑体"/>
          <w:sz w:val="19"/>
        </w:rPr>
      </w:pPr>
    </w:p>
    <w:p>
      <w:pPr>
        <w:pStyle w:val="ListParagraph"/>
        <w:numPr>
          <w:ilvl w:val="1"/>
          <w:numId w:val="20"/>
        </w:numPr>
        <w:tabs>
          <w:tab w:pos="934" w:val="left" w:leader="none"/>
        </w:tabs>
        <w:spacing w:line="240" w:lineRule="auto" w:before="1" w:after="0"/>
        <w:ind w:left="933" w:right="0" w:hanging="539"/>
        <w:jc w:val="left"/>
        <w:rPr>
          <w:rFonts w:ascii="楷体" w:eastAsia="楷体" w:hint="eastAsia"/>
          <w:b/>
          <w:sz w:val="21"/>
        </w:rPr>
      </w:pPr>
      <w:r>
        <w:rPr>
          <w:rFonts w:ascii="楷体" w:eastAsia="楷体" w:hint="eastAsia"/>
          <w:b/>
          <w:spacing w:val="5"/>
          <w:sz w:val="21"/>
        </w:rPr>
        <w:t>轻度脑中 </w:t>
      </w:r>
      <w:r>
        <w:rPr>
          <w:spacing w:val="-8"/>
          <w:sz w:val="21"/>
        </w:rPr>
        <w:t>指因脑血管的突发病变引起脑血管出血、栓塞或梗塞，须由头颅断层扫描</w:t>
      </w:r>
      <w:r>
        <w:rPr>
          <w:spacing w:val="17"/>
          <w:sz w:val="21"/>
        </w:rPr>
        <w:t>（</w:t>
      </w:r>
      <w:r>
        <w:rPr>
          <w:spacing w:val="20"/>
          <w:sz w:val="21"/>
        </w:rPr>
        <w:t>C</w:t>
      </w:r>
      <w:r>
        <w:rPr>
          <w:spacing w:val="17"/>
          <w:sz w:val="21"/>
        </w:rPr>
        <w:t>T</w:t>
      </w:r>
      <w:r>
        <w:rPr>
          <w:spacing w:val="-86"/>
          <w:sz w:val="21"/>
        </w:rPr>
        <w:t>）</w:t>
      </w:r>
      <w:r>
        <w:rPr>
          <w:spacing w:val="-9"/>
          <w:sz w:val="21"/>
        </w:rPr>
        <w:t>、核磁</w:t>
      </w:r>
    </w:p>
    <w:p>
      <w:pPr>
        <w:spacing w:after="0" w:line="240" w:lineRule="auto"/>
        <w:jc w:val="left"/>
        <w:rPr>
          <w:rFonts w:ascii="楷体" w:eastAsia="楷体" w:hint="eastAsia"/>
          <w:sz w:val="21"/>
        </w:rPr>
        <w:sectPr>
          <w:pgSz w:w="11910" w:h="16840"/>
          <w:pgMar w:header="0" w:footer="1120" w:top="1360" w:bottom="1300" w:left="1020" w:right="1020"/>
        </w:sectPr>
      </w:pPr>
    </w:p>
    <w:p>
      <w:pPr>
        <w:spacing w:before="42"/>
        <w:ind w:left="395" w:right="0" w:firstLine="0"/>
        <w:jc w:val="left"/>
        <w:rPr>
          <w:rFonts w:ascii="楷体" w:eastAsia="楷体" w:hint="eastAsia"/>
          <w:b/>
          <w:sz w:val="21"/>
        </w:rPr>
      </w:pPr>
      <w:r>
        <w:rPr>
          <w:rFonts w:ascii="楷体" w:eastAsia="楷体" w:hint="eastAsia"/>
          <w:b/>
          <w:spacing w:val="-3"/>
          <w:sz w:val="21"/>
        </w:rPr>
        <w:t>风后遗症</w:t>
      </w:r>
    </w:p>
    <w:p>
      <w:pPr>
        <w:pStyle w:val="BodyText"/>
        <w:spacing w:line="278" w:lineRule="auto" w:before="42"/>
        <w:ind w:left="396" w:right="216"/>
        <w:jc w:val="both"/>
      </w:pPr>
      <w:r>
        <w:rPr/>
        <w:br w:type="column"/>
      </w:r>
      <w:r>
        <w:rPr>
          <w:spacing w:val="-2"/>
        </w:rPr>
        <w:t>共振检查（MRI）等影像学检查证实，并导致神经系统永久性的功能障碍，但未达到 </w:t>
      </w:r>
      <w:r>
        <w:rPr>
          <w:spacing w:val="-6"/>
        </w:rPr>
        <w:t>“严重脑中风后遗症（</w:t>
      </w:r>
      <w:r>
        <w:rPr>
          <w:spacing w:val="-10"/>
        </w:rPr>
        <w:t>见释义 </w:t>
      </w:r>
      <w:r>
        <w:rPr>
          <w:spacing w:val="14"/>
        </w:rPr>
        <w:t>1</w:t>
      </w:r>
      <w:r>
        <w:rPr>
          <w:spacing w:val="17"/>
        </w:rPr>
        <w:t>1.3</w:t>
      </w:r>
      <w:r>
        <w:rPr>
          <w:spacing w:val="-91"/>
        </w:rPr>
        <w:t>）</w:t>
      </w:r>
      <w:r>
        <w:rPr>
          <w:spacing w:val="-9"/>
        </w:rPr>
        <w:t>”的给付标准，在疾病确诊 </w:t>
      </w:r>
      <w:r>
        <w:rPr>
          <w:spacing w:val="-6"/>
        </w:rPr>
        <w:t>180</w:t>
      </w:r>
      <w:r>
        <w:rPr>
          <w:spacing w:val="-7"/>
        </w:rPr>
        <w:t> 天后，仍遗留下</w:t>
      </w:r>
      <w:r>
        <w:rPr>
          <w:spacing w:val="-2"/>
        </w:rPr>
        <w:t>列至少一种障碍：</w:t>
      </w:r>
    </w:p>
    <w:p>
      <w:pPr>
        <w:pStyle w:val="ListParagraph"/>
        <w:numPr>
          <w:ilvl w:val="0"/>
          <w:numId w:val="103"/>
        </w:numPr>
        <w:tabs>
          <w:tab w:pos="925" w:val="left" w:leader="none"/>
        </w:tabs>
        <w:spacing w:line="269" w:lineRule="exact" w:before="0" w:after="0"/>
        <w:ind w:left="925" w:right="0" w:hanging="529"/>
        <w:jc w:val="left"/>
        <w:rPr>
          <w:sz w:val="21"/>
        </w:rPr>
      </w:pPr>
      <w:r>
        <w:rPr>
          <w:spacing w:val="-2"/>
          <w:sz w:val="21"/>
        </w:rPr>
        <w:t>一肢（含）</w:t>
      </w:r>
      <w:r>
        <w:rPr>
          <w:spacing w:val="-9"/>
          <w:sz w:val="21"/>
        </w:rPr>
        <w:t>以上肢体肌力为 </w:t>
      </w:r>
      <w:r>
        <w:rPr>
          <w:spacing w:val="-2"/>
          <w:sz w:val="21"/>
        </w:rPr>
        <w:t>3</w:t>
      </w:r>
      <w:r>
        <w:rPr>
          <w:spacing w:val="-21"/>
          <w:sz w:val="21"/>
        </w:rPr>
        <w:t> 级；</w:t>
      </w:r>
    </w:p>
    <w:p>
      <w:pPr>
        <w:pStyle w:val="ListParagraph"/>
        <w:numPr>
          <w:ilvl w:val="0"/>
          <w:numId w:val="103"/>
        </w:numPr>
        <w:tabs>
          <w:tab w:pos="925" w:val="left" w:leader="none"/>
        </w:tabs>
        <w:spacing w:line="240" w:lineRule="auto" w:before="43" w:after="0"/>
        <w:ind w:left="925" w:right="0" w:hanging="529"/>
        <w:jc w:val="left"/>
        <w:rPr>
          <w:sz w:val="21"/>
        </w:rPr>
      </w:pPr>
      <w:r>
        <w:rPr>
          <w:spacing w:val="-3"/>
          <w:sz w:val="21"/>
        </w:rPr>
        <w:t>自主生活能力部分丧失，无法独立完成六项基本日常生活活动中的两项。</w:t>
      </w:r>
    </w:p>
    <w:p>
      <w:pPr>
        <w:spacing w:after="0" w:line="240" w:lineRule="auto"/>
        <w:jc w:val="left"/>
        <w:rPr>
          <w:sz w:val="21"/>
        </w:rPr>
        <w:sectPr>
          <w:type w:val="continuous"/>
          <w:pgSz w:w="11910" w:h="16840"/>
          <w:pgMar w:header="0" w:footer="1120" w:top="1120" w:bottom="1300" w:left="1020" w:right="1020"/>
          <w:cols w:num="2" w:equalWidth="0">
            <w:col w:w="1281" w:space="245"/>
            <w:col w:w="8344"/>
          </w:cols>
        </w:sectPr>
      </w:pPr>
    </w:p>
    <w:p>
      <w:pPr>
        <w:pStyle w:val="BodyText"/>
        <w:spacing w:before="8"/>
        <w:rPr>
          <w:sz w:val="15"/>
        </w:rPr>
      </w:pPr>
    </w:p>
    <w:p>
      <w:pPr>
        <w:pStyle w:val="ListParagraph"/>
        <w:numPr>
          <w:ilvl w:val="1"/>
          <w:numId w:val="20"/>
        </w:numPr>
        <w:tabs>
          <w:tab w:pos="872" w:val="left" w:leader="none"/>
          <w:tab w:pos="1922" w:val="left" w:leader="none"/>
        </w:tabs>
        <w:spacing w:line="278" w:lineRule="auto" w:before="71" w:after="0"/>
        <w:ind w:left="1922" w:right="214" w:hanging="1527"/>
        <w:jc w:val="left"/>
        <w:rPr>
          <w:rFonts w:ascii="楷体" w:eastAsia="楷体" w:hint="eastAsia"/>
          <w:b/>
          <w:sz w:val="21"/>
        </w:rPr>
      </w:pPr>
      <w:r>
        <w:rPr>
          <w:rFonts w:ascii="楷体" w:eastAsia="楷体" w:hint="eastAsia"/>
          <w:b/>
          <w:spacing w:val="-4"/>
          <w:sz w:val="21"/>
        </w:rPr>
        <w:t>原</w:t>
      </w:r>
      <w:r>
        <w:rPr>
          <w:rFonts w:ascii="楷体" w:eastAsia="楷体" w:hint="eastAsia"/>
          <w:b/>
          <w:spacing w:val="-4"/>
          <w:sz w:val="21"/>
        </w:rPr>
        <w:t>位</w:t>
      </w:r>
      <w:r>
        <w:rPr>
          <w:rFonts w:ascii="楷体" w:eastAsia="楷体" w:hint="eastAsia"/>
          <w:b/>
          <w:spacing w:val="-4"/>
          <w:sz w:val="21"/>
        </w:rPr>
        <w:t>癌</w:t>
      </w:r>
      <w:r>
        <w:rPr>
          <w:rFonts w:ascii="楷体" w:eastAsia="楷体" w:hint="eastAsia"/>
          <w:b/>
          <w:sz w:val="21"/>
        </w:rPr>
        <w:tab/>
      </w:r>
      <w:r>
        <w:rPr>
          <w:spacing w:val="-2"/>
          <w:sz w:val="21"/>
        </w:rPr>
        <w:t>指</w:t>
      </w:r>
      <w:r>
        <w:rPr>
          <w:spacing w:val="-2"/>
          <w:sz w:val="21"/>
        </w:rPr>
        <w:t>被</w:t>
      </w:r>
      <w:r>
        <w:rPr>
          <w:spacing w:val="-2"/>
          <w:sz w:val="21"/>
        </w:rPr>
        <w:t>保险人生存时经组织</w:t>
      </w:r>
      <w:r>
        <w:rPr>
          <w:spacing w:val="-2"/>
          <w:sz w:val="21"/>
        </w:rPr>
        <w:t>病</w:t>
      </w:r>
      <w:r>
        <w:rPr>
          <w:spacing w:val="-2"/>
          <w:sz w:val="21"/>
        </w:rPr>
        <w:t>理</w:t>
      </w:r>
      <w:r>
        <w:rPr>
          <w:spacing w:val="-2"/>
          <w:sz w:val="21"/>
        </w:rPr>
        <w:t>学检查被明确诊断为</w:t>
      </w:r>
      <w:r>
        <w:rPr>
          <w:spacing w:val="-2"/>
          <w:sz w:val="21"/>
        </w:rPr>
        <w:t>原</w:t>
      </w:r>
      <w:r>
        <w:rPr>
          <w:spacing w:val="-2"/>
          <w:sz w:val="21"/>
        </w:rPr>
        <w:t>位</w:t>
      </w:r>
      <w:r>
        <w:rPr>
          <w:spacing w:val="-2"/>
          <w:sz w:val="21"/>
        </w:rPr>
        <w:t>癌。原位癌必须实际</w:t>
      </w:r>
      <w:r>
        <w:rPr>
          <w:spacing w:val="-2"/>
          <w:sz w:val="21"/>
        </w:rPr>
        <w:t>接</w:t>
      </w:r>
      <w:r>
        <w:rPr>
          <w:spacing w:val="-2"/>
          <w:sz w:val="21"/>
        </w:rPr>
        <w:t>受</w:t>
      </w:r>
      <w:r>
        <w:rPr>
          <w:spacing w:val="-2"/>
          <w:sz w:val="21"/>
        </w:rPr>
        <w:t>了依</w:t>
      </w:r>
      <w:r>
        <w:rPr>
          <w:spacing w:val="-2"/>
          <w:sz w:val="21"/>
        </w:rPr>
        <w:t>照</w:t>
      </w:r>
      <w:r>
        <w:rPr>
          <w:spacing w:val="-2"/>
          <w:sz w:val="21"/>
        </w:rPr>
        <w:t>临</w:t>
      </w:r>
      <w:r>
        <w:rPr>
          <w:spacing w:val="-2"/>
          <w:sz w:val="21"/>
        </w:rPr>
        <w:t>床诊疗指南推荐的相</w:t>
      </w:r>
      <w:r>
        <w:rPr>
          <w:spacing w:val="-2"/>
          <w:sz w:val="21"/>
        </w:rPr>
        <w:t>应</w:t>
      </w:r>
      <w:r>
        <w:rPr>
          <w:spacing w:val="-2"/>
          <w:sz w:val="21"/>
        </w:rPr>
        <w:t>的</w:t>
      </w:r>
      <w:r>
        <w:rPr>
          <w:spacing w:val="-2"/>
          <w:sz w:val="21"/>
        </w:rPr>
        <w:t>积极治</w:t>
      </w:r>
      <w:r>
        <w:rPr>
          <w:spacing w:val="-2"/>
          <w:sz w:val="21"/>
        </w:rPr>
        <w:t>疗</w:t>
      </w:r>
      <w:r>
        <w:rPr>
          <w:spacing w:val="-2"/>
          <w:sz w:val="21"/>
        </w:rPr>
        <w:t>。</w:t>
      </w:r>
    </w:p>
    <w:p>
      <w:pPr>
        <w:spacing w:line="284" w:lineRule="exact" w:before="0"/>
        <w:ind w:left="1922" w:right="0" w:firstLine="0"/>
        <w:jc w:val="left"/>
        <w:rPr>
          <w:rFonts w:ascii="黑体" w:eastAsia="黑体"/>
          <w:sz w:val="24"/>
        </w:rPr>
      </w:pPr>
      <w:r>
        <w:rPr>
          <w:rFonts w:ascii="黑体" w:eastAsia="黑体"/>
          <w:spacing w:val="-1"/>
          <w:sz w:val="24"/>
        </w:rPr>
        <w:t>下列病变不在保障范围内：</w:t>
      </w:r>
    </w:p>
    <w:p>
      <w:pPr>
        <w:pStyle w:val="ListParagraph"/>
        <w:numPr>
          <w:ilvl w:val="0"/>
          <w:numId w:val="104"/>
        </w:numPr>
        <w:tabs>
          <w:tab w:pos="2524" w:val="left" w:leader="none"/>
        </w:tabs>
        <w:spacing w:line="242" w:lineRule="auto" w:before="5" w:after="0"/>
        <w:ind w:left="1922" w:right="218" w:firstLine="0"/>
        <w:jc w:val="left"/>
        <w:rPr>
          <w:rFonts w:ascii="黑体" w:eastAsia="黑体"/>
          <w:sz w:val="24"/>
        </w:rPr>
      </w:pPr>
      <w:r>
        <w:rPr>
          <w:rFonts w:ascii="黑体" w:eastAsia="黑体"/>
          <w:spacing w:val="-4"/>
          <w:sz w:val="24"/>
        </w:rPr>
        <w:t>任何在最新肿瘤分期指南 </w:t>
      </w:r>
      <w:r>
        <w:rPr>
          <w:rFonts w:ascii="黑体" w:eastAsia="黑体"/>
          <w:sz w:val="24"/>
        </w:rPr>
        <w:t>AJCC8</w:t>
      </w:r>
      <w:r>
        <w:rPr>
          <w:rFonts w:ascii="黑体" w:eastAsia="黑体"/>
          <w:spacing w:val="-27"/>
          <w:sz w:val="24"/>
        </w:rPr>
        <w:t> 中 </w:t>
      </w:r>
      <w:r>
        <w:rPr>
          <w:rFonts w:ascii="黑体" w:eastAsia="黑体"/>
          <w:sz w:val="24"/>
        </w:rPr>
        <w:t>TNM</w:t>
      </w:r>
      <w:r>
        <w:rPr>
          <w:rFonts w:ascii="黑体" w:eastAsia="黑体"/>
          <w:spacing w:val="-17"/>
          <w:sz w:val="24"/>
        </w:rPr>
        <w:t> 分期无 </w:t>
      </w:r>
      <w:r>
        <w:rPr>
          <w:rFonts w:ascii="黑体" w:eastAsia="黑体"/>
          <w:sz w:val="24"/>
        </w:rPr>
        <w:t>Tis</w:t>
      </w:r>
      <w:r>
        <w:rPr>
          <w:rFonts w:ascii="黑体" w:eastAsia="黑体"/>
          <w:spacing w:val="-7"/>
          <w:sz w:val="24"/>
        </w:rPr>
        <w:t> 分期的，但被临</w:t>
      </w:r>
      <w:r>
        <w:rPr>
          <w:rFonts w:ascii="黑体" w:eastAsia="黑体"/>
          <w:spacing w:val="-2"/>
          <w:sz w:val="24"/>
        </w:rPr>
        <w:t>床诊断为原位癌的病变；</w:t>
      </w:r>
    </w:p>
    <w:p>
      <w:pPr>
        <w:pStyle w:val="ListParagraph"/>
        <w:numPr>
          <w:ilvl w:val="0"/>
          <w:numId w:val="104"/>
        </w:numPr>
        <w:tabs>
          <w:tab w:pos="2524" w:val="left" w:leader="none"/>
        </w:tabs>
        <w:spacing w:line="242" w:lineRule="auto" w:before="3" w:after="0"/>
        <w:ind w:left="1922" w:right="101" w:firstLine="0"/>
        <w:jc w:val="left"/>
        <w:rPr>
          <w:rFonts w:ascii="黑体" w:eastAsia="黑体"/>
          <w:sz w:val="24"/>
        </w:rPr>
      </w:pPr>
      <w:r>
        <w:rPr>
          <w:rFonts w:ascii="黑体" w:eastAsia="黑体"/>
          <w:spacing w:val="-9"/>
          <w:sz w:val="24"/>
        </w:rPr>
        <w:t>任何诊断为 </w:t>
      </w:r>
      <w:r>
        <w:rPr>
          <w:rFonts w:ascii="黑体" w:eastAsia="黑体"/>
          <w:spacing w:val="-2"/>
          <w:sz w:val="24"/>
        </w:rPr>
        <w:t>CIN1、CIN2、CIN3、VIN、LSIL（低级别鳞状上皮内病变</w:t>
      </w:r>
      <w:r>
        <w:rPr>
          <w:rFonts w:ascii="黑体" w:eastAsia="黑体"/>
          <w:spacing w:val="-120"/>
          <w:sz w:val="24"/>
        </w:rPr>
        <w:t>）</w:t>
      </w:r>
      <w:r>
        <w:rPr>
          <w:rFonts w:ascii="黑体" w:eastAsia="黑体"/>
          <w:sz w:val="24"/>
        </w:rPr>
        <w:t>、 HSIL（高级别鳞状上皮内病变）的鳞状上皮内病变；</w:t>
      </w:r>
    </w:p>
    <w:p>
      <w:pPr>
        <w:pStyle w:val="ListParagraph"/>
        <w:numPr>
          <w:ilvl w:val="0"/>
          <w:numId w:val="104"/>
        </w:numPr>
        <w:tabs>
          <w:tab w:pos="2524" w:val="left" w:leader="none"/>
        </w:tabs>
        <w:spacing w:line="240" w:lineRule="auto" w:before="2" w:after="0"/>
        <w:ind w:left="2523" w:right="0" w:hanging="602"/>
        <w:jc w:val="left"/>
        <w:rPr>
          <w:rFonts w:ascii="黑体" w:eastAsia="黑体"/>
          <w:sz w:val="24"/>
        </w:rPr>
      </w:pPr>
      <w:r>
        <w:rPr>
          <w:rFonts w:ascii="黑体" w:eastAsia="黑体"/>
          <w:spacing w:val="-1"/>
          <w:sz w:val="24"/>
        </w:rPr>
        <w:t>任何上皮内肿瘤、上皮内瘤变、上皮内瘤。</w:t>
      </w:r>
    </w:p>
    <w:p>
      <w:pPr>
        <w:pStyle w:val="BodyText"/>
        <w:spacing w:before="10"/>
        <w:rPr>
          <w:rFonts w:ascii="黑体"/>
          <w:sz w:val="19"/>
        </w:rPr>
      </w:pPr>
    </w:p>
    <w:p>
      <w:pPr>
        <w:pStyle w:val="ListParagraph"/>
        <w:numPr>
          <w:ilvl w:val="1"/>
          <w:numId w:val="20"/>
        </w:numPr>
        <w:tabs>
          <w:tab w:pos="934" w:val="left" w:leader="none"/>
        </w:tabs>
        <w:spacing w:line="240" w:lineRule="auto" w:before="0" w:after="0"/>
        <w:ind w:left="933" w:right="0" w:hanging="539"/>
        <w:jc w:val="left"/>
        <w:rPr>
          <w:rFonts w:ascii="楷体" w:eastAsia="楷体" w:hint="eastAsia"/>
          <w:b/>
          <w:sz w:val="21"/>
        </w:rPr>
      </w:pPr>
      <w:r>
        <w:rPr>
          <w:rFonts w:ascii="楷体" w:eastAsia="楷体" w:hint="eastAsia"/>
          <w:b/>
          <w:spacing w:val="2"/>
          <w:sz w:val="21"/>
        </w:rPr>
        <w:t>系统性红 </w:t>
      </w:r>
      <w:r>
        <w:rPr>
          <w:spacing w:val="-3"/>
          <w:sz w:val="21"/>
        </w:rPr>
        <w:t>系统性红斑狼疮是由多种因素引起，累及多系统的自身免疫性疾病。其特点是生成自</w:t>
      </w:r>
    </w:p>
    <w:p>
      <w:pPr>
        <w:pStyle w:val="BodyText"/>
        <w:ind w:left="395"/>
      </w:pPr>
      <w:r>
        <w:rPr>
          <w:rFonts w:ascii="楷体" w:eastAsia="楷体" w:hint="eastAsia"/>
          <w:b/>
          <w:spacing w:val="7"/>
        </w:rPr>
        <w:t>斑狼疮较轻狼 </w:t>
      </w:r>
      <w:r>
        <w:rPr>
          <w:spacing w:val="-1"/>
        </w:rPr>
        <w:t>身抗体对抗多种自身抗原。多见于育龄妇女。系统性红斑狼疮累及肾脏时称为狼疮性</w:t>
      </w:r>
    </w:p>
    <w:p>
      <w:pPr>
        <w:spacing w:after="0"/>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3"/>
          <w:sz w:val="21"/>
        </w:rPr>
        <w:t>疮性肾炎</w:t>
      </w:r>
    </w:p>
    <w:p>
      <w:pPr>
        <w:pStyle w:val="BodyText"/>
        <w:spacing w:line="278" w:lineRule="auto"/>
        <w:ind w:left="396" w:right="214"/>
      </w:pPr>
      <w:r>
        <w:rPr/>
        <w:br w:type="column"/>
      </w:r>
      <w:r>
        <w:rPr>
          <w:spacing w:val="-2"/>
        </w:rPr>
        <w:t>肾炎，世界卫生组织狼疮性肾炎分型根据肾活检病理分为Ⅰ-Ⅴ型。被保险人必须被</w:t>
      </w:r>
      <w:r>
        <w:rPr>
          <w:spacing w:val="-5"/>
        </w:rPr>
        <w:t>明确诊断为狼疮性肾炎, 但未达到本合同所定义的重大疾病“系统性红斑狼疮性肾炎</w:t>
      </w:r>
    </w:p>
    <w:p>
      <w:pPr>
        <w:pStyle w:val="BodyText"/>
        <w:spacing w:line="269" w:lineRule="exact" w:before="0"/>
        <w:ind w:left="396"/>
      </w:pPr>
      <w:r>
        <w:rPr>
          <w:spacing w:val="-6"/>
        </w:rPr>
        <w:t>（</w:t>
      </w:r>
      <w:r>
        <w:rPr>
          <w:spacing w:val="-14"/>
        </w:rPr>
        <w:t>见释义 </w:t>
      </w:r>
      <w:r>
        <w:rPr>
          <w:rFonts w:ascii="Times New Roman" w:hAnsi="Times New Roman" w:eastAsia="Times New Roman"/>
          <w:spacing w:val="3"/>
        </w:rPr>
        <w:t>1</w:t>
      </w:r>
      <w:r>
        <w:rPr>
          <w:rFonts w:ascii="Times New Roman" w:hAnsi="Times New Roman" w:eastAsia="Times New Roman"/>
          <w:spacing w:val="11"/>
        </w:rPr>
        <w:t>1.3</w:t>
      </w:r>
      <w:r>
        <w:rPr>
          <w:rFonts w:ascii="Times New Roman" w:hAnsi="Times New Roman" w:eastAsia="Times New Roman"/>
          <w:spacing w:val="8"/>
        </w:rPr>
        <w:t>1</w:t>
      </w:r>
      <w:r>
        <w:rPr>
          <w:spacing w:val="-95"/>
        </w:rPr>
        <w:t>）</w:t>
      </w:r>
      <w:r>
        <w:rPr>
          <w:spacing w:val="-7"/>
        </w:rPr>
        <w:t>”的给付标准，并且满足下列全部条件：</w:t>
      </w:r>
    </w:p>
    <w:p>
      <w:pPr>
        <w:pStyle w:val="ListParagraph"/>
        <w:numPr>
          <w:ilvl w:val="0"/>
          <w:numId w:val="105"/>
        </w:numPr>
        <w:tabs>
          <w:tab w:pos="1028" w:val="left" w:leader="none"/>
        </w:tabs>
        <w:spacing w:line="240" w:lineRule="auto" w:before="43" w:after="0"/>
        <w:ind w:left="1027" w:right="0" w:hanging="632"/>
        <w:jc w:val="left"/>
        <w:rPr>
          <w:sz w:val="21"/>
        </w:rPr>
      </w:pPr>
      <w:r>
        <w:rPr>
          <w:spacing w:val="-2"/>
          <w:sz w:val="21"/>
        </w:rPr>
        <w:t>肾小球滤过率&lt;</w:t>
      </w:r>
      <w:r>
        <w:rPr>
          <w:rFonts w:ascii="Arial" w:eastAsia="Arial"/>
          <w:spacing w:val="-2"/>
          <w:sz w:val="21"/>
        </w:rPr>
        <w:t>60ml/min/1.73m</w:t>
      </w:r>
      <w:r>
        <w:rPr>
          <w:rFonts w:ascii="Arial" w:eastAsia="Arial"/>
          <w:spacing w:val="-2"/>
          <w:position w:val="7"/>
          <w:sz w:val="14"/>
        </w:rPr>
        <w:t>2</w:t>
      </w:r>
      <w:r>
        <w:rPr>
          <w:spacing w:val="-2"/>
          <w:sz w:val="21"/>
        </w:rPr>
        <w:t>；</w:t>
      </w:r>
    </w:p>
    <w:p>
      <w:pPr>
        <w:pStyle w:val="ListParagraph"/>
        <w:numPr>
          <w:ilvl w:val="0"/>
          <w:numId w:val="105"/>
        </w:numPr>
        <w:tabs>
          <w:tab w:pos="1028" w:val="left" w:leader="none"/>
        </w:tabs>
        <w:spacing w:line="240" w:lineRule="auto" w:before="43" w:after="0"/>
        <w:ind w:left="1027" w:right="0" w:hanging="632"/>
        <w:jc w:val="left"/>
        <w:rPr>
          <w:sz w:val="21"/>
        </w:rPr>
      </w:pPr>
      <w:r>
        <w:rPr>
          <w:spacing w:val="-2"/>
          <w:sz w:val="21"/>
        </w:rPr>
        <w:t>血肌酐&gt;1.</w:t>
      </w:r>
      <w:r>
        <w:rPr>
          <w:rFonts w:ascii="Arial" w:eastAsia="Arial"/>
          <w:spacing w:val="-2"/>
          <w:sz w:val="21"/>
        </w:rPr>
        <w:t>5mg/dl</w:t>
      </w:r>
      <w:r>
        <w:rPr>
          <w:rFonts w:ascii="Arial" w:eastAsia="Arial"/>
          <w:spacing w:val="1"/>
          <w:sz w:val="21"/>
        </w:rPr>
        <w:t> </w:t>
      </w:r>
      <w:r>
        <w:rPr>
          <w:spacing w:val="-25"/>
          <w:sz w:val="21"/>
        </w:rPr>
        <w:t>或 </w:t>
      </w:r>
      <w:r>
        <w:rPr>
          <w:rFonts w:ascii="Arial" w:eastAsia="Arial"/>
          <w:spacing w:val="-2"/>
          <w:sz w:val="21"/>
        </w:rPr>
        <w:t>133umol/L</w:t>
      </w:r>
      <w:r>
        <w:rPr>
          <w:spacing w:val="-2"/>
          <w:sz w:val="21"/>
        </w:rPr>
        <w:t>；</w:t>
      </w:r>
    </w:p>
    <w:p>
      <w:pPr>
        <w:pStyle w:val="ListParagraph"/>
        <w:numPr>
          <w:ilvl w:val="0"/>
          <w:numId w:val="105"/>
        </w:numPr>
        <w:tabs>
          <w:tab w:pos="1028" w:val="left" w:leader="none"/>
        </w:tabs>
        <w:spacing w:line="240" w:lineRule="auto" w:before="43" w:after="0"/>
        <w:ind w:left="1027" w:right="0" w:hanging="632"/>
        <w:jc w:val="left"/>
        <w:rPr>
          <w:sz w:val="21"/>
        </w:rPr>
      </w:pPr>
      <w:r>
        <w:rPr>
          <w:spacing w:val="-18"/>
          <w:sz w:val="21"/>
        </w:rPr>
        <w:t>持续 </w:t>
      </w:r>
      <w:r>
        <w:rPr>
          <w:rFonts w:ascii="Arial" w:eastAsia="Arial"/>
          <w:sz w:val="21"/>
        </w:rPr>
        <w:t>180</w:t>
      </w:r>
      <w:r>
        <w:rPr>
          <w:rFonts w:ascii="Arial" w:eastAsia="Arial"/>
          <w:spacing w:val="-14"/>
          <w:sz w:val="21"/>
        </w:rPr>
        <w:t> </w:t>
      </w:r>
      <w:r>
        <w:rPr>
          <w:spacing w:val="-3"/>
          <w:sz w:val="21"/>
        </w:rPr>
        <w:t>天以上。</w:t>
      </w:r>
    </w:p>
    <w:p>
      <w:pPr>
        <w:spacing w:before="20"/>
        <w:ind w:left="396" w:right="0" w:firstLine="0"/>
        <w:jc w:val="left"/>
        <w:rPr>
          <w:rFonts w:ascii="黑体" w:eastAsia="黑体"/>
          <w:sz w:val="24"/>
        </w:rPr>
      </w:pPr>
      <w:r>
        <w:rPr>
          <w:rFonts w:ascii="黑体" w:eastAsia="黑体"/>
          <w:spacing w:val="-1"/>
          <w:sz w:val="24"/>
        </w:rPr>
        <w:t>其他类型的红斑性狼疮或系统性红斑狼疮不在保障范围內。</w:t>
      </w:r>
    </w:p>
    <w:p>
      <w:pPr>
        <w:pStyle w:val="BodyText"/>
        <w:spacing w:before="27"/>
        <w:ind w:left="396"/>
      </w:pPr>
      <w:r>
        <w:rPr>
          <w:spacing w:val="-2"/>
        </w:rPr>
        <w:t>Ⅰ型（微小病变型</w:t>
      </w:r>
      <w:r>
        <w:rPr>
          <w:spacing w:val="-108"/>
        </w:rPr>
        <w:t>）</w:t>
      </w:r>
      <w:r>
        <w:rPr>
          <w:spacing w:val="-3"/>
        </w:rPr>
        <w:t>：镜下阴性，尿液正常；</w:t>
      </w:r>
    </w:p>
    <w:p>
      <w:pPr>
        <w:pStyle w:val="BodyText"/>
        <w:spacing w:line="278" w:lineRule="auto"/>
        <w:ind w:left="396" w:right="2874"/>
      </w:pPr>
      <w:r>
        <w:rPr>
          <w:spacing w:val="-2"/>
        </w:rPr>
        <w:t>Ⅱ型（系膜病变型</w:t>
      </w:r>
      <w:r>
        <w:rPr>
          <w:spacing w:val="-108"/>
        </w:rPr>
        <w:t>）</w:t>
      </w:r>
      <w:r>
        <w:rPr>
          <w:spacing w:val="-2"/>
        </w:rPr>
        <w:t>：中度蛋白尿，偶有尿沉渣改变； Ⅲ型（局灶及节段增生型</w:t>
      </w:r>
      <w:r>
        <w:rPr>
          <w:spacing w:val="-108"/>
        </w:rPr>
        <w:t>）</w:t>
      </w:r>
      <w:r>
        <w:rPr>
          <w:spacing w:val="-2"/>
        </w:rPr>
        <w:t>：蛋白尿，尿沉渣改变；</w:t>
      </w:r>
    </w:p>
    <w:p>
      <w:pPr>
        <w:pStyle w:val="BodyText"/>
        <w:spacing w:line="278" w:lineRule="auto" w:before="0"/>
        <w:ind w:left="396" w:right="1852"/>
      </w:pPr>
      <w:r>
        <w:rPr>
          <w:spacing w:val="-2"/>
        </w:rPr>
        <w:t>Ⅳ型（弥漫增生型</w:t>
      </w:r>
      <w:r>
        <w:rPr>
          <w:spacing w:val="-108"/>
        </w:rPr>
        <w:t>）</w:t>
      </w:r>
      <w:r>
        <w:rPr>
          <w:spacing w:val="-2"/>
        </w:rPr>
        <w:t>：急性肾炎伴有尿沉渣改变及/或肾病综合征； Ⅴ型（膜型</w:t>
      </w:r>
      <w:r>
        <w:rPr>
          <w:spacing w:val="-106"/>
        </w:rPr>
        <w:t>）</w:t>
      </w:r>
      <w:r>
        <w:rPr>
          <w:spacing w:val="-3"/>
        </w:rPr>
        <w:t>：肾病综合征或重度蛋白尿。</w:t>
      </w:r>
    </w:p>
    <w:p>
      <w:pPr>
        <w:spacing w:after="0" w:line="278" w:lineRule="auto"/>
        <w:sectPr>
          <w:type w:val="continuous"/>
          <w:pgSz w:w="11910" w:h="16840"/>
          <w:pgMar w:header="0" w:footer="1120" w:top="1120" w:bottom="1300" w:left="1020" w:right="1020"/>
          <w:cols w:num="2" w:equalWidth="0">
            <w:col w:w="1281" w:space="245"/>
            <w:col w:w="8344"/>
          </w:cols>
        </w:sectPr>
      </w:pPr>
    </w:p>
    <w:p>
      <w:pPr>
        <w:pStyle w:val="BodyText"/>
        <w:spacing w:before="8"/>
        <w:rPr>
          <w:sz w:val="11"/>
        </w:rPr>
      </w:pPr>
    </w:p>
    <w:p>
      <w:pPr>
        <w:pStyle w:val="ListParagraph"/>
        <w:numPr>
          <w:ilvl w:val="1"/>
          <w:numId w:val="20"/>
        </w:numPr>
        <w:tabs>
          <w:tab w:pos="934" w:val="left" w:leader="none"/>
        </w:tabs>
        <w:spacing w:line="240" w:lineRule="auto" w:before="79" w:after="0"/>
        <w:ind w:left="933" w:right="0" w:hanging="539"/>
        <w:jc w:val="left"/>
        <w:rPr>
          <w:rFonts w:ascii="楷体" w:eastAsia="楷体" w:hint="eastAsia"/>
          <w:b/>
          <w:sz w:val="21"/>
        </w:rPr>
      </w:pPr>
      <w:r>
        <w:rPr>
          <w:rFonts w:ascii="楷体" w:eastAsia="楷体" w:hint="eastAsia"/>
          <w:b/>
          <w:spacing w:val="-3"/>
          <w:sz w:val="21"/>
        </w:rPr>
        <w:t>慢性肾衰 </w:t>
      </w:r>
      <w:r>
        <w:rPr>
          <w:spacing w:val="-4"/>
          <w:sz w:val="21"/>
        </w:rPr>
        <w:t>指双肾功能慢性不可逆性衰竭，依据肾脏病预后质量倡议（</w:t>
      </w:r>
      <w:r>
        <w:rPr>
          <w:rFonts w:ascii="Times New Roman" w:eastAsia="Times New Roman"/>
          <w:spacing w:val="-4"/>
          <w:sz w:val="21"/>
        </w:rPr>
        <w:t>K/DOQI</w:t>
      </w:r>
      <w:r>
        <w:rPr>
          <w:spacing w:val="-4"/>
          <w:sz w:val="21"/>
        </w:rPr>
        <w:t>）</w:t>
      </w:r>
      <w:r>
        <w:rPr>
          <w:spacing w:val="-5"/>
          <w:sz w:val="21"/>
        </w:rPr>
        <w:t>制定的指南，分</w:t>
      </w:r>
    </w:p>
    <w:p>
      <w:pPr>
        <w:pStyle w:val="BodyText"/>
        <w:tabs>
          <w:tab w:pos="1922" w:val="left" w:leader="none"/>
        </w:tabs>
        <w:spacing w:line="278" w:lineRule="auto"/>
        <w:ind w:left="1922" w:right="216" w:hanging="1527"/>
      </w:pPr>
      <w:r>
        <w:rPr>
          <w:rFonts w:ascii="楷体" w:eastAsia="楷体" w:hint="eastAsia"/>
          <w:b/>
          <w:spacing w:val="-10"/>
        </w:rPr>
        <w:t>竭</w:t>
      </w:r>
      <w:r>
        <w:rPr>
          <w:rFonts w:ascii="楷体" w:eastAsia="楷体" w:hint="eastAsia"/>
          <w:b/>
        </w:rPr>
        <w:tab/>
      </w:r>
      <w:r>
        <w:rPr/>
        <w:t>期达到慢性肾脏病</w:t>
      </w:r>
      <w:r>
        <w:rPr>
          <w:spacing w:val="-29"/>
        </w:rPr>
        <w:t> </w:t>
      </w:r>
      <w:r>
        <w:rPr>
          <w:rFonts w:ascii="Times New Roman" w:eastAsia="Times New Roman"/>
        </w:rPr>
        <w:t>4</w:t>
      </w:r>
      <w:r>
        <w:rPr>
          <w:rFonts w:ascii="Times New Roman" w:eastAsia="Times New Roman"/>
          <w:spacing w:val="-3"/>
        </w:rPr>
        <w:t> </w:t>
      </w:r>
      <w:r>
        <w:rPr/>
        <w:t>期</w:t>
      </w:r>
      <w:r>
        <w:rPr/>
        <w:t>，</w:t>
      </w:r>
      <w:r>
        <w:rPr/>
        <w:t>即肾小球滤过率</w:t>
      </w:r>
      <w:r>
        <w:rPr/>
        <w:t>（</w:t>
      </w:r>
      <w:r>
        <w:rPr>
          <w:rFonts w:ascii="Times New Roman" w:eastAsia="Times New Roman"/>
        </w:rPr>
        <w:t>GFR)</w:t>
      </w:r>
      <w:r>
        <w:rPr/>
        <w:t>低于</w:t>
      </w:r>
      <w:r>
        <w:rPr>
          <w:spacing w:val="-29"/>
        </w:rPr>
        <w:t> </w:t>
      </w:r>
      <w:r>
        <w:rPr>
          <w:rFonts w:ascii="Times New Roman" w:eastAsia="Times New Roman"/>
        </w:rPr>
        <w:t>30ml/min</w:t>
      </w:r>
      <w:r>
        <w:rPr/>
        <w:t>，但还未达</w:t>
      </w:r>
      <w:r>
        <w:rPr/>
        <w:t>到</w:t>
      </w:r>
      <w:r>
        <w:rPr/>
        <w:t>慢性肾脏病</w:t>
      </w:r>
      <w:r>
        <w:rPr>
          <w:spacing w:val="-12"/>
        </w:rPr>
        <w:t> </w:t>
      </w:r>
      <w:r>
        <w:rPr>
          <w:rFonts w:ascii="Times New Roman" w:eastAsia="Times New Roman"/>
        </w:rPr>
        <w:t>5 </w:t>
      </w:r>
      <w:r>
        <w:rPr/>
        <w:t>期，且此状态须持续至少</w:t>
      </w:r>
      <w:r>
        <w:rPr>
          <w:spacing w:val="-12"/>
        </w:rPr>
        <w:t> </w:t>
      </w:r>
      <w:r>
        <w:rPr>
          <w:rFonts w:ascii="Times New Roman" w:eastAsia="Times New Roman"/>
        </w:rPr>
        <w:t>90 </w:t>
      </w:r>
      <w:r>
        <w:rPr/>
        <w:t>天。</w:t>
      </w:r>
    </w:p>
    <w:p>
      <w:pPr>
        <w:pStyle w:val="BodyText"/>
        <w:spacing w:before="0"/>
        <w:rPr>
          <w:sz w:val="12"/>
        </w:rPr>
      </w:pPr>
    </w:p>
    <w:p>
      <w:pPr>
        <w:pStyle w:val="ListParagraph"/>
        <w:numPr>
          <w:ilvl w:val="1"/>
          <w:numId w:val="20"/>
        </w:numPr>
        <w:tabs>
          <w:tab w:pos="934" w:val="left" w:leader="none"/>
        </w:tabs>
        <w:spacing w:line="240" w:lineRule="auto" w:before="71" w:after="0"/>
        <w:ind w:left="933" w:right="0" w:hanging="539"/>
        <w:jc w:val="left"/>
        <w:rPr>
          <w:rFonts w:ascii="楷体" w:eastAsia="楷体" w:hint="eastAsia"/>
          <w:b/>
          <w:sz w:val="21"/>
        </w:rPr>
      </w:pPr>
      <w:r>
        <w:rPr>
          <w:rFonts w:ascii="楷体" w:eastAsia="楷体" w:hint="eastAsia"/>
          <w:b/>
          <w:spacing w:val="2"/>
          <w:sz w:val="21"/>
        </w:rPr>
        <w:t>因肾上腺 </w:t>
      </w:r>
      <w:r>
        <w:rPr>
          <w:spacing w:val="-3"/>
          <w:sz w:val="21"/>
        </w:rPr>
        <w:t>指为治疗肾上腺皮质腺瘤所导致的醛固酮分泌过多而产生的继发性恶性高血压，已经</w:t>
      </w:r>
    </w:p>
    <w:p>
      <w:pPr>
        <w:pStyle w:val="BodyText"/>
        <w:ind w:left="395"/>
      </w:pPr>
      <w:r>
        <w:rPr>
          <w:rFonts w:ascii="楷体" w:eastAsia="楷体" w:hint="eastAsia"/>
          <w:b/>
          <w:spacing w:val="14"/>
        </w:rPr>
        <w:t>皮质腺瘤切除 </w:t>
      </w:r>
      <w:r>
        <w:rPr>
          <w:spacing w:val="-1"/>
        </w:rPr>
        <w:t>实施了肾上腺切除术。并经相关专科医生确诊该手术是医疗必须的情况下进行。</w:t>
      </w:r>
    </w:p>
    <w:p>
      <w:pPr>
        <w:spacing w:before="43"/>
        <w:ind w:left="395" w:right="0" w:firstLine="0"/>
        <w:jc w:val="left"/>
        <w:rPr>
          <w:rFonts w:ascii="楷体" w:eastAsia="楷体" w:hint="eastAsia"/>
          <w:b/>
          <w:sz w:val="21"/>
        </w:rPr>
      </w:pPr>
      <w:r>
        <w:rPr>
          <w:rFonts w:ascii="楷体" w:eastAsia="楷体" w:hint="eastAsia"/>
          <w:b/>
          <w:spacing w:val="-4"/>
          <w:sz w:val="21"/>
        </w:rPr>
        <w:t>肾上腺</w:t>
      </w:r>
    </w:p>
    <w:p>
      <w:pPr>
        <w:spacing w:after="0"/>
        <w:jc w:val="left"/>
        <w:rPr>
          <w:rFonts w:ascii="楷体" w:eastAsia="楷体" w:hint="eastAsia"/>
          <w:sz w:val="21"/>
        </w:rPr>
        <w:sectPr>
          <w:type w:val="continuous"/>
          <w:pgSz w:w="11910" w:h="16840"/>
          <w:pgMar w:header="0" w:footer="1120" w:top="1120" w:bottom="1300" w:left="1020" w:right="1020"/>
        </w:sectPr>
      </w:pPr>
    </w:p>
    <w:p>
      <w:pPr>
        <w:pStyle w:val="ListParagraph"/>
        <w:numPr>
          <w:ilvl w:val="1"/>
          <w:numId w:val="20"/>
        </w:numPr>
        <w:tabs>
          <w:tab w:pos="934" w:val="left" w:leader="none"/>
        </w:tabs>
        <w:spacing w:line="240" w:lineRule="auto" w:before="60" w:after="0"/>
        <w:ind w:left="933" w:right="0" w:hanging="539"/>
        <w:jc w:val="left"/>
        <w:rPr>
          <w:rFonts w:ascii="楷体" w:hAnsi="楷体" w:eastAsia="楷体" w:hint="eastAsia"/>
          <w:b/>
          <w:sz w:val="21"/>
        </w:rPr>
      </w:pPr>
      <w:r>
        <w:rPr>
          <w:rFonts w:ascii="楷体" w:hAnsi="楷体" w:eastAsia="楷体" w:hint="eastAsia"/>
          <w:b/>
          <w:spacing w:val="2"/>
          <w:sz w:val="21"/>
        </w:rPr>
        <w:t>慢性肝衰 </w:t>
      </w:r>
      <w:r>
        <w:rPr>
          <w:spacing w:val="-3"/>
          <w:sz w:val="21"/>
        </w:rPr>
        <w:t>指因慢性肝脏疾病导致的肝衰竭，但未达到本合同所定义的重大疾病“严重慢性肝衰</w:t>
      </w:r>
    </w:p>
    <w:p>
      <w:pPr>
        <w:pStyle w:val="BodyText"/>
        <w:tabs>
          <w:tab w:pos="1922" w:val="left" w:leader="none"/>
        </w:tabs>
        <w:ind w:left="395"/>
      </w:pPr>
      <w:r>
        <w:rPr>
          <w:rFonts w:ascii="楷体" w:hAnsi="楷体" w:eastAsia="楷体" w:hint="eastAsia"/>
          <w:b/>
          <w:spacing w:val="-10"/>
        </w:rPr>
        <w:t>竭</w:t>
      </w:r>
      <w:r>
        <w:rPr>
          <w:rFonts w:ascii="楷体" w:hAnsi="楷体" w:eastAsia="楷体" w:hint="eastAsia"/>
          <w:b/>
        </w:rPr>
        <w:tab/>
      </w:r>
      <w:r>
        <w:rPr>
          <w:spacing w:val="-6"/>
        </w:rPr>
        <w:t>竭</w:t>
      </w:r>
      <w:r>
        <w:rPr>
          <w:spacing w:val="-6"/>
        </w:rPr>
        <w:t>（</w:t>
      </w:r>
      <w:r>
        <w:rPr>
          <w:spacing w:val="-6"/>
        </w:rPr>
        <w:t>见</w:t>
      </w:r>
      <w:r>
        <w:rPr>
          <w:spacing w:val="-6"/>
        </w:rPr>
        <w:t>释</w:t>
      </w:r>
      <w:r>
        <w:rPr>
          <w:spacing w:val="-6"/>
        </w:rPr>
        <w:t>义</w:t>
      </w:r>
      <w:r>
        <w:rPr>
          <w:spacing w:val="-25"/>
        </w:rPr>
        <w:t> </w:t>
      </w:r>
      <w:r>
        <w:rPr>
          <w:rFonts w:ascii="Times New Roman" w:hAnsi="Times New Roman" w:eastAsia="Times New Roman"/>
          <w:spacing w:val="3"/>
        </w:rPr>
        <w:t>1</w:t>
      </w:r>
      <w:r>
        <w:rPr>
          <w:rFonts w:ascii="Times New Roman" w:hAnsi="Times New Roman" w:eastAsia="Times New Roman"/>
          <w:spacing w:val="11"/>
        </w:rPr>
        <w:t>1</w:t>
      </w:r>
      <w:r>
        <w:rPr>
          <w:rFonts w:ascii="Times New Roman" w:hAnsi="Times New Roman" w:eastAsia="Times New Roman"/>
          <w:spacing w:val="8"/>
        </w:rPr>
        <w:t>.</w:t>
      </w:r>
      <w:r>
        <w:rPr>
          <w:rFonts w:ascii="Times New Roman" w:hAnsi="Times New Roman" w:eastAsia="Times New Roman"/>
          <w:spacing w:val="11"/>
        </w:rPr>
        <w:t>10</w:t>
      </w:r>
      <w:r>
        <w:rPr>
          <w:spacing w:val="-97"/>
        </w:rPr>
        <w:t>）</w:t>
      </w:r>
      <w:r>
        <w:rPr>
          <w:spacing w:val="11"/>
        </w:rPr>
        <w:t>”</w:t>
      </w:r>
      <w:r>
        <w:rPr>
          <w:spacing w:val="-6"/>
        </w:rPr>
        <w:t>的</w:t>
      </w:r>
      <w:r>
        <w:rPr>
          <w:spacing w:val="-6"/>
        </w:rPr>
        <w:t>给</w:t>
      </w:r>
      <w:r>
        <w:rPr>
          <w:spacing w:val="-6"/>
        </w:rPr>
        <w:t>付</w:t>
      </w:r>
      <w:r>
        <w:rPr>
          <w:spacing w:val="-6"/>
        </w:rPr>
        <w:t>标</w:t>
      </w:r>
      <w:r>
        <w:rPr>
          <w:spacing w:val="-6"/>
        </w:rPr>
        <w:t>准，且须满足下列至</w:t>
      </w:r>
      <w:r>
        <w:rPr>
          <w:spacing w:val="-6"/>
        </w:rPr>
        <w:t>少</w:t>
      </w:r>
      <w:r>
        <w:rPr>
          <w:spacing w:val="-6"/>
        </w:rPr>
        <w:t>三</w:t>
      </w:r>
      <w:r>
        <w:rPr>
          <w:spacing w:val="-6"/>
        </w:rPr>
        <w:t>项条件</w:t>
      </w:r>
      <w:r>
        <w:rPr>
          <w:spacing w:val="-10"/>
        </w:rPr>
        <w:t>：</w:t>
      </w:r>
    </w:p>
    <w:p>
      <w:pPr>
        <w:pStyle w:val="BodyText"/>
        <w:ind w:left="1922"/>
      </w:pPr>
      <w:r>
        <w:rPr>
          <w:spacing w:val="-2"/>
        </w:rPr>
        <w:t>（</w:t>
      </w:r>
      <w:r>
        <w:rPr>
          <w:rFonts w:ascii="Times New Roman" w:eastAsia="Times New Roman"/>
          <w:spacing w:val="-2"/>
        </w:rPr>
        <w:t>1</w:t>
      </w:r>
      <w:r>
        <w:rPr>
          <w:spacing w:val="-2"/>
        </w:rPr>
        <w:t>）</w:t>
      </w:r>
      <w:r>
        <w:rPr>
          <w:spacing w:val="-4"/>
        </w:rPr>
        <w:t>持续性黄疸；</w:t>
      </w:r>
    </w:p>
    <w:p>
      <w:pPr>
        <w:pStyle w:val="BodyText"/>
        <w:ind w:left="1922"/>
      </w:pPr>
      <w:r>
        <w:rPr>
          <w:spacing w:val="-2"/>
        </w:rPr>
        <w:t>（</w:t>
      </w:r>
      <w:r>
        <w:rPr>
          <w:rFonts w:ascii="Times New Roman" w:eastAsia="Times New Roman"/>
          <w:spacing w:val="-2"/>
        </w:rPr>
        <w:t>2</w:t>
      </w:r>
      <w:r>
        <w:rPr>
          <w:spacing w:val="-2"/>
        </w:rPr>
        <w:t>）</w:t>
      </w:r>
      <w:r>
        <w:rPr>
          <w:spacing w:val="-5"/>
        </w:rPr>
        <w:t>腹水；</w:t>
      </w:r>
    </w:p>
    <w:p>
      <w:pPr>
        <w:pStyle w:val="ListParagraph"/>
        <w:numPr>
          <w:ilvl w:val="0"/>
          <w:numId w:val="106"/>
        </w:numPr>
        <w:tabs>
          <w:tab w:pos="2452" w:val="left" w:leader="none"/>
        </w:tabs>
        <w:spacing w:line="240" w:lineRule="auto" w:before="43" w:after="0"/>
        <w:ind w:left="2451" w:right="0" w:hanging="530"/>
        <w:jc w:val="left"/>
        <w:rPr>
          <w:sz w:val="21"/>
        </w:rPr>
      </w:pPr>
      <w:r>
        <w:rPr>
          <w:spacing w:val="-4"/>
          <w:sz w:val="21"/>
        </w:rPr>
        <w:t>肝性脑病；</w:t>
      </w:r>
    </w:p>
    <w:p>
      <w:pPr>
        <w:pStyle w:val="ListParagraph"/>
        <w:numPr>
          <w:ilvl w:val="0"/>
          <w:numId w:val="106"/>
        </w:numPr>
        <w:tabs>
          <w:tab w:pos="2452" w:val="left" w:leader="none"/>
        </w:tabs>
        <w:spacing w:line="240" w:lineRule="auto" w:before="42" w:after="0"/>
        <w:ind w:left="2451" w:right="0" w:hanging="530"/>
        <w:jc w:val="left"/>
        <w:rPr>
          <w:sz w:val="21"/>
        </w:rPr>
      </w:pPr>
      <w:r>
        <w:rPr>
          <w:spacing w:val="-3"/>
          <w:sz w:val="21"/>
        </w:rPr>
        <w:t>充血性脾肿大伴脾功能亢进或食管胃底静脉曲张。</w:t>
      </w:r>
    </w:p>
    <w:p>
      <w:pPr>
        <w:spacing w:before="21"/>
        <w:ind w:left="1922" w:right="0" w:firstLine="0"/>
        <w:jc w:val="left"/>
        <w:rPr>
          <w:rFonts w:ascii="黑体" w:eastAsia="黑体"/>
          <w:sz w:val="24"/>
        </w:rPr>
      </w:pPr>
      <w:r>
        <w:rPr>
          <w:rFonts w:ascii="黑体" w:eastAsia="黑体"/>
          <w:spacing w:val="-1"/>
          <w:sz w:val="24"/>
        </w:rPr>
        <w:t>因酗酒或药物滥用导致的肝衰竭不在保障范围内。</w:t>
      </w:r>
    </w:p>
    <w:p>
      <w:pPr>
        <w:pStyle w:val="BodyText"/>
        <w:spacing w:before="4"/>
        <w:rPr>
          <w:rFonts w:ascii="黑体"/>
          <w:sz w:val="14"/>
        </w:rPr>
      </w:pPr>
    </w:p>
    <w:p>
      <w:pPr>
        <w:pStyle w:val="ListParagraph"/>
        <w:numPr>
          <w:ilvl w:val="1"/>
          <w:numId w:val="20"/>
        </w:numPr>
        <w:tabs>
          <w:tab w:pos="934" w:val="left" w:leader="none"/>
        </w:tabs>
        <w:spacing w:line="240" w:lineRule="auto" w:before="72" w:after="0"/>
        <w:ind w:left="933" w:right="0" w:hanging="539"/>
        <w:jc w:val="left"/>
        <w:rPr>
          <w:rFonts w:ascii="楷体" w:eastAsia="楷体" w:hint="eastAsia"/>
          <w:b/>
          <w:sz w:val="21"/>
        </w:rPr>
      </w:pPr>
      <w:r>
        <w:rPr>
          <w:rFonts w:ascii="楷体" w:eastAsia="楷体" w:hint="eastAsia"/>
          <w:b/>
          <w:spacing w:val="2"/>
          <w:sz w:val="21"/>
        </w:rPr>
        <w:t>急性坏死 </w:t>
      </w:r>
      <w:r>
        <w:rPr>
          <w:spacing w:val="-3"/>
          <w:sz w:val="21"/>
        </w:rPr>
        <w:t>指为治疗急性坏死性胰腺炎，已经实施了腹腔镜手术治疗，以清除坏死组织、切除坏</w:t>
      </w:r>
    </w:p>
    <w:p>
      <w:pPr>
        <w:spacing w:before="43"/>
        <w:ind w:left="395" w:right="0" w:firstLine="0"/>
        <w:jc w:val="left"/>
        <w:rPr>
          <w:sz w:val="21"/>
        </w:rPr>
      </w:pPr>
      <w:r>
        <w:rPr>
          <w:rFonts w:ascii="楷体" w:eastAsia="楷体" w:hint="eastAsia"/>
          <w:b/>
          <w:spacing w:val="19"/>
          <w:sz w:val="21"/>
        </w:rPr>
        <w:t>性胰腺炎腹腔 </w:t>
      </w:r>
      <w:r>
        <w:rPr>
          <w:spacing w:val="-2"/>
          <w:sz w:val="21"/>
        </w:rPr>
        <w:t>死病灶或胰腺。</w:t>
      </w:r>
    </w:p>
    <w:p>
      <w:pPr>
        <w:spacing w:after="0"/>
        <w:jc w:val="left"/>
        <w:rPr>
          <w:sz w:val="21"/>
        </w:rPr>
        <w:sectPr>
          <w:pgSz w:w="11910" w:h="16840"/>
          <w:pgMar w:header="0" w:footer="1120" w:top="136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4"/>
          <w:sz w:val="21"/>
        </w:rPr>
        <w:t>镜手术</w:t>
      </w:r>
    </w:p>
    <w:p>
      <w:pPr>
        <w:spacing w:before="20"/>
        <w:ind w:left="395" w:right="0" w:firstLine="0"/>
        <w:jc w:val="left"/>
        <w:rPr>
          <w:rFonts w:ascii="黑体" w:eastAsia="黑体"/>
          <w:sz w:val="24"/>
        </w:rPr>
      </w:pPr>
      <w:r>
        <w:rPr/>
        <w:br w:type="column"/>
      </w:r>
      <w:r>
        <w:rPr>
          <w:rFonts w:ascii="黑体" w:eastAsia="黑体"/>
          <w:spacing w:val="-1"/>
          <w:sz w:val="24"/>
        </w:rPr>
        <w:t>因酗酒或饮酒过量所致的急性坏死性胰腺炎不在保障范围内。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070" w:space="456"/>
            <w:col w:w="8344"/>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主动脉内</w:t>
      </w:r>
      <w:r>
        <w:rPr>
          <w:rFonts w:ascii="楷体" w:eastAsia="楷体" w:hint="eastAsia"/>
          <w:b/>
          <w:spacing w:val="-6"/>
          <w:sz w:val="21"/>
        </w:rPr>
        <w:t>手术</w:t>
      </w:r>
    </w:p>
    <w:p>
      <w:pPr>
        <w:pStyle w:val="BodyText"/>
        <w:spacing w:before="72"/>
        <w:ind w:left="70"/>
      </w:pPr>
      <w:r>
        <w:rPr/>
        <w:br w:type="column"/>
      </w:r>
      <w:r>
        <w:rPr>
          <w:spacing w:val="-3"/>
        </w:rPr>
        <w:t>指为了治疗主动脉疾病，已经实施了经皮经导管进行的动脉内手术。</w:t>
      </w:r>
    </w:p>
    <w:p>
      <w:pPr>
        <w:pStyle w:val="BodyText"/>
        <w:spacing w:line="278" w:lineRule="auto"/>
        <w:ind w:left="70" w:right="110"/>
      </w:pPr>
      <w:r>
        <w:rPr>
          <w:spacing w:val="-9"/>
        </w:rPr>
        <w:t>主动脉指升主动脉、主动脉弓和降主动脉</w:t>
      </w:r>
      <w:r>
        <w:rPr>
          <w:rFonts w:ascii="Times New Roman" w:eastAsia="Times New Roman"/>
          <w:spacing w:val="-2"/>
        </w:rPr>
        <w:t>(</w:t>
      </w:r>
      <w:r>
        <w:rPr>
          <w:spacing w:val="-2"/>
        </w:rPr>
        <w:t>含胸主动脉和腹主动脉</w:t>
      </w:r>
      <w:r>
        <w:rPr>
          <w:spacing w:val="-85"/>
        </w:rPr>
        <w:t>）</w:t>
      </w:r>
      <w:r>
        <w:rPr>
          <w:spacing w:val="-13"/>
        </w:rPr>
        <w:t>，不包括升主动脉、</w:t>
      </w:r>
      <w:r>
        <w:rPr>
          <w:spacing w:val="-2"/>
        </w:rPr>
        <w:t>主动脉弓和降主动脉的分支血管。</w:t>
      </w:r>
    </w:p>
    <w:p>
      <w:pPr>
        <w:spacing w:after="0" w:line="278" w:lineRule="auto"/>
        <w:sectPr>
          <w:type w:val="continuous"/>
          <w:pgSz w:w="11910" w:h="16840"/>
          <w:pgMar w:header="0" w:footer="1120" w:top="1120" w:bottom="1300" w:left="1020" w:right="1020"/>
          <w:cols w:num="2" w:equalWidth="0">
            <w:col w:w="1813" w:space="40"/>
            <w:col w:w="8017"/>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1" w:after="0"/>
        <w:ind w:left="395" w:right="0" w:firstLine="0"/>
        <w:jc w:val="left"/>
        <w:rPr>
          <w:rFonts w:ascii="楷体" w:eastAsia="楷体" w:hint="eastAsia"/>
          <w:b/>
          <w:sz w:val="21"/>
        </w:rPr>
      </w:pPr>
      <w:r>
        <w:rPr>
          <w:rFonts w:ascii="楷体" w:eastAsia="楷体" w:hint="eastAsia"/>
          <w:b/>
          <w:spacing w:val="-4"/>
          <w:sz w:val="21"/>
        </w:rPr>
        <w:t>轻度特发</w:t>
      </w:r>
      <w:r>
        <w:rPr>
          <w:rFonts w:ascii="楷体" w:eastAsia="楷体" w:hint="eastAsia"/>
          <w:b/>
          <w:spacing w:val="-2"/>
          <w:sz w:val="21"/>
        </w:rPr>
        <w:t>性肺动脉高压</w:t>
      </w:r>
    </w:p>
    <w:p>
      <w:pPr>
        <w:pStyle w:val="BodyText"/>
        <w:spacing w:line="278" w:lineRule="auto" w:before="71"/>
        <w:ind w:left="70" w:right="214"/>
        <w:jc w:val="both"/>
        <w:rPr>
          <w:rFonts w:ascii="Times New Roman" w:hAnsi="Times New Roman" w:eastAsia="Times New Roman"/>
        </w:rPr>
      </w:pPr>
      <w:r>
        <w:rPr/>
        <w:br w:type="column"/>
      </w:r>
      <w:r>
        <w:rPr>
          <w:spacing w:val="-2"/>
        </w:rPr>
        <w:t>指不明原因的肺动脉压力持续性增高，进行性发展而导致的慢性疾病，已经造成永久</w:t>
      </w:r>
      <w:r>
        <w:rPr>
          <w:spacing w:val="28"/>
        </w:rPr>
        <w:t>不可逆性的体力活动能力受限，达到美国纽约心脏病学会</w:t>
      </w:r>
      <w:r>
        <w:rPr/>
        <w:t>（</w:t>
      </w:r>
      <w:r>
        <w:rPr>
          <w:spacing w:val="-27"/>
        </w:rPr>
        <w:t> </w:t>
      </w:r>
      <w:r>
        <w:rPr>
          <w:rFonts w:ascii="Times New Roman" w:hAnsi="Times New Roman" w:eastAsia="Times New Roman"/>
        </w:rPr>
        <w:t>New</w:t>
      </w:r>
      <w:r>
        <w:rPr>
          <w:rFonts w:ascii="Times New Roman" w:hAnsi="Times New Roman" w:eastAsia="Times New Roman"/>
          <w:spacing w:val="3"/>
        </w:rPr>
        <w:t> </w:t>
      </w:r>
      <w:r>
        <w:rPr>
          <w:rFonts w:ascii="Times New Roman" w:hAnsi="Times New Roman" w:eastAsia="Times New Roman"/>
        </w:rPr>
        <w:t>York</w:t>
      </w:r>
      <w:r>
        <w:rPr>
          <w:rFonts w:ascii="Times New Roman" w:hAnsi="Times New Roman" w:eastAsia="Times New Roman"/>
          <w:spacing w:val="40"/>
        </w:rPr>
        <w:t> </w:t>
      </w:r>
      <w:r>
        <w:rPr>
          <w:rFonts w:ascii="Times New Roman" w:hAnsi="Times New Roman" w:eastAsia="Times New Roman"/>
        </w:rPr>
        <w:t>Heart </w:t>
      </w:r>
      <w:r>
        <w:rPr>
          <w:rFonts w:ascii="Times New Roman" w:hAnsi="Times New Roman" w:eastAsia="Times New Roman"/>
          <w:spacing w:val="-2"/>
        </w:rPr>
        <w:t>Association</w:t>
      </w:r>
      <w:r>
        <w:rPr>
          <w:spacing w:val="-2"/>
        </w:rPr>
        <w:t>，</w:t>
      </w:r>
      <w:r>
        <w:rPr>
          <w:rFonts w:ascii="Times New Roman" w:hAnsi="Times New Roman" w:eastAsia="Times New Roman"/>
          <w:spacing w:val="-2"/>
        </w:rPr>
        <w:t>NYHA</w:t>
      </w:r>
      <w:r>
        <w:rPr>
          <w:spacing w:val="-2"/>
        </w:rPr>
        <w:t>）心功能状态分级Ⅲ级，且静息状态下肺动脉平均压在 </w:t>
      </w:r>
      <w:r>
        <w:rPr>
          <w:rFonts w:ascii="Times New Roman" w:hAnsi="Times New Roman" w:eastAsia="Times New Roman"/>
          <w:spacing w:val="-2"/>
        </w:rPr>
        <w:t>25mmHg</w:t>
      </w:r>
    </w:p>
    <w:p>
      <w:pPr>
        <w:pStyle w:val="BodyText"/>
        <w:spacing w:line="269" w:lineRule="exact" w:before="0"/>
        <w:ind w:left="70"/>
        <w:jc w:val="both"/>
      </w:pPr>
      <w:r>
        <w:rPr>
          <w:spacing w:val="-2"/>
        </w:rPr>
        <w:t>（含）</w:t>
      </w:r>
      <w:r>
        <w:rPr>
          <w:spacing w:val="-8"/>
        </w:rPr>
        <w:t>以上，且不超 </w:t>
      </w:r>
      <w:r>
        <w:rPr>
          <w:rFonts w:ascii="Times New Roman" w:eastAsia="Times New Roman"/>
          <w:spacing w:val="-2"/>
        </w:rPr>
        <w:t>36mmHg</w:t>
      </w:r>
      <w:r>
        <w:rPr>
          <w:spacing w:val="-10"/>
        </w:rPr>
        <w:t>。</w:t>
      </w:r>
    </w:p>
    <w:p>
      <w:pPr>
        <w:spacing w:after="0" w:line="269" w:lineRule="exact"/>
        <w:jc w:val="both"/>
        <w:sectPr>
          <w:type w:val="continuous"/>
          <w:pgSz w:w="11910" w:h="16840"/>
          <w:pgMar w:header="0" w:footer="1120" w:top="1120" w:bottom="1300" w:left="1020" w:right="1020"/>
          <w:cols w:num="2" w:equalWidth="0">
            <w:col w:w="1813" w:space="40"/>
            <w:col w:w="8017"/>
          </w:cols>
        </w:sectPr>
      </w:pPr>
    </w:p>
    <w:p>
      <w:pPr>
        <w:pStyle w:val="BodyText"/>
        <w:spacing w:before="8"/>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1" w:after="0"/>
        <w:ind w:left="395" w:right="0" w:firstLine="0"/>
        <w:jc w:val="left"/>
        <w:rPr>
          <w:rFonts w:ascii="楷体" w:eastAsia="楷体" w:hint="eastAsia"/>
          <w:b/>
          <w:sz w:val="21"/>
        </w:rPr>
      </w:pPr>
      <w:r>
        <w:rPr>
          <w:rFonts w:ascii="楷体" w:eastAsia="楷体" w:hint="eastAsia"/>
          <w:b/>
          <w:spacing w:val="-4"/>
          <w:sz w:val="21"/>
        </w:rPr>
        <w:t>植入大脑</w:t>
      </w:r>
      <w:r>
        <w:rPr>
          <w:rFonts w:ascii="楷体" w:eastAsia="楷体" w:hint="eastAsia"/>
          <w:b/>
          <w:spacing w:val="-4"/>
          <w:sz w:val="21"/>
        </w:rPr>
        <w:t>内分流器</w:t>
      </w:r>
    </w:p>
    <w:p>
      <w:pPr>
        <w:pStyle w:val="BodyText"/>
        <w:spacing w:line="278" w:lineRule="auto" w:before="71"/>
        <w:ind w:left="70" w:right="214"/>
      </w:pPr>
      <w:r>
        <w:rPr/>
        <w:br w:type="column"/>
      </w:r>
      <w:r>
        <w:rPr>
          <w:spacing w:val="-2"/>
        </w:rPr>
        <w:t>为指为缓解已升高的脑脊液压力，已经实施了在脑室进行分流器植入手术。并经相关</w:t>
      </w:r>
      <w:r>
        <w:rPr>
          <w:spacing w:val="-2"/>
        </w:rPr>
        <w:t>专科医生确诊是在医疗必须的情况下进行的。</w:t>
      </w:r>
    </w:p>
    <w:p>
      <w:pPr>
        <w:spacing w:after="0" w:line="278" w:lineRule="auto"/>
        <w:sectPr>
          <w:type w:val="continuous"/>
          <w:pgSz w:w="11910" w:h="16840"/>
          <w:pgMar w:header="0" w:footer="1120" w:top="1120" w:bottom="1300" w:left="1020" w:right="1020"/>
          <w:cols w:num="2" w:equalWidth="0">
            <w:col w:w="1813" w:space="40"/>
            <w:col w:w="8017"/>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心包膜切</w:t>
      </w:r>
      <w:r>
        <w:rPr>
          <w:rFonts w:ascii="楷体" w:eastAsia="楷体" w:hint="eastAsia"/>
          <w:b/>
          <w:spacing w:val="-6"/>
          <w:sz w:val="21"/>
        </w:rPr>
        <w:t>除术</w:t>
      </w:r>
    </w:p>
    <w:p>
      <w:pPr>
        <w:pStyle w:val="BodyText"/>
        <w:spacing w:line="278" w:lineRule="auto" w:before="72"/>
        <w:ind w:left="70" w:right="216"/>
        <w:jc w:val="both"/>
      </w:pPr>
      <w:r>
        <w:rPr/>
        <w:br w:type="column"/>
      </w:r>
      <w:r>
        <w:rPr>
          <w:spacing w:val="-2"/>
        </w:rPr>
        <w:t>指为治疗心包膜疾病，已经实施了心包膜切除术，但未达到本合同所定义的重大疾病 </w:t>
      </w:r>
      <w:r>
        <w:rPr>
          <w:spacing w:val="-6"/>
        </w:rPr>
        <w:t>“严重慢性缩窄性心包炎（见释义 </w:t>
      </w:r>
      <w:r>
        <w:rPr>
          <w:rFonts w:ascii="Times New Roman" w:hAnsi="Times New Roman" w:eastAsia="Times New Roman"/>
          <w:spacing w:val="5"/>
        </w:rPr>
        <w:t>1</w:t>
      </w:r>
      <w:r>
        <w:rPr>
          <w:rFonts w:ascii="Times New Roman" w:hAnsi="Times New Roman" w:eastAsia="Times New Roman"/>
          <w:spacing w:val="10"/>
        </w:rPr>
        <w:t>1</w:t>
      </w:r>
      <w:r>
        <w:rPr>
          <w:rFonts w:ascii="Times New Roman" w:hAnsi="Times New Roman" w:eastAsia="Times New Roman"/>
          <w:spacing w:val="13"/>
        </w:rPr>
        <w:t>.6</w:t>
      </w:r>
      <w:r>
        <w:rPr>
          <w:rFonts w:ascii="Times New Roman" w:hAnsi="Times New Roman" w:eastAsia="Times New Roman"/>
          <w:spacing w:val="12"/>
        </w:rPr>
        <w:t>0</w:t>
      </w:r>
      <w:r>
        <w:rPr>
          <w:spacing w:val="-93"/>
        </w:rPr>
        <w:t>）</w:t>
      </w:r>
      <w:r>
        <w:rPr>
          <w:spacing w:val="-6"/>
        </w:rPr>
        <w:t>”的给付标准。并经相关专科医生确诊该手</w:t>
      </w:r>
      <w:r>
        <w:rPr>
          <w:spacing w:val="-2"/>
        </w:rPr>
        <w:t>术是医疗必需的情况下进行。</w:t>
      </w:r>
    </w:p>
    <w:p>
      <w:pPr>
        <w:spacing w:after="0" w:line="278" w:lineRule="auto"/>
        <w:jc w:val="both"/>
        <w:sectPr>
          <w:type w:val="continuous"/>
          <w:pgSz w:w="11910" w:h="16840"/>
          <w:pgMar w:header="0" w:footer="1120" w:top="1120" w:bottom="1300" w:left="1020" w:right="1020"/>
          <w:cols w:num="2" w:equalWidth="0">
            <w:col w:w="1813" w:space="40"/>
            <w:col w:w="8017"/>
          </w:cols>
        </w:sectPr>
      </w:pPr>
    </w:p>
    <w:p>
      <w:pPr>
        <w:pStyle w:val="BodyText"/>
        <w:spacing w:before="8"/>
        <w:rPr>
          <w:sz w:val="11"/>
        </w:rPr>
      </w:pPr>
    </w:p>
    <w:p>
      <w:pPr>
        <w:spacing w:after="0"/>
        <w:rPr>
          <w:sz w:val="11"/>
        </w:rPr>
        <w:sectPr>
          <w:type w:val="continuous"/>
          <w:pgSz w:w="11910" w:h="16840"/>
          <w:pgMar w:header="0" w:footer="1120" w:top="1120" w:bottom="1300" w:left="1020" w:right="1020"/>
        </w:sectPr>
      </w:pPr>
    </w:p>
    <w:p>
      <w:pPr>
        <w:pStyle w:val="ListParagraph"/>
        <w:numPr>
          <w:ilvl w:val="1"/>
          <w:numId w:val="20"/>
        </w:numPr>
        <w:tabs>
          <w:tab w:pos="968" w:val="left" w:leader="none"/>
        </w:tabs>
        <w:spacing w:line="240" w:lineRule="auto" w:before="79" w:after="0"/>
        <w:ind w:left="967" w:right="0" w:hanging="573"/>
        <w:jc w:val="left"/>
        <w:rPr>
          <w:rFonts w:ascii="楷体" w:eastAsia="楷体" w:hint="eastAsia"/>
          <w:b/>
          <w:sz w:val="21"/>
        </w:rPr>
      </w:pPr>
      <w:r>
        <w:rPr>
          <w:rFonts w:ascii="楷体" w:eastAsia="楷体" w:hint="eastAsia"/>
          <w:b/>
          <w:spacing w:val="-3"/>
          <w:sz w:val="21"/>
        </w:rPr>
        <w:t>于颈动脉</w:t>
      </w:r>
    </w:p>
    <w:p>
      <w:pPr>
        <w:pStyle w:val="BodyText"/>
        <w:spacing w:before="79"/>
        <w:ind w:left="70"/>
      </w:pPr>
      <w:r>
        <w:rPr/>
        <w:br w:type="column"/>
      </w:r>
      <w:r>
        <w:rPr>
          <w:spacing w:val="-2"/>
        </w:rPr>
        <w:t>指一条或以上颈动脉存在严重狭窄性病变（</w:t>
      </w:r>
      <w:r>
        <w:rPr>
          <w:spacing w:val="-4"/>
        </w:rPr>
        <w:t>至少一支血管管腔直径减少 </w:t>
      </w:r>
      <w:r>
        <w:rPr>
          <w:rFonts w:ascii="Times New Roman" w:eastAsia="Times New Roman"/>
          <w:spacing w:val="-2"/>
        </w:rPr>
        <w:t>50</w:t>
      </w:r>
      <w:r>
        <w:rPr>
          <w:spacing w:val="-2"/>
        </w:rPr>
        <w:t>％以上</w:t>
      </w:r>
      <w:r>
        <w:rPr>
          <w:spacing w:val="-113"/>
        </w:rPr>
        <w:t>）</w:t>
      </w:r>
      <w:r>
        <w:rPr>
          <w:spacing w:val="-5"/>
        </w:rPr>
        <w:t>，</w:t>
      </w:r>
    </w:p>
    <w:p>
      <w:pPr>
        <w:spacing w:after="0"/>
        <w:sectPr>
          <w:type w:val="continuous"/>
          <w:pgSz w:w="11910" w:h="16840"/>
          <w:pgMar w:header="0" w:footer="1120" w:top="1120" w:bottom="1300" w:left="1020" w:right="1020"/>
          <w:cols w:num="2" w:equalWidth="0">
            <w:col w:w="1813" w:space="40"/>
            <w:col w:w="8017"/>
          </w:cols>
        </w:sectPr>
      </w:pPr>
    </w:p>
    <w:p>
      <w:pPr>
        <w:pStyle w:val="BodyText"/>
        <w:ind w:left="395"/>
      </w:pPr>
      <w:r>
        <w:rPr>
          <w:rFonts w:ascii="楷体" w:eastAsia="楷体" w:hint="eastAsia"/>
          <w:b/>
          <w:spacing w:val="6"/>
        </w:rPr>
        <w:t>进行血管成形 </w:t>
      </w:r>
      <w:r>
        <w:rPr>
          <w:spacing w:val="-1"/>
        </w:rPr>
        <w:t>须由颈动脉造影等影像学检查证实，并经相关专科医生确诊，为减轻症状，已经实施</w:t>
      </w:r>
    </w:p>
    <w:p>
      <w:pPr>
        <w:spacing w:before="42"/>
        <w:ind w:left="395" w:right="0" w:firstLine="0"/>
        <w:jc w:val="left"/>
        <w:rPr>
          <w:sz w:val="21"/>
        </w:rPr>
      </w:pPr>
      <w:r>
        <w:rPr>
          <w:rFonts w:ascii="楷体" w:eastAsia="楷体" w:hint="eastAsia"/>
          <w:b/>
          <w:spacing w:val="19"/>
          <w:sz w:val="21"/>
        </w:rPr>
        <w:t>术或内膜切除 </w:t>
      </w:r>
      <w:r>
        <w:rPr>
          <w:spacing w:val="-2"/>
          <w:sz w:val="21"/>
        </w:rPr>
        <w:t>了以下手术：</w:t>
      </w:r>
    </w:p>
    <w:p>
      <w:pPr>
        <w:pStyle w:val="BodyText"/>
        <w:tabs>
          <w:tab w:pos="1922" w:val="left" w:leader="none"/>
        </w:tabs>
        <w:ind w:left="395"/>
      </w:pPr>
      <w:r>
        <w:rPr>
          <w:rFonts w:ascii="楷体" w:eastAsia="楷体" w:hint="eastAsia"/>
          <w:b/>
          <w:spacing w:val="-10"/>
        </w:rPr>
        <w:t>术</w:t>
      </w:r>
      <w:r>
        <w:rPr>
          <w:rFonts w:ascii="楷体" w:eastAsia="楷体" w:hint="eastAsia"/>
          <w:b/>
        </w:rPr>
        <w:tab/>
      </w:r>
      <w:r>
        <w:rPr>
          <w:spacing w:val="-2"/>
        </w:rPr>
        <w:t>（</w:t>
      </w:r>
      <w:r>
        <w:rPr>
          <w:rFonts w:ascii="Times New Roman" w:eastAsia="Times New Roman"/>
          <w:spacing w:val="-2"/>
        </w:rPr>
        <w:t>1</w:t>
      </w:r>
      <w:r>
        <w:rPr>
          <w:spacing w:val="-2"/>
        </w:rPr>
        <w:t>）已经实施了动脉</w:t>
      </w:r>
      <w:r>
        <w:rPr>
          <w:spacing w:val="-2"/>
        </w:rPr>
        <w:t>内</w:t>
      </w:r>
      <w:r>
        <w:rPr>
          <w:spacing w:val="-2"/>
        </w:rPr>
        <w:t>膜</w:t>
      </w:r>
      <w:r>
        <w:rPr>
          <w:spacing w:val="-2"/>
        </w:rPr>
        <w:t>切</w:t>
      </w:r>
      <w:r>
        <w:rPr>
          <w:spacing w:val="-2"/>
        </w:rPr>
        <w:t>除</w:t>
      </w:r>
      <w:r>
        <w:rPr>
          <w:spacing w:val="-2"/>
        </w:rPr>
        <w:t>术；</w:t>
      </w:r>
      <w:r>
        <w:rPr>
          <w:spacing w:val="-10"/>
        </w:rPr>
        <w:t>或</w:t>
      </w:r>
    </w:p>
    <w:p>
      <w:pPr>
        <w:pStyle w:val="BodyText"/>
        <w:spacing w:line="278" w:lineRule="auto"/>
        <w:ind w:left="1922" w:right="216"/>
      </w:pPr>
      <w:r>
        <w:rPr>
          <w:spacing w:val="-2"/>
        </w:rPr>
        <w:t>（</w:t>
      </w:r>
      <w:r>
        <w:rPr>
          <w:rFonts w:ascii="Times New Roman" w:eastAsia="Times New Roman"/>
          <w:spacing w:val="-2"/>
        </w:rPr>
        <w:t>2</w:t>
      </w:r>
      <w:r>
        <w:rPr>
          <w:spacing w:val="-2"/>
        </w:rPr>
        <w:t>）已经实施了血管介入治疗，如：血管成形术及／或支架植入术或动脉粥样瘤清</w:t>
      </w:r>
      <w:r>
        <w:rPr>
          <w:spacing w:val="-4"/>
        </w:rPr>
        <w:t>除手术。</w:t>
      </w: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腔静脉过</w:t>
      </w:r>
      <w:r>
        <w:rPr>
          <w:rFonts w:ascii="楷体" w:eastAsia="楷体" w:hint="eastAsia"/>
          <w:b/>
          <w:spacing w:val="-2"/>
          <w:sz w:val="21"/>
        </w:rPr>
        <w:t>滤器植入术</w:t>
      </w:r>
    </w:p>
    <w:p>
      <w:pPr>
        <w:pStyle w:val="BodyText"/>
        <w:spacing w:line="278" w:lineRule="auto" w:before="72"/>
        <w:ind w:left="70" w:right="214"/>
      </w:pPr>
      <w:r>
        <w:rPr/>
        <w:br w:type="column"/>
      </w:r>
      <w:r>
        <w:rPr>
          <w:spacing w:val="-2"/>
        </w:rPr>
        <w:t>指有反复肺栓塞发作及抗凝治疗无效，已经实施了植入腔静脉过滤器手术。并经相关</w:t>
      </w:r>
      <w:r>
        <w:rPr>
          <w:spacing w:val="-2"/>
        </w:rPr>
        <w:t>专科医生确诊该手术是医疗必需的情况下进行。</w:t>
      </w:r>
    </w:p>
    <w:p>
      <w:pPr>
        <w:spacing w:after="0" w:line="278" w:lineRule="auto"/>
        <w:sectPr>
          <w:type w:val="continuous"/>
          <w:pgSz w:w="11910" w:h="16840"/>
          <w:pgMar w:header="0" w:footer="1120" w:top="1120" w:bottom="1300" w:left="1020" w:right="1020"/>
          <w:cols w:num="2" w:equalWidth="0">
            <w:col w:w="1813" w:space="40"/>
            <w:col w:w="8017"/>
          </w:cols>
        </w:sectPr>
      </w:pPr>
    </w:p>
    <w:p>
      <w:pPr>
        <w:pStyle w:val="BodyText"/>
        <w:spacing w:before="2"/>
        <w:rPr>
          <w:sz w:val="12"/>
        </w:rPr>
      </w:pPr>
    </w:p>
    <w:p>
      <w:pPr>
        <w:pStyle w:val="ListParagraph"/>
        <w:numPr>
          <w:ilvl w:val="1"/>
          <w:numId w:val="20"/>
        </w:numPr>
        <w:tabs>
          <w:tab w:pos="968" w:val="left" w:leader="none"/>
        </w:tabs>
        <w:spacing w:line="240" w:lineRule="auto" w:before="72" w:after="0"/>
        <w:ind w:left="967" w:right="0" w:hanging="573"/>
        <w:jc w:val="left"/>
        <w:rPr>
          <w:rFonts w:ascii="楷体" w:eastAsia="楷体" w:hint="eastAsia"/>
          <w:b/>
          <w:sz w:val="21"/>
        </w:rPr>
      </w:pPr>
      <w:r>
        <w:rPr>
          <w:rFonts w:ascii="楷体" w:eastAsia="楷体" w:hint="eastAsia"/>
          <w:b/>
          <w:spacing w:val="-4"/>
          <w:sz w:val="21"/>
        </w:rPr>
        <w:t>心脏起搏 </w:t>
      </w:r>
      <w:r>
        <w:rPr>
          <w:spacing w:val="-3"/>
          <w:sz w:val="21"/>
        </w:rPr>
        <w:t>指因严重心律失常，已经实施了植入永久性人工心脏起搏器或除顫器的手术。须经相</w:t>
      </w:r>
    </w:p>
    <w:p>
      <w:pPr>
        <w:spacing w:before="43"/>
        <w:ind w:left="395" w:right="0" w:firstLine="0"/>
        <w:jc w:val="left"/>
        <w:rPr>
          <w:sz w:val="21"/>
        </w:rPr>
      </w:pPr>
      <w:r>
        <w:rPr>
          <w:rFonts w:ascii="楷体" w:eastAsia="楷体" w:hint="eastAsia"/>
          <w:b/>
          <w:spacing w:val="16"/>
          <w:sz w:val="21"/>
        </w:rPr>
        <w:t>器或除颤器植 </w:t>
      </w:r>
      <w:r>
        <w:rPr>
          <w:spacing w:val="-1"/>
          <w:sz w:val="21"/>
        </w:rPr>
        <w:t>关专科医生确诊是在医疗必须的情况下进行的。</w:t>
      </w:r>
    </w:p>
    <w:p>
      <w:pPr>
        <w:pStyle w:val="BodyText"/>
        <w:tabs>
          <w:tab w:pos="1922" w:val="left" w:leader="none"/>
        </w:tabs>
        <w:spacing w:line="278" w:lineRule="auto"/>
        <w:ind w:left="1922" w:right="215" w:hanging="1527"/>
      </w:pPr>
      <w:r>
        <w:rPr>
          <w:rFonts w:ascii="楷体" w:eastAsia="楷体" w:hint="eastAsia"/>
          <w:b/>
          <w:w w:val="100"/>
        </w:rPr>
        <w:t>入</w:t>
      </w:r>
      <w:r>
        <w:rPr>
          <w:rFonts w:ascii="楷体" w:eastAsia="楷体" w:hint="eastAsia"/>
          <w:b/>
        </w:rPr>
        <w:tab/>
      </w:r>
      <w:r>
        <w:rPr>
          <w:spacing w:val="4"/>
          <w:w w:val="100"/>
        </w:rPr>
        <w:t>理</w:t>
      </w:r>
      <w:r>
        <w:rPr>
          <w:spacing w:val="2"/>
          <w:w w:val="100"/>
        </w:rPr>
        <w:t>赔</w:t>
      </w:r>
      <w:r>
        <w:rPr>
          <w:spacing w:val="4"/>
          <w:w w:val="100"/>
        </w:rPr>
        <w:t>时</w:t>
      </w:r>
      <w:r>
        <w:rPr>
          <w:spacing w:val="2"/>
          <w:w w:val="100"/>
        </w:rPr>
        <w:t>须</w:t>
      </w:r>
      <w:r>
        <w:rPr>
          <w:spacing w:val="4"/>
          <w:w w:val="100"/>
        </w:rPr>
        <w:t>提</w:t>
      </w:r>
      <w:r>
        <w:rPr>
          <w:spacing w:val="2"/>
          <w:w w:val="100"/>
        </w:rPr>
        <w:t>供完</w:t>
      </w:r>
      <w:r>
        <w:rPr>
          <w:spacing w:val="4"/>
          <w:w w:val="100"/>
        </w:rPr>
        <w:t>整</w:t>
      </w:r>
      <w:r>
        <w:rPr>
          <w:spacing w:val="2"/>
          <w:w w:val="100"/>
        </w:rPr>
        <w:t>病</w:t>
      </w:r>
      <w:r>
        <w:rPr>
          <w:spacing w:val="4"/>
          <w:w w:val="100"/>
        </w:rPr>
        <w:t>历</w:t>
      </w:r>
      <w:r>
        <w:rPr>
          <w:spacing w:val="2"/>
          <w:w w:val="100"/>
        </w:rPr>
        <w:t>资</w:t>
      </w:r>
      <w:r>
        <w:rPr>
          <w:spacing w:val="4"/>
          <w:w w:val="100"/>
        </w:rPr>
        <w:t>料</w:t>
      </w:r>
      <w:r>
        <w:rPr>
          <w:spacing w:val="2"/>
          <w:w w:val="100"/>
        </w:rPr>
        <w:t>及</w:t>
      </w:r>
      <w:r>
        <w:rPr>
          <w:spacing w:val="4"/>
          <w:w w:val="100"/>
        </w:rPr>
        <w:t>手</w:t>
      </w:r>
      <w:r>
        <w:rPr>
          <w:spacing w:val="2"/>
          <w:w w:val="100"/>
        </w:rPr>
        <w:t>术</w:t>
      </w:r>
      <w:r>
        <w:rPr>
          <w:spacing w:val="4"/>
          <w:w w:val="100"/>
        </w:rPr>
        <w:t>记</w:t>
      </w:r>
      <w:r>
        <w:rPr>
          <w:spacing w:val="2"/>
          <w:w w:val="100"/>
        </w:rPr>
        <w:t>录以</w:t>
      </w:r>
      <w:r>
        <w:rPr>
          <w:spacing w:val="4"/>
          <w:w w:val="100"/>
        </w:rPr>
        <w:t>证</w:t>
      </w:r>
      <w:r>
        <w:rPr>
          <w:spacing w:val="2"/>
          <w:w w:val="100"/>
        </w:rPr>
        <w:t>实</w:t>
      </w:r>
      <w:r>
        <w:rPr>
          <w:spacing w:val="4"/>
          <w:w w:val="100"/>
        </w:rPr>
        <w:t>此</w:t>
      </w:r>
      <w:r>
        <w:rPr>
          <w:spacing w:val="2"/>
          <w:w w:val="100"/>
        </w:rPr>
        <w:t>严</w:t>
      </w:r>
      <w:r>
        <w:rPr>
          <w:spacing w:val="4"/>
          <w:w w:val="100"/>
        </w:rPr>
        <w:t>重</w:t>
      </w:r>
      <w:r>
        <w:rPr>
          <w:spacing w:val="2"/>
          <w:w w:val="100"/>
        </w:rPr>
        <w:t>心</w:t>
      </w:r>
      <w:r>
        <w:rPr>
          <w:spacing w:val="4"/>
          <w:w w:val="100"/>
        </w:rPr>
        <w:t>律</w:t>
      </w:r>
      <w:r>
        <w:rPr>
          <w:spacing w:val="2"/>
          <w:w w:val="100"/>
        </w:rPr>
        <w:t>失</w:t>
      </w:r>
      <w:r>
        <w:rPr>
          <w:spacing w:val="4"/>
          <w:w w:val="100"/>
        </w:rPr>
        <w:t>常</w:t>
      </w:r>
      <w:r>
        <w:rPr>
          <w:spacing w:val="2"/>
          <w:w w:val="100"/>
        </w:rPr>
        <w:t>并不</w:t>
      </w:r>
      <w:r>
        <w:rPr>
          <w:spacing w:val="4"/>
          <w:w w:val="100"/>
        </w:rPr>
        <w:t>能</w:t>
      </w:r>
      <w:r>
        <w:rPr>
          <w:spacing w:val="2"/>
          <w:w w:val="100"/>
        </w:rPr>
        <w:t>以</w:t>
      </w:r>
      <w:r>
        <w:rPr>
          <w:spacing w:val="4"/>
          <w:w w:val="100"/>
        </w:rPr>
        <w:t>其</w:t>
      </w:r>
      <w:r>
        <w:rPr>
          <w:spacing w:val="2"/>
          <w:w w:val="100"/>
        </w:rPr>
        <w:t>他</w:t>
      </w:r>
      <w:r>
        <w:rPr>
          <w:spacing w:val="4"/>
          <w:w w:val="100"/>
        </w:rPr>
        <w:t>方</w:t>
      </w:r>
      <w:r>
        <w:rPr>
          <w:spacing w:val="2"/>
          <w:w w:val="100"/>
        </w:rPr>
        <w:t>法治</w:t>
      </w:r>
      <w:r>
        <w:rPr>
          <w:w w:val="100"/>
        </w:rPr>
        <w:t>疗。</w:t>
      </w: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早期原发</w:t>
      </w:r>
      <w:r>
        <w:rPr>
          <w:rFonts w:ascii="楷体" w:eastAsia="楷体" w:hint="eastAsia"/>
          <w:b/>
          <w:spacing w:val="-4"/>
          <w:sz w:val="21"/>
        </w:rPr>
        <w:t>性心肌病</w:t>
      </w:r>
    </w:p>
    <w:p>
      <w:pPr>
        <w:pStyle w:val="BodyText"/>
        <w:spacing w:line="278" w:lineRule="auto" w:before="72"/>
        <w:ind w:left="70" w:right="216"/>
      </w:pPr>
      <w:r>
        <w:rPr/>
        <w:br w:type="column"/>
      </w:r>
      <w:r>
        <w:rPr>
          <w:spacing w:val="-2"/>
        </w:rPr>
        <w:t>是一种原发性心肌病（包括扩张型心肌病、肥厚型心肌病及限制型心肌病</w:t>
      </w:r>
      <w:r>
        <w:rPr>
          <w:spacing w:val="-106"/>
        </w:rPr>
        <w:t>）</w:t>
      </w:r>
      <w:r>
        <w:rPr>
          <w:spacing w:val="-2"/>
        </w:rPr>
        <w:t>，须由心</w:t>
      </w:r>
      <w:r>
        <w:rPr>
          <w:spacing w:val="-2"/>
        </w:rPr>
        <w:t>脏超声检查证实，且须满足下列全部条件：</w:t>
      </w:r>
    </w:p>
    <w:p>
      <w:pPr>
        <w:pStyle w:val="BodyText"/>
        <w:spacing w:line="278" w:lineRule="auto" w:before="0"/>
        <w:ind w:left="70"/>
      </w:pPr>
      <w:r>
        <w:rPr/>
        <w:t>（</w:t>
      </w:r>
      <w:r>
        <w:rPr>
          <w:rFonts w:ascii="Times New Roman" w:eastAsia="Times New Roman"/>
        </w:rPr>
        <w:t>1</w:t>
      </w:r>
      <w:r>
        <w:rPr/>
        <w:t>）导致心室功能受损，其受损程度达到美国纽约心脏病学会（</w:t>
      </w:r>
      <w:r>
        <w:rPr>
          <w:rFonts w:ascii="Times New Roman" w:eastAsia="Times New Roman"/>
        </w:rPr>
        <w:t>New</w:t>
      </w:r>
      <w:r>
        <w:rPr>
          <w:rFonts w:ascii="Times New Roman" w:eastAsia="Times New Roman"/>
          <w:spacing w:val="40"/>
        </w:rPr>
        <w:t> </w:t>
      </w:r>
      <w:r>
        <w:rPr>
          <w:rFonts w:ascii="Times New Roman" w:eastAsia="Times New Roman"/>
        </w:rPr>
        <w:t>York</w:t>
      </w:r>
      <w:r>
        <w:rPr>
          <w:rFonts w:ascii="Times New Roman" w:eastAsia="Times New Roman"/>
          <w:spacing w:val="40"/>
        </w:rPr>
        <w:t> </w:t>
      </w:r>
      <w:r>
        <w:rPr>
          <w:rFonts w:ascii="Times New Roman" w:eastAsia="Times New Roman"/>
        </w:rPr>
        <w:t>Heart</w:t>
      </w:r>
      <w:r>
        <w:rPr>
          <w:rFonts w:ascii="Times New Roman" w:eastAsia="Times New Roman"/>
          <w:spacing w:val="40"/>
        </w:rPr>
        <w:t> </w:t>
      </w:r>
      <w:r>
        <w:rPr>
          <w:rFonts w:ascii="Times New Roman" w:eastAsia="Times New Roman"/>
          <w:spacing w:val="-2"/>
        </w:rPr>
        <w:t>Association,</w:t>
      </w:r>
      <w:r>
        <w:rPr>
          <w:rFonts w:ascii="Times New Roman" w:eastAsia="Times New Roman"/>
          <w:spacing w:val="-12"/>
        </w:rPr>
        <w:t> </w:t>
      </w:r>
      <w:r>
        <w:rPr>
          <w:rFonts w:ascii="Times New Roman" w:eastAsia="Times New Roman"/>
          <w:spacing w:val="-2"/>
        </w:rPr>
        <w:t>NYHA</w:t>
      </w:r>
      <w:r>
        <w:rPr>
          <w:spacing w:val="-2"/>
        </w:rPr>
        <w:t>）</w:t>
      </w:r>
      <w:r>
        <w:rPr>
          <w:spacing w:val="-8"/>
        </w:rPr>
        <w:t>心功能状态分级 </w:t>
      </w:r>
      <w:r>
        <w:rPr>
          <w:rFonts w:ascii="Times New Roman" w:eastAsia="Times New Roman"/>
          <w:spacing w:val="-2"/>
        </w:rPr>
        <w:t>III </w:t>
      </w:r>
      <w:r>
        <w:rPr>
          <w:spacing w:val="-2"/>
        </w:rPr>
        <w:t>级，即：体力活动明显受限，休息时无症状，</w:t>
      </w:r>
    </w:p>
    <w:p>
      <w:pPr>
        <w:spacing w:after="0" w:line="278" w:lineRule="auto"/>
        <w:sectPr>
          <w:type w:val="continuous"/>
          <w:pgSz w:w="11910" w:h="16840"/>
          <w:pgMar w:header="0" w:footer="1120" w:top="1120" w:bottom="1300" w:left="1020" w:right="1020"/>
          <w:cols w:num="2" w:equalWidth="0">
            <w:col w:w="1813" w:space="40"/>
            <w:col w:w="8017"/>
          </w:cols>
        </w:sectPr>
      </w:pPr>
    </w:p>
    <w:p>
      <w:pPr>
        <w:pStyle w:val="BodyText"/>
        <w:spacing w:before="60"/>
        <w:ind w:left="1922"/>
      </w:pPr>
      <w:r>
        <w:rPr>
          <w:spacing w:val="-3"/>
        </w:rPr>
        <w:t>轻于日常的活动即可引起充血性心力衰竭的症状；</w:t>
      </w:r>
    </w:p>
    <w:p>
      <w:pPr>
        <w:pStyle w:val="BodyText"/>
        <w:ind w:left="1922"/>
      </w:pPr>
      <w:r>
        <w:rPr>
          <w:spacing w:val="-2"/>
        </w:rPr>
        <w:t>（</w:t>
      </w:r>
      <w:r>
        <w:rPr>
          <w:rFonts w:ascii="Times New Roman" w:eastAsia="Times New Roman"/>
          <w:spacing w:val="-2"/>
        </w:rPr>
        <w:t>2</w:t>
      </w:r>
      <w:r>
        <w:rPr>
          <w:spacing w:val="-2"/>
        </w:rPr>
        <w:t>）</w:t>
      </w:r>
      <w:r>
        <w:rPr>
          <w:spacing w:val="-3"/>
        </w:rPr>
        <w:t>左室射血分数 </w:t>
      </w:r>
      <w:r>
        <w:rPr>
          <w:rFonts w:ascii="Times New Roman" w:eastAsia="Times New Roman"/>
          <w:spacing w:val="-2"/>
        </w:rPr>
        <w:t>LVEF</w:t>
      </w:r>
      <w:r>
        <w:rPr>
          <w:rFonts w:ascii="Times New Roman" w:eastAsia="Times New Roman"/>
          <w:spacing w:val="-5"/>
        </w:rPr>
        <w:t> </w:t>
      </w:r>
      <w:r>
        <w:rPr>
          <w:rFonts w:ascii="Times New Roman" w:eastAsia="Times New Roman"/>
          <w:spacing w:val="-2"/>
        </w:rPr>
        <w:t>&lt;35%</w:t>
      </w:r>
      <w:r>
        <w:rPr>
          <w:spacing w:val="-10"/>
        </w:rPr>
        <w:t>。</w:t>
      </w:r>
    </w:p>
    <w:p>
      <w:pPr>
        <w:spacing w:before="20"/>
        <w:ind w:left="1922" w:right="0" w:firstLine="0"/>
        <w:jc w:val="left"/>
        <w:rPr>
          <w:rFonts w:ascii="黑体" w:eastAsia="黑体"/>
          <w:sz w:val="24"/>
        </w:rPr>
      </w:pPr>
      <w:r>
        <w:rPr>
          <w:rFonts w:ascii="黑体" w:eastAsia="黑体"/>
          <w:spacing w:val="-1"/>
          <w:sz w:val="24"/>
        </w:rPr>
        <w:t>继发于酒精滥用性的心肌病不在此保障范围之内。</w:t>
      </w:r>
    </w:p>
    <w:p>
      <w:pPr>
        <w:pStyle w:val="BodyText"/>
        <w:spacing w:before="4"/>
        <w:rPr>
          <w:rFonts w:ascii="黑体"/>
          <w:sz w:val="14"/>
        </w:rPr>
      </w:pPr>
    </w:p>
    <w:p>
      <w:pPr>
        <w:pStyle w:val="ListParagraph"/>
        <w:numPr>
          <w:ilvl w:val="1"/>
          <w:numId w:val="20"/>
        </w:numPr>
        <w:tabs>
          <w:tab w:pos="968" w:val="left" w:leader="none"/>
        </w:tabs>
        <w:spacing w:line="240" w:lineRule="auto" w:before="72" w:after="0"/>
        <w:ind w:left="967" w:right="0" w:hanging="573"/>
        <w:jc w:val="left"/>
        <w:rPr>
          <w:rFonts w:ascii="楷体" w:eastAsia="楷体" w:hint="eastAsia"/>
          <w:b/>
          <w:sz w:val="21"/>
        </w:rPr>
      </w:pPr>
      <w:r>
        <w:rPr>
          <w:rFonts w:ascii="楷体" w:eastAsia="楷体" w:hint="eastAsia"/>
          <w:b/>
          <w:spacing w:val="5"/>
          <w:sz w:val="21"/>
        </w:rPr>
        <w:t>微创冠状 </w:t>
      </w:r>
      <w:r>
        <w:rPr>
          <w:spacing w:val="-3"/>
          <w:sz w:val="21"/>
        </w:rPr>
        <w:t>指为了治疗明显的冠状动脉狭窄性疾病，首次已经实施了冠状动脉球囊扩张成形术、</w:t>
      </w:r>
    </w:p>
    <w:p>
      <w:pPr>
        <w:pStyle w:val="BodyText"/>
        <w:ind w:left="395"/>
      </w:pPr>
      <w:r>
        <w:rPr>
          <w:rFonts w:ascii="楷体" w:eastAsia="楷体" w:hint="eastAsia"/>
          <w:b/>
          <w:spacing w:val="14"/>
        </w:rPr>
        <w:t>动脉介入手术 </w:t>
      </w:r>
      <w:r>
        <w:rPr>
          <w:spacing w:val="-1"/>
        </w:rPr>
        <w:t>冠状动脉支架植入术、冠状动脉粥样斑块切除术或激光冠状动脉成形术。</w:t>
      </w:r>
    </w:p>
    <w:p>
      <w:pPr>
        <w:spacing w:line="242" w:lineRule="auto" w:before="20"/>
        <w:ind w:left="1922" w:right="101" w:hanging="1527"/>
        <w:jc w:val="left"/>
        <w:rPr>
          <w:rFonts w:ascii="黑体" w:hAnsi="黑体" w:eastAsia="黑体"/>
          <w:sz w:val="24"/>
        </w:rPr>
      </w:pPr>
      <w:r>
        <w:rPr>
          <w:rFonts w:ascii="楷体" w:hAnsi="楷体" w:eastAsia="楷体" w:hint="eastAsia"/>
          <w:b/>
          <w:spacing w:val="-6"/>
          <w:position w:val="1"/>
          <w:sz w:val="21"/>
        </w:rPr>
        <w:t>（非开胸手术）</w:t>
      </w:r>
      <w:r>
        <w:rPr>
          <w:rFonts w:ascii="楷体" w:hAnsi="楷体" w:eastAsia="楷体" w:hint="eastAsia"/>
          <w:b/>
          <w:spacing w:val="-55"/>
          <w:position w:val="1"/>
          <w:sz w:val="21"/>
        </w:rPr>
        <w:t> </w:t>
      </w:r>
      <w:r>
        <w:rPr>
          <w:rFonts w:ascii="黑体" w:hAnsi="黑体" w:eastAsia="黑体"/>
          <w:spacing w:val="-6"/>
          <w:sz w:val="24"/>
        </w:rPr>
        <w:t>如被保险人同时或先后达到“较轻急性心肌梗死（</w:t>
      </w:r>
      <w:r>
        <w:rPr>
          <w:rFonts w:ascii="黑体" w:hAnsi="黑体" w:eastAsia="黑体"/>
          <w:spacing w:val="-19"/>
          <w:sz w:val="24"/>
        </w:rPr>
        <w:t>见释义 </w:t>
      </w:r>
      <w:r>
        <w:rPr>
          <w:rFonts w:ascii="黑体" w:hAnsi="黑体" w:eastAsia="黑体"/>
          <w:spacing w:val="34"/>
          <w:sz w:val="24"/>
        </w:rPr>
        <w:t>14.2</w:t>
      </w:r>
      <w:r>
        <w:rPr>
          <w:rFonts w:ascii="黑体" w:hAnsi="黑体" w:eastAsia="黑体"/>
          <w:spacing w:val="-86"/>
          <w:sz w:val="24"/>
        </w:rPr>
        <w:t>）”</w:t>
      </w:r>
      <w:r>
        <w:rPr>
          <w:rFonts w:ascii="黑体" w:hAnsi="黑体" w:eastAsia="黑体"/>
          <w:spacing w:val="-39"/>
          <w:sz w:val="24"/>
        </w:rPr>
        <w:t>、“微创冠</w:t>
      </w:r>
      <w:r>
        <w:rPr>
          <w:rFonts w:ascii="黑体" w:hAnsi="黑体" w:eastAsia="黑体"/>
          <w:spacing w:val="-4"/>
          <w:sz w:val="24"/>
        </w:rPr>
        <w:t>状动脉介入手术（非开胸手术</w:t>
      </w:r>
      <w:r>
        <w:rPr>
          <w:rFonts w:ascii="黑体" w:hAnsi="黑体" w:eastAsia="黑体"/>
          <w:spacing w:val="-125"/>
          <w:sz w:val="24"/>
        </w:rPr>
        <w:t>）</w:t>
      </w:r>
      <w:r>
        <w:rPr>
          <w:rFonts w:ascii="黑体" w:hAnsi="黑体" w:eastAsia="黑体"/>
          <w:sz w:val="24"/>
        </w:rPr>
        <w:t>（</w:t>
      </w:r>
      <w:r>
        <w:rPr>
          <w:rFonts w:ascii="黑体" w:hAnsi="黑体" w:eastAsia="黑体"/>
          <w:spacing w:val="-18"/>
          <w:sz w:val="24"/>
        </w:rPr>
        <w:t>见释义 </w:t>
      </w:r>
      <w:r>
        <w:rPr>
          <w:rFonts w:ascii="黑体" w:hAnsi="黑体" w:eastAsia="黑体"/>
          <w:spacing w:val="13"/>
          <w:sz w:val="24"/>
        </w:rPr>
        <w:t>14.18</w:t>
      </w:r>
      <w:r>
        <w:rPr>
          <w:rFonts w:ascii="黑体" w:hAnsi="黑体" w:eastAsia="黑体"/>
          <w:spacing w:val="-107"/>
          <w:sz w:val="24"/>
        </w:rPr>
        <w:t>）</w:t>
      </w:r>
      <w:r>
        <w:rPr>
          <w:rFonts w:ascii="黑体" w:hAnsi="黑体" w:eastAsia="黑体"/>
          <w:spacing w:val="-5"/>
          <w:sz w:val="24"/>
        </w:rPr>
        <w:t>”和“激光心肌血运重建”</w:t>
      </w:r>
    </w:p>
    <w:p>
      <w:pPr>
        <w:spacing w:line="242" w:lineRule="auto" w:before="3"/>
        <w:ind w:left="1922" w:right="218" w:firstLine="0"/>
        <w:jc w:val="left"/>
        <w:rPr>
          <w:rFonts w:ascii="黑体" w:eastAsia="黑体"/>
          <w:sz w:val="24"/>
        </w:rPr>
      </w:pPr>
      <w:r>
        <w:rPr>
          <w:rFonts w:ascii="黑体" w:eastAsia="黑体"/>
          <w:spacing w:val="-6"/>
          <w:sz w:val="24"/>
        </w:rPr>
        <w:t>（</w:t>
      </w:r>
      <w:r>
        <w:rPr>
          <w:rFonts w:ascii="黑体" w:eastAsia="黑体"/>
          <w:spacing w:val="-15"/>
          <w:sz w:val="24"/>
        </w:rPr>
        <w:t>见释义 </w:t>
      </w:r>
      <w:r>
        <w:rPr>
          <w:rFonts w:ascii="黑体" w:eastAsia="黑体"/>
          <w:spacing w:val="-6"/>
          <w:sz w:val="24"/>
        </w:rPr>
        <w:t>14.19）的赔付标准，我们仅赔付其中一项轻症疾病保险金，赔付</w:t>
      </w:r>
      <w:r>
        <w:rPr>
          <w:rFonts w:ascii="黑体" w:eastAsia="黑体"/>
          <w:spacing w:val="-2"/>
          <w:sz w:val="24"/>
        </w:rPr>
        <w:t>后另外两个病种轻症责任终止。</w:t>
      </w:r>
    </w:p>
    <w:p>
      <w:pPr>
        <w:pStyle w:val="BodyText"/>
        <w:spacing w:before="3"/>
        <w:rPr>
          <w:rFonts w:ascii="黑体"/>
          <w:sz w:val="14"/>
        </w:rPr>
      </w:pPr>
    </w:p>
    <w:p>
      <w:pPr>
        <w:spacing w:after="0"/>
        <w:rPr>
          <w:rFonts w:ascii="黑体"/>
          <w:sz w:val="14"/>
        </w:rPr>
        <w:sectPr>
          <w:pgSz w:w="11910" w:h="16840"/>
          <w:pgMar w:header="0" w:footer="1120" w:top="1360" w:bottom="1300" w:left="1020" w:right="1020"/>
        </w:sectPr>
      </w:pPr>
    </w:p>
    <w:p>
      <w:pPr>
        <w:pStyle w:val="ListParagraph"/>
        <w:numPr>
          <w:ilvl w:val="1"/>
          <w:numId w:val="20"/>
        </w:numPr>
        <w:tabs>
          <w:tab w:pos="968" w:val="left" w:leader="none"/>
        </w:tabs>
        <w:spacing w:line="278" w:lineRule="auto" w:before="71" w:after="0"/>
        <w:ind w:left="395" w:right="0" w:firstLine="0"/>
        <w:jc w:val="left"/>
        <w:rPr>
          <w:rFonts w:ascii="楷体" w:eastAsia="楷体" w:hint="eastAsia"/>
          <w:b/>
          <w:sz w:val="21"/>
        </w:rPr>
      </w:pPr>
      <w:r>
        <w:rPr>
          <w:rFonts w:ascii="楷体" w:eastAsia="楷体" w:hint="eastAsia"/>
          <w:b/>
          <w:spacing w:val="-4"/>
          <w:sz w:val="21"/>
        </w:rPr>
        <w:t>激光心肌</w:t>
      </w:r>
      <w:r>
        <w:rPr>
          <w:rFonts w:ascii="楷体" w:eastAsia="楷体" w:hint="eastAsia"/>
          <w:b/>
          <w:spacing w:val="-4"/>
          <w:sz w:val="21"/>
        </w:rPr>
        <w:t>血运重建</w:t>
      </w:r>
    </w:p>
    <w:p>
      <w:pPr>
        <w:pStyle w:val="BodyText"/>
        <w:spacing w:line="278" w:lineRule="auto" w:before="71"/>
        <w:ind w:left="70" w:right="374"/>
        <w:jc w:val="both"/>
      </w:pPr>
      <w:r>
        <w:rPr/>
        <w:br w:type="column"/>
      </w:r>
      <w:r>
        <w:rPr>
          <w:spacing w:val="-2"/>
        </w:rPr>
        <w:t>指患有顽固性心绞痛，经持续药物治疗后无改善，冠状动脉搭桥手术及经皮血管成</w:t>
      </w:r>
      <w:r>
        <w:rPr>
          <w:spacing w:val="-2"/>
        </w:rPr>
        <w:t>形手术已失败或者被认为不适合。实际进行了开胸手术下或者胸腔镜下的激光心肌</w:t>
      </w:r>
      <w:r>
        <w:rPr>
          <w:spacing w:val="-2"/>
        </w:rPr>
        <w:t>血运重建。</w:t>
      </w:r>
    </w:p>
    <w:p>
      <w:pPr>
        <w:spacing w:line="284" w:lineRule="exact" w:before="0"/>
        <w:ind w:left="70" w:right="0" w:firstLine="0"/>
        <w:jc w:val="left"/>
        <w:rPr>
          <w:rFonts w:ascii="黑体" w:hAnsi="黑体" w:eastAsia="黑体"/>
          <w:sz w:val="24"/>
        </w:rPr>
      </w:pPr>
      <w:r>
        <w:rPr>
          <w:rFonts w:ascii="黑体" w:hAnsi="黑体" w:eastAsia="黑体"/>
          <w:spacing w:val="-6"/>
          <w:sz w:val="24"/>
        </w:rPr>
        <w:t>如被保险人同时或先后达到“较轻急性心肌梗死</w:t>
      </w:r>
      <w:r>
        <w:rPr>
          <w:rFonts w:ascii="黑体" w:hAnsi="黑体" w:eastAsia="黑体"/>
          <w:spacing w:val="-166"/>
          <w:sz w:val="24"/>
        </w:rPr>
        <w:t>”</w:t>
      </w:r>
      <w:r>
        <w:rPr>
          <w:rFonts w:ascii="黑体" w:hAnsi="黑体" w:eastAsia="黑体"/>
          <w:sz w:val="24"/>
        </w:rPr>
        <w:t>（</w:t>
      </w:r>
      <w:r>
        <w:rPr>
          <w:rFonts w:ascii="黑体" w:hAnsi="黑体" w:eastAsia="黑体"/>
          <w:spacing w:val="-13"/>
          <w:sz w:val="24"/>
        </w:rPr>
        <w:t>见释义 </w:t>
      </w:r>
      <w:r>
        <w:rPr>
          <w:rFonts w:ascii="黑体" w:hAnsi="黑体" w:eastAsia="黑体"/>
          <w:spacing w:val="18"/>
          <w:sz w:val="24"/>
        </w:rPr>
        <w:t>14.2</w:t>
      </w:r>
      <w:r>
        <w:rPr>
          <w:rFonts w:ascii="黑体" w:hAnsi="黑体" w:eastAsia="黑体"/>
          <w:spacing w:val="-102"/>
          <w:sz w:val="24"/>
        </w:rPr>
        <w:t>）</w:t>
      </w:r>
      <w:r>
        <w:rPr>
          <w:rFonts w:ascii="黑体" w:hAnsi="黑体" w:eastAsia="黑体"/>
          <w:spacing w:val="-40"/>
          <w:sz w:val="24"/>
        </w:rPr>
        <w:t>、“微创冠</w:t>
      </w:r>
    </w:p>
    <w:p>
      <w:pPr>
        <w:spacing w:before="5"/>
        <w:ind w:left="70" w:right="0" w:firstLine="0"/>
        <w:jc w:val="left"/>
        <w:rPr>
          <w:rFonts w:ascii="黑体" w:hAnsi="黑体" w:eastAsia="黑体"/>
          <w:sz w:val="24"/>
        </w:rPr>
      </w:pPr>
      <w:r>
        <w:rPr>
          <w:rFonts w:ascii="黑体" w:hAnsi="黑体" w:eastAsia="黑体"/>
          <w:spacing w:val="-2"/>
          <w:sz w:val="24"/>
        </w:rPr>
        <w:t>状动脉介入手术（非开胸手术</w:t>
      </w:r>
      <w:r>
        <w:rPr>
          <w:rFonts w:ascii="黑体" w:hAnsi="黑体" w:eastAsia="黑体"/>
          <w:spacing w:val="-120"/>
          <w:sz w:val="24"/>
        </w:rPr>
        <w:t>）</w:t>
      </w:r>
      <w:r>
        <w:rPr>
          <w:rFonts w:ascii="黑体" w:hAnsi="黑体" w:eastAsia="黑体"/>
          <w:spacing w:val="-125"/>
          <w:sz w:val="24"/>
        </w:rPr>
        <w:t>”</w:t>
      </w:r>
      <w:r>
        <w:rPr>
          <w:rFonts w:ascii="黑体" w:hAnsi="黑体" w:eastAsia="黑体"/>
          <w:sz w:val="24"/>
        </w:rPr>
        <w:t>（</w:t>
      </w:r>
      <w:r>
        <w:rPr>
          <w:rFonts w:ascii="黑体" w:hAnsi="黑体" w:eastAsia="黑体"/>
          <w:spacing w:val="-5"/>
          <w:sz w:val="24"/>
        </w:rPr>
        <w:t>见释义 </w:t>
      </w:r>
      <w:r>
        <w:rPr>
          <w:rFonts w:ascii="黑体" w:hAnsi="黑体" w:eastAsia="黑体"/>
          <w:spacing w:val="-2"/>
          <w:sz w:val="24"/>
        </w:rPr>
        <w:t>14.18）</w:t>
      </w:r>
      <w:r>
        <w:rPr>
          <w:rFonts w:ascii="黑体" w:hAnsi="黑体" w:eastAsia="黑体"/>
          <w:spacing w:val="-3"/>
          <w:sz w:val="24"/>
        </w:rPr>
        <w:t>和“激光心肌血运重建”</w:t>
      </w:r>
    </w:p>
    <w:p>
      <w:pPr>
        <w:spacing w:line="242" w:lineRule="auto" w:before="4"/>
        <w:ind w:left="70" w:right="218" w:firstLine="0"/>
        <w:jc w:val="left"/>
        <w:rPr>
          <w:rFonts w:ascii="黑体" w:eastAsia="黑体"/>
          <w:sz w:val="24"/>
        </w:rPr>
      </w:pPr>
      <w:r>
        <w:rPr>
          <w:rFonts w:ascii="黑体" w:eastAsia="黑体"/>
          <w:spacing w:val="-6"/>
          <w:sz w:val="24"/>
        </w:rPr>
        <w:t>（</w:t>
      </w:r>
      <w:r>
        <w:rPr>
          <w:rFonts w:ascii="黑体" w:eastAsia="黑体"/>
          <w:spacing w:val="-15"/>
          <w:sz w:val="24"/>
        </w:rPr>
        <w:t>见释义 </w:t>
      </w:r>
      <w:r>
        <w:rPr>
          <w:rFonts w:ascii="黑体" w:eastAsia="黑体"/>
          <w:spacing w:val="-6"/>
          <w:sz w:val="24"/>
        </w:rPr>
        <w:t>14.19）的赔付标准，我们仅赔付其中一项轻症疾病保险金，赔付</w:t>
      </w:r>
      <w:r>
        <w:rPr>
          <w:rFonts w:ascii="黑体" w:eastAsia="黑体"/>
          <w:spacing w:val="-2"/>
          <w:sz w:val="24"/>
        </w:rPr>
        <w:t>后另外两个病种轻症责任终止。</w:t>
      </w:r>
    </w:p>
    <w:p>
      <w:pPr>
        <w:spacing w:after="0" w:line="242" w:lineRule="auto"/>
        <w:jc w:val="left"/>
        <w:rPr>
          <w:rFonts w:asci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0"/>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单侧肾脏</w:t>
      </w:r>
      <w:r>
        <w:rPr>
          <w:rFonts w:ascii="楷体" w:eastAsia="楷体" w:hint="eastAsia"/>
          <w:b/>
          <w:spacing w:val="-6"/>
          <w:sz w:val="21"/>
        </w:rPr>
        <w:t>切除</w:t>
      </w:r>
    </w:p>
    <w:p>
      <w:pPr>
        <w:pStyle w:val="BodyText"/>
        <w:spacing w:line="278" w:lineRule="auto" w:before="72"/>
        <w:ind w:left="70" w:right="214"/>
      </w:pPr>
      <w:r>
        <w:rPr/>
        <w:br w:type="column"/>
      </w:r>
      <w:r>
        <w:rPr>
          <w:spacing w:val="-5"/>
        </w:rPr>
        <w:t>指因疾病或意外伤害导致肾脏严重损害，已经实际接受了左侧全肾切除手术或右侧全</w:t>
      </w:r>
      <w:r>
        <w:rPr>
          <w:spacing w:val="-2"/>
        </w:rPr>
        <w:t>肾切除手术。</w:t>
      </w:r>
    </w:p>
    <w:p>
      <w:pPr>
        <w:spacing w:line="284" w:lineRule="exact" w:before="0"/>
        <w:ind w:left="70" w:right="0" w:firstLine="0"/>
        <w:jc w:val="left"/>
        <w:rPr>
          <w:rFonts w:ascii="黑体" w:eastAsia="黑体"/>
          <w:sz w:val="24"/>
        </w:rPr>
      </w:pPr>
      <w:r>
        <w:rPr>
          <w:rFonts w:ascii="黑体" w:eastAsia="黑体"/>
          <w:spacing w:val="-1"/>
          <w:sz w:val="24"/>
        </w:rPr>
        <w:t>下列情况不在保障范围内：</w:t>
      </w:r>
    </w:p>
    <w:p>
      <w:pPr>
        <w:pStyle w:val="ListParagraph"/>
        <w:numPr>
          <w:ilvl w:val="0"/>
          <w:numId w:val="107"/>
        </w:numPr>
        <w:tabs>
          <w:tab w:pos="702" w:val="left" w:leader="none"/>
        </w:tabs>
        <w:spacing w:line="240" w:lineRule="auto" w:before="5" w:after="0"/>
        <w:ind w:left="701" w:right="0" w:hanging="632"/>
        <w:jc w:val="left"/>
        <w:rPr>
          <w:rFonts w:ascii="黑体" w:eastAsia="黑体"/>
          <w:sz w:val="24"/>
        </w:rPr>
      </w:pPr>
      <w:r>
        <w:rPr>
          <w:rFonts w:ascii="黑体" w:eastAsia="黑体"/>
          <w:spacing w:val="-2"/>
          <w:sz w:val="24"/>
        </w:rPr>
        <w:t>部分肾切除手术；</w:t>
      </w:r>
    </w:p>
    <w:p>
      <w:pPr>
        <w:pStyle w:val="ListParagraph"/>
        <w:numPr>
          <w:ilvl w:val="0"/>
          <w:numId w:val="107"/>
        </w:numPr>
        <w:tabs>
          <w:tab w:pos="702" w:val="left" w:leader="none"/>
        </w:tabs>
        <w:spacing w:line="240" w:lineRule="auto" w:before="4" w:after="0"/>
        <w:ind w:left="701" w:right="0" w:hanging="632"/>
        <w:jc w:val="left"/>
        <w:rPr>
          <w:rFonts w:ascii="黑体" w:eastAsia="黑体"/>
          <w:sz w:val="24"/>
        </w:rPr>
      </w:pPr>
      <w:r>
        <w:rPr>
          <w:rFonts w:ascii="黑体" w:eastAsia="黑体"/>
          <w:spacing w:val="-1"/>
          <w:sz w:val="24"/>
        </w:rPr>
        <w:t>因恶性肿瘤进行的肾切除手术；</w:t>
      </w:r>
    </w:p>
    <w:p>
      <w:pPr>
        <w:pStyle w:val="ListParagraph"/>
        <w:numPr>
          <w:ilvl w:val="0"/>
          <w:numId w:val="107"/>
        </w:numPr>
        <w:tabs>
          <w:tab w:pos="702" w:val="left" w:leader="none"/>
        </w:tabs>
        <w:spacing w:line="240" w:lineRule="auto" w:before="5" w:after="0"/>
        <w:ind w:left="701" w:right="0" w:hanging="632"/>
        <w:jc w:val="left"/>
        <w:rPr>
          <w:rFonts w:ascii="黑体" w:eastAsia="黑体"/>
          <w:sz w:val="24"/>
        </w:rPr>
      </w:pPr>
      <w:r>
        <w:rPr>
          <w:rFonts w:ascii="黑体" w:eastAsia="黑体"/>
          <w:spacing w:val="-1"/>
          <w:sz w:val="24"/>
        </w:rPr>
        <w:t>肾移植接受者肾切除；</w:t>
      </w:r>
    </w:p>
    <w:p>
      <w:pPr>
        <w:pStyle w:val="ListParagraph"/>
        <w:numPr>
          <w:ilvl w:val="0"/>
          <w:numId w:val="107"/>
        </w:numPr>
        <w:tabs>
          <w:tab w:pos="702" w:val="left" w:leader="none"/>
        </w:tabs>
        <w:spacing w:line="240" w:lineRule="auto" w:before="4" w:after="0"/>
        <w:ind w:left="701" w:right="0" w:hanging="632"/>
        <w:jc w:val="left"/>
        <w:rPr>
          <w:rFonts w:ascii="黑体" w:eastAsia="黑体"/>
          <w:sz w:val="24"/>
        </w:rPr>
      </w:pPr>
      <w:r>
        <w:rPr>
          <w:rFonts w:ascii="黑体" w:eastAsia="黑体"/>
          <w:spacing w:val="-1"/>
          <w:sz w:val="24"/>
        </w:rPr>
        <w:t>作为器官捐献者而实施的肾切除手术。</w:t>
      </w:r>
    </w:p>
    <w:p>
      <w:pPr>
        <w:spacing w:after="0" w:line="240" w:lineRule="auto"/>
        <w:jc w:val="left"/>
        <w:rPr>
          <w:rFonts w:asci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11"/>
        <w:rPr>
          <w:rFonts w:ascii="黑体"/>
          <w:sz w:val="13"/>
        </w:rPr>
      </w:pPr>
    </w:p>
    <w:p>
      <w:pPr>
        <w:pStyle w:val="ListParagraph"/>
        <w:numPr>
          <w:ilvl w:val="1"/>
          <w:numId w:val="20"/>
        </w:numPr>
        <w:tabs>
          <w:tab w:pos="1078" w:val="left" w:leader="none"/>
        </w:tabs>
        <w:spacing w:line="240" w:lineRule="auto" w:before="78" w:after="0"/>
        <w:ind w:left="1077" w:right="0" w:hanging="683"/>
        <w:jc w:val="left"/>
        <w:rPr>
          <w:rFonts w:ascii="楷体" w:eastAsia="楷体" w:hint="eastAsia"/>
          <w:b/>
          <w:sz w:val="21"/>
        </w:rPr>
      </w:pPr>
      <w:r>
        <w:rPr>
          <w:rFonts w:ascii="楷体" w:eastAsia="楷体" w:hint="eastAsia"/>
          <w:b/>
          <w:spacing w:val="1"/>
          <w:sz w:val="21"/>
        </w:rPr>
        <w:t>脑垂体 </w:t>
      </w:r>
      <w:r>
        <w:rPr>
          <w:spacing w:val="-18"/>
          <w:sz w:val="21"/>
        </w:rPr>
        <w:t>是一类疾病，须由头颅断层扫描</w:t>
      </w:r>
      <w:r>
        <w:rPr>
          <w:spacing w:val="20"/>
          <w:sz w:val="21"/>
        </w:rPr>
        <w:t>（</w:t>
      </w:r>
      <w:r>
        <w:rPr>
          <w:rFonts w:ascii="Times New Roman" w:eastAsia="Times New Roman"/>
          <w:spacing w:val="23"/>
          <w:sz w:val="21"/>
        </w:rPr>
        <w:t>C</w:t>
      </w:r>
      <w:r>
        <w:rPr>
          <w:rFonts w:ascii="Times New Roman" w:eastAsia="Times New Roman"/>
          <w:spacing w:val="21"/>
          <w:sz w:val="21"/>
        </w:rPr>
        <w:t>T</w:t>
      </w:r>
      <w:r>
        <w:rPr>
          <w:spacing w:val="-83"/>
          <w:sz w:val="21"/>
        </w:rPr>
        <w:t>）</w:t>
      </w:r>
      <w:r>
        <w:rPr>
          <w:spacing w:val="-34"/>
          <w:sz w:val="21"/>
        </w:rPr>
        <w:t>、核磁共振</w:t>
      </w:r>
      <w:r>
        <w:rPr>
          <w:spacing w:val="-4"/>
          <w:sz w:val="21"/>
        </w:rPr>
        <w:t>（</w:t>
      </w:r>
      <w:r>
        <w:rPr>
          <w:rFonts w:ascii="Times New Roman" w:eastAsia="Times New Roman"/>
          <w:spacing w:val="-4"/>
          <w:sz w:val="21"/>
        </w:rPr>
        <w:t>MRI</w:t>
      </w:r>
      <w:r>
        <w:rPr>
          <w:spacing w:val="-4"/>
          <w:sz w:val="21"/>
        </w:rPr>
        <w:t>）</w:t>
      </w:r>
      <w:r>
        <w:rPr>
          <w:spacing w:val="-12"/>
          <w:sz w:val="21"/>
        </w:rPr>
        <w:t>或正电子发射断层扫描</w:t>
      </w:r>
      <w:r>
        <w:rPr>
          <w:spacing w:val="-4"/>
          <w:sz w:val="21"/>
        </w:rPr>
        <w:t>（</w:t>
      </w:r>
      <w:r>
        <w:rPr>
          <w:rFonts w:ascii="Times New Roman" w:eastAsia="Times New Roman"/>
          <w:spacing w:val="-4"/>
          <w:sz w:val="21"/>
        </w:rPr>
        <w:t>PET</w:t>
      </w:r>
      <w:r>
        <w:rPr>
          <w:spacing w:val="-4"/>
          <w:sz w:val="21"/>
        </w:rPr>
        <w:t>）</w:t>
      </w:r>
    </w:p>
    <w:p>
      <w:pPr>
        <w:spacing w:after="0" w:line="240" w:lineRule="auto"/>
        <w:jc w:val="left"/>
        <w:rPr>
          <w:rFonts w:ascii="楷体" w:eastAsia="楷体" w:hint="eastAsia"/>
          <w:sz w:val="21"/>
        </w:rPr>
        <w:sectPr>
          <w:type w:val="continuous"/>
          <w:pgSz w:w="11910" w:h="16840"/>
          <w:pgMar w:header="0" w:footer="1120" w:top="1120" w:bottom="1300" w:left="1020" w:right="1020"/>
        </w:sectPr>
      </w:pPr>
    </w:p>
    <w:p>
      <w:pPr>
        <w:spacing w:line="278" w:lineRule="auto" w:before="43"/>
        <w:ind w:left="395" w:right="0" w:firstLine="0"/>
        <w:jc w:val="left"/>
        <w:rPr>
          <w:rFonts w:ascii="楷体" w:eastAsia="楷体" w:hint="eastAsia"/>
          <w:b/>
          <w:sz w:val="21"/>
        </w:rPr>
      </w:pPr>
      <w:r>
        <w:rPr>
          <w:rFonts w:ascii="楷体" w:eastAsia="楷体" w:hint="eastAsia"/>
          <w:b/>
          <w:spacing w:val="-10"/>
          <w:sz w:val="21"/>
        </w:rPr>
        <w:t>瘤、脑囊肿、颅</w:t>
      </w:r>
      <w:r>
        <w:rPr>
          <w:rFonts w:ascii="楷体" w:eastAsia="楷体" w:hint="eastAsia"/>
          <w:b/>
          <w:spacing w:val="-2"/>
          <w:sz w:val="21"/>
        </w:rPr>
        <w:t>内血管性疾病</w:t>
      </w:r>
    </w:p>
    <w:p>
      <w:pPr>
        <w:pStyle w:val="BodyText"/>
        <w:ind w:left="70"/>
      </w:pPr>
      <w:r>
        <w:rPr/>
        <w:br w:type="column"/>
      </w:r>
      <w:r>
        <w:rPr>
          <w:spacing w:val="-3"/>
        </w:rPr>
        <w:t>等其他影像学检查证实，并经相关专科医生确诊，且须满足下列全部条件：</w:t>
      </w:r>
    </w:p>
    <w:p>
      <w:pPr>
        <w:pStyle w:val="ListParagraph"/>
        <w:numPr>
          <w:ilvl w:val="0"/>
          <w:numId w:val="108"/>
        </w:numPr>
        <w:tabs>
          <w:tab w:pos="600" w:val="left" w:leader="none"/>
        </w:tabs>
        <w:spacing w:line="240" w:lineRule="auto" w:before="43" w:after="0"/>
        <w:ind w:left="599" w:right="0" w:hanging="530"/>
        <w:jc w:val="left"/>
        <w:rPr>
          <w:sz w:val="21"/>
        </w:rPr>
      </w:pPr>
      <w:r>
        <w:rPr>
          <w:spacing w:val="-3"/>
          <w:sz w:val="21"/>
        </w:rPr>
        <w:t>已经实施了手术或放射治疗；</w:t>
      </w:r>
    </w:p>
    <w:p>
      <w:pPr>
        <w:pStyle w:val="ListParagraph"/>
        <w:numPr>
          <w:ilvl w:val="0"/>
          <w:numId w:val="108"/>
        </w:numPr>
        <w:tabs>
          <w:tab w:pos="600" w:val="left" w:leader="none"/>
        </w:tabs>
        <w:spacing w:line="278" w:lineRule="auto" w:before="43" w:after="0"/>
        <w:ind w:left="70" w:right="216" w:hanging="1"/>
        <w:jc w:val="left"/>
        <w:rPr>
          <w:sz w:val="21"/>
        </w:rPr>
      </w:pPr>
      <w:r>
        <w:rPr>
          <w:spacing w:val="-2"/>
          <w:sz w:val="21"/>
        </w:rPr>
        <w:t>脑垂体瘤、脑囊肿或颅内血管性疾病（如脑动脉瘤、脑动静脉畸形、海绵状血管瘤、毛细血管扩张症等</w:t>
      </w:r>
      <w:r>
        <w:rPr>
          <w:spacing w:val="-108"/>
          <w:sz w:val="21"/>
        </w:rPr>
        <w:t>）</w:t>
      </w:r>
      <w:r>
        <w:rPr>
          <w:spacing w:val="-2"/>
          <w:sz w:val="21"/>
        </w:rPr>
        <w:t>。</w:t>
      </w:r>
    </w:p>
    <w:p>
      <w:pPr>
        <w:spacing w:line="285" w:lineRule="exact" w:before="0"/>
        <w:ind w:left="70" w:right="0" w:firstLine="0"/>
        <w:jc w:val="left"/>
        <w:rPr>
          <w:rFonts w:ascii="黑体" w:hAnsi="黑体" w:eastAsia="黑体"/>
          <w:sz w:val="24"/>
        </w:rPr>
      </w:pPr>
      <w:r>
        <w:rPr>
          <w:rFonts w:ascii="黑体" w:hAnsi="黑体" w:eastAsia="黑体"/>
          <w:sz w:val="24"/>
        </w:rPr>
        <w:t>如被保险人同时或先后达到“脑垂体瘤、脑囊肿、颅内血管性疾病（</w:t>
      </w:r>
      <w:r>
        <w:rPr>
          <w:rFonts w:ascii="黑体" w:hAnsi="黑体" w:eastAsia="黑体"/>
          <w:spacing w:val="-5"/>
          <w:sz w:val="24"/>
        </w:rPr>
        <w:t>见释</w:t>
      </w:r>
    </w:p>
    <w:p>
      <w:pPr>
        <w:spacing w:line="242" w:lineRule="auto" w:before="4"/>
        <w:ind w:left="70" w:right="218" w:firstLine="0"/>
        <w:jc w:val="left"/>
        <w:rPr>
          <w:rFonts w:ascii="黑体" w:hAnsi="黑体" w:eastAsia="黑体"/>
          <w:sz w:val="24"/>
        </w:rPr>
      </w:pPr>
      <w:r>
        <w:rPr>
          <w:rFonts w:ascii="黑体" w:hAnsi="黑体" w:eastAsia="黑体"/>
          <w:spacing w:val="-24"/>
          <w:sz w:val="24"/>
        </w:rPr>
        <w:t>义 </w:t>
      </w:r>
      <w:r>
        <w:rPr>
          <w:rFonts w:ascii="黑体" w:hAnsi="黑体" w:eastAsia="黑体"/>
          <w:spacing w:val="-4"/>
          <w:sz w:val="24"/>
        </w:rPr>
        <w:t>14.21）”和“微创颅脑手术（</w:t>
      </w:r>
      <w:r>
        <w:rPr>
          <w:rFonts w:ascii="黑体" w:hAnsi="黑体" w:eastAsia="黑体"/>
          <w:spacing w:val="-14"/>
          <w:sz w:val="24"/>
        </w:rPr>
        <w:t>见释义 </w:t>
      </w:r>
      <w:r>
        <w:rPr>
          <w:rFonts w:ascii="黑体" w:hAnsi="黑体" w:eastAsia="黑体"/>
          <w:spacing w:val="-4"/>
          <w:sz w:val="24"/>
        </w:rPr>
        <w:t>14.22）”的赔付标准，我们仅赔</w:t>
      </w:r>
      <w:r>
        <w:rPr>
          <w:rFonts w:ascii="黑体" w:hAnsi="黑体" w:eastAsia="黑体"/>
          <w:spacing w:val="-2"/>
          <w:sz w:val="24"/>
        </w:rPr>
        <w:t>付其中一项轻症疾病保险金，赔付后另外一个病种轻症责任终止。</w:t>
      </w:r>
    </w:p>
    <w:p>
      <w:pPr>
        <w:spacing w:after="0" w:line="242" w:lineRule="auto"/>
        <w:jc w:val="left"/>
        <w:rPr>
          <w:rFonts w:ascii="黑体" w:hAns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0"/>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微创颅脑</w:t>
      </w:r>
      <w:r>
        <w:rPr>
          <w:rFonts w:ascii="楷体" w:eastAsia="楷体" w:hint="eastAsia"/>
          <w:b/>
          <w:spacing w:val="-6"/>
          <w:sz w:val="21"/>
        </w:rPr>
        <w:t>手术</w:t>
      </w:r>
    </w:p>
    <w:p>
      <w:pPr>
        <w:pStyle w:val="BodyText"/>
        <w:spacing w:before="72"/>
        <w:ind w:left="70"/>
      </w:pPr>
      <w:r>
        <w:rPr/>
        <w:br w:type="column"/>
      </w:r>
      <w:r>
        <w:rPr>
          <w:spacing w:val="-3"/>
        </w:rPr>
        <w:t>指为了治疗疾病，已经实施了全麻下的颅骨钻孔手术或者经鼻蝶窦入颅手术。</w:t>
      </w:r>
    </w:p>
    <w:p>
      <w:pPr>
        <w:spacing w:before="20"/>
        <w:ind w:left="70" w:right="0" w:firstLine="0"/>
        <w:jc w:val="left"/>
        <w:rPr>
          <w:rFonts w:ascii="黑体" w:eastAsia="黑体"/>
          <w:sz w:val="24"/>
        </w:rPr>
      </w:pPr>
      <w:r>
        <w:rPr>
          <w:rFonts w:ascii="黑体" w:eastAsia="黑体"/>
          <w:spacing w:val="-1"/>
          <w:sz w:val="24"/>
        </w:rPr>
        <w:t>因外伤而实施的脑外科手术不在保障范围内。</w:t>
      </w:r>
    </w:p>
    <w:p>
      <w:pPr>
        <w:spacing w:line="242" w:lineRule="auto" w:before="5"/>
        <w:ind w:left="70" w:right="213" w:firstLine="0"/>
        <w:jc w:val="both"/>
        <w:rPr>
          <w:rFonts w:ascii="黑体" w:hAnsi="黑体" w:eastAsia="黑体"/>
          <w:sz w:val="24"/>
        </w:rPr>
      </w:pPr>
      <w:r>
        <w:rPr>
          <w:rFonts w:ascii="黑体" w:hAnsi="黑体" w:eastAsia="黑体"/>
          <w:spacing w:val="-2"/>
          <w:sz w:val="24"/>
        </w:rPr>
        <w:t>如被保险人同时或先后达到“脑垂体瘤、脑囊肿、颅内血管性疾病（见释</w:t>
      </w:r>
      <w:r>
        <w:rPr>
          <w:rFonts w:ascii="黑体" w:hAnsi="黑体" w:eastAsia="黑体"/>
          <w:w w:val="95"/>
          <w:sz w:val="24"/>
        </w:rPr>
        <w:t>义 14.21）”和“</w:t>
      </w:r>
      <w:r>
        <w:rPr>
          <w:rFonts w:ascii="黑体" w:hAnsi="黑体" w:eastAsia="黑体"/>
          <w:w w:val="95"/>
          <w:sz w:val="24"/>
        </w:rPr>
        <w:t>微</w:t>
      </w:r>
      <w:r>
        <w:rPr>
          <w:rFonts w:ascii="黑体" w:hAnsi="黑体" w:eastAsia="黑体"/>
          <w:w w:val="95"/>
          <w:sz w:val="24"/>
        </w:rPr>
        <w:t>创</w:t>
      </w:r>
      <w:r>
        <w:rPr>
          <w:rFonts w:ascii="黑体" w:hAnsi="黑体" w:eastAsia="黑体"/>
          <w:w w:val="95"/>
          <w:sz w:val="24"/>
        </w:rPr>
        <w:t>颅</w:t>
      </w:r>
      <w:r>
        <w:rPr>
          <w:rFonts w:ascii="黑体" w:hAnsi="黑体" w:eastAsia="黑体"/>
          <w:w w:val="95"/>
          <w:sz w:val="24"/>
        </w:rPr>
        <w:t>脑</w:t>
      </w:r>
      <w:r>
        <w:rPr>
          <w:rFonts w:ascii="黑体" w:hAnsi="黑体" w:eastAsia="黑体"/>
          <w:w w:val="95"/>
          <w:sz w:val="24"/>
        </w:rPr>
        <w:t>手</w:t>
      </w:r>
      <w:r>
        <w:rPr>
          <w:rFonts w:ascii="黑体" w:hAnsi="黑体" w:eastAsia="黑体"/>
          <w:w w:val="95"/>
          <w:sz w:val="24"/>
        </w:rPr>
        <w:t>术（</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14.22）”</w:t>
      </w:r>
      <w:r>
        <w:rPr>
          <w:rFonts w:ascii="黑体" w:hAnsi="黑体" w:eastAsia="黑体"/>
          <w:w w:val="95"/>
          <w:sz w:val="24"/>
        </w:rPr>
        <w:t>的</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标</w:t>
      </w:r>
      <w:r>
        <w:rPr>
          <w:rFonts w:ascii="黑体" w:hAnsi="黑体" w:eastAsia="黑体"/>
          <w:w w:val="95"/>
          <w:sz w:val="24"/>
        </w:rPr>
        <w:t>准</w:t>
      </w:r>
      <w:r>
        <w:rPr>
          <w:rFonts w:ascii="黑体" w:hAnsi="黑体" w:eastAsia="黑体"/>
          <w:w w:val="95"/>
          <w:sz w:val="24"/>
        </w:rPr>
        <w:t>，我</w:t>
      </w:r>
      <w:r>
        <w:rPr>
          <w:rFonts w:ascii="黑体" w:hAnsi="黑体" w:eastAsia="黑体"/>
          <w:w w:val="95"/>
          <w:sz w:val="24"/>
        </w:rPr>
        <w:t>们</w:t>
      </w:r>
      <w:r>
        <w:rPr>
          <w:rFonts w:ascii="黑体" w:hAnsi="黑体" w:eastAsia="黑体"/>
          <w:w w:val="95"/>
          <w:sz w:val="24"/>
        </w:rPr>
        <w:t>仅</w:t>
      </w:r>
      <w:r>
        <w:rPr>
          <w:rFonts w:ascii="黑体" w:hAnsi="黑体" w:eastAsia="黑体"/>
          <w:w w:val="95"/>
          <w:sz w:val="24"/>
        </w:rPr>
        <w:t>赔</w:t>
      </w:r>
      <w:r>
        <w:rPr>
          <w:rFonts w:ascii="黑体" w:hAnsi="黑体" w:eastAsia="黑体"/>
          <w:spacing w:val="-2"/>
          <w:sz w:val="24"/>
        </w:rPr>
        <w:t>付其中一项轻症疾病保险金，赔付后另外一个病种轻症责任终止。</w:t>
      </w:r>
    </w:p>
    <w:p>
      <w:pPr>
        <w:spacing w:after="0" w:line="242" w:lineRule="auto"/>
        <w:jc w:val="both"/>
        <w:rPr>
          <w:rFonts w:ascii="黑体" w:hAns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4"/>
        <w:rPr>
          <w:rFonts w:ascii="黑体"/>
          <w:sz w:val="14"/>
        </w:rPr>
      </w:pPr>
    </w:p>
    <w:p>
      <w:pPr>
        <w:pStyle w:val="ListParagraph"/>
        <w:numPr>
          <w:ilvl w:val="1"/>
          <w:numId w:val="20"/>
        </w:numPr>
        <w:tabs>
          <w:tab w:pos="968" w:val="left" w:leader="none"/>
        </w:tabs>
        <w:spacing w:line="240" w:lineRule="auto" w:before="71" w:after="0"/>
        <w:ind w:left="967" w:right="0" w:hanging="573"/>
        <w:jc w:val="left"/>
        <w:rPr>
          <w:rFonts w:ascii="楷体" w:eastAsia="楷体" w:hint="eastAsia"/>
          <w:b/>
          <w:sz w:val="21"/>
        </w:rPr>
      </w:pPr>
      <w:r>
        <w:rPr>
          <w:rFonts w:ascii="楷体" w:eastAsia="楷体" w:hint="eastAsia"/>
          <w:b/>
          <w:sz w:val="21"/>
        </w:rPr>
        <w:t>轻度脑炎</w:t>
      </w:r>
      <w:r>
        <w:rPr>
          <w:rFonts w:ascii="楷体" w:eastAsia="楷体" w:hint="eastAsia"/>
          <w:b/>
          <w:spacing w:val="53"/>
          <w:w w:val="150"/>
          <w:sz w:val="21"/>
        </w:rPr>
        <w:t> </w:t>
      </w:r>
      <w:r>
        <w:rPr>
          <w:spacing w:val="-1"/>
          <w:sz w:val="21"/>
        </w:rPr>
        <w:t>指因患脑炎或脑膜炎导致的神经系统永久性的功能障碍。神经系统永久性的功能障</w:t>
      </w:r>
    </w:p>
    <w:p>
      <w:pPr>
        <w:pStyle w:val="BodyText"/>
        <w:ind w:left="395"/>
      </w:pPr>
      <w:r>
        <w:rPr>
          <w:rFonts w:ascii="楷体" w:eastAsia="楷体" w:hint="eastAsia"/>
          <w:b/>
          <w:spacing w:val="15"/>
        </w:rPr>
        <w:t>后遗症或轻度 </w:t>
      </w:r>
      <w:r>
        <w:rPr>
          <w:spacing w:val="-4"/>
        </w:rPr>
        <w:t>碍，指经相关专科医生确诊疾病 </w:t>
      </w:r>
      <w:r>
        <w:rPr>
          <w:rFonts w:ascii="Times New Roman" w:eastAsia="Times New Roman"/>
        </w:rPr>
        <w:t>180</w:t>
      </w:r>
      <w:r>
        <w:rPr>
          <w:rFonts w:ascii="Times New Roman" w:eastAsia="Times New Roman"/>
          <w:spacing w:val="-12"/>
        </w:rPr>
        <w:t> </w:t>
      </w:r>
      <w:r>
        <w:rPr>
          <w:spacing w:val="-1"/>
        </w:rPr>
        <w:t>天后，仍遗留该障碍：自主活动能力部分丧失，</w:t>
      </w:r>
    </w:p>
    <w:p>
      <w:pPr>
        <w:spacing w:before="43"/>
        <w:ind w:left="395" w:right="0" w:firstLine="0"/>
        <w:jc w:val="left"/>
        <w:rPr>
          <w:sz w:val="21"/>
        </w:rPr>
      </w:pPr>
      <w:r>
        <w:rPr>
          <w:rFonts w:ascii="楷体" w:eastAsia="楷体" w:hint="eastAsia"/>
          <w:b/>
          <w:spacing w:val="17"/>
          <w:sz w:val="21"/>
        </w:rPr>
        <w:t>脑膜炎后遗症 </w:t>
      </w:r>
      <w:r>
        <w:rPr>
          <w:spacing w:val="-1"/>
          <w:sz w:val="21"/>
        </w:rPr>
        <w:t>无法独立完成六项基本日常生活活动中的两项。</w:t>
      </w:r>
    </w:p>
    <w:p>
      <w:pPr>
        <w:spacing w:after="0"/>
        <w:jc w:val="left"/>
        <w:rPr>
          <w:sz w:val="21"/>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60" w:after="0"/>
        <w:ind w:left="395" w:right="0" w:firstLine="0"/>
        <w:jc w:val="left"/>
        <w:rPr>
          <w:rFonts w:ascii="楷体" w:eastAsia="楷体" w:hint="eastAsia"/>
          <w:b/>
          <w:sz w:val="21"/>
        </w:rPr>
      </w:pPr>
      <w:r>
        <w:rPr>
          <w:rFonts w:ascii="楷体" w:eastAsia="楷体" w:hint="eastAsia"/>
          <w:b/>
          <w:spacing w:val="-4"/>
          <w:sz w:val="21"/>
        </w:rPr>
        <w:t>中度脑损</w:t>
      </w:r>
      <w:r>
        <w:rPr>
          <w:rFonts w:ascii="楷体" w:eastAsia="楷体" w:hint="eastAsia"/>
          <w:b/>
          <w:spacing w:val="-10"/>
          <w:sz w:val="21"/>
        </w:rPr>
        <w:t>伤</w:t>
      </w:r>
    </w:p>
    <w:p>
      <w:pPr>
        <w:pStyle w:val="BodyText"/>
        <w:spacing w:line="278" w:lineRule="auto" w:before="60"/>
        <w:ind w:left="70" w:right="167"/>
        <w:jc w:val="both"/>
      </w:pPr>
      <w:r>
        <w:rPr/>
        <w:br w:type="column"/>
      </w:r>
      <w:r>
        <w:rPr>
          <w:spacing w:val="-2"/>
        </w:rPr>
        <w:t>指因头部遭受机械性外力，引起脑重要部位损伤，导致神经系统永久性的功能障碍。</w:t>
      </w:r>
      <w:r>
        <w:rPr>
          <w:spacing w:val="-6"/>
        </w:rPr>
        <w:t>须由头颅断层扫描</w:t>
      </w:r>
      <w:r>
        <w:rPr>
          <w:spacing w:val="18"/>
        </w:rPr>
        <w:t>（</w:t>
      </w:r>
      <w:r>
        <w:rPr>
          <w:rFonts w:ascii="Times New Roman" w:eastAsia="Times New Roman"/>
          <w:spacing w:val="21"/>
        </w:rPr>
        <w:t>C</w:t>
      </w:r>
      <w:r>
        <w:rPr>
          <w:rFonts w:ascii="Times New Roman" w:eastAsia="Times New Roman"/>
          <w:spacing w:val="19"/>
        </w:rPr>
        <w:t>T</w:t>
      </w:r>
      <w:r>
        <w:rPr>
          <w:spacing w:val="-85"/>
        </w:rPr>
        <w:t>）</w:t>
      </w:r>
      <w:r>
        <w:rPr>
          <w:spacing w:val="-6"/>
        </w:rPr>
        <w:t>、核磁共振检查（</w:t>
      </w:r>
      <w:r>
        <w:rPr>
          <w:rFonts w:ascii="Times New Roman" w:eastAsia="Times New Roman"/>
          <w:spacing w:val="-6"/>
        </w:rPr>
        <w:t>MRI</w:t>
      </w:r>
      <w:r>
        <w:rPr>
          <w:spacing w:val="-6"/>
        </w:rPr>
        <w:t>）或正电子发射断层扫描（</w:t>
      </w:r>
      <w:r>
        <w:rPr>
          <w:rFonts w:ascii="Times New Roman" w:eastAsia="Times New Roman"/>
          <w:spacing w:val="-6"/>
        </w:rPr>
        <w:t>PET</w:t>
      </w:r>
      <w:r>
        <w:rPr>
          <w:spacing w:val="-6"/>
        </w:rPr>
        <w:t>）等影</w:t>
      </w:r>
      <w:r>
        <w:rPr>
          <w:spacing w:val="-3"/>
        </w:rPr>
        <w:t>像学检查证实。神经系统永久性的功能障碍，指脑损伤 </w:t>
      </w:r>
      <w:r>
        <w:rPr>
          <w:rFonts w:ascii="Times New Roman" w:eastAsia="Times New Roman"/>
          <w:spacing w:val="-2"/>
        </w:rPr>
        <w:t>180</w:t>
      </w:r>
      <w:r>
        <w:rPr>
          <w:rFonts w:ascii="Times New Roman" w:eastAsia="Times New Roman"/>
          <w:spacing w:val="18"/>
        </w:rPr>
        <w:t> </w:t>
      </w:r>
      <w:r>
        <w:rPr>
          <w:spacing w:val="-2"/>
        </w:rPr>
        <w:t>天后，仍遗留该障碍：自</w:t>
      </w:r>
      <w:r>
        <w:rPr>
          <w:spacing w:val="-2"/>
        </w:rPr>
        <w:t>主生活能力部分丧失，无法独立完成六项基本日常生活活动中的二项或以上。</w:t>
      </w:r>
    </w:p>
    <w:p>
      <w:pPr>
        <w:spacing w:after="0" w:line="278" w:lineRule="auto"/>
        <w:jc w:val="both"/>
        <w:sectPr>
          <w:pgSz w:w="11910" w:h="16840"/>
          <w:pgMar w:header="0" w:footer="1120" w:top="1360" w:bottom="1300" w:left="1020" w:right="1020"/>
          <w:cols w:num="2" w:equalWidth="0">
            <w:col w:w="1813" w:space="40"/>
            <w:col w:w="8017"/>
          </w:cols>
        </w:sectPr>
      </w:pPr>
    </w:p>
    <w:p>
      <w:pPr>
        <w:pStyle w:val="BodyText"/>
        <w:spacing w:before="2"/>
        <w:rPr>
          <w:sz w:val="12"/>
        </w:rPr>
      </w:pPr>
    </w:p>
    <w:p>
      <w:pPr>
        <w:pStyle w:val="ListParagraph"/>
        <w:numPr>
          <w:ilvl w:val="1"/>
          <w:numId w:val="20"/>
        </w:numPr>
        <w:tabs>
          <w:tab w:pos="968" w:val="left" w:leader="none"/>
        </w:tabs>
        <w:spacing w:line="240" w:lineRule="auto" w:before="72" w:after="0"/>
        <w:ind w:left="967" w:right="0" w:hanging="573"/>
        <w:jc w:val="left"/>
        <w:rPr>
          <w:rFonts w:ascii="楷体" w:eastAsia="楷体" w:hint="eastAsia"/>
          <w:b/>
          <w:sz w:val="21"/>
        </w:rPr>
      </w:pPr>
      <w:r>
        <w:rPr>
          <w:rFonts w:ascii="楷体" w:eastAsia="楷体" w:hint="eastAsia"/>
          <w:b/>
          <w:spacing w:val="-5"/>
          <w:sz w:val="21"/>
        </w:rPr>
        <w:t>视力严重 </w:t>
      </w:r>
      <w:r>
        <w:rPr>
          <w:spacing w:val="-3"/>
          <w:sz w:val="21"/>
        </w:rPr>
        <w:t>指因疾病或意外伤害导致双目视力永久不可逆性丧失，未达到本合同所定义的重大疾</w:t>
      </w:r>
    </w:p>
    <w:p>
      <w:pPr>
        <w:pStyle w:val="BodyText"/>
        <w:ind w:left="395"/>
      </w:pPr>
      <w:r>
        <w:rPr>
          <w:rFonts w:ascii="楷体" w:hAnsi="楷体" w:eastAsia="楷体" w:hint="eastAsia"/>
          <w:b/>
          <w:spacing w:val="-2"/>
        </w:rPr>
        <w:t>受损－三周岁 </w:t>
      </w:r>
      <w:r>
        <w:rPr>
          <w:spacing w:val="-1"/>
        </w:rPr>
        <w:t>病“双目失明－三周岁开始理赔（</w:t>
      </w:r>
      <w:r>
        <w:rPr>
          <w:spacing w:val="-14"/>
        </w:rPr>
        <w:t>见释义 </w:t>
      </w:r>
      <w:r>
        <w:rPr>
          <w:rFonts w:ascii="Times New Roman" w:hAnsi="Times New Roman" w:eastAsia="Times New Roman"/>
          <w:spacing w:val="7"/>
        </w:rPr>
        <w:t>1</w:t>
      </w:r>
      <w:r>
        <w:rPr>
          <w:rFonts w:ascii="Times New Roman" w:hAnsi="Times New Roman" w:eastAsia="Times New Roman"/>
          <w:spacing w:val="17"/>
        </w:rPr>
        <w:t>1.14</w:t>
      </w:r>
      <w:r>
        <w:rPr>
          <w:spacing w:val="-91"/>
        </w:rPr>
        <w:t>）</w:t>
      </w:r>
      <w:r>
        <w:rPr>
          <w:spacing w:val="-2"/>
        </w:rPr>
        <w:t>”的给付标准，且须满足下列全部条</w:t>
      </w:r>
    </w:p>
    <w:p>
      <w:pPr>
        <w:spacing w:after="0"/>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3"/>
          <w:sz w:val="21"/>
        </w:rPr>
        <w:t>开始理赔</w:t>
      </w:r>
    </w:p>
    <w:p>
      <w:pPr>
        <w:spacing w:before="43"/>
        <w:ind w:left="396" w:right="0" w:firstLine="0"/>
        <w:jc w:val="left"/>
        <w:rPr>
          <w:sz w:val="21"/>
        </w:rPr>
      </w:pPr>
      <w:r>
        <w:rPr/>
        <w:br w:type="column"/>
      </w:r>
      <w:r>
        <w:rPr>
          <w:spacing w:val="-5"/>
          <w:sz w:val="21"/>
        </w:rPr>
        <w:t>件：</w:t>
      </w:r>
    </w:p>
    <w:p>
      <w:pPr>
        <w:pStyle w:val="ListParagraph"/>
        <w:numPr>
          <w:ilvl w:val="0"/>
          <w:numId w:val="109"/>
        </w:numPr>
        <w:tabs>
          <w:tab w:pos="926" w:val="left" w:leader="none"/>
        </w:tabs>
        <w:spacing w:line="278" w:lineRule="auto" w:before="43" w:after="0"/>
        <w:ind w:left="396" w:right="213" w:firstLine="0"/>
        <w:jc w:val="left"/>
        <w:rPr>
          <w:sz w:val="21"/>
        </w:rPr>
      </w:pPr>
      <w:r>
        <w:rPr>
          <w:spacing w:val="-4"/>
          <w:sz w:val="21"/>
        </w:rPr>
        <w:t>双眼中较好眼矫正视力低于 </w:t>
      </w:r>
      <w:r>
        <w:rPr>
          <w:rFonts w:ascii="Times New Roman" w:eastAsia="Times New Roman"/>
          <w:sz w:val="21"/>
        </w:rPr>
        <w:t>0.1</w:t>
      </w:r>
      <w:r>
        <w:rPr>
          <w:sz w:val="21"/>
        </w:rPr>
        <w:t>（采用国际标准视力表，如果使用其他视力表</w:t>
      </w:r>
      <w:r>
        <w:rPr>
          <w:spacing w:val="-2"/>
          <w:sz w:val="21"/>
        </w:rPr>
        <w:t>应进行换算</w:t>
      </w:r>
      <w:r>
        <w:rPr>
          <w:spacing w:val="-108"/>
          <w:sz w:val="21"/>
        </w:rPr>
        <w:t>）</w:t>
      </w:r>
      <w:r>
        <w:rPr>
          <w:sz w:val="21"/>
        </w:rPr>
        <w:t>；</w:t>
      </w:r>
    </w:p>
    <w:p>
      <w:pPr>
        <w:pStyle w:val="ListParagraph"/>
        <w:numPr>
          <w:ilvl w:val="0"/>
          <w:numId w:val="109"/>
        </w:numPr>
        <w:tabs>
          <w:tab w:pos="925" w:val="left" w:leader="none"/>
        </w:tabs>
        <w:spacing w:line="269" w:lineRule="exact" w:before="0" w:after="0"/>
        <w:ind w:left="925" w:right="0" w:hanging="529"/>
        <w:jc w:val="left"/>
        <w:rPr>
          <w:sz w:val="21"/>
        </w:rPr>
      </w:pPr>
      <w:r>
        <w:rPr>
          <w:spacing w:val="-8"/>
          <w:sz w:val="21"/>
        </w:rPr>
        <w:t>视野半径小于 </w:t>
      </w:r>
      <w:r>
        <w:rPr>
          <w:rFonts w:ascii="Times New Roman" w:eastAsia="Times New Roman"/>
          <w:sz w:val="21"/>
        </w:rPr>
        <w:t>20</w:t>
      </w:r>
      <w:r>
        <w:rPr>
          <w:rFonts w:ascii="Times New Roman" w:eastAsia="Times New Roman"/>
          <w:spacing w:val="-9"/>
          <w:sz w:val="21"/>
        </w:rPr>
        <w:t> </w:t>
      </w:r>
      <w:r>
        <w:rPr>
          <w:spacing w:val="-5"/>
          <w:sz w:val="21"/>
        </w:rPr>
        <w:t>度。</w:t>
      </w:r>
    </w:p>
    <w:p>
      <w:pPr>
        <w:spacing w:line="242" w:lineRule="auto" w:before="20"/>
        <w:ind w:left="395" w:right="213" w:firstLine="0"/>
        <w:jc w:val="left"/>
        <w:rPr>
          <w:rFonts w:ascii="黑体" w:eastAsia="黑体"/>
          <w:sz w:val="24"/>
        </w:rPr>
      </w:pPr>
      <w:r>
        <w:rPr>
          <w:rFonts w:ascii="黑体" w:eastAsia="黑体"/>
          <w:spacing w:val="-2"/>
          <w:sz w:val="24"/>
        </w:rPr>
        <w:t>申请理赔时，被保险人年龄必须在三周岁（含）以上，并且须提供理赔当</w:t>
      </w:r>
      <w:r>
        <w:rPr>
          <w:rFonts w:ascii="黑体" w:eastAsia="黑体"/>
          <w:spacing w:val="-2"/>
          <w:sz w:val="24"/>
        </w:rPr>
        <w:t>时的视力严重受损诊断及检查证据。</w:t>
      </w:r>
    </w:p>
    <w:p>
      <w:pPr>
        <w:spacing w:line="242" w:lineRule="auto" w:before="3"/>
        <w:ind w:left="395" w:right="211" w:firstLine="0"/>
        <w:jc w:val="both"/>
        <w:rPr>
          <w:rFonts w:ascii="黑体" w:hAnsi="黑体" w:eastAsia="黑体"/>
          <w:sz w:val="24"/>
        </w:rPr>
      </w:pPr>
      <w:r>
        <w:rPr>
          <w:rFonts w:ascii="黑体" w:hAnsi="黑体" w:eastAsia="黑体"/>
          <w:spacing w:val="-2"/>
          <w:sz w:val="24"/>
        </w:rPr>
        <w:t>如被保险人同时或先后达到“视力严重受损－三周岁开始理赔（见释义</w:t>
      </w:r>
      <w:r>
        <w:rPr>
          <w:rFonts w:ascii="黑体" w:hAnsi="黑体" w:eastAsia="黑体"/>
          <w:spacing w:val="-2"/>
          <w:sz w:val="24"/>
        </w:rPr>
        <w:t> </w:t>
      </w:r>
      <w:r>
        <w:rPr>
          <w:rFonts w:ascii="黑体" w:hAnsi="黑体" w:eastAsia="黑体"/>
          <w:spacing w:val="32"/>
          <w:w w:val="95"/>
          <w:sz w:val="24"/>
        </w:rPr>
        <w:t>14.25</w:t>
      </w:r>
      <w:r>
        <w:rPr>
          <w:rFonts w:ascii="黑体" w:hAnsi="黑体" w:eastAsia="黑体"/>
          <w:spacing w:val="-88"/>
          <w:w w:val="95"/>
          <w:sz w:val="24"/>
        </w:rPr>
        <w:t>）”、“</w:t>
      </w:r>
      <w:r>
        <w:rPr>
          <w:rFonts w:ascii="黑体" w:hAnsi="黑体" w:eastAsia="黑体"/>
          <w:spacing w:val="-2"/>
          <w:w w:val="95"/>
          <w:sz w:val="24"/>
        </w:rPr>
        <w:t>单</w:t>
      </w:r>
      <w:r>
        <w:rPr>
          <w:rFonts w:ascii="黑体" w:hAnsi="黑体" w:eastAsia="黑体"/>
          <w:spacing w:val="-2"/>
          <w:w w:val="95"/>
          <w:sz w:val="24"/>
        </w:rPr>
        <w:t>眼</w:t>
      </w:r>
      <w:r>
        <w:rPr>
          <w:rFonts w:ascii="黑体" w:hAnsi="黑体" w:eastAsia="黑体"/>
          <w:spacing w:val="-2"/>
          <w:w w:val="95"/>
          <w:sz w:val="24"/>
        </w:rPr>
        <w:t>失</w:t>
      </w:r>
      <w:r>
        <w:rPr>
          <w:rFonts w:ascii="黑体" w:hAnsi="黑体" w:eastAsia="黑体"/>
          <w:spacing w:val="-2"/>
          <w:w w:val="95"/>
          <w:sz w:val="24"/>
        </w:rPr>
        <w:t>明</w:t>
      </w:r>
      <w:r>
        <w:rPr>
          <w:rFonts w:ascii="黑体" w:hAnsi="黑体" w:eastAsia="黑体"/>
          <w:spacing w:val="-2"/>
          <w:w w:val="95"/>
          <w:sz w:val="24"/>
        </w:rPr>
        <w:t>－</w:t>
      </w:r>
      <w:r>
        <w:rPr>
          <w:rFonts w:ascii="黑体" w:hAnsi="黑体" w:eastAsia="黑体"/>
          <w:spacing w:val="-2"/>
          <w:w w:val="95"/>
          <w:sz w:val="24"/>
        </w:rPr>
        <w:t>三</w:t>
      </w:r>
      <w:r>
        <w:rPr>
          <w:rFonts w:ascii="黑体" w:hAnsi="黑体" w:eastAsia="黑体"/>
          <w:spacing w:val="-2"/>
          <w:w w:val="95"/>
          <w:sz w:val="24"/>
        </w:rPr>
        <w:t>周</w:t>
      </w:r>
      <w:r>
        <w:rPr>
          <w:rFonts w:ascii="黑体" w:hAnsi="黑体" w:eastAsia="黑体"/>
          <w:spacing w:val="-2"/>
          <w:w w:val="95"/>
          <w:sz w:val="24"/>
        </w:rPr>
        <w:t>岁</w:t>
      </w:r>
      <w:r>
        <w:rPr>
          <w:rFonts w:ascii="黑体" w:hAnsi="黑体" w:eastAsia="黑体"/>
          <w:spacing w:val="-2"/>
          <w:w w:val="95"/>
          <w:sz w:val="24"/>
        </w:rPr>
        <w:t>开</w:t>
      </w:r>
      <w:r>
        <w:rPr>
          <w:rFonts w:ascii="黑体" w:hAnsi="黑体" w:eastAsia="黑体"/>
          <w:spacing w:val="-2"/>
          <w:w w:val="95"/>
          <w:sz w:val="24"/>
        </w:rPr>
        <w:t>始</w:t>
      </w:r>
      <w:r>
        <w:rPr>
          <w:rFonts w:ascii="黑体" w:hAnsi="黑体" w:eastAsia="黑体"/>
          <w:spacing w:val="-2"/>
          <w:w w:val="95"/>
          <w:sz w:val="24"/>
        </w:rPr>
        <w:t>理</w:t>
      </w:r>
      <w:r>
        <w:rPr>
          <w:rFonts w:ascii="黑体" w:hAnsi="黑体" w:eastAsia="黑体"/>
          <w:spacing w:val="-53"/>
          <w:w w:val="95"/>
          <w:sz w:val="24"/>
        </w:rPr>
        <w:t>赔</w:t>
      </w:r>
      <w:r>
        <w:rPr>
          <w:rFonts w:ascii="黑体" w:hAnsi="黑体" w:eastAsia="黑体"/>
          <w:spacing w:val="-2"/>
          <w:w w:val="95"/>
          <w:sz w:val="24"/>
        </w:rPr>
        <w:t>（</w:t>
      </w:r>
      <w:r>
        <w:rPr>
          <w:rFonts w:ascii="黑体" w:hAnsi="黑体" w:eastAsia="黑体"/>
          <w:spacing w:val="-2"/>
          <w:w w:val="95"/>
          <w:sz w:val="24"/>
        </w:rPr>
        <w:t>见</w:t>
      </w:r>
      <w:r>
        <w:rPr>
          <w:rFonts w:ascii="黑体" w:hAnsi="黑体" w:eastAsia="黑体"/>
          <w:spacing w:val="-2"/>
          <w:w w:val="95"/>
          <w:sz w:val="24"/>
        </w:rPr>
        <w:t>释义 </w:t>
      </w:r>
      <w:r>
        <w:rPr>
          <w:rFonts w:ascii="黑体" w:hAnsi="黑体" w:eastAsia="黑体"/>
          <w:spacing w:val="22"/>
          <w:w w:val="95"/>
          <w:sz w:val="24"/>
        </w:rPr>
        <w:t>14.26</w:t>
      </w:r>
      <w:r>
        <w:rPr>
          <w:rFonts w:ascii="黑体" w:hAnsi="黑体" w:eastAsia="黑体"/>
          <w:spacing w:val="-98"/>
          <w:w w:val="95"/>
          <w:sz w:val="24"/>
        </w:rPr>
        <w:t>）</w:t>
      </w:r>
      <w:r>
        <w:rPr>
          <w:rFonts w:ascii="黑体" w:hAnsi="黑体" w:eastAsia="黑体"/>
          <w:spacing w:val="-31"/>
          <w:w w:val="95"/>
          <w:sz w:val="24"/>
        </w:rPr>
        <w:t>”</w:t>
      </w:r>
      <w:r>
        <w:rPr>
          <w:rFonts w:ascii="黑体" w:hAnsi="黑体" w:eastAsia="黑体"/>
          <w:spacing w:val="-53"/>
          <w:w w:val="95"/>
          <w:sz w:val="24"/>
        </w:rPr>
        <w:t>和</w:t>
      </w:r>
      <w:r>
        <w:rPr>
          <w:rFonts w:ascii="黑体" w:hAnsi="黑体" w:eastAsia="黑体"/>
          <w:spacing w:val="-2"/>
          <w:w w:val="95"/>
          <w:sz w:val="24"/>
        </w:rPr>
        <w:t>“</w:t>
      </w:r>
      <w:r>
        <w:rPr>
          <w:rFonts w:ascii="黑体" w:hAnsi="黑体" w:eastAsia="黑体"/>
          <w:spacing w:val="-2"/>
          <w:w w:val="95"/>
          <w:sz w:val="24"/>
        </w:rPr>
        <w:t>角</w:t>
      </w:r>
      <w:r>
        <w:rPr>
          <w:rFonts w:ascii="黑体" w:hAnsi="黑体" w:eastAsia="黑体"/>
          <w:spacing w:val="-2"/>
          <w:w w:val="95"/>
          <w:sz w:val="24"/>
        </w:rPr>
        <w:t>膜</w:t>
      </w:r>
      <w:r>
        <w:rPr>
          <w:rFonts w:ascii="黑体" w:hAnsi="黑体" w:eastAsia="黑体"/>
          <w:spacing w:val="-28"/>
          <w:w w:val="95"/>
          <w:sz w:val="24"/>
        </w:rPr>
        <w:t>移植</w:t>
      </w:r>
      <w:r>
        <w:rPr>
          <w:rFonts w:ascii="黑体" w:hAnsi="黑体" w:eastAsia="黑体"/>
          <w:spacing w:val="-2"/>
          <w:w w:val="95"/>
          <w:sz w:val="24"/>
        </w:rPr>
        <w:t>（</w:t>
      </w:r>
      <w:r>
        <w:rPr>
          <w:rFonts w:ascii="黑体" w:hAnsi="黑体" w:eastAsia="黑体"/>
          <w:spacing w:val="-2"/>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7"/>
          <w:w w:val="95"/>
          <w:sz w:val="24"/>
        </w:rPr>
        <w:t>14.27</w:t>
      </w:r>
      <w:r>
        <w:rPr>
          <w:rFonts w:ascii="黑体" w:hAnsi="黑体" w:eastAsia="黑体"/>
          <w:spacing w:val="-103"/>
          <w:w w:val="95"/>
          <w:sz w:val="24"/>
        </w:rPr>
        <w:t>）</w:t>
      </w:r>
      <w:r>
        <w:rPr>
          <w:rFonts w:ascii="黑体" w:hAnsi="黑体" w:eastAsia="黑体"/>
          <w:spacing w:val="12"/>
          <w:w w:val="95"/>
          <w:sz w:val="24"/>
        </w:rPr>
        <w:t>”</w:t>
      </w:r>
      <w:r>
        <w:rPr>
          <w:rFonts w:ascii="黑体" w:hAnsi="黑体" w:eastAsia="黑体"/>
          <w:w w:val="95"/>
          <w:sz w:val="24"/>
        </w:rPr>
        <w:t>的</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标</w:t>
      </w:r>
      <w:r>
        <w:rPr>
          <w:rFonts w:ascii="黑体" w:hAnsi="黑体" w:eastAsia="黑体"/>
          <w:w w:val="95"/>
          <w:sz w:val="24"/>
        </w:rPr>
        <w:t>准</w:t>
      </w:r>
      <w:r>
        <w:rPr>
          <w:rFonts w:ascii="黑体" w:hAnsi="黑体" w:eastAsia="黑体"/>
          <w:w w:val="95"/>
          <w:sz w:val="24"/>
        </w:rPr>
        <w:t>，</w:t>
      </w:r>
      <w:r>
        <w:rPr>
          <w:rFonts w:ascii="黑体" w:hAnsi="黑体" w:eastAsia="黑体"/>
          <w:w w:val="95"/>
          <w:sz w:val="24"/>
        </w:rPr>
        <w:t>我</w:t>
      </w:r>
      <w:r>
        <w:rPr>
          <w:rFonts w:ascii="黑体" w:hAnsi="黑体" w:eastAsia="黑体"/>
          <w:w w:val="95"/>
          <w:sz w:val="24"/>
        </w:rPr>
        <w:t>们</w:t>
      </w:r>
      <w:r>
        <w:rPr>
          <w:rFonts w:ascii="黑体" w:hAnsi="黑体" w:eastAsia="黑体"/>
          <w:w w:val="95"/>
          <w:sz w:val="24"/>
        </w:rPr>
        <w:t>仅</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其</w:t>
      </w:r>
      <w:r>
        <w:rPr>
          <w:rFonts w:ascii="黑体" w:hAnsi="黑体" w:eastAsia="黑体"/>
          <w:w w:val="95"/>
          <w:sz w:val="24"/>
        </w:rPr>
        <w:t>中</w:t>
      </w:r>
      <w:r>
        <w:rPr>
          <w:rFonts w:ascii="黑体" w:hAnsi="黑体" w:eastAsia="黑体"/>
          <w:w w:val="95"/>
          <w:sz w:val="24"/>
        </w:rPr>
        <w:t>一</w:t>
      </w:r>
      <w:r>
        <w:rPr>
          <w:rFonts w:ascii="黑体" w:hAnsi="黑体" w:eastAsia="黑体"/>
          <w:w w:val="95"/>
          <w:sz w:val="24"/>
        </w:rPr>
        <w:t>项</w:t>
      </w:r>
      <w:r>
        <w:rPr>
          <w:rFonts w:ascii="黑体" w:hAnsi="黑体" w:eastAsia="黑体"/>
          <w:w w:val="95"/>
          <w:sz w:val="24"/>
        </w:rPr>
        <w:t>轻</w:t>
      </w:r>
      <w:r>
        <w:rPr>
          <w:rFonts w:ascii="黑体" w:hAnsi="黑体" w:eastAsia="黑体"/>
          <w:w w:val="95"/>
          <w:sz w:val="24"/>
        </w:rPr>
        <w:t>症</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金</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后</w:t>
      </w:r>
      <w:r>
        <w:rPr>
          <w:rFonts w:ascii="黑体" w:hAnsi="黑体" w:eastAsia="黑体"/>
          <w:spacing w:val="-2"/>
          <w:sz w:val="24"/>
        </w:rPr>
        <w:t>另外两个病种的轻症责任终止。</w:t>
      </w:r>
    </w:p>
    <w:p>
      <w:pPr>
        <w:spacing w:after="0" w:line="242" w:lineRule="auto"/>
        <w:jc w:val="both"/>
        <w:rPr>
          <w:rFonts w:ascii="黑体" w:hAnsi="黑体" w:eastAsia="黑体"/>
          <w:sz w:val="24"/>
        </w:rPr>
        <w:sectPr>
          <w:type w:val="continuous"/>
          <w:pgSz w:w="11910" w:h="16840"/>
          <w:pgMar w:header="0" w:footer="1120" w:top="1120" w:bottom="1300" w:left="1020" w:right="1020"/>
          <w:cols w:num="2" w:equalWidth="0">
            <w:col w:w="1281" w:space="245"/>
            <w:col w:w="8344"/>
          </w:cols>
        </w:sectPr>
      </w:pPr>
    </w:p>
    <w:p>
      <w:pPr>
        <w:pStyle w:val="BodyText"/>
        <w:spacing w:before="5"/>
        <w:rPr>
          <w:rFonts w:ascii="黑体"/>
          <w:sz w:val="14"/>
        </w:rPr>
      </w:pPr>
    </w:p>
    <w:p>
      <w:pPr>
        <w:pStyle w:val="ListParagraph"/>
        <w:numPr>
          <w:ilvl w:val="1"/>
          <w:numId w:val="20"/>
        </w:numPr>
        <w:tabs>
          <w:tab w:pos="968" w:val="left" w:leader="none"/>
        </w:tabs>
        <w:spacing w:line="240" w:lineRule="auto" w:before="72" w:after="0"/>
        <w:ind w:left="967" w:right="0" w:hanging="573"/>
        <w:jc w:val="left"/>
        <w:rPr>
          <w:rFonts w:ascii="楷体" w:eastAsia="楷体" w:hint="eastAsia"/>
          <w:b/>
          <w:sz w:val="21"/>
        </w:rPr>
      </w:pPr>
      <w:r>
        <w:rPr>
          <w:rFonts w:ascii="楷体" w:eastAsia="楷体" w:hint="eastAsia"/>
          <w:b/>
          <w:spacing w:val="5"/>
          <w:sz w:val="21"/>
        </w:rPr>
        <w:t>单眼失明 </w:t>
      </w:r>
      <w:r>
        <w:rPr>
          <w:spacing w:val="-3"/>
          <w:sz w:val="21"/>
        </w:rPr>
        <w:t>指因疾病或意外伤害导致单眼视力永久不可逆性丧失，且须满足下列至少一项条件：</w:t>
      </w:r>
    </w:p>
    <w:p>
      <w:pPr>
        <w:spacing w:before="43"/>
        <w:ind w:left="395" w:right="0" w:firstLine="0"/>
        <w:jc w:val="left"/>
        <w:rPr>
          <w:sz w:val="21"/>
        </w:rPr>
      </w:pPr>
      <w:r>
        <w:rPr>
          <w:rFonts w:ascii="楷体" w:hAnsi="楷体" w:eastAsia="楷体" w:hint="eastAsia"/>
          <w:b/>
          <w:spacing w:val="2"/>
          <w:sz w:val="21"/>
        </w:rPr>
        <w:t>— 三周岁开始 </w:t>
      </w:r>
      <w:r>
        <w:rPr>
          <w:sz w:val="21"/>
        </w:rPr>
        <w:t>（</w:t>
      </w:r>
      <w:r>
        <w:rPr>
          <w:rFonts w:ascii="Times New Roman" w:hAnsi="Times New Roman" w:eastAsia="Times New Roman"/>
          <w:sz w:val="21"/>
        </w:rPr>
        <w:t>1</w:t>
      </w:r>
      <w:r>
        <w:rPr>
          <w:sz w:val="21"/>
        </w:rPr>
        <w:t>）</w:t>
      </w:r>
      <w:r>
        <w:rPr>
          <w:spacing w:val="-2"/>
          <w:sz w:val="21"/>
        </w:rPr>
        <w:t>眼球缺失或摘除；</w:t>
      </w:r>
    </w:p>
    <w:p>
      <w:pPr>
        <w:pStyle w:val="BodyText"/>
        <w:tabs>
          <w:tab w:pos="1922" w:val="left" w:leader="none"/>
        </w:tabs>
        <w:ind w:left="395"/>
      </w:pPr>
      <w:r>
        <w:rPr>
          <w:rFonts w:ascii="楷体" w:eastAsia="楷体" w:hint="eastAsia"/>
          <w:b/>
        </w:rPr>
        <w:t>理</w:t>
      </w:r>
      <w:r>
        <w:rPr>
          <w:rFonts w:ascii="楷体" w:eastAsia="楷体" w:hint="eastAsia"/>
          <w:b/>
          <w:spacing w:val="-10"/>
        </w:rPr>
        <w:t>赔</w:t>
      </w:r>
      <w:r>
        <w:rPr>
          <w:rFonts w:ascii="楷体" w:eastAsia="楷体" w:hint="eastAsia"/>
          <w:b/>
        </w:rPr>
        <w:tab/>
      </w:r>
      <w:r>
        <w:rPr>
          <w:spacing w:val="-2"/>
        </w:rPr>
        <w:t>（</w:t>
      </w:r>
      <w:r>
        <w:rPr>
          <w:rFonts w:ascii="Times New Roman" w:eastAsia="Times New Roman"/>
          <w:spacing w:val="-2"/>
        </w:rPr>
        <w:t>2</w:t>
      </w:r>
      <w:r>
        <w:rPr>
          <w:spacing w:val="-2"/>
        </w:rPr>
        <w:t>）矫正视力</w:t>
      </w:r>
      <w:r>
        <w:rPr>
          <w:spacing w:val="-2"/>
        </w:rPr>
        <w:t>低</w:t>
      </w:r>
      <w:r>
        <w:rPr>
          <w:spacing w:val="-2"/>
        </w:rPr>
        <w:t>于</w:t>
      </w:r>
      <w:r>
        <w:rPr>
          <w:spacing w:val="-24"/>
        </w:rPr>
        <w:t> </w:t>
      </w:r>
      <w:r>
        <w:rPr>
          <w:rFonts w:ascii="Times New Roman" w:eastAsia="Times New Roman"/>
          <w:spacing w:val="-2"/>
        </w:rPr>
        <w:t>0.02</w:t>
      </w:r>
      <w:r>
        <w:rPr>
          <w:spacing w:val="-2"/>
        </w:rPr>
        <w:t>（</w:t>
      </w:r>
      <w:r>
        <w:rPr>
          <w:spacing w:val="-2"/>
        </w:rPr>
        <w:t>采</w:t>
      </w:r>
      <w:r>
        <w:rPr>
          <w:spacing w:val="-2"/>
        </w:rPr>
        <w:t>用</w:t>
      </w:r>
      <w:r>
        <w:rPr>
          <w:spacing w:val="-2"/>
        </w:rPr>
        <w:t>国际标准视力表，如</w:t>
      </w:r>
      <w:r>
        <w:rPr>
          <w:spacing w:val="-2"/>
        </w:rPr>
        <w:t>果</w:t>
      </w:r>
      <w:r>
        <w:rPr>
          <w:spacing w:val="-2"/>
        </w:rPr>
        <w:t>使</w:t>
      </w:r>
      <w:r>
        <w:rPr>
          <w:spacing w:val="-2"/>
        </w:rPr>
        <w:t>用其它视力表应进行</w:t>
      </w:r>
      <w:r>
        <w:rPr>
          <w:spacing w:val="-2"/>
        </w:rPr>
        <w:t>换</w:t>
      </w:r>
      <w:r>
        <w:rPr>
          <w:spacing w:val="-2"/>
        </w:rPr>
        <w:t>算</w:t>
      </w:r>
      <w:r>
        <w:rPr>
          <w:spacing w:val="-113"/>
        </w:rPr>
        <w:t>）</w:t>
      </w:r>
      <w:r>
        <w:rPr>
          <w:spacing w:val="-5"/>
        </w:rPr>
        <w:t>；</w:t>
      </w:r>
    </w:p>
    <w:p>
      <w:pPr>
        <w:pStyle w:val="ListParagraph"/>
        <w:numPr>
          <w:ilvl w:val="0"/>
          <w:numId w:val="109"/>
        </w:numPr>
        <w:tabs>
          <w:tab w:pos="2452" w:val="left" w:leader="none"/>
        </w:tabs>
        <w:spacing w:line="240" w:lineRule="auto" w:before="43" w:after="0"/>
        <w:ind w:left="2451" w:right="0" w:hanging="530"/>
        <w:jc w:val="left"/>
        <w:rPr>
          <w:sz w:val="21"/>
        </w:rPr>
      </w:pPr>
      <w:r>
        <w:rPr>
          <w:spacing w:val="-8"/>
          <w:sz w:val="21"/>
        </w:rPr>
        <w:t>视野半径小于 </w:t>
      </w:r>
      <w:r>
        <w:rPr>
          <w:rFonts w:ascii="Times New Roman" w:eastAsia="Times New Roman"/>
          <w:sz w:val="21"/>
        </w:rPr>
        <w:t>5</w:t>
      </w:r>
      <w:r>
        <w:rPr>
          <w:rFonts w:ascii="Times New Roman" w:eastAsia="Times New Roman"/>
          <w:spacing w:val="-9"/>
          <w:sz w:val="21"/>
        </w:rPr>
        <w:t> </w:t>
      </w:r>
      <w:r>
        <w:rPr>
          <w:spacing w:val="-5"/>
          <w:sz w:val="21"/>
        </w:rPr>
        <w:t>度。</w:t>
      </w:r>
    </w:p>
    <w:p>
      <w:pPr>
        <w:spacing w:line="242" w:lineRule="auto" w:before="20"/>
        <w:ind w:left="1922" w:right="213" w:firstLine="0"/>
        <w:jc w:val="left"/>
        <w:rPr>
          <w:rFonts w:ascii="黑体" w:eastAsia="黑体"/>
          <w:sz w:val="24"/>
        </w:rPr>
      </w:pPr>
      <w:r>
        <w:rPr>
          <w:rFonts w:ascii="黑体" w:eastAsia="黑体"/>
          <w:spacing w:val="-2"/>
          <w:sz w:val="24"/>
        </w:rPr>
        <w:t>申请理赔时，被保险人年龄必须在三周岁（含）以上，并且须提供理赔当</w:t>
      </w:r>
      <w:r>
        <w:rPr>
          <w:rFonts w:ascii="黑体" w:eastAsia="黑体"/>
          <w:spacing w:val="-2"/>
          <w:sz w:val="24"/>
        </w:rPr>
        <w:t>时的单眼失明诊断及检查证据。</w:t>
      </w:r>
    </w:p>
    <w:p>
      <w:pPr>
        <w:spacing w:line="242" w:lineRule="auto" w:before="3"/>
        <w:ind w:left="1922" w:right="211" w:firstLine="0"/>
        <w:jc w:val="both"/>
        <w:rPr>
          <w:rFonts w:ascii="黑体" w:hAnsi="黑体" w:eastAsia="黑体"/>
          <w:sz w:val="24"/>
        </w:rPr>
      </w:pPr>
      <w:r>
        <w:rPr>
          <w:rFonts w:ascii="黑体" w:hAnsi="黑体" w:eastAsia="黑体"/>
          <w:spacing w:val="-2"/>
          <w:sz w:val="24"/>
        </w:rPr>
        <w:t>如被保险人同时或先后达到“视力严重受损－三周岁开始理赔（见释义</w:t>
      </w:r>
      <w:r>
        <w:rPr>
          <w:rFonts w:ascii="黑体" w:hAnsi="黑体" w:eastAsia="黑体"/>
          <w:spacing w:val="-2"/>
          <w:sz w:val="24"/>
        </w:rPr>
        <w:t> </w:t>
      </w:r>
      <w:r>
        <w:rPr>
          <w:rFonts w:ascii="黑体" w:hAnsi="黑体" w:eastAsia="黑体"/>
          <w:spacing w:val="32"/>
          <w:w w:val="95"/>
          <w:sz w:val="24"/>
        </w:rPr>
        <w:t>14.25</w:t>
      </w:r>
      <w:r>
        <w:rPr>
          <w:rFonts w:ascii="黑体" w:hAnsi="黑体" w:eastAsia="黑体"/>
          <w:spacing w:val="-88"/>
          <w:w w:val="95"/>
          <w:sz w:val="24"/>
        </w:rPr>
        <w:t>）”、“</w:t>
      </w:r>
      <w:r>
        <w:rPr>
          <w:rFonts w:ascii="黑体" w:hAnsi="黑体" w:eastAsia="黑体"/>
          <w:spacing w:val="-2"/>
          <w:w w:val="95"/>
          <w:sz w:val="24"/>
        </w:rPr>
        <w:t>单</w:t>
      </w:r>
      <w:r>
        <w:rPr>
          <w:rFonts w:ascii="黑体" w:hAnsi="黑体" w:eastAsia="黑体"/>
          <w:spacing w:val="-2"/>
          <w:w w:val="95"/>
          <w:sz w:val="24"/>
        </w:rPr>
        <w:t>眼</w:t>
      </w:r>
      <w:r>
        <w:rPr>
          <w:rFonts w:ascii="黑体" w:hAnsi="黑体" w:eastAsia="黑体"/>
          <w:spacing w:val="-2"/>
          <w:w w:val="95"/>
          <w:sz w:val="24"/>
        </w:rPr>
        <w:t>失</w:t>
      </w:r>
      <w:r>
        <w:rPr>
          <w:rFonts w:ascii="黑体" w:hAnsi="黑体" w:eastAsia="黑体"/>
          <w:spacing w:val="-2"/>
          <w:w w:val="95"/>
          <w:sz w:val="24"/>
        </w:rPr>
        <w:t>明</w:t>
      </w:r>
      <w:r>
        <w:rPr>
          <w:rFonts w:ascii="黑体" w:hAnsi="黑体" w:eastAsia="黑体"/>
          <w:spacing w:val="-2"/>
          <w:w w:val="95"/>
          <w:sz w:val="24"/>
        </w:rPr>
        <w:t>－</w:t>
      </w:r>
      <w:r>
        <w:rPr>
          <w:rFonts w:ascii="黑体" w:hAnsi="黑体" w:eastAsia="黑体"/>
          <w:spacing w:val="-2"/>
          <w:w w:val="95"/>
          <w:sz w:val="24"/>
        </w:rPr>
        <w:t>三</w:t>
      </w:r>
      <w:r>
        <w:rPr>
          <w:rFonts w:ascii="黑体" w:hAnsi="黑体" w:eastAsia="黑体"/>
          <w:spacing w:val="-2"/>
          <w:w w:val="95"/>
          <w:sz w:val="24"/>
        </w:rPr>
        <w:t>周</w:t>
      </w:r>
      <w:r>
        <w:rPr>
          <w:rFonts w:ascii="黑体" w:hAnsi="黑体" w:eastAsia="黑体"/>
          <w:spacing w:val="-2"/>
          <w:w w:val="95"/>
          <w:sz w:val="24"/>
        </w:rPr>
        <w:t>岁</w:t>
      </w:r>
      <w:r>
        <w:rPr>
          <w:rFonts w:ascii="黑体" w:hAnsi="黑体" w:eastAsia="黑体"/>
          <w:spacing w:val="-2"/>
          <w:w w:val="95"/>
          <w:sz w:val="24"/>
        </w:rPr>
        <w:t>开</w:t>
      </w:r>
      <w:r>
        <w:rPr>
          <w:rFonts w:ascii="黑体" w:hAnsi="黑体" w:eastAsia="黑体"/>
          <w:spacing w:val="-2"/>
          <w:w w:val="95"/>
          <w:sz w:val="24"/>
        </w:rPr>
        <w:t>始</w:t>
      </w:r>
      <w:r>
        <w:rPr>
          <w:rFonts w:ascii="黑体" w:hAnsi="黑体" w:eastAsia="黑体"/>
          <w:spacing w:val="-2"/>
          <w:w w:val="95"/>
          <w:sz w:val="24"/>
        </w:rPr>
        <w:t>理</w:t>
      </w:r>
      <w:r>
        <w:rPr>
          <w:rFonts w:ascii="黑体" w:hAnsi="黑体" w:eastAsia="黑体"/>
          <w:spacing w:val="-53"/>
          <w:w w:val="95"/>
          <w:sz w:val="24"/>
        </w:rPr>
        <w:t>赔</w:t>
      </w:r>
      <w:r>
        <w:rPr>
          <w:rFonts w:ascii="黑体" w:hAnsi="黑体" w:eastAsia="黑体"/>
          <w:spacing w:val="-2"/>
          <w:w w:val="95"/>
          <w:sz w:val="24"/>
        </w:rPr>
        <w:t>（</w:t>
      </w:r>
      <w:r>
        <w:rPr>
          <w:rFonts w:ascii="黑体" w:hAnsi="黑体" w:eastAsia="黑体"/>
          <w:spacing w:val="-2"/>
          <w:w w:val="95"/>
          <w:sz w:val="24"/>
        </w:rPr>
        <w:t>见</w:t>
      </w:r>
      <w:r>
        <w:rPr>
          <w:rFonts w:ascii="黑体" w:hAnsi="黑体" w:eastAsia="黑体"/>
          <w:spacing w:val="-2"/>
          <w:w w:val="95"/>
          <w:sz w:val="24"/>
        </w:rPr>
        <w:t>释义 </w:t>
      </w:r>
      <w:r>
        <w:rPr>
          <w:rFonts w:ascii="黑体" w:hAnsi="黑体" w:eastAsia="黑体"/>
          <w:spacing w:val="22"/>
          <w:w w:val="95"/>
          <w:sz w:val="24"/>
        </w:rPr>
        <w:t>14.26</w:t>
      </w:r>
      <w:r>
        <w:rPr>
          <w:rFonts w:ascii="黑体" w:hAnsi="黑体" w:eastAsia="黑体"/>
          <w:spacing w:val="-98"/>
          <w:w w:val="95"/>
          <w:sz w:val="24"/>
        </w:rPr>
        <w:t>）</w:t>
      </w:r>
      <w:r>
        <w:rPr>
          <w:rFonts w:ascii="黑体" w:hAnsi="黑体" w:eastAsia="黑体"/>
          <w:spacing w:val="-31"/>
          <w:w w:val="95"/>
          <w:sz w:val="24"/>
        </w:rPr>
        <w:t>”</w:t>
      </w:r>
      <w:r>
        <w:rPr>
          <w:rFonts w:ascii="黑体" w:hAnsi="黑体" w:eastAsia="黑体"/>
          <w:spacing w:val="-53"/>
          <w:w w:val="95"/>
          <w:sz w:val="24"/>
        </w:rPr>
        <w:t>和</w:t>
      </w:r>
      <w:r>
        <w:rPr>
          <w:rFonts w:ascii="黑体" w:hAnsi="黑体" w:eastAsia="黑体"/>
          <w:spacing w:val="-2"/>
          <w:w w:val="95"/>
          <w:sz w:val="24"/>
        </w:rPr>
        <w:t>“</w:t>
      </w:r>
      <w:r>
        <w:rPr>
          <w:rFonts w:ascii="黑体" w:hAnsi="黑体" w:eastAsia="黑体"/>
          <w:spacing w:val="-2"/>
          <w:w w:val="95"/>
          <w:sz w:val="24"/>
        </w:rPr>
        <w:t>角</w:t>
      </w:r>
      <w:r>
        <w:rPr>
          <w:rFonts w:ascii="黑体" w:hAnsi="黑体" w:eastAsia="黑体"/>
          <w:spacing w:val="-2"/>
          <w:w w:val="95"/>
          <w:sz w:val="24"/>
        </w:rPr>
        <w:t>膜</w:t>
      </w:r>
      <w:r>
        <w:rPr>
          <w:rFonts w:ascii="黑体" w:hAnsi="黑体" w:eastAsia="黑体"/>
          <w:spacing w:val="-28"/>
          <w:w w:val="95"/>
          <w:sz w:val="24"/>
        </w:rPr>
        <w:t>移植</w:t>
      </w:r>
      <w:r>
        <w:rPr>
          <w:rFonts w:ascii="黑体" w:hAnsi="黑体" w:eastAsia="黑体"/>
          <w:spacing w:val="-2"/>
          <w:w w:val="95"/>
          <w:sz w:val="24"/>
        </w:rPr>
        <w:t>（</w:t>
      </w:r>
      <w:r>
        <w:rPr>
          <w:rFonts w:ascii="黑体" w:hAnsi="黑体" w:eastAsia="黑体"/>
          <w:spacing w:val="-2"/>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7"/>
          <w:w w:val="95"/>
          <w:sz w:val="24"/>
        </w:rPr>
        <w:t>14.27</w:t>
      </w:r>
      <w:r>
        <w:rPr>
          <w:rFonts w:ascii="黑体" w:hAnsi="黑体" w:eastAsia="黑体"/>
          <w:spacing w:val="-103"/>
          <w:w w:val="95"/>
          <w:sz w:val="24"/>
        </w:rPr>
        <w:t>）</w:t>
      </w:r>
      <w:r>
        <w:rPr>
          <w:rFonts w:ascii="黑体" w:hAnsi="黑体" w:eastAsia="黑体"/>
          <w:spacing w:val="12"/>
          <w:w w:val="95"/>
          <w:sz w:val="24"/>
        </w:rPr>
        <w:t>”</w:t>
      </w:r>
      <w:r>
        <w:rPr>
          <w:rFonts w:ascii="黑体" w:hAnsi="黑体" w:eastAsia="黑体"/>
          <w:w w:val="95"/>
          <w:sz w:val="24"/>
        </w:rPr>
        <w:t>的</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标</w:t>
      </w:r>
      <w:r>
        <w:rPr>
          <w:rFonts w:ascii="黑体" w:hAnsi="黑体" w:eastAsia="黑体"/>
          <w:w w:val="95"/>
          <w:sz w:val="24"/>
        </w:rPr>
        <w:t>准</w:t>
      </w:r>
      <w:r>
        <w:rPr>
          <w:rFonts w:ascii="黑体" w:hAnsi="黑体" w:eastAsia="黑体"/>
          <w:w w:val="95"/>
          <w:sz w:val="24"/>
        </w:rPr>
        <w:t>，</w:t>
      </w:r>
      <w:r>
        <w:rPr>
          <w:rFonts w:ascii="黑体" w:hAnsi="黑体" w:eastAsia="黑体"/>
          <w:w w:val="95"/>
          <w:sz w:val="24"/>
        </w:rPr>
        <w:t>我</w:t>
      </w:r>
      <w:r>
        <w:rPr>
          <w:rFonts w:ascii="黑体" w:hAnsi="黑体" w:eastAsia="黑体"/>
          <w:w w:val="95"/>
          <w:sz w:val="24"/>
        </w:rPr>
        <w:t>们</w:t>
      </w:r>
      <w:r>
        <w:rPr>
          <w:rFonts w:ascii="黑体" w:hAnsi="黑体" w:eastAsia="黑体"/>
          <w:w w:val="95"/>
          <w:sz w:val="24"/>
        </w:rPr>
        <w:t>仅</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其</w:t>
      </w:r>
      <w:r>
        <w:rPr>
          <w:rFonts w:ascii="黑体" w:hAnsi="黑体" w:eastAsia="黑体"/>
          <w:w w:val="95"/>
          <w:sz w:val="24"/>
        </w:rPr>
        <w:t>中</w:t>
      </w:r>
      <w:r>
        <w:rPr>
          <w:rFonts w:ascii="黑体" w:hAnsi="黑体" w:eastAsia="黑体"/>
          <w:w w:val="95"/>
          <w:sz w:val="24"/>
        </w:rPr>
        <w:t>一</w:t>
      </w:r>
      <w:r>
        <w:rPr>
          <w:rFonts w:ascii="黑体" w:hAnsi="黑体" w:eastAsia="黑体"/>
          <w:w w:val="95"/>
          <w:sz w:val="24"/>
        </w:rPr>
        <w:t>项</w:t>
      </w:r>
      <w:r>
        <w:rPr>
          <w:rFonts w:ascii="黑体" w:hAnsi="黑体" w:eastAsia="黑体"/>
          <w:w w:val="95"/>
          <w:sz w:val="24"/>
        </w:rPr>
        <w:t>轻</w:t>
      </w:r>
      <w:r>
        <w:rPr>
          <w:rFonts w:ascii="黑体" w:hAnsi="黑体" w:eastAsia="黑体"/>
          <w:w w:val="95"/>
          <w:sz w:val="24"/>
        </w:rPr>
        <w:t>症</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金</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后</w:t>
      </w:r>
      <w:r>
        <w:rPr>
          <w:rFonts w:ascii="黑体" w:hAnsi="黑体" w:eastAsia="黑体"/>
          <w:spacing w:val="-2"/>
          <w:sz w:val="24"/>
        </w:rPr>
        <w:t>另外两个病种的轻症责任终止。</w:t>
      </w:r>
    </w:p>
    <w:p>
      <w:pPr>
        <w:pStyle w:val="BodyText"/>
        <w:spacing w:before="3"/>
        <w:rPr>
          <w:rFonts w:ascii="黑体"/>
          <w:sz w:val="14"/>
        </w:rPr>
      </w:pPr>
    </w:p>
    <w:p>
      <w:pPr>
        <w:pStyle w:val="ListParagraph"/>
        <w:numPr>
          <w:ilvl w:val="1"/>
          <w:numId w:val="20"/>
        </w:numPr>
        <w:tabs>
          <w:tab w:pos="968" w:val="left" w:leader="none"/>
        </w:tabs>
        <w:spacing w:line="278" w:lineRule="auto" w:before="71" w:after="0"/>
        <w:ind w:left="1922" w:right="1427" w:hanging="1527"/>
        <w:jc w:val="left"/>
        <w:rPr>
          <w:rFonts w:ascii="楷体" w:eastAsia="楷体" w:hint="eastAsia"/>
          <w:b/>
          <w:sz w:val="21"/>
        </w:rPr>
      </w:pPr>
      <w:r>
        <w:rPr>
          <w:rFonts w:ascii="楷体" w:eastAsia="楷体" w:hint="eastAsia"/>
          <w:b/>
          <w:spacing w:val="-5"/>
          <w:sz w:val="21"/>
        </w:rPr>
        <w:t>角膜移植 </w:t>
      </w:r>
      <w:r>
        <w:rPr>
          <w:sz w:val="21"/>
        </w:rPr>
        <w:t>指为增进视力或治疗某些角膜疾患，已经实施了异体的角膜移植手术。</w:t>
      </w:r>
      <w:r>
        <w:rPr>
          <w:spacing w:val="-2"/>
          <w:sz w:val="21"/>
        </w:rPr>
        <w:t>并经相关专科医生确诊该手术是在医疗必需的情况下进行的。</w:t>
      </w:r>
    </w:p>
    <w:p>
      <w:pPr>
        <w:spacing w:line="284" w:lineRule="exact" w:before="0"/>
        <w:ind w:left="1922" w:right="0" w:firstLine="0"/>
        <w:jc w:val="left"/>
        <w:rPr>
          <w:rFonts w:ascii="黑体" w:hAnsi="黑体" w:eastAsia="黑体"/>
          <w:sz w:val="24"/>
        </w:rPr>
      </w:pPr>
      <w:r>
        <w:rPr>
          <w:rFonts w:ascii="黑体" w:hAnsi="黑体" w:eastAsia="黑体"/>
          <w:sz w:val="24"/>
        </w:rPr>
        <w:t>如被保险人同时或先后达到“视力严重受损－三周岁开始理赔（</w:t>
      </w:r>
      <w:r>
        <w:rPr>
          <w:rFonts w:ascii="黑体" w:hAnsi="黑体" w:eastAsia="黑体"/>
          <w:spacing w:val="-4"/>
          <w:sz w:val="24"/>
        </w:rPr>
        <w:t>见释义</w:t>
      </w:r>
    </w:p>
    <w:p>
      <w:pPr>
        <w:spacing w:line="242" w:lineRule="auto" w:before="5"/>
        <w:ind w:left="1922" w:right="216" w:firstLine="0"/>
        <w:jc w:val="both"/>
        <w:rPr>
          <w:rFonts w:ascii="黑体" w:hAnsi="黑体" w:eastAsia="黑体"/>
          <w:sz w:val="24"/>
        </w:rPr>
      </w:pPr>
      <w:r>
        <w:rPr>
          <w:rFonts w:ascii="黑体" w:hAnsi="黑体" w:eastAsia="黑体"/>
          <w:spacing w:val="32"/>
          <w:w w:val="95"/>
          <w:sz w:val="24"/>
        </w:rPr>
        <w:t>14.25</w:t>
      </w:r>
      <w:r>
        <w:rPr>
          <w:rFonts w:ascii="黑体" w:hAnsi="黑体" w:eastAsia="黑体"/>
          <w:spacing w:val="-88"/>
          <w:w w:val="95"/>
          <w:sz w:val="24"/>
        </w:rPr>
        <w:t>）”、“</w:t>
      </w:r>
      <w:r>
        <w:rPr>
          <w:rFonts w:ascii="黑体" w:hAnsi="黑体" w:eastAsia="黑体"/>
          <w:spacing w:val="-2"/>
          <w:w w:val="95"/>
          <w:sz w:val="24"/>
        </w:rPr>
        <w:t>单</w:t>
      </w:r>
      <w:r>
        <w:rPr>
          <w:rFonts w:ascii="黑体" w:hAnsi="黑体" w:eastAsia="黑体"/>
          <w:spacing w:val="-2"/>
          <w:w w:val="95"/>
          <w:sz w:val="24"/>
        </w:rPr>
        <w:t>眼</w:t>
      </w:r>
      <w:r>
        <w:rPr>
          <w:rFonts w:ascii="黑体" w:hAnsi="黑体" w:eastAsia="黑体"/>
          <w:spacing w:val="-2"/>
          <w:w w:val="95"/>
          <w:sz w:val="24"/>
        </w:rPr>
        <w:t>失</w:t>
      </w:r>
      <w:r>
        <w:rPr>
          <w:rFonts w:ascii="黑体" w:hAnsi="黑体" w:eastAsia="黑体"/>
          <w:spacing w:val="-2"/>
          <w:w w:val="95"/>
          <w:sz w:val="24"/>
        </w:rPr>
        <w:t>明</w:t>
      </w:r>
      <w:r>
        <w:rPr>
          <w:rFonts w:ascii="黑体" w:hAnsi="黑体" w:eastAsia="黑体"/>
          <w:spacing w:val="-2"/>
          <w:w w:val="95"/>
          <w:sz w:val="24"/>
        </w:rPr>
        <w:t>－</w:t>
      </w:r>
      <w:r>
        <w:rPr>
          <w:rFonts w:ascii="黑体" w:hAnsi="黑体" w:eastAsia="黑体"/>
          <w:spacing w:val="-2"/>
          <w:w w:val="95"/>
          <w:sz w:val="24"/>
        </w:rPr>
        <w:t>三</w:t>
      </w:r>
      <w:r>
        <w:rPr>
          <w:rFonts w:ascii="黑体" w:hAnsi="黑体" w:eastAsia="黑体"/>
          <w:spacing w:val="-2"/>
          <w:w w:val="95"/>
          <w:sz w:val="24"/>
        </w:rPr>
        <w:t>周</w:t>
      </w:r>
      <w:r>
        <w:rPr>
          <w:rFonts w:ascii="黑体" w:hAnsi="黑体" w:eastAsia="黑体"/>
          <w:spacing w:val="-2"/>
          <w:w w:val="95"/>
          <w:sz w:val="24"/>
        </w:rPr>
        <w:t>岁</w:t>
      </w:r>
      <w:r>
        <w:rPr>
          <w:rFonts w:ascii="黑体" w:hAnsi="黑体" w:eastAsia="黑体"/>
          <w:spacing w:val="-2"/>
          <w:w w:val="95"/>
          <w:sz w:val="24"/>
        </w:rPr>
        <w:t>开</w:t>
      </w:r>
      <w:r>
        <w:rPr>
          <w:rFonts w:ascii="黑体" w:hAnsi="黑体" w:eastAsia="黑体"/>
          <w:spacing w:val="-2"/>
          <w:w w:val="95"/>
          <w:sz w:val="24"/>
        </w:rPr>
        <w:t>始</w:t>
      </w:r>
      <w:r>
        <w:rPr>
          <w:rFonts w:ascii="黑体" w:hAnsi="黑体" w:eastAsia="黑体"/>
          <w:spacing w:val="-2"/>
          <w:w w:val="95"/>
          <w:sz w:val="24"/>
        </w:rPr>
        <w:t>理</w:t>
      </w:r>
      <w:r>
        <w:rPr>
          <w:rFonts w:ascii="黑体" w:hAnsi="黑体" w:eastAsia="黑体"/>
          <w:spacing w:val="-53"/>
          <w:w w:val="95"/>
          <w:sz w:val="24"/>
        </w:rPr>
        <w:t>赔</w:t>
      </w:r>
      <w:r>
        <w:rPr>
          <w:rFonts w:ascii="黑体" w:hAnsi="黑体" w:eastAsia="黑体"/>
          <w:spacing w:val="-2"/>
          <w:w w:val="95"/>
          <w:sz w:val="24"/>
        </w:rPr>
        <w:t>（</w:t>
      </w:r>
      <w:r>
        <w:rPr>
          <w:rFonts w:ascii="黑体" w:hAnsi="黑体" w:eastAsia="黑体"/>
          <w:spacing w:val="-2"/>
          <w:w w:val="95"/>
          <w:sz w:val="24"/>
        </w:rPr>
        <w:t>见</w:t>
      </w:r>
      <w:r>
        <w:rPr>
          <w:rFonts w:ascii="黑体" w:hAnsi="黑体" w:eastAsia="黑体"/>
          <w:spacing w:val="-2"/>
          <w:w w:val="95"/>
          <w:sz w:val="24"/>
        </w:rPr>
        <w:t>释义 </w:t>
      </w:r>
      <w:r>
        <w:rPr>
          <w:rFonts w:ascii="黑体" w:hAnsi="黑体" w:eastAsia="黑体"/>
          <w:spacing w:val="22"/>
          <w:w w:val="95"/>
          <w:sz w:val="24"/>
        </w:rPr>
        <w:t>14.26</w:t>
      </w:r>
      <w:r>
        <w:rPr>
          <w:rFonts w:ascii="黑体" w:hAnsi="黑体" w:eastAsia="黑体"/>
          <w:spacing w:val="-98"/>
          <w:w w:val="95"/>
          <w:sz w:val="24"/>
        </w:rPr>
        <w:t>）</w:t>
      </w:r>
      <w:r>
        <w:rPr>
          <w:rFonts w:ascii="黑体" w:hAnsi="黑体" w:eastAsia="黑体"/>
          <w:spacing w:val="-31"/>
          <w:w w:val="95"/>
          <w:sz w:val="24"/>
        </w:rPr>
        <w:t>”</w:t>
      </w:r>
      <w:r>
        <w:rPr>
          <w:rFonts w:ascii="黑体" w:hAnsi="黑体" w:eastAsia="黑体"/>
          <w:spacing w:val="-53"/>
          <w:w w:val="95"/>
          <w:sz w:val="24"/>
        </w:rPr>
        <w:t>和</w:t>
      </w:r>
      <w:r>
        <w:rPr>
          <w:rFonts w:ascii="黑体" w:hAnsi="黑体" w:eastAsia="黑体"/>
          <w:spacing w:val="-2"/>
          <w:w w:val="95"/>
          <w:sz w:val="24"/>
        </w:rPr>
        <w:t>“</w:t>
      </w:r>
      <w:r>
        <w:rPr>
          <w:rFonts w:ascii="黑体" w:hAnsi="黑体" w:eastAsia="黑体"/>
          <w:spacing w:val="-2"/>
          <w:w w:val="95"/>
          <w:sz w:val="24"/>
        </w:rPr>
        <w:t>角</w:t>
      </w:r>
      <w:r>
        <w:rPr>
          <w:rFonts w:ascii="黑体" w:hAnsi="黑体" w:eastAsia="黑体"/>
          <w:spacing w:val="-2"/>
          <w:w w:val="95"/>
          <w:sz w:val="24"/>
        </w:rPr>
        <w:t>膜</w:t>
      </w:r>
      <w:r>
        <w:rPr>
          <w:rFonts w:ascii="黑体" w:hAnsi="黑体" w:eastAsia="黑体"/>
          <w:spacing w:val="-28"/>
          <w:w w:val="95"/>
          <w:sz w:val="24"/>
        </w:rPr>
        <w:t>移植</w:t>
      </w:r>
      <w:r>
        <w:rPr>
          <w:rFonts w:ascii="黑体" w:hAnsi="黑体" w:eastAsia="黑体"/>
          <w:spacing w:val="-2"/>
          <w:w w:val="95"/>
          <w:sz w:val="24"/>
        </w:rPr>
        <w:t>（</w:t>
      </w:r>
      <w:r>
        <w:rPr>
          <w:rFonts w:ascii="黑体" w:hAnsi="黑体" w:eastAsia="黑体"/>
          <w:spacing w:val="-2"/>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7"/>
          <w:w w:val="95"/>
          <w:sz w:val="24"/>
        </w:rPr>
        <w:t>14.27</w:t>
      </w:r>
      <w:r>
        <w:rPr>
          <w:rFonts w:ascii="黑体" w:hAnsi="黑体" w:eastAsia="黑体"/>
          <w:spacing w:val="-103"/>
          <w:w w:val="95"/>
          <w:sz w:val="24"/>
        </w:rPr>
        <w:t>）</w:t>
      </w:r>
      <w:r>
        <w:rPr>
          <w:rFonts w:ascii="黑体" w:hAnsi="黑体" w:eastAsia="黑体"/>
          <w:spacing w:val="12"/>
          <w:w w:val="95"/>
          <w:sz w:val="24"/>
        </w:rPr>
        <w:t>”</w:t>
      </w:r>
      <w:r>
        <w:rPr>
          <w:rFonts w:ascii="黑体" w:hAnsi="黑体" w:eastAsia="黑体"/>
          <w:w w:val="95"/>
          <w:sz w:val="24"/>
        </w:rPr>
        <w:t>的</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标</w:t>
      </w:r>
      <w:r>
        <w:rPr>
          <w:rFonts w:ascii="黑体" w:hAnsi="黑体" w:eastAsia="黑体"/>
          <w:w w:val="95"/>
          <w:sz w:val="24"/>
        </w:rPr>
        <w:t>准</w:t>
      </w:r>
      <w:r>
        <w:rPr>
          <w:rFonts w:ascii="黑体" w:hAnsi="黑体" w:eastAsia="黑体"/>
          <w:w w:val="95"/>
          <w:sz w:val="24"/>
        </w:rPr>
        <w:t>，</w:t>
      </w:r>
      <w:r>
        <w:rPr>
          <w:rFonts w:ascii="黑体" w:hAnsi="黑体" w:eastAsia="黑体"/>
          <w:w w:val="95"/>
          <w:sz w:val="24"/>
        </w:rPr>
        <w:t>我</w:t>
      </w:r>
      <w:r>
        <w:rPr>
          <w:rFonts w:ascii="黑体" w:hAnsi="黑体" w:eastAsia="黑体"/>
          <w:w w:val="95"/>
          <w:sz w:val="24"/>
        </w:rPr>
        <w:t>们</w:t>
      </w:r>
      <w:r>
        <w:rPr>
          <w:rFonts w:ascii="黑体" w:hAnsi="黑体" w:eastAsia="黑体"/>
          <w:w w:val="95"/>
          <w:sz w:val="24"/>
        </w:rPr>
        <w:t>仅</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其</w:t>
      </w:r>
      <w:r>
        <w:rPr>
          <w:rFonts w:ascii="黑体" w:hAnsi="黑体" w:eastAsia="黑体"/>
          <w:w w:val="95"/>
          <w:sz w:val="24"/>
        </w:rPr>
        <w:t>中</w:t>
      </w:r>
      <w:r>
        <w:rPr>
          <w:rFonts w:ascii="黑体" w:hAnsi="黑体" w:eastAsia="黑体"/>
          <w:w w:val="95"/>
          <w:sz w:val="24"/>
        </w:rPr>
        <w:t>一</w:t>
      </w:r>
      <w:r>
        <w:rPr>
          <w:rFonts w:ascii="黑体" w:hAnsi="黑体" w:eastAsia="黑体"/>
          <w:w w:val="95"/>
          <w:sz w:val="24"/>
        </w:rPr>
        <w:t>项</w:t>
      </w:r>
      <w:r>
        <w:rPr>
          <w:rFonts w:ascii="黑体" w:hAnsi="黑体" w:eastAsia="黑体"/>
          <w:w w:val="95"/>
          <w:sz w:val="24"/>
        </w:rPr>
        <w:t>轻</w:t>
      </w:r>
      <w:r>
        <w:rPr>
          <w:rFonts w:ascii="黑体" w:hAnsi="黑体" w:eastAsia="黑体"/>
          <w:w w:val="95"/>
          <w:sz w:val="24"/>
        </w:rPr>
        <w:t>症</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金</w:t>
      </w:r>
      <w:r>
        <w:rPr>
          <w:rFonts w:ascii="黑体" w:hAnsi="黑体" w:eastAsia="黑体"/>
          <w:w w:val="95"/>
          <w:sz w:val="24"/>
        </w:rPr>
        <w:t>，赔付后</w:t>
      </w:r>
      <w:r>
        <w:rPr>
          <w:rFonts w:ascii="黑体" w:hAnsi="黑体" w:eastAsia="黑体"/>
          <w:spacing w:val="-2"/>
          <w:sz w:val="24"/>
        </w:rPr>
        <w:t>另外两个病种的轻症责任终止。</w:t>
      </w: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人工耳蜗</w:t>
      </w:r>
      <w:r>
        <w:rPr>
          <w:rFonts w:ascii="楷体" w:eastAsia="楷体" w:hint="eastAsia"/>
          <w:b/>
          <w:spacing w:val="-4"/>
          <w:sz w:val="21"/>
        </w:rPr>
        <w:t>植入术</w:t>
      </w:r>
    </w:p>
    <w:p>
      <w:pPr>
        <w:pStyle w:val="BodyText"/>
        <w:spacing w:line="278" w:lineRule="auto" w:before="72"/>
        <w:ind w:left="70" w:right="214"/>
      </w:pPr>
      <w:r>
        <w:rPr/>
        <w:br w:type="column"/>
      </w:r>
      <w:r>
        <w:rPr>
          <w:spacing w:val="-2"/>
        </w:rPr>
        <w:t>指由于耳蜗的永久损害而已经实施了人工耳蜗植入手术。在实施植入手术之前，且须</w:t>
      </w:r>
      <w:r>
        <w:rPr>
          <w:spacing w:val="-2"/>
        </w:rPr>
        <w:t>满足下列全部条件：</w:t>
      </w:r>
    </w:p>
    <w:p>
      <w:pPr>
        <w:pStyle w:val="ListParagraph"/>
        <w:numPr>
          <w:ilvl w:val="0"/>
          <w:numId w:val="110"/>
        </w:numPr>
        <w:tabs>
          <w:tab w:pos="600" w:val="left" w:leader="none"/>
        </w:tabs>
        <w:spacing w:line="269" w:lineRule="exact" w:before="0" w:after="0"/>
        <w:ind w:left="599" w:right="0" w:hanging="530"/>
        <w:jc w:val="left"/>
        <w:rPr>
          <w:sz w:val="21"/>
        </w:rPr>
      </w:pPr>
      <w:r>
        <w:rPr>
          <w:spacing w:val="-12"/>
          <w:sz w:val="21"/>
        </w:rPr>
        <w:t>双耳持续 </w:t>
      </w:r>
      <w:r>
        <w:rPr>
          <w:rFonts w:ascii="Times New Roman" w:eastAsia="Times New Roman"/>
          <w:spacing w:val="-2"/>
          <w:sz w:val="21"/>
        </w:rPr>
        <w:t>12</w:t>
      </w:r>
      <w:r>
        <w:rPr>
          <w:rFonts w:ascii="Times New Roman" w:eastAsia="Times New Roman"/>
          <w:spacing w:val="9"/>
          <w:sz w:val="21"/>
        </w:rPr>
        <w:t> </w:t>
      </w:r>
      <w:r>
        <w:rPr>
          <w:spacing w:val="-3"/>
          <w:sz w:val="21"/>
        </w:rPr>
        <w:t>个月以上重度感音神经性耳聋；</w:t>
      </w:r>
    </w:p>
    <w:p>
      <w:pPr>
        <w:pStyle w:val="ListParagraph"/>
        <w:numPr>
          <w:ilvl w:val="0"/>
          <w:numId w:val="110"/>
        </w:numPr>
        <w:tabs>
          <w:tab w:pos="600" w:val="left" w:leader="none"/>
        </w:tabs>
        <w:spacing w:line="240" w:lineRule="auto" w:before="43" w:after="0"/>
        <w:ind w:left="599" w:right="0" w:hanging="530"/>
        <w:jc w:val="left"/>
        <w:rPr>
          <w:sz w:val="21"/>
        </w:rPr>
      </w:pPr>
      <w:r>
        <w:rPr>
          <w:spacing w:val="-3"/>
          <w:sz w:val="21"/>
        </w:rPr>
        <w:t>使用相应的听力辅助设备效果不佳。</w:t>
      </w:r>
    </w:p>
    <w:p>
      <w:pPr>
        <w:pStyle w:val="BodyText"/>
        <w:spacing w:before="42"/>
        <w:ind w:left="70"/>
      </w:pPr>
      <w:r>
        <w:rPr>
          <w:spacing w:val="-3"/>
        </w:rPr>
        <w:t>并经相关专科医生确诊该手术在医疗必须的情况下进行的。</w:t>
      </w:r>
    </w:p>
    <w:p>
      <w:pPr>
        <w:spacing w:line="242" w:lineRule="auto" w:before="21"/>
        <w:ind w:left="70" w:right="203" w:firstLine="0"/>
        <w:jc w:val="both"/>
        <w:rPr>
          <w:rFonts w:ascii="黑体" w:hAnsi="黑体" w:eastAsia="黑体"/>
          <w:sz w:val="24"/>
        </w:rPr>
      </w:pPr>
      <w:r>
        <w:rPr>
          <w:rFonts w:ascii="黑体" w:hAnsi="黑体" w:eastAsia="黑体"/>
          <w:w w:val="95"/>
          <w:sz w:val="24"/>
        </w:rPr>
        <w:t>如</w:t>
      </w:r>
      <w:r>
        <w:rPr>
          <w:rFonts w:ascii="黑体" w:hAnsi="黑体" w:eastAsia="黑体"/>
          <w:w w:val="95"/>
          <w:sz w:val="24"/>
        </w:rPr>
        <w:t>被</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人</w:t>
      </w:r>
      <w:r>
        <w:rPr>
          <w:rFonts w:ascii="黑体" w:hAnsi="黑体" w:eastAsia="黑体"/>
          <w:w w:val="95"/>
          <w:sz w:val="24"/>
        </w:rPr>
        <w:t>同</w:t>
      </w:r>
      <w:r>
        <w:rPr>
          <w:rFonts w:ascii="黑体" w:hAnsi="黑体" w:eastAsia="黑体"/>
          <w:w w:val="95"/>
          <w:sz w:val="24"/>
        </w:rPr>
        <w:t>时</w:t>
      </w:r>
      <w:r>
        <w:rPr>
          <w:rFonts w:ascii="黑体" w:hAnsi="黑体" w:eastAsia="黑体"/>
          <w:w w:val="95"/>
          <w:sz w:val="24"/>
        </w:rPr>
        <w:t>或</w:t>
      </w:r>
      <w:r>
        <w:rPr>
          <w:rFonts w:ascii="黑体" w:hAnsi="黑体" w:eastAsia="黑体"/>
          <w:w w:val="95"/>
          <w:sz w:val="24"/>
        </w:rPr>
        <w:t>先</w:t>
      </w:r>
      <w:r>
        <w:rPr>
          <w:rFonts w:ascii="黑体" w:hAnsi="黑体" w:eastAsia="黑体"/>
          <w:w w:val="95"/>
          <w:sz w:val="24"/>
        </w:rPr>
        <w:t>后</w:t>
      </w:r>
      <w:r>
        <w:rPr>
          <w:rFonts w:ascii="黑体" w:hAnsi="黑体" w:eastAsia="黑体"/>
          <w:w w:val="95"/>
          <w:sz w:val="24"/>
        </w:rPr>
        <w:t>达</w:t>
      </w:r>
      <w:r>
        <w:rPr>
          <w:rFonts w:ascii="黑体" w:hAnsi="黑体" w:eastAsia="黑体"/>
          <w:w w:val="95"/>
          <w:sz w:val="24"/>
        </w:rPr>
        <w:t>到“</w:t>
      </w:r>
      <w:r>
        <w:rPr>
          <w:rFonts w:ascii="黑体" w:hAnsi="黑体" w:eastAsia="黑体"/>
          <w:w w:val="95"/>
          <w:sz w:val="24"/>
        </w:rPr>
        <w:t>人</w:t>
      </w:r>
      <w:r>
        <w:rPr>
          <w:rFonts w:ascii="黑体" w:hAnsi="黑体" w:eastAsia="黑体"/>
          <w:w w:val="95"/>
          <w:sz w:val="24"/>
        </w:rPr>
        <w:t>工</w:t>
      </w:r>
      <w:r>
        <w:rPr>
          <w:rFonts w:ascii="黑体" w:hAnsi="黑体" w:eastAsia="黑体"/>
          <w:w w:val="95"/>
          <w:sz w:val="24"/>
        </w:rPr>
        <w:t>耳</w:t>
      </w:r>
      <w:r>
        <w:rPr>
          <w:rFonts w:ascii="黑体" w:hAnsi="黑体" w:eastAsia="黑体"/>
          <w:w w:val="95"/>
          <w:sz w:val="24"/>
        </w:rPr>
        <w:t>蜗</w:t>
      </w:r>
      <w:r>
        <w:rPr>
          <w:rFonts w:ascii="黑体" w:hAnsi="黑体" w:eastAsia="黑体"/>
          <w:w w:val="95"/>
          <w:sz w:val="24"/>
        </w:rPr>
        <w:t>植</w:t>
      </w:r>
      <w:r>
        <w:rPr>
          <w:rFonts w:ascii="黑体" w:hAnsi="黑体" w:eastAsia="黑体"/>
          <w:w w:val="95"/>
          <w:sz w:val="24"/>
        </w:rPr>
        <w:t>入</w:t>
      </w:r>
      <w:r>
        <w:rPr>
          <w:rFonts w:ascii="黑体" w:hAnsi="黑体" w:eastAsia="黑体"/>
          <w:w w:val="95"/>
          <w:sz w:val="24"/>
        </w:rPr>
        <w:t>术（</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34"/>
          <w:w w:val="95"/>
          <w:sz w:val="24"/>
        </w:rPr>
        <w:t>14.28</w:t>
      </w:r>
      <w:r>
        <w:rPr>
          <w:rFonts w:ascii="黑体" w:hAnsi="黑体" w:eastAsia="黑体"/>
          <w:spacing w:val="-86"/>
          <w:w w:val="95"/>
          <w:sz w:val="24"/>
        </w:rPr>
        <w:t>）”</w:t>
      </w:r>
      <w:r>
        <w:rPr>
          <w:rFonts w:ascii="黑体" w:hAnsi="黑体" w:eastAsia="黑体"/>
          <w:spacing w:val="-43"/>
          <w:w w:val="95"/>
          <w:sz w:val="24"/>
        </w:rPr>
        <w:t>、“单</w:t>
      </w:r>
      <w:r>
        <w:rPr>
          <w:rFonts w:ascii="黑体" w:hAnsi="黑体" w:eastAsia="黑体"/>
          <w:w w:val="95"/>
          <w:sz w:val="24"/>
        </w:rPr>
        <w:t>耳</w:t>
      </w:r>
      <w:r>
        <w:rPr>
          <w:rFonts w:ascii="黑体" w:hAnsi="黑体" w:eastAsia="黑体"/>
          <w:w w:val="95"/>
          <w:sz w:val="24"/>
        </w:rPr>
        <w:t>失</w:t>
      </w:r>
      <w:r>
        <w:rPr>
          <w:rFonts w:ascii="黑体" w:hAnsi="黑体" w:eastAsia="黑体"/>
          <w:w w:val="95"/>
          <w:sz w:val="24"/>
        </w:rPr>
        <w:t>聪</w:t>
      </w:r>
      <w:r>
        <w:rPr>
          <w:rFonts w:ascii="黑体" w:hAnsi="黑体" w:eastAsia="黑体"/>
          <w:w w:val="95"/>
          <w:sz w:val="24"/>
        </w:rPr>
        <w:t>－</w:t>
      </w:r>
      <w:r>
        <w:rPr>
          <w:rFonts w:ascii="黑体" w:hAnsi="黑体" w:eastAsia="黑体"/>
          <w:w w:val="95"/>
          <w:sz w:val="24"/>
        </w:rPr>
        <w:t>三</w:t>
      </w:r>
      <w:r>
        <w:rPr>
          <w:rFonts w:ascii="黑体" w:hAnsi="黑体" w:eastAsia="黑体"/>
          <w:w w:val="95"/>
          <w:sz w:val="24"/>
        </w:rPr>
        <w:t>周</w:t>
      </w:r>
      <w:r>
        <w:rPr>
          <w:rFonts w:ascii="黑体" w:hAnsi="黑体" w:eastAsia="黑体"/>
          <w:w w:val="95"/>
          <w:sz w:val="24"/>
        </w:rPr>
        <w:t>岁</w:t>
      </w:r>
      <w:r>
        <w:rPr>
          <w:rFonts w:ascii="黑体" w:hAnsi="黑体" w:eastAsia="黑体"/>
          <w:w w:val="95"/>
          <w:sz w:val="24"/>
        </w:rPr>
        <w:t>开</w:t>
      </w:r>
      <w:r>
        <w:rPr>
          <w:rFonts w:ascii="黑体" w:hAnsi="黑体" w:eastAsia="黑体"/>
          <w:w w:val="95"/>
          <w:sz w:val="24"/>
        </w:rPr>
        <w:t>始</w:t>
      </w:r>
      <w:r>
        <w:rPr>
          <w:rFonts w:ascii="黑体" w:hAnsi="黑体" w:eastAsia="黑体"/>
          <w:w w:val="95"/>
          <w:sz w:val="24"/>
        </w:rPr>
        <w:t>理</w:t>
      </w:r>
      <w:r>
        <w:rPr>
          <w:rFonts w:ascii="黑体" w:hAnsi="黑体" w:eastAsia="黑体"/>
          <w:w w:val="95"/>
          <w:sz w:val="24"/>
        </w:rPr>
        <w:t>赔（</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8"/>
          <w:w w:val="95"/>
          <w:sz w:val="24"/>
        </w:rPr>
        <w:t>14.29</w:t>
      </w:r>
      <w:r>
        <w:rPr>
          <w:rFonts w:ascii="黑体" w:hAnsi="黑体" w:eastAsia="黑体"/>
          <w:spacing w:val="-102"/>
          <w:w w:val="95"/>
          <w:sz w:val="24"/>
        </w:rPr>
        <w:t>）</w:t>
      </w:r>
      <w:r>
        <w:rPr>
          <w:rFonts w:ascii="黑体" w:hAnsi="黑体" w:eastAsia="黑体"/>
          <w:spacing w:val="10"/>
          <w:w w:val="95"/>
          <w:sz w:val="24"/>
        </w:rPr>
        <w:t>”</w:t>
      </w:r>
      <w:r>
        <w:rPr>
          <w:rFonts w:ascii="黑体" w:hAnsi="黑体" w:eastAsia="黑体"/>
          <w:w w:val="95"/>
          <w:sz w:val="24"/>
        </w:rPr>
        <w:t>和</w:t>
      </w:r>
      <w:r>
        <w:rPr>
          <w:rFonts w:ascii="黑体" w:hAnsi="黑体" w:eastAsia="黑体"/>
          <w:w w:val="95"/>
          <w:sz w:val="24"/>
        </w:rPr>
        <w:t>“听</w:t>
      </w:r>
      <w:r>
        <w:rPr>
          <w:rFonts w:ascii="黑体" w:hAnsi="黑体" w:eastAsia="黑体"/>
          <w:w w:val="95"/>
          <w:sz w:val="24"/>
        </w:rPr>
        <w:t>力</w:t>
      </w:r>
      <w:r>
        <w:rPr>
          <w:rFonts w:ascii="黑体" w:hAnsi="黑体" w:eastAsia="黑体"/>
          <w:w w:val="95"/>
          <w:sz w:val="24"/>
        </w:rPr>
        <w:t>严</w:t>
      </w:r>
      <w:r>
        <w:rPr>
          <w:rFonts w:ascii="黑体" w:hAnsi="黑体" w:eastAsia="黑体"/>
          <w:w w:val="95"/>
          <w:sz w:val="24"/>
        </w:rPr>
        <w:t>重</w:t>
      </w:r>
      <w:r>
        <w:rPr>
          <w:rFonts w:ascii="黑体" w:hAnsi="黑体" w:eastAsia="黑体"/>
          <w:w w:val="95"/>
          <w:sz w:val="24"/>
        </w:rPr>
        <w:t>受</w:t>
      </w:r>
      <w:r>
        <w:rPr>
          <w:rFonts w:ascii="黑体" w:hAnsi="黑体" w:eastAsia="黑体"/>
          <w:w w:val="95"/>
          <w:sz w:val="24"/>
        </w:rPr>
        <w:t>损</w:t>
      </w:r>
      <w:r>
        <w:rPr>
          <w:rFonts w:ascii="黑体" w:hAnsi="黑体" w:eastAsia="黑体"/>
          <w:w w:val="95"/>
          <w:sz w:val="24"/>
        </w:rPr>
        <w:t>－</w:t>
      </w:r>
      <w:r>
        <w:rPr>
          <w:rFonts w:ascii="黑体" w:hAnsi="黑体" w:eastAsia="黑体"/>
          <w:w w:val="95"/>
          <w:sz w:val="24"/>
        </w:rPr>
        <w:t>三</w:t>
      </w:r>
      <w:r>
        <w:rPr>
          <w:rFonts w:ascii="黑体" w:hAnsi="黑体" w:eastAsia="黑体"/>
          <w:w w:val="95"/>
          <w:sz w:val="24"/>
        </w:rPr>
        <w:t>周</w:t>
      </w:r>
      <w:r>
        <w:rPr>
          <w:rFonts w:ascii="黑体" w:hAnsi="黑体" w:eastAsia="黑体"/>
          <w:w w:val="95"/>
          <w:sz w:val="24"/>
        </w:rPr>
        <w:t>岁</w:t>
      </w:r>
      <w:r>
        <w:rPr>
          <w:rFonts w:ascii="黑体" w:hAnsi="黑体" w:eastAsia="黑体"/>
          <w:w w:val="95"/>
          <w:sz w:val="24"/>
        </w:rPr>
        <w:t>开</w:t>
      </w:r>
      <w:r>
        <w:rPr>
          <w:rFonts w:ascii="黑体" w:hAnsi="黑体" w:eastAsia="黑体"/>
          <w:w w:val="95"/>
          <w:sz w:val="24"/>
        </w:rPr>
        <w:t>始</w:t>
      </w:r>
      <w:r>
        <w:rPr>
          <w:rFonts w:ascii="黑体" w:hAnsi="黑体" w:eastAsia="黑体"/>
          <w:w w:val="95"/>
          <w:sz w:val="24"/>
        </w:rPr>
        <w:t>理</w:t>
      </w:r>
      <w:r>
        <w:rPr>
          <w:rFonts w:ascii="黑体" w:hAnsi="黑体" w:eastAsia="黑体"/>
          <w:w w:val="95"/>
          <w:sz w:val="24"/>
        </w:rPr>
        <w:t>赔</w:t>
      </w:r>
      <w:r>
        <w:rPr>
          <w:rFonts w:ascii="黑体" w:hAnsi="黑体" w:eastAsia="黑体"/>
          <w:w w:val="95"/>
          <w:sz w:val="24"/>
        </w:rPr>
        <w:t>（</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7"/>
          <w:w w:val="95"/>
          <w:sz w:val="24"/>
        </w:rPr>
        <w:t>14.30</w:t>
      </w:r>
      <w:r>
        <w:rPr>
          <w:rFonts w:ascii="黑体" w:hAnsi="黑体" w:eastAsia="黑体"/>
          <w:spacing w:val="-103"/>
          <w:w w:val="95"/>
          <w:sz w:val="24"/>
        </w:rPr>
        <w:t>）</w:t>
      </w:r>
      <w:r>
        <w:rPr>
          <w:rFonts w:ascii="黑体" w:hAnsi="黑体" w:eastAsia="黑体"/>
          <w:spacing w:val="17"/>
          <w:w w:val="95"/>
          <w:sz w:val="24"/>
        </w:rPr>
        <w:t>”</w:t>
      </w:r>
      <w:r>
        <w:rPr>
          <w:rFonts w:ascii="黑体" w:hAnsi="黑体" w:eastAsia="黑体"/>
          <w:w w:val="95"/>
          <w:sz w:val="24"/>
        </w:rPr>
        <w:t>的</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标</w:t>
      </w:r>
      <w:r>
        <w:rPr>
          <w:rFonts w:ascii="黑体" w:hAnsi="黑体" w:eastAsia="黑体"/>
          <w:w w:val="95"/>
          <w:sz w:val="24"/>
        </w:rPr>
        <w:t>准</w:t>
      </w:r>
      <w:r>
        <w:rPr>
          <w:rFonts w:ascii="黑体" w:hAnsi="黑体" w:eastAsia="黑体"/>
          <w:w w:val="95"/>
          <w:sz w:val="24"/>
        </w:rPr>
        <w:t>，</w:t>
      </w:r>
      <w:r>
        <w:rPr>
          <w:rFonts w:ascii="黑体" w:hAnsi="黑体" w:eastAsia="黑体"/>
          <w:w w:val="95"/>
          <w:sz w:val="24"/>
        </w:rPr>
        <w:t>我</w:t>
      </w:r>
      <w:r>
        <w:rPr>
          <w:rFonts w:ascii="黑体" w:hAnsi="黑体" w:eastAsia="黑体"/>
          <w:w w:val="95"/>
          <w:sz w:val="24"/>
        </w:rPr>
        <w:t>们</w:t>
      </w:r>
      <w:r>
        <w:rPr>
          <w:rFonts w:ascii="黑体" w:hAnsi="黑体" w:eastAsia="黑体"/>
          <w:w w:val="95"/>
          <w:sz w:val="24"/>
        </w:rPr>
        <w:t>仅</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其</w:t>
      </w:r>
      <w:r>
        <w:rPr>
          <w:rFonts w:ascii="黑体" w:hAnsi="黑体" w:eastAsia="黑体"/>
          <w:w w:val="95"/>
          <w:sz w:val="24"/>
        </w:rPr>
        <w:t>中</w:t>
      </w:r>
      <w:r>
        <w:rPr>
          <w:rFonts w:ascii="黑体" w:hAnsi="黑体" w:eastAsia="黑体"/>
          <w:w w:val="95"/>
          <w:sz w:val="24"/>
        </w:rPr>
        <w:t>一</w:t>
      </w:r>
      <w:r>
        <w:rPr>
          <w:rFonts w:ascii="黑体" w:hAnsi="黑体" w:eastAsia="黑体"/>
          <w:w w:val="95"/>
          <w:sz w:val="24"/>
        </w:rPr>
        <w:t>项</w:t>
      </w:r>
      <w:r>
        <w:rPr>
          <w:rFonts w:ascii="黑体" w:hAnsi="黑体" w:eastAsia="黑体"/>
          <w:w w:val="95"/>
          <w:sz w:val="24"/>
        </w:rPr>
        <w:t>轻</w:t>
      </w:r>
      <w:r>
        <w:rPr>
          <w:rFonts w:ascii="黑体" w:hAnsi="黑体" w:eastAsia="黑体"/>
          <w:w w:val="95"/>
          <w:sz w:val="24"/>
        </w:rPr>
        <w:t>症</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金</w:t>
      </w:r>
      <w:r>
        <w:rPr>
          <w:rFonts w:ascii="黑体" w:hAnsi="黑体" w:eastAsia="黑体"/>
          <w:w w:val="95"/>
          <w:sz w:val="24"/>
        </w:rPr>
        <w:t>，</w:t>
      </w:r>
      <w:r>
        <w:rPr>
          <w:rFonts w:ascii="黑体" w:hAnsi="黑体" w:eastAsia="黑体"/>
          <w:spacing w:val="-2"/>
          <w:sz w:val="24"/>
        </w:rPr>
        <w:t>赔付后另外两个病种轻症责任终止。</w:t>
      </w:r>
    </w:p>
    <w:p>
      <w:pPr>
        <w:spacing w:after="0" w:line="242" w:lineRule="auto"/>
        <w:jc w:val="both"/>
        <w:rPr>
          <w:rFonts w:ascii="黑体" w:hAnsi="黑体" w:eastAsia="黑体"/>
          <w:sz w:val="24"/>
        </w:rPr>
        <w:sectPr>
          <w:type w:val="continuous"/>
          <w:pgSz w:w="11910" w:h="16840"/>
          <w:pgMar w:header="0" w:footer="1120" w:top="1120" w:bottom="1300" w:left="1020" w:right="1020"/>
          <w:cols w:num="2" w:equalWidth="0">
            <w:col w:w="1813" w:space="40"/>
            <w:col w:w="8017"/>
          </w:cols>
        </w:sectPr>
      </w:pPr>
    </w:p>
    <w:p>
      <w:pPr>
        <w:pStyle w:val="ListParagraph"/>
        <w:numPr>
          <w:ilvl w:val="1"/>
          <w:numId w:val="20"/>
        </w:numPr>
        <w:tabs>
          <w:tab w:pos="968" w:val="left" w:leader="none"/>
        </w:tabs>
        <w:spacing w:line="240" w:lineRule="auto" w:before="60" w:after="0"/>
        <w:ind w:left="967" w:right="0" w:hanging="573"/>
        <w:jc w:val="left"/>
        <w:rPr>
          <w:rFonts w:ascii="楷体" w:eastAsia="楷体" w:hint="eastAsia"/>
          <w:b/>
          <w:sz w:val="21"/>
        </w:rPr>
      </w:pPr>
      <w:r>
        <w:rPr>
          <w:rFonts w:ascii="楷体" w:eastAsia="楷体" w:hint="eastAsia"/>
          <w:b/>
          <w:spacing w:val="-3"/>
          <w:sz w:val="21"/>
        </w:rPr>
        <w:t>单耳失聪</w:t>
      </w:r>
    </w:p>
    <w:p>
      <w:pPr>
        <w:pStyle w:val="BodyText"/>
        <w:spacing w:before="60"/>
        <w:ind w:left="70"/>
      </w:pPr>
      <w:r>
        <w:rPr/>
        <w:br w:type="column"/>
      </w:r>
      <w:r>
        <w:rPr>
          <w:spacing w:val="-1"/>
        </w:rPr>
        <w:t>指因疾病或者意外伤害导致单耳听力永久不可逆性丧失，在 </w:t>
      </w:r>
      <w:r>
        <w:rPr>
          <w:rFonts w:ascii="Times New Roman" w:eastAsia="Times New Roman"/>
        </w:rPr>
        <w:t>500</w:t>
      </w:r>
      <w:r>
        <w:rPr>
          <w:rFonts w:ascii="Times New Roman" w:eastAsia="Times New Roman"/>
          <w:spacing w:val="12"/>
        </w:rPr>
        <w:t> </w:t>
      </w:r>
      <w:r>
        <w:rPr/>
        <w:t>赫兹、</w:t>
      </w:r>
      <w:r>
        <w:rPr>
          <w:rFonts w:ascii="Times New Roman" w:eastAsia="Times New Roman"/>
        </w:rPr>
        <w:t>1000</w:t>
      </w:r>
      <w:r>
        <w:rPr>
          <w:rFonts w:ascii="Times New Roman" w:eastAsia="Times New Roman"/>
          <w:spacing w:val="20"/>
        </w:rPr>
        <w:t> </w:t>
      </w:r>
      <w:r>
        <w:rPr>
          <w:spacing w:val="-4"/>
        </w:rPr>
        <w:t>赫兹和</w:t>
      </w:r>
    </w:p>
    <w:p>
      <w:pPr>
        <w:spacing w:after="0"/>
        <w:sectPr>
          <w:pgSz w:w="11910" w:h="16840"/>
          <w:pgMar w:header="0" w:footer="1120" w:top="1360" w:bottom="1300" w:left="1020" w:right="1020"/>
          <w:cols w:num="2" w:equalWidth="0">
            <w:col w:w="1813" w:space="40"/>
            <w:col w:w="8017"/>
          </w:cols>
        </w:sectPr>
      </w:pPr>
    </w:p>
    <w:p>
      <w:pPr>
        <w:pStyle w:val="BodyText"/>
        <w:ind w:left="395"/>
      </w:pPr>
      <w:r>
        <w:rPr>
          <w:rFonts w:ascii="楷体" w:hAnsi="楷体" w:eastAsia="楷体" w:hint="eastAsia"/>
          <w:b/>
        </w:rPr>
        <w:t>— 三周岁开始 </w:t>
      </w:r>
      <w:r>
        <w:rPr>
          <w:rFonts w:ascii="Times New Roman" w:hAnsi="Times New Roman" w:eastAsia="Times New Roman"/>
        </w:rPr>
        <w:t>2000</w:t>
      </w:r>
      <w:r>
        <w:rPr>
          <w:rFonts w:ascii="Times New Roman" w:hAnsi="Times New Roman" w:eastAsia="Times New Roman"/>
          <w:spacing w:val="-8"/>
        </w:rPr>
        <w:t> </w:t>
      </w:r>
      <w:r>
        <w:rPr>
          <w:spacing w:val="-3"/>
        </w:rPr>
        <w:t>赫兹语音频率下，平均听阈大于等于 </w:t>
      </w:r>
      <w:r>
        <w:rPr>
          <w:rFonts w:ascii="Times New Roman" w:hAnsi="Times New Roman" w:eastAsia="Times New Roman"/>
        </w:rPr>
        <w:t>91</w:t>
      </w:r>
      <w:r>
        <w:rPr>
          <w:rFonts w:ascii="Times New Roman" w:hAnsi="Times New Roman" w:eastAsia="Times New Roman"/>
          <w:spacing w:val="-6"/>
        </w:rPr>
        <w:t> </w:t>
      </w:r>
      <w:r>
        <w:rPr>
          <w:spacing w:val="-1"/>
        </w:rPr>
        <w:t>分贝，且经纯音听力测试、声导抗检测</w:t>
      </w:r>
    </w:p>
    <w:p>
      <w:pPr>
        <w:pStyle w:val="BodyText"/>
        <w:tabs>
          <w:tab w:pos="1922" w:val="left" w:leader="none"/>
        </w:tabs>
        <w:ind w:left="395"/>
      </w:pPr>
      <w:r>
        <w:rPr>
          <w:rFonts w:ascii="楷体" w:eastAsia="楷体" w:hint="eastAsia"/>
          <w:b/>
        </w:rPr>
        <w:t>理</w:t>
      </w:r>
      <w:r>
        <w:rPr>
          <w:rFonts w:ascii="楷体" w:eastAsia="楷体" w:hint="eastAsia"/>
          <w:b/>
          <w:spacing w:val="-10"/>
        </w:rPr>
        <w:t>赔</w:t>
      </w:r>
      <w:r>
        <w:rPr>
          <w:rFonts w:ascii="楷体" w:eastAsia="楷体" w:hint="eastAsia"/>
          <w:b/>
        </w:rPr>
        <w:tab/>
      </w:r>
      <w:r>
        <w:rPr>
          <w:spacing w:val="-2"/>
        </w:rPr>
        <w:t>或</w:t>
      </w:r>
      <w:r>
        <w:rPr>
          <w:spacing w:val="-2"/>
        </w:rPr>
        <w:t>者</w:t>
      </w:r>
      <w:r>
        <w:rPr>
          <w:spacing w:val="-2"/>
        </w:rPr>
        <w:t>听觉诱发电位检测等</w:t>
      </w:r>
      <w:r>
        <w:rPr>
          <w:spacing w:val="-2"/>
        </w:rPr>
        <w:t>证</w:t>
      </w:r>
      <w:r>
        <w:rPr>
          <w:spacing w:val="-2"/>
        </w:rPr>
        <w:t>实</w:t>
      </w:r>
      <w:r>
        <w:rPr>
          <w:spacing w:val="-10"/>
        </w:rPr>
        <w:t>。</w:t>
      </w:r>
    </w:p>
    <w:p>
      <w:pPr>
        <w:spacing w:line="242" w:lineRule="auto" w:before="20"/>
        <w:ind w:left="1922" w:right="213" w:firstLine="0"/>
        <w:jc w:val="left"/>
        <w:rPr>
          <w:rFonts w:ascii="黑体" w:eastAsia="黑体"/>
          <w:sz w:val="24"/>
        </w:rPr>
      </w:pPr>
      <w:r>
        <w:rPr>
          <w:rFonts w:ascii="黑体" w:eastAsia="黑体"/>
          <w:spacing w:val="-2"/>
          <w:sz w:val="24"/>
        </w:rPr>
        <w:t>申请理赔时，被保险人年龄必须在三周岁（含）以上，并且提供理赔当时</w:t>
      </w:r>
      <w:r>
        <w:rPr>
          <w:rFonts w:ascii="黑体" w:eastAsia="黑体"/>
          <w:spacing w:val="-2"/>
          <w:sz w:val="24"/>
        </w:rPr>
        <w:t>的单耳失聪诊断及检查证据。</w:t>
      </w:r>
    </w:p>
    <w:p>
      <w:pPr>
        <w:spacing w:line="242" w:lineRule="auto" w:before="3"/>
        <w:ind w:left="1922" w:right="203" w:firstLine="0"/>
        <w:jc w:val="both"/>
        <w:rPr>
          <w:rFonts w:ascii="黑体" w:hAnsi="黑体" w:eastAsia="黑体"/>
          <w:sz w:val="24"/>
        </w:rPr>
      </w:pPr>
      <w:r>
        <w:rPr>
          <w:rFonts w:ascii="黑体" w:hAnsi="黑体" w:eastAsia="黑体"/>
          <w:w w:val="95"/>
          <w:sz w:val="24"/>
        </w:rPr>
        <w:t>如</w:t>
      </w:r>
      <w:r>
        <w:rPr>
          <w:rFonts w:ascii="黑体" w:hAnsi="黑体" w:eastAsia="黑体"/>
          <w:w w:val="95"/>
          <w:sz w:val="24"/>
        </w:rPr>
        <w:t>被</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人</w:t>
      </w:r>
      <w:r>
        <w:rPr>
          <w:rFonts w:ascii="黑体" w:hAnsi="黑体" w:eastAsia="黑体"/>
          <w:w w:val="95"/>
          <w:sz w:val="24"/>
        </w:rPr>
        <w:t>同</w:t>
      </w:r>
      <w:r>
        <w:rPr>
          <w:rFonts w:ascii="黑体" w:hAnsi="黑体" w:eastAsia="黑体"/>
          <w:w w:val="95"/>
          <w:sz w:val="24"/>
        </w:rPr>
        <w:t>时</w:t>
      </w:r>
      <w:r>
        <w:rPr>
          <w:rFonts w:ascii="黑体" w:hAnsi="黑体" w:eastAsia="黑体"/>
          <w:w w:val="95"/>
          <w:sz w:val="24"/>
        </w:rPr>
        <w:t>或</w:t>
      </w:r>
      <w:r>
        <w:rPr>
          <w:rFonts w:ascii="黑体" w:hAnsi="黑体" w:eastAsia="黑体"/>
          <w:w w:val="95"/>
          <w:sz w:val="24"/>
        </w:rPr>
        <w:t>先</w:t>
      </w:r>
      <w:r>
        <w:rPr>
          <w:rFonts w:ascii="黑体" w:hAnsi="黑体" w:eastAsia="黑体"/>
          <w:w w:val="95"/>
          <w:sz w:val="24"/>
        </w:rPr>
        <w:t>后</w:t>
      </w:r>
      <w:r>
        <w:rPr>
          <w:rFonts w:ascii="黑体" w:hAnsi="黑体" w:eastAsia="黑体"/>
          <w:w w:val="95"/>
          <w:sz w:val="24"/>
        </w:rPr>
        <w:t>达</w:t>
      </w:r>
      <w:r>
        <w:rPr>
          <w:rFonts w:ascii="黑体" w:hAnsi="黑体" w:eastAsia="黑体"/>
          <w:w w:val="95"/>
          <w:sz w:val="24"/>
        </w:rPr>
        <w:t>到“</w:t>
      </w:r>
      <w:r>
        <w:rPr>
          <w:rFonts w:ascii="黑体" w:hAnsi="黑体" w:eastAsia="黑体"/>
          <w:w w:val="95"/>
          <w:sz w:val="24"/>
        </w:rPr>
        <w:t>人</w:t>
      </w:r>
      <w:r>
        <w:rPr>
          <w:rFonts w:ascii="黑体" w:hAnsi="黑体" w:eastAsia="黑体"/>
          <w:w w:val="95"/>
          <w:sz w:val="24"/>
        </w:rPr>
        <w:t>工</w:t>
      </w:r>
      <w:r>
        <w:rPr>
          <w:rFonts w:ascii="黑体" w:hAnsi="黑体" w:eastAsia="黑体"/>
          <w:w w:val="95"/>
          <w:sz w:val="24"/>
        </w:rPr>
        <w:t>耳</w:t>
      </w:r>
      <w:r>
        <w:rPr>
          <w:rFonts w:ascii="黑体" w:hAnsi="黑体" w:eastAsia="黑体"/>
          <w:w w:val="95"/>
          <w:sz w:val="24"/>
        </w:rPr>
        <w:t>蜗</w:t>
      </w:r>
      <w:r>
        <w:rPr>
          <w:rFonts w:ascii="黑体" w:hAnsi="黑体" w:eastAsia="黑体"/>
          <w:w w:val="95"/>
          <w:sz w:val="24"/>
        </w:rPr>
        <w:t>植</w:t>
      </w:r>
      <w:r>
        <w:rPr>
          <w:rFonts w:ascii="黑体" w:hAnsi="黑体" w:eastAsia="黑体"/>
          <w:w w:val="95"/>
          <w:sz w:val="24"/>
        </w:rPr>
        <w:t>入</w:t>
      </w:r>
      <w:r>
        <w:rPr>
          <w:rFonts w:ascii="黑体" w:hAnsi="黑体" w:eastAsia="黑体"/>
          <w:w w:val="95"/>
          <w:sz w:val="24"/>
        </w:rPr>
        <w:t>术（</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34"/>
          <w:w w:val="95"/>
          <w:sz w:val="24"/>
        </w:rPr>
        <w:t>14.28</w:t>
      </w:r>
      <w:r>
        <w:rPr>
          <w:rFonts w:ascii="黑体" w:hAnsi="黑体" w:eastAsia="黑体"/>
          <w:spacing w:val="-86"/>
          <w:w w:val="95"/>
          <w:sz w:val="24"/>
        </w:rPr>
        <w:t>）”</w:t>
      </w:r>
      <w:r>
        <w:rPr>
          <w:rFonts w:ascii="黑体" w:hAnsi="黑体" w:eastAsia="黑体"/>
          <w:spacing w:val="-43"/>
          <w:w w:val="95"/>
          <w:sz w:val="24"/>
        </w:rPr>
        <w:t>、“单</w:t>
      </w:r>
      <w:r>
        <w:rPr>
          <w:rFonts w:ascii="黑体" w:hAnsi="黑体" w:eastAsia="黑体"/>
          <w:w w:val="95"/>
          <w:sz w:val="24"/>
        </w:rPr>
        <w:t>耳</w:t>
      </w:r>
      <w:r>
        <w:rPr>
          <w:rFonts w:ascii="黑体" w:hAnsi="黑体" w:eastAsia="黑体"/>
          <w:w w:val="95"/>
          <w:sz w:val="24"/>
        </w:rPr>
        <w:t>失</w:t>
      </w:r>
      <w:r>
        <w:rPr>
          <w:rFonts w:ascii="黑体" w:hAnsi="黑体" w:eastAsia="黑体"/>
          <w:w w:val="95"/>
          <w:sz w:val="24"/>
        </w:rPr>
        <w:t>聪</w:t>
      </w:r>
      <w:r>
        <w:rPr>
          <w:rFonts w:ascii="黑体" w:hAnsi="黑体" w:eastAsia="黑体"/>
          <w:w w:val="95"/>
          <w:sz w:val="24"/>
        </w:rPr>
        <w:t>－</w:t>
      </w:r>
      <w:r>
        <w:rPr>
          <w:rFonts w:ascii="黑体" w:hAnsi="黑体" w:eastAsia="黑体"/>
          <w:w w:val="95"/>
          <w:sz w:val="24"/>
        </w:rPr>
        <w:t>三</w:t>
      </w:r>
      <w:r>
        <w:rPr>
          <w:rFonts w:ascii="黑体" w:hAnsi="黑体" w:eastAsia="黑体"/>
          <w:w w:val="95"/>
          <w:sz w:val="24"/>
        </w:rPr>
        <w:t>周</w:t>
      </w:r>
      <w:r>
        <w:rPr>
          <w:rFonts w:ascii="黑体" w:hAnsi="黑体" w:eastAsia="黑体"/>
          <w:w w:val="95"/>
          <w:sz w:val="24"/>
        </w:rPr>
        <w:t>岁</w:t>
      </w:r>
      <w:r>
        <w:rPr>
          <w:rFonts w:ascii="黑体" w:hAnsi="黑体" w:eastAsia="黑体"/>
          <w:w w:val="95"/>
          <w:sz w:val="24"/>
        </w:rPr>
        <w:t>开</w:t>
      </w:r>
      <w:r>
        <w:rPr>
          <w:rFonts w:ascii="黑体" w:hAnsi="黑体" w:eastAsia="黑体"/>
          <w:w w:val="95"/>
          <w:sz w:val="24"/>
        </w:rPr>
        <w:t>始</w:t>
      </w:r>
      <w:r>
        <w:rPr>
          <w:rFonts w:ascii="黑体" w:hAnsi="黑体" w:eastAsia="黑体"/>
          <w:w w:val="95"/>
          <w:sz w:val="24"/>
        </w:rPr>
        <w:t>理</w:t>
      </w:r>
      <w:r>
        <w:rPr>
          <w:rFonts w:ascii="黑体" w:hAnsi="黑体" w:eastAsia="黑体"/>
          <w:w w:val="95"/>
          <w:sz w:val="24"/>
        </w:rPr>
        <w:t>赔（</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8"/>
          <w:w w:val="95"/>
          <w:sz w:val="24"/>
        </w:rPr>
        <w:t>14.29</w:t>
      </w:r>
      <w:r>
        <w:rPr>
          <w:rFonts w:ascii="黑体" w:hAnsi="黑体" w:eastAsia="黑体"/>
          <w:spacing w:val="-102"/>
          <w:w w:val="95"/>
          <w:sz w:val="24"/>
        </w:rPr>
        <w:t>）</w:t>
      </w:r>
      <w:r>
        <w:rPr>
          <w:rFonts w:ascii="黑体" w:hAnsi="黑体" w:eastAsia="黑体"/>
          <w:spacing w:val="10"/>
          <w:w w:val="95"/>
          <w:sz w:val="24"/>
        </w:rPr>
        <w:t>”</w:t>
      </w:r>
      <w:r>
        <w:rPr>
          <w:rFonts w:ascii="黑体" w:hAnsi="黑体" w:eastAsia="黑体"/>
          <w:w w:val="95"/>
          <w:sz w:val="24"/>
        </w:rPr>
        <w:t>和</w:t>
      </w:r>
      <w:r>
        <w:rPr>
          <w:rFonts w:ascii="黑体" w:hAnsi="黑体" w:eastAsia="黑体"/>
          <w:w w:val="95"/>
          <w:sz w:val="24"/>
        </w:rPr>
        <w:t>“听</w:t>
      </w:r>
      <w:r>
        <w:rPr>
          <w:rFonts w:ascii="黑体" w:hAnsi="黑体" w:eastAsia="黑体"/>
          <w:w w:val="95"/>
          <w:sz w:val="24"/>
        </w:rPr>
        <w:t>力</w:t>
      </w:r>
      <w:r>
        <w:rPr>
          <w:rFonts w:ascii="黑体" w:hAnsi="黑体" w:eastAsia="黑体"/>
          <w:w w:val="95"/>
          <w:sz w:val="24"/>
        </w:rPr>
        <w:t>严</w:t>
      </w:r>
      <w:r>
        <w:rPr>
          <w:rFonts w:ascii="黑体" w:hAnsi="黑体" w:eastAsia="黑体"/>
          <w:w w:val="95"/>
          <w:sz w:val="24"/>
        </w:rPr>
        <w:t>重</w:t>
      </w:r>
      <w:r>
        <w:rPr>
          <w:rFonts w:ascii="黑体" w:hAnsi="黑体" w:eastAsia="黑体"/>
          <w:w w:val="95"/>
          <w:sz w:val="24"/>
        </w:rPr>
        <w:t>受</w:t>
      </w:r>
      <w:r>
        <w:rPr>
          <w:rFonts w:ascii="黑体" w:hAnsi="黑体" w:eastAsia="黑体"/>
          <w:w w:val="95"/>
          <w:sz w:val="24"/>
        </w:rPr>
        <w:t>损</w:t>
      </w:r>
      <w:r>
        <w:rPr>
          <w:rFonts w:ascii="黑体" w:hAnsi="黑体" w:eastAsia="黑体"/>
          <w:w w:val="95"/>
          <w:sz w:val="24"/>
        </w:rPr>
        <w:t>－</w:t>
      </w:r>
      <w:r>
        <w:rPr>
          <w:rFonts w:ascii="黑体" w:hAnsi="黑体" w:eastAsia="黑体"/>
          <w:w w:val="95"/>
          <w:sz w:val="24"/>
        </w:rPr>
        <w:t>三</w:t>
      </w:r>
      <w:r>
        <w:rPr>
          <w:rFonts w:ascii="黑体" w:hAnsi="黑体" w:eastAsia="黑体"/>
          <w:w w:val="95"/>
          <w:sz w:val="24"/>
        </w:rPr>
        <w:t>周</w:t>
      </w:r>
      <w:r>
        <w:rPr>
          <w:rFonts w:ascii="黑体" w:hAnsi="黑体" w:eastAsia="黑体"/>
          <w:w w:val="95"/>
          <w:sz w:val="24"/>
        </w:rPr>
        <w:t>岁</w:t>
      </w:r>
      <w:r>
        <w:rPr>
          <w:rFonts w:ascii="黑体" w:hAnsi="黑体" w:eastAsia="黑体"/>
          <w:w w:val="95"/>
          <w:sz w:val="24"/>
        </w:rPr>
        <w:t>开</w:t>
      </w:r>
      <w:r>
        <w:rPr>
          <w:rFonts w:ascii="黑体" w:hAnsi="黑体" w:eastAsia="黑体"/>
          <w:w w:val="95"/>
          <w:sz w:val="24"/>
        </w:rPr>
        <w:t>始</w:t>
      </w:r>
      <w:r>
        <w:rPr>
          <w:rFonts w:ascii="黑体" w:hAnsi="黑体" w:eastAsia="黑体"/>
          <w:w w:val="95"/>
          <w:sz w:val="24"/>
        </w:rPr>
        <w:t>理</w:t>
      </w:r>
      <w:r>
        <w:rPr>
          <w:rFonts w:ascii="黑体" w:hAnsi="黑体" w:eastAsia="黑体"/>
          <w:w w:val="95"/>
          <w:sz w:val="24"/>
        </w:rPr>
        <w:t>赔</w:t>
      </w:r>
      <w:r>
        <w:rPr>
          <w:rFonts w:ascii="黑体" w:hAnsi="黑体" w:eastAsia="黑体"/>
          <w:w w:val="95"/>
          <w:sz w:val="24"/>
        </w:rPr>
        <w:t>（</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7"/>
          <w:w w:val="95"/>
          <w:sz w:val="24"/>
        </w:rPr>
        <w:t>14.30</w:t>
      </w:r>
      <w:r>
        <w:rPr>
          <w:rFonts w:ascii="黑体" w:hAnsi="黑体" w:eastAsia="黑体"/>
          <w:spacing w:val="-103"/>
          <w:w w:val="95"/>
          <w:sz w:val="24"/>
        </w:rPr>
        <w:t>）</w:t>
      </w:r>
      <w:r>
        <w:rPr>
          <w:rFonts w:ascii="黑体" w:hAnsi="黑体" w:eastAsia="黑体"/>
          <w:spacing w:val="17"/>
          <w:w w:val="95"/>
          <w:sz w:val="24"/>
        </w:rPr>
        <w:t>”</w:t>
      </w:r>
      <w:r>
        <w:rPr>
          <w:rFonts w:ascii="黑体" w:hAnsi="黑体" w:eastAsia="黑体"/>
          <w:w w:val="95"/>
          <w:sz w:val="24"/>
        </w:rPr>
        <w:t>的</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标</w:t>
      </w:r>
      <w:r>
        <w:rPr>
          <w:rFonts w:ascii="黑体" w:hAnsi="黑体" w:eastAsia="黑体"/>
          <w:w w:val="95"/>
          <w:sz w:val="24"/>
        </w:rPr>
        <w:t>准</w:t>
      </w:r>
      <w:r>
        <w:rPr>
          <w:rFonts w:ascii="黑体" w:hAnsi="黑体" w:eastAsia="黑体"/>
          <w:w w:val="95"/>
          <w:sz w:val="24"/>
        </w:rPr>
        <w:t>，</w:t>
      </w:r>
      <w:r>
        <w:rPr>
          <w:rFonts w:ascii="黑体" w:hAnsi="黑体" w:eastAsia="黑体"/>
          <w:w w:val="95"/>
          <w:sz w:val="24"/>
        </w:rPr>
        <w:t>我</w:t>
      </w:r>
      <w:r>
        <w:rPr>
          <w:rFonts w:ascii="黑体" w:hAnsi="黑体" w:eastAsia="黑体"/>
          <w:w w:val="95"/>
          <w:sz w:val="24"/>
        </w:rPr>
        <w:t>们</w:t>
      </w:r>
      <w:r>
        <w:rPr>
          <w:rFonts w:ascii="黑体" w:hAnsi="黑体" w:eastAsia="黑体"/>
          <w:w w:val="95"/>
          <w:sz w:val="24"/>
        </w:rPr>
        <w:t>仅</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其</w:t>
      </w:r>
      <w:r>
        <w:rPr>
          <w:rFonts w:ascii="黑体" w:hAnsi="黑体" w:eastAsia="黑体"/>
          <w:w w:val="95"/>
          <w:sz w:val="24"/>
        </w:rPr>
        <w:t>中</w:t>
      </w:r>
      <w:r>
        <w:rPr>
          <w:rFonts w:ascii="黑体" w:hAnsi="黑体" w:eastAsia="黑体"/>
          <w:w w:val="95"/>
          <w:sz w:val="24"/>
        </w:rPr>
        <w:t>一</w:t>
      </w:r>
      <w:r>
        <w:rPr>
          <w:rFonts w:ascii="黑体" w:hAnsi="黑体" w:eastAsia="黑体"/>
          <w:w w:val="95"/>
          <w:sz w:val="24"/>
        </w:rPr>
        <w:t>项</w:t>
      </w:r>
      <w:r>
        <w:rPr>
          <w:rFonts w:ascii="黑体" w:hAnsi="黑体" w:eastAsia="黑体"/>
          <w:w w:val="95"/>
          <w:sz w:val="24"/>
        </w:rPr>
        <w:t>轻</w:t>
      </w:r>
      <w:r>
        <w:rPr>
          <w:rFonts w:ascii="黑体" w:hAnsi="黑体" w:eastAsia="黑体"/>
          <w:w w:val="95"/>
          <w:sz w:val="24"/>
        </w:rPr>
        <w:t>症</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金</w:t>
      </w:r>
      <w:r>
        <w:rPr>
          <w:rFonts w:ascii="黑体" w:hAnsi="黑体" w:eastAsia="黑体"/>
          <w:w w:val="95"/>
          <w:sz w:val="24"/>
        </w:rPr>
        <w:t>，</w:t>
      </w:r>
      <w:r>
        <w:rPr>
          <w:rFonts w:ascii="黑体" w:hAnsi="黑体" w:eastAsia="黑体"/>
          <w:spacing w:val="-2"/>
          <w:sz w:val="24"/>
        </w:rPr>
        <w:t>赔付后另外两个病种轻症责任终止。</w:t>
      </w:r>
    </w:p>
    <w:p>
      <w:pPr>
        <w:pStyle w:val="BodyText"/>
        <w:spacing w:before="12"/>
        <w:rPr>
          <w:rFonts w:ascii="黑体"/>
          <w:sz w:val="13"/>
        </w:rPr>
      </w:pPr>
    </w:p>
    <w:p>
      <w:pPr>
        <w:spacing w:after="0"/>
        <w:rPr>
          <w:rFonts w:ascii="黑体"/>
          <w:sz w:val="13"/>
        </w:rPr>
        <w:sectPr>
          <w:type w:val="continuous"/>
          <w:pgSz w:w="11910" w:h="16840"/>
          <w:pgMar w:header="0" w:footer="1120" w:top="1120" w:bottom="1300" w:left="1020" w:right="1020"/>
        </w:sectPr>
      </w:pPr>
    </w:p>
    <w:p>
      <w:pPr>
        <w:pStyle w:val="ListParagraph"/>
        <w:numPr>
          <w:ilvl w:val="1"/>
          <w:numId w:val="20"/>
        </w:numPr>
        <w:tabs>
          <w:tab w:pos="968" w:val="left" w:leader="none"/>
        </w:tabs>
        <w:spacing w:line="240" w:lineRule="auto" w:before="78" w:after="0"/>
        <w:ind w:left="967" w:right="0" w:hanging="573"/>
        <w:jc w:val="left"/>
        <w:rPr>
          <w:rFonts w:ascii="楷体" w:eastAsia="楷体" w:hint="eastAsia"/>
          <w:b/>
          <w:sz w:val="21"/>
        </w:rPr>
      </w:pPr>
      <w:r>
        <w:rPr>
          <w:rFonts w:ascii="楷体" w:eastAsia="楷体" w:hint="eastAsia"/>
          <w:b/>
          <w:spacing w:val="-3"/>
          <w:sz w:val="21"/>
        </w:rPr>
        <w:t>听力严重</w:t>
      </w:r>
    </w:p>
    <w:p>
      <w:pPr>
        <w:pStyle w:val="BodyText"/>
        <w:spacing w:before="78"/>
        <w:ind w:left="70"/>
        <w:rPr>
          <w:rFonts w:ascii="Times New Roman" w:eastAsia="Times New Roman"/>
        </w:rPr>
      </w:pPr>
      <w:r>
        <w:rPr/>
        <w:br w:type="column"/>
      </w:r>
      <w:r>
        <w:rPr>
          <w:spacing w:val="-8"/>
        </w:rPr>
        <w:t>指因疾病或意外伤害导致双耳听力永久不可逆性丧失，在 </w:t>
      </w:r>
      <w:r>
        <w:rPr>
          <w:rFonts w:ascii="Times New Roman" w:eastAsia="Times New Roman"/>
          <w:spacing w:val="-2"/>
        </w:rPr>
        <w:t>500</w:t>
      </w:r>
      <w:r>
        <w:rPr>
          <w:rFonts w:ascii="Times New Roman" w:eastAsia="Times New Roman"/>
          <w:spacing w:val="4"/>
        </w:rPr>
        <w:t> </w:t>
      </w:r>
      <w:r>
        <w:rPr>
          <w:spacing w:val="-27"/>
        </w:rPr>
        <w:t>赫兹、</w:t>
      </w:r>
      <w:r>
        <w:rPr>
          <w:rFonts w:ascii="Times New Roman" w:eastAsia="Times New Roman"/>
          <w:spacing w:val="-2"/>
        </w:rPr>
        <w:t>1000</w:t>
      </w:r>
      <w:r>
        <w:rPr>
          <w:rFonts w:ascii="Times New Roman" w:eastAsia="Times New Roman"/>
          <w:spacing w:val="8"/>
        </w:rPr>
        <w:t> </w:t>
      </w:r>
      <w:r>
        <w:rPr>
          <w:spacing w:val="-13"/>
        </w:rPr>
        <w:t>赫兹和 </w:t>
      </w:r>
      <w:r>
        <w:rPr>
          <w:rFonts w:ascii="Times New Roman" w:eastAsia="Times New Roman"/>
          <w:spacing w:val="-4"/>
        </w:rPr>
        <w:t>2000</w:t>
      </w:r>
    </w:p>
    <w:p>
      <w:pPr>
        <w:spacing w:after="0"/>
        <w:rPr>
          <w:rFonts w:ascii="Times New Roman" w:eastAsia="Times New Roman"/>
        </w:rPr>
        <w:sectPr>
          <w:type w:val="continuous"/>
          <w:pgSz w:w="11910" w:h="16840"/>
          <w:pgMar w:header="0" w:footer="1120" w:top="1120" w:bottom="1300" w:left="1020" w:right="1020"/>
          <w:cols w:num="2" w:equalWidth="0">
            <w:col w:w="1813" w:space="40"/>
            <w:col w:w="8017"/>
          </w:cols>
        </w:sectPr>
      </w:pPr>
    </w:p>
    <w:p>
      <w:pPr>
        <w:pStyle w:val="BodyText"/>
        <w:ind w:left="395"/>
      </w:pPr>
      <w:r>
        <w:rPr>
          <w:rFonts w:ascii="楷体" w:eastAsia="楷体" w:hint="eastAsia"/>
          <w:b/>
          <w:spacing w:val="-5"/>
        </w:rPr>
        <w:t>受损－ 三周岁 </w:t>
      </w:r>
      <w:r>
        <w:rPr>
          <w:spacing w:val="-4"/>
        </w:rPr>
        <w:t>赫兹语音频率下，平均听阈大于 </w:t>
      </w:r>
      <w:r>
        <w:rPr>
          <w:rFonts w:ascii="Times New Roman" w:eastAsia="Times New Roman"/>
        </w:rPr>
        <w:t>70</w:t>
      </w:r>
      <w:r>
        <w:rPr>
          <w:rFonts w:ascii="Times New Roman" w:eastAsia="Times New Roman"/>
          <w:spacing w:val="-13"/>
        </w:rPr>
        <w:t> </w:t>
      </w:r>
      <w:r>
        <w:rPr>
          <w:spacing w:val="-7"/>
        </w:rPr>
        <w:t>分贝，但未超过 </w:t>
      </w:r>
      <w:r>
        <w:rPr>
          <w:rFonts w:ascii="Times New Roman" w:eastAsia="Times New Roman"/>
        </w:rPr>
        <w:t>90</w:t>
      </w:r>
      <w:r>
        <w:rPr>
          <w:rFonts w:ascii="Times New Roman" w:eastAsia="Times New Roman"/>
          <w:spacing w:val="-10"/>
        </w:rPr>
        <w:t> </w:t>
      </w:r>
      <w:r>
        <w:rPr>
          <w:spacing w:val="-1"/>
        </w:rPr>
        <w:t>分贝，且经纯音听力测试、声</w:t>
      </w:r>
    </w:p>
    <w:p>
      <w:pPr>
        <w:spacing w:after="0"/>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3"/>
          <w:sz w:val="21"/>
        </w:rPr>
        <w:t>开始理赔</w:t>
      </w:r>
    </w:p>
    <w:p>
      <w:pPr>
        <w:pStyle w:val="BodyText"/>
        <w:ind w:left="396"/>
      </w:pPr>
      <w:r>
        <w:rPr/>
        <w:br w:type="column"/>
      </w:r>
      <w:r>
        <w:rPr>
          <w:spacing w:val="-3"/>
        </w:rPr>
        <w:t>导抗检测或听觉诱发电位检测等证实。</w:t>
      </w:r>
    </w:p>
    <w:p>
      <w:pPr>
        <w:spacing w:line="242" w:lineRule="auto" w:before="20"/>
        <w:ind w:left="395" w:right="213" w:firstLine="0"/>
        <w:jc w:val="left"/>
        <w:rPr>
          <w:rFonts w:ascii="黑体" w:eastAsia="黑体"/>
          <w:sz w:val="24"/>
        </w:rPr>
      </w:pPr>
      <w:r>
        <w:rPr>
          <w:rFonts w:ascii="黑体" w:eastAsia="黑体"/>
          <w:spacing w:val="-2"/>
          <w:sz w:val="24"/>
        </w:rPr>
        <w:t>申请理赔时，被保险人年龄必须在三周岁（含）以上，并且提供理赔当时</w:t>
      </w:r>
      <w:r>
        <w:rPr>
          <w:rFonts w:ascii="黑体" w:eastAsia="黑体"/>
          <w:spacing w:val="-2"/>
          <w:sz w:val="24"/>
        </w:rPr>
        <w:t>的听力严重受损诊断及检查证据。</w:t>
      </w:r>
    </w:p>
    <w:p>
      <w:pPr>
        <w:spacing w:line="242" w:lineRule="auto" w:before="3"/>
        <w:ind w:left="395" w:right="203" w:firstLine="0"/>
        <w:jc w:val="both"/>
        <w:rPr>
          <w:rFonts w:ascii="黑体" w:hAnsi="黑体" w:eastAsia="黑体"/>
          <w:sz w:val="24"/>
        </w:rPr>
      </w:pPr>
      <w:r>
        <w:rPr>
          <w:rFonts w:ascii="黑体" w:hAnsi="黑体" w:eastAsia="黑体"/>
          <w:w w:val="95"/>
          <w:sz w:val="24"/>
        </w:rPr>
        <w:t>如</w:t>
      </w:r>
      <w:r>
        <w:rPr>
          <w:rFonts w:ascii="黑体" w:hAnsi="黑体" w:eastAsia="黑体"/>
          <w:w w:val="95"/>
          <w:sz w:val="24"/>
        </w:rPr>
        <w:t>被</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人</w:t>
      </w:r>
      <w:r>
        <w:rPr>
          <w:rFonts w:ascii="黑体" w:hAnsi="黑体" w:eastAsia="黑体"/>
          <w:w w:val="95"/>
          <w:sz w:val="24"/>
        </w:rPr>
        <w:t>同</w:t>
      </w:r>
      <w:r>
        <w:rPr>
          <w:rFonts w:ascii="黑体" w:hAnsi="黑体" w:eastAsia="黑体"/>
          <w:w w:val="95"/>
          <w:sz w:val="24"/>
        </w:rPr>
        <w:t>时</w:t>
      </w:r>
      <w:r>
        <w:rPr>
          <w:rFonts w:ascii="黑体" w:hAnsi="黑体" w:eastAsia="黑体"/>
          <w:w w:val="95"/>
          <w:sz w:val="24"/>
        </w:rPr>
        <w:t>或</w:t>
      </w:r>
      <w:r>
        <w:rPr>
          <w:rFonts w:ascii="黑体" w:hAnsi="黑体" w:eastAsia="黑体"/>
          <w:w w:val="95"/>
          <w:sz w:val="24"/>
        </w:rPr>
        <w:t>先</w:t>
      </w:r>
      <w:r>
        <w:rPr>
          <w:rFonts w:ascii="黑体" w:hAnsi="黑体" w:eastAsia="黑体"/>
          <w:w w:val="95"/>
          <w:sz w:val="24"/>
        </w:rPr>
        <w:t>后</w:t>
      </w:r>
      <w:r>
        <w:rPr>
          <w:rFonts w:ascii="黑体" w:hAnsi="黑体" w:eastAsia="黑体"/>
          <w:w w:val="95"/>
          <w:sz w:val="24"/>
        </w:rPr>
        <w:t>达</w:t>
      </w:r>
      <w:r>
        <w:rPr>
          <w:rFonts w:ascii="黑体" w:hAnsi="黑体" w:eastAsia="黑体"/>
          <w:w w:val="95"/>
          <w:sz w:val="24"/>
        </w:rPr>
        <w:t>到“</w:t>
      </w:r>
      <w:r>
        <w:rPr>
          <w:rFonts w:ascii="黑体" w:hAnsi="黑体" w:eastAsia="黑体"/>
          <w:w w:val="95"/>
          <w:sz w:val="24"/>
        </w:rPr>
        <w:t>人</w:t>
      </w:r>
      <w:r>
        <w:rPr>
          <w:rFonts w:ascii="黑体" w:hAnsi="黑体" w:eastAsia="黑体"/>
          <w:w w:val="95"/>
          <w:sz w:val="24"/>
        </w:rPr>
        <w:t>工</w:t>
      </w:r>
      <w:r>
        <w:rPr>
          <w:rFonts w:ascii="黑体" w:hAnsi="黑体" w:eastAsia="黑体"/>
          <w:w w:val="95"/>
          <w:sz w:val="24"/>
        </w:rPr>
        <w:t>耳</w:t>
      </w:r>
      <w:r>
        <w:rPr>
          <w:rFonts w:ascii="黑体" w:hAnsi="黑体" w:eastAsia="黑体"/>
          <w:w w:val="95"/>
          <w:sz w:val="24"/>
        </w:rPr>
        <w:t>蜗</w:t>
      </w:r>
      <w:r>
        <w:rPr>
          <w:rFonts w:ascii="黑体" w:hAnsi="黑体" w:eastAsia="黑体"/>
          <w:w w:val="95"/>
          <w:sz w:val="24"/>
        </w:rPr>
        <w:t>植</w:t>
      </w:r>
      <w:r>
        <w:rPr>
          <w:rFonts w:ascii="黑体" w:hAnsi="黑体" w:eastAsia="黑体"/>
          <w:w w:val="95"/>
          <w:sz w:val="24"/>
        </w:rPr>
        <w:t>入</w:t>
      </w:r>
      <w:r>
        <w:rPr>
          <w:rFonts w:ascii="黑体" w:hAnsi="黑体" w:eastAsia="黑体"/>
          <w:w w:val="95"/>
          <w:sz w:val="24"/>
        </w:rPr>
        <w:t>术（</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34"/>
          <w:w w:val="95"/>
          <w:sz w:val="24"/>
        </w:rPr>
        <w:t>14.28</w:t>
      </w:r>
      <w:r>
        <w:rPr>
          <w:rFonts w:ascii="黑体" w:hAnsi="黑体" w:eastAsia="黑体"/>
          <w:spacing w:val="-86"/>
          <w:w w:val="95"/>
          <w:sz w:val="24"/>
        </w:rPr>
        <w:t>）”</w:t>
      </w:r>
      <w:r>
        <w:rPr>
          <w:rFonts w:ascii="黑体" w:hAnsi="黑体" w:eastAsia="黑体"/>
          <w:spacing w:val="-43"/>
          <w:w w:val="95"/>
          <w:sz w:val="24"/>
        </w:rPr>
        <w:t>、“单</w:t>
      </w:r>
      <w:r>
        <w:rPr>
          <w:rFonts w:ascii="黑体" w:hAnsi="黑体" w:eastAsia="黑体"/>
          <w:w w:val="95"/>
          <w:sz w:val="24"/>
        </w:rPr>
        <w:t>耳</w:t>
      </w:r>
      <w:r>
        <w:rPr>
          <w:rFonts w:ascii="黑体" w:hAnsi="黑体" w:eastAsia="黑体"/>
          <w:w w:val="95"/>
          <w:sz w:val="24"/>
        </w:rPr>
        <w:t>失</w:t>
      </w:r>
      <w:r>
        <w:rPr>
          <w:rFonts w:ascii="黑体" w:hAnsi="黑体" w:eastAsia="黑体"/>
          <w:w w:val="95"/>
          <w:sz w:val="24"/>
        </w:rPr>
        <w:t>聪</w:t>
      </w:r>
      <w:r>
        <w:rPr>
          <w:rFonts w:ascii="黑体" w:hAnsi="黑体" w:eastAsia="黑体"/>
          <w:w w:val="95"/>
          <w:sz w:val="24"/>
        </w:rPr>
        <w:t>－</w:t>
      </w:r>
      <w:r>
        <w:rPr>
          <w:rFonts w:ascii="黑体" w:hAnsi="黑体" w:eastAsia="黑体"/>
          <w:w w:val="95"/>
          <w:sz w:val="24"/>
        </w:rPr>
        <w:t>三</w:t>
      </w:r>
      <w:r>
        <w:rPr>
          <w:rFonts w:ascii="黑体" w:hAnsi="黑体" w:eastAsia="黑体"/>
          <w:w w:val="95"/>
          <w:sz w:val="24"/>
        </w:rPr>
        <w:t>周</w:t>
      </w:r>
      <w:r>
        <w:rPr>
          <w:rFonts w:ascii="黑体" w:hAnsi="黑体" w:eastAsia="黑体"/>
          <w:w w:val="95"/>
          <w:sz w:val="24"/>
        </w:rPr>
        <w:t>岁</w:t>
      </w:r>
      <w:r>
        <w:rPr>
          <w:rFonts w:ascii="黑体" w:hAnsi="黑体" w:eastAsia="黑体"/>
          <w:w w:val="95"/>
          <w:sz w:val="24"/>
        </w:rPr>
        <w:t>开</w:t>
      </w:r>
      <w:r>
        <w:rPr>
          <w:rFonts w:ascii="黑体" w:hAnsi="黑体" w:eastAsia="黑体"/>
          <w:w w:val="95"/>
          <w:sz w:val="24"/>
        </w:rPr>
        <w:t>始</w:t>
      </w:r>
      <w:r>
        <w:rPr>
          <w:rFonts w:ascii="黑体" w:hAnsi="黑体" w:eastAsia="黑体"/>
          <w:w w:val="95"/>
          <w:sz w:val="24"/>
        </w:rPr>
        <w:t>理</w:t>
      </w:r>
      <w:r>
        <w:rPr>
          <w:rFonts w:ascii="黑体" w:hAnsi="黑体" w:eastAsia="黑体"/>
          <w:w w:val="95"/>
          <w:sz w:val="24"/>
        </w:rPr>
        <w:t>赔（</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8"/>
          <w:w w:val="95"/>
          <w:sz w:val="24"/>
        </w:rPr>
        <w:t>14.29</w:t>
      </w:r>
      <w:r>
        <w:rPr>
          <w:rFonts w:ascii="黑体" w:hAnsi="黑体" w:eastAsia="黑体"/>
          <w:spacing w:val="-102"/>
          <w:w w:val="95"/>
          <w:sz w:val="24"/>
        </w:rPr>
        <w:t>）</w:t>
      </w:r>
      <w:r>
        <w:rPr>
          <w:rFonts w:ascii="黑体" w:hAnsi="黑体" w:eastAsia="黑体"/>
          <w:spacing w:val="10"/>
          <w:w w:val="95"/>
          <w:sz w:val="24"/>
        </w:rPr>
        <w:t>”</w:t>
      </w:r>
      <w:r>
        <w:rPr>
          <w:rFonts w:ascii="黑体" w:hAnsi="黑体" w:eastAsia="黑体"/>
          <w:w w:val="95"/>
          <w:sz w:val="24"/>
        </w:rPr>
        <w:t>和</w:t>
      </w:r>
      <w:r>
        <w:rPr>
          <w:rFonts w:ascii="黑体" w:hAnsi="黑体" w:eastAsia="黑体"/>
          <w:w w:val="95"/>
          <w:sz w:val="24"/>
        </w:rPr>
        <w:t>“听</w:t>
      </w:r>
      <w:r>
        <w:rPr>
          <w:rFonts w:ascii="黑体" w:hAnsi="黑体" w:eastAsia="黑体"/>
          <w:w w:val="95"/>
          <w:sz w:val="24"/>
        </w:rPr>
        <w:t>力</w:t>
      </w:r>
      <w:r>
        <w:rPr>
          <w:rFonts w:ascii="黑体" w:hAnsi="黑体" w:eastAsia="黑体"/>
          <w:w w:val="95"/>
          <w:sz w:val="24"/>
        </w:rPr>
        <w:t>严</w:t>
      </w:r>
      <w:r>
        <w:rPr>
          <w:rFonts w:ascii="黑体" w:hAnsi="黑体" w:eastAsia="黑体"/>
          <w:w w:val="95"/>
          <w:sz w:val="24"/>
        </w:rPr>
        <w:t>重</w:t>
      </w:r>
      <w:r>
        <w:rPr>
          <w:rFonts w:ascii="黑体" w:hAnsi="黑体" w:eastAsia="黑体"/>
          <w:w w:val="95"/>
          <w:sz w:val="24"/>
        </w:rPr>
        <w:t>受</w:t>
      </w:r>
      <w:r>
        <w:rPr>
          <w:rFonts w:ascii="黑体" w:hAnsi="黑体" w:eastAsia="黑体"/>
          <w:w w:val="95"/>
          <w:sz w:val="24"/>
        </w:rPr>
        <w:t>损</w:t>
      </w:r>
      <w:r>
        <w:rPr>
          <w:rFonts w:ascii="黑体" w:hAnsi="黑体" w:eastAsia="黑体"/>
          <w:w w:val="95"/>
          <w:sz w:val="24"/>
        </w:rPr>
        <w:t>－</w:t>
      </w:r>
      <w:r>
        <w:rPr>
          <w:rFonts w:ascii="黑体" w:hAnsi="黑体" w:eastAsia="黑体"/>
          <w:w w:val="95"/>
          <w:sz w:val="24"/>
        </w:rPr>
        <w:t>三</w:t>
      </w:r>
      <w:r>
        <w:rPr>
          <w:rFonts w:ascii="黑体" w:hAnsi="黑体" w:eastAsia="黑体"/>
          <w:w w:val="95"/>
          <w:sz w:val="24"/>
        </w:rPr>
        <w:t>周</w:t>
      </w:r>
      <w:r>
        <w:rPr>
          <w:rFonts w:ascii="黑体" w:hAnsi="黑体" w:eastAsia="黑体"/>
          <w:w w:val="95"/>
          <w:sz w:val="24"/>
        </w:rPr>
        <w:t>岁</w:t>
      </w:r>
      <w:r>
        <w:rPr>
          <w:rFonts w:ascii="黑体" w:hAnsi="黑体" w:eastAsia="黑体"/>
          <w:w w:val="95"/>
          <w:sz w:val="24"/>
        </w:rPr>
        <w:t>开</w:t>
      </w:r>
      <w:r>
        <w:rPr>
          <w:rFonts w:ascii="黑体" w:hAnsi="黑体" w:eastAsia="黑体"/>
          <w:w w:val="95"/>
          <w:sz w:val="24"/>
        </w:rPr>
        <w:t>始</w:t>
      </w:r>
      <w:r>
        <w:rPr>
          <w:rFonts w:ascii="黑体" w:hAnsi="黑体" w:eastAsia="黑体"/>
          <w:w w:val="95"/>
          <w:sz w:val="24"/>
        </w:rPr>
        <w:t>理</w:t>
      </w:r>
      <w:r>
        <w:rPr>
          <w:rFonts w:ascii="黑体" w:hAnsi="黑体" w:eastAsia="黑体"/>
          <w:w w:val="95"/>
          <w:sz w:val="24"/>
        </w:rPr>
        <w:t>赔</w:t>
      </w:r>
      <w:r>
        <w:rPr>
          <w:rFonts w:ascii="黑体" w:hAnsi="黑体" w:eastAsia="黑体"/>
          <w:w w:val="95"/>
          <w:sz w:val="24"/>
        </w:rPr>
        <w:t>（</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17"/>
          <w:w w:val="95"/>
          <w:sz w:val="24"/>
        </w:rPr>
        <w:t>14.30</w:t>
      </w:r>
      <w:r>
        <w:rPr>
          <w:rFonts w:ascii="黑体" w:hAnsi="黑体" w:eastAsia="黑体"/>
          <w:spacing w:val="-103"/>
          <w:w w:val="95"/>
          <w:sz w:val="24"/>
        </w:rPr>
        <w:t>）</w:t>
      </w:r>
      <w:r>
        <w:rPr>
          <w:rFonts w:ascii="黑体" w:hAnsi="黑体" w:eastAsia="黑体"/>
          <w:spacing w:val="17"/>
          <w:w w:val="95"/>
          <w:sz w:val="24"/>
        </w:rPr>
        <w:t>”</w:t>
      </w:r>
      <w:r>
        <w:rPr>
          <w:rFonts w:ascii="黑体" w:hAnsi="黑体" w:eastAsia="黑体"/>
          <w:w w:val="95"/>
          <w:sz w:val="24"/>
        </w:rPr>
        <w:t>的</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标</w:t>
      </w:r>
      <w:r>
        <w:rPr>
          <w:rFonts w:ascii="黑体" w:hAnsi="黑体" w:eastAsia="黑体"/>
          <w:w w:val="95"/>
          <w:sz w:val="24"/>
        </w:rPr>
        <w:t>准</w:t>
      </w:r>
      <w:r>
        <w:rPr>
          <w:rFonts w:ascii="黑体" w:hAnsi="黑体" w:eastAsia="黑体"/>
          <w:w w:val="95"/>
          <w:sz w:val="24"/>
        </w:rPr>
        <w:t>，</w:t>
      </w:r>
      <w:r>
        <w:rPr>
          <w:rFonts w:ascii="黑体" w:hAnsi="黑体" w:eastAsia="黑体"/>
          <w:w w:val="95"/>
          <w:sz w:val="24"/>
        </w:rPr>
        <w:t>我</w:t>
      </w:r>
      <w:r>
        <w:rPr>
          <w:rFonts w:ascii="黑体" w:hAnsi="黑体" w:eastAsia="黑体"/>
          <w:w w:val="95"/>
          <w:sz w:val="24"/>
        </w:rPr>
        <w:t>们</w:t>
      </w:r>
      <w:r>
        <w:rPr>
          <w:rFonts w:ascii="黑体" w:hAnsi="黑体" w:eastAsia="黑体"/>
          <w:w w:val="95"/>
          <w:sz w:val="24"/>
        </w:rPr>
        <w:t>仅</w:t>
      </w:r>
      <w:r>
        <w:rPr>
          <w:rFonts w:ascii="黑体" w:hAnsi="黑体" w:eastAsia="黑体"/>
          <w:w w:val="95"/>
          <w:sz w:val="24"/>
        </w:rPr>
        <w:t>赔</w:t>
      </w:r>
      <w:r>
        <w:rPr>
          <w:rFonts w:ascii="黑体" w:hAnsi="黑体" w:eastAsia="黑体"/>
          <w:w w:val="95"/>
          <w:sz w:val="24"/>
        </w:rPr>
        <w:t>付</w:t>
      </w:r>
      <w:r>
        <w:rPr>
          <w:rFonts w:ascii="黑体" w:hAnsi="黑体" w:eastAsia="黑体"/>
          <w:w w:val="95"/>
          <w:sz w:val="24"/>
        </w:rPr>
        <w:t>其</w:t>
      </w:r>
      <w:r>
        <w:rPr>
          <w:rFonts w:ascii="黑体" w:hAnsi="黑体" w:eastAsia="黑体"/>
          <w:w w:val="95"/>
          <w:sz w:val="24"/>
        </w:rPr>
        <w:t>中</w:t>
      </w:r>
      <w:r>
        <w:rPr>
          <w:rFonts w:ascii="黑体" w:hAnsi="黑体" w:eastAsia="黑体"/>
          <w:w w:val="95"/>
          <w:sz w:val="24"/>
        </w:rPr>
        <w:t>一</w:t>
      </w:r>
      <w:r>
        <w:rPr>
          <w:rFonts w:ascii="黑体" w:hAnsi="黑体" w:eastAsia="黑体"/>
          <w:w w:val="95"/>
          <w:sz w:val="24"/>
        </w:rPr>
        <w:t>项</w:t>
      </w:r>
      <w:r>
        <w:rPr>
          <w:rFonts w:ascii="黑体" w:hAnsi="黑体" w:eastAsia="黑体"/>
          <w:w w:val="95"/>
          <w:sz w:val="24"/>
        </w:rPr>
        <w:t>轻</w:t>
      </w:r>
      <w:r>
        <w:rPr>
          <w:rFonts w:ascii="黑体" w:hAnsi="黑体" w:eastAsia="黑体"/>
          <w:w w:val="95"/>
          <w:sz w:val="24"/>
        </w:rPr>
        <w:t>症</w:t>
      </w:r>
      <w:r>
        <w:rPr>
          <w:rFonts w:ascii="黑体" w:hAnsi="黑体" w:eastAsia="黑体"/>
          <w:w w:val="95"/>
          <w:sz w:val="24"/>
        </w:rPr>
        <w:t>疾</w:t>
      </w:r>
      <w:r>
        <w:rPr>
          <w:rFonts w:ascii="黑体" w:hAnsi="黑体" w:eastAsia="黑体"/>
          <w:w w:val="95"/>
          <w:sz w:val="24"/>
        </w:rPr>
        <w:t>病</w:t>
      </w:r>
      <w:r>
        <w:rPr>
          <w:rFonts w:ascii="黑体" w:hAnsi="黑体" w:eastAsia="黑体"/>
          <w:w w:val="95"/>
          <w:sz w:val="24"/>
        </w:rPr>
        <w:t>保</w:t>
      </w:r>
      <w:r>
        <w:rPr>
          <w:rFonts w:ascii="黑体" w:hAnsi="黑体" w:eastAsia="黑体"/>
          <w:w w:val="95"/>
          <w:sz w:val="24"/>
        </w:rPr>
        <w:t>险</w:t>
      </w:r>
      <w:r>
        <w:rPr>
          <w:rFonts w:ascii="黑体" w:hAnsi="黑体" w:eastAsia="黑体"/>
          <w:w w:val="95"/>
          <w:sz w:val="24"/>
        </w:rPr>
        <w:t>金</w:t>
      </w:r>
      <w:r>
        <w:rPr>
          <w:rFonts w:ascii="黑体" w:hAnsi="黑体" w:eastAsia="黑体"/>
          <w:w w:val="95"/>
          <w:sz w:val="24"/>
        </w:rPr>
        <w:t>，</w:t>
      </w:r>
      <w:r>
        <w:rPr>
          <w:rFonts w:ascii="黑体" w:hAnsi="黑体" w:eastAsia="黑体"/>
          <w:spacing w:val="-2"/>
          <w:sz w:val="24"/>
        </w:rPr>
        <w:t>赔付后另外两个病种轻症责任终止。</w:t>
      </w:r>
    </w:p>
    <w:p>
      <w:pPr>
        <w:spacing w:after="0" w:line="242" w:lineRule="auto"/>
        <w:jc w:val="both"/>
        <w:rPr>
          <w:rFonts w:ascii="黑体" w:hAnsi="黑体" w:eastAsia="黑体"/>
          <w:sz w:val="24"/>
        </w:rPr>
        <w:sectPr>
          <w:type w:val="continuous"/>
          <w:pgSz w:w="11910" w:h="16840"/>
          <w:pgMar w:header="0" w:footer="1120" w:top="1120" w:bottom="1300" w:left="1020" w:right="1020"/>
          <w:cols w:num="2" w:equalWidth="0">
            <w:col w:w="1281" w:space="245"/>
            <w:col w:w="8344"/>
          </w:cols>
        </w:sectPr>
      </w:pPr>
    </w:p>
    <w:p>
      <w:pPr>
        <w:pStyle w:val="BodyText"/>
        <w:spacing w:before="5"/>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单个肢体</w:t>
      </w:r>
      <w:r>
        <w:rPr>
          <w:rFonts w:ascii="楷体" w:eastAsia="楷体" w:hint="eastAsia"/>
          <w:b/>
          <w:spacing w:val="-6"/>
          <w:sz w:val="21"/>
        </w:rPr>
        <w:t>缺失</w:t>
      </w:r>
    </w:p>
    <w:p>
      <w:pPr>
        <w:pStyle w:val="BodyText"/>
        <w:spacing w:line="278" w:lineRule="auto" w:before="72"/>
        <w:ind w:left="70" w:right="214"/>
      </w:pPr>
      <w:r>
        <w:rPr/>
        <w:br w:type="column"/>
      </w:r>
      <w:r>
        <w:rPr>
          <w:spacing w:val="-2"/>
        </w:rPr>
        <w:t>指因疾病或意外伤害导致一个肢体自腕关节或踝关节近端（靠近躯干端）以上完全性</w:t>
      </w:r>
      <w:r>
        <w:rPr>
          <w:spacing w:val="-4"/>
        </w:rPr>
        <w:t>断离。</w:t>
      </w:r>
    </w:p>
    <w:p>
      <w:pPr>
        <w:spacing w:after="0" w:line="278" w:lineRule="auto"/>
        <w:sectPr>
          <w:type w:val="continuous"/>
          <w:pgSz w:w="11910" w:h="16840"/>
          <w:pgMar w:header="0" w:footer="1120" w:top="1120" w:bottom="1300" w:left="1020" w:right="1020"/>
          <w:cols w:num="2" w:equalWidth="0">
            <w:col w:w="1813" w:space="40"/>
            <w:col w:w="8017"/>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双侧睾丸</w:t>
      </w:r>
      <w:r>
        <w:rPr>
          <w:rFonts w:ascii="楷体" w:eastAsia="楷体" w:hint="eastAsia"/>
          <w:b/>
          <w:spacing w:val="-4"/>
          <w:sz w:val="21"/>
        </w:rPr>
        <w:t>切除术</w:t>
      </w:r>
    </w:p>
    <w:p>
      <w:pPr>
        <w:pStyle w:val="BodyText"/>
        <w:spacing w:before="72"/>
        <w:ind w:left="70"/>
      </w:pPr>
      <w:r>
        <w:rPr/>
        <w:br w:type="column"/>
      </w:r>
      <w:r>
        <w:rPr>
          <w:spacing w:val="-3"/>
        </w:rPr>
        <w:t>指为治疗疾病，已经实施了双侧睾丸完全切除手术。</w:t>
      </w:r>
    </w:p>
    <w:p>
      <w:pPr>
        <w:spacing w:before="20"/>
        <w:ind w:left="70" w:right="0" w:firstLine="0"/>
        <w:jc w:val="left"/>
        <w:rPr>
          <w:rFonts w:ascii="黑体" w:eastAsia="黑体"/>
          <w:sz w:val="24"/>
        </w:rPr>
      </w:pPr>
      <w:r>
        <w:rPr>
          <w:rFonts w:ascii="黑体" w:eastAsia="黑体"/>
          <w:spacing w:val="-1"/>
          <w:sz w:val="24"/>
        </w:rPr>
        <w:t>部分睾丸切除不在保障范围内。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2"/>
        <w:rPr>
          <w:rFonts w:ascii="黑体"/>
          <w:sz w:val="12"/>
        </w:rPr>
      </w:pPr>
    </w:p>
    <w:p>
      <w:pPr>
        <w:spacing w:after="0"/>
        <w:rPr>
          <w:rFonts w:ascii="黑体"/>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双侧卵巢</w:t>
      </w:r>
      <w:r>
        <w:rPr>
          <w:rFonts w:ascii="楷体" w:eastAsia="楷体" w:hint="eastAsia"/>
          <w:b/>
          <w:spacing w:val="-4"/>
          <w:sz w:val="21"/>
        </w:rPr>
        <w:t>切除术</w:t>
      </w:r>
    </w:p>
    <w:p>
      <w:pPr>
        <w:pStyle w:val="BodyText"/>
        <w:spacing w:before="72"/>
        <w:ind w:left="70"/>
      </w:pPr>
      <w:r>
        <w:rPr/>
        <w:br w:type="column"/>
      </w:r>
      <w:r>
        <w:rPr>
          <w:spacing w:val="-3"/>
        </w:rPr>
        <w:t>指为治疗疾病，已经实施了经腹部切开或腹腔镜进行的双侧卵巢完全切除手术。</w:t>
      </w:r>
    </w:p>
    <w:p>
      <w:pPr>
        <w:spacing w:before="20"/>
        <w:ind w:left="70" w:right="0" w:firstLine="0"/>
        <w:jc w:val="left"/>
        <w:rPr>
          <w:rFonts w:ascii="黑体" w:eastAsia="黑体"/>
          <w:sz w:val="24"/>
        </w:rPr>
      </w:pPr>
      <w:r>
        <w:rPr>
          <w:rFonts w:ascii="黑体" w:eastAsia="黑体"/>
          <w:spacing w:val="-1"/>
          <w:sz w:val="24"/>
        </w:rPr>
        <w:t>部分卵巢切除不在保障范围内。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12"/>
        <w:rPr>
          <w:rFonts w:ascii="黑体"/>
          <w:sz w:val="11"/>
        </w:rPr>
      </w:pPr>
    </w:p>
    <w:p>
      <w:pPr>
        <w:spacing w:after="0"/>
        <w:rPr>
          <w:rFonts w:ascii="黑体"/>
          <w:sz w:val="11"/>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早期象皮</w:t>
      </w:r>
      <w:r>
        <w:rPr>
          <w:rFonts w:ascii="楷体" w:eastAsia="楷体" w:hint="eastAsia"/>
          <w:b/>
          <w:spacing w:val="-10"/>
          <w:sz w:val="21"/>
        </w:rPr>
        <w:t>病</w:t>
      </w:r>
    </w:p>
    <w:p>
      <w:pPr>
        <w:pStyle w:val="BodyText"/>
        <w:spacing w:before="72"/>
        <w:ind w:left="70"/>
      </w:pPr>
      <w:r>
        <w:rPr/>
        <w:br w:type="column"/>
      </w:r>
      <w:r>
        <w:rPr>
          <w:spacing w:val="-3"/>
        </w:rPr>
        <w:t>指因丝虫感染导致淋巴管阻塞而造成身体组织出现严重淋巴水肿。</w:t>
      </w:r>
    </w:p>
    <w:p>
      <w:pPr>
        <w:spacing w:before="20"/>
        <w:ind w:left="70" w:right="0" w:firstLine="0"/>
        <w:jc w:val="left"/>
        <w:rPr>
          <w:rFonts w:ascii="黑体" w:eastAsia="黑体"/>
          <w:sz w:val="24"/>
        </w:rPr>
      </w:pPr>
      <w:r>
        <w:rPr>
          <w:rFonts w:ascii="黑体" w:eastAsia="黑体"/>
          <w:spacing w:val="-1"/>
          <w:sz w:val="24"/>
        </w:rPr>
        <w:t>急性淋巴管炎或其它原因引起的淋巴水肿并不在保障范围內。</w:t>
      </w:r>
    </w:p>
    <w:p>
      <w:pPr>
        <w:spacing w:after="0"/>
        <w:jc w:val="left"/>
        <w:rPr>
          <w:rFonts w:asci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9"/>
        <w:rPr>
          <w:rFonts w:ascii="黑体"/>
          <w:sz w:val="11"/>
        </w:rPr>
      </w:pPr>
    </w:p>
    <w:p>
      <w:pPr>
        <w:pStyle w:val="ListParagraph"/>
        <w:numPr>
          <w:ilvl w:val="1"/>
          <w:numId w:val="20"/>
        </w:numPr>
        <w:tabs>
          <w:tab w:pos="968" w:val="left" w:leader="none"/>
        </w:tabs>
        <w:spacing w:line="240" w:lineRule="auto" w:before="70" w:after="0"/>
        <w:ind w:left="967" w:right="0" w:hanging="573"/>
        <w:jc w:val="left"/>
        <w:rPr>
          <w:rFonts w:ascii="楷体" w:eastAsia="楷体" w:hint="eastAsia"/>
          <w:b/>
          <w:sz w:val="21"/>
        </w:rPr>
      </w:pPr>
      <w:r>
        <w:rPr>
          <w:rFonts w:ascii="楷体" w:eastAsia="楷体" w:hint="eastAsia"/>
          <w:b/>
          <w:spacing w:val="6"/>
          <w:sz w:val="21"/>
        </w:rPr>
        <w:t>坏死性筋 </w:t>
      </w:r>
      <w:r>
        <w:rPr>
          <w:spacing w:val="-3"/>
          <w:sz w:val="22"/>
        </w:rPr>
        <w:t>是一种由细菌侵入皮下组织和筋膜引起的急性坏死性软组织感染，可伴有毒血</w:t>
      </w:r>
    </w:p>
    <w:p>
      <w:pPr>
        <w:spacing w:before="30"/>
        <w:ind w:left="395" w:right="0" w:firstLine="0"/>
        <w:jc w:val="left"/>
        <w:rPr>
          <w:sz w:val="21"/>
        </w:rPr>
      </w:pPr>
      <w:r>
        <w:rPr>
          <w:rFonts w:ascii="楷体" w:eastAsia="楷体" w:hint="eastAsia"/>
          <w:b/>
          <w:spacing w:val="15"/>
          <w:sz w:val="21"/>
        </w:rPr>
        <w:t>膜炎组织肌肉 </w:t>
      </w:r>
      <w:r>
        <w:rPr>
          <w:sz w:val="22"/>
        </w:rPr>
        <w:t>症、败血症、中毒性休克、弥漫性血管内凝血及多器官衰竭。必须</w:t>
      </w:r>
      <w:r>
        <w:rPr>
          <w:spacing w:val="-2"/>
          <w:sz w:val="21"/>
        </w:rPr>
        <w:t>满足下列全部</w:t>
      </w:r>
    </w:p>
    <w:p>
      <w:pPr>
        <w:spacing w:after="0"/>
        <w:jc w:val="left"/>
        <w:rPr>
          <w:sz w:val="21"/>
        </w:rPr>
        <w:sectPr>
          <w:type w:val="continuous"/>
          <w:pgSz w:w="11910" w:h="16840"/>
          <w:pgMar w:header="0" w:footer="1120" w:top="1120" w:bottom="1300" w:left="1020" w:right="1020"/>
        </w:sectPr>
      </w:pPr>
    </w:p>
    <w:p>
      <w:pPr>
        <w:spacing w:before="38"/>
        <w:ind w:left="395" w:right="0" w:firstLine="0"/>
        <w:jc w:val="left"/>
        <w:rPr>
          <w:rFonts w:ascii="楷体" w:eastAsia="楷体" w:hint="eastAsia"/>
          <w:b/>
          <w:sz w:val="21"/>
        </w:rPr>
      </w:pPr>
      <w:r>
        <w:rPr>
          <w:rFonts w:ascii="楷体" w:eastAsia="楷体" w:hint="eastAsia"/>
          <w:b/>
          <w:spacing w:val="-4"/>
          <w:sz w:val="21"/>
        </w:rPr>
        <w:t>切除术</w:t>
      </w:r>
    </w:p>
    <w:p>
      <w:pPr>
        <w:spacing w:before="30"/>
        <w:ind w:left="395" w:right="0" w:firstLine="0"/>
        <w:jc w:val="left"/>
        <w:rPr>
          <w:sz w:val="22"/>
        </w:rPr>
      </w:pPr>
      <w:r>
        <w:rPr/>
        <w:br w:type="column"/>
      </w:r>
      <w:r>
        <w:rPr>
          <w:sz w:val="21"/>
        </w:rPr>
        <w:t>条件</w:t>
      </w:r>
      <w:r>
        <w:rPr>
          <w:spacing w:val="-10"/>
          <w:sz w:val="22"/>
        </w:rPr>
        <w:t>：</w:t>
      </w:r>
    </w:p>
    <w:p>
      <w:pPr>
        <w:pStyle w:val="ListParagraph"/>
        <w:numPr>
          <w:ilvl w:val="0"/>
          <w:numId w:val="111"/>
        </w:numPr>
        <w:tabs>
          <w:tab w:pos="954" w:val="left" w:leader="none"/>
        </w:tabs>
        <w:spacing w:line="322" w:lineRule="exact" w:before="12" w:after="0"/>
        <w:ind w:left="953" w:right="0" w:hanging="558"/>
        <w:jc w:val="left"/>
        <w:rPr>
          <w:sz w:val="22"/>
        </w:rPr>
      </w:pPr>
      <w:r>
        <w:rPr>
          <w:spacing w:val="-3"/>
          <w:sz w:val="22"/>
        </w:rPr>
        <w:t>细菌培养和临床表现符合坏死性筋膜炎诊断标准；</w:t>
      </w:r>
    </w:p>
    <w:p>
      <w:pPr>
        <w:pStyle w:val="ListParagraph"/>
        <w:numPr>
          <w:ilvl w:val="0"/>
          <w:numId w:val="111"/>
        </w:numPr>
        <w:tabs>
          <w:tab w:pos="954" w:val="left" w:leader="none"/>
        </w:tabs>
        <w:spacing w:line="312" w:lineRule="exact" w:before="0" w:after="0"/>
        <w:ind w:left="953" w:right="0" w:hanging="558"/>
        <w:jc w:val="left"/>
        <w:rPr>
          <w:sz w:val="22"/>
        </w:rPr>
      </w:pPr>
      <w:r>
        <w:rPr>
          <w:spacing w:val="-3"/>
          <w:sz w:val="22"/>
        </w:rPr>
        <w:t>病情迅速恶化，有脓毒血症表现；</w:t>
      </w:r>
    </w:p>
    <w:p>
      <w:pPr>
        <w:pStyle w:val="ListParagraph"/>
        <w:numPr>
          <w:ilvl w:val="0"/>
          <w:numId w:val="111"/>
        </w:numPr>
        <w:tabs>
          <w:tab w:pos="954" w:val="left" w:leader="none"/>
        </w:tabs>
        <w:spacing w:line="240" w:lineRule="auto" w:before="0" w:after="0"/>
        <w:ind w:left="396" w:right="218" w:firstLine="0"/>
        <w:jc w:val="left"/>
        <w:rPr>
          <w:sz w:val="22"/>
        </w:rPr>
      </w:pPr>
      <w:r>
        <w:rPr>
          <w:spacing w:val="-2"/>
          <w:sz w:val="22"/>
        </w:rPr>
        <w:t>出现广泛的软组织坏死，实际接受了坏死组织、筋膜及近旁受累肌肉的广</w:t>
      </w:r>
      <w:r>
        <w:rPr>
          <w:spacing w:val="-2"/>
          <w:sz w:val="22"/>
        </w:rPr>
        <w:t>泛切除手术。</w:t>
      </w:r>
    </w:p>
    <w:p>
      <w:pPr>
        <w:spacing w:after="0" w:line="240" w:lineRule="auto"/>
        <w:jc w:val="left"/>
        <w:rPr>
          <w:sz w:val="22"/>
        </w:rPr>
        <w:sectPr>
          <w:type w:val="continuous"/>
          <w:pgSz w:w="11910" w:h="16840"/>
          <w:pgMar w:header="0" w:footer="1120" w:top="1120" w:bottom="1300" w:left="1020" w:right="1020"/>
          <w:cols w:num="2" w:equalWidth="0">
            <w:col w:w="1070" w:space="456"/>
            <w:col w:w="8344"/>
          </w:cols>
        </w:sectPr>
      </w:pPr>
    </w:p>
    <w:p>
      <w:pPr>
        <w:pStyle w:val="BodyText"/>
        <w:spacing w:before="8"/>
        <w:rPr>
          <w:sz w:val="13"/>
        </w:rPr>
      </w:pPr>
    </w:p>
    <w:p>
      <w:pPr>
        <w:pStyle w:val="ListParagraph"/>
        <w:numPr>
          <w:ilvl w:val="0"/>
          <w:numId w:val="20"/>
        </w:numPr>
        <w:tabs>
          <w:tab w:pos="714" w:val="left" w:leader="none"/>
          <w:tab w:pos="1922" w:val="left" w:leader="none"/>
        </w:tabs>
        <w:spacing w:line="278" w:lineRule="auto" w:before="78" w:after="0"/>
        <w:ind w:left="1922" w:right="215" w:hanging="1527"/>
        <w:jc w:val="left"/>
        <w:rPr>
          <w:sz w:val="21"/>
        </w:rPr>
      </w:pPr>
      <w:r>
        <w:rPr>
          <w:b/>
          <w:spacing w:val="-4"/>
          <w:sz w:val="21"/>
        </w:rPr>
        <w:t>中</w:t>
      </w:r>
      <w:r>
        <w:rPr>
          <w:b/>
          <w:spacing w:val="-4"/>
          <w:sz w:val="21"/>
        </w:rPr>
        <w:t>症</w:t>
      </w:r>
      <w:r>
        <w:rPr>
          <w:b/>
          <w:spacing w:val="-4"/>
          <w:sz w:val="21"/>
        </w:rPr>
        <w:t>疾</w:t>
      </w:r>
      <w:r>
        <w:rPr>
          <w:b/>
          <w:spacing w:val="-4"/>
          <w:sz w:val="21"/>
        </w:rPr>
        <w:t>病</w:t>
      </w:r>
      <w:r>
        <w:rPr>
          <w:b/>
          <w:sz w:val="21"/>
        </w:rPr>
        <w:tab/>
      </w:r>
      <w:r>
        <w:rPr>
          <w:spacing w:val="-2"/>
          <w:sz w:val="21"/>
        </w:rPr>
        <w:t>指</w:t>
      </w:r>
      <w:r>
        <w:rPr>
          <w:spacing w:val="-2"/>
          <w:sz w:val="21"/>
        </w:rPr>
        <w:t>被</w:t>
      </w:r>
      <w:r>
        <w:rPr>
          <w:spacing w:val="-2"/>
          <w:sz w:val="21"/>
        </w:rPr>
        <w:t>保险人发生符合以下</w:t>
      </w:r>
      <w:r>
        <w:rPr>
          <w:spacing w:val="-2"/>
          <w:sz w:val="21"/>
        </w:rPr>
        <w:t>疾</w:t>
      </w:r>
      <w:r>
        <w:rPr>
          <w:spacing w:val="-2"/>
          <w:sz w:val="21"/>
        </w:rPr>
        <w:t>病</w:t>
      </w:r>
      <w:r>
        <w:rPr>
          <w:spacing w:val="-2"/>
          <w:sz w:val="21"/>
        </w:rPr>
        <w:t>定义所述条件的疾病、疾病状态或手术（</w:t>
      </w:r>
      <w:r>
        <w:rPr>
          <w:spacing w:val="-2"/>
          <w:sz w:val="21"/>
        </w:rPr>
        <w:t>共</w:t>
      </w:r>
      <w:r>
        <w:rPr>
          <w:spacing w:val="-46"/>
          <w:sz w:val="21"/>
        </w:rPr>
        <w:t> </w:t>
      </w:r>
      <w:r>
        <w:rPr>
          <w:rFonts w:ascii="Times New Roman" w:eastAsia="Times New Roman"/>
          <w:spacing w:val="-2"/>
          <w:sz w:val="21"/>
        </w:rPr>
        <w:t>20 </w:t>
      </w:r>
      <w:r>
        <w:rPr>
          <w:spacing w:val="-2"/>
          <w:sz w:val="21"/>
        </w:rPr>
        <w:t>种</w:t>
      </w:r>
      <w:r>
        <w:rPr>
          <w:spacing w:val="-62"/>
          <w:sz w:val="21"/>
        </w:rPr>
        <w:t>），</w:t>
      </w:r>
      <w:r>
        <w:rPr>
          <w:spacing w:val="-2"/>
          <w:sz w:val="21"/>
        </w:rPr>
        <w:t>应</w:t>
      </w:r>
      <w:r>
        <w:rPr>
          <w:spacing w:val="-2"/>
          <w:sz w:val="21"/>
        </w:rPr>
        <w:t>当</w:t>
      </w:r>
      <w:r>
        <w:rPr>
          <w:spacing w:val="-2"/>
          <w:sz w:val="21"/>
        </w:rPr>
        <w:t>由</w:t>
      </w:r>
      <w:r>
        <w:rPr>
          <w:spacing w:val="-2"/>
          <w:sz w:val="21"/>
        </w:rPr>
        <w:t>专科医生明确诊</w:t>
      </w:r>
      <w:r>
        <w:rPr>
          <w:spacing w:val="-2"/>
          <w:sz w:val="21"/>
        </w:rPr>
        <w:t>断</w:t>
      </w:r>
      <w:r>
        <w:rPr>
          <w:spacing w:val="-2"/>
          <w:sz w:val="21"/>
        </w:rPr>
        <w:t>。</w:t>
      </w:r>
    </w:p>
    <w:p>
      <w:pPr>
        <w:pStyle w:val="BodyText"/>
        <w:spacing w:before="10"/>
        <w:rPr>
          <w:sz w:val="17"/>
        </w:rPr>
      </w:pPr>
    </w:p>
    <w:p>
      <w:pPr>
        <w:pStyle w:val="ListParagraph"/>
        <w:numPr>
          <w:ilvl w:val="1"/>
          <w:numId w:val="20"/>
        </w:numPr>
        <w:tabs>
          <w:tab w:pos="934" w:val="left" w:leader="none"/>
        </w:tabs>
        <w:spacing w:line="240" w:lineRule="auto" w:before="0" w:after="0"/>
        <w:ind w:left="933" w:right="0" w:hanging="539"/>
        <w:jc w:val="left"/>
        <w:rPr>
          <w:rFonts w:ascii="楷体" w:eastAsia="楷体" w:hint="eastAsia"/>
          <w:b/>
          <w:sz w:val="21"/>
        </w:rPr>
      </w:pPr>
      <w:r>
        <w:rPr>
          <w:rFonts w:ascii="楷体" w:eastAsia="楷体" w:hint="eastAsia"/>
          <w:b/>
          <w:spacing w:val="-1"/>
          <w:sz w:val="21"/>
        </w:rPr>
        <w:t>中度克罗 </w:t>
      </w:r>
      <w:r>
        <w:rPr>
          <w:sz w:val="21"/>
        </w:rPr>
        <w:t>是一种慢性肉芽肿性肠炎，具有特征性的克罗恩病（</w:t>
      </w:r>
      <w:r>
        <w:rPr>
          <w:rFonts w:ascii="Times New Roman" w:eastAsia="Times New Roman"/>
          <w:sz w:val="21"/>
        </w:rPr>
        <w:t>Crohn</w:t>
      </w:r>
      <w:r>
        <w:rPr>
          <w:rFonts w:ascii="Times New Roman" w:eastAsia="Times New Roman"/>
          <w:spacing w:val="-8"/>
          <w:sz w:val="21"/>
        </w:rPr>
        <w:t> </w:t>
      </w:r>
      <w:r>
        <w:rPr>
          <w:sz w:val="21"/>
        </w:rPr>
        <w:t>病）</w:t>
      </w:r>
      <w:r>
        <w:rPr>
          <w:spacing w:val="-2"/>
          <w:sz w:val="21"/>
        </w:rPr>
        <w:t>病理组织学变化。诊</w:t>
      </w:r>
    </w:p>
    <w:p>
      <w:pPr>
        <w:pStyle w:val="BodyText"/>
        <w:tabs>
          <w:tab w:pos="1922" w:val="left" w:leader="none"/>
        </w:tabs>
        <w:spacing w:line="278" w:lineRule="auto"/>
        <w:ind w:left="1922" w:right="214" w:hanging="1527"/>
      </w:pPr>
      <w:r>
        <w:rPr>
          <w:rFonts w:ascii="楷体" w:eastAsia="楷体" w:hint="eastAsia"/>
          <w:b/>
          <w:spacing w:val="-6"/>
        </w:rPr>
        <w:t>恩</w:t>
      </w:r>
      <w:r>
        <w:rPr>
          <w:rFonts w:ascii="楷体" w:eastAsia="楷体" w:hint="eastAsia"/>
          <w:b/>
          <w:spacing w:val="-6"/>
        </w:rPr>
        <w:t>病</w:t>
      </w:r>
      <w:r>
        <w:rPr>
          <w:rFonts w:ascii="楷体" w:eastAsia="楷体" w:hint="eastAsia"/>
          <w:b/>
        </w:rPr>
        <w:tab/>
      </w:r>
      <w:r>
        <w:rPr>
          <w:spacing w:val="-2"/>
        </w:rPr>
        <w:t>断</w:t>
      </w:r>
      <w:r>
        <w:rPr>
          <w:spacing w:val="-2"/>
        </w:rPr>
        <w:t>必</w:t>
      </w:r>
      <w:r>
        <w:rPr>
          <w:spacing w:val="-2"/>
        </w:rPr>
        <w:t>须由专科医生经过病</w:t>
      </w:r>
      <w:r>
        <w:rPr>
          <w:spacing w:val="-2"/>
        </w:rPr>
        <w:t>理</w:t>
      </w:r>
      <w:r>
        <w:rPr>
          <w:spacing w:val="-2"/>
        </w:rPr>
        <w:t>检</w:t>
      </w:r>
      <w:r>
        <w:rPr>
          <w:spacing w:val="-2"/>
        </w:rPr>
        <w:t>查结果证实，被保险</w:t>
      </w:r>
      <w:r>
        <w:rPr>
          <w:spacing w:val="-2"/>
        </w:rPr>
        <w:t>人</w:t>
      </w:r>
      <w:r>
        <w:rPr>
          <w:spacing w:val="-2"/>
        </w:rPr>
        <w:t>所</w:t>
      </w:r>
      <w:r>
        <w:rPr>
          <w:spacing w:val="-2"/>
        </w:rPr>
        <w:t>患的克隆症须经肠胃</w:t>
      </w:r>
      <w:r>
        <w:rPr>
          <w:spacing w:val="-2"/>
        </w:rPr>
        <w:t>科</w:t>
      </w:r>
      <w:r>
        <w:rPr>
          <w:spacing w:val="-2"/>
        </w:rPr>
        <w:t>专</w:t>
      </w:r>
      <w:r>
        <w:rPr>
          <w:spacing w:val="-2"/>
        </w:rPr>
        <w:t>科</w:t>
      </w:r>
      <w:r>
        <w:rPr>
          <w:spacing w:val="-2"/>
        </w:rPr>
        <w:t>医</w:t>
      </w:r>
      <w:r>
        <w:rPr/>
        <w:t>生以类固醇或免疫抑制剂</w:t>
      </w:r>
      <w:r>
        <w:rPr/>
        <w:t>连续治疗</w:t>
      </w:r>
      <w:r>
        <w:rPr>
          <w:spacing w:val="-21"/>
        </w:rPr>
        <w:t> </w:t>
      </w:r>
      <w:r>
        <w:rPr>
          <w:rFonts w:ascii="Times New Roman" w:eastAsia="Times New Roman"/>
        </w:rPr>
        <w:t>180 </w:t>
      </w:r>
      <w:r>
        <w:rPr/>
        <w:t>天以上</w:t>
      </w:r>
      <w:r>
        <w:rPr/>
        <w:t>。</w:t>
      </w:r>
    </w:p>
    <w:p>
      <w:pPr>
        <w:spacing w:after="0" w:line="278" w:lineRule="auto"/>
        <w:sectPr>
          <w:type w:val="continuous"/>
          <w:pgSz w:w="11910" w:h="16840"/>
          <w:pgMar w:header="0" w:footer="1120" w:top="1120" w:bottom="1300" w:left="1020" w:right="1020"/>
        </w:sectPr>
      </w:pPr>
    </w:p>
    <w:p>
      <w:pPr>
        <w:pStyle w:val="ListParagraph"/>
        <w:numPr>
          <w:ilvl w:val="1"/>
          <w:numId w:val="20"/>
        </w:numPr>
        <w:tabs>
          <w:tab w:pos="934" w:val="left" w:leader="none"/>
        </w:tabs>
        <w:spacing w:line="240" w:lineRule="auto" w:before="60" w:after="0"/>
        <w:ind w:left="933" w:right="0" w:hanging="539"/>
        <w:jc w:val="left"/>
        <w:rPr>
          <w:rFonts w:ascii="楷体" w:eastAsia="楷体" w:hint="eastAsia"/>
          <w:b/>
          <w:sz w:val="21"/>
        </w:rPr>
      </w:pPr>
      <w:r>
        <w:rPr>
          <w:rFonts w:ascii="楷体" w:eastAsia="楷体" w:hint="eastAsia"/>
          <w:b/>
          <w:spacing w:val="2"/>
          <w:sz w:val="21"/>
        </w:rPr>
        <w:t>中度严重 </w:t>
      </w:r>
      <w:r>
        <w:rPr>
          <w:spacing w:val="-3"/>
          <w:sz w:val="21"/>
        </w:rPr>
        <w:t>指伴有致命性电解质紊乱的急性暴发性溃疡性结肠炎，病变已经累及全结肠，表现为</w:t>
      </w:r>
    </w:p>
    <w:p>
      <w:pPr>
        <w:spacing w:after="0" w:line="240" w:lineRule="auto"/>
        <w:jc w:val="left"/>
        <w:rPr>
          <w:rFonts w:ascii="楷体" w:eastAsia="楷体" w:hint="eastAsia"/>
          <w:sz w:val="21"/>
        </w:rPr>
        <w:sectPr>
          <w:pgSz w:w="11910" w:h="16840"/>
          <w:pgMar w:header="0" w:footer="1120" w:top="136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2"/>
          <w:sz w:val="21"/>
        </w:rPr>
        <w:t>溃疡性结肠炎</w:t>
      </w:r>
    </w:p>
    <w:p>
      <w:pPr>
        <w:pStyle w:val="BodyText"/>
        <w:spacing w:line="278" w:lineRule="auto"/>
        <w:ind w:left="219" w:right="214"/>
      </w:pPr>
      <w:r>
        <w:rPr/>
        <w:br w:type="column"/>
      </w:r>
      <w:r>
        <w:rPr>
          <w:spacing w:val="-2"/>
        </w:rPr>
        <w:t>严重的血便和系统性症状体征，须由内窥镜检查证实或根据组织病理学特点诊断，且</w:t>
      </w:r>
      <w:r>
        <w:rPr>
          <w:spacing w:val="-2"/>
        </w:rPr>
        <w:t>已经以类固醇或免疫抑制剂连续治疗 </w:t>
      </w:r>
      <w:r>
        <w:rPr>
          <w:rFonts w:ascii="Times New Roman" w:eastAsia="Times New Roman"/>
        </w:rPr>
        <w:t>6 </w:t>
      </w:r>
      <w:r>
        <w:rPr/>
        <w:t>个月。</w:t>
      </w:r>
    </w:p>
    <w:p>
      <w:pPr>
        <w:spacing w:after="0" w:line="278" w:lineRule="auto"/>
        <w:sectPr>
          <w:type w:val="continuous"/>
          <w:pgSz w:w="11910" w:h="16840"/>
          <w:pgMar w:header="0" w:footer="1120" w:top="1120" w:bottom="1300" w:left="1020" w:right="1020"/>
          <w:cols w:num="2" w:equalWidth="0">
            <w:col w:w="1664" w:space="40"/>
            <w:col w:w="8166"/>
          </w:cols>
        </w:sectPr>
      </w:pPr>
    </w:p>
    <w:p>
      <w:pPr>
        <w:pStyle w:val="BodyText"/>
        <w:spacing w:before="2"/>
        <w:rPr>
          <w:sz w:val="12"/>
        </w:rPr>
      </w:pPr>
    </w:p>
    <w:p>
      <w:pPr>
        <w:pStyle w:val="ListParagraph"/>
        <w:numPr>
          <w:ilvl w:val="1"/>
          <w:numId w:val="20"/>
        </w:numPr>
        <w:tabs>
          <w:tab w:pos="934" w:val="left" w:leader="none"/>
        </w:tabs>
        <w:spacing w:line="240" w:lineRule="auto" w:before="72" w:after="0"/>
        <w:ind w:left="933" w:right="0" w:hanging="539"/>
        <w:jc w:val="left"/>
        <w:rPr>
          <w:rFonts w:ascii="楷体" w:eastAsia="楷体" w:hint="eastAsia"/>
          <w:b/>
          <w:sz w:val="21"/>
        </w:rPr>
      </w:pPr>
      <w:r>
        <w:rPr>
          <w:rFonts w:ascii="楷体" w:eastAsia="楷体" w:hint="eastAsia"/>
          <w:b/>
          <w:spacing w:val="-3"/>
          <w:sz w:val="21"/>
        </w:rPr>
        <w:t>早期系统 </w:t>
      </w:r>
      <w:r>
        <w:rPr>
          <w:spacing w:val="-1"/>
          <w:sz w:val="21"/>
        </w:rPr>
        <w:t>指一种以局限性或弥漫性皮肤增厚和皮肤、血管、内脏器官异常纤维化为特征的结</w:t>
      </w:r>
    </w:p>
    <w:p>
      <w:pPr>
        <w:spacing w:after="0" w:line="240" w:lineRule="auto"/>
        <w:jc w:val="left"/>
        <w:rPr>
          <w:rFonts w:ascii="楷体" w:eastAsia="楷体" w:hint="eastAsia"/>
          <w:sz w:val="21"/>
        </w:rPr>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3"/>
          <w:sz w:val="21"/>
        </w:rPr>
        <w:t>性硬皮病</w:t>
      </w:r>
    </w:p>
    <w:p>
      <w:pPr>
        <w:pStyle w:val="BodyText"/>
        <w:ind w:left="395"/>
      </w:pPr>
      <w:r>
        <w:rPr/>
        <w:br w:type="column"/>
      </w:r>
      <w:r>
        <w:rPr>
          <w:spacing w:val="-3"/>
        </w:rPr>
        <w:t>缔组织病。本病须由专科医生明确诊断，并须满足下列至少一项条件：</w:t>
      </w:r>
    </w:p>
    <w:p>
      <w:pPr>
        <w:pStyle w:val="ListParagraph"/>
        <w:numPr>
          <w:ilvl w:val="0"/>
          <w:numId w:val="112"/>
        </w:numPr>
        <w:tabs>
          <w:tab w:pos="925" w:val="left" w:leader="none"/>
        </w:tabs>
        <w:spacing w:line="240" w:lineRule="auto" w:before="43" w:after="0"/>
        <w:ind w:left="925" w:right="0" w:hanging="530"/>
        <w:jc w:val="left"/>
        <w:rPr>
          <w:sz w:val="21"/>
        </w:rPr>
      </w:pPr>
      <w:r>
        <w:rPr>
          <w:spacing w:val="-4"/>
          <w:sz w:val="21"/>
        </w:rPr>
        <w:t>肺纤维化，已经出现肺动脉高压、且静息状态下肺动脉平均压超过 </w:t>
      </w:r>
      <w:r>
        <w:rPr>
          <w:rFonts w:ascii="Times New Roman" w:eastAsia="Times New Roman"/>
          <w:spacing w:val="-2"/>
          <w:sz w:val="21"/>
        </w:rPr>
        <w:t>30mmHg</w:t>
      </w:r>
      <w:r>
        <w:rPr>
          <w:spacing w:val="-2"/>
          <w:sz w:val="21"/>
        </w:rPr>
        <w:t>；</w:t>
      </w:r>
    </w:p>
    <w:p>
      <w:pPr>
        <w:pStyle w:val="ListParagraph"/>
        <w:numPr>
          <w:ilvl w:val="0"/>
          <w:numId w:val="112"/>
        </w:numPr>
        <w:tabs>
          <w:tab w:pos="925" w:val="left" w:leader="none"/>
        </w:tabs>
        <w:spacing w:line="240" w:lineRule="auto" w:before="43" w:after="0"/>
        <w:ind w:left="925" w:right="0" w:hanging="530"/>
        <w:jc w:val="left"/>
        <w:rPr>
          <w:sz w:val="21"/>
        </w:rPr>
      </w:pPr>
      <w:r>
        <w:rPr>
          <w:spacing w:val="-3"/>
          <w:sz w:val="21"/>
        </w:rPr>
        <w:t>心脏损害，心脏功能衰竭程度达到纽约心脏病学会的心功能分级标准之心功能</w:t>
      </w:r>
    </w:p>
    <w:p>
      <w:pPr>
        <w:pStyle w:val="BodyText"/>
        <w:ind w:left="395"/>
      </w:pPr>
      <w:r>
        <w:rPr>
          <w:rFonts w:ascii="Times New Roman" w:eastAsia="Times New Roman"/>
        </w:rPr>
        <w:t>II</w:t>
      </w:r>
      <w:r>
        <w:rPr>
          <w:rFonts w:ascii="Times New Roman" w:eastAsia="Times New Roman"/>
          <w:spacing w:val="-4"/>
        </w:rPr>
        <w:t> </w:t>
      </w:r>
      <w:r>
        <w:rPr>
          <w:spacing w:val="-5"/>
        </w:rPr>
        <w:t>级；</w:t>
      </w:r>
    </w:p>
    <w:p>
      <w:pPr>
        <w:pStyle w:val="ListParagraph"/>
        <w:numPr>
          <w:ilvl w:val="0"/>
          <w:numId w:val="112"/>
        </w:numPr>
        <w:tabs>
          <w:tab w:pos="925" w:val="left" w:leader="none"/>
        </w:tabs>
        <w:spacing w:line="240" w:lineRule="auto" w:before="43" w:after="0"/>
        <w:ind w:left="925" w:right="0" w:hanging="530"/>
        <w:jc w:val="left"/>
        <w:rPr>
          <w:sz w:val="21"/>
        </w:rPr>
      </w:pPr>
      <w:r>
        <w:rPr>
          <w:w w:val="95"/>
          <w:sz w:val="21"/>
        </w:rPr>
        <w:t>肾脏损害，已经</w:t>
      </w:r>
      <w:r>
        <w:rPr>
          <w:w w:val="95"/>
          <w:sz w:val="21"/>
        </w:rPr>
        <w:t>出</w:t>
      </w:r>
      <w:r>
        <w:rPr>
          <w:w w:val="95"/>
          <w:sz w:val="21"/>
        </w:rPr>
        <w:t>现</w:t>
      </w:r>
      <w:r>
        <w:rPr>
          <w:w w:val="95"/>
          <w:sz w:val="21"/>
        </w:rPr>
        <w:t>肾</w:t>
      </w:r>
      <w:r>
        <w:rPr>
          <w:w w:val="95"/>
          <w:sz w:val="21"/>
        </w:rPr>
        <w:t>功</w:t>
      </w:r>
      <w:r>
        <w:rPr>
          <w:w w:val="95"/>
          <w:sz w:val="21"/>
        </w:rPr>
        <w:t>能衰竭，肾小球滤过率＜</w:t>
      </w:r>
      <w:r>
        <w:rPr>
          <w:rFonts w:ascii="Times New Roman" w:eastAsia="Times New Roman"/>
          <w:w w:val="95"/>
          <w:sz w:val="21"/>
        </w:rPr>
        <w:t>45ml/min/1.73m</w:t>
      </w:r>
      <w:r>
        <w:rPr>
          <w:rFonts w:ascii="Arial" w:eastAsia="Arial"/>
          <w:w w:val="95"/>
          <w:position w:val="7"/>
          <w:sz w:val="14"/>
        </w:rPr>
        <w:t>2</w:t>
      </w:r>
      <w:r>
        <w:rPr>
          <w:spacing w:val="-10"/>
          <w:w w:val="95"/>
          <w:sz w:val="21"/>
        </w:rPr>
        <w:t>。</w:t>
      </w:r>
    </w:p>
    <w:p>
      <w:pPr>
        <w:spacing w:before="20"/>
        <w:ind w:left="395" w:right="0" w:firstLine="0"/>
        <w:jc w:val="left"/>
        <w:rPr>
          <w:rFonts w:ascii="黑体" w:eastAsia="黑体"/>
          <w:sz w:val="24"/>
        </w:rPr>
      </w:pPr>
      <w:r>
        <w:rPr>
          <w:rFonts w:ascii="黑体" w:eastAsia="黑体"/>
          <w:spacing w:val="-1"/>
          <w:sz w:val="24"/>
        </w:rPr>
        <w:t>下列疾病不在保障范围内：</w:t>
      </w:r>
    </w:p>
    <w:p>
      <w:pPr>
        <w:pStyle w:val="ListParagraph"/>
        <w:numPr>
          <w:ilvl w:val="0"/>
          <w:numId w:val="113"/>
        </w:numPr>
        <w:tabs>
          <w:tab w:pos="997" w:val="left" w:leader="none"/>
        </w:tabs>
        <w:spacing w:line="240" w:lineRule="auto" w:before="4" w:after="0"/>
        <w:ind w:left="997" w:right="0" w:hanging="602"/>
        <w:jc w:val="left"/>
        <w:rPr>
          <w:rFonts w:ascii="黑体" w:eastAsia="黑体"/>
          <w:sz w:val="24"/>
        </w:rPr>
      </w:pPr>
      <w:r>
        <w:rPr>
          <w:rFonts w:ascii="黑体" w:eastAsia="黑体"/>
          <w:spacing w:val="-2"/>
          <w:sz w:val="24"/>
        </w:rPr>
        <w:t>局部硬皮病；</w:t>
      </w:r>
    </w:p>
    <w:p>
      <w:pPr>
        <w:pStyle w:val="ListParagraph"/>
        <w:numPr>
          <w:ilvl w:val="0"/>
          <w:numId w:val="113"/>
        </w:numPr>
        <w:tabs>
          <w:tab w:pos="997" w:val="left" w:leader="none"/>
        </w:tabs>
        <w:spacing w:line="240" w:lineRule="auto" w:before="5" w:after="0"/>
        <w:ind w:left="997" w:right="0" w:hanging="602"/>
        <w:jc w:val="left"/>
        <w:rPr>
          <w:rFonts w:ascii="黑体" w:eastAsia="黑体"/>
          <w:sz w:val="24"/>
        </w:rPr>
      </w:pPr>
      <w:r>
        <w:rPr>
          <w:rFonts w:ascii="黑体" w:eastAsia="黑体"/>
          <w:spacing w:val="-2"/>
          <w:sz w:val="24"/>
        </w:rPr>
        <w:t>嗜酸细胞筋膜炎；</w:t>
      </w:r>
    </w:p>
    <w:p>
      <w:pPr>
        <w:pStyle w:val="ListParagraph"/>
        <w:numPr>
          <w:ilvl w:val="0"/>
          <w:numId w:val="113"/>
        </w:numPr>
        <w:tabs>
          <w:tab w:pos="997" w:val="left" w:leader="none"/>
        </w:tabs>
        <w:spacing w:line="240" w:lineRule="auto" w:before="4" w:after="0"/>
        <w:ind w:left="997" w:right="0" w:hanging="602"/>
        <w:jc w:val="left"/>
        <w:rPr>
          <w:rFonts w:ascii="黑体" w:eastAsia="黑体"/>
          <w:sz w:val="24"/>
        </w:rPr>
      </w:pPr>
      <w:r>
        <w:rPr>
          <w:rFonts w:ascii="黑体" w:eastAsia="黑体"/>
          <w:sz w:val="24"/>
        </w:rPr>
        <w:t>CREST</w:t>
      </w:r>
      <w:r>
        <w:rPr>
          <w:rFonts w:ascii="黑体" w:eastAsia="黑体"/>
          <w:spacing w:val="-14"/>
          <w:sz w:val="24"/>
        </w:rPr>
        <w:t> 综合征。</w:t>
      </w:r>
    </w:p>
    <w:p>
      <w:pPr>
        <w:spacing w:after="0" w:line="240" w:lineRule="auto"/>
        <w:jc w:val="left"/>
        <w:rPr>
          <w:rFonts w:ascii="黑体" w:eastAsia="黑体"/>
          <w:sz w:val="24"/>
        </w:rPr>
        <w:sectPr>
          <w:type w:val="continuous"/>
          <w:pgSz w:w="11910" w:h="16840"/>
          <w:pgMar w:header="0" w:footer="1120" w:top="1120" w:bottom="1300" w:left="1020" w:right="1020"/>
          <w:cols w:num="2" w:equalWidth="0">
            <w:col w:w="1281" w:space="245"/>
            <w:col w:w="8344"/>
          </w:cols>
        </w:sectPr>
      </w:pPr>
    </w:p>
    <w:p>
      <w:pPr>
        <w:pStyle w:val="BodyText"/>
        <w:spacing w:before="5"/>
        <w:rPr>
          <w:rFonts w:ascii="黑体"/>
          <w:sz w:val="14"/>
        </w:rPr>
      </w:pPr>
    </w:p>
    <w:p>
      <w:pPr>
        <w:pStyle w:val="ListParagraph"/>
        <w:numPr>
          <w:ilvl w:val="1"/>
          <w:numId w:val="20"/>
        </w:numPr>
        <w:tabs>
          <w:tab w:pos="934" w:val="left" w:leader="none"/>
        </w:tabs>
        <w:spacing w:line="240" w:lineRule="auto" w:before="71" w:after="0"/>
        <w:ind w:left="933" w:right="0" w:hanging="539"/>
        <w:jc w:val="left"/>
        <w:rPr>
          <w:rFonts w:ascii="楷体" w:eastAsia="楷体" w:hint="eastAsia"/>
          <w:b/>
          <w:sz w:val="21"/>
        </w:rPr>
      </w:pPr>
      <w:r>
        <w:rPr>
          <w:rFonts w:ascii="楷体" w:eastAsia="楷体" w:hint="eastAsia"/>
          <w:b/>
          <w:spacing w:val="-2"/>
          <w:sz w:val="21"/>
        </w:rPr>
        <w:t>中度肠道 </w:t>
      </w:r>
      <w:r>
        <w:rPr>
          <w:spacing w:val="-1"/>
          <w:sz w:val="21"/>
        </w:rPr>
        <w:t>指严重肠道疾病或意外伤害导致小肠损害并发症，且须满足下列全部条件：</w:t>
      </w:r>
    </w:p>
    <w:p>
      <w:pPr>
        <w:spacing w:after="0" w:line="240" w:lineRule="auto"/>
        <w:jc w:val="left"/>
        <w:rPr>
          <w:rFonts w:ascii="楷体" w:eastAsia="楷体" w:hint="eastAsia"/>
          <w:sz w:val="21"/>
        </w:rPr>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2"/>
          <w:sz w:val="21"/>
        </w:rPr>
        <w:t>疾病并发症</w:t>
      </w:r>
    </w:p>
    <w:p>
      <w:pPr>
        <w:pStyle w:val="ListParagraph"/>
        <w:numPr>
          <w:ilvl w:val="0"/>
          <w:numId w:val="114"/>
        </w:numPr>
        <w:tabs>
          <w:tab w:pos="925" w:val="left" w:leader="none"/>
        </w:tabs>
        <w:spacing w:line="240" w:lineRule="auto" w:before="43" w:after="0"/>
        <w:ind w:left="925" w:right="0" w:hanging="530"/>
        <w:jc w:val="left"/>
        <w:rPr>
          <w:sz w:val="21"/>
        </w:rPr>
      </w:pPr>
      <w:r>
        <w:rPr>
          <w:sz w:val="21"/>
        </w:rPr>
        <w:br w:type="column"/>
      </w:r>
      <w:r>
        <w:rPr>
          <w:spacing w:val="-3"/>
          <w:sz w:val="21"/>
        </w:rPr>
        <w:t>至少切除了二分之一小肠；</w:t>
      </w:r>
    </w:p>
    <w:p>
      <w:pPr>
        <w:pStyle w:val="ListParagraph"/>
        <w:numPr>
          <w:ilvl w:val="0"/>
          <w:numId w:val="114"/>
        </w:numPr>
        <w:tabs>
          <w:tab w:pos="925" w:val="left" w:leader="none"/>
        </w:tabs>
        <w:spacing w:line="240" w:lineRule="auto" w:before="43" w:after="0"/>
        <w:ind w:left="925" w:right="0" w:hanging="530"/>
        <w:jc w:val="left"/>
        <w:rPr>
          <w:sz w:val="21"/>
        </w:rPr>
      </w:pPr>
      <w:r>
        <w:rPr>
          <w:spacing w:val="-3"/>
          <w:sz w:val="21"/>
        </w:rPr>
        <w:t>完全肠外营养支持二个月以上。</w:t>
      </w:r>
    </w:p>
    <w:p>
      <w:pPr>
        <w:spacing w:after="0" w:line="240" w:lineRule="auto"/>
        <w:jc w:val="left"/>
        <w:rPr>
          <w:sz w:val="21"/>
        </w:rPr>
        <w:sectPr>
          <w:type w:val="continuous"/>
          <w:pgSz w:w="11910" w:h="16840"/>
          <w:pgMar w:header="0" w:footer="1120" w:top="1120" w:bottom="1300" w:left="1020" w:right="1020"/>
          <w:cols w:num="2" w:equalWidth="0">
            <w:col w:w="1453" w:space="74"/>
            <w:col w:w="8343"/>
          </w:cols>
        </w:sectPr>
      </w:pPr>
    </w:p>
    <w:p>
      <w:pPr>
        <w:pStyle w:val="BodyText"/>
        <w:spacing w:before="5"/>
        <w:rPr>
          <w:sz w:val="15"/>
        </w:rPr>
      </w:pPr>
    </w:p>
    <w:p>
      <w:pPr>
        <w:pStyle w:val="ListParagraph"/>
        <w:numPr>
          <w:ilvl w:val="1"/>
          <w:numId w:val="20"/>
        </w:numPr>
        <w:tabs>
          <w:tab w:pos="934" w:val="left" w:leader="none"/>
        </w:tabs>
        <w:spacing w:line="240" w:lineRule="auto" w:before="72" w:after="0"/>
        <w:ind w:left="933" w:right="0" w:hanging="539"/>
        <w:jc w:val="left"/>
        <w:rPr>
          <w:rFonts w:ascii="楷体" w:eastAsia="楷体" w:hint="eastAsia"/>
          <w:b/>
          <w:sz w:val="21"/>
        </w:rPr>
      </w:pPr>
      <w:r>
        <w:rPr>
          <w:rFonts w:ascii="楷体" w:eastAsia="楷体" w:hint="eastAsia"/>
          <w:b/>
          <w:spacing w:val="-3"/>
          <w:sz w:val="21"/>
        </w:rPr>
        <w:t>单侧肺脏 </w:t>
      </w:r>
      <w:r>
        <w:rPr>
          <w:spacing w:val="-1"/>
          <w:sz w:val="21"/>
        </w:rPr>
        <w:t>指因疾病或意外伤害导致肺部严重损害，已经实际接受了左侧全肺切除手术或右侧全</w:t>
      </w:r>
    </w:p>
    <w:p>
      <w:pPr>
        <w:tabs>
          <w:tab w:pos="1922" w:val="left" w:leader="none"/>
        </w:tabs>
        <w:spacing w:before="42"/>
        <w:ind w:left="395" w:right="0" w:firstLine="0"/>
        <w:jc w:val="left"/>
        <w:rPr>
          <w:sz w:val="21"/>
        </w:rPr>
      </w:pPr>
      <w:r>
        <w:rPr>
          <w:rFonts w:ascii="楷体" w:eastAsia="楷体" w:hint="eastAsia"/>
          <w:b/>
          <w:sz w:val="21"/>
        </w:rPr>
        <w:t>切</w:t>
      </w:r>
      <w:r>
        <w:rPr>
          <w:rFonts w:ascii="楷体" w:eastAsia="楷体" w:hint="eastAsia"/>
          <w:b/>
          <w:spacing w:val="-10"/>
          <w:sz w:val="21"/>
        </w:rPr>
        <w:t>除</w:t>
      </w:r>
      <w:r>
        <w:rPr>
          <w:rFonts w:ascii="楷体" w:eastAsia="楷体" w:hint="eastAsia"/>
          <w:b/>
          <w:sz w:val="21"/>
        </w:rPr>
        <w:tab/>
      </w:r>
      <w:r>
        <w:rPr>
          <w:spacing w:val="-2"/>
          <w:sz w:val="21"/>
        </w:rPr>
        <w:t>肺</w:t>
      </w:r>
      <w:r>
        <w:rPr>
          <w:spacing w:val="-2"/>
          <w:sz w:val="21"/>
        </w:rPr>
        <w:t>切</w:t>
      </w:r>
      <w:r>
        <w:rPr>
          <w:spacing w:val="-2"/>
          <w:sz w:val="21"/>
        </w:rPr>
        <w:t>除手术</w:t>
      </w:r>
      <w:r>
        <w:rPr>
          <w:spacing w:val="-10"/>
          <w:sz w:val="21"/>
        </w:rPr>
        <w:t>。</w:t>
      </w:r>
    </w:p>
    <w:p>
      <w:pPr>
        <w:spacing w:before="21"/>
        <w:ind w:left="1922" w:right="0" w:firstLine="0"/>
        <w:jc w:val="left"/>
        <w:rPr>
          <w:rFonts w:ascii="黑体" w:eastAsia="黑体"/>
          <w:sz w:val="24"/>
        </w:rPr>
      </w:pPr>
      <w:r>
        <w:rPr>
          <w:rFonts w:ascii="黑体" w:eastAsia="黑体"/>
          <w:spacing w:val="-1"/>
          <w:sz w:val="24"/>
        </w:rPr>
        <w:t>下列情况不在保障范围内：</w:t>
      </w:r>
    </w:p>
    <w:p>
      <w:pPr>
        <w:pStyle w:val="ListParagraph"/>
        <w:numPr>
          <w:ilvl w:val="0"/>
          <w:numId w:val="115"/>
        </w:numPr>
        <w:tabs>
          <w:tab w:pos="2643" w:val="left" w:leader="none"/>
        </w:tabs>
        <w:spacing w:line="240" w:lineRule="auto" w:before="4" w:after="0"/>
        <w:ind w:left="2642" w:right="0" w:hanging="721"/>
        <w:jc w:val="left"/>
        <w:rPr>
          <w:rFonts w:ascii="黑体" w:eastAsia="黑体"/>
          <w:sz w:val="24"/>
        </w:rPr>
      </w:pPr>
      <w:r>
        <w:rPr>
          <w:rFonts w:ascii="黑体" w:eastAsia="黑体"/>
          <w:spacing w:val="-1"/>
          <w:sz w:val="24"/>
        </w:rPr>
        <w:t>肺叶切除、肺段切除手术；</w:t>
      </w:r>
    </w:p>
    <w:p>
      <w:pPr>
        <w:pStyle w:val="ListParagraph"/>
        <w:numPr>
          <w:ilvl w:val="0"/>
          <w:numId w:val="115"/>
        </w:numPr>
        <w:tabs>
          <w:tab w:pos="2643" w:val="left" w:leader="none"/>
        </w:tabs>
        <w:spacing w:line="240" w:lineRule="auto" w:before="5" w:after="0"/>
        <w:ind w:left="2642" w:right="0" w:hanging="721"/>
        <w:jc w:val="left"/>
        <w:rPr>
          <w:rFonts w:ascii="黑体" w:eastAsia="黑体"/>
          <w:sz w:val="24"/>
        </w:rPr>
      </w:pPr>
      <w:r>
        <w:rPr>
          <w:rFonts w:ascii="黑体" w:eastAsia="黑体"/>
          <w:spacing w:val="-1"/>
          <w:sz w:val="24"/>
        </w:rPr>
        <w:t>因恶性肿瘤进行的肺切除手术；</w:t>
      </w:r>
    </w:p>
    <w:p>
      <w:pPr>
        <w:pStyle w:val="ListParagraph"/>
        <w:numPr>
          <w:ilvl w:val="0"/>
          <w:numId w:val="115"/>
        </w:numPr>
        <w:tabs>
          <w:tab w:pos="2643" w:val="left" w:leader="none"/>
        </w:tabs>
        <w:spacing w:line="240" w:lineRule="auto" w:before="4" w:after="0"/>
        <w:ind w:left="2642" w:right="0" w:hanging="721"/>
        <w:jc w:val="left"/>
        <w:rPr>
          <w:rFonts w:ascii="黑体" w:eastAsia="黑体"/>
          <w:sz w:val="24"/>
        </w:rPr>
      </w:pPr>
      <w:r>
        <w:rPr>
          <w:rFonts w:ascii="黑体" w:eastAsia="黑体"/>
          <w:spacing w:val="-1"/>
          <w:sz w:val="24"/>
        </w:rPr>
        <w:t>肺移植接受者肺切除；</w:t>
      </w:r>
    </w:p>
    <w:p>
      <w:pPr>
        <w:pStyle w:val="ListParagraph"/>
        <w:numPr>
          <w:ilvl w:val="0"/>
          <w:numId w:val="115"/>
        </w:numPr>
        <w:tabs>
          <w:tab w:pos="2643" w:val="left" w:leader="none"/>
        </w:tabs>
        <w:spacing w:line="240" w:lineRule="auto" w:before="5" w:after="0"/>
        <w:ind w:left="2642" w:right="0" w:hanging="721"/>
        <w:jc w:val="left"/>
        <w:rPr>
          <w:rFonts w:ascii="黑体" w:eastAsia="黑体"/>
          <w:sz w:val="24"/>
        </w:rPr>
      </w:pPr>
      <w:r>
        <w:rPr>
          <w:rFonts w:ascii="黑体" w:eastAsia="黑体"/>
          <w:spacing w:val="-1"/>
          <w:sz w:val="24"/>
        </w:rPr>
        <w:t>作为器官捐献者而实施的肺切除手术。</w:t>
      </w:r>
    </w:p>
    <w:p>
      <w:pPr>
        <w:pStyle w:val="BodyText"/>
        <w:spacing w:before="4"/>
        <w:rPr>
          <w:rFonts w:ascii="黑体"/>
          <w:sz w:val="14"/>
        </w:rPr>
      </w:pPr>
    </w:p>
    <w:p>
      <w:pPr>
        <w:pStyle w:val="ListParagraph"/>
        <w:numPr>
          <w:ilvl w:val="1"/>
          <w:numId w:val="20"/>
        </w:numPr>
        <w:tabs>
          <w:tab w:pos="934" w:val="left" w:leader="none"/>
        </w:tabs>
        <w:spacing w:line="240" w:lineRule="auto" w:before="72" w:after="0"/>
        <w:ind w:left="933" w:right="0" w:hanging="539"/>
        <w:jc w:val="left"/>
        <w:rPr>
          <w:rFonts w:ascii="楷体" w:eastAsia="楷体" w:hint="eastAsia"/>
          <w:b/>
          <w:sz w:val="21"/>
        </w:rPr>
      </w:pPr>
      <w:r>
        <w:rPr>
          <w:rFonts w:ascii="楷体" w:eastAsia="楷体" w:hint="eastAsia"/>
          <w:b/>
          <w:spacing w:val="-3"/>
          <w:sz w:val="21"/>
        </w:rPr>
        <w:t>外伤半肝 </w:t>
      </w:r>
      <w:r>
        <w:rPr>
          <w:spacing w:val="-1"/>
          <w:sz w:val="21"/>
        </w:rPr>
        <w:t>指因意外伤害导致肝脏严重损害，已经实际接受了整个左肝切除手术或右肝切除手</w:t>
      </w:r>
    </w:p>
    <w:p>
      <w:pPr>
        <w:spacing w:after="0" w:line="240" w:lineRule="auto"/>
        <w:jc w:val="left"/>
        <w:rPr>
          <w:rFonts w:ascii="楷体" w:eastAsia="楷体" w:hint="eastAsia"/>
          <w:sz w:val="21"/>
        </w:rPr>
        <w:sectPr>
          <w:type w:val="continuous"/>
          <w:pgSz w:w="11910" w:h="16840"/>
          <w:pgMar w:header="0" w:footer="1120" w:top="1120" w:bottom="1300" w:left="1020" w:right="1020"/>
        </w:sectPr>
      </w:pPr>
    </w:p>
    <w:p>
      <w:pPr>
        <w:spacing w:before="42"/>
        <w:ind w:left="395" w:right="0" w:firstLine="0"/>
        <w:jc w:val="left"/>
        <w:rPr>
          <w:rFonts w:ascii="楷体" w:eastAsia="楷体" w:hint="eastAsia"/>
          <w:b/>
          <w:sz w:val="21"/>
        </w:rPr>
      </w:pPr>
      <w:r>
        <w:rPr>
          <w:rFonts w:ascii="楷体" w:eastAsia="楷体" w:hint="eastAsia"/>
          <w:b/>
          <w:spacing w:val="-3"/>
          <w:sz w:val="21"/>
        </w:rPr>
        <w:t>切除手术</w:t>
      </w:r>
    </w:p>
    <w:p>
      <w:pPr>
        <w:spacing w:before="42"/>
        <w:ind w:left="395" w:right="0" w:firstLine="0"/>
        <w:jc w:val="left"/>
        <w:rPr>
          <w:sz w:val="21"/>
        </w:rPr>
      </w:pPr>
      <w:r>
        <w:rPr/>
        <w:br w:type="column"/>
      </w:r>
      <w:r>
        <w:rPr>
          <w:spacing w:val="-5"/>
          <w:sz w:val="21"/>
        </w:rPr>
        <w:t>术。</w:t>
      </w:r>
    </w:p>
    <w:p>
      <w:pPr>
        <w:spacing w:before="21"/>
        <w:ind w:left="395" w:right="0" w:firstLine="0"/>
        <w:jc w:val="left"/>
        <w:rPr>
          <w:rFonts w:ascii="黑体" w:eastAsia="黑体"/>
          <w:sz w:val="24"/>
        </w:rPr>
      </w:pPr>
      <w:r>
        <w:rPr>
          <w:rFonts w:ascii="黑体" w:eastAsia="黑体"/>
          <w:spacing w:val="-1"/>
          <w:sz w:val="24"/>
        </w:rPr>
        <w:t>下列情况不在保障范围内：</w:t>
      </w:r>
    </w:p>
    <w:p>
      <w:pPr>
        <w:pStyle w:val="ListParagraph"/>
        <w:numPr>
          <w:ilvl w:val="0"/>
          <w:numId w:val="116"/>
        </w:numPr>
        <w:tabs>
          <w:tab w:pos="997" w:val="left" w:leader="none"/>
        </w:tabs>
        <w:spacing w:line="240" w:lineRule="auto" w:before="4" w:after="0"/>
        <w:ind w:left="997" w:right="0" w:hanging="602"/>
        <w:jc w:val="left"/>
        <w:rPr>
          <w:rFonts w:ascii="黑体" w:eastAsia="黑体"/>
          <w:sz w:val="24"/>
        </w:rPr>
      </w:pPr>
      <w:r>
        <w:rPr>
          <w:rFonts w:ascii="黑体" w:eastAsia="黑体"/>
          <w:spacing w:val="-1"/>
          <w:sz w:val="24"/>
        </w:rPr>
        <w:t>肝叶切除、肝段切除手术；</w:t>
      </w:r>
    </w:p>
    <w:p>
      <w:pPr>
        <w:pStyle w:val="ListParagraph"/>
        <w:numPr>
          <w:ilvl w:val="0"/>
          <w:numId w:val="116"/>
        </w:numPr>
        <w:tabs>
          <w:tab w:pos="997" w:val="left" w:leader="none"/>
        </w:tabs>
        <w:spacing w:line="240" w:lineRule="auto" w:before="5" w:after="0"/>
        <w:ind w:left="997" w:right="0" w:hanging="602"/>
        <w:jc w:val="left"/>
        <w:rPr>
          <w:rFonts w:ascii="黑体" w:eastAsia="黑体"/>
          <w:sz w:val="24"/>
        </w:rPr>
      </w:pPr>
      <w:r>
        <w:rPr>
          <w:rFonts w:ascii="黑体" w:eastAsia="黑体"/>
          <w:spacing w:val="-1"/>
          <w:sz w:val="24"/>
        </w:rPr>
        <w:t>因恶性肿瘤进行的肝切除手术；</w:t>
      </w:r>
    </w:p>
    <w:p>
      <w:pPr>
        <w:pStyle w:val="ListParagraph"/>
        <w:numPr>
          <w:ilvl w:val="0"/>
          <w:numId w:val="116"/>
        </w:numPr>
        <w:tabs>
          <w:tab w:pos="997" w:val="left" w:leader="none"/>
        </w:tabs>
        <w:spacing w:line="240" w:lineRule="auto" w:before="4" w:after="0"/>
        <w:ind w:left="997" w:right="0" w:hanging="602"/>
        <w:jc w:val="left"/>
        <w:rPr>
          <w:rFonts w:ascii="黑体" w:eastAsia="黑体"/>
          <w:sz w:val="24"/>
        </w:rPr>
      </w:pPr>
      <w:r>
        <w:rPr>
          <w:rFonts w:ascii="黑体" w:eastAsia="黑体"/>
          <w:spacing w:val="-1"/>
          <w:sz w:val="24"/>
        </w:rPr>
        <w:t>肝移植接受者肝切除；</w:t>
      </w:r>
    </w:p>
    <w:p>
      <w:pPr>
        <w:pStyle w:val="ListParagraph"/>
        <w:numPr>
          <w:ilvl w:val="0"/>
          <w:numId w:val="116"/>
        </w:numPr>
        <w:tabs>
          <w:tab w:pos="997" w:val="left" w:leader="none"/>
        </w:tabs>
        <w:spacing w:line="240" w:lineRule="auto" w:before="5" w:after="0"/>
        <w:ind w:left="997" w:right="0" w:hanging="602"/>
        <w:jc w:val="left"/>
        <w:rPr>
          <w:rFonts w:ascii="黑体" w:eastAsia="黑体"/>
          <w:sz w:val="24"/>
        </w:rPr>
      </w:pPr>
      <w:r>
        <w:rPr>
          <w:rFonts w:ascii="黑体" w:eastAsia="黑体"/>
          <w:spacing w:val="-1"/>
          <w:sz w:val="24"/>
        </w:rPr>
        <w:t>作为器官捐献者而实施的肝切除手术。</w:t>
      </w:r>
    </w:p>
    <w:p>
      <w:pPr>
        <w:spacing w:after="0" w:line="240" w:lineRule="auto"/>
        <w:jc w:val="left"/>
        <w:rPr>
          <w:rFonts w:ascii="黑体" w:eastAsia="黑体"/>
          <w:sz w:val="24"/>
        </w:rPr>
        <w:sectPr>
          <w:type w:val="continuous"/>
          <w:pgSz w:w="11910" w:h="16840"/>
          <w:pgMar w:header="0" w:footer="1120" w:top="1120" w:bottom="1300" w:left="1020" w:right="1020"/>
          <w:cols w:num="2" w:equalWidth="0">
            <w:col w:w="1281" w:space="245"/>
            <w:col w:w="8344"/>
          </w:cols>
        </w:sectPr>
      </w:pPr>
    </w:p>
    <w:p>
      <w:pPr>
        <w:pStyle w:val="BodyText"/>
        <w:spacing w:before="1"/>
        <w:rPr>
          <w:rFonts w:ascii="黑体"/>
          <w:sz w:val="14"/>
        </w:rPr>
      </w:pPr>
    </w:p>
    <w:p>
      <w:pPr>
        <w:pStyle w:val="ListParagraph"/>
        <w:numPr>
          <w:ilvl w:val="1"/>
          <w:numId w:val="20"/>
        </w:numPr>
        <w:tabs>
          <w:tab w:pos="934" w:val="left" w:leader="none"/>
        </w:tabs>
        <w:spacing w:line="240" w:lineRule="auto" w:before="72" w:after="0"/>
        <w:ind w:left="933" w:right="0" w:hanging="539"/>
        <w:jc w:val="left"/>
        <w:rPr>
          <w:rFonts w:ascii="楷体" w:eastAsia="楷体" w:hint="eastAsia"/>
          <w:b/>
          <w:sz w:val="21"/>
        </w:rPr>
      </w:pPr>
      <w:r>
        <w:rPr>
          <w:rFonts w:ascii="楷体" w:eastAsia="楷体" w:hint="eastAsia"/>
          <w:b/>
          <w:spacing w:val="-1"/>
          <w:sz w:val="21"/>
        </w:rPr>
        <w:t>中度感染 </w:t>
      </w:r>
      <w:r>
        <w:rPr>
          <w:spacing w:val="-1"/>
          <w:sz w:val="21"/>
        </w:rPr>
        <w:t>指由感染性微生物导致的心脏内膜炎症，并须符合下列全部条件：</w:t>
      </w:r>
    </w:p>
    <w:p>
      <w:pPr>
        <w:spacing w:after="0" w:line="240" w:lineRule="auto"/>
        <w:jc w:val="left"/>
        <w:rPr>
          <w:rFonts w:ascii="楷体" w:eastAsia="楷体" w:hint="eastAsia"/>
          <w:sz w:val="21"/>
        </w:rPr>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2"/>
          <w:sz w:val="21"/>
        </w:rPr>
        <w:t>性心内膜炎</w:t>
      </w:r>
    </w:p>
    <w:p>
      <w:pPr>
        <w:pStyle w:val="ListParagraph"/>
        <w:numPr>
          <w:ilvl w:val="0"/>
          <w:numId w:val="117"/>
        </w:numPr>
        <w:tabs>
          <w:tab w:pos="925" w:val="left" w:leader="none"/>
        </w:tabs>
        <w:spacing w:line="240" w:lineRule="auto" w:before="43" w:after="0"/>
        <w:ind w:left="925" w:right="0" w:hanging="530"/>
        <w:jc w:val="left"/>
        <w:rPr>
          <w:sz w:val="21"/>
        </w:rPr>
      </w:pPr>
      <w:r>
        <w:rPr>
          <w:sz w:val="21"/>
        </w:rPr>
        <w:br w:type="column"/>
      </w:r>
      <w:r>
        <w:rPr>
          <w:spacing w:val="-3"/>
          <w:sz w:val="21"/>
        </w:rPr>
        <w:t>急性或亚急性感染性心内膜炎临床表现；</w:t>
      </w:r>
    </w:p>
    <w:p>
      <w:pPr>
        <w:pStyle w:val="ListParagraph"/>
        <w:numPr>
          <w:ilvl w:val="0"/>
          <w:numId w:val="117"/>
        </w:numPr>
        <w:tabs>
          <w:tab w:pos="926" w:val="left" w:leader="none"/>
        </w:tabs>
        <w:spacing w:line="240" w:lineRule="auto" w:before="43" w:after="0"/>
        <w:ind w:left="925" w:right="0" w:hanging="530"/>
        <w:jc w:val="left"/>
        <w:rPr>
          <w:sz w:val="21"/>
        </w:rPr>
      </w:pPr>
      <w:r>
        <w:rPr>
          <w:spacing w:val="-3"/>
          <w:sz w:val="21"/>
        </w:rPr>
        <w:t>血培养病原体阳性；</w:t>
      </w:r>
    </w:p>
    <w:p>
      <w:pPr>
        <w:pStyle w:val="ListParagraph"/>
        <w:numPr>
          <w:ilvl w:val="0"/>
          <w:numId w:val="117"/>
        </w:numPr>
        <w:tabs>
          <w:tab w:pos="926" w:val="left" w:leader="none"/>
        </w:tabs>
        <w:spacing w:line="240" w:lineRule="auto" w:before="43" w:after="0"/>
        <w:ind w:left="925" w:right="0" w:hanging="530"/>
        <w:jc w:val="left"/>
        <w:rPr>
          <w:sz w:val="21"/>
        </w:rPr>
      </w:pPr>
      <w:r>
        <w:rPr>
          <w:spacing w:val="-3"/>
          <w:sz w:val="21"/>
        </w:rPr>
        <w:t>导致心脏瓣膜受损并实际接受了经导管瓣膜修补手术。</w:t>
      </w:r>
    </w:p>
    <w:p>
      <w:pPr>
        <w:spacing w:before="20"/>
        <w:ind w:left="395" w:right="0" w:firstLine="0"/>
        <w:jc w:val="left"/>
        <w:rPr>
          <w:rFonts w:ascii="黑体" w:eastAsia="黑体"/>
          <w:sz w:val="24"/>
        </w:rPr>
      </w:pPr>
      <w:r>
        <w:rPr>
          <w:rFonts w:ascii="黑体" w:eastAsia="黑体"/>
          <w:spacing w:val="-1"/>
          <w:sz w:val="24"/>
        </w:rPr>
        <w:t>药物滥用者所患感染性心内膜炎不在保障范围内。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453" w:space="74"/>
            <w:col w:w="8343"/>
          </w:cols>
        </w:sectPr>
      </w:pPr>
    </w:p>
    <w:p>
      <w:pPr>
        <w:pStyle w:val="BodyText"/>
        <w:spacing w:before="4"/>
        <w:rPr>
          <w:rFonts w:ascii="黑体"/>
          <w:sz w:val="14"/>
        </w:rPr>
      </w:pPr>
    </w:p>
    <w:p>
      <w:pPr>
        <w:pStyle w:val="ListParagraph"/>
        <w:numPr>
          <w:ilvl w:val="1"/>
          <w:numId w:val="20"/>
        </w:numPr>
        <w:tabs>
          <w:tab w:pos="934" w:val="left" w:leader="none"/>
        </w:tabs>
        <w:spacing w:line="240" w:lineRule="auto" w:before="72" w:after="0"/>
        <w:ind w:left="933" w:right="0" w:hanging="539"/>
        <w:jc w:val="left"/>
        <w:rPr>
          <w:rFonts w:ascii="楷体" w:eastAsia="楷体" w:hint="eastAsia"/>
          <w:b/>
          <w:sz w:val="21"/>
        </w:rPr>
      </w:pPr>
      <w:r>
        <w:rPr>
          <w:rFonts w:ascii="楷体" w:eastAsia="楷体" w:hint="eastAsia"/>
          <w:b/>
          <w:spacing w:val="2"/>
          <w:sz w:val="21"/>
        </w:rPr>
        <w:t>中度原发 </w:t>
      </w:r>
      <w:r>
        <w:rPr>
          <w:spacing w:val="-3"/>
          <w:sz w:val="21"/>
        </w:rPr>
        <w:t>是一种中枢神经系统的退行性疾病，临床表现为震颤麻痹、共济失调等，经相关专科</w:t>
      </w:r>
    </w:p>
    <w:p>
      <w:pPr>
        <w:spacing w:after="0" w:line="240" w:lineRule="auto"/>
        <w:jc w:val="left"/>
        <w:rPr>
          <w:rFonts w:ascii="楷体" w:eastAsia="楷体" w:hint="eastAsia"/>
          <w:sz w:val="21"/>
        </w:rPr>
        <w:sectPr>
          <w:type w:val="continuous"/>
          <w:pgSz w:w="11910" w:h="16840"/>
          <w:pgMar w:header="0" w:footer="1120" w:top="112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2"/>
          <w:sz w:val="21"/>
        </w:rPr>
        <w:t>性帕金森病</w:t>
      </w:r>
    </w:p>
    <w:p>
      <w:pPr>
        <w:pStyle w:val="BodyText"/>
        <w:ind w:left="395"/>
      </w:pPr>
      <w:r>
        <w:rPr/>
        <w:br w:type="column"/>
      </w:r>
      <w:r>
        <w:rPr>
          <w:spacing w:val="-3"/>
        </w:rPr>
        <w:t>医生确诊，且须满足下列全部条件：</w:t>
      </w:r>
    </w:p>
    <w:p>
      <w:pPr>
        <w:pStyle w:val="ListParagraph"/>
        <w:numPr>
          <w:ilvl w:val="0"/>
          <w:numId w:val="118"/>
        </w:numPr>
        <w:tabs>
          <w:tab w:pos="925" w:val="left" w:leader="none"/>
        </w:tabs>
        <w:spacing w:line="240" w:lineRule="auto" w:before="43" w:after="0"/>
        <w:ind w:left="925" w:right="0" w:hanging="530"/>
        <w:jc w:val="left"/>
        <w:rPr>
          <w:sz w:val="21"/>
        </w:rPr>
      </w:pPr>
      <w:r>
        <w:rPr>
          <w:spacing w:val="-3"/>
          <w:sz w:val="21"/>
        </w:rPr>
        <w:t>药物治疗无法控制病情；</w:t>
      </w:r>
    </w:p>
    <w:p>
      <w:pPr>
        <w:pStyle w:val="ListParagraph"/>
        <w:numPr>
          <w:ilvl w:val="0"/>
          <w:numId w:val="118"/>
        </w:numPr>
        <w:tabs>
          <w:tab w:pos="925" w:val="left" w:leader="none"/>
        </w:tabs>
        <w:spacing w:line="240" w:lineRule="auto" w:before="43" w:after="0"/>
        <w:ind w:left="925" w:right="0" w:hanging="530"/>
        <w:jc w:val="left"/>
        <w:rPr>
          <w:sz w:val="21"/>
        </w:rPr>
      </w:pPr>
      <w:r>
        <w:rPr>
          <w:spacing w:val="-3"/>
          <w:sz w:val="21"/>
        </w:rPr>
        <w:t>自主生活能力部分丧失，无法独立完成六项基本日常生活活动中的两项。</w:t>
      </w:r>
    </w:p>
    <w:p>
      <w:pPr>
        <w:spacing w:before="20"/>
        <w:ind w:left="395" w:right="0" w:firstLine="0"/>
        <w:jc w:val="left"/>
        <w:rPr>
          <w:rFonts w:ascii="黑体" w:eastAsia="黑体"/>
          <w:sz w:val="24"/>
        </w:rPr>
      </w:pPr>
      <w:r>
        <w:rPr>
          <w:rFonts w:ascii="黑体" w:eastAsia="黑体"/>
          <w:spacing w:val="-1"/>
          <w:sz w:val="24"/>
        </w:rPr>
        <w:t>继发性帕金森综合征不在保障范围内。</w:t>
      </w:r>
    </w:p>
    <w:p>
      <w:pPr>
        <w:spacing w:after="0"/>
        <w:jc w:val="left"/>
        <w:rPr>
          <w:rFonts w:ascii="黑体" w:eastAsia="黑体"/>
          <w:sz w:val="24"/>
        </w:rPr>
        <w:sectPr>
          <w:type w:val="continuous"/>
          <w:pgSz w:w="11910" w:h="16840"/>
          <w:pgMar w:header="0" w:footer="1120" w:top="1120" w:bottom="1300" w:left="1020" w:right="1020"/>
          <w:cols w:num="2" w:equalWidth="0">
            <w:col w:w="1453" w:space="74"/>
            <w:col w:w="8343"/>
          </w:cols>
        </w:sectPr>
      </w:pPr>
    </w:p>
    <w:p>
      <w:pPr>
        <w:spacing w:before="37"/>
        <w:ind w:left="1922" w:right="0" w:firstLine="0"/>
        <w:jc w:val="left"/>
        <w:rPr>
          <w:rFonts w:ascii="黑体" w:eastAsia="黑体"/>
          <w:sz w:val="24"/>
        </w:rPr>
      </w:pPr>
      <w:r>
        <w:rPr>
          <w:rFonts w:ascii="黑体" w:eastAsia="黑体"/>
          <w:spacing w:val="-1"/>
          <w:sz w:val="24"/>
        </w:rPr>
        <w:t>继发于酒精，毒品或药物滥用不在保障范围内。</w:t>
      </w:r>
    </w:p>
    <w:p>
      <w:pPr>
        <w:pStyle w:val="BodyText"/>
        <w:spacing w:before="12"/>
        <w:rPr>
          <w:rFonts w:ascii="黑体"/>
          <w:sz w:val="19"/>
        </w:rPr>
      </w:pPr>
    </w:p>
    <w:p>
      <w:pPr>
        <w:pStyle w:val="ListParagraph"/>
        <w:numPr>
          <w:ilvl w:val="1"/>
          <w:numId w:val="20"/>
        </w:numPr>
        <w:tabs>
          <w:tab w:pos="934" w:val="left" w:leader="none"/>
        </w:tabs>
        <w:spacing w:line="240" w:lineRule="auto" w:before="0" w:after="0"/>
        <w:ind w:left="933" w:right="0" w:hanging="539"/>
        <w:jc w:val="left"/>
        <w:rPr>
          <w:rFonts w:ascii="楷体" w:eastAsia="楷体" w:hint="eastAsia"/>
          <w:b/>
          <w:sz w:val="21"/>
        </w:rPr>
      </w:pPr>
      <w:r>
        <w:rPr>
          <w:rFonts w:ascii="楷体" w:eastAsia="楷体" w:hint="eastAsia"/>
          <w:b/>
          <w:spacing w:val="-3"/>
          <w:sz w:val="21"/>
        </w:rPr>
        <w:t>中度运动 </w:t>
      </w:r>
      <w:r>
        <w:rPr>
          <w:spacing w:val="-1"/>
          <w:sz w:val="21"/>
        </w:rPr>
        <w:t>是一组中枢神经系统运动神经元的进行性变性疾病，进行性脊肌萎缩症、进行性延</w:t>
      </w:r>
    </w:p>
    <w:p>
      <w:pPr>
        <w:spacing w:after="0" w:line="240" w:lineRule="auto"/>
        <w:jc w:val="left"/>
        <w:rPr>
          <w:rFonts w:ascii="楷体" w:eastAsia="楷体" w:hint="eastAsia"/>
          <w:sz w:val="21"/>
        </w:rPr>
        <w:sectPr>
          <w:pgSz w:w="11910" w:h="16840"/>
          <w:pgMar w:header="0" w:footer="1120" w:top="1360" w:bottom="1300" w:left="1020" w:right="1020"/>
        </w:sectPr>
      </w:pPr>
    </w:p>
    <w:p>
      <w:pPr>
        <w:spacing w:before="43"/>
        <w:ind w:left="395" w:right="0" w:firstLine="0"/>
        <w:jc w:val="left"/>
        <w:rPr>
          <w:rFonts w:ascii="楷体" w:eastAsia="楷体" w:hint="eastAsia"/>
          <w:b/>
          <w:sz w:val="21"/>
        </w:rPr>
      </w:pPr>
      <w:r>
        <w:rPr>
          <w:rFonts w:ascii="楷体" w:eastAsia="楷体" w:hint="eastAsia"/>
          <w:b/>
          <w:spacing w:val="-3"/>
          <w:sz w:val="21"/>
        </w:rPr>
        <w:t>神经元病</w:t>
      </w:r>
    </w:p>
    <w:p>
      <w:pPr>
        <w:pStyle w:val="BodyText"/>
        <w:spacing w:line="278" w:lineRule="auto"/>
        <w:ind w:left="395" w:right="374"/>
      </w:pPr>
      <w:r>
        <w:rPr/>
        <w:br w:type="column"/>
      </w:r>
      <w:r>
        <w:rPr>
          <w:spacing w:val="-2"/>
        </w:rPr>
        <w:t>髓麻痹症、原发性侧索硬化症、肌萎缩性侧索硬化症。须满足自主生活能力部分丧</w:t>
      </w:r>
      <w:r>
        <w:rPr>
          <w:spacing w:val="-2"/>
        </w:rPr>
        <w:t>失，无法独立完成六项基本日常生活活动中的两项。</w:t>
      </w:r>
    </w:p>
    <w:p>
      <w:pPr>
        <w:spacing w:after="0" w:line="278" w:lineRule="auto"/>
        <w:sectPr>
          <w:type w:val="continuous"/>
          <w:pgSz w:w="11910" w:h="16840"/>
          <w:pgMar w:header="0" w:footer="1120" w:top="1120" w:bottom="1300" w:left="1020" w:right="1020"/>
          <w:cols w:num="2" w:equalWidth="0">
            <w:col w:w="1281" w:space="245"/>
            <w:col w:w="8344"/>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结核性脊</w:t>
      </w:r>
      <w:r>
        <w:rPr>
          <w:rFonts w:ascii="楷体" w:eastAsia="楷体" w:hint="eastAsia"/>
          <w:b/>
          <w:spacing w:val="-6"/>
          <w:sz w:val="21"/>
        </w:rPr>
        <w:t>髓炎</w:t>
      </w:r>
    </w:p>
    <w:p>
      <w:pPr>
        <w:pStyle w:val="BodyText"/>
        <w:spacing w:line="278" w:lineRule="auto" w:before="72"/>
        <w:ind w:left="70" w:right="115"/>
      </w:pPr>
      <w:r>
        <w:rPr/>
        <w:br w:type="column"/>
      </w:r>
      <w:r>
        <w:rPr>
          <w:spacing w:val="-2"/>
        </w:rPr>
        <w:t>指因结核杆菌引起的脊髓炎，导致神经系统永久性的功能中度障碍。神经系统永久性</w:t>
      </w:r>
      <w:r>
        <w:rPr>
          <w:spacing w:val="-3"/>
        </w:rPr>
        <w:t>的功能障碍，经相关专科医生确诊疾病 </w:t>
      </w:r>
      <w:r>
        <w:rPr>
          <w:rFonts w:ascii="Times New Roman" w:eastAsia="Times New Roman"/>
        </w:rPr>
        <w:t>180</w:t>
      </w:r>
      <w:r>
        <w:rPr>
          <w:rFonts w:ascii="Times New Roman" w:eastAsia="Times New Roman"/>
          <w:spacing w:val="22"/>
        </w:rPr>
        <w:t> </w:t>
      </w:r>
      <w:r>
        <w:rPr/>
        <w:t>天后，仍须满足自主生活能力部分丧失，</w:t>
      </w:r>
      <w:r>
        <w:rPr>
          <w:spacing w:val="-2"/>
        </w:rPr>
        <w:t>无法独立完成六项基本日常生活活动中的二项或二项以上。</w:t>
      </w:r>
    </w:p>
    <w:p>
      <w:pPr>
        <w:spacing w:after="0" w:line="278" w:lineRule="auto"/>
        <w:sectPr>
          <w:type w:val="continuous"/>
          <w:pgSz w:w="11910" w:h="16840"/>
          <w:pgMar w:header="0" w:footer="1120" w:top="1120" w:bottom="1300" w:left="1020" w:right="1020"/>
          <w:cols w:num="2" w:equalWidth="0">
            <w:col w:w="1813" w:space="40"/>
            <w:col w:w="8017"/>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中度脊髓</w:t>
      </w:r>
      <w:r>
        <w:rPr>
          <w:rFonts w:ascii="楷体" w:eastAsia="楷体" w:hint="eastAsia"/>
          <w:b/>
          <w:spacing w:val="-2"/>
          <w:sz w:val="21"/>
        </w:rPr>
        <w:t>灰质炎后遗症</w:t>
      </w:r>
    </w:p>
    <w:p>
      <w:pPr>
        <w:pStyle w:val="BodyText"/>
        <w:spacing w:line="278" w:lineRule="auto" w:before="72"/>
        <w:ind w:left="70" w:right="214"/>
        <w:jc w:val="both"/>
      </w:pPr>
      <w:r>
        <w:rPr/>
        <w:br w:type="column"/>
      </w:r>
      <w:r>
        <w:rPr>
          <w:spacing w:val="-2"/>
        </w:rPr>
        <w:t>是一种由于脊髓灰质炎病毒感染所致的瘫痪性疾病，临床表现为运动功能损害或呼吸</w:t>
      </w:r>
      <w:r>
        <w:rPr>
          <w:spacing w:val="-2"/>
        </w:rPr>
        <w:t>无力。经相关专科医生确诊，且须满足该病造成神经系统功能损害导致一肢肢体随意</w:t>
      </w:r>
      <w:r>
        <w:rPr>
          <w:spacing w:val="-5"/>
        </w:rPr>
        <w:t>运动功能永久完全丧失。肢体随意运动功能永久完全丧失，指疾病确诊 </w:t>
      </w:r>
      <w:r>
        <w:rPr>
          <w:rFonts w:ascii="Times New Roman" w:eastAsia="Times New Roman"/>
          <w:spacing w:val="-4"/>
        </w:rPr>
        <w:t>180</w:t>
      </w:r>
      <w:r>
        <w:rPr>
          <w:rFonts w:ascii="Times New Roman" w:eastAsia="Times New Roman"/>
          <w:spacing w:val="23"/>
        </w:rPr>
        <w:t> </w:t>
      </w:r>
      <w:r>
        <w:rPr>
          <w:spacing w:val="-6"/>
        </w:rPr>
        <w:t>天后，每</w:t>
      </w:r>
    </w:p>
    <w:p>
      <w:pPr>
        <w:pStyle w:val="BodyText"/>
        <w:spacing w:line="269" w:lineRule="exact" w:before="0"/>
        <w:ind w:left="70"/>
        <w:jc w:val="both"/>
      </w:pPr>
      <w:r>
        <w:rPr>
          <w:spacing w:val="-4"/>
        </w:rPr>
        <w:t>肢三大关节中的一大关节仍然完全僵硬，或肢体肌力在 </w:t>
      </w:r>
      <w:r>
        <w:rPr>
          <w:rFonts w:ascii="Times New Roman" w:eastAsia="Times New Roman"/>
          <w:spacing w:val="-2"/>
        </w:rPr>
        <w:t>3</w:t>
      </w:r>
      <w:r>
        <w:rPr>
          <w:rFonts w:ascii="Times New Roman" w:eastAsia="Times New Roman"/>
          <w:spacing w:val="9"/>
        </w:rPr>
        <w:t> </w:t>
      </w:r>
      <w:r>
        <w:rPr>
          <w:spacing w:val="-2"/>
        </w:rPr>
        <w:t>级（含）</w:t>
      </w:r>
      <w:r>
        <w:rPr>
          <w:spacing w:val="-5"/>
        </w:rPr>
        <w:t>以下。</w:t>
      </w:r>
    </w:p>
    <w:p>
      <w:pPr>
        <w:spacing w:after="0" w:line="269" w:lineRule="exact"/>
        <w:jc w:val="both"/>
        <w:sectPr>
          <w:type w:val="continuous"/>
          <w:pgSz w:w="11910" w:h="16840"/>
          <w:pgMar w:header="0" w:footer="1120" w:top="1120" w:bottom="1300" w:left="1020" w:right="1020"/>
          <w:cols w:num="2" w:equalWidth="0">
            <w:col w:w="1813" w:space="40"/>
            <w:col w:w="8017"/>
          </w:cols>
        </w:sectPr>
      </w:pPr>
    </w:p>
    <w:p>
      <w:pPr>
        <w:pStyle w:val="BodyText"/>
        <w:spacing w:before="7"/>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中度进行</w:t>
      </w:r>
      <w:r>
        <w:rPr>
          <w:rFonts w:ascii="楷体" w:eastAsia="楷体" w:hint="eastAsia"/>
          <w:b/>
          <w:spacing w:val="-2"/>
          <w:sz w:val="21"/>
        </w:rPr>
        <w:t>性核上性麻痹</w:t>
      </w:r>
    </w:p>
    <w:p>
      <w:pPr>
        <w:pStyle w:val="BodyText"/>
        <w:spacing w:line="278" w:lineRule="auto" w:before="72"/>
        <w:ind w:left="70" w:right="216"/>
        <w:jc w:val="both"/>
      </w:pPr>
      <w:r>
        <w:rPr/>
        <w:br w:type="column"/>
      </w:r>
      <w:r>
        <w:rPr>
          <w:spacing w:val="-2"/>
        </w:rPr>
        <w:t>指一种少见的神经系统变性疾病，临床表现为假球麻痹、垂直性核上性眼肌麻痹、锥</w:t>
      </w:r>
      <w:r>
        <w:rPr>
          <w:spacing w:val="-2"/>
        </w:rPr>
        <w:t>体外系肌僵直、步态共济失调和轻度痴呆。经相关专科医生确诊，且满足自主生活能</w:t>
      </w:r>
      <w:r>
        <w:rPr>
          <w:spacing w:val="-2"/>
        </w:rPr>
        <w:t>力完全丧失，无法独立完成六项基本日常生活活动中的两项。</w:t>
      </w:r>
    </w:p>
    <w:p>
      <w:pPr>
        <w:spacing w:after="0" w:line="278" w:lineRule="auto"/>
        <w:jc w:val="both"/>
        <w:sectPr>
          <w:type w:val="continuous"/>
          <w:pgSz w:w="11910" w:h="16840"/>
          <w:pgMar w:header="0" w:footer="1120" w:top="1120" w:bottom="1300" w:left="1020" w:right="1020"/>
          <w:cols w:num="2" w:equalWidth="0">
            <w:col w:w="1813" w:space="40"/>
            <w:col w:w="8017"/>
          </w:cols>
        </w:sectPr>
      </w:pPr>
    </w:p>
    <w:p>
      <w:pPr>
        <w:pStyle w:val="BodyText"/>
        <w:spacing w:before="12"/>
        <w:rPr>
          <w:sz w:val="11"/>
        </w:rPr>
      </w:pPr>
    </w:p>
    <w:p>
      <w:pPr>
        <w:spacing w:after="0"/>
        <w:rPr>
          <w:sz w:val="11"/>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较重多系</w:t>
      </w:r>
      <w:r>
        <w:rPr>
          <w:rFonts w:ascii="楷体" w:eastAsia="楷体" w:hint="eastAsia"/>
          <w:b/>
          <w:spacing w:val="-4"/>
          <w:sz w:val="21"/>
        </w:rPr>
        <w:t>统萎缩</w:t>
      </w:r>
    </w:p>
    <w:p>
      <w:pPr>
        <w:pStyle w:val="BodyText"/>
        <w:spacing w:line="268" w:lineRule="auto" w:before="72"/>
        <w:ind w:left="70" w:right="358"/>
        <w:jc w:val="both"/>
      </w:pPr>
      <w:r>
        <w:rPr/>
        <w:br w:type="column"/>
      </w:r>
      <w:r>
        <w:rPr>
          <w:spacing w:val="-2"/>
        </w:rPr>
        <w:t>是一种原因不明的神经系统变性疾病，病变主要累及椎体外系、椎体系、小脑和自</w:t>
      </w:r>
      <w:r>
        <w:rPr>
          <w:spacing w:val="-2"/>
        </w:rPr>
        <w:t>主神经。临床表现为直立性低血压、帕金森综合征、小脑共济失调。多系统萎缩需</w:t>
      </w:r>
      <w:r>
        <w:rPr>
          <w:spacing w:val="-4"/>
        </w:rPr>
        <w:t>由专科医生明确诊断，且被保险人存在持续 </w:t>
      </w:r>
      <w:r>
        <w:rPr>
          <w:rFonts w:ascii="等线" w:eastAsia="等线"/>
          <w:spacing w:val="-2"/>
        </w:rPr>
        <w:t>180</w:t>
      </w:r>
      <w:r>
        <w:rPr>
          <w:rFonts w:ascii="等线" w:eastAsia="等线"/>
          <w:spacing w:val="8"/>
        </w:rPr>
        <w:t> </w:t>
      </w:r>
      <w:r>
        <w:rPr>
          <w:spacing w:val="-3"/>
        </w:rPr>
        <w:t>天以上的永久不可逆的以运动功能</w:t>
      </w:r>
    </w:p>
    <w:p>
      <w:pPr>
        <w:pStyle w:val="BodyText"/>
        <w:spacing w:line="274" w:lineRule="exact" w:before="0"/>
        <w:ind w:left="70"/>
        <w:jc w:val="both"/>
      </w:pPr>
      <w:r>
        <w:rPr>
          <w:spacing w:val="-2"/>
        </w:rPr>
        <w:t>障碍为表现的神经系统功能损害，二肢（含）</w:t>
      </w:r>
      <w:r>
        <w:rPr>
          <w:spacing w:val="-8"/>
        </w:rPr>
        <w:t>以上肢体肌力 </w:t>
      </w:r>
      <w:r>
        <w:rPr>
          <w:rFonts w:ascii="等线" w:eastAsia="等线"/>
          <w:spacing w:val="-2"/>
        </w:rPr>
        <w:t>3</w:t>
      </w:r>
      <w:r>
        <w:rPr>
          <w:rFonts w:ascii="等线" w:eastAsia="等线"/>
          <w:spacing w:val="3"/>
        </w:rPr>
        <w:t> </w:t>
      </w:r>
      <w:r>
        <w:rPr>
          <w:spacing w:val="-2"/>
        </w:rPr>
        <w:t>级（含）</w:t>
      </w:r>
      <w:r>
        <w:rPr>
          <w:spacing w:val="-5"/>
        </w:rPr>
        <w:t>以下。</w:t>
      </w:r>
    </w:p>
    <w:p>
      <w:pPr>
        <w:spacing w:after="0" w:line="274" w:lineRule="exact"/>
        <w:jc w:val="both"/>
        <w:sectPr>
          <w:type w:val="continuous"/>
          <w:pgSz w:w="11910" w:h="16840"/>
          <w:pgMar w:header="0" w:footer="1120" w:top="1120" w:bottom="1300" w:left="1020" w:right="1020"/>
          <w:cols w:num="2" w:equalWidth="0">
            <w:col w:w="1813" w:space="40"/>
            <w:col w:w="8017"/>
          </w:cols>
        </w:sectPr>
      </w:pPr>
    </w:p>
    <w:p>
      <w:pPr>
        <w:pStyle w:val="BodyText"/>
        <w:spacing w:before="6"/>
        <w:rPr>
          <w:sz w:val="13"/>
        </w:rPr>
      </w:pPr>
    </w:p>
    <w:p>
      <w:pPr>
        <w:spacing w:after="0"/>
        <w:rPr>
          <w:sz w:val="13"/>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较重多发</w:t>
      </w:r>
      <w:r>
        <w:rPr>
          <w:rFonts w:ascii="楷体" w:eastAsia="楷体" w:hint="eastAsia"/>
          <w:b/>
          <w:spacing w:val="-4"/>
          <w:sz w:val="21"/>
        </w:rPr>
        <w:t>性硬化症</w:t>
      </w:r>
    </w:p>
    <w:p>
      <w:pPr>
        <w:pStyle w:val="BodyText"/>
        <w:spacing w:before="72"/>
        <w:ind w:left="70"/>
      </w:pPr>
      <w:r>
        <w:rPr/>
        <w:br w:type="column"/>
      </w:r>
      <w:r>
        <w:rPr>
          <w:spacing w:val="-3"/>
        </w:rPr>
        <w:t>指因中枢神经系统脱髓鞘所致的不可逆的神经系统功能障碍，须由计算机断层扫描</w:t>
      </w:r>
    </w:p>
    <w:p>
      <w:pPr>
        <w:pStyle w:val="BodyText"/>
        <w:spacing w:line="278" w:lineRule="auto"/>
        <w:ind w:left="70" w:right="276" w:hanging="1"/>
      </w:pPr>
      <w:r>
        <w:rPr>
          <w:spacing w:val="23"/>
        </w:rPr>
        <w:t>（CT</w:t>
      </w:r>
      <w:r>
        <w:rPr>
          <w:spacing w:val="-85"/>
        </w:rPr>
        <w:t>）</w:t>
      </w:r>
      <w:r>
        <w:rPr>
          <w:spacing w:val="-4"/>
        </w:rPr>
        <w:t>、核磁共振检查（MRI）或正电子发射断层扫描（PET）等影像学检查证实，并</w:t>
      </w:r>
      <w:r>
        <w:rPr>
          <w:spacing w:val="-2"/>
        </w:rPr>
        <w:t>且满足下列所有条件：</w:t>
      </w:r>
    </w:p>
    <w:p>
      <w:pPr>
        <w:pStyle w:val="ListParagraph"/>
        <w:numPr>
          <w:ilvl w:val="0"/>
          <w:numId w:val="119"/>
        </w:numPr>
        <w:tabs>
          <w:tab w:pos="600" w:val="left" w:leader="none"/>
        </w:tabs>
        <w:spacing w:line="269" w:lineRule="exact" w:before="0" w:after="0"/>
        <w:ind w:left="599" w:right="0" w:hanging="530"/>
        <w:jc w:val="left"/>
        <w:rPr>
          <w:sz w:val="21"/>
        </w:rPr>
      </w:pPr>
      <w:r>
        <w:rPr>
          <w:spacing w:val="-3"/>
          <w:sz w:val="21"/>
        </w:rPr>
        <w:t>完整的医疗记录证实被保险人的疾病呈缓解复发和进展加重病程；</w:t>
      </w:r>
    </w:p>
    <w:p>
      <w:pPr>
        <w:pStyle w:val="ListParagraph"/>
        <w:numPr>
          <w:ilvl w:val="0"/>
          <w:numId w:val="119"/>
        </w:numPr>
        <w:tabs>
          <w:tab w:pos="600" w:val="left" w:leader="none"/>
        </w:tabs>
        <w:spacing w:line="240" w:lineRule="auto" w:before="43" w:after="0"/>
        <w:ind w:left="599" w:right="0" w:hanging="530"/>
        <w:jc w:val="left"/>
        <w:rPr>
          <w:sz w:val="21"/>
        </w:rPr>
      </w:pPr>
      <w:r>
        <w:rPr>
          <w:spacing w:val="-5"/>
          <w:sz w:val="21"/>
        </w:rPr>
        <w:t>存在持续 </w:t>
      </w:r>
      <w:r>
        <w:rPr>
          <w:rFonts w:ascii="Times New Roman" w:eastAsia="Times New Roman"/>
          <w:spacing w:val="-2"/>
          <w:sz w:val="21"/>
        </w:rPr>
        <w:t>180</w:t>
      </w:r>
      <w:r>
        <w:rPr>
          <w:rFonts w:ascii="Times New Roman" w:eastAsia="Times New Roman"/>
          <w:spacing w:val="41"/>
          <w:sz w:val="21"/>
        </w:rPr>
        <w:t> </w:t>
      </w:r>
      <w:r>
        <w:rPr>
          <w:spacing w:val="-3"/>
          <w:sz w:val="21"/>
        </w:rPr>
        <w:t>天以上的永久不可逆的以运动功能障碍为表现的神经系统功能损</w:t>
      </w:r>
    </w:p>
    <w:p>
      <w:pPr>
        <w:pStyle w:val="BodyText"/>
        <w:ind w:left="70"/>
      </w:pPr>
      <w:r>
        <w:rPr>
          <w:spacing w:val="-6"/>
        </w:rPr>
        <w:t>害，二肢或二肢以上肢体肌力 </w:t>
      </w:r>
      <w:r>
        <w:rPr>
          <w:rFonts w:ascii="Times New Roman" w:eastAsia="Times New Roman"/>
          <w:spacing w:val="-2"/>
        </w:rPr>
        <w:t>3</w:t>
      </w:r>
      <w:r>
        <w:rPr>
          <w:rFonts w:ascii="Times New Roman" w:eastAsia="Times New Roman"/>
          <w:spacing w:val="5"/>
        </w:rPr>
        <w:t> </w:t>
      </w:r>
      <w:r>
        <w:rPr>
          <w:spacing w:val="-2"/>
        </w:rPr>
        <w:t>级（含）</w:t>
      </w:r>
      <w:r>
        <w:rPr>
          <w:spacing w:val="-5"/>
        </w:rPr>
        <w:t>以下。</w:t>
      </w:r>
    </w:p>
    <w:p>
      <w:pPr>
        <w:spacing w:after="0"/>
        <w:sectPr>
          <w:type w:val="continuous"/>
          <w:pgSz w:w="11910" w:h="16840"/>
          <w:pgMar w:header="0" w:footer="1120" w:top="1120" w:bottom="1300" w:left="1020" w:right="1020"/>
          <w:cols w:num="2" w:equalWidth="0">
            <w:col w:w="1813" w:space="40"/>
            <w:col w:w="8017"/>
          </w:cols>
        </w:sectPr>
      </w:pPr>
    </w:p>
    <w:p>
      <w:pPr>
        <w:pStyle w:val="BodyText"/>
        <w:spacing w:before="5"/>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1" w:after="0"/>
        <w:ind w:left="395" w:right="0" w:firstLine="0"/>
        <w:jc w:val="left"/>
        <w:rPr>
          <w:rFonts w:ascii="楷体" w:eastAsia="楷体" w:hint="eastAsia"/>
          <w:b/>
          <w:sz w:val="21"/>
        </w:rPr>
      </w:pPr>
      <w:r>
        <w:rPr>
          <w:rFonts w:ascii="楷体" w:eastAsia="楷体" w:hint="eastAsia"/>
          <w:b/>
          <w:spacing w:val="-4"/>
          <w:sz w:val="21"/>
        </w:rPr>
        <w:t>中度脊髓</w:t>
      </w:r>
      <w:r>
        <w:rPr>
          <w:rFonts w:ascii="楷体" w:eastAsia="楷体" w:hint="eastAsia"/>
          <w:b/>
          <w:spacing w:val="-2"/>
          <w:sz w:val="21"/>
        </w:rPr>
        <w:t>小脑变性症</w:t>
      </w:r>
    </w:p>
    <w:p>
      <w:pPr>
        <w:pStyle w:val="BodyText"/>
        <w:spacing w:line="278" w:lineRule="auto" w:before="71"/>
        <w:ind w:left="70" w:right="374"/>
        <w:jc w:val="both"/>
      </w:pPr>
      <w:r>
        <w:rPr/>
        <w:br w:type="column"/>
      </w:r>
      <w:r>
        <w:rPr>
          <w:spacing w:val="-2"/>
        </w:rPr>
        <w:t>是一组以小脑萎缩和共济失调为主要临床特点的多与遗传有关的疾病。必须由专科</w:t>
      </w:r>
      <w:r>
        <w:rPr>
          <w:spacing w:val="-3"/>
        </w:rPr>
        <w:t>医师明确诊断，影像学检查证实存在小脑萎缩，存在持续 </w:t>
      </w:r>
      <w:r>
        <w:rPr>
          <w:rFonts w:ascii="Times New Roman" w:eastAsia="Times New Roman"/>
          <w:spacing w:val="-2"/>
        </w:rPr>
        <w:t>180</w:t>
      </w:r>
      <w:r>
        <w:rPr>
          <w:rFonts w:ascii="Times New Roman" w:eastAsia="Times New Roman"/>
          <w:spacing w:val="19"/>
        </w:rPr>
        <w:t> </w:t>
      </w:r>
      <w:r>
        <w:rPr>
          <w:spacing w:val="-2"/>
        </w:rPr>
        <w:t>天以上的所有下列小</w:t>
      </w:r>
      <w:r>
        <w:rPr>
          <w:spacing w:val="-2"/>
        </w:rPr>
        <w:t>脑共济失调和神经系统功能损害表现：</w:t>
      </w:r>
    </w:p>
    <w:p>
      <w:pPr>
        <w:pStyle w:val="ListParagraph"/>
        <w:numPr>
          <w:ilvl w:val="0"/>
          <w:numId w:val="120"/>
        </w:numPr>
        <w:tabs>
          <w:tab w:pos="600" w:val="left" w:leader="none"/>
        </w:tabs>
        <w:spacing w:line="269" w:lineRule="exact" w:before="0" w:after="0"/>
        <w:ind w:left="599" w:right="0" w:hanging="530"/>
        <w:jc w:val="left"/>
        <w:rPr>
          <w:sz w:val="21"/>
        </w:rPr>
      </w:pPr>
      <w:r>
        <w:rPr>
          <w:spacing w:val="-3"/>
          <w:sz w:val="21"/>
        </w:rPr>
        <w:t>语言不清，饮水呛咳，吞咽困难；</w:t>
      </w:r>
    </w:p>
    <w:p>
      <w:pPr>
        <w:pStyle w:val="ListParagraph"/>
        <w:numPr>
          <w:ilvl w:val="0"/>
          <w:numId w:val="120"/>
        </w:numPr>
        <w:tabs>
          <w:tab w:pos="600" w:val="left" w:leader="none"/>
        </w:tabs>
        <w:spacing w:line="240" w:lineRule="auto" w:before="43" w:after="0"/>
        <w:ind w:left="599" w:right="0" w:hanging="530"/>
        <w:jc w:val="left"/>
        <w:rPr>
          <w:sz w:val="21"/>
        </w:rPr>
      </w:pPr>
      <w:r>
        <w:rPr>
          <w:spacing w:val="-2"/>
          <w:sz w:val="21"/>
        </w:rPr>
        <w:t>运动失调，无法跑步，无法独立长距离行走（</w:t>
      </w:r>
      <w:r>
        <w:rPr>
          <w:rFonts w:ascii="Times New Roman" w:eastAsia="Times New Roman"/>
          <w:spacing w:val="-2"/>
          <w:sz w:val="21"/>
        </w:rPr>
        <w:t>6</w:t>
      </w:r>
      <w:r>
        <w:rPr>
          <w:rFonts w:ascii="Times New Roman" w:eastAsia="Times New Roman"/>
          <w:spacing w:val="16"/>
          <w:sz w:val="21"/>
        </w:rPr>
        <w:t> </w:t>
      </w:r>
      <w:r>
        <w:rPr>
          <w:spacing w:val="-2"/>
          <w:sz w:val="21"/>
        </w:rPr>
        <w:t>米</w:t>
      </w:r>
      <w:r>
        <w:rPr>
          <w:spacing w:val="-108"/>
          <w:sz w:val="21"/>
        </w:rPr>
        <w:t>）</w:t>
      </w:r>
      <w:r>
        <w:rPr>
          <w:spacing w:val="-3"/>
          <w:sz w:val="21"/>
        </w:rPr>
        <w:t>，上下楼梯困难；</w:t>
      </w:r>
    </w:p>
    <w:p>
      <w:pPr>
        <w:pStyle w:val="ListParagraph"/>
        <w:numPr>
          <w:ilvl w:val="0"/>
          <w:numId w:val="120"/>
        </w:numPr>
        <w:tabs>
          <w:tab w:pos="600" w:val="left" w:leader="none"/>
        </w:tabs>
        <w:spacing w:line="240" w:lineRule="auto" w:before="43" w:after="0"/>
        <w:ind w:left="599" w:right="0" w:hanging="530"/>
        <w:jc w:val="left"/>
        <w:rPr>
          <w:sz w:val="21"/>
        </w:rPr>
      </w:pPr>
      <w:r>
        <w:rPr>
          <w:spacing w:val="-8"/>
          <w:sz w:val="21"/>
        </w:rPr>
        <w:t>至少两肢体肌力 </w:t>
      </w:r>
      <w:r>
        <w:rPr>
          <w:rFonts w:ascii="Times New Roman" w:eastAsia="Times New Roman"/>
          <w:spacing w:val="-2"/>
          <w:sz w:val="21"/>
        </w:rPr>
        <w:t>4</w:t>
      </w:r>
      <w:r>
        <w:rPr>
          <w:rFonts w:ascii="Times New Roman" w:eastAsia="Times New Roman"/>
          <w:spacing w:val="2"/>
          <w:sz w:val="21"/>
        </w:rPr>
        <w:t> </w:t>
      </w:r>
      <w:r>
        <w:rPr>
          <w:spacing w:val="-2"/>
          <w:sz w:val="21"/>
        </w:rPr>
        <w:t>级（含）</w:t>
      </w:r>
      <w:r>
        <w:rPr>
          <w:spacing w:val="-5"/>
          <w:sz w:val="21"/>
        </w:rPr>
        <w:t>以下。</w:t>
      </w:r>
    </w:p>
    <w:p>
      <w:pPr>
        <w:spacing w:after="0" w:line="240" w:lineRule="auto"/>
        <w:jc w:val="left"/>
        <w:rPr>
          <w:sz w:val="21"/>
        </w:rPr>
        <w:sectPr>
          <w:type w:val="continuous"/>
          <w:pgSz w:w="11910" w:h="16840"/>
          <w:pgMar w:header="0" w:footer="1120" w:top="1120" w:bottom="1300" w:left="1020" w:right="1020"/>
          <w:cols w:num="2" w:equalWidth="0">
            <w:col w:w="1813" w:space="40"/>
            <w:col w:w="8017"/>
          </w:cols>
        </w:sectPr>
      </w:pPr>
    </w:p>
    <w:p>
      <w:pPr>
        <w:pStyle w:val="BodyText"/>
        <w:spacing w:before="8"/>
        <w:rPr>
          <w:sz w:val="15"/>
        </w:rPr>
      </w:pPr>
    </w:p>
    <w:p>
      <w:pPr>
        <w:spacing w:after="0"/>
        <w:rPr>
          <w:sz w:val="15"/>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1" w:after="0"/>
        <w:ind w:left="395" w:right="0" w:firstLine="0"/>
        <w:jc w:val="left"/>
        <w:rPr>
          <w:rFonts w:ascii="楷体" w:hAnsi="楷体" w:eastAsia="楷体" w:hint="eastAsia"/>
          <w:b/>
          <w:sz w:val="21"/>
        </w:rPr>
      </w:pPr>
      <w:r>
        <w:rPr>
          <w:rFonts w:ascii="楷体" w:hAnsi="楷体" w:eastAsia="楷体" w:hint="eastAsia"/>
          <w:b/>
          <w:spacing w:val="-4"/>
          <w:sz w:val="21"/>
        </w:rPr>
        <w:t>中度Ⅲ度</w:t>
      </w:r>
      <w:r>
        <w:rPr>
          <w:rFonts w:ascii="楷体" w:hAnsi="楷体" w:eastAsia="楷体" w:hint="eastAsia"/>
          <w:b/>
          <w:spacing w:val="-6"/>
          <w:sz w:val="21"/>
        </w:rPr>
        <w:t>烧伤</w:t>
      </w:r>
    </w:p>
    <w:p>
      <w:pPr>
        <w:pStyle w:val="BodyText"/>
        <w:spacing w:line="278" w:lineRule="auto" w:before="71"/>
        <w:ind w:left="70" w:right="220" w:hanging="1"/>
      </w:pPr>
      <w:r>
        <w:rPr/>
        <w:br w:type="column"/>
      </w:r>
      <w:r>
        <w:rPr>
          <w:spacing w:val="-2"/>
        </w:rPr>
        <w:t>指烧伤程度为Ⅲ度，且Ⅲ度烧伤的面积达到全身体表面积的 </w:t>
      </w:r>
      <w:r>
        <w:rPr/>
        <w:t>15%</w:t>
      </w:r>
      <w:r>
        <w:rPr>
          <w:spacing w:val="-22"/>
        </w:rPr>
        <w:t>或 </w:t>
      </w:r>
      <w:r>
        <w:rPr/>
        <w:t>15%以上，但未达到本合同所定义的重大疾病“严重Ⅲ度烧伤（</w:t>
      </w:r>
      <w:r>
        <w:rPr>
          <w:spacing w:val="-14"/>
        </w:rPr>
        <w:t>见释义 </w:t>
      </w:r>
      <w:r>
        <w:rPr/>
        <w:t>11.20）”标准。体表面积根据</w:t>
      </w:r>
    </w:p>
    <w:p>
      <w:pPr>
        <w:pStyle w:val="BodyText"/>
        <w:spacing w:line="269" w:lineRule="exact" w:before="0"/>
        <w:ind w:left="70"/>
      </w:pPr>
      <w:r>
        <w:rPr>
          <w:spacing w:val="-3"/>
        </w:rPr>
        <w:t>《中国新九分法》计算。</w:t>
      </w:r>
    </w:p>
    <w:p>
      <w:pPr>
        <w:spacing w:line="242" w:lineRule="auto" w:before="20"/>
        <w:ind w:left="70" w:right="216" w:firstLine="0"/>
        <w:jc w:val="both"/>
        <w:rPr>
          <w:rFonts w:ascii="黑体" w:hAnsi="黑体" w:eastAsia="黑体"/>
          <w:sz w:val="24"/>
        </w:rPr>
      </w:pPr>
      <w:r>
        <w:rPr>
          <w:rFonts w:ascii="黑体" w:hAnsi="黑体" w:eastAsia="黑体"/>
          <w:w w:val="95"/>
          <w:sz w:val="24"/>
        </w:rPr>
        <w:t>因</w:t>
      </w:r>
      <w:r>
        <w:rPr>
          <w:rFonts w:ascii="黑体" w:hAnsi="黑体" w:eastAsia="黑体"/>
          <w:w w:val="95"/>
          <w:sz w:val="24"/>
        </w:rPr>
        <w:t>同</w:t>
      </w:r>
      <w:r>
        <w:rPr>
          <w:rFonts w:ascii="黑体" w:hAnsi="黑体" w:eastAsia="黑体"/>
          <w:w w:val="95"/>
          <w:sz w:val="24"/>
        </w:rPr>
        <w:t>一</w:t>
      </w:r>
      <w:r>
        <w:rPr>
          <w:rFonts w:ascii="黑体" w:hAnsi="黑体" w:eastAsia="黑体"/>
          <w:w w:val="95"/>
          <w:sz w:val="24"/>
        </w:rPr>
        <w:t>次</w:t>
      </w:r>
      <w:r>
        <w:rPr>
          <w:rFonts w:ascii="黑体" w:hAnsi="黑体" w:eastAsia="黑体"/>
          <w:w w:val="95"/>
          <w:sz w:val="24"/>
        </w:rPr>
        <w:t>意</w:t>
      </w:r>
      <w:r>
        <w:rPr>
          <w:rFonts w:ascii="黑体" w:hAnsi="黑体" w:eastAsia="黑体"/>
          <w:w w:val="95"/>
          <w:sz w:val="24"/>
        </w:rPr>
        <w:t>外</w:t>
      </w:r>
      <w:r>
        <w:rPr>
          <w:rFonts w:ascii="黑体" w:hAnsi="黑体" w:eastAsia="黑体"/>
          <w:w w:val="95"/>
          <w:sz w:val="24"/>
        </w:rPr>
        <w:t>事</w:t>
      </w:r>
      <w:r>
        <w:rPr>
          <w:rFonts w:ascii="黑体" w:hAnsi="黑体" w:eastAsia="黑体"/>
          <w:w w:val="95"/>
          <w:sz w:val="24"/>
        </w:rPr>
        <w:t>故</w:t>
      </w:r>
      <w:r>
        <w:rPr>
          <w:rFonts w:ascii="黑体" w:hAnsi="黑体" w:eastAsia="黑体"/>
          <w:w w:val="95"/>
          <w:sz w:val="24"/>
        </w:rPr>
        <w:t>原</w:t>
      </w:r>
      <w:r>
        <w:rPr>
          <w:rFonts w:ascii="黑体" w:hAnsi="黑体" w:eastAsia="黑体"/>
          <w:w w:val="95"/>
          <w:sz w:val="24"/>
        </w:rPr>
        <w:t>因</w:t>
      </w:r>
      <w:r>
        <w:rPr>
          <w:rFonts w:ascii="黑体" w:hAnsi="黑体" w:eastAsia="黑体"/>
          <w:w w:val="95"/>
          <w:sz w:val="24"/>
        </w:rPr>
        <w:t>所</w:t>
      </w:r>
      <w:r>
        <w:rPr>
          <w:rFonts w:ascii="黑体" w:hAnsi="黑体" w:eastAsia="黑体"/>
          <w:w w:val="95"/>
          <w:sz w:val="24"/>
        </w:rPr>
        <w:t>致</w:t>
      </w:r>
      <w:r>
        <w:rPr>
          <w:rFonts w:ascii="黑体" w:hAnsi="黑体" w:eastAsia="黑体"/>
          <w:w w:val="95"/>
          <w:sz w:val="24"/>
        </w:rPr>
        <w:t>的“</w:t>
      </w:r>
      <w:r>
        <w:rPr>
          <w:rFonts w:ascii="黑体" w:hAnsi="黑体" w:eastAsia="黑体"/>
          <w:w w:val="95"/>
          <w:sz w:val="24"/>
        </w:rPr>
        <w:t>中</w:t>
      </w:r>
      <w:r>
        <w:rPr>
          <w:rFonts w:ascii="黑体" w:hAnsi="黑体" w:eastAsia="黑体"/>
          <w:w w:val="95"/>
          <w:sz w:val="24"/>
        </w:rPr>
        <w:t>度</w:t>
      </w:r>
      <w:r>
        <w:rPr>
          <w:rFonts w:ascii="黑体" w:hAnsi="黑体" w:eastAsia="黑体"/>
          <w:w w:val="95"/>
          <w:sz w:val="24"/>
        </w:rPr>
        <w:t>Ⅲ</w:t>
      </w:r>
      <w:r>
        <w:rPr>
          <w:rFonts w:ascii="黑体" w:hAnsi="黑体" w:eastAsia="黑体"/>
          <w:w w:val="95"/>
          <w:sz w:val="24"/>
        </w:rPr>
        <w:t>度</w:t>
      </w:r>
      <w:r>
        <w:rPr>
          <w:rFonts w:ascii="黑体" w:hAnsi="黑体" w:eastAsia="黑体"/>
          <w:w w:val="95"/>
          <w:sz w:val="24"/>
        </w:rPr>
        <w:t>烧</w:t>
      </w:r>
      <w:r>
        <w:rPr>
          <w:rFonts w:ascii="黑体" w:hAnsi="黑体" w:eastAsia="黑体"/>
          <w:w w:val="95"/>
          <w:sz w:val="24"/>
        </w:rPr>
        <w:t>伤</w:t>
      </w:r>
      <w:r>
        <w:rPr>
          <w:rFonts w:ascii="黑体" w:hAnsi="黑体" w:eastAsia="黑体"/>
          <w:spacing w:val="-128"/>
          <w:w w:val="95"/>
          <w:sz w:val="24"/>
        </w:rPr>
        <w:t>”</w:t>
      </w:r>
      <w:r>
        <w:rPr>
          <w:rFonts w:ascii="黑体" w:hAnsi="黑体" w:eastAsia="黑体"/>
          <w:w w:val="95"/>
          <w:sz w:val="24"/>
        </w:rPr>
        <w:t>（</w:t>
      </w:r>
      <w:r>
        <w:rPr>
          <w:rFonts w:ascii="黑体" w:hAnsi="黑体" w:eastAsia="黑体"/>
          <w:w w:val="95"/>
          <w:sz w:val="24"/>
        </w:rPr>
        <w:t>见</w:t>
      </w:r>
      <w:r>
        <w:rPr>
          <w:rFonts w:ascii="黑体" w:hAnsi="黑体" w:eastAsia="黑体"/>
          <w:w w:val="95"/>
          <w:sz w:val="24"/>
        </w:rPr>
        <w:t>释</w:t>
      </w:r>
      <w:r>
        <w:rPr>
          <w:rFonts w:ascii="黑体" w:hAnsi="黑体" w:eastAsia="黑体"/>
          <w:w w:val="95"/>
          <w:sz w:val="24"/>
        </w:rPr>
        <w:t>义</w:t>
      </w:r>
      <w:r>
        <w:rPr>
          <w:rFonts w:ascii="黑体" w:hAnsi="黑体" w:eastAsia="黑体"/>
          <w:w w:val="95"/>
          <w:sz w:val="24"/>
        </w:rPr>
        <w:t> </w:t>
      </w:r>
      <w:r>
        <w:rPr>
          <w:rFonts w:ascii="黑体" w:hAnsi="黑体" w:eastAsia="黑体"/>
          <w:spacing w:val="20"/>
          <w:w w:val="95"/>
          <w:sz w:val="24"/>
        </w:rPr>
        <w:t>15.16</w:t>
      </w:r>
      <w:r>
        <w:rPr>
          <w:rFonts w:ascii="黑体" w:hAnsi="黑体" w:eastAsia="黑体"/>
          <w:spacing w:val="-100"/>
          <w:w w:val="95"/>
          <w:sz w:val="24"/>
        </w:rPr>
        <w:t>）</w:t>
      </w:r>
      <w:r>
        <w:rPr>
          <w:rFonts w:ascii="黑体" w:hAnsi="黑体" w:eastAsia="黑体"/>
          <w:spacing w:val="-27"/>
          <w:w w:val="95"/>
          <w:sz w:val="24"/>
        </w:rPr>
        <w:t>、“意外导</w:t>
      </w:r>
      <w:r>
        <w:rPr>
          <w:rFonts w:ascii="黑体" w:hAnsi="黑体" w:eastAsia="黑体"/>
          <w:spacing w:val="-15"/>
          <w:sz w:val="24"/>
        </w:rPr>
        <w:t>致的中度面部烧伤”</w:t>
      </w:r>
      <w:r>
        <w:rPr>
          <w:rFonts w:ascii="黑体" w:hAnsi="黑体" w:eastAsia="黑体"/>
          <w:sz w:val="24"/>
        </w:rPr>
        <w:t>（</w:t>
      </w:r>
      <w:r>
        <w:rPr>
          <w:rFonts w:ascii="黑体" w:hAnsi="黑体" w:eastAsia="黑体"/>
          <w:spacing w:val="-9"/>
          <w:sz w:val="24"/>
        </w:rPr>
        <w:t>见释义 </w:t>
      </w:r>
      <w:r>
        <w:rPr>
          <w:rFonts w:ascii="黑体" w:hAnsi="黑体" w:eastAsia="黑体"/>
          <w:spacing w:val="14"/>
          <w:sz w:val="24"/>
        </w:rPr>
        <w:t>15.17</w:t>
      </w:r>
      <w:r>
        <w:rPr>
          <w:rFonts w:ascii="黑体" w:hAnsi="黑体" w:eastAsia="黑体"/>
          <w:spacing w:val="-104"/>
          <w:sz w:val="24"/>
        </w:rPr>
        <w:t>）</w:t>
      </w:r>
      <w:r>
        <w:rPr>
          <w:rFonts w:ascii="黑体" w:hAnsi="黑体" w:eastAsia="黑体"/>
          <w:spacing w:val="-2"/>
          <w:sz w:val="24"/>
        </w:rPr>
        <w:t>，我们仅赔付其中一项中症疾病保险</w:t>
      </w:r>
      <w:r>
        <w:rPr>
          <w:rFonts w:ascii="黑体" w:hAnsi="黑体" w:eastAsia="黑体"/>
          <w:spacing w:val="-2"/>
          <w:sz w:val="24"/>
        </w:rPr>
        <w:t>金，赔付后另外一个病种中症责任终止。</w:t>
      </w:r>
    </w:p>
    <w:p>
      <w:pPr>
        <w:spacing w:after="0" w:line="242" w:lineRule="auto"/>
        <w:jc w:val="both"/>
        <w:rPr>
          <w:rFonts w:ascii="黑体" w:hAnsi="黑体" w:eastAsia="黑体"/>
          <w:sz w:val="24"/>
        </w:rPr>
        <w:sectPr>
          <w:type w:val="continuous"/>
          <w:pgSz w:w="11910" w:h="16840"/>
          <w:pgMar w:header="0" w:footer="1120" w:top="1120" w:bottom="1300" w:left="1020" w:right="1020"/>
          <w:cols w:num="2" w:equalWidth="0">
            <w:col w:w="1813" w:space="40"/>
            <w:col w:w="8017"/>
          </w:cols>
        </w:sectPr>
      </w:pPr>
    </w:p>
    <w:p>
      <w:pPr>
        <w:pStyle w:val="BodyText"/>
        <w:spacing w:before="11"/>
        <w:rPr>
          <w:rFonts w:ascii="黑体"/>
          <w:sz w:val="13"/>
        </w:rPr>
      </w:pPr>
    </w:p>
    <w:p>
      <w:pPr>
        <w:spacing w:after="0"/>
        <w:rPr>
          <w:rFonts w:ascii="黑体"/>
          <w:sz w:val="13"/>
        </w:rPr>
        <w:sectPr>
          <w:type w:val="continuous"/>
          <w:pgSz w:w="11910" w:h="16840"/>
          <w:pgMar w:header="0" w:footer="1120" w:top="1120" w:bottom="1300" w:left="1020" w:right="1020"/>
        </w:sectPr>
      </w:pPr>
    </w:p>
    <w:p>
      <w:pPr>
        <w:pStyle w:val="ListParagraph"/>
        <w:numPr>
          <w:ilvl w:val="1"/>
          <w:numId w:val="20"/>
        </w:numPr>
        <w:tabs>
          <w:tab w:pos="968" w:val="left" w:leader="none"/>
        </w:tabs>
        <w:spacing w:line="240" w:lineRule="auto" w:before="78" w:after="0"/>
        <w:ind w:left="967" w:right="0" w:hanging="573"/>
        <w:jc w:val="left"/>
        <w:rPr>
          <w:rFonts w:ascii="楷体" w:eastAsia="楷体" w:hint="eastAsia"/>
          <w:b/>
          <w:sz w:val="21"/>
        </w:rPr>
      </w:pPr>
      <w:r>
        <w:rPr>
          <w:rFonts w:ascii="楷体" w:eastAsia="楷体" w:hint="eastAsia"/>
          <w:b/>
          <w:spacing w:val="-3"/>
          <w:sz w:val="21"/>
        </w:rPr>
        <w:t>意外导致</w:t>
      </w:r>
    </w:p>
    <w:p>
      <w:pPr>
        <w:pStyle w:val="BodyText"/>
        <w:spacing w:before="78"/>
        <w:ind w:left="70"/>
      </w:pPr>
      <w:r>
        <w:rPr/>
        <w:br w:type="column"/>
      </w:r>
      <w:r>
        <w:rPr>
          <w:spacing w:val="-4"/>
        </w:rPr>
        <w:t>指面部Ⅲ度烧伤且烧伤面积达到面部表面积的 </w:t>
      </w:r>
      <w:r>
        <w:rPr>
          <w:rFonts w:ascii="Times New Roman" w:hAnsi="Times New Roman" w:eastAsia="Times New Roman"/>
          <w:spacing w:val="-2"/>
        </w:rPr>
        <w:t>3/5</w:t>
      </w:r>
      <w:r>
        <w:rPr>
          <w:rFonts w:ascii="Times New Roman" w:hAnsi="Times New Roman" w:eastAsia="Times New Roman"/>
          <w:spacing w:val="7"/>
        </w:rPr>
        <w:t> </w:t>
      </w:r>
      <w:r>
        <w:rPr>
          <w:spacing w:val="-7"/>
        </w:rPr>
        <w:t>或全身体表面积的 </w:t>
      </w:r>
      <w:r>
        <w:rPr>
          <w:rFonts w:ascii="Times New Roman" w:hAnsi="Times New Roman" w:eastAsia="Times New Roman"/>
          <w:spacing w:val="-2"/>
        </w:rPr>
        <w:t>1.8%</w:t>
      </w:r>
      <w:r>
        <w:rPr>
          <w:spacing w:val="-4"/>
        </w:rPr>
        <w:t>，但未达</w:t>
      </w:r>
    </w:p>
    <w:p>
      <w:pPr>
        <w:spacing w:after="0"/>
        <w:sectPr>
          <w:type w:val="continuous"/>
          <w:pgSz w:w="11910" w:h="16840"/>
          <w:pgMar w:header="0" w:footer="1120" w:top="1120" w:bottom="1300" w:left="1020" w:right="1020"/>
          <w:cols w:num="2" w:equalWidth="0">
            <w:col w:w="1813" w:space="40"/>
            <w:col w:w="8017"/>
          </w:cols>
        </w:sectPr>
      </w:pPr>
    </w:p>
    <w:p>
      <w:pPr>
        <w:pStyle w:val="BodyText"/>
        <w:ind w:left="395"/>
      </w:pPr>
      <w:r>
        <w:rPr>
          <w:rFonts w:ascii="楷体" w:hAnsi="楷体" w:eastAsia="楷体" w:hint="eastAsia"/>
          <w:b/>
          <w:spacing w:val="-2"/>
        </w:rPr>
        <w:t>的中度面部烧 </w:t>
      </w:r>
      <w:r>
        <w:rPr/>
        <w:t>到本合同所定义的重大疾病“意外导致的重度面部烧伤（</w:t>
      </w:r>
      <w:r>
        <w:rPr>
          <w:spacing w:val="-14"/>
        </w:rPr>
        <w:t>见释义 </w:t>
      </w:r>
      <w:r>
        <w:rPr>
          <w:rFonts w:ascii="Times New Roman" w:hAnsi="Times New Roman" w:eastAsia="Times New Roman"/>
          <w:spacing w:val="7"/>
        </w:rPr>
        <w:t>1</w:t>
      </w:r>
      <w:r>
        <w:rPr>
          <w:rFonts w:ascii="Times New Roman" w:hAnsi="Times New Roman" w:eastAsia="Times New Roman"/>
          <w:spacing w:val="15"/>
        </w:rPr>
        <w:t>1.1</w:t>
      </w:r>
      <w:r>
        <w:rPr>
          <w:rFonts w:ascii="Times New Roman" w:hAnsi="Times New Roman" w:eastAsia="Times New Roman"/>
          <w:spacing w:val="12"/>
        </w:rPr>
        <w:t>0</w:t>
      </w:r>
      <w:r>
        <w:rPr>
          <w:rFonts w:ascii="Times New Roman" w:hAnsi="Times New Roman" w:eastAsia="Times New Roman"/>
          <w:spacing w:val="15"/>
        </w:rPr>
        <w:t>2</w:t>
      </w:r>
      <w:r>
        <w:rPr>
          <w:spacing w:val="-91"/>
        </w:rPr>
        <w:t>）</w:t>
      </w:r>
      <w:r>
        <w:rPr/>
        <w:t>”标准。</w:t>
      </w:r>
    </w:p>
    <w:p>
      <w:pPr>
        <w:spacing w:after="0"/>
        <w:sectPr>
          <w:type w:val="continuous"/>
          <w:pgSz w:w="11910" w:h="16840"/>
          <w:pgMar w:header="0" w:footer="1120" w:top="1120" w:bottom="1300" w:left="1020" w:right="1020"/>
        </w:sectPr>
      </w:pPr>
    </w:p>
    <w:p>
      <w:pPr>
        <w:pStyle w:val="BodyText"/>
        <w:tabs>
          <w:tab w:pos="1922" w:val="left" w:leader="none"/>
        </w:tabs>
        <w:spacing w:line="278" w:lineRule="auto" w:before="60"/>
        <w:ind w:left="1922" w:right="252" w:hanging="1527"/>
      </w:pPr>
      <w:r>
        <w:rPr>
          <w:rFonts w:ascii="楷体" w:eastAsia="楷体" w:hint="eastAsia"/>
          <w:b/>
          <w:spacing w:val="-10"/>
        </w:rPr>
        <w:t>伤</w:t>
      </w:r>
      <w:r>
        <w:rPr>
          <w:rFonts w:ascii="楷体" w:eastAsia="楷体" w:hint="eastAsia"/>
          <w:b/>
        </w:rPr>
        <w:tab/>
      </w:r>
      <w:r>
        <w:rPr/>
        <w:t>体表面积根据《中国新九</w:t>
      </w:r>
      <w:r>
        <w:rPr/>
        <w:t>分法》计算，面部总面积</w:t>
      </w:r>
      <w:r>
        <w:rPr/>
        <w:t>为全身体表面积的</w:t>
      </w:r>
      <w:r>
        <w:rPr>
          <w:spacing w:val="-53"/>
        </w:rPr>
        <w:t> </w:t>
      </w:r>
      <w:r>
        <w:rPr>
          <w:rFonts w:ascii="Times New Roman" w:eastAsia="Times New Roman"/>
        </w:rPr>
        <w:t>3%</w:t>
      </w:r>
      <w:r>
        <w:rPr/>
        <w:t>。面</w:t>
      </w:r>
      <w:r>
        <w:rPr/>
        <w:t>部面积</w:t>
      </w:r>
      <w:r>
        <w:rPr>
          <w:spacing w:val="-2"/>
        </w:rPr>
        <w:t>不</w:t>
      </w:r>
      <w:r>
        <w:rPr>
          <w:spacing w:val="-2"/>
        </w:rPr>
        <w:t>包</w:t>
      </w:r>
      <w:r>
        <w:rPr>
          <w:spacing w:val="-2"/>
        </w:rPr>
        <w:t>括发部和颈</w:t>
      </w:r>
      <w:r>
        <w:rPr>
          <w:spacing w:val="-2"/>
        </w:rPr>
        <w:t>部</w:t>
      </w:r>
      <w:r>
        <w:rPr>
          <w:spacing w:val="-2"/>
        </w:rPr>
        <w:t>。</w:t>
      </w:r>
    </w:p>
    <w:p>
      <w:pPr>
        <w:spacing w:line="284" w:lineRule="exact" w:before="0"/>
        <w:ind w:left="1922" w:right="0" w:firstLine="0"/>
        <w:jc w:val="left"/>
        <w:rPr>
          <w:rFonts w:ascii="黑体" w:hAnsi="黑体" w:eastAsia="黑体"/>
          <w:sz w:val="24"/>
        </w:rPr>
      </w:pPr>
      <w:r>
        <w:rPr>
          <w:rFonts w:ascii="黑体" w:hAnsi="黑体" w:eastAsia="黑体"/>
          <w:spacing w:val="-10"/>
          <w:sz w:val="24"/>
        </w:rPr>
        <w:t>因同一次意外事故原因所致的“中度Ⅲ度烧伤”</w:t>
      </w:r>
      <w:r>
        <w:rPr>
          <w:rFonts w:ascii="黑体" w:hAnsi="黑体" w:eastAsia="黑体"/>
          <w:sz w:val="24"/>
        </w:rPr>
        <w:t>（</w:t>
      </w:r>
      <w:r>
        <w:rPr>
          <w:rFonts w:ascii="黑体" w:hAnsi="黑体" w:eastAsia="黑体"/>
          <w:spacing w:val="-18"/>
          <w:sz w:val="24"/>
        </w:rPr>
        <w:t>见释义 </w:t>
      </w:r>
      <w:r>
        <w:rPr>
          <w:rFonts w:ascii="黑体" w:hAnsi="黑体" w:eastAsia="黑体"/>
          <w:spacing w:val="16"/>
          <w:sz w:val="24"/>
        </w:rPr>
        <w:t>15.16</w:t>
      </w:r>
      <w:r>
        <w:rPr>
          <w:rFonts w:ascii="黑体" w:hAnsi="黑体" w:eastAsia="黑体"/>
          <w:spacing w:val="-104"/>
          <w:sz w:val="24"/>
        </w:rPr>
        <w:t>）</w:t>
      </w:r>
      <w:r>
        <w:rPr>
          <w:rFonts w:ascii="黑体" w:hAnsi="黑体" w:eastAsia="黑体"/>
          <w:spacing w:val="-31"/>
          <w:sz w:val="24"/>
        </w:rPr>
        <w:t>、“意外导</w:t>
      </w:r>
    </w:p>
    <w:p>
      <w:pPr>
        <w:spacing w:line="242" w:lineRule="auto" w:before="5"/>
        <w:ind w:left="1922" w:right="216" w:firstLine="0"/>
        <w:jc w:val="left"/>
        <w:rPr>
          <w:rFonts w:ascii="黑体" w:hAnsi="黑体" w:eastAsia="黑体"/>
          <w:sz w:val="24"/>
        </w:rPr>
      </w:pPr>
      <w:r>
        <w:rPr>
          <w:rFonts w:ascii="黑体" w:hAnsi="黑体" w:eastAsia="黑体"/>
          <w:spacing w:val="-15"/>
          <w:sz w:val="24"/>
        </w:rPr>
        <w:t>致的中度面部烧伤”</w:t>
      </w:r>
      <w:r>
        <w:rPr>
          <w:rFonts w:ascii="黑体" w:hAnsi="黑体" w:eastAsia="黑体"/>
          <w:sz w:val="24"/>
        </w:rPr>
        <w:t>（</w:t>
      </w:r>
      <w:r>
        <w:rPr>
          <w:rFonts w:ascii="黑体" w:hAnsi="黑体" w:eastAsia="黑体"/>
          <w:spacing w:val="-9"/>
          <w:sz w:val="24"/>
        </w:rPr>
        <w:t>见释义 </w:t>
      </w:r>
      <w:r>
        <w:rPr>
          <w:rFonts w:ascii="黑体" w:hAnsi="黑体" w:eastAsia="黑体"/>
          <w:spacing w:val="14"/>
          <w:sz w:val="24"/>
        </w:rPr>
        <w:t>15.17</w:t>
      </w:r>
      <w:r>
        <w:rPr>
          <w:rFonts w:ascii="黑体" w:hAnsi="黑体" w:eastAsia="黑体"/>
          <w:spacing w:val="-104"/>
          <w:sz w:val="24"/>
        </w:rPr>
        <w:t>）</w:t>
      </w:r>
      <w:r>
        <w:rPr>
          <w:rFonts w:ascii="黑体" w:hAnsi="黑体" w:eastAsia="黑体"/>
          <w:spacing w:val="-2"/>
          <w:sz w:val="24"/>
        </w:rPr>
        <w:t>，我们仅赔付其中一项中症疾病保险</w:t>
      </w:r>
      <w:r>
        <w:rPr>
          <w:rFonts w:ascii="黑体" w:hAnsi="黑体" w:eastAsia="黑体"/>
          <w:spacing w:val="-2"/>
          <w:sz w:val="24"/>
        </w:rPr>
        <w:t>金，赔付后另外一个病种中症责任终止。</w:t>
      </w:r>
    </w:p>
    <w:p>
      <w:pPr>
        <w:pStyle w:val="BodyText"/>
        <w:spacing w:before="2"/>
        <w:rPr>
          <w:rFonts w:ascii="黑体"/>
          <w:sz w:val="14"/>
        </w:rPr>
      </w:pPr>
    </w:p>
    <w:p>
      <w:pPr>
        <w:spacing w:after="0"/>
        <w:rPr>
          <w:rFonts w:ascii="黑体"/>
          <w:sz w:val="14"/>
        </w:rPr>
        <w:sectPr>
          <w:pgSz w:w="11910" w:h="16840"/>
          <w:pgMar w:header="0" w:footer="1120" w:top="1360" w:bottom="1300" w:left="1020" w:right="1020"/>
        </w:sectPr>
      </w:pPr>
    </w:p>
    <w:p>
      <w:pPr>
        <w:pStyle w:val="ListParagraph"/>
        <w:numPr>
          <w:ilvl w:val="1"/>
          <w:numId w:val="20"/>
        </w:numPr>
        <w:tabs>
          <w:tab w:pos="965"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2"/>
          <w:sz w:val="21"/>
        </w:rPr>
        <w:t>中度-克-</w:t>
      </w:r>
      <w:r>
        <w:rPr>
          <w:rFonts w:ascii="楷体" w:eastAsia="楷体" w:hint="eastAsia"/>
          <w:b/>
          <w:spacing w:val="-30"/>
          <w:sz w:val="21"/>
        </w:rPr>
        <w:t>雅氏病</w:t>
      </w:r>
      <w:r>
        <w:rPr>
          <w:rFonts w:ascii="楷体" w:eastAsia="楷体" w:hint="eastAsia"/>
          <w:b/>
          <w:spacing w:val="-2"/>
          <w:sz w:val="21"/>
        </w:rPr>
        <w:t>（CJD</w:t>
      </w:r>
      <w:r>
        <w:rPr>
          <w:rFonts w:ascii="楷体" w:eastAsia="楷体" w:hint="eastAsia"/>
          <w:b/>
          <w:spacing w:val="-85"/>
          <w:sz w:val="21"/>
        </w:rPr>
        <w:t>、人</w:t>
      </w:r>
      <w:r>
        <w:rPr>
          <w:rFonts w:ascii="楷体" w:eastAsia="楷体" w:hint="eastAsia"/>
          <w:b/>
          <w:spacing w:val="-2"/>
          <w:sz w:val="21"/>
        </w:rPr>
        <w:t>类疯牛病）</w:t>
      </w:r>
    </w:p>
    <w:p>
      <w:pPr>
        <w:pStyle w:val="BodyText"/>
        <w:spacing w:line="278" w:lineRule="auto" w:before="72"/>
        <w:ind w:left="72" w:right="110"/>
      </w:pPr>
      <w:r>
        <w:rPr/>
        <w:br w:type="column"/>
      </w:r>
      <w:r>
        <w:rPr>
          <w:spacing w:val="-12"/>
        </w:rPr>
        <w:t>是一种传染性海绵状脑病，临床表现为快速进行性痴呆、肌阵挛和特征性脑电图变化。</w:t>
      </w:r>
      <w:r>
        <w:rPr>
          <w:spacing w:val="-3"/>
        </w:rPr>
        <w:t>经相关专科医生根据 </w:t>
      </w:r>
      <w:r>
        <w:rPr>
          <w:rFonts w:ascii="Times New Roman" w:eastAsia="Times New Roman"/>
        </w:rPr>
        <w:t>WHO </w:t>
      </w:r>
      <w:r>
        <w:rPr/>
        <w:t>诊断标准确诊，且须满足自主生活能力完全丧失，无法独</w:t>
      </w:r>
      <w:r>
        <w:rPr>
          <w:spacing w:val="-2"/>
        </w:rPr>
        <w:t>立完成六项基本日常生活活动中的两项。</w:t>
      </w:r>
    </w:p>
    <w:p>
      <w:pPr>
        <w:spacing w:line="284" w:lineRule="exact" w:before="0"/>
        <w:ind w:left="72" w:right="0" w:firstLine="0"/>
        <w:jc w:val="left"/>
        <w:rPr>
          <w:rFonts w:ascii="黑体" w:eastAsia="黑体"/>
          <w:sz w:val="24"/>
        </w:rPr>
      </w:pPr>
      <w:r>
        <w:rPr>
          <w:rFonts w:ascii="黑体" w:eastAsia="黑体"/>
          <w:spacing w:val="-1"/>
          <w:sz w:val="24"/>
        </w:rPr>
        <w:t>克-雅氏病疑似病例除外。</w:t>
      </w:r>
    </w:p>
    <w:p>
      <w:pPr>
        <w:spacing w:after="0" w:line="284" w:lineRule="exact"/>
        <w:jc w:val="left"/>
        <w:rPr>
          <w:rFonts w:ascii="黑体" w:eastAsia="黑体"/>
          <w:sz w:val="24"/>
        </w:rPr>
        <w:sectPr>
          <w:type w:val="continuous"/>
          <w:pgSz w:w="11910" w:h="16840"/>
          <w:pgMar w:header="0" w:footer="1120" w:top="1120" w:bottom="1300" w:left="1020" w:right="1020"/>
          <w:cols w:num="2" w:equalWidth="0">
            <w:col w:w="1810" w:space="40"/>
            <w:col w:w="8020"/>
          </w:cols>
        </w:sectPr>
      </w:pP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2" w:after="0"/>
        <w:ind w:left="395" w:right="0" w:firstLine="0"/>
        <w:jc w:val="left"/>
        <w:rPr>
          <w:rFonts w:ascii="楷体" w:eastAsia="楷体" w:hint="eastAsia"/>
          <w:b/>
          <w:sz w:val="21"/>
        </w:rPr>
      </w:pPr>
      <w:r>
        <w:rPr>
          <w:rFonts w:ascii="楷体" w:eastAsia="楷体" w:hint="eastAsia"/>
          <w:b/>
          <w:spacing w:val="-4"/>
          <w:sz w:val="21"/>
        </w:rPr>
        <w:t>中度强直</w:t>
      </w:r>
      <w:r>
        <w:rPr>
          <w:rFonts w:ascii="楷体" w:eastAsia="楷体" w:hint="eastAsia"/>
          <w:b/>
          <w:spacing w:val="-4"/>
          <w:sz w:val="21"/>
        </w:rPr>
        <w:t>性脊柱炎</w:t>
      </w:r>
    </w:p>
    <w:p>
      <w:pPr>
        <w:pStyle w:val="BodyText"/>
        <w:spacing w:line="278" w:lineRule="auto" w:before="72"/>
        <w:ind w:left="70" w:right="167"/>
      </w:pPr>
      <w:r>
        <w:rPr/>
        <w:br w:type="column"/>
      </w:r>
      <w:r>
        <w:rPr>
          <w:spacing w:val="-2"/>
        </w:rPr>
        <w:t>是一种慢性全身性炎性疾病，主要侵犯脊柱导致脊柱畸形。经相关专科医生确诊，且</w:t>
      </w:r>
      <w:r>
        <w:rPr>
          <w:spacing w:val="-2"/>
        </w:rPr>
        <w:t>需满足下列全部条件：</w:t>
      </w:r>
    </w:p>
    <w:p>
      <w:pPr>
        <w:pStyle w:val="ListParagraph"/>
        <w:numPr>
          <w:ilvl w:val="0"/>
          <w:numId w:val="121"/>
        </w:numPr>
        <w:tabs>
          <w:tab w:pos="600" w:val="left" w:leader="none"/>
        </w:tabs>
        <w:spacing w:line="269" w:lineRule="exact" w:before="0" w:after="0"/>
        <w:ind w:left="599" w:right="0" w:hanging="530"/>
        <w:jc w:val="left"/>
        <w:rPr>
          <w:sz w:val="21"/>
        </w:rPr>
      </w:pPr>
      <w:r>
        <w:rPr>
          <w:spacing w:val="-4"/>
          <w:sz w:val="21"/>
        </w:rPr>
        <w:t>严重脊柱畸形；</w:t>
      </w:r>
    </w:p>
    <w:p>
      <w:pPr>
        <w:pStyle w:val="ListParagraph"/>
        <w:numPr>
          <w:ilvl w:val="0"/>
          <w:numId w:val="121"/>
        </w:numPr>
        <w:tabs>
          <w:tab w:pos="602" w:val="left" w:leader="none"/>
        </w:tabs>
        <w:spacing w:line="278" w:lineRule="auto" w:before="43" w:after="0"/>
        <w:ind w:left="70" w:right="216" w:firstLine="0"/>
        <w:jc w:val="left"/>
        <w:rPr>
          <w:sz w:val="21"/>
        </w:rPr>
      </w:pPr>
      <w:r>
        <w:rPr>
          <w:spacing w:val="-2"/>
          <w:sz w:val="21"/>
        </w:rPr>
        <w:t>自主生活能力完全丧失，无法独立完成六项基本日常生活活动中的两项或两项</w:t>
      </w:r>
      <w:r>
        <w:rPr>
          <w:spacing w:val="-4"/>
          <w:sz w:val="21"/>
        </w:rPr>
        <w:t>以上。</w:t>
      </w:r>
    </w:p>
    <w:p>
      <w:pPr>
        <w:spacing w:after="0" w:line="278" w:lineRule="auto"/>
        <w:jc w:val="left"/>
        <w:rPr>
          <w:sz w:val="21"/>
        </w:rPr>
        <w:sectPr>
          <w:type w:val="continuous"/>
          <w:pgSz w:w="11910" w:h="16840"/>
          <w:pgMar w:header="0" w:footer="1120" w:top="1120" w:bottom="1300" w:left="1020" w:right="1020"/>
          <w:cols w:num="2" w:equalWidth="0">
            <w:col w:w="1813" w:space="40"/>
            <w:col w:w="8017"/>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968" w:val="left" w:leader="none"/>
        </w:tabs>
        <w:spacing w:line="278" w:lineRule="auto" w:before="71" w:after="0"/>
        <w:ind w:left="395" w:right="0" w:firstLine="0"/>
        <w:jc w:val="left"/>
        <w:rPr>
          <w:rFonts w:ascii="楷体" w:eastAsia="楷体" w:hint="eastAsia"/>
          <w:b/>
          <w:sz w:val="21"/>
        </w:rPr>
      </w:pPr>
      <w:r>
        <w:rPr>
          <w:rFonts w:ascii="楷体" w:eastAsia="楷体" w:hint="eastAsia"/>
          <w:b/>
          <w:spacing w:val="-4"/>
          <w:sz w:val="21"/>
        </w:rPr>
        <w:t>严重出血</w:t>
      </w:r>
      <w:r>
        <w:rPr>
          <w:rFonts w:ascii="楷体" w:eastAsia="楷体" w:hint="eastAsia"/>
          <w:b/>
          <w:spacing w:val="-4"/>
          <w:sz w:val="21"/>
        </w:rPr>
        <w:t>性登革热</w:t>
      </w:r>
    </w:p>
    <w:p>
      <w:pPr>
        <w:pStyle w:val="BodyText"/>
        <w:spacing w:line="278" w:lineRule="auto" w:before="71"/>
        <w:ind w:left="70" w:right="374"/>
      </w:pPr>
      <w:r>
        <w:rPr/>
        <w:br w:type="column"/>
      </w:r>
      <w:r>
        <w:rPr>
          <w:spacing w:val="-2"/>
        </w:rPr>
        <w:t>是由登革热病毒引起的急性传染病，须经专科医生明确诊断，并满足下列至少一项</w:t>
      </w:r>
      <w:r>
        <w:rPr>
          <w:spacing w:val="-4"/>
        </w:rPr>
        <w:t>条件：</w:t>
      </w:r>
    </w:p>
    <w:p>
      <w:pPr>
        <w:pStyle w:val="ListParagraph"/>
        <w:numPr>
          <w:ilvl w:val="0"/>
          <w:numId w:val="122"/>
        </w:numPr>
        <w:tabs>
          <w:tab w:pos="600" w:val="left" w:leader="none"/>
        </w:tabs>
        <w:spacing w:line="269" w:lineRule="exact" w:before="0" w:after="0"/>
        <w:ind w:left="599" w:right="0" w:hanging="530"/>
        <w:jc w:val="left"/>
        <w:rPr>
          <w:sz w:val="21"/>
        </w:rPr>
      </w:pPr>
      <w:r>
        <w:rPr>
          <w:spacing w:val="-3"/>
          <w:sz w:val="21"/>
        </w:rPr>
        <w:t>血浆渗漏致休克或胸腔积液伴呼吸困难；</w:t>
      </w:r>
    </w:p>
    <w:p>
      <w:pPr>
        <w:pStyle w:val="ListParagraph"/>
        <w:numPr>
          <w:ilvl w:val="0"/>
          <w:numId w:val="122"/>
        </w:numPr>
        <w:tabs>
          <w:tab w:pos="600" w:val="left" w:leader="none"/>
        </w:tabs>
        <w:spacing w:line="278" w:lineRule="auto" w:before="43" w:after="0"/>
        <w:ind w:left="70" w:right="271" w:firstLine="0"/>
        <w:jc w:val="left"/>
        <w:rPr>
          <w:sz w:val="21"/>
        </w:rPr>
      </w:pPr>
      <w:r>
        <w:rPr>
          <w:spacing w:val="-2"/>
          <w:sz w:val="21"/>
        </w:rPr>
        <w:t>严重出血：消化道出血、阴道大出血、颅内出血、肉眼血尿或皮下血肿（不包</w:t>
      </w:r>
      <w:r>
        <w:rPr>
          <w:spacing w:val="-2"/>
          <w:sz w:val="21"/>
        </w:rPr>
        <w:t>括皮下出血点</w:t>
      </w:r>
      <w:r>
        <w:rPr>
          <w:spacing w:val="-108"/>
          <w:sz w:val="21"/>
        </w:rPr>
        <w:t>）</w:t>
      </w:r>
      <w:r>
        <w:rPr>
          <w:sz w:val="21"/>
        </w:rPr>
        <w:t>；</w:t>
      </w:r>
    </w:p>
    <w:p>
      <w:pPr>
        <w:pStyle w:val="ListParagraph"/>
        <w:numPr>
          <w:ilvl w:val="0"/>
          <w:numId w:val="122"/>
        </w:numPr>
        <w:tabs>
          <w:tab w:pos="598" w:val="left" w:leader="none"/>
        </w:tabs>
        <w:spacing w:line="278" w:lineRule="auto" w:before="0" w:after="0"/>
        <w:ind w:left="70" w:right="216" w:hanging="1"/>
        <w:jc w:val="left"/>
        <w:rPr>
          <w:sz w:val="21"/>
        </w:rPr>
      </w:pPr>
      <w:r>
        <w:rPr>
          <w:spacing w:val="-2"/>
          <w:sz w:val="21"/>
        </w:rPr>
        <w:t>严重器官损害或衰竭：肝脏损伤</w:t>
      </w:r>
      <w:r>
        <w:rPr>
          <w:rFonts w:ascii="Times New Roman" w:eastAsia="Times New Roman"/>
          <w:spacing w:val="-2"/>
          <w:sz w:val="21"/>
        </w:rPr>
        <w:t>(ALT</w:t>
      </w:r>
      <w:r>
        <w:rPr>
          <w:rFonts w:ascii="Times New Roman" w:eastAsia="Times New Roman"/>
          <w:spacing w:val="-12"/>
          <w:sz w:val="21"/>
        </w:rPr>
        <w:t> </w:t>
      </w:r>
      <w:r>
        <w:rPr>
          <w:spacing w:val="-28"/>
          <w:sz w:val="21"/>
        </w:rPr>
        <w:t>或 </w:t>
      </w:r>
      <w:r>
        <w:rPr>
          <w:rFonts w:ascii="Times New Roman" w:eastAsia="Times New Roman"/>
          <w:spacing w:val="-2"/>
          <w:sz w:val="21"/>
        </w:rPr>
        <w:t>AST</w:t>
      </w:r>
      <w:r>
        <w:rPr>
          <w:spacing w:val="-2"/>
          <w:sz w:val="21"/>
        </w:rPr>
        <w:t>＞</w:t>
      </w:r>
      <w:r>
        <w:rPr>
          <w:rFonts w:ascii="Times New Roman" w:eastAsia="Times New Roman"/>
          <w:spacing w:val="-2"/>
          <w:sz w:val="21"/>
        </w:rPr>
        <w:t>1000IU/L)</w:t>
      </w:r>
      <w:r>
        <w:rPr>
          <w:spacing w:val="-2"/>
          <w:sz w:val="21"/>
        </w:rPr>
        <w:t>、</w:t>
      </w:r>
      <w:r>
        <w:rPr>
          <w:rFonts w:ascii="Times New Roman" w:eastAsia="Times New Roman"/>
          <w:spacing w:val="-2"/>
          <w:sz w:val="21"/>
        </w:rPr>
        <w:t>ARDS</w:t>
      </w:r>
      <w:r>
        <w:rPr>
          <w:spacing w:val="-2"/>
          <w:sz w:val="21"/>
        </w:rPr>
        <w:t>（急性呼吸窘</w:t>
      </w:r>
      <w:r>
        <w:rPr>
          <w:spacing w:val="-2"/>
          <w:sz w:val="21"/>
        </w:rPr>
        <w:t>迫综合征</w:t>
      </w:r>
      <w:r>
        <w:rPr>
          <w:spacing w:val="-108"/>
          <w:sz w:val="21"/>
        </w:rPr>
        <w:t>）</w:t>
      </w:r>
      <w:r>
        <w:rPr>
          <w:spacing w:val="-2"/>
          <w:sz w:val="21"/>
        </w:rPr>
        <w:t>、急性心功能衰竭、急性肾功能衰竭、脑病。</w:t>
      </w:r>
    </w:p>
    <w:p>
      <w:pPr>
        <w:spacing w:after="0" w:line="278" w:lineRule="auto"/>
        <w:jc w:val="left"/>
        <w:rPr>
          <w:sz w:val="21"/>
        </w:rPr>
        <w:sectPr>
          <w:type w:val="continuous"/>
          <w:pgSz w:w="11910" w:h="16840"/>
          <w:pgMar w:header="0" w:footer="1120" w:top="1120" w:bottom="1300" w:left="1020" w:right="1020"/>
          <w:cols w:num="2" w:equalWidth="0">
            <w:col w:w="1813" w:space="40"/>
            <w:col w:w="8017"/>
          </w:cols>
        </w:sectPr>
      </w:pPr>
    </w:p>
    <w:p>
      <w:pPr>
        <w:pStyle w:val="BodyText"/>
        <w:spacing w:before="9"/>
        <w:rPr>
          <w:sz w:val="11"/>
        </w:rPr>
      </w:pPr>
    </w:p>
    <w:p>
      <w:pPr>
        <w:pStyle w:val="ListParagraph"/>
        <w:numPr>
          <w:ilvl w:val="0"/>
          <w:numId w:val="20"/>
        </w:numPr>
        <w:tabs>
          <w:tab w:pos="714" w:val="left" w:leader="none"/>
        </w:tabs>
        <w:spacing w:line="278" w:lineRule="auto" w:before="78" w:after="0"/>
        <w:ind w:left="1922" w:right="113" w:hanging="1527"/>
        <w:jc w:val="both"/>
        <w:rPr>
          <w:sz w:val="21"/>
        </w:rPr>
      </w:pPr>
      <w:r>
        <w:rPr>
          <w:b/>
          <w:spacing w:val="51"/>
          <w:sz w:val="21"/>
        </w:rPr>
        <w:t>特定疾病 </w:t>
      </w:r>
      <w:r>
        <w:rPr>
          <w:sz w:val="21"/>
        </w:rPr>
        <w:t>指被保险人发生符合以下疾病定义所述条件的疾病（</w:t>
      </w:r>
      <w:r>
        <w:rPr>
          <w:spacing w:val="-14"/>
          <w:sz w:val="21"/>
        </w:rPr>
        <w:t>共 </w:t>
      </w:r>
      <w:r>
        <w:rPr>
          <w:rFonts w:ascii="Times New Roman" w:eastAsia="Times New Roman"/>
          <w:sz w:val="21"/>
        </w:rPr>
        <w:t>15 </w:t>
      </w:r>
      <w:r>
        <w:rPr>
          <w:sz w:val="21"/>
        </w:rPr>
        <w:t>种</w:t>
      </w:r>
      <w:r>
        <w:rPr>
          <w:spacing w:val="-66"/>
          <w:sz w:val="21"/>
        </w:rPr>
        <w:t>）</w:t>
      </w:r>
      <w:r>
        <w:rPr>
          <w:spacing w:val="-9"/>
          <w:sz w:val="21"/>
        </w:rPr>
        <w:t>，应当由专科医生明确</w:t>
      </w:r>
      <w:r>
        <w:rPr>
          <w:spacing w:val="-2"/>
          <w:sz w:val="21"/>
        </w:rPr>
        <w:t>诊断。其中包含被保险人 </w:t>
      </w:r>
      <w:r>
        <w:rPr>
          <w:rFonts w:ascii="Times New Roman" w:eastAsia="Times New Roman"/>
          <w:sz w:val="21"/>
        </w:rPr>
        <w:t>18</w:t>
      </w:r>
      <w:r>
        <w:rPr>
          <w:rFonts w:ascii="Times New Roman" w:eastAsia="Times New Roman"/>
          <w:spacing w:val="38"/>
          <w:sz w:val="21"/>
        </w:rPr>
        <w:t> </w:t>
      </w:r>
      <w:r>
        <w:rPr>
          <w:spacing w:val="-1"/>
          <w:sz w:val="21"/>
        </w:rPr>
        <w:t>周岁前确诊首次患有的以下疾病定义中的 </w:t>
      </w:r>
      <w:r>
        <w:rPr>
          <w:rFonts w:ascii="Times New Roman" w:eastAsia="Times New Roman"/>
          <w:sz w:val="21"/>
        </w:rPr>
        <w:t>16.1-16.6</w:t>
      </w:r>
      <w:r>
        <w:rPr>
          <w:sz w:val="21"/>
        </w:rPr>
        <w:t>，以</w:t>
      </w:r>
      <w:r>
        <w:rPr>
          <w:spacing w:val="-9"/>
          <w:sz w:val="21"/>
        </w:rPr>
        <w:t>及被保险人年满 </w:t>
      </w:r>
      <w:r>
        <w:rPr>
          <w:rFonts w:ascii="Times New Roman" w:eastAsia="Times New Roman"/>
          <w:spacing w:val="-4"/>
          <w:sz w:val="21"/>
        </w:rPr>
        <w:t>18 </w:t>
      </w:r>
      <w:r>
        <w:rPr>
          <w:spacing w:val="-4"/>
          <w:sz w:val="21"/>
        </w:rPr>
        <w:t>周岁（含）</w:t>
      </w:r>
      <w:r>
        <w:rPr>
          <w:spacing w:val="-7"/>
          <w:sz w:val="21"/>
        </w:rPr>
        <w:t>后确诊首次患有的以下疾病定义中的 </w:t>
      </w:r>
      <w:r>
        <w:rPr>
          <w:rFonts w:ascii="Times New Roman" w:eastAsia="Times New Roman"/>
          <w:spacing w:val="-4"/>
          <w:sz w:val="21"/>
        </w:rPr>
        <w:t>16.1</w:t>
      </w:r>
      <w:r>
        <w:rPr>
          <w:spacing w:val="-4"/>
          <w:sz w:val="21"/>
        </w:rPr>
        <w:t>、</w:t>
      </w:r>
      <w:r>
        <w:rPr>
          <w:rFonts w:ascii="Times New Roman" w:eastAsia="Times New Roman"/>
          <w:spacing w:val="-4"/>
          <w:sz w:val="21"/>
        </w:rPr>
        <w:t>16.7-16.15</w:t>
      </w:r>
      <w:r>
        <w:rPr>
          <w:spacing w:val="-4"/>
          <w:sz w:val="21"/>
        </w:rPr>
        <w:t>。</w:t>
      </w:r>
    </w:p>
    <w:p>
      <w:pPr>
        <w:pStyle w:val="BodyText"/>
        <w:spacing w:before="10"/>
        <w:rPr>
          <w:sz w:val="17"/>
        </w:rPr>
      </w:pPr>
    </w:p>
    <w:p>
      <w:pPr>
        <w:pStyle w:val="ListParagraph"/>
        <w:numPr>
          <w:ilvl w:val="1"/>
          <w:numId w:val="20"/>
        </w:numPr>
        <w:tabs>
          <w:tab w:pos="1071" w:val="left" w:leader="none"/>
        </w:tabs>
        <w:spacing w:line="278" w:lineRule="auto" w:before="0" w:after="0"/>
        <w:ind w:left="1922" w:right="115" w:hanging="1419"/>
        <w:jc w:val="left"/>
        <w:rPr>
          <w:rFonts w:ascii="楷体" w:eastAsia="楷体" w:hint="eastAsia"/>
          <w:b/>
          <w:sz w:val="21"/>
        </w:rPr>
      </w:pPr>
      <w:r>
        <w:rPr>
          <w:rFonts w:ascii="楷体" w:eastAsia="楷体" w:hint="eastAsia"/>
          <w:b/>
          <w:spacing w:val="27"/>
          <w:sz w:val="21"/>
        </w:rPr>
        <w:t>白血病 </w:t>
      </w:r>
      <w:r>
        <w:rPr>
          <w:spacing w:val="-3"/>
          <w:sz w:val="21"/>
        </w:rPr>
        <w:t>是因造血干细胞或祖细胞突变引起的造血系统恶性肿瘤，必须经血涂片和骨髓象检查</w:t>
      </w:r>
      <w:r>
        <w:rPr>
          <w:sz w:val="21"/>
        </w:rPr>
        <w:t>明确诊断，临床诊断属于世界卫生组织（WHO，World Health </w:t>
      </w:r>
      <w:r>
        <w:rPr>
          <w:spacing w:val="9"/>
          <w:sz w:val="21"/>
        </w:rPr>
        <w:t>Org</w:t>
      </w:r>
      <w:r>
        <w:rPr>
          <w:spacing w:val="6"/>
          <w:sz w:val="21"/>
        </w:rPr>
        <w:t>a</w:t>
      </w:r>
      <w:r>
        <w:rPr>
          <w:spacing w:val="9"/>
          <w:sz w:val="21"/>
        </w:rPr>
        <w:t>niz</w:t>
      </w:r>
      <w:r>
        <w:rPr>
          <w:spacing w:val="6"/>
          <w:sz w:val="21"/>
        </w:rPr>
        <w:t>a</w:t>
      </w:r>
      <w:r>
        <w:rPr>
          <w:spacing w:val="9"/>
          <w:sz w:val="21"/>
        </w:rPr>
        <w:t>tio</w:t>
      </w:r>
      <w:r>
        <w:rPr>
          <w:spacing w:val="6"/>
          <w:sz w:val="21"/>
        </w:rPr>
        <w:t>n</w:t>
      </w:r>
      <w:r>
        <w:rPr>
          <w:spacing w:val="-99"/>
          <w:sz w:val="21"/>
        </w:rPr>
        <w:t>）</w:t>
      </w:r>
      <w:r>
        <w:rPr>
          <w:sz w:val="21"/>
        </w:rPr>
        <w:t>《疾病</w:t>
      </w:r>
      <w:r>
        <w:rPr>
          <w:spacing w:val="-2"/>
          <w:sz w:val="21"/>
        </w:rPr>
        <w:t>和有关健康问题的国际统计分类》第十次修订版（ICD-10）的恶性肿瘤类别及《国际</w:t>
      </w:r>
      <w:r>
        <w:rPr>
          <w:spacing w:val="-6"/>
          <w:sz w:val="21"/>
        </w:rPr>
        <w:t>疾病分类肿瘤学专辑》第三版（ICD-O-3）</w:t>
      </w:r>
      <w:r>
        <w:rPr>
          <w:spacing w:val="-10"/>
          <w:sz w:val="21"/>
        </w:rPr>
        <w:t>的肿瘤形态学编码属于 </w:t>
      </w:r>
      <w:r>
        <w:rPr>
          <w:spacing w:val="-6"/>
          <w:sz w:val="21"/>
        </w:rPr>
        <w:t>3、6、9（恶性肿瘤）</w:t>
      </w:r>
      <w:r>
        <w:rPr>
          <w:spacing w:val="-2"/>
          <w:sz w:val="21"/>
        </w:rPr>
        <w:t>范畴的疾病。</w:t>
      </w:r>
    </w:p>
    <w:p>
      <w:pPr>
        <w:spacing w:line="282" w:lineRule="exact" w:before="0"/>
        <w:ind w:left="1922" w:right="0" w:firstLine="0"/>
        <w:jc w:val="left"/>
        <w:rPr>
          <w:rFonts w:ascii="黑体" w:eastAsia="黑体"/>
          <w:sz w:val="24"/>
        </w:rPr>
      </w:pPr>
      <w:r>
        <w:rPr>
          <w:rFonts w:ascii="黑体" w:eastAsia="黑体"/>
          <w:spacing w:val="-15"/>
          <w:sz w:val="24"/>
        </w:rPr>
        <w:t>相当于 </w:t>
      </w:r>
      <w:r>
        <w:rPr>
          <w:rFonts w:ascii="黑体" w:eastAsia="黑体"/>
          <w:sz w:val="24"/>
        </w:rPr>
        <w:t>Binet</w:t>
      </w:r>
      <w:r>
        <w:rPr>
          <w:rFonts w:ascii="黑体" w:eastAsia="黑体"/>
          <w:spacing w:val="-20"/>
          <w:sz w:val="24"/>
        </w:rPr>
        <w:t> 分期方案 </w:t>
      </w:r>
      <w:r>
        <w:rPr>
          <w:rFonts w:ascii="黑体" w:eastAsia="黑体"/>
          <w:sz w:val="24"/>
        </w:rPr>
        <w:t>A</w:t>
      </w:r>
      <w:r>
        <w:rPr>
          <w:rFonts w:ascii="黑体" w:eastAsia="黑体"/>
          <w:spacing w:val="-9"/>
          <w:sz w:val="24"/>
        </w:rPr>
        <w:t> 期程度的慢性淋巴细胞白血病不在保障范围内。</w:t>
      </w:r>
    </w:p>
    <w:p>
      <w:pPr>
        <w:pStyle w:val="BodyText"/>
        <w:spacing w:before="4"/>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04" w:right="0" w:firstLine="0"/>
        <w:jc w:val="both"/>
        <w:rPr>
          <w:rFonts w:ascii="楷体" w:eastAsia="楷体" w:hint="eastAsia"/>
          <w:b/>
          <w:sz w:val="21"/>
        </w:rPr>
      </w:pPr>
      <w:r>
        <w:rPr>
          <w:rFonts w:ascii="楷体" w:eastAsia="楷体" w:hint="eastAsia"/>
          <w:b/>
          <w:spacing w:val="-4"/>
          <w:sz w:val="21"/>
        </w:rPr>
        <w:t>重大器</w:t>
      </w:r>
      <w:r>
        <w:rPr>
          <w:rFonts w:ascii="楷体" w:eastAsia="楷体" w:hint="eastAsia"/>
          <w:b/>
          <w:spacing w:val="-2"/>
          <w:sz w:val="21"/>
        </w:rPr>
        <w:t>官移植术或造</w:t>
      </w:r>
      <w:r>
        <w:rPr>
          <w:rFonts w:ascii="楷体" w:eastAsia="楷体" w:hint="eastAsia"/>
          <w:b/>
          <w:spacing w:val="-2"/>
          <w:sz w:val="21"/>
        </w:rPr>
        <w:t>血干细胞移植</w:t>
      </w:r>
      <w:r>
        <w:rPr>
          <w:rFonts w:ascii="楷体" w:eastAsia="楷体" w:hint="eastAsia"/>
          <w:b/>
          <w:spacing w:val="-10"/>
          <w:sz w:val="21"/>
        </w:rPr>
        <w:t>术</w:t>
      </w:r>
    </w:p>
    <w:p>
      <w:pPr>
        <w:pStyle w:val="BodyText"/>
        <w:spacing w:before="72"/>
        <w:ind w:left="111"/>
      </w:pPr>
      <w:r>
        <w:rPr/>
        <w:br w:type="column"/>
      </w:r>
      <w:r>
        <w:rPr>
          <w:spacing w:val="-14"/>
        </w:rPr>
        <w:t>见释义 </w:t>
      </w:r>
      <w:r>
        <w:rPr>
          <w:spacing w:val="-4"/>
        </w:rPr>
        <w:t>11.4</w:t>
      </w:r>
    </w:p>
    <w:p>
      <w:pPr>
        <w:spacing w:after="0"/>
        <w:sectPr>
          <w:type w:val="continuous"/>
          <w:pgSz w:w="11910" w:h="16840"/>
          <w:pgMar w:header="0" w:footer="1120" w:top="1120" w:bottom="1300" w:left="1020" w:right="1020"/>
          <w:cols w:num="2" w:equalWidth="0">
            <w:col w:w="1772" w:space="40"/>
            <w:col w:w="8058"/>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严重脑</w:t>
      </w:r>
      <w:r>
        <w:rPr>
          <w:rFonts w:ascii="楷体" w:eastAsia="楷体" w:hint="eastAsia"/>
          <w:b/>
          <w:spacing w:val="-6"/>
          <w:sz w:val="21"/>
        </w:rPr>
        <w:t>损伤</w:t>
      </w:r>
    </w:p>
    <w:p>
      <w:pPr>
        <w:pStyle w:val="BodyText"/>
        <w:spacing w:before="71"/>
        <w:ind w:left="178"/>
      </w:pPr>
      <w:r>
        <w:rPr/>
        <w:br w:type="column"/>
      </w:r>
      <w:r>
        <w:rPr>
          <w:spacing w:val="-2"/>
        </w:rPr>
        <w:t>见释义11.18</w:t>
      </w:r>
    </w:p>
    <w:p>
      <w:pPr>
        <w:spacing w:after="0"/>
        <w:sectPr>
          <w:type w:val="continuous"/>
          <w:pgSz w:w="11910" w:h="16840"/>
          <w:pgMar w:header="0" w:footer="1120" w:top="1120" w:bottom="1300" w:left="1020" w:right="1020"/>
          <w:cols w:num="2" w:equalWidth="0">
            <w:col w:w="1705" w:space="40"/>
            <w:col w:w="8125"/>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04" w:right="0" w:firstLine="0"/>
        <w:jc w:val="left"/>
        <w:rPr>
          <w:rFonts w:ascii="楷体" w:eastAsia="楷体" w:hint="eastAsia"/>
          <w:b/>
          <w:sz w:val="21"/>
        </w:rPr>
      </w:pPr>
      <w:r>
        <w:rPr>
          <w:rFonts w:ascii="楷体" w:eastAsia="楷体" w:hint="eastAsia"/>
          <w:b/>
          <w:spacing w:val="-4"/>
          <w:sz w:val="21"/>
        </w:rPr>
        <w:t>严重心</w:t>
      </w:r>
      <w:r>
        <w:rPr>
          <w:rFonts w:ascii="楷体" w:eastAsia="楷体" w:hint="eastAsia"/>
          <w:b/>
          <w:spacing w:val="-6"/>
          <w:sz w:val="21"/>
        </w:rPr>
        <w:t>肌病</w:t>
      </w:r>
    </w:p>
    <w:p>
      <w:pPr>
        <w:pStyle w:val="BodyText"/>
        <w:spacing w:before="71"/>
        <w:ind w:left="178"/>
      </w:pPr>
      <w:r>
        <w:rPr/>
        <w:br w:type="column"/>
      </w:r>
      <w:r>
        <w:rPr>
          <w:spacing w:val="-2"/>
        </w:rPr>
        <w:t>见释义11.54</w:t>
      </w:r>
    </w:p>
    <w:p>
      <w:pPr>
        <w:spacing w:after="0"/>
        <w:sectPr>
          <w:type w:val="continuous"/>
          <w:pgSz w:w="11910" w:h="16840"/>
          <w:pgMar w:header="0" w:footer="1120" w:top="1120" w:bottom="1300" w:left="1020" w:right="1020"/>
          <w:cols w:num="2" w:equalWidth="0">
            <w:col w:w="1705" w:space="40"/>
            <w:col w:w="8125"/>
          </w:cols>
        </w:sectPr>
      </w:pPr>
    </w:p>
    <w:p>
      <w:pPr>
        <w:pStyle w:val="ListParagraph"/>
        <w:numPr>
          <w:ilvl w:val="1"/>
          <w:numId w:val="20"/>
        </w:numPr>
        <w:tabs>
          <w:tab w:pos="1071" w:val="left" w:leader="none"/>
        </w:tabs>
        <w:spacing w:line="278" w:lineRule="auto" w:before="60" w:after="0"/>
        <w:ind w:left="504" w:right="0" w:firstLine="0"/>
        <w:jc w:val="both"/>
        <w:rPr>
          <w:rFonts w:ascii="楷体" w:eastAsia="楷体" w:hint="eastAsia"/>
          <w:b/>
          <w:sz w:val="21"/>
        </w:rPr>
      </w:pPr>
      <w:r>
        <w:rPr>
          <w:rFonts w:ascii="楷体" w:eastAsia="楷体" w:hint="eastAsia"/>
          <w:b/>
          <w:spacing w:val="-4"/>
          <w:sz w:val="21"/>
        </w:rPr>
        <w:t>严重川</w:t>
      </w:r>
      <w:r>
        <w:rPr>
          <w:rFonts w:ascii="楷体" w:eastAsia="楷体" w:hint="eastAsia"/>
          <w:b/>
          <w:spacing w:val="-2"/>
          <w:sz w:val="21"/>
        </w:rPr>
        <w:t>崎病冠状动脉</w:t>
      </w:r>
      <w:r>
        <w:rPr>
          <w:rFonts w:ascii="楷体" w:eastAsia="楷体" w:hint="eastAsia"/>
          <w:b/>
          <w:spacing w:val="-4"/>
          <w:sz w:val="21"/>
        </w:rPr>
        <w:t>瘤手术</w:t>
      </w:r>
    </w:p>
    <w:p>
      <w:pPr>
        <w:pStyle w:val="BodyText"/>
        <w:spacing w:before="60"/>
        <w:ind w:left="111"/>
      </w:pPr>
      <w:r>
        <w:rPr/>
        <w:br w:type="column"/>
      </w:r>
      <w:r>
        <w:rPr>
          <w:spacing w:val="-2"/>
        </w:rPr>
        <w:t>见释义11.59</w:t>
      </w:r>
    </w:p>
    <w:p>
      <w:pPr>
        <w:spacing w:after="0"/>
        <w:sectPr>
          <w:pgSz w:w="11910" w:h="16840"/>
          <w:pgMar w:header="0" w:footer="1120" w:top="1360" w:bottom="1300" w:left="1020" w:right="1020"/>
          <w:cols w:num="2" w:equalWidth="0">
            <w:col w:w="1772" w:space="40"/>
            <w:col w:w="805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15" w:right="0" w:hanging="12"/>
        <w:jc w:val="left"/>
        <w:rPr>
          <w:rFonts w:ascii="楷体" w:eastAsia="楷体" w:hint="eastAsia"/>
          <w:b/>
          <w:sz w:val="21"/>
        </w:rPr>
      </w:pPr>
      <w:r>
        <w:rPr>
          <w:rFonts w:ascii="楷体" w:eastAsia="楷体" w:hint="eastAsia"/>
          <w:b/>
          <w:spacing w:val="-2"/>
          <w:sz w:val="21"/>
        </w:rPr>
        <w:t>斯蒂尔病（全</w:t>
      </w:r>
      <w:r>
        <w:rPr>
          <w:rFonts w:ascii="楷体" w:eastAsia="楷体" w:hint="eastAsia"/>
          <w:b/>
          <w:spacing w:val="-2"/>
          <w:sz w:val="21"/>
        </w:rPr>
        <w:t>身型幼年类风</w:t>
      </w:r>
      <w:r>
        <w:rPr>
          <w:rFonts w:ascii="楷体" w:eastAsia="楷体" w:hint="eastAsia"/>
          <w:b/>
          <w:spacing w:val="-4"/>
          <w:sz w:val="21"/>
        </w:rPr>
        <w:t>湿性关节炎</w:t>
      </w:r>
      <w:r>
        <w:rPr>
          <w:rFonts w:ascii="楷体" w:eastAsia="楷体" w:hint="eastAsia"/>
          <w:b/>
          <w:spacing w:val="-10"/>
          <w:sz w:val="21"/>
        </w:rPr>
        <w:t>）</w:t>
      </w:r>
    </w:p>
    <w:p>
      <w:pPr>
        <w:pStyle w:val="BodyText"/>
        <w:spacing w:before="72"/>
        <w:ind w:left="99"/>
      </w:pPr>
      <w:r>
        <w:rPr/>
        <w:br w:type="column"/>
      </w:r>
      <w:r>
        <w:rPr>
          <w:spacing w:val="-14"/>
        </w:rPr>
        <w:t>见释义 </w:t>
      </w:r>
      <w:r>
        <w:rPr>
          <w:spacing w:val="-4"/>
        </w:rPr>
        <w:t>11.96</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15" w:right="0" w:hanging="12"/>
        <w:jc w:val="left"/>
        <w:rPr>
          <w:rFonts w:ascii="楷体" w:hAnsi="楷体" w:eastAsia="楷体" w:hint="eastAsia"/>
          <w:b/>
          <w:sz w:val="21"/>
        </w:rPr>
      </w:pPr>
      <w:r>
        <w:rPr>
          <w:rFonts w:ascii="楷体" w:hAnsi="楷体" w:eastAsia="楷体" w:hint="eastAsia"/>
          <w:b/>
          <w:spacing w:val="-2"/>
          <w:sz w:val="21"/>
        </w:rPr>
        <w:t>肾恶性肿瘤</w:t>
      </w:r>
      <w:r>
        <w:rPr>
          <w:rFonts w:ascii="楷体" w:hAnsi="楷体" w:eastAsia="楷体" w:hint="eastAsia"/>
          <w:b/>
          <w:spacing w:val="-4"/>
          <w:sz w:val="21"/>
        </w:rPr>
        <w:t>——重度</w:t>
      </w:r>
    </w:p>
    <w:p>
      <w:pPr>
        <w:spacing w:before="72"/>
        <w:ind w:left="99" w:right="0" w:firstLine="0"/>
        <w:jc w:val="left"/>
        <w:rPr>
          <w:b/>
          <w:sz w:val="21"/>
        </w:rPr>
      </w:pPr>
      <w:r>
        <w:rPr/>
        <w:br w:type="column"/>
      </w:r>
      <w:r>
        <w:rPr>
          <w:sz w:val="21"/>
        </w:rPr>
        <w:t>是指原发于肾脏的恶性肿瘤——重度，并且符合本合同所定义的</w:t>
      </w:r>
      <w:r>
        <w:rPr>
          <w:b/>
          <w:sz w:val="21"/>
        </w:rPr>
        <w:t>恶性肿瘤</w:t>
      </w:r>
      <w:r>
        <w:rPr>
          <w:rFonts w:ascii="楷体" w:hAnsi="楷体" w:eastAsia="楷体" w:hint="eastAsia"/>
          <w:b/>
          <w:sz w:val="21"/>
        </w:rPr>
        <w:t>——</w:t>
      </w:r>
      <w:r>
        <w:rPr>
          <w:b/>
          <w:spacing w:val="-5"/>
          <w:sz w:val="21"/>
        </w:rPr>
        <w:t>重度</w:t>
      </w:r>
    </w:p>
    <w:p>
      <w:pPr>
        <w:pStyle w:val="BodyText"/>
        <w:ind w:left="99"/>
      </w:pPr>
      <w:r>
        <w:rPr>
          <w:spacing w:val="-14"/>
        </w:rPr>
        <w:t>（见释义</w:t>
      </w:r>
      <w:r>
        <w:rPr>
          <w:spacing w:val="8"/>
        </w:rPr>
        <w:t>1</w:t>
      </w:r>
      <w:r>
        <w:rPr>
          <w:spacing w:val="5"/>
        </w:rPr>
        <w:t>1</w:t>
      </w:r>
      <w:r>
        <w:rPr>
          <w:spacing w:val="8"/>
        </w:rPr>
        <w:t>.1</w:t>
      </w:r>
      <w:r>
        <w:rPr>
          <w:spacing w:val="-100"/>
        </w:rPr>
        <w:t>）</w:t>
      </w:r>
      <w:r>
        <w:rPr>
          <w:spacing w:val="-118"/>
        </w:rPr>
        <w:t>。</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15" w:right="0" w:hanging="12"/>
        <w:jc w:val="left"/>
        <w:rPr>
          <w:rFonts w:ascii="楷体" w:hAnsi="楷体" w:eastAsia="楷体" w:hint="eastAsia"/>
          <w:b/>
          <w:sz w:val="21"/>
        </w:rPr>
      </w:pPr>
      <w:r>
        <w:rPr>
          <w:rFonts w:ascii="楷体" w:hAnsi="楷体" w:eastAsia="楷体" w:hint="eastAsia"/>
          <w:b/>
          <w:spacing w:val="-2"/>
          <w:sz w:val="21"/>
        </w:rPr>
        <w:t>胰腺恶性肿瘤</w:t>
      </w:r>
      <w:r>
        <w:rPr>
          <w:rFonts w:ascii="楷体" w:hAnsi="楷体" w:eastAsia="楷体" w:hint="eastAsia"/>
          <w:b/>
          <w:spacing w:val="-4"/>
          <w:sz w:val="21"/>
        </w:rPr>
        <w:t>——重度</w:t>
      </w:r>
    </w:p>
    <w:p>
      <w:pPr>
        <w:spacing w:before="71"/>
        <w:ind w:left="99" w:right="0" w:firstLine="0"/>
        <w:jc w:val="left"/>
        <w:rPr>
          <w:b/>
          <w:sz w:val="21"/>
        </w:rPr>
      </w:pPr>
      <w:r>
        <w:rPr/>
        <w:br w:type="column"/>
      </w:r>
      <w:r>
        <w:rPr>
          <w:sz w:val="21"/>
        </w:rPr>
        <w:t>是指原发于胰腺的恶性肿瘤——重度，并且符合本合同所定义的</w:t>
      </w:r>
      <w:r>
        <w:rPr>
          <w:b/>
          <w:sz w:val="21"/>
        </w:rPr>
        <w:t>恶性肿瘤</w:t>
      </w:r>
      <w:r>
        <w:rPr>
          <w:rFonts w:ascii="楷体" w:hAnsi="楷体" w:eastAsia="楷体" w:hint="eastAsia"/>
          <w:b/>
          <w:sz w:val="21"/>
        </w:rPr>
        <w:t>——</w:t>
      </w:r>
      <w:r>
        <w:rPr>
          <w:b/>
          <w:spacing w:val="-5"/>
          <w:sz w:val="21"/>
        </w:rPr>
        <w:t>重度</w:t>
      </w:r>
    </w:p>
    <w:p>
      <w:pPr>
        <w:pStyle w:val="BodyText"/>
        <w:ind w:left="99"/>
      </w:pPr>
      <w:r>
        <w:rPr>
          <w:spacing w:val="-14"/>
        </w:rPr>
        <w:t>（</w:t>
      </w:r>
      <w:r>
        <w:rPr>
          <w:spacing w:val="-21"/>
        </w:rPr>
        <w:t>见释义 </w:t>
      </w:r>
      <w:r>
        <w:rPr>
          <w:spacing w:val="5"/>
        </w:rPr>
        <w:t>1</w:t>
      </w:r>
      <w:r>
        <w:rPr>
          <w:spacing w:val="8"/>
        </w:rPr>
        <w:t>1.1</w:t>
      </w:r>
      <w:r>
        <w:rPr>
          <w:spacing w:val="-100"/>
        </w:rPr>
        <w:t>）</w:t>
      </w:r>
      <w:r>
        <w:rPr>
          <w:spacing w:val="-118"/>
        </w:rPr>
        <w:t>。</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15" w:right="0" w:hanging="12"/>
        <w:jc w:val="left"/>
        <w:rPr>
          <w:rFonts w:ascii="楷体" w:hAnsi="楷体" w:eastAsia="楷体" w:hint="eastAsia"/>
          <w:b/>
          <w:sz w:val="21"/>
        </w:rPr>
      </w:pPr>
      <w:r>
        <w:rPr>
          <w:rFonts w:ascii="楷体" w:hAnsi="楷体" w:eastAsia="楷体" w:hint="eastAsia"/>
          <w:b/>
          <w:spacing w:val="-2"/>
          <w:sz w:val="21"/>
        </w:rPr>
        <w:t>淋巴恶性肿瘤</w:t>
      </w:r>
      <w:r>
        <w:rPr>
          <w:rFonts w:ascii="楷体" w:hAnsi="楷体" w:eastAsia="楷体" w:hint="eastAsia"/>
          <w:b/>
          <w:spacing w:val="-4"/>
          <w:sz w:val="21"/>
        </w:rPr>
        <w:t>——重度</w:t>
      </w:r>
    </w:p>
    <w:p>
      <w:pPr>
        <w:spacing w:before="71"/>
        <w:ind w:left="99" w:right="0" w:firstLine="0"/>
        <w:jc w:val="left"/>
        <w:rPr>
          <w:b/>
          <w:sz w:val="21"/>
        </w:rPr>
      </w:pPr>
      <w:r>
        <w:rPr/>
        <w:br w:type="column"/>
      </w:r>
      <w:r>
        <w:rPr>
          <w:sz w:val="21"/>
        </w:rPr>
        <w:t>是指原发于淋巴的恶性肿瘤——重度，并且符合本合同所定义的</w:t>
      </w:r>
      <w:r>
        <w:rPr>
          <w:b/>
          <w:sz w:val="21"/>
        </w:rPr>
        <w:t>恶性肿瘤</w:t>
      </w:r>
      <w:r>
        <w:rPr>
          <w:rFonts w:ascii="楷体" w:hAnsi="楷体" w:eastAsia="楷体" w:hint="eastAsia"/>
          <w:b/>
          <w:sz w:val="21"/>
        </w:rPr>
        <w:t>——</w:t>
      </w:r>
      <w:r>
        <w:rPr>
          <w:b/>
          <w:spacing w:val="-5"/>
          <w:sz w:val="21"/>
        </w:rPr>
        <w:t>重度</w:t>
      </w:r>
    </w:p>
    <w:p>
      <w:pPr>
        <w:pStyle w:val="BodyText"/>
        <w:ind w:left="99"/>
      </w:pPr>
      <w:r>
        <w:rPr>
          <w:spacing w:val="-14"/>
        </w:rPr>
        <w:t>（</w:t>
      </w:r>
      <w:r>
        <w:rPr>
          <w:spacing w:val="-21"/>
        </w:rPr>
        <w:t>见释义 </w:t>
      </w:r>
      <w:r>
        <w:rPr>
          <w:spacing w:val="5"/>
        </w:rPr>
        <w:t>1</w:t>
      </w:r>
      <w:r>
        <w:rPr>
          <w:spacing w:val="8"/>
        </w:rPr>
        <w:t>1.1</w:t>
      </w:r>
      <w:r>
        <w:rPr>
          <w:spacing w:val="-100"/>
        </w:rPr>
        <w:t>）</w:t>
      </w:r>
      <w:r>
        <w:rPr>
          <w:spacing w:val="-118"/>
        </w:rPr>
        <w:t>。</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15" w:right="0" w:hanging="12"/>
        <w:jc w:val="left"/>
        <w:rPr>
          <w:rFonts w:ascii="楷体" w:hAnsi="楷体" w:eastAsia="楷体" w:hint="eastAsia"/>
          <w:b/>
          <w:sz w:val="21"/>
        </w:rPr>
      </w:pPr>
      <w:r>
        <w:rPr>
          <w:rFonts w:ascii="楷体" w:hAnsi="楷体" w:eastAsia="楷体" w:hint="eastAsia"/>
          <w:b/>
          <w:spacing w:val="-2"/>
          <w:sz w:val="21"/>
        </w:rPr>
        <w:t>结肠恶性肿瘤</w:t>
      </w:r>
      <w:r>
        <w:rPr>
          <w:rFonts w:ascii="楷体" w:hAnsi="楷体" w:eastAsia="楷体" w:hint="eastAsia"/>
          <w:b/>
          <w:spacing w:val="-4"/>
          <w:sz w:val="21"/>
        </w:rPr>
        <w:t>——重度</w:t>
      </w:r>
    </w:p>
    <w:p>
      <w:pPr>
        <w:spacing w:before="72"/>
        <w:ind w:left="99" w:right="0" w:firstLine="0"/>
        <w:jc w:val="left"/>
        <w:rPr>
          <w:b/>
          <w:sz w:val="21"/>
        </w:rPr>
      </w:pPr>
      <w:r>
        <w:rPr/>
        <w:br w:type="column"/>
      </w:r>
      <w:r>
        <w:rPr>
          <w:sz w:val="21"/>
        </w:rPr>
        <w:t>是指原发于结肠的恶性肿瘤——重度，并且符合本合同所定义的</w:t>
      </w:r>
      <w:r>
        <w:rPr>
          <w:b/>
          <w:sz w:val="21"/>
        </w:rPr>
        <w:t>恶性肿瘤</w:t>
      </w:r>
      <w:r>
        <w:rPr>
          <w:rFonts w:ascii="楷体" w:hAnsi="楷体" w:eastAsia="楷体" w:hint="eastAsia"/>
          <w:b/>
          <w:sz w:val="21"/>
        </w:rPr>
        <w:t>——</w:t>
      </w:r>
      <w:r>
        <w:rPr>
          <w:b/>
          <w:spacing w:val="-5"/>
          <w:sz w:val="21"/>
        </w:rPr>
        <w:t>重度</w:t>
      </w:r>
    </w:p>
    <w:p>
      <w:pPr>
        <w:pStyle w:val="BodyText"/>
        <w:ind w:left="99"/>
      </w:pPr>
      <w:r>
        <w:rPr>
          <w:spacing w:val="-14"/>
        </w:rPr>
        <w:t>（</w:t>
      </w:r>
      <w:r>
        <w:rPr>
          <w:spacing w:val="-21"/>
        </w:rPr>
        <w:t>见释义 </w:t>
      </w:r>
      <w:r>
        <w:rPr>
          <w:spacing w:val="5"/>
        </w:rPr>
        <w:t>1</w:t>
      </w:r>
      <w:r>
        <w:rPr>
          <w:spacing w:val="8"/>
        </w:rPr>
        <w:t>1.1</w:t>
      </w:r>
      <w:r>
        <w:rPr>
          <w:spacing w:val="-100"/>
        </w:rPr>
        <w:t>）</w:t>
      </w:r>
      <w:r>
        <w:rPr>
          <w:spacing w:val="-118"/>
        </w:rPr>
        <w:t>。</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15" w:right="0" w:hanging="12"/>
        <w:jc w:val="left"/>
        <w:rPr>
          <w:rFonts w:ascii="楷体" w:hAnsi="楷体" w:eastAsia="楷体" w:hint="eastAsia"/>
          <w:b/>
          <w:sz w:val="21"/>
        </w:rPr>
      </w:pPr>
      <w:r>
        <w:rPr>
          <w:rFonts w:ascii="楷体" w:hAnsi="楷体" w:eastAsia="楷体" w:hint="eastAsia"/>
          <w:b/>
          <w:spacing w:val="-2"/>
          <w:sz w:val="21"/>
        </w:rPr>
        <w:t>直肠恶性肿瘤</w:t>
      </w:r>
      <w:r>
        <w:rPr>
          <w:rFonts w:ascii="楷体" w:hAnsi="楷体" w:eastAsia="楷体" w:hint="eastAsia"/>
          <w:b/>
          <w:spacing w:val="-4"/>
          <w:sz w:val="21"/>
        </w:rPr>
        <w:t>——重度</w:t>
      </w:r>
    </w:p>
    <w:p>
      <w:pPr>
        <w:spacing w:before="72"/>
        <w:ind w:left="99" w:right="0" w:firstLine="0"/>
        <w:jc w:val="left"/>
        <w:rPr>
          <w:b/>
          <w:sz w:val="21"/>
        </w:rPr>
      </w:pPr>
      <w:r>
        <w:rPr/>
        <w:br w:type="column"/>
      </w:r>
      <w:r>
        <w:rPr>
          <w:sz w:val="21"/>
        </w:rPr>
        <w:t>是指原发于直肠的恶性肿瘤——重度，并且符合本合同所定义的</w:t>
      </w:r>
      <w:r>
        <w:rPr>
          <w:b/>
          <w:sz w:val="21"/>
        </w:rPr>
        <w:t>恶性肿瘤</w:t>
      </w:r>
      <w:r>
        <w:rPr>
          <w:rFonts w:ascii="楷体" w:hAnsi="楷体" w:eastAsia="楷体" w:hint="eastAsia"/>
          <w:b/>
          <w:sz w:val="21"/>
        </w:rPr>
        <w:t>——</w:t>
      </w:r>
      <w:r>
        <w:rPr>
          <w:b/>
          <w:spacing w:val="-5"/>
          <w:sz w:val="21"/>
        </w:rPr>
        <w:t>重度</w:t>
      </w:r>
    </w:p>
    <w:p>
      <w:pPr>
        <w:pStyle w:val="BodyText"/>
        <w:ind w:left="99"/>
      </w:pPr>
      <w:r>
        <w:rPr>
          <w:spacing w:val="-14"/>
        </w:rPr>
        <w:t>（</w:t>
      </w:r>
      <w:r>
        <w:rPr>
          <w:spacing w:val="-21"/>
        </w:rPr>
        <w:t>见释义 </w:t>
      </w:r>
      <w:r>
        <w:rPr>
          <w:spacing w:val="5"/>
        </w:rPr>
        <w:t>1</w:t>
      </w:r>
      <w:r>
        <w:rPr>
          <w:spacing w:val="8"/>
        </w:rPr>
        <w:t>1.1</w:t>
      </w:r>
      <w:r>
        <w:rPr>
          <w:spacing w:val="-100"/>
        </w:rPr>
        <w:t>）</w:t>
      </w:r>
      <w:r>
        <w:rPr>
          <w:spacing w:val="-118"/>
        </w:rPr>
        <w:t>。</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15" w:right="0" w:hanging="12"/>
        <w:jc w:val="left"/>
        <w:rPr>
          <w:rFonts w:ascii="楷体" w:hAnsi="楷体" w:eastAsia="楷体" w:hint="eastAsia"/>
          <w:b/>
          <w:sz w:val="21"/>
        </w:rPr>
      </w:pPr>
      <w:r>
        <w:rPr>
          <w:rFonts w:ascii="楷体" w:hAnsi="楷体" w:eastAsia="楷体" w:hint="eastAsia"/>
          <w:b/>
          <w:spacing w:val="-2"/>
          <w:sz w:val="21"/>
        </w:rPr>
        <w:t>乳腺恶性肿瘤</w:t>
      </w:r>
      <w:r>
        <w:rPr>
          <w:rFonts w:ascii="楷体" w:hAnsi="楷体" w:eastAsia="楷体" w:hint="eastAsia"/>
          <w:b/>
          <w:spacing w:val="-4"/>
          <w:sz w:val="21"/>
        </w:rPr>
        <w:t>——重度</w:t>
      </w:r>
    </w:p>
    <w:p>
      <w:pPr>
        <w:spacing w:before="71"/>
        <w:ind w:left="99" w:right="0" w:firstLine="0"/>
        <w:jc w:val="left"/>
        <w:rPr>
          <w:b/>
          <w:sz w:val="21"/>
        </w:rPr>
      </w:pPr>
      <w:r>
        <w:rPr/>
        <w:br w:type="column"/>
      </w:r>
      <w:r>
        <w:rPr>
          <w:spacing w:val="-6"/>
          <w:sz w:val="21"/>
        </w:rPr>
        <w:t>指原发于女性乳房的恶性肿瘤——重度，并且符合本合同所定义的</w:t>
      </w:r>
      <w:r>
        <w:rPr>
          <w:b/>
          <w:spacing w:val="-2"/>
          <w:sz w:val="21"/>
        </w:rPr>
        <w:t>恶性肿瘤</w:t>
      </w:r>
      <w:r>
        <w:rPr>
          <w:rFonts w:ascii="楷体" w:hAnsi="楷体" w:eastAsia="楷体" w:hint="eastAsia"/>
          <w:b/>
          <w:spacing w:val="-2"/>
          <w:sz w:val="21"/>
        </w:rPr>
        <w:t>——</w:t>
      </w:r>
      <w:r>
        <w:rPr>
          <w:b/>
          <w:spacing w:val="-6"/>
          <w:sz w:val="21"/>
        </w:rPr>
        <w:t>重度</w:t>
      </w:r>
    </w:p>
    <w:p>
      <w:pPr>
        <w:pStyle w:val="BodyText"/>
        <w:ind w:left="99"/>
      </w:pPr>
      <w:r>
        <w:rPr>
          <w:spacing w:val="-14"/>
        </w:rPr>
        <w:t>（</w:t>
      </w:r>
      <w:r>
        <w:rPr>
          <w:spacing w:val="-21"/>
        </w:rPr>
        <w:t>见释义 </w:t>
      </w:r>
      <w:r>
        <w:rPr>
          <w:spacing w:val="5"/>
        </w:rPr>
        <w:t>1</w:t>
      </w:r>
      <w:r>
        <w:rPr>
          <w:spacing w:val="8"/>
        </w:rPr>
        <w:t>1.1</w:t>
      </w:r>
      <w:r>
        <w:rPr>
          <w:spacing w:val="-100"/>
        </w:rPr>
        <w:t>）</w:t>
      </w:r>
      <w:r>
        <w:rPr>
          <w:spacing w:val="-118"/>
        </w:rPr>
        <w:t>。</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3"/>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1" w:after="0"/>
        <w:ind w:left="515" w:right="0" w:hanging="12"/>
        <w:jc w:val="left"/>
        <w:rPr>
          <w:rFonts w:ascii="楷体" w:hAnsi="楷体" w:eastAsia="楷体" w:hint="eastAsia"/>
          <w:b/>
          <w:sz w:val="21"/>
        </w:rPr>
      </w:pPr>
      <w:r>
        <w:rPr>
          <w:rFonts w:ascii="楷体" w:hAnsi="楷体" w:eastAsia="楷体" w:hint="eastAsia"/>
          <w:b/>
          <w:spacing w:val="-2"/>
          <w:sz w:val="21"/>
        </w:rPr>
        <w:t>宫颈恶性肿瘤</w:t>
      </w:r>
      <w:r>
        <w:rPr>
          <w:rFonts w:ascii="楷体" w:hAnsi="楷体" w:eastAsia="楷体" w:hint="eastAsia"/>
          <w:b/>
          <w:spacing w:val="-4"/>
          <w:sz w:val="21"/>
        </w:rPr>
        <w:t>——重度</w:t>
      </w:r>
    </w:p>
    <w:p>
      <w:pPr>
        <w:pStyle w:val="BodyText"/>
        <w:spacing w:line="278" w:lineRule="auto" w:before="71"/>
        <w:ind w:left="99" w:right="216"/>
      </w:pPr>
      <w:r>
        <w:rPr/>
        <w:br w:type="column"/>
      </w:r>
      <w:r>
        <w:rPr>
          <w:spacing w:val="-5"/>
        </w:rPr>
        <w:t>指原发于女性子宫颈的恶性肿瘤——重度，并且符合本合同所定义的</w:t>
      </w:r>
      <w:r>
        <w:rPr>
          <w:b/>
          <w:spacing w:val="-2"/>
        </w:rPr>
        <w:t>恶性肿瘤</w:t>
      </w:r>
      <w:r>
        <w:rPr>
          <w:rFonts w:ascii="楷体" w:hAnsi="楷体" w:eastAsia="楷体" w:hint="eastAsia"/>
          <w:b/>
          <w:spacing w:val="-2"/>
        </w:rPr>
        <w:t>——</w:t>
      </w:r>
      <w:r>
        <w:rPr>
          <w:b/>
          <w:spacing w:val="-2"/>
        </w:rPr>
        <w:t>重</w:t>
      </w:r>
      <w:r>
        <w:rPr>
          <w:b/>
        </w:rPr>
        <w:t>度</w:t>
      </w:r>
      <w:r>
        <w:rPr/>
        <w:t>（</w:t>
      </w:r>
      <w:r>
        <w:rPr>
          <w:spacing w:val="-11"/>
        </w:rPr>
        <w:t>见释义 </w:t>
      </w:r>
      <w:r>
        <w:rPr>
          <w:spacing w:val="19"/>
        </w:rPr>
        <w:t>1</w:t>
      </w:r>
      <w:r>
        <w:rPr>
          <w:spacing w:val="22"/>
        </w:rPr>
        <w:t>1.1</w:t>
      </w:r>
      <w:r>
        <w:rPr>
          <w:spacing w:val="-86"/>
        </w:rPr>
        <w:t>）</w:t>
      </w:r>
      <w:r>
        <w:rPr>
          <w:spacing w:val="-108"/>
        </w:rPr>
        <w:t>。</w:t>
      </w:r>
    </w:p>
    <w:p>
      <w:pPr>
        <w:spacing w:after="0" w:line="278" w:lineRule="auto"/>
        <w:sectPr>
          <w:type w:val="continuous"/>
          <w:pgSz w:w="11910" w:h="16840"/>
          <w:pgMar w:header="0" w:footer="1120" w:top="1120" w:bottom="1300" w:left="1020" w:right="1020"/>
          <w:cols w:num="2" w:equalWidth="0">
            <w:col w:w="1784" w:space="40"/>
            <w:col w:w="8046"/>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15" w:right="0" w:hanging="12"/>
        <w:jc w:val="left"/>
        <w:rPr>
          <w:rFonts w:ascii="楷体" w:hAnsi="楷体" w:eastAsia="楷体" w:hint="eastAsia"/>
          <w:b/>
          <w:sz w:val="21"/>
        </w:rPr>
      </w:pPr>
      <w:r>
        <w:rPr>
          <w:rFonts w:ascii="楷体" w:hAnsi="楷体" w:eastAsia="楷体" w:hint="eastAsia"/>
          <w:b/>
          <w:spacing w:val="-2"/>
          <w:sz w:val="21"/>
        </w:rPr>
        <w:t>前列腺恶性肿</w:t>
      </w:r>
      <w:r>
        <w:rPr>
          <w:rFonts w:ascii="楷体" w:hAnsi="楷体" w:eastAsia="楷体" w:hint="eastAsia"/>
          <w:b/>
          <w:spacing w:val="-2"/>
          <w:sz w:val="21"/>
        </w:rPr>
        <w:t>瘤——重度</w:t>
      </w:r>
    </w:p>
    <w:p>
      <w:pPr>
        <w:pStyle w:val="BodyText"/>
        <w:spacing w:line="278" w:lineRule="auto" w:before="72"/>
        <w:ind w:left="99" w:right="216"/>
      </w:pPr>
      <w:r>
        <w:rPr/>
        <w:br w:type="column"/>
      </w:r>
      <w:r>
        <w:rPr>
          <w:spacing w:val="-5"/>
        </w:rPr>
        <w:t>指原发于男性前列腺的恶性肿瘤——重度，并且符合本合同所定义的</w:t>
      </w:r>
      <w:r>
        <w:rPr>
          <w:b/>
          <w:spacing w:val="-2"/>
        </w:rPr>
        <w:t>恶性肿瘤</w:t>
      </w:r>
      <w:r>
        <w:rPr>
          <w:rFonts w:ascii="楷体" w:hAnsi="楷体" w:eastAsia="楷体" w:hint="eastAsia"/>
          <w:b/>
          <w:spacing w:val="-2"/>
        </w:rPr>
        <w:t>——</w:t>
      </w:r>
      <w:r>
        <w:rPr>
          <w:b/>
          <w:spacing w:val="-2"/>
        </w:rPr>
        <w:t>重</w:t>
      </w:r>
      <w:r>
        <w:rPr>
          <w:b/>
        </w:rPr>
        <w:t>度</w:t>
      </w:r>
      <w:r>
        <w:rPr/>
        <w:t>（</w:t>
      </w:r>
      <w:r>
        <w:rPr>
          <w:spacing w:val="-11"/>
        </w:rPr>
        <w:t>见释义 </w:t>
      </w:r>
      <w:r>
        <w:rPr>
          <w:spacing w:val="19"/>
        </w:rPr>
        <w:t>1</w:t>
      </w:r>
      <w:r>
        <w:rPr>
          <w:spacing w:val="22"/>
        </w:rPr>
        <w:t>1.1</w:t>
      </w:r>
      <w:r>
        <w:rPr>
          <w:spacing w:val="-86"/>
        </w:rPr>
        <w:t>）</w:t>
      </w:r>
      <w:r>
        <w:rPr>
          <w:spacing w:val="-108"/>
        </w:rPr>
        <w:t>。</w:t>
      </w:r>
    </w:p>
    <w:p>
      <w:pPr>
        <w:spacing w:after="0" w:line="278" w:lineRule="auto"/>
        <w:sectPr>
          <w:type w:val="continuous"/>
          <w:pgSz w:w="11910" w:h="16840"/>
          <w:pgMar w:header="0" w:footer="1120" w:top="1120" w:bottom="1300" w:left="1020" w:right="1020"/>
          <w:cols w:num="2" w:equalWidth="0">
            <w:col w:w="1784" w:space="40"/>
            <w:col w:w="8046"/>
          </w:cols>
        </w:sectPr>
      </w:pPr>
    </w:p>
    <w:p>
      <w:pPr>
        <w:pStyle w:val="BodyText"/>
        <w:spacing w:before="0"/>
        <w:rPr>
          <w:sz w:val="12"/>
        </w:rPr>
      </w:pPr>
    </w:p>
    <w:p>
      <w:pPr>
        <w:spacing w:after="0"/>
        <w:rPr>
          <w:sz w:val="12"/>
        </w:rPr>
        <w:sectPr>
          <w:type w:val="continuous"/>
          <w:pgSz w:w="11910" w:h="16840"/>
          <w:pgMar w:header="0" w:footer="1120" w:top="1120" w:bottom="1300" w:left="1020" w:right="1020"/>
        </w:sectPr>
      </w:pPr>
    </w:p>
    <w:p>
      <w:pPr>
        <w:pStyle w:val="ListParagraph"/>
        <w:numPr>
          <w:ilvl w:val="1"/>
          <w:numId w:val="20"/>
        </w:numPr>
        <w:tabs>
          <w:tab w:pos="1071" w:val="left" w:leader="none"/>
        </w:tabs>
        <w:spacing w:line="278" w:lineRule="auto" w:before="72" w:after="0"/>
        <w:ind w:left="515" w:right="0" w:hanging="12"/>
        <w:jc w:val="left"/>
        <w:rPr>
          <w:rFonts w:ascii="楷体" w:hAnsi="楷体" w:eastAsia="楷体" w:hint="eastAsia"/>
          <w:b/>
          <w:sz w:val="21"/>
        </w:rPr>
      </w:pPr>
      <w:r>
        <w:rPr>
          <w:rFonts w:ascii="楷体" w:hAnsi="楷体" w:eastAsia="楷体" w:hint="eastAsia"/>
          <w:b/>
          <w:spacing w:val="-2"/>
          <w:sz w:val="21"/>
        </w:rPr>
        <w:t>睾丸恶性肿瘤</w:t>
      </w:r>
      <w:r>
        <w:rPr>
          <w:rFonts w:ascii="楷体" w:hAnsi="楷体" w:eastAsia="楷体" w:hint="eastAsia"/>
          <w:b/>
          <w:spacing w:val="-4"/>
          <w:sz w:val="21"/>
        </w:rPr>
        <w:t>——重度</w:t>
      </w:r>
    </w:p>
    <w:p>
      <w:pPr>
        <w:spacing w:before="72"/>
        <w:ind w:left="99" w:right="0" w:firstLine="0"/>
        <w:jc w:val="left"/>
        <w:rPr>
          <w:b/>
          <w:sz w:val="21"/>
        </w:rPr>
      </w:pPr>
      <w:r>
        <w:rPr/>
        <w:br w:type="column"/>
      </w:r>
      <w:r>
        <w:rPr>
          <w:spacing w:val="-6"/>
          <w:sz w:val="21"/>
        </w:rPr>
        <w:t>指原发于男性睾丸的恶性肿瘤——重度，并且符合本合同所定义的</w:t>
      </w:r>
      <w:r>
        <w:rPr>
          <w:b/>
          <w:spacing w:val="-2"/>
          <w:sz w:val="21"/>
        </w:rPr>
        <w:t>恶性肿瘤</w:t>
      </w:r>
      <w:r>
        <w:rPr>
          <w:rFonts w:ascii="楷体" w:hAnsi="楷体" w:eastAsia="楷体" w:hint="eastAsia"/>
          <w:b/>
          <w:spacing w:val="-2"/>
          <w:sz w:val="21"/>
        </w:rPr>
        <w:t>——</w:t>
      </w:r>
      <w:r>
        <w:rPr>
          <w:b/>
          <w:spacing w:val="-6"/>
          <w:sz w:val="21"/>
        </w:rPr>
        <w:t>重度</w:t>
      </w:r>
    </w:p>
    <w:p>
      <w:pPr>
        <w:pStyle w:val="BodyText"/>
        <w:ind w:left="99"/>
      </w:pPr>
      <w:r>
        <w:rPr>
          <w:spacing w:val="-14"/>
        </w:rPr>
        <w:t>（</w:t>
      </w:r>
      <w:r>
        <w:rPr>
          <w:spacing w:val="-21"/>
        </w:rPr>
        <w:t>见释义 </w:t>
      </w:r>
      <w:r>
        <w:rPr>
          <w:spacing w:val="5"/>
        </w:rPr>
        <w:t>1</w:t>
      </w:r>
      <w:r>
        <w:rPr>
          <w:spacing w:val="8"/>
        </w:rPr>
        <w:t>1.1</w:t>
      </w:r>
      <w:r>
        <w:rPr>
          <w:spacing w:val="-100"/>
        </w:rPr>
        <w:t>）</w:t>
      </w:r>
      <w:r>
        <w:rPr>
          <w:spacing w:val="-118"/>
        </w:rPr>
        <w:t>。</w:t>
      </w:r>
    </w:p>
    <w:p>
      <w:pPr>
        <w:spacing w:after="0"/>
        <w:sectPr>
          <w:type w:val="continuous"/>
          <w:pgSz w:w="11910" w:h="16840"/>
          <w:pgMar w:header="0" w:footer="1120" w:top="1120" w:bottom="1300" w:left="1020" w:right="1020"/>
          <w:cols w:num="2" w:equalWidth="0">
            <w:col w:w="1784" w:space="40"/>
            <w:col w:w="8046"/>
          </w:cols>
        </w:sectPr>
      </w:pPr>
    </w:p>
    <w:p>
      <w:pPr>
        <w:pStyle w:val="BodyText"/>
        <w:spacing w:before="2"/>
        <w:rPr>
          <w:sz w:val="12"/>
        </w:rPr>
      </w:pPr>
    </w:p>
    <w:p>
      <w:pPr>
        <w:pStyle w:val="ListParagraph"/>
        <w:numPr>
          <w:ilvl w:val="0"/>
          <w:numId w:val="20"/>
        </w:numPr>
        <w:tabs>
          <w:tab w:pos="714" w:val="left" w:leader="none"/>
        </w:tabs>
        <w:spacing w:line="249" w:lineRule="auto" w:before="72" w:after="0"/>
        <w:ind w:left="1922" w:right="218" w:hanging="1527"/>
        <w:jc w:val="both"/>
        <w:rPr>
          <w:rFonts w:ascii="黑体" w:eastAsia="黑体"/>
          <w:sz w:val="24"/>
        </w:rPr>
      </w:pPr>
      <w:r>
        <w:rPr>
          <w:b/>
          <w:sz w:val="21"/>
        </w:rPr>
        <w:t>毒品</w:t>
      </w:r>
      <w:r>
        <w:rPr>
          <w:b/>
          <w:spacing w:val="496"/>
          <w:sz w:val="21"/>
        </w:rPr>
        <w:t> </w:t>
      </w:r>
      <w:r>
        <w:rPr>
          <w:sz w:val="21"/>
        </w:rPr>
        <w:t>指中华人民共和国刑法规定的鸦片、海洛因、甲基苯丙胺（冰毒</w:t>
      </w:r>
      <w:r>
        <w:rPr>
          <w:spacing w:val="-106"/>
          <w:sz w:val="21"/>
        </w:rPr>
        <w:t>）</w:t>
      </w:r>
      <w:r>
        <w:rPr>
          <w:sz w:val="21"/>
        </w:rPr>
        <w:t>、吗啡、大麻、可卡</w:t>
      </w:r>
      <w:r>
        <w:rPr>
          <w:spacing w:val="-2"/>
          <w:sz w:val="21"/>
        </w:rPr>
        <w:t>因以及国家规定管制的其他能够使人形成瘾癖的麻醉药品和精神药品，</w:t>
      </w:r>
      <w:r>
        <w:rPr>
          <w:rFonts w:ascii="黑体" w:eastAsia="黑体"/>
          <w:spacing w:val="-2"/>
          <w:sz w:val="24"/>
        </w:rPr>
        <w:t>但不包括由</w:t>
      </w:r>
      <w:r>
        <w:rPr>
          <w:rFonts w:ascii="黑体" w:eastAsia="黑体"/>
          <w:spacing w:val="-2"/>
          <w:sz w:val="24"/>
        </w:rPr>
        <w:t>医生开具并遵医嘱使用的用于治疗疾病但含有毒品成分的处方药品。</w:t>
      </w:r>
    </w:p>
    <w:p>
      <w:pPr>
        <w:spacing w:after="0" w:line="249" w:lineRule="auto"/>
        <w:jc w:val="both"/>
        <w:rPr>
          <w:rFonts w:ascii="黑体" w:eastAsia="黑体"/>
          <w:sz w:val="24"/>
        </w:rPr>
        <w:sectPr>
          <w:type w:val="continuous"/>
          <w:pgSz w:w="11910" w:h="16840"/>
          <w:pgMar w:header="0" w:footer="1120" w:top="1120" w:bottom="1300" w:left="1020" w:right="1020"/>
        </w:sectPr>
      </w:pPr>
    </w:p>
    <w:p>
      <w:pPr>
        <w:pStyle w:val="ListParagraph"/>
        <w:numPr>
          <w:ilvl w:val="0"/>
          <w:numId w:val="20"/>
        </w:numPr>
        <w:tabs>
          <w:tab w:pos="714" w:val="left" w:leader="none"/>
        </w:tabs>
        <w:spacing w:line="278" w:lineRule="auto" w:before="60" w:after="0"/>
        <w:ind w:left="1922" w:right="214" w:hanging="1527"/>
        <w:jc w:val="both"/>
        <w:rPr>
          <w:sz w:val="21"/>
        </w:rPr>
      </w:pPr>
      <w:r>
        <w:rPr>
          <w:b/>
          <w:spacing w:val="46"/>
          <w:sz w:val="21"/>
        </w:rPr>
        <w:t>酒后驾驶 </w:t>
      </w:r>
      <w:r>
        <w:rPr>
          <w:spacing w:val="-6"/>
          <w:sz w:val="21"/>
        </w:rPr>
        <w:t>指经检测或者鉴定，发生事故时车辆驾驶人员每百毫升血液中的酒精含量达到或者超</w:t>
      </w:r>
      <w:r>
        <w:rPr>
          <w:spacing w:val="-2"/>
          <w:sz w:val="21"/>
        </w:rPr>
        <w:t>过一定的标准，公安机关交通管理部门依据《道路交通安全法》的规定认定为饮酒后</w:t>
      </w:r>
      <w:r>
        <w:rPr>
          <w:spacing w:val="-2"/>
          <w:sz w:val="21"/>
        </w:rPr>
        <w:t>驾驶或者醉酒后驾驶。</w:t>
      </w:r>
    </w:p>
    <w:p>
      <w:pPr>
        <w:pStyle w:val="BodyText"/>
        <w:spacing w:before="2"/>
        <w:rPr>
          <w:sz w:val="12"/>
        </w:rPr>
      </w:pPr>
    </w:p>
    <w:p>
      <w:pPr>
        <w:spacing w:after="0"/>
        <w:rPr>
          <w:sz w:val="12"/>
        </w:rPr>
        <w:sectPr>
          <w:pgSz w:w="11910" w:h="16840"/>
          <w:pgMar w:header="0" w:footer="1120" w:top="1360" w:bottom="1300" w:left="1020" w:right="1020"/>
        </w:sectPr>
      </w:pPr>
    </w:p>
    <w:p>
      <w:pPr>
        <w:pStyle w:val="ListParagraph"/>
        <w:numPr>
          <w:ilvl w:val="0"/>
          <w:numId w:val="20"/>
        </w:numPr>
        <w:tabs>
          <w:tab w:pos="723" w:val="left" w:leader="none"/>
        </w:tabs>
        <w:spacing w:line="278" w:lineRule="auto" w:before="72" w:after="0"/>
        <w:ind w:left="395" w:right="0" w:firstLine="0"/>
        <w:jc w:val="left"/>
        <w:rPr>
          <w:b/>
          <w:sz w:val="21"/>
        </w:rPr>
      </w:pPr>
      <w:r>
        <w:rPr>
          <w:b/>
          <w:spacing w:val="-2"/>
          <w:sz w:val="21"/>
        </w:rPr>
        <w:t>无合法有效</w:t>
      </w:r>
      <w:r>
        <w:rPr>
          <w:b/>
          <w:spacing w:val="-2"/>
          <w:sz w:val="21"/>
        </w:rPr>
        <w:t>驾驶证驾驶</w:t>
      </w:r>
    </w:p>
    <w:p>
      <w:pPr>
        <w:pStyle w:val="BodyText"/>
        <w:spacing w:before="72"/>
        <w:ind w:left="70"/>
      </w:pPr>
      <w:r>
        <w:rPr/>
        <w:br w:type="column"/>
      </w:r>
      <w:r>
        <w:rPr>
          <w:spacing w:val="-4"/>
        </w:rPr>
        <w:t>指下列情形之一：</w:t>
      </w:r>
    </w:p>
    <w:p>
      <w:pPr>
        <w:pStyle w:val="ListParagraph"/>
        <w:numPr>
          <w:ilvl w:val="0"/>
          <w:numId w:val="123"/>
        </w:numPr>
        <w:tabs>
          <w:tab w:pos="634" w:val="left" w:leader="none"/>
        </w:tabs>
        <w:spacing w:line="240" w:lineRule="auto" w:before="43" w:after="0"/>
        <w:ind w:left="633" w:right="0" w:hanging="530"/>
        <w:jc w:val="left"/>
        <w:rPr>
          <w:sz w:val="21"/>
        </w:rPr>
      </w:pPr>
      <w:r>
        <w:rPr>
          <w:spacing w:val="-3"/>
          <w:sz w:val="21"/>
        </w:rPr>
        <w:t>没有取得驾驶资格；</w:t>
      </w:r>
    </w:p>
    <w:p>
      <w:pPr>
        <w:pStyle w:val="ListParagraph"/>
        <w:numPr>
          <w:ilvl w:val="0"/>
          <w:numId w:val="123"/>
        </w:numPr>
        <w:tabs>
          <w:tab w:pos="634" w:val="left" w:leader="none"/>
        </w:tabs>
        <w:spacing w:line="240" w:lineRule="auto" w:before="43" w:after="0"/>
        <w:ind w:left="633" w:right="0" w:hanging="530"/>
        <w:jc w:val="left"/>
        <w:rPr>
          <w:sz w:val="21"/>
        </w:rPr>
      </w:pPr>
      <w:r>
        <w:rPr>
          <w:spacing w:val="-3"/>
          <w:sz w:val="21"/>
        </w:rPr>
        <w:t>驾驶与驾驶证准驾车型不相符合的车辆；</w:t>
      </w:r>
    </w:p>
    <w:p>
      <w:pPr>
        <w:pStyle w:val="ListParagraph"/>
        <w:numPr>
          <w:ilvl w:val="0"/>
          <w:numId w:val="123"/>
        </w:numPr>
        <w:tabs>
          <w:tab w:pos="634" w:val="left" w:leader="none"/>
        </w:tabs>
        <w:spacing w:line="240" w:lineRule="auto" w:before="43" w:after="0"/>
        <w:ind w:left="633" w:right="0" w:hanging="530"/>
        <w:jc w:val="left"/>
        <w:rPr>
          <w:sz w:val="21"/>
        </w:rPr>
      </w:pPr>
      <w:r>
        <w:rPr>
          <w:spacing w:val="-3"/>
          <w:sz w:val="21"/>
        </w:rPr>
        <w:t>持审验不合格的驾驶证驾驶；</w:t>
      </w:r>
    </w:p>
    <w:p>
      <w:pPr>
        <w:pStyle w:val="ListParagraph"/>
        <w:numPr>
          <w:ilvl w:val="0"/>
          <w:numId w:val="123"/>
        </w:numPr>
        <w:tabs>
          <w:tab w:pos="634" w:val="left" w:leader="none"/>
        </w:tabs>
        <w:spacing w:line="278" w:lineRule="auto" w:before="43" w:after="0"/>
        <w:ind w:left="104" w:right="218" w:firstLine="0"/>
        <w:jc w:val="left"/>
        <w:rPr>
          <w:sz w:val="21"/>
        </w:rPr>
      </w:pPr>
      <w:r>
        <w:rPr>
          <w:spacing w:val="-2"/>
          <w:sz w:val="21"/>
        </w:rPr>
        <w:t>持学习驾驶证学习驾车时，无教练员随车指导，或者不按指定时间、路线学习</w:t>
      </w:r>
      <w:r>
        <w:rPr>
          <w:spacing w:val="-4"/>
          <w:sz w:val="21"/>
        </w:rPr>
        <w:t>驾车。</w:t>
      </w:r>
    </w:p>
    <w:p>
      <w:pPr>
        <w:spacing w:after="0" w:line="278" w:lineRule="auto"/>
        <w:jc w:val="left"/>
        <w:rPr>
          <w:sz w:val="21"/>
        </w:rPr>
        <w:sectPr>
          <w:type w:val="continuous"/>
          <w:pgSz w:w="11910" w:h="16840"/>
          <w:pgMar w:header="0" w:footer="1120" w:top="1120" w:bottom="1300" w:left="1020" w:right="1020"/>
          <w:cols w:num="2" w:equalWidth="0">
            <w:col w:w="1812" w:space="40"/>
            <w:col w:w="801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0"/>
          <w:numId w:val="20"/>
        </w:numPr>
        <w:tabs>
          <w:tab w:pos="723" w:val="left" w:leader="none"/>
        </w:tabs>
        <w:spacing w:line="278" w:lineRule="auto" w:before="72" w:after="0"/>
        <w:ind w:left="395" w:right="0" w:firstLine="0"/>
        <w:jc w:val="left"/>
        <w:rPr>
          <w:b/>
          <w:sz w:val="21"/>
        </w:rPr>
      </w:pPr>
      <w:r>
        <w:rPr>
          <w:b/>
          <w:spacing w:val="-2"/>
          <w:sz w:val="21"/>
        </w:rPr>
        <w:t>无有效行驶</w:t>
      </w:r>
      <w:r>
        <w:rPr>
          <w:b/>
          <w:spacing w:val="-10"/>
          <w:sz w:val="21"/>
        </w:rPr>
        <w:t>证</w:t>
      </w:r>
    </w:p>
    <w:p>
      <w:pPr>
        <w:pStyle w:val="BodyText"/>
        <w:spacing w:before="72"/>
        <w:ind w:left="70"/>
      </w:pPr>
      <w:r>
        <w:rPr/>
        <w:br w:type="column"/>
      </w:r>
      <w:r>
        <w:rPr>
          <w:spacing w:val="-4"/>
        </w:rPr>
        <w:t>指下列情形之一：</w:t>
      </w:r>
    </w:p>
    <w:p>
      <w:pPr>
        <w:pStyle w:val="ListParagraph"/>
        <w:numPr>
          <w:ilvl w:val="0"/>
          <w:numId w:val="124"/>
        </w:numPr>
        <w:tabs>
          <w:tab w:pos="634" w:val="left" w:leader="none"/>
        </w:tabs>
        <w:spacing w:line="240" w:lineRule="auto" w:before="43" w:after="0"/>
        <w:ind w:left="633" w:right="0" w:hanging="530"/>
        <w:jc w:val="left"/>
        <w:rPr>
          <w:sz w:val="21"/>
        </w:rPr>
      </w:pPr>
      <w:r>
        <w:rPr>
          <w:spacing w:val="-3"/>
          <w:sz w:val="21"/>
        </w:rPr>
        <w:t>机动车被依法注销登记的；</w:t>
      </w:r>
    </w:p>
    <w:p>
      <w:pPr>
        <w:pStyle w:val="ListParagraph"/>
        <w:numPr>
          <w:ilvl w:val="0"/>
          <w:numId w:val="124"/>
        </w:numPr>
        <w:tabs>
          <w:tab w:pos="634" w:val="left" w:leader="none"/>
        </w:tabs>
        <w:spacing w:line="240" w:lineRule="auto" w:before="43" w:after="0"/>
        <w:ind w:left="633" w:right="0" w:hanging="530"/>
        <w:jc w:val="left"/>
        <w:rPr>
          <w:sz w:val="21"/>
        </w:rPr>
      </w:pPr>
      <w:r>
        <w:rPr>
          <w:spacing w:val="-3"/>
          <w:sz w:val="21"/>
        </w:rPr>
        <w:t>未依法按时进行或者通过机动车安全技术检验。</w:t>
      </w:r>
    </w:p>
    <w:p>
      <w:pPr>
        <w:spacing w:after="0" w:line="240" w:lineRule="auto"/>
        <w:jc w:val="left"/>
        <w:rPr>
          <w:sz w:val="21"/>
        </w:rPr>
        <w:sectPr>
          <w:type w:val="continuous"/>
          <w:pgSz w:w="11910" w:h="16840"/>
          <w:pgMar w:header="0" w:footer="1120" w:top="1120" w:bottom="1300" w:left="1020" w:right="1020"/>
          <w:cols w:num="2" w:equalWidth="0">
            <w:col w:w="1812" w:space="40"/>
            <w:col w:w="8018"/>
          </w:cols>
        </w:sectPr>
      </w:pPr>
    </w:p>
    <w:p>
      <w:pPr>
        <w:pStyle w:val="BodyText"/>
        <w:spacing w:before="4"/>
        <w:rPr>
          <w:sz w:val="15"/>
        </w:rPr>
      </w:pPr>
    </w:p>
    <w:p>
      <w:pPr>
        <w:pStyle w:val="ListParagraph"/>
        <w:numPr>
          <w:ilvl w:val="0"/>
          <w:numId w:val="20"/>
        </w:numPr>
        <w:tabs>
          <w:tab w:pos="714" w:val="left" w:leader="none"/>
          <w:tab w:pos="1922" w:val="left" w:leader="none"/>
        </w:tabs>
        <w:spacing w:line="278" w:lineRule="auto" w:before="72" w:after="0"/>
        <w:ind w:left="1922" w:right="214" w:hanging="1527"/>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动力装置驱动或者牵引，上道路行驶的供人员</w:t>
      </w:r>
      <w:r>
        <w:rPr>
          <w:spacing w:val="-2"/>
          <w:sz w:val="21"/>
        </w:rPr>
        <w:t>乘</w:t>
      </w:r>
      <w:r>
        <w:rPr>
          <w:spacing w:val="-2"/>
          <w:sz w:val="21"/>
        </w:rPr>
        <w:t>用</w:t>
      </w:r>
      <w:r>
        <w:rPr>
          <w:spacing w:val="-2"/>
          <w:sz w:val="21"/>
        </w:rPr>
        <w:t>或者用于运送物品以</w:t>
      </w:r>
      <w:r>
        <w:rPr>
          <w:spacing w:val="-2"/>
          <w:sz w:val="21"/>
        </w:rPr>
        <w:t>及</w:t>
      </w:r>
      <w:r>
        <w:rPr>
          <w:spacing w:val="-2"/>
          <w:sz w:val="21"/>
        </w:rPr>
        <w:t>进</w:t>
      </w:r>
      <w:r>
        <w:rPr>
          <w:spacing w:val="-2"/>
          <w:sz w:val="21"/>
        </w:rPr>
        <w:t>行工</w:t>
      </w:r>
      <w:r>
        <w:rPr>
          <w:spacing w:val="-2"/>
          <w:sz w:val="21"/>
        </w:rPr>
        <w:t>程</w:t>
      </w:r>
      <w:r>
        <w:rPr>
          <w:spacing w:val="-2"/>
          <w:sz w:val="21"/>
        </w:rPr>
        <w:t>专</w:t>
      </w:r>
      <w:r>
        <w:rPr>
          <w:spacing w:val="-2"/>
          <w:sz w:val="21"/>
        </w:rPr>
        <w:t>项作业的轮式车辆，</w:t>
      </w:r>
      <w:r>
        <w:rPr>
          <w:spacing w:val="-2"/>
          <w:sz w:val="21"/>
        </w:rPr>
        <w:t>以</w:t>
      </w:r>
      <w:r>
        <w:rPr>
          <w:spacing w:val="-2"/>
          <w:sz w:val="21"/>
        </w:rPr>
        <w:t>交</w:t>
      </w:r>
      <w:r>
        <w:rPr>
          <w:spacing w:val="-2"/>
          <w:sz w:val="21"/>
        </w:rPr>
        <w:t>通管理部门认定为准。</w:t>
      </w:r>
    </w:p>
    <w:p>
      <w:pPr>
        <w:pStyle w:val="BodyText"/>
        <w:spacing w:before="2"/>
        <w:rPr>
          <w:sz w:val="12"/>
        </w:rPr>
      </w:pPr>
    </w:p>
    <w:p>
      <w:pPr>
        <w:pStyle w:val="ListParagraph"/>
        <w:numPr>
          <w:ilvl w:val="0"/>
          <w:numId w:val="20"/>
        </w:numPr>
        <w:tabs>
          <w:tab w:pos="723" w:val="left" w:leader="none"/>
        </w:tabs>
        <w:spacing w:line="240" w:lineRule="auto" w:before="72" w:after="0"/>
        <w:ind w:left="722" w:right="0" w:hanging="328"/>
        <w:jc w:val="left"/>
        <w:rPr>
          <w:sz w:val="21"/>
        </w:rPr>
      </w:pPr>
      <w:r>
        <w:rPr/>
        <w:drawing>
          <wp:anchor distT="0" distB="0" distL="0" distR="0" allowOverlap="1" layoutInCell="1" locked="0" behindDoc="1" simplePos="0" relativeHeight="485847040">
            <wp:simplePos x="0" y="0"/>
            <wp:positionH relativeFrom="page">
              <wp:posOffset>1799844</wp:posOffset>
            </wp:positionH>
            <wp:positionV relativeFrom="paragraph">
              <wp:posOffset>31242</wp:posOffset>
            </wp:positionV>
            <wp:extent cx="68580" cy="792479"/>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8580" cy="792479"/>
                    </a:xfrm>
                    <a:prstGeom prst="rect">
                      <a:avLst/>
                    </a:prstGeom>
                  </pic:spPr>
                </pic:pic>
              </a:graphicData>
            </a:graphic>
          </wp:anchor>
        </w:drawing>
      </w:r>
      <w:r>
        <w:rPr>
          <w:b/>
          <w:spacing w:val="-2"/>
          <w:sz w:val="21"/>
        </w:rPr>
        <w:t>感染艾滋病 </w:t>
      </w:r>
      <w:r>
        <w:rPr>
          <w:spacing w:val="-3"/>
          <w:sz w:val="21"/>
        </w:rPr>
        <w:t>艾滋病病毒指人类免疫缺陷病毒，英文缩写为 </w:t>
      </w:r>
      <w:r>
        <w:rPr>
          <w:sz w:val="21"/>
        </w:rPr>
        <w:t>HIV</w:t>
      </w:r>
      <w:r>
        <w:rPr>
          <w:spacing w:val="-1"/>
          <w:sz w:val="21"/>
        </w:rPr>
        <w:t>。艾滋病指人类免疫缺陷病毒引起</w:t>
      </w:r>
    </w:p>
    <w:p>
      <w:pPr>
        <w:spacing w:before="43"/>
        <w:ind w:left="395" w:right="0" w:firstLine="0"/>
        <w:jc w:val="left"/>
        <w:rPr>
          <w:sz w:val="21"/>
        </w:rPr>
      </w:pPr>
      <w:r>
        <w:rPr>
          <w:b/>
          <w:spacing w:val="18"/>
          <w:sz w:val="21"/>
        </w:rPr>
        <w:t>病毒或患艾滋 </w:t>
      </w:r>
      <w:r>
        <w:rPr>
          <w:spacing w:val="-1"/>
          <w:sz w:val="21"/>
        </w:rPr>
        <w:t>的获得性免疫缺陷综合征，英文缩写为 </w:t>
      </w:r>
      <w:r>
        <w:rPr>
          <w:sz w:val="21"/>
        </w:rPr>
        <w:t>AIDS</w:t>
      </w:r>
      <w:r>
        <w:rPr>
          <w:spacing w:val="-10"/>
          <w:sz w:val="21"/>
        </w:rPr>
        <w:t>。</w:t>
      </w:r>
    </w:p>
    <w:p>
      <w:pPr>
        <w:pStyle w:val="BodyText"/>
        <w:tabs>
          <w:tab w:pos="1922" w:val="left" w:leader="none"/>
        </w:tabs>
        <w:spacing w:line="278" w:lineRule="auto"/>
        <w:ind w:left="1922" w:right="214" w:hanging="1527"/>
      </w:pPr>
      <w:r>
        <w:rPr>
          <w:b/>
          <w:spacing w:val="-10"/>
        </w:rPr>
        <w:t>病</w:t>
      </w:r>
      <w:r>
        <w:rPr>
          <w:b/>
        </w:rPr>
        <w:tab/>
      </w:r>
      <w:r>
        <w:rPr>
          <w:spacing w:val="-2"/>
        </w:rPr>
        <w:t>在</w:t>
      </w:r>
      <w:r>
        <w:rPr>
          <w:spacing w:val="-2"/>
        </w:rPr>
        <w:t>人</w:t>
      </w:r>
      <w:r>
        <w:rPr>
          <w:spacing w:val="-2"/>
        </w:rPr>
        <w:t>体血液或其它样本中</w:t>
      </w:r>
      <w:r>
        <w:rPr>
          <w:spacing w:val="-2"/>
        </w:rPr>
        <w:t>检</w:t>
      </w:r>
      <w:r>
        <w:rPr>
          <w:spacing w:val="-2"/>
        </w:rPr>
        <w:t>测</w:t>
      </w:r>
      <w:r>
        <w:rPr>
          <w:spacing w:val="-2"/>
        </w:rPr>
        <w:t>到艾滋病病毒或其抗</w:t>
      </w:r>
      <w:r>
        <w:rPr>
          <w:spacing w:val="-2"/>
        </w:rPr>
        <w:t>体</w:t>
      </w:r>
      <w:r>
        <w:rPr>
          <w:spacing w:val="-2"/>
        </w:rPr>
        <w:t>呈</w:t>
      </w:r>
      <w:r>
        <w:rPr>
          <w:spacing w:val="-2"/>
        </w:rPr>
        <w:t>阳性</w:t>
      </w:r>
      <w:r>
        <w:rPr>
          <w:spacing w:val="-51"/>
        </w:rPr>
        <w:t>，</w:t>
      </w:r>
      <w:r>
        <w:rPr>
          <w:spacing w:val="-2"/>
        </w:rPr>
        <w:t>没有出现临床</w:t>
      </w:r>
      <w:r>
        <w:rPr>
          <w:spacing w:val="-2"/>
        </w:rPr>
        <w:t>症</w:t>
      </w:r>
      <w:r>
        <w:rPr>
          <w:spacing w:val="-2"/>
        </w:rPr>
        <w:t>状</w:t>
      </w:r>
      <w:r>
        <w:rPr>
          <w:spacing w:val="-2"/>
        </w:rPr>
        <w:t>或</w:t>
      </w:r>
      <w:r>
        <w:rPr>
          <w:spacing w:val="-2"/>
        </w:rPr>
        <w:t>体</w:t>
      </w:r>
      <w:r>
        <w:rPr>
          <w:spacing w:val="-2"/>
        </w:rPr>
        <w:t>征</w:t>
      </w:r>
      <w:r>
        <w:rPr>
          <w:spacing w:val="-2"/>
        </w:rPr>
        <w:t>的</w:t>
      </w:r>
      <w:r>
        <w:rPr>
          <w:spacing w:val="-2"/>
        </w:rPr>
        <w:t>，为感染艾滋病病毒；</w:t>
      </w:r>
      <w:r>
        <w:rPr>
          <w:spacing w:val="-2"/>
        </w:rPr>
        <w:t>如</w:t>
      </w:r>
      <w:r>
        <w:rPr>
          <w:spacing w:val="-2"/>
        </w:rPr>
        <w:t>果同时出现了明显临</w:t>
      </w:r>
      <w:r>
        <w:rPr>
          <w:spacing w:val="-2"/>
        </w:rPr>
        <w:t>床</w:t>
      </w:r>
      <w:r>
        <w:rPr>
          <w:spacing w:val="-2"/>
        </w:rPr>
        <w:t>症</w:t>
      </w:r>
      <w:r>
        <w:rPr>
          <w:spacing w:val="-2"/>
        </w:rPr>
        <w:t>状或体征的，为患艾</w:t>
      </w:r>
      <w:r>
        <w:rPr>
          <w:spacing w:val="-2"/>
        </w:rPr>
        <w:t>滋</w:t>
      </w:r>
      <w:r>
        <w:rPr>
          <w:spacing w:val="-2"/>
        </w:rPr>
        <w:t>病</w:t>
      </w:r>
      <w:r>
        <w:rPr>
          <w:spacing w:val="-2"/>
        </w:rPr>
        <w:t>。</w:t>
      </w:r>
    </w:p>
    <w:p>
      <w:pPr>
        <w:pStyle w:val="BodyText"/>
        <w:spacing w:before="0"/>
        <w:rPr>
          <w:sz w:val="12"/>
        </w:rPr>
      </w:pPr>
    </w:p>
    <w:p>
      <w:pPr>
        <w:pStyle w:val="ListParagraph"/>
        <w:numPr>
          <w:ilvl w:val="0"/>
          <w:numId w:val="20"/>
        </w:numPr>
        <w:tabs>
          <w:tab w:pos="714" w:val="left" w:leader="none"/>
        </w:tabs>
        <w:spacing w:line="278" w:lineRule="auto" w:before="72" w:after="0"/>
        <w:ind w:left="1922" w:right="216" w:hanging="1527"/>
        <w:jc w:val="left"/>
        <w:rPr>
          <w:sz w:val="21"/>
        </w:rPr>
      </w:pPr>
      <w:r>
        <w:rPr>
          <w:b/>
          <w:spacing w:val="-2"/>
          <w:sz w:val="21"/>
        </w:rPr>
        <w:t>遗传性疾病 </w:t>
      </w:r>
      <w:r>
        <w:rPr>
          <w:sz w:val="21"/>
        </w:rPr>
        <w:t>指生殖细胞或受精卵的遗传物质（染色体和基因）发生突变或畸变所引起的疾病，通</w:t>
      </w:r>
      <w:r>
        <w:rPr>
          <w:spacing w:val="-2"/>
          <w:sz w:val="21"/>
        </w:rPr>
        <w:t>常具有由亲代传至后代的垂直传递的特征。</w:t>
      </w: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0"/>
          <w:numId w:val="20"/>
        </w:numPr>
        <w:tabs>
          <w:tab w:pos="778" w:val="left" w:leader="none"/>
        </w:tabs>
        <w:spacing w:line="278" w:lineRule="auto" w:before="72" w:after="0"/>
        <w:ind w:left="395" w:right="0" w:firstLine="0"/>
        <w:jc w:val="both"/>
        <w:rPr>
          <w:b/>
          <w:sz w:val="21"/>
        </w:rPr>
      </w:pPr>
      <w:r>
        <w:rPr>
          <w:b/>
          <w:spacing w:val="14"/>
          <w:sz w:val="21"/>
        </w:rPr>
        <w:t>先天性 畸</w:t>
      </w:r>
      <w:r>
        <w:rPr>
          <w:b/>
          <w:spacing w:val="-12"/>
          <w:sz w:val="21"/>
        </w:rPr>
        <w:t>形、变形或染色</w:t>
      </w:r>
      <w:r>
        <w:rPr>
          <w:b/>
          <w:spacing w:val="-4"/>
          <w:sz w:val="21"/>
        </w:rPr>
        <w:t>体异常</w:t>
      </w:r>
    </w:p>
    <w:p>
      <w:pPr>
        <w:pStyle w:val="BodyText"/>
        <w:spacing w:line="278" w:lineRule="auto" w:before="72"/>
        <w:ind w:left="70" w:right="110"/>
      </w:pPr>
      <w:r>
        <w:rPr/>
        <w:br w:type="column"/>
      </w:r>
      <w:r>
        <w:rPr>
          <w:spacing w:val="-2"/>
        </w:rPr>
        <w:t>指被保险人出生时就具有的畸形、变形或染色体异常。先天性畸形、变形和染色体异</w:t>
      </w:r>
      <w:r>
        <w:rPr>
          <w:spacing w:val="-12"/>
        </w:rPr>
        <w:t>常依照世界卫生组织《疾病和有关健康问题的国际统计分类》第十次修订版</w:t>
      </w:r>
      <w:r>
        <w:rPr>
          <w:spacing w:val="-2"/>
        </w:rPr>
        <w:t>（ICD-10）</w:t>
      </w:r>
      <w:r>
        <w:rPr>
          <w:spacing w:val="-4"/>
        </w:rPr>
        <w:t>确定。</w:t>
      </w:r>
    </w:p>
    <w:p>
      <w:pPr>
        <w:spacing w:after="0" w:line="278" w:lineRule="auto"/>
        <w:sectPr>
          <w:type w:val="continuous"/>
          <w:pgSz w:w="11910" w:h="16840"/>
          <w:pgMar w:header="0" w:footer="1120" w:top="1120" w:bottom="1300" w:left="1020" w:right="1020"/>
          <w:cols w:num="2" w:equalWidth="0">
            <w:col w:w="1813" w:space="40"/>
            <w:col w:w="8017"/>
          </w:cols>
        </w:sectPr>
      </w:pPr>
    </w:p>
    <w:p>
      <w:pPr>
        <w:pStyle w:val="BodyText"/>
        <w:spacing w:before="12"/>
        <w:rPr>
          <w:sz w:val="11"/>
        </w:rPr>
      </w:pPr>
    </w:p>
    <w:p>
      <w:pPr>
        <w:spacing w:after="0"/>
        <w:rPr>
          <w:sz w:val="11"/>
        </w:rPr>
        <w:sectPr>
          <w:type w:val="continuous"/>
          <w:pgSz w:w="11910" w:h="16840"/>
          <w:pgMar w:header="0" w:footer="1120" w:top="1120" w:bottom="1300" w:left="1020" w:right="1020"/>
        </w:sectPr>
      </w:pPr>
    </w:p>
    <w:p>
      <w:pPr>
        <w:pStyle w:val="ListParagraph"/>
        <w:numPr>
          <w:ilvl w:val="0"/>
          <w:numId w:val="20"/>
        </w:numPr>
        <w:tabs>
          <w:tab w:pos="723" w:val="left" w:leader="none"/>
        </w:tabs>
        <w:spacing w:line="278" w:lineRule="auto" w:before="72" w:after="0"/>
        <w:ind w:left="395" w:right="0" w:firstLine="0"/>
        <w:jc w:val="left"/>
        <w:rPr>
          <w:b/>
          <w:sz w:val="21"/>
        </w:rPr>
      </w:pPr>
      <w:r>
        <w:rPr>
          <w:b/>
          <w:spacing w:val="-2"/>
          <w:sz w:val="21"/>
        </w:rPr>
        <w:t>事故发生之</w:t>
      </w:r>
      <w:r>
        <w:rPr>
          <w:b/>
          <w:spacing w:val="-10"/>
          <w:sz w:val="21"/>
        </w:rPr>
        <w:t>日</w:t>
      </w:r>
    </w:p>
    <w:p>
      <w:pPr>
        <w:pStyle w:val="BodyText"/>
        <w:spacing w:before="72"/>
        <w:ind w:left="70"/>
      </w:pPr>
      <w:r>
        <w:rPr/>
        <w:br w:type="column"/>
      </w:r>
      <w:r>
        <w:rPr>
          <w:spacing w:val="-3"/>
        </w:rPr>
        <w:t>事故发生之日的起算天数，均以事故发生当日计算第一日。</w:t>
      </w:r>
    </w:p>
    <w:p>
      <w:pPr>
        <w:spacing w:after="0"/>
        <w:sectPr>
          <w:type w:val="continuous"/>
          <w:pgSz w:w="11910" w:h="16840"/>
          <w:pgMar w:header="0" w:footer="1120" w:top="1120" w:bottom="1300" w:left="1020" w:right="1020"/>
          <w:cols w:num="2" w:equalWidth="0">
            <w:col w:w="1812" w:space="40"/>
            <w:col w:w="8018"/>
          </w:cols>
        </w:sectPr>
      </w:pP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0"/>
          <w:numId w:val="20"/>
        </w:numPr>
        <w:tabs>
          <w:tab w:pos="723" w:val="left" w:leader="none"/>
        </w:tabs>
        <w:spacing w:line="278" w:lineRule="auto" w:before="72" w:after="0"/>
        <w:ind w:left="395" w:right="0" w:firstLine="0"/>
        <w:jc w:val="left"/>
        <w:rPr>
          <w:b/>
          <w:sz w:val="21"/>
        </w:rPr>
      </w:pPr>
      <w:r>
        <w:rPr>
          <w:b/>
          <w:spacing w:val="-2"/>
          <w:sz w:val="21"/>
        </w:rPr>
        <w:t>有效身份证</w:t>
      </w:r>
      <w:r>
        <w:rPr>
          <w:b/>
          <w:spacing w:val="-10"/>
          <w:sz w:val="21"/>
        </w:rPr>
        <w:t>件</w:t>
      </w:r>
    </w:p>
    <w:p>
      <w:pPr>
        <w:pStyle w:val="BodyText"/>
        <w:spacing w:line="278" w:lineRule="auto" w:before="72"/>
        <w:ind w:left="70" w:right="167"/>
      </w:pPr>
      <w:r>
        <w:rPr/>
        <w:br w:type="column"/>
      </w:r>
      <w:r>
        <w:rPr>
          <w:spacing w:val="-2"/>
        </w:rPr>
        <w:t>指由中华人民共和国政府主管部门规定的能够证明其身份的证件，如：居民身份证、</w:t>
      </w:r>
      <w:r>
        <w:rPr>
          <w:spacing w:val="-2"/>
        </w:rPr>
        <w:t>按规定可使用的有效护照、户口簿等证件。</w:t>
      </w:r>
    </w:p>
    <w:p>
      <w:pPr>
        <w:spacing w:after="0" w:line="278" w:lineRule="auto"/>
        <w:sectPr>
          <w:type w:val="continuous"/>
          <w:pgSz w:w="11910" w:h="16840"/>
          <w:pgMar w:header="0" w:footer="1120" w:top="1120" w:bottom="1300" w:left="1020" w:right="1020"/>
          <w:cols w:num="2" w:equalWidth="0">
            <w:col w:w="1812" w:space="40"/>
            <w:col w:w="8018"/>
          </w:cols>
        </w:sectPr>
      </w:pPr>
    </w:p>
    <w:p>
      <w:pPr>
        <w:pStyle w:val="BodyText"/>
        <w:spacing w:before="6"/>
        <w:rPr>
          <w:sz w:val="10"/>
        </w:rPr>
      </w:pPr>
    </w:p>
    <w:p>
      <w:pPr>
        <w:spacing w:after="0"/>
        <w:rPr>
          <w:sz w:val="10"/>
        </w:rPr>
        <w:sectPr>
          <w:type w:val="continuous"/>
          <w:pgSz w:w="11910" w:h="16840"/>
          <w:pgMar w:header="0" w:footer="1120" w:top="1120" w:bottom="1300" w:left="1020" w:right="1020"/>
        </w:sectPr>
      </w:pPr>
    </w:p>
    <w:p>
      <w:pPr>
        <w:pStyle w:val="ListParagraph"/>
        <w:numPr>
          <w:ilvl w:val="0"/>
          <w:numId w:val="20"/>
        </w:numPr>
        <w:tabs>
          <w:tab w:pos="723" w:val="left" w:leader="none"/>
        </w:tabs>
        <w:spacing w:line="278" w:lineRule="auto" w:before="89" w:after="0"/>
        <w:ind w:left="395" w:right="0" w:firstLine="0"/>
        <w:jc w:val="left"/>
        <w:rPr>
          <w:b/>
          <w:sz w:val="21"/>
        </w:rPr>
      </w:pPr>
      <w:r>
        <w:rPr>
          <w:b/>
          <w:spacing w:val="-2"/>
          <w:sz w:val="21"/>
        </w:rPr>
        <w:t>我们认可的</w:t>
      </w:r>
      <w:r>
        <w:rPr>
          <w:b/>
          <w:spacing w:val="-4"/>
          <w:sz w:val="21"/>
        </w:rPr>
        <w:t>医疗机构</w:t>
      </w:r>
    </w:p>
    <w:p>
      <w:pPr>
        <w:spacing w:line="242" w:lineRule="auto" w:before="66"/>
        <w:ind w:left="70" w:right="216" w:firstLine="0"/>
        <w:jc w:val="both"/>
        <w:rPr>
          <w:rFonts w:ascii="黑体" w:eastAsia="黑体"/>
          <w:sz w:val="24"/>
        </w:rPr>
      </w:pPr>
      <w:r>
        <w:rPr/>
        <w:br w:type="column"/>
      </w:r>
      <w:r>
        <w:rPr>
          <w:spacing w:val="-2"/>
          <w:sz w:val="21"/>
        </w:rPr>
        <w:t>指经中华人民共和国卫生部门正式评定的二级或以上之公立医院，</w:t>
      </w:r>
      <w:r>
        <w:rPr>
          <w:rFonts w:ascii="黑体" w:eastAsia="黑体"/>
          <w:spacing w:val="-2"/>
          <w:sz w:val="24"/>
        </w:rPr>
        <w:t>但不包括精神病</w:t>
      </w:r>
      <w:r>
        <w:rPr>
          <w:rFonts w:ascii="黑体" w:eastAsia="黑体"/>
          <w:spacing w:val="-6"/>
          <w:sz w:val="24"/>
        </w:rPr>
        <w:t>院，专供康复、休养、戒毒、戒酒、护理、养老等非以直接诊疗病人为目的</w:t>
      </w:r>
      <w:r>
        <w:rPr>
          <w:rFonts w:ascii="黑体" w:eastAsia="黑体"/>
          <w:spacing w:val="-2"/>
          <w:sz w:val="24"/>
        </w:rPr>
        <w:t>之医疗机构。</w:t>
      </w:r>
    </w:p>
    <w:p>
      <w:pPr>
        <w:spacing w:after="0" w:line="242" w:lineRule="auto"/>
        <w:jc w:val="both"/>
        <w:rPr>
          <w:rFonts w:ascii="黑体" w:eastAsia="黑体"/>
          <w:sz w:val="24"/>
        </w:rPr>
        <w:sectPr>
          <w:type w:val="continuous"/>
          <w:pgSz w:w="11910" w:h="16840"/>
          <w:pgMar w:header="0" w:footer="1120" w:top="1120" w:bottom="1300" w:left="1020" w:right="1020"/>
          <w:cols w:num="2" w:equalWidth="0">
            <w:col w:w="1812" w:space="40"/>
            <w:col w:w="8018"/>
          </w:cols>
        </w:sectPr>
      </w:pPr>
    </w:p>
    <w:p>
      <w:pPr>
        <w:pStyle w:val="BodyText"/>
        <w:spacing w:before="4"/>
        <w:rPr>
          <w:rFonts w:ascii="黑体"/>
          <w:sz w:val="14"/>
        </w:rPr>
      </w:pPr>
    </w:p>
    <w:p>
      <w:pPr>
        <w:pStyle w:val="ListParagraph"/>
        <w:numPr>
          <w:ilvl w:val="0"/>
          <w:numId w:val="20"/>
        </w:numPr>
        <w:tabs>
          <w:tab w:pos="714" w:val="left" w:leader="none"/>
          <w:tab w:pos="1919" w:val="left" w:leader="none"/>
        </w:tabs>
        <w:spacing w:line="278" w:lineRule="auto" w:before="72" w:after="0"/>
        <w:ind w:left="1920" w:right="2479" w:hanging="1524"/>
        <w:jc w:val="left"/>
        <w:rPr>
          <w:sz w:val="21"/>
        </w:rPr>
      </w:pPr>
      <w:r>
        <w:rPr>
          <w:b/>
          <w:spacing w:val="-6"/>
          <w:sz w:val="21"/>
        </w:rPr>
        <w:t>利</w:t>
      </w:r>
      <w:r>
        <w:rPr>
          <w:b/>
          <w:spacing w:val="-6"/>
          <w:sz w:val="21"/>
        </w:rPr>
        <w:t>息</w:t>
      </w:r>
      <w:r>
        <w:rPr>
          <w:b/>
          <w:sz w:val="21"/>
        </w:rPr>
        <w:tab/>
      </w:r>
      <w:r>
        <w:rPr>
          <w:spacing w:val="-2"/>
          <w:sz w:val="21"/>
        </w:rPr>
        <w:t>本</w:t>
      </w:r>
      <w:r>
        <w:rPr>
          <w:spacing w:val="-2"/>
          <w:sz w:val="21"/>
        </w:rPr>
        <w:t>合</w:t>
      </w:r>
      <w:r>
        <w:rPr>
          <w:spacing w:val="-2"/>
          <w:sz w:val="21"/>
        </w:rPr>
        <w:t>同保险单借款利息按</w:t>
      </w:r>
      <w:r>
        <w:rPr>
          <w:spacing w:val="-2"/>
          <w:sz w:val="21"/>
        </w:rPr>
        <w:t>我</w:t>
      </w:r>
      <w:r>
        <w:rPr>
          <w:spacing w:val="-2"/>
          <w:sz w:val="21"/>
        </w:rPr>
        <w:t>们</w:t>
      </w:r>
      <w:r>
        <w:rPr>
          <w:spacing w:val="-2"/>
          <w:sz w:val="21"/>
        </w:rPr>
        <w:t>公布的保险单借款利</w:t>
      </w:r>
      <w:r>
        <w:rPr>
          <w:spacing w:val="-2"/>
          <w:sz w:val="21"/>
        </w:rPr>
        <w:t>率</w:t>
      </w:r>
      <w:r>
        <w:rPr>
          <w:spacing w:val="-2"/>
          <w:sz w:val="21"/>
        </w:rPr>
        <w:t>计</w:t>
      </w:r>
      <w:r>
        <w:rPr>
          <w:spacing w:val="-2"/>
          <w:sz w:val="21"/>
        </w:rPr>
        <w:t>算。</w:t>
      </w:r>
      <w:r>
        <w:rPr>
          <w:spacing w:val="-2"/>
          <w:sz w:val="21"/>
        </w:rPr>
        <w:t>本</w:t>
      </w:r>
      <w:r>
        <w:rPr>
          <w:spacing w:val="-2"/>
          <w:sz w:val="21"/>
        </w:rPr>
        <w:t>合</w:t>
      </w:r>
      <w:r>
        <w:rPr>
          <w:spacing w:val="-2"/>
          <w:sz w:val="21"/>
        </w:rPr>
        <w:t>同欠交保险费利息按</w:t>
      </w:r>
      <w:r>
        <w:rPr>
          <w:spacing w:val="-2"/>
          <w:sz w:val="21"/>
        </w:rPr>
        <w:t>我</w:t>
      </w:r>
      <w:r>
        <w:rPr>
          <w:spacing w:val="-2"/>
          <w:sz w:val="21"/>
        </w:rPr>
        <w:t>们</w:t>
      </w:r>
      <w:r>
        <w:rPr>
          <w:spacing w:val="-2"/>
          <w:sz w:val="21"/>
        </w:rPr>
        <w:t>公布的欠交保险费利</w:t>
      </w:r>
      <w:r>
        <w:rPr>
          <w:spacing w:val="-2"/>
          <w:sz w:val="21"/>
        </w:rPr>
        <w:t>率</w:t>
      </w:r>
      <w:r>
        <w:rPr>
          <w:spacing w:val="-2"/>
          <w:sz w:val="21"/>
        </w:rPr>
        <w:t>计</w:t>
      </w:r>
      <w:r>
        <w:rPr>
          <w:spacing w:val="-2"/>
          <w:sz w:val="21"/>
        </w:rPr>
        <w:t>算</w:t>
      </w:r>
      <w:r>
        <w:rPr>
          <w:spacing w:val="-2"/>
          <w:sz w:val="21"/>
        </w:rPr>
        <w:t>。</w:t>
      </w:r>
    </w:p>
    <w:p>
      <w:pPr>
        <w:pStyle w:val="BodyText"/>
        <w:spacing w:before="9"/>
        <w:rPr>
          <w:sz w:val="17"/>
        </w:rPr>
      </w:pPr>
    </w:p>
    <w:p>
      <w:pPr>
        <w:pStyle w:val="ListParagraph"/>
        <w:numPr>
          <w:ilvl w:val="0"/>
          <w:numId w:val="20"/>
        </w:numPr>
        <w:tabs>
          <w:tab w:pos="714" w:val="left" w:leader="none"/>
          <w:tab w:pos="1922" w:val="left" w:leader="none"/>
        </w:tabs>
        <w:spacing w:line="240" w:lineRule="auto" w:before="1" w:after="0"/>
        <w:ind w:left="713" w:right="0" w:hanging="319"/>
        <w:jc w:val="left"/>
        <w:rPr>
          <w:sz w:val="21"/>
        </w:rPr>
      </w:pPr>
      <w:r>
        <w:rPr>
          <w:b/>
          <w:sz w:val="21"/>
        </w:rPr>
        <w:t>专科医</w:t>
      </w:r>
      <w:r>
        <w:rPr>
          <w:b/>
          <w:spacing w:val="-10"/>
          <w:sz w:val="21"/>
        </w:rPr>
        <w:t>生</w:t>
      </w:r>
      <w:r>
        <w:rPr>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125"/>
        </w:numPr>
        <w:tabs>
          <w:tab w:pos="2452" w:val="left" w:leader="none"/>
        </w:tabs>
        <w:spacing w:line="240" w:lineRule="auto" w:before="43" w:after="0"/>
        <w:ind w:left="2451" w:right="0" w:hanging="530"/>
        <w:jc w:val="left"/>
        <w:rPr>
          <w:sz w:val="21"/>
        </w:rPr>
      </w:pPr>
      <w:r>
        <w:rPr>
          <w:spacing w:val="-9"/>
          <w:sz w:val="21"/>
        </w:rPr>
        <w:t>具有有效的中华人民共和国《医师资格证书》；</w:t>
      </w:r>
    </w:p>
    <w:p>
      <w:pPr>
        <w:pStyle w:val="ListParagraph"/>
        <w:numPr>
          <w:ilvl w:val="0"/>
          <w:numId w:val="125"/>
        </w:numPr>
        <w:tabs>
          <w:tab w:pos="2452" w:val="left" w:leader="none"/>
        </w:tabs>
        <w:spacing w:line="240" w:lineRule="auto" w:before="42" w:after="0"/>
        <w:ind w:left="2451" w:right="0" w:hanging="530"/>
        <w:jc w:val="left"/>
        <w:rPr>
          <w:sz w:val="21"/>
        </w:rPr>
      </w:pPr>
      <w:r>
        <w:rPr>
          <w:spacing w:val="-9"/>
          <w:sz w:val="21"/>
        </w:rPr>
        <w:t>具有有效的中华人民共和国《医师执业证书》，并按期到相关部门登记注册；</w:t>
      </w:r>
    </w:p>
    <w:p>
      <w:pPr>
        <w:pStyle w:val="ListParagraph"/>
        <w:numPr>
          <w:ilvl w:val="0"/>
          <w:numId w:val="125"/>
        </w:numPr>
        <w:tabs>
          <w:tab w:pos="2452" w:val="left" w:leader="none"/>
        </w:tabs>
        <w:spacing w:line="240" w:lineRule="auto" w:before="43" w:after="0"/>
        <w:ind w:left="2451" w:right="0" w:hanging="530"/>
        <w:jc w:val="left"/>
        <w:rPr>
          <w:sz w:val="21"/>
        </w:rPr>
      </w:pPr>
      <w:r>
        <w:rPr>
          <w:spacing w:val="-7"/>
          <w:sz w:val="21"/>
        </w:rPr>
        <w:t>具有有效的中华人民共和国主治医师或主治医师以上职称的《医师职称证书》；</w:t>
      </w:r>
    </w:p>
    <w:p>
      <w:pPr>
        <w:spacing w:after="0" w:line="240" w:lineRule="auto"/>
        <w:jc w:val="left"/>
        <w:rPr>
          <w:sz w:val="21"/>
        </w:rPr>
        <w:sectPr>
          <w:type w:val="continuous"/>
          <w:pgSz w:w="11910" w:h="16840"/>
          <w:pgMar w:header="0" w:footer="1120" w:top="1120" w:bottom="1300" w:left="1020" w:right="1020"/>
        </w:sectPr>
      </w:pPr>
    </w:p>
    <w:p>
      <w:pPr>
        <w:pStyle w:val="ListParagraph"/>
        <w:numPr>
          <w:ilvl w:val="0"/>
          <w:numId w:val="125"/>
        </w:numPr>
        <w:tabs>
          <w:tab w:pos="2447" w:val="left" w:leader="none"/>
        </w:tabs>
        <w:spacing w:line="278" w:lineRule="auto" w:before="60" w:after="0"/>
        <w:ind w:left="1814" w:right="216" w:firstLine="103"/>
        <w:jc w:val="left"/>
        <w:rPr>
          <w:sz w:val="21"/>
        </w:rPr>
      </w:pPr>
      <w:r>
        <w:rPr>
          <w:spacing w:val="-13"/>
          <w:w w:val="100"/>
          <w:sz w:val="21"/>
        </w:rPr>
        <w:t>在国家《医院分级管理标准》二级或二级以上医院的相应科室从事临床工作三</w:t>
      </w:r>
      <w:r>
        <w:rPr>
          <w:w w:val="100"/>
          <w:sz w:val="21"/>
        </w:rPr>
        <w:t>年以上。</w:t>
      </w:r>
    </w:p>
    <w:p>
      <w:pPr>
        <w:pStyle w:val="BodyText"/>
        <w:spacing w:before="2"/>
        <w:rPr>
          <w:sz w:val="12"/>
        </w:rPr>
      </w:pPr>
    </w:p>
    <w:p>
      <w:pPr>
        <w:spacing w:after="0"/>
        <w:rPr>
          <w:sz w:val="12"/>
        </w:rPr>
        <w:sectPr>
          <w:pgSz w:w="11910" w:h="16840"/>
          <w:pgMar w:header="0" w:footer="1120" w:top="1360" w:bottom="1300" w:left="1020" w:right="1020"/>
        </w:sectPr>
      </w:pPr>
    </w:p>
    <w:p>
      <w:pPr>
        <w:pStyle w:val="ListParagraph"/>
        <w:numPr>
          <w:ilvl w:val="0"/>
          <w:numId w:val="20"/>
        </w:numPr>
        <w:tabs>
          <w:tab w:pos="723" w:val="left" w:leader="none"/>
        </w:tabs>
        <w:spacing w:line="278" w:lineRule="auto" w:before="72" w:after="0"/>
        <w:ind w:left="395" w:right="0" w:firstLine="0"/>
        <w:jc w:val="left"/>
        <w:rPr>
          <w:b/>
          <w:sz w:val="21"/>
        </w:rPr>
      </w:pPr>
      <w:r>
        <w:rPr>
          <w:b/>
          <w:spacing w:val="-2"/>
          <w:sz w:val="21"/>
        </w:rPr>
        <w:t>组织病理学</w:t>
      </w:r>
      <w:r>
        <w:rPr>
          <w:b/>
          <w:spacing w:val="-6"/>
          <w:sz w:val="21"/>
        </w:rPr>
        <w:t>检查</w:t>
      </w:r>
    </w:p>
    <w:p>
      <w:pPr>
        <w:pStyle w:val="BodyText"/>
        <w:spacing w:line="278" w:lineRule="auto" w:before="72"/>
        <w:ind w:left="70" w:right="216"/>
      </w:pPr>
      <w:r>
        <w:rPr/>
        <w:br w:type="column"/>
      </w:r>
      <w:r>
        <w:rPr>
          <w:spacing w:val="-2"/>
        </w:rPr>
        <w:t>组织病理学检查是通过局部切除、钳取、穿刺等手术方法，从患者机体采取病变组织</w:t>
      </w:r>
      <w:r>
        <w:rPr>
          <w:spacing w:val="-2"/>
        </w:rPr>
        <w:t>块，经过包埋、切片后，进行病理检查的方法。</w:t>
      </w:r>
    </w:p>
    <w:p>
      <w:pPr>
        <w:spacing w:line="284" w:lineRule="exact" w:before="0"/>
        <w:ind w:left="70" w:right="0" w:firstLine="0"/>
        <w:jc w:val="left"/>
        <w:rPr>
          <w:rFonts w:ascii="黑体" w:eastAsia="黑体"/>
          <w:sz w:val="24"/>
        </w:rPr>
      </w:pPr>
      <w:r>
        <w:rPr>
          <w:rFonts w:ascii="黑体" w:eastAsia="黑体"/>
          <w:spacing w:val="-1"/>
          <w:sz w:val="24"/>
        </w:rPr>
        <w:t>通过采集病变部位脱落细胞、细针吸取病变部位细胞、体腔积液分离病变</w:t>
      </w:r>
    </w:p>
    <w:p>
      <w:pPr>
        <w:spacing w:line="242" w:lineRule="auto" w:before="5"/>
        <w:ind w:left="70" w:right="213" w:firstLine="0"/>
        <w:jc w:val="left"/>
        <w:rPr>
          <w:rFonts w:ascii="黑体" w:eastAsia="黑体"/>
          <w:sz w:val="24"/>
        </w:rPr>
      </w:pPr>
      <w:r>
        <w:rPr>
          <w:rFonts w:ascii="黑体" w:eastAsia="黑体"/>
          <w:spacing w:val="-2"/>
          <w:sz w:val="24"/>
        </w:rPr>
        <w:t>细胞等方式获取病变细胞，制成涂片，进行病理检查的方法，属于细胞病</w:t>
      </w:r>
      <w:r>
        <w:rPr>
          <w:rFonts w:ascii="黑体" w:eastAsia="黑体"/>
          <w:spacing w:val="-2"/>
          <w:sz w:val="24"/>
        </w:rPr>
        <w:t>理学检查，不属于组织病理学检查。</w:t>
      </w:r>
    </w:p>
    <w:p>
      <w:pPr>
        <w:spacing w:after="0" w:line="242" w:lineRule="auto"/>
        <w:jc w:val="left"/>
        <w:rPr>
          <w:rFonts w:ascii="黑体" w:eastAsia="黑体"/>
          <w:sz w:val="24"/>
        </w:rPr>
        <w:sectPr>
          <w:type w:val="continuous"/>
          <w:pgSz w:w="11910" w:h="16840"/>
          <w:pgMar w:header="0" w:footer="1120" w:top="1120" w:bottom="1300" w:left="1020" w:right="1020"/>
          <w:cols w:num="2" w:equalWidth="0">
            <w:col w:w="1812" w:space="40"/>
            <w:col w:w="8018"/>
          </w:cols>
        </w:sectPr>
      </w:pPr>
    </w:p>
    <w:p>
      <w:pPr>
        <w:pStyle w:val="BodyText"/>
        <w:spacing w:before="2"/>
        <w:rPr>
          <w:rFonts w:ascii="黑体"/>
          <w:sz w:val="14"/>
        </w:rPr>
      </w:pPr>
    </w:p>
    <w:p>
      <w:pPr>
        <w:spacing w:after="0"/>
        <w:rPr>
          <w:rFonts w:ascii="黑体"/>
          <w:sz w:val="14"/>
        </w:rPr>
        <w:sectPr>
          <w:type w:val="continuous"/>
          <w:pgSz w:w="11910" w:h="16840"/>
          <w:pgMar w:header="0" w:footer="1120" w:top="1120" w:bottom="1300" w:left="1020" w:right="1020"/>
        </w:sectPr>
      </w:pPr>
    </w:p>
    <w:p>
      <w:pPr>
        <w:pStyle w:val="ListParagraph"/>
        <w:numPr>
          <w:ilvl w:val="0"/>
          <w:numId w:val="20"/>
        </w:numPr>
        <w:tabs>
          <w:tab w:pos="714" w:val="left" w:leader="none"/>
        </w:tabs>
        <w:spacing w:line="240" w:lineRule="auto" w:before="72" w:after="0"/>
        <w:ind w:left="713" w:right="0" w:hanging="319"/>
        <w:jc w:val="left"/>
        <w:rPr>
          <w:b/>
          <w:sz w:val="21"/>
        </w:rPr>
      </w:pPr>
      <w:r>
        <w:rPr>
          <w:b/>
          <w:w w:val="95"/>
          <w:sz w:val="21"/>
        </w:rPr>
        <w:t>ICD-</w:t>
      </w:r>
      <w:r>
        <w:rPr>
          <w:b/>
          <w:spacing w:val="-5"/>
          <w:sz w:val="21"/>
        </w:rPr>
        <w:t>10</w:t>
      </w:r>
    </w:p>
    <w:p>
      <w:pPr>
        <w:spacing w:before="43"/>
        <w:ind w:left="395" w:right="0" w:firstLine="0"/>
        <w:jc w:val="left"/>
        <w:rPr>
          <w:b/>
          <w:sz w:val="21"/>
        </w:rPr>
      </w:pPr>
      <w:r>
        <w:rPr>
          <w:b/>
          <w:spacing w:val="-7"/>
          <w:w w:val="95"/>
          <w:sz w:val="21"/>
        </w:rPr>
        <w:t>与 </w:t>
      </w:r>
      <w:r>
        <w:rPr>
          <w:b/>
          <w:w w:val="95"/>
          <w:sz w:val="21"/>
        </w:rPr>
        <w:t>ICD-O-</w:t>
      </w:r>
      <w:r>
        <w:rPr>
          <w:b/>
          <w:spacing w:val="-10"/>
          <w:w w:val="95"/>
          <w:sz w:val="21"/>
        </w:rPr>
        <w:t>3</w:t>
      </w:r>
    </w:p>
    <w:p>
      <w:pPr>
        <w:pStyle w:val="BodyText"/>
        <w:spacing w:before="72"/>
        <w:ind w:left="396"/>
      </w:pPr>
      <w:r>
        <w:rPr/>
        <w:br w:type="column"/>
      </w:r>
      <w:r>
        <w:rPr>
          <w:spacing w:val="-4"/>
        </w:rPr>
        <w:t>《疾病和有关健康问题的国际统计分类》第十次修订版（ICD-</w:t>
      </w:r>
      <w:r>
        <w:rPr>
          <w:spacing w:val="22"/>
        </w:rPr>
        <w:t>10</w:t>
      </w:r>
      <w:r>
        <w:rPr>
          <w:spacing w:val="-84"/>
        </w:rPr>
        <w:t>）</w:t>
      </w:r>
      <w:r>
        <w:rPr>
          <w:spacing w:val="-3"/>
        </w:rPr>
        <w:t>，是世界卫生组织</w:t>
      </w:r>
    </w:p>
    <w:p>
      <w:pPr>
        <w:pStyle w:val="BodyText"/>
        <w:spacing w:line="278" w:lineRule="auto"/>
        <w:ind w:left="396" w:right="215"/>
        <w:jc w:val="both"/>
      </w:pPr>
      <w:r>
        <w:rPr>
          <w:spacing w:val="-2"/>
        </w:rPr>
        <w:t>（WHO）发布的国际通用的疾病分类方法</w:t>
      </w:r>
      <w:r>
        <w:rPr>
          <w:spacing w:val="-14"/>
        </w:rPr>
        <w:t>。《国际疾病分类肿瘤学专辑》第三版</w:t>
      </w:r>
      <w:r>
        <w:rPr>
          <w:spacing w:val="-2"/>
        </w:rPr>
        <w:t>（ICD- </w:t>
      </w:r>
      <w:r>
        <w:rPr>
          <w:w w:val="95"/>
        </w:rPr>
        <w:t>O-</w:t>
      </w:r>
      <w:r>
        <w:rPr>
          <w:spacing w:val="42"/>
          <w:w w:val="95"/>
        </w:rPr>
        <w:t>3</w:t>
      </w:r>
      <w:r>
        <w:rPr>
          <w:spacing w:val="-64"/>
          <w:w w:val="95"/>
        </w:rPr>
        <w:t>）</w:t>
      </w:r>
      <w:r>
        <w:rPr>
          <w:spacing w:val="7"/>
          <w:w w:val="95"/>
        </w:rPr>
        <w:t>，是 </w:t>
      </w:r>
      <w:r>
        <w:rPr>
          <w:w w:val="95"/>
        </w:rPr>
        <w:t>WHO 发布的</w:t>
      </w:r>
      <w:r>
        <w:rPr>
          <w:w w:val="95"/>
        </w:rPr>
        <w:t>针</w:t>
      </w:r>
      <w:r>
        <w:rPr>
          <w:w w:val="95"/>
        </w:rPr>
        <w:t>对</w:t>
      </w:r>
      <w:r>
        <w:rPr>
          <w:w w:val="95"/>
        </w:rPr>
        <w:t> ICD 中肿瘤形态学组织</w:t>
      </w:r>
      <w:r>
        <w:rPr>
          <w:w w:val="95"/>
        </w:rPr>
        <w:t>学</w:t>
      </w:r>
      <w:r>
        <w:rPr>
          <w:w w:val="95"/>
        </w:rPr>
        <w:t>细</w:t>
      </w:r>
      <w:r>
        <w:rPr>
          <w:w w:val="95"/>
        </w:rPr>
        <w:t>胞</w:t>
      </w:r>
      <w:r>
        <w:rPr>
          <w:w w:val="95"/>
        </w:rPr>
        <w:t>类</w:t>
      </w:r>
      <w:r>
        <w:rPr>
          <w:w w:val="95"/>
        </w:rPr>
        <w:t>型、动态、分化</w:t>
      </w:r>
      <w:r>
        <w:rPr>
          <w:w w:val="95"/>
        </w:rPr>
        <w:t>程</w:t>
      </w:r>
      <w:r>
        <w:rPr>
          <w:w w:val="95"/>
        </w:rPr>
        <w:t>度</w:t>
      </w:r>
      <w:r>
        <w:rPr>
          <w:w w:val="95"/>
        </w:rPr>
        <w:t>的</w:t>
      </w:r>
      <w:r>
        <w:rPr>
          <w:w w:val="95"/>
        </w:rPr>
        <w:t>补</w:t>
      </w:r>
      <w:r>
        <w:rPr>
          <w:w w:val="95"/>
        </w:rPr>
        <w:t>充</w:t>
      </w:r>
      <w:r>
        <w:rPr>
          <w:spacing w:val="-2"/>
        </w:rPr>
        <w:t>编码。其中形态学编码：</w:t>
      </w:r>
    </w:p>
    <w:p>
      <w:pPr>
        <w:pStyle w:val="ListParagraph"/>
        <w:numPr>
          <w:ilvl w:val="0"/>
          <w:numId w:val="126"/>
        </w:numPr>
        <w:tabs>
          <w:tab w:pos="555" w:val="left" w:leader="none"/>
        </w:tabs>
        <w:spacing w:line="269" w:lineRule="exact" w:before="0" w:after="0"/>
        <w:ind w:left="554" w:right="0" w:hanging="159"/>
        <w:jc w:val="both"/>
        <w:rPr>
          <w:sz w:val="21"/>
        </w:rPr>
      </w:pPr>
      <w:r>
        <w:rPr>
          <w:spacing w:val="-4"/>
          <w:sz w:val="21"/>
        </w:rPr>
        <w:t>代表良性肿瘤；</w:t>
      </w:r>
    </w:p>
    <w:p>
      <w:pPr>
        <w:pStyle w:val="ListParagraph"/>
        <w:numPr>
          <w:ilvl w:val="0"/>
          <w:numId w:val="126"/>
        </w:numPr>
        <w:tabs>
          <w:tab w:pos="555" w:val="left" w:leader="none"/>
        </w:tabs>
        <w:spacing w:line="240" w:lineRule="auto" w:before="43" w:after="0"/>
        <w:ind w:left="554" w:right="0" w:hanging="159"/>
        <w:jc w:val="left"/>
        <w:rPr>
          <w:sz w:val="21"/>
        </w:rPr>
      </w:pPr>
      <w:r>
        <w:rPr>
          <w:spacing w:val="-3"/>
          <w:sz w:val="21"/>
        </w:rPr>
        <w:t>代表动态未定性肿瘤；</w:t>
      </w:r>
    </w:p>
    <w:p>
      <w:pPr>
        <w:pStyle w:val="ListParagraph"/>
        <w:numPr>
          <w:ilvl w:val="0"/>
          <w:numId w:val="126"/>
        </w:numPr>
        <w:tabs>
          <w:tab w:pos="555" w:val="left" w:leader="none"/>
        </w:tabs>
        <w:spacing w:line="240" w:lineRule="auto" w:before="43" w:after="0"/>
        <w:ind w:left="554" w:right="0" w:hanging="159"/>
        <w:jc w:val="left"/>
        <w:rPr>
          <w:sz w:val="21"/>
        </w:rPr>
      </w:pPr>
      <w:r>
        <w:rPr>
          <w:spacing w:val="-3"/>
          <w:sz w:val="21"/>
        </w:rPr>
        <w:t>代表原位癌和非侵袭性癌；</w:t>
      </w:r>
    </w:p>
    <w:p>
      <w:pPr>
        <w:pStyle w:val="ListParagraph"/>
        <w:numPr>
          <w:ilvl w:val="0"/>
          <w:numId w:val="126"/>
        </w:numPr>
        <w:tabs>
          <w:tab w:pos="555" w:val="left" w:leader="none"/>
        </w:tabs>
        <w:spacing w:line="240" w:lineRule="auto" w:before="42" w:after="0"/>
        <w:ind w:left="554" w:right="0" w:hanging="160"/>
        <w:jc w:val="left"/>
        <w:rPr>
          <w:sz w:val="21"/>
        </w:rPr>
      </w:pPr>
      <w:r>
        <w:rPr>
          <w:spacing w:val="-2"/>
          <w:sz w:val="21"/>
        </w:rPr>
        <w:t>代表恶性肿瘤（原发性</w:t>
      </w:r>
      <w:r>
        <w:rPr>
          <w:spacing w:val="-113"/>
          <w:sz w:val="21"/>
        </w:rPr>
        <w:t>）</w:t>
      </w:r>
      <w:r>
        <w:rPr>
          <w:spacing w:val="-5"/>
          <w:sz w:val="21"/>
        </w:rPr>
        <w:t>；</w:t>
      </w:r>
    </w:p>
    <w:p>
      <w:pPr>
        <w:pStyle w:val="BodyText"/>
        <w:ind w:left="396"/>
      </w:pPr>
      <w:r>
        <w:rPr>
          <w:spacing w:val="-2"/>
        </w:rPr>
        <w:t>6</w:t>
      </w:r>
      <w:r>
        <w:rPr>
          <w:spacing w:val="-10"/>
        </w:rPr>
        <w:t> 代表恶性肿瘤</w:t>
      </w:r>
      <w:r>
        <w:rPr>
          <w:spacing w:val="-2"/>
        </w:rPr>
        <w:t>（转移性</w:t>
      </w:r>
      <w:r>
        <w:rPr>
          <w:spacing w:val="-113"/>
        </w:rPr>
        <w:t>）</w:t>
      </w:r>
      <w:r>
        <w:rPr>
          <w:spacing w:val="-5"/>
        </w:rPr>
        <w:t>；</w:t>
      </w:r>
    </w:p>
    <w:p>
      <w:pPr>
        <w:pStyle w:val="BodyText"/>
        <w:ind w:left="396"/>
      </w:pPr>
      <w:r>
        <w:rPr>
          <w:spacing w:val="-2"/>
        </w:rPr>
        <w:t>9</w:t>
      </w:r>
      <w:r>
        <w:rPr>
          <w:spacing w:val="-9"/>
        </w:rPr>
        <w:t> 代表恶性肿瘤</w:t>
      </w:r>
      <w:r>
        <w:rPr>
          <w:spacing w:val="-2"/>
        </w:rPr>
        <w:t>（原发性或转移性未肯定</w:t>
      </w:r>
      <w:r>
        <w:rPr>
          <w:spacing w:val="-106"/>
        </w:rPr>
        <w:t>）</w:t>
      </w:r>
      <w:r>
        <w:rPr>
          <w:spacing w:val="-10"/>
        </w:rPr>
        <w:t>。</w:t>
      </w:r>
    </w:p>
    <w:p>
      <w:pPr>
        <w:pStyle w:val="BodyText"/>
        <w:ind w:left="396"/>
        <w:jc w:val="both"/>
      </w:pPr>
      <w:r>
        <w:rPr>
          <w:spacing w:val="-12"/>
        </w:rPr>
        <w:t>如果出现 </w:t>
      </w:r>
      <w:r>
        <w:rPr>
          <w:spacing w:val="-2"/>
        </w:rPr>
        <w:t>ICD-10</w:t>
      </w:r>
      <w:r>
        <w:rPr>
          <w:spacing w:val="-34"/>
        </w:rPr>
        <w:t> 与 </w:t>
      </w:r>
      <w:r>
        <w:rPr>
          <w:spacing w:val="-2"/>
        </w:rPr>
        <w:t>ICD-O-3</w:t>
      </w:r>
      <w:r>
        <w:rPr>
          <w:spacing w:val="-13"/>
        </w:rPr>
        <w:t> 不一致的情况，以 </w:t>
      </w:r>
      <w:r>
        <w:rPr>
          <w:spacing w:val="-2"/>
        </w:rPr>
        <w:t>ICD-O-3</w:t>
      </w:r>
      <w:r>
        <w:rPr>
          <w:spacing w:val="-16"/>
        </w:rPr>
        <w:t> 为准。</w:t>
      </w:r>
    </w:p>
    <w:p>
      <w:pPr>
        <w:spacing w:after="0"/>
        <w:jc w:val="both"/>
        <w:sectPr>
          <w:type w:val="continuous"/>
          <w:pgSz w:w="11910" w:h="16840"/>
          <w:pgMar w:header="0" w:footer="1120" w:top="1120" w:bottom="1300" w:left="1020" w:right="1020"/>
          <w:cols w:num="2" w:equalWidth="0">
            <w:col w:w="1440" w:space="87"/>
            <w:col w:w="8343"/>
          </w:cols>
        </w:sectPr>
      </w:pPr>
    </w:p>
    <w:p>
      <w:pPr>
        <w:pStyle w:val="BodyText"/>
        <w:spacing w:before="5"/>
        <w:rPr>
          <w:sz w:val="15"/>
        </w:rPr>
      </w:pPr>
    </w:p>
    <w:p>
      <w:pPr>
        <w:pStyle w:val="ListParagraph"/>
        <w:numPr>
          <w:ilvl w:val="0"/>
          <w:numId w:val="20"/>
        </w:numPr>
        <w:tabs>
          <w:tab w:pos="820" w:val="left" w:leader="none"/>
        </w:tabs>
        <w:spacing w:line="278" w:lineRule="auto" w:before="72" w:after="0"/>
        <w:ind w:left="1922" w:right="214" w:hanging="1527"/>
        <w:jc w:val="both"/>
        <w:rPr>
          <w:sz w:val="21"/>
        </w:rPr>
      </w:pPr>
      <w:r>
        <w:rPr>
          <w:b/>
          <w:sz w:val="21"/>
        </w:rPr>
        <w:t>TNM</w:t>
      </w:r>
      <w:r>
        <w:rPr>
          <w:b/>
          <w:spacing w:val="-10"/>
          <w:sz w:val="21"/>
        </w:rPr>
        <w:t> 分期</w:t>
      </w:r>
      <w:r>
        <w:rPr>
          <w:b/>
          <w:spacing w:val="80"/>
          <w:w w:val="150"/>
          <w:sz w:val="21"/>
        </w:rPr>
        <w:t> </w:t>
      </w:r>
      <w:r>
        <w:rPr>
          <w:sz w:val="21"/>
        </w:rPr>
        <w:t>TNM</w:t>
      </w:r>
      <w:r>
        <w:rPr>
          <w:spacing w:val="-8"/>
          <w:sz w:val="21"/>
        </w:rPr>
        <w:t> 分期采用 </w:t>
      </w:r>
      <w:r>
        <w:rPr>
          <w:sz w:val="21"/>
        </w:rPr>
        <w:t>AJCC</w:t>
      </w:r>
      <w:r>
        <w:rPr>
          <w:spacing w:val="-5"/>
          <w:sz w:val="21"/>
        </w:rPr>
        <w:t> 癌症分期手册标准。该标准由美国癌症联合委员会与国际抗癌联</w:t>
      </w:r>
      <w:r>
        <w:rPr>
          <w:w w:val="95"/>
          <w:sz w:val="21"/>
        </w:rPr>
        <w:t>合</w:t>
      </w:r>
      <w:r>
        <w:rPr>
          <w:w w:val="95"/>
          <w:sz w:val="21"/>
        </w:rPr>
        <w:t>会</w:t>
      </w:r>
      <w:r>
        <w:rPr>
          <w:spacing w:val="36"/>
          <w:sz w:val="21"/>
        </w:rPr>
        <w:t> </w:t>
      </w:r>
      <w:r>
        <w:rPr>
          <w:w w:val="95"/>
          <w:sz w:val="21"/>
        </w:rPr>
        <w:t>TNM</w:t>
      </w:r>
      <w:r>
        <w:rPr>
          <w:spacing w:val="40"/>
          <w:sz w:val="21"/>
        </w:rPr>
        <w:t> </w:t>
      </w:r>
      <w:r>
        <w:rPr>
          <w:w w:val="95"/>
          <w:sz w:val="21"/>
        </w:rPr>
        <w:t>委员会联合制定，</w:t>
      </w:r>
      <w:r>
        <w:rPr>
          <w:w w:val="95"/>
          <w:sz w:val="21"/>
        </w:rPr>
        <w:t>是</w:t>
      </w:r>
      <w:r>
        <w:rPr>
          <w:w w:val="95"/>
          <w:sz w:val="21"/>
        </w:rPr>
        <w:t>目前肿瘤医学分期的</w:t>
      </w:r>
      <w:r>
        <w:rPr>
          <w:w w:val="95"/>
          <w:sz w:val="21"/>
        </w:rPr>
        <w:t>国</w:t>
      </w:r>
      <w:r>
        <w:rPr>
          <w:w w:val="95"/>
          <w:sz w:val="21"/>
        </w:rPr>
        <w:t>际</w:t>
      </w:r>
      <w:r>
        <w:rPr>
          <w:w w:val="95"/>
          <w:sz w:val="21"/>
        </w:rPr>
        <w:t>通用标准。T</w:t>
      </w:r>
      <w:r>
        <w:rPr>
          <w:spacing w:val="36"/>
          <w:sz w:val="21"/>
        </w:rPr>
        <w:t> </w:t>
      </w:r>
      <w:r>
        <w:rPr>
          <w:w w:val="95"/>
          <w:sz w:val="21"/>
        </w:rPr>
        <w:t>指</w:t>
      </w:r>
      <w:r>
        <w:rPr>
          <w:w w:val="95"/>
          <w:sz w:val="21"/>
        </w:rPr>
        <w:t>原</w:t>
      </w:r>
      <w:r>
        <w:rPr>
          <w:w w:val="95"/>
          <w:sz w:val="21"/>
        </w:rPr>
        <w:t>发</w:t>
      </w:r>
      <w:r>
        <w:rPr>
          <w:w w:val="95"/>
          <w:sz w:val="21"/>
        </w:rPr>
        <w:t>肿</w:t>
      </w:r>
      <w:r>
        <w:rPr>
          <w:w w:val="95"/>
          <w:sz w:val="21"/>
        </w:rPr>
        <w:t>瘤</w:t>
      </w:r>
      <w:r>
        <w:rPr>
          <w:w w:val="95"/>
          <w:sz w:val="21"/>
        </w:rPr>
        <w:t>的</w:t>
      </w:r>
      <w:r>
        <w:rPr>
          <w:w w:val="95"/>
          <w:sz w:val="21"/>
        </w:rPr>
        <w:t>大</w:t>
      </w:r>
      <w:r>
        <w:rPr>
          <w:sz w:val="21"/>
        </w:rPr>
        <w:t>小、形态等；N</w:t>
      </w:r>
      <w:r>
        <w:rPr>
          <w:spacing w:val="-5"/>
          <w:sz w:val="21"/>
        </w:rPr>
        <w:t> 指淋巴结的转移情况</w:t>
      </w:r>
      <w:r>
        <w:rPr>
          <w:sz w:val="21"/>
        </w:rPr>
        <w:t>；M</w:t>
      </w:r>
      <w:r>
        <w:rPr>
          <w:spacing w:val="-5"/>
          <w:sz w:val="21"/>
        </w:rPr>
        <w:t> 指有无其它脏器的转移情况。</w:t>
      </w: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0"/>
          <w:numId w:val="20"/>
        </w:numPr>
        <w:tabs>
          <w:tab w:pos="723" w:val="left" w:leader="none"/>
        </w:tabs>
        <w:spacing w:line="278" w:lineRule="auto" w:before="72" w:after="0"/>
        <w:ind w:left="395" w:right="0" w:firstLine="0"/>
        <w:jc w:val="left"/>
        <w:rPr>
          <w:b/>
          <w:sz w:val="21"/>
        </w:rPr>
      </w:pPr>
      <w:r>
        <w:rPr>
          <w:b/>
          <w:spacing w:val="-2"/>
          <w:sz w:val="21"/>
        </w:rPr>
        <w:t>甲状腺癌的</w:t>
      </w:r>
      <w:r>
        <w:rPr>
          <w:b/>
          <w:spacing w:val="-2"/>
          <w:sz w:val="21"/>
        </w:rPr>
        <w:t> </w:t>
      </w:r>
      <w:r>
        <w:rPr>
          <w:b/>
          <w:sz w:val="21"/>
        </w:rPr>
        <w:t>TNM</w:t>
      </w:r>
      <w:r>
        <w:rPr>
          <w:b/>
          <w:spacing w:val="-15"/>
          <w:sz w:val="21"/>
        </w:rPr>
        <w:t> 分期</w:t>
      </w:r>
    </w:p>
    <w:p>
      <w:pPr>
        <w:pStyle w:val="BodyText"/>
        <w:spacing w:line="278" w:lineRule="auto" w:before="72"/>
        <w:ind w:left="70" w:right="115"/>
        <w:rPr>
          <w:rFonts w:ascii="仿宋" w:hAnsi="仿宋" w:eastAsia="仿宋"/>
        </w:rPr>
      </w:pPr>
      <w:r>
        <w:rPr/>
        <w:br w:type="column"/>
      </w:r>
      <w:r>
        <w:rPr>
          <w:spacing w:val="-4"/>
        </w:rPr>
        <w:t>甲状腺癌的 </w:t>
      </w:r>
      <w:r>
        <w:rPr/>
        <w:t>TNM</w:t>
      </w:r>
      <w:r>
        <w:rPr>
          <w:spacing w:val="-7"/>
        </w:rPr>
        <w:t> 分期采用目前现行的 </w:t>
      </w:r>
      <w:r>
        <w:rPr/>
        <w:t>AJCC</w:t>
      </w:r>
      <w:r>
        <w:rPr>
          <w:spacing w:val="-5"/>
        </w:rPr>
        <w:t> 第八版定义标准，我国国家卫生健康委员</w:t>
      </w:r>
      <w:r>
        <w:rPr>
          <w:spacing w:val="-27"/>
        </w:rPr>
        <w:t>会 </w:t>
      </w:r>
      <w:r>
        <w:rPr/>
        <w:t>2018</w:t>
      </w:r>
      <w:r>
        <w:rPr>
          <w:spacing w:val="-8"/>
        </w:rPr>
        <w:t> 年发布的《甲状腺癌诊疗规范</w:t>
      </w:r>
      <w:r>
        <w:rPr/>
        <w:t>（2018</w:t>
      </w:r>
      <w:r>
        <w:rPr>
          <w:spacing w:val="-19"/>
        </w:rPr>
        <w:t> 年版</w:t>
      </w:r>
      <w:r>
        <w:rPr>
          <w:spacing w:val="-108"/>
        </w:rPr>
        <w:t>）</w:t>
      </w:r>
      <w:r>
        <w:rPr/>
        <w:t>》也采用此定义标准，具体见下：</w:t>
      </w:r>
      <w:r>
        <w:rPr>
          <w:rFonts w:ascii="仿宋" w:hAnsi="仿宋" w:eastAsia="仿宋"/>
        </w:rPr>
        <w:t>甲状腺乳头状癌、滤泡癌、低分化癌、Hürthle</w:t>
      </w:r>
      <w:r>
        <w:rPr>
          <w:rFonts w:ascii="仿宋" w:hAnsi="仿宋" w:eastAsia="仿宋"/>
          <w:spacing w:val="-7"/>
        </w:rPr>
        <w:t> 细胞癌和未分化癌</w:t>
      </w:r>
    </w:p>
    <w:p>
      <w:pPr>
        <w:pStyle w:val="BodyText"/>
        <w:spacing w:line="278" w:lineRule="auto" w:before="0"/>
        <w:ind w:left="70" w:right="5784" w:hanging="1"/>
        <w:rPr>
          <w:rFonts w:ascii="仿宋" w:eastAsia="仿宋"/>
        </w:rPr>
      </w:pPr>
      <w:r>
        <w:rPr>
          <w:rFonts w:ascii="仿宋" w:eastAsia="仿宋"/>
          <w:spacing w:val="-2"/>
          <w:position w:val="1"/>
        </w:rPr>
        <w:t>pT</w:t>
      </w:r>
      <w:r>
        <w:rPr>
          <w:rFonts w:ascii="仿宋" w:eastAsia="仿宋"/>
          <w:spacing w:val="-2"/>
          <w:sz w:val="11"/>
        </w:rPr>
        <w:t>X</w:t>
      </w:r>
      <w:r>
        <w:rPr>
          <w:rFonts w:ascii="仿宋" w:eastAsia="仿宋"/>
          <w:spacing w:val="-2"/>
          <w:position w:val="1"/>
        </w:rPr>
        <w:t>：原发肿瘤不能评估 pT</w:t>
      </w:r>
      <w:r>
        <w:rPr>
          <w:rFonts w:ascii="仿宋" w:eastAsia="仿宋"/>
          <w:spacing w:val="-2"/>
          <w:sz w:val="11"/>
        </w:rPr>
        <w:t>0</w:t>
      </w:r>
      <w:r>
        <w:rPr>
          <w:rFonts w:ascii="仿宋" w:eastAsia="仿宋"/>
          <w:spacing w:val="-2"/>
          <w:position w:val="1"/>
        </w:rPr>
        <w:t>：无肿瘤证据</w:t>
      </w:r>
    </w:p>
    <w:p>
      <w:pPr>
        <w:pStyle w:val="BodyText"/>
        <w:spacing w:line="278" w:lineRule="auto" w:before="0"/>
        <w:ind w:left="495" w:right="4065" w:hanging="425"/>
        <w:rPr>
          <w:rFonts w:ascii="仿宋" w:hAnsi="仿宋" w:eastAsia="仿宋"/>
        </w:rPr>
      </w:pPr>
      <w:r>
        <w:rPr>
          <w:rFonts w:ascii="仿宋" w:hAnsi="仿宋" w:eastAsia="仿宋"/>
          <w:spacing w:val="-2"/>
          <w:position w:val="1"/>
        </w:rPr>
        <w:t>pT</w:t>
      </w:r>
      <w:r>
        <w:rPr>
          <w:rFonts w:ascii="仿宋" w:hAnsi="仿宋" w:eastAsia="仿宋"/>
          <w:spacing w:val="-2"/>
          <w:sz w:val="11"/>
        </w:rPr>
        <w:t>1</w:t>
      </w:r>
      <w:r>
        <w:rPr>
          <w:rFonts w:ascii="仿宋" w:hAnsi="仿宋" w:eastAsia="仿宋"/>
          <w:spacing w:val="-2"/>
          <w:position w:val="1"/>
        </w:rPr>
        <w:t>：肿瘤局限在甲状腺内，最大径≤2c</w:t>
      </w:r>
      <w:r>
        <w:rPr>
          <w:rFonts w:ascii="仿宋" w:hAnsi="仿宋" w:eastAsia="仿宋"/>
          <w:spacing w:val="-2"/>
          <w:position w:val="1"/>
        </w:rPr>
        <w:t>m </w:t>
      </w:r>
      <w:r>
        <w:rPr>
          <w:rFonts w:ascii="仿宋" w:hAnsi="仿宋" w:eastAsia="仿宋"/>
          <w:position w:val="1"/>
        </w:rPr>
        <w:t>T</w:t>
      </w:r>
      <w:r>
        <w:rPr>
          <w:rFonts w:ascii="仿宋" w:hAnsi="仿宋" w:eastAsia="仿宋"/>
          <w:sz w:val="11"/>
        </w:rPr>
        <w:t>1a</w:t>
      </w:r>
      <w:r>
        <w:rPr>
          <w:rFonts w:ascii="仿宋" w:hAnsi="仿宋" w:eastAsia="仿宋"/>
          <w:spacing w:val="-29"/>
          <w:sz w:val="11"/>
        </w:rPr>
        <w:t> </w:t>
      </w:r>
      <w:r>
        <w:rPr>
          <w:rFonts w:ascii="仿宋" w:hAnsi="仿宋" w:eastAsia="仿宋"/>
          <w:position w:val="1"/>
        </w:rPr>
        <w:t>肿瘤最大径≤1cm</w:t>
      </w:r>
    </w:p>
    <w:p>
      <w:pPr>
        <w:pStyle w:val="BodyText"/>
        <w:spacing w:line="278" w:lineRule="auto" w:before="0"/>
        <w:ind w:left="70" w:right="4563" w:firstLine="424"/>
        <w:rPr>
          <w:rFonts w:ascii="仿宋" w:hAnsi="仿宋" w:eastAsia="仿宋"/>
        </w:rPr>
      </w:pPr>
      <w:r>
        <w:rPr>
          <w:rFonts w:ascii="仿宋" w:hAnsi="仿宋" w:eastAsia="仿宋"/>
          <w:spacing w:val="-2"/>
          <w:position w:val="1"/>
        </w:rPr>
        <w:t>T</w:t>
      </w:r>
      <w:r>
        <w:rPr>
          <w:rFonts w:ascii="仿宋" w:hAnsi="仿宋" w:eastAsia="仿宋"/>
          <w:spacing w:val="-2"/>
          <w:sz w:val="11"/>
        </w:rPr>
        <w:t>1b</w:t>
      </w:r>
      <w:r>
        <w:rPr>
          <w:rFonts w:ascii="仿宋" w:hAnsi="仿宋" w:eastAsia="仿宋"/>
          <w:spacing w:val="-29"/>
          <w:sz w:val="11"/>
        </w:rPr>
        <w:t> </w:t>
      </w:r>
      <w:r>
        <w:rPr>
          <w:rFonts w:ascii="仿宋" w:hAnsi="仿宋" w:eastAsia="仿宋"/>
          <w:spacing w:val="-2"/>
          <w:position w:val="1"/>
        </w:rPr>
        <w:t>肿瘤最大径</w:t>
      </w:r>
      <w:r>
        <w:rPr>
          <w:rFonts w:ascii="仿宋" w:hAnsi="仿宋" w:eastAsia="仿宋"/>
          <w:spacing w:val="-2"/>
          <w:position w:val="1"/>
        </w:rPr>
        <w:t>＞1cm，≤2cm </w:t>
      </w:r>
      <w:r>
        <w:rPr>
          <w:rFonts w:ascii="仿宋" w:hAnsi="仿宋" w:eastAsia="仿宋"/>
          <w:position w:val="1"/>
        </w:rPr>
        <w:t>pT</w:t>
      </w:r>
      <w:r>
        <w:rPr>
          <w:rFonts w:ascii="仿宋" w:hAnsi="仿宋" w:eastAsia="仿宋"/>
          <w:sz w:val="11"/>
        </w:rPr>
        <w:t>2</w:t>
      </w:r>
      <w:r>
        <w:rPr>
          <w:rFonts w:ascii="仿宋" w:hAnsi="仿宋" w:eastAsia="仿宋"/>
          <w:spacing w:val="-11"/>
          <w:position w:val="1"/>
        </w:rPr>
        <w:t>：肿瘤 </w:t>
      </w:r>
      <w:r>
        <w:rPr>
          <w:rFonts w:ascii="仿宋" w:hAnsi="仿宋" w:eastAsia="仿宋"/>
          <w:position w:val="1"/>
        </w:rPr>
        <w:t>2～4cm</w:t>
      </w:r>
    </w:p>
    <w:p>
      <w:pPr>
        <w:pStyle w:val="BodyText"/>
        <w:spacing w:line="278" w:lineRule="auto" w:before="0"/>
        <w:ind w:left="70" w:right="2424"/>
        <w:rPr>
          <w:rFonts w:ascii="仿宋" w:eastAsia="仿宋"/>
        </w:rPr>
      </w:pPr>
      <w:r>
        <w:rPr>
          <w:rFonts w:ascii="仿宋" w:eastAsia="仿宋"/>
          <w:spacing w:val="-2"/>
          <w:position w:val="1"/>
        </w:rPr>
        <w:t>pT</w:t>
      </w:r>
      <w:r>
        <w:rPr>
          <w:rFonts w:ascii="仿宋" w:eastAsia="仿宋"/>
          <w:spacing w:val="-2"/>
          <w:sz w:val="11"/>
        </w:rPr>
        <w:t>3</w:t>
      </w:r>
      <w:r>
        <w:rPr>
          <w:rFonts w:ascii="仿宋" w:eastAsia="仿宋"/>
          <w:spacing w:val="-2"/>
          <w:position w:val="1"/>
        </w:rPr>
        <w:t>：肿瘤&gt;4cm，局限于甲状腺内或大体侵犯甲状腺外带状肌 pT</w:t>
      </w:r>
      <w:r>
        <w:rPr>
          <w:rFonts w:ascii="仿宋" w:eastAsia="仿宋"/>
          <w:spacing w:val="-2"/>
          <w:sz w:val="11"/>
        </w:rPr>
        <w:t>3a</w:t>
      </w:r>
      <w:r>
        <w:rPr>
          <w:rFonts w:ascii="仿宋" w:eastAsia="仿宋"/>
          <w:spacing w:val="-2"/>
          <w:position w:val="1"/>
        </w:rPr>
        <w:t>：肿瘤&gt;4cm，局限于甲状腺内</w:t>
      </w:r>
    </w:p>
    <w:p>
      <w:pPr>
        <w:pStyle w:val="BodyText"/>
        <w:spacing w:line="269" w:lineRule="exact" w:before="0"/>
        <w:ind w:left="70"/>
        <w:rPr>
          <w:rFonts w:ascii="仿宋" w:eastAsia="仿宋"/>
        </w:rPr>
      </w:pPr>
      <w:r>
        <w:rPr>
          <w:rFonts w:ascii="仿宋" w:eastAsia="仿宋"/>
          <w:spacing w:val="-2"/>
          <w:position w:val="1"/>
        </w:rPr>
        <w:t>pT</w:t>
      </w:r>
      <w:r>
        <w:rPr>
          <w:rFonts w:ascii="仿宋" w:eastAsia="仿宋"/>
          <w:spacing w:val="-2"/>
          <w:sz w:val="11"/>
        </w:rPr>
        <w:t>3b</w:t>
      </w:r>
      <w:r>
        <w:rPr>
          <w:rFonts w:ascii="仿宋" w:eastAsia="仿宋"/>
          <w:spacing w:val="-3"/>
          <w:position w:val="1"/>
        </w:rPr>
        <w:t>：大体侵犯甲状腺外带状肌，无论肿瘤大小</w:t>
      </w:r>
    </w:p>
    <w:p>
      <w:pPr>
        <w:pStyle w:val="BodyText"/>
        <w:spacing w:before="42"/>
        <w:ind w:left="636"/>
        <w:rPr>
          <w:rFonts w:ascii="仿宋" w:eastAsia="仿宋"/>
        </w:rPr>
      </w:pPr>
      <w:r>
        <w:rPr>
          <w:rFonts w:ascii="仿宋" w:eastAsia="仿宋"/>
          <w:spacing w:val="-3"/>
        </w:rPr>
        <w:t>带状肌包括：胸骨舌骨肌、胸骨甲状肌、甲状舌骨肌、肩胛舌骨肌</w:t>
      </w:r>
    </w:p>
    <w:p>
      <w:pPr>
        <w:pStyle w:val="BodyText"/>
        <w:spacing w:before="42"/>
        <w:ind w:left="70"/>
        <w:rPr>
          <w:rFonts w:ascii="仿宋" w:eastAsia="仿宋"/>
        </w:rPr>
      </w:pPr>
      <w:r>
        <w:rPr>
          <w:rFonts w:ascii="仿宋" w:eastAsia="仿宋"/>
          <w:spacing w:val="-2"/>
          <w:position w:val="1"/>
        </w:rPr>
        <w:t>pT</w:t>
      </w:r>
      <w:r>
        <w:rPr>
          <w:rFonts w:ascii="仿宋" w:eastAsia="仿宋"/>
          <w:spacing w:val="-2"/>
          <w:sz w:val="11"/>
        </w:rPr>
        <w:t>4</w:t>
      </w:r>
      <w:r>
        <w:rPr>
          <w:rFonts w:ascii="仿宋" w:eastAsia="仿宋"/>
          <w:spacing w:val="-3"/>
          <w:position w:val="1"/>
        </w:rPr>
        <w:t>：大体侵犯甲状腺外带状肌外</w:t>
      </w:r>
    </w:p>
    <w:p>
      <w:pPr>
        <w:pStyle w:val="BodyText"/>
        <w:spacing w:line="278" w:lineRule="auto"/>
        <w:ind w:left="70" w:right="3208"/>
        <w:rPr>
          <w:rFonts w:ascii="仿宋" w:eastAsia="仿宋"/>
        </w:rPr>
      </w:pPr>
      <w:r>
        <w:rPr>
          <w:rFonts w:ascii="仿宋" w:eastAsia="仿宋"/>
          <w:spacing w:val="-2"/>
          <w:position w:val="1"/>
        </w:rPr>
        <w:t>pT</w:t>
      </w:r>
      <w:r>
        <w:rPr>
          <w:rFonts w:ascii="仿宋" w:eastAsia="仿宋"/>
          <w:spacing w:val="-2"/>
          <w:sz w:val="11"/>
        </w:rPr>
        <w:t>4a</w:t>
      </w:r>
      <w:r>
        <w:rPr>
          <w:rFonts w:ascii="仿宋" w:eastAsia="仿宋"/>
          <w:spacing w:val="-2"/>
          <w:position w:val="1"/>
        </w:rPr>
        <w:t>：侵犯喉、气管、食管、喉反神经及皮下软组织</w:t>
      </w:r>
      <w:r>
        <w:rPr>
          <w:rFonts w:ascii="仿宋" w:eastAsia="仿宋"/>
          <w:spacing w:val="-2"/>
          <w:position w:val="1"/>
        </w:rPr>
        <w:t> pT</w:t>
      </w:r>
      <w:r>
        <w:rPr>
          <w:rFonts w:ascii="仿宋" w:eastAsia="仿宋"/>
          <w:spacing w:val="-2"/>
          <w:sz w:val="11"/>
        </w:rPr>
        <w:t>4b</w:t>
      </w:r>
      <w:r>
        <w:rPr>
          <w:rFonts w:ascii="仿宋" w:eastAsia="仿宋"/>
          <w:spacing w:val="-2"/>
          <w:position w:val="1"/>
        </w:rPr>
        <w:t>：侵犯椎前筋膜，或包裹颈动脉、纵隔血管</w:t>
      </w:r>
    </w:p>
    <w:p>
      <w:pPr>
        <w:pStyle w:val="BodyText"/>
        <w:spacing w:before="0"/>
        <w:ind w:left="70"/>
        <w:rPr>
          <w:rFonts w:ascii="仿宋" w:eastAsia="仿宋"/>
        </w:rPr>
      </w:pPr>
      <w:r>
        <w:rPr>
          <w:rFonts w:ascii="仿宋" w:eastAsia="仿宋"/>
          <w:spacing w:val="-4"/>
        </w:rPr>
        <w:t>甲状腺髓样癌</w:t>
      </w:r>
    </w:p>
    <w:p>
      <w:pPr>
        <w:pStyle w:val="BodyText"/>
        <w:spacing w:line="278" w:lineRule="auto"/>
        <w:ind w:left="70" w:right="5784" w:hanging="1"/>
        <w:rPr>
          <w:rFonts w:ascii="仿宋" w:eastAsia="仿宋"/>
        </w:rPr>
      </w:pPr>
      <w:r>
        <w:rPr>
          <w:rFonts w:ascii="仿宋" w:eastAsia="仿宋"/>
          <w:spacing w:val="-2"/>
          <w:position w:val="1"/>
        </w:rPr>
        <w:t>pT</w:t>
      </w:r>
      <w:r>
        <w:rPr>
          <w:rFonts w:ascii="仿宋" w:eastAsia="仿宋"/>
          <w:spacing w:val="-2"/>
          <w:sz w:val="11"/>
        </w:rPr>
        <w:t>X</w:t>
      </w:r>
      <w:r>
        <w:rPr>
          <w:rFonts w:ascii="仿宋" w:eastAsia="仿宋"/>
          <w:spacing w:val="-2"/>
          <w:position w:val="1"/>
        </w:rPr>
        <w:t>：原发肿瘤不能评估 pT</w:t>
      </w:r>
      <w:r>
        <w:rPr>
          <w:rFonts w:ascii="仿宋" w:eastAsia="仿宋"/>
          <w:spacing w:val="-2"/>
          <w:sz w:val="11"/>
        </w:rPr>
        <w:t>0</w:t>
      </w:r>
      <w:r>
        <w:rPr>
          <w:rFonts w:ascii="仿宋" w:eastAsia="仿宋"/>
          <w:spacing w:val="-2"/>
          <w:position w:val="1"/>
        </w:rPr>
        <w:t>：无肿瘤证据</w:t>
      </w:r>
    </w:p>
    <w:p>
      <w:pPr>
        <w:pStyle w:val="BodyText"/>
        <w:spacing w:line="269" w:lineRule="exact" w:before="0"/>
        <w:ind w:left="70"/>
        <w:rPr>
          <w:rFonts w:ascii="仿宋" w:hAnsi="仿宋" w:eastAsia="仿宋"/>
        </w:rPr>
      </w:pPr>
      <w:r>
        <w:rPr>
          <w:rFonts w:ascii="仿宋" w:hAnsi="仿宋" w:eastAsia="仿宋"/>
          <w:spacing w:val="-2"/>
          <w:position w:val="1"/>
        </w:rPr>
        <w:t>pT</w:t>
      </w:r>
      <w:r>
        <w:rPr>
          <w:rFonts w:ascii="仿宋" w:hAnsi="仿宋" w:eastAsia="仿宋"/>
          <w:spacing w:val="-2"/>
          <w:sz w:val="11"/>
        </w:rPr>
        <w:t>1</w:t>
      </w:r>
      <w:r>
        <w:rPr>
          <w:rFonts w:ascii="仿宋" w:hAnsi="仿宋" w:eastAsia="仿宋"/>
          <w:spacing w:val="-3"/>
          <w:position w:val="1"/>
        </w:rPr>
        <w:t>：肿瘤局限在甲状腺内，最大径≤</w:t>
      </w:r>
      <w:r>
        <w:rPr>
          <w:rFonts w:ascii="仿宋" w:hAnsi="仿宋" w:eastAsia="仿宋"/>
          <w:spacing w:val="-4"/>
          <w:position w:val="1"/>
        </w:rPr>
        <w:t>2cm</w:t>
      </w:r>
    </w:p>
    <w:p>
      <w:pPr>
        <w:spacing w:after="0" w:line="269" w:lineRule="exact"/>
        <w:rPr>
          <w:rFonts w:ascii="仿宋" w:hAnsi="仿宋" w:eastAsia="仿宋"/>
        </w:rPr>
        <w:sectPr>
          <w:type w:val="continuous"/>
          <w:pgSz w:w="11910" w:h="16840"/>
          <w:pgMar w:header="0" w:footer="1120" w:top="1120" w:bottom="1300" w:left="1020" w:right="1020"/>
          <w:cols w:num="2" w:equalWidth="0">
            <w:col w:w="1812" w:space="40"/>
            <w:col w:w="8018"/>
          </w:cols>
        </w:sectPr>
      </w:pPr>
    </w:p>
    <w:p>
      <w:pPr>
        <w:spacing w:before="60"/>
        <w:ind w:left="2347" w:right="0" w:firstLine="0"/>
        <w:jc w:val="left"/>
        <w:rPr>
          <w:rFonts w:ascii="仿宋" w:hAnsi="仿宋" w:eastAsia="仿宋"/>
          <w:sz w:val="21"/>
        </w:rPr>
      </w:pPr>
      <w:r>
        <w:rPr>
          <w:rFonts w:ascii="仿宋" w:hAnsi="仿宋" w:eastAsia="仿宋"/>
          <w:spacing w:val="-2"/>
          <w:position w:val="1"/>
          <w:sz w:val="21"/>
        </w:rPr>
        <w:t>T</w:t>
      </w:r>
      <w:r>
        <w:rPr>
          <w:rFonts w:ascii="仿宋" w:hAnsi="仿宋" w:eastAsia="仿宋"/>
          <w:spacing w:val="-2"/>
          <w:sz w:val="11"/>
        </w:rPr>
        <w:t>1a</w:t>
      </w:r>
      <w:r>
        <w:rPr>
          <w:rFonts w:ascii="仿宋" w:hAnsi="仿宋" w:eastAsia="仿宋"/>
          <w:spacing w:val="-21"/>
          <w:sz w:val="11"/>
        </w:rPr>
        <w:t> </w:t>
      </w:r>
      <w:r>
        <w:rPr>
          <w:rFonts w:ascii="仿宋" w:hAnsi="仿宋" w:eastAsia="仿宋"/>
          <w:spacing w:val="-2"/>
          <w:position w:val="1"/>
          <w:sz w:val="21"/>
        </w:rPr>
        <w:t>肿瘤最大径</w:t>
      </w:r>
      <w:r>
        <w:rPr>
          <w:rFonts w:ascii="仿宋" w:hAnsi="仿宋" w:eastAsia="仿宋"/>
          <w:spacing w:val="-4"/>
          <w:position w:val="1"/>
          <w:sz w:val="21"/>
        </w:rPr>
        <w:t>≤1cm</w:t>
      </w:r>
    </w:p>
    <w:p>
      <w:pPr>
        <w:pStyle w:val="BodyText"/>
        <w:spacing w:line="278" w:lineRule="auto"/>
        <w:ind w:left="1922" w:right="4563" w:firstLine="424"/>
        <w:rPr>
          <w:rFonts w:ascii="仿宋" w:hAnsi="仿宋" w:eastAsia="仿宋"/>
        </w:rPr>
      </w:pPr>
      <w:r>
        <w:rPr>
          <w:rFonts w:ascii="仿宋" w:hAnsi="仿宋" w:eastAsia="仿宋"/>
          <w:spacing w:val="-2"/>
          <w:position w:val="1"/>
        </w:rPr>
        <w:t>T</w:t>
      </w:r>
      <w:r>
        <w:rPr>
          <w:rFonts w:ascii="仿宋" w:hAnsi="仿宋" w:eastAsia="仿宋"/>
          <w:spacing w:val="-2"/>
          <w:sz w:val="11"/>
        </w:rPr>
        <w:t>1b</w:t>
      </w:r>
      <w:r>
        <w:rPr>
          <w:rFonts w:ascii="仿宋" w:hAnsi="仿宋" w:eastAsia="仿宋"/>
          <w:spacing w:val="-29"/>
          <w:sz w:val="11"/>
        </w:rPr>
        <w:t> </w:t>
      </w:r>
      <w:r>
        <w:rPr>
          <w:rFonts w:ascii="仿宋" w:hAnsi="仿宋" w:eastAsia="仿宋"/>
          <w:spacing w:val="-2"/>
          <w:position w:val="1"/>
        </w:rPr>
        <w:t>肿瘤最大径</w:t>
      </w:r>
      <w:r>
        <w:rPr>
          <w:rFonts w:ascii="仿宋" w:hAnsi="仿宋" w:eastAsia="仿宋"/>
          <w:spacing w:val="-2"/>
          <w:position w:val="1"/>
        </w:rPr>
        <w:t>＞1cm，≤2cm </w:t>
      </w:r>
      <w:r>
        <w:rPr>
          <w:rFonts w:ascii="仿宋" w:hAnsi="仿宋" w:eastAsia="仿宋"/>
          <w:position w:val="1"/>
        </w:rPr>
        <w:t>pT</w:t>
      </w:r>
      <w:r>
        <w:rPr>
          <w:rFonts w:ascii="仿宋" w:hAnsi="仿宋" w:eastAsia="仿宋"/>
          <w:sz w:val="11"/>
        </w:rPr>
        <w:t>2</w:t>
      </w:r>
      <w:r>
        <w:rPr>
          <w:rFonts w:ascii="仿宋" w:hAnsi="仿宋" w:eastAsia="仿宋"/>
          <w:spacing w:val="-11"/>
          <w:position w:val="1"/>
        </w:rPr>
        <w:t>：肿瘤 </w:t>
      </w:r>
      <w:r>
        <w:rPr>
          <w:rFonts w:ascii="仿宋" w:hAnsi="仿宋" w:eastAsia="仿宋"/>
          <w:position w:val="1"/>
        </w:rPr>
        <w:t>2～4cm</w:t>
      </w:r>
    </w:p>
    <w:p>
      <w:pPr>
        <w:pStyle w:val="BodyText"/>
        <w:spacing w:line="278" w:lineRule="auto" w:before="0"/>
        <w:ind w:left="1922" w:right="2424"/>
        <w:rPr>
          <w:rFonts w:ascii="仿宋" w:eastAsia="仿宋"/>
        </w:rPr>
      </w:pPr>
      <w:r>
        <w:rPr>
          <w:rFonts w:ascii="仿宋" w:eastAsia="仿宋"/>
          <w:spacing w:val="-2"/>
          <w:position w:val="1"/>
        </w:rPr>
        <w:t>pT</w:t>
      </w:r>
      <w:r>
        <w:rPr>
          <w:rFonts w:ascii="仿宋" w:eastAsia="仿宋"/>
          <w:spacing w:val="-2"/>
          <w:sz w:val="11"/>
        </w:rPr>
        <w:t>3</w:t>
      </w:r>
      <w:r>
        <w:rPr>
          <w:rFonts w:ascii="仿宋" w:eastAsia="仿宋"/>
          <w:spacing w:val="-2"/>
          <w:position w:val="1"/>
        </w:rPr>
        <w:t>：肿瘤&gt;4cm，局限于甲状腺内或大体侵犯甲状腺外带状肌 pT</w:t>
      </w:r>
      <w:r>
        <w:rPr>
          <w:rFonts w:ascii="仿宋" w:eastAsia="仿宋"/>
          <w:spacing w:val="-2"/>
          <w:sz w:val="11"/>
        </w:rPr>
        <w:t>3a</w:t>
      </w:r>
      <w:r>
        <w:rPr>
          <w:rFonts w:ascii="仿宋" w:eastAsia="仿宋"/>
          <w:spacing w:val="-2"/>
          <w:position w:val="1"/>
        </w:rPr>
        <w:t>：肿瘤&gt;4cm，局限于甲状腺内</w:t>
      </w:r>
    </w:p>
    <w:p>
      <w:pPr>
        <w:pStyle w:val="BodyText"/>
        <w:spacing w:line="269" w:lineRule="exact" w:before="0"/>
        <w:ind w:left="1922"/>
        <w:rPr>
          <w:rFonts w:ascii="仿宋" w:eastAsia="仿宋"/>
        </w:rPr>
      </w:pPr>
      <w:r>
        <w:rPr>
          <w:rFonts w:ascii="仿宋" w:eastAsia="仿宋"/>
          <w:spacing w:val="-2"/>
          <w:position w:val="1"/>
        </w:rPr>
        <w:t>pT</w:t>
      </w:r>
      <w:r>
        <w:rPr>
          <w:rFonts w:ascii="仿宋" w:eastAsia="仿宋"/>
          <w:spacing w:val="-2"/>
          <w:sz w:val="11"/>
        </w:rPr>
        <w:t>3b</w:t>
      </w:r>
      <w:r>
        <w:rPr>
          <w:rFonts w:ascii="仿宋" w:eastAsia="仿宋"/>
          <w:spacing w:val="-3"/>
          <w:position w:val="1"/>
        </w:rPr>
        <w:t>：大体侵犯甲状腺外带状肌，无论肿瘤大小</w:t>
      </w:r>
    </w:p>
    <w:p>
      <w:pPr>
        <w:pStyle w:val="BodyText"/>
        <w:ind w:left="2488"/>
        <w:rPr>
          <w:rFonts w:ascii="仿宋" w:eastAsia="仿宋"/>
        </w:rPr>
      </w:pPr>
      <w:r>
        <w:rPr>
          <w:rFonts w:ascii="仿宋" w:eastAsia="仿宋"/>
          <w:spacing w:val="-3"/>
        </w:rPr>
        <w:t>带状肌包括：胸骨舌骨肌、胸骨甲状肌、甲状舌骨肌、肩胛舌骨肌</w:t>
      </w:r>
    </w:p>
    <w:p>
      <w:pPr>
        <w:pStyle w:val="BodyText"/>
        <w:spacing w:before="42"/>
        <w:ind w:left="1922"/>
        <w:rPr>
          <w:rFonts w:ascii="仿宋" w:eastAsia="仿宋"/>
        </w:rPr>
      </w:pPr>
      <w:r>
        <w:rPr>
          <w:rFonts w:ascii="仿宋" w:eastAsia="仿宋"/>
          <w:spacing w:val="-2"/>
          <w:position w:val="1"/>
        </w:rPr>
        <w:t>pT</w:t>
      </w:r>
      <w:r>
        <w:rPr>
          <w:rFonts w:ascii="仿宋" w:eastAsia="仿宋"/>
          <w:spacing w:val="-2"/>
          <w:sz w:val="11"/>
        </w:rPr>
        <w:t>4</w:t>
      </w:r>
      <w:r>
        <w:rPr>
          <w:rFonts w:ascii="仿宋" w:eastAsia="仿宋"/>
          <w:spacing w:val="-4"/>
          <w:position w:val="1"/>
        </w:rPr>
        <w:t>：进展期病变</w:t>
      </w:r>
    </w:p>
    <w:p>
      <w:pPr>
        <w:pStyle w:val="BodyText"/>
        <w:spacing w:line="278" w:lineRule="auto"/>
        <w:ind w:left="1922" w:right="218"/>
        <w:rPr>
          <w:rFonts w:ascii="仿宋" w:eastAsia="仿宋"/>
        </w:rPr>
      </w:pPr>
      <w:r>
        <w:rPr>
          <w:rFonts w:ascii="仿宋" w:eastAsia="仿宋"/>
          <w:spacing w:val="-2"/>
          <w:position w:val="1"/>
        </w:rPr>
        <w:t>pT</w:t>
      </w:r>
      <w:r>
        <w:rPr>
          <w:rFonts w:ascii="仿宋" w:eastAsia="仿宋"/>
          <w:spacing w:val="-2"/>
          <w:sz w:val="11"/>
        </w:rPr>
        <w:t>4a</w:t>
      </w:r>
      <w:r>
        <w:rPr>
          <w:rFonts w:ascii="仿宋" w:eastAsia="仿宋"/>
          <w:spacing w:val="-2"/>
          <w:position w:val="1"/>
        </w:rPr>
        <w:t>：中度进展，任何大小的肿瘤，侵犯甲状腺外颈部周围器官和软组织，如喉、气</w:t>
      </w:r>
      <w:r>
        <w:rPr>
          <w:rFonts w:ascii="仿宋" w:eastAsia="仿宋"/>
          <w:spacing w:val="-2"/>
        </w:rPr>
        <w:t>管、食管、喉反神经及皮下软组织</w:t>
      </w:r>
    </w:p>
    <w:p>
      <w:pPr>
        <w:pStyle w:val="BodyText"/>
        <w:spacing w:line="278" w:lineRule="auto" w:before="0"/>
        <w:ind w:left="1922" w:right="898"/>
        <w:rPr>
          <w:rFonts w:ascii="仿宋" w:eastAsia="仿宋"/>
        </w:rPr>
      </w:pPr>
      <w:r>
        <w:rPr>
          <w:rFonts w:ascii="仿宋" w:eastAsia="仿宋"/>
          <w:spacing w:val="-2"/>
          <w:position w:val="1"/>
        </w:rPr>
        <w:t>pT</w:t>
      </w:r>
      <w:r>
        <w:rPr>
          <w:rFonts w:ascii="仿宋" w:eastAsia="仿宋"/>
          <w:spacing w:val="-2"/>
          <w:sz w:val="11"/>
        </w:rPr>
        <w:t>4b</w:t>
      </w:r>
      <w:r>
        <w:rPr>
          <w:rFonts w:ascii="仿宋" w:eastAsia="仿宋"/>
          <w:spacing w:val="-2"/>
          <w:position w:val="1"/>
        </w:rPr>
        <w:t>：重度进展，任何大小的肿瘤，侵犯椎前筋膜，或包裹颈动脉、纵隔血管</w:t>
      </w:r>
      <w:r>
        <w:rPr>
          <w:rFonts w:ascii="仿宋" w:eastAsia="仿宋"/>
          <w:spacing w:val="-2"/>
        </w:rPr>
        <w:t>区域淋巴结：适用于所有甲状腺癌</w:t>
      </w:r>
    </w:p>
    <w:p>
      <w:pPr>
        <w:pStyle w:val="BodyText"/>
        <w:spacing w:line="278" w:lineRule="auto" w:before="0"/>
        <w:ind w:left="1922" w:right="5577" w:hanging="1"/>
        <w:rPr>
          <w:rFonts w:ascii="仿宋" w:eastAsia="仿宋"/>
        </w:rPr>
      </w:pPr>
      <w:r>
        <w:rPr>
          <w:rFonts w:ascii="仿宋" w:eastAsia="仿宋"/>
          <w:spacing w:val="-2"/>
          <w:position w:val="1"/>
        </w:rPr>
        <w:t>pN</w:t>
      </w:r>
      <w:r>
        <w:rPr>
          <w:rFonts w:ascii="仿宋" w:eastAsia="仿宋"/>
          <w:spacing w:val="-2"/>
          <w:sz w:val="11"/>
        </w:rPr>
        <w:t>x</w:t>
      </w:r>
      <w:r>
        <w:rPr>
          <w:rFonts w:ascii="仿宋" w:eastAsia="仿宋"/>
          <w:spacing w:val="-2"/>
          <w:position w:val="1"/>
        </w:rPr>
        <w:t>：区域淋巴结无法评估 pN</w:t>
      </w:r>
      <w:r>
        <w:rPr>
          <w:rFonts w:ascii="仿宋" w:eastAsia="仿宋"/>
          <w:spacing w:val="-2"/>
          <w:sz w:val="11"/>
        </w:rPr>
        <w:t>0</w:t>
      </w:r>
      <w:r>
        <w:rPr>
          <w:rFonts w:ascii="仿宋" w:eastAsia="仿宋"/>
          <w:spacing w:val="-2"/>
          <w:position w:val="1"/>
        </w:rPr>
        <w:t>：无淋巴结转移证据</w:t>
      </w:r>
      <w:r>
        <w:rPr>
          <w:rFonts w:ascii="仿宋" w:eastAsia="仿宋"/>
          <w:spacing w:val="-2"/>
          <w:position w:val="1"/>
        </w:rPr>
        <w:t> pN</w:t>
      </w:r>
      <w:r>
        <w:rPr>
          <w:rFonts w:ascii="仿宋" w:eastAsia="仿宋"/>
          <w:spacing w:val="-2"/>
          <w:sz w:val="11"/>
        </w:rPr>
        <w:t>1</w:t>
      </w:r>
      <w:r>
        <w:rPr>
          <w:rFonts w:ascii="仿宋" w:eastAsia="仿宋"/>
          <w:spacing w:val="-2"/>
          <w:position w:val="1"/>
        </w:rPr>
        <w:t>：区域淋巴结转移</w:t>
      </w:r>
    </w:p>
    <w:p>
      <w:pPr>
        <w:pStyle w:val="BodyText"/>
        <w:spacing w:line="278" w:lineRule="auto" w:before="0"/>
        <w:ind w:left="1922" w:right="216"/>
        <w:rPr>
          <w:rFonts w:ascii="仿宋" w:hAnsi="仿宋" w:eastAsia="仿宋"/>
        </w:rPr>
      </w:pPr>
      <w:r>
        <w:rPr>
          <w:rFonts w:ascii="仿宋" w:hAnsi="仿宋" w:eastAsia="仿宋"/>
          <w:spacing w:val="-4"/>
          <w:position w:val="1"/>
        </w:rPr>
        <w:t>pN</w:t>
      </w:r>
      <w:r>
        <w:rPr>
          <w:rFonts w:ascii="仿宋" w:hAnsi="仿宋" w:eastAsia="仿宋"/>
          <w:spacing w:val="-4"/>
          <w:sz w:val="11"/>
        </w:rPr>
        <w:t>1a</w:t>
      </w:r>
      <w:r>
        <w:rPr>
          <w:rFonts w:ascii="仿宋" w:hAnsi="仿宋" w:eastAsia="仿宋"/>
          <w:spacing w:val="-4"/>
          <w:position w:val="1"/>
        </w:rPr>
        <w:t>：转移至Ⅵ、Ⅶ区（包括气管旁、气管前、喉前/Delphian</w:t>
      </w:r>
      <w:r>
        <w:rPr>
          <w:rFonts w:ascii="仿宋" w:hAnsi="仿宋" w:eastAsia="仿宋"/>
          <w:spacing w:val="-13"/>
          <w:position w:val="1"/>
        </w:rPr>
        <w:t> 或上纵隔</w:t>
      </w:r>
      <w:r>
        <w:rPr>
          <w:rFonts w:ascii="仿宋" w:hAnsi="仿宋" w:eastAsia="仿宋"/>
          <w:spacing w:val="-4"/>
          <w:position w:val="1"/>
        </w:rPr>
        <w:t>）淋巴结，可</w:t>
      </w:r>
      <w:r>
        <w:rPr>
          <w:rFonts w:ascii="仿宋" w:hAnsi="仿宋" w:eastAsia="仿宋"/>
          <w:spacing w:val="-2"/>
        </w:rPr>
        <w:t>以为单侧或双侧。</w:t>
      </w:r>
    </w:p>
    <w:p>
      <w:pPr>
        <w:pStyle w:val="BodyText"/>
        <w:spacing w:line="278" w:lineRule="auto" w:before="0"/>
        <w:ind w:left="1922" w:right="214" w:hanging="1"/>
        <w:rPr>
          <w:rFonts w:ascii="仿宋" w:hAnsi="仿宋" w:eastAsia="仿宋"/>
        </w:rPr>
      </w:pPr>
      <w:r>
        <w:rPr>
          <w:rFonts w:ascii="仿宋" w:hAnsi="仿宋" w:eastAsia="仿宋"/>
          <w:spacing w:val="-4"/>
          <w:position w:val="1"/>
        </w:rPr>
        <w:t>pN</w:t>
      </w:r>
      <w:r>
        <w:rPr>
          <w:rFonts w:ascii="仿宋" w:hAnsi="仿宋" w:eastAsia="仿宋"/>
          <w:spacing w:val="-4"/>
          <w:sz w:val="11"/>
        </w:rPr>
        <w:t>1b</w:t>
      </w:r>
      <w:r>
        <w:rPr>
          <w:rFonts w:ascii="仿宋" w:hAnsi="仿宋" w:eastAsia="仿宋"/>
          <w:spacing w:val="-4"/>
          <w:position w:val="1"/>
        </w:rPr>
        <w:t>：单侧、双侧或对侧颈淋巴结转移（包括Ⅰ、Ⅱ、Ⅲ、Ⅳ或Ⅴ区）淋巴结或咽后淋</w:t>
      </w:r>
      <w:r>
        <w:rPr>
          <w:rFonts w:ascii="仿宋" w:hAnsi="仿宋" w:eastAsia="仿宋"/>
          <w:spacing w:val="-2"/>
        </w:rPr>
        <w:t>巴结转移。</w:t>
      </w:r>
    </w:p>
    <w:p>
      <w:pPr>
        <w:pStyle w:val="BodyText"/>
        <w:spacing w:before="0"/>
        <w:ind w:left="1922"/>
        <w:rPr>
          <w:rFonts w:ascii="仿宋" w:eastAsia="仿宋"/>
        </w:rPr>
      </w:pPr>
      <w:r>
        <w:rPr>
          <w:rFonts w:ascii="仿宋" w:eastAsia="仿宋"/>
          <w:spacing w:val="-3"/>
        </w:rPr>
        <w:t>远处转移：适用于所有甲状腺癌</w:t>
      </w:r>
    </w:p>
    <w:p>
      <w:pPr>
        <w:pStyle w:val="BodyText"/>
        <w:spacing w:line="278" w:lineRule="auto" w:before="42"/>
        <w:ind w:left="1922" w:right="6518" w:hanging="1"/>
        <w:rPr>
          <w:rFonts w:ascii="仿宋" w:eastAsia="仿宋"/>
        </w:rPr>
      </w:pPr>
      <w:r>
        <w:rPr/>
        <w:pict>
          <v:shape style="position:absolute;margin-left:147.119507pt;margin-top:32.165749pt;width:285.850pt;height:354.55pt;mso-position-horizontal-relative:page;mso-position-vertical-relative:paragraph;z-index:15731200" type="#_x0000_t202" id="docshape3" filled="false" stroked="false">
            <v:textbox inset="0,0,0,0">
              <w:txbxContent>
                <w:tbl>
                  <w:tblPr>
                    <w:tblW w:w="0" w:type="auto"/>
                    <w:jc w:val="lef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230"/>
                    <w:gridCol w:w="1244"/>
                    <w:gridCol w:w="1107"/>
                    <w:gridCol w:w="1119"/>
                  </w:tblGrid>
                  <w:tr>
                    <w:trPr>
                      <w:trHeight w:val="313" w:hRule="atLeast"/>
                    </w:trPr>
                    <w:tc>
                      <w:tcPr>
                        <w:tcW w:w="5700" w:type="dxa"/>
                        <w:gridSpan w:val="4"/>
                        <w:tcBorders>
                          <w:bottom w:val="single" w:sz="4" w:space="0" w:color="000000"/>
                        </w:tcBorders>
                      </w:tcPr>
                      <w:p>
                        <w:pPr>
                          <w:pStyle w:val="TableParagraph"/>
                          <w:spacing w:before="24"/>
                          <w:ind w:left="107"/>
                          <w:rPr>
                            <w:sz w:val="21"/>
                          </w:rPr>
                        </w:pPr>
                        <w:r>
                          <w:rPr>
                            <w:spacing w:val="-2"/>
                            <w:sz w:val="21"/>
                          </w:rPr>
                          <w:t>乳头状或滤泡状癌（分化型</w:t>
                        </w:r>
                        <w:r>
                          <w:rPr>
                            <w:spacing w:val="-10"/>
                            <w:sz w:val="21"/>
                          </w:rPr>
                          <w:t>）</w:t>
                        </w:r>
                      </w:p>
                    </w:tc>
                  </w:tr>
                  <w:tr>
                    <w:trPr>
                      <w:trHeight w:val="311" w:hRule="atLeast"/>
                    </w:trPr>
                    <w:tc>
                      <w:tcPr>
                        <w:tcW w:w="5700" w:type="dxa"/>
                        <w:gridSpan w:val="4"/>
                        <w:tcBorders>
                          <w:top w:val="single" w:sz="4" w:space="0" w:color="000000"/>
                          <w:bottom w:val="single" w:sz="4" w:space="0" w:color="000000"/>
                        </w:tcBorders>
                      </w:tcPr>
                      <w:p>
                        <w:pPr>
                          <w:pStyle w:val="TableParagraph"/>
                          <w:ind w:left="107"/>
                          <w:rPr>
                            <w:sz w:val="21"/>
                          </w:rPr>
                        </w:pPr>
                        <w:r>
                          <w:rPr>
                            <w:spacing w:val="-2"/>
                            <w:sz w:val="21"/>
                          </w:rPr>
                          <w:t>年龄＜55</w:t>
                        </w:r>
                        <w:r>
                          <w:rPr>
                            <w:spacing w:val="-29"/>
                            <w:sz w:val="21"/>
                          </w:rPr>
                          <w:t> 岁</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spacing w:before="0"/>
                          <w:ind w:left="0"/>
                          <w:rPr>
                            <w:rFonts w:ascii="Times New Roman"/>
                            <w:sz w:val="20"/>
                          </w:rPr>
                        </w:pP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w w:val="100"/>
                            <w:sz w:val="21"/>
                          </w:rPr>
                          <w:t>T</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w w:val="100"/>
                            <w:sz w:val="21"/>
                          </w:rPr>
                          <w:t>N</w:t>
                        </w:r>
                      </w:p>
                    </w:tc>
                    <w:tc>
                      <w:tcPr>
                        <w:tcW w:w="1119" w:type="dxa"/>
                        <w:tcBorders>
                          <w:top w:val="single" w:sz="4" w:space="0" w:color="000000"/>
                          <w:left w:val="single" w:sz="4" w:space="0" w:color="000000"/>
                          <w:bottom w:val="single" w:sz="4" w:space="0" w:color="000000"/>
                        </w:tcBorders>
                      </w:tcPr>
                      <w:p>
                        <w:pPr>
                          <w:pStyle w:val="TableParagraph"/>
                          <w:ind w:left="105"/>
                          <w:rPr>
                            <w:sz w:val="21"/>
                          </w:rPr>
                        </w:pPr>
                        <w:r>
                          <w:rPr>
                            <w:w w:val="100"/>
                            <w:sz w:val="21"/>
                          </w:rPr>
                          <w:t>M</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Ⅰ期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任何</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Ⅱ期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任何</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1</w:t>
                        </w:r>
                      </w:p>
                    </w:tc>
                  </w:tr>
                  <w:tr>
                    <w:trPr>
                      <w:trHeight w:val="313" w:hRule="atLeast"/>
                    </w:trPr>
                    <w:tc>
                      <w:tcPr>
                        <w:tcW w:w="5700" w:type="dxa"/>
                        <w:gridSpan w:val="4"/>
                        <w:tcBorders>
                          <w:top w:val="single" w:sz="4" w:space="0" w:color="000000"/>
                          <w:bottom w:val="single" w:sz="4" w:space="0" w:color="000000"/>
                        </w:tcBorders>
                      </w:tcPr>
                      <w:p>
                        <w:pPr>
                          <w:pStyle w:val="TableParagraph"/>
                          <w:spacing w:before="25"/>
                          <w:ind w:left="107"/>
                          <w:rPr>
                            <w:sz w:val="21"/>
                          </w:rPr>
                        </w:pPr>
                        <w:r>
                          <w:rPr>
                            <w:spacing w:val="-2"/>
                            <w:sz w:val="21"/>
                          </w:rPr>
                          <w:t>年龄≥55</w:t>
                        </w:r>
                        <w:r>
                          <w:rPr>
                            <w:spacing w:val="-29"/>
                            <w:sz w:val="21"/>
                          </w:rPr>
                          <w:t> 岁</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Ⅰ期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w w:val="100"/>
                            <w:sz w:val="21"/>
                          </w:rPr>
                          <w:t>1</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0/x</w:t>
                        </w:r>
                      </w:p>
                    </w:tc>
                    <w:tc>
                      <w:tcPr>
                        <w:tcW w:w="1119" w:type="dxa"/>
                        <w:tcBorders>
                          <w:top w:val="single" w:sz="4" w:space="0" w:color="000000"/>
                          <w:left w:val="single" w:sz="4" w:space="0" w:color="000000"/>
                          <w:bottom w:val="single" w:sz="4" w:space="0" w:color="000000"/>
                        </w:tcBorders>
                      </w:tcPr>
                      <w:p>
                        <w:pPr>
                          <w:pStyle w:val="TableParagraph"/>
                          <w:ind w:left="105"/>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spacing w:before="0"/>
                          <w:ind w:left="0"/>
                          <w:rPr>
                            <w:rFonts w:ascii="Times New Roman"/>
                            <w:sz w:val="20"/>
                          </w:rPr>
                        </w:pP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w w:val="100"/>
                            <w:sz w:val="21"/>
                          </w:rPr>
                          <w:t>2</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0/x</w:t>
                        </w:r>
                      </w:p>
                    </w:tc>
                    <w:tc>
                      <w:tcPr>
                        <w:tcW w:w="1119" w:type="dxa"/>
                        <w:tcBorders>
                          <w:top w:val="single" w:sz="4" w:space="0" w:color="000000"/>
                          <w:left w:val="single" w:sz="4" w:space="0" w:color="000000"/>
                          <w:bottom w:val="single" w:sz="4" w:space="0" w:color="000000"/>
                        </w:tcBorders>
                      </w:tcPr>
                      <w:p>
                        <w:pPr>
                          <w:pStyle w:val="TableParagraph"/>
                          <w:ind w:left="105"/>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Ⅱ期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1～2</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w w:val="100"/>
                            <w:sz w:val="21"/>
                          </w:rPr>
                          <w:t>1</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spacing w:before="0"/>
                          <w:ind w:left="0"/>
                          <w:rPr>
                            <w:rFonts w:ascii="Times New Roman"/>
                            <w:sz w:val="20"/>
                          </w:rPr>
                        </w:pP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2"/>
                            <w:sz w:val="21"/>
                          </w:rPr>
                          <w:t>3a～3b</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Ⅲ期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4a</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5"/>
                          <w:rPr>
                            <w:sz w:val="21"/>
                          </w:rPr>
                        </w:pPr>
                        <w:r>
                          <w:rPr>
                            <w:w w:val="100"/>
                            <w:sz w:val="21"/>
                          </w:rPr>
                          <w:t>0</w:t>
                        </w:r>
                      </w:p>
                    </w:tc>
                  </w:tr>
                  <w:tr>
                    <w:trPr>
                      <w:trHeight w:val="313" w:hRule="atLeast"/>
                    </w:trPr>
                    <w:tc>
                      <w:tcPr>
                        <w:tcW w:w="2230" w:type="dxa"/>
                        <w:tcBorders>
                          <w:top w:val="single" w:sz="4" w:space="0" w:color="000000"/>
                          <w:bottom w:val="single" w:sz="4" w:space="0" w:color="000000"/>
                          <w:right w:val="single" w:sz="4" w:space="0" w:color="000000"/>
                        </w:tcBorders>
                      </w:tcPr>
                      <w:p>
                        <w:pPr>
                          <w:pStyle w:val="TableParagraph"/>
                          <w:spacing w:before="25"/>
                          <w:ind w:left="107"/>
                          <w:rPr>
                            <w:sz w:val="21"/>
                          </w:rPr>
                        </w:pPr>
                        <w:r>
                          <w:rPr>
                            <w:sz w:val="21"/>
                          </w:rPr>
                          <w:t>ⅣA</w:t>
                        </w:r>
                        <w:r>
                          <w:rPr>
                            <w:spacing w:val="-32"/>
                            <w:sz w:val="21"/>
                          </w:rPr>
                          <w:t> 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spacing w:before="25"/>
                          <w:ind w:left="112"/>
                          <w:rPr>
                            <w:sz w:val="21"/>
                          </w:rPr>
                        </w:pPr>
                        <w:r>
                          <w:rPr>
                            <w:spacing w:val="-5"/>
                            <w:sz w:val="21"/>
                          </w:rPr>
                          <w:t>4b</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25"/>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spacing w:before="25"/>
                          <w:ind w:left="105"/>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z w:val="21"/>
                          </w:rPr>
                          <w:t>ⅣB</w:t>
                        </w:r>
                        <w:r>
                          <w:rPr>
                            <w:spacing w:val="-32"/>
                            <w:sz w:val="21"/>
                          </w:rPr>
                          <w:t> 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任何</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1</w:t>
                        </w:r>
                      </w:p>
                    </w:tc>
                  </w:tr>
                  <w:tr>
                    <w:trPr>
                      <w:trHeight w:val="311" w:hRule="atLeast"/>
                    </w:trPr>
                    <w:tc>
                      <w:tcPr>
                        <w:tcW w:w="5700" w:type="dxa"/>
                        <w:gridSpan w:val="4"/>
                        <w:tcBorders>
                          <w:top w:val="single" w:sz="4" w:space="0" w:color="000000"/>
                          <w:bottom w:val="single" w:sz="4" w:space="0" w:color="000000"/>
                        </w:tcBorders>
                      </w:tcPr>
                      <w:p>
                        <w:pPr>
                          <w:pStyle w:val="TableParagraph"/>
                          <w:ind w:left="107"/>
                          <w:rPr>
                            <w:sz w:val="21"/>
                          </w:rPr>
                        </w:pPr>
                        <w:r>
                          <w:rPr>
                            <w:spacing w:val="-2"/>
                            <w:sz w:val="21"/>
                          </w:rPr>
                          <w:t>髓样癌（所有年龄组</w:t>
                        </w:r>
                        <w:r>
                          <w:rPr>
                            <w:spacing w:val="-10"/>
                            <w:sz w:val="21"/>
                          </w:rPr>
                          <w:t>）</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Ⅰ期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w w:val="100"/>
                            <w:sz w:val="21"/>
                          </w:rPr>
                          <w:t>1</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w w:val="100"/>
                            <w:sz w:val="21"/>
                          </w:rPr>
                          <w:t>0</w:t>
                        </w:r>
                      </w:p>
                    </w:tc>
                    <w:tc>
                      <w:tcPr>
                        <w:tcW w:w="1119" w:type="dxa"/>
                        <w:tcBorders>
                          <w:top w:val="single" w:sz="4" w:space="0" w:color="000000"/>
                          <w:left w:val="single" w:sz="4" w:space="0" w:color="000000"/>
                          <w:bottom w:val="single" w:sz="4" w:space="0" w:color="000000"/>
                        </w:tcBorders>
                      </w:tcPr>
                      <w:p>
                        <w:pPr>
                          <w:pStyle w:val="TableParagraph"/>
                          <w:ind w:left="105"/>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Ⅱ期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2～3</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w w:val="100"/>
                            <w:sz w:val="21"/>
                          </w:rPr>
                          <w:t>0</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pacing w:val="-5"/>
                            <w:sz w:val="21"/>
                          </w:rPr>
                          <w:t>Ⅲ期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1～3</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1a</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0</w:t>
                        </w:r>
                      </w:p>
                    </w:tc>
                  </w:tr>
                  <w:tr>
                    <w:trPr>
                      <w:trHeight w:val="314" w:hRule="atLeast"/>
                    </w:trPr>
                    <w:tc>
                      <w:tcPr>
                        <w:tcW w:w="2230" w:type="dxa"/>
                        <w:tcBorders>
                          <w:top w:val="single" w:sz="4" w:space="0" w:color="000000"/>
                          <w:bottom w:val="single" w:sz="4" w:space="0" w:color="000000"/>
                          <w:right w:val="single" w:sz="4" w:space="0" w:color="000000"/>
                        </w:tcBorders>
                      </w:tcPr>
                      <w:p>
                        <w:pPr>
                          <w:pStyle w:val="TableParagraph"/>
                          <w:spacing w:before="25"/>
                          <w:ind w:left="107"/>
                          <w:rPr>
                            <w:sz w:val="21"/>
                          </w:rPr>
                        </w:pPr>
                        <w:r>
                          <w:rPr>
                            <w:sz w:val="21"/>
                          </w:rPr>
                          <w:t>ⅣA</w:t>
                        </w:r>
                        <w:r>
                          <w:rPr>
                            <w:spacing w:val="-32"/>
                            <w:sz w:val="21"/>
                          </w:rPr>
                          <w:t> 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spacing w:before="25"/>
                          <w:ind w:left="112"/>
                          <w:rPr>
                            <w:sz w:val="21"/>
                          </w:rPr>
                        </w:pPr>
                        <w:r>
                          <w:rPr>
                            <w:spacing w:val="-5"/>
                            <w:sz w:val="21"/>
                          </w:rPr>
                          <w:t>4a</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25"/>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spacing w:before="25"/>
                          <w:ind w:left="105"/>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spacing w:before="0"/>
                          <w:ind w:left="0"/>
                          <w:rPr>
                            <w:rFonts w:ascii="Times New Roman"/>
                            <w:sz w:val="20"/>
                          </w:rPr>
                        </w:pP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1～3</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1b</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z w:val="21"/>
                          </w:rPr>
                          <w:t>ⅣB</w:t>
                        </w:r>
                        <w:r>
                          <w:rPr>
                            <w:spacing w:val="-32"/>
                            <w:sz w:val="21"/>
                          </w:rPr>
                          <w:t> 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4b</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5"/>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ind w:left="107"/>
                          <w:rPr>
                            <w:sz w:val="21"/>
                          </w:rPr>
                        </w:pPr>
                        <w:r>
                          <w:rPr>
                            <w:sz w:val="21"/>
                          </w:rPr>
                          <w:t>ⅣC</w:t>
                        </w:r>
                        <w:r>
                          <w:rPr>
                            <w:spacing w:val="-32"/>
                            <w:sz w:val="21"/>
                          </w:rPr>
                          <w:t> 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任何</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1</w:t>
                        </w:r>
                      </w:p>
                    </w:tc>
                  </w:tr>
                  <w:tr>
                    <w:trPr>
                      <w:trHeight w:val="311" w:hRule="atLeast"/>
                    </w:trPr>
                    <w:tc>
                      <w:tcPr>
                        <w:tcW w:w="5700" w:type="dxa"/>
                        <w:gridSpan w:val="4"/>
                        <w:tcBorders>
                          <w:top w:val="single" w:sz="4" w:space="0" w:color="000000"/>
                          <w:bottom w:val="single" w:sz="4" w:space="0" w:color="000000"/>
                        </w:tcBorders>
                      </w:tcPr>
                      <w:p>
                        <w:pPr>
                          <w:pStyle w:val="TableParagraph"/>
                          <w:ind w:left="107"/>
                          <w:rPr>
                            <w:sz w:val="21"/>
                          </w:rPr>
                        </w:pPr>
                        <w:r>
                          <w:rPr>
                            <w:spacing w:val="-2"/>
                            <w:sz w:val="21"/>
                          </w:rPr>
                          <w:t>未分化癌（所有年龄组</w:t>
                        </w:r>
                        <w:r>
                          <w:rPr>
                            <w:spacing w:val="-10"/>
                            <w:sz w:val="21"/>
                          </w:rPr>
                          <w:t>）</w:t>
                        </w:r>
                      </w:p>
                    </w:tc>
                  </w:tr>
                </w:tbl>
                <w:p>
                  <w:pPr>
                    <w:pStyle w:val="BodyText"/>
                    <w:spacing w:before="0"/>
                  </w:pPr>
                </w:p>
              </w:txbxContent>
            </v:textbox>
            <w10:wrap type="none"/>
          </v:shape>
        </w:pict>
      </w:r>
      <w:r>
        <w:rPr>
          <w:rFonts w:ascii="仿宋" w:eastAsia="仿宋"/>
          <w:spacing w:val="-2"/>
        </w:rPr>
        <w:t>M</w:t>
      </w:r>
      <w:r>
        <w:rPr>
          <w:rFonts w:ascii="仿宋" w:eastAsia="仿宋"/>
          <w:spacing w:val="-2"/>
          <w:sz w:val="11"/>
        </w:rPr>
        <w:t>0</w:t>
      </w:r>
      <w:r>
        <w:rPr>
          <w:rFonts w:ascii="仿宋" w:eastAsia="仿宋"/>
          <w:spacing w:val="-2"/>
        </w:rPr>
        <w:t>：无远处转移 M</w:t>
      </w:r>
      <w:r>
        <w:rPr>
          <w:rFonts w:ascii="仿宋" w:eastAsia="仿宋"/>
          <w:spacing w:val="-2"/>
          <w:sz w:val="11"/>
        </w:rPr>
        <w:t>1</w:t>
      </w:r>
      <w:r>
        <w:rPr>
          <w:rFonts w:ascii="仿宋" w:eastAsia="仿宋"/>
          <w:spacing w:val="-4"/>
        </w:rPr>
        <w:t>：有远处转移</w:t>
      </w:r>
    </w:p>
    <w:p>
      <w:pPr>
        <w:spacing w:after="0" w:line="278" w:lineRule="auto"/>
        <w:rPr>
          <w:rFonts w:ascii="仿宋" w:eastAsia="仿宋"/>
        </w:rPr>
        <w:sectPr>
          <w:pgSz w:w="11910" w:h="16840"/>
          <w:pgMar w:header="0" w:footer="1120" w:top="1360" w:bottom="1300" w:left="1020" w:right="1020"/>
        </w:sectPr>
      </w:pPr>
    </w:p>
    <w:tbl>
      <w:tblPr>
        <w:tblW w:w="0" w:type="auto"/>
        <w:jc w:val="left"/>
        <w:tblInd w:w="19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230"/>
        <w:gridCol w:w="1244"/>
        <w:gridCol w:w="1107"/>
        <w:gridCol w:w="1119"/>
      </w:tblGrid>
      <w:tr>
        <w:trPr>
          <w:trHeight w:val="311" w:hRule="atLeast"/>
        </w:trPr>
        <w:tc>
          <w:tcPr>
            <w:tcW w:w="2230" w:type="dxa"/>
            <w:tcBorders>
              <w:top w:val="nil"/>
              <w:bottom w:val="single" w:sz="4" w:space="0" w:color="000000"/>
              <w:right w:val="single" w:sz="4" w:space="0" w:color="000000"/>
            </w:tcBorders>
          </w:tcPr>
          <w:p>
            <w:pPr>
              <w:pStyle w:val="TableParagraph"/>
              <w:spacing w:line="269" w:lineRule="exact" w:before="23"/>
              <w:ind w:left="107"/>
              <w:rPr>
                <w:sz w:val="21"/>
              </w:rPr>
            </w:pPr>
            <w:r>
              <w:rPr>
                <w:sz w:val="21"/>
              </w:rPr>
              <w:t>ⅣA</w:t>
            </w:r>
            <w:r>
              <w:rPr>
                <w:spacing w:val="-32"/>
                <w:sz w:val="21"/>
              </w:rPr>
              <w:t> 期</w:t>
            </w:r>
          </w:p>
        </w:tc>
        <w:tc>
          <w:tcPr>
            <w:tcW w:w="1244" w:type="dxa"/>
            <w:tcBorders>
              <w:top w:val="nil"/>
              <w:left w:val="single" w:sz="4" w:space="0" w:color="000000"/>
              <w:bottom w:val="single" w:sz="4" w:space="0" w:color="000000"/>
              <w:right w:val="single" w:sz="4" w:space="0" w:color="000000"/>
            </w:tcBorders>
          </w:tcPr>
          <w:p>
            <w:pPr>
              <w:pStyle w:val="TableParagraph"/>
              <w:spacing w:line="269" w:lineRule="exact" w:before="23"/>
              <w:ind w:left="112"/>
              <w:rPr>
                <w:sz w:val="21"/>
              </w:rPr>
            </w:pPr>
            <w:r>
              <w:rPr>
                <w:spacing w:val="-4"/>
                <w:sz w:val="21"/>
              </w:rPr>
              <w:t>1～3a</w:t>
            </w:r>
          </w:p>
        </w:tc>
        <w:tc>
          <w:tcPr>
            <w:tcW w:w="1107" w:type="dxa"/>
            <w:tcBorders>
              <w:top w:val="nil"/>
              <w:left w:val="single" w:sz="4" w:space="0" w:color="000000"/>
              <w:bottom w:val="single" w:sz="4" w:space="0" w:color="000000"/>
              <w:right w:val="single" w:sz="4" w:space="0" w:color="000000"/>
            </w:tcBorders>
          </w:tcPr>
          <w:p>
            <w:pPr>
              <w:pStyle w:val="TableParagraph"/>
              <w:spacing w:line="269" w:lineRule="exact" w:before="23"/>
              <w:ind w:left="111"/>
              <w:rPr>
                <w:sz w:val="21"/>
              </w:rPr>
            </w:pPr>
            <w:r>
              <w:rPr>
                <w:spacing w:val="-5"/>
                <w:sz w:val="21"/>
              </w:rPr>
              <w:t>0/x</w:t>
            </w:r>
          </w:p>
        </w:tc>
        <w:tc>
          <w:tcPr>
            <w:tcW w:w="1119" w:type="dxa"/>
            <w:tcBorders>
              <w:top w:val="nil"/>
              <w:left w:val="single" w:sz="4" w:space="0" w:color="000000"/>
              <w:bottom w:val="single" w:sz="4" w:space="0" w:color="000000"/>
            </w:tcBorders>
          </w:tcPr>
          <w:p>
            <w:pPr>
              <w:pStyle w:val="TableParagraph"/>
              <w:spacing w:line="269" w:lineRule="exact" w:before="23"/>
              <w:ind w:left="106"/>
              <w:rPr>
                <w:sz w:val="21"/>
              </w:rPr>
            </w:pPr>
            <w:r>
              <w:rPr>
                <w:w w:val="100"/>
                <w:sz w:val="21"/>
              </w:rPr>
              <w:t>0</w:t>
            </w:r>
          </w:p>
        </w:tc>
      </w:tr>
      <w:tr>
        <w:trPr>
          <w:trHeight w:val="313" w:hRule="atLeast"/>
        </w:trPr>
        <w:tc>
          <w:tcPr>
            <w:tcW w:w="2230" w:type="dxa"/>
            <w:tcBorders>
              <w:top w:val="single" w:sz="4" w:space="0" w:color="000000"/>
              <w:bottom w:val="single" w:sz="4" w:space="0" w:color="000000"/>
              <w:right w:val="single" w:sz="4" w:space="0" w:color="000000"/>
            </w:tcBorders>
          </w:tcPr>
          <w:p>
            <w:pPr>
              <w:pStyle w:val="TableParagraph"/>
              <w:spacing w:before="25"/>
              <w:ind w:left="107"/>
              <w:rPr>
                <w:sz w:val="21"/>
              </w:rPr>
            </w:pPr>
            <w:r>
              <w:rPr>
                <w:sz w:val="21"/>
              </w:rPr>
              <w:t>ⅣB</w:t>
            </w:r>
            <w:r>
              <w:rPr>
                <w:spacing w:val="-32"/>
                <w:sz w:val="21"/>
              </w:rPr>
              <w:t> 期</w:t>
            </w:r>
          </w:p>
        </w:tc>
        <w:tc>
          <w:tcPr>
            <w:tcW w:w="1244" w:type="dxa"/>
            <w:tcBorders>
              <w:top w:val="single" w:sz="4" w:space="0" w:color="000000"/>
              <w:left w:val="single" w:sz="4" w:space="0" w:color="000000"/>
              <w:bottom w:val="single" w:sz="4" w:space="0" w:color="000000"/>
              <w:right w:val="single" w:sz="4" w:space="0" w:color="000000"/>
            </w:tcBorders>
          </w:tcPr>
          <w:p>
            <w:pPr>
              <w:pStyle w:val="TableParagraph"/>
              <w:spacing w:before="25"/>
              <w:ind w:left="112"/>
              <w:rPr>
                <w:sz w:val="21"/>
              </w:rPr>
            </w:pPr>
            <w:r>
              <w:rPr>
                <w:spacing w:val="-4"/>
                <w:sz w:val="21"/>
              </w:rPr>
              <w:t>1～3a</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spacing w:before="25"/>
              <w:ind w:left="111"/>
              <w:rPr>
                <w:sz w:val="21"/>
              </w:rPr>
            </w:pPr>
            <w:r>
              <w:rPr>
                <w:w w:val="100"/>
                <w:sz w:val="21"/>
              </w:rPr>
              <w:t>1</w:t>
            </w:r>
          </w:p>
        </w:tc>
        <w:tc>
          <w:tcPr>
            <w:tcW w:w="1119" w:type="dxa"/>
            <w:tcBorders>
              <w:top w:val="single" w:sz="4" w:space="0" w:color="000000"/>
              <w:left w:val="single" w:sz="4" w:space="0" w:color="000000"/>
              <w:bottom w:val="single" w:sz="4" w:space="0" w:color="000000"/>
            </w:tcBorders>
          </w:tcPr>
          <w:p>
            <w:pPr>
              <w:pStyle w:val="TableParagraph"/>
              <w:spacing w:before="25"/>
              <w:ind w:left="106"/>
              <w:rPr>
                <w:sz w:val="21"/>
              </w:rPr>
            </w:pPr>
            <w:r>
              <w:rPr>
                <w:w w:val="100"/>
                <w:sz w:val="21"/>
              </w:rPr>
              <w:t>0</w:t>
            </w:r>
          </w:p>
        </w:tc>
      </w:tr>
      <w:tr>
        <w:trPr>
          <w:trHeight w:val="311" w:hRule="atLeast"/>
        </w:trPr>
        <w:tc>
          <w:tcPr>
            <w:tcW w:w="2230" w:type="dxa"/>
            <w:tcBorders>
              <w:top w:val="single" w:sz="4" w:space="0" w:color="000000"/>
              <w:bottom w:val="single" w:sz="4" w:space="0" w:color="000000"/>
              <w:right w:val="single" w:sz="4" w:space="0" w:color="000000"/>
            </w:tcBorders>
          </w:tcPr>
          <w:p>
            <w:pPr>
              <w:pStyle w:val="TableParagraph"/>
              <w:spacing w:before="0"/>
              <w:ind w:left="0"/>
              <w:rPr>
                <w:rFonts w:ascii="Times New Roman"/>
                <w:sz w:val="20"/>
              </w:rPr>
            </w:pPr>
          </w:p>
        </w:tc>
        <w:tc>
          <w:tcPr>
            <w:tcW w:w="1244"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4"/>
                <w:sz w:val="21"/>
              </w:rPr>
              <w:t>3b～4</w:t>
            </w:r>
          </w:p>
        </w:tc>
        <w:tc>
          <w:tcPr>
            <w:tcW w:w="1107" w:type="dxa"/>
            <w:tcBorders>
              <w:top w:val="single" w:sz="4" w:space="0" w:color="000000"/>
              <w:left w:val="single" w:sz="4" w:space="0" w:color="000000"/>
              <w:bottom w:val="single" w:sz="4" w:space="0" w:color="000000"/>
              <w:right w:val="single" w:sz="4" w:space="0" w:color="000000"/>
            </w:tcBorders>
          </w:tcPr>
          <w:p>
            <w:pPr>
              <w:pStyle w:val="TableParagraph"/>
              <w:ind w:left="111"/>
              <w:rPr>
                <w:sz w:val="21"/>
              </w:rPr>
            </w:pPr>
            <w:r>
              <w:rPr>
                <w:spacing w:val="-5"/>
                <w:sz w:val="21"/>
              </w:rPr>
              <w:t>任何</w:t>
            </w:r>
          </w:p>
        </w:tc>
        <w:tc>
          <w:tcPr>
            <w:tcW w:w="1119" w:type="dxa"/>
            <w:tcBorders>
              <w:top w:val="single" w:sz="4" w:space="0" w:color="000000"/>
              <w:left w:val="single" w:sz="4" w:space="0" w:color="000000"/>
              <w:bottom w:val="single" w:sz="4" w:space="0" w:color="000000"/>
            </w:tcBorders>
          </w:tcPr>
          <w:p>
            <w:pPr>
              <w:pStyle w:val="TableParagraph"/>
              <w:ind w:left="106"/>
              <w:rPr>
                <w:sz w:val="21"/>
              </w:rPr>
            </w:pPr>
            <w:r>
              <w:rPr>
                <w:w w:val="100"/>
                <w:sz w:val="21"/>
              </w:rPr>
              <w:t>0</w:t>
            </w:r>
          </w:p>
        </w:tc>
      </w:tr>
      <w:tr>
        <w:trPr>
          <w:trHeight w:val="311" w:hRule="atLeast"/>
        </w:trPr>
        <w:tc>
          <w:tcPr>
            <w:tcW w:w="2230" w:type="dxa"/>
            <w:tcBorders>
              <w:top w:val="single" w:sz="4" w:space="0" w:color="000000"/>
              <w:right w:val="single" w:sz="4" w:space="0" w:color="000000"/>
            </w:tcBorders>
          </w:tcPr>
          <w:p>
            <w:pPr>
              <w:pStyle w:val="TableParagraph"/>
              <w:spacing w:line="269" w:lineRule="exact"/>
              <w:ind w:left="107"/>
              <w:rPr>
                <w:sz w:val="21"/>
              </w:rPr>
            </w:pPr>
            <w:r>
              <w:rPr>
                <w:sz w:val="21"/>
              </w:rPr>
              <w:t>ⅣC</w:t>
            </w:r>
            <w:r>
              <w:rPr>
                <w:spacing w:val="-32"/>
                <w:sz w:val="21"/>
              </w:rPr>
              <w:t> 期</w:t>
            </w:r>
          </w:p>
        </w:tc>
        <w:tc>
          <w:tcPr>
            <w:tcW w:w="1244" w:type="dxa"/>
            <w:tcBorders>
              <w:top w:val="single" w:sz="4" w:space="0" w:color="000000"/>
              <w:left w:val="single" w:sz="4" w:space="0" w:color="000000"/>
              <w:right w:val="single" w:sz="4" w:space="0" w:color="000000"/>
            </w:tcBorders>
          </w:tcPr>
          <w:p>
            <w:pPr>
              <w:pStyle w:val="TableParagraph"/>
              <w:spacing w:line="269" w:lineRule="exact"/>
              <w:ind w:left="112"/>
              <w:rPr>
                <w:sz w:val="21"/>
              </w:rPr>
            </w:pPr>
            <w:r>
              <w:rPr>
                <w:spacing w:val="-5"/>
                <w:sz w:val="21"/>
              </w:rPr>
              <w:t>任何</w:t>
            </w:r>
          </w:p>
        </w:tc>
        <w:tc>
          <w:tcPr>
            <w:tcW w:w="1107" w:type="dxa"/>
            <w:tcBorders>
              <w:top w:val="single" w:sz="4" w:space="0" w:color="000000"/>
              <w:left w:val="single" w:sz="4" w:space="0" w:color="000000"/>
              <w:right w:val="single" w:sz="4" w:space="0" w:color="000000"/>
            </w:tcBorders>
          </w:tcPr>
          <w:p>
            <w:pPr>
              <w:pStyle w:val="TableParagraph"/>
              <w:spacing w:line="269" w:lineRule="exact"/>
              <w:ind w:left="111"/>
              <w:rPr>
                <w:sz w:val="21"/>
              </w:rPr>
            </w:pPr>
            <w:r>
              <w:rPr>
                <w:spacing w:val="-5"/>
                <w:sz w:val="21"/>
              </w:rPr>
              <w:t>任何</w:t>
            </w:r>
          </w:p>
        </w:tc>
        <w:tc>
          <w:tcPr>
            <w:tcW w:w="1119" w:type="dxa"/>
            <w:tcBorders>
              <w:top w:val="single" w:sz="4" w:space="0" w:color="000000"/>
              <w:left w:val="single" w:sz="4" w:space="0" w:color="000000"/>
            </w:tcBorders>
          </w:tcPr>
          <w:p>
            <w:pPr>
              <w:pStyle w:val="TableParagraph"/>
              <w:spacing w:line="269" w:lineRule="exact"/>
              <w:ind w:left="106"/>
              <w:rPr>
                <w:sz w:val="21"/>
              </w:rPr>
            </w:pPr>
            <w:r>
              <w:rPr>
                <w:w w:val="100"/>
                <w:sz w:val="21"/>
              </w:rPr>
              <w:t>1</w:t>
            </w:r>
          </w:p>
        </w:tc>
      </w:tr>
    </w:tbl>
    <w:p>
      <w:pPr>
        <w:pStyle w:val="BodyText"/>
        <w:ind w:left="1920"/>
      </w:pPr>
      <w:r>
        <w:rPr>
          <w:spacing w:val="-3"/>
        </w:rPr>
        <w:t>注：以上表格中“年龄”指患者病理组织标本获取日期时的年龄</w:t>
      </w:r>
    </w:p>
    <w:p>
      <w:pPr>
        <w:pStyle w:val="BodyText"/>
        <w:spacing w:before="1"/>
      </w:pPr>
    </w:p>
    <w:p>
      <w:pPr>
        <w:pStyle w:val="ListParagraph"/>
        <w:numPr>
          <w:ilvl w:val="0"/>
          <w:numId w:val="20"/>
        </w:numPr>
        <w:tabs>
          <w:tab w:pos="714" w:val="left" w:leader="none"/>
          <w:tab w:pos="1922" w:val="left" w:leader="none"/>
        </w:tabs>
        <w:spacing w:line="240" w:lineRule="auto" w:before="0" w:after="0"/>
        <w:ind w:left="713" w:right="0" w:hanging="319"/>
        <w:jc w:val="left"/>
        <w:rPr>
          <w:sz w:val="21"/>
        </w:rPr>
      </w:pPr>
      <w:r>
        <w:rPr>
          <w:b/>
          <w:sz w:val="21"/>
        </w:rPr>
        <w:t>肢</w:t>
      </w:r>
      <w:r>
        <w:rPr>
          <w:b/>
          <w:spacing w:val="-10"/>
          <w:sz w:val="21"/>
        </w:rPr>
        <w:t>体</w:t>
      </w:r>
      <w:r>
        <w:rPr>
          <w:b/>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pStyle w:val="BodyText"/>
        <w:spacing w:before="0"/>
      </w:pPr>
    </w:p>
    <w:p>
      <w:pPr>
        <w:pStyle w:val="ListParagraph"/>
        <w:numPr>
          <w:ilvl w:val="0"/>
          <w:numId w:val="20"/>
        </w:numPr>
        <w:tabs>
          <w:tab w:pos="714" w:val="left" w:leader="none"/>
          <w:tab w:pos="1922" w:val="left" w:leader="none"/>
        </w:tabs>
        <w:spacing w:line="240" w:lineRule="auto" w:before="0" w:after="0"/>
        <w:ind w:left="713" w:right="0" w:hanging="319"/>
        <w:jc w:val="left"/>
        <w:rPr>
          <w:sz w:val="21"/>
        </w:rPr>
      </w:pPr>
      <w:r>
        <w:rPr>
          <w:b/>
          <w:sz w:val="21"/>
        </w:rPr>
        <w:t>肌</w:t>
      </w:r>
      <w:r>
        <w:rPr>
          <w:b/>
          <w:spacing w:val="-10"/>
          <w:sz w:val="21"/>
        </w:rPr>
        <w:t>力</w:t>
      </w:r>
      <w:r>
        <w:rPr>
          <w:b/>
          <w:sz w:val="21"/>
        </w:rPr>
        <w:tab/>
      </w:r>
      <w:r>
        <w:rPr>
          <w:spacing w:val="-2"/>
          <w:sz w:val="21"/>
        </w:rPr>
        <w:t>指</w:t>
      </w:r>
      <w:r>
        <w:rPr>
          <w:spacing w:val="-2"/>
          <w:sz w:val="21"/>
        </w:rPr>
        <w:t>肌</w:t>
      </w:r>
      <w:r>
        <w:rPr>
          <w:spacing w:val="-2"/>
          <w:sz w:val="21"/>
        </w:rPr>
        <w:t>肉收缩时的力量。肌</w:t>
      </w:r>
      <w:r>
        <w:rPr>
          <w:spacing w:val="-2"/>
          <w:sz w:val="21"/>
        </w:rPr>
        <w:t>力</w:t>
      </w:r>
      <w:r>
        <w:rPr>
          <w:spacing w:val="-2"/>
          <w:sz w:val="21"/>
        </w:rPr>
        <w:t>划</w:t>
      </w:r>
      <w:r>
        <w:rPr>
          <w:spacing w:val="-2"/>
          <w:sz w:val="21"/>
        </w:rPr>
        <w:t>分为</w:t>
      </w:r>
      <w:r>
        <w:rPr>
          <w:spacing w:val="-50"/>
          <w:sz w:val="21"/>
        </w:rPr>
        <w:t> </w:t>
      </w:r>
      <w:r>
        <w:rPr>
          <w:spacing w:val="-2"/>
          <w:sz w:val="21"/>
        </w:rPr>
        <w:t>0-5</w:t>
      </w:r>
      <w:r>
        <w:rPr>
          <w:spacing w:val="9"/>
          <w:sz w:val="21"/>
        </w:rPr>
        <w:t> </w:t>
      </w:r>
      <w:r>
        <w:rPr>
          <w:spacing w:val="-2"/>
          <w:sz w:val="21"/>
        </w:rPr>
        <w:t>级，具</w:t>
      </w:r>
      <w:r>
        <w:rPr>
          <w:spacing w:val="-2"/>
          <w:sz w:val="21"/>
        </w:rPr>
        <w:t>体</w:t>
      </w:r>
      <w:r>
        <w:rPr>
          <w:spacing w:val="-2"/>
          <w:sz w:val="21"/>
        </w:rPr>
        <w:t>为</w:t>
      </w:r>
      <w:r>
        <w:rPr>
          <w:spacing w:val="-10"/>
          <w:sz w:val="21"/>
        </w:rPr>
        <w:t>：</w:t>
      </w:r>
    </w:p>
    <w:p>
      <w:pPr>
        <w:pStyle w:val="ListParagraph"/>
        <w:numPr>
          <w:ilvl w:val="0"/>
          <w:numId w:val="127"/>
        </w:numPr>
        <w:tabs>
          <w:tab w:pos="2082" w:val="left" w:leader="none"/>
        </w:tabs>
        <w:spacing w:line="240" w:lineRule="auto" w:before="43" w:after="0"/>
        <w:ind w:left="2081" w:right="0" w:hanging="160"/>
        <w:jc w:val="left"/>
        <w:rPr>
          <w:sz w:val="21"/>
        </w:rPr>
      </w:pPr>
      <w:r>
        <w:rPr>
          <w:spacing w:val="-3"/>
          <w:sz w:val="21"/>
        </w:rPr>
        <w:t>级：肌肉完全瘫痪，毫无收缩。</w:t>
      </w:r>
    </w:p>
    <w:p>
      <w:pPr>
        <w:pStyle w:val="ListParagraph"/>
        <w:numPr>
          <w:ilvl w:val="0"/>
          <w:numId w:val="127"/>
        </w:numPr>
        <w:tabs>
          <w:tab w:pos="2082" w:val="left" w:leader="none"/>
        </w:tabs>
        <w:spacing w:line="240" w:lineRule="auto" w:before="43" w:after="0"/>
        <w:ind w:left="2081" w:right="0" w:hanging="160"/>
        <w:jc w:val="left"/>
        <w:rPr>
          <w:sz w:val="21"/>
        </w:rPr>
      </w:pPr>
      <w:r>
        <w:rPr>
          <w:spacing w:val="-3"/>
          <w:sz w:val="21"/>
        </w:rPr>
        <w:t>级：可看到或者触及肌肉轻微收缩，但不能产生动作。</w:t>
      </w:r>
    </w:p>
    <w:p>
      <w:pPr>
        <w:pStyle w:val="ListParagraph"/>
        <w:numPr>
          <w:ilvl w:val="0"/>
          <w:numId w:val="127"/>
        </w:numPr>
        <w:tabs>
          <w:tab w:pos="2082" w:val="left" w:leader="none"/>
        </w:tabs>
        <w:spacing w:line="240" w:lineRule="auto" w:before="42" w:after="0"/>
        <w:ind w:left="2081" w:right="0" w:hanging="160"/>
        <w:jc w:val="left"/>
        <w:rPr>
          <w:sz w:val="21"/>
        </w:rPr>
      </w:pPr>
      <w:r>
        <w:rPr>
          <w:spacing w:val="-3"/>
          <w:sz w:val="21"/>
        </w:rPr>
        <w:t>级：肌肉在不受重力影响下，可进行运动，即肢体能在床面上移动，但不能抬高。</w:t>
      </w:r>
    </w:p>
    <w:p>
      <w:pPr>
        <w:pStyle w:val="ListParagraph"/>
        <w:numPr>
          <w:ilvl w:val="0"/>
          <w:numId w:val="127"/>
        </w:numPr>
        <w:tabs>
          <w:tab w:pos="2081" w:val="left" w:leader="none"/>
        </w:tabs>
        <w:spacing w:line="240" w:lineRule="auto" w:before="44" w:after="0"/>
        <w:ind w:left="2080" w:right="0" w:hanging="159"/>
        <w:jc w:val="left"/>
        <w:rPr>
          <w:sz w:val="21"/>
        </w:rPr>
      </w:pPr>
      <w:r>
        <w:rPr>
          <w:spacing w:val="-3"/>
          <w:sz w:val="21"/>
        </w:rPr>
        <w:t>级：在和地心引力相反的方向中尚能完成其动作，但不能对抗外加阻力。</w:t>
      </w:r>
    </w:p>
    <w:p>
      <w:pPr>
        <w:pStyle w:val="ListParagraph"/>
        <w:numPr>
          <w:ilvl w:val="0"/>
          <w:numId w:val="127"/>
        </w:numPr>
        <w:tabs>
          <w:tab w:pos="2081" w:val="left" w:leader="none"/>
        </w:tabs>
        <w:spacing w:line="240" w:lineRule="auto" w:before="42" w:after="0"/>
        <w:ind w:left="2080" w:right="0" w:hanging="159"/>
        <w:jc w:val="left"/>
        <w:rPr>
          <w:sz w:val="21"/>
        </w:rPr>
      </w:pPr>
      <w:r>
        <w:rPr>
          <w:spacing w:val="-3"/>
          <w:sz w:val="21"/>
        </w:rPr>
        <w:t>级：能对抗一定的阻力，但较正常人为低。</w:t>
      </w:r>
    </w:p>
    <w:p>
      <w:pPr>
        <w:pStyle w:val="ListParagraph"/>
        <w:numPr>
          <w:ilvl w:val="0"/>
          <w:numId w:val="127"/>
        </w:numPr>
        <w:tabs>
          <w:tab w:pos="2081" w:val="left" w:leader="none"/>
        </w:tabs>
        <w:spacing w:line="240" w:lineRule="auto" w:before="43" w:after="0"/>
        <w:ind w:left="2080" w:right="0" w:hanging="159"/>
        <w:jc w:val="left"/>
        <w:rPr>
          <w:sz w:val="21"/>
        </w:rPr>
      </w:pPr>
      <w:r>
        <w:rPr>
          <w:spacing w:val="-4"/>
          <w:sz w:val="21"/>
        </w:rPr>
        <w:t>级：正常肌力。</w:t>
      </w:r>
    </w:p>
    <w:p>
      <w:pPr>
        <w:pStyle w:val="BodyText"/>
        <w:spacing w:before="8"/>
        <w:rPr>
          <w:sz w:val="15"/>
        </w:rPr>
      </w:pPr>
    </w:p>
    <w:p>
      <w:pPr>
        <w:pStyle w:val="ListParagraph"/>
        <w:numPr>
          <w:ilvl w:val="0"/>
          <w:numId w:val="20"/>
        </w:numPr>
        <w:tabs>
          <w:tab w:pos="723" w:val="left" w:leader="none"/>
        </w:tabs>
        <w:spacing w:line="240" w:lineRule="auto" w:before="71" w:after="0"/>
        <w:ind w:left="722" w:right="0" w:hanging="328"/>
        <w:jc w:val="left"/>
        <w:rPr>
          <w:sz w:val="21"/>
        </w:rPr>
      </w:pPr>
      <w:r>
        <w:rPr>
          <w:b/>
          <w:spacing w:val="-2"/>
          <w:sz w:val="21"/>
        </w:rPr>
        <w:t>语言能力完 </w:t>
      </w:r>
      <w:r>
        <w:rPr>
          <w:sz w:val="21"/>
        </w:rPr>
        <w:t>语言能力完全丧失，指无法发出四种语音（包括口唇音、齿舌音、口盖音和喉头音</w:t>
      </w:r>
      <w:r>
        <w:rPr>
          <w:spacing w:val="-10"/>
          <w:sz w:val="21"/>
        </w:rPr>
        <w:t>）</w:t>
      </w:r>
    </w:p>
    <w:p>
      <w:pPr>
        <w:pStyle w:val="BodyText"/>
        <w:ind w:left="395"/>
      </w:pPr>
      <w:r>
        <w:rPr>
          <w:b/>
          <w:spacing w:val="14"/>
        </w:rPr>
        <w:t>全丧失或严重 </w:t>
      </w:r>
      <w:r>
        <w:rPr>
          <w:spacing w:val="-1"/>
        </w:rPr>
        <w:t>中的任何三种、或声带全部切除，或因大脑语言中枢受伤害而患失语症。</w:t>
      </w:r>
    </w:p>
    <w:p>
      <w:pPr>
        <w:pStyle w:val="BodyText"/>
        <w:ind w:left="395"/>
      </w:pPr>
      <w:r>
        <w:rPr>
          <w:b/>
          <w:spacing w:val="7"/>
        </w:rPr>
        <w:t>咀嚼吞咽功能 </w:t>
      </w:r>
      <w:r>
        <w:rPr>
          <w:spacing w:val="-1"/>
        </w:rPr>
        <w:t>严重咀嚼吞咽功能障碍，指因牙齿以外的原因导致器质障碍或机能障碍，以致不能作</w:t>
      </w:r>
    </w:p>
    <w:p>
      <w:pPr>
        <w:pStyle w:val="BodyText"/>
        <w:tabs>
          <w:tab w:pos="1922" w:val="left" w:leader="none"/>
        </w:tabs>
        <w:ind w:left="395"/>
      </w:pPr>
      <w:r>
        <w:rPr>
          <w:b/>
        </w:rPr>
        <w:t>障</w:t>
      </w:r>
      <w:r>
        <w:rPr>
          <w:b/>
          <w:spacing w:val="-10"/>
        </w:rPr>
        <w:t>碍</w:t>
      </w:r>
      <w:r>
        <w:rPr>
          <w:b/>
        </w:rPr>
        <w:tab/>
      </w:r>
      <w:r>
        <w:rPr>
          <w:spacing w:val="-2"/>
        </w:rPr>
        <w:t>咀</w:t>
      </w:r>
      <w:r>
        <w:rPr>
          <w:spacing w:val="-2"/>
        </w:rPr>
        <w:t>嚼</w:t>
      </w:r>
      <w:r>
        <w:rPr>
          <w:spacing w:val="-2"/>
        </w:rPr>
        <w:t>吞咽运动，除流质食</w:t>
      </w:r>
      <w:r>
        <w:rPr>
          <w:spacing w:val="-2"/>
        </w:rPr>
        <w:t>物</w:t>
      </w:r>
      <w:r>
        <w:rPr>
          <w:spacing w:val="-2"/>
        </w:rPr>
        <w:t>外</w:t>
      </w:r>
      <w:r>
        <w:rPr>
          <w:spacing w:val="-2"/>
        </w:rPr>
        <w:t>不能摄取或吞咽的状</w:t>
      </w:r>
      <w:r>
        <w:rPr>
          <w:spacing w:val="-2"/>
        </w:rPr>
        <w:t>态</w:t>
      </w:r>
      <w:r>
        <w:rPr>
          <w:spacing w:val="-10"/>
        </w:rPr>
        <w:t>。</w:t>
      </w:r>
    </w:p>
    <w:p>
      <w:pPr>
        <w:pStyle w:val="BodyText"/>
        <w:spacing w:before="7"/>
        <w:rPr>
          <w:sz w:val="15"/>
        </w:rPr>
      </w:pPr>
    </w:p>
    <w:p>
      <w:pPr>
        <w:spacing w:after="0"/>
        <w:rPr>
          <w:sz w:val="15"/>
        </w:rPr>
        <w:sectPr>
          <w:pgSz w:w="11910" w:h="16840"/>
          <w:pgMar w:header="0" w:footer="1120" w:top="1380" w:bottom="1300" w:left="1020" w:right="1020"/>
        </w:sectPr>
      </w:pPr>
    </w:p>
    <w:p>
      <w:pPr>
        <w:pStyle w:val="ListParagraph"/>
        <w:numPr>
          <w:ilvl w:val="0"/>
          <w:numId w:val="20"/>
        </w:numPr>
        <w:tabs>
          <w:tab w:pos="723" w:val="left" w:leader="none"/>
        </w:tabs>
        <w:spacing w:line="278" w:lineRule="auto" w:before="72" w:after="0"/>
        <w:ind w:left="395" w:right="0" w:firstLine="0"/>
        <w:jc w:val="left"/>
        <w:rPr>
          <w:b/>
          <w:sz w:val="21"/>
        </w:rPr>
      </w:pPr>
      <w:r>
        <w:rPr>
          <w:b/>
          <w:spacing w:val="-2"/>
          <w:sz w:val="21"/>
        </w:rPr>
        <w:t>六项基本日</w:t>
      </w:r>
      <w:r>
        <w:rPr>
          <w:b/>
          <w:spacing w:val="-2"/>
          <w:sz w:val="21"/>
        </w:rPr>
        <w:t>常生活活动</w:t>
      </w:r>
    </w:p>
    <w:p>
      <w:pPr>
        <w:pStyle w:val="BodyText"/>
        <w:spacing w:before="72"/>
        <w:ind w:left="70"/>
      </w:pPr>
      <w:r>
        <w:rPr/>
        <w:br w:type="column"/>
      </w:r>
      <w:r>
        <w:rPr>
          <w:spacing w:val="-3"/>
        </w:rPr>
        <w:t>六项基本日常生活活动是指：</w:t>
      </w:r>
    </w:p>
    <w:p>
      <w:pPr>
        <w:pStyle w:val="ListParagraph"/>
        <w:numPr>
          <w:ilvl w:val="0"/>
          <w:numId w:val="128"/>
        </w:numPr>
        <w:tabs>
          <w:tab w:pos="612" w:val="left" w:leader="none"/>
        </w:tabs>
        <w:spacing w:line="240" w:lineRule="auto" w:before="43" w:after="0"/>
        <w:ind w:left="611" w:right="0" w:hanging="542"/>
        <w:jc w:val="left"/>
        <w:rPr>
          <w:sz w:val="21"/>
        </w:rPr>
      </w:pPr>
      <w:r>
        <w:rPr>
          <w:spacing w:val="-3"/>
          <w:sz w:val="21"/>
        </w:rPr>
        <w:t>穿衣：自己能够穿衣及脱衣；</w:t>
      </w:r>
    </w:p>
    <w:p>
      <w:pPr>
        <w:pStyle w:val="ListParagraph"/>
        <w:numPr>
          <w:ilvl w:val="0"/>
          <w:numId w:val="128"/>
        </w:numPr>
        <w:tabs>
          <w:tab w:pos="612" w:val="left" w:leader="none"/>
        </w:tabs>
        <w:spacing w:line="240" w:lineRule="auto" w:before="43" w:after="0"/>
        <w:ind w:left="611" w:right="0" w:hanging="542"/>
        <w:jc w:val="left"/>
        <w:rPr>
          <w:sz w:val="21"/>
        </w:rPr>
      </w:pPr>
      <w:r>
        <w:rPr>
          <w:spacing w:val="-3"/>
          <w:sz w:val="21"/>
        </w:rPr>
        <w:t>移动：自己从一个房间到另一个房间；</w:t>
      </w:r>
    </w:p>
    <w:p>
      <w:pPr>
        <w:pStyle w:val="ListParagraph"/>
        <w:numPr>
          <w:ilvl w:val="0"/>
          <w:numId w:val="128"/>
        </w:numPr>
        <w:tabs>
          <w:tab w:pos="612" w:val="left" w:leader="none"/>
        </w:tabs>
        <w:spacing w:line="240" w:lineRule="auto" w:before="42" w:after="0"/>
        <w:ind w:left="611" w:right="0" w:hanging="542"/>
        <w:jc w:val="left"/>
        <w:rPr>
          <w:sz w:val="21"/>
        </w:rPr>
      </w:pPr>
      <w:r>
        <w:rPr>
          <w:spacing w:val="-3"/>
          <w:sz w:val="21"/>
        </w:rPr>
        <w:t>行动：自己上下床或上下轮椅；</w:t>
      </w:r>
    </w:p>
    <w:p>
      <w:pPr>
        <w:pStyle w:val="ListParagraph"/>
        <w:numPr>
          <w:ilvl w:val="0"/>
          <w:numId w:val="128"/>
        </w:numPr>
        <w:tabs>
          <w:tab w:pos="612" w:val="left" w:leader="none"/>
        </w:tabs>
        <w:spacing w:line="240" w:lineRule="auto" w:before="43" w:after="0"/>
        <w:ind w:left="611" w:right="0" w:hanging="542"/>
        <w:jc w:val="left"/>
        <w:rPr>
          <w:sz w:val="21"/>
        </w:rPr>
      </w:pPr>
      <w:r>
        <w:rPr>
          <w:spacing w:val="-3"/>
          <w:sz w:val="21"/>
        </w:rPr>
        <w:t>如厕：自己控制进行大小便；</w:t>
      </w:r>
    </w:p>
    <w:p>
      <w:pPr>
        <w:pStyle w:val="ListParagraph"/>
        <w:numPr>
          <w:ilvl w:val="0"/>
          <w:numId w:val="128"/>
        </w:numPr>
        <w:tabs>
          <w:tab w:pos="612" w:val="left" w:leader="none"/>
        </w:tabs>
        <w:spacing w:line="240" w:lineRule="auto" w:before="43" w:after="0"/>
        <w:ind w:left="611" w:right="0" w:hanging="542"/>
        <w:jc w:val="left"/>
        <w:rPr>
          <w:sz w:val="21"/>
        </w:rPr>
      </w:pPr>
      <w:r>
        <w:rPr>
          <w:spacing w:val="-3"/>
          <w:sz w:val="21"/>
        </w:rPr>
        <w:t>进食：自己从已准备好的碗或碟中取食物放入口中；</w:t>
      </w:r>
    </w:p>
    <w:p>
      <w:pPr>
        <w:pStyle w:val="ListParagraph"/>
        <w:numPr>
          <w:ilvl w:val="0"/>
          <w:numId w:val="128"/>
        </w:numPr>
        <w:tabs>
          <w:tab w:pos="607" w:val="left" w:leader="none"/>
        </w:tabs>
        <w:spacing w:line="240" w:lineRule="auto" w:before="43" w:after="0"/>
        <w:ind w:left="606" w:right="0" w:hanging="542"/>
        <w:jc w:val="left"/>
        <w:rPr>
          <w:sz w:val="21"/>
        </w:rPr>
      </w:pPr>
      <w:r>
        <w:rPr>
          <w:spacing w:val="-3"/>
          <w:sz w:val="21"/>
        </w:rPr>
        <w:t>洗澡：自己进行淋浴或盆浴。</w:t>
      </w:r>
    </w:p>
    <w:p>
      <w:pPr>
        <w:spacing w:before="21"/>
        <w:ind w:left="70" w:right="0" w:firstLine="0"/>
        <w:jc w:val="left"/>
        <w:rPr>
          <w:rFonts w:ascii="黑体" w:eastAsia="黑体"/>
          <w:sz w:val="24"/>
        </w:rPr>
      </w:pPr>
      <w:r>
        <w:rPr>
          <w:rFonts w:ascii="黑体" w:eastAsia="黑体"/>
          <w:spacing w:val="-3"/>
          <w:sz w:val="24"/>
        </w:rPr>
        <w:t>六项基本日常生活活动能力的鉴定不适用于 </w:t>
      </w:r>
      <w:r>
        <w:rPr>
          <w:rFonts w:ascii="黑体" w:eastAsia="黑体"/>
          <w:sz w:val="24"/>
        </w:rPr>
        <w:t>0-3</w:t>
      </w:r>
      <w:r>
        <w:rPr>
          <w:rFonts w:ascii="黑体" w:eastAsia="黑体"/>
          <w:spacing w:val="-12"/>
          <w:sz w:val="24"/>
        </w:rPr>
        <w:t> 周岁幼儿。</w:t>
      </w:r>
    </w:p>
    <w:p>
      <w:pPr>
        <w:spacing w:after="0"/>
        <w:jc w:val="left"/>
        <w:rPr>
          <w:rFonts w:ascii="黑体" w:eastAsia="黑体"/>
          <w:sz w:val="24"/>
        </w:rPr>
        <w:sectPr>
          <w:type w:val="continuous"/>
          <w:pgSz w:w="11910" w:h="16840"/>
          <w:pgMar w:header="0" w:footer="1120" w:top="1120" w:bottom="1300" w:left="1020" w:right="1020"/>
          <w:cols w:num="2" w:equalWidth="0">
            <w:col w:w="1812" w:space="40"/>
            <w:col w:w="8018"/>
          </w:cols>
        </w:sectPr>
      </w:pPr>
    </w:p>
    <w:p>
      <w:pPr>
        <w:pStyle w:val="BodyText"/>
        <w:spacing w:before="1"/>
        <w:rPr>
          <w:rFonts w:ascii="黑体"/>
          <w:sz w:val="14"/>
        </w:rPr>
      </w:pPr>
    </w:p>
    <w:p>
      <w:pPr>
        <w:pStyle w:val="ListParagraph"/>
        <w:numPr>
          <w:ilvl w:val="0"/>
          <w:numId w:val="20"/>
        </w:numPr>
        <w:tabs>
          <w:tab w:pos="714" w:val="left" w:leader="none"/>
        </w:tabs>
        <w:spacing w:line="278" w:lineRule="auto" w:before="72" w:after="0"/>
        <w:ind w:left="1922" w:right="215" w:hanging="1527"/>
        <w:jc w:val="left"/>
        <w:rPr>
          <w:sz w:val="21"/>
        </w:rPr>
      </w:pPr>
      <w:r>
        <w:rPr>
          <w:b/>
          <w:spacing w:val="-2"/>
          <w:sz w:val="21"/>
        </w:rPr>
        <w:t>永久不可逆 </w:t>
      </w:r>
      <w:r>
        <w:rPr>
          <w:spacing w:val="-3"/>
          <w:sz w:val="21"/>
        </w:rPr>
        <w:t>指自疾病确诊或意外伤害发生之日起，经过积极治疗 </w:t>
      </w:r>
      <w:r>
        <w:rPr>
          <w:sz w:val="21"/>
        </w:rPr>
        <w:t>180</w:t>
      </w:r>
      <w:r>
        <w:rPr>
          <w:spacing w:val="-8"/>
          <w:sz w:val="21"/>
        </w:rPr>
        <w:t> 天后，仍无法通过现有医疗</w:t>
      </w:r>
      <w:r>
        <w:rPr>
          <w:spacing w:val="-4"/>
          <w:sz w:val="21"/>
        </w:rPr>
        <w:t>手段恢复。</w:t>
      </w:r>
    </w:p>
    <w:p>
      <w:pPr>
        <w:pStyle w:val="BodyText"/>
        <w:spacing w:before="2"/>
        <w:rPr>
          <w:sz w:val="12"/>
        </w:rPr>
      </w:pPr>
    </w:p>
    <w:p>
      <w:pPr>
        <w:spacing w:after="0"/>
        <w:rPr>
          <w:sz w:val="12"/>
        </w:rPr>
        <w:sectPr>
          <w:type w:val="continuous"/>
          <w:pgSz w:w="11910" w:h="16840"/>
          <w:pgMar w:header="0" w:footer="1120" w:top="1120" w:bottom="1300" w:left="1020" w:right="1020"/>
        </w:sectPr>
      </w:pPr>
    </w:p>
    <w:p>
      <w:pPr>
        <w:pStyle w:val="ListParagraph"/>
        <w:numPr>
          <w:ilvl w:val="0"/>
          <w:numId w:val="20"/>
        </w:numPr>
        <w:tabs>
          <w:tab w:pos="723" w:val="left" w:leader="none"/>
        </w:tabs>
        <w:spacing w:line="278" w:lineRule="auto" w:before="72" w:after="0"/>
        <w:ind w:left="395" w:right="0" w:firstLine="0"/>
        <w:jc w:val="both"/>
        <w:rPr>
          <w:b/>
          <w:sz w:val="21"/>
        </w:rPr>
      </w:pPr>
      <w:r>
        <w:rPr>
          <w:b/>
          <w:spacing w:val="-2"/>
          <w:sz w:val="21"/>
        </w:rPr>
        <w:t>美国纽约心</w:t>
      </w:r>
      <w:r>
        <w:rPr>
          <w:b/>
          <w:spacing w:val="-2"/>
          <w:sz w:val="21"/>
        </w:rPr>
        <w:t>脏病学会（New</w:t>
      </w:r>
      <w:r>
        <w:rPr>
          <w:b/>
          <w:spacing w:val="-2"/>
          <w:sz w:val="21"/>
        </w:rPr>
        <w:t> </w:t>
      </w:r>
      <w:r>
        <w:rPr>
          <w:b/>
          <w:sz w:val="21"/>
        </w:rPr>
        <w:t>York Heart</w:t>
      </w:r>
      <w:r>
        <w:rPr>
          <w:b/>
          <w:sz w:val="21"/>
        </w:rPr>
        <w:t> </w:t>
      </w:r>
      <w:r>
        <w:rPr>
          <w:b/>
          <w:w w:val="95"/>
          <w:sz w:val="21"/>
        </w:rPr>
        <w:t>Association</w:t>
      </w:r>
      <w:r>
        <w:rPr>
          <w:b/>
          <w:spacing w:val="-22"/>
          <w:w w:val="95"/>
          <w:sz w:val="21"/>
        </w:rPr>
        <w:t> </w:t>
      </w:r>
      <w:r>
        <w:rPr>
          <w:b/>
          <w:w w:val="95"/>
          <w:sz w:val="21"/>
        </w:rPr>
        <w:t>，</w:t>
      </w:r>
      <w:r>
        <w:rPr>
          <w:b/>
          <w:w w:val="95"/>
          <w:sz w:val="21"/>
        </w:rPr>
        <w:t> </w:t>
      </w:r>
      <w:r>
        <w:rPr>
          <w:b/>
          <w:spacing w:val="-8"/>
          <w:sz w:val="21"/>
        </w:rPr>
        <w:t>NYHA）心功能状</w:t>
      </w:r>
      <w:r>
        <w:rPr>
          <w:b/>
          <w:spacing w:val="-4"/>
          <w:sz w:val="21"/>
        </w:rPr>
        <w:t>态分级</w:t>
      </w:r>
    </w:p>
    <w:p>
      <w:pPr>
        <w:pStyle w:val="BodyText"/>
        <w:spacing w:line="278" w:lineRule="auto" w:before="72"/>
        <w:ind w:left="70" w:right="111"/>
      </w:pPr>
      <w:r>
        <w:rPr/>
        <w:br w:type="column"/>
      </w:r>
      <w:r>
        <w:rPr>
          <w:spacing w:val="-2"/>
        </w:rPr>
        <w:t>美国纽约心脏病学会（New</w:t>
      </w:r>
      <w:r>
        <w:rPr>
          <w:spacing w:val="-31"/>
        </w:rPr>
        <w:t> </w:t>
      </w:r>
      <w:r>
        <w:rPr>
          <w:spacing w:val="-2"/>
        </w:rPr>
        <w:t>York</w:t>
      </w:r>
      <w:r>
        <w:rPr>
          <w:spacing w:val="-29"/>
        </w:rPr>
        <w:t> </w:t>
      </w:r>
      <w:r>
        <w:rPr>
          <w:spacing w:val="-2"/>
        </w:rPr>
        <w:t>Heart</w:t>
      </w:r>
      <w:r>
        <w:rPr>
          <w:spacing w:val="-26"/>
        </w:rPr>
        <w:t> </w:t>
      </w:r>
      <w:r>
        <w:rPr>
          <w:spacing w:val="-2"/>
        </w:rPr>
        <w:t>Association，NYHA）将心功能状态分为四级： </w:t>
      </w:r>
      <w:r>
        <w:rPr>
          <w:spacing w:val="-15"/>
        </w:rPr>
        <w:t>Ⅰ级：心脏病病人日常活动量不受限制，一般活动不引起乏力、呼吸困难等心衰症状。</w:t>
      </w:r>
      <w:r>
        <w:rPr>
          <w:spacing w:val="-2"/>
        </w:rPr>
        <w:t> Ⅱ级：心脏病病人体力活动轻度受限制休息时无自觉症状，一般活动下可出现心衰症</w:t>
      </w:r>
      <w:r>
        <w:rPr>
          <w:spacing w:val="-6"/>
        </w:rPr>
        <w:t>状。</w:t>
      </w:r>
    </w:p>
    <w:p>
      <w:pPr>
        <w:pStyle w:val="BodyText"/>
        <w:spacing w:line="268" w:lineRule="exact" w:before="0"/>
        <w:ind w:left="70"/>
      </w:pPr>
      <w:r>
        <w:rPr>
          <w:spacing w:val="-3"/>
        </w:rPr>
        <w:t>Ⅲ级：心脏病病人体力活动明显受限，低于平时一般活动即引起心衰症状。</w:t>
      </w:r>
    </w:p>
    <w:p>
      <w:pPr>
        <w:pStyle w:val="BodyText"/>
        <w:ind w:left="70"/>
      </w:pPr>
      <w:r>
        <w:rPr>
          <w:spacing w:val="-3"/>
        </w:rPr>
        <w:t>Ⅳ级：心脏病病人不能从事任何体力活动，休息状态下也存在心衰症状活动后加重。</w:t>
      </w:r>
    </w:p>
    <w:p>
      <w:pPr>
        <w:spacing w:after="0"/>
        <w:sectPr>
          <w:type w:val="continuous"/>
          <w:pgSz w:w="11910" w:h="16840"/>
          <w:pgMar w:header="0" w:footer="1120" w:top="1120" w:bottom="1300" w:left="1020" w:right="1020"/>
          <w:cols w:num="2" w:equalWidth="0">
            <w:col w:w="1813" w:space="40"/>
            <w:col w:w="8017"/>
          </w:cols>
        </w:sectPr>
      </w:pPr>
    </w:p>
    <w:p>
      <w:pPr>
        <w:pStyle w:val="BodyText"/>
        <w:spacing w:before="5"/>
        <w:rPr>
          <w:sz w:val="22"/>
        </w:rPr>
      </w:pPr>
    </w:p>
    <w:p>
      <w:pPr>
        <w:pStyle w:val="Heading2"/>
        <w:spacing w:after="42"/>
        <w:ind w:left="118"/>
        <w:rPr>
          <w:rFonts w:ascii="宋体" w:eastAsia="宋体" w:hint="eastAsia"/>
        </w:rPr>
      </w:pPr>
      <w:bookmarkStart w:name="_bookmark34" w:id="35"/>
      <w:bookmarkEnd w:id="35"/>
      <w:r>
        <w:rPr>
          <w:b w:val="0"/>
        </w:rPr>
      </w:r>
      <w:r>
        <w:rPr>
          <w:rFonts w:ascii="宋体" w:eastAsia="宋体" w:hint="eastAsia"/>
          <w:spacing w:val="-4"/>
        </w:rPr>
        <w:t>附表：</w:t>
      </w:r>
    </w:p>
    <w:tbl>
      <w:tblPr>
        <w:tblW w:w="0" w:type="auto"/>
        <w:jc w:val="left"/>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8"/>
        <w:gridCol w:w="2412"/>
        <w:gridCol w:w="3118"/>
        <w:gridCol w:w="4678"/>
        <w:gridCol w:w="3260"/>
      </w:tblGrid>
      <w:tr>
        <w:trPr>
          <w:trHeight w:val="311" w:hRule="atLeast"/>
        </w:trPr>
        <w:tc>
          <w:tcPr>
            <w:tcW w:w="708" w:type="dxa"/>
            <w:tcBorders>
              <w:bottom w:val="nil"/>
            </w:tcBorders>
          </w:tcPr>
          <w:p>
            <w:pPr>
              <w:pStyle w:val="TableParagraph"/>
              <w:spacing w:before="0"/>
              <w:ind w:left="0"/>
              <w:rPr>
                <w:rFonts w:ascii="Times New Roman"/>
                <w:sz w:val="20"/>
              </w:rPr>
            </w:pPr>
          </w:p>
        </w:tc>
        <w:tc>
          <w:tcPr>
            <w:tcW w:w="2412" w:type="dxa"/>
            <w:tcBorders>
              <w:bottom w:val="nil"/>
            </w:tcBorders>
          </w:tcPr>
          <w:p>
            <w:pPr>
              <w:pStyle w:val="TableParagraph"/>
              <w:spacing w:before="0"/>
              <w:ind w:left="0"/>
              <w:rPr>
                <w:rFonts w:ascii="Times New Roman"/>
                <w:sz w:val="20"/>
              </w:rPr>
            </w:pPr>
          </w:p>
        </w:tc>
        <w:tc>
          <w:tcPr>
            <w:tcW w:w="11056" w:type="dxa"/>
            <w:gridSpan w:val="3"/>
          </w:tcPr>
          <w:p>
            <w:pPr>
              <w:pStyle w:val="TableParagraph"/>
              <w:ind w:left="4888" w:right="4881"/>
              <w:jc w:val="center"/>
              <w:rPr>
                <w:sz w:val="21"/>
              </w:rPr>
            </w:pPr>
            <w:r>
              <w:rPr>
                <w:spacing w:val="-4"/>
                <w:sz w:val="21"/>
              </w:rPr>
              <w:t>三类可选责任</w:t>
            </w:r>
          </w:p>
        </w:tc>
      </w:tr>
      <w:tr>
        <w:trPr>
          <w:trHeight w:val="315" w:hRule="atLeast"/>
        </w:trPr>
        <w:tc>
          <w:tcPr>
            <w:tcW w:w="708" w:type="dxa"/>
            <w:tcBorders>
              <w:top w:val="nil"/>
              <w:bottom w:val="nil"/>
            </w:tcBorders>
          </w:tcPr>
          <w:p>
            <w:pPr>
              <w:pStyle w:val="TableParagraph"/>
              <w:spacing w:before="0"/>
              <w:ind w:left="0"/>
              <w:rPr>
                <w:rFonts w:ascii="Times New Roman"/>
                <w:sz w:val="20"/>
              </w:rPr>
            </w:pPr>
          </w:p>
        </w:tc>
        <w:tc>
          <w:tcPr>
            <w:tcW w:w="2412" w:type="dxa"/>
            <w:tcBorders>
              <w:top w:val="nil"/>
              <w:bottom w:val="nil"/>
            </w:tcBorders>
          </w:tcPr>
          <w:p>
            <w:pPr>
              <w:pStyle w:val="TableParagraph"/>
              <w:spacing w:before="20"/>
              <w:ind w:left="784"/>
              <w:rPr>
                <w:sz w:val="21"/>
              </w:rPr>
            </w:pPr>
            <w:r>
              <w:rPr>
                <w:spacing w:val="-4"/>
                <w:sz w:val="21"/>
              </w:rPr>
              <w:t>必选责任</w:t>
            </w:r>
          </w:p>
        </w:tc>
        <w:tc>
          <w:tcPr>
            <w:tcW w:w="3118" w:type="dxa"/>
            <w:tcBorders>
              <w:bottom w:val="nil"/>
            </w:tcBorders>
          </w:tcPr>
          <w:p>
            <w:pPr>
              <w:pStyle w:val="TableParagraph"/>
              <w:spacing w:before="25"/>
              <w:ind w:left="820"/>
              <w:rPr>
                <w:sz w:val="21"/>
              </w:rPr>
            </w:pPr>
            <w:r>
              <w:rPr>
                <w:spacing w:val="-4"/>
                <w:sz w:val="21"/>
              </w:rPr>
              <w:t>第一类可选责任</w:t>
            </w:r>
          </w:p>
        </w:tc>
        <w:tc>
          <w:tcPr>
            <w:tcW w:w="4678" w:type="dxa"/>
            <w:tcBorders>
              <w:bottom w:val="nil"/>
            </w:tcBorders>
          </w:tcPr>
          <w:p>
            <w:pPr>
              <w:pStyle w:val="TableParagraph"/>
              <w:spacing w:before="25"/>
              <w:ind w:left="1598" w:right="1588"/>
              <w:jc w:val="center"/>
              <w:rPr>
                <w:sz w:val="21"/>
              </w:rPr>
            </w:pPr>
            <w:r>
              <w:rPr>
                <w:spacing w:val="-4"/>
                <w:sz w:val="21"/>
              </w:rPr>
              <w:t>第二类可选责任</w:t>
            </w:r>
          </w:p>
        </w:tc>
        <w:tc>
          <w:tcPr>
            <w:tcW w:w="3260" w:type="dxa"/>
            <w:tcBorders>
              <w:bottom w:val="nil"/>
            </w:tcBorders>
          </w:tcPr>
          <w:p>
            <w:pPr>
              <w:pStyle w:val="TableParagraph"/>
              <w:spacing w:before="25"/>
              <w:ind w:left="891"/>
              <w:rPr>
                <w:sz w:val="21"/>
              </w:rPr>
            </w:pPr>
            <w:r>
              <w:rPr>
                <w:spacing w:val="-4"/>
                <w:sz w:val="21"/>
              </w:rPr>
              <w:t>第三类可选责任</w:t>
            </w:r>
          </w:p>
        </w:tc>
      </w:tr>
      <w:tr>
        <w:trPr>
          <w:trHeight w:val="310" w:hRule="atLeast"/>
        </w:trPr>
        <w:tc>
          <w:tcPr>
            <w:tcW w:w="708" w:type="dxa"/>
            <w:tcBorders>
              <w:top w:val="nil"/>
              <w:bottom w:val="nil"/>
            </w:tcBorders>
          </w:tcPr>
          <w:p>
            <w:pPr>
              <w:pStyle w:val="TableParagraph"/>
              <w:spacing w:before="0"/>
              <w:ind w:left="0"/>
              <w:rPr>
                <w:rFonts w:ascii="Times New Roman"/>
                <w:sz w:val="20"/>
              </w:rPr>
            </w:pPr>
          </w:p>
        </w:tc>
        <w:tc>
          <w:tcPr>
            <w:tcW w:w="2412" w:type="dxa"/>
            <w:tcBorders>
              <w:top w:val="nil"/>
            </w:tcBorders>
          </w:tcPr>
          <w:p>
            <w:pPr>
              <w:pStyle w:val="TableParagraph"/>
              <w:spacing w:before="0"/>
              <w:ind w:left="0"/>
              <w:rPr>
                <w:rFonts w:ascii="Times New Roman"/>
                <w:sz w:val="20"/>
              </w:rPr>
            </w:pPr>
          </w:p>
        </w:tc>
        <w:tc>
          <w:tcPr>
            <w:tcW w:w="3118" w:type="dxa"/>
            <w:tcBorders>
              <w:top w:val="nil"/>
            </w:tcBorders>
          </w:tcPr>
          <w:p>
            <w:pPr>
              <w:pStyle w:val="TableParagraph"/>
              <w:ind w:left="189"/>
              <w:rPr>
                <w:sz w:val="21"/>
              </w:rPr>
            </w:pPr>
            <w:r>
              <w:rPr>
                <w:spacing w:val="-3"/>
                <w:sz w:val="21"/>
              </w:rPr>
              <w:t>“轻症疾病与中症疾病责任”</w:t>
            </w:r>
          </w:p>
        </w:tc>
        <w:tc>
          <w:tcPr>
            <w:tcW w:w="4678" w:type="dxa"/>
            <w:tcBorders>
              <w:top w:val="nil"/>
            </w:tcBorders>
          </w:tcPr>
          <w:p>
            <w:pPr>
              <w:pStyle w:val="TableParagraph"/>
              <w:ind w:left="131"/>
              <w:rPr>
                <w:sz w:val="21"/>
              </w:rPr>
            </w:pPr>
            <w:r>
              <w:rPr>
                <w:spacing w:val="-3"/>
                <w:sz w:val="21"/>
              </w:rPr>
              <w:t>“重大疾病关爱保险金与特定疾病保险金责任”</w:t>
            </w:r>
          </w:p>
        </w:tc>
        <w:tc>
          <w:tcPr>
            <w:tcW w:w="3260" w:type="dxa"/>
            <w:tcBorders>
              <w:top w:val="nil"/>
            </w:tcBorders>
          </w:tcPr>
          <w:p>
            <w:pPr>
              <w:pStyle w:val="TableParagraph"/>
              <w:ind w:left="263"/>
              <w:rPr>
                <w:sz w:val="21"/>
              </w:rPr>
            </w:pPr>
            <w:r>
              <w:rPr>
                <w:spacing w:val="-3"/>
                <w:sz w:val="21"/>
              </w:rPr>
              <w:t>“多次重大疾病保险金责任”</w:t>
            </w:r>
          </w:p>
        </w:tc>
      </w:tr>
      <w:tr>
        <w:trPr>
          <w:trHeight w:val="936" w:hRule="atLeast"/>
        </w:trPr>
        <w:tc>
          <w:tcPr>
            <w:tcW w:w="708" w:type="dxa"/>
            <w:tcBorders>
              <w:top w:val="nil"/>
              <w:bottom w:val="nil"/>
            </w:tcBorders>
          </w:tcPr>
          <w:p>
            <w:pPr>
              <w:pStyle w:val="TableParagraph"/>
              <w:spacing w:line="278" w:lineRule="auto" w:before="169"/>
              <w:ind w:left="107" w:right="165"/>
              <w:rPr>
                <w:sz w:val="21"/>
              </w:rPr>
            </w:pPr>
            <w:r>
              <w:rPr>
                <w:spacing w:val="-6"/>
                <w:sz w:val="21"/>
              </w:rPr>
              <w:t>保险</w:t>
            </w:r>
            <w:r>
              <w:rPr>
                <w:spacing w:val="-5"/>
                <w:sz w:val="21"/>
              </w:rPr>
              <w:t>计划</w:t>
            </w:r>
          </w:p>
        </w:tc>
        <w:tc>
          <w:tcPr>
            <w:tcW w:w="2412" w:type="dxa"/>
            <w:tcBorders>
              <w:bottom w:val="nil"/>
            </w:tcBorders>
          </w:tcPr>
          <w:p>
            <w:pPr>
              <w:pStyle w:val="TableParagraph"/>
              <w:spacing w:before="11"/>
              <w:ind w:left="0"/>
              <w:rPr>
                <w:b/>
                <w:sz w:val="22"/>
              </w:rPr>
            </w:pPr>
          </w:p>
          <w:p>
            <w:pPr>
              <w:pStyle w:val="TableParagraph"/>
              <w:spacing w:line="310" w:lineRule="atLeast" w:before="0"/>
              <w:ind w:left="107" w:right="398"/>
              <w:rPr>
                <w:sz w:val="21"/>
              </w:rPr>
            </w:pPr>
            <w:r>
              <w:rPr>
                <w:spacing w:val="-2"/>
                <w:sz w:val="21"/>
              </w:rPr>
              <w:t>首次重大疾病保险金</w:t>
            </w:r>
            <w:r>
              <w:rPr>
                <w:spacing w:val="-2"/>
                <w:sz w:val="21"/>
              </w:rPr>
              <w:t>身故保险金</w:t>
            </w:r>
          </w:p>
        </w:tc>
        <w:tc>
          <w:tcPr>
            <w:tcW w:w="3118" w:type="dxa"/>
            <w:tcBorders>
              <w:bottom w:val="nil"/>
            </w:tcBorders>
          </w:tcPr>
          <w:p>
            <w:pPr>
              <w:pStyle w:val="TableParagraph"/>
              <w:spacing w:before="1"/>
              <w:ind w:left="0"/>
              <w:rPr>
                <w:b/>
                <w:sz w:val="26"/>
              </w:rPr>
            </w:pPr>
          </w:p>
          <w:p>
            <w:pPr>
              <w:pStyle w:val="TableParagraph"/>
              <w:numPr>
                <w:ilvl w:val="1"/>
                <w:numId w:val="129"/>
              </w:numPr>
              <w:tabs>
                <w:tab w:pos="476" w:val="left" w:leader="none"/>
              </w:tabs>
              <w:spacing w:line="240" w:lineRule="auto" w:before="0" w:after="0"/>
              <w:ind w:left="475" w:right="0" w:hanging="371"/>
              <w:jc w:val="left"/>
              <w:rPr>
                <w:sz w:val="21"/>
              </w:rPr>
            </w:pPr>
            <w:r>
              <w:rPr>
                <w:spacing w:val="-4"/>
                <w:sz w:val="21"/>
              </w:rPr>
              <w:t>轻症疾病保险金</w:t>
            </w:r>
          </w:p>
          <w:p>
            <w:pPr>
              <w:pStyle w:val="TableParagraph"/>
              <w:numPr>
                <w:ilvl w:val="1"/>
                <w:numId w:val="129"/>
              </w:numPr>
              <w:tabs>
                <w:tab w:pos="476" w:val="left" w:leader="none"/>
              </w:tabs>
              <w:spacing w:line="240" w:lineRule="auto" w:before="43" w:after="0"/>
              <w:ind w:left="475" w:right="0" w:hanging="371"/>
              <w:jc w:val="left"/>
              <w:rPr>
                <w:sz w:val="21"/>
              </w:rPr>
            </w:pPr>
            <w:r>
              <w:rPr>
                <w:spacing w:val="-3"/>
                <w:sz w:val="21"/>
              </w:rPr>
              <w:t>轻症疾病豁免保险费</w:t>
            </w:r>
          </w:p>
        </w:tc>
        <w:tc>
          <w:tcPr>
            <w:tcW w:w="4678" w:type="dxa"/>
            <w:tcBorders>
              <w:bottom w:val="nil"/>
            </w:tcBorders>
          </w:tcPr>
          <w:p>
            <w:pPr>
              <w:pStyle w:val="TableParagraph"/>
              <w:spacing w:before="0"/>
              <w:ind w:left="0"/>
              <w:rPr>
                <w:b/>
                <w:sz w:val="20"/>
              </w:rPr>
            </w:pPr>
          </w:p>
          <w:p>
            <w:pPr>
              <w:pStyle w:val="TableParagraph"/>
              <w:spacing w:before="0"/>
              <w:ind w:left="0"/>
              <w:rPr>
                <w:b/>
                <w:sz w:val="20"/>
              </w:rPr>
            </w:pPr>
          </w:p>
          <w:p>
            <w:pPr>
              <w:pStyle w:val="TableParagraph"/>
              <w:spacing w:before="133"/>
              <w:ind w:left="107"/>
              <w:rPr>
                <w:sz w:val="21"/>
              </w:rPr>
            </w:pPr>
            <w:r>
              <w:rPr>
                <w:spacing w:val="-2"/>
                <w:sz w:val="21"/>
              </w:rPr>
              <w:t>2.1</w:t>
            </w:r>
            <w:r>
              <w:rPr>
                <w:spacing w:val="-10"/>
                <w:sz w:val="21"/>
              </w:rPr>
              <w:t> 重大疾病关爱保险金</w:t>
            </w:r>
          </w:p>
        </w:tc>
        <w:tc>
          <w:tcPr>
            <w:tcW w:w="3260" w:type="dxa"/>
            <w:tcBorders>
              <w:bottom w:val="nil"/>
            </w:tcBorders>
          </w:tcPr>
          <w:p>
            <w:pPr>
              <w:pStyle w:val="TableParagraph"/>
              <w:numPr>
                <w:ilvl w:val="1"/>
                <w:numId w:val="130"/>
              </w:numPr>
              <w:tabs>
                <w:tab w:pos="477" w:val="left" w:leader="none"/>
              </w:tabs>
              <w:spacing w:line="240" w:lineRule="auto" w:before="22" w:after="0"/>
              <w:ind w:left="476" w:right="0" w:hanging="370"/>
              <w:jc w:val="left"/>
              <w:rPr>
                <w:sz w:val="21"/>
              </w:rPr>
            </w:pPr>
            <w:r>
              <w:rPr>
                <w:spacing w:val="-3"/>
                <w:sz w:val="21"/>
              </w:rPr>
              <w:t>重大疾病豁免保险费</w:t>
            </w:r>
          </w:p>
          <w:p>
            <w:pPr>
              <w:pStyle w:val="TableParagraph"/>
              <w:numPr>
                <w:ilvl w:val="1"/>
                <w:numId w:val="130"/>
              </w:numPr>
              <w:tabs>
                <w:tab w:pos="477" w:val="left" w:leader="none"/>
              </w:tabs>
              <w:spacing w:line="240" w:lineRule="auto" w:before="43" w:after="0"/>
              <w:ind w:left="476" w:right="0" w:hanging="370"/>
              <w:jc w:val="left"/>
              <w:rPr>
                <w:sz w:val="21"/>
              </w:rPr>
            </w:pPr>
            <w:r>
              <w:rPr>
                <w:spacing w:val="-3"/>
                <w:sz w:val="21"/>
              </w:rPr>
              <w:t>第二次重大疾病保险金</w:t>
            </w:r>
          </w:p>
          <w:p>
            <w:pPr>
              <w:pStyle w:val="TableParagraph"/>
              <w:numPr>
                <w:ilvl w:val="1"/>
                <w:numId w:val="130"/>
              </w:numPr>
              <w:tabs>
                <w:tab w:pos="477" w:val="left" w:leader="none"/>
              </w:tabs>
              <w:spacing w:line="240" w:lineRule="auto" w:before="42" w:after="0"/>
              <w:ind w:left="476" w:right="0" w:hanging="370"/>
              <w:jc w:val="left"/>
              <w:rPr>
                <w:sz w:val="21"/>
              </w:rPr>
            </w:pPr>
            <w:r>
              <w:rPr>
                <w:spacing w:val="-3"/>
                <w:sz w:val="21"/>
              </w:rPr>
              <w:t>第三次重大疾病保险金</w:t>
            </w:r>
          </w:p>
        </w:tc>
      </w:tr>
      <w:tr>
        <w:trPr>
          <w:trHeight w:val="311" w:hRule="atLeast"/>
        </w:trPr>
        <w:tc>
          <w:tcPr>
            <w:tcW w:w="708" w:type="dxa"/>
            <w:tcBorders>
              <w:top w:val="nil"/>
              <w:bottom w:val="nil"/>
            </w:tcBorders>
          </w:tcPr>
          <w:p>
            <w:pPr>
              <w:pStyle w:val="TableParagraph"/>
              <w:spacing w:before="0"/>
              <w:ind w:left="0"/>
              <w:rPr>
                <w:rFonts w:ascii="Times New Roman"/>
                <w:sz w:val="20"/>
              </w:rPr>
            </w:pPr>
          </w:p>
        </w:tc>
        <w:tc>
          <w:tcPr>
            <w:tcW w:w="2412" w:type="dxa"/>
            <w:tcBorders>
              <w:top w:val="nil"/>
              <w:bottom w:val="nil"/>
            </w:tcBorders>
          </w:tcPr>
          <w:p>
            <w:pPr>
              <w:pStyle w:val="TableParagraph"/>
              <w:ind w:left="107"/>
              <w:rPr>
                <w:sz w:val="21"/>
              </w:rPr>
            </w:pPr>
            <w:r>
              <w:rPr>
                <w:spacing w:val="-4"/>
                <w:sz w:val="21"/>
              </w:rPr>
              <w:t>高度残疾保险金</w:t>
            </w:r>
          </w:p>
        </w:tc>
        <w:tc>
          <w:tcPr>
            <w:tcW w:w="3118" w:type="dxa"/>
            <w:tcBorders>
              <w:top w:val="nil"/>
              <w:bottom w:val="nil"/>
            </w:tcBorders>
          </w:tcPr>
          <w:p>
            <w:pPr>
              <w:pStyle w:val="TableParagraph"/>
              <w:ind w:left="105"/>
              <w:rPr>
                <w:sz w:val="21"/>
              </w:rPr>
            </w:pPr>
            <w:r>
              <w:rPr>
                <w:spacing w:val="-2"/>
                <w:sz w:val="21"/>
              </w:rPr>
              <w:t>1.3</w:t>
            </w:r>
            <w:r>
              <w:rPr>
                <w:spacing w:val="-10"/>
                <w:sz w:val="21"/>
              </w:rPr>
              <w:t> 中症疾病保险金</w:t>
            </w:r>
          </w:p>
        </w:tc>
        <w:tc>
          <w:tcPr>
            <w:tcW w:w="4678" w:type="dxa"/>
            <w:tcBorders>
              <w:top w:val="nil"/>
              <w:bottom w:val="nil"/>
            </w:tcBorders>
          </w:tcPr>
          <w:p>
            <w:pPr>
              <w:pStyle w:val="TableParagraph"/>
              <w:spacing w:before="21"/>
              <w:ind w:left="107"/>
              <w:rPr>
                <w:sz w:val="21"/>
              </w:rPr>
            </w:pPr>
            <w:r>
              <w:rPr>
                <w:spacing w:val="-2"/>
                <w:sz w:val="21"/>
              </w:rPr>
              <w:t>2.2</w:t>
            </w:r>
            <w:r>
              <w:rPr>
                <w:spacing w:val="-10"/>
                <w:sz w:val="21"/>
              </w:rPr>
              <w:t> 特定疾病保险金</w:t>
            </w:r>
          </w:p>
        </w:tc>
        <w:tc>
          <w:tcPr>
            <w:tcW w:w="3260" w:type="dxa"/>
            <w:tcBorders>
              <w:top w:val="nil"/>
              <w:bottom w:val="nil"/>
            </w:tcBorders>
          </w:tcPr>
          <w:p>
            <w:pPr>
              <w:pStyle w:val="TableParagraph"/>
              <w:spacing w:before="21"/>
              <w:ind w:left="107"/>
              <w:rPr>
                <w:sz w:val="21"/>
              </w:rPr>
            </w:pPr>
            <w:r>
              <w:rPr>
                <w:spacing w:val="-2"/>
                <w:sz w:val="21"/>
              </w:rPr>
              <w:t>3.4</w:t>
            </w:r>
            <w:r>
              <w:rPr>
                <w:spacing w:val="-10"/>
                <w:sz w:val="21"/>
              </w:rPr>
              <w:t> 第四次重大疾病保险金</w:t>
            </w:r>
          </w:p>
        </w:tc>
      </w:tr>
      <w:tr>
        <w:trPr>
          <w:trHeight w:val="311" w:hRule="atLeast"/>
        </w:trPr>
        <w:tc>
          <w:tcPr>
            <w:tcW w:w="708" w:type="dxa"/>
            <w:tcBorders>
              <w:top w:val="nil"/>
              <w:bottom w:val="nil"/>
            </w:tcBorders>
          </w:tcPr>
          <w:p>
            <w:pPr>
              <w:pStyle w:val="TableParagraph"/>
              <w:spacing w:before="0"/>
              <w:ind w:left="0"/>
              <w:rPr>
                <w:rFonts w:ascii="Times New Roman"/>
                <w:sz w:val="20"/>
              </w:rPr>
            </w:pPr>
          </w:p>
        </w:tc>
        <w:tc>
          <w:tcPr>
            <w:tcW w:w="2412" w:type="dxa"/>
            <w:tcBorders>
              <w:top w:val="nil"/>
              <w:bottom w:val="nil"/>
            </w:tcBorders>
          </w:tcPr>
          <w:p>
            <w:pPr>
              <w:pStyle w:val="TableParagraph"/>
              <w:ind w:left="107"/>
              <w:rPr>
                <w:sz w:val="21"/>
              </w:rPr>
            </w:pPr>
            <w:r>
              <w:rPr>
                <w:spacing w:val="-4"/>
                <w:sz w:val="21"/>
              </w:rPr>
              <w:t>疾病终末期保险金</w:t>
            </w:r>
          </w:p>
        </w:tc>
        <w:tc>
          <w:tcPr>
            <w:tcW w:w="3118" w:type="dxa"/>
            <w:tcBorders>
              <w:top w:val="nil"/>
              <w:bottom w:val="nil"/>
            </w:tcBorders>
          </w:tcPr>
          <w:p>
            <w:pPr>
              <w:pStyle w:val="TableParagraph"/>
              <w:ind w:left="105"/>
              <w:rPr>
                <w:sz w:val="21"/>
              </w:rPr>
            </w:pPr>
            <w:r>
              <w:rPr>
                <w:spacing w:val="-2"/>
                <w:sz w:val="21"/>
              </w:rPr>
              <w:t>1.4</w:t>
            </w:r>
            <w:r>
              <w:rPr>
                <w:spacing w:val="-10"/>
                <w:sz w:val="21"/>
              </w:rPr>
              <w:t> 中症疾病豁免保险费</w:t>
            </w:r>
          </w:p>
        </w:tc>
        <w:tc>
          <w:tcPr>
            <w:tcW w:w="4678" w:type="dxa"/>
            <w:tcBorders>
              <w:top w:val="nil"/>
              <w:bottom w:val="nil"/>
            </w:tcBorders>
          </w:tcPr>
          <w:p>
            <w:pPr>
              <w:pStyle w:val="TableParagraph"/>
              <w:spacing w:before="0"/>
              <w:ind w:left="0"/>
              <w:rPr>
                <w:rFonts w:ascii="Times New Roman"/>
                <w:sz w:val="20"/>
              </w:rPr>
            </w:pPr>
          </w:p>
        </w:tc>
        <w:tc>
          <w:tcPr>
            <w:tcW w:w="3260" w:type="dxa"/>
            <w:tcBorders>
              <w:top w:val="nil"/>
              <w:bottom w:val="nil"/>
            </w:tcBorders>
          </w:tcPr>
          <w:p>
            <w:pPr>
              <w:pStyle w:val="TableParagraph"/>
              <w:spacing w:before="21"/>
              <w:ind w:left="107"/>
              <w:rPr>
                <w:sz w:val="21"/>
              </w:rPr>
            </w:pPr>
            <w:r>
              <w:rPr>
                <w:spacing w:val="-2"/>
                <w:sz w:val="21"/>
              </w:rPr>
              <w:t>3.5</w:t>
            </w:r>
            <w:r>
              <w:rPr>
                <w:spacing w:val="-10"/>
                <w:sz w:val="21"/>
              </w:rPr>
              <w:t> 第五次重大疾病保险金</w:t>
            </w:r>
          </w:p>
        </w:tc>
      </w:tr>
      <w:tr>
        <w:trPr>
          <w:trHeight w:val="311" w:hRule="atLeast"/>
        </w:trPr>
        <w:tc>
          <w:tcPr>
            <w:tcW w:w="708" w:type="dxa"/>
            <w:tcBorders>
              <w:top w:val="nil"/>
            </w:tcBorders>
          </w:tcPr>
          <w:p>
            <w:pPr>
              <w:pStyle w:val="TableParagraph"/>
              <w:spacing w:before="0"/>
              <w:ind w:left="0"/>
              <w:rPr>
                <w:rFonts w:ascii="Times New Roman"/>
                <w:sz w:val="20"/>
              </w:rPr>
            </w:pPr>
          </w:p>
        </w:tc>
        <w:tc>
          <w:tcPr>
            <w:tcW w:w="2412" w:type="dxa"/>
            <w:tcBorders>
              <w:top w:val="nil"/>
            </w:tcBorders>
          </w:tcPr>
          <w:p>
            <w:pPr>
              <w:pStyle w:val="TableParagraph"/>
              <w:spacing w:before="0"/>
              <w:ind w:left="0"/>
              <w:rPr>
                <w:rFonts w:ascii="Times New Roman"/>
                <w:sz w:val="20"/>
              </w:rPr>
            </w:pPr>
          </w:p>
        </w:tc>
        <w:tc>
          <w:tcPr>
            <w:tcW w:w="3118" w:type="dxa"/>
            <w:tcBorders>
              <w:top w:val="nil"/>
            </w:tcBorders>
          </w:tcPr>
          <w:p>
            <w:pPr>
              <w:pStyle w:val="TableParagraph"/>
              <w:spacing w:before="0"/>
              <w:ind w:left="0"/>
              <w:rPr>
                <w:rFonts w:ascii="Times New Roman"/>
                <w:sz w:val="20"/>
              </w:rPr>
            </w:pPr>
          </w:p>
        </w:tc>
        <w:tc>
          <w:tcPr>
            <w:tcW w:w="4678" w:type="dxa"/>
            <w:tcBorders>
              <w:top w:val="nil"/>
            </w:tcBorders>
          </w:tcPr>
          <w:p>
            <w:pPr>
              <w:pStyle w:val="TableParagraph"/>
              <w:spacing w:before="0"/>
              <w:ind w:left="0"/>
              <w:rPr>
                <w:rFonts w:ascii="Times New Roman"/>
                <w:sz w:val="20"/>
              </w:rPr>
            </w:pPr>
          </w:p>
        </w:tc>
        <w:tc>
          <w:tcPr>
            <w:tcW w:w="3260" w:type="dxa"/>
            <w:tcBorders>
              <w:top w:val="nil"/>
            </w:tcBorders>
          </w:tcPr>
          <w:p>
            <w:pPr>
              <w:pStyle w:val="TableParagraph"/>
              <w:spacing w:before="21"/>
              <w:ind w:left="107"/>
              <w:rPr>
                <w:sz w:val="21"/>
              </w:rPr>
            </w:pPr>
            <w:r>
              <w:rPr>
                <w:spacing w:val="-2"/>
                <w:sz w:val="21"/>
              </w:rPr>
              <w:t>3.6</w:t>
            </w:r>
            <w:r>
              <w:rPr>
                <w:spacing w:val="-10"/>
                <w:sz w:val="21"/>
              </w:rPr>
              <w:t> 第六次重大疾病保险金</w:t>
            </w:r>
          </w:p>
        </w:tc>
      </w:tr>
      <w:tr>
        <w:trPr>
          <w:trHeight w:val="311" w:hRule="atLeast"/>
        </w:trPr>
        <w:tc>
          <w:tcPr>
            <w:tcW w:w="708" w:type="dxa"/>
          </w:tcPr>
          <w:p>
            <w:pPr>
              <w:pStyle w:val="TableParagraph"/>
              <w:ind w:left="299"/>
              <w:rPr>
                <w:sz w:val="21"/>
              </w:rPr>
            </w:pPr>
            <w:r>
              <w:rPr>
                <w:w w:val="100"/>
                <w:sz w:val="21"/>
              </w:rPr>
              <w:t>1</w:t>
            </w:r>
          </w:p>
        </w:tc>
        <w:tc>
          <w:tcPr>
            <w:tcW w:w="2412" w:type="dxa"/>
          </w:tcPr>
          <w:p>
            <w:pPr>
              <w:pStyle w:val="TableParagraph"/>
              <w:ind w:left="7"/>
              <w:jc w:val="center"/>
              <w:rPr>
                <w:sz w:val="21"/>
              </w:rPr>
            </w:pPr>
            <w:r>
              <w:rPr>
                <w:w w:val="100"/>
                <w:sz w:val="21"/>
              </w:rPr>
              <w:t>√</w:t>
            </w:r>
          </w:p>
        </w:tc>
        <w:tc>
          <w:tcPr>
            <w:tcW w:w="3118" w:type="dxa"/>
          </w:tcPr>
          <w:p>
            <w:pPr>
              <w:pStyle w:val="TableParagraph"/>
              <w:spacing w:before="0"/>
              <w:ind w:left="0"/>
              <w:rPr>
                <w:rFonts w:ascii="Times New Roman"/>
                <w:sz w:val="20"/>
              </w:rPr>
            </w:pPr>
          </w:p>
        </w:tc>
        <w:tc>
          <w:tcPr>
            <w:tcW w:w="4678" w:type="dxa"/>
          </w:tcPr>
          <w:p>
            <w:pPr>
              <w:pStyle w:val="TableParagraph"/>
              <w:spacing w:before="0"/>
              <w:ind w:left="0"/>
              <w:rPr>
                <w:rFonts w:ascii="Times New Roman"/>
                <w:sz w:val="20"/>
              </w:rPr>
            </w:pPr>
          </w:p>
        </w:tc>
        <w:tc>
          <w:tcPr>
            <w:tcW w:w="3260" w:type="dxa"/>
          </w:tcPr>
          <w:p>
            <w:pPr>
              <w:pStyle w:val="TableParagraph"/>
              <w:spacing w:before="0"/>
              <w:ind w:left="0"/>
              <w:rPr>
                <w:rFonts w:ascii="Times New Roman"/>
                <w:sz w:val="20"/>
              </w:rPr>
            </w:pPr>
          </w:p>
        </w:tc>
      </w:tr>
      <w:tr>
        <w:trPr>
          <w:trHeight w:val="311" w:hRule="atLeast"/>
        </w:trPr>
        <w:tc>
          <w:tcPr>
            <w:tcW w:w="708" w:type="dxa"/>
          </w:tcPr>
          <w:p>
            <w:pPr>
              <w:pStyle w:val="TableParagraph"/>
              <w:ind w:left="299"/>
              <w:rPr>
                <w:sz w:val="21"/>
              </w:rPr>
            </w:pPr>
            <w:r>
              <w:rPr>
                <w:w w:val="100"/>
                <w:sz w:val="21"/>
              </w:rPr>
              <w:t>2</w:t>
            </w:r>
          </w:p>
        </w:tc>
        <w:tc>
          <w:tcPr>
            <w:tcW w:w="2412" w:type="dxa"/>
          </w:tcPr>
          <w:p>
            <w:pPr>
              <w:pStyle w:val="TableParagraph"/>
              <w:ind w:left="7"/>
              <w:jc w:val="center"/>
              <w:rPr>
                <w:sz w:val="21"/>
              </w:rPr>
            </w:pPr>
            <w:r>
              <w:rPr>
                <w:w w:val="100"/>
                <w:sz w:val="21"/>
              </w:rPr>
              <w:t>√</w:t>
            </w:r>
          </w:p>
        </w:tc>
        <w:tc>
          <w:tcPr>
            <w:tcW w:w="3118" w:type="dxa"/>
          </w:tcPr>
          <w:p>
            <w:pPr>
              <w:pStyle w:val="TableParagraph"/>
              <w:ind w:left="2"/>
              <w:jc w:val="center"/>
              <w:rPr>
                <w:sz w:val="21"/>
              </w:rPr>
            </w:pPr>
            <w:r>
              <w:rPr>
                <w:w w:val="100"/>
                <w:sz w:val="21"/>
              </w:rPr>
              <w:t>√</w:t>
            </w:r>
          </w:p>
        </w:tc>
        <w:tc>
          <w:tcPr>
            <w:tcW w:w="4678" w:type="dxa"/>
          </w:tcPr>
          <w:p>
            <w:pPr>
              <w:pStyle w:val="TableParagraph"/>
              <w:spacing w:before="0"/>
              <w:ind w:left="0"/>
              <w:rPr>
                <w:rFonts w:ascii="Times New Roman"/>
                <w:sz w:val="20"/>
              </w:rPr>
            </w:pPr>
          </w:p>
        </w:tc>
        <w:tc>
          <w:tcPr>
            <w:tcW w:w="3260" w:type="dxa"/>
          </w:tcPr>
          <w:p>
            <w:pPr>
              <w:pStyle w:val="TableParagraph"/>
              <w:spacing w:before="0"/>
              <w:ind w:left="0"/>
              <w:rPr>
                <w:rFonts w:ascii="Times New Roman"/>
                <w:sz w:val="20"/>
              </w:rPr>
            </w:pPr>
          </w:p>
        </w:tc>
      </w:tr>
      <w:tr>
        <w:trPr>
          <w:trHeight w:val="311" w:hRule="atLeast"/>
        </w:trPr>
        <w:tc>
          <w:tcPr>
            <w:tcW w:w="708" w:type="dxa"/>
          </w:tcPr>
          <w:p>
            <w:pPr>
              <w:pStyle w:val="TableParagraph"/>
              <w:ind w:left="299"/>
              <w:rPr>
                <w:sz w:val="21"/>
              </w:rPr>
            </w:pPr>
            <w:r>
              <w:rPr>
                <w:w w:val="100"/>
                <w:sz w:val="21"/>
              </w:rPr>
              <w:t>3</w:t>
            </w:r>
          </w:p>
        </w:tc>
        <w:tc>
          <w:tcPr>
            <w:tcW w:w="2412" w:type="dxa"/>
          </w:tcPr>
          <w:p>
            <w:pPr>
              <w:pStyle w:val="TableParagraph"/>
              <w:ind w:left="7"/>
              <w:jc w:val="center"/>
              <w:rPr>
                <w:sz w:val="21"/>
              </w:rPr>
            </w:pPr>
            <w:r>
              <w:rPr>
                <w:w w:val="100"/>
                <w:sz w:val="21"/>
              </w:rPr>
              <w:t>√</w:t>
            </w:r>
          </w:p>
        </w:tc>
        <w:tc>
          <w:tcPr>
            <w:tcW w:w="3118" w:type="dxa"/>
          </w:tcPr>
          <w:p>
            <w:pPr>
              <w:pStyle w:val="TableParagraph"/>
              <w:spacing w:before="0"/>
              <w:ind w:left="0"/>
              <w:rPr>
                <w:rFonts w:ascii="Times New Roman"/>
                <w:sz w:val="20"/>
              </w:rPr>
            </w:pPr>
          </w:p>
        </w:tc>
        <w:tc>
          <w:tcPr>
            <w:tcW w:w="4678" w:type="dxa"/>
          </w:tcPr>
          <w:p>
            <w:pPr>
              <w:pStyle w:val="TableParagraph"/>
              <w:ind w:left="6"/>
              <w:jc w:val="center"/>
              <w:rPr>
                <w:sz w:val="21"/>
              </w:rPr>
            </w:pPr>
            <w:r>
              <w:rPr>
                <w:w w:val="100"/>
                <w:sz w:val="21"/>
              </w:rPr>
              <w:t>√</w:t>
            </w:r>
          </w:p>
        </w:tc>
        <w:tc>
          <w:tcPr>
            <w:tcW w:w="3260" w:type="dxa"/>
          </w:tcPr>
          <w:p>
            <w:pPr>
              <w:pStyle w:val="TableParagraph"/>
              <w:spacing w:before="0"/>
              <w:ind w:left="0"/>
              <w:rPr>
                <w:rFonts w:ascii="Times New Roman"/>
                <w:sz w:val="20"/>
              </w:rPr>
            </w:pPr>
          </w:p>
        </w:tc>
      </w:tr>
      <w:tr>
        <w:trPr>
          <w:trHeight w:val="311" w:hRule="atLeast"/>
        </w:trPr>
        <w:tc>
          <w:tcPr>
            <w:tcW w:w="708" w:type="dxa"/>
          </w:tcPr>
          <w:p>
            <w:pPr>
              <w:pStyle w:val="TableParagraph"/>
              <w:ind w:left="299"/>
              <w:rPr>
                <w:sz w:val="21"/>
              </w:rPr>
            </w:pPr>
            <w:r>
              <w:rPr>
                <w:w w:val="100"/>
                <w:sz w:val="21"/>
              </w:rPr>
              <w:t>4</w:t>
            </w:r>
          </w:p>
        </w:tc>
        <w:tc>
          <w:tcPr>
            <w:tcW w:w="2412" w:type="dxa"/>
          </w:tcPr>
          <w:p>
            <w:pPr>
              <w:pStyle w:val="TableParagraph"/>
              <w:ind w:left="7"/>
              <w:jc w:val="center"/>
              <w:rPr>
                <w:sz w:val="21"/>
              </w:rPr>
            </w:pPr>
            <w:r>
              <w:rPr>
                <w:w w:val="100"/>
                <w:sz w:val="21"/>
              </w:rPr>
              <w:t>√</w:t>
            </w:r>
          </w:p>
        </w:tc>
        <w:tc>
          <w:tcPr>
            <w:tcW w:w="3118" w:type="dxa"/>
          </w:tcPr>
          <w:p>
            <w:pPr>
              <w:pStyle w:val="TableParagraph"/>
              <w:spacing w:before="0"/>
              <w:ind w:left="0"/>
              <w:rPr>
                <w:rFonts w:ascii="Times New Roman"/>
                <w:sz w:val="20"/>
              </w:rPr>
            </w:pPr>
          </w:p>
        </w:tc>
        <w:tc>
          <w:tcPr>
            <w:tcW w:w="4678" w:type="dxa"/>
          </w:tcPr>
          <w:p>
            <w:pPr>
              <w:pStyle w:val="TableParagraph"/>
              <w:spacing w:before="0"/>
              <w:ind w:left="0"/>
              <w:rPr>
                <w:rFonts w:ascii="Times New Roman"/>
                <w:sz w:val="20"/>
              </w:rPr>
            </w:pPr>
          </w:p>
        </w:tc>
        <w:tc>
          <w:tcPr>
            <w:tcW w:w="3260" w:type="dxa"/>
          </w:tcPr>
          <w:p>
            <w:pPr>
              <w:pStyle w:val="TableParagraph"/>
              <w:ind w:left="7"/>
              <w:jc w:val="center"/>
              <w:rPr>
                <w:sz w:val="21"/>
              </w:rPr>
            </w:pPr>
            <w:r>
              <w:rPr>
                <w:w w:val="100"/>
                <w:sz w:val="21"/>
              </w:rPr>
              <w:t>√</w:t>
            </w:r>
          </w:p>
        </w:tc>
      </w:tr>
      <w:tr>
        <w:trPr>
          <w:trHeight w:val="313" w:hRule="atLeast"/>
        </w:trPr>
        <w:tc>
          <w:tcPr>
            <w:tcW w:w="708" w:type="dxa"/>
          </w:tcPr>
          <w:p>
            <w:pPr>
              <w:pStyle w:val="TableParagraph"/>
              <w:spacing w:before="25"/>
              <w:ind w:left="299"/>
              <w:rPr>
                <w:sz w:val="21"/>
              </w:rPr>
            </w:pPr>
            <w:r>
              <w:rPr>
                <w:w w:val="100"/>
                <w:sz w:val="21"/>
              </w:rPr>
              <w:t>5</w:t>
            </w:r>
          </w:p>
        </w:tc>
        <w:tc>
          <w:tcPr>
            <w:tcW w:w="2412" w:type="dxa"/>
          </w:tcPr>
          <w:p>
            <w:pPr>
              <w:pStyle w:val="TableParagraph"/>
              <w:spacing w:before="25"/>
              <w:ind w:left="7"/>
              <w:jc w:val="center"/>
              <w:rPr>
                <w:sz w:val="21"/>
              </w:rPr>
            </w:pPr>
            <w:r>
              <w:rPr>
                <w:w w:val="100"/>
                <w:sz w:val="21"/>
              </w:rPr>
              <w:t>√</w:t>
            </w:r>
          </w:p>
        </w:tc>
        <w:tc>
          <w:tcPr>
            <w:tcW w:w="3118" w:type="dxa"/>
          </w:tcPr>
          <w:p>
            <w:pPr>
              <w:pStyle w:val="TableParagraph"/>
              <w:spacing w:before="25"/>
              <w:ind w:left="2"/>
              <w:jc w:val="center"/>
              <w:rPr>
                <w:sz w:val="21"/>
              </w:rPr>
            </w:pPr>
            <w:r>
              <w:rPr>
                <w:w w:val="100"/>
                <w:sz w:val="21"/>
              </w:rPr>
              <w:t>√</w:t>
            </w:r>
          </w:p>
        </w:tc>
        <w:tc>
          <w:tcPr>
            <w:tcW w:w="4678" w:type="dxa"/>
          </w:tcPr>
          <w:p>
            <w:pPr>
              <w:pStyle w:val="TableParagraph"/>
              <w:spacing w:before="25"/>
              <w:ind w:left="6"/>
              <w:jc w:val="center"/>
              <w:rPr>
                <w:sz w:val="21"/>
              </w:rPr>
            </w:pPr>
            <w:r>
              <w:rPr>
                <w:w w:val="100"/>
                <w:sz w:val="21"/>
              </w:rPr>
              <w:t>√</w:t>
            </w:r>
          </w:p>
        </w:tc>
        <w:tc>
          <w:tcPr>
            <w:tcW w:w="3260" w:type="dxa"/>
          </w:tcPr>
          <w:p>
            <w:pPr>
              <w:pStyle w:val="TableParagraph"/>
              <w:spacing w:before="0"/>
              <w:ind w:left="0"/>
              <w:rPr>
                <w:rFonts w:ascii="Times New Roman"/>
                <w:sz w:val="20"/>
              </w:rPr>
            </w:pPr>
          </w:p>
        </w:tc>
      </w:tr>
      <w:tr>
        <w:trPr>
          <w:trHeight w:val="311" w:hRule="atLeast"/>
        </w:trPr>
        <w:tc>
          <w:tcPr>
            <w:tcW w:w="708" w:type="dxa"/>
          </w:tcPr>
          <w:p>
            <w:pPr>
              <w:pStyle w:val="TableParagraph"/>
              <w:ind w:left="299"/>
              <w:rPr>
                <w:sz w:val="21"/>
              </w:rPr>
            </w:pPr>
            <w:r>
              <w:rPr>
                <w:w w:val="100"/>
                <w:sz w:val="21"/>
              </w:rPr>
              <w:t>6</w:t>
            </w:r>
          </w:p>
        </w:tc>
        <w:tc>
          <w:tcPr>
            <w:tcW w:w="2412" w:type="dxa"/>
          </w:tcPr>
          <w:p>
            <w:pPr>
              <w:pStyle w:val="TableParagraph"/>
              <w:ind w:left="7"/>
              <w:jc w:val="center"/>
              <w:rPr>
                <w:sz w:val="21"/>
              </w:rPr>
            </w:pPr>
            <w:r>
              <w:rPr>
                <w:w w:val="100"/>
                <w:sz w:val="21"/>
              </w:rPr>
              <w:t>√</w:t>
            </w:r>
          </w:p>
        </w:tc>
        <w:tc>
          <w:tcPr>
            <w:tcW w:w="3118" w:type="dxa"/>
          </w:tcPr>
          <w:p>
            <w:pPr>
              <w:pStyle w:val="TableParagraph"/>
              <w:ind w:left="2"/>
              <w:jc w:val="center"/>
              <w:rPr>
                <w:sz w:val="21"/>
              </w:rPr>
            </w:pPr>
            <w:r>
              <w:rPr>
                <w:w w:val="100"/>
                <w:sz w:val="21"/>
              </w:rPr>
              <w:t>√</w:t>
            </w:r>
          </w:p>
        </w:tc>
        <w:tc>
          <w:tcPr>
            <w:tcW w:w="4678" w:type="dxa"/>
          </w:tcPr>
          <w:p>
            <w:pPr>
              <w:pStyle w:val="TableParagraph"/>
              <w:spacing w:before="0"/>
              <w:ind w:left="0"/>
              <w:rPr>
                <w:rFonts w:ascii="Times New Roman"/>
                <w:sz w:val="20"/>
              </w:rPr>
            </w:pPr>
          </w:p>
        </w:tc>
        <w:tc>
          <w:tcPr>
            <w:tcW w:w="3260" w:type="dxa"/>
          </w:tcPr>
          <w:p>
            <w:pPr>
              <w:pStyle w:val="TableParagraph"/>
              <w:ind w:left="7"/>
              <w:jc w:val="center"/>
              <w:rPr>
                <w:sz w:val="21"/>
              </w:rPr>
            </w:pPr>
            <w:r>
              <w:rPr>
                <w:w w:val="100"/>
                <w:sz w:val="21"/>
              </w:rPr>
              <w:t>√</w:t>
            </w:r>
          </w:p>
        </w:tc>
      </w:tr>
      <w:tr>
        <w:trPr>
          <w:trHeight w:val="311" w:hRule="atLeast"/>
        </w:trPr>
        <w:tc>
          <w:tcPr>
            <w:tcW w:w="708" w:type="dxa"/>
          </w:tcPr>
          <w:p>
            <w:pPr>
              <w:pStyle w:val="TableParagraph"/>
              <w:ind w:left="299"/>
              <w:rPr>
                <w:sz w:val="21"/>
              </w:rPr>
            </w:pPr>
            <w:r>
              <w:rPr>
                <w:w w:val="100"/>
                <w:sz w:val="21"/>
              </w:rPr>
              <w:t>7</w:t>
            </w:r>
          </w:p>
        </w:tc>
        <w:tc>
          <w:tcPr>
            <w:tcW w:w="2412" w:type="dxa"/>
          </w:tcPr>
          <w:p>
            <w:pPr>
              <w:pStyle w:val="TableParagraph"/>
              <w:ind w:left="7"/>
              <w:jc w:val="center"/>
              <w:rPr>
                <w:sz w:val="21"/>
              </w:rPr>
            </w:pPr>
            <w:r>
              <w:rPr>
                <w:w w:val="100"/>
                <w:sz w:val="21"/>
              </w:rPr>
              <w:t>√</w:t>
            </w:r>
          </w:p>
        </w:tc>
        <w:tc>
          <w:tcPr>
            <w:tcW w:w="3118" w:type="dxa"/>
          </w:tcPr>
          <w:p>
            <w:pPr>
              <w:pStyle w:val="TableParagraph"/>
              <w:spacing w:before="0"/>
              <w:ind w:left="0"/>
              <w:rPr>
                <w:rFonts w:ascii="Times New Roman"/>
                <w:sz w:val="20"/>
              </w:rPr>
            </w:pPr>
          </w:p>
        </w:tc>
        <w:tc>
          <w:tcPr>
            <w:tcW w:w="4678" w:type="dxa"/>
          </w:tcPr>
          <w:p>
            <w:pPr>
              <w:pStyle w:val="TableParagraph"/>
              <w:ind w:left="6"/>
              <w:jc w:val="center"/>
              <w:rPr>
                <w:sz w:val="21"/>
              </w:rPr>
            </w:pPr>
            <w:r>
              <w:rPr>
                <w:w w:val="100"/>
                <w:sz w:val="21"/>
              </w:rPr>
              <w:t>√</w:t>
            </w:r>
          </w:p>
        </w:tc>
        <w:tc>
          <w:tcPr>
            <w:tcW w:w="3260" w:type="dxa"/>
          </w:tcPr>
          <w:p>
            <w:pPr>
              <w:pStyle w:val="TableParagraph"/>
              <w:ind w:left="7"/>
              <w:jc w:val="center"/>
              <w:rPr>
                <w:sz w:val="21"/>
              </w:rPr>
            </w:pPr>
            <w:r>
              <w:rPr>
                <w:w w:val="100"/>
                <w:sz w:val="21"/>
              </w:rPr>
              <w:t>√</w:t>
            </w:r>
          </w:p>
        </w:tc>
      </w:tr>
      <w:tr>
        <w:trPr>
          <w:trHeight w:val="311" w:hRule="atLeast"/>
        </w:trPr>
        <w:tc>
          <w:tcPr>
            <w:tcW w:w="708" w:type="dxa"/>
          </w:tcPr>
          <w:p>
            <w:pPr>
              <w:pStyle w:val="TableParagraph"/>
              <w:ind w:left="299"/>
              <w:rPr>
                <w:sz w:val="21"/>
              </w:rPr>
            </w:pPr>
            <w:r>
              <w:rPr>
                <w:w w:val="100"/>
                <w:sz w:val="21"/>
              </w:rPr>
              <w:t>8</w:t>
            </w:r>
          </w:p>
        </w:tc>
        <w:tc>
          <w:tcPr>
            <w:tcW w:w="2412" w:type="dxa"/>
          </w:tcPr>
          <w:p>
            <w:pPr>
              <w:pStyle w:val="TableParagraph"/>
              <w:ind w:left="7"/>
              <w:jc w:val="center"/>
              <w:rPr>
                <w:sz w:val="21"/>
              </w:rPr>
            </w:pPr>
            <w:r>
              <w:rPr>
                <w:w w:val="100"/>
                <w:sz w:val="21"/>
              </w:rPr>
              <w:t>√</w:t>
            </w:r>
          </w:p>
        </w:tc>
        <w:tc>
          <w:tcPr>
            <w:tcW w:w="3118" w:type="dxa"/>
          </w:tcPr>
          <w:p>
            <w:pPr>
              <w:pStyle w:val="TableParagraph"/>
              <w:ind w:left="2"/>
              <w:jc w:val="center"/>
              <w:rPr>
                <w:sz w:val="21"/>
              </w:rPr>
            </w:pPr>
            <w:r>
              <w:rPr>
                <w:w w:val="100"/>
                <w:sz w:val="21"/>
              </w:rPr>
              <w:t>√</w:t>
            </w:r>
          </w:p>
        </w:tc>
        <w:tc>
          <w:tcPr>
            <w:tcW w:w="4678" w:type="dxa"/>
          </w:tcPr>
          <w:p>
            <w:pPr>
              <w:pStyle w:val="TableParagraph"/>
              <w:ind w:left="6"/>
              <w:jc w:val="center"/>
              <w:rPr>
                <w:sz w:val="21"/>
              </w:rPr>
            </w:pPr>
            <w:r>
              <w:rPr>
                <w:w w:val="100"/>
                <w:sz w:val="21"/>
              </w:rPr>
              <w:t>√</w:t>
            </w:r>
          </w:p>
        </w:tc>
        <w:tc>
          <w:tcPr>
            <w:tcW w:w="3260" w:type="dxa"/>
          </w:tcPr>
          <w:p>
            <w:pPr>
              <w:pStyle w:val="TableParagraph"/>
              <w:ind w:left="7"/>
              <w:jc w:val="center"/>
              <w:rPr>
                <w:sz w:val="21"/>
              </w:rPr>
            </w:pPr>
            <w:r>
              <w:rPr>
                <w:w w:val="100"/>
                <w:sz w:val="21"/>
              </w:rPr>
              <w:t>√</w:t>
            </w:r>
          </w:p>
        </w:tc>
      </w:tr>
    </w:tbl>
    <w:p>
      <w:pPr>
        <w:pStyle w:val="BodyText"/>
        <w:spacing w:before="32"/>
        <w:ind w:left="118"/>
      </w:pPr>
      <w:r>
        <w:rPr>
          <w:spacing w:val="-2"/>
        </w:rPr>
        <w:t>注：“√”表示该保险计划含有对应的必选责任和可选责任（若有）</w:t>
      </w:r>
      <w:r>
        <w:rPr>
          <w:spacing w:val="-10"/>
        </w:rPr>
        <w:t>。</w:t>
      </w:r>
    </w:p>
    <w:sectPr>
      <w:footerReference w:type="default" r:id="rId9"/>
      <w:pgSz w:w="16840" w:h="11910" w:orient="landscape"/>
      <w:pgMar w:footer="1120" w:header="0" w:top="1100" w:bottom="1300" w:left="1300" w:right="11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仿宋">
    <w:altName w:val="仿宋"/>
    <w:charset w:val="86"/>
    <w:family w:val="modern"/>
    <w:pitch w:val="fixed"/>
  </w:font>
  <w:font w:name="Calibri">
    <w:altName w:val="Calibri"/>
    <w:charset w:val="0"/>
    <w:family w:val="swiss"/>
    <w:pitch w:val="variable"/>
  </w:font>
  <w:font w:name="黑体">
    <w:altName w:val="黑体"/>
    <w:charset w:val="86"/>
    <w:family w:val="modern"/>
    <w:pitch w:val="fixed"/>
  </w:font>
  <w:font w:name="楷体">
    <w:altName w:val="楷体"/>
    <w:charset w:val="86"/>
    <w:family w:val="modern"/>
    <w:pitch w:val="fixed"/>
  </w:font>
  <w:font w:name="等线">
    <w:altName w:val="等线"/>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12"/>
      </w:rPr>
    </w:pPr>
    <w:r>
      <w:rPr/>
      <w:pict>
        <v:shapetype id="_x0000_t202" o:spt="202" coordsize="21600,21600" path="m,l,21600r21600,l21600,xe">
          <v:stroke joinstyle="miter"/>
          <v:path gradientshapeok="t" o:connecttype="rect"/>
        </v:shapetype>
        <v:shape style="position:absolute;margin-left:290.040009pt;margin-top:774.939941pt;width:16.1500pt;height:12pt;mso-position-horizontal-relative:page;mso-position-vertical-relative:page;z-index:-17471488"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20"/>
      </w:rPr>
    </w:pPr>
    <w:r>
      <w:rPr/>
      <w:pict>
        <v:shape style="position:absolute;margin-left:415.399994pt;margin-top:528.339966pt;width:11.15pt;height:12pt;mso-position-horizontal-relative:page;mso-position-vertical-relative:page;z-index:-17470976" type="#_x0000_t202" id="docshape4" filled="false" stroked="false">
          <v:textbox inset="0,0,0,0">
            <w:txbxContent>
              <w:p>
                <w:pPr>
                  <w:spacing w:before="12"/>
                  <w:ind w:left="20" w:right="0" w:firstLine="0"/>
                  <w:jc w:val="left"/>
                  <w:rPr>
                    <w:rFonts w:ascii="Times New Roman"/>
                    <w:sz w:val="18"/>
                  </w:rPr>
                </w:pPr>
                <w:r>
                  <w:rPr>
                    <w:rFonts w:ascii="Times New Roman"/>
                    <w:spacing w:val="-5"/>
                    <w:sz w:val="18"/>
                  </w:rPr>
                  <w:t>48</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6">
    <w:multiLevelType w:val="hybridMultilevel"/>
    <w:lvl w:ilvl="0">
      <w:start w:val="0"/>
      <w:numFmt w:val="decimal"/>
      <w:lvlText w:val="%1"/>
      <w:lvlJc w:val="left"/>
      <w:pPr>
        <w:ind w:left="2081"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858" w:hanging="159"/>
      </w:pPr>
      <w:rPr>
        <w:rFonts w:hint="default"/>
        <w:lang w:val="en-US" w:eastAsia="zh-CN" w:bidi="ar-SA"/>
      </w:rPr>
    </w:lvl>
    <w:lvl w:ilvl="2">
      <w:start w:val="0"/>
      <w:numFmt w:val="bullet"/>
      <w:lvlText w:val="•"/>
      <w:lvlJc w:val="left"/>
      <w:pPr>
        <w:ind w:left="3637" w:hanging="159"/>
      </w:pPr>
      <w:rPr>
        <w:rFonts w:hint="default"/>
        <w:lang w:val="en-US" w:eastAsia="zh-CN" w:bidi="ar-SA"/>
      </w:rPr>
    </w:lvl>
    <w:lvl w:ilvl="3">
      <w:start w:val="0"/>
      <w:numFmt w:val="bullet"/>
      <w:lvlText w:val="•"/>
      <w:lvlJc w:val="left"/>
      <w:pPr>
        <w:ind w:left="4415" w:hanging="159"/>
      </w:pPr>
      <w:rPr>
        <w:rFonts w:hint="default"/>
        <w:lang w:val="en-US" w:eastAsia="zh-CN" w:bidi="ar-SA"/>
      </w:rPr>
    </w:lvl>
    <w:lvl w:ilvl="4">
      <w:start w:val="0"/>
      <w:numFmt w:val="bullet"/>
      <w:lvlText w:val="•"/>
      <w:lvlJc w:val="left"/>
      <w:pPr>
        <w:ind w:left="5194" w:hanging="159"/>
      </w:pPr>
      <w:rPr>
        <w:rFonts w:hint="default"/>
        <w:lang w:val="en-US" w:eastAsia="zh-CN" w:bidi="ar-SA"/>
      </w:rPr>
    </w:lvl>
    <w:lvl w:ilvl="5">
      <w:start w:val="0"/>
      <w:numFmt w:val="bullet"/>
      <w:lvlText w:val="•"/>
      <w:lvlJc w:val="left"/>
      <w:pPr>
        <w:ind w:left="5973" w:hanging="159"/>
      </w:pPr>
      <w:rPr>
        <w:rFonts w:hint="default"/>
        <w:lang w:val="en-US" w:eastAsia="zh-CN" w:bidi="ar-SA"/>
      </w:rPr>
    </w:lvl>
    <w:lvl w:ilvl="6">
      <w:start w:val="0"/>
      <w:numFmt w:val="bullet"/>
      <w:lvlText w:val="•"/>
      <w:lvlJc w:val="left"/>
      <w:pPr>
        <w:ind w:left="6751" w:hanging="159"/>
      </w:pPr>
      <w:rPr>
        <w:rFonts w:hint="default"/>
        <w:lang w:val="en-US" w:eastAsia="zh-CN" w:bidi="ar-SA"/>
      </w:rPr>
    </w:lvl>
    <w:lvl w:ilvl="7">
      <w:start w:val="0"/>
      <w:numFmt w:val="bullet"/>
      <w:lvlText w:val="•"/>
      <w:lvlJc w:val="left"/>
      <w:pPr>
        <w:ind w:left="7530" w:hanging="159"/>
      </w:pPr>
      <w:rPr>
        <w:rFonts w:hint="default"/>
        <w:lang w:val="en-US" w:eastAsia="zh-CN" w:bidi="ar-SA"/>
      </w:rPr>
    </w:lvl>
    <w:lvl w:ilvl="8">
      <w:start w:val="0"/>
      <w:numFmt w:val="bullet"/>
      <w:lvlText w:val="•"/>
      <w:lvlJc w:val="left"/>
      <w:pPr>
        <w:ind w:left="8309" w:hanging="159"/>
      </w:pPr>
      <w:rPr>
        <w:rFonts w:hint="default"/>
        <w:lang w:val="en-US" w:eastAsia="zh-CN" w:bidi="ar-SA"/>
      </w:rPr>
    </w:lvl>
  </w:abstractNum>
  <w:abstractNum w:abstractNumId="97">
    <w:multiLevelType w:val="hybridMultilevel"/>
    <w:lvl w:ilvl="0">
      <w:start w:val="13"/>
      <w:numFmt w:val="decimal"/>
      <w:lvlText w:val="%0.%1"/>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1">
      <w:start w:val="0"/>
      <w:numFmt w:val="bullet"/>
      <w:lvlText w:val="•"/>
      <w:lvlJc w:val="left"/>
      <w:pPr>
        <w:ind w:left="2824" w:hanging="572"/>
      </w:pPr>
      <w:rPr>
        <w:rFonts w:hint="default"/>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90">
    <w:multiLevelType w:val="hybridMultilevel"/>
    <w:lvl w:ilvl="0">
      <w:start w:val="29"/>
      <w:numFmt w:val="decimal"/>
      <w:lvlText w:val="%0.%1"/>
      <w:lvlJc w:val="left"/>
      <w:pPr>
        <w:ind w:left="2092"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1">
      <w:start w:val="0"/>
      <w:numFmt w:val="bullet"/>
      <w:lvlText w:val="•"/>
      <w:lvlJc w:val="left"/>
      <w:pPr>
        <w:ind w:left="2824" w:hanging="572"/>
      </w:pPr>
      <w:rPr>
        <w:rFonts w:hint="default"/>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129">
    <w:multiLevelType w:val="hybridMultilevel"/>
    <w:lvl w:ilvl="0">
      <w:start w:val="3"/>
      <w:numFmt w:val="decimal"/>
      <w:lvlText w:val="%1"/>
      <w:lvlJc w:val="left"/>
      <w:pPr>
        <w:ind w:left="476" w:hanging="370"/>
        <w:jc w:val="left"/>
      </w:pPr>
      <w:rPr>
        <w:rFonts w:hint="default"/>
        <w:lang w:val="en-US" w:eastAsia="zh-CN" w:bidi="ar-SA"/>
      </w:rPr>
    </w:lvl>
    <w:lvl w:ilvl="1">
      <w:start w:val="1"/>
      <w:numFmt w:val="decimal"/>
      <w:lvlText w:val="%1.%2"/>
      <w:lvlJc w:val="left"/>
      <w:pPr>
        <w:ind w:left="476"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34" w:hanging="370"/>
      </w:pPr>
      <w:rPr>
        <w:rFonts w:hint="default"/>
        <w:lang w:val="en-US" w:eastAsia="zh-CN" w:bidi="ar-SA"/>
      </w:rPr>
    </w:lvl>
    <w:lvl w:ilvl="3">
      <w:start w:val="0"/>
      <w:numFmt w:val="bullet"/>
      <w:lvlText w:val="•"/>
      <w:lvlJc w:val="left"/>
      <w:pPr>
        <w:ind w:left="1311" w:hanging="370"/>
      </w:pPr>
      <w:rPr>
        <w:rFonts w:hint="default"/>
        <w:lang w:val="en-US" w:eastAsia="zh-CN" w:bidi="ar-SA"/>
      </w:rPr>
    </w:lvl>
    <w:lvl w:ilvl="4">
      <w:start w:val="0"/>
      <w:numFmt w:val="bullet"/>
      <w:lvlText w:val="•"/>
      <w:lvlJc w:val="left"/>
      <w:pPr>
        <w:ind w:left="1588" w:hanging="370"/>
      </w:pPr>
      <w:rPr>
        <w:rFonts w:hint="default"/>
        <w:lang w:val="en-US" w:eastAsia="zh-CN" w:bidi="ar-SA"/>
      </w:rPr>
    </w:lvl>
    <w:lvl w:ilvl="5">
      <w:start w:val="0"/>
      <w:numFmt w:val="bullet"/>
      <w:lvlText w:val="•"/>
      <w:lvlJc w:val="left"/>
      <w:pPr>
        <w:ind w:left="1865" w:hanging="370"/>
      </w:pPr>
      <w:rPr>
        <w:rFonts w:hint="default"/>
        <w:lang w:val="en-US" w:eastAsia="zh-CN" w:bidi="ar-SA"/>
      </w:rPr>
    </w:lvl>
    <w:lvl w:ilvl="6">
      <w:start w:val="0"/>
      <w:numFmt w:val="bullet"/>
      <w:lvlText w:val="•"/>
      <w:lvlJc w:val="left"/>
      <w:pPr>
        <w:ind w:left="2142" w:hanging="370"/>
      </w:pPr>
      <w:rPr>
        <w:rFonts w:hint="default"/>
        <w:lang w:val="en-US" w:eastAsia="zh-CN" w:bidi="ar-SA"/>
      </w:rPr>
    </w:lvl>
    <w:lvl w:ilvl="7">
      <w:start w:val="0"/>
      <w:numFmt w:val="bullet"/>
      <w:lvlText w:val="•"/>
      <w:lvlJc w:val="left"/>
      <w:pPr>
        <w:ind w:left="2419" w:hanging="370"/>
      </w:pPr>
      <w:rPr>
        <w:rFonts w:hint="default"/>
        <w:lang w:val="en-US" w:eastAsia="zh-CN" w:bidi="ar-SA"/>
      </w:rPr>
    </w:lvl>
    <w:lvl w:ilvl="8">
      <w:start w:val="0"/>
      <w:numFmt w:val="bullet"/>
      <w:lvlText w:val="•"/>
      <w:lvlJc w:val="left"/>
      <w:pPr>
        <w:ind w:left="2696" w:hanging="370"/>
      </w:pPr>
      <w:rPr>
        <w:rFonts w:hint="default"/>
        <w:lang w:val="en-US" w:eastAsia="zh-CN" w:bidi="ar-SA"/>
      </w:rPr>
    </w:lvl>
  </w:abstractNum>
  <w:abstractNum w:abstractNumId="128">
    <w:multiLevelType w:val="hybridMultilevel"/>
    <w:lvl w:ilvl="0">
      <w:start w:val="1"/>
      <w:numFmt w:val="decimal"/>
      <w:lvlText w:val="%1"/>
      <w:lvlJc w:val="left"/>
      <w:pPr>
        <w:ind w:left="475" w:hanging="370"/>
        <w:jc w:val="left"/>
      </w:pPr>
      <w:rPr>
        <w:rFonts w:hint="default"/>
        <w:lang w:val="en-US" w:eastAsia="zh-CN" w:bidi="ar-SA"/>
      </w:rPr>
    </w:lvl>
    <w:lvl w:ilvl="1">
      <w:start w:val="1"/>
      <w:numFmt w:val="decimal"/>
      <w:lvlText w:val="%1.%2"/>
      <w:lvlJc w:val="left"/>
      <w:pPr>
        <w:ind w:left="475"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05" w:hanging="370"/>
      </w:pPr>
      <w:rPr>
        <w:rFonts w:hint="default"/>
        <w:lang w:val="en-US" w:eastAsia="zh-CN" w:bidi="ar-SA"/>
      </w:rPr>
    </w:lvl>
    <w:lvl w:ilvl="3">
      <w:start w:val="0"/>
      <w:numFmt w:val="bullet"/>
      <w:lvlText w:val="•"/>
      <w:lvlJc w:val="left"/>
      <w:pPr>
        <w:ind w:left="1268" w:hanging="370"/>
      </w:pPr>
      <w:rPr>
        <w:rFonts w:hint="default"/>
        <w:lang w:val="en-US" w:eastAsia="zh-CN" w:bidi="ar-SA"/>
      </w:rPr>
    </w:lvl>
    <w:lvl w:ilvl="4">
      <w:start w:val="0"/>
      <w:numFmt w:val="bullet"/>
      <w:lvlText w:val="•"/>
      <w:lvlJc w:val="left"/>
      <w:pPr>
        <w:ind w:left="1531" w:hanging="370"/>
      </w:pPr>
      <w:rPr>
        <w:rFonts w:hint="default"/>
        <w:lang w:val="en-US" w:eastAsia="zh-CN" w:bidi="ar-SA"/>
      </w:rPr>
    </w:lvl>
    <w:lvl w:ilvl="5">
      <w:start w:val="0"/>
      <w:numFmt w:val="bullet"/>
      <w:lvlText w:val="•"/>
      <w:lvlJc w:val="left"/>
      <w:pPr>
        <w:ind w:left="1794" w:hanging="370"/>
      </w:pPr>
      <w:rPr>
        <w:rFonts w:hint="default"/>
        <w:lang w:val="en-US" w:eastAsia="zh-CN" w:bidi="ar-SA"/>
      </w:rPr>
    </w:lvl>
    <w:lvl w:ilvl="6">
      <w:start w:val="0"/>
      <w:numFmt w:val="bullet"/>
      <w:lvlText w:val="•"/>
      <w:lvlJc w:val="left"/>
      <w:pPr>
        <w:ind w:left="2056" w:hanging="370"/>
      </w:pPr>
      <w:rPr>
        <w:rFonts w:hint="default"/>
        <w:lang w:val="en-US" w:eastAsia="zh-CN" w:bidi="ar-SA"/>
      </w:rPr>
    </w:lvl>
    <w:lvl w:ilvl="7">
      <w:start w:val="0"/>
      <w:numFmt w:val="bullet"/>
      <w:lvlText w:val="•"/>
      <w:lvlJc w:val="left"/>
      <w:pPr>
        <w:ind w:left="2319" w:hanging="370"/>
      </w:pPr>
      <w:rPr>
        <w:rFonts w:hint="default"/>
        <w:lang w:val="en-US" w:eastAsia="zh-CN" w:bidi="ar-SA"/>
      </w:rPr>
    </w:lvl>
    <w:lvl w:ilvl="8">
      <w:start w:val="0"/>
      <w:numFmt w:val="bullet"/>
      <w:lvlText w:val="•"/>
      <w:lvlJc w:val="left"/>
      <w:pPr>
        <w:ind w:left="2582" w:hanging="370"/>
      </w:pPr>
      <w:rPr>
        <w:rFonts w:hint="default"/>
        <w:lang w:val="en-US" w:eastAsia="zh-CN" w:bidi="ar-SA"/>
      </w:rPr>
    </w:lvl>
  </w:abstractNum>
  <w:abstractNum w:abstractNumId="127">
    <w:multiLevelType w:val="hybridMultilevel"/>
    <w:lvl w:ilvl="0">
      <w:start w:val="1"/>
      <w:numFmt w:val="decimal"/>
      <w:lvlText w:val="（%1）"/>
      <w:lvlJc w:val="left"/>
      <w:pPr>
        <w:ind w:left="611"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9" w:hanging="542"/>
      </w:pPr>
      <w:rPr>
        <w:rFonts w:hint="default"/>
        <w:lang w:val="en-US" w:eastAsia="zh-CN" w:bidi="ar-SA"/>
      </w:rPr>
    </w:lvl>
    <w:lvl w:ilvl="2">
      <w:start w:val="0"/>
      <w:numFmt w:val="bullet"/>
      <w:lvlText w:val="•"/>
      <w:lvlJc w:val="left"/>
      <w:pPr>
        <w:ind w:left="2098" w:hanging="542"/>
      </w:pPr>
      <w:rPr>
        <w:rFonts w:hint="default"/>
        <w:lang w:val="en-US" w:eastAsia="zh-CN" w:bidi="ar-SA"/>
      </w:rPr>
    </w:lvl>
    <w:lvl w:ilvl="3">
      <w:start w:val="0"/>
      <w:numFmt w:val="bullet"/>
      <w:lvlText w:val="•"/>
      <w:lvlJc w:val="left"/>
      <w:pPr>
        <w:ind w:left="2838" w:hanging="542"/>
      </w:pPr>
      <w:rPr>
        <w:rFonts w:hint="default"/>
        <w:lang w:val="en-US" w:eastAsia="zh-CN" w:bidi="ar-SA"/>
      </w:rPr>
    </w:lvl>
    <w:lvl w:ilvl="4">
      <w:start w:val="0"/>
      <w:numFmt w:val="bullet"/>
      <w:lvlText w:val="•"/>
      <w:lvlJc w:val="left"/>
      <w:pPr>
        <w:ind w:left="3577" w:hanging="542"/>
      </w:pPr>
      <w:rPr>
        <w:rFonts w:hint="default"/>
        <w:lang w:val="en-US" w:eastAsia="zh-CN" w:bidi="ar-SA"/>
      </w:rPr>
    </w:lvl>
    <w:lvl w:ilvl="5">
      <w:start w:val="0"/>
      <w:numFmt w:val="bullet"/>
      <w:lvlText w:val="•"/>
      <w:lvlJc w:val="left"/>
      <w:pPr>
        <w:ind w:left="4317" w:hanging="542"/>
      </w:pPr>
      <w:rPr>
        <w:rFonts w:hint="default"/>
        <w:lang w:val="en-US" w:eastAsia="zh-CN" w:bidi="ar-SA"/>
      </w:rPr>
    </w:lvl>
    <w:lvl w:ilvl="6">
      <w:start w:val="0"/>
      <w:numFmt w:val="bullet"/>
      <w:lvlText w:val="•"/>
      <w:lvlJc w:val="left"/>
      <w:pPr>
        <w:ind w:left="5056" w:hanging="542"/>
      </w:pPr>
      <w:rPr>
        <w:rFonts w:hint="default"/>
        <w:lang w:val="en-US" w:eastAsia="zh-CN" w:bidi="ar-SA"/>
      </w:rPr>
    </w:lvl>
    <w:lvl w:ilvl="7">
      <w:start w:val="0"/>
      <w:numFmt w:val="bullet"/>
      <w:lvlText w:val="•"/>
      <w:lvlJc w:val="left"/>
      <w:pPr>
        <w:ind w:left="5796" w:hanging="542"/>
      </w:pPr>
      <w:rPr>
        <w:rFonts w:hint="default"/>
        <w:lang w:val="en-US" w:eastAsia="zh-CN" w:bidi="ar-SA"/>
      </w:rPr>
    </w:lvl>
    <w:lvl w:ilvl="8">
      <w:start w:val="0"/>
      <w:numFmt w:val="bullet"/>
      <w:lvlText w:val="•"/>
      <w:lvlJc w:val="left"/>
      <w:pPr>
        <w:ind w:left="6535" w:hanging="542"/>
      </w:pPr>
      <w:rPr>
        <w:rFonts w:hint="default"/>
        <w:lang w:val="en-US" w:eastAsia="zh-CN" w:bidi="ar-SA"/>
      </w:rPr>
    </w:lvl>
  </w:abstractNum>
  <w:abstractNum w:abstractNumId="125">
    <w:multiLevelType w:val="hybridMultilevel"/>
    <w:lvl w:ilvl="0">
      <w:start w:val="0"/>
      <w:numFmt w:val="decimal"/>
      <w:lvlText w:val="%1"/>
      <w:lvlJc w:val="left"/>
      <w:pPr>
        <w:ind w:left="554"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38" w:hanging="159"/>
      </w:pPr>
      <w:rPr>
        <w:rFonts w:hint="default"/>
        <w:lang w:val="en-US" w:eastAsia="zh-CN" w:bidi="ar-SA"/>
      </w:rPr>
    </w:lvl>
    <w:lvl w:ilvl="2">
      <w:start w:val="0"/>
      <w:numFmt w:val="bullet"/>
      <w:lvlText w:val="•"/>
      <w:lvlJc w:val="left"/>
      <w:pPr>
        <w:ind w:left="2116" w:hanging="159"/>
      </w:pPr>
      <w:rPr>
        <w:rFonts w:hint="default"/>
        <w:lang w:val="en-US" w:eastAsia="zh-CN" w:bidi="ar-SA"/>
      </w:rPr>
    </w:lvl>
    <w:lvl w:ilvl="3">
      <w:start w:val="0"/>
      <w:numFmt w:val="bullet"/>
      <w:lvlText w:val="•"/>
      <w:lvlJc w:val="left"/>
      <w:pPr>
        <w:ind w:left="2894" w:hanging="159"/>
      </w:pPr>
      <w:rPr>
        <w:rFonts w:hint="default"/>
        <w:lang w:val="en-US" w:eastAsia="zh-CN" w:bidi="ar-SA"/>
      </w:rPr>
    </w:lvl>
    <w:lvl w:ilvl="4">
      <w:start w:val="0"/>
      <w:numFmt w:val="bullet"/>
      <w:lvlText w:val="•"/>
      <w:lvlJc w:val="left"/>
      <w:pPr>
        <w:ind w:left="3672" w:hanging="159"/>
      </w:pPr>
      <w:rPr>
        <w:rFonts w:hint="default"/>
        <w:lang w:val="en-US" w:eastAsia="zh-CN" w:bidi="ar-SA"/>
      </w:rPr>
    </w:lvl>
    <w:lvl w:ilvl="5">
      <w:start w:val="0"/>
      <w:numFmt w:val="bullet"/>
      <w:lvlText w:val="•"/>
      <w:lvlJc w:val="left"/>
      <w:pPr>
        <w:ind w:left="4450" w:hanging="159"/>
      </w:pPr>
      <w:rPr>
        <w:rFonts w:hint="default"/>
        <w:lang w:val="en-US" w:eastAsia="zh-CN" w:bidi="ar-SA"/>
      </w:rPr>
    </w:lvl>
    <w:lvl w:ilvl="6">
      <w:start w:val="0"/>
      <w:numFmt w:val="bullet"/>
      <w:lvlText w:val="•"/>
      <w:lvlJc w:val="left"/>
      <w:pPr>
        <w:ind w:left="5228" w:hanging="159"/>
      </w:pPr>
      <w:rPr>
        <w:rFonts w:hint="default"/>
        <w:lang w:val="en-US" w:eastAsia="zh-CN" w:bidi="ar-SA"/>
      </w:rPr>
    </w:lvl>
    <w:lvl w:ilvl="7">
      <w:start w:val="0"/>
      <w:numFmt w:val="bullet"/>
      <w:lvlText w:val="•"/>
      <w:lvlJc w:val="left"/>
      <w:pPr>
        <w:ind w:left="6006" w:hanging="159"/>
      </w:pPr>
      <w:rPr>
        <w:rFonts w:hint="default"/>
        <w:lang w:val="en-US" w:eastAsia="zh-CN" w:bidi="ar-SA"/>
      </w:rPr>
    </w:lvl>
    <w:lvl w:ilvl="8">
      <w:start w:val="0"/>
      <w:numFmt w:val="bullet"/>
      <w:lvlText w:val="•"/>
      <w:lvlJc w:val="left"/>
      <w:pPr>
        <w:ind w:left="6784" w:hanging="159"/>
      </w:pPr>
      <w:rPr>
        <w:rFonts w:hint="default"/>
        <w:lang w:val="en-US" w:eastAsia="zh-CN" w:bidi="ar-SA"/>
      </w:rPr>
    </w:lvl>
  </w:abstractNum>
  <w:abstractNum w:abstractNumId="124">
    <w:multiLevelType w:val="hybridMultilevel"/>
    <w:lvl w:ilvl="0">
      <w:start w:val="1"/>
      <w:numFmt w:val="decimal"/>
      <w:lvlText w:val="（%1）"/>
      <w:lvlJc w:val="left"/>
      <w:pPr>
        <w:ind w:left="245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200" w:hanging="529"/>
      </w:pPr>
      <w:rPr>
        <w:rFonts w:hint="default"/>
        <w:lang w:val="en-US" w:eastAsia="zh-CN" w:bidi="ar-SA"/>
      </w:rPr>
    </w:lvl>
    <w:lvl w:ilvl="2">
      <w:start w:val="0"/>
      <w:numFmt w:val="bullet"/>
      <w:lvlText w:val="•"/>
      <w:lvlJc w:val="left"/>
      <w:pPr>
        <w:ind w:left="3941" w:hanging="529"/>
      </w:pPr>
      <w:rPr>
        <w:rFonts w:hint="default"/>
        <w:lang w:val="en-US" w:eastAsia="zh-CN" w:bidi="ar-SA"/>
      </w:rPr>
    </w:lvl>
    <w:lvl w:ilvl="3">
      <w:start w:val="0"/>
      <w:numFmt w:val="bullet"/>
      <w:lvlText w:val="•"/>
      <w:lvlJc w:val="left"/>
      <w:pPr>
        <w:ind w:left="4681" w:hanging="529"/>
      </w:pPr>
      <w:rPr>
        <w:rFonts w:hint="default"/>
        <w:lang w:val="en-US" w:eastAsia="zh-CN" w:bidi="ar-SA"/>
      </w:rPr>
    </w:lvl>
    <w:lvl w:ilvl="4">
      <w:start w:val="0"/>
      <w:numFmt w:val="bullet"/>
      <w:lvlText w:val="•"/>
      <w:lvlJc w:val="left"/>
      <w:pPr>
        <w:ind w:left="5422" w:hanging="529"/>
      </w:pPr>
      <w:rPr>
        <w:rFonts w:hint="default"/>
        <w:lang w:val="en-US" w:eastAsia="zh-CN" w:bidi="ar-SA"/>
      </w:rPr>
    </w:lvl>
    <w:lvl w:ilvl="5">
      <w:start w:val="0"/>
      <w:numFmt w:val="bullet"/>
      <w:lvlText w:val="•"/>
      <w:lvlJc w:val="left"/>
      <w:pPr>
        <w:ind w:left="6163" w:hanging="529"/>
      </w:pPr>
      <w:rPr>
        <w:rFonts w:hint="default"/>
        <w:lang w:val="en-US" w:eastAsia="zh-CN" w:bidi="ar-SA"/>
      </w:rPr>
    </w:lvl>
    <w:lvl w:ilvl="6">
      <w:start w:val="0"/>
      <w:numFmt w:val="bullet"/>
      <w:lvlText w:val="•"/>
      <w:lvlJc w:val="left"/>
      <w:pPr>
        <w:ind w:left="6903" w:hanging="529"/>
      </w:pPr>
      <w:rPr>
        <w:rFonts w:hint="default"/>
        <w:lang w:val="en-US" w:eastAsia="zh-CN" w:bidi="ar-SA"/>
      </w:rPr>
    </w:lvl>
    <w:lvl w:ilvl="7">
      <w:start w:val="0"/>
      <w:numFmt w:val="bullet"/>
      <w:lvlText w:val="•"/>
      <w:lvlJc w:val="left"/>
      <w:pPr>
        <w:ind w:left="7644" w:hanging="529"/>
      </w:pPr>
      <w:rPr>
        <w:rFonts w:hint="default"/>
        <w:lang w:val="en-US" w:eastAsia="zh-CN" w:bidi="ar-SA"/>
      </w:rPr>
    </w:lvl>
    <w:lvl w:ilvl="8">
      <w:start w:val="0"/>
      <w:numFmt w:val="bullet"/>
      <w:lvlText w:val="•"/>
      <w:lvlJc w:val="left"/>
      <w:pPr>
        <w:ind w:left="8385" w:hanging="529"/>
      </w:pPr>
      <w:rPr>
        <w:rFonts w:hint="default"/>
        <w:lang w:val="en-US" w:eastAsia="zh-CN" w:bidi="ar-SA"/>
      </w:rPr>
    </w:lvl>
  </w:abstractNum>
  <w:abstractNum w:abstractNumId="123">
    <w:multiLevelType w:val="hybridMultilevel"/>
    <w:lvl w:ilvl="0">
      <w:start w:val="1"/>
      <w:numFmt w:val="decimal"/>
      <w:lvlText w:val="（%1）"/>
      <w:lvlJc w:val="left"/>
      <w:pPr>
        <w:ind w:left="633"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377" w:hanging="529"/>
      </w:pPr>
      <w:rPr>
        <w:rFonts w:hint="default"/>
        <w:lang w:val="en-US" w:eastAsia="zh-CN" w:bidi="ar-SA"/>
      </w:rPr>
    </w:lvl>
    <w:lvl w:ilvl="2">
      <w:start w:val="0"/>
      <w:numFmt w:val="bullet"/>
      <w:lvlText w:val="•"/>
      <w:lvlJc w:val="left"/>
      <w:pPr>
        <w:ind w:left="2114" w:hanging="529"/>
      </w:pPr>
      <w:rPr>
        <w:rFonts w:hint="default"/>
        <w:lang w:val="en-US" w:eastAsia="zh-CN" w:bidi="ar-SA"/>
      </w:rPr>
    </w:lvl>
    <w:lvl w:ilvl="3">
      <w:start w:val="0"/>
      <w:numFmt w:val="bullet"/>
      <w:lvlText w:val="•"/>
      <w:lvlJc w:val="left"/>
      <w:pPr>
        <w:ind w:left="2852" w:hanging="529"/>
      </w:pPr>
      <w:rPr>
        <w:rFonts w:hint="default"/>
        <w:lang w:val="en-US" w:eastAsia="zh-CN" w:bidi="ar-SA"/>
      </w:rPr>
    </w:lvl>
    <w:lvl w:ilvl="4">
      <w:start w:val="0"/>
      <w:numFmt w:val="bullet"/>
      <w:lvlText w:val="•"/>
      <w:lvlJc w:val="left"/>
      <w:pPr>
        <w:ind w:left="358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64" w:hanging="529"/>
      </w:pPr>
      <w:rPr>
        <w:rFonts w:hint="default"/>
        <w:lang w:val="en-US" w:eastAsia="zh-CN" w:bidi="ar-SA"/>
      </w:rPr>
    </w:lvl>
    <w:lvl w:ilvl="7">
      <w:start w:val="0"/>
      <w:numFmt w:val="bullet"/>
      <w:lvlText w:val="•"/>
      <w:lvlJc w:val="left"/>
      <w:pPr>
        <w:ind w:left="5802" w:hanging="529"/>
      </w:pPr>
      <w:rPr>
        <w:rFonts w:hint="default"/>
        <w:lang w:val="en-US" w:eastAsia="zh-CN" w:bidi="ar-SA"/>
      </w:rPr>
    </w:lvl>
    <w:lvl w:ilvl="8">
      <w:start w:val="0"/>
      <w:numFmt w:val="bullet"/>
      <w:lvlText w:val="•"/>
      <w:lvlJc w:val="left"/>
      <w:pPr>
        <w:ind w:left="6539" w:hanging="529"/>
      </w:pPr>
      <w:rPr>
        <w:rFonts w:hint="default"/>
        <w:lang w:val="en-US" w:eastAsia="zh-CN" w:bidi="ar-SA"/>
      </w:rPr>
    </w:lvl>
  </w:abstractNum>
  <w:abstractNum w:abstractNumId="122">
    <w:multiLevelType w:val="hybridMultilevel"/>
    <w:lvl w:ilvl="0">
      <w:start w:val="1"/>
      <w:numFmt w:val="decimal"/>
      <w:lvlText w:val="（%1）"/>
      <w:lvlJc w:val="left"/>
      <w:pPr>
        <w:ind w:left="633"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377" w:hanging="529"/>
      </w:pPr>
      <w:rPr>
        <w:rFonts w:hint="default"/>
        <w:lang w:val="en-US" w:eastAsia="zh-CN" w:bidi="ar-SA"/>
      </w:rPr>
    </w:lvl>
    <w:lvl w:ilvl="2">
      <w:start w:val="0"/>
      <w:numFmt w:val="bullet"/>
      <w:lvlText w:val="•"/>
      <w:lvlJc w:val="left"/>
      <w:pPr>
        <w:ind w:left="2114" w:hanging="529"/>
      </w:pPr>
      <w:rPr>
        <w:rFonts w:hint="default"/>
        <w:lang w:val="en-US" w:eastAsia="zh-CN" w:bidi="ar-SA"/>
      </w:rPr>
    </w:lvl>
    <w:lvl w:ilvl="3">
      <w:start w:val="0"/>
      <w:numFmt w:val="bullet"/>
      <w:lvlText w:val="•"/>
      <w:lvlJc w:val="left"/>
      <w:pPr>
        <w:ind w:left="2852" w:hanging="529"/>
      </w:pPr>
      <w:rPr>
        <w:rFonts w:hint="default"/>
        <w:lang w:val="en-US" w:eastAsia="zh-CN" w:bidi="ar-SA"/>
      </w:rPr>
    </w:lvl>
    <w:lvl w:ilvl="4">
      <w:start w:val="0"/>
      <w:numFmt w:val="bullet"/>
      <w:lvlText w:val="•"/>
      <w:lvlJc w:val="left"/>
      <w:pPr>
        <w:ind w:left="358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64" w:hanging="529"/>
      </w:pPr>
      <w:rPr>
        <w:rFonts w:hint="default"/>
        <w:lang w:val="en-US" w:eastAsia="zh-CN" w:bidi="ar-SA"/>
      </w:rPr>
    </w:lvl>
    <w:lvl w:ilvl="7">
      <w:start w:val="0"/>
      <w:numFmt w:val="bullet"/>
      <w:lvlText w:val="•"/>
      <w:lvlJc w:val="left"/>
      <w:pPr>
        <w:ind w:left="5802" w:hanging="529"/>
      </w:pPr>
      <w:rPr>
        <w:rFonts w:hint="default"/>
        <w:lang w:val="en-US" w:eastAsia="zh-CN" w:bidi="ar-SA"/>
      </w:rPr>
    </w:lvl>
    <w:lvl w:ilvl="8">
      <w:start w:val="0"/>
      <w:numFmt w:val="bullet"/>
      <w:lvlText w:val="•"/>
      <w:lvlJc w:val="left"/>
      <w:pPr>
        <w:ind w:left="6539" w:hanging="529"/>
      </w:pPr>
      <w:rPr>
        <w:rFonts w:hint="default"/>
        <w:lang w:val="en-US" w:eastAsia="zh-CN" w:bidi="ar-SA"/>
      </w:rPr>
    </w:lvl>
  </w:abstractNum>
  <w:abstractNum w:abstractNumId="121">
    <w:multiLevelType w:val="hybridMultilevel"/>
    <w:lvl w:ilvl="0">
      <w:start w:val="1"/>
      <w:numFmt w:val="decimal"/>
      <w:lvlText w:val="（%1）"/>
      <w:lvlJc w:val="left"/>
      <w:pPr>
        <w:ind w:left="59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1" w:hanging="529"/>
      </w:pPr>
      <w:rPr>
        <w:rFonts w:hint="default"/>
        <w:lang w:val="en-US" w:eastAsia="zh-CN" w:bidi="ar-SA"/>
      </w:rPr>
    </w:lvl>
    <w:lvl w:ilvl="2">
      <w:start w:val="0"/>
      <w:numFmt w:val="bullet"/>
      <w:lvlText w:val="•"/>
      <w:lvlJc w:val="left"/>
      <w:pPr>
        <w:ind w:left="2082" w:hanging="529"/>
      </w:pPr>
      <w:rPr>
        <w:rFonts w:hint="default"/>
        <w:lang w:val="en-US" w:eastAsia="zh-CN" w:bidi="ar-SA"/>
      </w:rPr>
    </w:lvl>
    <w:lvl w:ilvl="3">
      <w:start w:val="0"/>
      <w:numFmt w:val="bullet"/>
      <w:lvlText w:val="•"/>
      <w:lvlJc w:val="left"/>
      <w:pPr>
        <w:ind w:left="282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307" w:hanging="529"/>
      </w:pPr>
      <w:rPr>
        <w:rFonts w:hint="default"/>
        <w:lang w:val="en-US" w:eastAsia="zh-CN" w:bidi="ar-SA"/>
      </w:rPr>
    </w:lvl>
    <w:lvl w:ilvl="6">
      <w:start w:val="0"/>
      <w:numFmt w:val="bullet"/>
      <w:lvlText w:val="•"/>
      <w:lvlJc w:val="left"/>
      <w:pPr>
        <w:ind w:left="5048" w:hanging="529"/>
      </w:pPr>
      <w:rPr>
        <w:rFonts w:hint="default"/>
        <w:lang w:val="en-US" w:eastAsia="zh-CN" w:bidi="ar-SA"/>
      </w:rPr>
    </w:lvl>
    <w:lvl w:ilvl="7">
      <w:start w:val="0"/>
      <w:numFmt w:val="bullet"/>
      <w:lvlText w:val="•"/>
      <w:lvlJc w:val="left"/>
      <w:pPr>
        <w:ind w:left="5790"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120">
    <w:multiLevelType w:val="hybridMultilevel"/>
    <w:lvl w:ilvl="0">
      <w:start w:val="1"/>
      <w:numFmt w:val="decimal"/>
      <w:lvlText w:val="（%1）"/>
      <w:lvlJc w:val="left"/>
      <w:pPr>
        <w:ind w:left="59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1" w:hanging="529"/>
      </w:pPr>
      <w:rPr>
        <w:rFonts w:hint="default"/>
        <w:lang w:val="en-US" w:eastAsia="zh-CN" w:bidi="ar-SA"/>
      </w:rPr>
    </w:lvl>
    <w:lvl w:ilvl="2">
      <w:start w:val="0"/>
      <w:numFmt w:val="bullet"/>
      <w:lvlText w:val="•"/>
      <w:lvlJc w:val="left"/>
      <w:pPr>
        <w:ind w:left="2082" w:hanging="529"/>
      </w:pPr>
      <w:rPr>
        <w:rFonts w:hint="default"/>
        <w:lang w:val="en-US" w:eastAsia="zh-CN" w:bidi="ar-SA"/>
      </w:rPr>
    </w:lvl>
    <w:lvl w:ilvl="3">
      <w:start w:val="0"/>
      <w:numFmt w:val="bullet"/>
      <w:lvlText w:val="•"/>
      <w:lvlJc w:val="left"/>
      <w:pPr>
        <w:ind w:left="282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307" w:hanging="529"/>
      </w:pPr>
      <w:rPr>
        <w:rFonts w:hint="default"/>
        <w:lang w:val="en-US" w:eastAsia="zh-CN" w:bidi="ar-SA"/>
      </w:rPr>
    </w:lvl>
    <w:lvl w:ilvl="6">
      <w:start w:val="0"/>
      <w:numFmt w:val="bullet"/>
      <w:lvlText w:val="•"/>
      <w:lvlJc w:val="left"/>
      <w:pPr>
        <w:ind w:left="5048" w:hanging="529"/>
      </w:pPr>
      <w:rPr>
        <w:rFonts w:hint="default"/>
        <w:lang w:val="en-US" w:eastAsia="zh-CN" w:bidi="ar-SA"/>
      </w:rPr>
    </w:lvl>
    <w:lvl w:ilvl="7">
      <w:start w:val="0"/>
      <w:numFmt w:val="bullet"/>
      <w:lvlText w:val="•"/>
      <w:lvlJc w:val="left"/>
      <w:pPr>
        <w:ind w:left="5790"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119">
    <w:multiLevelType w:val="hybridMultilevel"/>
    <w:lvl w:ilvl="0">
      <w:start w:val="1"/>
      <w:numFmt w:val="decimal"/>
      <w:lvlText w:val="（%1）"/>
      <w:lvlJc w:val="left"/>
      <w:pPr>
        <w:ind w:left="59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1" w:hanging="529"/>
      </w:pPr>
      <w:rPr>
        <w:rFonts w:hint="default"/>
        <w:lang w:val="en-US" w:eastAsia="zh-CN" w:bidi="ar-SA"/>
      </w:rPr>
    </w:lvl>
    <w:lvl w:ilvl="2">
      <w:start w:val="0"/>
      <w:numFmt w:val="bullet"/>
      <w:lvlText w:val="•"/>
      <w:lvlJc w:val="left"/>
      <w:pPr>
        <w:ind w:left="2082" w:hanging="529"/>
      </w:pPr>
      <w:rPr>
        <w:rFonts w:hint="default"/>
        <w:lang w:val="en-US" w:eastAsia="zh-CN" w:bidi="ar-SA"/>
      </w:rPr>
    </w:lvl>
    <w:lvl w:ilvl="3">
      <w:start w:val="0"/>
      <w:numFmt w:val="bullet"/>
      <w:lvlText w:val="•"/>
      <w:lvlJc w:val="left"/>
      <w:pPr>
        <w:ind w:left="282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307" w:hanging="529"/>
      </w:pPr>
      <w:rPr>
        <w:rFonts w:hint="default"/>
        <w:lang w:val="en-US" w:eastAsia="zh-CN" w:bidi="ar-SA"/>
      </w:rPr>
    </w:lvl>
    <w:lvl w:ilvl="6">
      <w:start w:val="0"/>
      <w:numFmt w:val="bullet"/>
      <w:lvlText w:val="•"/>
      <w:lvlJc w:val="left"/>
      <w:pPr>
        <w:ind w:left="5048" w:hanging="529"/>
      </w:pPr>
      <w:rPr>
        <w:rFonts w:hint="default"/>
        <w:lang w:val="en-US" w:eastAsia="zh-CN" w:bidi="ar-SA"/>
      </w:rPr>
    </w:lvl>
    <w:lvl w:ilvl="7">
      <w:start w:val="0"/>
      <w:numFmt w:val="bullet"/>
      <w:lvlText w:val="•"/>
      <w:lvlJc w:val="left"/>
      <w:pPr>
        <w:ind w:left="5790"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118">
    <w:multiLevelType w:val="hybridMultilevel"/>
    <w:lvl w:ilvl="0">
      <w:start w:val="1"/>
      <w:numFmt w:val="decimal"/>
      <w:lvlText w:val="（%1）"/>
      <w:lvlJc w:val="left"/>
      <w:pPr>
        <w:ind w:left="59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1" w:hanging="529"/>
      </w:pPr>
      <w:rPr>
        <w:rFonts w:hint="default"/>
        <w:lang w:val="en-US" w:eastAsia="zh-CN" w:bidi="ar-SA"/>
      </w:rPr>
    </w:lvl>
    <w:lvl w:ilvl="2">
      <w:start w:val="0"/>
      <w:numFmt w:val="bullet"/>
      <w:lvlText w:val="•"/>
      <w:lvlJc w:val="left"/>
      <w:pPr>
        <w:ind w:left="2082" w:hanging="529"/>
      </w:pPr>
      <w:rPr>
        <w:rFonts w:hint="default"/>
        <w:lang w:val="en-US" w:eastAsia="zh-CN" w:bidi="ar-SA"/>
      </w:rPr>
    </w:lvl>
    <w:lvl w:ilvl="3">
      <w:start w:val="0"/>
      <w:numFmt w:val="bullet"/>
      <w:lvlText w:val="•"/>
      <w:lvlJc w:val="left"/>
      <w:pPr>
        <w:ind w:left="282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307" w:hanging="529"/>
      </w:pPr>
      <w:rPr>
        <w:rFonts w:hint="default"/>
        <w:lang w:val="en-US" w:eastAsia="zh-CN" w:bidi="ar-SA"/>
      </w:rPr>
    </w:lvl>
    <w:lvl w:ilvl="6">
      <w:start w:val="0"/>
      <w:numFmt w:val="bullet"/>
      <w:lvlText w:val="•"/>
      <w:lvlJc w:val="left"/>
      <w:pPr>
        <w:ind w:left="5048" w:hanging="529"/>
      </w:pPr>
      <w:rPr>
        <w:rFonts w:hint="default"/>
        <w:lang w:val="en-US" w:eastAsia="zh-CN" w:bidi="ar-SA"/>
      </w:rPr>
    </w:lvl>
    <w:lvl w:ilvl="7">
      <w:start w:val="0"/>
      <w:numFmt w:val="bullet"/>
      <w:lvlText w:val="•"/>
      <w:lvlJc w:val="left"/>
      <w:pPr>
        <w:ind w:left="5790"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117">
    <w:multiLevelType w:val="hybridMultilevel"/>
    <w:lvl w:ilvl="0">
      <w:start w:val="1"/>
      <w:numFmt w:val="decimal"/>
      <w:lvlText w:val="（%1）"/>
      <w:lvlJc w:val="left"/>
      <w:pPr>
        <w:ind w:left="92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62" w:hanging="529"/>
      </w:pPr>
      <w:rPr>
        <w:rFonts w:hint="default"/>
        <w:lang w:val="en-US" w:eastAsia="zh-CN" w:bidi="ar-SA"/>
      </w:rPr>
    </w:lvl>
    <w:lvl w:ilvl="2">
      <w:start w:val="0"/>
      <w:numFmt w:val="bullet"/>
      <w:lvlText w:val="•"/>
      <w:lvlJc w:val="left"/>
      <w:pPr>
        <w:ind w:left="2404" w:hanging="529"/>
      </w:pPr>
      <w:rPr>
        <w:rFonts w:hint="default"/>
        <w:lang w:val="en-US" w:eastAsia="zh-CN" w:bidi="ar-SA"/>
      </w:rPr>
    </w:lvl>
    <w:lvl w:ilvl="3">
      <w:start w:val="0"/>
      <w:numFmt w:val="bullet"/>
      <w:lvlText w:val="•"/>
      <w:lvlJc w:val="left"/>
      <w:pPr>
        <w:ind w:left="3146" w:hanging="529"/>
      </w:pPr>
      <w:rPr>
        <w:rFonts w:hint="default"/>
        <w:lang w:val="en-US" w:eastAsia="zh-CN" w:bidi="ar-SA"/>
      </w:rPr>
    </w:lvl>
    <w:lvl w:ilvl="4">
      <w:start w:val="0"/>
      <w:numFmt w:val="bullet"/>
      <w:lvlText w:val="•"/>
      <w:lvlJc w:val="left"/>
      <w:pPr>
        <w:ind w:left="3888" w:hanging="529"/>
      </w:pPr>
      <w:rPr>
        <w:rFonts w:hint="default"/>
        <w:lang w:val="en-US" w:eastAsia="zh-CN" w:bidi="ar-SA"/>
      </w:rPr>
    </w:lvl>
    <w:lvl w:ilvl="5">
      <w:start w:val="0"/>
      <w:numFmt w:val="bullet"/>
      <w:lvlText w:val="•"/>
      <w:lvlJc w:val="left"/>
      <w:pPr>
        <w:ind w:left="4630" w:hanging="529"/>
      </w:pPr>
      <w:rPr>
        <w:rFonts w:hint="default"/>
        <w:lang w:val="en-US" w:eastAsia="zh-CN" w:bidi="ar-SA"/>
      </w:rPr>
    </w:lvl>
    <w:lvl w:ilvl="6">
      <w:start w:val="0"/>
      <w:numFmt w:val="bullet"/>
      <w:lvlText w:val="•"/>
      <w:lvlJc w:val="left"/>
      <w:pPr>
        <w:ind w:left="5372" w:hanging="529"/>
      </w:pPr>
      <w:rPr>
        <w:rFonts w:hint="default"/>
        <w:lang w:val="en-US" w:eastAsia="zh-CN" w:bidi="ar-SA"/>
      </w:rPr>
    </w:lvl>
    <w:lvl w:ilvl="7">
      <w:start w:val="0"/>
      <w:numFmt w:val="bullet"/>
      <w:lvlText w:val="•"/>
      <w:lvlJc w:val="left"/>
      <w:pPr>
        <w:ind w:left="6114" w:hanging="529"/>
      </w:pPr>
      <w:rPr>
        <w:rFonts w:hint="default"/>
        <w:lang w:val="en-US" w:eastAsia="zh-CN" w:bidi="ar-SA"/>
      </w:rPr>
    </w:lvl>
    <w:lvl w:ilvl="8">
      <w:start w:val="0"/>
      <w:numFmt w:val="bullet"/>
      <w:lvlText w:val="•"/>
      <w:lvlJc w:val="left"/>
      <w:pPr>
        <w:ind w:left="6856" w:hanging="529"/>
      </w:pPr>
      <w:rPr>
        <w:rFonts w:hint="default"/>
        <w:lang w:val="en-US" w:eastAsia="zh-CN" w:bidi="ar-SA"/>
      </w:rPr>
    </w:lvl>
  </w:abstractNum>
  <w:abstractNum w:abstractNumId="116">
    <w:multiLevelType w:val="hybridMultilevel"/>
    <w:lvl w:ilvl="0">
      <w:start w:val="1"/>
      <w:numFmt w:val="decimal"/>
      <w:lvlText w:val="（%1）"/>
      <w:lvlJc w:val="left"/>
      <w:pPr>
        <w:ind w:left="92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62" w:hanging="529"/>
      </w:pPr>
      <w:rPr>
        <w:rFonts w:hint="default"/>
        <w:lang w:val="en-US" w:eastAsia="zh-CN" w:bidi="ar-SA"/>
      </w:rPr>
    </w:lvl>
    <w:lvl w:ilvl="2">
      <w:start w:val="0"/>
      <w:numFmt w:val="bullet"/>
      <w:lvlText w:val="•"/>
      <w:lvlJc w:val="left"/>
      <w:pPr>
        <w:ind w:left="2404" w:hanging="529"/>
      </w:pPr>
      <w:rPr>
        <w:rFonts w:hint="default"/>
        <w:lang w:val="en-US" w:eastAsia="zh-CN" w:bidi="ar-SA"/>
      </w:rPr>
    </w:lvl>
    <w:lvl w:ilvl="3">
      <w:start w:val="0"/>
      <w:numFmt w:val="bullet"/>
      <w:lvlText w:val="•"/>
      <w:lvlJc w:val="left"/>
      <w:pPr>
        <w:ind w:left="3146" w:hanging="529"/>
      </w:pPr>
      <w:rPr>
        <w:rFonts w:hint="default"/>
        <w:lang w:val="en-US" w:eastAsia="zh-CN" w:bidi="ar-SA"/>
      </w:rPr>
    </w:lvl>
    <w:lvl w:ilvl="4">
      <w:start w:val="0"/>
      <w:numFmt w:val="bullet"/>
      <w:lvlText w:val="•"/>
      <w:lvlJc w:val="left"/>
      <w:pPr>
        <w:ind w:left="3888" w:hanging="529"/>
      </w:pPr>
      <w:rPr>
        <w:rFonts w:hint="default"/>
        <w:lang w:val="en-US" w:eastAsia="zh-CN" w:bidi="ar-SA"/>
      </w:rPr>
    </w:lvl>
    <w:lvl w:ilvl="5">
      <w:start w:val="0"/>
      <w:numFmt w:val="bullet"/>
      <w:lvlText w:val="•"/>
      <w:lvlJc w:val="left"/>
      <w:pPr>
        <w:ind w:left="4630" w:hanging="529"/>
      </w:pPr>
      <w:rPr>
        <w:rFonts w:hint="default"/>
        <w:lang w:val="en-US" w:eastAsia="zh-CN" w:bidi="ar-SA"/>
      </w:rPr>
    </w:lvl>
    <w:lvl w:ilvl="6">
      <w:start w:val="0"/>
      <w:numFmt w:val="bullet"/>
      <w:lvlText w:val="•"/>
      <w:lvlJc w:val="left"/>
      <w:pPr>
        <w:ind w:left="5372" w:hanging="529"/>
      </w:pPr>
      <w:rPr>
        <w:rFonts w:hint="default"/>
        <w:lang w:val="en-US" w:eastAsia="zh-CN" w:bidi="ar-SA"/>
      </w:rPr>
    </w:lvl>
    <w:lvl w:ilvl="7">
      <w:start w:val="0"/>
      <w:numFmt w:val="bullet"/>
      <w:lvlText w:val="•"/>
      <w:lvlJc w:val="left"/>
      <w:pPr>
        <w:ind w:left="6114" w:hanging="529"/>
      </w:pPr>
      <w:rPr>
        <w:rFonts w:hint="default"/>
        <w:lang w:val="en-US" w:eastAsia="zh-CN" w:bidi="ar-SA"/>
      </w:rPr>
    </w:lvl>
    <w:lvl w:ilvl="8">
      <w:start w:val="0"/>
      <w:numFmt w:val="bullet"/>
      <w:lvlText w:val="•"/>
      <w:lvlJc w:val="left"/>
      <w:pPr>
        <w:ind w:left="6856" w:hanging="529"/>
      </w:pPr>
      <w:rPr>
        <w:rFonts w:hint="default"/>
        <w:lang w:val="en-US" w:eastAsia="zh-CN" w:bidi="ar-SA"/>
      </w:rPr>
    </w:lvl>
  </w:abstractNum>
  <w:abstractNum w:abstractNumId="115">
    <w:multiLevelType w:val="hybridMultilevel"/>
    <w:lvl w:ilvl="0">
      <w:start w:val="1"/>
      <w:numFmt w:val="decimal"/>
      <w:lvlText w:val="（%1）"/>
      <w:lvlJc w:val="left"/>
      <w:pPr>
        <w:ind w:left="997" w:hanging="60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734" w:hanging="601"/>
      </w:pPr>
      <w:rPr>
        <w:rFonts w:hint="default"/>
        <w:lang w:val="en-US" w:eastAsia="zh-CN" w:bidi="ar-SA"/>
      </w:rPr>
    </w:lvl>
    <w:lvl w:ilvl="2">
      <w:start w:val="0"/>
      <w:numFmt w:val="bullet"/>
      <w:lvlText w:val="•"/>
      <w:lvlJc w:val="left"/>
      <w:pPr>
        <w:ind w:left="2468" w:hanging="601"/>
      </w:pPr>
      <w:rPr>
        <w:rFonts w:hint="default"/>
        <w:lang w:val="en-US" w:eastAsia="zh-CN" w:bidi="ar-SA"/>
      </w:rPr>
    </w:lvl>
    <w:lvl w:ilvl="3">
      <w:start w:val="0"/>
      <w:numFmt w:val="bullet"/>
      <w:lvlText w:val="•"/>
      <w:lvlJc w:val="left"/>
      <w:pPr>
        <w:ind w:left="3202" w:hanging="601"/>
      </w:pPr>
      <w:rPr>
        <w:rFonts w:hint="default"/>
        <w:lang w:val="en-US" w:eastAsia="zh-CN" w:bidi="ar-SA"/>
      </w:rPr>
    </w:lvl>
    <w:lvl w:ilvl="4">
      <w:start w:val="0"/>
      <w:numFmt w:val="bullet"/>
      <w:lvlText w:val="•"/>
      <w:lvlJc w:val="left"/>
      <w:pPr>
        <w:ind w:left="3936" w:hanging="601"/>
      </w:pPr>
      <w:rPr>
        <w:rFonts w:hint="default"/>
        <w:lang w:val="en-US" w:eastAsia="zh-CN" w:bidi="ar-SA"/>
      </w:rPr>
    </w:lvl>
    <w:lvl w:ilvl="5">
      <w:start w:val="0"/>
      <w:numFmt w:val="bullet"/>
      <w:lvlText w:val="•"/>
      <w:lvlJc w:val="left"/>
      <w:pPr>
        <w:ind w:left="4670" w:hanging="601"/>
      </w:pPr>
      <w:rPr>
        <w:rFonts w:hint="default"/>
        <w:lang w:val="en-US" w:eastAsia="zh-CN" w:bidi="ar-SA"/>
      </w:rPr>
    </w:lvl>
    <w:lvl w:ilvl="6">
      <w:start w:val="0"/>
      <w:numFmt w:val="bullet"/>
      <w:lvlText w:val="•"/>
      <w:lvlJc w:val="left"/>
      <w:pPr>
        <w:ind w:left="5404" w:hanging="601"/>
      </w:pPr>
      <w:rPr>
        <w:rFonts w:hint="default"/>
        <w:lang w:val="en-US" w:eastAsia="zh-CN" w:bidi="ar-SA"/>
      </w:rPr>
    </w:lvl>
    <w:lvl w:ilvl="7">
      <w:start w:val="0"/>
      <w:numFmt w:val="bullet"/>
      <w:lvlText w:val="•"/>
      <w:lvlJc w:val="left"/>
      <w:pPr>
        <w:ind w:left="6138" w:hanging="601"/>
      </w:pPr>
      <w:rPr>
        <w:rFonts w:hint="default"/>
        <w:lang w:val="en-US" w:eastAsia="zh-CN" w:bidi="ar-SA"/>
      </w:rPr>
    </w:lvl>
    <w:lvl w:ilvl="8">
      <w:start w:val="0"/>
      <w:numFmt w:val="bullet"/>
      <w:lvlText w:val="•"/>
      <w:lvlJc w:val="left"/>
      <w:pPr>
        <w:ind w:left="6872" w:hanging="601"/>
      </w:pPr>
      <w:rPr>
        <w:rFonts w:hint="default"/>
        <w:lang w:val="en-US" w:eastAsia="zh-CN" w:bidi="ar-SA"/>
      </w:rPr>
    </w:lvl>
  </w:abstractNum>
  <w:abstractNum w:abstractNumId="114">
    <w:multiLevelType w:val="hybridMultilevel"/>
    <w:lvl w:ilvl="0">
      <w:start w:val="1"/>
      <w:numFmt w:val="decimal"/>
      <w:lvlText w:val="（%1）"/>
      <w:lvlJc w:val="left"/>
      <w:pPr>
        <w:ind w:left="2642" w:hanging="720"/>
        <w:jc w:val="left"/>
      </w:pPr>
      <w:rPr>
        <w:rFonts w:hint="default" w:ascii="黑体" w:hAnsi="黑体" w:eastAsia="黑体" w:cs="黑体"/>
        <w:b w:val="0"/>
        <w:bCs w:val="0"/>
        <w:i w:val="0"/>
        <w:iCs w:val="0"/>
        <w:w w:val="100"/>
        <w:sz w:val="24"/>
        <w:szCs w:val="24"/>
        <w:lang w:val="en-US" w:eastAsia="zh-CN" w:bidi="ar-SA"/>
      </w:rPr>
    </w:lvl>
    <w:lvl w:ilvl="1">
      <w:start w:val="0"/>
      <w:numFmt w:val="bullet"/>
      <w:lvlText w:val="•"/>
      <w:lvlJc w:val="left"/>
      <w:pPr>
        <w:ind w:left="3362" w:hanging="720"/>
      </w:pPr>
      <w:rPr>
        <w:rFonts w:hint="default"/>
        <w:lang w:val="en-US" w:eastAsia="zh-CN" w:bidi="ar-SA"/>
      </w:rPr>
    </w:lvl>
    <w:lvl w:ilvl="2">
      <w:start w:val="0"/>
      <w:numFmt w:val="bullet"/>
      <w:lvlText w:val="•"/>
      <w:lvlJc w:val="left"/>
      <w:pPr>
        <w:ind w:left="4085" w:hanging="720"/>
      </w:pPr>
      <w:rPr>
        <w:rFonts w:hint="default"/>
        <w:lang w:val="en-US" w:eastAsia="zh-CN" w:bidi="ar-SA"/>
      </w:rPr>
    </w:lvl>
    <w:lvl w:ilvl="3">
      <w:start w:val="0"/>
      <w:numFmt w:val="bullet"/>
      <w:lvlText w:val="•"/>
      <w:lvlJc w:val="left"/>
      <w:pPr>
        <w:ind w:left="4807" w:hanging="720"/>
      </w:pPr>
      <w:rPr>
        <w:rFonts w:hint="default"/>
        <w:lang w:val="en-US" w:eastAsia="zh-CN" w:bidi="ar-SA"/>
      </w:rPr>
    </w:lvl>
    <w:lvl w:ilvl="4">
      <w:start w:val="0"/>
      <w:numFmt w:val="bullet"/>
      <w:lvlText w:val="•"/>
      <w:lvlJc w:val="left"/>
      <w:pPr>
        <w:ind w:left="5530" w:hanging="720"/>
      </w:pPr>
      <w:rPr>
        <w:rFonts w:hint="default"/>
        <w:lang w:val="en-US" w:eastAsia="zh-CN" w:bidi="ar-SA"/>
      </w:rPr>
    </w:lvl>
    <w:lvl w:ilvl="5">
      <w:start w:val="0"/>
      <w:numFmt w:val="bullet"/>
      <w:lvlText w:val="•"/>
      <w:lvlJc w:val="left"/>
      <w:pPr>
        <w:ind w:left="6253" w:hanging="720"/>
      </w:pPr>
      <w:rPr>
        <w:rFonts w:hint="default"/>
        <w:lang w:val="en-US" w:eastAsia="zh-CN" w:bidi="ar-SA"/>
      </w:rPr>
    </w:lvl>
    <w:lvl w:ilvl="6">
      <w:start w:val="0"/>
      <w:numFmt w:val="bullet"/>
      <w:lvlText w:val="•"/>
      <w:lvlJc w:val="left"/>
      <w:pPr>
        <w:ind w:left="6975" w:hanging="720"/>
      </w:pPr>
      <w:rPr>
        <w:rFonts w:hint="default"/>
        <w:lang w:val="en-US" w:eastAsia="zh-CN" w:bidi="ar-SA"/>
      </w:rPr>
    </w:lvl>
    <w:lvl w:ilvl="7">
      <w:start w:val="0"/>
      <w:numFmt w:val="bullet"/>
      <w:lvlText w:val="•"/>
      <w:lvlJc w:val="left"/>
      <w:pPr>
        <w:ind w:left="7698" w:hanging="720"/>
      </w:pPr>
      <w:rPr>
        <w:rFonts w:hint="default"/>
        <w:lang w:val="en-US" w:eastAsia="zh-CN" w:bidi="ar-SA"/>
      </w:rPr>
    </w:lvl>
    <w:lvl w:ilvl="8">
      <w:start w:val="0"/>
      <w:numFmt w:val="bullet"/>
      <w:lvlText w:val="•"/>
      <w:lvlJc w:val="left"/>
      <w:pPr>
        <w:ind w:left="8421" w:hanging="720"/>
      </w:pPr>
      <w:rPr>
        <w:rFonts w:hint="default"/>
        <w:lang w:val="en-US" w:eastAsia="zh-CN" w:bidi="ar-SA"/>
      </w:rPr>
    </w:lvl>
  </w:abstractNum>
  <w:abstractNum w:abstractNumId="113">
    <w:multiLevelType w:val="hybridMultilevel"/>
    <w:lvl w:ilvl="0">
      <w:start w:val="1"/>
      <w:numFmt w:val="decimal"/>
      <w:lvlText w:val="（%1）"/>
      <w:lvlJc w:val="left"/>
      <w:pPr>
        <w:ind w:left="92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62" w:hanging="529"/>
      </w:pPr>
      <w:rPr>
        <w:rFonts w:hint="default"/>
        <w:lang w:val="en-US" w:eastAsia="zh-CN" w:bidi="ar-SA"/>
      </w:rPr>
    </w:lvl>
    <w:lvl w:ilvl="2">
      <w:start w:val="0"/>
      <w:numFmt w:val="bullet"/>
      <w:lvlText w:val="•"/>
      <w:lvlJc w:val="left"/>
      <w:pPr>
        <w:ind w:left="2404" w:hanging="529"/>
      </w:pPr>
      <w:rPr>
        <w:rFonts w:hint="default"/>
        <w:lang w:val="en-US" w:eastAsia="zh-CN" w:bidi="ar-SA"/>
      </w:rPr>
    </w:lvl>
    <w:lvl w:ilvl="3">
      <w:start w:val="0"/>
      <w:numFmt w:val="bullet"/>
      <w:lvlText w:val="•"/>
      <w:lvlJc w:val="left"/>
      <w:pPr>
        <w:ind w:left="3146" w:hanging="529"/>
      </w:pPr>
      <w:rPr>
        <w:rFonts w:hint="default"/>
        <w:lang w:val="en-US" w:eastAsia="zh-CN" w:bidi="ar-SA"/>
      </w:rPr>
    </w:lvl>
    <w:lvl w:ilvl="4">
      <w:start w:val="0"/>
      <w:numFmt w:val="bullet"/>
      <w:lvlText w:val="•"/>
      <w:lvlJc w:val="left"/>
      <w:pPr>
        <w:ind w:left="3888" w:hanging="529"/>
      </w:pPr>
      <w:rPr>
        <w:rFonts w:hint="default"/>
        <w:lang w:val="en-US" w:eastAsia="zh-CN" w:bidi="ar-SA"/>
      </w:rPr>
    </w:lvl>
    <w:lvl w:ilvl="5">
      <w:start w:val="0"/>
      <w:numFmt w:val="bullet"/>
      <w:lvlText w:val="•"/>
      <w:lvlJc w:val="left"/>
      <w:pPr>
        <w:ind w:left="4630" w:hanging="529"/>
      </w:pPr>
      <w:rPr>
        <w:rFonts w:hint="default"/>
        <w:lang w:val="en-US" w:eastAsia="zh-CN" w:bidi="ar-SA"/>
      </w:rPr>
    </w:lvl>
    <w:lvl w:ilvl="6">
      <w:start w:val="0"/>
      <w:numFmt w:val="bullet"/>
      <w:lvlText w:val="•"/>
      <w:lvlJc w:val="left"/>
      <w:pPr>
        <w:ind w:left="5372" w:hanging="529"/>
      </w:pPr>
      <w:rPr>
        <w:rFonts w:hint="default"/>
        <w:lang w:val="en-US" w:eastAsia="zh-CN" w:bidi="ar-SA"/>
      </w:rPr>
    </w:lvl>
    <w:lvl w:ilvl="7">
      <w:start w:val="0"/>
      <w:numFmt w:val="bullet"/>
      <w:lvlText w:val="•"/>
      <w:lvlJc w:val="left"/>
      <w:pPr>
        <w:ind w:left="6114" w:hanging="529"/>
      </w:pPr>
      <w:rPr>
        <w:rFonts w:hint="default"/>
        <w:lang w:val="en-US" w:eastAsia="zh-CN" w:bidi="ar-SA"/>
      </w:rPr>
    </w:lvl>
    <w:lvl w:ilvl="8">
      <w:start w:val="0"/>
      <w:numFmt w:val="bullet"/>
      <w:lvlText w:val="•"/>
      <w:lvlJc w:val="left"/>
      <w:pPr>
        <w:ind w:left="6856" w:hanging="529"/>
      </w:pPr>
      <w:rPr>
        <w:rFonts w:hint="default"/>
        <w:lang w:val="en-US" w:eastAsia="zh-CN" w:bidi="ar-SA"/>
      </w:rPr>
    </w:lvl>
  </w:abstractNum>
  <w:abstractNum w:abstractNumId="112">
    <w:multiLevelType w:val="hybridMultilevel"/>
    <w:lvl w:ilvl="0">
      <w:start w:val="1"/>
      <w:numFmt w:val="decimal"/>
      <w:lvlText w:val="（%1）"/>
      <w:lvlJc w:val="left"/>
      <w:pPr>
        <w:ind w:left="997" w:hanging="60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734" w:hanging="601"/>
      </w:pPr>
      <w:rPr>
        <w:rFonts w:hint="default"/>
        <w:lang w:val="en-US" w:eastAsia="zh-CN" w:bidi="ar-SA"/>
      </w:rPr>
    </w:lvl>
    <w:lvl w:ilvl="2">
      <w:start w:val="0"/>
      <w:numFmt w:val="bullet"/>
      <w:lvlText w:val="•"/>
      <w:lvlJc w:val="left"/>
      <w:pPr>
        <w:ind w:left="2468" w:hanging="601"/>
      </w:pPr>
      <w:rPr>
        <w:rFonts w:hint="default"/>
        <w:lang w:val="en-US" w:eastAsia="zh-CN" w:bidi="ar-SA"/>
      </w:rPr>
    </w:lvl>
    <w:lvl w:ilvl="3">
      <w:start w:val="0"/>
      <w:numFmt w:val="bullet"/>
      <w:lvlText w:val="•"/>
      <w:lvlJc w:val="left"/>
      <w:pPr>
        <w:ind w:left="3202" w:hanging="601"/>
      </w:pPr>
      <w:rPr>
        <w:rFonts w:hint="default"/>
        <w:lang w:val="en-US" w:eastAsia="zh-CN" w:bidi="ar-SA"/>
      </w:rPr>
    </w:lvl>
    <w:lvl w:ilvl="4">
      <w:start w:val="0"/>
      <w:numFmt w:val="bullet"/>
      <w:lvlText w:val="•"/>
      <w:lvlJc w:val="left"/>
      <w:pPr>
        <w:ind w:left="3936" w:hanging="601"/>
      </w:pPr>
      <w:rPr>
        <w:rFonts w:hint="default"/>
        <w:lang w:val="en-US" w:eastAsia="zh-CN" w:bidi="ar-SA"/>
      </w:rPr>
    </w:lvl>
    <w:lvl w:ilvl="5">
      <w:start w:val="0"/>
      <w:numFmt w:val="bullet"/>
      <w:lvlText w:val="•"/>
      <w:lvlJc w:val="left"/>
      <w:pPr>
        <w:ind w:left="4670" w:hanging="601"/>
      </w:pPr>
      <w:rPr>
        <w:rFonts w:hint="default"/>
        <w:lang w:val="en-US" w:eastAsia="zh-CN" w:bidi="ar-SA"/>
      </w:rPr>
    </w:lvl>
    <w:lvl w:ilvl="6">
      <w:start w:val="0"/>
      <w:numFmt w:val="bullet"/>
      <w:lvlText w:val="•"/>
      <w:lvlJc w:val="left"/>
      <w:pPr>
        <w:ind w:left="5404" w:hanging="601"/>
      </w:pPr>
      <w:rPr>
        <w:rFonts w:hint="default"/>
        <w:lang w:val="en-US" w:eastAsia="zh-CN" w:bidi="ar-SA"/>
      </w:rPr>
    </w:lvl>
    <w:lvl w:ilvl="7">
      <w:start w:val="0"/>
      <w:numFmt w:val="bullet"/>
      <w:lvlText w:val="•"/>
      <w:lvlJc w:val="left"/>
      <w:pPr>
        <w:ind w:left="6138" w:hanging="601"/>
      </w:pPr>
      <w:rPr>
        <w:rFonts w:hint="default"/>
        <w:lang w:val="en-US" w:eastAsia="zh-CN" w:bidi="ar-SA"/>
      </w:rPr>
    </w:lvl>
    <w:lvl w:ilvl="8">
      <w:start w:val="0"/>
      <w:numFmt w:val="bullet"/>
      <w:lvlText w:val="•"/>
      <w:lvlJc w:val="left"/>
      <w:pPr>
        <w:ind w:left="6872" w:hanging="601"/>
      </w:pPr>
      <w:rPr>
        <w:rFonts w:hint="default"/>
        <w:lang w:val="en-US" w:eastAsia="zh-CN" w:bidi="ar-SA"/>
      </w:rPr>
    </w:lvl>
  </w:abstractNum>
  <w:abstractNum w:abstractNumId="111">
    <w:multiLevelType w:val="hybridMultilevel"/>
    <w:lvl w:ilvl="0">
      <w:start w:val="1"/>
      <w:numFmt w:val="decimal"/>
      <w:lvlText w:val="（%1）"/>
      <w:lvlJc w:val="left"/>
      <w:pPr>
        <w:ind w:left="92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62" w:hanging="529"/>
      </w:pPr>
      <w:rPr>
        <w:rFonts w:hint="default"/>
        <w:lang w:val="en-US" w:eastAsia="zh-CN" w:bidi="ar-SA"/>
      </w:rPr>
    </w:lvl>
    <w:lvl w:ilvl="2">
      <w:start w:val="0"/>
      <w:numFmt w:val="bullet"/>
      <w:lvlText w:val="•"/>
      <w:lvlJc w:val="left"/>
      <w:pPr>
        <w:ind w:left="2404" w:hanging="529"/>
      </w:pPr>
      <w:rPr>
        <w:rFonts w:hint="default"/>
        <w:lang w:val="en-US" w:eastAsia="zh-CN" w:bidi="ar-SA"/>
      </w:rPr>
    </w:lvl>
    <w:lvl w:ilvl="3">
      <w:start w:val="0"/>
      <w:numFmt w:val="bullet"/>
      <w:lvlText w:val="•"/>
      <w:lvlJc w:val="left"/>
      <w:pPr>
        <w:ind w:left="3146" w:hanging="529"/>
      </w:pPr>
      <w:rPr>
        <w:rFonts w:hint="default"/>
        <w:lang w:val="en-US" w:eastAsia="zh-CN" w:bidi="ar-SA"/>
      </w:rPr>
    </w:lvl>
    <w:lvl w:ilvl="4">
      <w:start w:val="0"/>
      <w:numFmt w:val="bullet"/>
      <w:lvlText w:val="•"/>
      <w:lvlJc w:val="left"/>
      <w:pPr>
        <w:ind w:left="3888" w:hanging="529"/>
      </w:pPr>
      <w:rPr>
        <w:rFonts w:hint="default"/>
        <w:lang w:val="en-US" w:eastAsia="zh-CN" w:bidi="ar-SA"/>
      </w:rPr>
    </w:lvl>
    <w:lvl w:ilvl="5">
      <w:start w:val="0"/>
      <w:numFmt w:val="bullet"/>
      <w:lvlText w:val="•"/>
      <w:lvlJc w:val="left"/>
      <w:pPr>
        <w:ind w:left="4630" w:hanging="529"/>
      </w:pPr>
      <w:rPr>
        <w:rFonts w:hint="default"/>
        <w:lang w:val="en-US" w:eastAsia="zh-CN" w:bidi="ar-SA"/>
      </w:rPr>
    </w:lvl>
    <w:lvl w:ilvl="6">
      <w:start w:val="0"/>
      <w:numFmt w:val="bullet"/>
      <w:lvlText w:val="•"/>
      <w:lvlJc w:val="left"/>
      <w:pPr>
        <w:ind w:left="5372" w:hanging="529"/>
      </w:pPr>
      <w:rPr>
        <w:rFonts w:hint="default"/>
        <w:lang w:val="en-US" w:eastAsia="zh-CN" w:bidi="ar-SA"/>
      </w:rPr>
    </w:lvl>
    <w:lvl w:ilvl="7">
      <w:start w:val="0"/>
      <w:numFmt w:val="bullet"/>
      <w:lvlText w:val="•"/>
      <w:lvlJc w:val="left"/>
      <w:pPr>
        <w:ind w:left="6114" w:hanging="529"/>
      </w:pPr>
      <w:rPr>
        <w:rFonts w:hint="default"/>
        <w:lang w:val="en-US" w:eastAsia="zh-CN" w:bidi="ar-SA"/>
      </w:rPr>
    </w:lvl>
    <w:lvl w:ilvl="8">
      <w:start w:val="0"/>
      <w:numFmt w:val="bullet"/>
      <w:lvlText w:val="•"/>
      <w:lvlJc w:val="left"/>
      <w:pPr>
        <w:ind w:left="6856" w:hanging="529"/>
      </w:pPr>
      <w:rPr>
        <w:rFonts w:hint="default"/>
        <w:lang w:val="en-US" w:eastAsia="zh-CN" w:bidi="ar-SA"/>
      </w:rPr>
    </w:lvl>
  </w:abstractNum>
  <w:abstractNum w:abstractNumId="110">
    <w:multiLevelType w:val="hybridMultilevel"/>
    <w:lvl w:ilvl="0">
      <w:start w:val="1"/>
      <w:numFmt w:val="decimal"/>
      <w:lvlText w:val="（%1）"/>
      <w:lvlJc w:val="left"/>
      <w:pPr>
        <w:ind w:left="953" w:hanging="558"/>
        <w:jc w:val="left"/>
      </w:pPr>
      <w:rPr>
        <w:rFonts w:hint="default" w:ascii="宋体" w:hAnsi="宋体" w:eastAsia="宋体" w:cs="宋体"/>
        <w:b w:val="0"/>
        <w:bCs w:val="0"/>
        <w:i w:val="0"/>
        <w:iCs w:val="0"/>
        <w:spacing w:val="-2"/>
        <w:w w:val="100"/>
        <w:sz w:val="20"/>
        <w:szCs w:val="20"/>
        <w:lang w:val="en-US" w:eastAsia="zh-CN" w:bidi="ar-SA"/>
      </w:rPr>
    </w:lvl>
    <w:lvl w:ilvl="1">
      <w:start w:val="0"/>
      <w:numFmt w:val="bullet"/>
      <w:lvlText w:val="•"/>
      <w:lvlJc w:val="left"/>
      <w:pPr>
        <w:ind w:left="1698" w:hanging="558"/>
      </w:pPr>
      <w:rPr>
        <w:rFonts w:hint="default"/>
        <w:lang w:val="en-US" w:eastAsia="zh-CN" w:bidi="ar-SA"/>
      </w:rPr>
    </w:lvl>
    <w:lvl w:ilvl="2">
      <w:start w:val="0"/>
      <w:numFmt w:val="bullet"/>
      <w:lvlText w:val="•"/>
      <w:lvlJc w:val="left"/>
      <w:pPr>
        <w:ind w:left="2436" w:hanging="558"/>
      </w:pPr>
      <w:rPr>
        <w:rFonts w:hint="default"/>
        <w:lang w:val="en-US" w:eastAsia="zh-CN" w:bidi="ar-SA"/>
      </w:rPr>
    </w:lvl>
    <w:lvl w:ilvl="3">
      <w:start w:val="0"/>
      <w:numFmt w:val="bullet"/>
      <w:lvlText w:val="•"/>
      <w:lvlJc w:val="left"/>
      <w:pPr>
        <w:ind w:left="3174" w:hanging="558"/>
      </w:pPr>
      <w:rPr>
        <w:rFonts w:hint="default"/>
        <w:lang w:val="en-US" w:eastAsia="zh-CN" w:bidi="ar-SA"/>
      </w:rPr>
    </w:lvl>
    <w:lvl w:ilvl="4">
      <w:start w:val="0"/>
      <w:numFmt w:val="bullet"/>
      <w:lvlText w:val="•"/>
      <w:lvlJc w:val="left"/>
      <w:pPr>
        <w:ind w:left="3912" w:hanging="558"/>
      </w:pPr>
      <w:rPr>
        <w:rFonts w:hint="default"/>
        <w:lang w:val="en-US" w:eastAsia="zh-CN" w:bidi="ar-SA"/>
      </w:rPr>
    </w:lvl>
    <w:lvl w:ilvl="5">
      <w:start w:val="0"/>
      <w:numFmt w:val="bullet"/>
      <w:lvlText w:val="•"/>
      <w:lvlJc w:val="left"/>
      <w:pPr>
        <w:ind w:left="4650" w:hanging="558"/>
      </w:pPr>
      <w:rPr>
        <w:rFonts w:hint="default"/>
        <w:lang w:val="en-US" w:eastAsia="zh-CN" w:bidi="ar-SA"/>
      </w:rPr>
    </w:lvl>
    <w:lvl w:ilvl="6">
      <w:start w:val="0"/>
      <w:numFmt w:val="bullet"/>
      <w:lvlText w:val="•"/>
      <w:lvlJc w:val="left"/>
      <w:pPr>
        <w:ind w:left="5388" w:hanging="558"/>
      </w:pPr>
      <w:rPr>
        <w:rFonts w:hint="default"/>
        <w:lang w:val="en-US" w:eastAsia="zh-CN" w:bidi="ar-SA"/>
      </w:rPr>
    </w:lvl>
    <w:lvl w:ilvl="7">
      <w:start w:val="0"/>
      <w:numFmt w:val="bullet"/>
      <w:lvlText w:val="•"/>
      <w:lvlJc w:val="left"/>
      <w:pPr>
        <w:ind w:left="6126" w:hanging="558"/>
      </w:pPr>
      <w:rPr>
        <w:rFonts w:hint="default"/>
        <w:lang w:val="en-US" w:eastAsia="zh-CN" w:bidi="ar-SA"/>
      </w:rPr>
    </w:lvl>
    <w:lvl w:ilvl="8">
      <w:start w:val="0"/>
      <w:numFmt w:val="bullet"/>
      <w:lvlText w:val="•"/>
      <w:lvlJc w:val="left"/>
      <w:pPr>
        <w:ind w:left="6864" w:hanging="558"/>
      </w:pPr>
      <w:rPr>
        <w:rFonts w:hint="default"/>
        <w:lang w:val="en-US" w:eastAsia="zh-CN" w:bidi="ar-SA"/>
      </w:rPr>
    </w:lvl>
  </w:abstractNum>
  <w:abstractNum w:abstractNumId="109">
    <w:multiLevelType w:val="hybridMultilevel"/>
    <w:lvl w:ilvl="0">
      <w:start w:val="1"/>
      <w:numFmt w:val="decimal"/>
      <w:lvlText w:val="（%1）"/>
      <w:lvlJc w:val="left"/>
      <w:pPr>
        <w:ind w:left="59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1" w:hanging="529"/>
      </w:pPr>
      <w:rPr>
        <w:rFonts w:hint="default"/>
        <w:lang w:val="en-US" w:eastAsia="zh-CN" w:bidi="ar-SA"/>
      </w:rPr>
    </w:lvl>
    <w:lvl w:ilvl="2">
      <w:start w:val="0"/>
      <w:numFmt w:val="bullet"/>
      <w:lvlText w:val="•"/>
      <w:lvlJc w:val="left"/>
      <w:pPr>
        <w:ind w:left="2082" w:hanging="529"/>
      </w:pPr>
      <w:rPr>
        <w:rFonts w:hint="default"/>
        <w:lang w:val="en-US" w:eastAsia="zh-CN" w:bidi="ar-SA"/>
      </w:rPr>
    </w:lvl>
    <w:lvl w:ilvl="3">
      <w:start w:val="0"/>
      <w:numFmt w:val="bullet"/>
      <w:lvlText w:val="•"/>
      <w:lvlJc w:val="left"/>
      <w:pPr>
        <w:ind w:left="282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307" w:hanging="529"/>
      </w:pPr>
      <w:rPr>
        <w:rFonts w:hint="default"/>
        <w:lang w:val="en-US" w:eastAsia="zh-CN" w:bidi="ar-SA"/>
      </w:rPr>
    </w:lvl>
    <w:lvl w:ilvl="6">
      <w:start w:val="0"/>
      <w:numFmt w:val="bullet"/>
      <w:lvlText w:val="•"/>
      <w:lvlJc w:val="left"/>
      <w:pPr>
        <w:ind w:left="5048" w:hanging="529"/>
      </w:pPr>
      <w:rPr>
        <w:rFonts w:hint="default"/>
        <w:lang w:val="en-US" w:eastAsia="zh-CN" w:bidi="ar-SA"/>
      </w:rPr>
    </w:lvl>
    <w:lvl w:ilvl="7">
      <w:start w:val="0"/>
      <w:numFmt w:val="bullet"/>
      <w:lvlText w:val="•"/>
      <w:lvlJc w:val="left"/>
      <w:pPr>
        <w:ind w:left="5790"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108">
    <w:multiLevelType w:val="hybridMultilevel"/>
    <w:lvl w:ilvl="0">
      <w:start w:val="1"/>
      <w:numFmt w:val="decimal"/>
      <w:lvlText w:val="（%1）"/>
      <w:lvlJc w:val="left"/>
      <w:pPr>
        <w:ind w:left="396" w:hanging="529"/>
        <w:jc w:val="righ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194" w:hanging="529"/>
      </w:pPr>
      <w:rPr>
        <w:rFonts w:hint="default"/>
        <w:lang w:val="en-US" w:eastAsia="zh-CN" w:bidi="ar-SA"/>
      </w:rPr>
    </w:lvl>
    <w:lvl w:ilvl="2">
      <w:start w:val="0"/>
      <w:numFmt w:val="bullet"/>
      <w:lvlText w:val="•"/>
      <w:lvlJc w:val="left"/>
      <w:pPr>
        <w:ind w:left="1988" w:hanging="529"/>
      </w:pPr>
      <w:rPr>
        <w:rFonts w:hint="default"/>
        <w:lang w:val="en-US" w:eastAsia="zh-CN" w:bidi="ar-SA"/>
      </w:rPr>
    </w:lvl>
    <w:lvl w:ilvl="3">
      <w:start w:val="0"/>
      <w:numFmt w:val="bullet"/>
      <w:lvlText w:val="•"/>
      <w:lvlJc w:val="left"/>
      <w:pPr>
        <w:ind w:left="2782" w:hanging="529"/>
      </w:pPr>
      <w:rPr>
        <w:rFonts w:hint="default"/>
        <w:lang w:val="en-US" w:eastAsia="zh-CN" w:bidi="ar-SA"/>
      </w:rPr>
    </w:lvl>
    <w:lvl w:ilvl="4">
      <w:start w:val="0"/>
      <w:numFmt w:val="bullet"/>
      <w:lvlText w:val="•"/>
      <w:lvlJc w:val="left"/>
      <w:pPr>
        <w:ind w:left="3576" w:hanging="529"/>
      </w:pPr>
      <w:rPr>
        <w:rFonts w:hint="default"/>
        <w:lang w:val="en-US" w:eastAsia="zh-CN" w:bidi="ar-SA"/>
      </w:rPr>
    </w:lvl>
    <w:lvl w:ilvl="5">
      <w:start w:val="0"/>
      <w:numFmt w:val="bullet"/>
      <w:lvlText w:val="•"/>
      <w:lvlJc w:val="left"/>
      <w:pPr>
        <w:ind w:left="4370" w:hanging="529"/>
      </w:pPr>
      <w:rPr>
        <w:rFonts w:hint="default"/>
        <w:lang w:val="en-US" w:eastAsia="zh-CN" w:bidi="ar-SA"/>
      </w:rPr>
    </w:lvl>
    <w:lvl w:ilvl="6">
      <w:start w:val="0"/>
      <w:numFmt w:val="bullet"/>
      <w:lvlText w:val="•"/>
      <w:lvlJc w:val="left"/>
      <w:pPr>
        <w:ind w:left="5164" w:hanging="529"/>
      </w:pPr>
      <w:rPr>
        <w:rFonts w:hint="default"/>
        <w:lang w:val="en-US" w:eastAsia="zh-CN" w:bidi="ar-SA"/>
      </w:rPr>
    </w:lvl>
    <w:lvl w:ilvl="7">
      <w:start w:val="0"/>
      <w:numFmt w:val="bullet"/>
      <w:lvlText w:val="•"/>
      <w:lvlJc w:val="left"/>
      <w:pPr>
        <w:ind w:left="5958" w:hanging="529"/>
      </w:pPr>
      <w:rPr>
        <w:rFonts w:hint="default"/>
        <w:lang w:val="en-US" w:eastAsia="zh-CN" w:bidi="ar-SA"/>
      </w:rPr>
    </w:lvl>
    <w:lvl w:ilvl="8">
      <w:start w:val="0"/>
      <w:numFmt w:val="bullet"/>
      <w:lvlText w:val="•"/>
      <w:lvlJc w:val="left"/>
      <w:pPr>
        <w:ind w:left="6752" w:hanging="529"/>
      </w:pPr>
      <w:rPr>
        <w:rFonts w:hint="default"/>
        <w:lang w:val="en-US" w:eastAsia="zh-CN" w:bidi="ar-SA"/>
      </w:rPr>
    </w:lvl>
  </w:abstractNum>
  <w:abstractNum w:abstractNumId="107">
    <w:multiLevelType w:val="hybridMultilevel"/>
    <w:lvl w:ilvl="0">
      <w:start w:val="1"/>
      <w:numFmt w:val="decimal"/>
      <w:lvlText w:val="（%1）"/>
      <w:lvlJc w:val="left"/>
      <w:pPr>
        <w:ind w:left="59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1" w:hanging="529"/>
      </w:pPr>
      <w:rPr>
        <w:rFonts w:hint="default"/>
        <w:lang w:val="en-US" w:eastAsia="zh-CN" w:bidi="ar-SA"/>
      </w:rPr>
    </w:lvl>
    <w:lvl w:ilvl="2">
      <w:start w:val="0"/>
      <w:numFmt w:val="bullet"/>
      <w:lvlText w:val="•"/>
      <w:lvlJc w:val="left"/>
      <w:pPr>
        <w:ind w:left="2082" w:hanging="529"/>
      </w:pPr>
      <w:rPr>
        <w:rFonts w:hint="default"/>
        <w:lang w:val="en-US" w:eastAsia="zh-CN" w:bidi="ar-SA"/>
      </w:rPr>
    </w:lvl>
    <w:lvl w:ilvl="3">
      <w:start w:val="0"/>
      <w:numFmt w:val="bullet"/>
      <w:lvlText w:val="•"/>
      <w:lvlJc w:val="left"/>
      <w:pPr>
        <w:ind w:left="282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307" w:hanging="529"/>
      </w:pPr>
      <w:rPr>
        <w:rFonts w:hint="default"/>
        <w:lang w:val="en-US" w:eastAsia="zh-CN" w:bidi="ar-SA"/>
      </w:rPr>
    </w:lvl>
    <w:lvl w:ilvl="6">
      <w:start w:val="0"/>
      <w:numFmt w:val="bullet"/>
      <w:lvlText w:val="•"/>
      <w:lvlJc w:val="left"/>
      <w:pPr>
        <w:ind w:left="5048" w:hanging="529"/>
      </w:pPr>
      <w:rPr>
        <w:rFonts w:hint="default"/>
        <w:lang w:val="en-US" w:eastAsia="zh-CN" w:bidi="ar-SA"/>
      </w:rPr>
    </w:lvl>
    <w:lvl w:ilvl="7">
      <w:start w:val="0"/>
      <w:numFmt w:val="bullet"/>
      <w:lvlText w:val="•"/>
      <w:lvlJc w:val="left"/>
      <w:pPr>
        <w:ind w:left="5790"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106">
    <w:multiLevelType w:val="hybridMultilevel"/>
    <w:lvl w:ilvl="0">
      <w:start w:val="1"/>
      <w:numFmt w:val="decimal"/>
      <w:lvlText w:val="（%1）"/>
      <w:lvlJc w:val="left"/>
      <w:pPr>
        <w:ind w:left="701" w:hanging="632"/>
        <w:jc w:val="left"/>
      </w:pPr>
      <w:rPr>
        <w:rFonts w:hint="default" w:ascii="黑体" w:hAnsi="黑体" w:eastAsia="黑体" w:cs="黑体"/>
        <w:b w:val="0"/>
        <w:bCs w:val="0"/>
        <w:i w:val="0"/>
        <w:iCs w:val="0"/>
        <w:w w:val="100"/>
        <w:sz w:val="24"/>
        <w:szCs w:val="24"/>
        <w:lang w:val="en-US" w:eastAsia="zh-CN" w:bidi="ar-SA"/>
      </w:rPr>
    </w:lvl>
    <w:lvl w:ilvl="1">
      <w:start w:val="0"/>
      <w:numFmt w:val="bullet"/>
      <w:lvlText w:val="•"/>
      <w:lvlJc w:val="left"/>
      <w:pPr>
        <w:ind w:left="1431" w:hanging="632"/>
      </w:pPr>
      <w:rPr>
        <w:rFonts w:hint="default"/>
        <w:lang w:val="en-US" w:eastAsia="zh-CN" w:bidi="ar-SA"/>
      </w:rPr>
    </w:lvl>
    <w:lvl w:ilvl="2">
      <w:start w:val="0"/>
      <w:numFmt w:val="bullet"/>
      <w:lvlText w:val="•"/>
      <w:lvlJc w:val="left"/>
      <w:pPr>
        <w:ind w:left="2162" w:hanging="632"/>
      </w:pPr>
      <w:rPr>
        <w:rFonts w:hint="default"/>
        <w:lang w:val="en-US" w:eastAsia="zh-CN" w:bidi="ar-SA"/>
      </w:rPr>
    </w:lvl>
    <w:lvl w:ilvl="3">
      <w:start w:val="0"/>
      <w:numFmt w:val="bullet"/>
      <w:lvlText w:val="•"/>
      <w:lvlJc w:val="left"/>
      <w:pPr>
        <w:ind w:left="2894" w:hanging="632"/>
      </w:pPr>
      <w:rPr>
        <w:rFonts w:hint="default"/>
        <w:lang w:val="en-US" w:eastAsia="zh-CN" w:bidi="ar-SA"/>
      </w:rPr>
    </w:lvl>
    <w:lvl w:ilvl="4">
      <w:start w:val="0"/>
      <w:numFmt w:val="bullet"/>
      <w:lvlText w:val="•"/>
      <w:lvlJc w:val="left"/>
      <w:pPr>
        <w:ind w:left="3625" w:hanging="632"/>
      </w:pPr>
      <w:rPr>
        <w:rFonts w:hint="default"/>
        <w:lang w:val="en-US" w:eastAsia="zh-CN" w:bidi="ar-SA"/>
      </w:rPr>
    </w:lvl>
    <w:lvl w:ilvl="5">
      <w:start w:val="0"/>
      <w:numFmt w:val="bullet"/>
      <w:lvlText w:val="•"/>
      <w:lvlJc w:val="left"/>
      <w:pPr>
        <w:ind w:left="4357" w:hanging="632"/>
      </w:pPr>
      <w:rPr>
        <w:rFonts w:hint="default"/>
        <w:lang w:val="en-US" w:eastAsia="zh-CN" w:bidi="ar-SA"/>
      </w:rPr>
    </w:lvl>
    <w:lvl w:ilvl="6">
      <w:start w:val="0"/>
      <w:numFmt w:val="bullet"/>
      <w:lvlText w:val="•"/>
      <w:lvlJc w:val="left"/>
      <w:pPr>
        <w:ind w:left="5088" w:hanging="632"/>
      </w:pPr>
      <w:rPr>
        <w:rFonts w:hint="default"/>
        <w:lang w:val="en-US" w:eastAsia="zh-CN" w:bidi="ar-SA"/>
      </w:rPr>
    </w:lvl>
    <w:lvl w:ilvl="7">
      <w:start w:val="0"/>
      <w:numFmt w:val="bullet"/>
      <w:lvlText w:val="•"/>
      <w:lvlJc w:val="left"/>
      <w:pPr>
        <w:ind w:left="5820" w:hanging="632"/>
      </w:pPr>
      <w:rPr>
        <w:rFonts w:hint="default"/>
        <w:lang w:val="en-US" w:eastAsia="zh-CN" w:bidi="ar-SA"/>
      </w:rPr>
    </w:lvl>
    <w:lvl w:ilvl="8">
      <w:start w:val="0"/>
      <w:numFmt w:val="bullet"/>
      <w:lvlText w:val="•"/>
      <w:lvlJc w:val="left"/>
      <w:pPr>
        <w:ind w:left="6551" w:hanging="632"/>
      </w:pPr>
      <w:rPr>
        <w:rFonts w:hint="default"/>
        <w:lang w:val="en-US" w:eastAsia="zh-CN" w:bidi="ar-SA"/>
      </w:rPr>
    </w:lvl>
  </w:abstractNum>
  <w:abstractNum w:abstractNumId="105">
    <w:multiLevelType w:val="hybridMultilevel"/>
    <w:lvl w:ilvl="0">
      <w:start w:val="3"/>
      <w:numFmt w:val="decimal"/>
      <w:lvlText w:val="（%1）"/>
      <w:lvlJc w:val="left"/>
      <w:pPr>
        <w:ind w:left="245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200" w:hanging="529"/>
      </w:pPr>
      <w:rPr>
        <w:rFonts w:hint="default"/>
        <w:lang w:val="en-US" w:eastAsia="zh-CN" w:bidi="ar-SA"/>
      </w:rPr>
    </w:lvl>
    <w:lvl w:ilvl="2">
      <w:start w:val="0"/>
      <w:numFmt w:val="bullet"/>
      <w:lvlText w:val="•"/>
      <w:lvlJc w:val="left"/>
      <w:pPr>
        <w:ind w:left="3941" w:hanging="529"/>
      </w:pPr>
      <w:rPr>
        <w:rFonts w:hint="default"/>
        <w:lang w:val="en-US" w:eastAsia="zh-CN" w:bidi="ar-SA"/>
      </w:rPr>
    </w:lvl>
    <w:lvl w:ilvl="3">
      <w:start w:val="0"/>
      <w:numFmt w:val="bullet"/>
      <w:lvlText w:val="•"/>
      <w:lvlJc w:val="left"/>
      <w:pPr>
        <w:ind w:left="4681" w:hanging="529"/>
      </w:pPr>
      <w:rPr>
        <w:rFonts w:hint="default"/>
        <w:lang w:val="en-US" w:eastAsia="zh-CN" w:bidi="ar-SA"/>
      </w:rPr>
    </w:lvl>
    <w:lvl w:ilvl="4">
      <w:start w:val="0"/>
      <w:numFmt w:val="bullet"/>
      <w:lvlText w:val="•"/>
      <w:lvlJc w:val="left"/>
      <w:pPr>
        <w:ind w:left="5422" w:hanging="529"/>
      </w:pPr>
      <w:rPr>
        <w:rFonts w:hint="default"/>
        <w:lang w:val="en-US" w:eastAsia="zh-CN" w:bidi="ar-SA"/>
      </w:rPr>
    </w:lvl>
    <w:lvl w:ilvl="5">
      <w:start w:val="0"/>
      <w:numFmt w:val="bullet"/>
      <w:lvlText w:val="•"/>
      <w:lvlJc w:val="left"/>
      <w:pPr>
        <w:ind w:left="6163" w:hanging="529"/>
      </w:pPr>
      <w:rPr>
        <w:rFonts w:hint="default"/>
        <w:lang w:val="en-US" w:eastAsia="zh-CN" w:bidi="ar-SA"/>
      </w:rPr>
    </w:lvl>
    <w:lvl w:ilvl="6">
      <w:start w:val="0"/>
      <w:numFmt w:val="bullet"/>
      <w:lvlText w:val="•"/>
      <w:lvlJc w:val="left"/>
      <w:pPr>
        <w:ind w:left="6903" w:hanging="529"/>
      </w:pPr>
      <w:rPr>
        <w:rFonts w:hint="default"/>
        <w:lang w:val="en-US" w:eastAsia="zh-CN" w:bidi="ar-SA"/>
      </w:rPr>
    </w:lvl>
    <w:lvl w:ilvl="7">
      <w:start w:val="0"/>
      <w:numFmt w:val="bullet"/>
      <w:lvlText w:val="•"/>
      <w:lvlJc w:val="left"/>
      <w:pPr>
        <w:ind w:left="7644" w:hanging="529"/>
      </w:pPr>
      <w:rPr>
        <w:rFonts w:hint="default"/>
        <w:lang w:val="en-US" w:eastAsia="zh-CN" w:bidi="ar-SA"/>
      </w:rPr>
    </w:lvl>
    <w:lvl w:ilvl="8">
      <w:start w:val="0"/>
      <w:numFmt w:val="bullet"/>
      <w:lvlText w:val="•"/>
      <w:lvlJc w:val="left"/>
      <w:pPr>
        <w:ind w:left="8385" w:hanging="529"/>
      </w:pPr>
      <w:rPr>
        <w:rFonts w:hint="default"/>
        <w:lang w:val="en-US" w:eastAsia="zh-CN" w:bidi="ar-SA"/>
      </w:rPr>
    </w:lvl>
  </w:abstractNum>
  <w:abstractNum w:abstractNumId="104">
    <w:multiLevelType w:val="hybridMultilevel"/>
    <w:lvl w:ilvl="0">
      <w:start w:val="1"/>
      <w:numFmt w:val="decimal"/>
      <w:lvlText w:val="（%1）"/>
      <w:lvlJc w:val="left"/>
      <w:pPr>
        <w:ind w:left="1027"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52" w:hanging="632"/>
      </w:pPr>
      <w:rPr>
        <w:rFonts w:hint="default"/>
        <w:lang w:val="en-US" w:eastAsia="zh-CN" w:bidi="ar-SA"/>
      </w:rPr>
    </w:lvl>
    <w:lvl w:ilvl="2">
      <w:start w:val="0"/>
      <w:numFmt w:val="bullet"/>
      <w:lvlText w:val="•"/>
      <w:lvlJc w:val="left"/>
      <w:pPr>
        <w:ind w:left="2484" w:hanging="632"/>
      </w:pPr>
      <w:rPr>
        <w:rFonts w:hint="default"/>
        <w:lang w:val="en-US" w:eastAsia="zh-CN" w:bidi="ar-SA"/>
      </w:rPr>
    </w:lvl>
    <w:lvl w:ilvl="3">
      <w:start w:val="0"/>
      <w:numFmt w:val="bullet"/>
      <w:lvlText w:val="•"/>
      <w:lvlJc w:val="left"/>
      <w:pPr>
        <w:ind w:left="3216" w:hanging="632"/>
      </w:pPr>
      <w:rPr>
        <w:rFonts w:hint="default"/>
        <w:lang w:val="en-US" w:eastAsia="zh-CN" w:bidi="ar-SA"/>
      </w:rPr>
    </w:lvl>
    <w:lvl w:ilvl="4">
      <w:start w:val="0"/>
      <w:numFmt w:val="bullet"/>
      <w:lvlText w:val="•"/>
      <w:lvlJc w:val="left"/>
      <w:pPr>
        <w:ind w:left="3948" w:hanging="632"/>
      </w:pPr>
      <w:rPr>
        <w:rFonts w:hint="default"/>
        <w:lang w:val="en-US" w:eastAsia="zh-CN" w:bidi="ar-SA"/>
      </w:rPr>
    </w:lvl>
    <w:lvl w:ilvl="5">
      <w:start w:val="0"/>
      <w:numFmt w:val="bullet"/>
      <w:lvlText w:val="•"/>
      <w:lvlJc w:val="left"/>
      <w:pPr>
        <w:ind w:left="4680" w:hanging="632"/>
      </w:pPr>
      <w:rPr>
        <w:rFonts w:hint="default"/>
        <w:lang w:val="en-US" w:eastAsia="zh-CN" w:bidi="ar-SA"/>
      </w:rPr>
    </w:lvl>
    <w:lvl w:ilvl="6">
      <w:start w:val="0"/>
      <w:numFmt w:val="bullet"/>
      <w:lvlText w:val="•"/>
      <w:lvlJc w:val="left"/>
      <w:pPr>
        <w:ind w:left="5412" w:hanging="632"/>
      </w:pPr>
      <w:rPr>
        <w:rFonts w:hint="default"/>
        <w:lang w:val="en-US" w:eastAsia="zh-CN" w:bidi="ar-SA"/>
      </w:rPr>
    </w:lvl>
    <w:lvl w:ilvl="7">
      <w:start w:val="0"/>
      <w:numFmt w:val="bullet"/>
      <w:lvlText w:val="•"/>
      <w:lvlJc w:val="left"/>
      <w:pPr>
        <w:ind w:left="6144" w:hanging="632"/>
      </w:pPr>
      <w:rPr>
        <w:rFonts w:hint="default"/>
        <w:lang w:val="en-US" w:eastAsia="zh-CN" w:bidi="ar-SA"/>
      </w:rPr>
    </w:lvl>
    <w:lvl w:ilvl="8">
      <w:start w:val="0"/>
      <w:numFmt w:val="bullet"/>
      <w:lvlText w:val="•"/>
      <w:lvlJc w:val="left"/>
      <w:pPr>
        <w:ind w:left="6876" w:hanging="632"/>
      </w:pPr>
      <w:rPr>
        <w:rFonts w:hint="default"/>
        <w:lang w:val="en-US" w:eastAsia="zh-CN" w:bidi="ar-SA"/>
      </w:rPr>
    </w:lvl>
  </w:abstractNum>
  <w:abstractNum w:abstractNumId="103">
    <w:multiLevelType w:val="hybridMultilevel"/>
    <w:lvl w:ilvl="0">
      <w:start w:val="1"/>
      <w:numFmt w:val="decimal"/>
      <w:lvlText w:val="（%1）"/>
      <w:lvlJc w:val="left"/>
      <w:pPr>
        <w:ind w:left="1922" w:hanging="601"/>
        <w:jc w:val="left"/>
      </w:pPr>
      <w:rPr>
        <w:rFonts w:hint="default" w:ascii="黑体" w:hAnsi="黑体" w:eastAsia="黑体" w:cs="黑体"/>
        <w:b w:val="0"/>
        <w:bCs w:val="0"/>
        <w:i w:val="0"/>
        <w:iCs w:val="0"/>
        <w:spacing w:val="-39"/>
        <w:w w:val="100"/>
        <w:sz w:val="22"/>
        <w:szCs w:val="22"/>
        <w:lang w:val="en-US" w:eastAsia="zh-CN" w:bidi="ar-SA"/>
      </w:rPr>
    </w:lvl>
    <w:lvl w:ilvl="1">
      <w:start w:val="0"/>
      <w:numFmt w:val="bullet"/>
      <w:lvlText w:val="•"/>
      <w:lvlJc w:val="left"/>
      <w:pPr>
        <w:ind w:left="2714" w:hanging="601"/>
      </w:pPr>
      <w:rPr>
        <w:rFonts w:hint="default"/>
        <w:lang w:val="en-US" w:eastAsia="zh-CN" w:bidi="ar-SA"/>
      </w:rPr>
    </w:lvl>
    <w:lvl w:ilvl="2">
      <w:start w:val="0"/>
      <w:numFmt w:val="bullet"/>
      <w:lvlText w:val="•"/>
      <w:lvlJc w:val="left"/>
      <w:pPr>
        <w:ind w:left="3509" w:hanging="601"/>
      </w:pPr>
      <w:rPr>
        <w:rFonts w:hint="default"/>
        <w:lang w:val="en-US" w:eastAsia="zh-CN" w:bidi="ar-SA"/>
      </w:rPr>
    </w:lvl>
    <w:lvl w:ilvl="3">
      <w:start w:val="0"/>
      <w:numFmt w:val="bullet"/>
      <w:lvlText w:val="•"/>
      <w:lvlJc w:val="left"/>
      <w:pPr>
        <w:ind w:left="4303" w:hanging="601"/>
      </w:pPr>
      <w:rPr>
        <w:rFonts w:hint="default"/>
        <w:lang w:val="en-US" w:eastAsia="zh-CN" w:bidi="ar-SA"/>
      </w:rPr>
    </w:lvl>
    <w:lvl w:ilvl="4">
      <w:start w:val="0"/>
      <w:numFmt w:val="bullet"/>
      <w:lvlText w:val="•"/>
      <w:lvlJc w:val="left"/>
      <w:pPr>
        <w:ind w:left="5098" w:hanging="601"/>
      </w:pPr>
      <w:rPr>
        <w:rFonts w:hint="default"/>
        <w:lang w:val="en-US" w:eastAsia="zh-CN" w:bidi="ar-SA"/>
      </w:rPr>
    </w:lvl>
    <w:lvl w:ilvl="5">
      <w:start w:val="0"/>
      <w:numFmt w:val="bullet"/>
      <w:lvlText w:val="•"/>
      <w:lvlJc w:val="left"/>
      <w:pPr>
        <w:ind w:left="5893" w:hanging="601"/>
      </w:pPr>
      <w:rPr>
        <w:rFonts w:hint="default"/>
        <w:lang w:val="en-US" w:eastAsia="zh-CN" w:bidi="ar-SA"/>
      </w:rPr>
    </w:lvl>
    <w:lvl w:ilvl="6">
      <w:start w:val="0"/>
      <w:numFmt w:val="bullet"/>
      <w:lvlText w:val="•"/>
      <w:lvlJc w:val="left"/>
      <w:pPr>
        <w:ind w:left="6687" w:hanging="601"/>
      </w:pPr>
      <w:rPr>
        <w:rFonts w:hint="default"/>
        <w:lang w:val="en-US" w:eastAsia="zh-CN" w:bidi="ar-SA"/>
      </w:rPr>
    </w:lvl>
    <w:lvl w:ilvl="7">
      <w:start w:val="0"/>
      <w:numFmt w:val="bullet"/>
      <w:lvlText w:val="•"/>
      <w:lvlJc w:val="left"/>
      <w:pPr>
        <w:ind w:left="7482" w:hanging="601"/>
      </w:pPr>
      <w:rPr>
        <w:rFonts w:hint="default"/>
        <w:lang w:val="en-US" w:eastAsia="zh-CN" w:bidi="ar-SA"/>
      </w:rPr>
    </w:lvl>
    <w:lvl w:ilvl="8">
      <w:start w:val="0"/>
      <w:numFmt w:val="bullet"/>
      <w:lvlText w:val="•"/>
      <w:lvlJc w:val="left"/>
      <w:pPr>
        <w:ind w:left="8277" w:hanging="601"/>
      </w:pPr>
      <w:rPr>
        <w:rFonts w:hint="default"/>
        <w:lang w:val="en-US" w:eastAsia="zh-CN" w:bidi="ar-SA"/>
      </w:rPr>
    </w:lvl>
  </w:abstractNum>
  <w:abstractNum w:abstractNumId="102">
    <w:multiLevelType w:val="hybridMultilevel"/>
    <w:lvl w:ilvl="0">
      <w:start w:val="1"/>
      <w:numFmt w:val="decimal"/>
      <w:lvlText w:val="（%1）"/>
      <w:lvlJc w:val="left"/>
      <w:pPr>
        <w:ind w:left="92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62" w:hanging="529"/>
      </w:pPr>
      <w:rPr>
        <w:rFonts w:hint="default"/>
        <w:lang w:val="en-US" w:eastAsia="zh-CN" w:bidi="ar-SA"/>
      </w:rPr>
    </w:lvl>
    <w:lvl w:ilvl="2">
      <w:start w:val="0"/>
      <w:numFmt w:val="bullet"/>
      <w:lvlText w:val="•"/>
      <w:lvlJc w:val="left"/>
      <w:pPr>
        <w:ind w:left="2404" w:hanging="529"/>
      </w:pPr>
      <w:rPr>
        <w:rFonts w:hint="default"/>
        <w:lang w:val="en-US" w:eastAsia="zh-CN" w:bidi="ar-SA"/>
      </w:rPr>
    </w:lvl>
    <w:lvl w:ilvl="3">
      <w:start w:val="0"/>
      <w:numFmt w:val="bullet"/>
      <w:lvlText w:val="•"/>
      <w:lvlJc w:val="left"/>
      <w:pPr>
        <w:ind w:left="3146" w:hanging="529"/>
      </w:pPr>
      <w:rPr>
        <w:rFonts w:hint="default"/>
        <w:lang w:val="en-US" w:eastAsia="zh-CN" w:bidi="ar-SA"/>
      </w:rPr>
    </w:lvl>
    <w:lvl w:ilvl="4">
      <w:start w:val="0"/>
      <w:numFmt w:val="bullet"/>
      <w:lvlText w:val="•"/>
      <w:lvlJc w:val="left"/>
      <w:pPr>
        <w:ind w:left="3888" w:hanging="529"/>
      </w:pPr>
      <w:rPr>
        <w:rFonts w:hint="default"/>
        <w:lang w:val="en-US" w:eastAsia="zh-CN" w:bidi="ar-SA"/>
      </w:rPr>
    </w:lvl>
    <w:lvl w:ilvl="5">
      <w:start w:val="0"/>
      <w:numFmt w:val="bullet"/>
      <w:lvlText w:val="•"/>
      <w:lvlJc w:val="left"/>
      <w:pPr>
        <w:ind w:left="4630" w:hanging="529"/>
      </w:pPr>
      <w:rPr>
        <w:rFonts w:hint="default"/>
        <w:lang w:val="en-US" w:eastAsia="zh-CN" w:bidi="ar-SA"/>
      </w:rPr>
    </w:lvl>
    <w:lvl w:ilvl="6">
      <w:start w:val="0"/>
      <w:numFmt w:val="bullet"/>
      <w:lvlText w:val="•"/>
      <w:lvlJc w:val="left"/>
      <w:pPr>
        <w:ind w:left="5372" w:hanging="529"/>
      </w:pPr>
      <w:rPr>
        <w:rFonts w:hint="default"/>
        <w:lang w:val="en-US" w:eastAsia="zh-CN" w:bidi="ar-SA"/>
      </w:rPr>
    </w:lvl>
    <w:lvl w:ilvl="7">
      <w:start w:val="0"/>
      <w:numFmt w:val="bullet"/>
      <w:lvlText w:val="•"/>
      <w:lvlJc w:val="left"/>
      <w:pPr>
        <w:ind w:left="6114" w:hanging="529"/>
      </w:pPr>
      <w:rPr>
        <w:rFonts w:hint="default"/>
        <w:lang w:val="en-US" w:eastAsia="zh-CN" w:bidi="ar-SA"/>
      </w:rPr>
    </w:lvl>
    <w:lvl w:ilvl="8">
      <w:start w:val="0"/>
      <w:numFmt w:val="bullet"/>
      <w:lvlText w:val="•"/>
      <w:lvlJc w:val="left"/>
      <w:pPr>
        <w:ind w:left="6856" w:hanging="529"/>
      </w:pPr>
      <w:rPr>
        <w:rFonts w:hint="default"/>
        <w:lang w:val="en-US" w:eastAsia="zh-CN" w:bidi="ar-SA"/>
      </w:rPr>
    </w:lvl>
  </w:abstractNum>
  <w:abstractNum w:abstractNumId="101">
    <w:multiLevelType w:val="hybridMultilevel"/>
    <w:lvl w:ilvl="0">
      <w:start w:val="1"/>
      <w:numFmt w:val="lowerLetter"/>
      <w:lvlText w:val="%1."/>
      <w:lvlJc w:val="left"/>
      <w:pPr>
        <w:ind w:left="396" w:hanging="24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194" w:hanging="241"/>
      </w:pPr>
      <w:rPr>
        <w:rFonts w:hint="default"/>
        <w:lang w:val="en-US" w:eastAsia="zh-CN" w:bidi="ar-SA"/>
      </w:rPr>
    </w:lvl>
    <w:lvl w:ilvl="2">
      <w:start w:val="0"/>
      <w:numFmt w:val="bullet"/>
      <w:lvlText w:val="•"/>
      <w:lvlJc w:val="left"/>
      <w:pPr>
        <w:ind w:left="1988" w:hanging="241"/>
      </w:pPr>
      <w:rPr>
        <w:rFonts w:hint="default"/>
        <w:lang w:val="en-US" w:eastAsia="zh-CN" w:bidi="ar-SA"/>
      </w:rPr>
    </w:lvl>
    <w:lvl w:ilvl="3">
      <w:start w:val="0"/>
      <w:numFmt w:val="bullet"/>
      <w:lvlText w:val="•"/>
      <w:lvlJc w:val="left"/>
      <w:pPr>
        <w:ind w:left="2782" w:hanging="241"/>
      </w:pPr>
      <w:rPr>
        <w:rFonts w:hint="default"/>
        <w:lang w:val="en-US" w:eastAsia="zh-CN" w:bidi="ar-SA"/>
      </w:rPr>
    </w:lvl>
    <w:lvl w:ilvl="4">
      <w:start w:val="0"/>
      <w:numFmt w:val="bullet"/>
      <w:lvlText w:val="•"/>
      <w:lvlJc w:val="left"/>
      <w:pPr>
        <w:ind w:left="3576" w:hanging="241"/>
      </w:pPr>
      <w:rPr>
        <w:rFonts w:hint="default"/>
        <w:lang w:val="en-US" w:eastAsia="zh-CN" w:bidi="ar-SA"/>
      </w:rPr>
    </w:lvl>
    <w:lvl w:ilvl="5">
      <w:start w:val="0"/>
      <w:numFmt w:val="bullet"/>
      <w:lvlText w:val="•"/>
      <w:lvlJc w:val="left"/>
      <w:pPr>
        <w:ind w:left="4370" w:hanging="241"/>
      </w:pPr>
      <w:rPr>
        <w:rFonts w:hint="default"/>
        <w:lang w:val="en-US" w:eastAsia="zh-CN" w:bidi="ar-SA"/>
      </w:rPr>
    </w:lvl>
    <w:lvl w:ilvl="6">
      <w:start w:val="0"/>
      <w:numFmt w:val="bullet"/>
      <w:lvlText w:val="•"/>
      <w:lvlJc w:val="left"/>
      <w:pPr>
        <w:ind w:left="5164" w:hanging="241"/>
      </w:pPr>
      <w:rPr>
        <w:rFonts w:hint="default"/>
        <w:lang w:val="en-US" w:eastAsia="zh-CN" w:bidi="ar-SA"/>
      </w:rPr>
    </w:lvl>
    <w:lvl w:ilvl="7">
      <w:start w:val="0"/>
      <w:numFmt w:val="bullet"/>
      <w:lvlText w:val="•"/>
      <w:lvlJc w:val="left"/>
      <w:pPr>
        <w:ind w:left="5958" w:hanging="241"/>
      </w:pPr>
      <w:rPr>
        <w:rFonts w:hint="default"/>
        <w:lang w:val="en-US" w:eastAsia="zh-CN" w:bidi="ar-SA"/>
      </w:rPr>
    </w:lvl>
    <w:lvl w:ilvl="8">
      <w:start w:val="0"/>
      <w:numFmt w:val="bullet"/>
      <w:lvlText w:val="•"/>
      <w:lvlJc w:val="left"/>
      <w:pPr>
        <w:ind w:left="6752" w:hanging="241"/>
      </w:pPr>
      <w:rPr>
        <w:rFonts w:hint="default"/>
        <w:lang w:val="en-US" w:eastAsia="zh-CN" w:bidi="ar-SA"/>
      </w:rPr>
    </w:lvl>
  </w:abstractNum>
  <w:abstractNum w:abstractNumId="100">
    <w:multiLevelType w:val="hybridMultilevel"/>
    <w:lvl w:ilvl="0">
      <w:start w:val="1"/>
      <w:numFmt w:val="decimal"/>
      <w:lvlText w:val="（%1）"/>
      <w:lvlJc w:val="left"/>
      <w:pPr>
        <w:ind w:left="925"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662" w:hanging="529"/>
      </w:pPr>
      <w:rPr>
        <w:rFonts w:hint="default"/>
        <w:lang w:val="en-US" w:eastAsia="zh-CN" w:bidi="ar-SA"/>
      </w:rPr>
    </w:lvl>
    <w:lvl w:ilvl="2">
      <w:start w:val="0"/>
      <w:numFmt w:val="bullet"/>
      <w:lvlText w:val="•"/>
      <w:lvlJc w:val="left"/>
      <w:pPr>
        <w:ind w:left="2404" w:hanging="529"/>
      </w:pPr>
      <w:rPr>
        <w:rFonts w:hint="default"/>
        <w:lang w:val="en-US" w:eastAsia="zh-CN" w:bidi="ar-SA"/>
      </w:rPr>
    </w:lvl>
    <w:lvl w:ilvl="3">
      <w:start w:val="0"/>
      <w:numFmt w:val="bullet"/>
      <w:lvlText w:val="•"/>
      <w:lvlJc w:val="left"/>
      <w:pPr>
        <w:ind w:left="3146" w:hanging="529"/>
      </w:pPr>
      <w:rPr>
        <w:rFonts w:hint="default"/>
        <w:lang w:val="en-US" w:eastAsia="zh-CN" w:bidi="ar-SA"/>
      </w:rPr>
    </w:lvl>
    <w:lvl w:ilvl="4">
      <w:start w:val="0"/>
      <w:numFmt w:val="bullet"/>
      <w:lvlText w:val="•"/>
      <w:lvlJc w:val="left"/>
      <w:pPr>
        <w:ind w:left="3888" w:hanging="529"/>
      </w:pPr>
      <w:rPr>
        <w:rFonts w:hint="default"/>
        <w:lang w:val="en-US" w:eastAsia="zh-CN" w:bidi="ar-SA"/>
      </w:rPr>
    </w:lvl>
    <w:lvl w:ilvl="5">
      <w:start w:val="0"/>
      <w:numFmt w:val="bullet"/>
      <w:lvlText w:val="•"/>
      <w:lvlJc w:val="left"/>
      <w:pPr>
        <w:ind w:left="4630" w:hanging="529"/>
      </w:pPr>
      <w:rPr>
        <w:rFonts w:hint="default"/>
        <w:lang w:val="en-US" w:eastAsia="zh-CN" w:bidi="ar-SA"/>
      </w:rPr>
    </w:lvl>
    <w:lvl w:ilvl="6">
      <w:start w:val="0"/>
      <w:numFmt w:val="bullet"/>
      <w:lvlText w:val="•"/>
      <w:lvlJc w:val="left"/>
      <w:pPr>
        <w:ind w:left="5372" w:hanging="529"/>
      </w:pPr>
      <w:rPr>
        <w:rFonts w:hint="default"/>
        <w:lang w:val="en-US" w:eastAsia="zh-CN" w:bidi="ar-SA"/>
      </w:rPr>
    </w:lvl>
    <w:lvl w:ilvl="7">
      <w:start w:val="0"/>
      <w:numFmt w:val="bullet"/>
      <w:lvlText w:val="•"/>
      <w:lvlJc w:val="left"/>
      <w:pPr>
        <w:ind w:left="6114" w:hanging="529"/>
      </w:pPr>
      <w:rPr>
        <w:rFonts w:hint="default"/>
        <w:lang w:val="en-US" w:eastAsia="zh-CN" w:bidi="ar-SA"/>
      </w:rPr>
    </w:lvl>
    <w:lvl w:ilvl="8">
      <w:start w:val="0"/>
      <w:numFmt w:val="bullet"/>
      <w:lvlText w:val="•"/>
      <w:lvlJc w:val="left"/>
      <w:pPr>
        <w:ind w:left="6856" w:hanging="529"/>
      </w:pPr>
      <w:rPr>
        <w:rFonts w:hint="default"/>
        <w:lang w:val="en-US" w:eastAsia="zh-CN" w:bidi="ar-SA"/>
      </w:rPr>
    </w:lvl>
  </w:abstractNum>
  <w:abstractNum w:abstractNumId="99">
    <w:multiLevelType w:val="hybridMultilevel"/>
    <w:lvl w:ilvl="0">
      <w:start w:val="11"/>
      <w:numFmt w:val="decimal"/>
      <w:lvlText w:val="%1"/>
      <w:lvlJc w:val="left"/>
      <w:pPr>
        <w:ind w:left="2097" w:hanging="572"/>
        <w:jc w:val="left"/>
      </w:pPr>
      <w:rPr>
        <w:rFonts w:hint="default"/>
        <w:lang w:val="en-US" w:eastAsia="zh-CN" w:bidi="ar-SA"/>
      </w:rPr>
    </w:lvl>
    <w:lvl w:ilvl="1">
      <w:start w:val="98"/>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8"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7"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6" w:hanging="572"/>
      </w:pPr>
      <w:rPr>
        <w:rFonts w:hint="default"/>
        <w:lang w:val="en-US" w:eastAsia="zh-CN" w:bidi="ar-SA"/>
      </w:rPr>
    </w:lvl>
    <w:lvl w:ilvl="7">
      <w:start w:val="0"/>
      <w:numFmt w:val="bullet"/>
      <w:lvlText w:val="•"/>
      <w:lvlJc w:val="left"/>
      <w:pPr>
        <w:ind w:left="7170" w:hanging="572"/>
      </w:pPr>
      <w:rPr>
        <w:rFonts w:hint="default"/>
        <w:lang w:val="en-US" w:eastAsia="zh-CN" w:bidi="ar-SA"/>
      </w:rPr>
    </w:lvl>
    <w:lvl w:ilvl="8">
      <w:start w:val="0"/>
      <w:numFmt w:val="bullet"/>
      <w:lvlText w:val="•"/>
      <w:lvlJc w:val="left"/>
      <w:pPr>
        <w:ind w:left="7895" w:hanging="572"/>
      </w:pPr>
      <w:rPr>
        <w:rFonts w:hint="default"/>
        <w:lang w:val="en-US" w:eastAsia="zh-CN" w:bidi="ar-SA"/>
      </w:rPr>
    </w:lvl>
  </w:abstractNum>
  <w:abstractNum w:abstractNumId="98">
    <w:multiLevelType w:val="hybridMultilevel"/>
    <w:lvl w:ilvl="0">
      <w:start w:val="11"/>
      <w:numFmt w:val="decimal"/>
      <w:lvlText w:val="%1"/>
      <w:lvlJc w:val="left"/>
      <w:pPr>
        <w:ind w:left="2097" w:hanging="572"/>
        <w:jc w:val="left"/>
      </w:pPr>
      <w:rPr>
        <w:rFonts w:hint="default"/>
        <w:lang w:val="en-US" w:eastAsia="zh-CN" w:bidi="ar-SA"/>
      </w:rPr>
    </w:lvl>
    <w:lvl w:ilvl="1">
      <w:start w:val="91"/>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96">
    <w:multiLevelType w:val="hybridMultilevel"/>
    <w:lvl w:ilvl="0">
      <w:start w:val="11"/>
      <w:numFmt w:val="decimal"/>
      <w:lvlText w:val="%1"/>
      <w:lvlJc w:val="left"/>
      <w:pPr>
        <w:ind w:left="2097" w:hanging="572"/>
        <w:jc w:val="left"/>
      </w:pPr>
      <w:rPr>
        <w:rFonts w:hint="default"/>
        <w:lang w:val="en-US" w:eastAsia="zh-CN" w:bidi="ar-SA"/>
      </w:rPr>
    </w:lvl>
    <w:lvl w:ilvl="1">
      <w:start w:val="65"/>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95">
    <w:multiLevelType w:val="hybridMultilevel"/>
    <w:lvl w:ilvl="0">
      <w:start w:val="11"/>
      <w:numFmt w:val="decimal"/>
      <w:lvlText w:val="%1"/>
      <w:lvlJc w:val="left"/>
      <w:pPr>
        <w:ind w:left="2097" w:hanging="572"/>
        <w:jc w:val="left"/>
      </w:pPr>
      <w:rPr>
        <w:rFonts w:hint="default"/>
        <w:lang w:val="en-US" w:eastAsia="zh-CN" w:bidi="ar-SA"/>
      </w:rPr>
    </w:lvl>
    <w:lvl w:ilvl="1">
      <w:start w:val="22"/>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94">
    <w:multiLevelType w:val="hybridMultilevel"/>
    <w:lvl w:ilvl="0">
      <w:start w:val="11"/>
      <w:numFmt w:val="decimal"/>
      <w:lvlText w:val="%1"/>
      <w:lvlJc w:val="left"/>
      <w:pPr>
        <w:ind w:left="2097" w:hanging="572"/>
        <w:jc w:val="left"/>
      </w:pPr>
      <w:rPr>
        <w:rFonts w:hint="default"/>
        <w:lang w:val="en-US" w:eastAsia="zh-CN" w:bidi="ar-SA"/>
      </w:rPr>
    </w:lvl>
    <w:lvl w:ilvl="1">
      <w:start w:val="17"/>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93">
    <w:multiLevelType w:val="hybridMultilevel"/>
    <w:lvl w:ilvl="0">
      <w:start w:val="11"/>
      <w:numFmt w:val="decimal"/>
      <w:lvlText w:val="%1"/>
      <w:lvlJc w:val="left"/>
      <w:pPr>
        <w:ind w:left="2097" w:hanging="572"/>
        <w:jc w:val="left"/>
      </w:pPr>
      <w:rPr>
        <w:rFonts w:hint="default"/>
        <w:lang w:val="en-US" w:eastAsia="zh-CN" w:bidi="ar-SA"/>
      </w:rPr>
    </w:lvl>
    <w:lvl w:ilvl="1">
      <w:start w:val="53"/>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92">
    <w:multiLevelType w:val="hybridMultilevel"/>
    <w:lvl w:ilvl="0">
      <w:start w:val="11"/>
      <w:numFmt w:val="decimal"/>
      <w:lvlText w:val="%1"/>
      <w:lvlJc w:val="left"/>
      <w:pPr>
        <w:ind w:left="2097" w:hanging="572"/>
        <w:jc w:val="left"/>
      </w:pPr>
      <w:rPr>
        <w:rFonts w:hint="default"/>
        <w:lang w:val="en-US" w:eastAsia="zh-CN" w:bidi="ar-SA"/>
      </w:rPr>
    </w:lvl>
    <w:lvl w:ilvl="1">
      <w:start w:val="31"/>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91">
    <w:multiLevelType w:val="hybridMultilevel"/>
    <w:lvl w:ilvl="0">
      <w:start w:val="11"/>
      <w:numFmt w:val="decimal"/>
      <w:lvlText w:val="%1"/>
      <w:lvlJc w:val="left"/>
      <w:pPr>
        <w:ind w:left="2097" w:hanging="572"/>
        <w:jc w:val="left"/>
      </w:pPr>
      <w:rPr>
        <w:rFonts w:hint="default"/>
        <w:lang w:val="en-US" w:eastAsia="zh-CN" w:bidi="ar-SA"/>
      </w:rPr>
    </w:lvl>
    <w:lvl w:ilvl="1">
      <w:start w:val="27"/>
      <w:numFmt w:val="decimal"/>
      <w:lvlText w:val="%1.%2"/>
      <w:lvlJc w:val="left"/>
      <w:pPr>
        <w:ind w:left="2097" w:hanging="572"/>
        <w:jc w:val="left"/>
      </w:pPr>
      <w:rPr>
        <w:rFonts w:hint="default" w:ascii="Times New Roman" w:hAnsi="Times New Roman" w:eastAsia="Times New Roman" w:cs="Times New Roman"/>
        <w:b w:val="0"/>
        <w:bCs w:val="0"/>
        <w:i w:val="0"/>
        <w:iCs w:val="0"/>
        <w:spacing w:val="-8"/>
        <w:w w:val="100"/>
        <w:sz w:val="21"/>
        <w:szCs w:val="21"/>
        <w:lang w:val="en-US" w:eastAsia="zh-CN" w:bidi="ar-SA"/>
      </w:rPr>
    </w:lvl>
    <w:lvl w:ilvl="2">
      <w:start w:val="0"/>
      <w:numFmt w:val="bullet"/>
      <w:lvlText w:val="•"/>
      <w:lvlJc w:val="left"/>
      <w:pPr>
        <w:ind w:left="3549" w:hanging="572"/>
      </w:pPr>
      <w:rPr>
        <w:rFonts w:hint="default"/>
        <w:lang w:val="en-US" w:eastAsia="zh-CN" w:bidi="ar-SA"/>
      </w:rPr>
    </w:lvl>
    <w:lvl w:ilvl="3">
      <w:start w:val="0"/>
      <w:numFmt w:val="bullet"/>
      <w:lvlText w:val="•"/>
      <w:lvlJc w:val="left"/>
      <w:pPr>
        <w:ind w:left="4273" w:hanging="572"/>
      </w:pPr>
      <w:rPr>
        <w:rFonts w:hint="default"/>
        <w:lang w:val="en-US" w:eastAsia="zh-CN" w:bidi="ar-SA"/>
      </w:rPr>
    </w:lvl>
    <w:lvl w:ilvl="4">
      <w:start w:val="0"/>
      <w:numFmt w:val="bullet"/>
      <w:lvlText w:val="•"/>
      <w:lvlJc w:val="left"/>
      <w:pPr>
        <w:ind w:left="4998" w:hanging="572"/>
      </w:pPr>
      <w:rPr>
        <w:rFonts w:hint="default"/>
        <w:lang w:val="en-US" w:eastAsia="zh-CN" w:bidi="ar-SA"/>
      </w:rPr>
    </w:lvl>
    <w:lvl w:ilvl="5">
      <w:start w:val="0"/>
      <w:numFmt w:val="bullet"/>
      <w:lvlText w:val="•"/>
      <w:lvlJc w:val="left"/>
      <w:pPr>
        <w:ind w:left="5722" w:hanging="572"/>
      </w:pPr>
      <w:rPr>
        <w:rFonts w:hint="default"/>
        <w:lang w:val="en-US" w:eastAsia="zh-CN" w:bidi="ar-SA"/>
      </w:rPr>
    </w:lvl>
    <w:lvl w:ilvl="6">
      <w:start w:val="0"/>
      <w:numFmt w:val="bullet"/>
      <w:lvlText w:val="•"/>
      <w:lvlJc w:val="left"/>
      <w:pPr>
        <w:ind w:left="6447" w:hanging="572"/>
      </w:pPr>
      <w:rPr>
        <w:rFonts w:hint="default"/>
        <w:lang w:val="en-US" w:eastAsia="zh-CN" w:bidi="ar-SA"/>
      </w:rPr>
    </w:lvl>
    <w:lvl w:ilvl="7">
      <w:start w:val="0"/>
      <w:numFmt w:val="bullet"/>
      <w:lvlText w:val="•"/>
      <w:lvlJc w:val="left"/>
      <w:pPr>
        <w:ind w:left="7171" w:hanging="572"/>
      </w:pPr>
      <w:rPr>
        <w:rFonts w:hint="default"/>
        <w:lang w:val="en-US" w:eastAsia="zh-CN" w:bidi="ar-SA"/>
      </w:rPr>
    </w:lvl>
    <w:lvl w:ilvl="8">
      <w:start w:val="0"/>
      <w:numFmt w:val="bullet"/>
      <w:lvlText w:val="•"/>
      <w:lvlJc w:val="left"/>
      <w:pPr>
        <w:ind w:left="7896" w:hanging="572"/>
      </w:pPr>
      <w:rPr>
        <w:rFonts w:hint="default"/>
        <w:lang w:val="en-US" w:eastAsia="zh-CN" w:bidi="ar-SA"/>
      </w:rPr>
    </w:lvl>
  </w:abstractNum>
  <w:abstractNum w:abstractNumId="89">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88">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87">
    <w:multiLevelType w:val="hybridMultilevel"/>
    <w:lvl w:ilvl="0">
      <w:start w:val="1"/>
      <w:numFmt w:val="decimal"/>
      <w:lvlText w:val="（%1）"/>
      <w:lvlJc w:val="left"/>
      <w:pPr>
        <w:ind w:left="652"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9" w:hanging="542"/>
      </w:pPr>
      <w:rPr>
        <w:rFonts w:hint="default"/>
        <w:lang w:val="en-US" w:eastAsia="zh-CN" w:bidi="ar-SA"/>
      </w:rPr>
    </w:lvl>
    <w:lvl w:ilvl="2">
      <w:start w:val="0"/>
      <w:numFmt w:val="bullet"/>
      <w:lvlText w:val="•"/>
      <w:lvlJc w:val="left"/>
      <w:pPr>
        <w:ind w:left="2139" w:hanging="542"/>
      </w:pPr>
      <w:rPr>
        <w:rFonts w:hint="default"/>
        <w:lang w:val="en-US" w:eastAsia="zh-CN" w:bidi="ar-SA"/>
      </w:rPr>
    </w:lvl>
    <w:lvl w:ilvl="3">
      <w:start w:val="0"/>
      <w:numFmt w:val="bullet"/>
      <w:lvlText w:val="•"/>
      <w:lvlJc w:val="left"/>
      <w:pPr>
        <w:ind w:left="2878" w:hanging="542"/>
      </w:pPr>
      <w:rPr>
        <w:rFonts w:hint="default"/>
        <w:lang w:val="en-US" w:eastAsia="zh-CN" w:bidi="ar-SA"/>
      </w:rPr>
    </w:lvl>
    <w:lvl w:ilvl="4">
      <w:start w:val="0"/>
      <w:numFmt w:val="bullet"/>
      <w:lvlText w:val="•"/>
      <w:lvlJc w:val="left"/>
      <w:pPr>
        <w:ind w:left="3618" w:hanging="542"/>
      </w:pPr>
      <w:rPr>
        <w:rFonts w:hint="default"/>
        <w:lang w:val="en-US" w:eastAsia="zh-CN" w:bidi="ar-SA"/>
      </w:rPr>
    </w:lvl>
    <w:lvl w:ilvl="5">
      <w:start w:val="0"/>
      <w:numFmt w:val="bullet"/>
      <w:lvlText w:val="•"/>
      <w:lvlJc w:val="left"/>
      <w:pPr>
        <w:ind w:left="4357" w:hanging="542"/>
      </w:pPr>
      <w:rPr>
        <w:rFonts w:hint="default"/>
        <w:lang w:val="en-US" w:eastAsia="zh-CN" w:bidi="ar-SA"/>
      </w:rPr>
    </w:lvl>
    <w:lvl w:ilvl="6">
      <w:start w:val="0"/>
      <w:numFmt w:val="bullet"/>
      <w:lvlText w:val="•"/>
      <w:lvlJc w:val="left"/>
      <w:pPr>
        <w:ind w:left="5097" w:hanging="542"/>
      </w:pPr>
      <w:rPr>
        <w:rFonts w:hint="default"/>
        <w:lang w:val="en-US" w:eastAsia="zh-CN" w:bidi="ar-SA"/>
      </w:rPr>
    </w:lvl>
    <w:lvl w:ilvl="7">
      <w:start w:val="0"/>
      <w:numFmt w:val="bullet"/>
      <w:lvlText w:val="•"/>
      <w:lvlJc w:val="left"/>
      <w:pPr>
        <w:ind w:left="5836" w:hanging="542"/>
      </w:pPr>
      <w:rPr>
        <w:rFonts w:hint="default"/>
        <w:lang w:val="en-US" w:eastAsia="zh-CN" w:bidi="ar-SA"/>
      </w:rPr>
    </w:lvl>
    <w:lvl w:ilvl="8">
      <w:start w:val="0"/>
      <w:numFmt w:val="bullet"/>
      <w:lvlText w:val="•"/>
      <w:lvlJc w:val="left"/>
      <w:pPr>
        <w:ind w:left="6576" w:hanging="542"/>
      </w:pPr>
      <w:rPr>
        <w:rFonts w:hint="default"/>
        <w:lang w:val="en-US" w:eastAsia="zh-CN" w:bidi="ar-SA"/>
      </w:rPr>
    </w:lvl>
  </w:abstractNum>
  <w:abstractNum w:abstractNumId="86">
    <w:multiLevelType w:val="hybridMultilevel"/>
    <w:lvl w:ilvl="0">
      <w:start w:val="1"/>
      <w:numFmt w:val="decimal"/>
      <w:lvlText w:val="（%1）"/>
      <w:lvlJc w:val="left"/>
      <w:pPr>
        <w:ind w:left="719"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60" w:hanging="542"/>
      </w:pPr>
      <w:rPr>
        <w:rFonts w:hint="default"/>
        <w:lang w:val="en-US" w:eastAsia="zh-CN" w:bidi="ar-SA"/>
      </w:rPr>
    </w:lvl>
    <w:lvl w:ilvl="2">
      <w:start w:val="0"/>
      <w:numFmt w:val="bullet"/>
      <w:lvlText w:val="•"/>
      <w:lvlJc w:val="left"/>
      <w:pPr>
        <w:ind w:left="2200" w:hanging="542"/>
      </w:pPr>
      <w:rPr>
        <w:rFonts w:hint="default"/>
        <w:lang w:val="en-US" w:eastAsia="zh-CN" w:bidi="ar-SA"/>
      </w:rPr>
    </w:lvl>
    <w:lvl w:ilvl="3">
      <w:start w:val="0"/>
      <w:numFmt w:val="bullet"/>
      <w:lvlText w:val="•"/>
      <w:lvlJc w:val="left"/>
      <w:pPr>
        <w:ind w:left="2940" w:hanging="542"/>
      </w:pPr>
      <w:rPr>
        <w:rFonts w:hint="default"/>
        <w:lang w:val="en-US" w:eastAsia="zh-CN" w:bidi="ar-SA"/>
      </w:rPr>
    </w:lvl>
    <w:lvl w:ilvl="4">
      <w:start w:val="0"/>
      <w:numFmt w:val="bullet"/>
      <w:lvlText w:val="•"/>
      <w:lvlJc w:val="left"/>
      <w:pPr>
        <w:ind w:left="3680" w:hanging="542"/>
      </w:pPr>
      <w:rPr>
        <w:rFonts w:hint="default"/>
        <w:lang w:val="en-US" w:eastAsia="zh-CN" w:bidi="ar-SA"/>
      </w:rPr>
    </w:lvl>
    <w:lvl w:ilvl="5">
      <w:start w:val="0"/>
      <w:numFmt w:val="bullet"/>
      <w:lvlText w:val="•"/>
      <w:lvlJc w:val="left"/>
      <w:pPr>
        <w:ind w:left="4421" w:hanging="542"/>
      </w:pPr>
      <w:rPr>
        <w:rFonts w:hint="default"/>
        <w:lang w:val="en-US" w:eastAsia="zh-CN" w:bidi="ar-SA"/>
      </w:rPr>
    </w:lvl>
    <w:lvl w:ilvl="6">
      <w:start w:val="0"/>
      <w:numFmt w:val="bullet"/>
      <w:lvlText w:val="•"/>
      <w:lvlJc w:val="left"/>
      <w:pPr>
        <w:ind w:left="5161" w:hanging="542"/>
      </w:pPr>
      <w:rPr>
        <w:rFonts w:hint="default"/>
        <w:lang w:val="en-US" w:eastAsia="zh-CN" w:bidi="ar-SA"/>
      </w:rPr>
    </w:lvl>
    <w:lvl w:ilvl="7">
      <w:start w:val="0"/>
      <w:numFmt w:val="bullet"/>
      <w:lvlText w:val="•"/>
      <w:lvlJc w:val="left"/>
      <w:pPr>
        <w:ind w:left="5901" w:hanging="542"/>
      </w:pPr>
      <w:rPr>
        <w:rFonts w:hint="default"/>
        <w:lang w:val="en-US" w:eastAsia="zh-CN" w:bidi="ar-SA"/>
      </w:rPr>
    </w:lvl>
    <w:lvl w:ilvl="8">
      <w:start w:val="0"/>
      <w:numFmt w:val="bullet"/>
      <w:lvlText w:val="•"/>
      <w:lvlJc w:val="left"/>
      <w:pPr>
        <w:ind w:left="6641" w:hanging="542"/>
      </w:pPr>
      <w:rPr>
        <w:rFonts w:hint="default"/>
        <w:lang w:val="en-US" w:eastAsia="zh-CN" w:bidi="ar-SA"/>
      </w:rPr>
    </w:lvl>
  </w:abstractNum>
  <w:abstractNum w:abstractNumId="85">
    <w:multiLevelType w:val="hybridMultilevel"/>
    <w:lvl w:ilvl="0">
      <w:start w:val="1"/>
      <w:numFmt w:val="decimal"/>
      <w:lvlText w:val="（%1）"/>
      <w:lvlJc w:val="left"/>
      <w:pPr>
        <w:ind w:left="640" w:hanging="529"/>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84">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83">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82">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81">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80">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79">
    <w:multiLevelType w:val="hybridMultilevel"/>
    <w:lvl w:ilvl="0">
      <w:start w:val="2"/>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78">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77">
    <w:multiLevelType w:val="hybridMultilevel"/>
    <w:lvl w:ilvl="0">
      <w:start w:val="1"/>
      <w:numFmt w:val="decimal"/>
      <w:lvlText w:val="（%1）"/>
      <w:lvlJc w:val="left"/>
      <w:pPr>
        <w:ind w:left="636" w:hanging="532"/>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1381" w:hanging="532"/>
      </w:pPr>
      <w:rPr>
        <w:rFonts w:hint="default"/>
        <w:lang w:val="en-US" w:eastAsia="zh-CN" w:bidi="ar-SA"/>
      </w:rPr>
    </w:lvl>
    <w:lvl w:ilvl="2">
      <w:start w:val="0"/>
      <w:numFmt w:val="bullet"/>
      <w:lvlText w:val="•"/>
      <w:lvlJc w:val="left"/>
      <w:pPr>
        <w:ind w:left="2123" w:hanging="532"/>
      </w:pPr>
      <w:rPr>
        <w:rFonts w:hint="default"/>
        <w:lang w:val="en-US" w:eastAsia="zh-CN" w:bidi="ar-SA"/>
      </w:rPr>
    </w:lvl>
    <w:lvl w:ilvl="3">
      <w:start w:val="0"/>
      <w:numFmt w:val="bullet"/>
      <w:lvlText w:val="•"/>
      <w:lvlJc w:val="left"/>
      <w:pPr>
        <w:ind w:left="2864" w:hanging="532"/>
      </w:pPr>
      <w:rPr>
        <w:rFonts w:hint="default"/>
        <w:lang w:val="en-US" w:eastAsia="zh-CN" w:bidi="ar-SA"/>
      </w:rPr>
    </w:lvl>
    <w:lvl w:ilvl="4">
      <w:start w:val="0"/>
      <w:numFmt w:val="bullet"/>
      <w:lvlText w:val="•"/>
      <w:lvlJc w:val="left"/>
      <w:pPr>
        <w:ind w:left="3606" w:hanging="532"/>
      </w:pPr>
      <w:rPr>
        <w:rFonts w:hint="default"/>
        <w:lang w:val="en-US" w:eastAsia="zh-CN" w:bidi="ar-SA"/>
      </w:rPr>
    </w:lvl>
    <w:lvl w:ilvl="5">
      <w:start w:val="0"/>
      <w:numFmt w:val="bullet"/>
      <w:lvlText w:val="•"/>
      <w:lvlJc w:val="left"/>
      <w:pPr>
        <w:ind w:left="4347" w:hanging="532"/>
      </w:pPr>
      <w:rPr>
        <w:rFonts w:hint="default"/>
        <w:lang w:val="en-US" w:eastAsia="zh-CN" w:bidi="ar-SA"/>
      </w:rPr>
    </w:lvl>
    <w:lvl w:ilvl="6">
      <w:start w:val="0"/>
      <w:numFmt w:val="bullet"/>
      <w:lvlText w:val="•"/>
      <w:lvlJc w:val="left"/>
      <w:pPr>
        <w:ind w:left="5089" w:hanging="532"/>
      </w:pPr>
      <w:rPr>
        <w:rFonts w:hint="default"/>
        <w:lang w:val="en-US" w:eastAsia="zh-CN" w:bidi="ar-SA"/>
      </w:rPr>
    </w:lvl>
    <w:lvl w:ilvl="7">
      <w:start w:val="0"/>
      <w:numFmt w:val="bullet"/>
      <w:lvlText w:val="•"/>
      <w:lvlJc w:val="left"/>
      <w:pPr>
        <w:ind w:left="5830" w:hanging="532"/>
      </w:pPr>
      <w:rPr>
        <w:rFonts w:hint="default"/>
        <w:lang w:val="en-US" w:eastAsia="zh-CN" w:bidi="ar-SA"/>
      </w:rPr>
    </w:lvl>
    <w:lvl w:ilvl="8">
      <w:start w:val="0"/>
      <w:numFmt w:val="bullet"/>
      <w:lvlText w:val="•"/>
      <w:lvlJc w:val="left"/>
      <w:pPr>
        <w:ind w:left="6572" w:hanging="532"/>
      </w:pPr>
      <w:rPr>
        <w:rFonts w:hint="default"/>
        <w:lang w:val="en-US" w:eastAsia="zh-CN" w:bidi="ar-SA"/>
      </w:rPr>
    </w:lvl>
  </w:abstractNum>
  <w:abstractNum w:abstractNumId="76">
    <w:multiLevelType w:val="hybridMultilevel"/>
    <w:lvl w:ilvl="0">
      <w:start w:val="1"/>
      <w:numFmt w:val="decimal"/>
      <w:lvlText w:val="（%1）"/>
      <w:lvlJc w:val="left"/>
      <w:pPr>
        <w:ind w:left="6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75">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74">
    <w:multiLevelType w:val="hybridMultilevel"/>
    <w:lvl w:ilvl="0">
      <w:start w:val="1"/>
      <w:numFmt w:val="decimal"/>
      <w:lvlText w:val="（%1）"/>
      <w:lvlJc w:val="left"/>
      <w:pPr>
        <w:ind w:left="652"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9" w:hanging="542"/>
      </w:pPr>
      <w:rPr>
        <w:rFonts w:hint="default"/>
        <w:lang w:val="en-US" w:eastAsia="zh-CN" w:bidi="ar-SA"/>
      </w:rPr>
    </w:lvl>
    <w:lvl w:ilvl="2">
      <w:start w:val="0"/>
      <w:numFmt w:val="bullet"/>
      <w:lvlText w:val="•"/>
      <w:lvlJc w:val="left"/>
      <w:pPr>
        <w:ind w:left="2139" w:hanging="542"/>
      </w:pPr>
      <w:rPr>
        <w:rFonts w:hint="default"/>
        <w:lang w:val="en-US" w:eastAsia="zh-CN" w:bidi="ar-SA"/>
      </w:rPr>
    </w:lvl>
    <w:lvl w:ilvl="3">
      <w:start w:val="0"/>
      <w:numFmt w:val="bullet"/>
      <w:lvlText w:val="•"/>
      <w:lvlJc w:val="left"/>
      <w:pPr>
        <w:ind w:left="2878" w:hanging="542"/>
      </w:pPr>
      <w:rPr>
        <w:rFonts w:hint="default"/>
        <w:lang w:val="en-US" w:eastAsia="zh-CN" w:bidi="ar-SA"/>
      </w:rPr>
    </w:lvl>
    <w:lvl w:ilvl="4">
      <w:start w:val="0"/>
      <w:numFmt w:val="bullet"/>
      <w:lvlText w:val="•"/>
      <w:lvlJc w:val="left"/>
      <w:pPr>
        <w:ind w:left="3618" w:hanging="542"/>
      </w:pPr>
      <w:rPr>
        <w:rFonts w:hint="default"/>
        <w:lang w:val="en-US" w:eastAsia="zh-CN" w:bidi="ar-SA"/>
      </w:rPr>
    </w:lvl>
    <w:lvl w:ilvl="5">
      <w:start w:val="0"/>
      <w:numFmt w:val="bullet"/>
      <w:lvlText w:val="•"/>
      <w:lvlJc w:val="left"/>
      <w:pPr>
        <w:ind w:left="4357" w:hanging="542"/>
      </w:pPr>
      <w:rPr>
        <w:rFonts w:hint="default"/>
        <w:lang w:val="en-US" w:eastAsia="zh-CN" w:bidi="ar-SA"/>
      </w:rPr>
    </w:lvl>
    <w:lvl w:ilvl="6">
      <w:start w:val="0"/>
      <w:numFmt w:val="bullet"/>
      <w:lvlText w:val="•"/>
      <w:lvlJc w:val="left"/>
      <w:pPr>
        <w:ind w:left="5097" w:hanging="542"/>
      </w:pPr>
      <w:rPr>
        <w:rFonts w:hint="default"/>
        <w:lang w:val="en-US" w:eastAsia="zh-CN" w:bidi="ar-SA"/>
      </w:rPr>
    </w:lvl>
    <w:lvl w:ilvl="7">
      <w:start w:val="0"/>
      <w:numFmt w:val="bullet"/>
      <w:lvlText w:val="•"/>
      <w:lvlJc w:val="left"/>
      <w:pPr>
        <w:ind w:left="5836" w:hanging="542"/>
      </w:pPr>
      <w:rPr>
        <w:rFonts w:hint="default"/>
        <w:lang w:val="en-US" w:eastAsia="zh-CN" w:bidi="ar-SA"/>
      </w:rPr>
    </w:lvl>
    <w:lvl w:ilvl="8">
      <w:start w:val="0"/>
      <w:numFmt w:val="bullet"/>
      <w:lvlText w:val="•"/>
      <w:lvlJc w:val="left"/>
      <w:pPr>
        <w:ind w:left="6576" w:hanging="542"/>
      </w:pPr>
      <w:rPr>
        <w:rFonts w:hint="default"/>
        <w:lang w:val="en-US" w:eastAsia="zh-CN" w:bidi="ar-SA"/>
      </w:rPr>
    </w:lvl>
  </w:abstractNum>
  <w:abstractNum w:abstractNumId="73">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72">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71">
    <w:multiLevelType w:val="hybridMultilevel"/>
    <w:lvl w:ilvl="0">
      <w:start w:val="1"/>
      <w:numFmt w:val="decimal"/>
      <w:lvlText w:val="（%1）"/>
      <w:lvlJc w:val="left"/>
      <w:pPr>
        <w:ind w:left="178" w:hanging="532"/>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974" w:hanging="532"/>
      </w:pPr>
      <w:rPr>
        <w:rFonts w:hint="default"/>
        <w:lang w:val="en-US" w:eastAsia="zh-CN" w:bidi="ar-SA"/>
      </w:rPr>
    </w:lvl>
    <w:lvl w:ilvl="2">
      <w:start w:val="0"/>
      <w:numFmt w:val="bullet"/>
      <w:lvlText w:val="•"/>
      <w:lvlJc w:val="left"/>
      <w:pPr>
        <w:ind w:left="1768" w:hanging="532"/>
      </w:pPr>
      <w:rPr>
        <w:rFonts w:hint="default"/>
        <w:lang w:val="en-US" w:eastAsia="zh-CN" w:bidi="ar-SA"/>
      </w:rPr>
    </w:lvl>
    <w:lvl w:ilvl="3">
      <w:start w:val="0"/>
      <w:numFmt w:val="bullet"/>
      <w:lvlText w:val="•"/>
      <w:lvlJc w:val="left"/>
      <w:pPr>
        <w:ind w:left="2562" w:hanging="532"/>
      </w:pPr>
      <w:rPr>
        <w:rFonts w:hint="default"/>
        <w:lang w:val="en-US" w:eastAsia="zh-CN" w:bidi="ar-SA"/>
      </w:rPr>
    </w:lvl>
    <w:lvl w:ilvl="4">
      <w:start w:val="0"/>
      <w:numFmt w:val="bullet"/>
      <w:lvlText w:val="•"/>
      <w:lvlJc w:val="left"/>
      <w:pPr>
        <w:ind w:left="3356" w:hanging="532"/>
      </w:pPr>
      <w:rPr>
        <w:rFonts w:hint="default"/>
        <w:lang w:val="en-US" w:eastAsia="zh-CN" w:bidi="ar-SA"/>
      </w:rPr>
    </w:lvl>
    <w:lvl w:ilvl="5">
      <w:start w:val="0"/>
      <w:numFmt w:val="bullet"/>
      <w:lvlText w:val="•"/>
      <w:lvlJc w:val="left"/>
      <w:pPr>
        <w:ind w:left="4151" w:hanging="532"/>
      </w:pPr>
      <w:rPr>
        <w:rFonts w:hint="default"/>
        <w:lang w:val="en-US" w:eastAsia="zh-CN" w:bidi="ar-SA"/>
      </w:rPr>
    </w:lvl>
    <w:lvl w:ilvl="6">
      <w:start w:val="0"/>
      <w:numFmt w:val="bullet"/>
      <w:lvlText w:val="•"/>
      <w:lvlJc w:val="left"/>
      <w:pPr>
        <w:ind w:left="4945" w:hanging="532"/>
      </w:pPr>
      <w:rPr>
        <w:rFonts w:hint="default"/>
        <w:lang w:val="en-US" w:eastAsia="zh-CN" w:bidi="ar-SA"/>
      </w:rPr>
    </w:lvl>
    <w:lvl w:ilvl="7">
      <w:start w:val="0"/>
      <w:numFmt w:val="bullet"/>
      <w:lvlText w:val="•"/>
      <w:lvlJc w:val="left"/>
      <w:pPr>
        <w:ind w:left="5739" w:hanging="532"/>
      </w:pPr>
      <w:rPr>
        <w:rFonts w:hint="default"/>
        <w:lang w:val="en-US" w:eastAsia="zh-CN" w:bidi="ar-SA"/>
      </w:rPr>
    </w:lvl>
    <w:lvl w:ilvl="8">
      <w:start w:val="0"/>
      <w:numFmt w:val="bullet"/>
      <w:lvlText w:val="•"/>
      <w:lvlJc w:val="left"/>
      <w:pPr>
        <w:ind w:left="6533" w:hanging="532"/>
      </w:pPr>
      <w:rPr>
        <w:rFonts w:hint="default"/>
        <w:lang w:val="en-US" w:eastAsia="zh-CN" w:bidi="ar-SA"/>
      </w:rPr>
    </w:lvl>
  </w:abstractNum>
  <w:abstractNum w:abstractNumId="70">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lowerLetter"/>
      <w:lvlText w:val="%2."/>
      <w:lvlJc w:val="left"/>
      <w:pPr>
        <w:ind w:left="1021" w:hanging="315"/>
        <w:jc w:val="left"/>
      </w:pPr>
      <w:rPr>
        <w:rFonts w:hint="default" w:ascii="宋体" w:hAnsi="宋体" w:eastAsia="宋体" w:cs="宋体"/>
        <w:b w:val="0"/>
        <w:bCs w:val="0"/>
        <w:i w:val="0"/>
        <w:iCs w:val="0"/>
        <w:spacing w:val="-3"/>
        <w:w w:val="100"/>
        <w:sz w:val="21"/>
        <w:szCs w:val="21"/>
        <w:lang w:val="en-US" w:eastAsia="zh-CN" w:bidi="ar-SA"/>
      </w:rPr>
    </w:lvl>
    <w:lvl w:ilvl="2">
      <w:start w:val="0"/>
      <w:numFmt w:val="bullet"/>
      <w:lvlText w:val="•"/>
      <w:lvlJc w:val="left"/>
      <w:pPr>
        <w:ind w:left="1809" w:hanging="315"/>
      </w:pPr>
      <w:rPr>
        <w:rFonts w:hint="default"/>
        <w:lang w:val="en-US" w:eastAsia="zh-CN" w:bidi="ar-SA"/>
      </w:rPr>
    </w:lvl>
    <w:lvl w:ilvl="3">
      <w:start w:val="0"/>
      <w:numFmt w:val="bullet"/>
      <w:lvlText w:val="•"/>
      <w:lvlJc w:val="left"/>
      <w:pPr>
        <w:ind w:left="2598" w:hanging="315"/>
      </w:pPr>
      <w:rPr>
        <w:rFonts w:hint="default"/>
        <w:lang w:val="en-US" w:eastAsia="zh-CN" w:bidi="ar-SA"/>
      </w:rPr>
    </w:lvl>
    <w:lvl w:ilvl="4">
      <w:start w:val="0"/>
      <w:numFmt w:val="bullet"/>
      <w:lvlText w:val="•"/>
      <w:lvlJc w:val="left"/>
      <w:pPr>
        <w:ind w:left="3387" w:hanging="315"/>
      </w:pPr>
      <w:rPr>
        <w:rFonts w:hint="default"/>
        <w:lang w:val="en-US" w:eastAsia="zh-CN" w:bidi="ar-SA"/>
      </w:rPr>
    </w:lvl>
    <w:lvl w:ilvl="5">
      <w:start w:val="0"/>
      <w:numFmt w:val="bullet"/>
      <w:lvlText w:val="•"/>
      <w:lvlJc w:val="left"/>
      <w:pPr>
        <w:ind w:left="4176" w:hanging="315"/>
      </w:pPr>
      <w:rPr>
        <w:rFonts w:hint="default"/>
        <w:lang w:val="en-US" w:eastAsia="zh-CN" w:bidi="ar-SA"/>
      </w:rPr>
    </w:lvl>
    <w:lvl w:ilvl="6">
      <w:start w:val="0"/>
      <w:numFmt w:val="bullet"/>
      <w:lvlText w:val="•"/>
      <w:lvlJc w:val="left"/>
      <w:pPr>
        <w:ind w:left="4965" w:hanging="315"/>
      </w:pPr>
      <w:rPr>
        <w:rFonts w:hint="default"/>
        <w:lang w:val="en-US" w:eastAsia="zh-CN" w:bidi="ar-SA"/>
      </w:rPr>
    </w:lvl>
    <w:lvl w:ilvl="7">
      <w:start w:val="0"/>
      <w:numFmt w:val="bullet"/>
      <w:lvlText w:val="•"/>
      <w:lvlJc w:val="left"/>
      <w:pPr>
        <w:ind w:left="5754" w:hanging="315"/>
      </w:pPr>
      <w:rPr>
        <w:rFonts w:hint="default"/>
        <w:lang w:val="en-US" w:eastAsia="zh-CN" w:bidi="ar-SA"/>
      </w:rPr>
    </w:lvl>
    <w:lvl w:ilvl="8">
      <w:start w:val="0"/>
      <w:numFmt w:val="bullet"/>
      <w:lvlText w:val="•"/>
      <w:lvlJc w:val="left"/>
      <w:pPr>
        <w:ind w:left="6544" w:hanging="315"/>
      </w:pPr>
      <w:rPr>
        <w:rFonts w:hint="default"/>
        <w:lang w:val="en-US" w:eastAsia="zh-CN" w:bidi="ar-SA"/>
      </w:rPr>
    </w:lvl>
  </w:abstractNum>
  <w:abstractNum w:abstractNumId="69">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68">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67">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66">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65">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64">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63">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62">
    <w:multiLevelType w:val="hybridMultilevel"/>
    <w:lvl w:ilvl="0">
      <w:start w:val="1"/>
      <w:numFmt w:val="decimal"/>
      <w:lvlText w:val="（%1）"/>
      <w:lvlJc w:val="left"/>
      <w:pPr>
        <w:ind w:left="637"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7"/>
      </w:pPr>
      <w:rPr>
        <w:rFonts w:hint="default"/>
        <w:lang w:val="en-US" w:eastAsia="zh-CN" w:bidi="ar-SA"/>
      </w:rPr>
    </w:lvl>
    <w:lvl w:ilvl="2">
      <w:start w:val="0"/>
      <w:numFmt w:val="bullet"/>
      <w:lvlText w:val="•"/>
      <w:lvlJc w:val="left"/>
      <w:pPr>
        <w:ind w:left="2123" w:hanging="527"/>
      </w:pPr>
      <w:rPr>
        <w:rFonts w:hint="default"/>
        <w:lang w:val="en-US" w:eastAsia="zh-CN" w:bidi="ar-SA"/>
      </w:rPr>
    </w:lvl>
    <w:lvl w:ilvl="3">
      <w:start w:val="0"/>
      <w:numFmt w:val="bullet"/>
      <w:lvlText w:val="•"/>
      <w:lvlJc w:val="left"/>
      <w:pPr>
        <w:ind w:left="2864" w:hanging="527"/>
      </w:pPr>
      <w:rPr>
        <w:rFonts w:hint="default"/>
        <w:lang w:val="en-US" w:eastAsia="zh-CN" w:bidi="ar-SA"/>
      </w:rPr>
    </w:lvl>
    <w:lvl w:ilvl="4">
      <w:start w:val="0"/>
      <w:numFmt w:val="bullet"/>
      <w:lvlText w:val="•"/>
      <w:lvlJc w:val="left"/>
      <w:pPr>
        <w:ind w:left="3606" w:hanging="527"/>
      </w:pPr>
      <w:rPr>
        <w:rFonts w:hint="default"/>
        <w:lang w:val="en-US" w:eastAsia="zh-CN" w:bidi="ar-SA"/>
      </w:rPr>
    </w:lvl>
    <w:lvl w:ilvl="5">
      <w:start w:val="0"/>
      <w:numFmt w:val="bullet"/>
      <w:lvlText w:val="•"/>
      <w:lvlJc w:val="left"/>
      <w:pPr>
        <w:ind w:left="4347" w:hanging="527"/>
      </w:pPr>
      <w:rPr>
        <w:rFonts w:hint="default"/>
        <w:lang w:val="en-US" w:eastAsia="zh-CN" w:bidi="ar-SA"/>
      </w:rPr>
    </w:lvl>
    <w:lvl w:ilvl="6">
      <w:start w:val="0"/>
      <w:numFmt w:val="bullet"/>
      <w:lvlText w:val="•"/>
      <w:lvlJc w:val="left"/>
      <w:pPr>
        <w:ind w:left="5089" w:hanging="527"/>
      </w:pPr>
      <w:rPr>
        <w:rFonts w:hint="default"/>
        <w:lang w:val="en-US" w:eastAsia="zh-CN" w:bidi="ar-SA"/>
      </w:rPr>
    </w:lvl>
    <w:lvl w:ilvl="7">
      <w:start w:val="0"/>
      <w:numFmt w:val="bullet"/>
      <w:lvlText w:val="•"/>
      <w:lvlJc w:val="left"/>
      <w:pPr>
        <w:ind w:left="5830" w:hanging="527"/>
      </w:pPr>
      <w:rPr>
        <w:rFonts w:hint="default"/>
        <w:lang w:val="en-US" w:eastAsia="zh-CN" w:bidi="ar-SA"/>
      </w:rPr>
    </w:lvl>
    <w:lvl w:ilvl="8">
      <w:start w:val="0"/>
      <w:numFmt w:val="bullet"/>
      <w:lvlText w:val="•"/>
      <w:lvlJc w:val="left"/>
      <w:pPr>
        <w:ind w:left="6572" w:hanging="527"/>
      </w:pPr>
      <w:rPr>
        <w:rFonts w:hint="default"/>
        <w:lang w:val="en-US" w:eastAsia="zh-CN" w:bidi="ar-SA"/>
      </w:rPr>
    </w:lvl>
  </w:abstractNum>
  <w:abstractNum w:abstractNumId="61">
    <w:multiLevelType w:val="hybridMultilevel"/>
    <w:lvl w:ilvl="0">
      <w:start w:val="1"/>
      <w:numFmt w:val="decimal"/>
      <w:lvlText w:val="（%1）"/>
      <w:lvlJc w:val="left"/>
      <w:pPr>
        <w:ind w:left="652"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9" w:hanging="542"/>
      </w:pPr>
      <w:rPr>
        <w:rFonts w:hint="default"/>
        <w:lang w:val="en-US" w:eastAsia="zh-CN" w:bidi="ar-SA"/>
      </w:rPr>
    </w:lvl>
    <w:lvl w:ilvl="2">
      <w:start w:val="0"/>
      <w:numFmt w:val="bullet"/>
      <w:lvlText w:val="•"/>
      <w:lvlJc w:val="left"/>
      <w:pPr>
        <w:ind w:left="2139" w:hanging="542"/>
      </w:pPr>
      <w:rPr>
        <w:rFonts w:hint="default"/>
        <w:lang w:val="en-US" w:eastAsia="zh-CN" w:bidi="ar-SA"/>
      </w:rPr>
    </w:lvl>
    <w:lvl w:ilvl="3">
      <w:start w:val="0"/>
      <w:numFmt w:val="bullet"/>
      <w:lvlText w:val="•"/>
      <w:lvlJc w:val="left"/>
      <w:pPr>
        <w:ind w:left="2878" w:hanging="542"/>
      </w:pPr>
      <w:rPr>
        <w:rFonts w:hint="default"/>
        <w:lang w:val="en-US" w:eastAsia="zh-CN" w:bidi="ar-SA"/>
      </w:rPr>
    </w:lvl>
    <w:lvl w:ilvl="4">
      <w:start w:val="0"/>
      <w:numFmt w:val="bullet"/>
      <w:lvlText w:val="•"/>
      <w:lvlJc w:val="left"/>
      <w:pPr>
        <w:ind w:left="3618" w:hanging="542"/>
      </w:pPr>
      <w:rPr>
        <w:rFonts w:hint="default"/>
        <w:lang w:val="en-US" w:eastAsia="zh-CN" w:bidi="ar-SA"/>
      </w:rPr>
    </w:lvl>
    <w:lvl w:ilvl="5">
      <w:start w:val="0"/>
      <w:numFmt w:val="bullet"/>
      <w:lvlText w:val="•"/>
      <w:lvlJc w:val="left"/>
      <w:pPr>
        <w:ind w:left="4357" w:hanging="542"/>
      </w:pPr>
      <w:rPr>
        <w:rFonts w:hint="default"/>
        <w:lang w:val="en-US" w:eastAsia="zh-CN" w:bidi="ar-SA"/>
      </w:rPr>
    </w:lvl>
    <w:lvl w:ilvl="6">
      <w:start w:val="0"/>
      <w:numFmt w:val="bullet"/>
      <w:lvlText w:val="•"/>
      <w:lvlJc w:val="left"/>
      <w:pPr>
        <w:ind w:left="5097" w:hanging="542"/>
      </w:pPr>
      <w:rPr>
        <w:rFonts w:hint="default"/>
        <w:lang w:val="en-US" w:eastAsia="zh-CN" w:bidi="ar-SA"/>
      </w:rPr>
    </w:lvl>
    <w:lvl w:ilvl="7">
      <w:start w:val="0"/>
      <w:numFmt w:val="bullet"/>
      <w:lvlText w:val="•"/>
      <w:lvlJc w:val="left"/>
      <w:pPr>
        <w:ind w:left="5836" w:hanging="542"/>
      </w:pPr>
      <w:rPr>
        <w:rFonts w:hint="default"/>
        <w:lang w:val="en-US" w:eastAsia="zh-CN" w:bidi="ar-SA"/>
      </w:rPr>
    </w:lvl>
    <w:lvl w:ilvl="8">
      <w:start w:val="0"/>
      <w:numFmt w:val="bullet"/>
      <w:lvlText w:val="•"/>
      <w:lvlJc w:val="left"/>
      <w:pPr>
        <w:ind w:left="6576" w:hanging="542"/>
      </w:pPr>
      <w:rPr>
        <w:rFonts w:hint="default"/>
        <w:lang w:val="en-US" w:eastAsia="zh-CN" w:bidi="ar-SA"/>
      </w:rPr>
    </w:lvl>
  </w:abstractNum>
  <w:abstractNum w:abstractNumId="60">
    <w:multiLevelType w:val="hybridMultilevel"/>
    <w:lvl w:ilvl="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59">
    <w:multiLevelType w:val="hybridMultilevel"/>
    <w:lvl w:ilvl="0">
      <w:start w:val="1"/>
      <w:numFmt w:val="decimal"/>
      <w:lvlText w:val="（%1）"/>
      <w:lvlJc w:val="left"/>
      <w:pPr>
        <w:ind w:left="636" w:hanging="542"/>
        <w:jc w:val="left"/>
      </w:pPr>
      <w:rPr>
        <w:rFonts w:hint="default" w:ascii="宋体" w:hAnsi="宋体" w:eastAsia="宋体" w:cs="宋体"/>
        <w:b w:val="0"/>
        <w:bCs w:val="0"/>
        <w:i w:val="0"/>
        <w:iCs w:val="0"/>
        <w:spacing w:val="-70"/>
        <w:w w:val="100"/>
        <w:sz w:val="19"/>
        <w:szCs w:val="19"/>
        <w:lang w:val="en-US" w:eastAsia="zh-CN" w:bidi="ar-SA"/>
      </w:rPr>
    </w:lvl>
    <w:lvl w:ilvl="1">
      <w:start w:val="0"/>
      <w:numFmt w:val="bullet"/>
      <w:lvlText w:val="•"/>
      <w:lvlJc w:val="left"/>
      <w:pPr>
        <w:ind w:left="1381" w:hanging="542"/>
      </w:pPr>
      <w:rPr>
        <w:rFonts w:hint="default"/>
        <w:lang w:val="en-US" w:eastAsia="zh-CN" w:bidi="ar-SA"/>
      </w:rPr>
    </w:lvl>
    <w:lvl w:ilvl="2">
      <w:start w:val="0"/>
      <w:numFmt w:val="bullet"/>
      <w:lvlText w:val="•"/>
      <w:lvlJc w:val="left"/>
      <w:pPr>
        <w:ind w:left="2123" w:hanging="542"/>
      </w:pPr>
      <w:rPr>
        <w:rFonts w:hint="default"/>
        <w:lang w:val="en-US" w:eastAsia="zh-CN" w:bidi="ar-SA"/>
      </w:rPr>
    </w:lvl>
    <w:lvl w:ilvl="3">
      <w:start w:val="0"/>
      <w:numFmt w:val="bullet"/>
      <w:lvlText w:val="•"/>
      <w:lvlJc w:val="left"/>
      <w:pPr>
        <w:ind w:left="2864" w:hanging="542"/>
      </w:pPr>
      <w:rPr>
        <w:rFonts w:hint="default"/>
        <w:lang w:val="en-US" w:eastAsia="zh-CN" w:bidi="ar-SA"/>
      </w:rPr>
    </w:lvl>
    <w:lvl w:ilvl="4">
      <w:start w:val="0"/>
      <w:numFmt w:val="bullet"/>
      <w:lvlText w:val="•"/>
      <w:lvlJc w:val="left"/>
      <w:pPr>
        <w:ind w:left="3606" w:hanging="542"/>
      </w:pPr>
      <w:rPr>
        <w:rFonts w:hint="default"/>
        <w:lang w:val="en-US" w:eastAsia="zh-CN" w:bidi="ar-SA"/>
      </w:rPr>
    </w:lvl>
    <w:lvl w:ilvl="5">
      <w:start w:val="0"/>
      <w:numFmt w:val="bullet"/>
      <w:lvlText w:val="•"/>
      <w:lvlJc w:val="left"/>
      <w:pPr>
        <w:ind w:left="4347" w:hanging="542"/>
      </w:pPr>
      <w:rPr>
        <w:rFonts w:hint="default"/>
        <w:lang w:val="en-US" w:eastAsia="zh-CN" w:bidi="ar-SA"/>
      </w:rPr>
    </w:lvl>
    <w:lvl w:ilvl="6">
      <w:start w:val="0"/>
      <w:numFmt w:val="bullet"/>
      <w:lvlText w:val="•"/>
      <w:lvlJc w:val="left"/>
      <w:pPr>
        <w:ind w:left="5089" w:hanging="542"/>
      </w:pPr>
      <w:rPr>
        <w:rFonts w:hint="default"/>
        <w:lang w:val="en-US" w:eastAsia="zh-CN" w:bidi="ar-SA"/>
      </w:rPr>
    </w:lvl>
    <w:lvl w:ilvl="7">
      <w:start w:val="0"/>
      <w:numFmt w:val="bullet"/>
      <w:lvlText w:val="•"/>
      <w:lvlJc w:val="left"/>
      <w:pPr>
        <w:ind w:left="5830" w:hanging="542"/>
      </w:pPr>
      <w:rPr>
        <w:rFonts w:hint="default"/>
        <w:lang w:val="en-US" w:eastAsia="zh-CN" w:bidi="ar-SA"/>
      </w:rPr>
    </w:lvl>
    <w:lvl w:ilvl="8">
      <w:start w:val="0"/>
      <w:numFmt w:val="bullet"/>
      <w:lvlText w:val="•"/>
      <w:lvlJc w:val="left"/>
      <w:pPr>
        <w:ind w:left="6572" w:hanging="542"/>
      </w:pPr>
      <w:rPr>
        <w:rFonts w:hint="default"/>
        <w:lang w:val="en-US" w:eastAsia="zh-CN" w:bidi="ar-SA"/>
      </w:rPr>
    </w:lvl>
  </w:abstractNum>
  <w:abstractNum w:abstractNumId="58">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57">
    <w:multiLevelType w:val="hybridMultilevel"/>
    <w:lvl w:ilvl="0">
      <w:start w:val="1"/>
      <w:numFmt w:val="decimal"/>
      <w:lvlText w:val="（%1）"/>
      <w:lvlJc w:val="left"/>
      <w:pPr>
        <w:ind w:left="652"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9" w:hanging="542"/>
      </w:pPr>
      <w:rPr>
        <w:rFonts w:hint="default"/>
        <w:lang w:val="en-US" w:eastAsia="zh-CN" w:bidi="ar-SA"/>
      </w:rPr>
    </w:lvl>
    <w:lvl w:ilvl="2">
      <w:start w:val="0"/>
      <w:numFmt w:val="bullet"/>
      <w:lvlText w:val="•"/>
      <w:lvlJc w:val="left"/>
      <w:pPr>
        <w:ind w:left="2139" w:hanging="542"/>
      </w:pPr>
      <w:rPr>
        <w:rFonts w:hint="default"/>
        <w:lang w:val="en-US" w:eastAsia="zh-CN" w:bidi="ar-SA"/>
      </w:rPr>
    </w:lvl>
    <w:lvl w:ilvl="3">
      <w:start w:val="0"/>
      <w:numFmt w:val="bullet"/>
      <w:lvlText w:val="•"/>
      <w:lvlJc w:val="left"/>
      <w:pPr>
        <w:ind w:left="2878" w:hanging="542"/>
      </w:pPr>
      <w:rPr>
        <w:rFonts w:hint="default"/>
        <w:lang w:val="en-US" w:eastAsia="zh-CN" w:bidi="ar-SA"/>
      </w:rPr>
    </w:lvl>
    <w:lvl w:ilvl="4">
      <w:start w:val="0"/>
      <w:numFmt w:val="bullet"/>
      <w:lvlText w:val="•"/>
      <w:lvlJc w:val="left"/>
      <w:pPr>
        <w:ind w:left="3618" w:hanging="542"/>
      </w:pPr>
      <w:rPr>
        <w:rFonts w:hint="default"/>
        <w:lang w:val="en-US" w:eastAsia="zh-CN" w:bidi="ar-SA"/>
      </w:rPr>
    </w:lvl>
    <w:lvl w:ilvl="5">
      <w:start w:val="0"/>
      <w:numFmt w:val="bullet"/>
      <w:lvlText w:val="•"/>
      <w:lvlJc w:val="left"/>
      <w:pPr>
        <w:ind w:left="4357" w:hanging="542"/>
      </w:pPr>
      <w:rPr>
        <w:rFonts w:hint="default"/>
        <w:lang w:val="en-US" w:eastAsia="zh-CN" w:bidi="ar-SA"/>
      </w:rPr>
    </w:lvl>
    <w:lvl w:ilvl="6">
      <w:start w:val="0"/>
      <w:numFmt w:val="bullet"/>
      <w:lvlText w:val="•"/>
      <w:lvlJc w:val="left"/>
      <w:pPr>
        <w:ind w:left="5097" w:hanging="542"/>
      </w:pPr>
      <w:rPr>
        <w:rFonts w:hint="default"/>
        <w:lang w:val="en-US" w:eastAsia="zh-CN" w:bidi="ar-SA"/>
      </w:rPr>
    </w:lvl>
    <w:lvl w:ilvl="7">
      <w:start w:val="0"/>
      <w:numFmt w:val="bullet"/>
      <w:lvlText w:val="•"/>
      <w:lvlJc w:val="left"/>
      <w:pPr>
        <w:ind w:left="5836" w:hanging="542"/>
      </w:pPr>
      <w:rPr>
        <w:rFonts w:hint="default"/>
        <w:lang w:val="en-US" w:eastAsia="zh-CN" w:bidi="ar-SA"/>
      </w:rPr>
    </w:lvl>
    <w:lvl w:ilvl="8">
      <w:start w:val="0"/>
      <w:numFmt w:val="bullet"/>
      <w:lvlText w:val="•"/>
      <w:lvlJc w:val="left"/>
      <w:pPr>
        <w:ind w:left="6576" w:hanging="542"/>
      </w:pPr>
      <w:rPr>
        <w:rFonts w:hint="default"/>
        <w:lang w:val="en-US" w:eastAsia="zh-CN" w:bidi="ar-SA"/>
      </w:rPr>
    </w:lvl>
  </w:abstractNum>
  <w:abstractNum w:abstractNumId="56">
    <w:multiLevelType w:val="hybridMultilevel"/>
    <w:lvl w:ilvl="0">
      <w:start w:val="1"/>
      <w:numFmt w:val="decimal"/>
      <w:lvlText w:val="（%1）"/>
      <w:lvlJc w:val="left"/>
      <w:pPr>
        <w:ind w:left="719"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60" w:hanging="542"/>
      </w:pPr>
      <w:rPr>
        <w:rFonts w:hint="default"/>
        <w:lang w:val="en-US" w:eastAsia="zh-CN" w:bidi="ar-SA"/>
      </w:rPr>
    </w:lvl>
    <w:lvl w:ilvl="2">
      <w:start w:val="0"/>
      <w:numFmt w:val="bullet"/>
      <w:lvlText w:val="•"/>
      <w:lvlJc w:val="left"/>
      <w:pPr>
        <w:ind w:left="2200" w:hanging="542"/>
      </w:pPr>
      <w:rPr>
        <w:rFonts w:hint="default"/>
        <w:lang w:val="en-US" w:eastAsia="zh-CN" w:bidi="ar-SA"/>
      </w:rPr>
    </w:lvl>
    <w:lvl w:ilvl="3">
      <w:start w:val="0"/>
      <w:numFmt w:val="bullet"/>
      <w:lvlText w:val="•"/>
      <w:lvlJc w:val="left"/>
      <w:pPr>
        <w:ind w:left="2940" w:hanging="542"/>
      </w:pPr>
      <w:rPr>
        <w:rFonts w:hint="default"/>
        <w:lang w:val="en-US" w:eastAsia="zh-CN" w:bidi="ar-SA"/>
      </w:rPr>
    </w:lvl>
    <w:lvl w:ilvl="4">
      <w:start w:val="0"/>
      <w:numFmt w:val="bullet"/>
      <w:lvlText w:val="•"/>
      <w:lvlJc w:val="left"/>
      <w:pPr>
        <w:ind w:left="3680" w:hanging="542"/>
      </w:pPr>
      <w:rPr>
        <w:rFonts w:hint="default"/>
        <w:lang w:val="en-US" w:eastAsia="zh-CN" w:bidi="ar-SA"/>
      </w:rPr>
    </w:lvl>
    <w:lvl w:ilvl="5">
      <w:start w:val="0"/>
      <w:numFmt w:val="bullet"/>
      <w:lvlText w:val="•"/>
      <w:lvlJc w:val="left"/>
      <w:pPr>
        <w:ind w:left="4421" w:hanging="542"/>
      </w:pPr>
      <w:rPr>
        <w:rFonts w:hint="default"/>
        <w:lang w:val="en-US" w:eastAsia="zh-CN" w:bidi="ar-SA"/>
      </w:rPr>
    </w:lvl>
    <w:lvl w:ilvl="6">
      <w:start w:val="0"/>
      <w:numFmt w:val="bullet"/>
      <w:lvlText w:val="•"/>
      <w:lvlJc w:val="left"/>
      <w:pPr>
        <w:ind w:left="5161" w:hanging="542"/>
      </w:pPr>
      <w:rPr>
        <w:rFonts w:hint="default"/>
        <w:lang w:val="en-US" w:eastAsia="zh-CN" w:bidi="ar-SA"/>
      </w:rPr>
    </w:lvl>
    <w:lvl w:ilvl="7">
      <w:start w:val="0"/>
      <w:numFmt w:val="bullet"/>
      <w:lvlText w:val="•"/>
      <w:lvlJc w:val="left"/>
      <w:pPr>
        <w:ind w:left="5901" w:hanging="542"/>
      </w:pPr>
      <w:rPr>
        <w:rFonts w:hint="default"/>
        <w:lang w:val="en-US" w:eastAsia="zh-CN" w:bidi="ar-SA"/>
      </w:rPr>
    </w:lvl>
    <w:lvl w:ilvl="8">
      <w:start w:val="0"/>
      <w:numFmt w:val="bullet"/>
      <w:lvlText w:val="•"/>
      <w:lvlJc w:val="left"/>
      <w:pPr>
        <w:ind w:left="6641" w:hanging="542"/>
      </w:pPr>
      <w:rPr>
        <w:rFonts w:hint="default"/>
        <w:lang w:val="en-US" w:eastAsia="zh-CN" w:bidi="ar-SA"/>
      </w:rPr>
    </w:lvl>
  </w:abstractNum>
  <w:abstractNum w:abstractNumId="5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54">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53">
    <w:multiLevelType w:val="hybridMultilevel"/>
    <w:lvl w:ilvl="0">
      <w:start w:val="1"/>
      <w:numFmt w:val="decimal"/>
      <w:lvlText w:val="（%1）"/>
      <w:lvlJc w:val="left"/>
      <w:pPr>
        <w:ind w:left="702"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0" w:hanging="542"/>
      </w:pPr>
      <w:rPr>
        <w:rFonts w:hint="default"/>
        <w:lang w:val="en-US" w:eastAsia="zh-CN" w:bidi="ar-SA"/>
      </w:rPr>
    </w:lvl>
    <w:lvl w:ilvl="2">
      <w:start w:val="0"/>
      <w:numFmt w:val="bullet"/>
      <w:lvlText w:val="•"/>
      <w:lvlJc w:val="left"/>
      <w:pPr>
        <w:ind w:left="2181" w:hanging="542"/>
      </w:pPr>
      <w:rPr>
        <w:rFonts w:hint="default"/>
        <w:lang w:val="en-US" w:eastAsia="zh-CN" w:bidi="ar-SA"/>
      </w:rPr>
    </w:lvl>
    <w:lvl w:ilvl="3">
      <w:start w:val="0"/>
      <w:numFmt w:val="bullet"/>
      <w:lvlText w:val="•"/>
      <w:lvlJc w:val="left"/>
      <w:pPr>
        <w:ind w:left="2921" w:hanging="542"/>
      </w:pPr>
      <w:rPr>
        <w:rFonts w:hint="default"/>
        <w:lang w:val="en-US" w:eastAsia="zh-CN" w:bidi="ar-SA"/>
      </w:rPr>
    </w:lvl>
    <w:lvl w:ilvl="4">
      <w:start w:val="0"/>
      <w:numFmt w:val="bullet"/>
      <w:lvlText w:val="•"/>
      <w:lvlJc w:val="left"/>
      <w:pPr>
        <w:ind w:left="3662" w:hanging="542"/>
      </w:pPr>
      <w:rPr>
        <w:rFonts w:hint="default"/>
        <w:lang w:val="en-US" w:eastAsia="zh-CN" w:bidi="ar-SA"/>
      </w:rPr>
    </w:lvl>
    <w:lvl w:ilvl="5">
      <w:start w:val="0"/>
      <w:numFmt w:val="bullet"/>
      <w:lvlText w:val="•"/>
      <w:lvlJc w:val="left"/>
      <w:pPr>
        <w:ind w:left="4402" w:hanging="542"/>
      </w:pPr>
      <w:rPr>
        <w:rFonts w:hint="default"/>
        <w:lang w:val="en-US" w:eastAsia="zh-CN" w:bidi="ar-SA"/>
      </w:rPr>
    </w:lvl>
    <w:lvl w:ilvl="6">
      <w:start w:val="0"/>
      <w:numFmt w:val="bullet"/>
      <w:lvlText w:val="•"/>
      <w:lvlJc w:val="left"/>
      <w:pPr>
        <w:ind w:left="5143" w:hanging="542"/>
      </w:pPr>
      <w:rPr>
        <w:rFonts w:hint="default"/>
        <w:lang w:val="en-US" w:eastAsia="zh-CN" w:bidi="ar-SA"/>
      </w:rPr>
    </w:lvl>
    <w:lvl w:ilvl="7">
      <w:start w:val="0"/>
      <w:numFmt w:val="bullet"/>
      <w:lvlText w:val="•"/>
      <w:lvlJc w:val="left"/>
      <w:pPr>
        <w:ind w:left="5883" w:hanging="542"/>
      </w:pPr>
      <w:rPr>
        <w:rFonts w:hint="default"/>
        <w:lang w:val="en-US" w:eastAsia="zh-CN" w:bidi="ar-SA"/>
      </w:rPr>
    </w:lvl>
    <w:lvl w:ilvl="8">
      <w:start w:val="0"/>
      <w:numFmt w:val="bullet"/>
      <w:lvlText w:val="•"/>
      <w:lvlJc w:val="left"/>
      <w:pPr>
        <w:ind w:left="6624" w:hanging="542"/>
      </w:pPr>
      <w:rPr>
        <w:rFonts w:hint="default"/>
        <w:lang w:val="en-US" w:eastAsia="zh-CN" w:bidi="ar-SA"/>
      </w:rPr>
    </w:lvl>
  </w:abstractNum>
  <w:abstractNum w:abstractNumId="52">
    <w:multiLevelType w:val="hybridMultilevel"/>
    <w:lvl w:ilvl="0">
      <w:start w:val="1"/>
      <w:numFmt w:val="decimal"/>
      <w:lvlText w:val="（%1）"/>
      <w:lvlJc w:val="left"/>
      <w:pPr>
        <w:ind w:left="111" w:hanging="532"/>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913" w:hanging="532"/>
      </w:pPr>
      <w:rPr>
        <w:rFonts w:hint="default"/>
        <w:lang w:val="en-US" w:eastAsia="zh-CN" w:bidi="ar-SA"/>
      </w:rPr>
    </w:lvl>
    <w:lvl w:ilvl="2">
      <w:start w:val="0"/>
      <w:numFmt w:val="bullet"/>
      <w:lvlText w:val="•"/>
      <w:lvlJc w:val="left"/>
      <w:pPr>
        <w:ind w:left="1707" w:hanging="532"/>
      </w:pPr>
      <w:rPr>
        <w:rFonts w:hint="default"/>
        <w:lang w:val="en-US" w:eastAsia="zh-CN" w:bidi="ar-SA"/>
      </w:rPr>
    </w:lvl>
    <w:lvl w:ilvl="3">
      <w:start w:val="0"/>
      <w:numFmt w:val="bullet"/>
      <w:lvlText w:val="•"/>
      <w:lvlJc w:val="left"/>
      <w:pPr>
        <w:ind w:left="2500" w:hanging="532"/>
      </w:pPr>
      <w:rPr>
        <w:rFonts w:hint="default"/>
        <w:lang w:val="en-US" w:eastAsia="zh-CN" w:bidi="ar-SA"/>
      </w:rPr>
    </w:lvl>
    <w:lvl w:ilvl="4">
      <w:start w:val="0"/>
      <w:numFmt w:val="bullet"/>
      <w:lvlText w:val="•"/>
      <w:lvlJc w:val="left"/>
      <w:pPr>
        <w:ind w:left="3294" w:hanging="532"/>
      </w:pPr>
      <w:rPr>
        <w:rFonts w:hint="default"/>
        <w:lang w:val="en-US" w:eastAsia="zh-CN" w:bidi="ar-SA"/>
      </w:rPr>
    </w:lvl>
    <w:lvl w:ilvl="5">
      <w:start w:val="0"/>
      <w:numFmt w:val="bullet"/>
      <w:lvlText w:val="•"/>
      <w:lvlJc w:val="left"/>
      <w:pPr>
        <w:ind w:left="4087" w:hanging="532"/>
      </w:pPr>
      <w:rPr>
        <w:rFonts w:hint="default"/>
        <w:lang w:val="en-US" w:eastAsia="zh-CN" w:bidi="ar-SA"/>
      </w:rPr>
    </w:lvl>
    <w:lvl w:ilvl="6">
      <w:start w:val="0"/>
      <w:numFmt w:val="bullet"/>
      <w:lvlText w:val="•"/>
      <w:lvlJc w:val="left"/>
      <w:pPr>
        <w:ind w:left="4881" w:hanging="532"/>
      </w:pPr>
      <w:rPr>
        <w:rFonts w:hint="default"/>
        <w:lang w:val="en-US" w:eastAsia="zh-CN" w:bidi="ar-SA"/>
      </w:rPr>
    </w:lvl>
    <w:lvl w:ilvl="7">
      <w:start w:val="0"/>
      <w:numFmt w:val="bullet"/>
      <w:lvlText w:val="•"/>
      <w:lvlJc w:val="left"/>
      <w:pPr>
        <w:ind w:left="5674" w:hanging="532"/>
      </w:pPr>
      <w:rPr>
        <w:rFonts w:hint="default"/>
        <w:lang w:val="en-US" w:eastAsia="zh-CN" w:bidi="ar-SA"/>
      </w:rPr>
    </w:lvl>
    <w:lvl w:ilvl="8">
      <w:start w:val="0"/>
      <w:numFmt w:val="bullet"/>
      <w:lvlText w:val="•"/>
      <w:lvlJc w:val="left"/>
      <w:pPr>
        <w:ind w:left="6468" w:hanging="532"/>
      </w:pPr>
      <w:rPr>
        <w:rFonts w:hint="default"/>
        <w:lang w:val="en-US" w:eastAsia="zh-CN" w:bidi="ar-SA"/>
      </w:rPr>
    </w:lvl>
  </w:abstractNum>
  <w:abstractNum w:abstractNumId="51">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50">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49">
    <w:multiLevelType w:val="hybridMultilevel"/>
    <w:lvl w:ilvl="0">
      <w:start w:val="1"/>
      <w:numFmt w:val="decimal"/>
      <w:lvlText w:val="（%1）"/>
      <w:lvlJc w:val="left"/>
      <w:pPr>
        <w:ind w:left="719"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60" w:hanging="542"/>
      </w:pPr>
      <w:rPr>
        <w:rFonts w:hint="default"/>
        <w:lang w:val="en-US" w:eastAsia="zh-CN" w:bidi="ar-SA"/>
      </w:rPr>
    </w:lvl>
    <w:lvl w:ilvl="2">
      <w:start w:val="0"/>
      <w:numFmt w:val="bullet"/>
      <w:lvlText w:val="•"/>
      <w:lvlJc w:val="left"/>
      <w:pPr>
        <w:ind w:left="2200" w:hanging="542"/>
      </w:pPr>
      <w:rPr>
        <w:rFonts w:hint="default"/>
        <w:lang w:val="en-US" w:eastAsia="zh-CN" w:bidi="ar-SA"/>
      </w:rPr>
    </w:lvl>
    <w:lvl w:ilvl="3">
      <w:start w:val="0"/>
      <w:numFmt w:val="bullet"/>
      <w:lvlText w:val="•"/>
      <w:lvlJc w:val="left"/>
      <w:pPr>
        <w:ind w:left="2940" w:hanging="542"/>
      </w:pPr>
      <w:rPr>
        <w:rFonts w:hint="default"/>
        <w:lang w:val="en-US" w:eastAsia="zh-CN" w:bidi="ar-SA"/>
      </w:rPr>
    </w:lvl>
    <w:lvl w:ilvl="4">
      <w:start w:val="0"/>
      <w:numFmt w:val="bullet"/>
      <w:lvlText w:val="•"/>
      <w:lvlJc w:val="left"/>
      <w:pPr>
        <w:ind w:left="3680" w:hanging="542"/>
      </w:pPr>
      <w:rPr>
        <w:rFonts w:hint="default"/>
        <w:lang w:val="en-US" w:eastAsia="zh-CN" w:bidi="ar-SA"/>
      </w:rPr>
    </w:lvl>
    <w:lvl w:ilvl="5">
      <w:start w:val="0"/>
      <w:numFmt w:val="bullet"/>
      <w:lvlText w:val="•"/>
      <w:lvlJc w:val="left"/>
      <w:pPr>
        <w:ind w:left="4421" w:hanging="542"/>
      </w:pPr>
      <w:rPr>
        <w:rFonts w:hint="default"/>
        <w:lang w:val="en-US" w:eastAsia="zh-CN" w:bidi="ar-SA"/>
      </w:rPr>
    </w:lvl>
    <w:lvl w:ilvl="6">
      <w:start w:val="0"/>
      <w:numFmt w:val="bullet"/>
      <w:lvlText w:val="•"/>
      <w:lvlJc w:val="left"/>
      <w:pPr>
        <w:ind w:left="5161" w:hanging="542"/>
      </w:pPr>
      <w:rPr>
        <w:rFonts w:hint="default"/>
        <w:lang w:val="en-US" w:eastAsia="zh-CN" w:bidi="ar-SA"/>
      </w:rPr>
    </w:lvl>
    <w:lvl w:ilvl="7">
      <w:start w:val="0"/>
      <w:numFmt w:val="bullet"/>
      <w:lvlText w:val="•"/>
      <w:lvlJc w:val="left"/>
      <w:pPr>
        <w:ind w:left="5901" w:hanging="542"/>
      </w:pPr>
      <w:rPr>
        <w:rFonts w:hint="default"/>
        <w:lang w:val="en-US" w:eastAsia="zh-CN" w:bidi="ar-SA"/>
      </w:rPr>
    </w:lvl>
    <w:lvl w:ilvl="8">
      <w:start w:val="0"/>
      <w:numFmt w:val="bullet"/>
      <w:lvlText w:val="•"/>
      <w:lvlJc w:val="left"/>
      <w:pPr>
        <w:ind w:left="6641" w:hanging="542"/>
      </w:pPr>
      <w:rPr>
        <w:rFonts w:hint="default"/>
        <w:lang w:val="en-US" w:eastAsia="zh-CN" w:bidi="ar-SA"/>
      </w:rPr>
    </w:lvl>
  </w:abstractNum>
  <w:abstractNum w:abstractNumId="48">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7">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6">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5">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4">
    <w:multiLevelType w:val="hybridMultilevel"/>
    <w:lvl w:ilvl="0">
      <w:start w:val="1"/>
      <w:numFmt w:val="decimal"/>
      <w:lvlText w:val="（%1）"/>
      <w:lvlJc w:val="left"/>
      <w:pPr>
        <w:ind w:left="531" w:hanging="529"/>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291" w:hanging="529"/>
      </w:pPr>
      <w:rPr>
        <w:rFonts w:hint="default"/>
        <w:lang w:val="en-US" w:eastAsia="zh-CN" w:bidi="ar-SA"/>
      </w:rPr>
    </w:lvl>
    <w:lvl w:ilvl="2">
      <w:start w:val="0"/>
      <w:numFmt w:val="bullet"/>
      <w:lvlText w:val="•"/>
      <w:lvlJc w:val="left"/>
      <w:pPr>
        <w:ind w:left="2043" w:hanging="529"/>
      </w:pPr>
      <w:rPr>
        <w:rFonts w:hint="default"/>
        <w:lang w:val="en-US" w:eastAsia="zh-CN" w:bidi="ar-SA"/>
      </w:rPr>
    </w:lvl>
    <w:lvl w:ilvl="3">
      <w:start w:val="0"/>
      <w:numFmt w:val="bullet"/>
      <w:lvlText w:val="•"/>
      <w:lvlJc w:val="left"/>
      <w:pPr>
        <w:ind w:left="2794" w:hanging="529"/>
      </w:pPr>
      <w:rPr>
        <w:rFonts w:hint="default"/>
        <w:lang w:val="en-US" w:eastAsia="zh-CN" w:bidi="ar-SA"/>
      </w:rPr>
    </w:lvl>
    <w:lvl w:ilvl="4">
      <w:start w:val="0"/>
      <w:numFmt w:val="bullet"/>
      <w:lvlText w:val="•"/>
      <w:lvlJc w:val="left"/>
      <w:pPr>
        <w:ind w:left="3546" w:hanging="529"/>
      </w:pPr>
      <w:rPr>
        <w:rFonts w:hint="default"/>
        <w:lang w:val="en-US" w:eastAsia="zh-CN" w:bidi="ar-SA"/>
      </w:rPr>
    </w:lvl>
    <w:lvl w:ilvl="5">
      <w:start w:val="0"/>
      <w:numFmt w:val="bullet"/>
      <w:lvlText w:val="•"/>
      <w:lvlJc w:val="left"/>
      <w:pPr>
        <w:ind w:left="4297" w:hanging="529"/>
      </w:pPr>
      <w:rPr>
        <w:rFonts w:hint="default"/>
        <w:lang w:val="en-US" w:eastAsia="zh-CN" w:bidi="ar-SA"/>
      </w:rPr>
    </w:lvl>
    <w:lvl w:ilvl="6">
      <w:start w:val="0"/>
      <w:numFmt w:val="bullet"/>
      <w:lvlText w:val="•"/>
      <w:lvlJc w:val="left"/>
      <w:pPr>
        <w:ind w:left="5049" w:hanging="529"/>
      </w:pPr>
      <w:rPr>
        <w:rFonts w:hint="default"/>
        <w:lang w:val="en-US" w:eastAsia="zh-CN" w:bidi="ar-SA"/>
      </w:rPr>
    </w:lvl>
    <w:lvl w:ilvl="7">
      <w:start w:val="0"/>
      <w:numFmt w:val="bullet"/>
      <w:lvlText w:val="•"/>
      <w:lvlJc w:val="left"/>
      <w:pPr>
        <w:ind w:left="5800" w:hanging="529"/>
      </w:pPr>
      <w:rPr>
        <w:rFonts w:hint="default"/>
        <w:lang w:val="en-US" w:eastAsia="zh-CN" w:bidi="ar-SA"/>
      </w:rPr>
    </w:lvl>
    <w:lvl w:ilvl="8">
      <w:start w:val="0"/>
      <w:numFmt w:val="bullet"/>
      <w:lvlText w:val="•"/>
      <w:lvlJc w:val="left"/>
      <w:pPr>
        <w:ind w:left="6552" w:hanging="529"/>
      </w:pPr>
      <w:rPr>
        <w:rFonts w:hint="default"/>
        <w:lang w:val="en-US" w:eastAsia="zh-CN" w:bidi="ar-SA"/>
      </w:rPr>
    </w:lvl>
  </w:abstractNum>
  <w:abstractNum w:abstractNumId="43">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2">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41">
    <w:multiLevelType w:val="hybridMultilevel"/>
    <w:lvl w:ilvl="0">
      <w:start w:val="1"/>
      <w:numFmt w:val="decimal"/>
      <w:lvlText w:val="（%1）"/>
      <w:lvlJc w:val="left"/>
      <w:pPr>
        <w:ind w:left="652" w:hanging="54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9" w:hanging="542"/>
      </w:pPr>
      <w:rPr>
        <w:rFonts w:hint="default"/>
        <w:lang w:val="en-US" w:eastAsia="zh-CN" w:bidi="ar-SA"/>
      </w:rPr>
    </w:lvl>
    <w:lvl w:ilvl="2">
      <w:start w:val="0"/>
      <w:numFmt w:val="bullet"/>
      <w:lvlText w:val="•"/>
      <w:lvlJc w:val="left"/>
      <w:pPr>
        <w:ind w:left="2139" w:hanging="542"/>
      </w:pPr>
      <w:rPr>
        <w:rFonts w:hint="default"/>
        <w:lang w:val="en-US" w:eastAsia="zh-CN" w:bidi="ar-SA"/>
      </w:rPr>
    </w:lvl>
    <w:lvl w:ilvl="3">
      <w:start w:val="0"/>
      <w:numFmt w:val="bullet"/>
      <w:lvlText w:val="•"/>
      <w:lvlJc w:val="left"/>
      <w:pPr>
        <w:ind w:left="2878" w:hanging="542"/>
      </w:pPr>
      <w:rPr>
        <w:rFonts w:hint="default"/>
        <w:lang w:val="en-US" w:eastAsia="zh-CN" w:bidi="ar-SA"/>
      </w:rPr>
    </w:lvl>
    <w:lvl w:ilvl="4">
      <w:start w:val="0"/>
      <w:numFmt w:val="bullet"/>
      <w:lvlText w:val="•"/>
      <w:lvlJc w:val="left"/>
      <w:pPr>
        <w:ind w:left="3618" w:hanging="542"/>
      </w:pPr>
      <w:rPr>
        <w:rFonts w:hint="default"/>
        <w:lang w:val="en-US" w:eastAsia="zh-CN" w:bidi="ar-SA"/>
      </w:rPr>
    </w:lvl>
    <w:lvl w:ilvl="5">
      <w:start w:val="0"/>
      <w:numFmt w:val="bullet"/>
      <w:lvlText w:val="•"/>
      <w:lvlJc w:val="left"/>
      <w:pPr>
        <w:ind w:left="4357" w:hanging="542"/>
      </w:pPr>
      <w:rPr>
        <w:rFonts w:hint="default"/>
        <w:lang w:val="en-US" w:eastAsia="zh-CN" w:bidi="ar-SA"/>
      </w:rPr>
    </w:lvl>
    <w:lvl w:ilvl="6">
      <w:start w:val="0"/>
      <w:numFmt w:val="bullet"/>
      <w:lvlText w:val="•"/>
      <w:lvlJc w:val="left"/>
      <w:pPr>
        <w:ind w:left="5097" w:hanging="542"/>
      </w:pPr>
      <w:rPr>
        <w:rFonts w:hint="default"/>
        <w:lang w:val="en-US" w:eastAsia="zh-CN" w:bidi="ar-SA"/>
      </w:rPr>
    </w:lvl>
    <w:lvl w:ilvl="7">
      <w:start w:val="0"/>
      <w:numFmt w:val="bullet"/>
      <w:lvlText w:val="•"/>
      <w:lvlJc w:val="left"/>
      <w:pPr>
        <w:ind w:left="5836" w:hanging="542"/>
      </w:pPr>
      <w:rPr>
        <w:rFonts w:hint="default"/>
        <w:lang w:val="en-US" w:eastAsia="zh-CN" w:bidi="ar-SA"/>
      </w:rPr>
    </w:lvl>
    <w:lvl w:ilvl="8">
      <w:start w:val="0"/>
      <w:numFmt w:val="bullet"/>
      <w:lvlText w:val="•"/>
      <w:lvlJc w:val="left"/>
      <w:pPr>
        <w:ind w:left="6576" w:hanging="542"/>
      </w:pPr>
      <w:rPr>
        <w:rFonts w:hint="default"/>
        <w:lang w:val="en-US" w:eastAsia="zh-CN" w:bidi="ar-SA"/>
      </w:rPr>
    </w:lvl>
  </w:abstractNum>
  <w:abstractNum w:abstractNumId="40">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39">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38">
    <w:multiLevelType w:val="hybridMultilevel"/>
    <w:lvl w:ilvl="0">
      <w:start w:val="1"/>
      <w:numFmt w:val="decimal"/>
      <w:lvlText w:val="（%1）"/>
      <w:lvlJc w:val="left"/>
      <w:pPr>
        <w:ind w:left="11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13" w:hanging="529"/>
      </w:pPr>
      <w:rPr>
        <w:rFonts w:hint="default"/>
        <w:lang w:val="en-US" w:eastAsia="zh-CN" w:bidi="ar-SA"/>
      </w:rPr>
    </w:lvl>
    <w:lvl w:ilvl="2">
      <w:start w:val="0"/>
      <w:numFmt w:val="bullet"/>
      <w:lvlText w:val="•"/>
      <w:lvlJc w:val="left"/>
      <w:pPr>
        <w:ind w:left="1707" w:hanging="529"/>
      </w:pPr>
      <w:rPr>
        <w:rFonts w:hint="default"/>
        <w:lang w:val="en-US" w:eastAsia="zh-CN" w:bidi="ar-SA"/>
      </w:rPr>
    </w:lvl>
    <w:lvl w:ilvl="3">
      <w:start w:val="0"/>
      <w:numFmt w:val="bullet"/>
      <w:lvlText w:val="•"/>
      <w:lvlJc w:val="left"/>
      <w:pPr>
        <w:ind w:left="2500" w:hanging="529"/>
      </w:pPr>
      <w:rPr>
        <w:rFonts w:hint="default"/>
        <w:lang w:val="en-US" w:eastAsia="zh-CN" w:bidi="ar-SA"/>
      </w:rPr>
    </w:lvl>
    <w:lvl w:ilvl="4">
      <w:start w:val="0"/>
      <w:numFmt w:val="bullet"/>
      <w:lvlText w:val="•"/>
      <w:lvlJc w:val="left"/>
      <w:pPr>
        <w:ind w:left="3294" w:hanging="529"/>
      </w:pPr>
      <w:rPr>
        <w:rFonts w:hint="default"/>
        <w:lang w:val="en-US" w:eastAsia="zh-CN" w:bidi="ar-SA"/>
      </w:rPr>
    </w:lvl>
    <w:lvl w:ilvl="5">
      <w:start w:val="0"/>
      <w:numFmt w:val="bullet"/>
      <w:lvlText w:val="•"/>
      <w:lvlJc w:val="left"/>
      <w:pPr>
        <w:ind w:left="4087" w:hanging="529"/>
      </w:pPr>
      <w:rPr>
        <w:rFonts w:hint="default"/>
        <w:lang w:val="en-US" w:eastAsia="zh-CN" w:bidi="ar-SA"/>
      </w:rPr>
    </w:lvl>
    <w:lvl w:ilvl="6">
      <w:start w:val="0"/>
      <w:numFmt w:val="bullet"/>
      <w:lvlText w:val="•"/>
      <w:lvlJc w:val="left"/>
      <w:pPr>
        <w:ind w:left="4881" w:hanging="529"/>
      </w:pPr>
      <w:rPr>
        <w:rFonts w:hint="default"/>
        <w:lang w:val="en-US" w:eastAsia="zh-CN" w:bidi="ar-SA"/>
      </w:rPr>
    </w:lvl>
    <w:lvl w:ilvl="7">
      <w:start w:val="0"/>
      <w:numFmt w:val="bullet"/>
      <w:lvlText w:val="•"/>
      <w:lvlJc w:val="left"/>
      <w:pPr>
        <w:ind w:left="5674" w:hanging="529"/>
      </w:pPr>
      <w:rPr>
        <w:rFonts w:hint="default"/>
        <w:lang w:val="en-US" w:eastAsia="zh-CN" w:bidi="ar-SA"/>
      </w:rPr>
    </w:lvl>
    <w:lvl w:ilvl="8">
      <w:start w:val="0"/>
      <w:numFmt w:val="bullet"/>
      <w:lvlText w:val="•"/>
      <w:lvlJc w:val="left"/>
      <w:pPr>
        <w:ind w:left="6468" w:hanging="529"/>
      </w:pPr>
      <w:rPr>
        <w:rFonts w:hint="default"/>
        <w:lang w:val="en-US" w:eastAsia="zh-CN" w:bidi="ar-SA"/>
      </w:rPr>
    </w:lvl>
  </w:abstractNum>
  <w:abstractNum w:abstractNumId="37">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36">
    <w:multiLevelType w:val="hybridMultilevel"/>
    <w:lvl w:ilvl="0">
      <w:start w:val="1"/>
      <w:numFmt w:val="decimal"/>
      <w:lvlText w:val="（%1）"/>
      <w:lvlJc w:val="left"/>
      <w:pPr>
        <w:ind w:left="636" w:hanging="529"/>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35">
    <w:multiLevelType w:val="hybridMultilevel"/>
    <w:lvl w:ilvl="0">
      <w:start w:val="1"/>
      <w:numFmt w:val="decimal"/>
      <w:lvlText w:val="（%1）"/>
      <w:lvlJc w:val="left"/>
      <w:pPr>
        <w:ind w:left="742"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71" w:hanging="632"/>
      </w:pPr>
      <w:rPr>
        <w:rFonts w:hint="default"/>
        <w:lang w:val="en-US" w:eastAsia="zh-CN" w:bidi="ar-SA"/>
      </w:rPr>
    </w:lvl>
    <w:lvl w:ilvl="2">
      <w:start w:val="0"/>
      <w:numFmt w:val="bullet"/>
      <w:lvlText w:val="•"/>
      <w:lvlJc w:val="left"/>
      <w:pPr>
        <w:ind w:left="2203" w:hanging="632"/>
      </w:pPr>
      <w:rPr>
        <w:rFonts w:hint="default"/>
        <w:lang w:val="en-US" w:eastAsia="zh-CN" w:bidi="ar-SA"/>
      </w:rPr>
    </w:lvl>
    <w:lvl w:ilvl="3">
      <w:start w:val="0"/>
      <w:numFmt w:val="bullet"/>
      <w:lvlText w:val="•"/>
      <w:lvlJc w:val="left"/>
      <w:pPr>
        <w:ind w:left="2934" w:hanging="632"/>
      </w:pPr>
      <w:rPr>
        <w:rFonts w:hint="default"/>
        <w:lang w:val="en-US" w:eastAsia="zh-CN" w:bidi="ar-SA"/>
      </w:rPr>
    </w:lvl>
    <w:lvl w:ilvl="4">
      <w:start w:val="0"/>
      <w:numFmt w:val="bullet"/>
      <w:lvlText w:val="•"/>
      <w:lvlJc w:val="left"/>
      <w:pPr>
        <w:ind w:left="3666" w:hanging="632"/>
      </w:pPr>
      <w:rPr>
        <w:rFonts w:hint="default"/>
        <w:lang w:val="en-US" w:eastAsia="zh-CN" w:bidi="ar-SA"/>
      </w:rPr>
    </w:lvl>
    <w:lvl w:ilvl="5">
      <w:start w:val="0"/>
      <w:numFmt w:val="bullet"/>
      <w:lvlText w:val="•"/>
      <w:lvlJc w:val="left"/>
      <w:pPr>
        <w:ind w:left="4397" w:hanging="632"/>
      </w:pPr>
      <w:rPr>
        <w:rFonts w:hint="default"/>
        <w:lang w:val="en-US" w:eastAsia="zh-CN" w:bidi="ar-SA"/>
      </w:rPr>
    </w:lvl>
    <w:lvl w:ilvl="6">
      <w:start w:val="0"/>
      <w:numFmt w:val="bullet"/>
      <w:lvlText w:val="•"/>
      <w:lvlJc w:val="left"/>
      <w:pPr>
        <w:ind w:left="5129" w:hanging="632"/>
      </w:pPr>
      <w:rPr>
        <w:rFonts w:hint="default"/>
        <w:lang w:val="en-US" w:eastAsia="zh-CN" w:bidi="ar-SA"/>
      </w:rPr>
    </w:lvl>
    <w:lvl w:ilvl="7">
      <w:start w:val="0"/>
      <w:numFmt w:val="bullet"/>
      <w:lvlText w:val="•"/>
      <w:lvlJc w:val="left"/>
      <w:pPr>
        <w:ind w:left="5860" w:hanging="632"/>
      </w:pPr>
      <w:rPr>
        <w:rFonts w:hint="default"/>
        <w:lang w:val="en-US" w:eastAsia="zh-CN" w:bidi="ar-SA"/>
      </w:rPr>
    </w:lvl>
    <w:lvl w:ilvl="8">
      <w:start w:val="0"/>
      <w:numFmt w:val="bullet"/>
      <w:lvlText w:val="•"/>
      <w:lvlJc w:val="left"/>
      <w:pPr>
        <w:ind w:left="6592" w:hanging="632"/>
      </w:pPr>
      <w:rPr>
        <w:rFonts w:hint="default"/>
        <w:lang w:val="en-US" w:eastAsia="zh-CN" w:bidi="ar-SA"/>
      </w:rPr>
    </w:lvl>
  </w:abstractNum>
  <w:abstractNum w:abstractNumId="34">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33">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32">
    <w:multiLevelType w:val="hybridMultilevel"/>
    <w:lvl w:ilvl="0">
      <w:start w:val="1"/>
      <w:numFmt w:val="decimal"/>
      <w:lvlText w:val="（%1）"/>
      <w:lvlJc w:val="left"/>
      <w:pPr>
        <w:ind w:left="11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13" w:hanging="529"/>
      </w:pPr>
      <w:rPr>
        <w:rFonts w:hint="default"/>
        <w:lang w:val="en-US" w:eastAsia="zh-CN" w:bidi="ar-SA"/>
      </w:rPr>
    </w:lvl>
    <w:lvl w:ilvl="2">
      <w:start w:val="0"/>
      <w:numFmt w:val="bullet"/>
      <w:lvlText w:val="•"/>
      <w:lvlJc w:val="left"/>
      <w:pPr>
        <w:ind w:left="1707" w:hanging="529"/>
      </w:pPr>
      <w:rPr>
        <w:rFonts w:hint="default"/>
        <w:lang w:val="en-US" w:eastAsia="zh-CN" w:bidi="ar-SA"/>
      </w:rPr>
    </w:lvl>
    <w:lvl w:ilvl="3">
      <w:start w:val="0"/>
      <w:numFmt w:val="bullet"/>
      <w:lvlText w:val="•"/>
      <w:lvlJc w:val="left"/>
      <w:pPr>
        <w:ind w:left="2500" w:hanging="529"/>
      </w:pPr>
      <w:rPr>
        <w:rFonts w:hint="default"/>
        <w:lang w:val="en-US" w:eastAsia="zh-CN" w:bidi="ar-SA"/>
      </w:rPr>
    </w:lvl>
    <w:lvl w:ilvl="4">
      <w:start w:val="0"/>
      <w:numFmt w:val="bullet"/>
      <w:lvlText w:val="•"/>
      <w:lvlJc w:val="left"/>
      <w:pPr>
        <w:ind w:left="3294" w:hanging="529"/>
      </w:pPr>
      <w:rPr>
        <w:rFonts w:hint="default"/>
        <w:lang w:val="en-US" w:eastAsia="zh-CN" w:bidi="ar-SA"/>
      </w:rPr>
    </w:lvl>
    <w:lvl w:ilvl="5">
      <w:start w:val="0"/>
      <w:numFmt w:val="bullet"/>
      <w:lvlText w:val="•"/>
      <w:lvlJc w:val="left"/>
      <w:pPr>
        <w:ind w:left="4087" w:hanging="529"/>
      </w:pPr>
      <w:rPr>
        <w:rFonts w:hint="default"/>
        <w:lang w:val="en-US" w:eastAsia="zh-CN" w:bidi="ar-SA"/>
      </w:rPr>
    </w:lvl>
    <w:lvl w:ilvl="6">
      <w:start w:val="0"/>
      <w:numFmt w:val="bullet"/>
      <w:lvlText w:val="•"/>
      <w:lvlJc w:val="left"/>
      <w:pPr>
        <w:ind w:left="4881" w:hanging="529"/>
      </w:pPr>
      <w:rPr>
        <w:rFonts w:hint="default"/>
        <w:lang w:val="en-US" w:eastAsia="zh-CN" w:bidi="ar-SA"/>
      </w:rPr>
    </w:lvl>
    <w:lvl w:ilvl="7">
      <w:start w:val="0"/>
      <w:numFmt w:val="bullet"/>
      <w:lvlText w:val="•"/>
      <w:lvlJc w:val="left"/>
      <w:pPr>
        <w:ind w:left="5674" w:hanging="529"/>
      </w:pPr>
      <w:rPr>
        <w:rFonts w:hint="default"/>
        <w:lang w:val="en-US" w:eastAsia="zh-CN" w:bidi="ar-SA"/>
      </w:rPr>
    </w:lvl>
    <w:lvl w:ilvl="8">
      <w:start w:val="0"/>
      <w:numFmt w:val="bullet"/>
      <w:lvlText w:val="•"/>
      <w:lvlJc w:val="left"/>
      <w:pPr>
        <w:ind w:left="6468" w:hanging="529"/>
      </w:pPr>
      <w:rPr>
        <w:rFonts w:hint="default"/>
        <w:lang w:val="en-US" w:eastAsia="zh-CN" w:bidi="ar-SA"/>
      </w:rPr>
    </w:lvl>
  </w:abstractNum>
  <w:abstractNum w:abstractNumId="31">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30">
    <w:multiLevelType w:val="hybridMultilevel"/>
    <w:lvl w:ilvl="0">
      <w:start w:val="1"/>
      <w:numFmt w:val="decimal"/>
      <w:lvlText w:val="（%1）"/>
      <w:lvlJc w:val="left"/>
      <w:pPr>
        <w:ind w:left="245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200" w:hanging="529"/>
      </w:pPr>
      <w:rPr>
        <w:rFonts w:hint="default"/>
        <w:lang w:val="en-US" w:eastAsia="zh-CN" w:bidi="ar-SA"/>
      </w:rPr>
    </w:lvl>
    <w:lvl w:ilvl="2">
      <w:start w:val="0"/>
      <w:numFmt w:val="bullet"/>
      <w:lvlText w:val="•"/>
      <w:lvlJc w:val="left"/>
      <w:pPr>
        <w:ind w:left="3941" w:hanging="529"/>
      </w:pPr>
      <w:rPr>
        <w:rFonts w:hint="default"/>
        <w:lang w:val="en-US" w:eastAsia="zh-CN" w:bidi="ar-SA"/>
      </w:rPr>
    </w:lvl>
    <w:lvl w:ilvl="3">
      <w:start w:val="0"/>
      <w:numFmt w:val="bullet"/>
      <w:lvlText w:val="•"/>
      <w:lvlJc w:val="left"/>
      <w:pPr>
        <w:ind w:left="4681" w:hanging="529"/>
      </w:pPr>
      <w:rPr>
        <w:rFonts w:hint="default"/>
        <w:lang w:val="en-US" w:eastAsia="zh-CN" w:bidi="ar-SA"/>
      </w:rPr>
    </w:lvl>
    <w:lvl w:ilvl="4">
      <w:start w:val="0"/>
      <w:numFmt w:val="bullet"/>
      <w:lvlText w:val="•"/>
      <w:lvlJc w:val="left"/>
      <w:pPr>
        <w:ind w:left="5422" w:hanging="529"/>
      </w:pPr>
      <w:rPr>
        <w:rFonts w:hint="default"/>
        <w:lang w:val="en-US" w:eastAsia="zh-CN" w:bidi="ar-SA"/>
      </w:rPr>
    </w:lvl>
    <w:lvl w:ilvl="5">
      <w:start w:val="0"/>
      <w:numFmt w:val="bullet"/>
      <w:lvlText w:val="•"/>
      <w:lvlJc w:val="left"/>
      <w:pPr>
        <w:ind w:left="6163" w:hanging="529"/>
      </w:pPr>
      <w:rPr>
        <w:rFonts w:hint="default"/>
        <w:lang w:val="en-US" w:eastAsia="zh-CN" w:bidi="ar-SA"/>
      </w:rPr>
    </w:lvl>
    <w:lvl w:ilvl="6">
      <w:start w:val="0"/>
      <w:numFmt w:val="bullet"/>
      <w:lvlText w:val="•"/>
      <w:lvlJc w:val="left"/>
      <w:pPr>
        <w:ind w:left="6903" w:hanging="529"/>
      </w:pPr>
      <w:rPr>
        <w:rFonts w:hint="default"/>
        <w:lang w:val="en-US" w:eastAsia="zh-CN" w:bidi="ar-SA"/>
      </w:rPr>
    </w:lvl>
    <w:lvl w:ilvl="7">
      <w:start w:val="0"/>
      <w:numFmt w:val="bullet"/>
      <w:lvlText w:val="•"/>
      <w:lvlJc w:val="left"/>
      <w:pPr>
        <w:ind w:left="7644" w:hanging="529"/>
      </w:pPr>
      <w:rPr>
        <w:rFonts w:hint="default"/>
        <w:lang w:val="en-US" w:eastAsia="zh-CN" w:bidi="ar-SA"/>
      </w:rPr>
    </w:lvl>
    <w:lvl w:ilvl="8">
      <w:start w:val="0"/>
      <w:numFmt w:val="bullet"/>
      <w:lvlText w:val="•"/>
      <w:lvlJc w:val="left"/>
      <w:pPr>
        <w:ind w:left="8385" w:hanging="529"/>
      </w:pPr>
      <w:rPr>
        <w:rFonts w:hint="default"/>
        <w:lang w:val="en-US" w:eastAsia="zh-CN" w:bidi="ar-SA"/>
      </w:rPr>
    </w:lvl>
  </w:abstractNum>
  <w:abstractNum w:abstractNumId="29">
    <w:multiLevelType w:val="hybridMultilevel"/>
    <w:lvl w:ilvl="0">
      <w:start w:val="1"/>
      <w:numFmt w:val="decimal"/>
      <w:lvlText w:val="（%1）"/>
      <w:lvlJc w:val="left"/>
      <w:pPr>
        <w:ind w:left="1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74" w:hanging="529"/>
      </w:pPr>
      <w:rPr>
        <w:rFonts w:hint="default"/>
        <w:lang w:val="en-US" w:eastAsia="zh-CN" w:bidi="ar-SA"/>
      </w:rPr>
    </w:lvl>
    <w:lvl w:ilvl="2">
      <w:start w:val="0"/>
      <w:numFmt w:val="bullet"/>
      <w:lvlText w:val="•"/>
      <w:lvlJc w:val="left"/>
      <w:pPr>
        <w:ind w:left="1768" w:hanging="529"/>
      </w:pPr>
      <w:rPr>
        <w:rFonts w:hint="default"/>
        <w:lang w:val="en-US" w:eastAsia="zh-CN" w:bidi="ar-SA"/>
      </w:rPr>
    </w:lvl>
    <w:lvl w:ilvl="3">
      <w:start w:val="0"/>
      <w:numFmt w:val="bullet"/>
      <w:lvlText w:val="•"/>
      <w:lvlJc w:val="left"/>
      <w:pPr>
        <w:ind w:left="2562" w:hanging="529"/>
      </w:pPr>
      <w:rPr>
        <w:rFonts w:hint="default"/>
        <w:lang w:val="en-US" w:eastAsia="zh-CN" w:bidi="ar-SA"/>
      </w:rPr>
    </w:lvl>
    <w:lvl w:ilvl="4">
      <w:start w:val="0"/>
      <w:numFmt w:val="bullet"/>
      <w:lvlText w:val="•"/>
      <w:lvlJc w:val="left"/>
      <w:pPr>
        <w:ind w:left="3356" w:hanging="529"/>
      </w:pPr>
      <w:rPr>
        <w:rFonts w:hint="default"/>
        <w:lang w:val="en-US" w:eastAsia="zh-CN" w:bidi="ar-SA"/>
      </w:rPr>
    </w:lvl>
    <w:lvl w:ilvl="5">
      <w:start w:val="0"/>
      <w:numFmt w:val="bullet"/>
      <w:lvlText w:val="•"/>
      <w:lvlJc w:val="left"/>
      <w:pPr>
        <w:ind w:left="4151" w:hanging="529"/>
      </w:pPr>
      <w:rPr>
        <w:rFonts w:hint="default"/>
        <w:lang w:val="en-US" w:eastAsia="zh-CN" w:bidi="ar-SA"/>
      </w:rPr>
    </w:lvl>
    <w:lvl w:ilvl="6">
      <w:start w:val="0"/>
      <w:numFmt w:val="bullet"/>
      <w:lvlText w:val="•"/>
      <w:lvlJc w:val="left"/>
      <w:pPr>
        <w:ind w:left="4945" w:hanging="529"/>
      </w:pPr>
      <w:rPr>
        <w:rFonts w:hint="default"/>
        <w:lang w:val="en-US" w:eastAsia="zh-CN" w:bidi="ar-SA"/>
      </w:rPr>
    </w:lvl>
    <w:lvl w:ilvl="7">
      <w:start w:val="0"/>
      <w:numFmt w:val="bullet"/>
      <w:lvlText w:val="•"/>
      <w:lvlJc w:val="left"/>
      <w:pPr>
        <w:ind w:left="5739" w:hanging="529"/>
      </w:pPr>
      <w:rPr>
        <w:rFonts w:hint="default"/>
        <w:lang w:val="en-US" w:eastAsia="zh-CN" w:bidi="ar-SA"/>
      </w:rPr>
    </w:lvl>
    <w:lvl w:ilvl="8">
      <w:start w:val="0"/>
      <w:numFmt w:val="bullet"/>
      <w:lvlText w:val="•"/>
      <w:lvlJc w:val="left"/>
      <w:pPr>
        <w:ind w:left="6533" w:hanging="529"/>
      </w:pPr>
      <w:rPr>
        <w:rFonts w:hint="default"/>
        <w:lang w:val="en-US" w:eastAsia="zh-CN" w:bidi="ar-SA"/>
      </w:rPr>
    </w:lvl>
  </w:abstractNum>
  <w:abstractNum w:abstractNumId="28">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27">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26">
    <w:multiLevelType w:val="hybridMultilevel"/>
    <w:lvl w:ilvl="0">
      <w:start w:val="3"/>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25">
    <w:multiLevelType w:val="hybridMultilevel"/>
    <w:lvl w:ilvl="0">
      <w:start w:val="1"/>
      <w:numFmt w:val="decimal"/>
      <w:lvlText w:val="（%1）"/>
      <w:lvlJc w:val="left"/>
      <w:pPr>
        <w:ind w:left="712" w:hanging="60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453" w:hanging="601"/>
      </w:pPr>
      <w:rPr>
        <w:rFonts w:hint="default"/>
        <w:lang w:val="en-US" w:eastAsia="zh-CN" w:bidi="ar-SA"/>
      </w:rPr>
    </w:lvl>
    <w:lvl w:ilvl="2">
      <w:start w:val="0"/>
      <w:numFmt w:val="bullet"/>
      <w:lvlText w:val="•"/>
      <w:lvlJc w:val="left"/>
      <w:pPr>
        <w:ind w:left="2187" w:hanging="601"/>
      </w:pPr>
      <w:rPr>
        <w:rFonts w:hint="default"/>
        <w:lang w:val="en-US" w:eastAsia="zh-CN" w:bidi="ar-SA"/>
      </w:rPr>
    </w:lvl>
    <w:lvl w:ilvl="3">
      <w:start w:val="0"/>
      <w:numFmt w:val="bullet"/>
      <w:lvlText w:val="•"/>
      <w:lvlJc w:val="left"/>
      <w:pPr>
        <w:ind w:left="2920" w:hanging="601"/>
      </w:pPr>
      <w:rPr>
        <w:rFonts w:hint="default"/>
        <w:lang w:val="en-US" w:eastAsia="zh-CN" w:bidi="ar-SA"/>
      </w:rPr>
    </w:lvl>
    <w:lvl w:ilvl="4">
      <w:start w:val="0"/>
      <w:numFmt w:val="bullet"/>
      <w:lvlText w:val="•"/>
      <w:lvlJc w:val="left"/>
      <w:pPr>
        <w:ind w:left="3654" w:hanging="601"/>
      </w:pPr>
      <w:rPr>
        <w:rFonts w:hint="default"/>
        <w:lang w:val="en-US" w:eastAsia="zh-CN" w:bidi="ar-SA"/>
      </w:rPr>
    </w:lvl>
    <w:lvl w:ilvl="5">
      <w:start w:val="0"/>
      <w:numFmt w:val="bullet"/>
      <w:lvlText w:val="•"/>
      <w:lvlJc w:val="left"/>
      <w:pPr>
        <w:ind w:left="4387" w:hanging="601"/>
      </w:pPr>
      <w:rPr>
        <w:rFonts w:hint="default"/>
        <w:lang w:val="en-US" w:eastAsia="zh-CN" w:bidi="ar-SA"/>
      </w:rPr>
    </w:lvl>
    <w:lvl w:ilvl="6">
      <w:start w:val="0"/>
      <w:numFmt w:val="bullet"/>
      <w:lvlText w:val="•"/>
      <w:lvlJc w:val="left"/>
      <w:pPr>
        <w:ind w:left="5121" w:hanging="601"/>
      </w:pPr>
      <w:rPr>
        <w:rFonts w:hint="default"/>
        <w:lang w:val="en-US" w:eastAsia="zh-CN" w:bidi="ar-SA"/>
      </w:rPr>
    </w:lvl>
    <w:lvl w:ilvl="7">
      <w:start w:val="0"/>
      <w:numFmt w:val="bullet"/>
      <w:lvlText w:val="•"/>
      <w:lvlJc w:val="left"/>
      <w:pPr>
        <w:ind w:left="5854" w:hanging="601"/>
      </w:pPr>
      <w:rPr>
        <w:rFonts w:hint="default"/>
        <w:lang w:val="en-US" w:eastAsia="zh-CN" w:bidi="ar-SA"/>
      </w:rPr>
    </w:lvl>
    <w:lvl w:ilvl="8">
      <w:start w:val="0"/>
      <w:numFmt w:val="bullet"/>
      <w:lvlText w:val="•"/>
      <w:lvlJc w:val="left"/>
      <w:pPr>
        <w:ind w:left="6588" w:hanging="601"/>
      </w:pPr>
      <w:rPr>
        <w:rFonts w:hint="default"/>
        <w:lang w:val="en-US" w:eastAsia="zh-CN" w:bidi="ar-SA"/>
      </w:rPr>
    </w:lvl>
  </w:abstractNum>
  <w:abstractNum w:abstractNumId="24">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23">
    <w:multiLevelType w:val="hybridMultilevel"/>
    <w:lvl w:ilvl="0">
      <w:start w:val="1"/>
      <w:numFmt w:val="decimal"/>
      <w:lvlText w:val="（%1）"/>
      <w:lvlJc w:val="left"/>
      <w:pPr>
        <w:ind w:left="6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1" w:hanging="529"/>
      </w:pPr>
      <w:rPr>
        <w:rFonts w:hint="default"/>
        <w:lang w:val="en-US" w:eastAsia="zh-CN" w:bidi="ar-SA"/>
      </w:rPr>
    </w:lvl>
    <w:lvl w:ilvl="2">
      <w:start w:val="0"/>
      <w:numFmt w:val="bullet"/>
      <w:lvlText w:val="•"/>
      <w:lvlJc w:val="left"/>
      <w:pPr>
        <w:ind w:left="2123" w:hanging="529"/>
      </w:pPr>
      <w:rPr>
        <w:rFonts w:hint="default"/>
        <w:lang w:val="en-US" w:eastAsia="zh-CN" w:bidi="ar-SA"/>
      </w:rPr>
    </w:lvl>
    <w:lvl w:ilvl="3">
      <w:start w:val="0"/>
      <w:numFmt w:val="bullet"/>
      <w:lvlText w:val="•"/>
      <w:lvlJc w:val="left"/>
      <w:pPr>
        <w:ind w:left="2864"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347" w:hanging="529"/>
      </w:pPr>
      <w:rPr>
        <w:rFonts w:hint="default"/>
        <w:lang w:val="en-US" w:eastAsia="zh-CN" w:bidi="ar-SA"/>
      </w:rPr>
    </w:lvl>
    <w:lvl w:ilvl="6">
      <w:start w:val="0"/>
      <w:numFmt w:val="bullet"/>
      <w:lvlText w:val="•"/>
      <w:lvlJc w:val="left"/>
      <w:pPr>
        <w:ind w:left="5089" w:hanging="529"/>
      </w:pPr>
      <w:rPr>
        <w:rFonts w:hint="default"/>
        <w:lang w:val="en-US" w:eastAsia="zh-CN" w:bidi="ar-SA"/>
      </w:rPr>
    </w:lvl>
    <w:lvl w:ilvl="7">
      <w:start w:val="0"/>
      <w:numFmt w:val="bullet"/>
      <w:lvlText w:val="•"/>
      <w:lvlJc w:val="left"/>
      <w:pPr>
        <w:ind w:left="5830" w:hanging="529"/>
      </w:pPr>
      <w:rPr>
        <w:rFonts w:hint="default"/>
        <w:lang w:val="en-US" w:eastAsia="zh-CN" w:bidi="ar-SA"/>
      </w:rPr>
    </w:lvl>
    <w:lvl w:ilvl="8">
      <w:start w:val="0"/>
      <w:numFmt w:val="bullet"/>
      <w:lvlText w:val="•"/>
      <w:lvlJc w:val="left"/>
      <w:pPr>
        <w:ind w:left="6572" w:hanging="529"/>
      </w:pPr>
      <w:rPr>
        <w:rFonts w:hint="default"/>
        <w:lang w:val="en-US" w:eastAsia="zh-CN" w:bidi="ar-SA"/>
      </w:rPr>
    </w:lvl>
  </w:abstractNum>
  <w:abstractNum w:abstractNumId="22">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2" w:hanging="529"/>
      </w:pPr>
      <w:rPr>
        <w:rFonts w:hint="default"/>
        <w:lang w:val="en-US" w:eastAsia="zh-CN" w:bidi="ar-SA"/>
      </w:rPr>
    </w:lvl>
    <w:lvl w:ilvl="2">
      <w:start w:val="0"/>
      <w:numFmt w:val="bullet"/>
      <w:lvlText w:val="•"/>
      <w:lvlJc w:val="left"/>
      <w:pPr>
        <w:ind w:left="2184" w:hanging="529"/>
      </w:pPr>
      <w:rPr>
        <w:rFonts w:hint="default"/>
        <w:lang w:val="en-US" w:eastAsia="zh-CN" w:bidi="ar-SA"/>
      </w:rPr>
    </w:lvl>
    <w:lvl w:ilvl="3">
      <w:start w:val="0"/>
      <w:numFmt w:val="bullet"/>
      <w:lvlText w:val="•"/>
      <w:lvlJc w:val="left"/>
      <w:pPr>
        <w:ind w:left="2926" w:hanging="529"/>
      </w:pPr>
      <w:rPr>
        <w:rFonts w:hint="default"/>
        <w:lang w:val="en-US" w:eastAsia="zh-CN" w:bidi="ar-SA"/>
      </w:rPr>
    </w:lvl>
    <w:lvl w:ilvl="4">
      <w:start w:val="0"/>
      <w:numFmt w:val="bullet"/>
      <w:lvlText w:val="•"/>
      <w:lvlJc w:val="left"/>
      <w:pPr>
        <w:ind w:left="3668" w:hanging="529"/>
      </w:pPr>
      <w:rPr>
        <w:rFonts w:hint="default"/>
        <w:lang w:val="en-US" w:eastAsia="zh-CN" w:bidi="ar-SA"/>
      </w:rPr>
    </w:lvl>
    <w:lvl w:ilvl="5">
      <w:start w:val="0"/>
      <w:numFmt w:val="bullet"/>
      <w:lvlText w:val="•"/>
      <w:lvlJc w:val="left"/>
      <w:pPr>
        <w:ind w:left="4411" w:hanging="529"/>
      </w:pPr>
      <w:rPr>
        <w:rFonts w:hint="default"/>
        <w:lang w:val="en-US" w:eastAsia="zh-CN" w:bidi="ar-SA"/>
      </w:rPr>
    </w:lvl>
    <w:lvl w:ilvl="6">
      <w:start w:val="0"/>
      <w:numFmt w:val="bullet"/>
      <w:lvlText w:val="•"/>
      <w:lvlJc w:val="left"/>
      <w:pPr>
        <w:ind w:left="5153" w:hanging="529"/>
      </w:pPr>
      <w:rPr>
        <w:rFonts w:hint="default"/>
        <w:lang w:val="en-US" w:eastAsia="zh-CN" w:bidi="ar-SA"/>
      </w:rPr>
    </w:lvl>
    <w:lvl w:ilvl="7">
      <w:start w:val="0"/>
      <w:numFmt w:val="bullet"/>
      <w:lvlText w:val="•"/>
      <w:lvlJc w:val="left"/>
      <w:pPr>
        <w:ind w:left="5895"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21">
    <w:multiLevelType w:val="hybridMultilevel"/>
    <w:lvl w:ilvl="0">
      <w:start w:val="1"/>
      <w:numFmt w:val="decimal"/>
      <w:lvlText w:val="（%1）"/>
      <w:lvlJc w:val="left"/>
      <w:pPr>
        <w:ind w:left="812" w:hanging="529"/>
        <w:jc w:val="right"/>
      </w:pPr>
      <w:rPr>
        <w:rFonts w:hint="default" w:ascii="宋体" w:hAnsi="宋体" w:eastAsia="宋体" w:cs="宋体"/>
        <w:b w:val="0"/>
        <w:bCs w:val="0"/>
        <w:i w:val="0"/>
        <w:iCs w:val="0"/>
        <w:spacing w:val="-32"/>
        <w:w w:val="100"/>
        <w:sz w:val="19"/>
        <w:szCs w:val="19"/>
        <w:lang w:val="en-US" w:eastAsia="zh-CN" w:bidi="ar-SA"/>
      </w:rPr>
    </w:lvl>
    <w:lvl w:ilvl="1">
      <w:start w:val="0"/>
      <w:numFmt w:val="bullet"/>
      <w:lvlText w:val="•"/>
      <w:lvlJc w:val="left"/>
      <w:pPr>
        <w:ind w:left="1550" w:hanging="529"/>
      </w:pPr>
      <w:rPr>
        <w:rFonts w:hint="default"/>
        <w:lang w:val="en-US" w:eastAsia="zh-CN" w:bidi="ar-SA"/>
      </w:rPr>
    </w:lvl>
    <w:lvl w:ilvl="2">
      <w:start w:val="0"/>
      <w:numFmt w:val="bullet"/>
      <w:lvlText w:val="•"/>
      <w:lvlJc w:val="left"/>
      <w:pPr>
        <w:ind w:left="2280" w:hanging="529"/>
      </w:pPr>
      <w:rPr>
        <w:rFonts w:hint="default"/>
        <w:lang w:val="en-US" w:eastAsia="zh-CN" w:bidi="ar-SA"/>
      </w:rPr>
    </w:lvl>
    <w:lvl w:ilvl="3">
      <w:start w:val="0"/>
      <w:numFmt w:val="bullet"/>
      <w:lvlText w:val="•"/>
      <w:lvlJc w:val="left"/>
      <w:pPr>
        <w:ind w:left="3010" w:hanging="529"/>
      </w:pPr>
      <w:rPr>
        <w:rFonts w:hint="default"/>
        <w:lang w:val="en-US" w:eastAsia="zh-CN" w:bidi="ar-SA"/>
      </w:rPr>
    </w:lvl>
    <w:lvl w:ilvl="4">
      <w:start w:val="0"/>
      <w:numFmt w:val="bullet"/>
      <w:lvlText w:val="•"/>
      <w:lvlJc w:val="left"/>
      <w:pPr>
        <w:ind w:left="3740" w:hanging="529"/>
      </w:pPr>
      <w:rPr>
        <w:rFonts w:hint="default"/>
        <w:lang w:val="en-US" w:eastAsia="zh-CN" w:bidi="ar-SA"/>
      </w:rPr>
    </w:lvl>
    <w:lvl w:ilvl="5">
      <w:start w:val="0"/>
      <w:numFmt w:val="bullet"/>
      <w:lvlText w:val="•"/>
      <w:lvlJc w:val="left"/>
      <w:pPr>
        <w:ind w:left="4471" w:hanging="529"/>
      </w:pPr>
      <w:rPr>
        <w:rFonts w:hint="default"/>
        <w:lang w:val="en-US" w:eastAsia="zh-CN" w:bidi="ar-SA"/>
      </w:rPr>
    </w:lvl>
    <w:lvl w:ilvl="6">
      <w:start w:val="0"/>
      <w:numFmt w:val="bullet"/>
      <w:lvlText w:val="•"/>
      <w:lvlJc w:val="left"/>
      <w:pPr>
        <w:ind w:left="5201" w:hanging="529"/>
      </w:pPr>
      <w:rPr>
        <w:rFonts w:hint="default"/>
        <w:lang w:val="en-US" w:eastAsia="zh-CN" w:bidi="ar-SA"/>
      </w:rPr>
    </w:lvl>
    <w:lvl w:ilvl="7">
      <w:start w:val="0"/>
      <w:numFmt w:val="bullet"/>
      <w:lvlText w:val="•"/>
      <w:lvlJc w:val="left"/>
      <w:pPr>
        <w:ind w:left="5931" w:hanging="529"/>
      </w:pPr>
      <w:rPr>
        <w:rFonts w:hint="default"/>
        <w:lang w:val="en-US" w:eastAsia="zh-CN" w:bidi="ar-SA"/>
      </w:rPr>
    </w:lvl>
    <w:lvl w:ilvl="8">
      <w:start w:val="0"/>
      <w:numFmt w:val="bullet"/>
      <w:lvlText w:val="•"/>
      <w:lvlJc w:val="left"/>
      <w:pPr>
        <w:ind w:left="6661" w:hanging="529"/>
      </w:pPr>
      <w:rPr>
        <w:rFonts w:hint="default"/>
        <w:lang w:val="en-US" w:eastAsia="zh-CN" w:bidi="ar-SA"/>
      </w:rPr>
    </w:lvl>
  </w:abstractNum>
  <w:abstractNum w:abstractNumId="20">
    <w:multiLevelType w:val="hybridMultilevel"/>
    <w:lvl w:ilvl="0">
      <w:start w:val="1"/>
      <w:numFmt w:val="lowerLetter"/>
      <w:lvlText w:val="%1."/>
      <w:lvlJc w:val="left"/>
      <w:pPr>
        <w:ind w:left="1922" w:hanging="24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2714" w:hanging="241"/>
      </w:pPr>
      <w:rPr>
        <w:rFonts w:hint="default"/>
        <w:lang w:val="en-US" w:eastAsia="zh-CN" w:bidi="ar-SA"/>
      </w:rPr>
    </w:lvl>
    <w:lvl w:ilvl="2">
      <w:start w:val="0"/>
      <w:numFmt w:val="bullet"/>
      <w:lvlText w:val="•"/>
      <w:lvlJc w:val="left"/>
      <w:pPr>
        <w:ind w:left="3509" w:hanging="241"/>
      </w:pPr>
      <w:rPr>
        <w:rFonts w:hint="default"/>
        <w:lang w:val="en-US" w:eastAsia="zh-CN" w:bidi="ar-SA"/>
      </w:rPr>
    </w:lvl>
    <w:lvl w:ilvl="3">
      <w:start w:val="0"/>
      <w:numFmt w:val="bullet"/>
      <w:lvlText w:val="•"/>
      <w:lvlJc w:val="left"/>
      <w:pPr>
        <w:ind w:left="4303" w:hanging="241"/>
      </w:pPr>
      <w:rPr>
        <w:rFonts w:hint="default"/>
        <w:lang w:val="en-US" w:eastAsia="zh-CN" w:bidi="ar-SA"/>
      </w:rPr>
    </w:lvl>
    <w:lvl w:ilvl="4">
      <w:start w:val="0"/>
      <w:numFmt w:val="bullet"/>
      <w:lvlText w:val="•"/>
      <w:lvlJc w:val="left"/>
      <w:pPr>
        <w:ind w:left="5098" w:hanging="241"/>
      </w:pPr>
      <w:rPr>
        <w:rFonts w:hint="default"/>
        <w:lang w:val="en-US" w:eastAsia="zh-CN" w:bidi="ar-SA"/>
      </w:rPr>
    </w:lvl>
    <w:lvl w:ilvl="5">
      <w:start w:val="0"/>
      <w:numFmt w:val="bullet"/>
      <w:lvlText w:val="•"/>
      <w:lvlJc w:val="left"/>
      <w:pPr>
        <w:ind w:left="5893" w:hanging="241"/>
      </w:pPr>
      <w:rPr>
        <w:rFonts w:hint="default"/>
        <w:lang w:val="en-US" w:eastAsia="zh-CN" w:bidi="ar-SA"/>
      </w:rPr>
    </w:lvl>
    <w:lvl w:ilvl="6">
      <w:start w:val="0"/>
      <w:numFmt w:val="bullet"/>
      <w:lvlText w:val="•"/>
      <w:lvlJc w:val="left"/>
      <w:pPr>
        <w:ind w:left="6687" w:hanging="241"/>
      </w:pPr>
      <w:rPr>
        <w:rFonts w:hint="default"/>
        <w:lang w:val="en-US" w:eastAsia="zh-CN" w:bidi="ar-SA"/>
      </w:rPr>
    </w:lvl>
    <w:lvl w:ilvl="7">
      <w:start w:val="0"/>
      <w:numFmt w:val="bullet"/>
      <w:lvlText w:val="•"/>
      <w:lvlJc w:val="left"/>
      <w:pPr>
        <w:ind w:left="7482" w:hanging="241"/>
      </w:pPr>
      <w:rPr>
        <w:rFonts w:hint="default"/>
        <w:lang w:val="en-US" w:eastAsia="zh-CN" w:bidi="ar-SA"/>
      </w:rPr>
    </w:lvl>
    <w:lvl w:ilvl="8">
      <w:start w:val="0"/>
      <w:numFmt w:val="bullet"/>
      <w:lvlText w:val="•"/>
      <w:lvlJc w:val="left"/>
      <w:pPr>
        <w:ind w:left="8277" w:hanging="241"/>
      </w:pPr>
      <w:rPr>
        <w:rFonts w:hint="default"/>
        <w:lang w:val="en-US" w:eastAsia="zh-CN" w:bidi="ar-SA"/>
      </w:rPr>
    </w:lvl>
  </w:abstractNum>
  <w:abstractNum w:abstractNumId="19">
    <w:multiLevelType w:val="hybridMultilevel"/>
    <w:lvl w:ilvl="0">
      <w:start w:val="1"/>
      <w:numFmt w:val="decimal"/>
      <w:lvlText w:val="%1."/>
      <w:lvlJc w:val="left"/>
      <w:pPr>
        <w:ind w:left="1922" w:hanging="213"/>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922" w:hanging="567"/>
        <w:jc w:val="left"/>
      </w:pPr>
      <w:rPr>
        <w:rFonts w:hint="default"/>
        <w:w w:val="99"/>
        <w:lang w:val="en-US" w:eastAsia="zh-CN" w:bidi="ar-SA"/>
      </w:rPr>
    </w:lvl>
    <w:lvl w:ilvl="2">
      <w:start w:val="1"/>
      <w:numFmt w:val="decimal"/>
      <w:lvlText w:val="（%3）"/>
      <w:lvlJc w:val="left"/>
      <w:pPr>
        <w:ind w:left="1922" w:hanging="567"/>
        <w:jc w:val="left"/>
      </w:pPr>
      <w:rPr>
        <w:rFonts w:hint="default"/>
        <w:w w:val="100"/>
        <w:lang w:val="en-US" w:eastAsia="zh-CN" w:bidi="ar-SA"/>
      </w:rPr>
    </w:lvl>
    <w:lvl w:ilvl="3">
      <w:start w:val="0"/>
      <w:numFmt w:val="bullet"/>
      <w:lvlText w:val="•"/>
      <w:lvlJc w:val="left"/>
      <w:pPr>
        <w:ind w:left="1893" w:hanging="567"/>
      </w:pPr>
      <w:rPr>
        <w:rFonts w:hint="default"/>
        <w:lang w:val="en-US" w:eastAsia="zh-CN" w:bidi="ar-SA"/>
      </w:rPr>
    </w:lvl>
    <w:lvl w:ilvl="4">
      <w:start w:val="0"/>
      <w:numFmt w:val="bullet"/>
      <w:lvlText w:val="•"/>
      <w:lvlJc w:val="left"/>
      <w:pPr>
        <w:ind w:left="1866" w:hanging="567"/>
      </w:pPr>
      <w:rPr>
        <w:rFonts w:hint="default"/>
        <w:lang w:val="en-US" w:eastAsia="zh-CN" w:bidi="ar-SA"/>
      </w:rPr>
    </w:lvl>
    <w:lvl w:ilvl="5">
      <w:start w:val="0"/>
      <w:numFmt w:val="bullet"/>
      <w:lvlText w:val="•"/>
      <w:lvlJc w:val="left"/>
      <w:pPr>
        <w:ind w:left="1839" w:hanging="567"/>
      </w:pPr>
      <w:rPr>
        <w:rFonts w:hint="default"/>
        <w:lang w:val="en-US" w:eastAsia="zh-CN" w:bidi="ar-SA"/>
      </w:rPr>
    </w:lvl>
    <w:lvl w:ilvl="6">
      <w:start w:val="0"/>
      <w:numFmt w:val="bullet"/>
      <w:lvlText w:val="•"/>
      <w:lvlJc w:val="left"/>
      <w:pPr>
        <w:ind w:left="1812" w:hanging="567"/>
      </w:pPr>
      <w:rPr>
        <w:rFonts w:hint="default"/>
        <w:lang w:val="en-US" w:eastAsia="zh-CN" w:bidi="ar-SA"/>
      </w:rPr>
    </w:lvl>
    <w:lvl w:ilvl="7">
      <w:start w:val="0"/>
      <w:numFmt w:val="bullet"/>
      <w:lvlText w:val="•"/>
      <w:lvlJc w:val="left"/>
      <w:pPr>
        <w:ind w:left="1785" w:hanging="567"/>
      </w:pPr>
      <w:rPr>
        <w:rFonts w:hint="default"/>
        <w:lang w:val="en-US" w:eastAsia="zh-CN" w:bidi="ar-SA"/>
      </w:rPr>
    </w:lvl>
    <w:lvl w:ilvl="8">
      <w:start w:val="0"/>
      <w:numFmt w:val="bullet"/>
      <w:lvlText w:val="•"/>
      <w:lvlJc w:val="left"/>
      <w:pPr>
        <w:ind w:left="1758" w:hanging="567"/>
      </w:pPr>
      <w:rPr>
        <w:rFonts w:hint="default"/>
        <w:lang w:val="en-US" w:eastAsia="zh-CN" w:bidi="ar-SA"/>
      </w:rPr>
    </w:lvl>
  </w:abstractNum>
  <w:abstractNum w:abstractNumId="18">
    <w:multiLevelType w:val="hybridMultilevel"/>
    <w:lvl w:ilvl="0">
      <w:start w:val="1"/>
      <w:numFmt w:val="decimal"/>
      <w:lvlText w:val="%1."/>
      <w:lvlJc w:val="left"/>
      <w:pPr>
        <w:ind w:left="1085" w:hanging="26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58" w:hanging="269"/>
      </w:pPr>
      <w:rPr>
        <w:rFonts w:hint="default"/>
        <w:lang w:val="en-US" w:eastAsia="zh-CN" w:bidi="ar-SA"/>
      </w:rPr>
    </w:lvl>
    <w:lvl w:ilvl="2">
      <w:start w:val="0"/>
      <w:numFmt w:val="bullet"/>
      <w:lvlText w:val="•"/>
      <w:lvlJc w:val="left"/>
      <w:pPr>
        <w:ind w:left="2837" w:hanging="269"/>
      </w:pPr>
      <w:rPr>
        <w:rFonts w:hint="default"/>
        <w:lang w:val="en-US" w:eastAsia="zh-CN" w:bidi="ar-SA"/>
      </w:rPr>
    </w:lvl>
    <w:lvl w:ilvl="3">
      <w:start w:val="0"/>
      <w:numFmt w:val="bullet"/>
      <w:lvlText w:val="•"/>
      <w:lvlJc w:val="left"/>
      <w:pPr>
        <w:ind w:left="3715" w:hanging="269"/>
      </w:pPr>
      <w:rPr>
        <w:rFonts w:hint="default"/>
        <w:lang w:val="en-US" w:eastAsia="zh-CN" w:bidi="ar-SA"/>
      </w:rPr>
    </w:lvl>
    <w:lvl w:ilvl="4">
      <w:start w:val="0"/>
      <w:numFmt w:val="bullet"/>
      <w:lvlText w:val="•"/>
      <w:lvlJc w:val="left"/>
      <w:pPr>
        <w:ind w:left="4594" w:hanging="269"/>
      </w:pPr>
      <w:rPr>
        <w:rFonts w:hint="default"/>
        <w:lang w:val="en-US" w:eastAsia="zh-CN" w:bidi="ar-SA"/>
      </w:rPr>
    </w:lvl>
    <w:lvl w:ilvl="5">
      <w:start w:val="0"/>
      <w:numFmt w:val="bullet"/>
      <w:lvlText w:val="•"/>
      <w:lvlJc w:val="left"/>
      <w:pPr>
        <w:ind w:left="5473" w:hanging="269"/>
      </w:pPr>
      <w:rPr>
        <w:rFonts w:hint="default"/>
        <w:lang w:val="en-US" w:eastAsia="zh-CN" w:bidi="ar-SA"/>
      </w:rPr>
    </w:lvl>
    <w:lvl w:ilvl="6">
      <w:start w:val="0"/>
      <w:numFmt w:val="bullet"/>
      <w:lvlText w:val="•"/>
      <w:lvlJc w:val="left"/>
      <w:pPr>
        <w:ind w:left="6351" w:hanging="269"/>
      </w:pPr>
      <w:rPr>
        <w:rFonts w:hint="default"/>
        <w:lang w:val="en-US" w:eastAsia="zh-CN" w:bidi="ar-SA"/>
      </w:rPr>
    </w:lvl>
    <w:lvl w:ilvl="7">
      <w:start w:val="0"/>
      <w:numFmt w:val="bullet"/>
      <w:lvlText w:val="•"/>
      <w:lvlJc w:val="left"/>
      <w:pPr>
        <w:ind w:left="7230" w:hanging="269"/>
      </w:pPr>
      <w:rPr>
        <w:rFonts w:hint="default"/>
        <w:lang w:val="en-US" w:eastAsia="zh-CN" w:bidi="ar-SA"/>
      </w:rPr>
    </w:lvl>
    <w:lvl w:ilvl="8">
      <w:start w:val="0"/>
      <w:numFmt w:val="bullet"/>
      <w:lvlText w:val="•"/>
      <w:lvlJc w:val="left"/>
      <w:pPr>
        <w:ind w:left="8109" w:hanging="269"/>
      </w:pPr>
      <w:rPr>
        <w:rFonts w:hint="default"/>
        <w:lang w:val="en-US" w:eastAsia="zh-CN" w:bidi="ar-SA"/>
      </w:rPr>
    </w:lvl>
  </w:abstractNum>
  <w:abstractNum w:abstractNumId="17">
    <w:multiLevelType w:val="hybridMultilevel"/>
    <w:lvl w:ilvl="0">
      <w:start w:val="1"/>
      <w:numFmt w:val="decimal"/>
      <w:lvlText w:val="%1."/>
      <w:lvlJc w:val="left"/>
      <w:pPr>
        <w:ind w:left="1101" w:hanging="2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76" w:hanging="267"/>
      </w:pPr>
      <w:rPr>
        <w:rFonts w:hint="default"/>
        <w:lang w:val="en-US" w:eastAsia="zh-CN" w:bidi="ar-SA"/>
      </w:rPr>
    </w:lvl>
    <w:lvl w:ilvl="2">
      <w:start w:val="0"/>
      <w:numFmt w:val="bullet"/>
      <w:lvlText w:val="•"/>
      <w:lvlJc w:val="left"/>
      <w:pPr>
        <w:ind w:left="2853" w:hanging="267"/>
      </w:pPr>
      <w:rPr>
        <w:rFonts w:hint="default"/>
        <w:lang w:val="en-US" w:eastAsia="zh-CN" w:bidi="ar-SA"/>
      </w:rPr>
    </w:lvl>
    <w:lvl w:ilvl="3">
      <w:start w:val="0"/>
      <w:numFmt w:val="bullet"/>
      <w:lvlText w:val="•"/>
      <w:lvlJc w:val="left"/>
      <w:pPr>
        <w:ind w:left="3729" w:hanging="267"/>
      </w:pPr>
      <w:rPr>
        <w:rFonts w:hint="default"/>
        <w:lang w:val="en-US" w:eastAsia="zh-CN" w:bidi="ar-SA"/>
      </w:rPr>
    </w:lvl>
    <w:lvl w:ilvl="4">
      <w:start w:val="0"/>
      <w:numFmt w:val="bullet"/>
      <w:lvlText w:val="•"/>
      <w:lvlJc w:val="left"/>
      <w:pPr>
        <w:ind w:left="4606" w:hanging="267"/>
      </w:pPr>
      <w:rPr>
        <w:rFonts w:hint="default"/>
        <w:lang w:val="en-US" w:eastAsia="zh-CN" w:bidi="ar-SA"/>
      </w:rPr>
    </w:lvl>
    <w:lvl w:ilvl="5">
      <w:start w:val="0"/>
      <w:numFmt w:val="bullet"/>
      <w:lvlText w:val="•"/>
      <w:lvlJc w:val="left"/>
      <w:pPr>
        <w:ind w:left="5483" w:hanging="267"/>
      </w:pPr>
      <w:rPr>
        <w:rFonts w:hint="default"/>
        <w:lang w:val="en-US" w:eastAsia="zh-CN" w:bidi="ar-SA"/>
      </w:rPr>
    </w:lvl>
    <w:lvl w:ilvl="6">
      <w:start w:val="0"/>
      <w:numFmt w:val="bullet"/>
      <w:lvlText w:val="•"/>
      <w:lvlJc w:val="left"/>
      <w:pPr>
        <w:ind w:left="6359" w:hanging="267"/>
      </w:pPr>
      <w:rPr>
        <w:rFonts w:hint="default"/>
        <w:lang w:val="en-US" w:eastAsia="zh-CN" w:bidi="ar-SA"/>
      </w:rPr>
    </w:lvl>
    <w:lvl w:ilvl="7">
      <w:start w:val="0"/>
      <w:numFmt w:val="bullet"/>
      <w:lvlText w:val="•"/>
      <w:lvlJc w:val="left"/>
      <w:pPr>
        <w:ind w:left="7236" w:hanging="267"/>
      </w:pPr>
      <w:rPr>
        <w:rFonts w:hint="default"/>
        <w:lang w:val="en-US" w:eastAsia="zh-CN" w:bidi="ar-SA"/>
      </w:rPr>
    </w:lvl>
    <w:lvl w:ilvl="8">
      <w:start w:val="0"/>
      <w:numFmt w:val="bullet"/>
      <w:lvlText w:val="•"/>
      <w:lvlJc w:val="left"/>
      <w:pPr>
        <w:ind w:left="8113" w:hanging="267"/>
      </w:pPr>
      <w:rPr>
        <w:rFonts w:hint="default"/>
        <w:lang w:val="en-US" w:eastAsia="zh-CN" w:bidi="ar-SA"/>
      </w:rPr>
    </w:lvl>
  </w:abstractNum>
  <w:abstractNum w:abstractNumId="16">
    <w:multiLevelType w:val="hybridMultilevel"/>
    <w:lvl w:ilvl="0">
      <w:start w:val="1"/>
      <w:numFmt w:val="decimal"/>
      <w:lvlText w:val="%1."/>
      <w:lvlJc w:val="left"/>
      <w:pPr>
        <w:ind w:left="1082" w:hanging="26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58" w:hanging="269"/>
      </w:pPr>
      <w:rPr>
        <w:rFonts w:hint="default"/>
        <w:lang w:val="en-US" w:eastAsia="zh-CN" w:bidi="ar-SA"/>
      </w:rPr>
    </w:lvl>
    <w:lvl w:ilvl="2">
      <w:start w:val="0"/>
      <w:numFmt w:val="bullet"/>
      <w:lvlText w:val="•"/>
      <w:lvlJc w:val="left"/>
      <w:pPr>
        <w:ind w:left="2837" w:hanging="269"/>
      </w:pPr>
      <w:rPr>
        <w:rFonts w:hint="default"/>
        <w:lang w:val="en-US" w:eastAsia="zh-CN" w:bidi="ar-SA"/>
      </w:rPr>
    </w:lvl>
    <w:lvl w:ilvl="3">
      <w:start w:val="0"/>
      <w:numFmt w:val="bullet"/>
      <w:lvlText w:val="•"/>
      <w:lvlJc w:val="left"/>
      <w:pPr>
        <w:ind w:left="3715" w:hanging="269"/>
      </w:pPr>
      <w:rPr>
        <w:rFonts w:hint="default"/>
        <w:lang w:val="en-US" w:eastAsia="zh-CN" w:bidi="ar-SA"/>
      </w:rPr>
    </w:lvl>
    <w:lvl w:ilvl="4">
      <w:start w:val="0"/>
      <w:numFmt w:val="bullet"/>
      <w:lvlText w:val="•"/>
      <w:lvlJc w:val="left"/>
      <w:pPr>
        <w:ind w:left="4594" w:hanging="269"/>
      </w:pPr>
      <w:rPr>
        <w:rFonts w:hint="default"/>
        <w:lang w:val="en-US" w:eastAsia="zh-CN" w:bidi="ar-SA"/>
      </w:rPr>
    </w:lvl>
    <w:lvl w:ilvl="5">
      <w:start w:val="0"/>
      <w:numFmt w:val="bullet"/>
      <w:lvlText w:val="•"/>
      <w:lvlJc w:val="left"/>
      <w:pPr>
        <w:ind w:left="5473" w:hanging="269"/>
      </w:pPr>
      <w:rPr>
        <w:rFonts w:hint="default"/>
        <w:lang w:val="en-US" w:eastAsia="zh-CN" w:bidi="ar-SA"/>
      </w:rPr>
    </w:lvl>
    <w:lvl w:ilvl="6">
      <w:start w:val="0"/>
      <w:numFmt w:val="bullet"/>
      <w:lvlText w:val="•"/>
      <w:lvlJc w:val="left"/>
      <w:pPr>
        <w:ind w:left="6351" w:hanging="269"/>
      </w:pPr>
      <w:rPr>
        <w:rFonts w:hint="default"/>
        <w:lang w:val="en-US" w:eastAsia="zh-CN" w:bidi="ar-SA"/>
      </w:rPr>
    </w:lvl>
    <w:lvl w:ilvl="7">
      <w:start w:val="0"/>
      <w:numFmt w:val="bullet"/>
      <w:lvlText w:val="•"/>
      <w:lvlJc w:val="left"/>
      <w:pPr>
        <w:ind w:left="7230" w:hanging="269"/>
      </w:pPr>
      <w:rPr>
        <w:rFonts w:hint="default"/>
        <w:lang w:val="en-US" w:eastAsia="zh-CN" w:bidi="ar-SA"/>
      </w:rPr>
    </w:lvl>
    <w:lvl w:ilvl="8">
      <w:start w:val="0"/>
      <w:numFmt w:val="bullet"/>
      <w:lvlText w:val="•"/>
      <w:lvlJc w:val="left"/>
      <w:pPr>
        <w:ind w:left="8109" w:hanging="269"/>
      </w:pPr>
      <w:rPr>
        <w:rFonts w:hint="default"/>
        <w:lang w:val="en-US" w:eastAsia="zh-CN" w:bidi="ar-SA"/>
      </w:rPr>
    </w:lvl>
  </w:abstractNum>
  <w:abstractNum w:abstractNumId="15">
    <w:multiLevelType w:val="hybridMultilevel"/>
    <w:lvl w:ilvl="0">
      <w:start w:val="1"/>
      <w:numFmt w:val="decimal"/>
      <w:lvlText w:val="%1."/>
      <w:lvlJc w:val="left"/>
      <w:pPr>
        <w:ind w:left="1125" w:hanging="305"/>
        <w:jc w:val="left"/>
      </w:pPr>
      <w:rPr>
        <w:rFonts w:hint="default" w:ascii="黑体" w:hAnsi="黑体" w:eastAsia="黑体" w:cs="黑体"/>
        <w:b w:val="0"/>
        <w:bCs w:val="0"/>
        <w:i w:val="0"/>
        <w:iCs w:val="0"/>
        <w:w w:val="100"/>
        <w:sz w:val="24"/>
        <w:szCs w:val="24"/>
        <w:lang w:val="en-US" w:eastAsia="zh-CN" w:bidi="ar-SA"/>
      </w:rPr>
    </w:lvl>
    <w:lvl w:ilvl="1">
      <w:start w:val="0"/>
      <w:numFmt w:val="bullet"/>
      <w:lvlText w:val="•"/>
      <w:lvlJc w:val="left"/>
      <w:pPr>
        <w:ind w:left="1994" w:hanging="305"/>
      </w:pPr>
      <w:rPr>
        <w:rFonts w:hint="default"/>
        <w:lang w:val="en-US" w:eastAsia="zh-CN" w:bidi="ar-SA"/>
      </w:rPr>
    </w:lvl>
    <w:lvl w:ilvl="2">
      <w:start w:val="0"/>
      <w:numFmt w:val="bullet"/>
      <w:lvlText w:val="•"/>
      <w:lvlJc w:val="left"/>
      <w:pPr>
        <w:ind w:left="2869" w:hanging="305"/>
      </w:pPr>
      <w:rPr>
        <w:rFonts w:hint="default"/>
        <w:lang w:val="en-US" w:eastAsia="zh-CN" w:bidi="ar-SA"/>
      </w:rPr>
    </w:lvl>
    <w:lvl w:ilvl="3">
      <w:start w:val="0"/>
      <w:numFmt w:val="bullet"/>
      <w:lvlText w:val="•"/>
      <w:lvlJc w:val="left"/>
      <w:pPr>
        <w:ind w:left="3743" w:hanging="305"/>
      </w:pPr>
      <w:rPr>
        <w:rFonts w:hint="default"/>
        <w:lang w:val="en-US" w:eastAsia="zh-CN" w:bidi="ar-SA"/>
      </w:rPr>
    </w:lvl>
    <w:lvl w:ilvl="4">
      <w:start w:val="0"/>
      <w:numFmt w:val="bullet"/>
      <w:lvlText w:val="•"/>
      <w:lvlJc w:val="left"/>
      <w:pPr>
        <w:ind w:left="4618" w:hanging="305"/>
      </w:pPr>
      <w:rPr>
        <w:rFonts w:hint="default"/>
        <w:lang w:val="en-US" w:eastAsia="zh-CN" w:bidi="ar-SA"/>
      </w:rPr>
    </w:lvl>
    <w:lvl w:ilvl="5">
      <w:start w:val="0"/>
      <w:numFmt w:val="bullet"/>
      <w:lvlText w:val="•"/>
      <w:lvlJc w:val="left"/>
      <w:pPr>
        <w:ind w:left="5493" w:hanging="305"/>
      </w:pPr>
      <w:rPr>
        <w:rFonts w:hint="default"/>
        <w:lang w:val="en-US" w:eastAsia="zh-CN" w:bidi="ar-SA"/>
      </w:rPr>
    </w:lvl>
    <w:lvl w:ilvl="6">
      <w:start w:val="0"/>
      <w:numFmt w:val="bullet"/>
      <w:lvlText w:val="•"/>
      <w:lvlJc w:val="left"/>
      <w:pPr>
        <w:ind w:left="6367" w:hanging="305"/>
      </w:pPr>
      <w:rPr>
        <w:rFonts w:hint="default"/>
        <w:lang w:val="en-US" w:eastAsia="zh-CN" w:bidi="ar-SA"/>
      </w:rPr>
    </w:lvl>
    <w:lvl w:ilvl="7">
      <w:start w:val="0"/>
      <w:numFmt w:val="bullet"/>
      <w:lvlText w:val="•"/>
      <w:lvlJc w:val="left"/>
      <w:pPr>
        <w:ind w:left="7242" w:hanging="305"/>
      </w:pPr>
      <w:rPr>
        <w:rFonts w:hint="default"/>
        <w:lang w:val="en-US" w:eastAsia="zh-CN" w:bidi="ar-SA"/>
      </w:rPr>
    </w:lvl>
    <w:lvl w:ilvl="8">
      <w:start w:val="0"/>
      <w:numFmt w:val="bullet"/>
      <w:lvlText w:val="•"/>
      <w:lvlJc w:val="left"/>
      <w:pPr>
        <w:ind w:left="8117" w:hanging="305"/>
      </w:pPr>
      <w:rPr>
        <w:rFonts w:hint="default"/>
        <w:lang w:val="en-US" w:eastAsia="zh-CN" w:bidi="ar-SA"/>
      </w:rPr>
    </w:lvl>
  </w:abstractNum>
  <w:abstractNum w:abstractNumId="14">
    <w:multiLevelType w:val="hybridMultilevel"/>
    <w:lvl w:ilvl="0">
      <w:start w:val="1"/>
      <w:numFmt w:val="decimal"/>
      <w:lvlText w:val="%1."/>
      <w:lvlJc w:val="left"/>
      <w:pPr>
        <w:ind w:left="396" w:hanging="24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3" w:hanging="241"/>
      </w:pPr>
      <w:rPr>
        <w:rFonts w:hint="default"/>
        <w:lang w:val="en-US" w:eastAsia="zh-CN" w:bidi="ar-SA"/>
      </w:rPr>
    </w:lvl>
  </w:abstractNum>
  <w:abstractNum w:abstractNumId="13">
    <w:multiLevelType w:val="hybridMultilevel"/>
    <w:lvl w:ilvl="0">
      <w:start w:val="3"/>
      <w:numFmt w:val="decimal"/>
      <w:lvlText w:val="%1"/>
      <w:lvlJc w:val="left"/>
      <w:pPr>
        <w:ind w:left="1200" w:hanging="370"/>
        <w:jc w:val="left"/>
      </w:pPr>
      <w:rPr>
        <w:rFonts w:hint="default"/>
        <w:lang w:val="en-US" w:eastAsia="zh-CN" w:bidi="ar-SA"/>
      </w:rPr>
    </w:lvl>
    <w:lvl w:ilvl="1">
      <w:start w:val="1"/>
      <w:numFmt w:val="decimal"/>
      <w:lvlText w:val="%1.%2"/>
      <w:lvlJc w:val="left"/>
      <w:pPr>
        <w:ind w:left="1200" w:hanging="370"/>
        <w:jc w:val="left"/>
      </w:pPr>
      <w:rPr>
        <w:rFonts w:hint="default" w:ascii="黑体" w:hAnsi="黑体" w:eastAsia="黑体" w:cs="黑体"/>
        <w:b/>
        <w:bCs/>
        <w:i w:val="0"/>
        <w:iCs w:val="0"/>
        <w:w w:val="99"/>
        <w:sz w:val="21"/>
        <w:szCs w:val="21"/>
        <w:lang w:val="en-US" w:eastAsia="zh-CN" w:bidi="ar-SA"/>
      </w:rPr>
    </w:lvl>
    <w:lvl w:ilvl="2">
      <w:start w:val="0"/>
      <w:numFmt w:val="bullet"/>
      <w:lvlText w:val="•"/>
      <w:lvlJc w:val="left"/>
      <w:pPr>
        <w:ind w:left="2933" w:hanging="370"/>
      </w:pPr>
      <w:rPr>
        <w:rFonts w:hint="default"/>
        <w:lang w:val="en-US" w:eastAsia="zh-CN" w:bidi="ar-SA"/>
      </w:rPr>
    </w:lvl>
    <w:lvl w:ilvl="3">
      <w:start w:val="0"/>
      <w:numFmt w:val="bullet"/>
      <w:lvlText w:val="•"/>
      <w:lvlJc w:val="left"/>
      <w:pPr>
        <w:ind w:left="3799" w:hanging="370"/>
      </w:pPr>
      <w:rPr>
        <w:rFonts w:hint="default"/>
        <w:lang w:val="en-US" w:eastAsia="zh-CN" w:bidi="ar-SA"/>
      </w:rPr>
    </w:lvl>
    <w:lvl w:ilvl="4">
      <w:start w:val="0"/>
      <w:numFmt w:val="bullet"/>
      <w:lvlText w:val="•"/>
      <w:lvlJc w:val="left"/>
      <w:pPr>
        <w:ind w:left="4666" w:hanging="370"/>
      </w:pPr>
      <w:rPr>
        <w:rFonts w:hint="default"/>
        <w:lang w:val="en-US" w:eastAsia="zh-CN" w:bidi="ar-SA"/>
      </w:rPr>
    </w:lvl>
    <w:lvl w:ilvl="5">
      <w:start w:val="0"/>
      <w:numFmt w:val="bullet"/>
      <w:lvlText w:val="•"/>
      <w:lvlJc w:val="left"/>
      <w:pPr>
        <w:ind w:left="5533" w:hanging="370"/>
      </w:pPr>
      <w:rPr>
        <w:rFonts w:hint="default"/>
        <w:lang w:val="en-US" w:eastAsia="zh-CN" w:bidi="ar-SA"/>
      </w:rPr>
    </w:lvl>
    <w:lvl w:ilvl="6">
      <w:start w:val="0"/>
      <w:numFmt w:val="bullet"/>
      <w:lvlText w:val="•"/>
      <w:lvlJc w:val="left"/>
      <w:pPr>
        <w:ind w:left="6399" w:hanging="370"/>
      </w:pPr>
      <w:rPr>
        <w:rFonts w:hint="default"/>
        <w:lang w:val="en-US" w:eastAsia="zh-CN" w:bidi="ar-SA"/>
      </w:rPr>
    </w:lvl>
    <w:lvl w:ilvl="7">
      <w:start w:val="0"/>
      <w:numFmt w:val="bullet"/>
      <w:lvlText w:val="•"/>
      <w:lvlJc w:val="left"/>
      <w:pPr>
        <w:ind w:left="7266" w:hanging="370"/>
      </w:pPr>
      <w:rPr>
        <w:rFonts w:hint="default"/>
        <w:lang w:val="en-US" w:eastAsia="zh-CN" w:bidi="ar-SA"/>
      </w:rPr>
    </w:lvl>
    <w:lvl w:ilvl="8">
      <w:start w:val="0"/>
      <w:numFmt w:val="bullet"/>
      <w:lvlText w:val="•"/>
      <w:lvlJc w:val="left"/>
      <w:pPr>
        <w:ind w:left="8133" w:hanging="370"/>
      </w:pPr>
      <w:rPr>
        <w:rFonts w:hint="default"/>
        <w:lang w:val="en-US" w:eastAsia="zh-CN" w:bidi="ar-SA"/>
      </w:rPr>
    </w:lvl>
  </w:abstractNum>
  <w:abstractNum w:abstractNumId="12">
    <w:multiLevelType w:val="hybridMultilevel"/>
    <w:lvl w:ilvl="0">
      <w:start w:val="1"/>
      <w:numFmt w:val="decimal"/>
      <w:lvlText w:val="（%1）"/>
      <w:lvlJc w:val="left"/>
      <w:pPr>
        <w:ind w:left="396" w:hanging="529"/>
        <w:jc w:val="left"/>
      </w:pPr>
      <w:rPr>
        <w:rFonts w:hint="default" w:ascii="宋体" w:hAnsi="宋体" w:eastAsia="宋体" w:cs="宋体"/>
        <w:b w:val="0"/>
        <w:bCs w:val="0"/>
        <w:i w:val="0"/>
        <w:iCs w:val="0"/>
        <w:spacing w:val="-27"/>
        <w:w w:val="100"/>
        <w:sz w:val="19"/>
        <w:szCs w:val="19"/>
        <w:lang w:val="en-US" w:eastAsia="zh-CN" w:bidi="ar-SA"/>
      </w:rPr>
    </w:lvl>
    <w:lvl w:ilvl="1">
      <w:start w:val="0"/>
      <w:numFmt w:val="bullet"/>
      <w:lvlText w:val="•"/>
      <w:lvlJc w:val="left"/>
      <w:pPr>
        <w:ind w:left="1346" w:hanging="529"/>
      </w:pPr>
      <w:rPr>
        <w:rFonts w:hint="default"/>
        <w:lang w:val="en-US" w:eastAsia="zh-CN" w:bidi="ar-SA"/>
      </w:rPr>
    </w:lvl>
    <w:lvl w:ilvl="2">
      <w:start w:val="0"/>
      <w:numFmt w:val="bullet"/>
      <w:lvlText w:val="•"/>
      <w:lvlJc w:val="left"/>
      <w:pPr>
        <w:ind w:left="2293" w:hanging="529"/>
      </w:pPr>
      <w:rPr>
        <w:rFonts w:hint="default"/>
        <w:lang w:val="en-US" w:eastAsia="zh-CN" w:bidi="ar-SA"/>
      </w:rPr>
    </w:lvl>
    <w:lvl w:ilvl="3">
      <w:start w:val="0"/>
      <w:numFmt w:val="bullet"/>
      <w:lvlText w:val="•"/>
      <w:lvlJc w:val="left"/>
      <w:pPr>
        <w:ind w:left="3239" w:hanging="529"/>
      </w:pPr>
      <w:rPr>
        <w:rFonts w:hint="default"/>
        <w:lang w:val="en-US" w:eastAsia="zh-CN" w:bidi="ar-SA"/>
      </w:rPr>
    </w:lvl>
    <w:lvl w:ilvl="4">
      <w:start w:val="0"/>
      <w:numFmt w:val="bullet"/>
      <w:lvlText w:val="•"/>
      <w:lvlJc w:val="left"/>
      <w:pPr>
        <w:ind w:left="4186" w:hanging="529"/>
      </w:pPr>
      <w:rPr>
        <w:rFonts w:hint="default"/>
        <w:lang w:val="en-US" w:eastAsia="zh-CN" w:bidi="ar-SA"/>
      </w:rPr>
    </w:lvl>
    <w:lvl w:ilvl="5">
      <w:start w:val="0"/>
      <w:numFmt w:val="bullet"/>
      <w:lvlText w:val="•"/>
      <w:lvlJc w:val="left"/>
      <w:pPr>
        <w:ind w:left="5133" w:hanging="529"/>
      </w:pPr>
      <w:rPr>
        <w:rFonts w:hint="default"/>
        <w:lang w:val="en-US" w:eastAsia="zh-CN" w:bidi="ar-SA"/>
      </w:rPr>
    </w:lvl>
    <w:lvl w:ilvl="6">
      <w:start w:val="0"/>
      <w:numFmt w:val="bullet"/>
      <w:lvlText w:val="•"/>
      <w:lvlJc w:val="left"/>
      <w:pPr>
        <w:ind w:left="6079" w:hanging="529"/>
      </w:pPr>
      <w:rPr>
        <w:rFonts w:hint="default"/>
        <w:lang w:val="en-US" w:eastAsia="zh-CN" w:bidi="ar-SA"/>
      </w:rPr>
    </w:lvl>
    <w:lvl w:ilvl="7">
      <w:start w:val="0"/>
      <w:numFmt w:val="bullet"/>
      <w:lvlText w:val="•"/>
      <w:lvlJc w:val="left"/>
      <w:pPr>
        <w:ind w:left="7026" w:hanging="529"/>
      </w:pPr>
      <w:rPr>
        <w:rFonts w:hint="default"/>
        <w:lang w:val="en-US" w:eastAsia="zh-CN" w:bidi="ar-SA"/>
      </w:rPr>
    </w:lvl>
    <w:lvl w:ilvl="8">
      <w:start w:val="0"/>
      <w:numFmt w:val="bullet"/>
      <w:lvlText w:val="•"/>
      <w:lvlJc w:val="left"/>
      <w:pPr>
        <w:ind w:left="7973" w:hanging="529"/>
      </w:pPr>
      <w:rPr>
        <w:rFonts w:hint="default"/>
        <w:lang w:val="en-US" w:eastAsia="zh-CN" w:bidi="ar-SA"/>
      </w:rPr>
    </w:lvl>
  </w:abstractNum>
  <w:abstractNum w:abstractNumId="11">
    <w:multiLevelType w:val="hybridMultilevel"/>
    <w:lvl w:ilvl="0">
      <w:start w:val="2"/>
      <w:numFmt w:val="decimal"/>
      <w:lvlText w:val="%1"/>
      <w:lvlJc w:val="left"/>
      <w:pPr>
        <w:ind w:left="1185" w:hanging="370"/>
        <w:jc w:val="left"/>
      </w:pPr>
      <w:rPr>
        <w:rFonts w:hint="default"/>
        <w:lang w:val="en-US" w:eastAsia="zh-CN" w:bidi="ar-SA"/>
      </w:rPr>
    </w:lvl>
    <w:lvl w:ilvl="1">
      <w:start w:val="1"/>
      <w:numFmt w:val="decimal"/>
      <w:lvlText w:val="%1.%2"/>
      <w:lvlJc w:val="left"/>
      <w:pPr>
        <w:ind w:left="1185" w:hanging="370"/>
        <w:jc w:val="left"/>
      </w:pPr>
      <w:rPr>
        <w:rFonts w:hint="default" w:ascii="黑体" w:hAnsi="黑体" w:eastAsia="黑体" w:cs="黑体"/>
        <w:b/>
        <w:bCs/>
        <w:i w:val="0"/>
        <w:iCs w:val="0"/>
        <w:w w:val="99"/>
        <w:sz w:val="21"/>
        <w:szCs w:val="21"/>
        <w:lang w:val="en-US" w:eastAsia="zh-CN" w:bidi="ar-SA"/>
      </w:rPr>
    </w:lvl>
    <w:lvl w:ilvl="2">
      <w:start w:val="0"/>
      <w:numFmt w:val="bullet"/>
      <w:lvlText w:val="•"/>
      <w:lvlJc w:val="left"/>
      <w:pPr>
        <w:ind w:left="2917" w:hanging="370"/>
      </w:pPr>
      <w:rPr>
        <w:rFonts w:hint="default"/>
        <w:lang w:val="en-US" w:eastAsia="zh-CN" w:bidi="ar-SA"/>
      </w:rPr>
    </w:lvl>
    <w:lvl w:ilvl="3">
      <w:start w:val="0"/>
      <w:numFmt w:val="bullet"/>
      <w:lvlText w:val="•"/>
      <w:lvlJc w:val="left"/>
      <w:pPr>
        <w:ind w:left="3785" w:hanging="370"/>
      </w:pPr>
      <w:rPr>
        <w:rFonts w:hint="default"/>
        <w:lang w:val="en-US" w:eastAsia="zh-CN" w:bidi="ar-SA"/>
      </w:rPr>
    </w:lvl>
    <w:lvl w:ilvl="4">
      <w:start w:val="0"/>
      <w:numFmt w:val="bullet"/>
      <w:lvlText w:val="•"/>
      <w:lvlJc w:val="left"/>
      <w:pPr>
        <w:ind w:left="4654" w:hanging="370"/>
      </w:pPr>
      <w:rPr>
        <w:rFonts w:hint="default"/>
        <w:lang w:val="en-US" w:eastAsia="zh-CN" w:bidi="ar-SA"/>
      </w:rPr>
    </w:lvl>
    <w:lvl w:ilvl="5">
      <w:start w:val="0"/>
      <w:numFmt w:val="bullet"/>
      <w:lvlText w:val="•"/>
      <w:lvlJc w:val="left"/>
      <w:pPr>
        <w:ind w:left="5523" w:hanging="370"/>
      </w:pPr>
      <w:rPr>
        <w:rFonts w:hint="default"/>
        <w:lang w:val="en-US" w:eastAsia="zh-CN" w:bidi="ar-SA"/>
      </w:rPr>
    </w:lvl>
    <w:lvl w:ilvl="6">
      <w:start w:val="0"/>
      <w:numFmt w:val="bullet"/>
      <w:lvlText w:val="•"/>
      <w:lvlJc w:val="left"/>
      <w:pPr>
        <w:ind w:left="6391" w:hanging="370"/>
      </w:pPr>
      <w:rPr>
        <w:rFonts w:hint="default"/>
        <w:lang w:val="en-US" w:eastAsia="zh-CN" w:bidi="ar-SA"/>
      </w:rPr>
    </w:lvl>
    <w:lvl w:ilvl="7">
      <w:start w:val="0"/>
      <w:numFmt w:val="bullet"/>
      <w:lvlText w:val="•"/>
      <w:lvlJc w:val="left"/>
      <w:pPr>
        <w:ind w:left="7260" w:hanging="370"/>
      </w:pPr>
      <w:rPr>
        <w:rFonts w:hint="default"/>
        <w:lang w:val="en-US" w:eastAsia="zh-CN" w:bidi="ar-SA"/>
      </w:rPr>
    </w:lvl>
    <w:lvl w:ilvl="8">
      <w:start w:val="0"/>
      <w:numFmt w:val="bullet"/>
      <w:lvlText w:val="•"/>
      <w:lvlJc w:val="left"/>
      <w:pPr>
        <w:ind w:left="8129" w:hanging="370"/>
      </w:pPr>
      <w:rPr>
        <w:rFonts w:hint="default"/>
        <w:lang w:val="en-US" w:eastAsia="zh-CN" w:bidi="ar-SA"/>
      </w:rPr>
    </w:lvl>
  </w:abstractNum>
  <w:abstractNum w:abstractNumId="10">
    <w:multiLevelType w:val="hybridMultilevel"/>
    <w:lvl w:ilvl="0">
      <w:start w:val="1"/>
      <w:numFmt w:val="decimal"/>
      <w:lvlText w:val="%1."/>
      <w:lvlJc w:val="left"/>
      <w:pPr>
        <w:ind w:left="396" w:hanging="24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3" w:hanging="241"/>
      </w:pPr>
      <w:rPr>
        <w:rFonts w:hint="default"/>
        <w:lang w:val="en-US" w:eastAsia="zh-CN" w:bidi="ar-SA"/>
      </w:rPr>
    </w:lvl>
  </w:abstractNum>
  <w:abstractNum w:abstractNumId="9">
    <w:multiLevelType w:val="hybridMultilevel"/>
    <w:lvl w:ilvl="0">
      <w:start w:val="1"/>
      <w:numFmt w:val="decimal"/>
      <w:lvlText w:val="%1."/>
      <w:lvlJc w:val="left"/>
      <w:pPr>
        <w:ind w:left="396" w:hanging="24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3" w:hanging="241"/>
      </w:pPr>
      <w:rPr>
        <w:rFonts w:hint="default"/>
        <w:lang w:val="en-US" w:eastAsia="zh-CN" w:bidi="ar-SA"/>
      </w:rPr>
    </w:lvl>
  </w:abstractNum>
  <w:abstractNum w:abstractNumId="8">
    <w:multiLevelType w:val="hybridMultilevel"/>
    <w:lvl w:ilvl="0">
      <w:start w:val="1"/>
      <w:numFmt w:val="decimal"/>
      <w:lvlText w:val="%1"/>
      <w:lvlJc w:val="left"/>
      <w:pPr>
        <w:ind w:left="1185" w:hanging="370"/>
        <w:jc w:val="left"/>
      </w:pPr>
      <w:rPr>
        <w:rFonts w:hint="default"/>
        <w:lang w:val="en-US" w:eastAsia="zh-CN" w:bidi="ar-SA"/>
      </w:rPr>
    </w:lvl>
    <w:lvl w:ilvl="1">
      <w:start w:val="1"/>
      <w:numFmt w:val="decimal"/>
      <w:lvlText w:val="%1.%2"/>
      <w:lvlJc w:val="left"/>
      <w:pPr>
        <w:ind w:left="1185" w:hanging="370"/>
        <w:jc w:val="left"/>
      </w:pPr>
      <w:rPr>
        <w:rFonts w:hint="default" w:ascii="黑体" w:hAnsi="黑体" w:eastAsia="黑体" w:cs="黑体"/>
        <w:b/>
        <w:bCs/>
        <w:i w:val="0"/>
        <w:iCs w:val="0"/>
        <w:w w:val="99"/>
        <w:sz w:val="21"/>
        <w:szCs w:val="21"/>
        <w:lang w:val="en-US" w:eastAsia="zh-CN" w:bidi="ar-SA"/>
      </w:rPr>
    </w:lvl>
    <w:lvl w:ilvl="2">
      <w:start w:val="0"/>
      <w:numFmt w:val="bullet"/>
      <w:lvlText w:val="•"/>
      <w:lvlJc w:val="left"/>
      <w:pPr>
        <w:ind w:left="2917" w:hanging="370"/>
      </w:pPr>
      <w:rPr>
        <w:rFonts w:hint="default"/>
        <w:lang w:val="en-US" w:eastAsia="zh-CN" w:bidi="ar-SA"/>
      </w:rPr>
    </w:lvl>
    <w:lvl w:ilvl="3">
      <w:start w:val="0"/>
      <w:numFmt w:val="bullet"/>
      <w:lvlText w:val="•"/>
      <w:lvlJc w:val="left"/>
      <w:pPr>
        <w:ind w:left="3785" w:hanging="370"/>
      </w:pPr>
      <w:rPr>
        <w:rFonts w:hint="default"/>
        <w:lang w:val="en-US" w:eastAsia="zh-CN" w:bidi="ar-SA"/>
      </w:rPr>
    </w:lvl>
    <w:lvl w:ilvl="4">
      <w:start w:val="0"/>
      <w:numFmt w:val="bullet"/>
      <w:lvlText w:val="•"/>
      <w:lvlJc w:val="left"/>
      <w:pPr>
        <w:ind w:left="4654" w:hanging="370"/>
      </w:pPr>
      <w:rPr>
        <w:rFonts w:hint="default"/>
        <w:lang w:val="en-US" w:eastAsia="zh-CN" w:bidi="ar-SA"/>
      </w:rPr>
    </w:lvl>
    <w:lvl w:ilvl="5">
      <w:start w:val="0"/>
      <w:numFmt w:val="bullet"/>
      <w:lvlText w:val="•"/>
      <w:lvlJc w:val="left"/>
      <w:pPr>
        <w:ind w:left="5523" w:hanging="370"/>
      </w:pPr>
      <w:rPr>
        <w:rFonts w:hint="default"/>
        <w:lang w:val="en-US" w:eastAsia="zh-CN" w:bidi="ar-SA"/>
      </w:rPr>
    </w:lvl>
    <w:lvl w:ilvl="6">
      <w:start w:val="0"/>
      <w:numFmt w:val="bullet"/>
      <w:lvlText w:val="•"/>
      <w:lvlJc w:val="left"/>
      <w:pPr>
        <w:ind w:left="6391" w:hanging="370"/>
      </w:pPr>
      <w:rPr>
        <w:rFonts w:hint="default"/>
        <w:lang w:val="en-US" w:eastAsia="zh-CN" w:bidi="ar-SA"/>
      </w:rPr>
    </w:lvl>
    <w:lvl w:ilvl="7">
      <w:start w:val="0"/>
      <w:numFmt w:val="bullet"/>
      <w:lvlText w:val="•"/>
      <w:lvlJc w:val="left"/>
      <w:pPr>
        <w:ind w:left="7260" w:hanging="370"/>
      </w:pPr>
      <w:rPr>
        <w:rFonts w:hint="default"/>
        <w:lang w:val="en-US" w:eastAsia="zh-CN" w:bidi="ar-SA"/>
      </w:rPr>
    </w:lvl>
    <w:lvl w:ilvl="8">
      <w:start w:val="0"/>
      <w:numFmt w:val="bullet"/>
      <w:lvlText w:val="•"/>
      <w:lvlJc w:val="left"/>
      <w:pPr>
        <w:ind w:left="8129" w:hanging="370"/>
      </w:pPr>
      <w:rPr>
        <w:rFonts w:hint="default"/>
        <w:lang w:val="en-US" w:eastAsia="zh-CN" w:bidi="ar-SA"/>
      </w:rPr>
    </w:lvl>
  </w:abstractNum>
  <w:abstractNum w:abstractNumId="7">
    <w:multiLevelType w:val="hybridMultilevel"/>
    <w:lvl w:ilvl="0">
      <w:start w:val="1"/>
      <w:numFmt w:val="decimal"/>
      <w:lvlText w:val="（%1）"/>
      <w:lvlJc w:val="left"/>
      <w:pPr>
        <w:ind w:left="135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210" w:hanging="529"/>
      </w:pPr>
      <w:rPr>
        <w:rFonts w:hint="default"/>
        <w:lang w:val="en-US" w:eastAsia="zh-CN" w:bidi="ar-SA"/>
      </w:rPr>
    </w:lvl>
    <w:lvl w:ilvl="2">
      <w:start w:val="0"/>
      <w:numFmt w:val="bullet"/>
      <w:lvlText w:val="•"/>
      <w:lvlJc w:val="left"/>
      <w:pPr>
        <w:ind w:left="3061" w:hanging="529"/>
      </w:pPr>
      <w:rPr>
        <w:rFonts w:hint="default"/>
        <w:lang w:val="en-US" w:eastAsia="zh-CN" w:bidi="ar-SA"/>
      </w:rPr>
    </w:lvl>
    <w:lvl w:ilvl="3">
      <w:start w:val="0"/>
      <w:numFmt w:val="bullet"/>
      <w:lvlText w:val="•"/>
      <w:lvlJc w:val="left"/>
      <w:pPr>
        <w:ind w:left="3911" w:hanging="529"/>
      </w:pPr>
      <w:rPr>
        <w:rFonts w:hint="default"/>
        <w:lang w:val="en-US" w:eastAsia="zh-CN" w:bidi="ar-SA"/>
      </w:rPr>
    </w:lvl>
    <w:lvl w:ilvl="4">
      <w:start w:val="0"/>
      <w:numFmt w:val="bullet"/>
      <w:lvlText w:val="•"/>
      <w:lvlJc w:val="left"/>
      <w:pPr>
        <w:ind w:left="4762" w:hanging="529"/>
      </w:pPr>
      <w:rPr>
        <w:rFonts w:hint="default"/>
        <w:lang w:val="en-US" w:eastAsia="zh-CN" w:bidi="ar-SA"/>
      </w:rPr>
    </w:lvl>
    <w:lvl w:ilvl="5">
      <w:start w:val="0"/>
      <w:numFmt w:val="bullet"/>
      <w:lvlText w:val="•"/>
      <w:lvlJc w:val="left"/>
      <w:pPr>
        <w:ind w:left="5613" w:hanging="529"/>
      </w:pPr>
      <w:rPr>
        <w:rFonts w:hint="default"/>
        <w:lang w:val="en-US" w:eastAsia="zh-CN" w:bidi="ar-SA"/>
      </w:rPr>
    </w:lvl>
    <w:lvl w:ilvl="6">
      <w:start w:val="0"/>
      <w:numFmt w:val="bullet"/>
      <w:lvlText w:val="•"/>
      <w:lvlJc w:val="left"/>
      <w:pPr>
        <w:ind w:left="6463" w:hanging="529"/>
      </w:pPr>
      <w:rPr>
        <w:rFonts w:hint="default"/>
        <w:lang w:val="en-US" w:eastAsia="zh-CN" w:bidi="ar-SA"/>
      </w:rPr>
    </w:lvl>
    <w:lvl w:ilvl="7">
      <w:start w:val="0"/>
      <w:numFmt w:val="bullet"/>
      <w:lvlText w:val="•"/>
      <w:lvlJc w:val="left"/>
      <w:pPr>
        <w:ind w:left="7314" w:hanging="529"/>
      </w:pPr>
      <w:rPr>
        <w:rFonts w:hint="default"/>
        <w:lang w:val="en-US" w:eastAsia="zh-CN" w:bidi="ar-SA"/>
      </w:rPr>
    </w:lvl>
    <w:lvl w:ilvl="8">
      <w:start w:val="0"/>
      <w:numFmt w:val="bullet"/>
      <w:lvlText w:val="•"/>
      <w:lvlJc w:val="left"/>
      <w:pPr>
        <w:ind w:left="8165" w:hanging="529"/>
      </w:pPr>
      <w:rPr>
        <w:rFonts w:hint="default"/>
        <w:lang w:val="en-US" w:eastAsia="zh-CN" w:bidi="ar-SA"/>
      </w:rPr>
    </w:lvl>
  </w:abstractNum>
  <w:abstractNum w:abstractNumId="6">
    <w:multiLevelType w:val="hybridMultilevel"/>
    <w:lvl w:ilvl="0">
      <w:start w:val="1"/>
      <w:numFmt w:val="decimal"/>
      <w:lvlText w:val="（%1）"/>
      <w:lvlJc w:val="left"/>
      <w:pPr>
        <w:ind w:left="135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210" w:hanging="529"/>
      </w:pPr>
      <w:rPr>
        <w:rFonts w:hint="default"/>
        <w:lang w:val="en-US" w:eastAsia="zh-CN" w:bidi="ar-SA"/>
      </w:rPr>
    </w:lvl>
    <w:lvl w:ilvl="2">
      <w:start w:val="0"/>
      <w:numFmt w:val="bullet"/>
      <w:lvlText w:val="•"/>
      <w:lvlJc w:val="left"/>
      <w:pPr>
        <w:ind w:left="3061" w:hanging="529"/>
      </w:pPr>
      <w:rPr>
        <w:rFonts w:hint="default"/>
        <w:lang w:val="en-US" w:eastAsia="zh-CN" w:bidi="ar-SA"/>
      </w:rPr>
    </w:lvl>
    <w:lvl w:ilvl="3">
      <w:start w:val="0"/>
      <w:numFmt w:val="bullet"/>
      <w:lvlText w:val="•"/>
      <w:lvlJc w:val="left"/>
      <w:pPr>
        <w:ind w:left="3911" w:hanging="529"/>
      </w:pPr>
      <w:rPr>
        <w:rFonts w:hint="default"/>
        <w:lang w:val="en-US" w:eastAsia="zh-CN" w:bidi="ar-SA"/>
      </w:rPr>
    </w:lvl>
    <w:lvl w:ilvl="4">
      <w:start w:val="0"/>
      <w:numFmt w:val="bullet"/>
      <w:lvlText w:val="•"/>
      <w:lvlJc w:val="left"/>
      <w:pPr>
        <w:ind w:left="4762" w:hanging="529"/>
      </w:pPr>
      <w:rPr>
        <w:rFonts w:hint="default"/>
        <w:lang w:val="en-US" w:eastAsia="zh-CN" w:bidi="ar-SA"/>
      </w:rPr>
    </w:lvl>
    <w:lvl w:ilvl="5">
      <w:start w:val="0"/>
      <w:numFmt w:val="bullet"/>
      <w:lvlText w:val="•"/>
      <w:lvlJc w:val="left"/>
      <w:pPr>
        <w:ind w:left="5613" w:hanging="529"/>
      </w:pPr>
      <w:rPr>
        <w:rFonts w:hint="default"/>
        <w:lang w:val="en-US" w:eastAsia="zh-CN" w:bidi="ar-SA"/>
      </w:rPr>
    </w:lvl>
    <w:lvl w:ilvl="6">
      <w:start w:val="0"/>
      <w:numFmt w:val="bullet"/>
      <w:lvlText w:val="•"/>
      <w:lvlJc w:val="left"/>
      <w:pPr>
        <w:ind w:left="6463" w:hanging="529"/>
      </w:pPr>
      <w:rPr>
        <w:rFonts w:hint="default"/>
        <w:lang w:val="en-US" w:eastAsia="zh-CN" w:bidi="ar-SA"/>
      </w:rPr>
    </w:lvl>
    <w:lvl w:ilvl="7">
      <w:start w:val="0"/>
      <w:numFmt w:val="bullet"/>
      <w:lvlText w:val="•"/>
      <w:lvlJc w:val="left"/>
      <w:pPr>
        <w:ind w:left="7314" w:hanging="529"/>
      </w:pPr>
      <w:rPr>
        <w:rFonts w:hint="default"/>
        <w:lang w:val="en-US" w:eastAsia="zh-CN" w:bidi="ar-SA"/>
      </w:rPr>
    </w:lvl>
    <w:lvl w:ilvl="8">
      <w:start w:val="0"/>
      <w:numFmt w:val="bullet"/>
      <w:lvlText w:val="•"/>
      <w:lvlJc w:val="left"/>
      <w:pPr>
        <w:ind w:left="8165" w:hanging="529"/>
      </w:pPr>
      <w:rPr>
        <w:rFonts w:hint="default"/>
        <w:lang w:val="en-US" w:eastAsia="zh-CN" w:bidi="ar-SA"/>
      </w:rPr>
    </w:lvl>
  </w:abstractNum>
  <w:abstractNum w:abstractNumId="5">
    <w:multiLevelType w:val="hybridMultilevel"/>
    <w:lvl w:ilvl="0">
      <w:start w:val="1"/>
      <w:numFmt w:val="decimal"/>
      <w:lvlText w:val="（%1）"/>
      <w:lvlJc w:val="left"/>
      <w:pPr>
        <w:ind w:left="135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210" w:hanging="529"/>
      </w:pPr>
      <w:rPr>
        <w:rFonts w:hint="default"/>
        <w:lang w:val="en-US" w:eastAsia="zh-CN" w:bidi="ar-SA"/>
      </w:rPr>
    </w:lvl>
    <w:lvl w:ilvl="2">
      <w:start w:val="0"/>
      <w:numFmt w:val="bullet"/>
      <w:lvlText w:val="•"/>
      <w:lvlJc w:val="left"/>
      <w:pPr>
        <w:ind w:left="3061" w:hanging="529"/>
      </w:pPr>
      <w:rPr>
        <w:rFonts w:hint="default"/>
        <w:lang w:val="en-US" w:eastAsia="zh-CN" w:bidi="ar-SA"/>
      </w:rPr>
    </w:lvl>
    <w:lvl w:ilvl="3">
      <w:start w:val="0"/>
      <w:numFmt w:val="bullet"/>
      <w:lvlText w:val="•"/>
      <w:lvlJc w:val="left"/>
      <w:pPr>
        <w:ind w:left="3911" w:hanging="529"/>
      </w:pPr>
      <w:rPr>
        <w:rFonts w:hint="default"/>
        <w:lang w:val="en-US" w:eastAsia="zh-CN" w:bidi="ar-SA"/>
      </w:rPr>
    </w:lvl>
    <w:lvl w:ilvl="4">
      <w:start w:val="0"/>
      <w:numFmt w:val="bullet"/>
      <w:lvlText w:val="•"/>
      <w:lvlJc w:val="left"/>
      <w:pPr>
        <w:ind w:left="4762" w:hanging="529"/>
      </w:pPr>
      <w:rPr>
        <w:rFonts w:hint="default"/>
        <w:lang w:val="en-US" w:eastAsia="zh-CN" w:bidi="ar-SA"/>
      </w:rPr>
    </w:lvl>
    <w:lvl w:ilvl="5">
      <w:start w:val="0"/>
      <w:numFmt w:val="bullet"/>
      <w:lvlText w:val="•"/>
      <w:lvlJc w:val="left"/>
      <w:pPr>
        <w:ind w:left="5613" w:hanging="529"/>
      </w:pPr>
      <w:rPr>
        <w:rFonts w:hint="default"/>
        <w:lang w:val="en-US" w:eastAsia="zh-CN" w:bidi="ar-SA"/>
      </w:rPr>
    </w:lvl>
    <w:lvl w:ilvl="6">
      <w:start w:val="0"/>
      <w:numFmt w:val="bullet"/>
      <w:lvlText w:val="•"/>
      <w:lvlJc w:val="left"/>
      <w:pPr>
        <w:ind w:left="6463" w:hanging="529"/>
      </w:pPr>
      <w:rPr>
        <w:rFonts w:hint="default"/>
        <w:lang w:val="en-US" w:eastAsia="zh-CN" w:bidi="ar-SA"/>
      </w:rPr>
    </w:lvl>
    <w:lvl w:ilvl="7">
      <w:start w:val="0"/>
      <w:numFmt w:val="bullet"/>
      <w:lvlText w:val="•"/>
      <w:lvlJc w:val="left"/>
      <w:pPr>
        <w:ind w:left="7314" w:hanging="529"/>
      </w:pPr>
      <w:rPr>
        <w:rFonts w:hint="default"/>
        <w:lang w:val="en-US" w:eastAsia="zh-CN" w:bidi="ar-SA"/>
      </w:rPr>
    </w:lvl>
    <w:lvl w:ilvl="8">
      <w:start w:val="0"/>
      <w:numFmt w:val="bullet"/>
      <w:lvlText w:val="•"/>
      <w:lvlJc w:val="left"/>
      <w:pPr>
        <w:ind w:left="8165" w:hanging="529"/>
      </w:pPr>
      <w:rPr>
        <w:rFonts w:hint="default"/>
        <w:lang w:val="en-US" w:eastAsia="zh-CN" w:bidi="ar-SA"/>
      </w:rPr>
    </w:lvl>
  </w:abstractNum>
  <w:abstractNum w:abstractNumId="4">
    <w:multiLevelType w:val="hybridMultilevel"/>
    <w:lvl w:ilvl="0">
      <w:start w:val="1"/>
      <w:numFmt w:val="decimal"/>
      <w:lvlText w:val="（%1）"/>
      <w:lvlJc w:val="left"/>
      <w:pPr>
        <w:ind w:left="135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210" w:hanging="529"/>
      </w:pPr>
      <w:rPr>
        <w:rFonts w:hint="default"/>
        <w:lang w:val="en-US" w:eastAsia="zh-CN" w:bidi="ar-SA"/>
      </w:rPr>
    </w:lvl>
    <w:lvl w:ilvl="2">
      <w:start w:val="0"/>
      <w:numFmt w:val="bullet"/>
      <w:lvlText w:val="•"/>
      <w:lvlJc w:val="left"/>
      <w:pPr>
        <w:ind w:left="3061" w:hanging="529"/>
      </w:pPr>
      <w:rPr>
        <w:rFonts w:hint="default"/>
        <w:lang w:val="en-US" w:eastAsia="zh-CN" w:bidi="ar-SA"/>
      </w:rPr>
    </w:lvl>
    <w:lvl w:ilvl="3">
      <w:start w:val="0"/>
      <w:numFmt w:val="bullet"/>
      <w:lvlText w:val="•"/>
      <w:lvlJc w:val="left"/>
      <w:pPr>
        <w:ind w:left="3911" w:hanging="529"/>
      </w:pPr>
      <w:rPr>
        <w:rFonts w:hint="default"/>
        <w:lang w:val="en-US" w:eastAsia="zh-CN" w:bidi="ar-SA"/>
      </w:rPr>
    </w:lvl>
    <w:lvl w:ilvl="4">
      <w:start w:val="0"/>
      <w:numFmt w:val="bullet"/>
      <w:lvlText w:val="•"/>
      <w:lvlJc w:val="left"/>
      <w:pPr>
        <w:ind w:left="4762" w:hanging="529"/>
      </w:pPr>
      <w:rPr>
        <w:rFonts w:hint="default"/>
        <w:lang w:val="en-US" w:eastAsia="zh-CN" w:bidi="ar-SA"/>
      </w:rPr>
    </w:lvl>
    <w:lvl w:ilvl="5">
      <w:start w:val="0"/>
      <w:numFmt w:val="bullet"/>
      <w:lvlText w:val="•"/>
      <w:lvlJc w:val="left"/>
      <w:pPr>
        <w:ind w:left="5613" w:hanging="529"/>
      </w:pPr>
      <w:rPr>
        <w:rFonts w:hint="default"/>
        <w:lang w:val="en-US" w:eastAsia="zh-CN" w:bidi="ar-SA"/>
      </w:rPr>
    </w:lvl>
    <w:lvl w:ilvl="6">
      <w:start w:val="0"/>
      <w:numFmt w:val="bullet"/>
      <w:lvlText w:val="•"/>
      <w:lvlJc w:val="left"/>
      <w:pPr>
        <w:ind w:left="6463" w:hanging="529"/>
      </w:pPr>
      <w:rPr>
        <w:rFonts w:hint="default"/>
        <w:lang w:val="en-US" w:eastAsia="zh-CN" w:bidi="ar-SA"/>
      </w:rPr>
    </w:lvl>
    <w:lvl w:ilvl="7">
      <w:start w:val="0"/>
      <w:numFmt w:val="bullet"/>
      <w:lvlText w:val="•"/>
      <w:lvlJc w:val="left"/>
      <w:pPr>
        <w:ind w:left="7314" w:hanging="529"/>
      </w:pPr>
      <w:rPr>
        <w:rFonts w:hint="default"/>
        <w:lang w:val="en-US" w:eastAsia="zh-CN" w:bidi="ar-SA"/>
      </w:rPr>
    </w:lvl>
    <w:lvl w:ilvl="8">
      <w:start w:val="0"/>
      <w:numFmt w:val="bullet"/>
      <w:lvlText w:val="•"/>
      <w:lvlJc w:val="left"/>
      <w:pPr>
        <w:ind w:left="8165" w:hanging="529"/>
      </w:pPr>
      <w:rPr>
        <w:rFonts w:hint="default"/>
        <w:lang w:val="en-US" w:eastAsia="zh-CN" w:bidi="ar-SA"/>
      </w:rPr>
    </w:lvl>
  </w:abstractNum>
  <w:abstractNum w:abstractNumId="3">
    <w:multiLevelType w:val="hybridMultilevel"/>
    <w:lvl w:ilvl="0">
      <w:start w:val="1"/>
      <w:numFmt w:val="decimal"/>
      <w:lvlText w:val="（%1）"/>
      <w:lvlJc w:val="left"/>
      <w:pPr>
        <w:ind w:left="134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192" w:hanging="529"/>
      </w:pPr>
      <w:rPr>
        <w:rFonts w:hint="default"/>
        <w:lang w:val="en-US" w:eastAsia="zh-CN" w:bidi="ar-SA"/>
      </w:rPr>
    </w:lvl>
    <w:lvl w:ilvl="2">
      <w:start w:val="0"/>
      <w:numFmt w:val="bullet"/>
      <w:lvlText w:val="•"/>
      <w:lvlJc w:val="left"/>
      <w:pPr>
        <w:ind w:left="3045" w:hanging="529"/>
      </w:pPr>
      <w:rPr>
        <w:rFonts w:hint="default"/>
        <w:lang w:val="en-US" w:eastAsia="zh-CN" w:bidi="ar-SA"/>
      </w:rPr>
    </w:lvl>
    <w:lvl w:ilvl="3">
      <w:start w:val="0"/>
      <w:numFmt w:val="bullet"/>
      <w:lvlText w:val="•"/>
      <w:lvlJc w:val="left"/>
      <w:pPr>
        <w:ind w:left="3897" w:hanging="529"/>
      </w:pPr>
      <w:rPr>
        <w:rFonts w:hint="default"/>
        <w:lang w:val="en-US" w:eastAsia="zh-CN" w:bidi="ar-SA"/>
      </w:rPr>
    </w:lvl>
    <w:lvl w:ilvl="4">
      <w:start w:val="0"/>
      <w:numFmt w:val="bullet"/>
      <w:lvlText w:val="•"/>
      <w:lvlJc w:val="left"/>
      <w:pPr>
        <w:ind w:left="4750" w:hanging="529"/>
      </w:pPr>
      <w:rPr>
        <w:rFonts w:hint="default"/>
        <w:lang w:val="en-US" w:eastAsia="zh-CN" w:bidi="ar-SA"/>
      </w:rPr>
    </w:lvl>
    <w:lvl w:ilvl="5">
      <w:start w:val="0"/>
      <w:numFmt w:val="bullet"/>
      <w:lvlText w:val="•"/>
      <w:lvlJc w:val="left"/>
      <w:pPr>
        <w:ind w:left="5603" w:hanging="529"/>
      </w:pPr>
      <w:rPr>
        <w:rFonts w:hint="default"/>
        <w:lang w:val="en-US" w:eastAsia="zh-CN" w:bidi="ar-SA"/>
      </w:rPr>
    </w:lvl>
    <w:lvl w:ilvl="6">
      <w:start w:val="0"/>
      <w:numFmt w:val="bullet"/>
      <w:lvlText w:val="•"/>
      <w:lvlJc w:val="left"/>
      <w:pPr>
        <w:ind w:left="6455" w:hanging="529"/>
      </w:pPr>
      <w:rPr>
        <w:rFonts w:hint="default"/>
        <w:lang w:val="en-US" w:eastAsia="zh-CN" w:bidi="ar-SA"/>
      </w:rPr>
    </w:lvl>
    <w:lvl w:ilvl="7">
      <w:start w:val="0"/>
      <w:numFmt w:val="bullet"/>
      <w:lvlText w:val="•"/>
      <w:lvlJc w:val="left"/>
      <w:pPr>
        <w:ind w:left="7308" w:hanging="529"/>
      </w:pPr>
      <w:rPr>
        <w:rFonts w:hint="default"/>
        <w:lang w:val="en-US" w:eastAsia="zh-CN" w:bidi="ar-SA"/>
      </w:rPr>
    </w:lvl>
    <w:lvl w:ilvl="8">
      <w:start w:val="0"/>
      <w:numFmt w:val="bullet"/>
      <w:lvlText w:val="•"/>
      <w:lvlJc w:val="left"/>
      <w:pPr>
        <w:ind w:left="8161" w:hanging="529"/>
      </w:pPr>
      <w:rPr>
        <w:rFonts w:hint="default"/>
        <w:lang w:val="en-US" w:eastAsia="zh-CN" w:bidi="ar-SA"/>
      </w:rPr>
    </w:lvl>
  </w:abstractNum>
  <w:abstractNum w:abstractNumId="2">
    <w:multiLevelType w:val="hybridMultilevel"/>
    <w:lvl w:ilvl="0">
      <w:start w:val="1"/>
      <w:numFmt w:val="decimal"/>
      <w:lvlText w:val="（%1）"/>
      <w:lvlJc w:val="left"/>
      <w:pPr>
        <w:ind w:left="135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210" w:hanging="529"/>
      </w:pPr>
      <w:rPr>
        <w:rFonts w:hint="default"/>
        <w:lang w:val="en-US" w:eastAsia="zh-CN" w:bidi="ar-SA"/>
      </w:rPr>
    </w:lvl>
    <w:lvl w:ilvl="2">
      <w:start w:val="0"/>
      <w:numFmt w:val="bullet"/>
      <w:lvlText w:val="•"/>
      <w:lvlJc w:val="left"/>
      <w:pPr>
        <w:ind w:left="3061" w:hanging="529"/>
      </w:pPr>
      <w:rPr>
        <w:rFonts w:hint="default"/>
        <w:lang w:val="en-US" w:eastAsia="zh-CN" w:bidi="ar-SA"/>
      </w:rPr>
    </w:lvl>
    <w:lvl w:ilvl="3">
      <w:start w:val="0"/>
      <w:numFmt w:val="bullet"/>
      <w:lvlText w:val="•"/>
      <w:lvlJc w:val="left"/>
      <w:pPr>
        <w:ind w:left="3911" w:hanging="529"/>
      </w:pPr>
      <w:rPr>
        <w:rFonts w:hint="default"/>
        <w:lang w:val="en-US" w:eastAsia="zh-CN" w:bidi="ar-SA"/>
      </w:rPr>
    </w:lvl>
    <w:lvl w:ilvl="4">
      <w:start w:val="0"/>
      <w:numFmt w:val="bullet"/>
      <w:lvlText w:val="•"/>
      <w:lvlJc w:val="left"/>
      <w:pPr>
        <w:ind w:left="4762" w:hanging="529"/>
      </w:pPr>
      <w:rPr>
        <w:rFonts w:hint="default"/>
        <w:lang w:val="en-US" w:eastAsia="zh-CN" w:bidi="ar-SA"/>
      </w:rPr>
    </w:lvl>
    <w:lvl w:ilvl="5">
      <w:start w:val="0"/>
      <w:numFmt w:val="bullet"/>
      <w:lvlText w:val="•"/>
      <w:lvlJc w:val="left"/>
      <w:pPr>
        <w:ind w:left="5613" w:hanging="529"/>
      </w:pPr>
      <w:rPr>
        <w:rFonts w:hint="default"/>
        <w:lang w:val="en-US" w:eastAsia="zh-CN" w:bidi="ar-SA"/>
      </w:rPr>
    </w:lvl>
    <w:lvl w:ilvl="6">
      <w:start w:val="0"/>
      <w:numFmt w:val="bullet"/>
      <w:lvlText w:val="•"/>
      <w:lvlJc w:val="left"/>
      <w:pPr>
        <w:ind w:left="6463" w:hanging="529"/>
      </w:pPr>
      <w:rPr>
        <w:rFonts w:hint="default"/>
        <w:lang w:val="en-US" w:eastAsia="zh-CN" w:bidi="ar-SA"/>
      </w:rPr>
    </w:lvl>
    <w:lvl w:ilvl="7">
      <w:start w:val="0"/>
      <w:numFmt w:val="bullet"/>
      <w:lvlText w:val="•"/>
      <w:lvlJc w:val="left"/>
      <w:pPr>
        <w:ind w:left="7314" w:hanging="529"/>
      </w:pPr>
      <w:rPr>
        <w:rFonts w:hint="default"/>
        <w:lang w:val="en-US" w:eastAsia="zh-CN" w:bidi="ar-SA"/>
      </w:rPr>
    </w:lvl>
    <w:lvl w:ilvl="8">
      <w:start w:val="0"/>
      <w:numFmt w:val="bullet"/>
      <w:lvlText w:val="•"/>
      <w:lvlJc w:val="left"/>
      <w:pPr>
        <w:ind w:left="8165" w:hanging="529"/>
      </w:pPr>
      <w:rPr>
        <w:rFonts w:hint="default"/>
        <w:lang w:val="en-US" w:eastAsia="zh-CN" w:bidi="ar-SA"/>
      </w:rPr>
    </w:lvl>
  </w:abstractNum>
  <w:abstractNum w:abstractNumId="1">
    <w:multiLevelType w:val="hybridMultilevel"/>
    <w:lvl w:ilvl="0">
      <w:start w:val="1"/>
      <w:numFmt w:val="decimal"/>
      <w:lvlText w:val="%1."/>
      <w:lvlJc w:val="left"/>
      <w:pPr>
        <w:ind w:left="396" w:hanging="24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346" w:hanging="241"/>
      </w:pPr>
      <w:rPr>
        <w:rFonts w:hint="default"/>
        <w:lang w:val="en-US" w:eastAsia="zh-CN" w:bidi="ar-SA"/>
      </w:rPr>
    </w:lvl>
    <w:lvl w:ilvl="2">
      <w:start w:val="0"/>
      <w:numFmt w:val="bullet"/>
      <w:lvlText w:val="•"/>
      <w:lvlJc w:val="left"/>
      <w:pPr>
        <w:ind w:left="2293" w:hanging="241"/>
      </w:pPr>
      <w:rPr>
        <w:rFonts w:hint="default"/>
        <w:lang w:val="en-US" w:eastAsia="zh-CN" w:bidi="ar-SA"/>
      </w:rPr>
    </w:lvl>
    <w:lvl w:ilvl="3">
      <w:start w:val="0"/>
      <w:numFmt w:val="bullet"/>
      <w:lvlText w:val="•"/>
      <w:lvlJc w:val="left"/>
      <w:pPr>
        <w:ind w:left="3239" w:hanging="241"/>
      </w:pPr>
      <w:rPr>
        <w:rFonts w:hint="default"/>
        <w:lang w:val="en-US" w:eastAsia="zh-CN" w:bidi="ar-SA"/>
      </w:rPr>
    </w:lvl>
    <w:lvl w:ilvl="4">
      <w:start w:val="0"/>
      <w:numFmt w:val="bullet"/>
      <w:lvlText w:val="•"/>
      <w:lvlJc w:val="left"/>
      <w:pPr>
        <w:ind w:left="4186" w:hanging="241"/>
      </w:pPr>
      <w:rPr>
        <w:rFonts w:hint="default"/>
        <w:lang w:val="en-US" w:eastAsia="zh-CN" w:bidi="ar-SA"/>
      </w:rPr>
    </w:lvl>
    <w:lvl w:ilvl="5">
      <w:start w:val="0"/>
      <w:numFmt w:val="bullet"/>
      <w:lvlText w:val="•"/>
      <w:lvlJc w:val="left"/>
      <w:pPr>
        <w:ind w:left="5133" w:hanging="241"/>
      </w:pPr>
      <w:rPr>
        <w:rFonts w:hint="default"/>
        <w:lang w:val="en-US" w:eastAsia="zh-CN" w:bidi="ar-SA"/>
      </w:rPr>
    </w:lvl>
    <w:lvl w:ilvl="6">
      <w:start w:val="0"/>
      <w:numFmt w:val="bullet"/>
      <w:lvlText w:val="•"/>
      <w:lvlJc w:val="left"/>
      <w:pPr>
        <w:ind w:left="6079" w:hanging="241"/>
      </w:pPr>
      <w:rPr>
        <w:rFonts w:hint="default"/>
        <w:lang w:val="en-US" w:eastAsia="zh-CN" w:bidi="ar-SA"/>
      </w:rPr>
    </w:lvl>
    <w:lvl w:ilvl="7">
      <w:start w:val="0"/>
      <w:numFmt w:val="bullet"/>
      <w:lvlText w:val="•"/>
      <w:lvlJc w:val="left"/>
      <w:pPr>
        <w:ind w:left="7026" w:hanging="241"/>
      </w:pPr>
      <w:rPr>
        <w:rFonts w:hint="default"/>
        <w:lang w:val="en-US" w:eastAsia="zh-CN" w:bidi="ar-SA"/>
      </w:rPr>
    </w:lvl>
    <w:lvl w:ilvl="8">
      <w:start w:val="0"/>
      <w:numFmt w:val="bullet"/>
      <w:lvlText w:val="•"/>
      <w:lvlJc w:val="left"/>
      <w:pPr>
        <w:ind w:left="7973" w:hanging="241"/>
      </w:pPr>
      <w:rPr>
        <w:rFonts w:hint="default"/>
        <w:lang w:val="en-US" w:eastAsia="zh-CN" w:bidi="ar-SA"/>
      </w:rPr>
    </w:lvl>
  </w:abstractNum>
  <w:abstractNum w:abstractNumId="0">
    <w:multiLevelType w:val="hybridMultilevel"/>
    <w:lvl w:ilvl="0">
      <w:start w:val="1"/>
      <w:numFmt w:val="decimal"/>
      <w:lvlText w:val="（%1）"/>
      <w:lvlJc w:val="left"/>
      <w:pPr>
        <w:ind w:left="135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210" w:hanging="529"/>
      </w:pPr>
      <w:rPr>
        <w:rFonts w:hint="default"/>
        <w:lang w:val="en-US" w:eastAsia="zh-CN" w:bidi="ar-SA"/>
      </w:rPr>
    </w:lvl>
    <w:lvl w:ilvl="2">
      <w:start w:val="0"/>
      <w:numFmt w:val="bullet"/>
      <w:lvlText w:val="•"/>
      <w:lvlJc w:val="left"/>
      <w:pPr>
        <w:ind w:left="3061" w:hanging="529"/>
      </w:pPr>
      <w:rPr>
        <w:rFonts w:hint="default"/>
        <w:lang w:val="en-US" w:eastAsia="zh-CN" w:bidi="ar-SA"/>
      </w:rPr>
    </w:lvl>
    <w:lvl w:ilvl="3">
      <w:start w:val="0"/>
      <w:numFmt w:val="bullet"/>
      <w:lvlText w:val="•"/>
      <w:lvlJc w:val="left"/>
      <w:pPr>
        <w:ind w:left="3911" w:hanging="529"/>
      </w:pPr>
      <w:rPr>
        <w:rFonts w:hint="default"/>
        <w:lang w:val="en-US" w:eastAsia="zh-CN" w:bidi="ar-SA"/>
      </w:rPr>
    </w:lvl>
    <w:lvl w:ilvl="4">
      <w:start w:val="0"/>
      <w:numFmt w:val="bullet"/>
      <w:lvlText w:val="•"/>
      <w:lvlJc w:val="left"/>
      <w:pPr>
        <w:ind w:left="4762" w:hanging="529"/>
      </w:pPr>
      <w:rPr>
        <w:rFonts w:hint="default"/>
        <w:lang w:val="en-US" w:eastAsia="zh-CN" w:bidi="ar-SA"/>
      </w:rPr>
    </w:lvl>
    <w:lvl w:ilvl="5">
      <w:start w:val="0"/>
      <w:numFmt w:val="bullet"/>
      <w:lvlText w:val="•"/>
      <w:lvlJc w:val="left"/>
      <w:pPr>
        <w:ind w:left="5613" w:hanging="529"/>
      </w:pPr>
      <w:rPr>
        <w:rFonts w:hint="default"/>
        <w:lang w:val="en-US" w:eastAsia="zh-CN" w:bidi="ar-SA"/>
      </w:rPr>
    </w:lvl>
    <w:lvl w:ilvl="6">
      <w:start w:val="0"/>
      <w:numFmt w:val="bullet"/>
      <w:lvlText w:val="•"/>
      <w:lvlJc w:val="left"/>
      <w:pPr>
        <w:ind w:left="6463" w:hanging="529"/>
      </w:pPr>
      <w:rPr>
        <w:rFonts w:hint="default"/>
        <w:lang w:val="en-US" w:eastAsia="zh-CN" w:bidi="ar-SA"/>
      </w:rPr>
    </w:lvl>
    <w:lvl w:ilvl="7">
      <w:start w:val="0"/>
      <w:numFmt w:val="bullet"/>
      <w:lvlText w:val="•"/>
      <w:lvlJc w:val="left"/>
      <w:pPr>
        <w:ind w:left="7314" w:hanging="529"/>
      </w:pPr>
      <w:rPr>
        <w:rFonts w:hint="default"/>
        <w:lang w:val="en-US" w:eastAsia="zh-CN" w:bidi="ar-SA"/>
      </w:rPr>
    </w:lvl>
    <w:lvl w:ilvl="8">
      <w:start w:val="0"/>
      <w:numFmt w:val="bullet"/>
      <w:lvlText w:val="•"/>
      <w:lvlJc w:val="left"/>
      <w:pPr>
        <w:ind w:left="8165" w:hanging="529"/>
      </w:pPr>
      <w:rPr>
        <w:rFonts w:hint="default"/>
        <w:lang w:val="en-US" w:eastAsia="zh-CN" w:bidi="ar-SA"/>
      </w:rPr>
    </w:lvl>
  </w:abstractNum>
  <w:num w:numId="127">
    <w:abstractNumId w:val="126"/>
  </w:num>
  <w:num w:numId="98">
    <w:abstractNumId w:val="97"/>
  </w:num>
  <w:num w:numId="91">
    <w:abstractNumId w:val="90"/>
  </w:num>
  <w:num w:numId="130">
    <w:abstractNumId w:val="129"/>
  </w:num>
  <w:num w:numId="129">
    <w:abstractNumId w:val="128"/>
  </w:num>
  <w:num w:numId="128">
    <w:abstractNumId w:val="127"/>
  </w:num>
  <w:num w:numId="126">
    <w:abstractNumId w:val="125"/>
  </w:num>
  <w:num w:numId="125">
    <w:abstractNumId w:val="124"/>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7">
    <w:abstractNumId w:val="96"/>
  </w:num>
  <w:num w:numId="96">
    <w:abstractNumId w:val="95"/>
  </w:num>
  <w:num w:numId="95">
    <w:abstractNumId w:val="94"/>
  </w:num>
  <w:num w:numId="94">
    <w:abstractNumId w:val="93"/>
  </w:num>
  <w:num w:numId="93">
    <w:abstractNumId w:val="92"/>
  </w:num>
  <w:num w:numId="92">
    <w:abstractNumId w:val="91"/>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176"/>
      <w:ind w:right="9"/>
      <w:jc w:val="center"/>
    </w:pPr>
    <w:rPr>
      <w:rFonts w:ascii="宋体" w:hAnsi="宋体" w:eastAsia="宋体" w:cs="宋体"/>
      <w:b/>
      <w:bCs/>
      <w:sz w:val="20"/>
      <w:szCs w:val="20"/>
      <w:lang w:val="en-US" w:eastAsia="zh-CN" w:bidi="ar-SA"/>
    </w:rPr>
  </w:style>
  <w:style w:styleId="TOC2" w:type="paragraph">
    <w:name w:val="TOC 2"/>
    <w:basedOn w:val="Normal"/>
    <w:uiPriority w:val="1"/>
    <w:qFormat/>
    <w:pPr>
      <w:spacing w:before="56"/>
      <w:ind w:left="324"/>
    </w:pPr>
    <w:rPr>
      <w:rFonts w:ascii="宋体" w:hAnsi="宋体" w:eastAsia="宋体" w:cs="宋体"/>
      <w:sz w:val="20"/>
      <w:szCs w:val="20"/>
      <w:lang w:val="en-US" w:eastAsia="zh-CN" w:bidi="ar-SA"/>
    </w:rPr>
  </w:style>
  <w:style w:styleId="BodyText" w:type="paragraph">
    <w:name w:val="Body Text"/>
    <w:basedOn w:val="Normal"/>
    <w:uiPriority w:val="1"/>
    <w:qFormat/>
    <w:pPr>
      <w:spacing w:before="43"/>
    </w:pPr>
    <w:rPr>
      <w:rFonts w:ascii="宋体" w:hAnsi="宋体" w:eastAsia="宋体" w:cs="宋体"/>
      <w:sz w:val="21"/>
      <w:szCs w:val="21"/>
      <w:lang w:val="en-US" w:eastAsia="zh-CN" w:bidi="ar-SA"/>
    </w:rPr>
  </w:style>
  <w:style w:styleId="Heading1" w:type="paragraph">
    <w:name w:val="Heading 1"/>
    <w:basedOn w:val="Normal"/>
    <w:uiPriority w:val="1"/>
    <w:qFormat/>
    <w:pPr>
      <w:ind w:left="111" w:right="113"/>
      <w:jc w:val="center"/>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spacing w:before="72"/>
      <w:ind w:left="504"/>
      <w:outlineLvl w:val="2"/>
    </w:pPr>
    <w:rPr>
      <w:rFonts w:ascii="楷体" w:hAnsi="楷体" w:eastAsia="楷体" w:cs="楷体"/>
      <w:b/>
      <w:bCs/>
      <w:sz w:val="21"/>
      <w:szCs w:val="21"/>
      <w:lang w:val="en-US" w:eastAsia="zh-CN" w:bidi="ar-SA"/>
    </w:rPr>
  </w:style>
  <w:style w:styleId="Title" w:type="paragraph">
    <w:name w:val="Title"/>
    <w:basedOn w:val="Normal"/>
    <w:uiPriority w:val="1"/>
    <w:qFormat/>
    <w:pPr>
      <w:spacing w:before="219"/>
      <w:ind w:left="112"/>
    </w:pPr>
    <w:rPr>
      <w:rFonts w:ascii="宋体" w:hAnsi="宋体" w:eastAsia="宋体" w:cs="宋体"/>
      <w:b/>
      <w:bCs/>
      <w:sz w:val="36"/>
      <w:szCs w:val="36"/>
      <w:lang w:val="en-US" w:eastAsia="zh-CN" w:bidi="ar-SA"/>
    </w:rPr>
  </w:style>
  <w:style w:styleId="ListParagraph" w:type="paragraph">
    <w:name w:val="List Paragraph"/>
    <w:basedOn w:val="Normal"/>
    <w:uiPriority w:val="1"/>
    <w:qFormat/>
    <w:pPr>
      <w:spacing w:before="43"/>
      <w:ind w:left="504"/>
    </w:pPr>
    <w:rPr>
      <w:rFonts w:ascii="宋体" w:hAnsi="宋体" w:eastAsia="宋体" w:cs="宋体"/>
      <w:lang w:val="en-US" w:eastAsia="zh-CN" w:bidi="ar-SA"/>
    </w:rPr>
  </w:style>
  <w:style w:styleId="TableParagraph" w:type="paragraph">
    <w:name w:val="Table Paragraph"/>
    <w:basedOn w:val="Normal"/>
    <w:uiPriority w:val="1"/>
    <w:qFormat/>
    <w:pPr>
      <w:spacing w:before="22"/>
      <w:ind w:left="209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footer" Target="footer2.xm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2023-06-05T06:37:01Z</dcterms:created>
  <dcterms:modified xsi:type="dcterms:W3CDTF">2023-06-05T06:37:01Z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