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5"/>
        <w:ind w:left="0" w:right="114" w:firstLine="0"/>
        <w:jc w:val="right"/>
        <w:rPr>
          <w:sz w:val="12"/>
        </w:rPr>
      </w:pPr>
      <w:r>
        <w:drawing>
          <wp:anchor distT="0" distB="0" distL="0" distR="0" simplePos="0" relativeHeight="251659264" behindDoc="0" locked="0" layoutInCell="1" allowOverlap="1">
            <wp:simplePos x="0" y="0"/>
            <wp:positionH relativeFrom="page">
              <wp:posOffset>6450330</wp:posOffset>
            </wp:positionH>
            <wp:positionV relativeFrom="paragraph">
              <wp:posOffset>184785</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900" cy="723900"/>
                    </a:xfrm>
                    <a:prstGeom prst="rect">
                      <a:avLst/>
                    </a:prstGeom>
                  </pic:spPr>
                </pic:pic>
              </a:graphicData>
            </a:graphic>
          </wp:anchor>
        </w:drawing>
      </w:r>
      <w:r>
        <w:rPr>
          <w:sz w:val="12"/>
        </w:rPr>
        <w:t>利安人寿[2018]</w:t>
      </w:r>
      <w:r>
        <w:rPr>
          <w:spacing w:val="-6"/>
          <w:sz w:val="12"/>
        </w:rPr>
        <w:t xml:space="preserve">医疗保险 </w:t>
      </w:r>
      <w:r>
        <w:rPr>
          <w:sz w:val="12"/>
        </w:rPr>
        <w:t>052</w:t>
      </w:r>
      <w:r>
        <w:rPr>
          <w:spacing w:val="-20"/>
          <w:sz w:val="12"/>
        </w:rPr>
        <w:t xml:space="preserve"> 号</w:t>
      </w:r>
    </w:p>
    <w:p>
      <w:pPr>
        <w:pStyle w:val="4"/>
        <w:rPr>
          <w:sz w:val="20"/>
        </w:rPr>
      </w:pPr>
    </w:p>
    <w:p>
      <w:pPr>
        <w:pStyle w:val="4"/>
        <w:rPr>
          <w:sz w:val="20"/>
        </w:rPr>
      </w:pPr>
    </w:p>
    <w:p>
      <w:pPr>
        <w:pStyle w:val="4"/>
        <w:rPr>
          <w:sz w:val="20"/>
        </w:rPr>
      </w:pPr>
    </w:p>
    <w:p>
      <w:pPr>
        <w:spacing w:after="0"/>
        <w:rPr>
          <w:sz w:val="20"/>
        </w:rPr>
        <w:sectPr>
          <w:type w:val="continuous"/>
          <w:pgSz w:w="11910" w:h="16840"/>
          <w:pgMar w:top="180" w:right="220" w:bottom="280" w:left="900" w:header="720" w:footer="720" w:gutter="0"/>
          <w:cols w:space="720" w:num="1"/>
        </w:sectPr>
      </w:pPr>
    </w:p>
    <w:p>
      <w:pPr>
        <w:pStyle w:val="2"/>
        <w:spacing w:before="239" w:line="211" w:lineRule="auto"/>
        <w:ind w:left="3128" w:right="632"/>
        <w:jc w:val="center"/>
      </w:pPr>
      <w:r>
        <w:rPr>
          <w:spacing w:val="-2"/>
          <w:w w:val="95"/>
        </w:rPr>
        <w:t>利安人寿保险股份有限公司</w:t>
      </w:r>
      <w:bookmarkStart w:id="0" w:name="_GoBack"/>
      <w:r>
        <w:rPr>
          <w:spacing w:val="-2"/>
        </w:rPr>
        <w:t>畅享人生医疗保险条款</w:t>
      </w:r>
      <w:bookmarkEnd w:id="0"/>
    </w:p>
    <w:p>
      <w:pPr>
        <w:spacing w:before="153"/>
        <w:ind w:left="3127" w:right="632" w:firstLine="0"/>
        <w:jc w:val="center"/>
        <w:rPr>
          <w:rFonts w:ascii="黑体" w:eastAsia="黑体"/>
          <w:sz w:val="24"/>
        </w:rPr>
      </w:pPr>
      <w:r>
        <w:rPr>
          <w:rFonts w:ascii="黑体" w:eastAsia="黑体"/>
          <w:spacing w:val="-2"/>
          <w:sz w:val="24"/>
        </w:rPr>
        <w:t>阅 读 指 引</w:t>
      </w:r>
    </w:p>
    <w:p>
      <w:pPr>
        <w:spacing w:before="12"/>
        <w:ind w:left="2534" w:right="40" w:firstLine="0"/>
        <w:jc w:val="center"/>
        <w:rPr>
          <w:sz w:val="18"/>
        </w:rPr>
      </w:pPr>
      <w:r>
        <w:rPr>
          <w:spacing w:val="-128"/>
          <w:sz w:val="18"/>
        </w:rPr>
        <w:t>本</w:t>
      </w:r>
      <w:r>
        <w:rPr>
          <w:spacing w:val="-53"/>
          <w:position w:val="-6"/>
          <w:sz w:val="18"/>
        </w:rPr>
        <w:t>．</w:t>
      </w:r>
      <w:r>
        <w:rPr>
          <w:spacing w:val="-128"/>
          <w:sz w:val="18"/>
        </w:rPr>
        <w:t>阅</w:t>
      </w:r>
      <w:r>
        <w:rPr>
          <w:spacing w:val="-53"/>
          <w:position w:val="-6"/>
          <w:sz w:val="18"/>
        </w:rPr>
        <w:t>．</w:t>
      </w:r>
      <w:r>
        <w:rPr>
          <w:spacing w:val="-128"/>
          <w:sz w:val="18"/>
        </w:rPr>
        <w:t>读</w:t>
      </w:r>
      <w:r>
        <w:rPr>
          <w:spacing w:val="-53"/>
          <w:position w:val="-6"/>
          <w:sz w:val="18"/>
        </w:rPr>
        <w:t>．</w:t>
      </w:r>
      <w:r>
        <w:rPr>
          <w:spacing w:val="-127"/>
          <w:sz w:val="18"/>
        </w:rPr>
        <w:t>指</w:t>
      </w:r>
      <w:r>
        <w:rPr>
          <w:spacing w:val="-54"/>
          <w:position w:val="-6"/>
          <w:sz w:val="18"/>
        </w:rPr>
        <w:t>．</w:t>
      </w:r>
      <w:r>
        <w:rPr>
          <w:spacing w:val="-127"/>
          <w:sz w:val="18"/>
        </w:rPr>
        <w:t>引</w:t>
      </w:r>
      <w:r>
        <w:rPr>
          <w:spacing w:val="-54"/>
          <w:position w:val="-6"/>
          <w:sz w:val="18"/>
        </w:rPr>
        <w:t>．</w:t>
      </w:r>
      <w:r>
        <w:rPr>
          <w:spacing w:val="-127"/>
          <w:sz w:val="18"/>
        </w:rPr>
        <w:t>有</w:t>
      </w:r>
      <w:r>
        <w:rPr>
          <w:spacing w:val="-54"/>
          <w:position w:val="-6"/>
          <w:sz w:val="18"/>
        </w:rPr>
        <w:t>．</w:t>
      </w:r>
      <w:r>
        <w:rPr>
          <w:spacing w:val="-127"/>
          <w:sz w:val="18"/>
        </w:rPr>
        <w:t>助</w:t>
      </w:r>
      <w:r>
        <w:rPr>
          <w:spacing w:val="-54"/>
          <w:position w:val="-6"/>
          <w:sz w:val="18"/>
        </w:rPr>
        <w:t>．</w:t>
      </w:r>
      <w:r>
        <w:rPr>
          <w:spacing w:val="-127"/>
          <w:sz w:val="18"/>
        </w:rPr>
        <w:t>于</w:t>
      </w:r>
      <w:r>
        <w:rPr>
          <w:spacing w:val="-54"/>
          <w:position w:val="-6"/>
          <w:sz w:val="18"/>
        </w:rPr>
        <w:t>．</w:t>
      </w:r>
      <w:r>
        <w:rPr>
          <w:spacing w:val="-127"/>
          <w:sz w:val="18"/>
        </w:rPr>
        <w:t>理</w:t>
      </w:r>
      <w:r>
        <w:rPr>
          <w:spacing w:val="-54"/>
          <w:position w:val="-6"/>
          <w:sz w:val="18"/>
        </w:rPr>
        <w:t>．</w:t>
      </w:r>
      <w:r>
        <w:rPr>
          <w:spacing w:val="-127"/>
          <w:sz w:val="18"/>
        </w:rPr>
        <w:t>解</w:t>
      </w:r>
      <w:r>
        <w:rPr>
          <w:spacing w:val="-54"/>
          <w:position w:val="-6"/>
          <w:sz w:val="18"/>
        </w:rPr>
        <w:t>．</w:t>
      </w:r>
      <w:r>
        <w:rPr>
          <w:spacing w:val="-127"/>
          <w:sz w:val="18"/>
        </w:rPr>
        <w:t>条</w:t>
      </w:r>
      <w:r>
        <w:rPr>
          <w:spacing w:val="-54"/>
          <w:position w:val="-6"/>
          <w:sz w:val="18"/>
        </w:rPr>
        <w:t>．</w:t>
      </w:r>
      <w:r>
        <w:rPr>
          <w:spacing w:val="-127"/>
          <w:sz w:val="18"/>
        </w:rPr>
        <w:t>款</w:t>
      </w:r>
      <w:r>
        <w:rPr>
          <w:spacing w:val="-79"/>
          <w:position w:val="-6"/>
          <w:sz w:val="18"/>
        </w:rPr>
        <w:t>．</w:t>
      </w:r>
      <w:r>
        <w:rPr>
          <w:spacing w:val="-79"/>
          <w:sz w:val="18"/>
        </w:rPr>
        <w:t>，</w:t>
      </w:r>
      <w:r>
        <w:rPr>
          <w:spacing w:val="-79"/>
          <w:position w:val="-6"/>
          <w:sz w:val="18"/>
        </w:rPr>
        <w:t>．</w:t>
      </w:r>
      <w:r>
        <w:rPr>
          <w:spacing w:val="-127"/>
          <w:sz w:val="18"/>
        </w:rPr>
        <w:t>对</w:t>
      </w:r>
      <w:r>
        <w:rPr>
          <w:spacing w:val="-54"/>
          <w:position w:val="-6"/>
          <w:sz w:val="18"/>
        </w:rPr>
        <w:t>．</w:t>
      </w:r>
      <w:r>
        <w:rPr>
          <w:spacing w:val="-127"/>
          <w:sz w:val="18"/>
        </w:rPr>
        <w:t>本</w:t>
      </w:r>
      <w:r>
        <w:rPr>
          <w:spacing w:val="-54"/>
          <w:position w:val="-6"/>
          <w:sz w:val="18"/>
        </w:rPr>
        <w:t>．</w:t>
      </w:r>
      <w:r>
        <w:rPr>
          <w:spacing w:val="-127"/>
          <w:sz w:val="18"/>
        </w:rPr>
        <w:t>合</w:t>
      </w:r>
      <w:r>
        <w:rPr>
          <w:spacing w:val="-54"/>
          <w:position w:val="-6"/>
          <w:sz w:val="18"/>
        </w:rPr>
        <w:t>．</w:t>
      </w:r>
      <w:r>
        <w:rPr>
          <w:spacing w:val="-127"/>
          <w:sz w:val="18"/>
        </w:rPr>
        <w:t>同</w:t>
      </w:r>
      <w:r>
        <w:rPr>
          <w:spacing w:val="-54"/>
          <w:position w:val="-6"/>
          <w:sz w:val="18"/>
        </w:rPr>
        <w:t>．</w:t>
      </w:r>
      <w:r>
        <w:rPr>
          <w:spacing w:val="-127"/>
          <w:sz w:val="18"/>
        </w:rPr>
        <w:t>内</w:t>
      </w:r>
      <w:r>
        <w:rPr>
          <w:spacing w:val="-54"/>
          <w:position w:val="-6"/>
          <w:sz w:val="18"/>
        </w:rPr>
        <w:t>．</w:t>
      </w:r>
      <w:r>
        <w:rPr>
          <w:spacing w:val="-127"/>
          <w:sz w:val="18"/>
        </w:rPr>
        <w:t>容</w:t>
      </w:r>
      <w:r>
        <w:rPr>
          <w:spacing w:val="-54"/>
          <w:position w:val="-6"/>
          <w:sz w:val="18"/>
        </w:rPr>
        <w:t>．</w:t>
      </w:r>
      <w:r>
        <w:rPr>
          <w:spacing w:val="-127"/>
          <w:sz w:val="18"/>
        </w:rPr>
        <w:t>的</w:t>
      </w:r>
      <w:r>
        <w:rPr>
          <w:spacing w:val="-54"/>
          <w:position w:val="-6"/>
          <w:sz w:val="18"/>
        </w:rPr>
        <w:t>．</w:t>
      </w:r>
      <w:r>
        <w:rPr>
          <w:spacing w:val="-127"/>
          <w:sz w:val="18"/>
        </w:rPr>
        <w:t>解</w:t>
      </w:r>
      <w:r>
        <w:rPr>
          <w:spacing w:val="-54"/>
          <w:position w:val="-6"/>
          <w:sz w:val="18"/>
        </w:rPr>
        <w:t>．</w:t>
      </w:r>
      <w:r>
        <w:rPr>
          <w:spacing w:val="-127"/>
          <w:sz w:val="18"/>
        </w:rPr>
        <w:t>释</w:t>
      </w:r>
      <w:r>
        <w:rPr>
          <w:spacing w:val="-54"/>
          <w:position w:val="-6"/>
          <w:sz w:val="18"/>
        </w:rPr>
        <w:t>．</w:t>
      </w:r>
      <w:r>
        <w:rPr>
          <w:spacing w:val="-127"/>
          <w:sz w:val="18"/>
        </w:rPr>
        <w:t>以</w:t>
      </w:r>
      <w:r>
        <w:rPr>
          <w:spacing w:val="-54"/>
          <w:position w:val="-6"/>
          <w:sz w:val="18"/>
        </w:rPr>
        <w:t>．</w:t>
      </w:r>
      <w:r>
        <w:rPr>
          <w:spacing w:val="-127"/>
          <w:sz w:val="18"/>
        </w:rPr>
        <w:t>条</w:t>
      </w:r>
      <w:r>
        <w:rPr>
          <w:spacing w:val="-54"/>
          <w:position w:val="-6"/>
          <w:sz w:val="18"/>
        </w:rPr>
        <w:t>．</w:t>
      </w:r>
      <w:r>
        <w:rPr>
          <w:spacing w:val="-127"/>
          <w:sz w:val="18"/>
        </w:rPr>
        <w:t>款</w:t>
      </w:r>
      <w:r>
        <w:rPr>
          <w:spacing w:val="-54"/>
          <w:position w:val="-6"/>
          <w:sz w:val="18"/>
        </w:rPr>
        <w:t>．</w:t>
      </w:r>
      <w:r>
        <w:rPr>
          <w:spacing w:val="-127"/>
          <w:sz w:val="18"/>
        </w:rPr>
        <w:t>为</w:t>
      </w:r>
      <w:r>
        <w:rPr>
          <w:spacing w:val="-54"/>
          <w:position w:val="-6"/>
          <w:sz w:val="18"/>
        </w:rPr>
        <w:t>．</w:t>
      </w:r>
      <w:r>
        <w:rPr>
          <w:spacing w:val="-127"/>
          <w:sz w:val="18"/>
        </w:rPr>
        <w:t>准</w:t>
      </w:r>
      <w:r>
        <w:rPr>
          <w:spacing w:val="-53"/>
          <w:position w:val="-6"/>
          <w:sz w:val="18"/>
        </w:rPr>
        <w:t>．</w:t>
      </w:r>
      <w:r>
        <w:rPr>
          <w:spacing w:val="-10"/>
          <w:sz w:val="18"/>
        </w:rPr>
        <w:t>。</w:t>
      </w:r>
    </w:p>
    <w:p>
      <w:pPr>
        <w:pStyle w:val="3"/>
        <w:spacing w:before="146" w:line="478" w:lineRule="exact"/>
        <w:ind w:left="526"/>
      </w:pPr>
      <w:r>
        <w:rPr>
          <w:rFonts w:ascii="Wingdings 2" w:hAnsi="Wingdings 2" w:eastAsia="Wingdings 2"/>
          <w:position w:val="-11"/>
          <w:sz w:val="48"/>
        </w:rPr>
        <w:t></w:t>
      </w:r>
      <w:r>
        <w:rPr>
          <w:rFonts w:ascii="Times New Roman" w:hAnsi="Times New Roman" w:eastAsia="Times New Roman"/>
          <w:b w:val="0"/>
          <w:spacing w:val="25"/>
          <w:w w:val="150"/>
          <w:position w:val="-11"/>
          <w:sz w:val="48"/>
        </w:rPr>
        <w:t xml:space="preserve"> </w:t>
      </w:r>
      <w:r>
        <w:rPr>
          <w:spacing w:val="-2"/>
        </w:rPr>
        <w:t>您拥有的重要权益</w:t>
      </w:r>
    </w:p>
    <w:p>
      <w:pPr>
        <w:spacing w:before="0" w:line="240" w:lineRule="auto"/>
        <w:rPr>
          <w:rFonts w:ascii="黑体"/>
          <w:b/>
          <w:sz w:val="12"/>
        </w:rPr>
      </w:pPr>
      <w:r>
        <w:br w:type="column"/>
      </w:r>
    </w:p>
    <w:p>
      <w:pPr>
        <w:pStyle w:val="4"/>
        <w:rPr>
          <w:rFonts w:ascii="黑体"/>
          <w:b/>
          <w:sz w:val="12"/>
        </w:rPr>
      </w:pPr>
    </w:p>
    <w:p>
      <w:pPr>
        <w:pStyle w:val="4"/>
        <w:spacing w:before="12"/>
        <w:rPr>
          <w:rFonts w:ascii="黑体"/>
          <w:b/>
          <w:sz w:val="14"/>
        </w:rPr>
      </w:pPr>
    </w:p>
    <w:p>
      <w:pPr>
        <w:spacing w:before="0"/>
        <w:ind w:left="526" w:right="0" w:firstLine="0"/>
        <w:jc w:val="left"/>
        <w:rPr>
          <w:sz w:val="12"/>
        </w:rPr>
      </w:pPr>
      <w:r>
        <w:rPr>
          <w:spacing w:val="-1"/>
          <w:sz w:val="12"/>
        </w:rPr>
        <w:t>请扫描以查询验证条款</w:t>
      </w:r>
    </w:p>
    <w:p>
      <w:pPr>
        <w:spacing w:after="0"/>
        <w:jc w:val="left"/>
        <w:rPr>
          <w:sz w:val="12"/>
        </w:rPr>
        <w:sectPr>
          <w:type w:val="continuous"/>
          <w:pgSz w:w="11910" w:h="16840"/>
          <w:pgMar w:top="180" w:right="220" w:bottom="280" w:left="900" w:header="720" w:footer="720" w:gutter="0"/>
          <w:cols w:equalWidth="0" w:num="2">
            <w:col w:w="7616" w:space="1085"/>
            <w:col w:w="2089"/>
          </w:cols>
        </w:sectPr>
      </w:pPr>
    </w:p>
    <w:p>
      <w:pPr>
        <w:pStyle w:val="8"/>
        <w:numPr>
          <w:ilvl w:val="0"/>
          <w:numId w:val="1"/>
        </w:numPr>
        <w:tabs>
          <w:tab w:val="left" w:pos="1191"/>
          <w:tab w:val="right" w:leader="dot" w:pos="9762"/>
        </w:tabs>
        <w:spacing w:before="0" w:after="0" w:line="213" w:lineRule="exact"/>
        <w:ind w:left="1190" w:right="0" w:hanging="286"/>
        <w:jc w:val="left"/>
        <w:rPr>
          <w:sz w:val="18"/>
        </w:rPr>
      </w:pPr>
      <w:r>
        <w:rPr>
          <w:spacing w:val="-4"/>
          <w:sz w:val="18"/>
        </w:rPr>
        <w:t>签收本合同次日起</w:t>
      </w:r>
      <w:r>
        <w:rPr>
          <w:spacing w:val="-14"/>
          <w:sz w:val="18"/>
        </w:rPr>
        <w:t xml:space="preserve"> </w:t>
      </w:r>
      <w:r>
        <w:rPr>
          <w:spacing w:val="-4"/>
          <w:sz w:val="18"/>
        </w:rPr>
        <w:t>10</w:t>
      </w:r>
      <w:r>
        <w:rPr>
          <w:spacing w:val="-12"/>
          <w:sz w:val="18"/>
        </w:rPr>
        <w:t xml:space="preserve"> </w:t>
      </w:r>
      <w:r>
        <w:rPr>
          <w:spacing w:val="-4"/>
          <w:sz w:val="18"/>
        </w:rPr>
        <w:t>日（即犹豫期）内您若要求退保，我们全额退还保险费</w:t>
      </w:r>
      <w:r>
        <w:rPr>
          <w:spacing w:val="-10"/>
          <w:sz w:val="18"/>
        </w:rPr>
        <w:t>…</w:t>
      </w:r>
      <w:r>
        <w:rPr>
          <w:rFonts w:ascii="Times New Roman" w:hAnsi="Times New Roman" w:eastAsia="Times New Roman"/>
          <w:sz w:val="18"/>
        </w:rPr>
        <w:tab/>
      </w:r>
      <w:r>
        <w:rPr>
          <w:spacing w:val="-5"/>
          <w:sz w:val="18"/>
        </w:rPr>
        <w:t>1.4</w:t>
      </w:r>
    </w:p>
    <w:p>
      <w:pPr>
        <w:pStyle w:val="8"/>
        <w:numPr>
          <w:ilvl w:val="0"/>
          <w:numId w:val="1"/>
        </w:numPr>
        <w:tabs>
          <w:tab w:val="left" w:pos="1191"/>
          <w:tab w:val="right" w:leader="dot" w:pos="9763"/>
        </w:tabs>
        <w:spacing w:before="91" w:after="0" w:line="240" w:lineRule="auto"/>
        <w:ind w:left="1190" w:right="0" w:hanging="286"/>
        <w:jc w:val="left"/>
        <w:rPr>
          <w:sz w:val="18"/>
        </w:rPr>
      </w:pPr>
      <w:r>
        <w:rPr>
          <w:sz w:val="18"/>
        </w:rPr>
        <w:t>本合同提供的保障在保险责任条款中列</w:t>
      </w:r>
      <w:r>
        <w:rPr>
          <w:spacing w:val="-10"/>
          <w:sz w:val="18"/>
        </w:rPr>
        <w:t>明</w:t>
      </w:r>
      <w:r>
        <w:rPr>
          <w:rFonts w:ascii="Times New Roman" w:hAnsi="Times New Roman" w:eastAsia="Times New Roman"/>
          <w:sz w:val="18"/>
        </w:rPr>
        <w:tab/>
      </w:r>
      <w:r>
        <w:rPr>
          <w:spacing w:val="-5"/>
          <w:sz w:val="18"/>
        </w:rPr>
        <w:t>2.4</w:t>
      </w:r>
    </w:p>
    <w:p>
      <w:pPr>
        <w:pStyle w:val="8"/>
        <w:numPr>
          <w:ilvl w:val="0"/>
          <w:numId w:val="1"/>
        </w:numPr>
        <w:tabs>
          <w:tab w:val="left" w:pos="1191"/>
          <w:tab w:val="right" w:leader="dot" w:pos="9762"/>
        </w:tabs>
        <w:spacing w:before="88" w:after="0" w:line="230" w:lineRule="exact"/>
        <w:ind w:left="1190" w:right="0" w:hanging="286"/>
        <w:jc w:val="left"/>
        <w:rPr>
          <w:sz w:val="18"/>
        </w:rPr>
      </w:pPr>
      <w:r>
        <w:rPr>
          <w:sz w:val="18"/>
        </w:rPr>
        <w:t>您有退保的权</w:t>
      </w:r>
      <w:r>
        <w:rPr>
          <w:spacing w:val="-10"/>
          <w:sz w:val="18"/>
        </w:rPr>
        <w:t>利</w:t>
      </w:r>
      <w:r>
        <w:rPr>
          <w:rFonts w:ascii="Times New Roman" w:hAnsi="Times New Roman" w:eastAsia="Times New Roman"/>
          <w:sz w:val="18"/>
        </w:rPr>
        <w:tab/>
      </w:r>
      <w:r>
        <w:rPr>
          <w:spacing w:val="-5"/>
          <w:sz w:val="18"/>
        </w:rPr>
        <w:t>5.1</w:t>
      </w:r>
    </w:p>
    <w:p>
      <w:pPr>
        <w:pStyle w:val="3"/>
        <w:spacing w:before="0" w:line="468" w:lineRule="exact"/>
        <w:ind w:left="526"/>
      </w:pPr>
      <w:r>
        <w:rPr>
          <w:rFonts w:ascii="Wingdings 2" w:hAnsi="Wingdings 2" w:eastAsia="Wingdings 2"/>
          <w:position w:val="-11"/>
          <w:sz w:val="48"/>
        </w:rPr>
        <w:t></w:t>
      </w:r>
      <w:r>
        <w:rPr>
          <w:rFonts w:ascii="Times New Roman" w:hAnsi="Times New Roman" w:eastAsia="Times New Roman"/>
          <w:b w:val="0"/>
          <w:spacing w:val="22"/>
          <w:w w:val="150"/>
          <w:position w:val="-11"/>
          <w:sz w:val="48"/>
        </w:rPr>
        <w:t xml:space="preserve"> </w:t>
      </w:r>
      <w:r>
        <w:rPr>
          <w:spacing w:val="-1"/>
        </w:rPr>
        <w:t>您应当特别注意的事项</w:t>
      </w:r>
    </w:p>
    <w:p>
      <w:pPr>
        <w:pStyle w:val="8"/>
        <w:numPr>
          <w:ilvl w:val="0"/>
          <w:numId w:val="1"/>
        </w:numPr>
        <w:tabs>
          <w:tab w:val="left" w:pos="1191"/>
          <w:tab w:val="right" w:leader="dot" w:pos="9763"/>
        </w:tabs>
        <w:spacing w:before="0" w:after="0" w:line="193" w:lineRule="exact"/>
        <w:ind w:left="1190" w:right="0" w:hanging="286"/>
        <w:jc w:val="left"/>
        <w:rPr>
          <w:sz w:val="18"/>
        </w:rPr>
      </w:pPr>
      <w:r>
        <w:rPr>
          <w:sz w:val="18"/>
        </w:rPr>
        <w:t>本合同有责任免除条款，请您注</w:t>
      </w:r>
      <w:r>
        <w:rPr>
          <w:spacing w:val="-10"/>
          <w:sz w:val="18"/>
        </w:rPr>
        <w:t>意</w:t>
      </w:r>
      <w:r>
        <w:rPr>
          <w:rFonts w:ascii="Times New Roman" w:hAnsi="Times New Roman" w:eastAsia="Times New Roman"/>
          <w:sz w:val="18"/>
        </w:rPr>
        <w:tab/>
      </w:r>
      <w:r>
        <w:rPr>
          <w:spacing w:val="-5"/>
          <w:sz w:val="18"/>
        </w:rPr>
        <w:t>2.7</w:t>
      </w:r>
    </w:p>
    <w:p>
      <w:pPr>
        <w:pStyle w:val="8"/>
        <w:numPr>
          <w:ilvl w:val="0"/>
          <w:numId w:val="1"/>
        </w:numPr>
        <w:tabs>
          <w:tab w:val="left" w:pos="1191"/>
          <w:tab w:val="right" w:leader="dot" w:pos="9763"/>
        </w:tabs>
        <w:spacing w:before="89" w:after="0" w:line="240" w:lineRule="auto"/>
        <w:ind w:left="1190" w:right="0" w:hanging="286"/>
        <w:jc w:val="left"/>
        <w:rPr>
          <w:sz w:val="18"/>
        </w:rPr>
      </w:pPr>
      <w:r>
        <w:rPr>
          <w:sz w:val="18"/>
        </w:rPr>
        <w:t>保险事故发生后，请您及时通知我</w:t>
      </w:r>
      <w:r>
        <w:rPr>
          <w:spacing w:val="-10"/>
          <w:sz w:val="18"/>
        </w:rPr>
        <w:t>们</w:t>
      </w:r>
      <w:r>
        <w:rPr>
          <w:rFonts w:ascii="Times New Roman" w:hAnsi="Times New Roman" w:eastAsia="Times New Roman"/>
          <w:sz w:val="18"/>
        </w:rPr>
        <w:tab/>
      </w:r>
      <w:r>
        <w:rPr>
          <w:spacing w:val="-5"/>
          <w:sz w:val="18"/>
        </w:rPr>
        <w:t>3.2</w:t>
      </w:r>
    </w:p>
    <w:p>
      <w:pPr>
        <w:pStyle w:val="8"/>
        <w:numPr>
          <w:ilvl w:val="0"/>
          <w:numId w:val="1"/>
        </w:numPr>
        <w:tabs>
          <w:tab w:val="left" w:pos="1191"/>
          <w:tab w:val="right" w:leader="dot" w:pos="9767"/>
        </w:tabs>
        <w:spacing w:before="91" w:after="0" w:line="240" w:lineRule="auto"/>
        <w:ind w:left="1190" w:right="0" w:hanging="286"/>
        <w:jc w:val="left"/>
        <w:rPr>
          <w:sz w:val="18"/>
        </w:rPr>
      </w:pPr>
      <w:r>
        <w:rPr>
          <w:sz w:val="18"/>
        </w:rPr>
        <w:t>退保会给您造成一定的损失，请您慎重决</w:t>
      </w:r>
      <w:r>
        <w:rPr>
          <w:spacing w:val="-10"/>
          <w:sz w:val="18"/>
        </w:rPr>
        <w:t>策</w:t>
      </w:r>
      <w:r>
        <w:rPr>
          <w:rFonts w:ascii="Times New Roman" w:hAnsi="Times New Roman" w:eastAsia="Times New Roman"/>
          <w:sz w:val="18"/>
        </w:rPr>
        <w:tab/>
      </w:r>
      <w:r>
        <w:rPr>
          <w:spacing w:val="-5"/>
          <w:sz w:val="18"/>
        </w:rPr>
        <w:t>5.1</w:t>
      </w:r>
    </w:p>
    <w:p>
      <w:pPr>
        <w:pStyle w:val="8"/>
        <w:numPr>
          <w:ilvl w:val="0"/>
          <w:numId w:val="1"/>
        </w:numPr>
        <w:tabs>
          <w:tab w:val="left" w:pos="1191"/>
          <w:tab w:val="right" w:leader="dot" w:pos="9762"/>
        </w:tabs>
        <w:spacing w:before="89" w:after="0" w:line="240" w:lineRule="auto"/>
        <w:ind w:left="1190" w:right="0" w:hanging="286"/>
        <w:jc w:val="left"/>
        <w:rPr>
          <w:sz w:val="18"/>
        </w:rPr>
      </w:pPr>
      <w:r>
        <w:rPr>
          <w:sz w:val="18"/>
        </w:rPr>
        <w:t>您有如实告知的义</w:t>
      </w:r>
      <w:r>
        <w:rPr>
          <w:spacing w:val="-10"/>
          <w:sz w:val="18"/>
        </w:rPr>
        <w:t>务</w:t>
      </w:r>
      <w:r>
        <w:rPr>
          <w:rFonts w:ascii="Times New Roman" w:hAnsi="Times New Roman" w:eastAsia="Times New Roman"/>
          <w:sz w:val="18"/>
        </w:rPr>
        <w:tab/>
      </w:r>
      <w:r>
        <w:rPr>
          <w:spacing w:val="-5"/>
          <w:sz w:val="18"/>
        </w:rPr>
        <w:t>6.1</w:t>
      </w:r>
    </w:p>
    <w:p>
      <w:pPr>
        <w:pStyle w:val="8"/>
        <w:numPr>
          <w:ilvl w:val="0"/>
          <w:numId w:val="1"/>
        </w:numPr>
        <w:tabs>
          <w:tab w:val="left" w:pos="1191"/>
          <w:tab w:val="right" w:leader="dot" w:pos="9763"/>
        </w:tabs>
        <w:spacing w:before="89" w:after="0" w:line="240" w:lineRule="auto"/>
        <w:ind w:left="1190" w:right="0" w:hanging="286"/>
        <w:jc w:val="left"/>
        <w:rPr>
          <w:sz w:val="18"/>
        </w:rPr>
      </w:pPr>
      <w:r>
        <w:rPr>
          <w:sz w:val="18"/>
        </w:rPr>
        <w:t>我们对一些重要术语进行了解释，并作了显著标识，</w:t>
      </w:r>
      <w:r>
        <w:rPr>
          <w:spacing w:val="11"/>
          <w:sz w:val="18"/>
        </w:rPr>
        <w:t>请</w:t>
      </w:r>
      <w:r>
        <w:rPr>
          <w:sz w:val="18"/>
        </w:rPr>
        <w:t>您注</w:t>
      </w:r>
      <w:r>
        <w:rPr>
          <w:spacing w:val="-10"/>
          <w:sz w:val="18"/>
        </w:rPr>
        <w:t>意</w:t>
      </w:r>
      <w:r>
        <w:rPr>
          <w:rFonts w:ascii="Times New Roman" w:hAnsi="Times New Roman" w:eastAsia="Times New Roman"/>
          <w:sz w:val="18"/>
        </w:rPr>
        <w:tab/>
      </w:r>
      <w:r>
        <w:rPr>
          <w:spacing w:val="-10"/>
          <w:sz w:val="18"/>
        </w:rPr>
        <w:t>7</w:t>
      </w:r>
    </w:p>
    <w:p>
      <w:pPr>
        <w:pStyle w:val="3"/>
        <w:spacing w:before="0" w:line="422" w:lineRule="exact"/>
        <w:ind w:left="540"/>
      </w:pPr>
      <w:r>
        <w:rPr>
          <w:rFonts w:ascii="Wingdings 2" w:hAnsi="Wingdings 2" w:eastAsia="Wingdings 2"/>
          <w:position w:val="-11"/>
          <w:sz w:val="48"/>
        </w:rPr>
        <w:t></w:t>
      </w:r>
      <w:r>
        <w:rPr>
          <w:rFonts w:ascii="Times New Roman" w:hAnsi="Times New Roman" w:eastAsia="Times New Roman"/>
          <w:b w:val="0"/>
          <w:spacing w:val="70"/>
          <w:position w:val="-11"/>
          <w:sz w:val="48"/>
        </w:rPr>
        <w:t xml:space="preserve"> </w:t>
      </w:r>
      <w:r>
        <w:rPr>
          <w:spacing w:val="-1"/>
        </w:rPr>
        <w:t>保险条款是保险合同的重要内容，为充分保障您的权益，请仔细阅读本保险条款。</w:t>
      </w:r>
    </w:p>
    <w:p>
      <w:pPr>
        <w:spacing w:before="0" w:line="422" w:lineRule="exact"/>
        <w:ind w:left="540" w:right="0" w:firstLine="0"/>
        <w:jc w:val="left"/>
        <w:rPr>
          <w:rFonts w:hint="eastAsia" w:ascii="黑体" w:hAnsi="黑体" w:eastAsia="黑体"/>
          <w:b/>
          <w:sz w:val="21"/>
        </w:rPr>
      </w:pPr>
      <w:r>
        <w:pict>
          <v:shape id="docshape1" o:spid="_x0000_s1026" o:spt="202" type="#_x0000_t202" style="position:absolute;left:0pt;margin-left:88.2pt;margin-top:18.6pt;height:312.6pt;width:447.25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5"/>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92"/>
                    <w:gridCol w:w="3235"/>
                    <w:gridCol w:w="719"/>
                    <w:gridCol w:w="21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2792" w:type="dxa"/>
                      </w:tcPr>
                      <w:p>
                        <w:pPr>
                          <w:pStyle w:val="9"/>
                          <w:tabs>
                            <w:tab w:val="left" w:pos="2390"/>
                          </w:tabs>
                          <w:spacing w:line="205" w:lineRule="exact"/>
                          <w:ind w:left="50"/>
                          <w:rPr>
                            <w:rFonts w:ascii="黑体" w:eastAsia="黑体"/>
                            <w:sz w:val="18"/>
                          </w:rPr>
                        </w:pPr>
                        <w:r>
                          <w:rPr>
                            <w:rFonts w:ascii="黑体" w:eastAsia="黑体"/>
                            <w:color w:val="000000"/>
                            <w:sz w:val="18"/>
                            <w:shd w:val="clear" w:color="auto" w:fill="A6A6A6"/>
                          </w:rPr>
                          <w:t>1．您与我们订立的合</w:t>
                        </w:r>
                        <w:r>
                          <w:rPr>
                            <w:rFonts w:ascii="黑体" w:eastAsia="黑体"/>
                            <w:color w:val="000000"/>
                            <w:spacing w:val="-10"/>
                            <w:sz w:val="18"/>
                            <w:shd w:val="clear" w:color="auto" w:fill="A6A6A6"/>
                          </w:rPr>
                          <w:t>同</w:t>
                        </w:r>
                        <w:r>
                          <w:rPr>
                            <w:rFonts w:ascii="黑体" w:eastAsia="黑体"/>
                            <w:color w:val="000000"/>
                            <w:sz w:val="18"/>
                            <w:shd w:val="clear" w:color="auto" w:fill="A6A6A6"/>
                          </w:rPr>
                          <w:tab/>
                        </w:r>
                      </w:p>
                    </w:tc>
                    <w:tc>
                      <w:tcPr>
                        <w:tcW w:w="3235" w:type="dxa"/>
                      </w:tcPr>
                      <w:p>
                        <w:pPr>
                          <w:pStyle w:val="9"/>
                          <w:spacing w:line="205" w:lineRule="exact"/>
                          <w:ind w:left="402"/>
                          <w:rPr>
                            <w:rFonts w:ascii="黑体" w:eastAsia="黑体"/>
                            <w:sz w:val="18"/>
                          </w:rPr>
                        </w:pPr>
                        <w:r>
                          <w:rPr>
                            <w:rFonts w:ascii="黑体" w:eastAsia="黑体"/>
                            <w:sz w:val="18"/>
                          </w:rPr>
                          <w:t>4.1</w:t>
                        </w:r>
                        <w:r>
                          <w:rPr>
                            <w:rFonts w:ascii="黑体" w:eastAsia="黑体"/>
                            <w:spacing w:val="-3"/>
                            <w:sz w:val="18"/>
                          </w:rPr>
                          <w:t xml:space="preserve"> 保险费的支付</w:t>
                        </w:r>
                      </w:p>
                    </w:tc>
                    <w:tc>
                      <w:tcPr>
                        <w:tcW w:w="719" w:type="dxa"/>
                      </w:tcPr>
                      <w:p>
                        <w:pPr>
                          <w:pStyle w:val="9"/>
                          <w:spacing w:line="205" w:lineRule="exact"/>
                          <w:ind w:left="314"/>
                          <w:rPr>
                            <w:rFonts w:ascii="黑体"/>
                            <w:sz w:val="18"/>
                          </w:rPr>
                        </w:pPr>
                        <w:r>
                          <w:rPr>
                            <w:rFonts w:ascii="黑体"/>
                            <w:spacing w:val="-4"/>
                            <w:sz w:val="18"/>
                          </w:rPr>
                          <w:t>7.10</w:t>
                        </w:r>
                      </w:p>
                    </w:tc>
                    <w:tc>
                      <w:tcPr>
                        <w:tcW w:w="2197" w:type="dxa"/>
                      </w:tcPr>
                      <w:p>
                        <w:pPr>
                          <w:pStyle w:val="9"/>
                          <w:spacing w:line="205" w:lineRule="exact"/>
                          <w:ind w:left="46"/>
                          <w:rPr>
                            <w:rFonts w:ascii="黑体" w:eastAsia="黑体"/>
                            <w:sz w:val="18"/>
                          </w:rPr>
                        </w:pPr>
                        <w:r>
                          <w:rPr>
                            <w:rFonts w:ascii="黑体" w:eastAsia="黑体"/>
                            <w:spacing w:val="-2"/>
                            <w:sz w:val="18"/>
                          </w:rPr>
                          <w:t>住院医疗费用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1.1</w:t>
                        </w:r>
                        <w:r>
                          <w:rPr>
                            <w:rFonts w:ascii="黑体" w:eastAsia="黑体"/>
                            <w:spacing w:val="-3"/>
                            <w:sz w:val="18"/>
                          </w:rPr>
                          <w:t xml:space="preserve"> 合同构成</w:t>
                        </w:r>
                      </w:p>
                    </w:tc>
                    <w:tc>
                      <w:tcPr>
                        <w:tcW w:w="3235" w:type="dxa"/>
                      </w:tcPr>
                      <w:p>
                        <w:pPr>
                          <w:pStyle w:val="9"/>
                          <w:spacing w:before="44"/>
                          <w:ind w:left="402"/>
                          <w:rPr>
                            <w:rFonts w:ascii="黑体" w:eastAsia="黑体"/>
                            <w:sz w:val="18"/>
                          </w:rPr>
                        </w:pPr>
                        <w:r>
                          <w:rPr>
                            <w:rFonts w:ascii="黑体" w:eastAsia="黑体"/>
                            <w:color w:val="000000"/>
                            <w:sz w:val="18"/>
                            <w:shd w:val="clear" w:color="auto" w:fill="A6A6A6"/>
                          </w:rPr>
                          <w:t>5</w:t>
                        </w:r>
                        <w:r>
                          <w:rPr>
                            <w:rFonts w:ascii="黑体" w:eastAsia="黑体"/>
                            <w:color w:val="000000"/>
                            <w:spacing w:val="-2"/>
                            <w:sz w:val="18"/>
                            <w:shd w:val="clear" w:color="auto" w:fill="A6A6A6"/>
                          </w:rPr>
                          <w:t>．如何解除保险合同</w:t>
                        </w:r>
                      </w:p>
                    </w:tc>
                    <w:tc>
                      <w:tcPr>
                        <w:tcW w:w="719" w:type="dxa"/>
                      </w:tcPr>
                      <w:p>
                        <w:pPr>
                          <w:pStyle w:val="9"/>
                          <w:spacing w:before="44"/>
                          <w:ind w:left="314"/>
                          <w:rPr>
                            <w:rFonts w:ascii="黑体"/>
                            <w:sz w:val="18"/>
                          </w:rPr>
                        </w:pPr>
                        <w:r>
                          <w:rPr>
                            <w:rFonts w:ascii="黑体"/>
                            <w:spacing w:val="-4"/>
                            <w:sz w:val="18"/>
                          </w:rPr>
                          <w:t>7.11</w:t>
                        </w:r>
                      </w:p>
                    </w:tc>
                    <w:tc>
                      <w:tcPr>
                        <w:tcW w:w="2197" w:type="dxa"/>
                      </w:tcPr>
                      <w:p>
                        <w:pPr>
                          <w:pStyle w:val="9"/>
                          <w:spacing w:before="44"/>
                          <w:ind w:left="46"/>
                          <w:rPr>
                            <w:rFonts w:ascii="黑体" w:eastAsia="黑体"/>
                            <w:sz w:val="18"/>
                          </w:rPr>
                        </w:pPr>
                        <w:r>
                          <w:rPr>
                            <w:rFonts w:ascii="黑体" w:eastAsia="黑体"/>
                            <w:spacing w:val="-2"/>
                            <w:sz w:val="18"/>
                          </w:rPr>
                          <w:t>基本医疗保险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1.2</w:t>
                        </w:r>
                        <w:r>
                          <w:rPr>
                            <w:rFonts w:ascii="黑体" w:eastAsia="黑体"/>
                            <w:spacing w:val="-3"/>
                            <w:sz w:val="18"/>
                          </w:rPr>
                          <w:t xml:space="preserve"> 合同成立与生效</w:t>
                        </w:r>
                      </w:p>
                    </w:tc>
                    <w:tc>
                      <w:tcPr>
                        <w:tcW w:w="3235" w:type="dxa"/>
                      </w:tcPr>
                      <w:p>
                        <w:pPr>
                          <w:pStyle w:val="9"/>
                          <w:spacing w:before="45"/>
                          <w:ind w:left="402"/>
                          <w:rPr>
                            <w:rFonts w:ascii="黑体" w:eastAsia="黑体"/>
                            <w:sz w:val="18"/>
                          </w:rPr>
                        </w:pPr>
                        <w:r>
                          <w:rPr>
                            <w:rFonts w:ascii="黑体" w:eastAsia="黑体"/>
                            <w:sz w:val="18"/>
                          </w:rPr>
                          <w:t>5.1</w:t>
                        </w:r>
                        <w:r>
                          <w:rPr>
                            <w:rFonts w:ascii="黑体" w:eastAsia="黑体"/>
                            <w:spacing w:val="-2"/>
                            <w:sz w:val="18"/>
                          </w:rPr>
                          <w:t xml:space="preserve"> 您解除合同的手续及风险</w:t>
                        </w:r>
                      </w:p>
                    </w:tc>
                    <w:tc>
                      <w:tcPr>
                        <w:tcW w:w="719" w:type="dxa"/>
                      </w:tcPr>
                      <w:p>
                        <w:pPr>
                          <w:pStyle w:val="9"/>
                          <w:spacing w:before="45"/>
                          <w:ind w:left="314"/>
                          <w:rPr>
                            <w:rFonts w:ascii="黑体"/>
                            <w:sz w:val="18"/>
                          </w:rPr>
                        </w:pPr>
                        <w:r>
                          <w:rPr>
                            <w:rFonts w:ascii="黑体"/>
                            <w:spacing w:val="-4"/>
                            <w:sz w:val="18"/>
                          </w:rPr>
                          <w:t>7.12</w:t>
                        </w:r>
                      </w:p>
                    </w:tc>
                    <w:tc>
                      <w:tcPr>
                        <w:tcW w:w="2197" w:type="dxa"/>
                      </w:tcPr>
                      <w:p>
                        <w:pPr>
                          <w:pStyle w:val="9"/>
                          <w:spacing w:before="45"/>
                          <w:ind w:left="56"/>
                          <w:rPr>
                            <w:rFonts w:ascii="黑体" w:eastAsia="黑体"/>
                            <w:sz w:val="18"/>
                          </w:rPr>
                        </w:pPr>
                        <w:r>
                          <w:rPr>
                            <w:rFonts w:ascii="黑体" w:eastAsia="黑体"/>
                            <w:spacing w:val="3"/>
                            <w:sz w:val="18"/>
                          </w:rPr>
                          <w:t>感染艾滋病病毒或患艾滋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1.3</w:t>
                        </w:r>
                        <w:r>
                          <w:rPr>
                            <w:rFonts w:ascii="黑体" w:eastAsia="黑体"/>
                            <w:spacing w:val="-3"/>
                            <w:sz w:val="18"/>
                          </w:rPr>
                          <w:t xml:space="preserve"> 投保范围</w:t>
                        </w:r>
                      </w:p>
                    </w:tc>
                    <w:tc>
                      <w:tcPr>
                        <w:tcW w:w="3235" w:type="dxa"/>
                      </w:tcPr>
                      <w:p>
                        <w:pPr>
                          <w:pStyle w:val="9"/>
                          <w:spacing w:before="44"/>
                          <w:ind w:left="402"/>
                          <w:rPr>
                            <w:rFonts w:ascii="黑体" w:eastAsia="黑体"/>
                            <w:sz w:val="18"/>
                          </w:rPr>
                        </w:pPr>
                        <w:r>
                          <w:rPr>
                            <w:rFonts w:ascii="黑体" w:eastAsia="黑体"/>
                            <w:color w:val="000000"/>
                            <w:sz w:val="18"/>
                            <w:shd w:val="clear" w:color="auto" w:fill="A6A6A6"/>
                          </w:rPr>
                          <w:t>6</w:t>
                        </w:r>
                        <w:r>
                          <w:rPr>
                            <w:rFonts w:ascii="黑体" w:eastAsia="黑体"/>
                            <w:color w:val="000000"/>
                            <w:spacing w:val="-1"/>
                            <w:sz w:val="18"/>
                            <w:shd w:val="clear" w:color="auto" w:fill="A6A6A6"/>
                          </w:rPr>
                          <w:t>．其他需要关注的事项</w:t>
                        </w:r>
                        <w:r>
                          <w:rPr>
                            <w:rFonts w:ascii="黑体" w:eastAsia="黑体"/>
                            <w:color w:val="000000"/>
                            <w:spacing w:val="80"/>
                            <w:sz w:val="18"/>
                            <w:shd w:val="clear" w:color="auto" w:fill="A6A6A6"/>
                          </w:rPr>
                          <w:t xml:space="preserve"> </w:t>
                        </w:r>
                      </w:p>
                    </w:tc>
                    <w:tc>
                      <w:tcPr>
                        <w:tcW w:w="719" w:type="dxa"/>
                      </w:tcPr>
                      <w:p>
                        <w:pPr>
                          <w:pStyle w:val="9"/>
                          <w:spacing w:before="44"/>
                          <w:ind w:left="314"/>
                          <w:rPr>
                            <w:rFonts w:ascii="黑体" w:eastAsia="黑体"/>
                            <w:sz w:val="18"/>
                          </w:rPr>
                        </w:pPr>
                        <w:r>
                          <w:rPr>
                            <w:rFonts w:ascii="黑体" w:eastAsia="黑体"/>
                            <w:sz w:val="18"/>
                          </w:rPr>
                          <w:t>病</w:t>
                        </w:r>
                      </w:p>
                    </w:tc>
                    <w:tc>
                      <w:tcPr>
                        <w:tcW w:w="2197" w:type="dxa"/>
                      </w:tcPr>
                      <w:p>
                        <w:pPr>
                          <w:pStyle w:val="9"/>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1.4</w:t>
                        </w:r>
                        <w:r>
                          <w:rPr>
                            <w:rFonts w:ascii="黑体" w:eastAsia="黑体"/>
                            <w:spacing w:val="-4"/>
                            <w:sz w:val="18"/>
                          </w:rPr>
                          <w:t xml:space="preserve"> 犹豫期</w:t>
                        </w:r>
                      </w:p>
                    </w:tc>
                    <w:tc>
                      <w:tcPr>
                        <w:tcW w:w="3235" w:type="dxa"/>
                      </w:tcPr>
                      <w:p>
                        <w:pPr>
                          <w:pStyle w:val="9"/>
                          <w:spacing w:before="44"/>
                          <w:ind w:left="402"/>
                          <w:rPr>
                            <w:rFonts w:ascii="黑体" w:eastAsia="黑体"/>
                            <w:sz w:val="18"/>
                          </w:rPr>
                        </w:pPr>
                        <w:r>
                          <w:rPr>
                            <w:rFonts w:ascii="黑体" w:eastAsia="黑体"/>
                            <w:sz w:val="18"/>
                          </w:rPr>
                          <w:t>6.1</w:t>
                        </w:r>
                        <w:r>
                          <w:rPr>
                            <w:rFonts w:ascii="黑体" w:eastAsia="黑体"/>
                            <w:spacing w:val="-2"/>
                            <w:sz w:val="18"/>
                          </w:rPr>
                          <w:t xml:space="preserve"> 明确说明与如实告知</w:t>
                        </w:r>
                      </w:p>
                    </w:tc>
                    <w:tc>
                      <w:tcPr>
                        <w:tcW w:w="719" w:type="dxa"/>
                      </w:tcPr>
                      <w:p>
                        <w:pPr>
                          <w:pStyle w:val="9"/>
                          <w:spacing w:before="44"/>
                          <w:ind w:left="314"/>
                          <w:rPr>
                            <w:rFonts w:ascii="黑体"/>
                            <w:sz w:val="18"/>
                          </w:rPr>
                        </w:pPr>
                        <w:r>
                          <w:rPr>
                            <w:rFonts w:ascii="黑体"/>
                            <w:spacing w:val="-4"/>
                            <w:sz w:val="18"/>
                          </w:rPr>
                          <w:t>7.13</w:t>
                        </w:r>
                      </w:p>
                    </w:tc>
                    <w:tc>
                      <w:tcPr>
                        <w:tcW w:w="2197" w:type="dxa"/>
                      </w:tcPr>
                      <w:p>
                        <w:pPr>
                          <w:pStyle w:val="9"/>
                          <w:spacing w:before="44"/>
                          <w:ind w:left="46"/>
                          <w:rPr>
                            <w:rFonts w:ascii="黑体" w:eastAsia="黑体"/>
                            <w:sz w:val="18"/>
                          </w:rPr>
                        </w:pPr>
                        <w:r>
                          <w:rPr>
                            <w:rFonts w:ascii="黑体" w:eastAsia="黑体"/>
                            <w:spacing w:val="-3"/>
                            <w:sz w:val="18"/>
                          </w:rPr>
                          <w:t>既往疾病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color w:val="000000"/>
                            <w:sz w:val="18"/>
                            <w:shd w:val="clear" w:color="auto" w:fill="A6A6A6"/>
                          </w:rPr>
                          <w:t>2</w:t>
                        </w:r>
                        <w:r>
                          <w:rPr>
                            <w:rFonts w:ascii="黑体" w:eastAsia="黑体"/>
                            <w:color w:val="000000"/>
                            <w:spacing w:val="-2"/>
                            <w:sz w:val="18"/>
                            <w:shd w:val="clear" w:color="auto" w:fill="A6A6A6"/>
                          </w:rPr>
                          <w:t>．我们提供的保障</w:t>
                        </w:r>
                      </w:p>
                    </w:tc>
                    <w:tc>
                      <w:tcPr>
                        <w:tcW w:w="3235" w:type="dxa"/>
                      </w:tcPr>
                      <w:p>
                        <w:pPr>
                          <w:pStyle w:val="9"/>
                          <w:spacing w:before="45"/>
                          <w:ind w:left="402"/>
                          <w:rPr>
                            <w:rFonts w:ascii="黑体" w:eastAsia="黑体"/>
                            <w:sz w:val="18"/>
                          </w:rPr>
                        </w:pPr>
                        <w:r>
                          <w:rPr>
                            <w:rFonts w:ascii="黑体" w:eastAsia="黑体"/>
                            <w:sz w:val="18"/>
                          </w:rPr>
                          <w:t>6.2</w:t>
                        </w:r>
                        <w:r>
                          <w:rPr>
                            <w:rFonts w:ascii="黑体" w:eastAsia="黑体"/>
                            <w:spacing w:val="-2"/>
                            <w:sz w:val="18"/>
                          </w:rPr>
                          <w:t xml:space="preserve"> 我们合同解除权的限制</w:t>
                        </w:r>
                      </w:p>
                    </w:tc>
                    <w:tc>
                      <w:tcPr>
                        <w:tcW w:w="719" w:type="dxa"/>
                      </w:tcPr>
                      <w:p>
                        <w:pPr>
                          <w:pStyle w:val="9"/>
                          <w:spacing w:before="45"/>
                          <w:ind w:left="314"/>
                          <w:rPr>
                            <w:rFonts w:ascii="黑体"/>
                            <w:sz w:val="18"/>
                          </w:rPr>
                        </w:pPr>
                        <w:r>
                          <w:rPr>
                            <w:rFonts w:ascii="黑体"/>
                            <w:spacing w:val="-4"/>
                            <w:sz w:val="18"/>
                          </w:rPr>
                          <w:t>7.14</w:t>
                        </w:r>
                      </w:p>
                    </w:tc>
                    <w:tc>
                      <w:tcPr>
                        <w:tcW w:w="2197" w:type="dxa"/>
                      </w:tcPr>
                      <w:p>
                        <w:pPr>
                          <w:pStyle w:val="9"/>
                          <w:spacing w:before="45"/>
                          <w:ind w:left="46"/>
                          <w:rPr>
                            <w:rFonts w:ascii="黑体" w:eastAsia="黑体"/>
                            <w:sz w:val="18"/>
                          </w:rPr>
                        </w:pPr>
                        <w:r>
                          <w:rPr>
                            <w:rFonts w:ascii="黑体" w:eastAsia="黑体"/>
                            <w:spacing w:val="-5"/>
                            <w:sz w:val="18"/>
                          </w:rPr>
                          <w:t>毒品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2.1</w:t>
                        </w:r>
                        <w:r>
                          <w:rPr>
                            <w:rFonts w:ascii="黑体" w:eastAsia="黑体"/>
                            <w:spacing w:val="-3"/>
                            <w:sz w:val="18"/>
                          </w:rPr>
                          <w:t xml:space="preserve"> 保险期间</w:t>
                        </w:r>
                      </w:p>
                    </w:tc>
                    <w:tc>
                      <w:tcPr>
                        <w:tcW w:w="3235" w:type="dxa"/>
                      </w:tcPr>
                      <w:p>
                        <w:pPr>
                          <w:pStyle w:val="9"/>
                          <w:spacing w:before="44"/>
                          <w:ind w:left="402"/>
                          <w:rPr>
                            <w:rFonts w:ascii="黑体" w:eastAsia="黑体"/>
                            <w:sz w:val="18"/>
                          </w:rPr>
                        </w:pPr>
                        <w:r>
                          <w:rPr>
                            <w:rFonts w:ascii="黑体" w:eastAsia="黑体"/>
                            <w:sz w:val="18"/>
                          </w:rPr>
                          <w:t>6.3</w:t>
                        </w:r>
                        <w:r>
                          <w:rPr>
                            <w:rFonts w:ascii="黑体" w:eastAsia="黑体"/>
                            <w:spacing w:val="-2"/>
                            <w:sz w:val="18"/>
                          </w:rPr>
                          <w:t xml:space="preserve"> 职业或工种的确定与变更</w:t>
                        </w:r>
                      </w:p>
                    </w:tc>
                    <w:tc>
                      <w:tcPr>
                        <w:tcW w:w="719" w:type="dxa"/>
                      </w:tcPr>
                      <w:p>
                        <w:pPr>
                          <w:pStyle w:val="9"/>
                          <w:spacing w:before="44"/>
                          <w:ind w:left="314"/>
                          <w:rPr>
                            <w:rFonts w:ascii="黑体"/>
                            <w:sz w:val="18"/>
                          </w:rPr>
                        </w:pPr>
                        <w:r>
                          <w:rPr>
                            <w:rFonts w:ascii="黑体"/>
                            <w:spacing w:val="-4"/>
                            <w:sz w:val="18"/>
                          </w:rPr>
                          <w:t>7.15</w:t>
                        </w:r>
                      </w:p>
                    </w:tc>
                    <w:tc>
                      <w:tcPr>
                        <w:tcW w:w="2197" w:type="dxa"/>
                      </w:tcPr>
                      <w:p>
                        <w:pPr>
                          <w:pStyle w:val="9"/>
                          <w:spacing w:before="44"/>
                          <w:ind w:left="46"/>
                          <w:rPr>
                            <w:rFonts w:ascii="黑体" w:eastAsia="黑体"/>
                            <w:sz w:val="18"/>
                          </w:rPr>
                        </w:pPr>
                        <w:r>
                          <w:rPr>
                            <w:rFonts w:ascii="黑体" w:eastAsia="黑体"/>
                            <w:spacing w:val="-5"/>
                            <w:sz w:val="18"/>
                          </w:rPr>
                          <w:t>斗殴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2.2</w:t>
                        </w:r>
                        <w:r>
                          <w:rPr>
                            <w:rFonts w:ascii="黑体" w:eastAsia="黑体"/>
                            <w:spacing w:val="-2"/>
                            <w:sz w:val="18"/>
                          </w:rPr>
                          <w:t xml:space="preserve"> 保障计划及保障区域</w:t>
                        </w:r>
                      </w:p>
                    </w:tc>
                    <w:tc>
                      <w:tcPr>
                        <w:tcW w:w="3235" w:type="dxa"/>
                      </w:tcPr>
                      <w:p>
                        <w:pPr>
                          <w:pStyle w:val="9"/>
                          <w:spacing w:before="44"/>
                          <w:ind w:left="402"/>
                          <w:rPr>
                            <w:rFonts w:ascii="黑体" w:eastAsia="黑体"/>
                            <w:sz w:val="18"/>
                          </w:rPr>
                        </w:pPr>
                        <w:r>
                          <w:rPr>
                            <w:rFonts w:ascii="黑体" w:eastAsia="黑体"/>
                            <w:sz w:val="18"/>
                          </w:rPr>
                          <w:t>6.4</w:t>
                        </w:r>
                        <w:r>
                          <w:rPr>
                            <w:rFonts w:ascii="黑体" w:eastAsia="黑体"/>
                            <w:spacing w:val="-2"/>
                            <w:sz w:val="18"/>
                          </w:rPr>
                          <w:t xml:space="preserve"> 年龄和性别确定与错误处理</w:t>
                        </w:r>
                      </w:p>
                    </w:tc>
                    <w:tc>
                      <w:tcPr>
                        <w:tcW w:w="719" w:type="dxa"/>
                      </w:tcPr>
                      <w:p>
                        <w:pPr>
                          <w:pStyle w:val="9"/>
                          <w:spacing w:before="44"/>
                          <w:ind w:left="314"/>
                          <w:rPr>
                            <w:rFonts w:ascii="黑体"/>
                            <w:sz w:val="18"/>
                          </w:rPr>
                        </w:pPr>
                        <w:r>
                          <w:rPr>
                            <w:rFonts w:ascii="黑体"/>
                            <w:spacing w:val="-4"/>
                            <w:sz w:val="18"/>
                          </w:rPr>
                          <w:t>7.16</w:t>
                        </w:r>
                      </w:p>
                    </w:tc>
                    <w:tc>
                      <w:tcPr>
                        <w:tcW w:w="2197" w:type="dxa"/>
                      </w:tcPr>
                      <w:p>
                        <w:pPr>
                          <w:pStyle w:val="9"/>
                          <w:spacing w:before="44"/>
                          <w:ind w:left="46"/>
                          <w:rPr>
                            <w:rFonts w:ascii="黑体" w:eastAsia="黑体"/>
                            <w:sz w:val="18"/>
                          </w:rPr>
                        </w:pPr>
                        <w:r>
                          <w:rPr>
                            <w:rFonts w:ascii="黑体" w:eastAsia="黑体"/>
                            <w:spacing w:val="-3"/>
                            <w:sz w:val="18"/>
                          </w:rPr>
                          <w:t>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2.3</w:t>
                        </w:r>
                        <w:r>
                          <w:rPr>
                            <w:rFonts w:ascii="黑体" w:eastAsia="黑体"/>
                            <w:spacing w:val="-4"/>
                            <w:sz w:val="18"/>
                          </w:rPr>
                          <w:t xml:space="preserve"> 续保</w:t>
                        </w:r>
                      </w:p>
                    </w:tc>
                    <w:tc>
                      <w:tcPr>
                        <w:tcW w:w="3235" w:type="dxa"/>
                      </w:tcPr>
                      <w:p>
                        <w:pPr>
                          <w:pStyle w:val="9"/>
                          <w:spacing w:before="45"/>
                          <w:ind w:left="402"/>
                          <w:rPr>
                            <w:rFonts w:ascii="黑体" w:eastAsia="黑体"/>
                            <w:sz w:val="18"/>
                          </w:rPr>
                        </w:pPr>
                        <w:r>
                          <w:rPr>
                            <w:rFonts w:ascii="黑体" w:eastAsia="黑体"/>
                            <w:sz w:val="18"/>
                          </w:rPr>
                          <w:t>6.5</w:t>
                        </w:r>
                        <w:r>
                          <w:rPr>
                            <w:rFonts w:ascii="黑体" w:eastAsia="黑体"/>
                            <w:spacing w:val="-3"/>
                            <w:sz w:val="18"/>
                          </w:rPr>
                          <w:t xml:space="preserve"> 合同内容变更</w:t>
                        </w:r>
                      </w:p>
                    </w:tc>
                    <w:tc>
                      <w:tcPr>
                        <w:tcW w:w="719" w:type="dxa"/>
                      </w:tcPr>
                      <w:p>
                        <w:pPr>
                          <w:pStyle w:val="9"/>
                          <w:spacing w:before="45"/>
                          <w:ind w:left="314"/>
                          <w:rPr>
                            <w:rFonts w:ascii="黑体"/>
                            <w:sz w:val="18"/>
                          </w:rPr>
                        </w:pPr>
                        <w:r>
                          <w:rPr>
                            <w:rFonts w:ascii="黑体"/>
                            <w:spacing w:val="-4"/>
                            <w:sz w:val="18"/>
                          </w:rPr>
                          <w:t>7.17</w:t>
                        </w:r>
                      </w:p>
                    </w:tc>
                    <w:tc>
                      <w:tcPr>
                        <w:tcW w:w="2197" w:type="dxa"/>
                      </w:tcPr>
                      <w:p>
                        <w:pPr>
                          <w:pStyle w:val="9"/>
                          <w:spacing w:before="45"/>
                          <w:ind w:left="46"/>
                          <w:rPr>
                            <w:rFonts w:ascii="黑体" w:eastAsia="黑体"/>
                            <w:sz w:val="18"/>
                          </w:rPr>
                        </w:pPr>
                        <w:r>
                          <w:rPr>
                            <w:rFonts w:ascii="黑体" w:eastAsia="黑体"/>
                            <w:spacing w:val="-1"/>
                            <w:sz w:val="18"/>
                          </w:rPr>
                          <w:t>无合法有效驾驶证驾驶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2.4</w:t>
                        </w:r>
                        <w:r>
                          <w:rPr>
                            <w:rFonts w:ascii="黑体" w:eastAsia="黑体"/>
                            <w:spacing w:val="-3"/>
                            <w:sz w:val="18"/>
                          </w:rPr>
                          <w:t xml:space="preserve"> 保险责任</w:t>
                        </w:r>
                      </w:p>
                    </w:tc>
                    <w:tc>
                      <w:tcPr>
                        <w:tcW w:w="3235" w:type="dxa"/>
                      </w:tcPr>
                      <w:p>
                        <w:pPr>
                          <w:pStyle w:val="9"/>
                          <w:spacing w:before="44"/>
                          <w:ind w:left="402"/>
                          <w:rPr>
                            <w:rFonts w:ascii="黑体" w:eastAsia="黑体"/>
                            <w:sz w:val="18"/>
                          </w:rPr>
                        </w:pPr>
                        <w:r>
                          <w:rPr>
                            <w:rFonts w:ascii="黑体" w:eastAsia="黑体"/>
                            <w:sz w:val="18"/>
                          </w:rPr>
                          <w:t>6.6</w:t>
                        </w:r>
                        <w:r>
                          <w:rPr>
                            <w:rFonts w:ascii="黑体" w:eastAsia="黑体"/>
                            <w:spacing w:val="-3"/>
                            <w:sz w:val="18"/>
                          </w:rPr>
                          <w:t xml:space="preserve"> 联系方式变更</w:t>
                        </w:r>
                      </w:p>
                    </w:tc>
                    <w:tc>
                      <w:tcPr>
                        <w:tcW w:w="719" w:type="dxa"/>
                      </w:tcPr>
                      <w:p>
                        <w:pPr>
                          <w:pStyle w:val="9"/>
                          <w:spacing w:before="44"/>
                          <w:ind w:left="314"/>
                          <w:rPr>
                            <w:rFonts w:ascii="黑体"/>
                            <w:sz w:val="18"/>
                          </w:rPr>
                        </w:pPr>
                        <w:r>
                          <w:rPr>
                            <w:rFonts w:ascii="黑体"/>
                            <w:spacing w:val="-4"/>
                            <w:sz w:val="18"/>
                          </w:rPr>
                          <w:t>7.18</w:t>
                        </w:r>
                      </w:p>
                    </w:tc>
                    <w:tc>
                      <w:tcPr>
                        <w:tcW w:w="2197" w:type="dxa"/>
                      </w:tcPr>
                      <w:p>
                        <w:pPr>
                          <w:pStyle w:val="9"/>
                          <w:spacing w:before="44"/>
                          <w:ind w:left="46"/>
                          <w:rPr>
                            <w:rFonts w:ascii="黑体" w:eastAsia="黑体"/>
                            <w:sz w:val="18"/>
                          </w:rPr>
                        </w:pPr>
                        <w:r>
                          <w:rPr>
                            <w:rFonts w:ascii="黑体" w:eastAsia="黑体"/>
                            <w:spacing w:val="-2"/>
                            <w:sz w:val="18"/>
                          </w:rPr>
                          <w:t>无有效行驶证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2.5</w:t>
                        </w:r>
                        <w:r>
                          <w:rPr>
                            <w:rFonts w:ascii="黑体" w:eastAsia="黑体"/>
                            <w:spacing w:val="-4"/>
                            <w:sz w:val="18"/>
                          </w:rPr>
                          <w:t xml:space="preserve"> 免赔额</w:t>
                        </w:r>
                      </w:p>
                    </w:tc>
                    <w:tc>
                      <w:tcPr>
                        <w:tcW w:w="3235" w:type="dxa"/>
                      </w:tcPr>
                      <w:p>
                        <w:pPr>
                          <w:pStyle w:val="9"/>
                          <w:spacing w:before="44"/>
                          <w:ind w:left="402"/>
                          <w:rPr>
                            <w:rFonts w:ascii="黑体" w:eastAsia="黑体"/>
                            <w:sz w:val="18"/>
                          </w:rPr>
                        </w:pPr>
                        <w:r>
                          <w:rPr>
                            <w:rFonts w:ascii="黑体" w:eastAsia="黑体"/>
                            <w:sz w:val="18"/>
                          </w:rPr>
                          <w:t>6.7</w:t>
                        </w:r>
                        <w:r>
                          <w:rPr>
                            <w:rFonts w:ascii="黑体" w:eastAsia="黑体"/>
                            <w:spacing w:val="-3"/>
                            <w:sz w:val="18"/>
                          </w:rPr>
                          <w:t xml:space="preserve"> 争议处理</w:t>
                        </w:r>
                      </w:p>
                    </w:tc>
                    <w:tc>
                      <w:tcPr>
                        <w:tcW w:w="719" w:type="dxa"/>
                      </w:tcPr>
                      <w:p>
                        <w:pPr>
                          <w:pStyle w:val="9"/>
                          <w:spacing w:before="44"/>
                          <w:ind w:left="314"/>
                          <w:rPr>
                            <w:rFonts w:ascii="黑体"/>
                            <w:sz w:val="18"/>
                          </w:rPr>
                        </w:pPr>
                        <w:r>
                          <w:rPr>
                            <w:rFonts w:ascii="黑体"/>
                            <w:spacing w:val="-4"/>
                            <w:sz w:val="18"/>
                          </w:rPr>
                          <w:t>7.19</w:t>
                        </w:r>
                      </w:p>
                    </w:tc>
                    <w:tc>
                      <w:tcPr>
                        <w:tcW w:w="2197" w:type="dxa"/>
                      </w:tcPr>
                      <w:p>
                        <w:pPr>
                          <w:pStyle w:val="9"/>
                          <w:spacing w:before="44"/>
                          <w:ind w:left="46"/>
                          <w:rPr>
                            <w:rFonts w:ascii="黑体" w:eastAsia="黑体"/>
                            <w:sz w:val="18"/>
                          </w:rPr>
                        </w:pPr>
                        <w:r>
                          <w:rPr>
                            <w:rFonts w:ascii="黑体" w:eastAsia="黑体"/>
                            <w:spacing w:val="-4"/>
                            <w:sz w:val="18"/>
                          </w:rPr>
                          <w:t>机动车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2.6</w:t>
                        </w:r>
                        <w:r>
                          <w:rPr>
                            <w:rFonts w:ascii="黑体" w:eastAsia="黑体"/>
                            <w:spacing w:val="-3"/>
                            <w:sz w:val="18"/>
                          </w:rPr>
                          <w:t xml:space="preserve"> 补偿原则</w:t>
                        </w:r>
                      </w:p>
                    </w:tc>
                    <w:tc>
                      <w:tcPr>
                        <w:tcW w:w="3235" w:type="dxa"/>
                      </w:tcPr>
                      <w:p>
                        <w:pPr>
                          <w:pStyle w:val="9"/>
                          <w:tabs>
                            <w:tab w:val="left" w:pos="2294"/>
                          </w:tabs>
                          <w:spacing w:before="45"/>
                          <w:ind w:left="402"/>
                          <w:rPr>
                            <w:rFonts w:ascii="黑体" w:eastAsia="黑体"/>
                            <w:sz w:val="18"/>
                          </w:rPr>
                        </w:pPr>
                        <w:r>
                          <w:rPr>
                            <w:rFonts w:ascii="黑体" w:eastAsia="黑体"/>
                            <w:color w:val="000000"/>
                            <w:sz w:val="18"/>
                            <w:shd w:val="clear" w:color="auto" w:fill="A6A6A6"/>
                          </w:rPr>
                          <w:t>7．释</w:t>
                        </w:r>
                        <w:r>
                          <w:rPr>
                            <w:rFonts w:ascii="黑体" w:eastAsia="黑体"/>
                            <w:color w:val="000000"/>
                            <w:spacing w:val="-10"/>
                            <w:sz w:val="18"/>
                            <w:shd w:val="clear" w:color="auto" w:fill="A6A6A6"/>
                          </w:rPr>
                          <w:t>义</w:t>
                        </w:r>
                        <w:r>
                          <w:rPr>
                            <w:rFonts w:ascii="黑体" w:eastAsia="黑体"/>
                            <w:color w:val="000000"/>
                            <w:sz w:val="18"/>
                            <w:shd w:val="clear" w:color="auto" w:fill="A6A6A6"/>
                          </w:rPr>
                          <w:tab/>
                        </w:r>
                      </w:p>
                    </w:tc>
                    <w:tc>
                      <w:tcPr>
                        <w:tcW w:w="719" w:type="dxa"/>
                      </w:tcPr>
                      <w:p>
                        <w:pPr>
                          <w:pStyle w:val="9"/>
                          <w:spacing w:before="45"/>
                          <w:ind w:left="314"/>
                          <w:rPr>
                            <w:rFonts w:ascii="黑体"/>
                            <w:sz w:val="18"/>
                          </w:rPr>
                        </w:pPr>
                        <w:r>
                          <w:rPr>
                            <w:rFonts w:ascii="黑体"/>
                            <w:spacing w:val="-4"/>
                            <w:sz w:val="18"/>
                          </w:rPr>
                          <w:t>7.20</w:t>
                        </w:r>
                      </w:p>
                    </w:tc>
                    <w:tc>
                      <w:tcPr>
                        <w:tcW w:w="2197" w:type="dxa"/>
                      </w:tcPr>
                      <w:p>
                        <w:pPr>
                          <w:pStyle w:val="9"/>
                          <w:spacing w:before="45"/>
                          <w:ind w:left="46"/>
                          <w:rPr>
                            <w:rFonts w:ascii="黑体" w:eastAsia="黑体"/>
                            <w:sz w:val="18"/>
                          </w:rPr>
                        </w:pPr>
                        <w:r>
                          <w:rPr>
                            <w:rFonts w:ascii="黑体" w:eastAsia="黑体"/>
                            <w:spacing w:val="-5"/>
                            <w:sz w:val="18"/>
                          </w:rPr>
                          <w:t>潜水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2.7</w:t>
                        </w:r>
                        <w:r>
                          <w:rPr>
                            <w:rFonts w:ascii="黑体" w:eastAsia="黑体"/>
                            <w:spacing w:val="-3"/>
                            <w:sz w:val="18"/>
                          </w:rPr>
                          <w:t xml:space="preserve"> 责任免除</w:t>
                        </w:r>
                      </w:p>
                    </w:tc>
                    <w:tc>
                      <w:tcPr>
                        <w:tcW w:w="3235" w:type="dxa"/>
                      </w:tcPr>
                      <w:p>
                        <w:pPr>
                          <w:pStyle w:val="9"/>
                          <w:spacing w:before="44"/>
                          <w:ind w:left="402"/>
                          <w:rPr>
                            <w:rFonts w:ascii="黑体" w:eastAsia="黑体"/>
                            <w:sz w:val="18"/>
                          </w:rPr>
                        </w:pPr>
                        <w:r>
                          <w:rPr>
                            <w:rFonts w:ascii="黑体" w:eastAsia="黑体"/>
                            <w:sz w:val="18"/>
                          </w:rPr>
                          <w:t>7.1</w:t>
                        </w:r>
                        <w:r>
                          <w:rPr>
                            <w:rFonts w:ascii="黑体" w:eastAsia="黑体"/>
                            <w:spacing w:val="-4"/>
                            <w:sz w:val="18"/>
                          </w:rPr>
                          <w:t xml:space="preserve"> 周岁</w:t>
                        </w:r>
                      </w:p>
                    </w:tc>
                    <w:tc>
                      <w:tcPr>
                        <w:tcW w:w="719" w:type="dxa"/>
                      </w:tcPr>
                      <w:p>
                        <w:pPr>
                          <w:pStyle w:val="9"/>
                          <w:spacing w:before="44"/>
                          <w:ind w:left="314"/>
                          <w:rPr>
                            <w:rFonts w:ascii="黑体"/>
                            <w:sz w:val="18"/>
                          </w:rPr>
                        </w:pPr>
                        <w:r>
                          <w:rPr>
                            <w:rFonts w:ascii="黑体"/>
                            <w:spacing w:val="-4"/>
                            <w:sz w:val="18"/>
                          </w:rPr>
                          <w:t>7.21</w:t>
                        </w:r>
                      </w:p>
                    </w:tc>
                    <w:tc>
                      <w:tcPr>
                        <w:tcW w:w="2197" w:type="dxa"/>
                      </w:tcPr>
                      <w:p>
                        <w:pPr>
                          <w:pStyle w:val="9"/>
                          <w:spacing w:before="44"/>
                          <w:ind w:left="46"/>
                          <w:rPr>
                            <w:rFonts w:ascii="黑体" w:eastAsia="黑体"/>
                            <w:sz w:val="18"/>
                          </w:rPr>
                        </w:pPr>
                        <w:r>
                          <w:rPr>
                            <w:rFonts w:ascii="黑体" w:eastAsia="黑体"/>
                            <w:spacing w:val="-5"/>
                            <w:sz w:val="18"/>
                          </w:rPr>
                          <w:t>攀岩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2.8</w:t>
                        </w:r>
                        <w:r>
                          <w:rPr>
                            <w:rFonts w:ascii="黑体" w:eastAsia="黑体"/>
                            <w:spacing w:val="-2"/>
                            <w:sz w:val="18"/>
                          </w:rPr>
                          <w:t xml:space="preserve"> 其他免责条款及重点提示</w:t>
                        </w:r>
                      </w:p>
                    </w:tc>
                    <w:tc>
                      <w:tcPr>
                        <w:tcW w:w="3235" w:type="dxa"/>
                      </w:tcPr>
                      <w:p>
                        <w:pPr>
                          <w:pStyle w:val="9"/>
                          <w:spacing w:before="44"/>
                          <w:ind w:left="402"/>
                          <w:rPr>
                            <w:rFonts w:ascii="黑体" w:eastAsia="黑体"/>
                            <w:sz w:val="18"/>
                          </w:rPr>
                        </w:pPr>
                        <w:r>
                          <w:rPr>
                            <w:rFonts w:ascii="黑体" w:eastAsia="黑体"/>
                            <w:sz w:val="18"/>
                          </w:rPr>
                          <w:t>7.2</w:t>
                        </w:r>
                        <w:r>
                          <w:rPr>
                            <w:rFonts w:ascii="黑体" w:eastAsia="黑体"/>
                            <w:spacing w:val="-3"/>
                            <w:sz w:val="18"/>
                          </w:rPr>
                          <w:t xml:space="preserve"> 同时参保</w:t>
                        </w:r>
                      </w:p>
                    </w:tc>
                    <w:tc>
                      <w:tcPr>
                        <w:tcW w:w="719" w:type="dxa"/>
                      </w:tcPr>
                      <w:p>
                        <w:pPr>
                          <w:pStyle w:val="9"/>
                          <w:spacing w:before="44"/>
                          <w:ind w:left="314"/>
                          <w:rPr>
                            <w:rFonts w:ascii="黑体"/>
                            <w:sz w:val="18"/>
                          </w:rPr>
                        </w:pPr>
                        <w:r>
                          <w:rPr>
                            <w:rFonts w:ascii="黑体"/>
                            <w:spacing w:val="-4"/>
                            <w:sz w:val="18"/>
                          </w:rPr>
                          <w:t>7.22</w:t>
                        </w:r>
                      </w:p>
                    </w:tc>
                    <w:tc>
                      <w:tcPr>
                        <w:tcW w:w="2197" w:type="dxa"/>
                      </w:tcPr>
                      <w:p>
                        <w:pPr>
                          <w:pStyle w:val="9"/>
                          <w:spacing w:before="44"/>
                          <w:ind w:left="46"/>
                          <w:rPr>
                            <w:rFonts w:ascii="黑体" w:eastAsia="黑体"/>
                            <w:sz w:val="18"/>
                          </w:rPr>
                        </w:pPr>
                        <w:r>
                          <w:rPr>
                            <w:rFonts w:ascii="黑体" w:eastAsia="黑体"/>
                            <w:spacing w:val="-5"/>
                            <w:sz w:val="18"/>
                          </w:rPr>
                          <w:t>探险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color w:val="000000"/>
                            <w:sz w:val="18"/>
                            <w:shd w:val="clear" w:color="auto" w:fill="A6A6A6"/>
                          </w:rPr>
                          <w:t>3</w:t>
                        </w:r>
                        <w:r>
                          <w:rPr>
                            <w:rFonts w:ascii="黑体" w:eastAsia="黑体"/>
                            <w:color w:val="000000"/>
                            <w:spacing w:val="-1"/>
                            <w:sz w:val="18"/>
                            <w:shd w:val="clear" w:color="auto" w:fill="A6A6A6"/>
                          </w:rPr>
                          <w:t>．如何申请领取保险金</w:t>
                        </w:r>
                      </w:p>
                    </w:tc>
                    <w:tc>
                      <w:tcPr>
                        <w:tcW w:w="3235" w:type="dxa"/>
                      </w:tcPr>
                      <w:p>
                        <w:pPr>
                          <w:pStyle w:val="9"/>
                          <w:spacing w:before="45"/>
                          <w:ind w:left="402"/>
                          <w:rPr>
                            <w:rFonts w:ascii="黑体" w:eastAsia="黑体"/>
                            <w:sz w:val="18"/>
                          </w:rPr>
                        </w:pPr>
                        <w:r>
                          <w:rPr>
                            <w:rFonts w:ascii="黑体" w:eastAsia="黑体"/>
                            <w:sz w:val="18"/>
                          </w:rPr>
                          <w:t>7.3</w:t>
                        </w:r>
                        <w:r>
                          <w:rPr>
                            <w:rFonts w:ascii="黑体" w:eastAsia="黑体"/>
                            <w:spacing w:val="-3"/>
                            <w:sz w:val="18"/>
                          </w:rPr>
                          <w:t xml:space="preserve"> 有效身份证件</w:t>
                        </w:r>
                      </w:p>
                    </w:tc>
                    <w:tc>
                      <w:tcPr>
                        <w:tcW w:w="719" w:type="dxa"/>
                      </w:tcPr>
                      <w:p>
                        <w:pPr>
                          <w:pStyle w:val="9"/>
                          <w:spacing w:before="45"/>
                          <w:ind w:left="314"/>
                          <w:rPr>
                            <w:rFonts w:ascii="黑体"/>
                            <w:sz w:val="18"/>
                          </w:rPr>
                        </w:pPr>
                        <w:r>
                          <w:rPr>
                            <w:rFonts w:ascii="黑体"/>
                            <w:spacing w:val="-4"/>
                            <w:sz w:val="18"/>
                          </w:rPr>
                          <w:t>7.23</w:t>
                        </w:r>
                      </w:p>
                    </w:tc>
                    <w:tc>
                      <w:tcPr>
                        <w:tcW w:w="2197" w:type="dxa"/>
                      </w:tcPr>
                      <w:p>
                        <w:pPr>
                          <w:pStyle w:val="9"/>
                          <w:spacing w:before="45"/>
                          <w:ind w:left="46"/>
                          <w:rPr>
                            <w:rFonts w:ascii="黑体" w:eastAsia="黑体"/>
                            <w:sz w:val="18"/>
                          </w:rPr>
                        </w:pPr>
                        <w:r>
                          <w:rPr>
                            <w:rFonts w:ascii="黑体" w:eastAsia="黑体"/>
                            <w:spacing w:val="-3"/>
                            <w:sz w:val="18"/>
                          </w:rPr>
                          <w:t>武术比赛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3.1</w:t>
                        </w:r>
                        <w:r>
                          <w:rPr>
                            <w:rFonts w:ascii="黑体" w:eastAsia="黑体"/>
                            <w:spacing w:val="-4"/>
                            <w:sz w:val="18"/>
                          </w:rPr>
                          <w:t xml:space="preserve"> 受益人</w:t>
                        </w:r>
                      </w:p>
                    </w:tc>
                    <w:tc>
                      <w:tcPr>
                        <w:tcW w:w="3235" w:type="dxa"/>
                      </w:tcPr>
                      <w:p>
                        <w:pPr>
                          <w:pStyle w:val="9"/>
                          <w:spacing w:before="44"/>
                          <w:ind w:left="402"/>
                          <w:rPr>
                            <w:rFonts w:ascii="黑体" w:eastAsia="黑体"/>
                            <w:sz w:val="18"/>
                          </w:rPr>
                        </w:pPr>
                        <w:r>
                          <w:rPr>
                            <w:rFonts w:ascii="黑体" w:eastAsia="黑体"/>
                            <w:sz w:val="18"/>
                          </w:rPr>
                          <w:t>7.4</w:t>
                        </w:r>
                        <w:r>
                          <w:rPr>
                            <w:rFonts w:ascii="黑体" w:eastAsia="黑体"/>
                            <w:spacing w:val="-3"/>
                            <w:sz w:val="18"/>
                          </w:rPr>
                          <w:t xml:space="preserve"> 腺样体肥大</w:t>
                        </w:r>
                      </w:p>
                    </w:tc>
                    <w:tc>
                      <w:tcPr>
                        <w:tcW w:w="719" w:type="dxa"/>
                      </w:tcPr>
                      <w:p>
                        <w:pPr>
                          <w:pStyle w:val="9"/>
                          <w:spacing w:before="44"/>
                          <w:ind w:left="314"/>
                          <w:rPr>
                            <w:rFonts w:ascii="黑体"/>
                            <w:sz w:val="18"/>
                          </w:rPr>
                        </w:pPr>
                        <w:r>
                          <w:rPr>
                            <w:rFonts w:ascii="黑体"/>
                            <w:spacing w:val="-4"/>
                            <w:sz w:val="18"/>
                          </w:rPr>
                          <w:t>7.24</w:t>
                        </w:r>
                      </w:p>
                    </w:tc>
                    <w:tc>
                      <w:tcPr>
                        <w:tcW w:w="2197" w:type="dxa"/>
                      </w:tcPr>
                      <w:p>
                        <w:pPr>
                          <w:pStyle w:val="9"/>
                          <w:spacing w:before="44"/>
                          <w:ind w:left="46"/>
                          <w:rPr>
                            <w:rFonts w:ascii="黑体" w:eastAsia="黑体"/>
                            <w:sz w:val="18"/>
                          </w:rPr>
                        </w:pPr>
                        <w:r>
                          <w:rPr>
                            <w:rFonts w:ascii="黑体" w:eastAsia="黑体"/>
                            <w:spacing w:val="-3"/>
                            <w:sz w:val="18"/>
                          </w:rPr>
                          <w:t>特技表演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3.2</w:t>
                        </w:r>
                        <w:r>
                          <w:rPr>
                            <w:rFonts w:ascii="黑体" w:eastAsia="黑体"/>
                            <w:spacing w:val="-3"/>
                            <w:sz w:val="18"/>
                          </w:rPr>
                          <w:t xml:space="preserve"> 保险事故通知</w:t>
                        </w:r>
                      </w:p>
                    </w:tc>
                    <w:tc>
                      <w:tcPr>
                        <w:tcW w:w="3235" w:type="dxa"/>
                      </w:tcPr>
                      <w:p>
                        <w:pPr>
                          <w:pStyle w:val="9"/>
                          <w:spacing w:before="44"/>
                          <w:ind w:left="402"/>
                          <w:rPr>
                            <w:rFonts w:ascii="黑体" w:eastAsia="黑体"/>
                            <w:sz w:val="18"/>
                          </w:rPr>
                        </w:pPr>
                        <w:r>
                          <w:rPr>
                            <w:rFonts w:ascii="黑体" w:eastAsia="黑体"/>
                            <w:sz w:val="18"/>
                          </w:rPr>
                          <w:t>7.5</w:t>
                        </w:r>
                        <w:r>
                          <w:rPr>
                            <w:rFonts w:ascii="黑体" w:eastAsia="黑体"/>
                            <w:spacing w:val="-4"/>
                            <w:sz w:val="18"/>
                          </w:rPr>
                          <w:t xml:space="preserve"> 疝气</w:t>
                        </w:r>
                      </w:p>
                    </w:tc>
                    <w:tc>
                      <w:tcPr>
                        <w:tcW w:w="719" w:type="dxa"/>
                      </w:tcPr>
                      <w:p>
                        <w:pPr>
                          <w:pStyle w:val="9"/>
                          <w:spacing w:before="44"/>
                          <w:ind w:left="314"/>
                          <w:rPr>
                            <w:rFonts w:ascii="黑体"/>
                            <w:sz w:val="18"/>
                          </w:rPr>
                        </w:pPr>
                        <w:r>
                          <w:rPr>
                            <w:rFonts w:ascii="黑体"/>
                            <w:spacing w:val="-4"/>
                            <w:sz w:val="18"/>
                          </w:rPr>
                          <w:t>7.25</w:t>
                        </w:r>
                      </w:p>
                    </w:tc>
                    <w:tc>
                      <w:tcPr>
                        <w:tcW w:w="2197" w:type="dxa"/>
                      </w:tcPr>
                      <w:p>
                        <w:pPr>
                          <w:pStyle w:val="9"/>
                          <w:spacing w:before="44"/>
                          <w:ind w:left="46"/>
                          <w:rPr>
                            <w:rFonts w:ascii="黑体" w:eastAsia="黑体"/>
                            <w:sz w:val="18"/>
                          </w:rPr>
                        </w:pPr>
                        <w:r>
                          <w:rPr>
                            <w:rFonts w:ascii="黑体" w:eastAsia="黑体"/>
                            <w:spacing w:val="-2"/>
                            <w:sz w:val="18"/>
                          </w:rPr>
                          <w:t>遗传性疾病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3.3</w:t>
                        </w:r>
                        <w:r>
                          <w:rPr>
                            <w:rFonts w:ascii="黑体" w:eastAsia="黑体"/>
                            <w:spacing w:val="-3"/>
                            <w:sz w:val="18"/>
                          </w:rPr>
                          <w:t xml:space="preserve"> 保险金申请</w:t>
                        </w:r>
                      </w:p>
                    </w:tc>
                    <w:tc>
                      <w:tcPr>
                        <w:tcW w:w="3235" w:type="dxa"/>
                      </w:tcPr>
                      <w:p>
                        <w:pPr>
                          <w:pStyle w:val="9"/>
                          <w:spacing w:before="45"/>
                          <w:ind w:left="402"/>
                          <w:rPr>
                            <w:rFonts w:ascii="黑体" w:eastAsia="黑体"/>
                            <w:sz w:val="18"/>
                          </w:rPr>
                        </w:pPr>
                        <w:r>
                          <w:rPr>
                            <w:rFonts w:ascii="黑体" w:eastAsia="黑体"/>
                            <w:sz w:val="18"/>
                          </w:rPr>
                          <w:t>7.6</w:t>
                        </w:r>
                        <w:r>
                          <w:rPr>
                            <w:rFonts w:ascii="黑体" w:eastAsia="黑体"/>
                            <w:spacing w:val="-3"/>
                            <w:sz w:val="18"/>
                          </w:rPr>
                          <w:t xml:space="preserve"> 扁桃体的疾病</w:t>
                        </w:r>
                      </w:p>
                    </w:tc>
                    <w:tc>
                      <w:tcPr>
                        <w:tcW w:w="719" w:type="dxa"/>
                      </w:tcPr>
                      <w:p>
                        <w:pPr>
                          <w:pStyle w:val="9"/>
                          <w:spacing w:before="45"/>
                          <w:ind w:left="314"/>
                          <w:rPr>
                            <w:rFonts w:ascii="黑体"/>
                            <w:sz w:val="18"/>
                          </w:rPr>
                        </w:pPr>
                        <w:r>
                          <w:rPr>
                            <w:rFonts w:ascii="黑体"/>
                            <w:spacing w:val="-4"/>
                            <w:sz w:val="18"/>
                          </w:rPr>
                          <w:t>7.26</w:t>
                        </w:r>
                      </w:p>
                    </w:tc>
                    <w:tc>
                      <w:tcPr>
                        <w:tcW w:w="2197" w:type="dxa"/>
                      </w:tcPr>
                      <w:p>
                        <w:pPr>
                          <w:pStyle w:val="9"/>
                          <w:spacing w:before="45"/>
                          <w:ind w:left="46"/>
                          <w:rPr>
                            <w:rFonts w:ascii="黑体" w:eastAsia="黑体"/>
                            <w:sz w:val="18"/>
                          </w:rPr>
                        </w:pPr>
                        <w:r>
                          <w:rPr>
                            <w:rFonts w:ascii="黑体" w:eastAsia="黑体"/>
                            <w:spacing w:val="-9"/>
                            <w:sz w:val="18"/>
                          </w:rPr>
                          <w:t>先天性畸形、变形或染色体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3.4</w:t>
                        </w:r>
                        <w:r>
                          <w:rPr>
                            <w:rFonts w:ascii="黑体" w:eastAsia="黑体"/>
                            <w:spacing w:val="-3"/>
                            <w:sz w:val="18"/>
                          </w:rPr>
                          <w:t xml:space="preserve"> 保险金给付</w:t>
                        </w:r>
                      </w:p>
                    </w:tc>
                    <w:tc>
                      <w:tcPr>
                        <w:tcW w:w="3235" w:type="dxa"/>
                      </w:tcPr>
                      <w:p>
                        <w:pPr>
                          <w:pStyle w:val="9"/>
                          <w:spacing w:before="44"/>
                          <w:ind w:left="402"/>
                          <w:rPr>
                            <w:rFonts w:ascii="黑体" w:eastAsia="黑体"/>
                            <w:sz w:val="18"/>
                          </w:rPr>
                        </w:pPr>
                        <w:r>
                          <w:rPr>
                            <w:rFonts w:ascii="黑体" w:eastAsia="黑体"/>
                            <w:sz w:val="18"/>
                          </w:rPr>
                          <w:t>7.7</w:t>
                        </w:r>
                        <w:r>
                          <w:rPr>
                            <w:rFonts w:ascii="黑体" w:eastAsia="黑体"/>
                            <w:spacing w:val="-4"/>
                            <w:sz w:val="18"/>
                          </w:rPr>
                          <w:t xml:space="preserve"> 住院</w:t>
                        </w:r>
                      </w:p>
                    </w:tc>
                    <w:tc>
                      <w:tcPr>
                        <w:tcW w:w="719" w:type="dxa"/>
                      </w:tcPr>
                      <w:p>
                        <w:pPr>
                          <w:pStyle w:val="9"/>
                          <w:spacing w:before="44"/>
                          <w:ind w:left="314"/>
                          <w:rPr>
                            <w:rFonts w:ascii="黑体" w:eastAsia="黑体"/>
                            <w:sz w:val="18"/>
                          </w:rPr>
                        </w:pPr>
                        <w:r>
                          <w:rPr>
                            <w:rFonts w:ascii="黑体" w:eastAsia="黑体"/>
                            <w:spacing w:val="-5"/>
                            <w:sz w:val="18"/>
                          </w:rPr>
                          <w:t>异常</w:t>
                        </w:r>
                      </w:p>
                    </w:tc>
                    <w:tc>
                      <w:tcPr>
                        <w:tcW w:w="2197" w:type="dxa"/>
                      </w:tcPr>
                      <w:p>
                        <w:pPr>
                          <w:pStyle w:val="9"/>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2792" w:type="dxa"/>
                      </w:tcPr>
                      <w:p>
                        <w:pPr>
                          <w:pStyle w:val="9"/>
                          <w:spacing w:before="44" w:line="185" w:lineRule="exact"/>
                          <w:ind w:left="50"/>
                          <w:rPr>
                            <w:rFonts w:ascii="黑体" w:eastAsia="黑体"/>
                            <w:sz w:val="18"/>
                          </w:rPr>
                        </w:pPr>
                        <w:r>
                          <w:rPr>
                            <w:rFonts w:ascii="黑体" w:eastAsia="黑体"/>
                            <w:sz w:val="18"/>
                          </w:rPr>
                          <w:t>3.5</w:t>
                        </w:r>
                        <w:r>
                          <w:rPr>
                            <w:rFonts w:ascii="黑体" w:eastAsia="黑体"/>
                            <w:spacing w:val="-3"/>
                            <w:sz w:val="18"/>
                          </w:rPr>
                          <w:t xml:space="preserve"> 诉讼时效</w:t>
                        </w:r>
                      </w:p>
                    </w:tc>
                    <w:tc>
                      <w:tcPr>
                        <w:tcW w:w="3235" w:type="dxa"/>
                      </w:tcPr>
                      <w:p>
                        <w:pPr>
                          <w:pStyle w:val="9"/>
                          <w:spacing w:before="44" w:line="185" w:lineRule="exact"/>
                          <w:ind w:left="402"/>
                          <w:rPr>
                            <w:rFonts w:ascii="黑体" w:eastAsia="黑体"/>
                            <w:sz w:val="18"/>
                          </w:rPr>
                        </w:pPr>
                        <w:r>
                          <w:rPr>
                            <w:rFonts w:ascii="黑体" w:eastAsia="黑体"/>
                            <w:sz w:val="18"/>
                          </w:rPr>
                          <w:t>7.8</w:t>
                        </w:r>
                        <w:r>
                          <w:rPr>
                            <w:rFonts w:ascii="黑体" w:eastAsia="黑体"/>
                            <w:spacing w:val="-3"/>
                            <w:sz w:val="18"/>
                          </w:rPr>
                          <w:t xml:space="preserve"> 意外伤害</w:t>
                        </w:r>
                      </w:p>
                    </w:tc>
                    <w:tc>
                      <w:tcPr>
                        <w:tcW w:w="719" w:type="dxa"/>
                      </w:tcPr>
                      <w:p>
                        <w:pPr>
                          <w:pStyle w:val="9"/>
                          <w:spacing w:before="44" w:line="185" w:lineRule="exact"/>
                          <w:ind w:left="314"/>
                          <w:rPr>
                            <w:rFonts w:ascii="黑体"/>
                            <w:sz w:val="18"/>
                          </w:rPr>
                        </w:pPr>
                        <w:r>
                          <w:rPr>
                            <w:rFonts w:ascii="黑体"/>
                            <w:spacing w:val="-4"/>
                            <w:sz w:val="18"/>
                          </w:rPr>
                          <w:t>7.27</w:t>
                        </w:r>
                      </w:p>
                    </w:tc>
                    <w:tc>
                      <w:tcPr>
                        <w:tcW w:w="2197" w:type="dxa"/>
                      </w:tcPr>
                      <w:p>
                        <w:pPr>
                          <w:pStyle w:val="9"/>
                          <w:spacing w:before="44" w:line="185" w:lineRule="exact"/>
                          <w:ind w:left="46"/>
                          <w:rPr>
                            <w:rFonts w:ascii="黑体" w:eastAsia="黑体"/>
                            <w:sz w:val="18"/>
                          </w:rPr>
                        </w:pPr>
                        <w:r>
                          <w:rPr>
                            <w:rFonts w:ascii="黑体" w:eastAsia="黑体"/>
                            <w:spacing w:val="-3"/>
                            <w:sz w:val="18"/>
                          </w:rPr>
                          <w:t>现金价值</w:t>
                        </w:r>
                      </w:p>
                    </w:tc>
                  </w:tr>
                </w:tbl>
                <w:p>
                  <w:pPr>
                    <w:pStyle w:val="4"/>
                  </w:pPr>
                </w:p>
              </w:txbxContent>
            </v:textbox>
          </v:shape>
        </w:pict>
      </w:r>
      <w:r>
        <w:rPr>
          <w:rFonts w:ascii="Wingdings 2" w:hAnsi="Wingdings 2" w:eastAsia="Wingdings 2"/>
          <w:b/>
          <w:position w:val="-11"/>
          <w:sz w:val="48"/>
        </w:rPr>
        <w:t></w:t>
      </w:r>
      <w:r>
        <w:rPr>
          <w:rFonts w:ascii="Times New Roman" w:hAnsi="Times New Roman" w:eastAsia="Times New Roman"/>
          <w:spacing w:val="25"/>
          <w:w w:val="150"/>
          <w:position w:val="-11"/>
          <w:sz w:val="48"/>
        </w:rPr>
        <w:t xml:space="preserve"> </w:t>
      </w:r>
      <w:r>
        <w:rPr>
          <w:rFonts w:hint="eastAsia" w:ascii="黑体" w:hAnsi="黑体" w:eastAsia="黑体"/>
          <w:b/>
          <w:spacing w:val="-3"/>
          <w:sz w:val="21"/>
        </w:rPr>
        <w:t>条款目录</w:t>
      </w:r>
    </w:p>
    <w:p>
      <w:pPr>
        <w:spacing w:after="0" w:line="422" w:lineRule="exact"/>
        <w:jc w:val="left"/>
        <w:rPr>
          <w:rFonts w:hint="eastAsia" w:ascii="黑体" w:hAnsi="黑体" w:eastAsia="黑体"/>
          <w:sz w:val="21"/>
        </w:rPr>
        <w:sectPr>
          <w:type w:val="continuous"/>
          <w:pgSz w:w="11910" w:h="16840"/>
          <w:pgMar w:top="180" w:right="220" w:bottom="280" w:left="900" w:header="720" w:footer="720" w:gutter="0"/>
          <w:cols w:space="720" w:num="1"/>
        </w:sect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rPr>
          <w:rFonts w:ascii="黑体"/>
          <w:b/>
          <w:sz w:val="18"/>
        </w:rPr>
      </w:pPr>
    </w:p>
    <w:p>
      <w:pPr>
        <w:pStyle w:val="4"/>
        <w:spacing w:before="10"/>
        <w:rPr>
          <w:rFonts w:ascii="黑体"/>
          <w:b/>
          <w:sz w:val="25"/>
        </w:rPr>
      </w:pPr>
    </w:p>
    <w:p>
      <w:pPr>
        <w:spacing w:before="1"/>
        <w:ind w:left="914" w:right="0" w:firstLine="0"/>
        <w:jc w:val="left"/>
        <w:rPr>
          <w:rFonts w:ascii="黑体" w:eastAsia="黑体"/>
          <w:sz w:val="18"/>
        </w:rPr>
      </w:pPr>
      <w:r>
        <w:rPr>
          <w:rFonts w:ascii="黑体" w:eastAsia="黑体"/>
          <w:color w:val="000000"/>
          <w:sz w:val="18"/>
          <w:shd w:val="clear" w:color="auto" w:fill="A6A6A6"/>
        </w:rPr>
        <w:t>4</w:t>
      </w:r>
      <w:r>
        <w:rPr>
          <w:rFonts w:ascii="黑体" w:eastAsia="黑体"/>
          <w:color w:val="000000"/>
          <w:spacing w:val="-2"/>
          <w:sz w:val="18"/>
          <w:shd w:val="clear" w:color="auto" w:fill="A6A6A6"/>
        </w:rPr>
        <w:t>. 如何支付保险费</w:t>
      </w:r>
      <w:r>
        <w:rPr>
          <w:rFonts w:ascii="黑体" w:eastAsia="黑体"/>
          <w:color w:val="000000"/>
          <w:spacing w:val="40"/>
          <w:sz w:val="18"/>
          <w:shd w:val="clear" w:color="auto" w:fill="A6A6A6"/>
        </w:rPr>
        <w:t xml:space="preserve"> </w:t>
      </w:r>
    </w:p>
    <w:p>
      <w:pPr>
        <w:spacing w:before="0" w:line="240" w:lineRule="auto"/>
        <w:rPr>
          <w:rFonts w:ascii="黑体"/>
          <w:sz w:val="18"/>
        </w:rPr>
      </w:pPr>
      <w:r>
        <w:br w:type="column"/>
      </w: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spacing w:before="10"/>
        <w:rPr>
          <w:rFonts w:ascii="黑体"/>
          <w:sz w:val="25"/>
        </w:rPr>
      </w:pPr>
    </w:p>
    <w:p>
      <w:pPr>
        <w:spacing w:before="1"/>
        <w:ind w:left="914" w:right="0" w:firstLine="0"/>
        <w:jc w:val="left"/>
        <w:rPr>
          <w:rFonts w:ascii="黑体" w:eastAsia="黑体"/>
          <w:sz w:val="18"/>
        </w:rPr>
      </w:pPr>
      <w:r>
        <w:rPr>
          <w:rFonts w:ascii="黑体" w:eastAsia="黑体"/>
          <w:sz w:val="18"/>
        </w:rPr>
        <w:t>7.9</w:t>
      </w:r>
      <w:r>
        <w:rPr>
          <w:rFonts w:ascii="黑体" w:eastAsia="黑体"/>
          <w:spacing w:val="-3"/>
          <w:sz w:val="18"/>
        </w:rPr>
        <w:t xml:space="preserve"> 医疗必需且合理</w:t>
      </w:r>
    </w:p>
    <w:p>
      <w:pPr>
        <w:spacing w:before="0" w:line="240" w:lineRule="auto"/>
        <w:rPr>
          <w:rFonts w:ascii="黑体"/>
          <w:sz w:val="18"/>
        </w:rPr>
      </w:pPr>
      <w:r>
        <w:br w:type="column"/>
      </w: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rPr>
          <w:rFonts w:ascii="黑体"/>
          <w:sz w:val="18"/>
        </w:rPr>
      </w:pPr>
    </w:p>
    <w:p>
      <w:pPr>
        <w:pStyle w:val="4"/>
        <w:spacing w:before="10"/>
        <w:rPr>
          <w:rFonts w:ascii="黑体"/>
          <w:sz w:val="25"/>
        </w:rPr>
      </w:pPr>
    </w:p>
    <w:p>
      <w:pPr>
        <w:spacing w:before="1"/>
        <w:ind w:left="914" w:right="0" w:firstLine="0"/>
        <w:jc w:val="left"/>
        <w:rPr>
          <w:rFonts w:ascii="黑体" w:eastAsia="黑体"/>
          <w:sz w:val="18"/>
        </w:rPr>
      </w:pPr>
      <w:r>
        <w:rPr>
          <w:rFonts w:ascii="黑体" w:eastAsia="黑体"/>
          <w:spacing w:val="-1"/>
          <w:sz w:val="18"/>
        </w:rPr>
        <w:t>附表：畅享人生医疗保险计划表</w:t>
      </w:r>
    </w:p>
    <w:p>
      <w:pPr>
        <w:spacing w:after="0"/>
        <w:jc w:val="left"/>
        <w:rPr>
          <w:rFonts w:ascii="黑体" w:eastAsia="黑体"/>
          <w:sz w:val="18"/>
        </w:rPr>
        <w:sectPr>
          <w:type w:val="continuous"/>
          <w:pgSz w:w="11910" w:h="16840"/>
          <w:pgMar w:top="180" w:right="220" w:bottom="280" w:left="900" w:header="720" w:footer="720" w:gutter="0"/>
          <w:cols w:equalWidth="0" w:num="3">
            <w:col w:w="2575" w:space="569"/>
            <w:col w:w="2575" w:space="572"/>
            <w:col w:w="4499"/>
          </w:cols>
        </w:sectPr>
      </w:pPr>
    </w:p>
    <w:p>
      <w:pPr>
        <w:pStyle w:val="2"/>
        <w:spacing w:before="66" w:line="211" w:lineRule="auto"/>
        <w:ind w:left="3445" w:right="3805" w:hanging="320"/>
      </w:pPr>
      <w:r>
        <w:rPr>
          <w:spacing w:val="-2"/>
          <w:w w:val="95"/>
        </w:rPr>
        <w:t>利安人寿保险股份有限公司</w:t>
      </w:r>
      <w:r>
        <w:rPr>
          <w:spacing w:val="-2"/>
        </w:rPr>
        <w:t>畅享人生医疗保险条款</w:t>
      </w:r>
    </w:p>
    <w:p>
      <w:pPr>
        <w:pStyle w:val="4"/>
        <w:rPr>
          <w:rFonts w:ascii="黑体"/>
          <w:b/>
          <w:sz w:val="28"/>
        </w:rPr>
      </w:pPr>
    </w:p>
    <w:p>
      <w:pPr>
        <w:pStyle w:val="4"/>
        <w:spacing w:line="285" w:lineRule="auto"/>
        <w:ind w:left="232" w:right="992" w:firstLine="420"/>
      </w:pPr>
      <w:r>
        <w:rPr>
          <w:spacing w:val="-15"/>
        </w:rPr>
        <w:t>“畅享人生医疗保险”简称“畅享人生医疗”。在本保险条款中，“您”指投保人，“我们”指利安人</w:t>
      </w:r>
      <w:r>
        <w:rPr>
          <w:spacing w:val="-19"/>
        </w:rPr>
        <w:t>寿保险股份有限公司，“本合同”指您与我们之间订立的“畅享人生医疗保险合同”。</w:t>
      </w:r>
    </w:p>
    <w:p>
      <w:pPr>
        <w:pStyle w:val="4"/>
        <w:spacing w:before="8"/>
        <w:rPr>
          <w:sz w:val="6"/>
        </w:rPr>
      </w:pPr>
      <w:r>
        <w:pict>
          <v:shape id="docshape2" o:spid="_x0000_s1027" o:spt="202" type="#_x0000_t202" style="position:absolute;left:0pt;margin-left:54pt;margin-top:5.45pt;height:15.6pt;width:487.45pt;mso-position-horizontal-relative:page;mso-wrap-distance-bottom:0pt;mso-wrap-distance-top:0pt;z-index:-251653120;mso-width-relative:page;mso-height-relative:page;" fillcolor="#A6A6A6" filled="t" stroked="f" coordsize="21600,21600">
            <v:path/>
            <v:fill on="t" focussize="0,0"/>
            <v:stroke on="f" joinstyle="miter"/>
            <v:imagedata o:title=""/>
            <o:lock v:ext="edit"/>
            <v:textbox inset="0mm,0mm,0mm,0mm">
              <w:txbxContent>
                <w:p>
                  <w:pPr>
                    <w:tabs>
                      <w:tab w:val="left" w:pos="969"/>
                    </w:tabs>
                    <w:spacing w:before="46"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1．</w:t>
                  </w:r>
                  <w:r>
                    <w:rPr>
                      <w:rFonts w:hint="eastAsia" w:ascii="黑体" w:eastAsia="黑体"/>
                      <w:b/>
                      <w:color w:val="000000"/>
                      <w:sz w:val="21"/>
                    </w:rPr>
                    <w:tab/>
                  </w:r>
                  <w:r>
                    <w:rPr>
                      <w:rFonts w:hint="eastAsia" w:ascii="黑体" w:eastAsia="黑体"/>
                      <w:b/>
                      <w:color w:val="000000"/>
                      <w:spacing w:val="-2"/>
                      <w:sz w:val="21"/>
                    </w:rPr>
                    <w:t>您与我们订立的合同</w:t>
                  </w:r>
                </w:p>
              </w:txbxContent>
            </v:textbox>
            <w10:wrap type="topAndBottom"/>
          </v:shape>
        </w:pict>
      </w:r>
    </w:p>
    <w:p>
      <w:pPr>
        <w:pStyle w:val="4"/>
        <w:spacing w:before="1"/>
        <w:rPr>
          <w:sz w:val="9"/>
        </w:rPr>
      </w:pPr>
    </w:p>
    <w:p>
      <w:pPr>
        <w:pStyle w:val="8"/>
        <w:numPr>
          <w:ilvl w:val="1"/>
          <w:numId w:val="2"/>
        </w:numPr>
        <w:tabs>
          <w:tab w:val="left" w:pos="1150"/>
        </w:tabs>
        <w:spacing w:before="72" w:after="0" w:line="285" w:lineRule="auto"/>
        <w:ind w:left="2650" w:right="966" w:hanging="2362"/>
        <w:jc w:val="both"/>
        <w:rPr>
          <w:sz w:val="21"/>
        </w:rPr>
      </w:pPr>
      <w:r>
        <w:rPr>
          <w:rFonts w:ascii="黑体" w:eastAsia="黑体"/>
          <w:sz w:val="21"/>
        </w:rPr>
        <w:t>合同构成</w:t>
      </w:r>
      <w:r>
        <w:rPr>
          <w:rFonts w:ascii="黑体" w:eastAsia="黑体"/>
          <w:spacing w:val="548"/>
          <w:sz w:val="21"/>
        </w:rPr>
        <w:t xml:space="preserve"> </w:t>
      </w:r>
      <w:r>
        <w:rPr>
          <w:sz w:val="21"/>
        </w:rPr>
        <w:t>本合同是您与我们约定保险权利义务关系的协议，包括本保险条款、保险单、</w:t>
      </w:r>
      <w:r>
        <w:rPr>
          <w:spacing w:val="-2"/>
          <w:sz w:val="21"/>
        </w:rPr>
        <w:t>投保单及其他投保文件、合法有效的声明、批注、批单及其他您与我们共同签订的书面协议。电子保险单、电子投保单及其他您与我们共同认可的电子文档具有与纸质文件同等效力。</w:t>
      </w:r>
    </w:p>
    <w:p>
      <w:pPr>
        <w:spacing w:after="0" w:line="285" w:lineRule="auto"/>
        <w:jc w:val="both"/>
        <w:rPr>
          <w:sz w:val="21"/>
        </w:rPr>
        <w:sectPr>
          <w:pgSz w:w="11910" w:h="16840"/>
          <w:pgMar w:top="1340" w:right="220" w:bottom="280" w:left="900" w:header="720" w:footer="720" w:gutter="0"/>
          <w:cols w:space="720" w:num="1"/>
        </w:sectPr>
      </w:pPr>
    </w:p>
    <w:p>
      <w:pPr>
        <w:pStyle w:val="8"/>
        <w:numPr>
          <w:ilvl w:val="1"/>
          <w:numId w:val="2"/>
        </w:numPr>
        <w:tabs>
          <w:tab w:val="left" w:pos="1149"/>
          <w:tab w:val="left" w:pos="1150"/>
        </w:tabs>
        <w:spacing w:before="142" w:after="0" w:line="285" w:lineRule="auto"/>
        <w:ind w:left="1150" w:right="0" w:hanging="862"/>
        <w:jc w:val="left"/>
        <w:rPr>
          <w:rFonts w:ascii="黑体" w:eastAsia="黑体"/>
          <w:sz w:val="21"/>
        </w:rPr>
      </w:pPr>
      <w:r>
        <w:rPr>
          <w:rFonts w:ascii="黑体" w:eastAsia="黑体"/>
          <w:spacing w:val="-2"/>
          <w:sz w:val="21"/>
        </w:rPr>
        <w:t>合同成立与生</w:t>
      </w:r>
      <w:r>
        <w:rPr>
          <w:rFonts w:ascii="黑体" w:eastAsia="黑体"/>
          <w:spacing w:val="-10"/>
          <w:sz w:val="21"/>
        </w:rPr>
        <w:t>效</w:t>
      </w:r>
    </w:p>
    <w:p>
      <w:pPr>
        <w:pStyle w:val="4"/>
        <w:spacing w:before="142"/>
        <w:ind w:left="197"/>
      </w:pPr>
      <w:r>
        <w:br w:type="column"/>
      </w:r>
      <w:r>
        <w:rPr>
          <w:spacing w:val="-3"/>
        </w:rPr>
        <w:t>您提出保险申请、我们同意承保，本合同成立。</w:t>
      </w:r>
    </w:p>
    <w:p>
      <w:pPr>
        <w:pStyle w:val="4"/>
        <w:spacing w:before="51" w:line="285" w:lineRule="auto"/>
        <w:ind w:left="197" w:right="967"/>
      </w:pPr>
      <w:r>
        <w:rPr>
          <w:spacing w:val="-2"/>
        </w:rPr>
        <w:t>本合同自我们同意承保、收取保险费并签发保险单开始生效，具体生效日以保险单所载的日期为准。</w:t>
      </w:r>
    </w:p>
    <w:p>
      <w:pPr>
        <w:spacing w:after="0" w:line="285" w:lineRule="auto"/>
        <w:sectPr>
          <w:type w:val="continuous"/>
          <w:pgSz w:w="11910" w:h="16840"/>
          <w:pgMar w:top="180" w:right="220" w:bottom="280" w:left="900" w:header="720" w:footer="720" w:gutter="0"/>
          <w:cols w:equalWidth="0" w:num="2">
            <w:col w:w="2413" w:space="40"/>
            <w:col w:w="8337"/>
          </w:cols>
        </w:sectPr>
      </w:pPr>
    </w:p>
    <w:p>
      <w:pPr>
        <w:pStyle w:val="8"/>
        <w:numPr>
          <w:ilvl w:val="1"/>
          <w:numId w:val="2"/>
        </w:numPr>
        <w:tabs>
          <w:tab w:val="left" w:pos="1149"/>
          <w:tab w:val="left" w:pos="1150"/>
          <w:tab w:val="left" w:pos="2649"/>
        </w:tabs>
        <w:spacing w:before="78" w:after="0" w:line="312" w:lineRule="exact"/>
        <w:ind w:left="2650" w:right="860" w:hanging="2362"/>
        <w:jc w:val="left"/>
        <w:rPr>
          <w:sz w:val="21"/>
        </w:rPr>
      </w:pPr>
      <w:r>
        <w:rPr>
          <w:rFonts w:ascii="黑体" w:eastAsia="黑体"/>
          <w:w w:val="100"/>
          <w:position w:val="-1"/>
          <w:sz w:val="21"/>
        </w:rPr>
        <w:t>投保</w:t>
      </w:r>
      <w:r>
        <w:rPr>
          <w:rFonts w:ascii="黑体" w:eastAsia="黑体"/>
          <w:spacing w:val="-3"/>
          <w:w w:val="100"/>
          <w:position w:val="-1"/>
          <w:sz w:val="21"/>
        </w:rPr>
        <w:t>范</w:t>
      </w:r>
      <w:r>
        <w:rPr>
          <w:rFonts w:ascii="黑体" w:eastAsia="黑体"/>
          <w:w w:val="100"/>
          <w:position w:val="-1"/>
          <w:sz w:val="21"/>
        </w:rPr>
        <w:t>围</w:t>
      </w:r>
      <w:r>
        <w:rPr>
          <w:rFonts w:ascii="黑体" w:eastAsia="黑体"/>
          <w:position w:val="-1"/>
          <w:sz w:val="21"/>
        </w:rPr>
        <w:tab/>
      </w:r>
      <w:r>
        <w:rPr>
          <w:w w:val="100"/>
          <w:sz w:val="21"/>
        </w:rPr>
        <w:t>本合</w:t>
      </w:r>
      <w:r>
        <w:rPr>
          <w:spacing w:val="-3"/>
          <w:w w:val="100"/>
          <w:sz w:val="21"/>
        </w:rPr>
        <w:t>同</w:t>
      </w:r>
      <w:r>
        <w:rPr>
          <w:w w:val="100"/>
          <w:sz w:val="21"/>
        </w:rPr>
        <w:t>接</w:t>
      </w:r>
      <w:r>
        <w:rPr>
          <w:spacing w:val="-3"/>
          <w:w w:val="100"/>
          <w:sz w:val="21"/>
        </w:rPr>
        <w:t>受</w:t>
      </w:r>
      <w:r>
        <w:rPr>
          <w:w w:val="100"/>
          <w:sz w:val="21"/>
        </w:rPr>
        <w:t>的</w:t>
      </w:r>
      <w:r>
        <w:rPr>
          <w:spacing w:val="-3"/>
          <w:w w:val="100"/>
          <w:sz w:val="21"/>
        </w:rPr>
        <w:t>被</w:t>
      </w:r>
      <w:r>
        <w:rPr>
          <w:w w:val="100"/>
          <w:sz w:val="21"/>
        </w:rPr>
        <w:t>保</w:t>
      </w:r>
      <w:r>
        <w:rPr>
          <w:spacing w:val="-3"/>
          <w:w w:val="100"/>
          <w:sz w:val="21"/>
        </w:rPr>
        <w:t>险</w:t>
      </w:r>
      <w:r>
        <w:rPr>
          <w:w w:val="100"/>
          <w:sz w:val="21"/>
        </w:rPr>
        <w:t>人</w:t>
      </w:r>
      <w:r>
        <w:rPr>
          <w:spacing w:val="-3"/>
          <w:w w:val="100"/>
          <w:sz w:val="21"/>
        </w:rPr>
        <w:t>为</w:t>
      </w:r>
      <w:r>
        <w:rPr>
          <w:w w:val="100"/>
          <w:sz w:val="21"/>
        </w:rPr>
        <w:t>投保</w:t>
      </w:r>
      <w:r>
        <w:rPr>
          <w:spacing w:val="-3"/>
          <w:w w:val="100"/>
          <w:sz w:val="21"/>
        </w:rPr>
        <w:t>时</w:t>
      </w:r>
      <w:r>
        <w:rPr>
          <w:w w:val="100"/>
          <w:sz w:val="21"/>
        </w:rPr>
        <w:t>年</w:t>
      </w:r>
      <w:r>
        <w:rPr>
          <w:spacing w:val="-3"/>
          <w:w w:val="100"/>
          <w:sz w:val="21"/>
        </w:rPr>
        <w:t>龄</w:t>
      </w:r>
      <w:r>
        <w:rPr>
          <w:w w:val="100"/>
          <w:sz w:val="21"/>
        </w:rPr>
        <w:t>范</w:t>
      </w:r>
      <w:r>
        <w:rPr>
          <w:spacing w:val="-3"/>
          <w:w w:val="100"/>
          <w:sz w:val="21"/>
        </w:rPr>
        <w:t>围</w:t>
      </w:r>
      <w:r>
        <w:rPr>
          <w:w w:val="100"/>
          <w:sz w:val="21"/>
        </w:rPr>
        <w:t>在</w:t>
      </w:r>
      <w:r>
        <w:rPr>
          <w:spacing w:val="-3"/>
          <w:w w:val="100"/>
          <w:sz w:val="21"/>
        </w:rPr>
        <w:t>出</w:t>
      </w:r>
      <w:r>
        <w:rPr>
          <w:w w:val="100"/>
          <w:sz w:val="21"/>
        </w:rPr>
        <w:t>生</w:t>
      </w:r>
      <w:r>
        <w:rPr>
          <w:spacing w:val="-3"/>
          <w:w w:val="100"/>
          <w:sz w:val="21"/>
        </w:rPr>
        <w:t>满2</w:t>
      </w:r>
      <w:r>
        <w:rPr>
          <w:w w:val="100"/>
          <w:sz w:val="21"/>
        </w:rPr>
        <w:t>8天至</w:t>
      </w:r>
      <w:r>
        <w:rPr>
          <w:spacing w:val="-3"/>
          <w:w w:val="100"/>
          <w:sz w:val="21"/>
        </w:rPr>
        <w:t>55</w:t>
      </w:r>
      <w:r>
        <w:rPr>
          <w:rFonts w:ascii="Microsoft JhengHei" w:eastAsia="Microsoft JhengHei"/>
          <w:b/>
          <w:w w:val="100"/>
          <w:sz w:val="21"/>
        </w:rPr>
        <w:t>周</w:t>
      </w:r>
      <w:r>
        <w:rPr>
          <w:rFonts w:ascii="Microsoft JhengHei" w:eastAsia="Microsoft JhengHei"/>
          <w:b/>
          <w:spacing w:val="-93"/>
          <w:w w:val="100"/>
          <w:sz w:val="21"/>
        </w:rPr>
        <w:t>岁</w:t>
      </w:r>
      <w:r>
        <w:rPr>
          <w:w w:val="100"/>
          <w:sz w:val="21"/>
        </w:rPr>
        <w:t>（</w:t>
      </w:r>
      <w:r>
        <w:rPr>
          <w:spacing w:val="-3"/>
          <w:w w:val="100"/>
          <w:sz w:val="21"/>
        </w:rPr>
        <w:t>见</w:t>
      </w:r>
      <w:r>
        <w:rPr>
          <w:w w:val="100"/>
          <w:sz w:val="21"/>
        </w:rPr>
        <w:t>7.</w:t>
      </w:r>
      <w:r>
        <w:rPr>
          <w:spacing w:val="-3"/>
          <w:w w:val="100"/>
          <w:sz w:val="21"/>
        </w:rPr>
        <w:t>1</w:t>
      </w:r>
      <w:r>
        <w:rPr>
          <w:spacing w:val="-94"/>
          <w:w w:val="100"/>
          <w:sz w:val="21"/>
        </w:rPr>
        <w:t>）</w:t>
      </w:r>
      <w:r>
        <w:rPr>
          <w:spacing w:val="-3"/>
          <w:w w:val="100"/>
          <w:sz w:val="21"/>
        </w:rPr>
        <w:t>之</w:t>
      </w:r>
      <w:r>
        <w:rPr>
          <w:w w:val="100"/>
          <w:sz w:val="21"/>
        </w:rPr>
        <w:t>间，且符合我们当</w:t>
      </w:r>
      <w:r>
        <w:rPr>
          <w:spacing w:val="-3"/>
          <w:w w:val="100"/>
          <w:sz w:val="21"/>
        </w:rPr>
        <w:t>时</w:t>
      </w:r>
      <w:r>
        <w:rPr>
          <w:w w:val="100"/>
          <w:sz w:val="21"/>
        </w:rPr>
        <w:t>规定的</w:t>
      </w:r>
      <w:r>
        <w:rPr>
          <w:spacing w:val="-3"/>
          <w:w w:val="100"/>
          <w:sz w:val="21"/>
        </w:rPr>
        <w:t>其</w:t>
      </w:r>
      <w:r>
        <w:rPr>
          <w:w w:val="100"/>
          <w:sz w:val="21"/>
        </w:rPr>
        <w:t>他投保条件的</w:t>
      </w:r>
      <w:r>
        <w:rPr>
          <w:spacing w:val="-3"/>
          <w:w w:val="100"/>
          <w:sz w:val="21"/>
        </w:rPr>
        <w:t>人</w:t>
      </w:r>
      <w:r>
        <w:rPr>
          <w:w w:val="100"/>
          <w:sz w:val="21"/>
        </w:rPr>
        <w:t>员。被</w:t>
      </w:r>
      <w:r>
        <w:rPr>
          <w:spacing w:val="-3"/>
          <w:w w:val="100"/>
          <w:sz w:val="21"/>
        </w:rPr>
        <w:t>保</w:t>
      </w:r>
      <w:r>
        <w:rPr>
          <w:w w:val="100"/>
          <w:sz w:val="21"/>
        </w:rPr>
        <w:t>险</w:t>
      </w:r>
      <w:r>
        <w:rPr>
          <w:spacing w:val="-1"/>
          <w:w w:val="100"/>
          <w:sz w:val="21"/>
        </w:rPr>
        <w:t>人</w:t>
      </w:r>
      <w:r>
        <w:rPr>
          <w:w w:val="100"/>
          <w:sz w:val="21"/>
        </w:rPr>
        <w:t>为非中华</w:t>
      </w:r>
      <w:r>
        <w:rPr>
          <w:spacing w:val="-3"/>
          <w:w w:val="100"/>
          <w:sz w:val="21"/>
        </w:rPr>
        <w:t>人</w:t>
      </w:r>
      <w:r>
        <w:rPr>
          <w:w w:val="100"/>
          <w:sz w:val="21"/>
        </w:rPr>
        <w:t>民共和</w:t>
      </w:r>
      <w:r>
        <w:rPr>
          <w:spacing w:val="-3"/>
          <w:w w:val="100"/>
          <w:sz w:val="21"/>
        </w:rPr>
        <w:t>国</w:t>
      </w:r>
      <w:r>
        <w:rPr>
          <w:w w:val="100"/>
          <w:sz w:val="21"/>
        </w:rPr>
        <w:t>国籍的，需持有</w:t>
      </w:r>
      <w:r>
        <w:rPr>
          <w:spacing w:val="-3"/>
          <w:w w:val="100"/>
          <w:sz w:val="21"/>
        </w:rPr>
        <w:t>中</w:t>
      </w:r>
      <w:r>
        <w:rPr>
          <w:w w:val="100"/>
          <w:sz w:val="21"/>
        </w:rPr>
        <w:t>华人民</w:t>
      </w:r>
      <w:r>
        <w:rPr>
          <w:spacing w:val="-3"/>
          <w:w w:val="100"/>
          <w:sz w:val="21"/>
        </w:rPr>
        <w:t>共</w:t>
      </w:r>
      <w:r>
        <w:rPr>
          <w:w w:val="100"/>
          <w:sz w:val="21"/>
        </w:rPr>
        <w:t>和国政府部门</w:t>
      </w:r>
      <w:r>
        <w:rPr>
          <w:spacing w:val="-3"/>
          <w:w w:val="100"/>
          <w:sz w:val="21"/>
        </w:rPr>
        <w:t>签</w:t>
      </w:r>
      <w:r>
        <w:rPr>
          <w:w w:val="100"/>
          <w:sz w:val="21"/>
        </w:rPr>
        <w:t>发的工</w:t>
      </w:r>
      <w:r>
        <w:rPr>
          <w:spacing w:val="-3"/>
          <w:w w:val="100"/>
          <w:sz w:val="21"/>
        </w:rPr>
        <w:t>作</w:t>
      </w:r>
      <w:r>
        <w:rPr>
          <w:w w:val="100"/>
          <w:sz w:val="21"/>
        </w:rPr>
        <w:t>签证，或拥有</w:t>
      </w:r>
      <w:r>
        <w:rPr>
          <w:spacing w:val="-3"/>
          <w:w w:val="100"/>
          <w:sz w:val="21"/>
        </w:rPr>
        <w:t>中</w:t>
      </w:r>
      <w:r>
        <w:rPr>
          <w:w w:val="100"/>
          <w:sz w:val="21"/>
        </w:rPr>
        <w:t>华人民</w:t>
      </w:r>
      <w:r>
        <w:rPr>
          <w:spacing w:val="-3"/>
          <w:w w:val="100"/>
          <w:sz w:val="21"/>
        </w:rPr>
        <w:t>共</w:t>
      </w:r>
      <w:r>
        <w:rPr>
          <w:w w:val="100"/>
          <w:sz w:val="21"/>
        </w:rPr>
        <w:t>和国境</w:t>
      </w:r>
      <w:r>
        <w:rPr>
          <w:spacing w:val="-3"/>
          <w:w w:val="100"/>
          <w:sz w:val="21"/>
        </w:rPr>
        <w:t>内</w:t>
      </w:r>
      <w:r>
        <w:rPr>
          <w:w w:val="100"/>
          <w:sz w:val="21"/>
        </w:rPr>
        <w:t>居</w:t>
      </w:r>
      <w:r>
        <w:rPr>
          <w:spacing w:val="-3"/>
          <w:w w:val="100"/>
          <w:sz w:val="21"/>
        </w:rPr>
        <w:t>留</w:t>
      </w:r>
      <w:r>
        <w:rPr>
          <w:w w:val="100"/>
          <w:sz w:val="21"/>
        </w:rPr>
        <w:t>证</w:t>
      </w:r>
      <w:r>
        <w:rPr>
          <w:spacing w:val="-3"/>
          <w:w w:val="100"/>
          <w:sz w:val="21"/>
        </w:rPr>
        <w:t>或</w:t>
      </w:r>
      <w:r>
        <w:rPr>
          <w:w w:val="100"/>
          <w:sz w:val="21"/>
        </w:rPr>
        <w:t>长</w:t>
      </w:r>
      <w:r>
        <w:rPr>
          <w:spacing w:val="-3"/>
          <w:w w:val="100"/>
          <w:sz w:val="21"/>
        </w:rPr>
        <w:t>期</w:t>
      </w:r>
      <w:r>
        <w:rPr>
          <w:w w:val="100"/>
          <w:sz w:val="21"/>
        </w:rPr>
        <w:t>居</w:t>
      </w:r>
      <w:r>
        <w:rPr>
          <w:spacing w:val="-3"/>
          <w:w w:val="100"/>
          <w:sz w:val="21"/>
        </w:rPr>
        <w:t>住</w:t>
      </w:r>
      <w:r>
        <w:rPr>
          <w:w w:val="100"/>
          <w:sz w:val="21"/>
        </w:rPr>
        <w:t>权，</w:t>
      </w:r>
      <w:r>
        <w:rPr>
          <w:spacing w:val="-3"/>
          <w:w w:val="100"/>
          <w:sz w:val="21"/>
        </w:rPr>
        <w:t>并</w:t>
      </w:r>
      <w:r>
        <w:rPr>
          <w:w w:val="100"/>
          <w:sz w:val="21"/>
        </w:rPr>
        <w:t>提</w:t>
      </w:r>
      <w:r>
        <w:rPr>
          <w:spacing w:val="-3"/>
          <w:w w:val="100"/>
          <w:sz w:val="21"/>
        </w:rPr>
        <w:t>供</w:t>
      </w:r>
      <w:r>
        <w:rPr>
          <w:w w:val="100"/>
          <w:sz w:val="21"/>
        </w:rPr>
        <w:t>中</w:t>
      </w:r>
      <w:r>
        <w:rPr>
          <w:spacing w:val="-3"/>
          <w:w w:val="100"/>
          <w:sz w:val="21"/>
        </w:rPr>
        <w:t>华</w:t>
      </w:r>
      <w:r>
        <w:rPr>
          <w:w w:val="100"/>
          <w:sz w:val="21"/>
        </w:rPr>
        <w:t>人</w:t>
      </w:r>
      <w:r>
        <w:rPr>
          <w:spacing w:val="-3"/>
          <w:w w:val="100"/>
          <w:sz w:val="21"/>
        </w:rPr>
        <w:t>民</w:t>
      </w:r>
      <w:r>
        <w:rPr>
          <w:w w:val="100"/>
          <w:sz w:val="21"/>
        </w:rPr>
        <w:t>共</w:t>
      </w:r>
      <w:r>
        <w:rPr>
          <w:spacing w:val="-3"/>
          <w:w w:val="100"/>
          <w:sz w:val="21"/>
        </w:rPr>
        <w:t>和</w:t>
      </w:r>
      <w:r>
        <w:rPr>
          <w:w w:val="100"/>
          <w:sz w:val="21"/>
        </w:rPr>
        <w:t>国境</w:t>
      </w:r>
      <w:r>
        <w:rPr>
          <w:spacing w:val="-3"/>
          <w:w w:val="100"/>
          <w:sz w:val="21"/>
        </w:rPr>
        <w:t>内</w:t>
      </w:r>
      <w:r>
        <w:rPr>
          <w:w w:val="100"/>
          <w:sz w:val="21"/>
        </w:rPr>
        <w:t>固</w:t>
      </w:r>
      <w:r>
        <w:rPr>
          <w:spacing w:val="-3"/>
          <w:w w:val="100"/>
          <w:sz w:val="21"/>
        </w:rPr>
        <w:t>定</w:t>
      </w:r>
      <w:r>
        <w:rPr>
          <w:w w:val="100"/>
          <w:sz w:val="21"/>
        </w:rPr>
        <w:t>居</w:t>
      </w:r>
      <w:r>
        <w:rPr>
          <w:spacing w:val="-3"/>
          <w:w w:val="100"/>
          <w:sz w:val="21"/>
        </w:rPr>
        <w:t>住</w:t>
      </w:r>
      <w:r>
        <w:rPr>
          <w:w w:val="100"/>
          <w:sz w:val="21"/>
        </w:rPr>
        <w:t>地</w:t>
      </w:r>
      <w:r>
        <w:rPr>
          <w:spacing w:val="-2"/>
          <w:w w:val="100"/>
          <w:sz w:val="21"/>
        </w:rPr>
        <w:t>址</w:t>
      </w:r>
      <w:r>
        <w:rPr>
          <w:w w:val="100"/>
          <w:sz w:val="21"/>
        </w:rPr>
        <w:t>。</w:t>
      </w:r>
    </w:p>
    <w:p>
      <w:pPr>
        <w:pStyle w:val="4"/>
        <w:spacing w:line="312" w:lineRule="exact"/>
        <w:ind w:left="2650" w:right="966"/>
        <w:jc w:val="both"/>
      </w:pPr>
      <w:r>
        <w:rPr>
          <w:spacing w:val="-4"/>
        </w:rPr>
        <w:t>被保险人的家庭成员若满足上述条件，可以与被保险人</w:t>
      </w:r>
      <w:r>
        <w:rPr>
          <w:rFonts w:ascii="Microsoft JhengHei" w:eastAsia="Microsoft JhengHei"/>
          <w:b/>
          <w:spacing w:val="-4"/>
        </w:rPr>
        <w:t>同时参保</w:t>
      </w:r>
      <w:r>
        <w:rPr>
          <w:spacing w:val="-4"/>
        </w:rPr>
        <w:t>（见7.2）本保</w:t>
      </w:r>
      <w:r>
        <w:rPr>
          <w:spacing w:val="-2"/>
        </w:rPr>
        <w:t>险。家庭成员仅指投保时年龄不超过55周岁，身体健康，能在中国正常工作、劳动或者生活的被保险人的配偶，以及投保时年龄不超过18周岁，身体健康，</w:t>
      </w:r>
      <w:r>
        <w:rPr>
          <w:spacing w:val="-16"/>
        </w:rPr>
        <w:t>能在中国正常生活、学习，经济上完全依赖被保险人的被保险人的未婚子女</w:t>
      </w:r>
      <w:r>
        <w:rPr>
          <w:spacing w:val="-2"/>
        </w:rPr>
        <w:t>（其中被保险人的配偶最高可续保至59周岁，被保险人的未婚子女最高可续保至23</w:t>
      </w:r>
      <w:r>
        <w:rPr>
          <w:spacing w:val="-4"/>
        </w:rPr>
        <w:t>周岁</w:t>
      </w:r>
      <w:r>
        <w:rPr>
          <w:spacing w:val="-108"/>
        </w:rPr>
        <w:t>）</w:t>
      </w:r>
      <w:r>
        <w:rPr>
          <w:spacing w:val="-4"/>
        </w:rPr>
        <w:t>。</w:t>
      </w:r>
    </w:p>
    <w:p>
      <w:pPr>
        <w:pStyle w:val="4"/>
        <w:spacing w:before="2"/>
        <w:rPr>
          <w:sz w:val="14"/>
        </w:rPr>
      </w:pPr>
    </w:p>
    <w:p>
      <w:pPr>
        <w:pStyle w:val="8"/>
        <w:numPr>
          <w:ilvl w:val="1"/>
          <w:numId w:val="2"/>
        </w:numPr>
        <w:tabs>
          <w:tab w:val="left" w:pos="1150"/>
        </w:tabs>
        <w:spacing w:before="1" w:after="0" w:line="271" w:lineRule="auto"/>
        <w:ind w:left="2650" w:right="967" w:hanging="2362"/>
        <w:jc w:val="both"/>
        <w:rPr>
          <w:sz w:val="21"/>
        </w:rPr>
      </w:pPr>
      <w:r>
        <w:rPr>
          <w:rFonts w:ascii="黑体" w:eastAsia="黑体"/>
          <w:position w:val="-1"/>
          <w:sz w:val="21"/>
        </w:rPr>
        <w:t>犹豫期</w:t>
      </w:r>
      <w:r>
        <w:rPr>
          <w:rFonts w:ascii="黑体" w:eastAsia="黑体"/>
          <w:spacing w:val="600"/>
          <w:position w:val="-1"/>
          <w:sz w:val="21"/>
        </w:rPr>
        <w:t xml:space="preserve"> </w:t>
      </w:r>
      <w:r>
        <w:rPr>
          <w:spacing w:val="-3"/>
          <w:sz w:val="21"/>
        </w:rPr>
        <w:t xml:space="preserve">自您签收本合同次日起，有 </w:t>
      </w:r>
      <w:r>
        <w:rPr>
          <w:sz w:val="21"/>
        </w:rPr>
        <w:t>10</w:t>
      </w:r>
      <w:r>
        <w:rPr>
          <w:spacing w:val="-5"/>
          <w:sz w:val="21"/>
        </w:rPr>
        <w:t xml:space="preserve"> 日的犹豫期。法律法规、监管规定对犹豫期另有</w:t>
      </w:r>
      <w:r>
        <w:rPr>
          <w:spacing w:val="-2"/>
          <w:sz w:val="21"/>
        </w:rPr>
        <w:t>规定的，依照其规定。在此期间，请您认真审视本合同，如果您认为本合同与您的需求不相符，您可以在此期间提出解除本合同，我们将退还您所支付的保</w:t>
      </w:r>
      <w:r>
        <w:rPr>
          <w:spacing w:val="-4"/>
          <w:sz w:val="21"/>
        </w:rPr>
        <w:t>险费。</w:t>
      </w:r>
    </w:p>
    <w:p>
      <w:pPr>
        <w:pStyle w:val="4"/>
        <w:spacing w:line="326" w:lineRule="exact"/>
        <w:ind w:left="2650"/>
      </w:pPr>
      <w:r>
        <w:t>解除合同时，您需要填写申请书，并提供您的保险合同及</w:t>
      </w:r>
      <w:r>
        <w:rPr>
          <w:rFonts w:ascii="Microsoft JhengHei" w:eastAsia="Microsoft JhengHei"/>
          <w:b/>
        </w:rPr>
        <w:t>有效身份证件</w:t>
      </w:r>
      <w:r>
        <w:t>（</w:t>
      </w:r>
      <w:r>
        <w:rPr>
          <w:spacing w:val="-10"/>
        </w:rPr>
        <w:t>见</w:t>
      </w:r>
    </w:p>
    <w:p>
      <w:pPr>
        <w:pStyle w:val="4"/>
        <w:spacing w:line="278" w:lineRule="auto"/>
        <w:ind w:left="2650" w:right="968"/>
      </w:pPr>
      <w:r>
        <w:rPr>
          <w:spacing w:val="-4"/>
        </w:rPr>
        <w:t>7.3）。</w:t>
      </w:r>
      <w:r>
        <w:rPr>
          <w:color w:val="000000"/>
          <w:spacing w:val="-4"/>
          <w:shd w:val="clear" w:color="auto" w:fill="D9D9D9"/>
        </w:rPr>
        <w:t>自我们收到您解除合同的书面申请时起，本合同即被解除，对于本合同</w:t>
      </w:r>
      <w:r>
        <w:rPr>
          <w:color w:val="000000"/>
          <w:spacing w:val="80"/>
          <w:w w:val="150"/>
          <w:shd w:val="clear" w:color="auto" w:fill="D9D9D9"/>
        </w:rPr>
        <w:t xml:space="preserve">                                       </w:t>
      </w:r>
      <w:r>
        <w:rPr>
          <w:color w:val="000000"/>
          <w:spacing w:val="-2"/>
          <w:shd w:val="clear" w:color="auto" w:fill="D9D9D9"/>
        </w:rPr>
        <w:t>解除前发生的保险事故，我们不承担保险责任。</w:t>
      </w:r>
    </w:p>
    <w:p>
      <w:pPr>
        <w:pStyle w:val="4"/>
        <w:spacing w:before="2"/>
        <w:rPr>
          <w:sz w:val="7"/>
        </w:rPr>
      </w:pPr>
      <w:r>
        <w:pict>
          <v:shape id="docshape3" o:spid="_x0000_s1028" o:spt="202" type="#_x0000_t202" style="position:absolute;left:0pt;margin-left:54pt;margin-top:5.8pt;height:16pt;width:487.45pt;mso-position-horizontal-relative:page;mso-wrap-distance-bottom:0pt;mso-wrap-distance-top:0pt;z-index:-251653120;mso-width-relative:page;mso-height-relative:page;" fillcolor="#A6A6A6" filled="t" stroked="f" coordsize="21600,21600">
            <v:path/>
            <v:fill on="t" focussize="0,0"/>
            <v:stroke on="f" joinstyle="miter"/>
            <v:imagedata o:title=""/>
            <o:lock v:ext="edit"/>
            <v:textbox inset="0mm,0mm,0mm,0mm">
              <w:txbxContent>
                <w:p>
                  <w:pPr>
                    <w:tabs>
                      <w:tab w:val="left" w:pos="969"/>
                    </w:tabs>
                    <w:spacing w:before="47"/>
                    <w:ind w:left="107" w:right="0" w:firstLine="0"/>
                    <w:jc w:val="left"/>
                    <w:rPr>
                      <w:rFonts w:hint="eastAsia" w:ascii="黑体" w:eastAsia="黑体"/>
                      <w:b/>
                      <w:color w:val="000000"/>
                      <w:sz w:val="21"/>
                    </w:rPr>
                  </w:pPr>
                  <w:r>
                    <w:rPr>
                      <w:rFonts w:hint="eastAsia" w:ascii="黑体" w:eastAsia="黑体"/>
                      <w:b/>
                      <w:color w:val="000000"/>
                      <w:spacing w:val="-5"/>
                      <w:sz w:val="21"/>
                    </w:rPr>
                    <w:t>2．</w:t>
                  </w:r>
                  <w:r>
                    <w:rPr>
                      <w:rFonts w:hint="eastAsia" w:ascii="黑体" w:eastAsia="黑体"/>
                      <w:b/>
                      <w:color w:val="000000"/>
                      <w:sz w:val="21"/>
                    </w:rPr>
                    <w:tab/>
                  </w:r>
                  <w:r>
                    <w:rPr>
                      <w:rFonts w:hint="eastAsia" w:ascii="黑体" w:eastAsia="黑体"/>
                      <w:b/>
                      <w:color w:val="000000"/>
                      <w:spacing w:val="-2"/>
                      <w:sz w:val="21"/>
                    </w:rPr>
                    <w:t>我们提供的保障</w:t>
                  </w:r>
                </w:p>
              </w:txbxContent>
            </v:textbox>
            <w10:wrap type="topAndBottom"/>
          </v:shape>
        </w:pict>
      </w:r>
    </w:p>
    <w:p>
      <w:pPr>
        <w:pStyle w:val="4"/>
        <w:spacing w:before="1"/>
        <w:rPr>
          <w:sz w:val="9"/>
        </w:rPr>
      </w:pPr>
    </w:p>
    <w:p>
      <w:pPr>
        <w:pStyle w:val="8"/>
        <w:numPr>
          <w:ilvl w:val="1"/>
          <w:numId w:val="3"/>
        </w:numPr>
        <w:tabs>
          <w:tab w:val="left" w:pos="1149"/>
          <w:tab w:val="left" w:pos="1150"/>
          <w:tab w:val="left" w:pos="2649"/>
        </w:tabs>
        <w:spacing w:before="72" w:after="0" w:line="240" w:lineRule="auto"/>
        <w:ind w:left="1150" w:right="0" w:hanging="863"/>
        <w:jc w:val="left"/>
        <w:rPr>
          <w:sz w:val="21"/>
        </w:rPr>
      </w:pPr>
      <w:r>
        <w:rPr>
          <w:rFonts w:ascii="黑体" w:eastAsia="黑体"/>
          <w:spacing w:val="-2"/>
          <w:sz w:val="21"/>
        </w:rPr>
        <w:t>保险期</w:t>
      </w:r>
      <w:r>
        <w:rPr>
          <w:rFonts w:ascii="黑体" w:eastAsia="黑体"/>
          <w:spacing w:val="-10"/>
          <w:sz w:val="21"/>
        </w:rPr>
        <w:t>间</w:t>
      </w:r>
      <w:r>
        <w:rPr>
          <w:rFonts w:ascii="黑体" w:eastAsia="黑体"/>
          <w:sz w:val="21"/>
        </w:rPr>
        <w:tab/>
      </w:r>
      <w:r>
        <w:rPr>
          <w:spacing w:val="-2"/>
          <w:sz w:val="21"/>
        </w:rPr>
        <w:t>本合同的保险期间</w:t>
      </w:r>
      <w:r>
        <w:rPr>
          <w:spacing w:val="-46"/>
          <w:sz w:val="21"/>
        </w:rPr>
        <w:t xml:space="preserve"> </w:t>
      </w:r>
      <w:r>
        <w:rPr>
          <w:spacing w:val="-2"/>
          <w:sz w:val="21"/>
        </w:rPr>
        <w:t>1</w:t>
      </w:r>
      <w:r>
        <w:rPr>
          <w:spacing w:val="-46"/>
          <w:sz w:val="21"/>
        </w:rPr>
        <w:t xml:space="preserve"> </w:t>
      </w:r>
      <w:r>
        <w:rPr>
          <w:spacing w:val="-2"/>
          <w:sz w:val="21"/>
        </w:rPr>
        <w:t>年，并在保险单上载明</w:t>
      </w:r>
      <w:r>
        <w:rPr>
          <w:spacing w:val="-10"/>
          <w:sz w:val="21"/>
        </w:rPr>
        <w:t>。</w:t>
      </w:r>
    </w:p>
    <w:p>
      <w:pPr>
        <w:pStyle w:val="4"/>
        <w:spacing w:before="7"/>
        <w:rPr>
          <w:sz w:val="9"/>
        </w:rPr>
      </w:pPr>
    </w:p>
    <w:p>
      <w:pPr>
        <w:spacing w:after="0"/>
        <w:rPr>
          <w:sz w:val="9"/>
        </w:rPr>
        <w:sectPr>
          <w:type w:val="continuous"/>
          <w:pgSz w:w="11910" w:h="16840"/>
          <w:pgMar w:top="180" w:right="220" w:bottom="280" w:left="900" w:header="720" w:footer="720" w:gutter="0"/>
          <w:cols w:space="720" w:num="1"/>
        </w:sectPr>
      </w:pPr>
    </w:p>
    <w:p>
      <w:pPr>
        <w:pStyle w:val="8"/>
        <w:numPr>
          <w:ilvl w:val="1"/>
          <w:numId w:val="3"/>
        </w:numPr>
        <w:tabs>
          <w:tab w:val="left" w:pos="1149"/>
          <w:tab w:val="left" w:pos="1150"/>
        </w:tabs>
        <w:spacing w:before="72" w:after="0" w:line="285" w:lineRule="auto"/>
        <w:ind w:left="1150" w:right="0" w:hanging="862"/>
        <w:jc w:val="left"/>
        <w:rPr>
          <w:rFonts w:ascii="黑体" w:eastAsia="黑体"/>
          <w:sz w:val="21"/>
        </w:rPr>
      </w:pPr>
      <w:r>
        <w:rPr>
          <w:rFonts w:ascii="黑体" w:eastAsia="黑体"/>
          <w:spacing w:val="-2"/>
          <w:sz w:val="21"/>
        </w:rPr>
        <w:t>保障计划及保</w:t>
      </w:r>
      <w:r>
        <w:rPr>
          <w:rFonts w:ascii="黑体" w:eastAsia="黑体"/>
          <w:spacing w:val="-4"/>
          <w:sz w:val="21"/>
        </w:rPr>
        <w:t>障区域</w:t>
      </w:r>
    </w:p>
    <w:p>
      <w:pPr>
        <w:pStyle w:val="4"/>
        <w:spacing w:before="72" w:line="285" w:lineRule="auto"/>
        <w:ind w:left="197" w:right="966"/>
        <w:jc w:val="both"/>
      </w:pPr>
      <w:r>
        <w:br w:type="column"/>
      </w:r>
      <w:r>
        <w:rPr>
          <w:spacing w:val="-2"/>
        </w:rPr>
        <w:t>本合同提供两种保障计划，由您和我们约定并在保险单上载明，在本合同保险期间内不得变更。本合同保障计划的年度免赔额、年度总限额、各项保险金限额、在医院治疗给付保险金的赔付比例见附表。</w:t>
      </w:r>
    </w:p>
    <w:p>
      <w:pPr>
        <w:pStyle w:val="4"/>
        <w:spacing w:line="285" w:lineRule="auto"/>
        <w:ind w:left="197" w:right="966"/>
      </w:pPr>
      <w:r>
        <w:rPr>
          <w:spacing w:val="-2"/>
        </w:rPr>
        <w:t>本合同的保障区域为中国大陆。本合同约定的被保险人的各项医疗费用，必须发生于中国大陆二级或二级以上公立医院</w:t>
      </w:r>
      <w:r>
        <w:rPr>
          <w:color w:val="000000"/>
          <w:spacing w:val="-2"/>
          <w:shd w:val="clear" w:color="auto" w:fill="D9D9D9"/>
        </w:rPr>
        <w:t>（不含特需及外宾病房</w:t>
      </w:r>
      <w:r>
        <w:rPr>
          <w:color w:val="000000"/>
          <w:spacing w:val="-108"/>
          <w:shd w:val="clear" w:color="auto" w:fill="D9D9D9"/>
        </w:rPr>
        <w:t>）</w:t>
      </w:r>
      <w:r>
        <w:rPr>
          <w:color w:val="000000"/>
          <w:spacing w:val="-2"/>
          <w:shd w:val="clear" w:color="auto" w:fill="D9D9D9"/>
        </w:rPr>
        <w:t>。</w:t>
      </w:r>
    </w:p>
    <w:p>
      <w:pPr>
        <w:spacing w:after="0" w:line="285" w:lineRule="auto"/>
        <w:sectPr>
          <w:type w:val="continuous"/>
          <w:pgSz w:w="11910" w:h="16840"/>
          <w:pgMar w:top="180" w:right="220" w:bottom="280" w:left="900" w:header="720" w:footer="720" w:gutter="0"/>
          <w:cols w:equalWidth="0" w:num="2">
            <w:col w:w="2413" w:space="40"/>
            <w:col w:w="8337"/>
          </w:cols>
        </w:sectPr>
      </w:pPr>
    </w:p>
    <w:p>
      <w:pPr>
        <w:pStyle w:val="8"/>
        <w:numPr>
          <w:ilvl w:val="1"/>
          <w:numId w:val="3"/>
        </w:numPr>
        <w:tabs>
          <w:tab w:val="left" w:pos="1149"/>
          <w:tab w:val="left" w:pos="1150"/>
          <w:tab w:val="left" w:pos="2649"/>
        </w:tabs>
        <w:spacing w:before="142" w:after="0" w:line="285" w:lineRule="auto"/>
        <w:ind w:left="2650" w:right="988" w:hanging="2362"/>
        <w:jc w:val="left"/>
        <w:rPr>
          <w:sz w:val="21"/>
        </w:rPr>
      </w:pPr>
      <w:r>
        <w:rPr>
          <w:rFonts w:ascii="黑体" w:eastAsia="黑体"/>
          <w:spacing w:val="-6"/>
          <w:sz w:val="21"/>
        </w:rPr>
        <w:t>续保</w:t>
      </w:r>
      <w:r>
        <w:rPr>
          <w:rFonts w:ascii="黑体" w:eastAsia="黑体"/>
          <w:sz w:val="21"/>
        </w:rPr>
        <w:tab/>
      </w:r>
      <w:r>
        <w:rPr>
          <w:spacing w:val="-2"/>
          <w:sz w:val="21"/>
        </w:rPr>
        <w:t>本合同为非保证续保合同，在每一个保险期间届满前，您提出续保申请，我们会审核被保险人是否符合续保条件，如果我们不接受续保的，我们将于保险期</w:t>
      </w:r>
    </w:p>
    <w:p>
      <w:pPr>
        <w:spacing w:after="0" w:line="285" w:lineRule="auto"/>
        <w:jc w:val="left"/>
        <w:rPr>
          <w:sz w:val="21"/>
        </w:rPr>
        <w:sectPr>
          <w:type w:val="continuous"/>
          <w:pgSz w:w="11910" w:h="16840"/>
          <w:pgMar w:top="180" w:right="220" w:bottom="280" w:left="900" w:header="720" w:footer="720" w:gutter="0"/>
          <w:cols w:space="720" w:num="1"/>
        </w:sectPr>
      </w:pPr>
    </w:p>
    <w:p>
      <w:pPr>
        <w:pStyle w:val="4"/>
        <w:spacing w:before="47"/>
        <w:ind w:left="2650"/>
      </w:pPr>
      <w:r>
        <w:rPr>
          <w:spacing w:val="-3"/>
        </w:rPr>
        <w:t>间届满前以书面形式通知您。</w:t>
      </w:r>
    </w:p>
    <w:p>
      <w:pPr>
        <w:pStyle w:val="4"/>
        <w:spacing w:before="50" w:line="285" w:lineRule="auto"/>
        <w:ind w:left="2650" w:right="988"/>
      </w:pPr>
      <w:r>
        <w:rPr>
          <w:spacing w:val="-2"/>
        </w:rPr>
        <w:t xml:space="preserve">如果我们审核同意且您按续保生效时的年龄对应的当时费率向我们支付续保保险费，则续保合同自上一个保险期间届满后的次日零时起生效，保险期间为 </w:t>
      </w:r>
      <w:r>
        <w:t>1</w:t>
      </w:r>
    </w:p>
    <w:p>
      <w:pPr>
        <w:pStyle w:val="4"/>
        <w:ind w:left="2650"/>
      </w:pPr>
      <w:r>
        <w:rPr>
          <w:spacing w:val="-5"/>
        </w:rPr>
        <w:t xml:space="preserve">年，但续保时被保险人的年龄超过 </w:t>
      </w:r>
      <w:r>
        <w:rPr>
          <w:spacing w:val="-2"/>
        </w:rPr>
        <w:t>59</w:t>
      </w:r>
      <w:r>
        <w:rPr>
          <w:spacing w:val="-10"/>
        </w:rPr>
        <w:t xml:space="preserve"> 周岁，我们不再接受续保。</w:t>
      </w:r>
    </w:p>
    <w:p>
      <w:pPr>
        <w:pStyle w:val="4"/>
        <w:rPr>
          <w:sz w:val="15"/>
        </w:rPr>
      </w:pPr>
    </w:p>
    <w:p>
      <w:pPr>
        <w:pStyle w:val="8"/>
        <w:numPr>
          <w:ilvl w:val="1"/>
          <w:numId w:val="3"/>
        </w:numPr>
        <w:tabs>
          <w:tab w:val="left" w:pos="1149"/>
          <w:tab w:val="left" w:pos="1150"/>
          <w:tab w:val="left" w:pos="2649"/>
        </w:tabs>
        <w:spacing w:before="0" w:after="0" w:line="288" w:lineRule="auto"/>
        <w:ind w:left="2650" w:right="987" w:hanging="2362"/>
        <w:jc w:val="left"/>
        <w:rPr>
          <w:sz w:val="21"/>
        </w:rPr>
      </w:pPr>
      <w:r>
        <w:rPr>
          <w:rFonts w:ascii="黑体" w:eastAsia="黑体"/>
          <w:spacing w:val="-4"/>
          <w:sz w:val="21"/>
        </w:rPr>
        <w:t>保险责任</w:t>
      </w:r>
      <w:r>
        <w:rPr>
          <w:rFonts w:ascii="黑体" w:eastAsia="黑体"/>
          <w:sz w:val="21"/>
        </w:rPr>
        <w:tab/>
      </w:r>
      <w:r>
        <w:rPr>
          <w:spacing w:val="-2"/>
          <w:sz w:val="21"/>
        </w:rPr>
        <w:t>在本合同保险期间内，且本合同有效的前提下，我们根据投保时您与我们约定的保障计划，在年度总限额范围内按以下约定承担相应的保险责任：</w:t>
      </w:r>
    </w:p>
    <w:p>
      <w:pPr>
        <w:spacing w:before="115" w:line="199" w:lineRule="auto"/>
        <w:ind w:left="2650" w:right="966" w:hanging="1500"/>
        <w:jc w:val="left"/>
        <w:rPr>
          <w:sz w:val="21"/>
        </w:rPr>
      </w:pPr>
      <w:r>
        <w:rPr>
          <w:position w:val="-4"/>
        </w:rPr>
        <w:drawing>
          <wp:inline distT="0" distB="0" distL="0" distR="0">
            <wp:extent cx="534035" cy="15049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534415" cy="150875"/>
                    </a:xfrm>
                    <a:prstGeom prst="rect">
                      <a:avLst/>
                    </a:prstGeom>
                  </pic:spPr>
                </pic:pic>
              </a:graphicData>
            </a:graphic>
          </wp:inline>
        </w:drawing>
      </w:r>
      <w:r>
        <w:rPr>
          <w:rFonts w:ascii="Times New Roman" w:eastAsia="Times New Roman"/>
          <w:spacing w:val="608"/>
          <w:sz w:val="20"/>
        </w:rPr>
        <w:t xml:space="preserve"> </w:t>
      </w:r>
      <w:r>
        <w:rPr>
          <w:color w:val="000000"/>
          <w:sz w:val="21"/>
          <w:shd w:val="clear" w:color="auto" w:fill="D9D9D9"/>
        </w:rPr>
        <w:t>您首次投保或非续保本保险时，被保险人因</w:t>
      </w:r>
      <w:r>
        <w:rPr>
          <w:rFonts w:ascii="Microsoft JhengHei" w:eastAsia="Microsoft JhengHei"/>
          <w:b/>
          <w:color w:val="000000"/>
          <w:sz w:val="21"/>
          <w:shd w:val="clear" w:color="auto" w:fill="D9D9D9"/>
        </w:rPr>
        <w:t>腺样体肥大</w:t>
      </w:r>
      <w:r>
        <w:rPr>
          <w:color w:val="000000"/>
          <w:sz w:val="20"/>
          <w:shd w:val="clear" w:color="auto" w:fill="D9D9D9"/>
        </w:rPr>
        <w:t>（见 7.4）</w:t>
      </w:r>
      <w:r>
        <w:rPr>
          <w:color w:val="000000"/>
          <w:sz w:val="21"/>
          <w:shd w:val="clear" w:color="auto" w:fill="D9D9D9"/>
        </w:rPr>
        <w:t>、</w:t>
      </w:r>
      <w:r>
        <w:rPr>
          <w:rFonts w:ascii="Microsoft JhengHei" w:eastAsia="Microsoft JhengHei"/>
          <w:b/>
          <w:color w:val="000000"/>
          <w:sz w:val="21"/>
          <w:shd w:val="clear" w:color="auto" w:fill="D9D9D9"/>
        </w:rPr>
        <w:t>疝气</w:t>
      </w:r>
      <w:r>
        <w:rPr>
          <w:color w:val="000000"/>
          <w:sz w:val="20"/>
          <w:shd w:val="clear" w:color="auto" w:fill="D9D9D9"/>
        </w:rPr>
        <w:t>（见</w:t>
      </w:r>
      <w:r>
        <w:rPr>
          <w:color w:val="000000"/>
          <w:sz w:val="20"/>
        </w:rPr>
        <w:t xml:space="preserve"> </w:t>
      </w:r>
      <w:r>
        <w:rPr>
          <w:color w:val="000000"/>
          <w:w w:val="95"/>
          <w:sz w:val="20"/>
          <w:shd w:val="clear" w:color="auto" w:fill="D9D9D9"/>
        </w:rPr>
        <w:t>7.5）</w:t>
      </w:r>
      <w:r>
        <w:rPr>
          <w:color w:val="000000"/>
          <w:w w:val="95"/>
          <w:sz w:val="21"/>
          <w:shd w:val="clear" w:color="auto" w:fill="D9D9D9"/>
        </w:rPr>
        <w:t>、</w:t>
      </w:r>
      <w:r>
        <w:rPr>
          <w:rFonts w:ascii="Microsoft JhengHei" w:eastAsia="Microsoft JhengHei"/>
          <w:b/>
          <w:color w:val="000000"/>
          <w:w w:val="95"/>
          <w:sz w:val="21"/>
          <w:shd w:val="clear" w:color="auto" w:fill="D9D9D9"/>
        </w:rPr>
        <w:t>扁桃体的疾病</w:t>
      </w:r>
      <w:r>
        <w:rPr>
          <w:color w:val="000000"/>
          <w:w w:val="95"/>
          <w:sz w:val="20"/>
          <w:shd w:val="clear" w:color="auto" w:fill="D9D9D9"/>
        </w:rPr>
        <w:t>（见</w:t>
      </w:r>
      <w:r>
        <w:rPr>
          <w:color w:val="000000"/>
          <w:spacing w:val="63"/>
          <w:sz w:val="20"/>
          <w:shd w:val="clear" w:color="auto" w:fill="D9D9D9"/>
        </w:rPr>
        <w:t xml:space="preserve"> </w:t>
      </w:r>
      <w:r>
        <w:rPr>
          <w:color w:val="000000"/>
          <w:w w:val="95"/>
          <w:sz w:val="20"/>
          <w:shd w:val="clear" w:color="auto" w:fill="D9D9D9"/>
        </w:rPr>
        <w:t>7.6）</w:t>
      </w:r>
      <w:r>
        <w:rPr>
          <w:color w:val="000000"/>
          <w:w w:val="95"/>
          <w:sz w:val="21"/>
          <w:shd w:val="clear" w:color="auto" w:fill="D9D9D9"/>
        </w:rPr>
        <w:t>或女性生殖器官的疾病需要</w:t>
      </w:r>
      <w:r>
        <w:rPr>
          <w:rFonts w:ascii="Microsoft JhengHei" w:eastAsia="Microsoft JhengHei"/>
          <w:b/>
          <w:color w:val="000000"/>
          <w:w w:val="95"/>
          <w:sz w:val="21"/>
          <w:shd w:val="clear" w:color="auto" w:fill="D9D9D9"/>
        </w:rPr>
        <w:t>住院</w:t>
      </w:r>
      <w:r>
        <w:rPr>
          <w:color w:val="000000"/>
          <w:w w:val="95"/>
          <w:sz w:val="20"/>
          <w:shd w:val="clear" w:color="auto" w:fill="D9D9D9"/>
        </w:rPr>
        <w:t>（见</w:t>
      </w:r>
      <w:r>
        <w:rPr>
          <w:color w:val="000000"/>
          <w:spacing w:val="70"/>
          <w:sz w:val="20"/>
          <w:shd w:val="clear" w:color="auto" w:fill="D9D9D9"/>
        </w:rPr>
        <w:t xml:space="preserve"> </w:t>
      </w:r>
      <w:r>
        <w:rPr>
          <w:color w:val="000000"/>
          <w:w w:val="95"/>
          <w:sz w:val="20"/>
          <w:shd w:val="clear" w:color="auto" w:fill="D9D9D9"/>
        </w:rPr>
        <w:t>7.7）</w:t>
      </w:r>
      <w:r>
        <w:rPr>
          <w:color w:val="000000"/>
          <w:w w:val="95"/>
          <w:sz w:val="21"/>
          <w:shd w:val="clear" w:color="auto" w:fill="D9D9D9"/>
        </w:rPr>
        <w:t>治</w:t>
      </w:r>
      <w:r>
        <w:rPr>
          <w:color w:val="000000"/>
          <w:spacing w:val="-10"/>
          <w:w w:val="95"/>
          <w:sz w:val="21"/>
          <w:shd w:val="clear" w:color="auto" w:fill="D9D9D9"/>
        </w:rPr>
        <w:t>疗</w:t>
      </w:r>
    </w:p>
    <w:p>
      <w:pPr>
        <w:pStyle w:val="4"/>
        <w:spacing w:before="21" w:line="285" w:lineRule="auto"/>
        <w:ind w:left="2650" w:right="973"/>
      </w:pPr>
      <w:r>
        <w:rPr>
          <w:color w:val="000000"/>
          <w:spacing w:val="-6"/>
          <w:shd w:val="clear" w:color="auto" w:fill="D9D9D9"/>
        </w:rPr>
        <w:t xml:space="preserve">或特殊门诊治疗的，自本保险合同生效之日起 </w:t>
      </w:r>
      <w:r>
        <w:rPr>
          <w:color w:val="000000"/>
          <w:spacing w:val="-4"/>
          <w:shd w:val="clear" w:color="auto" w:fill="D9D9D9"/>
        </w:rPr>
        <w:t>90</w:t>
      </w:r>
      <w:r>
        <w:rPr>
          <w:color w:val="000000"/>
          <w:spacing w:val="-11"/>
          <w:shd w:val="clear" w:color="auto" w:fill="D9D9D9"/>
        </w:rPr>
        <w:t xml:space="preserve"> 日为等待期；被保险人因其他</w:t>
      </w:r>
      <w:r>
        <w:rPr>
          <w:color w:val="000000"/>
          <w:spacing w:val="80"/>
          <w:w w:val="150"/>
          <w:shd w:val="clear" w:color="auto" w:fill="D9D9D9"/>
        </w:rPr>
        <w:t xml:space="preserve">                                       </w:t>
      </w:r>
      <w:r>
        <w:rPr>
          <w:color w:val="000000"/>
          <w:spacing w:val="-1"/>
          <w:shd w:val="clear" w:color="auto" w:fill="D9D9D9"/>
        </w:rPr>
        <w:t xml:space="preserve">疾病需要住院治疗或特殊门诊治疗的，自本合同生效日起 </w:t>
      </w:r>
      <w:r>
        <w:rPr>
          <w:color w:val="000000"/>
          <w:shd w:val="clear" w:color="auto" w:fill="D9D9D9"/>
        </w:rPr>
        <w:t>30</w:t>
      </w:r>
      <w:r>
        <w:rPr>
          <w:color w:val="000000"/>
          <w:spacing w:val="-5"/>
          <w:shd w:val="clear" w:color="auto" w:fill="D9D9D9"/>
        </w:rPr>
        <w:t xml:space="preserve"> 日为等待期。</w:t>
      </w:r>
    </w:p>
    <w:p>
      <w:pPr>
        <w:spacing w:before="0" w:line="317" w:lineRule="exact"/>
        <w:ind w:left="2650" w:right="0" w:firstLine="0"/>
        <w:jc w:val="left"/>
        <w:rPr>
          <w:sz w:val="21"/>
        </w:rPr>
      </w:pPr>
      <w:r>
        <w:rPr>
          <w:w w:val="95"/>
          <w:sz w:val="21"/>
        </w:rPr>
        <w:t>续保或者因</w:t>
      </w:r>
      <w:r>
        <w:rPr>
          <w:rFonts w:ascii="Microsoft JhengHei" w:eastAsia="Microsoft JhengHei"/>
          <w:b/>
          <w:w w:val="95"/>
          <w:sz w:val="21"/>
        </w:rPr>
        <w:t>意外伤害</w:t>
      </w:r>
      <w:r>
        <w:rPr>
          <w:w w:val="95"/>
          <w:sz w:val="20"/>
        </w:rPr>
        <w:t>（见</w:t>
      </w:r>
      <w:r>
        <w:rPr>
          <w:spacing w:val="33"/>
          <w:sz w:val="20"/>
        </w:rPr>
        <w:t xml:space="preserve">  </w:t>
      </w:r>
      <w:r>
        <w:rPr>
          <w:w w:val="95"/>
          <w:sz w:val="20"/>
        </w:rPr>
        <w:t>7.8）</w:t>
      </w:r>
      <w:r>
        <w:rPr>
          <w:w w:val="95"/>
          <w:sz w:val="21"/>
        </w:rPr>
        <w:t>进行治疗的无等待期。</w:t>
      </w:r>
      <w:r>
        <w:rPr>
          <w:color w:val="000000"/>
          <w:w w:val="95"/>
          <w:sz w:val="21"/>
          <w:shd w:val="clear" w:color="auto" w:fill="D9D9D9"/>
        </w:rPr>
        <w:t>被保险人在等待期内发</w:t>
      </w:r>
      <w:r>
        <w:rPr>
          <w:color w:val="000000"/>
          <w:spacing w:val="-10"/>
          <w:w w:val="95"/>
          <w:sz w:val="21"/>
          <w:shd w:val="clear" w:color="auto" w:fill="D9D9D9"/>
        </w:rPr>
        <w:t>生</w:t>
      </w:r>
    </w:p>
    <w:p>
      <w:pPr>
        <w:pStyle w:val="4"/>
        <w:spacing w:before="3"/>
        <w:ind w:left="2650"/>
      </w:pPr>
      <w:r>
        <w:rPr>
          <w:color w:val="000000"/>
          <w:spacing w:val="-3"/>
          <w:shd w:val="clear" w:color="auto" w:fill="D9D9D9"/>
        </w:rPr>
        <w:t>的保险事故，我们不承担给付保险金的责任。</w:t>
      </w:r>
    </w:p>
    <w:p>
      <w:pPr>
        <w:pStyle w:val="4"/>
        <w:spacing w:before="2"/>
        <w:rPr>
          <w:sz w:val="14"/>
        </w:rPr>
      </w:pPr>
    </w:p>
    <w:p>
      <w:pPr>
        <w:pStyle w:val="4"/>
        <w:spacing w:line="223" w:lineRule="auto"/>
        <w:ind w:left="1150" w:right="966"/>
        <w:jc w:val="right"/>
      </w:pPr>
      <w:r>
        <w:rPr>
          <w:position w:val="-6"/>
        </w:rPr>
        <w:drawing>
          <wp:inline distT="0" distB="0" distL="0" distR="0">
            <wp:extent cx="883920" cy="15049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883970" cy="150875"/>
                    </a:xfrm>
                    <a:prstGeom prst="rect">
                      <a:avLst/>
                    </a:prstGeom>
                  </pic:spPr>
                </pic:pic>
              </a:graphicData>
            </a:graphic>
          </wp:inline>
        </w:drawing>
      </w:r>
      <w:r>
        <w:rPr>
          <w:rFonts w:ascii="Times New Roman" w:eastAsia="Times New Roman"/>
          <w:spacing w:val="51"/>
          <w:sz w:val="20"/>
        </w:rPr>
        <w:t xml:space="preserve"> </w:t>
      </w:r>
      <w:r>
        <w:t xml:space="preserve">被保险人因疾病或意外伤害经医院确诊必须住院治疗的，对于住院期间发生的 </w:t>
      </w:r>
      <w:r>
        <w:rPr>
          <w:position w:val="-7"/>
        </w:rPr>
        <w:drawing>
          <wp:inline distT="0" distB="0" distL="0" distR="0">
            <wp:extent cx="534035" cy="15049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534415" cy="150875"/>
                    </a:xfrm>
                    <a:prstGeom prst="rect">
                      <a:avLst/>
                    </a:prstGeom>
                  </pic:spPr>
                </pic:pic>
              </a:graphicData>
            </a:graphic>
          </wp:inline>
        </w:drawing>
      </w:r>
      <w:r>
        <w:rPr>
          <w:rFonts w:ascii="Times New Roman" w:eastAsia="Times New Roman"/>
          <w:spacing w:val="393"/>
        </w:rPr>
        <w:t xml:space="preserve"> </w:t>
      </w:r>
      <w:r>
        <w:rPr>
          <w:rFonts w:ascii="Microsoft JhengHei" w:eastAsia="Microsoft JhengHei"/>
          <w:b/>
        </w:rPr>
        <w:t>医疗必需且合理</w:t>
      </w:r>
      <w:r>
        <w:t>（</w:t>
      </w:r>
      <w:r>
        <w:rPr>
          <w:spacing w:val="-27"/>
        </w:rPr>
        <w:t xml:space="preserve">见 </w:t>
      </w:r>
      <w:r>
        <w:t>7.9）的</w:t>
      </w:r>
      <w:r>
        <w:rPr>
          <w:rFonts w:ascii="Microsoft JhengHei" w:eastAsia="Microsoft JhengHei"/>
          <w:b/>
        </w:rPr>
        <w:t>住院医疗费用</w:t>
      </w:r>
      <w:r>
        <w:t>（</w:t>
      </w:r>
      <w:r>
        <w:rPr>
          <w:spacing w:val="-27"/>
        </w:rPr>
        <w:t xml:space="preserve">见 </w:t>
      </w:r>
      <w:r>
        <w:rPr>
          <w:spacing w:val="19"/>
        </w:rPr>
        <w:t>7</w:t>
      </w:r>
      <w:r>
        <w:rPr>
          <w:spacing w:val="22"/>
        </w:rPr>
        <w:t>.10</w:t>
      </w:r>
      <w:r>
        <w:rPr>
          <w:spacing w:val="-86"/>
        </w:rPr>
        <w:t>）</w:t>
      </w:r>
      <w:r>
        <w:rPr>
          <w:spacing w:val="-2"/>
        </w:rPr>
        <w:t>，</w:t>
      </w:r>
      <w:r>
        <w:rPr>
          <w:color w:val="000000"/>
          <w:shd w:val="clear" w:color="auto" w:fill="D9D9D9"/>
        </w:rPr>
        <w:t>我们在扣除相应的年度</w:t>
      </w:r>
      <w:r>
        <w:rPr>
          <w:color w:val="000000"/>
          <w:spacing w:val="80"/>
          <w:w w:val="150"/>
          <w:shd w:val="clear" w:color="auto" w:fill="D9D9D9"/>
        </w:rPr>
        <w:t xml:space="preserve">                                               </w:t>
      </w:r>
      <w:r>
        <w:rPr>
          <w:color w:val="000000"/>
          <w:spacing w:val="-2"/>
          <w:shd w:val="clear" w:color="auto" w:fill="D9D9D9"/>
        </w:rPr>
        <w:t>免赔额后，</w:t>
      </w:r>
      <w:r>
        <w:rPr>
          <w:color w:val="000000"/>
          <w:spacing w:val="-2"/>
        </w:rPr>
        <w:t>在年限额、日限额及最高给付日数范围内按对应的赔付比例给付住</w:t>
      </w:r>
    </w:p>
    <w:p>
      <w:pPr>
        <w:pStyle w:val="4"/>
        <w:spacing w:before="48" w:line="278" w:lineRule="auto"/>
        <w:ind w:left="2650" w:right="966"/>
      </w:pPr>
      <w:r>
        <w:rPr>
          <w:spacing w:val="-2"/>
        </w:rPr>
        <w:t>院医疗费用保险金。</w:t>
      </w:r>
      <w:r>
        <w:rPr>
          <w:color w:val="000000"/>
          <w:spacing w:val="-2"/>
          <w:shd w:val="clear" w:color="auto" w:fill="D9D9D9"/>
        </w:rPr>
        <w:t>本项保险金的赔付比例、年限额、日限额及最高给付日数</w:t>
      </w:r>
      <w:r>
        <w:rPr>
          <w:color w:val="000000"/>
          <w:spacing w:val="80"/>
          <w:w w:val="150"/>
          <w:shd w:val="clear" w:color="auto" w:fill="D9D9D9"/>
        </w:rPr>
        <w:t xml:space="preserve">                                       </w:t>
      </w:r>
      <w:r>
        <w:rPr>
          <w:color w:val="000000"/>
          <w:spacing w:val="-4"/>
          <w:shd w:val="clear" w:color="auto" w:fill="D9D9D9"/>
        </w:rPr>
        <w:t>见附表。</w:t>
      </w:r>
    </w:p>
    <w:p>
      <w:pPr>
        <w:pStyle w:val="4"/>
        <w:spacing w:line="278" w:lineRule="auto"/>
        <w:ind w:left="2650" w:right="968"/>
      </w:pPr>
      <w:r>
        <w:rPr>
          <w:color w:val="000000"/>
          <w:spacing w:val="-2"/>
          <w:shd w:val="clear" w:color="auto" w:fill="D9D9D9"/>
        </w:rPr>
        <w:t xml:space="preserve">在每一保单年度内，我们仅对被保险人住院累计 </w:t>
      </w:r>
      <w:r>
        <w:rPr>
          <w:color w:val="000000"/>
          <w:shd w:val="clear" w:color="auto" w:fill="D9D9D9"/>
        </w:rPr>
        <w:t>180</w:t>
      </w:r>
      <w:r>
        <w:rPr>
          <w:color w:val="000000"/>
          <w:spacing w:val="-7"/>
          <w:shd w:val="clear" w:color="auto" w:fill="D9D9D9"/>
        </w:rPr>
        <w:t xml:space="preserve"> 日内发生的上述各项费用</w:t>
      </w:r>
      <w:r>
        <w:rPr>
          <w:color w:val="000000"/>
          <w:spacing w:val="80"/>
          <w:w w:val="150"/>
          <w:shd w:val="clear" w:color="auto" w:fill="D9D9D9"/>
        </w:rPr>
        <w:t xml:space="preserve">                                       </w:t>
      </w:r>
      <w:r>
        <w:rPr>
          <w:color w:val="000000"/>
          <w:spacing w:val="-2"/>
          <w:shd w:val="clear" w:color="auto" w:fill="D9D9D9"/>
        </w:rPr>
        <w:t>承担保险责任。</w:t>
      </w:r>
    </w:p>
    <w:p>
      <w:pPr>
        <w:pStyle w:val="4"/>
        <w:spacing w:before="141" w:line="259" w:lineRule="auto"/>
        <w:ind w:left="1150" w:right="966"/>
        <w:jc w:val="right"/>
      </w:pPr>
      <w:r>
        <w:rPr>
          <w:position w:val="-6"/>
        </w:rPr>
        <w:drawing>
          <wp:inline distT="0" distB="0" distL="0" distR="0">
            <wp:extent cx="883920" cy="150495"/>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883970" cy="150875"/>
                    </a:xfrm>
                    <a:prstGeom prst="rect">
                      <a:avLst/>
                    </a:prstGeom>
                  </pic:spPr>
                </pic:pic>
              </a:graphicData>
            </a:graphic>
          </wp:inline>
        </w:drawing>
      </w:r>
      <w:r>
        <w:rPr>
          <w:rFonts w:ascii="Times New Roman" w:eastAsia="Times New Roman"/>
          <w:spacing w:val="51"/>
          <w:sz w:val="20"/>
        </w:rPr>
        <w:t xml:space="preserve"> </w:t>
      </w:r>
      <w:r>
        <w:t xml:space="preserve">被保险人因疾病或意外伤害必须在医院接受门诊肾透析、门诊癌症放化疗或器 </w:t>
      </w:r>
      <w:r>
        <w:rPr>
          <w:position w:val="-7"/>
        </w:rPr>
        <w:drawing>
          <wp:inline distT="0" distB="0" distL="0" distR="0">
            <wp:extent cx="800735" cy="150495"/>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801014" cy="150875"/>
                    </a:xfrm>
                    <a:prstGeom prst="rect">
                      <a:avLst/>
                    </a:prstGeom>
                  </pic:spPr>
                </pic:pic>
              </a:graphicData>
            </a:graphic>
          </wp:inline>
        </w:drawing>
      </w:r>
      <w:r>
        <w:rPr>
          <w:rFonts w:ascii="Times New Roman" w:eastAsia="Times New Roman"/>
          <w:spacing w:val="179"/>
        </w:rPr>
        <w:t xml:space="preserve"> </w:t>
      </w:r>
      <w:r>
        <w:t>官移植后的门诊抗排异治疗的，对于每次在医院治疗发生的医疗必需且合理的</w:t>
      </w:r>
      <w:r>
        <w:rPr>
          <w:spacing w:val="-2"/>
        </w:rPr>
        <w:t>特殊门诊医疗费用，</w:t>
      </w:r>
      <w:r>
        <w:rPr>
          <w:color w:val="000000"/>
          <w:spacing w:val="-2"/>
          <w:shd w:val="clear" w:color="auto" w:fill="D9D9D9"/>
        </w:rPr>
        <w:t>我们在扣除相应的年度免赔额后，</w:t>
      </w:r>
      <w:r>
        <w:rPr>
          <w:color w:val="000000"/>
          <w:spacing w:val="-2"/>
        </w:rPr>
        <w:t>在年限额范围内按对应</w:t>
      </w:r>
    </w:p>
    <w:p>
      <w:pPr>
        <w:pStyle w:val="4"/>
        <w:spacing w:before="24" w:line="278" w:lineRule="auto"/>
        <w:ind w:left="2650" w:right="966"/>
      </w:pPr>
      <w:r>
        <w:rPr>
          <w:spacing w:val="-2"/>
        </w:rPr>
        <w:t>的赔付比例给付特殊门诊医疗费用保险金。</w:t>
      </w:r>
      <w:r>
        <w:rPr>
          <w:color w:val="000000"/>
          <w:spacing w:val="-2"/>
          <w:shd w:val="clear" w:color="auto" w:fill="D9D9D9"/>
        </w:rPr>
        <w:t>本项保险金的赔付比例及年限额见</w:t>
      </w:r>
      <w:r>
        <w:rPr>
          <w:color w:val="000000"/>
          <w:spacing w:val="-4"/>
          <w:shd w:val="clear" w:color="auto" w:fill="D9D9D9"/>
        </w:rPr>
        <w:t>附表。</w:t>
      </w:r>
    </w:p>
    <w:p>
      <w:pPr>
        <w:pStyle w:val="4"/>
        <w:spacing w:before="144" w:line="278" w:lineRule="auto"/>
        <w:ind w:left="2650" w:right="966"/>
        <w:jc w:val="both"/>
      </w:pPr>
      <w:r>
        <w:rPr>
          <w:spacing w:val="-2"/>
        </w:rPr>
        <w:t>对于上述住院医疗费用保险金及特殊门诊医疗费用保险金，被保险人不论一次或多次发生保险事故，我们均按上述约定给付各项保险金，但每一保险年度累计给付金额以被保险人的年度总限额为限。上述各项费用的分项累计给付金额达到其对应项给付限额时，我们对被保险人该项保险责任终止；上述各项费用的累计给付金额达到被保险人的年度总限额时，我们对被保险人全部保险责任</w:t>
      </w:r>
      <w:r>
        <w:rPr>
          <w:spacing w:val="-4"/>
        </w:rPr>
        <w:t>终止。</w:t>
      </w:r>
    </w:p>
    <w:p>
      <w:pPr>
        <w:pStyle w:val="8"/>
        <w:numPr>
          <w:ilvl w:val="1"/>
          <w:numId w:val="3"/>
        </w:numPr>
        <w:tabs>
          <w:tab w:val="left" w:pos="1150"/>
        </w:tabs>
        <w:spacing w:before="141" w:after="0" w:line="271" w:lineRule="auto"/>
        <w:ind w:left="2650" w:right="966" w:hanging="2362"/>
        <w:jc w:val="both"/>
        <w:rPr>
          <w:sz w:val="21"/>
        </w:rPr>
      </w:pPr>
      <w:r>
        <w:rPr>
          <w:rFonts w:ascii="黑体" w:eastAsia="黑体"/>
          <w:position w:val="-1"/>
          <w:sz w:val="21"/>
        </w:rPr>
        <w:t>免赔额</w:t>
      </w:r>
      <w:r>
        <w:rPr>
          <w:rFonts w:ascii="黑体" w:eastAsia="黑体"/>
          <w:spacing w:val="758"/>
          <w:position w:val="-1"/>
          <w:sz w:val="21"/>
        </w:rPr>
        <w:t xml:space="preserve"> </w:t>
      </w:r>
      <w:r>
        <w:rPr>
          <w:sz w:val="21"/>
        </w:rPr>
        <w:t>如果保单年度内被保险人从其他途径累计已获得的医疗费用补偿金额未超过年</w:t>
      </w:r>
      <w:r>
        <w:rPr>
          <w:spacing w:val="-2"/>
          <w:sz w:val="21"/>
        </w:rPr>
        <w:t>度免赔额，那么免赔额等于年度免赔额；如果保单年度内被保险人从其他途径累计已获得的医疗费用补偿金额超过年度免赔额，那么免赔额等于保单年度从其他渠道内累计已获得的医疗费用补偿金额。其他途径获得的医疗费用补偿包</w:t>
      </w:r>
    </w:p>
    <w:p>
      <w:pPr>
        <w:pStyle w:val="4"/>
        <w:spacing w:line="327" w:lineRule="exact"/>
        <w:ind w:left="2650"/>
        <w:jc w:val="both"/>
      </w:pPr>
      <w:r>
        <w:rPr>
          <w:spacing w:val="-4"/>
        </w:rPr>
        <w:t>含已从</w:t>
      </w:r>
      <w:r>
        <w:rPr>
          <w:rFonts w:ascii="Microsoft JhengHei" w:eastAsia="Microsoft JhengHei"/>
          <w:b/>
          <w:spacing w:val="-4"/>
        </w:rPr>
        <w:t>基本医疗保险</w:t>
      </w:r>
      <w:r>
        <w:rPr>
          <w:spacing w:val="-4"/>
        </w:rPr>
        <w:t>（</w:t>
      </w:r>
      <w:r>
        <w:rPr>
          <w:spacing w:val="6"/>
        </w:rPr>
        <w:t xml:space="preserve">见 </w:t>
      </w:r>
      <w:r>
        <w:rPr>
          <w:spacing w:val="17"/>
        </w:rPr>
        <w:t>7.11</w:t>
      </w:r>
      <w:r>
        <w:rPr>
          <w:spacing w:val="-89"/>
        </w:rPr>
        <w:t>）</w:t>
      </w:r>
      <w:r>
        <w:rPr>
          <w:spacing w:val="-5"/>
        </w:rPr>
        <w:t>、公费医疗、商业性医疗保险、其他政府机构</w:t>
      </w:r>
    </w:p>
    <w:p>
      <w:pPr>
        <w:pStyle w:val="4"/>
        <w:spacing w:line="278" w:lineRule="auto"/>
        <w:ind w:left="2650" w:right="966"/>
        <w:jc w:val="both"/>
      </w:pPr>
      <w:r>
        <w:rPr>
          <w:spacing w:val="-2"/>
        </w:rPr>
        <w:t>或者社会福利机构获得医疗费用补偿。</w:t>
      </w:r>
      <w:r>
        <w:rPr>
          <w:color w:val="000000"/>
          <w:spacing w:val="-2"/>
          <w:shd w:val="clear" w:color="auto" w:fill="D9D9D9"/>
        </w:rPr>
        <w:t>如果被保险人以有社会医疗保险身份投</w:t>
      </w:r>
      <w:r>
        <w:rPr>
          <w:color w:val="000000"/>
          <w:spacing w:val="40"/>
          <w:shd w:val="clear" w:color="auto" w:fill="D9D9D9"/>
        </w:rPr>
        <w:t xml:space="preserve"> </w:t>
      </w:r>
      <w:r>
        <w:rPr>
          <w:color w:val="000000"/>
          <w:spacing w:val="-2"/>
          <w:shd w:val="clear" w:color="auto" w:fill="D9D9D9"/>
        </w:rPr>
        <w:t>保，但未以社会医疗保险身份就诊或者结算，我们将先行扣除社会基本医疗保</w:t>
      </w:r>
      <w:r>
        <w:rPr>
          <w:color w:val="000000"/>
          <w:spacing w:val="-3"/>
          <w:shd w:val="clear" w:color="auto" w:fill="D9D9D9"/>
        </w:rPr>
        <w:t xml:space="preserve">险管理规定范围内医疗费用的 </w:t>
      </w:r>
      <w:r>
        <w:rPr>
          <w:color w:val="000000"/>
          <w:shd w:val="clear" w:color="auto" w:fill="D9D9D9"/>
        </w:rPr>
        <w:t>20%部分</w:t>
      </w:r>
      <w:r>
        <w:rPr>
          <w:color w:val="000000"/>
        </w:rPr>
        <w:t>。</w:t>
      </w:r>
    </w:p>
    <w:p>
      <w:pPr>
        <w:pStyle w:val="8"/>
        <w:numPr>
          <w:ilvl w:val="1"/>
          <w:numId w:val="3"/>
        </w:numPr>
        <w:tabs>
          <w:tab w:val="left" w:pos="1149"/>
          <w:tab w:val="left" w:pos="1150"/>
        </w:tabs>
        <w:spacing w:before="163" w:after="0" w:line="240" w:lineRule="auto"/>
        <w:ind w:left="1150" w:right="0" w:hanging="863"/>
        <w:jc w:val="left"/>
        <w:rPr>
          <w:rFonts w:ascii="黑体" w:eastAsia="黑体"/>
          <w:sz w:val="21"/>
        </w:rPr>
      </w:pPr>
      <w:r>
        <w:pict>
          <v:shape id="docshape4" o:spid="_x0000_s1029" o:spt="202" type="#_x0000_t202" style="position:absolute;left:0pt;margin-left:177.5pt;margin-top:22.35pt;height:13.7pt;width:358.3pt;mso-position-horizontal-relative:page;mso-wrap-distance-bottom:0pt;mso-wrap-distance-top:0pt;z-index:-251652096;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内的医疗费用已通过公费医疗、基本医疗保险、其他途径获得了补偿或赔偿，</w:t>
                  </w:r>
                </w:p>
              </w:txbxContent>
            </v:textbox>
            <w10:wrap type="topAndBottom"/>
          </v:shape>
        </w:pict>
      </w:r>
      <w:r>
        <w:pict>
          <v:shape id="docshape5" o:spid="_x0000_s1030" o:spt="202" type="#_x0000_t202" style="position:absolute;left:0pt;margin-left:177.5pt;margin-top:6.75pt;height:13.7pt;width:358.3pt;mso-position-horizontal-relative:page;z-index:251661312;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我们在向受益人给付保险金时，若被保险人所发生的属于本合同保险责任范围</w:t>
                  </w:r>
                </w:p>
              </w:txbxContent>
            </v:textbox>
          </v:shape>
        </w:pict>
      </w:r>
      <w:r>
        <w:rPr>
          <w:rFonts w:ascii="黑体" w:eastAsia="黑体"/>
          <w:spacing w:val="-4"/>
          <w:sz w:val="21"/>
        </w:rPr>
        <w:t>补偿原则</w:t>
      </w:r>
    </w:p>
    <w:p>
      <w:pPr>
        <w:pStyle w:val="4"/>
        <w:spacing w:before="12"/>
        <w:rPr>
          <w:rFonts w:ascii="黑体"/>
          <w:sz w:val="2"/>
        </w:rPr>
      </w:pPr>
    </w:p>
    <w:p>
      <w:pPr>
        <w:pStyle w:val="4"/>
        <w:ind w:left="2650"/>
        <w:rPr>
          <w:rFonts w:ascii="黑体"/>
          <w:sz w:val="20"/>
        </w:rPr>
      </w:pPr>
      <w:r>
        <w:rPr>
          <w:rFonts w:ascii="黑体"/>
          <w:sz w:val="20"/>
        </w:rPr>
        <w:pict>
          <v:shape id="docshape6" o:spid="_x0000_s1031" o:spt="202" type="#_x0000_t202" style="height:13.7pt;width:358.3pt;" fillcolor="#D9D9D9"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5"/>
                    </w:rPr>
                    <w:t>且该补偿或赔偿金额与我们按本合同约定给付的保险金之和超过了被保险人实</w:t>
                  </w:r>
                </w:p>
              </w:txbxContent>
            </v:textbox>
            <w10:wrap type="none"/>
            <w10:anchorlock/>
          </v:shape>
        </w:pict>
      </w:r>
    </w:p>
    <w:p>
      <w:pPr>
        <w:spacing w:after="0"/>
        <w:rPr>
          <w:rFonts w:ascii="黑体"/>
          <w:sz w:val="20"/>
        </w:rPr>
        <w:sectPr>
          <w:pgSz w:w="11910" w:h="16840"/>
          <w:pgMar w:top="1400" w:right="220" w:bottom="280" w:left="900" w:header="720" w:footer="720" w:gutter="0"/>
          <w:cols w:space="720" w:num="1"/>
        </w:sectPr>
      </w:pPr>
    </w:p>
    <w:p>
      <w:pPr>
        <w:pStyle w:val="4"/>
        <w:spacing w:before="43" w:line="278" w:lineRule="auto"/>
        <w:ind w:left="2650" w:right="967"/>
        <w:jc w:val="both"/>
      </w:pPr>
      <w:r>
        <w:rPr>
          <w:color w:val="000000"/>
          <w:spacing w:val="-2"/>
          <w:shd w:val="clear" w:color="auto" w:fill="D9D9D9"/>
        </w:rPr>
        <w:t>际发生的医疗费用，我们将按被保险人实际发生的医疗费用扣除被保险人从其</w:t>
      </w:r>
      <w:r>
        <w:rPr>
          <w:color w:val="000000"/>
          <w:spacing w:val="40"/>
          <w:shd w:val="clear" w:color="auto" w:fill="D9D9D9"/>
        </w:rPr>
        <w:t xml:space="preserve"> </w:t>
      </w:r>
      <w:r>
        <w:rPr>
          <w:color w:val="000000"/>
          <w:spacing w:val="-2"/>
          <w:shd w:val="clear" w:color="auto" w:fill="D9D9D9"/>
        </w:rPr>
        <w:t>他任何获得的补偿或赔偿金额后的余额向受益人给付保险金，即包括本合同在内的各种途径所给付的所有补偿或赔偿金额之和不得超过被保险人实际发生的医疗费用。</w:t>
      </w:r>
    </w:p>
    <w:p>
      <w:pPr>
        <w:pStyle w:val="8"/>
        <w:numPr>
          <w:ilvl w:val="1"/>
          <w:numId w:val="3"/>
        </w:numPr>
        <w:tabs>
          <w:tab w:val="left" w:pos="1150"/>
        </w:tabs>
        <w:spacing w:before="141" w:after="0" w:line="261" w:lineRule="auto"/>
        <w:ind w:left="2650" w:right="972" w:hanging="2362"/>
        <w:jc w:val="both"/>
        <w:rPr>
          <w:sz w:val="21"/>
        </w:rPr>
      </w:pPr>
      <w:r>
        <w:rPr>
          <w:rFonts w:ascii="黑体" w:eastAsia="黑体"/>
          <w:position w:val="-1"/>
          <w:sz w:val="21"/>
        </w:rPr>
        <w:t>责任免除</w:t>
      </w:r>
      <w:r>
        <w:rPr>
          <w:rFonts w:ascii="黑体" w:eastAsia="黑体"/>
          <w:spacing w:val="552"/>
          <w:position w:val="-1"/>
          <w:sz w:val="21"/>
        </w:rPr>
        <w:t xml:space="preserve"> </w:t>
      </w:r>
      <w:r>
        <w:rPr>
          <w:color w:val="000000"/>
          <w:sz w:val="21"/>
          <w:shd w:val="clear" w:color="auto" w:fill="D9D9D9"/>
        </w:rPr>
        <w:t>因下列情形之一造成被保险人医疗费用支出或发生符合下列情形描述的费用</w:t>
      </w:r>
      <w:r>
        <w:rPr>
          <w:color w:val="000000"/>
          <w:spacing w:val="13755"/>
          <w:sz w:val="21"/>
          <w:shd w:val="clear" w:color="auto" w:fill="D9D9D9"/>
        </w:rPr>
        <w:t xml:space="preserve"> </w:t>
      </w:r>
      <w:r>
        <w:rPr>
          <w:color w:val="000000"/>
          <w:spacing w:val="-2"/>
          <w:sz w:val="21"/>
          <w:shd w:val="clear" w:color="auto" w:fill="D9D9D9"/>
        </w:rPr>
        <w:t>的，我们不承担给付保险金的责任：</w:t>
      </w:r>
    </w:p>
    <w:p>
      <w:pPr>
        <w:pStyle w:val="4"/>
        <w:spacing w:before="17"/>
        <w:ind w:left="2650"/>
      </w:pPr>
      <w:r>
        <w:rPr>
          <w:color w:val="000000"/>
          <w:spacing w:val="-2"/>
          <w:shd w:val="clear" w:color="auto" w:fill="D9D9D9"/>
        </w:rPr>
        <w:t>（一）</w:t>
      </w:r>
      <w:r>
        <w:rPr>
          <w:color w:val="000000"/>
          <w:spacing w:val="-4"/>
          <w:shd w:val="clear" w:color="auto" w:fill="D9D9D9"/>
        </w:rPr>
        <w:t>非疾病治疗类</w:t>
      </w:r>
    </w:p>
    <w:p>
      <w:pPr>
        <w:pStyle w:val="8"/>
        <w:numPr>
          <w:ilvl w:val="2"/>
          <w:numId w:val="3"/>
        </w:numPr>
        <w:tabs>
          <w:tab w:val="left" w:pos="2968"/>
        </w:tabs>
        <w:spacing w:before="43" w:after="0" w:line="278" w:lineRule="auto"/>
        <w:ind w:left="2650" w:right="884" w:firstLine="0"/>
        <w:jc w:val="left"/>
        <w:rPr>
          <w:sz w:val="21"/>
        </w:rPr>
      </w:pPr>
      <w:r>
        <w:rPr>
          <w:color w:val="000000"/>
          <w:spacing w:val="-2"/>
          <w:sz w:val="21"/>
          <w:shd w:val="clear" w:color="auto" w:fill="D9D9D9"/>
        </w:rPr>
        <w:t>各种美容整形项目和整形手术：包括但不限于皮肤色素沉着、对皮肤表面无</w:t>
      </w:r>
      <w:r>
        <w:rPr>
          <w:color w:val="000000"/>
          <w:spacing w:val="13965"/>
          <w:sz w:val="21"/>
          <w:shd w:val="clear" w:color="auto" w:fill="D9D9D9"/>
        </w:rPr>
        <w:t xml:space="preserve"> </w:t>
      </w:r>
      <w:r>
        <w:rPr>
          <w:color w:val="000000"/>
          <w:spacing w:val="-2"/>
          <w:sz w:val="21"/>
          <w:shd w:val="clear" w:color="auto" w:fill="D9D9D9"/>
        </w:rPr>
        <w:t>囊肿形成或无脓肿的痤疮治疗、红斑痤疮治疗;良性皮肤损害（雀斑、老年斑、痣、疣等）的治疗和去除；对浅表静脉曲张、蜘蛛脉、除瘢痕疙瘩型外的其它瘢痕、纹身去除、皮肤变色的治疗或手术；激光美容、除皱、除眼袋、开双眼皮、治疗斑秃、白发、秃发、脱发、植毛、脱毛、隆鼻、隆胸费用；</w:t>
      </w:r>
    </w:p>
    <w:p>
      <w:pPr>
        <w:pStyle w:val="8"/>
        <w:numPr>
          <w:ilvl w:val="2"/>
          <w:numId w:val="3"/>
        </w:numPr>
        <w:tabs>
          <w:tab w:val="left" w:pos="2968"/>
        </w:tabs>
        <w:spacing w:before="0" w:after="0" w:line="278" w:lineRule="auto"/>
        <w:ind w:left="2650" w:right="971" w:firstLine="0"/>
        <w:jc w:val="left"/>
        <w:rPr>
          <w:sz w:val="21"/>
        </w:rPr>
      </w:pPr>
      <w:r>
        <w:rPr>
          <w:color w:val="000000"/>
          <w:spacing w:val="-2"/>
          <w:sz w:val="21"/>
          <w:shd w:val="clear" w:color="auto" w:fill="D9D9D9"/>
        </w:rPr>
        <w:t>各种矫形及生理缺陷的手术和检查治疗项目，包括但不限于平足及各种非</w:t>
      </w:r>
      <w:r>
        <w:rPr>
          <w:color w:val="000000"/>
          <w:spacing w:val="-10"/>
          <w:sz w:val="21"/>
          <w:shd w:val="clear" w:color="auto" w:fill="D9D9D9"/>
        </w:rPr>
        <w:t>功</w:t>
      </w:r>
      <w:r>
        <w:rPr>
          <w:color w:val="000000"/>
          <w:spacing w:val="-2"/>
          <w:sz w:val="21"/>
          <w:shd w:val="clear" w:color="auto" w:fill="D9D9D9"/>
        </w:rPr>
        <w:t>能性整容、矫形手术费用；</w:t>
      </w:r>
    </w:p>
    <w:p>
      <w:pPr>
        <w:pStyle w:val="8"/>
        <w:numPr>
          <w:ilvl w:val="2"/>
          <w:numId w:val="3"/>
        </w:numPr>
        <w:tabs>
          <w:tab w:val="left" w:pos="2968"/>
        </w:tabs>
        <w:spacing w:before="0" w:after="0" w:line="240" w:lineRule="auto"/>
        <w:ind w:left="2967" w:right="0" w:hanging="318"/>
        <w:jc w:val="left"/>
        <w:rPr>
          <w:sz w:val="21"/>
        </w:rPr>
      </w:pPr>
      <w:r>
        <w:rPr>
          <w:color w:val="000000"/>
          <w:spacing w:val="-3"/>
          <w:sz w:val="21"/>
          <w:shd w:val="clear" w:color="auto" w:fill="D9D9D9"/>
        </w:rPr>
        <w:t>各种健美治疗项目，包括但不限于营养、减肥、增胖、增高费用；</w:t>
      </w:r>
    </w:p>
    <w:p>
      <w:pPr>
        <w:pStyle w:val="8"/>
        <w:numPr>
          <w:ilvl w:val="2"/>
          <w:numId w:val="3"/>
        </w:numPr>
        <w:tabs>
          <w:tab w:val="left" w:pos="2968"/>
        </w:tabs>
        <w:spacing w:before="43" w:after="0" w:line="278" w:lineRule="auto"/>
        <w:ind w:left="2650" w:right="885" w:firstLine="0"/>
        <w:jc w:val="left"/>
        <w:rPr>
          <w:sz w:val="21"/>
        </w:rPr>
      </w:pPr>
      <w:r>
        <w:rPr>
          <w:color w:val="000000"/>
          <w:spacing w:val="-2"/>
          <w:sz w:val="21"/>
          <w:shd w:val="clear" w:color="auto" w:fill="D9D9D9"/>
        </w:rPr>
        <w:t>各种预防保健性项目，包括但不限于保健按摩、自动按摩床治疗、药物蒸气</w:t>
      </w:r>
      <w:r>
        <w:rPr>
          <w:color w:val="000000"/>
          <w:spacing w:val="13965"/>
          <w:sz w:val="21"/>
          <w:shd w:val="clear" w:color="auto" w:fill="D9D9D9"/>
        </w:rPr>
        <w:t xml:space="preserve"> </w:t>
      </w:r>
      <w:r>
        <w:rPr>
          <w:color w:val="000000"/>
          <w:spacing w:val="-2"/>
          <w:sz w:val="21"/>
          <w:shd w:val="clear" w:color="auto" w:fill="D9D9D9"/>
        </w:rPr>
        <w:t>治疗、药浴、体疗健身、各种疫苗预防接种、预防注射以及疾病普查费用；</w:t>
      </w:r>
      <w:r>
        <w:rPr>
          <w:color w:val="000000"/>
          <w:spacing w:val="40"/>
          <w:sz w:val="21"/>
        </w:rPr>
        <w:t xml:space="preserve"> </w:t>
      </w:r>
      <w:r>
        <w:rPr>
          <w:color w:val="000000"/>
          <w:spacing w:val="-2"/>
          <w:sz w:val="21"/>
          <w:shd w:val="clear" w:color="auto" w:fill="D9D9D9"/>
        </w:rPr>
        <w:t>5．各种医疗咨询和健康预测，包括但不限于健康咨询、家庭咨询、婚姻咨询、性咨询、婚前咨询、心理咨询费用；</w:t>
      </w:r>
    </w:p>
    <w:p>
      <w:pPr>
        <w:pStyle w:val="4"/>
        <w:spacing w:line="278" w:lineRule="auto"/>
        <w:ind w:left="2650" w:right="969"/>
      </w:pPr>
      <w:r>
        <w:rPr>
          <w:color w:val="000000"/>
          <w:spacing w:val="-4"/>
          <w:shd w:val="clear" w:color="auto" w:fill="D9D9D9"/>
        </w:rPr>
        <w:t>6．各种医疗鉴定，包括但不限于医疗事故鉴定、精神病鉴定、孕妇胎儿性别鉴</w:t>
      </w:r>
      <w:r>
        <w:rPr>
          <w:color w:val="000000"/>
          <w:spacing w:val="13755"/>
          <w:shd w:val="clear" w:color="auto" w:fill="D9D9D9"/>
        </w:rPr>
        <w:t xml:space="preserve"> </w:t>
      </w:r>
      <w:r>
        <w:rPr>
          <w:color w:val="000000"/>
          <w:spacing w:val="-2"/>
          <w:shd w:val="clear" w:color="auto" w:fill="D9D9D9"/>
        </w:rPr>
        <w:t>定、各种验伤鉴定、亲子鉴定、遗传基因鉴定费用。</w:t>
      </w:r>
    </w:p>
    <w:p>
      <w:pPr>
        <w:pStyle w:val="4"/>
        <w:spacing w:line="269" w:lineRule="exact"/>
        <w:ind w:left="2650"/>
      </w:pPr>
      <w:r>
        <w:rPr>
          <w:color w:val="000000"/>
          <w:spacing w:val="-2"/>
          <w:shd w:val="clear" w:color="auto" w:fill="D9D9D9"/>
        </w:rPr>
        <w:t>（二）</w:t>
      </w:r>
      <w:r>
        <w:rPr>
          <w:color w:val="000000"/>
          <w:spacing w:val="-4"/>
          <w:shd w:val="clear" w:color="auto" w:fill="D9D9D9"/>
        </w:rPr>
        <w:t>生殖治疗类</w:t>
      </w:r>
    </w:p>
    <w:p>
      <w:pPr>
        <w:pStyle w:val="8"/>
        <w:numPr>
          <w:ilvl w:val="0"/>
          <w:numId w:val="4"/>
        </w:numPr>
        <w:tabs>
          <w:tab w:val="left" w:pos="2968"/>
        </w:tabs>
        <w:spacing w:before="43" w:after="0" w:line="240" w:lineRule="auto"/>
        <w:ind w:left="2967" w:right="0" w:hanging="318"/>
        <w:jc w:val="left"/>
        <w:rPr>
          <w:sz w:val="21"/>
        </w:rPr>
      </w:pPr>
      <w:r>
        <w:rPr>
          <w:color w:val="000000"/>
          <w:spacing w:val="-3"/>
          <w:sz w:val="21"/>
          <w:shd w:val="clear" w:color="auto" w:fill="D9D9D9"/>
        </w:rPr>
        <w:t>人工辅助生殖、男女节育；</w:t>
      </w:r>
    </w:p>
    <w:p>
      <w:pPr>
        <w:pStyle w:val="8"/>
        <w:numPr>
          <w:ilvl w:val="0"/>
          <w:numId w:val="4"/>
        </w:numPr>
        <w:tabs>
          <w:tab w:val="left" w:pos="2968"/>
        </w:tabs>
        <w:spacing w:before="43" w:after="0" w:line="240" w:lineRule="auto"/>
        <w:ind w:left="2967" w:right="0" w:hanging="318"/>
        <w:jc w:val="left"/>
        <w:rPr>
          <w:sz w:val="21"/>
        </w:rPr>
      </w:pPr>
      <w:r>
        <w:rPr>
          <w:color w:val="000000"/>
          <w:spacing w:val="-3"/>
          <w:sz w:val="21"/>
          <w:shd w:val="clear" w:color="auto" w:fill="D9D9D9"/>
        </w:rPr>
        <w:t>输精管或输卵管结扎等绝育术；</w:t>
      </w:r>
    </w:p>
    <w:p>
      <w:pPr>
        <w:pStyle w:val="8"/>
        <w:numPr>
          <w:ilvl w:val="0"/>
          <w:numId w:val="4"/>
        </w:numPr>
        <w:tabs>
          <w:tab w:val="left" w:pos="2968"/>
        </w:tabs>
        <w:spacing w:before="43" w:after="0" w:line="240" w:lineRule="auto"/>
        <w:ind w:left="2967" w:right="0" w:hanging="318"/>
        <w:jc w:val="left"/>
        <w:rPr>
          <w:sz w:val="21"/>
        </w:rPr>
      </w:pPr>
      <w:r>
        <w:rPr>
          <w:color w:val="000000"/>
          <w:spacing w:val="-4"/>
          <w:sz w:val="21"/>
          <w:shd w:val="clear" w:color="auto" w:fill="D9D9D9"/>
        </w:rPr>
        <w:t>性功能障碍治疗；</w:t>
      </w:r>
    </w:p>
    <w:p>
      <w:pPr>
        <w:pStyle w:val="8"/>
        <w:numPr>
          <w:ilvl w:val="0"/>
          <w:numId w:val="4"/>
        </w:numPr>
        <w:tabs>
          <w:tab w:val="left" w:pos="2968"/>
        </w:tabs>
        <w:spacing w:before="43" w:after="0" w:line="278" w:lineRule="auto"/>
        <w:ind w:left="2650" w:right="885" w:firstLine="0"/>
        <w:jc w:val="left"/>
        <w:rPr>
          <w:sz w:val="21"/>
        </w:rPr>
      </w:pPr>
      <w:r>
        <w:rPr>
          <w:color w:val="000000"/>
          <w:spacing w:val="-2"/>
          <w:sz w:val="21"/>
          <w:shd w:val="clear" w:color="auto" w:fill="D9D9D9"/>
        </w:rPr>
        <w:t>非紧急情况下的堕胎，因心理或社会原因实施的堕胎及造成的相关并发症，以及选择性手术分娩；</w:t>
      </w:r>
    </w:p>
    <w:p>
      <w:pPr>
        <w:pStyle w:val="8"/>
        <w:numPr>
          <w:ilvl w:val="0"/>
          <w:numId w:val="4"/>
        </w:numPr>
        <w:tabs>
          <w:tab w:val="left" w:pos="2968"/>
        </w:tabs>
        <w:spacing w:before="0" w:after="0" w:line="269" w:lineRule="exact"/>
        <w:ind w:left="2967" w:right="0" w:hanging="318"/>
        <w:jc w:val="left"/>
        <w:rPr>
          <w:sz w:val="21"/>
        </w:rPr>
      </w:pPr>
      <w:r>
        <w:rPr>
          <w:color w:val="000000"/>
          <w:spacing w:val="-3"/>
          <w:sz w:val="21"/>
          <w:shd w:val="clear" w:color="auto" w:fill="D9D9D9"/>
        </w:rPr>
        <w:t>不孕症的检查和治疗；</w:t>
      </w:r>
    </w:p>
    <w:p>
      <w:pPr>
        <w:pStyle w:val="8"/>
        <w:numPr>
          <w:ilvl w:val="0"/>
          <w:numId w:val="4"/>
        </w:numPr>
        <w:tabs>
          <w:tab w:val="left" w:pos="2967"/>
        </w:tabs>
        <w:spacing w:before="43" w:after="0" w:line="240" w:lineRule="auto"/>
        <w:ind w:left="2966" w:right="0" w:hanging="317"/>
        <w:jc w:val="left"/>
        <w:rPr>
          <w:sz w:val="21"/>
        </w:rPr>
      </w:pPr>
      <w:r>
        <w:rPr>
          <w:color w:val="000000"/>
          <w:spacing w:val="-3"/>
          <w:sz w:val="21"/>
          <w:shd w:val="clear" w:color="auto" w:fill="D9D9D9"/>
        </w:rPr>
        <w:t>不育症的检查和治疗</w:t>
      </w:r>
    </w:p>
    <w:p>
      <w:pPr>
        <w:pStyle w:val="8"/>
        <w:numPr>
          <w:ilvl w:val="0"/>
          <w:numId w:val="4"/>
        </w:numPr>
        <w:tabs>
          <w:tab w:val="left" w:pos="2968"/>
        </w:tabs>
        <w:spacing w:before="43" w:after="0" w:line="240" w:lineRule="auto"/>
        <w:ind w:left="2967" w:right="0" w:hanging="318"/>
        <w:jc w:val="left"/>
        <w:rPr>
          <w:sz w:val="21"/>
        </w:rPr>
      </w:pPr>
      <w:r>
        <w:rPr>
          <w:color w:val="000000"/>
          <w:spacing w:val="-4"/>
          <w:sz w:val="21"/>
          <w:shd w:val="clear" w:color="auto" w:fill="D9D9D9"/>
        </w:rPr>
        <w:t>绝育恢复手术；</w:t>
      </w:r>
    </w:p>
    <w:p>
      <w:pPr>
        <w:pStyle w:val="8"/>
        <w:numPr>
          <w:ilvl w:val="0"/>
          <w:numId w:val="4"/>
        </w:numPr>
        <w:tabs>
          <w:tab w:val="left" w:pos="2968"/>
        </w:tabs>
        <w:spacing w:before="43" w:after="0" w:line="240" w:lineRule="auto"/>
        <w:ind w:left="2967" w:right="0" w:hanging="318"/>
        <w:jc w:val="left"/>
        <w:rPr>
          <w:sz w:val="21"/>
        </w:rPr>
      </w:pPr>
      <w:r>
        <w:rPr>
          <w:color w:val="000000"/>
          <w:spacing w:val="-4"/>
          <w:sz w:val="21"/>
          <w:shd w:val="clear" w:color="auto" w:fill="D9D9D9"/>
        </w:rPr>
        <w:t>变性手术；</w:t>
      </w:r>
    </w:p>
    <w:p>
      <w:pPr>
        <w:pStyle w:val="8"/>
        <w:numPr>
          <w:ilvl w:val="0"/>
          <w:numId w:val="4"/>
        </w:numPr>
        <w:tabs>
          <w:tab w:val="left" w:pos="2968"/>
        </w:tabs>
        <w:spacing w:before="43" w:after="0" w:line="240" w:lineRule="auto"/>
        <w:ind w:left="2967" w:right="0" w:hanging="318"/>
        <w:jc w:val="left"/>
        <w:rPr>
          <w:sz w:val="21"/>
        </w:rPr>
      </w:pPr>
      <w:r>
        <w:rPr>
          <w:color w:val="000000"/>
          <w:spacing w:val="-3"/>
          <w:sz w:val="21"/>
          <w:shd w:val="clear" w:color="auto" w:fill="D9D9D9"/>
        </w:rPr>
        <w:t>用于提高性功能的药物；</w:t>
      </w:r>
    </w:p>
    <w:p>
      <w:pPr>
        <w:pStyle w:val="8"/>
        <w:numPr>
          <w:ilvl w:val="0"/>
          <w:numId w:val="4"/>
        </w:numPr>
        <w:tabs>
          <w:tab w:val="left" w:pos="3074"/>
        </w:tabs>
        <w:spacing w:before="43" w:after="0" w:line="240" w:lineRule="auto"/>
        <w:ind w:left="3073" w:right="0" w:hanging="424"/>
        <w:jc w:val="left"/>
        <w:rPr>
          <w:sz w:val="21"/>
        </w:rPr>
      </w:pPr>
      <w:r>
        <w:rPr>
          <w:color w:val="000000"/>
          <w:spacing w:val="-3"/>
          <w:sz w:val="21"/>
          <w:shd w:val="clear" w:color="auto" w:fill="D9D9D9"/>
        </w:rPr>
        <w:t>生育、分娩前的培训；</w:t>
      </w:r>
    </w:p>
    <w:p>
      <w:pPr>
        <w:pStyle w:val="8"/>
        <w:numPr>
          <w:ilvl w:val="0"/>
          <w:numId w:val="4"/>
        </w:numPr>
        <w:tabs>
          <w:tab w:val="left" w:pos="3074"/>
        </w:tabs>
        <w:spacing w:before="43" w:after="0" w:line="240" w:lineRule="auto"/>
        <w:ind w:left="3073" w:right="0" w:hanging="424"/>
        <w:jc w:val="left"/>
        <w:rPr>
          <w:sz w:val="21"/>
        </w:rPr>
      </w:pPr>
      <w:r>
        <w:rPr>
          <w:color w:val="000000"/>
          <w:spacing w:val="-3"/>
          <w:sz w:val="21"/>
          <w:shd w:val="clear" w:color="auto" w:fill="D9D9D9"/>
        </w:rPr>
        <w:t>与不育或生育相关的任何活细胞冷冻贮藏、植入和再植入费用;</w:t>
      </w:r>
    </w:p>
    <w:p>
      <w:pPr>
        <w:pStyle w:val="8"/>
        <w:numPr>
          <w:ilvl w:val="0"/>
          <w:numId w:val="4"/>
        </w:numPr>
        <w:tabs>
          <w:tab w:val="left" w:pos="3073"/>
        </w:tabs>
        <w:spacing w:before="42" w:after="0" w:line="278" w:lineRule="auto"/>
        <w:ind w:left="2650" w:right="966" w:firstLine="0"/>
        <w:jc w:val="left"/>
        <w:rPr>
          <w:sz w:val="21"/>
        </w:rPr>
      </w:pPr>
      <w:r>
        <w:rPr>
          <w:color w:val="000000"/>
          <w:spacing w:val="-2"/>
          <w:sz w:val="21"/>
          <w:shd w:val="clear" w:color="auto" w:fill="D9D9D9"/>
        </w:rPr>
        <w:t>妊娠（包括异位妊娠</w:t>
      </w:r>
      <w:r>
        <w:rPr>
          <w:color w:val="000000"/>
          <w:spacing w:val="-106"/>
          <w:sz w:val="21"/>
          <w:shd w:val="clear" w:color="auto" w:fill="D9D9D9"/>
        </w:rPr>
        <w:t>）</w:t>
      </w:r>
      <w:r>
        <w:rPr>
          <w:color w:val="000000"/>
          <w:spacing w:val="-2"/>
          <w:sz w:val="21"/>
          <w:shd w:val="clear" w:color="auto" w:fill="D9D9D9"/>
        </w:rPr>
        <w:t>、分娩（含难产</w:t>
      </w:r>
      <w:r>
        <w:rPr>
          <w:color w:val="000000"/>
          <w:spacing w:val="-106"/>
          <w:sz w:val="21"/>
          <w:shd w:val="clear" w:color="auto" w:fill="D9D9D9"/>
        </w:rPr>
        <w:t>）</w:t>
      </w:r>
      <w:r>
        <w:rPr>
          <w:color w:val="000000"/>
          <w:spacing w:val="-2"/>
          <w:sz w:val="21"/>
          <w:shd w:val="clear" w:color="auto" w:fill="D9D9D9"/>
        </w:rPr>
        <w:t>、流产、堕胎、产前产后检查以及</w:t>
      </w:r>
      <w:r>
        <w:rPr>
          <w:color w:val="000000"/>
          <w:spacing w:val="13755"/>
          <w:sz w:val="21"/>
          <w:shd w:val="clear" w:color="auto" w:fill="D9D9D9"/>
        </w:rPr>
        <w:t xml:space="preserve"> </w:t>
      </w:r>
      <w:r>
        <w:rPr>
          <w:color w:val="000000"/>
          <w:spacing w:val="-2"/>
          <w:sz w:val="21"/>
          <w:shd w:val="clear" w:color="auto" w:fill="D9D9D9"/>
        </w:rPr>
        <w:t>由以上原因引起的并发症。</w:t>
      </w:r>
    </w:p>
    <w:p>
      <w:pPr>
        <w:pStyle w:val="4"/>
        <w:spacing w:line="269" w:lineRule="exact"/>
        <w:ind w:left="2650"/>
      </w:pPr>
      <w:r>
        <w:rPr>
          <w:color w:val="000000"/>
          <w:spacing w:val="-2"/>
          <w:shd w:val="clear" w:color="auto" w:fill="D9D9D9"/>
        </w:rPr>
        <w:t>（三）</w:t>
      </w:r>
      <w:r>
        <w:rPr>
          <w:color w:val="000000"/>
          <w:spacing w:val="-4"/>
          <w:shd w:val="clear" w:color="auto" w:fill="D9D9D9"/>
        </w:rPr>
        <w:t>治疗项目类</w:t>
      </w:r>
    </w:p>
    <w:p>
      <w:pPr>
        <w:pStyle w:val="8"/>
        <w:numPr>
          <w:ilvl w:val="0"/>
          <w:numId w:val="5"/>
        </w:numPr>
        <w:tabs>
          <w:tab w:val="left" w:pos="2968"/>
        </w:tabs>
        <w:spacing w:before="44" w:after="0" w:line="278" w:lineRule="auto"/>
        <w:ind w:left="2650" w:right="969" w:firstLine="0"/>
        <w:jc w:val="left"/>
        <w:rPr>
          <w:sz w:val="21"/>
        </w:rPr>
      </w:pPr>
      <w:r>
        <w:rPr>
          <w:color w:val="000000"/>
          <w:spacing w:val="-2"/>
          <w:sz w:val="21"/>
          <w:shd w:val="clear" w:color="auto" w:fill="D9D9D9"/>
        </w:rPr>
        <w:t>除心脏瓣膜、人工晶体、人工关节之外的人工器官材料费、安装和置换等</w:t>
      </w:r>
      <w:r>
        <w:rPr>
          <w:color w:val="000000"/>
          <w:spacing w:val="-10"/>
          <w:sz w:val="21"/>
          <w:shd w:val="clear" w:color="auto" w:fill="D9D9D9"/>
        </w:rPr>
        <w:t>费</w:t>
      </w:r>
      <w:r>
        <w:rPr>
          <w:color w:val="000000"/>
          <w:spacing w:val="-6"/>
          <w:sz w:val="21"/>
          <w:shd w:val="clear" w:color="auto" w:fill="D9D9D9"/>
        </w:rPr>
        <w:t>用；</w:t>
      </w:r>
    </w:p>
    <w:p>
      <w:pPr>
        <w:pStyle w:val="8"/>
        <w:numPr>
          <w:ilvl w:val="0"/>
          <w:numId w:val="5"/>
        </w:numPr>
        <w:tabs>
          <w:tab w:val="left" w:pos="2968"/>
        </w:tabs>
        <w:spacing w:before="0" w:after="0" w:line="314" w:lineRule="exact"/>
        <w:ind w:left="2967" w:right="0" w:hanging="318"/>
        <w:jc w:val="left"/>
        <w:rPr>
          <w:sz w:val="21"/>
        </w:rPr>
      </w:pPr>
      <w:r>
        <w:rPr>
          <w:color w:val="000000"/>
          <w:sz w:val="21"/>
          <w:shd w:val="clear" w:color="auto" w:fill="D9D9D9"/>
        </w:rPr>
        <w:t>性病治疗相关费用，被保险人</w:t>
      </w:r>
      <w:r>
        <w:rPr>
          <w:rFonts w:ascii="Microsoft JhengHei" w:eastAsia="Microsoft JhengHei"/>
          <w:b/>
          <w:color w:val="000000"/>
          <w:sz w:val="21"/>
          <w:shd w:val="clear" w:color="auto" w:fill="D9D9D9"/>
        </w:rPr>
        <w:t>感染艾滋病病毒或患艾滋病</w:t>
      </w:r>
      <w:r>
        <w:rPr>
          <w:color w:val="000000"/>
          <w:sz w:val="21"/>
          <w:shd w:val="clear" w:color="auto" w:fill="D9D9D9"/>
        </w:rPr>
        <w:t>（</w:t>
      </w:r>
      <w:r>
        <w:rPr>
          <w:color w:val="000000"/>
          <w:spacing w:val="-11"/>
          <w:sz w:val="21"/>
          <w:shd w:val="clear" w:color="auto" w:fill="D9D9D9"/>
        </w:rPr>
        <w:t xml:space="preserve">见 </w:t>
      </w:r>
      <w:r>
        <w:rPr>
          <w:color w:val="000000"/>
          <w:sz w:val="21"/>
          <w:shd w:val="clear" w:color="auto" w:fill="D9D9D9"/>
        </w:rPr>
        <w:t>7.12）</w:t>
      </w:r>
      <w:r>
        <w:rPr>
          <w:color w:val="000000"/>
          <w:spacing w:val="-5"/>
          <w:sz w:val="21"/>
          <w:shd w:val="clear" w:color="auto" w:fill="D9D9D9"/>
        </w:rPr>
        <w:t>期间</w:t>
      </w:r>
    </w:p>
    <w:p>
      <w:pPr>
        <w:pStyle w:val="4"/>
        <w:spacing w:line="267" w:lineRule="exact"/>
        <w:ind w:left="2650"/>
      </w:pPr>
      <w:r>
        <w:rPr>
          <w:color w:val="000000"/>
          <w:spacing w:val="-3"/>
          <w:shd w:val="clear" w:color="auto" w:fill="D9D9D9"/>
        </w:rPr>
        <w:t>因所有疾病所导致的医疗费用；</w:t>
      </w:r>
    </w:p>
    <w:p>
      <w:pPr>
        <w:pStyle w:val="8"/>
        <w:numPr>
          <w:ilvl w:val="0"/>
          <w:numId w:val="5"/>
        </w:numPr>
        <w:tabs>
          <w:tab w:val="left" w:pos="2968"/>
        </w:tabs>
        <w:spacing w:before="43" w:after="0" w:line="240" w:lineRule="auto"/>
        <w:ind w:left="2967" w:right="0" w:hanging="318"/>
        <w:jc w:val="left"/>
        <w:rPr>
          <w:sz w:val="21"/>
        </w:rPr>
      </w:pPr>
      <w:r>
        <w:rPr>
          <w:color w:val="000000"/>
          <w:spacing w:val="-3"/>
          <w:sz w:val="21"/>
          <w:shd w:val="clear" w:color="auto" w:fill="D9D9D9"/>
        </w:rPr>
        <w:t>依据具有相应资格的医生判断，无医学必要性的检查和治疗；</w:t>
      </w:r>
    </w:p>
    <w:p>
      <w:pPr>
        <w:pStyle w:val="8"/>
        <w:numPr>
          <w:ilvl w:val="0"/>
          <w:numId w:val="5"/>
        </w:numPr>
        <w:tabs>
          <w:tab w:val="left" w:pos="2968"/>
        </w:tabs>
        <w:spacing w:before="43" w:after="0" w:line="278" w:lineRule="auto"/>
        <w:ind w:left="2650" w:right="966" w:firstLine="0"/>
        <w:jc w:val="left"/>
        <w:rPr>
          <w:sz w:val="21"/>
        </w:rPr>
      </w:pPr>
      <w:r>
        <w:rPr>
          <w:color w:val="000000"/>
          <w:spacing w:val="-8"/>
          <w:w w:val="100"/>
          <w:sz w:val="21"/>
          <w:shd w:val="clear" w:color="auto" w:fill="D9D9D9"/>
        </w:rPr>
        <w:t>在健康水疗院、自然治疗诊所或类似疗养机构接受的治疗，或以隶属于该</w:t>
      </w:r>
      <w:r>
        <w:rPr>
          <w:color w:val="000000"/>
          <w:w w:val="100"/>
          <w:sz w:val="21"/>
          <w:shd w:val="clear" w:color="auto" w:fill="D9D9D9"/>
        </w:rPr>
        <w:t xml:space="preserve">类                                                                                                                                    </w:t>
      </w:r>
      <w:r>
        <w:rPr>
          <w:color w:val="000000"/>
          <w:spacing w:val="-2"/>
          <w:w w:val="100"/>
          <w:sz w:val="21"/>
          <w:shd w:val="clear" w:color="auto" w:fill="D9D9D9"/>
        </w:rPr>
        <w:t>机构、登记为</w:t>
      </w:r>
      <w:r>
        <w:rPr>
          <w:rFonts w:ascii="Times New Roman" w:hAnsi="Times New Roman" w:eastAsia="Times New Roman"/>
          <w:color w:val="000000"/>
          <w:spacing w:val="-3"/>
          <w:w w:val="100"/>
          <w:sz w:val="21"/>
          <w:shd w:val="clear" w:color="auto" w:fill="D9D9D9"/>
        </w:rPr>
        <w:t>“</w:t>
      </w:r>
      <w:r>
        <w:rPr>
          <w:color w:val="000000"/>
          <w:spacing w:val="-2"/>
          <w:w w:val="100"/>
          <w:sz w:val="21"/>
          <w:shd w:val="clear" w:color="auto" w:fill="D9D9D9"/>
        </w:rPr>
        <w:t>护理病房</w:t>
      </w:r>
      <w:r>
        <w:rPr>
          <w:rFonts w:ascii="Times New Roman" w:hAnsi="Times New Roman" w:eastAsia="Times New Roman"/>
          <w:color w:val="000000"/>
          <w:spacing w:val="-3"/>
          <w:w w:val="100"/>
          <w:sz w:val="21"/>
          <w:shd w:val="clear" w:color="auto" w:fill="D9D9D9"/>
        </w:rPr>
        <w:t>”</w:t>
      </w:r>
      <w:r>
        <w:rPr>
          <w:color w:val="000000"/>
          <w:spacing w:val="-3"/>
          <w:w w:val="100"/>
          <w:sz w:val="21"/>
          <w:shd w:val="clear" w:color="auto" w:fill="D9D9D9"/>
        </w:rPr>
        <w:t>的私人病床形式接受的治疗；</w:t>
      </w:r>
    </w:p>
    <w:p>
      <w:pPr>
        <w:spacing w:after="0" w:line="278" w:lineRule="auto"/>
        <w:jc w:val="left"/>
        <w:rPr>
          <w:sz w:val="21"/>
        </w:rPr>
        <w:sectPr>
          <w:pgSz w:w="11910" w:h="16840"/>
          <w:pgMar w:top="1380" w:right="220" w:bottom="280" w:left="900" w:header="720" w:footer="720" w:gutter="0"/>
          <w:cols w:space="720" w:num="1"/>
        </w:sectPr>
      </w:pPr>
    </w:p>
    <w:p>
      <w:pPr>
        <w:pStyle w:val="8"/>
        <w:numPr>
          <w:ilvl w:val="0"/>
          <w:numId w:val="5"/>
        </w:numPr>
        <w:tabs>
          <w:tab w:val="left" w:pos="2968"/>
        </w:tabs>
        <w:spacing w:before="43" w:after="0" w:line="278" w:lineRule="auto"/>
        <w:ind w:left="2650" w:right="967" w:firstLine="0"/>
        <w:jc w:val="both"/>
        <w:rPr>
          <w:sz w:val="21"/>
        </w:rPr>
      </w:pPr>
      <w:r>
        <w:rPr>
          <w:color w:val="000000"/>
          <w:spacing w:val="-2"/>
          <w:sz w:val="21"/>
          <w:shd w:val="clear" w:color="auto" w:fill="D9D9D9"/>
        </w:rPr>
        <w:t>为休息、观察而实施的环境疗法，在任何长期护理机构、矿泉疗养地、水</w:t>
      </w:r>
      <w:r>
        <w:rPr>
          <w:color w:val="000000"/>
          <w:spacing w:val="-10"/>
          <w:sz w:val="21"/>
          <w:shd w:val="clear" w:color="auto" w:fill="D9D9D9"/>
        </w:rPr>
        <w:t>疗</w:t>
      </w:r>
      <w:r>
        <w:rPr>
          <w:color w:val="000000"/>
          <w:spacing w:val="-2"/>
          <w:sz w:val="21"/>
          <w:shd w:val="clear" w:color="auto" w:fill="D9D9D9"/>
        </w:rPr>
        <w:t>院门诊、康复机构、疗养院、养老院等非本合同规定的医疗机构接受的服务或</w:t>
      </w:r>
      <w:r>
        <w:rPr>
          <w:color w:val="000000"/>
          <w:spacing w:val="-4"/>
          <w:sz w:val="21"/>
          <w:shd w:val="clear" w:color="auto" w:fill="D9D9D9"/>
        </w:rPr>
        <w:t>治疗；</w:t>
      </w:r>
    </w:p>
    <w:p>
      <w:pPr>
        <w:pStyle w:val="8"/>
        <w:numPr>
          <w:ilvl w:val="0"/>
          <w:numId w:val="5"/>
        </w:numPr>
        <w:tabs>
          <w:tab w:val="left" w:pos="2968"/>
        </w:tabs>
        <w:spacing w:before="0" w:after="0" w:line="240" w:lineRule="auto"/>
        <w:ind w:left="2967" w:right="0" w:hanging="318"/>
        <w:jc w:val="left"/>
        <w:rPr>
          <w:sz w:val="21"/>
        </w:rPr>
      </w:pPr>
      <w:r>
        <w:rPr>
          <w:color w:val="000000"/>
          <w:spacing w:val="-3"/>
          <w:sz w:val="21"/>
          <w:shd w:val="clear" w:color="auto" w:fill="D9D9D9"/>
        </w:rPr>
        <w:t>近视、斜视矫形术费用，包皮环切术、包皮剥离术、包皮气囊扩张术；</w:t>
      </w:r>
    </w:p>
    <w:p>
      <w:pPr>
        <w:pStyle w:val="8"/>
        <w:numPr>
          <w:ilvl w:val="0"/>
          <w:numId w:val="5"/>
        </w:numPr>
        <w:tabs>
          <w:tab w:val="left" w:pos="2968"/>
        </w:tabs>
        <w:spacing w:before="42" w:after="0" w:line="240" w:lineRule="auto"/>
        <w:ind w:left="2967" w:right="0" w:hanging="318"/>
        <w:jc w:val="left"/>
        <w:rPr>
          <w:sz w:val="21"/>
        </w:rPr>
      </w:pPr>
      <w:r>
        <w:rPr>
          <w:color w:val="000000"/>
          <w:spacing w:val="-3"/>
          <w:sz w:val="21"/>
          <w:shd w:val="clear" w:color="auto" w:fill="D9D9D9"/>
        </w:rPr>
        <w:t>睡眠呼吸暂停，睡眠相关的呼吸异常、鼾症或失眠 ；</w:t>
      </w:r>
    </w:p>
    <w:p>
      <w:pPr>
        <w:pStyle w:val="8"/>
        <w:numPr>
          <w:ilvl w:val="0"/>
          <w:numId w:val="5"/>
        </w:numPr>
        <w:tabs>
          <w:tab w:val="left" w:pos="2968"/>
        </w:tabs>
        <w:spacing w:before="43" w:after="0" w:line="278" w:lineRule="auto"/>
        <w:ind w:left="2650" w:right="967" w:firstLine="0"/>
        <w:jc w:val="left"/>
        <w:rPr>
          <w:sz w:val="21"/>
        </w:rPr>
      </w:pPr>
      <w:r>
        <w:rPr>
          <w:color w:val="000000"/>
          <w:spacing w:val="-2"/>
          <w:sz w:val="21"/>
          <w:shd w:val="clear" w:color="auto" w:fill="D9D9D9"/>
        </w:rPr>
        <w:t>牙齿修复、牙齿整形，以及非因意外事故而进行的牙齿、牙周、牙床治疗</w:t>
      </w:r>
      <w:r>
        <w:rPr>
          <w:color w:val="000000"/>
          <w:spacing w:val="-4"/>
          <w:sz w:val="21"/>
          <w:shd w:val="clear" w:color="auto" w:fill="D9D9D9"/>
        </w:rPr>
        <w:t>及手术。</w:t>
      </w:r>
    </w:p>
    <w:p>
      <w:pPr>
        <w:pStyle w:val="4"/>
        <w:spacing w:line="269" w:lineRule="exact"/>
        <w:ind w:left="2650"/>
      </w:pPr>
      <w:r>
        <w:rPr>
          <w:color w:val="000000"/>
          <w:spacing w:val="-2"/>
          <w:shd w:val="clear" w:color="auto" w:fill="D9D9D9"/>
        </w:rPr>
        <w:t>（四）</w:t>
      </w:r>
      <w:r>
        <w:rPr>
          <w:color w:val="000000"/>
          <w:spacing w:val="-3"/>
          <w:shd w:val="clear" w:color="auto" w:fill="D9D9D9"/>
        </w:rPr>
        <w:t>服务设施及医学材料类</w:t>
      </w:r>
    </w:p>
    <w:p>
      <w:pPr>
        <w:pStyle w:val="8"/>
        <w:numPr>
          <w:ilvl w:val="0"/>
          <w:numId w:val="6"/>
        </w:numPr>
        <w:tabs>
          <w:tab w:val="left" w:pos="2968"/>
        </w:tabs>
        <w:spacing w:before="43" w:after="0" w:line="240" w:lineRule="auto"/>
        <w:ind w:left="2967" w:right="0" w:hanging="318"/>
        <w:jc w:val="left"/>
        <w:rPr>
          <w:sz w:val="21"/>
        </w:rPr>
      </w:pPr>
      <w:r>
        <w:rPr>
          <w:color w:val="000000"/>
          <w:spacing w:val="-3"/>
          <w:sz w:val="21"/>
          <w:shd w:val="clear" w:color="auto" w:fill="D9D9D9"/>
        </w:rPr>
        <w:t>使用电话、电炉、煤气、食品保温箱等费用；</w:t>
      </w:r>
    </w:p>
    <w:p>
      <w:pPr>
        <w:pStyle w:val="8"/>
        <w:numPr>
          <w:ilvl w:val="0"/>
          <w:numId w:val="6"/>
        </w:numPr>
        <w:tabs>
          <w:tab w:val="left" w:pos="2968"/>
        </w:tabs>
        <w:spacing w:before="43" w:after="0" w:line="240" w:lineRule="auto"/>
        <w:ind w:left="2967" w:right="0" w:hanging="318"/>
        <w:jc w:val="left"/>
        <w:rPr>
          <w:sz w:val="21"/>
        </w:rPr>
      </w:pPr>
      <w:r>
        <w:rPr>
          <w:color w:val="000000"/>
          <w:spacing w:val="-3"/>
          <w:sz w:val="21"/>
          <w:shd w:val="clear" w:color="auto" w:fill="D9D9D9"/>
        </w:rPr>
        <w:t>遗体料理费、遗体冷藏费；</w:t>
      </w:r>
    </w:p>
    <w:p>
      <w:pPr>
        <w:pStyle w:val="8"/>
        <w:numPr>
          <w:ilvl w:val="0"/>
          <w:numId w:val="6"/>
        </w:numPr>
        <w:tabs>
          <w:tab w:val="left" w:pos="2968"/>
        </w:tabs>
        <w:spacing w:before="43" w:after="0" w:line="278" w:lineRule="auto"/>
        <w:ind w:left="2650" w:right="861" w:firstLine="0"/>
        <w:jc w:val="left"/>
        <w:rPr>
          <w:sz w:val="21"/>
        </w:rPr>
      </w:pPr>
      <w:r>
        <w:rPr>
          <w:color w:val="000000"/>
          <w:spacing w:val="-2"/>
          <w:sz w:val="21"/>
          <w:shd w:val="clear" w:color="auto" w:fill="D9D9D9"/>
        </w:rPr>
        <w:t>陪护费、加床费（本合同约定属于保险责任范围内的除外</w:t>
      </w:r>
      <w:r>
        <w:rPr>
          <w:color w:val="000000"/>
          <w:spacing w:val="-104"/>
          <w:sz w:val="21"/>
          <w:shd w:val="clear" w:color="auto" w:fill="D9D9D9"/>
        </w:rPr>
        <w:t>）</w:t>
      </w:r>
      <w:r>
        <w:rPr>
          <w:color w:val="000000"/>
          <w:spacing w:val="-2"/>
          <w:sz w:val="21"/>
          <w:shd w:val="clear" w:color="auto" w:fill="D9D9D9"/>
        </w:rPr>
        <w:t>、护工费、洗理</w:t>
      </w:r>
      <w:r>
        <w:rPr>
          <w:color w:val="000000"/>
          <w:spacing w:val="13965"/>
          <w:sz w:val="21"/>
          <w:shd w:val="clear" w:color="auto" w:fill="D9D9D9"/>
        </w:rPr>
        <w:t xml:space="preserve"> </w:t>
      </w:r>
      <w:r>
        <w:rPr>
          <w:color w:val="000000"/>
          <w:spacing w:val="-9"/>
          <w:sz w:val="21"/>
          <w:shd w:val="clear" w:color="auto" w:fill="D9D9D9"/>
        </w:rPr>
        <w:t>费及各种与诊疗无直接关系的费用</w:t>
      </w:r>
      <w:r>
        <w:rPr>
          <w:color w:val="000000"/>
          <w:spacing w:val="-2"/>
          <w:sz w:val="21"/>
          <w:shd w:val="clear" w:color="auto" w:fill="D9D9D9"/>
        </w:rPr>
        <w:t>（</w:t>
      </w:r>
      <w:r>
        <w:rPr>
          <w:color w:val="000000"/>
          <w:spacing w:val="-12"/>
          <w:sz w:val="21"/>
          <w:shd w:val="clear" w:color="auto" w:fill="D9D9D9"/>
        </w:rPr>
        <w:t>包括但不限于脸盆、卫生塑料及卫生纸费</w:t>
      </w:r>
      <w:r>
        <w:rPr>
          <w:color w:val="000000"/>
          <w:spacing w:val="-106"/>
          <w:sz w:val="21"/>
          <w:shd w:val="clear" w:color="auto" w:fill="D9D9D9"/>
        </w:rPr>
        <w:t>）</w:t>
      </w:r>
      <w:r>
        <w:rPr>
          <w:color w:val="000000"/>
          <w:sz w:val="21"/>
          <w:shd w:val="clear" w:color="auto" w:fill="D9D9D9"/>
        </w:rPr>
        <w:t>；</w:t>
      </w:r>
      <w:r>
        <w:rPr>
          <w:color w:val="000000"/>
          <w:spacing w:val="-53"/>
          <w:sz w:val="21"/>
        </w:rPr>
        <w:t xml:space="preserve"> </w:t>
      </w:r>
      <w:r>
        <w:rPr>
          <w:color w:val="000000"/>
          <w:spacing w:val="-2"/>
          <w:sz w:val="21"/>
          <w:shd w:val="clear" w:color="auto" w:fill="D9D9D9"/>
        </w:rPr>
        <w:t>4．耐用医疗设备的购买或租赁费；</w:t>
      </w:r>
    </w:p>
    <w:p>
      <w:pPr>
        <w:pStyle w:val="8"/>
        <w:numPr>
          <w:ilvl w:val="0"/>
          <w:numId w:val="7"/>
        </w:numPr>
        <w:tabs>
          <w:tab w:val="left" w:pos="2968"/>
        </w:tabs>
        <w:spacing w:before="1" w:after="0" w:line="240" w:lineRule="auto"/>
        <w:ind w:left="2967" w:right="0" w:hanging="318"/>
        <w:jc w:val="left"/>
        <w:rPr>
          <w:sz w:val="21"/>
        </w:rPr>
      </w:pPr>
      <w:r>
        <w:rPr>
          <w:color w:val="000000"/>
          <w:spacing w:val="-3"/>
          <w:sz w:val="21"/>
          <w:shd w:val="clear" w:color="auto" w:fill="D9D9D9"/>
        </w:rPr>
        <w:t>定制或改造任何交通工具、洗浴设备或者住宅设备；</w:t>
      </w:r>
    </w:p>
    <w:p>
      <w:pPr>
        <w:pStyle w:val="8"/>
        <w:numPr>
          <w:ilvl w:val="0"/>
          <w:numId w:val="7"/>
        </w:numPr>
        <w:tabs>
          <w:tab w:val="left" w:pos="2968"/>
        </w:tabs>
        <w:spacing w:before="42" w:after="0" w:line="240" w:lineRule="auto"/>
        <w:ind w:left="2967" w:right="0" w:hanging="318"/>
        <w:jc w:val="left"/>
        <w:rPr>
          <w:sz w:val="21"/>
        </w:rPr>
      </w:pPr>
      <w:r>
        <w:rPr>
          <w:color w:val="000000"/>
          <w:spacing w:val="-3"/>
          <w:sz w:val="21"/>
          <w:shd w:val="clear" w:color="auto" w:fill="D9D9D9"/>
        </w:rPr>
        <w:t>所有非处方医疗器械；</w:t>
      </w:r>
    </w:p>
    <w:p>
      <w:pPr>
        <w:pStyle w:val="8"/>
        <w:numPr>
          <w:ilvl w:val="0"/>
          <w:numId w:val="7"/>
        </w:numPr>
        <w:tabs>
          <w:tab w:val="left" w:pos="2968"/>
        </w:tabs>
        <w:spacing w:before="43" w:after="0" w:line="240" w:lineRule="auto"/>
        <w:ind w:left="2967" w:right="0" w:hanging="318"/>
        <w:jc w:val="left"/>
        <w:rPr>
          <w:sz w:val="21"/>
        </w:rPr>
      </w:pPr>
      <w:r>
        <w:rPr>
          <w:color w:val="000000"/>
          <w:spacing w:val="-3"/>
          <w:sz w:val="21"/>
          <w:shd w:val="clear" w:color="auto" w:fill="D9D9D9"/>
        </w:rPr>
        <w:t>非必需的假体、矫正器具、支具或相似的器具。</w:t>
      </w:r>
    </w:p>
    <w:p>
      <w:pPr>
        <w:pStyle w:val="4"/>
        <w:spacing w:before="43"/>
        <w:ind w:left="2650"/>
      </w:pPr>
      <w:r>
        <w:rPr>
          <w:color w:val="000000"/>
          <w:spacing w:val="-2"/>
          <w:shd w:val="clear" w:color="auto" w:fill="D9D9D9"/>
        </w:rPr>
        <w:t>（</w:t>
      </w:r>
      <w:r>
        <w:rPr>
          <w:rFonts w:hint="eastAsia"/>
          <w:color w:val="000000"/>
          <w:spacing w:val="-2"/>
          <w:shd w:val="clear" w:color="auto" w:fill="D9D9D9"/>
          <w:lang w:val="en-US" w:eastAsia="zh-CN"/>
        </w:rPr>
        <w:t>五</w:t>
      </w:r>
      <w:r>
        <w:rPr>
          <w:color w:val="000000"/>
          <w:spacing w:val="-2"/>
          <w:shd w:val="clear" w:color="auto" w:fill="D9D9D9"/>
        </w:rPr>
        <w:t>）</w:t>
      </w:r>
      <w:r>
        <w:rPr>
          <w:color w:val="000000"/>
          <w:spacing w:val="-5"/>
          <w:shd w:val="clear" w:color="auto" w:fill="D9D9D9"/>
        </w:rPr>
        <w:t>药品费用</w:t>
      </w:r>
    </w:p>
    <w:p>
      <w:pPr>
        <w:pStyle w:val="8"/>
        <w:numPr>
          <w:ilvl w:val="0"/>
          <w:numId w:val="8"/>
        </w:numPr>
        <w:tabs>
          <w:tab w:val="left" w:pos="2968"/>
        </w:tabs>
        <w:spacing w:before="43" w:after="0" w:line="278" w:lineRule="auto"/>
        <w:ind w:left="2650" w:right="966" w:firstLine="0"/>
        <w:jc w:val="left"/>
        <w:rPr>
          <w:sz w:val="21"/>
        </w:rPr>
      </w:pPr>
      <w:r>
        <w:rPr>
          <w:color w:val="000000"/>
          <w:spacing w:val="-13"/>
          <w:w w:val="100"/>
          <w:sz w:val="21"/>
          <w:shd w:val="clear" w:color="auto" w:fill="D9D9D9"/>
        </w:rPr>
        <w:t>自购药品</w:t>
      </w:r>
      <w:r>
        <w:rPr>
          <w:color w:val="000000"/>
          <w:spacing w:val="-3"/>
          <w:w w:val="100"/>
          <w:sz w:val="21"/>
          <w:shd w:val="clear" w:color="auto" w:fill="D9D9D9"/>
        </w:rPr>
        <w:t>（自购药品指被保险人未经过医院所属的具有执业医生资格的医</w:t>
      </w:r>
      <w:r>
        <w:rPr>
          <w:color w:val="000000"/>
          <w:w w:val="100"/>
          <w:sz w:val="21"/>
          <w:shd w:val="clear" w:color="auto" w:fill="D9D9D9"/>
        </w:rPr>
        <w:t xml:space="preserve">生                                                                                                                                    </w:t>
      </w:r>
      <w:r>
        <w:rPr>
          <w:color w:val="000000"/>
          <w:spacing w:val="-3"/>
          <w:w w:val="100"/>
          <w:sz w:val="21"/>
          <w:shd w:val="clear" w:color="auto" w:fill="D9D9D9"/>
        </w:rPr>
        <w:t>开具医嘱，自行至药房、超市、医院所属商业药房等地点购买的药品</w:t>
      </w:r>
      <w:r>
        <w:rPr>
          <w:color w:val="000000"/>
          <w:spacing w:val="-108"/>
          <w:w w:val="100"/>
          <w:sz w:val="21"/>
          <w:shd w:val="clear" w:color="auto" w:fill="D9D9D9"/>
        </w:rPr>
        <w:t>）</w:t>
      </w:r>
      <w:r>
        <w:rPr>
          <w:color w:val="000000"/>
          <w:w w:val="100"/>
          <w:sz w:val="21"/>
          <w:shd w:val="clear" w:color="auto" w:fill="D9D9D9"/>
        </w:rPr>
        <w:t>；</w:t>
      </w:r>
    </w:p>
    <w:p>
      <w:pPr>
        <w:pStyle w:val="8"/>
        <w:numPr>
          <w:ilvl w:val="0"/>
          <w:numId w:val="8"/>
        </w:numPr>
        <w:tabs>
          <w:tab w:val="left" w:pos="2968"/>
        </w:tabs>
        <w:spacing w:before="0" w:after="0" w:line="278" w:lineRule="auto"/>
        <w:ind w:left="2650" w:right="967" w:firstLine="0"/>
        <w:jc w:val="left"/>
        <w:rPr>
          <w:sz w:val="21"/>
        </w:rPr>
      </w:pPr>
      <w:r>
        <w:rPr>
          <w:color w:val="000000"/>
          <w:spacing w:val="-2"/>
          <w:sz w:val="21"/>
          <w:shd w:val="clear" w:color="auto" w:fill="D9D9D9"/>
        </w:rPr>
        <w:t>营养性复合维生素，矿物质、中草药、膏方及其它营养保健药费，试验或</w:t>
      </w:r>
      <w:r>
        <w:rPr>
          <w:color w:val="000000"/>
          <w:spacing w:val="-10"/>
          <w:sz w:val="21"/>
          <w:shd w:val="clear" w:color="auto" w:fill="D9D9D9"/>
        </w:rPr>
        <w:t>研</w:t>
      </w:r>
      <w:r>
        <w:rPr>
          <w:color w:val="000000"/>
          <w:spacing w:val="-2"/>
          <w:sz w:val="21"/>
          <w:shd w:val="clear" w:color="auto" w:fill="D9D9D9"/>
        </w:rPr>
        <w:t>究性质的药物费用；</w:t>
      </w:r>
    </w:p>
    <w:p>
      <w:pPr>
        <w:pStyle w:val="8"/>
        <w:numPr>
          <w:ilvl w:val="0"/>
          <w:numId w:val="8"/>
        </w:numPr>
        <w:tabs>
          <w:tab w:val="left" w:pos="2968"/>
        </w:tabs>
        <w:spacing w:before="0" w:after="0" w:line="269" w:lineRule="exact"/>
        <w:ind w:left="2967" w:right="0" w:hanging="318"/>
        <w:jc w:val="left"/>
        <w:rPr>
          <w:sz w:val="21"/>
        </w:rPr>
      </w:pPr>
      <w:r>
        <w:rPr>
          <w:color w:val="000000"/>
          <w:spacing w:val="-7"/>
          <w:sz w:val="21"/>
          <w:shd w:val="clear" w:color="auto" w:fill="D9D9D9"/>
        </w:rPr>
        <w:t xml:space="preserve">医生开具的、超过 </w:t>
      </w:r>
      <w:r>
        <w:rPr>
          <w:color w:val="000000"/>
          <w:spacing w:val="-2"/>
          <w:sz w:val="21"/>
          <w:shd w:val="clear" w:color="auto" w:fill="D9D9D9"/>
        </w:rPr>
        <w:t>90</w:t>
      </w:r>
      <w:r>
        <w:rPr>
          <w:color w:val="000000"/>
          <w:spacing w:val="-10"/>
          <w:sz w:val="21"/>
          <w:shd w:val="clear" w:color="auto" w:fill="D9D9D9"/>
        </w:rPr>
        <w:t xml:space="preserve"> 天部分的药品</w:t>
      </w:r>
      <w:r>
        <w:rPr>
          <w:color w:val="000000"/>
          <w:spacing w:val="-2"/>
          <w:sz w:val="21"/>
          <w:shd w:val="clear" w:color="auto" w:fill="D9D9D9"/>
        </w:rPr>
        <w:t>（包含维生素）</w:t>
      </w:r>
      <w:r>
        <w:rPr>
          <w:color w:val="000000"/>
          <w:spacing w:val="-5"/>
          <w:sz w:val="21"/>
          <w:shd w:val="clear" w:color="auto" w:fill="D9D9D9"/>
        </w:rPr>
        <w:t>费用。</w:t>
      </w:r>
    </w:p>
    <w:p>
      <w:pPr>
        <w:pStyle w:val="4"/>
        <w:spacing w:before="43"/>
        <w:ind w:left="2650"/>
      </w:pPr>
      <w:r>
        <w:rPr>
          <w:color w:val="000000"/>
          <w:spacing w:val="-2"/>
          <w:shd w:val="clear" w:color="auto" w:fill="D9D9D9"/>
        </w:rPr>
        <w:t>（六）</w:t>
      </w:r>
      <w:r>
        <w:rPr>
          <w:color w:val="000000"/>
          <w:spacing w:val="-4"/>
          <w:shd w:val="clear" w:color="auto" w:fill="D9D9D9"/>
        </w:rPr>
        <w:t>特定医疗费用</w:t>
      </w:r>
    </w:p>
    <w:p>
      <w:pPr>
        <w:pStyle w:val="8"/>
        <w:numPr>
          <w:ilvl w:val="0"/>
          <w:numId w:val="9"/>
        </w:numPr>
        <w:tabs>
          <w:tab w:val="left" w:pos="2968"/>
        </w:tabs>
        <w:spacing w:before="43" w:after="0" w:line="240" w:lineRule="auto"/>
        <w:ind w:left="2967" w:right="0" w:hanging="318"/>
        <w:jc w:val="left"/>
        <w:rPr>
          <w:sz w:val="21"/>
        </w:rPr>
      </w:pPr>
      <w:r>
        <w:rPr>
          <w:color w:val="000000"/>
          <w:spacing w:val="-3"/>
          <w:sz w:val="21"/>
          <w:shd w:val="clear" w:color="auto" w:fill="D9D9D9"/>
        </w:rPr>
        <w:t>超出通常惯例的医疗费用；</w:t>
      </w:r>
    </w:p>
    <w:p>
      <w:pPr>
        <w:pStyle w:val="8"/>
        <w:numPr>
          <w:ilvl w:val="0"/>
          <w:numId w:val="9"/>
        </w:numPr>
        <w:tabs>
          <w:tab w:val="left" w:pos="2974"/>
        </w:tabs>
        <w:spacing w:before="43" w:after="0" w:line="278" w:lineRule="auto"/>
        <w:ind w:left="2650" w:right="975" w:firstLine="0"/>
        <w:jc w:val="left"/>
        <w:rPr>
          <w:sz w:val="21"/>
        </w:rPr>
      </w:pPr>
      <w:r>
        <w:rPr>
          <w:color w:val="000000"/>
          <w:spacing w:val="-2"/>
          <w:sz w:val="21"/>
          <w:shd w:val="clear" w:color="auto" w:fill="D9D9D9"/>
        </w:rPr>
        <w:t>为获得治疗发生的交通费（本合同列明的本地救护车费及紧急医疗运送除</w:t>
      </w:r>
      <w:r>
        <w:rPr>
          <w:color w:val="000000"/>
          <w:spacing w:val="-10"/>
          <w:sz w:val="21"/>
          <w:shd w:val="clear" w:color="auto" w:fill="D9D9D9"/>
        </w:rPr>
        <w:t>外</w:t>
      </w:r>
      <w:r>
        <w:rPr>
          <w:color w:val="000000"/>
          <w:spacing w:val="-106"/>
          <w:sz w:val="21"/>
          <w:shd w:val="clear" w:color="auto" w:fill="D9D9D9"/>
        </w:rPr>
        <w:t>）</w:t>
      </w:r>
      <w:r>
        <w:rPr>
          <w:color w:val="000000"/>
          <w:sz w:val="21"/>
          <w:shd w:val="clear" w:color="auto" w:fill="D9D9D9"/>
        </w:rPr>
        <w:t>；</w:t>
      </w:r>
    </w:p>
    <w:p>
      <w:pPr>
        <w:pStyle w:val="8"/>
        <w:numPr>
          <w:ilvl w:val="0"/>
          <w:numId w:val="9"/>
        </w:numPr>
        <w:tabs>
          <w:tab w:val="left" w:pos="2968"/>
        </w:tabs>
        <w:spacing w:before="0" w:after="0" w:line="278" w:lineRule="auto"/>
        <w:ind w:left="2650" w:right="964" w:firstLine="0"/>
        <w:jc w:val="left"/>
        <w:rPr>
          <w:sz w:val="21"/>
        </w:rPr>
      </w:pPr>
      <w:r>
        <w:rPr>
          <w:color w:val="000000"/>
          <w:spacing w:val="-12"/>
          <w:sz w:val="21"/>
          <w:shd w:val="clear" w:color="auto" w:fill="D9D9D9"/>
        </w:rPr>
        <w:t>保险期间届满后发生的医疗费用，包括在此后按疗程使用的处方药品费用</w:t>
      </w:r>
      <w:r>
        <w:rPr>
          <w:color w:val="000000"/>
          <w:spacing w:val="-2"/>
          <w:sz w:val="21"/>
          <w:shd w:val="clear" w:color="auto" w:fill="D9D9D9"/>
        </w:rPr>
        <w:t>（</w:t>
      </w:r>
      <w:r>
        <w:rPr>
          <w:color w:val="000000"/>
          <w:spacing w:val="-10"/>
          <w:sz w:val="21"/>
          <w:shd w:val="clear" w:color="auto" w:fill="D9D9D9"/>
        </w:rPr>
        <w:t>本</w:t>
      </w:r>
      <w:r>
        <w:rPr>
          <w:color w:val="000000"/>
          <w:spacing w:val="13860"/>
          <w:sz w:val="21"/>
          <w:shd w:val="clear" w:color="auto" w:fill="D9D9D9"/>
        </w:rPr>
        <w:t xml:space="preserve"> </w:t>
      </w:r>
      <w:r>
        <w:rPr>
          <w:color w:val="000000"/>
          <w:spacing w:val="-2"/>
          <w:sz w:val="21"/>
          <w:shd w:val="clear" w:color="auto" w:fill="D9D9D9"/>
        </w:rPr>
        <w:t>合同约定属于保险责任范围内的除外</w:t>
      </w:r>
      <w:r>
        <w:rPr>
          <w:color w:val="000000"/>
          <w:spacing w:val="-106"/>
          <w:sz w:val="21"/>
          <w:shd w:val="clear" w:color="auto" w:fill="D9D9D9"/>
        </w:rPr>
        <w:t>）</w:t>
      </w:r>
      <w:r>
        <w:rPr>
          <w:color w:val="000000"/>
          <w:spacing w:val="-2"/>
          <w:sz w:val="21"/>
          <w:shd w:val="clear" w:color="auto" w:fill="D9D9D9"/>
        </w:rPr>
        <w:t>。</w:t>
      </w:r>
    </w:p>
    <w:p>
      <w:pPr>
        <w:pStyle w:val="4"/>
        <w:spacing w:line="256" w:lineRule="exact"/>
        <w:ind w:left="2650"/>
      </w:pPr>
      <w:r>
        <w:rPr>
          <w:color w:val="000000"/>
          <w:spacing w:val="-2"/>
          <w:shd w:val="clear" w:color="auto" w:fill="D9D9D9"/>
        </w:rPr>
        <w:t>（七）</w:t>
      </w:r>
      <w:r>
        <w:rPr>
          <w:color w:val="000000"/>
          <w:spacing w:val="-6"/>
          <w:shd w:val="clear" w:color="auto" w:fill="D9D9D9"/>
        </w:rPr>
        <w:t>其它</w:t>
      </w:r>
    </w:p>
    <w:p>
      <w:pPr>
        <w:pStyle w:val="8"/>
        <w:numPr>
          <w:ilvl w:val="0"/>
          <w:numId w:val="10"/>
        </w:numPr>
        <w:tabs>
          <w:tab w:val="left" w:pos="2968"/>
        </w:tabs>
        <w:spacing w:before="0" w:after="0" w:line="235" w:lineRule="auto"/>
        <w:ind w:left="2650" w:right="966" w:firstLine="0"/>
        <w:jc w:val="left"/>
        <w:rPr>
          <w:sz w:val="21"/>
        </w:rPr>
      </w:pPr>
      <w:r>
        <w:rPr>
          <w:color w:val="000000"/>
          <w:sz w:val="21"/>
          <w:shd w:val="clear" w:color="auto" w:fill="D9D9D9"/>
        </w:rPr>
        <w:t>被保险人所患</w:t>
      </w:r>
      <w:r>
        <w:rPr>
          <w:rFonts w:ascii="Microsoft JhengHei" w:eastAsia="Microsoft JhengHei"/>
          <w:b/>
          <w:color w:val="000000"/>
          <w:sz w:val="21"/>
          <w:shd w:val="clear" w:color="auto" w:fill="D9D9D9"/>
        </w:rPr>
        <w:t>既往疾病</w:t>
      </w:r>
      <w:r>
        <w:rPr>
          <w:color w:val="000000"/>
          <w:sz w:val="21"/>
          <w:shd w:val="clear" w:color="auto" w:fill="D9D9D9"/>
        </w:rPr>
        <w:t>（</w:t>
      </w:r>
      <w:r>
        <w:rPr>
          <w:color w:val="000000"/>
          <w:spacing w:val="-5"/>
          <w:sz w:val="21"/>
          <w:shd w:val="clear" w:color="auto" w:fill="D9D9D9"/>
        </w:rPr>
        <w:t xml:space="preserve">见 </w:t>
      </w:r>
      <w:r>
        <w:rPr>
          <w:color w:val="000000"/>
          <w:sz w:val="21"/>
          <w:shd w:val="clear" w:color="auto" w:fill="D9D9D9"/>
        </w:rPr>
        <w:t>7.13）引起的医疗费用，但在投保时已告知我</w:t>
      </w:r>
      <w:r>
        <w:rPr>
          <w:color w:val="000000"/>
          <w:spacing w:val="13755"/>
          <w:sz w:val="21"/>
          <w:shd w:val="clear" w:color="auto" w:fill="D9D9D9"/>
        </w:rPr>
        <w:t xml:space="preserve"> </w:t>
      </w:r>
      <w:r>
        <w:rPr>
          <w:color w:val="000000"/>
          <w:spacing w:val="-2"/>
          <w:sz w:val="21"/>
          <w:shd w:val="clear" w:color="auto" w:fill="D9D9D9"/>
        </w:rPr>
        <w:t>们并经我们书面同意承保的不在此限；</w:t>
      </w:r>
    </w:p>
    <w:p>
      <w:pPr>
        <w:pStyle w:val="8"/>
        <w:numPr>
          <w:ilvl w:val="0"/>
          <w:numId w:val="10"/>
        </w:numPr>
        <w:tabs>
          <w:tab w:val="left" w:pos="2968"/>
        </w:tabs>
        <w:spacing w:before="38" w:after="0" w:line="278" w:lineRule="auto"/>
        <w:ind w:left="2650" w:right="969" w:firstLine="0"/>
        <w:jc w:val="left"/>
        <w:rPr>
          <w:sz w:val="21"/>
        </w:rPr>
      </w:pPr>
      <w:r>
        <w:rPr>
          <w:color w:val="000000"/>
          <w:spacing w:val="-2"/>
          <w:sz w:val="21"/>
          <w:shd w:val="clear" w:color="auto" w:fill="D9D9D9"/>
        </w:rPr>
        <w:t>被保险人因精神疾病引起的医疗费用，保险单中特别约定的其他除外疾病引起的医疗费用；</w:t>
      </w:r>
    </w:p>
    <w:p>
      <w:pPr>
        <w:pStyle w:val="8"/>
        <w:numPr>
          <w:ilvl w:val="0"/>
          <w:numId w:val="10"/>
        </w:numPr>
        <w:tabs>
          <w:tab w:val="left" w:pos="2968"/>
        </w:tabs>
        <w:spacing w:before="0" w:after="0" w:line="314" w:lineRule="exact"/>
        <w:ind w:left="2967" w:right="0" w:hanging="318"/>
        <w:jc w:val="left"/>
        <w:rPr>
          <w:sz w:val="21"/>
        </w:rPr>
      </w:pPr>
      <w:r>
        <w:rPr>
          <w:color w:val="000000"/>
          <w:spacing w:val="-2"/>
          <w:sz w:val="21"/>
          <w:shd w:val="clear" w:color="auto" w:fill="D9D9D9"/>
        </w:rPr>
        <w:t>被保险人醉酒，主动吸食或注射</w:t>
      </w:r>
      <w:r>
        <w:rPr>
          <w:rFonts w:ascii="Microsoft JhengHei" w:eastAsia="Microsoft JhengHei"/>
          <w:b/>
          <w:color w:val="000000"/>
          <w:spacing w:val="-2"/>
          <w:sz w:val="21"/>
          <w:shd w:val="clear" w:color="auto" w:fill="D9D9D9"/>
        </w:rPr>
        <w:t>毒品</w:t>
      </w:r>
      <w:r>
        <w:rPr>
          <w:color w:val="000000"/>
          <w:spacing w:val="-2"/>
          <w:sz w:val="21"/>
          <w:shd w:val="clear" w:color="auto" w:fill="D9D9D9"/>
        </w:rPr>
        <w:t>（</w:t>
      </w:r>
      <w:r>
        <w:rPr>
          <w:color w:val="000000"/>
          <w:spacing w:val="-18"/>
          <w:sz w:val="21"/>
          <w:shd w:val="clear" w:color="auto" w:fill="D9D9D9"/>
        </w:rPr>
        <w:t xml:space="preserve">见 </w:t>
      </w:r>
      <w:r>
        <w:rPr>
          <w:color w:val="000000"/>
          <w:spacing w:val="-2"/>
          <w:sz w:val="21"/>
          <w:shd w:val="clear" w:color="auto" w:fill="D9D9D9"/>
        </w:rPr>
        <w:t>7.14）</w:t>
      </w:r>
      <w:r>
        <w:rPr>
          <w:color w:val="000000"/>
          <w:spacing w:val="-3"/>
          <w:sz w:val="21"/>
          <w:shd w:val="clear" w:color="auto" w:fill="D9D9D9"/>
        </w:rPr>
        <w:t>导致的医疗费用；</w:t>
      </w:r>
    </w:p>
    <w:p>
      <w:pPr>
        <w:pStyle w:val="8"/>
        <w:numPr>
          <w:ilvl w:val="0"/>
          <w:numId w:val="10"/>
        </w:numPr>
        <w:tabs>
          <w:tab w:val="left" w:pos="2968"/>
        </w:tabs>
        <w:spacing w:before="0" w:after="0" w:line="253" w:lineRule="exact"/>
        <w:ind w:left="2967" w:right="0" w:hanging="318"/>
        <w:jc w:val="left"/>
        <w:rPr>
          <w:sz w:val="21"/>
        </w:rPr>
      </w:pPr>
      <w:r>
        <w:rPr>
          <w:color w:val="000000"/>
          <w:spacing w:val="-3"/>
          <w:sz w:val="21"/>
          <w:shd w:val="clear" w:color="auto" w:fill="D9D9D9"/>
        </w:rPr>
        <w:t>投保人对被保险人的故意杀害、故意伤害；</w:t>
      </w:r>
    </w:p>
    <w:p>
      <w:pPr>
        <w:pStyle w:val="8"/>
        <w:numPr>
          <w:ilvl w:val="0"/>
          <w:numId w:val="10"/>
        </w:numPr>
        <w:tabs>
          <w:tab w:val="left" w:pos="2968"/>
        </w:tabs>
        <w:spacing w:before="0" w:after="0" w:line="235" w:lineRule="auto"/>
        <w:ind w:left="2650" w:right="966" w:firstLine="0"/>
        <w:jc w:val="left"/>
        <w:rPr>
          <w:sz w:val="21"/>
        </w:rPr>
      </w:pPr>
      <w:r>
        <w:rPr>
          <w:color w:val="000000"/>
          <w:sz w:val="21"/>
          <w:shd w:val="clear" w:color="auto" w:fill="D9D9D9"/>
        </w:rPr>
        <w:t>被保险人故意自伤、故意犯罪、</w:t>
      </w:r>
      <w:r>
        <w:rPr>
          <w:rFonts w:ascii="Microsoft JhengHei" w:eastAsia="Microsoft JhengHei"/>
          <w:b/>
          <w:color w:val="000000"/>
          <w:sz w:val="21"/>
          <w:shd w:val="clear" w:color="auto" w:fill="D9D9D9"/>
        </w:rPr>
        <w:t>斗殴</w:t>
      </w:r>
      <w:r>
        <w:rPr>
          <w:color w:val="000000"/>
          <w:sz w:val="21"/>
          <w:shd w:val="clear" w:color="auto" w:fill="D9D9D9"/>
        </w:rPr>
        <w:t>（</w:t>
      </w:r>
      <w:r>
        <w:rPr>
          <w:color w:val="000000"/>
          <w:spacing w:val="-5"/>
          <w:sz w:val="21"/>
          <w:shd w:val="clear" w:color="auto" w:fill="D9D9D9"/>
        </w:rPr>
        <w:t xml:space="preserve">见 </w:t>
      </w:r>
      <w:r>
        <w:rPr>
          <w:color w:val="000000"/>
          <w:sz w:val="21"/>
          <w:shd w:val="clear" w:color="auto" w:fill="D9D9D9"/>
        </w:rPr>
        <w:t>7.15）或者抗拒依法采取的刑事</w:t>
      </w:r>
      <w:r>
        <w:rPr>
          <w:color w:val="000000"/>
          <w:spacing w:val="13755"/>
          <w:sz w:val="21"/>
          <w:shd w:val="clear" w:color="auto" w:fill="D9D9D9"/>
        </w:rPr>
        <w:t xml:space="preserve"> </w:t>
      </w:r>
      <w:r>
        <w:rPr>
          <w:color w:val="000000"/>
          <w:spacing w:val="-2"/>
          <w:sz w:val="21"/>
          <w:shd w:val="clear" w:color="auto" w:fill="D9D9D9"/>
        </w:rPr>
        <w:t>强制措施导致的医疗费用；</w:t>
      </w:r>
    </w:p>
    <w:p>
      <w:pPr>
        <w:pStyle w:val="8"/>
        <w:numPr>
          <w:ilvl w:val="0"/>
          <w:numId w:val="10"/>
        </w:numPr>
        <w:tabs>
          <w:tab w:val="left" w:pos="2968"/>
        </w:tabs>
        <w:spacing w:before="0" w:after="0" w:line="312" w:lineRule="exact"/>
        <w:ind w:left="2650" w:right="858" w:firstLine="0"/>
        <w:jc w:val="left"/>
        <w:rPr>
          <w:sz w:val="21"/>
        </w:rPr>
      </w:pPr>
      <w:r>
        <w:rPr>
          <w:color w:val="000000"/>
          <w:spacing w:val="-2"/>
          <w:sz w:val="21"/>
          <w:shd w:val="clear" w:color="auto" w:fill="D9D9D9"/>
        </w:rPr>
        <w:t>被保险人</w:t>
      </w:r>
      <w:r>
        <w:rPr>
          <w:rFonts w:ascii="Microsoft JhengHei" w:eastAsia="Microsoft JhengHei"/>
          <w:b/>
          <w:color w:val="000000"/>
          <w:spacing w:val="-2"/>
          <w:sz w:val="21"/>
          <w:shd w:val="clear" w:color="auto" w:fill="D9D9D9"/>
        </w:rPr>
        <w:t>酒后驾驶</w:t>
      </w:r>
      <w:r>
        <w:rPr>
          <w:color w:val="000000"/>
          <w:spacing w:val="-2"/>
          <w:sz w:val="21"/>
          <w:shd w:val="clear" w:color="auto" w:fill="D9D9D9"/>
        </w:rPr>
        <w:t>（</w:t>
      </w:r>
      <w:r>
        <w:rPr>
          <w:color w:val="000000"/>
          <w:spacing w:val="-30"/>
          <w:sz w:val="21"/>
          <w:shd w:val="clear" w:color="auto" w:fill="D9D9D9"/>
        </w:rPr>
        <w:t xml:space="preserve">见 </w:t>
      </w:r>
      <w:r>
        <w:rPr>
          <w:color w:val="000000"/>
          <w:spacing w:val="19"/>
          <w:sz w:val="21"/>
          <w:shd w:val="clear" w:color="auto" w:fill="D9D9D9"/>
        </w:rPr>
        <w:t>7.16</w:t>
      </w:r>
      <w:r>
        <w:rPr>
          <w:color w:val="000000"/>
          <w:spacing w:val="-89"/>
          <w:sz w:val="21"/>
          <w:shd w:val="clear" w:color="auto" w:fill="D9D9D9"/>
        </w:rPr>
        <w:t>）</w:t>
      </w:r>
      <w:r>
        <w:rPr>
          <w:color w:val="000000"/>
          <w:spacing w:val="-2"/>
          <w:sz w:val="21"/>
          <w:shd w:val="clear" w:color="auto" w:fill="D9D9D9"/>
        </w:rPr>
        <w:t>、</w:t>
      </w:r>
      <w:r>
        <w:rPr>
          <w:rFonts w:ascii="Microsoft JhengHei" w:eastAsia="Microsoft JhengHei"/>
          <w:b/>
          <w:color w:val="000000"/>
          <w:spacing w:val="-2"/>
          <w:sz w:val="21"/>
          <w:shd w:val="clear" w:color="auto" w:fill="D9D9D9"/>
        </w:rPr>
        <w:t>无合法有效驾驶证驾驶</w:t>
      </w:r>
      <w:r>
        <w:rPr>
          <w:color w:val="000000"/>
          <w:spacing w:val="-2"/>
          <w:sz w:val="21"/>
          <w:shd w:val="clear" w:color="auto" w:fill="D9D9D9"/>
        </w:rPr>
        <w:t>（</w:t>
      </w:r>
      <w:r>
        <w:rPr>
          <w:color w:val="000000"/>
          <w:spacing w:val="-29"/>
          <w:sz w:val="21"/>
          <w:shd w:val="clear" w:color="auto" w:fill="D9D9D9"/>
        </w:rPr>
        <w:t xml:space="preserve">见 </w:t>
      </w:r>
      <w:r>
        <w:rPr>
          <w:color w:val="000000"/>
          <w:spacing w:val="-2"/>
          <w:sz w:val="21"/>
          <w:shd w:val="clear" w:color="auto" w:fill="D9D9D9"/>
        </w:rPr>
        <w:t>7.17）或驾驶</w:t>
      </w:r>
      <w:r>
        <w:rPr>
          <w:rFonts w:ascii="Microsoft JhengHei" w:eastAsia="Microsoft JhengHei"/>
          <w:b/>
          <w:color w:val="000000"/>
          <w:spacing w:val="-2"/>
          <w:sz w:val="21"/>
          <w:shd w:val="clear" w:color="auto" w:fill="D9D9D9"/>
        </w:rPr>
        <w:t>无</w:t>
      </w:r>
      <w:r>
        <w:rPr>
          <w:rFonts w:ascii="Microsoft JhengHei" w:eastAsia="Microsoft JhengHei"/>
          <w:b/>
          <w:color w:val="000000"/>
          <w:spacing w:val="14070"/>
          <w:sz w:val="21"/>
          <w:shd w:val="clear" w:color="auto" w:fill="D9D9D9"/>
        </w:rPr>
        <w:t xml:space="preserve"> </w:t>
      </w:r>
      <w:r>
        <w:rPr>
          <w:rFonts w:ascii="Microsoft JhengHei" w:eastAsia="Microsoft JhengHei"/>
          <w:b/>
          <w:color w:val="000000"/>
          <w:sz w:val="21"/>
          <w:shd w:val="clear" w:color="auto" w:fill="D9D9D9"/>
        </w:rPr>
        <w:t>有效行驶证</w:t>
      </w:r>
      <w:r>
        <w:rPr>
          <w:color w:val="000000"/>
          <w:sz w:val="21"/>
          <w:shd w:val="clear" w:color="auto" w:fill="D9D9D9"/>
        </w:rPr>
        <w:t>（</w:t>
      </w:r>
      <w:r>
        <w:rPr>
          <w:color w:val="000000"/>
          <w:spacing w:val="-11"/>
          <w:sz w:val="21"/>
          <w:shd w:val="clear" w:color="auto" w:fill="D9D9D9"/>
        </w:rPr>
        <w:t xml:space="preserve">见 </w:t>
      </w:r>
      <w:r>
        <w:rPr>
          <w:color w:val="000000"/>
          <w:sz w:val="21"/>
          <w:shd w:val="clear" w:color="auto" w:fill="D9D9D9"/>
        </w:rPr>
        <w:t>7.18）的</w:t>
      </w:r>
      <w:r>
        <w:rPr>
          <w:rFonts w:ascii="Microsoft JhengHei" w:eastAsia="Microsoft JhengHei"/>
          <w:b/>
          <w:color w:val="000000"/>
          <w:sz w:val="21"/>
          <w:shd w:val="clear" w:color="auto" w:fill="D9D9D9"/>
        </w:rPr>
        <w:t>机动车</w:t>
      </w:r>
      <w:r>
        <w:rPr>
          <w:color w:val="000000"/>
          <w:sz w:val="21"/>
          <w:shd w:val="clear" w:color="auto" w:fill="D9D9D9"/>
        </w:rPr>
        <w:t>（</w:t>
      </w:r>
      <w:r>
        <w:rPr>
          <w:color w:val="000000"/>
          <w:spacing w:val="-10"/>
          <w:sz w:val="21"/>
          <w:shd w:val="clear" w:color="auto" w:fill="D9D9D9"/>
        </w:rPr>
        <w:t xml:space="preserve">见 </w:t>
      </w:r>
      <w:r>
        <w:rPr>
          <w:color w:val="000000"/>
          <w:sz w:val="21"/>
          <w:shd w:val="clear" w:color="auto" w:fill="D9D9D9"/>
        </w:rPr>
        <w:t>7.19）导致交通意外引起的医疗费用；</w:t>
      </w:r>
      <w:r>
        <w:rPr>
          <w:color w:val="000000"/>
          <w:sz w:val="21"/>
        </w:rPr>
        <w:t xml:space="preserve"> </w:t>
      </w:r>
      <w:r>
        <w:rPr>
          <w:color w:val="000000"/>
          <w:spacing w:val="-2"/>
          <w:sz w:val="21"/>
          <w:shd w:val="clear" w:color="auto" w:fill="D9D9D9"/>
        </w:rPr>
        <w:t>7．被保险人参加或从事</w:t>
      </w:r>
      <w:r>
        <w:rPr>
          <w:rFonts w:ascii="Microsoft JhengHei" w:eastAsia="Microsoft JhengHei"/>
          <w:b/>
          <w:color w:val="000000"/>
          <w:spacing w:val="-2"/>
          <w:sz w:val="21"/>
          <w:shd w:val="clear" w:color="auto" w:fill="D9D9D9"/>
        </w:rPr>
        <w:t>潜水</w:t>
      </w:r>
      <w:r>
        <w:rPr>
          <w:color w:val="000000"/>
          <w:spacing w:val="-2"/>
          <w:sz w:val="21"/>
          <w:shd w:val="clear" w:color="auto" w:fill="D9D9D9"/>
        </w:rPr>
        <w:t>（</w:t>
      </w:r>
      <w:r>
        <w:rPr>
          <w:color w:val="000000"/>
          <w:spacing w:val="-24"/>
          <w:sz w:val="21"/>
          <w:shd w:val="clear" w:color="auto" w:fill="D9D9D9"/>
        </w:rPr>
        <w:t xml:space="preserve">见 </w:t>
      </w:r>
      <w:r>
        <w:rPr>
          <w:color w:val="000000"/>
          <w:spacing w:val="19"/>
          <w:sz w:val="21"/>
          <w:shd w:val="clear" w:color="auto" w:fill="D9D9D9"/>
        </w:rPr>
        <w:t>7.20</w:t>
      </w:r>
      <w:r>
        <w:rPr>
          <w:color w:val="000000"/>
          <w:spacing w:val="-89"/>
          <w:sz w:val="21"/>
          <w:shd w:val="clear" w:color="auto" w:fill="D9D9D9"/>
        </w:rPr>
        <w:t>）</w:t>
      </w:r>
      <w:r>
        <w:rPr>
          <w:color w:val="000000"/>
          <w:spacing w:val="-2"/>
          <w:sz w:val="21"/>
          <w:shd w:val="clear" w:color="auto" w:fill="D9D9D9"/>
        </w:rPr>
        <w:t>、滑水、滑雪、轮滑、滑板、滑板车、</w:t>
      </w:r>
      <w:r>
        <w:rPr>
          <w:color w:val="000000"/>
          <w:spacing w:val="-6"/>
          <w:sz w:val="21"/>
          <w:shd w:val="clear" w:color="auto" w:fill="D9D9D9"/>
        </w:rPr>
        <w:t>跳伞、</w:t>
      </w:r>
      <w:r>
        <w:rPr>
          <w:rFonts w:ascii="Microsoft JhengHei" w:eastAsia="Microsoft JhengHei"/>
          <w:b/>
          <w:color w:val="000000"/>
          <w:spacing w:val="-6"/>
          <w:sz w:val="21"/>
          <w:shd w:val="clear" w:color="auto" w:fill="D9D9D9"/>
        </w:rPr>
        <w:t>攀岩</w:t>
      </w:r>
      <w:r>
        <w:rPr>
          <w:color w:val="000000"/>
          <w:spacing w:val="-6"/>
          <w:sz w:val="21"/>
          <w:shd w:val="clear" w:color="auto" w:fill="D9D9D9"/>
        </w:rPr>
        <w:t>（</w:t>
      </w:r>
      <w:r>
        <w:rPr>
          <w:color w:val="000000"/>
          <w:spacing w:val="-23"/>
          <w:sz w:val="21"/>
          <w:shd w:val="clear" w:color="auto" w:fill="D9D9D9"/>
        </w:rPr>
        <w:t xml:space="preserve">见 </w:t>
      </w:r>
      <w:r>
        <w:rPr>
          <w:color w:val="000000"/>
          <w:spacing w:val="16"/>
          <w:sz w:val="21"/>
          <w:shd w:val="clear" w:color="auto" w:fill="D9D9D9"/>
        </w:rPr>
        <w:t>7</w:t>
      </w:r>
      <w:r>
        <w:rPr>
          <w:color w:val="000000"/>
          <w:spacing w:val="13"/>
          <w:sz w:val="21"/>
          <w:shd w:val="clear" w:color="auto" w:fill="D9D9D9"/>
        </w:rPr>
        <w:t>.</w:t>
      </w:r>
      <w:r>
        <w:rPr>
          <w:color w:val="000000"/>
          <w:spacing w:val="16"/>
          <w:sz w:val="21"/>
          <w:shd w:val="clear" w:color="auto" w:fill="D9D9D9"/>
        </w:rPr>
        <w:t>21</w:t>
      </w:r>
      <w:r>
        <w:rPr>
          <w:color w:val="000000"/>
          <w:spacing w:val="-92"/>
          <w:sz w:val="21"/>
          <w:shd w:val="clear" w:color="auto" w:fill="D9D9D9"/>
        </w:rPr>
        <w:t>）</w:t>
      </w:r>
      <w:r>
        <w:rPr>
          <w:color w:val="000000"/>
          <w:spacing w:val="-6"/>
          <w:sz w:val="21"/>
          <w:shd w:val="clear" w:color="auto" w:fill="D9D9D9"/>
        </w:rPr>
        <w:t>、蹦极、驾驶滑翔机或滑翔伞、</w:t>
      </w:r>
      <w:r>
        <w:rPr>
          <w:rFonts w:ascii="Microsoft JhengHei" w:eastAsia="Microsoft JhengHei"/>
          <w:b/>
          <w:color w:val="000000"/>
          <w:spacing w:val="-6"/>
          <w:sz w:val="21"/>
          <w:shd w:val="clear" w:color="auto" w:fill="D9D9D9"/>
        </w:rPr>
        <w:t>探险</w:t>
      </w:r>
      <w:r>
        <w:rPr>
          <w:color w:val="000000"/>
          <w:spacing w:val="-6"/>
          <w:sz w:val="21"/>
          <w:shd w:val="clear" w:color="auto" w:fill="D9D9D9"/>
        </w:rPr>
        <w:t>（</w:t>
      </w:r>
      <w:r>
        <w:rPr>
          <w:color w:val="000000"/>
          <w:spacing w:val="-24"/>
          <w:sz w:val="21"/>
          <w:shd w:val="clear" w:color="auto" w:fill="D9D9D9"/>
        </w:rPr>
        <w:t xml:space="preserve">见 </w:t>
      </w:r>
      <w:r>
        <w:rPr>
          <w:color w:val="000000"/>
          <w:spacing w:val="15"/>
          <w:sz w:val="21"/>
          <w:shd w:val="clear" w:color="auto" w:fill="D9D9D9"/>
        </w:rPr>
        <w:t>7.2</w:t>
      </w:r>
      <w:r>
        <w:rPr>
          <w:color w:val="000000"/>
          <w:spacing w:val="12"/>
          <w:sz w:val="21"/>
          <w:shd w:val="clear" w:color="auto" w:fill="D9D9D9"/>
        </w:rPr>
        <w:t>2</w:t>
      </w:r>
      <w:r>
        <w:rPr>
          <w:color w:val="000000"/>
          <w:spacing w:val="-91"/>
          <w:sz w:val="21"/>
          <w:shd w:val="clear" w:color="auto" w:fill="D9D9D9"/>
        </w:rPr>
        <w:t>）</w:t>
      </w:r>
      <w:r>
        <w:rPr>
          <w:color w:val="000000"/>
          <w:spacing w:val="-6"/>
          <w:sz w:val="21"/>
          <w:shd w:val="clear" w:color="auto" w:fill="D9D9D9"/>
        </w:rPr>
        <w:t>、柔道、</w:t>
      </w:r>
      <w:r>
        <w:rPr>
          <w:color w:val="000000"/>
          <w:spacing w:val="-10"/>
          <w:sz w:val="21"/>
          <w:shd w:val="clear" w:color="auto" w:fill="D9D9D9"/>
        </w:rPr>
        <w:t>空手道、跆拳道、马术、拳击</w:t>
      </w:r>
      <w:r>
        <w:rPr>
          <w:rFonts w:ascii="Microsoft JhengHei" w:eastAsia="Microsoft JhengHei"/>
          <w:b/>
          <w:color w:val="000000"/>
          <w:spacing w:val="-10"/>
          <w:sz w:val="21"/>
          <w:shd w:val="clear" w:color="auto" w:fill="D9D9D9"/>
        </w:rPr>
        <w:t>武术比赛</w:t>
      </w:r>
      <w:r>
        <w:rPr>
          <w:color w:val="000000"/>
          <w:spacing w:val="-10"/>
          <w:sz w:val="21"/>
          <w:shd w:val="clear" w:color="auto" w:fill="D9D9D9"/>
        </w:rPr>
        <w:t>（</w:t>
      </w:r>
      <w:r>
        <w:rPr>
          <w:color w:val="000000"/>
          <w:spacing w:val="-32"/>
          <w:sz w:val="21"/>
          <w:shd w:val="clear" w:color="auto" w:fill="D9D9D9"/>
        </w:rPr>
        <w:t xml:space="preserve">见 </w:t>
      </w:r>
      <w:r>
        <w:rPr>
          <w:color w:val="000000"/>
          <w:spacing w:val="11"/>
          <w:sz w:val="21"/>
          <w:shd w:val="clear" w:color="auto" w:fill="D9D9D9"/>
        </w:rPr>
        <w:t>7.</w:t>
      </w:r>
      <w:r>
        <w:rPr>
          <w:color w:val="000000"/>
          <w:spacing w:val="8"/>
          <w:sz w:val="21"/>
          <w:shd w:val="clear" w:color="auto" w:fill="D9D9D9"/>
        </w:rPr>
        <w:t>2</w:t>
      </w:r>
      <w:r>
        <w:rPr>
          <w:color w:val="000000"/>
          <w:spacing w:val="11"/>
          <w:sz w:val="21"/>
          <w:shd w:val="clear" w:color="auto" w:fill="D9D9D9"/>
        </w:rPr>
        <w:t>3</w:t>
      </w:r>
      <w:r>
        <w:rPr>
          <w:color w:val="000000"/>
          <w:spacing w:val="-95"/>
          <w:sz w:val="21"/>
          <w:shd w:val="clear" w:color="auto" w:fill="D9D9D9"/>
        </w:rPr>
        <w:t>）</w:t>
      </w:r>
      <w:r>
        <w:rPr>
          <w:color w:val="000000"/>
          <w:spacing w:val="-10"/>
          <w:sz w:val="21"/>
          <w:shd w:val="clear" w:color="auto" w:fill="D9D9D9"/>
        </w:rPr>
        <w:t>、摔跤、</w:t>
      </w:r>
      <w:r>
        <w:rPr>
          <w:rFonts w:ascii="Microsoft JhengHei" w:eastAsia="Microsoft JhengHei"/>
          <w:b/>
          <w:color w:val="000000"/>
          <w:spacing w:val="-10"/>
          <w:sz w:val="21"/>
          <w:shd w:val="clear" w:color="auto" w:fill="D9D9D9"/>
        </w:rPr>
        <w:t>特技表演</w:t>
      </w:r>
      <w:r>
        <w:rPr>
          <w:color w:val="000000"/>
          <w:spacing w:val="-10"/>
          <w:sz w:val="21"/>
          <w:shd w:val="clear" w:color="auto" w:fill="D9D9D9"/>
        </w:rPr>
        <w:t>（</w:t>
      </w:r>
      <w:r>
        <w:rPr>
          <w:color w:val="000000"/>
          <w:spacing w:val="-32"/>
          <w:sz w:val="21"/>
          <w:shd w:val="clear" w:color="auto" w:fill="D9D9D9"/>
        </w:rPr>
        <w:t xml:space="preserve">见 </w:t>
      </w:r>
      <w:r>
        <w:rPr>
          <w:color w:val="000000"/>
          <w:spacing w:val="11"/>
          <w:sz w:val="21"/>
          <w:shd w:val="clear" w:color="auto" w:fill="D9D9D9"/>
        </w:rPr>
        <w:t>7.</w:t>
      </w:r>
      <w:r>
        <w:rPr>
          <w:color w:val="000000"/>
          <w:spacing w:val="8"/>
          <w:sz w:val="21"/>
          <w:shd w:val="clear" w:color="auto" w:fill="D9D9D9"/>
        </w:rPr>
        <w:t>2</w:t>
      </w:r>
      <w:r>
        <w:rPr>
          <w:color w:val="000000"/>
          <w:spacing w:val="11"/>
          <w:sz w:val="21"/>
          <w:shd w:val="clear" w:color="auto" w:fill="D9D9D9"/>
        </w:rPr>
        <w:t>4</w:t>
      </w:r>
      <w:r>
        <w:rPr>
          <w:color w:val="000000"/>
          <w:spacing w:val="-95"/>
          <w:sz w:val="21"/>
          <w:shd w:val="clear" w:color="auto" w:fill="D9D9D9"/>
        </w:rPr>
        <w:t>）</w:t>
      </w:r>
      <w:r>
        <w:rPr>
          <w:color w:val="000000"/>
          <w:spacing w:val="-10"/>
          <w:sz w:val="21"/>
          <w:shd w:val="clear" w:color="auto" w:fill="D9D9D9"/>
        </w:rPr>
        <w:t>、</w:t>
      </w:r>
      <w:r>
        <w:rPr>
          <w:color w:val="000000"/>
          <w:spacing w:val="-4"/>
          <w:sz w:val="21"/>
          <w:shd w:val="clear" w:color="auto" w:fill="D9D9D9"/>
        </w:rPr>
        <w:t>赛马、各种车辆表演、驾驶卡丁车、赛车等高风险运动导致的伤害引起的治疗；</w:t>
      </w:r>
      <w:r>
        <w:rPr>
          <w:color w:val="000000"/>
          <w:spacing w:val="-4"/>
          <w:sz w:val="21"/>
        </w:rPr>
        <w:t xml:space="preserve"> </w:t>
      </w:r>
      <w:r>
        <w:rPr>
          <w:color w:val="000000"/>
          <w:spacing w:val="-10"/>
          <w:sz w:val="21"/>
          <w:shd w:val="clear" w:color="auto" w:fill="D9D9D9"/>
        </w:rPr>
        <w:t>8．被保险人</w:t>
      </w:r>
      <w:r>
        <w:rPr>
          <w:rFonts w:ascii="Microsoft JhengHei" w:eastAsia="Microsoft JhengHei"/>
          <w:b/>
          <w:color w:val="000000"/>
          <w:spacing w:val="-10"/>
          <w:sz w:val="21"/>
          <w:shd w:val="clear" w:color="auto" w:fill="D9D9D9"/>
        </w:rPr>
        <w:t>遗传性疾病</w:t>
      </w:r>
      <w:r>
        <w:rPr>
          <w:color w:val="000000"/>
          <w:spacing w:val="-10"/>
          <w:sz w:val="21"/>
          <w:shd w:val="clear" w:color="auto" w:fill="D9D9D9"/>
        </w:rPr>
        <w:t>（</w:t>
      </w:r>
      <w:r>
        <w:rPr>
          <w:color w:val="000000"/>
          <w:spacing w:val="-27"/>
          <w:sz w:val="21"/>
          <w:shd w:val="clear" w:color="auto" w:fill="D9D9D9"/>
        </w:rPr>
        <w:t xml:space="preserve">见 </w:t>
      </w:r>
      <w:r>
        <w:rPr>
          <w:color w:val="000000"/>
          <w:spacing w:val="12"/>
          <w:sz w:val="21"/>
          <w:shd w:val="clear" w:color="auto" w:fill="D9D9D9"/>
        </w:rPr>
        <w:t>7.</w:t>
      </w:r>
      <w:r>
        <w:rPr>
          <w:color w:val="000000"/>
          <w:spacing w:val="9"/>
          <w:sz w:val="21"/>
          <w:shd w:val="clear" w:color="auto" w:fill="D9D9D9"/>
        </w:rPr>
        <w:t>2</w:t>
      </w:r>
      <w:r>
        <w:rPr>
          <w:color w:val="000000"/>
          <w:spacing w:val="12"/>
          <w:sz w:val="21"/>
          <w:shd w:val="clear" w:color="auto" w:fill="D9D9D9"/>
        </w:rPr>
        <w:t>5</w:t>
      </w:r>
      <w:r>
        <w:rPr>
          <w:color w:val="000000"/>
          <w:spacing w:val="-96"/>
          <w:sz w:val="21"/>
          <w:shd w:val="clear" w:color="auto" w:fill="D9D9D9"/>
        </w:rPr>
        <w:t>）</w:t>
      </w:r>
      <w:r>
        <w:rPr>
          <w:rFonts w:ascii="Microsoft JhengHei" w:eastAsia="Microsoft JhengHei"/>
          <w:b/>
          <w:color w:val="000000"/>
          <w:spacing w:val="-10"/>
          <w:sz w:val="21"/>
          <w:shd w:val="clear" w:color="auto" w:fill="D9D9D9"/>
        </w:rPr>
        <w:t>、先天性畸形、变形或染色体异常</w:t>
      </w:r>
      <w:r>
        <w:rPr>
          <w:color w:val="000000"/>
          <w:spacing w:val="-10"/>
          <w:sz w:val="21"/>
          <w:shd w:val="clear" w:color="auto" w:fill="D9D9D9"/>
        </w:rPr>
        <w:t>（</w:t>
      </w:r>
      <w:r>
        <w:rPr>
          <w:color w:val="000000"/>
          <w:spacing w:val="-27"/>
          <w:sz w:val="21"/>
          <w:shd w:val="clear" w:color="auto" w:fill="D9D9D9"/>
        </w:rPr>
        <w:t xml:space="preserve">见 </w:t>
      </w:r>
      <w:r>
        <w:rPr>
          <w:color w:val="000000"/>
          <w:spacing w:val="-10"/>
          <w:sz w:val="21"/>
          <w:shd w:val="clear" w:color="auto" w:fill="D9D9D9"/>
        </w:rPr>
        <w:t>7.26）</w:t>
      </w:r>
    </w:p>
    <w:p>
      <w:pPr>
        <w:spacing w:after="0" w:line="312" w:lineRule="exact"/>
        <w:jc w:val="left"/>
        <w:rPr>
          <w:sz w:val="21"/>
        </w:rPr>
        <w:sectPr>
          <w:pgSz w:w="11910" w:h="16840"/>
          <w:pgMar w:top="1380" w:right="220" w:bottom="280" w:left="900" w:header="720" w:footer="720" w:gutter="0"/>
          <w:cols w:space="720" w:num="1"/>
        </w:sectPr>
      </w:pPr>
    </w:p>
    <w:tbl>
      <w:tblPr>
        <w:tblStyle w:val="5"/>
        <w:tblW w:w="0" w:type="auto"/>
        <w:tblInd w:w="24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40"/>
        <w:gridCol w:w="1654"/>
        <w:gridCol w:w="7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294" w:type="dxa"/>
            <w:gridSpan w:val="2"/>
            <w:vMerge w:val="restart"/>
          </w:tcPr>
          <w:p>
            <w:pPr>
              <w:pStyle w:val="9"/>
              <w:rPr>
                <w:rFonts w:ascii="Times New Roman"/>
                <w:sz w:val="20"/>
              </w:rPr>
            </w:pPr>
          </w:p>
        </w:tc>
        <w:tc>
          <w:tcPr>
            <w:tcW w:w="7440" w:type="dxa"/>
          </w:tcPr>
          <w:p>
            <w:pPr>
              <w:pStyle w:val="9"/>
              <w:spacing w:line="232" w:lineRule="exact"/>
              <w:ind w:left="117"/>
              <w:rPr>
                <w:sz w:val="21"/>
              </w:rPr>
            </w:pPr>
            <w:r>
              <w:rPr>
                <w:color w:val="000000"/>
                <w:spacing w:val="-4"/>
                <w:sz w:val="21"/>
                <w:shd w:val="clear" w:color="auto" w:fill="D9D9D9"/>
              </w:rPr>
              <w:t>引起的医疗费用；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2"/>
                <w:sz w:val="21"/>
                <w:shd w:val="clear" w:color="auto" w:fill="D9D9D9"/>
              </w:rPr>
              <w:t>9</w:t>
            </w:r>
            <w:r>
              <w:rPr>
                <w:color w:val="000000"/>
                <w:spacing w:val="-3"/>
                <w:sz w:val="21"/>
                <w:shd w:val="clear" w:color="auto" w:fill="D9D9D9"/>
              </w:rPr>
              <w:t>．由于职业病、医疗事故引起的医疗费用；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4"/>
                <w:sz w:val="21"/>
                <w:shd w:val="clear" w:color="auto" w:fill="D9D9D9"/>
              </w:rPr>
              <w:t>10</w:t>
            </w:r>
            <w:r>
              <w:rPr>
                <w:color w:val="000000"/>
                <w:spacing w:val="-5"/>
                <w:sz w:val="21"/>
                <w:shd w:val="clear" w:color="auto" w:fill="D9D9D9"/>
              </w:rPr>
              <w:t>．核爆炸、核辐射或核污染、化学污染；战争、军事冲突、暴乱或武装叛乱；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3"/>
                <w:sz w:val="21"/>
                <w:shd w:val="clear" w:color="auto" w:fill="D9D9D9"/>
              </w:rPr>
              <w:t>任何恐怖分子行为；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8"/>
                <w:sz w:val="21"/>
                <w:shd w:val="clear" w:color="auto" w:fill="D9D9D9"/>
              </w:rPr>
              <w:t>11．冒名住院、不符合入院标准、挂床住院或住院病人应当出院而拒不出院（</w:t>
            </w:r>
            <w:r>
              <w:rPr>
                <w:color w:val="000000"/>
                <w:spacing w:val="-10"/>
                <w:sz w:val="21"/>
                <w:shd w:val="clear" w:color="auto" w:fill="D9D9D9"/>
              </w:rPr>
              <w:t>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2"/>
                <w:sz w:val="21"/>
                <w:shd w:val="clear" w:color="auto" w:fill="D9D9D9"/>
              </w:rPr>
              <w:t>医院确定出院之日起发生的一切医疗费用</w:t>
            </w:r>
            <w:r>
              <w:rPr>
                <w:color w:val="000000"/>
                <w:spacing w:val="-106"/>
                <w:sz w:val="21"/>
                <w:shd w:val="clear" w:color="auto" w:fill="D9D9D9"/>
              </w:rPr>
              <w:t>）</w:t>
            </w:r>
            <w:r>
              <w:rPr>
                <w:color w:val="000000"/>
                <w:spacing w:val="-12"/>
                <w:sz w:val="21"/>
                <w:shd w:val="clear" w:color="auto" w:fill="D9D9D9"/>
              </w:rPr>
              <w:t>。其中挂床住院指被保险人办理正式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7"/>
                <w:sz w:val="21"/>
                <w:shd w:val="clear" w:color="auto" w:fill="D9D9D9"/>
              </w:rPr>
              <w:t xml:space="preserve">住院手续的被保险人，在住院期间每日非 </w:t>
            </w:r>
            <w:r>
              <w:rPr>
                <w:color w:val="000000"/>
                <w:spacing w:val="-4"/>
                <w:sz w:val="21"/>
                <w:shd w:val="clear" w:color="auto" w:fill="D9D9D9"/>
              </w:rPr>
              <w:t>24</w:t>
            </w:r>
            <w:r>
              <w:rPr>
                <w:color w:val="000000"/>
                <w:spacing w:val="-11"/>
                <w:sz w:val="21"/>
                <w:shd w:val="clear" w:color="auto" w:fill="D9D9D9"/>
              </w:rPr>
              <w:t xml:space="preserve"> 小时在床、在院。具体表现包括在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3"/>
                <w:sz w:val="21"/>
                <w:shd w:val="clear" w:color="auto" w:fill="D9D9D9"/>
              </w:rPr>
              <w:t>住院期间连续若干日无任何治疗，只发生护理费、诊疗费、床位费等情况；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2"/>
                <w:sz w:val="21"/>
                <w:shd w:val="clear" w:color="auto" w:fill="D9D9D9"/>
              </w:rPr>
              <w:t>12</w:t>
            </w:r>
            <w:r>
              <w:rPr>
                <w:color w:val="000000"/>
                <w:spacing w:val="-3"/>
                <w:sz w:val="21"/>
                <w:shd w:val="clear" w:color="auto" w:fill="D9D9D9"/>
              </w:rPr>
              <w:t>．被保险人接受实验性治疗，即未经科学或医学认可的医疗；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z w:val="21"/>
                <w:shd w:val="clear" w:color="auto" w:fill="D9D9D9"/>
              </w:rPr>
              <w:t>13</w:t>
            </w:r>
            <w:r>
              <w:rPr>
                <w:color w:val="000000"/>
                <w:spacing w:val="-6"/>
                <w:sz w:val="21"/>
                <w:shd w:val="clear" w:color="auto" w:fill="D9D9D9"/>
              </w:rPr>
              <w:t>. 被保险人在中国大陆境内以外地区就医；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2"/>
                <w:sz w:val="21"/>
                <w:shd w:val="clear" w:color="auto" w:fill="D9D9D9"/>
              </w:rPr>
              <w:t>14</w:t>
            </w:r>
            <w:r>
              <w:rPr>
                <w:color w:val="000000"/>
                <w:spacing w:val="-3"/>
                <w:sz w:val="21"/>
                <w:shd w:val="clear" w:color="auto" w:fill="D9D9D9"/>
              </w:rPr>
              <w:t>．被保险人参与执行军、警任务；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2294" w:type="dxa"/>
            <w:gridSpan w:val="2"/>
            <w:vMerge w:val="continue"/>
            <w:tcBorders>
              <w:top w:val="nil"/>
            </w:tcBorders>
          </w:tcPr>
          <w:p>
            <w:pPr>
              <w:rPr>
                <w:sz w:val="2"/>
                <w:szCs w:val="2"/>
              </w:rPr>
            </w:pPr>
          </w:p>
        </w:tc>
        <w:tc>
          <w:tcPr>
            <w:tcW w:w="7440" w:type="dxa"/>
          </w:tcPr>
          <w:p>
            <w:pPr>
              <w:pStyle w:val="9"/>
              <w:spacing w:before="13"/>
              <w:ind w:left="117"/>
              <w:rPr>
                <w:sz w:val="21"/>
              </w:rPr>
            </w:pPr>
            <w:r>
              <w:rPr>
                <w:color w:val="000000"/>
                <w:spacing w:val="-2"/>
                <w:sz w:val="21"/>
                <w:shd w:val="clear" w:color="auto" w:fill="D9D9D9"/>
              </w:rPr>
              <w:t>15</w:t>
            </w:r>
            <w:r>
              <w:rPr>
                <w:color w:val="000000"/>
                <w:spacing w:val="-3"/>
                <w:sz w:val="21"/>
                <w:shd w:val="clear" w:color="auto" w:fill="D9D9D9"/>
              </w:rPr>
              <w:t>. 根据法律或政府指导需要进行隔离或检疫的传染病的治疗的费用。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3" w:hRule="atLeast"/>
        </w:trPr>
        <w:tc>
          <w:tcPr>
            <w:tcW w:w="640" w:type="dxa"/>
          </w:tcPr>
          <w:p>
            <w:pPr>
              <w:pStyle w:val="9"/>
              <w:spacing w:before="96"/>
              <w:ind w:left="50"/>
              <w:rPr>
                <w:rFonts w:ascii="黑体"/>
                <w:sz w:val="21"/>
              </w:rPr>
            </w:pPr>
            <w:r>
              <w:rPr>
                <w:rFonts w:ascii="黑体"/>
                <w:spacing w:val="-5"/>
                <w:sz w:val="21"/>
              </w:rPr>
              <w:t>2.8</w:t>
            </w:r>
          </w:p>
        </w:tc>
        <w:tc>
          <w:tcPr>
            <w:tcW w:w="1654" w:type="dxa"/>
          </w:tcPr>
          <w:p>
            <w:pPr>
              <w:pStyle w:val="9"/>
              <w:spacing w:before="25" w:line="320" w:lineRule="atLeast"/>
              <w:ind w:left="271" w:right="117"/>
              <w:rPr>
                <w:rFonts w:ascii="黑体" w:eastAsia="黑体"/>
                <w:sz w:val="21"/>
              </w:rPr>
            </w:pPr>
            <w:r>
              <w:rPr>
                <w:rFonts w:ascii="黑体" w:eastAsia="黑体"/>
                <w:spacing w:val="-2"/>
                <w:sz w:val="21"/>
              </w:rPr>
              <w:t>其他免责条款及重点提示</w:t>
            </w:r>
          </w:p>
        </w:tc>
        <w:tc>
          <w:tcPr>
            <w:tcW w:w="7440" w:type="dxa"/>
          </w:tcPr>
          <w:p>
            <w:pPr>
              <w:pStyle w:val="9"/>
              <w:spacing w:before="25" w:line="320" w:lineRule="atLeast"/>
              <w:ind w:left="125" w:right="218"/>
              <w:rPr>
                <w:sz w:val="21"/>
              </w:rPr>
            </w:pPr>
            <w:r>
              <w:rPr>
                <w:color w:val="000000"/>
                <w:sz w:val="21"/>
                <w:shd w:val="clear" w:color="auto" w:fill="D9D9D9"/>
              </w:rPr>
              <w:t>除以上“2.7</w:t>
            </w:r>
            <w:r>
              <w:rPr>
                <w:color w:val="000000"/>
                <w:spacing w:val="-8"/>
                <w:sz w:val="21"/>
                <w:shd w:val="clear" w:color="auto" w:fill="D9D9D9"/>
              </w:rPr>
              <w:t xml:space="preserve"> 责任免除”外，本合同中还有其他免除、减轻我们责任的条款及</w:t>
            </w:r>
            <w:r>
              <w:rPr>
                <w:color w:val="000000"/>
                <w:spacing w:val="80"/>
                <w:w w:val="150"/>
                <w:sz w:val="21"/>
                <w:shd w:val="clear" w:color="auto" w:fill="D9D9D9"/>
              </w:rPr>
              <w:t xml:space="preserve">                                       </w:t>
            </w:r>
            <w:r>
              <w:rPr>
                <w:color w:val="000000"/>
                <w:spacing w:val="-2"/>
                <w:sz w:val="21"/>
                <w:shd w:val="clear" w:color="auto" w:fill="D9D9D9"/>
              </w:rPr>
              <w:t>重点提示，详见本合同中背景突出显示的内容。</w:t>
            </w:r>
          </w:p>
        </w:tc>
      </w:tr>
    </w:tbl>
    <w:p>
      <w:pPr>
        <w:pStyle w:val="4"/>
        <w:spacing w:before="7"/>
        <w:rPr>
          <w:sz w:val="11"/>
        </w:rPr>
      </w:pPr>
      <w:r>
        <w:pict>
          <v:shape id="docshape7" o:spid="_x0000_s1032" o:spt="202" type="#_x0000_t202" style="position:absolute;left:0pt;margin-left:54pt;margin-top:8.6pt;height:16pt;width:487.45pt;mso-position-horizontal-relative:page;mso-wrap-distance-bottom:0pt;mso-wrap-distance-top:0pt;z-index:-251651072;mso-width-relative:page;mso-height-relative:page;" fillcolor="#A6A6A6" filled="t" stroked="f" coordsize="21600,21600">
            <v:path/>
            <v:fill on="t" focussize="0,0"/>
            <v:stroke on="f" joinstyle="miter"/>
            <v:imagedata o:title=""/>
            <o:lock v:ext="edit"/>
            <v:textbox inset="0mm,0mm,0mm,0mm">
              <w:txbxContent>
                <w:p>
                  <w:pPr>
                    <w:tabs>
                      <w:tab w:val="left" w:pos="969"/>
                    </w:tabs>
                    <w:spacing w:before="46"/>
                    <w:ind w:left="107" w:right="0" w:firstLine="0"/>
                    <w:jc w:val="left"/>
                    <w:rPr>
                      <w:rFonts w:hint="eastAsia" w:ascii="黑体" w:eastAsia="黑体"/>
                      <w:b/>
                      <w:color w:val="000000"/>
                      <w:sz w:val="21"/>
                    </w:rPr>
                  </w:pPr>
                  <w:r>
                    <w:rPr>
                      <w:rFonts w:hint="eastAsia" w:ascii="黑体" w:eastAsia="黑体"/>
                      <w:b/>
                      <w:color w:val="000000"/>
                      <w:spacing w:val="-5"/>
                      <w:sz w:val="21"/>
                    </w:rPr>
                    <w:t>3．</w:t>
                  </w:r>
                  <w:r>
                    <w:rPr>
                      <w:rFonts w:hint="eastAsia" w:ascii="黑体" w:eastAsia="黑体"/>
                      <w:b/>
                      <w:color w:val="000000"/>
                      <w:sz w:val="21"/>
                    </w:rPr>
                    <w:tab/>
                  </w:r>
                  <w:r>
                    <w:rPr>
                      <w:rFonts w:hint="eastAsia" w:ascii="黑体" w:eastAsia="黑体"/>
                      <w:b/>
                      <w:color w:val="000000"/>
                      <w:spacing w:val="-2"/>
                      <w:sz w:val="21"/>
                    </w:rPr>
                    <w:t>如何申请领取保险金</w:t>
                  </w:r>
                </w:p>
              </w:txbxContent>
            </v:textbox>
            <w10:wrap type="topAndBottom"/>
          </v:shape>
        </w:pict>
      </w:r>
    </w:p>
    <w:p>
      <w:pPr>
        <w:pStyle w:val="4"/>
        <w:spacing w:before="1"/>
        <w:rPr>
          <w:sz w:val="9"/>
        </w:rPr>
      </w:pPr>
    </w:p>
    <w:p>
      <w:pPr>
        <w:pStyle w:val="8"/>
        <w:numPr>
          <w:ilvl w:val="1"/>
          <w:numId w:val="11"/>
        </w:numPr>
        <w:tabs>
          <w:tab w:val="left" w:pos="1149"/>
          <w:tab w:val="left" w:pos="1150"/>
          <w:tab w:val="left" w:pos="2649"/>
        </w:tabs>
        <w:spacing w:before="72" w:after="0" w:line="240" w:lineRule="auto"/>
        <w:ind w:left="1150" w:right="0" w:hanging="863"/>
        <w:jc w:val="left"/>
        <w:rPr>
          <w:sz w:val="21"/>
        </w:rPr>
      </w:pPr>
      <w:r>
        <w:rPr>
          <w:rFonts w:ascii="黑体" w:eastAsia="黑体"/>
          <w:sz w:val="21"/>
        </w:rPr>
        <w:t>受益</w:t>
      </w:r>
      <w:r>
        <w:rPr>
          <w:rFonts w:ascii="黑体" w:eastAsia="黑体"/>
          <w:spacing w:val="-10"/>
          <w:sz w:val="21"/>
        </w:rPr>
        <w:t>人</w:t>
      </w:r>
      <w:r>
        <w:rPr>
          <w:rFonts w:ascii="黑体" w:eastAsia="黑体"/>
          <w:sz w:val="21"/>
        </w:rPr>
        <w:tab/>
      </w:r>
      <w:r>
        <w:rPr>
          <w:spacing w:val="-2"/>
          <w:sz w:val="21"/>
        </w:rPr>
        <w:t>除另有指定外，本合同保险金的受益人为被保险人本人</w:t>
      </w:r>
      <w:r>
        <w:rPr>
          <w:spacing w:val="-10"/>
          <w:sz w:val="21"/>
        </w:rPr>
        <w:t>。</w:t>
      </w:r>
    </w:p>
    <w:p>
      <w:pPr>
        <w:pStyle w:val="4"/>
        <w:spacing w:before="2"/>
        <w:rPr>
          <w:sz w:val="15"/>
        </w:rPr>
      </w:pPr>
    </w:p>
    <w:p>
      <w:pPr>
        <w:pStyle w:val="8"/>
        <w:numPr>
          <w:ilvl w:val="1"/>
          <w:numId w:val="11"/>
        </w:numPr>
        <w:tabs>
          <w:tab w:val="left" w:pos="1149"/>
          <w:tab w:val="left" w:pos="1150"/>
        </w:tabs>
        <w:spacing w:before="0" w:after="0" w:line="240" w:lineRule="auto"/>
        <w:ind w:left="1150" w:right="0" w:hanging="863"/>
        <w:jc w:val="left"/>
        <w:rPr>
          <w:sz w:val="21"/>
        </w:rPr>
      </w:pPr>
      <w:r>
        <w:rPr>
          <w:rFonts w:ascii="黑体" w:eastAsia="黑体"/>
          <w:spacing w:val="13"/>
          <w:sz w:val="21"/>
        </w:rPr>
        <w:t xml:space="preserve">保险事故通知 </w:t>
      </w:r>
      <w:r>
        <w:rPr>
          <w:spacing w:val="-4"/>
          <w:sz w:val="21"/>
        </w:rPr>
        <w:t xml:space="preserve">您或受益人知道保险事故后应当在 </w:t>
      </w:r>
      <w:r>
        <w:rPr>
          <w:sz w:val="21"/>
        </w:rPr>
        <w:t>10</w:t>
      </w:r>
      <w:r>
        <w:rPr>
          <w:spacing w:val="-10"/>
          <w:sz w:val="21"/>
        </w:rPr>
        <w:t xml:space="preserve"> 日内通知我们。</w:t>
      </w:r>
    </w:p>
    <w:p>
      <w:pPr>
        <w:pStyle w:val="4"/>
        <w:spacing w:before="50" w:line="285" w:lineRule="auto"/>
        <w:ind w:left="2650" w:right="863"/>
      </w:pPr>
      <w:r>
        <w:rPr>
          <w:color w:val="000000"/>
          <w:spacing w:val="-4"/>
          <w:shd w:val="clear" w:color="auto" w:fill="D9D9D9"/>
        </w:rPr>
        <w:t>如果您或受益人故意或者因重大过失未及时通知，致使保险事故的性质、原因、</w:t>
      </w:r>
      <w:r>
        <w:rPr>
          <w:color w:val="000000"/>
          <w:spacing w:val="80"/>
          <w:w w:val="150"/>
          <w:shd w:val="clear" w:color="auto" w:fill="D9D9D9"/>
        </w:rPr>
        <w:t xml:space="preserve">                                       </w:t>
      </w:r>
      <w:r>
        <w:rPr>
          <w:color w:val="000000"/>
          <w:spacing w:val="-2"/>
          <w:shd w:val="clear" w:color="auto" w:fill="D9D9D9"/>
        </w:rPr>
        <w:t>损失程度等难以确定的，我们对无法确定的部分，不承担给付保险金的责任</w:t>
      </w:r>
      <w:r>
        <w:rPr>
          <w:color w:val="000000"/>
          <w:spacing w:val="-2"/>
        </w:rPr>
        <w:t>，但我们通过其他途径已经及时知道或者应当及时知道保险事故发生或者虽未及时通知但不影响我们确定保险事故的性质、原因、损失程度的除外。</w:t>
      </w:r>
    </w:p>
    <w:p>
      <w:pPr>
        <w:pStyle w:val="8"/>
        <w:numPr>
          <w:ilvl w:val="1"/>
          <w:numId w:val="11"/>
        </w:numPr>
        <w:tabs>
          <w:tab w:val="left" w:pos="1149"/>
          <w:tab w:val="left" w:pos="1150"/>
          <w:tab w:val="left" w:pos="2649"/>
        </w:tabs>
        <w:spacing w:before="142" w:after="0" w:line="240" w:lineRule="auto"/>
        <w:ind w:left="1150" w:right="0" w:hanging="863"/>
        <w:jc w:val="left"/>
        <w:rPr>
          <w:sz w:val="21"/>
        </w:rPr>
      </w:pPr>
      <w:r>
        <w:rPr>
          <w:rFonts w:ascii="黑体" w:eastAsia="黑体"/>
          <w:spacing w:val="-2"/>
          <w:sz w:val="21"/>
        </w:rPr>
        <w:t>保险金申</w:t>
      </w:r>
      <w:r>
        <w:rPr>
          <w:rFonts w:ascii="黑体" w:eastAsia="黑体"/>
          <w:spacing w:val="-10"/>
          <w:sz w:val="21"/>
        </w:rPr>
        <w:t>请</w:t>
      </w:r>
      <w:r>
        <w:rPr>
          <w:rFonts w:ascii="黑体" w:eastAsia="黑体"/>
          <w:sz w:val="21"/>
        </w:rPr>
        <w:tab/>
      </w:r>
      <w:r>
        <w:rPr>
          <w:spacing w:val="-2"/>
          <w:sz w:val="21"/>
        </w:rPr>
        <w:t>在申请保险金时，请按照下列方式办理</w:t>
      </w:r>
      <w:r>
        <w:rPr>
          <w:spacing w:val="-10"/>
          <w:sz w:val="21"/>
        </w:rPr>
        <w:t>：</w:t>
      </w:r>
    </w:p>
    <w:p>
      <w:pPr>
        <w:pStyle w:val="4"/>
        <w:rPr>
          <w:sz w:val="15"/>
        </w:rPr>
      </w:pPr>
    </w:p>
    <w:p>
      <w:pPr>
        <w:pStyle w:val="4"/>
        <w:spacing w:line="285" w:lineRule="auto"/>
        <w:ind w:left="1150" w:right="988"/>
      </w:pPr>
      <w:r>
        <w:rPr>
          <w:position w:val="-4"/>
        </w:rPr>
        <w:drawing>
          <wp:inline distT="0" distB="0" distL="0" distR="0">
            <wp:extent cx="883920" cy="150495"/>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883970" cy="150875"/>
                    </a:xfrm>
                    <a:prstGeom prst="rect">
                      <a:avLst/>
                    </a:prstGeom>
                  </pic:spPr>
                </pic:pic>
              </a:graphicData>
            </a:graphic>
          </wp:inline>
        </w:drawing>
      </w:r>
      <w:r>
        <w:rPr>
          <w:rFonts w:ascii="Times New Roman" w:eastAsia="Times New Roman"/>
          <w:spacing w:val="29"/>
          <w:sz w:val="20"/>
        </w:rPr>
        <w:t xml:space="preserve"> </w:t>
      </w:r>
      <w:r>
        <w:t xml:space="preserve">对于住院医疗费用保险金、特殊门诊医疗费用保险金，受益人须填写保险金给 </w:t>
      </w:r>
      <w:r>
        <w:rPr>
          <w:position w:val="-4"/>
        </w:rPr>
        <w:drawing>
          <wp:inline distT="0" distB="0" distL="0" distR="0">
            <wp:extent cx="534035" cy="150495"/>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534415" cy="150875"/>
                    </a:xfrm>
                    <a:prstGeom prst="rect">
                      <a:avLst/>
                    </a:prstGeom>
                  </pic:spPr>
                </pic:pic>
              </a:graphicData>
            </a:graphic>
          </wp:inline>
        </w:drawing>
      </w:r>
      <w:r>
        <w:rPr>
          <w:rFonts w:ascii="Times New Roman" w:eastAsia="Times New Roman"/>
          <w:spacing w:val="601"/>
        </w:rPr>
        <w:t xml:space="preserve"> </w:t>
      </w:r>
      <w:r>
        <w:t>付申请书，并提供下列证明和资料：</w:t>
      </w:r>
    </w:p>
    <w:p>
      <w:pPr>
        <w:pStyle w:val="8"/>
        <w:numPr>
          <w:ilvl w:val="2"/>
          <w:numId w:val="11"/>
        </w:numPr>
        <w:tabs>
          <w:tab w:val="left" w:pos="2968"/>
        </w:tabs>
        <w:spacing w:before="1" w:after="0" w:line="240" w:lineRule="auto"/>
        <w:ind w:left="2967" w:right="0" w:hanging="318"/>
        <w:jc w:val="left"/>
        <w:rPr>
          <w:sz w:val="21"/>
        </w:rPr>
      </w:pPr>
      <w:r>
        <w:rPr>
          <w:spacing w:val="-4"/>
          <w:sz w:val="21"/>
        </w:rPr>
        <w:t>本合同；</w:t>
      </w:r>
    </w:p>
    <w:p>
      <w:pPr>
        <w:pStyle w:val="8"/>
        <w:numPr>
          <w:ilvl w:val="2"/>
          <w:numId w:val="11"/>
        </w:numPr>
        <w:tabs>
          <w:tab w:val="left" w:pos="2968"/>
        </w:tabs>
        <w:spacing w:before="50" w:after="0" w:line="240" w:lineRule="auto"/>
        <w:ind w:left="2967" w:right="0" w:hanging="318"/>
        <w:jc w:val="left"/>
        <w:rPr>
          <w:sz w:val="21"/>
        </w:rPr>
      </w:pPr>
      <w:r>
        <w:rPr>
          <w:spacing w:val="-3"/>
          <w:sz w:val="21"/>
        </w:rPr>
        <w:t>受益人的有效身份证件；</w:t>
      </w:r>
    </w:p>
    <w:p>
      <w:pPr>
        <w:pStyle w:val="8"/>
        <w:numPr>
          <w:ilvl w:val="2"/>
          <w:numId w:val="11"/>
        </w:numPr>
        <w:tabs>
          <w:tab w:val="left" w:pos="2968"/>
        </w:tabs>
        <w:spacing w:before="50" w:after="0" w:line="240" w:lineRule="auto"/>
        <w:ind w:left="2967" w:right="0" w:hanging="318"/>
        <w:jc w:val="left"/>
        <w:rPr>
          <w:sz w:val="21"/>
        </w:rPr>
      </w:pPr>
      <w:r>
        <w:rPr>
          <w:spacing w:val="-3"/>
          <w:sz w:val="21"/>
        </w:rPr>
        <w:t>医院出具的入出院证明或门诊证明；</w:t>
      </w:r>
    </w:p>
    <w:p>
      <w:pPr>
        <w:pStyle w:val="8"/>
        <w:numPr>
          <w:ilvl w:val="2"/>
          <w:numId w:val="11"/>
        </w:numPr>
        <w:tabs>
          <w:tab w:val="left" w:pos="2968"/>
        </w:tabs>
        <w:spacing w:before="53" w:after="0" w:line="285" w:lineRule="auto"/>
        <w:ind w:left="2650" w:right="966" w:firstLine="0"/>
        <w:jc w:val="left"/>
        <w:rPr>
          <w:sz w:val="21"/>
        </w:rPr>
      </w:pPr>
      <w:r>
        <w:rPr>
          <w:spacing w:val="-5"/>
          <w:sz w:val="21"/>
        </w:rPr>
        <w:t>医院出具的医疗诊断书及住院或门诊发生医疗费用的原始凭证、医疗费用结</w:t>
      </w:r>
      <w:r>
        <w:rPr>
          <w:spacing w:val="-2"/>
          <w:sz w:val="21"/>
        </w:rPr>
        <w:t>算清单、病历；</w:t>
      </w:r>
    </w:p>
    <w:p>
      <w:pPr>
        <w:pStyle w:val="8"/>
        <w:numPr>
          <w:ilvl w:val="2"/>
          <w:numId w:val="11"/>
        </w:numPr>
        <w:tabs>
          <w:tab w:val="left" w:pos="2968"/>
        </w:tabs>
        <w:spacing w:before="0" w:after="0" w:line="267" w:lineRule="exact"/>
        <w:ind w:left="2967" w:right="0" w:hanging="318"/>
        <w:jc w:val="left"/>
        <w:rPr>
          <w:sz w:val="21"/>
        </w:rPr>
      </w:pPr>
      <w:r>
        <w:rPr>
          <w:spacing w:val="-3"/>
          <w:sz w:val="21"/>
        </w:rPr>
        <w:t>检查化验报告及药品明细和处方；</w:t>
      </w:r>
    </w:p>
    <w:p>
      <w:pPr>
        <w:pStyle w:val="8"/>
        <w:numPr>
          <w:ilvl w:val="2"/>
          <w:numId w:val="11"/>
        </w:numPr>
        <w:tabs>
          <w:tab w:val="left" w:pos="2968"/>
        </w:tabs>
        <w:spacing w:before="52" w:after="0" w:line="240" w:lineRule="auto"/>
        <w:ind w:left="2967" w:right="0" w:hanging="318"/>
        <w:jc w:val="left"/>
        <w:rPr>
          <w:sz w:val="21"/>
        </w:rPr>
      </w:pPr>
      <w:r>
        <w:rPr>
          <w:spacing w:val="-3"/>
          <w:sz w:val="21"/>
        </w:rPr>
        <w:t>所能提供的与确认保险事故的性质、原因等有关的其他证明和资料。</w:t>
      </w:r>
    </w:p>
    <w:p>
      <w:pPr>
        <w:pStyle w:val="4"/>
        <w:spacing w:before="12"/>
        <w:rPr>
          <w:sz w:val="14"/>
        </w:rPr>
      </w:pPr>
    </w:p>
    <w:p>
      <w:pPr>
        <w:pStyle w:val="4"/>
        <w:spacing w:line="288" w:lineRule="auto"/>
        <w:ind w:left="2650" w:right="988"/>
      </w:pPr>
      <w:r>
        <w:rPr>
          <w:spacing w:val="-2"/>
        </w:rPr>
        <w:t>以上各项保险金申请的证明和资料不完整的，我们将及时一次性通知受益人补充提供有关证明和资料。</w:t>
      </w:r>
    </w:p>
    <w:p>
      <w:pPr>
        <w:pStyle w:val="8"/>
        <w:numPr>
          <w:ilvl w:val="1"/>
          <w:numId w:val="11"/>
        </w:numPr>
        <w:tabs>
          <w:tab w:val="left" w:pos="1150"/>
        </w:tabs>
        <w:spacing w:before="138" w:after="0" w:line="285" w:lineRule="auto"/>
        <w:ind w:left="2650" w:right="968" w:hanging="2362"/>
        <w:jc w:val="both"/>
        <w:rPr>
          <w:sz w:val="21"/>
        </w:rPr>
      </w:pPr>
      <w:r>
        <w:rPr>
          <w:rFonts w:ascii="黑体" w:eastAsia="黑体"/>
          <w:spacing w:val="47"/>
          <w:sz w:val="21"/>
        </w:rPr>
        <w:t xml:space="preserve">保险金给付 </w:t>
      </w:r>
      <w:r>
        <w:rPr>
          <w:spacing w:val="-1"/>
          <w:sz w:val="21"/>
        </w:rPr>
        <w:t xml:space="preserve">我们在收到保险金给付申请书及合同约定的证明和资料后，将在 </w:t>
      </w:r>
      <w:r>
        <w:rPr>
          <w:sz w:val="21"/>
        </w:rPr>
        <w:t>5</w:t>
      </w:r>
      <w:r>
        <w:rPr>
          <w:spacing w:val="-5"/>
          <w:sz w:val="21"/>
        </w:rPr>
        <w:t xml:space="preserve"> 日内作出核</w:t>
      </w:r>
      <w:r>
        <w:rPr>
          <w:spacing w:val="-6"/>
          <w:sz w:val="21"/>
        </w:rPr>
        <w:t>定；情形复杂的，在 30</w:t>
      </w:r>
      <w:r>
        <w:rPr>
          <w:spacing w:val="-7"/>
          <w:sz w:val="21"/>
        </w:rPr>
        <w:t xml:space="preserve"> 日内作出核定。对属于保险责任的，我们在与受益人达</w:t>
      </w:r>
      <w:r>
        <w:rPr>
          <w:spacing w:val="-2"/>
          <w:sz w:val="21"/>
        </w:rPr>
        <w:t xml:space="preserve">成给付保险金的协议后 </w:t>
      </w:r>
      <w:r>
        <w:rPr>
          <w:sz w:val="21"/>
        </w:rPr>
        <w:t>10</w:t>
      </w:r>
      <w:r>
        <w:rPr>
          <w:spacing w:val="-5"/>
          <w:sz w:val="21"/>
        </w:rPr>
        <w:t xml:space="preserve"> 日内，履行给付保险金义务。</w:t>
      </w:r>
    </w:p>
    <w:p>
      <w:pPr>
        <w:pStyle w:val="4"/>
        <w:spacing w:line="285" w:lineRule="auto"/>
        <w:ind w:left="2650" w:right="987"/>
        <w:jc w:val="both"/>
      </w:pPr>
      <w:r>
        <w:rPr>
          <w:spacing w:val="-2"/>
        </w:rPr>
        <w:t>我们未及时履行前款规定义务的，除支付保险金外，应当赔偿受益人因此受到的损失。前述“损失”是指根据中国人民银行公布的同时期的人民币活期存款基准利率计算的利息损失。</w:t>
      </w:r>
    </w:p>
    <w:p>
      <w:pPr>
        <w:pStyle w:val="4"/>
        <w:spacing w:line="268" w:lineRule="exact"/>
        <w:ind w:left="2650"/>
        <w:jc w:val="both"/>
      </w:pPr>
      <w:r>
        <w:rPr>
          <w:spacing w:val="-4"/>
        </w:rPr>
        <w:t xml:space="preserve">对不属于保险责任的，我们自作出核定之日起 </w:t>
      </w:r>
      <w:r>
        <w:rPr>
          <w:spacing w:val="-2"/>
        </w:rPr>
        <w:t>3</w:t>
      </w:r>
      <w:r>
        <w:rPr>
          <w:spacing w:val="-10"/>
        </w:rPr>
        <w:t xml:space="preserve"> 日内向受益人发出拒绝给付保</w:t>
      </w:r>
    </w:p>
    <w:p>
      <w:pPr>
        <w:spacing w:after="0" w:line="268" w:lineRule="exact"/>
        <w:jc w:val="both"/>
        <w:sectPr>
          <w:pgSz w:w="11910" w:h="16840"/>
          <w:pgMar w:top="1460" w:right="220" w:bottom="280" w:left="900" w:header="720" w:footer="720" w:gutter="0"/>
          <w:cols w:space="720" w:num="1"/>
        </w:sectPr>
      </w:pPr>
    </w:p>
    <w:p>
      <w:pPr>
        <w:pStyle w:val="4"/>
        <w:spacing w:before="47"/>
        <w:ind w:left="2650"/>
      </w:pPr>
      <w:r>
        <w:rPr>
          <w:spacing w:val="-3"/>
        </w:rPr>
        <w:t>险金通知书并说明理由。</w:t>
      </w:r>
    </w:p>
    <w:p>
      <w:pPr>
        <w:pStyle w:val="4"/>
        <w:spacing w:before="50" w:line="285" w:lineRule="auto"/>
        <w:ind w:left="2650" w:right="966"/>
        <w:jc w:val="both"/>
      </w:pPr>
      <w:r>
        <w:rPr>
          <w:spacing w:val="-3"/>
        </w:rPr>
        <w:t xml:space="preserve">我们在收到保险金给付申请书及有关证明和资料之日起 </w:t>
      </w:r>
      <w:r>
        <w:rPr>
          <w:spacing w:val="-2"/>
        </w:rPr>
        <w:t>60</w:t>
      </w:r>
      <w:r>
        <w:rPr>
          <w:spacing w:val="-15"/>
        </w:rPr>
        <w:t xml:space="preserve"> 日内，对给付保险金</w:t>
      </w:r>
      <w:r>
        <w:rPr>
          <w:spacing w:val="-2"/>
        </w:rPr>
        <w:t>的数额不能确定的，根据已有证明和资料可以确定的数额先予支付；我们最终确定给付保险金的数额后，将支付相应的差额。</w:t>
      </w:r>
    </w:p>
    <w:p>
      <w:pPr>
        <w:pStyle w:val="8"/>
        <w:numPr>
          <w:ilvl w:val="1"/>
          <w:numId w:val="11"/>
        </w:numPr>
        <w:tabs>
          <w:tab w:val="left" w:pos="1150"/>
        </w:tabs>
        <w:spacing w:before="141" w:after="0" w:line="288" w:lineRule="auto"/>
        <w:ind w:left="2650" w:right="988" w:hanging="2362"/>
        <w:jc w:val="both"/>
        <w:rPr>
          <w:sz w:val="21"/>
        </w:rPr>
      </w:pPr>
      <w:r>
        <w:rPr>
          <w:rFonts w:ascii="黑体" w:eastAsia="黑体"/>
          <w:spacing w:val="94"/>
          <w:sz w:val="21"/>
        </w:rPr>
        <w:t xml:space="preserve">诉讼时效 </w:t>
      </w:r>
      <w:r>
        <w:rPr>
          <w:spacing w:val="-2"/>
          <w:sz w:val="21"/>
        </w:rPr>
        <w:t xml:space="preserve">受益人向我们请求给付保险金的诉讼时效期间为 </w:t>
      </w:r>
      <w:r>
        <w:rPr>
          <w:sz w:val="21"/>
        </w:rPr>
        <w:t>2</w:t>
      </w:r>
      <w:r>
        <w:rPr>
          <w:spacing w:val="-5"/>
          <w:sz w:val="21"/>
        </w:rPr>
        <w:t xml:space="preserve"> 年，自其知道或者应当知道</w:t>
      </w:r>
      <w:r>
        <w:rPr>
          <w:spacing w:val="-2"/>
          <w:sz w:val="21"/>
        </w:rPr>
        <w:t>保险事故发生之日起计算。</w:t>
      </w:r>
    </w:p>
    <w:p>
      <w:pPr>
        <w:pStyle w:val="4"/>
        <w:spacing w:before="2"/>
        <w:rPr>
          <w:sz w:val="5"/>
        </w:rPr>
      </w:pPr>
      <w:r>
        <w:pict>
          <v:shape id="docshape8" o:spid="_x0000_s1033" o:spt="202" type="#_x0000_t202" style="position:absolute;left:0pt;margin-left:54pt;margin-top:4.5pt;height:16.1pt;width:487.45pt;mso-position-horizontal-relative:page;mso-wrap-distance-bottom:0pt;mso-wrap-distance-top:0pt;z-index:-251650048;mso-width-relative:page;mso-height-relative:page;" fillcolor="#A6A6A6" filled="t" stroked="f" coordsize="21600,21600">
            <v:path/>
            <v:fill on="t" focussize="0,0"/>
            <v:stroke on="f" joinstyle="miter"/>
            <v:imagedata o:title=""/>
            <o:lock v:ext="edit"/>
            <v:textbox inset="0mm,0mm,0mm,0mm">
              <w:txbxContent>
                <w:p>
                  <w:pPr>
                    <w:tabs>
                      <w:tab w:val="left" w:pos="969"/>
                    </w:tabs>
                    <w:spacing w:before="47"/>
                    <w:ind w:left="107" w:right="0" w:firstLine="0"/>
                    <w:jc w:val="left"/>
                    <w:rPr>
                      <w:rFonts w:hint="eastAsia" w:ascii="黑体" w:eastAsia="黑体"/>
                      <w:b/>
                      <w:color w:val="000000"/>
                      <w:sz w:val="21"/>
                    </w:rPr>
                  </w:pPr>
                  <w:r>
                    <w:rPr>
                      <w:rFonts w:hint="eastAsia" w:ascii="黑体" w:eastAsia="黑体"/>
                      <w:b/>
                      <w:color w:val="000000"/>
                      <w:spacing w:val="-5"/>
                      <w:sz w:val="21"/>
                    </w:rPr>
                    <w:t>4．</w:t>
                  </w:r>
                  <w:r>
                    <w:rPr>
                      <w:rFonts w:hint="eastAsia" w:ascii="黑体" w:eastAsia="黑体"/>
                      <w:b/>
                      <w:color w:val="000000"/>
                      <w:sz w:val="21"/>
                    </w:rPr>
                    <w:tab/>
                  </w:r>
                  <w:r>
                    <w:rPr>
                      <w:rFonts w:hint="eastAsia" w:ascii="黑体" w:eastAsia="黑体"/>
                      <w:b/>
                      <w:color w:val="000000"/>
                      <w:spacing w:val="-2"/>
                      <w:sz w:val="21"/>
                    </w:rPr>
                    <w:t>如何支付保险费</w:t>
                  </w:r>
                </w:p>
              </w:txbxContent>
            </v:textbox>
            <w10:wrap type="topAndBottom"/>
          </v:shape>
        </w:pict>
      </w:r>
    </w:p>
    <w:p>
      <w:pPr>
        <w:pStyle w:val="4"/>
        <w:spacing w:before="1"/>
        <w:rPr>
          <w:sz w:val="9"/>
        </w:rPr>
      </w:pPr>
    </w:p>
    <w:p>
      <w:pPr>
        <w:pStyle w:val="4"/>
        <w:tabs>
          <w:tab w:val="left" w:pos="1149"/>
        </w:tabs>
        <w:spacing w:before="72"/>
        <w:ind w:left="287"/>
      </w:pPr>
      <w:r>
        <w:rPr>
          <w:rFonts w:ascii="黑体" w:eastAsia="黑体"/>
          <w:spacing w:val="-5"/>
        </w:rPr>
        <w:t>4.1</w:t>
      </w:r>
      <w:r>
        <w:rPr>
          <w:rFonts w:ascii="黑体" w:eastAsia="黑体"/>
        </w:rPr>
        <w:tab/>
      </w:r>
      <w:r>
        <w:rPr>
          <w:rFonts w:ascii="黑体" w:eastAsia="黑体"/>
          <w:spacing w:val="14"/>
        </w:rPr>
        <w:t xml:space="preserve">保险费的支付 </w:t>
      </w:r>
      <w:r>
        <w:rPr>
          <w:spacing w:val="-1"/>
        </w:rPr>
        <w:t>您应于投保时一次性支付全部保险费。</w:t>
      </w:r>
    </w:p>
    <w:p>
      <w:pPr>
        <w:pStyle w:val="4"/>
        <w:spacing w:before="5"/>
        <w:rPr>
          <w:sz w:val="9"/>
        </w:rPr>
      </w:pPr>
      <w:r>
        <w:pict>
          <v:shape id="docshape9" o:spid="_x0000_s1034" o:spt="202" type="#_x0000_t202" style="position:absolute;left:0pt;margin-left:54pt;margin-top:7.25pt;height:16.1pt;width:487.45pt;mso-position-horizontal-relative:page;mso-wrap-distance-bottom:0pt;mso-wrap-distance-top:0pt;z-index:-251650048;mso-width-relative:page;mso-height-relative:page;" fillcolor="#A6A6A6" filled="t" stroked="f" coordsize="21600,21600">
            <v:path/>
            <v:fill on="t" focussize="0,0"/>
            <v:stroke on="f" joinstyle="miter"/>
            <v:imagedata o:title=""/>
            <o:lock v:ext="edit"/>
            <v:textbox inset="0mm,0mm,0mm,0mm">
              <w:txbxContent>
                <w:p>
                  <w:pPr>
                    <w:tabs>
                      <w:tab w:val="left" w:pos="969"/>
                    </w:tabs>
                    <w:spacing w:before="46"/>
                    <w:ind w:left="107" w:right="0" w:firstLine="0"/>
                    <w:jc w:val="left"/>
                    <w:rPr>
                      <w:rFonts w:hint="eastAsia" w:ascii="黑体" w:eastAsia="黑体"/>
                      <w:b/>
                      <w:color w:val="000000"/>
                      <w:sz w:val="21"/>
                    </w:rPr>
                  </w:pPr>
                  <w:r>
                    <w:rPr>
                      <w:rFonts w:hint="eastAsia" w:ascii="黑体" w:eastAsia="黑体"/>
                      <w:b/>
                      <w:color w:val="000000"/>
                      <w:spacing w:val="-5"/>
                      <w:sz w:val="21"/>
                    </w:rPr>
                    <w:t>5．</w:t>
                  </w:r>
                  <w:r>
                    <w:rPr>
                      <w:rFonts w:hint="eastAsia" w:ascii="黑体" w:eastAsia="黑体"/>
                      <w:b/>
                      <w:color w:val="000000"/>
                      <w:sz w:val="21"/>
                    </w:rPr>
                    <w:tab/>
                  </w:r>
                  <w:r>
                    <w:rPr>
                      <w:rFonts w:hint="eastAsia" w:ascii="黑体" w:eastAsia="黑体"/>
                      <w:b/>
                      <w:color w:val="000000"/>
                      <w:spacing w:val="-2"/>
                      <w:sz w:val="21"/>
                    </w:rPr>
                    <w:t>如何解除保险合同</w:t>
                  </w:r>
                </w:p>
              </w:txbxContent>
            </v:textbox>
            <w10:wrap type="topAndBottom"/>
          </v:shape>
        </w:pict>
      </w:r>
    </w:p>
    <w:p>
      <w:pPr>
        <w:pStyle w:val="4"/>
        <w:spacing w:before="1"/>
        <w:rPr>
          <w:sz w:val="9"/>
        </w:rPr>
      </w:pPr>
    </w:p>
    <w:p>
      <w:pPr>
        <w:spacing w:after="0"/>
        <w:rPr>
          <w:sz w:val="9"/>
        </w:rPr>
        <w:sectPr>
          <w:pgSz w:w="11910" w:h="16840"/>
          <w:pgMar w:top="1400" w:right="220" w:bottom="280" w:left="900" w:header="720" w:footer="720" w:gutter="0"/>
          <w:cols w:space="720" w:num="1"/>
        </w:sectPr>
      </w:pPr>
    </w:p>
    <w:p>
      <w:pPr>
        <w:pStyle w:val="4"/>
        <w:tabs>
          <w:tab w:val="left" w:pos="1149"/>
        </w:tabs>
        <w:spacing w:before="72" w:line="285" w:lineRule="auto"/>
        <w:ind w:left="1150" w:hanging="862"/>
        <w:rPr>
          <w:rFonts w:ascii="黑体" w:eastAsia="黑体"/>
        </w:rPr>
      </w:pPr>
      <w:r>
        <w:rPr>
          <w:rFonts w:ascii="黑体" w:eastAsia="黑体"/>
          <w:spacing w:val="-4"/>
        </w:rPr>
        <w:t>5.1</w:t>
      </w:r>
      <w:r>
        <w:rPr>
          <w:rFonts w:ascii="黑体" w:eastAsia="黑体"/>
        </w:rPr>
        <w:tab/>
      </w:r>
      <w:r>
        <w:rPr>
          <w:rFonts w:ascii="黑体" w:eastAsia="黑体"/>
          <w:spacing w:val="-2"/>
        </w:rPr>
        <w:t>您解除合同的</w:t>
      </w:r>
      <w:r>
        <w:rPr>
          <w:rFonts w:ascii="黑体" w:eastAsia="黑体"/>
          <w:spacing w:val="-4"/>
        </w:rPr>
        <w:t>手续及风险</w:t>
      </w:r>
    </w:p>
    <w:p>
      <w:pPr>
        <w:pStyle w:val="4"/>
        <w:spacing w:before="72" w:line="285" w:lineRule="auto"/>
        <w:ind w:left="197" w:right="1403"/>
      </w:pPr>
      <w:r>
        <w:br w:type="column"/>
      </w:r>
      <w:r>
        <w:rPr>
          <w:spacing w:val="-2"/>
        </w:rPr>
        <w:t>如您申请解除本合同，请填写解除合同申请书并向我们提供下列资料： (1)保险合同；</w:t>
      </w:r>
    </w:p>
    <w:p>
      <w:pPr>
        <w:pStyle w:val="4"/>
        <w:spacing w:line="268" w:lineRule="exact"/>
        <w:ind w:left="197"/>
      </w:pPr>
      <w:r>
        <w:rPr>
          <w:spacing w:val="-2"/>
        </w:rPr>
        <w:t>(2)</w:t>
      </w:r>
      <w:r>
        <w:rPr>
          <w:spacing w:val="-3"/>
        </w:rPr>
        <w:t>您的有效身份证件。</w:t>
      </w:r>
    </w:p>
    <w:p>
      <w:pPr>
        <w:pStyle w:val="4"/>
        <w:spacing w:before="59" w:line="232" w:lineRule="auto"/>
        <w:ind w:left="197" w:right="935"/>
        <w:jc w:val="both"/>
      </w:pPr>
      <w:r>
        <w:rPr>
          <w:spacing w:val="-2"/>
        </w:rPr>
        <w:t>自我们收到解除合同申请书时起，本合同终止。我们自收到解除合同申请书之</w:t>
      </w:r>
      <w:r>
        <w:rPr>
          <w:w w:val="95"/>
        </w:rPr>
        <w:t>日起 30 日内向您退还保险单的</w:t>
      </w:r>
      <w:r>
        <w:rPr>
          <w:rFonts w:ascii="Microsoft JhengHei" w:eastAsia="Microsoft JhengHei"/>
          <w:b/>
          <w:w w:val="95"/>
        </w:rPr>
        <w:t>现金价值</w:t>
      </w:r>
      <w:r>
        <w:rPr>
          <w:w w:val="95"/>
        </w:rPr>
        <w:t xml:space="preserve">（见 </w:t>
      </w:r>
      <w:r>
        <w:rPr>
          <w:spacing w:val="22"/>
          <w:w w:val="95"/>
        </w:rPr>
        <w:t>7.</w:t>
      </w:r>
      <w:r>
        <w:rPr>
          <w:spacing w:val="19"/>
          <w:w w:val="95"/>
        </w:rPr>
        <w:t>2</w:t>
      </w:r>
      <w:r>
        <w:rPr>
          <w:spacing w:val="22"/>
          <w:w w:val="95"/>
        </w:rPr>
        <w:t>7</w:t>
      </w:r>
      <w:r>
        <w:rPr>
          <w:spacing w:val="-86"/>
          <w:w w:val="95"/>
        </w:rPr>
        <w:t>）</w:t>
      </w:r>
      <w:r>
        <w:rPr>
          <w:w w:val="95"/>
        </w:rPr>
        <w:t>。对已发生过保险金给付，</w:t>
      </w:r>
      <w:r>
        <w:rPr>
          <w:spacing w:val="-2"/>
        </w:rPr>
        <w:t>或已发生本合同约定的保险事故但尚未支付保险金，我们不退还保险单的现金</w:t>
      </w:r>
    </w:p>
    <w:p>
      <w:pPr>
        <w:pStyle w:val="4"/>
        <w:spacing w:before="57"/>
        <w:ind w:left="197"/>
      </w:pPr>
      <w:r>
        <w:rPr>
          <w:spacing w:val="-4"/>
        </w:rPr>
        <w:t>价值。</w:t>
      </w:r>
    </w:p>
    <w:p>
      <w:pPr>
        <w:pStyle w:val="4"/>
        <w:spacing w:before="50"/>
        <w:ind w:left="197"/>
      </w:pPr>
      <w:r>
        <w:rPr>
          <w:spacing w:val="-3"/>
        </w:rPr>
        <w:t>犹豫期后，您解除合同会遭受一定损失。</w:t>
      </w:r>
    </w:p>
    <w:p>
      <w:pPr>
        <w:spacing w:after="0"/>
        <w:sectPr>
          <w:type w:val="continuous"/>
          <w:pgSz w:w="11910" w:h="16840"/>
          <w:pgMar w:top="180" w:right="220" w:bottom="280" w:left="900" w:header="720" w:footer="720" w:gutter="0"/>
          <w:cols w:equalWidth="0" w:num="2">
            <w:col w:w="2413" w:space="40"/>
            <w:col w:w="8337"/>
          </w:cols>
        </w:sectPr>
      </w:pPr>
    </w:p>
    <w:p>
      <w:pPr>
        <w:pStyle w:val="4"/>
        <w:spacing w:before="6"/>
        <w:rPr>
          <w:sz w:val="11"/>
        </w:rPr>
      </w:pPr>
    </w:p>
    <w:p>
      <w:pPr>
        <w:pStyle w:val="4"/>
        <w:ind w:left="180"/>
        <w:rPr>
          <w:sz w:val="20"/>
        </w:rPr>
      </w:pPr>
      <w:r>
        <w:rPr>
          <w:sz w:val="20"/>
        </w:rPr>
        <w:pict>
          <v:shape id="docshape10" o:spid="_x0000_s1035" o:spt="202" type="#_x0000_t202" style="height:16pt;width:487.45pt;" fillcolor="#A6A6A6" filled="t" stroked="f" coordsize="21600,21600">
            <v:path/>
            <v:fill on="t" focussize="0,0"/>
            <v:stroke on="f" joinstyle="miter"/>
            <v:imagedata o:title=""/>
            <o:lock v:ext="edit"/>
            <v:textbox inset="0mm,0mm,0mm,0mm">
              <w:txbxContent>
                <w:p>
                  <w:pPr>
                    <w:tabs>
                      <w:tab w:val="left" w:pos="969"/>
                    </w:tabs>
                    <w:spacing w:before="46"/>
                    <w:ind w:left="107" w:right="0" w:firstLine="0"/>
                    <w:jc w:val="left"/>
                    <w:rPr>
                      <w:rFonts w:hint="eastAsia" w:ascii="黑体" w:eastAsia="黑体"/>
                      <w:b/>
                      <w:color w:val="000000"/>
                      <w:sz w:val="21"/>
                    </w:rPr>
                  </w:pPr>
                  <w:r>
                    <w:rPr>
                      <w:rFonts w:hint="eastAsia" w:ascii="黑体" w:eastAsia="黑体"/>
                      <w:b/>
                      <w:color w:val="000000"/>
                      <w:spacing w:val="-5"/>
                      <w:sz w:val="21"/>
                    </w:rPr>
                    <w:t>6．</w:t>
                  </w:r>
                  <w:r>
                    <w:rPr>
                      <w:rFonts w:hint="eastAsia" w:ascii="黑体" w:eastAsia="黑体"/>
                      <w:b/>
                      <w:color w:val="000000"/>
                      <w:sz w:val="21"/>
                    </w:rPr>
                    <w:tab/>
                  </w:r>
                  <w:r>
                    <w:rPr>
                      <w:rFonts w:hint="eastAsia" w:ascii="黑体" w:eastAsia="黑体"/>
                      <w:b/>
                      <w:color w:val="000000"/>
                      <w:spacing w:val="-3"/>
                      <w:sz w:val="21"/>
                    </w:rPr>
                    <w:t>其他需要关注的事项</w:t>
                  </w:r>
                </w:p>
              </w:txbxContent>
            </v:textbox>
            <w10:wrap type="none"/>
            <w10:anchorlock/>
          </v:shape>
        </w:pict>
      </w:r>
    </w:p>
    <w:p>
      <w:pPr>
        <w:pStyle w:val="4"/>
        <w:spacing w:before="1"/>
        <w:rPr>
          <w:sz w:val="7"/>
        </w:rPr>
      </w:pPr>
    </w:p>
    <w:p>
      <w:pPr>
        <w:spacing w:after="0"/>
        <w:rPr>
          <w:sz w:val="7"/>
        </w:rPr>
        <w:sectPr>
          <w:type w:val="continuous"/>
          <w:pgSz w:w="11910" w:h="16840"/>
          <w:pgMar w:top="180" w:right="220" w:bottom="280" w:left="900" w:header="720" w:footer="720" w:gutter="0"/>
          <w:cols w:space="720" w:num="1"/>
        </w:sectPr>
      </w:pPr>
    </w:p>
    <w:p>
      <w:pPr>
        <w:pStyle w:val="8"/>
        <w:numPr>
          <w:ilvl w:val="1"/>
          <w:numId w:val="12"/>
        </w:numPr>
        <w:tabs>
          <w:tab w:val="left" w:pos="1149"/>
          <w:tab w:val="left" w:pos="1150"/>
        </w:tabs>
        <w:spacing w:before="72" w:after="0" w:line="285" w:lineRule="auto"/>
        <w:ind w:left="1150" w:right="0" w:hanging="862"/>
        <w:jc w:val="left"/>
        <w:rPr>
          <w:rFonts w:ascii="黑体" w:eastAsia="黑体"/>
          <w:sz w:val="21"/>
        </w:rPr>
      </w:pPr>
      <w:r>
        <w:rPr>
          <w:rFonts w:ascii="黑体" w:eastAsia="黑体"/>
          <w:spacing w:val="-2"/>
          <w:sz w:val="21"/>
        </w:rPr>
        <w:t>明确说明与如</w:t>
      </w:r>
      <w:r>
        <w:rPr>
          <w:rFonts w:ascii="黑体" w:eastAsia="黑体"/>
          <w:spacing w:val="-4"/>
          <w:sz w:val="21"/>
        </w:rPr>
        <w:t>实告知</w:t>
      </w:r>
    </w:p>
    <w:p>
      <w:pPr>
        <w:pStyle w:val="4"/>
        <w:spacing w:before="72"/>
        <w:ind w:left="197"/>
      </w:pPr>
      <w:r>
        <w:br w:type="column"/>
      </w:r>
      <w:r>
        <w:rPr>
          <w:spacing w:val="-3"/>
        </w:rPr>
        <w:t>订立本合同时，我们应向您说明本合同的内容。</w:t>
      </w:r>
    </w:p>
    <w:p>
      <w:pPr>
        <w:pStyle w:val="4"/>
        <w:spacing w:before="50" w:line="285" w:lineRule="auto"/>
        <w:ind w:left="197" w:right="863"/>
      </w:pPr>
      <w:r>
        <w:rPr>
          <w:spacing w:val="-2"/>
        </w:rPr>
        <w:t>对保险条款中免除我们责任的条款，我们在订立合同时应当在投保单、保险单或者其他保险凭证上作出足以引起您注意的提示，并对该条款的内容以书面或</w:t>
      </w:r>
      <w:r>
        <w:rPr>
          <w:spacing w:val="-4"/>
        </w:rPr>
        <w:t>者口头形式向您作出明确说明，未作提示或者明确说明的，该条款不产生效力。</w:t>
      </w:r>
      <w:r>
        <w:rPr>
          <w:spacing w:val="-2"/>
        </w:rPr>
        <w:t>我们就您和被保险人的有关情况提出询问，您应当如实告知。</w:t>
      </w:r>
    </w:p>
    <w:p>
      <w:pPr>
        <w:pStyle w:val="4"/>
        <w:spacing w:before="1" w:line="285" w:lineRule="auto"/>
        <w:ind w:left="197" w:right="967"/>
      </w:pPr>
      <w:r>
        <w:rPr>
          <w:spacing w:val="-2"/>
        </w:rPr>
        <w:t>如果您故意或者因重大过失未履行前款规定的如实告知义务，足以影响我们决定是否同意承保或者提高保险费率的，我们有权解除本合同。</w:t>
      </w:r>
    </w:p>
    <w:p>
      <w:pPr>
        <w:pStyle w:val="4"/>
        <w:spacing w:line="288" w:lineRule="auto"/>
        <w:ind w:left="197" w:right="966"/>
      </w:pPr>
      <w:r>
        <w:rPr>
          <w:color w:val="000000"/>
          <w:spacing w:val="-2"/>
          <w:shd w:val="clear" w:color="auto" w:fill="D9D9D9"/>
        </w:rPr>
        <w:t>如果您故意不履行如实告知义务，对于本合同解除前发生的保险事故，我们不</w:t>
      </w:r>
      <w:r>
        <w:rPr>
          <w:color w:val="000000"/>
          <w:spacing w:val="80"/>
          <w:w w:val="150"/>
          <w:shd w:val="clear" w:color="auto" w:fill="D9D9D9"/>
        </w:rPr>
        <w:t xml:space="preserve">                                       </w:t>
      </w:r>
      <w:r>
        <w:rPr>
          <w:color w:val="000000"/>
          <w:spacing w:val="-2"/>
          <w:shd w:val="clear" w:color="auto" w:fill="D9D9D9"/>
        </w:rPr>
        <w:t>承担给付保险金的责任，并且不退还保险费。</w:t>
      </w:r>
    </w:p>
    <w:p>
      <w:pPr>
        <w:pStyle w:val="4"/>
        <w:spacing w:line="285" w:lineRule="auto"/>
        <w:ind w:left="197" w:right="966"/>
        <w:jc w:val="both"/>
      </w:pPr>
      <w:r>
        <w:rPr>
          <w:color w:val="000000"/>
          <w:spacing w:val="-2"/>
          <w:shd w:val="clear" w:color="auto" w:fill="D9D9D9"/>
        </w:rPr>
        <w:t>如果您因重大过失未履行如实告知义务，对保险事故的发生有严重影响的，对</w:t>
      </w:r>
      <w:r>
        <w:rPr>
          <w:color w:val="000000"/>
          <w:spacing w:val="40"/>
          <w:shd w:val="clear" w:color="auto" w:fill="D9D9D9"/>
        </w:rPr>
        <w:t xml:space="preserve"> </w:t>
      </w:r>
      <w:r>
        <w:rPr>
          <w:color w:val="000000"/>
          <w:spacing w:val="-2"/>
          <w:shd w:val="clear" w:color="auto" w:fill="D9D9D9"/>
        </w:rPr>
        <w:t>于本合同解除前发生的保险事故，我们不承担给付保险金的责任，但应当退还</w:t>
      </w:r>
      <w:r>
        <w:rPr>
          <w:color w:val="000000"/>
          <w:spacing w:val="-4"/>
          <w:shd w:val="clear" w:color="auto" w:fill="D9D9D9"/>
        </w:rPr>
        <w:t>保险费。</w:t>
      </w:r>
    </w:p>
    <w:p>
      <w:pPr>
        <w:pStyle w:val="4"/>
        <w:spacing w:line="285" w:lineRule="auto"/>
        <w:ind w:left="197" w:right="967"/>
      </w:pPr>
      <w:r>
        <w:rPr>
          <w:spacing w:val="-2"/>
        </w:rPr>
        <w:t>我们在合同订立时已经知道您未如实告知的情况的，我们不得解除合同；发生保险事故的，我们承担给付保险金的责任。</w:t>
      </w:r>
    </w:p>
    <w:p>
      <w:pPr>
        <w:spacing w:after="0" w:line="285" w:lineRule="auto"/>
        <w:sectPr>
          <w:type w:val="continuous"/>
          <w:pgSz w:w="11910" w:h="16840"/>
          <w:pgMar w:top="180" w:right="220" w:bottom="280" w:left="900" w:header="720" w:footer="720" w:gutter="0"/>
          <w:cols w:equalWidth="0" w:num="2">
            <w:col w:w="2413" w:space="40"/>
            <w:col w:w="8337"/>
          </w:cols>
        </w:sectPr>
      </w:pPr>
    </w:p>
    <w:p>
      <w:pPr>
        <w:pStyle w:val="8"/>
        <w:numPr>
          <w:ilvl w:val="1"/>
          <w:numId w:val="12"/>
        </w:numPr>
        <w:tabs>
          <w:tab w:val="left" w:pos="1149"/>
          <w:tab w:val="left" w:pos="1150"/>
        </w:tabs>
        <w:spacing w:before="135" w:after="0" w:line="285" w:lineRule="auto"/>
        <w:ind w:left="1150" w:right="0" w:hanging="862"/>
        <w:jc w:val="left"/>
        <w:rPr>
          <w:rFonts w:ascii="黑体" w:eastAsia="黑体"/>
          <w:sz w:val="21"/>
        </w:rPr>
      </w:pPr>
      <w:r>
        <w:rPr>
          <w:rFonts w:ascii="黑体" w:eastAsia="黑体"/>
          <w:spacing w:val="-2"/>
          <w:sz w:val="21"/>
        </w:rPr>
        <w:t>我们合同解除</w:t>
      </w:r>
      <w:r>
        <w:rPr>
          <w:rFonts w:ascii="黑体" w:eastAsia="黑体"/>
          <w:spacing w:val="-4"/>
          <w:sz w:val="21"/>
        </w:rPr>
        <w:t>权的限制</w:t>
      </w:r>
    </w:p>
    <w:p>
      <w:pPr>
        <w:pStyle w:val="8"/>
        <w:numPr>
          <w:ilvl w:val="1"/>
          <w:numId w:val="12"/>
        </w:numPr>
        <w:tabs>
          <w:tab w:val="left" w:pos="1149"/>
          <w:tab w:val="left" w:pos="1150"/>
        </w:tabs>
        <w:spacing w:before="142" w:after="0" w:line="285" w:lineRule="auto"/>
        <w:ind w:left="1150" w:right="0" w:hanging="862"/>
        <w:jc w:val="left"/>
        <w:rPr>
          <w:rFonts w:ascii="黑体" w:eastAsia="黑体"/>
          <w:sz w:val="21"/>
        </w:rPr>
      </w:pPr>
      <w:r>
        <w:rPr>
          <w:rFonts w:ascii="黑体" w:eastAsia="黑体"/>
          <w:spacing w:val="-2"/>
          <w:sz w:val="21"/>
        </w:rPr>
        <w:t>职业或工种的确定与变更</w:t>
      </w:r>
    </w:p>
    <w:p>
      <w:pPr>
        <w:pStyle w:val="4"/>
        <w:spacing w:before="135" w:line="285" w:lineRule="auto"/>
        <w:ind w:left="197" w:right="967"/>
      </w:pPr>
      <w:r>
        <w:br w:type="column"/>
      </w:r>
      <w:r>
        <w:rPr>
          <w:spacing w:val="-2"/>
        </w:rPr>
        <w:t>本保险条款“明确说明与如实告知”规定的合同解除权，自我们知道有解除事</w:t>
      </w:r>
      <w:r>
        <w:rPr>
          <w:spacing w:val="-3"/>
        </w:rPr>
        <w:t xml:space="preserve">由之日起，超过 </w:t>
      </w:r>
      <w:r>
        <w:t>30</w:t>
      </w:r>
      <w:r>
        <w:rPr>
          <w:spacing w:val="-5"/>
        </w:rPr>
        <w:t xml:space="preserve"> 日不行使而消灭。</w:t>
      </w:r>
    </w:p>
    <w:p>
      <w:pPr>
        <w:pStyle w:val="4"/>
        <w:spacing w:before="118" w:line="278" w:lineRule="auto"/>
        <w:ind w:left="197" w:right="988"/>
      </w:pPr>
      <w:r>
        <w:rPr>
          <w:spacing w:val="-2"/>
        </w:rPr>
        <w:t>在本合同保险期间内，若被保险人变更其职业或工种的，您或被保险人应于职业或工种变更之日起10日内以书面形式通知我们。</w:t>
      </w:r>
    </w:p>
    <w:p>
      <w:pPr>
        <w:pStyle w:val="8"/>
        <w:numPr>
          <w:ilvl w:val="0"/>
          <w:numId w:val="13"/>
        </w:numPr>
        <w:tabs>
          <w:tab w:val="left" w:pos="516"/>
        </w:tabs>
        <w:spacing w:before="0" w:after="0" w:line="278" w:lineRule="auto"/>
        <w:ind w:left="197" w:right="885" w:firstLine="0"/>
        <w:jc w:val="left"/>
        <w:rPr>
          <w:sz w:val="21"/>
        </w:rPr>
      </w:pPr>
      <w:r>
        <w:rPr>
          <w:spacing w:val="-2"/>
          <w:sz w:val="21"/>
        </w:rPr>
        <w:t>被保险人变更后的职业或者工种，依照我们职业分类，其危险程度降低时，我们于收到通知后，向您退还自职业变更之日起应减收的相应保险费；若其危险程度降低但未依上述约定通知我们而发生保险事故的，我们按保险事故发生</w:t>
      </w:r>
    </w:p>
    <w:p>
      <w:pPr>
        <w:spacing w:after="0" w:line="278" w:lineRule="auto"/>
        <w:jc w:val="left"/>
        <w:rPr>
          <w:sz w:val="21"/>
        </w:rPr>
        <w:sectPr>
          <w:type w:val="continuous"/>
          <w:pgSz w:w="11910" w:h="16840"/>
          <w:pgMar w:top="180" w:right="220" w:bottom="280" w:left="900" w:header="720" w:footer="720" w:gutter="0"/>
          <w:cols w:equalWidth="0" w:num="2">
            <w:col w:w="2413" w:space="40"/>
            <w:col w:w="8337"/>
          </w:cols>
        </w:sectPr>
      </w:pPr>
    </w:p>
    <w:p>
      <w:pPr>
        <w:pStyle w:val="4"/>
        <w:spacing w:before="43" w:line="278" w:lineRule="auto"/>
        <w:ind w:left="2650" w:right="988"/>
      </w:pPr>
      <w:r>
        <w:rPr>
          <w:spacing w:val="-2"/>
        </w:rPr>
        <w:t>当时保险单所载的保险金额给付保险金，并退还自职业变更之日起应减收的相应保险费。</w:t>
      </w:r>
    </w:p>
    <w:p>
      <w:pPr>
        <w:pStyle w:val="8"/>
        <w:numPr>
          <w:ilvl w:val="0"/>
          <w:numId w:val="13"/>
        </w:numPr>
        <w:tabs>
          <w:tab w:val="left" w:pos="2968"/>
        </w:tabs>
        <w:spacing w:before="0" w:after="0" w:line="278" w:lineRule="auto"/>
        <w:ind w:left="2650" w:right="885" w:firstLine="0"/>
        <w:jc w:val="left"/>
        <w:rPr>
          <w:sz w:val="21"/>
        </w:rPr>
      </w:pPr>
      <w:r>
        <w:rPr>
          <w:spacing w:val="-2"/>
          <w:sz w:val="21"/>
        </w:rPr>
        <w:t>被保险人变更后的职业或者工种，依照我们职业分类，其危险程度增加时，我们于收到通知后，向您收取自职业变更之日起应加收的相应保险费；</w:t>
      </w:r>
      <w:r>
        <w:rPr>
          <w:color w:val="000000"/>
          <w:spacing w:val="-2"/>
          <w:sz w:val="21"/>
          <w:shd w:val="clear" w:color="auto" w:fill="D9D9D9"/>
        </w:rPr>
        <w:t>若其危</w:t>
      </w:r>
      <w:r>
        <w:rPr>
          <w:color w:val="000000"/>
          <w:spacing w:val="13965"/>
          <w:sz w:val="21"/>
          <w:shd w:val="clear" w:color="auto" w:fill="D9D9D9"/>
        </w:rPr>
        <w:t xml:space="preserve"> </w:t>
      </w:r>
      <w:r>
        <w:rPr>
          <w:color w:val="000000"/>
          <w:spacing w:val="-2"/>
          <w:sz w:val="21"/>
          <w:shd w:val="clear" w:color="auto" w:fill="D9D9D9"/>
        </w:rPr>
        <w:t>险程度增加但未依上述约定通知我们而发生保险事故的，我们按其实收保险费与应收保险费的比例计算并给付保险金。</w:t>
      </w:r>
    </w:p>
    <w:p>
      <w:pPr>
        <w:pStyle w:val="8"/>
        <w:numPr>
          <w:ilvl w:val="0"/>
          <w:numId w:val="13"/>
        </w:numPr>
        <w:tabs>
          <w:tab w:val="left" w:pos="2968"/>
        </w:tabs>
        <w:spacing w:before="23" w:after="0" w:line="285" w:lineRule="auto"/>
        <w:ind w:left="2650" w:right="966" w:firstLine="0"/>
        <w:jc w:val="both"/>
        <w:rPr>
          <w:sz w:val="21"/>
        </w:rPr>
      </w:pPr>
      <w:r>
        <w:rPr>
          <w:spacing w:val="-5"/>
          <w:sz w:val="21"/>
        </w:rPr>
        <w:t>被保险人变更后的职业或者工种依照我们职业分类在拒保范围内的，我们对</w:t>
      </w:r>
      <w:r>
        <w:rPr>
          <w:spacing w:val="-2"/>
          <w:sz w:val="21"/>
        </w:rPr>
        <w:t>被保险人所负保险责任自其职业或工种变更之日起终止，并按约定退还其相应的现金价值。如果我们对被保险人已给付过任何保险金，则不退还。</w:t>
      </w:r>
      <w:r>
        <w:rPr>
          <w:color w:val="000000"/>
          <w:spacing w:val="-2"/>
          <w:sz w:val="21"/>
          <w:shd w:val="clear" w:color="auto" w:fill="D9D9D9"/>
        </w:rPr>
        <w:t>若被保险</w:t>
      </w:r>
      <w:r>
        <w:rPr>
          <w:color w:val="000000"/>
          <w:spacing w:val="13755"/>
          <w:sz w:val="21"/>
          <w:shd w:val="clear" w:color="auto" w:fill="D9D9D9"/>
        </w:rPr>
        <w:t xml:space="preserve"> </w:t>
      </w:r>
      <w:r>
        <w:rPr>
          <w:color w:val="000000"/>
          <w:spacing w:val="-2"/>
          <w:sz w:val="21"/>
          <w:shd w:val="clear" w:color="auto" w:fill="D9D9D9"/>
        </w:rPr>
        <w:t>人变更后的职业或者工种在我们的拒保范围内但未依上述约定通知我们而发生保险事故的，我们不负给付保险金的责任</w:t>
      </w:r>
      <w:r>
        <w:rPr>
          <w:color w:val="000000"/>
          <w:spacing w:val="-3"/>
          <w:sz w:val="21"/>
        </w:rPr>
        <w:t>，但按约定退还其相应的现金价值。</w:t>
      </w:r>
    </w:p>
    <w:p>
      <w:pPr>
        <w:spacing w:after="0" w:line="285" w:lineRule="auto"/>
        <w:jc w:val="both"/>
        <w:rPr>
          <w:sz w:val="21"/>
        </w:rPr>
        <w:sectPr>
          <w:pgSz w:w="11910" w:h="16840"/>
          <w:pgMar w:top="1380" w:right="220" w:bottom="280" w:left="900" w:header="720" w:footer="720" w:gutter="0"/>
          <w:cols w:space="720" w:num="1"/>
        </w:sectPr>
      </w:pPr>
    </w:p>
    <w:p>
      <w:pPr>
        <w:pStyle w:val="8"/>
        <w:numPr>
          <w:ilvl w:val="1"/>
          <w:numId w:val="12"/>
        </w:numPr>
        <w:tabs>
          <w:tab w:val="left" w:pos="1152"/>
          <w:tab w:val="left" w:pos="1153"/>
        </w:tabs>
        <w:spacing w:before="142" w:after="0" w:line="285" w:lineRule="auto"/>
        <w:ind w:left="1152" w:right="0" w:hanging="865"/>
        <w:jc w:val="left"/>
        <w:rPr>
          <w:rFonts w:ascii="黑体" w:eastAsia="黑体"/>
          <w:sz w:val="21"/>
        </w:rPr>
      </w:pPr>
      <w:r>
        <w:rPr>
          <w:rFonts w:ascii="黑体" w:eastAsia="黑体"/>
          <w:spacing w:val="-2"/>
          <w:sz w:val="21"/>
        </w:rPr>
        <w:t>年龄和性别确</w:t>
      </w:r>
      <w:r>
        <w:rPr>
          <w:rFonts w:ascii="黑体" w:eastAsia="黑体"/>
          <w:spacing w:val="-4"/>
          <w:sz w:val="21"/>
        </w:rPr>
        <w:t>定与错误处理</w:t>
      </w:r>
    </w:p>
    <w:p>
      <w:pPr>
        <w:pStyle w:val="4"/>
        <w:spacing w:before="142" w:line="285" w:lineRule="auto"/>
        <w:ind w:left="195" w:right="969" w:firstLine="2"/>
      </w:pPr>
      <w:r>
        <w:br w:type="column"/>
      </w:r>
      <w:r>
        <w:rPr>
          <w:spacing w:val="-2"/>
        </w:rPr>
        <w:t>您在申请投保时，应将与有效身份证件相符的被保险人的出生日期和性别在投保单上填明，如果发生错误按照下列方式办理：</w:t>
      </w:r>
    </w:p>
    <w:p>
      <w:pPr>
        <w:pStyle w:val="8"/>
        <w:numPr>
          <w:ilvl w:val="0"/>
          <w:numId w:val="14"/>
        </w:numPr>
        <w:tabs>
          <w:tab w:val="left" w:pos="513"/>
        </w:tabs>
        <w:spacing w:before="0" w:after="0" w:line="285" w:lineRule="auto"/>
        <w:ind w:left="195" w:right="966" w:firstLine="0"/>
        <w:jc w:val="both"/>
        <w:rPr>
          <w:sz w:val="21"/>
        </w:rPr>
      </w:pPr>
      <w:r>
        <w:rPr>
          <w:spacing w:val="-8"/>
          <w:sz w:val="21"/>
        </w:rPr>
        <w:t>您申报的被保险人年龄不真实，并且其真实年龄不符合本合同约定投保年龄</w:t>
      </w:r>
      <w:r>
        <w:rPr>
          <w:spacing w:val="-2"/>
          <w:sz w:val="21"/>
        </w:rPr>
        <w:t>限制的，在保险事故发生之前我们有权解除合同，并向您退还本合同的现金价值。我们行使合同解除权适用“我们合同解除权的限制”的规定。</w:t>
      </w:r>
    </w:p>
    <w:p>
      <w:pPr>
        <w:pStyle w:val="8"/>
        <w:numPr>
          <w:ilvl w:val="0"/>
          <w:numId w:val="14"/>
        </w:numPr>
        <w:tabs>
          <w:tab w:val="left" w:pos="515"/>
        </w:tabs>
        <w:spacing w:before="0" w:after="0" w:line="285" w:lineRule="auto"/>
        <w:ind w:left="195" w:right="966" w:firstLine="0"/>
        <w:jc w:val="both"/>
        <w:rPr>
          <w:sz w:val="21"/>
        </w:rPr>
      </w:pPr>
      <w:r>
        <w:rPr>
          <w:spacing w:val="-2"/>
          <w:sz w:val="21"/>
        </w:rPr>
        <w:t>您申报的被保险人年龄或性别不真实，致使您实付保险费少于应付保险费的，我们有权作相应的更正并要求您补交保险费差额。</w:t>
      </w:r>
      <w:r>
        <w:rPr>
          <w:color w:val="000000"/>
          <w:spacing w:val="-2"/>
          <w:sz w:val="21"/>
          <w:shd w:val="clear" w:color="auto" w:fill="D9D9D9"/>
        </w:rPr>
        <w:t>若已经发生保险事故，</w:t>
      </w:r>
      <w:r>
        <w:rPr>
          <w:color w:val="000000"/>
          <w:spacing w:val="13755"/>
          <w:sz w:val="21"/>
          <w:shd w:val="clear" w:color="auto" w:fill="D9D9D9"/>
        </w:rPr>
        <w:t xml:space="preserve"> </w:t>
      </w:r>
      <w:r>
        <w:rPr>
          <w:color w:val="000000"/>
          <w:spacing w:val="-2"/>
          <w:sz w:val="21"/>
          <w:shd w:val="clear" w:color="auto" w:fill="D9D9D9"/>
        </w:rPr>
        <w:t>在给付保险金时按实付保险费和应付保险费的比例给付。</w:t>
      </w:r>
    </w:p>
    <w:p>
      <w:pPr>
        <w:pStyle w:val="8"/>
        <w:numPr>
          <w:ilvl w:val="0"/>
          <w:numId w:val="14"/>
        </w:numPr>
        <w:tabs>
          <w:tab w:val="left" w:pos="515"/>
        </w:tabs>
        <w:spacing w:before="0" w:after="0" w:line="288" w:lineRule="auto"/>
        <w:ind w:left="195" w:right="978" w:firstLine="0"/>
        <w:jc w:val="left"/>
        <w:rPr>
          <w:sz w:val="21"/>
        </w:rPr>
      </w:pPr>
      <w:r>
        <w:rPr>
          <w:spacing w:val="-2"/>
          <w:sz w:val="21"/>
        </w:rPr>
        <w:t>您申报的被保险人年龄或性别不真实，致使您实付保险费多于应付保险费的，我们会将多收的保险费退还给您。</w:t>
      </w:r>
    </w:p>
    <w:p>
      <w:pPr>
        <w:spacing w:after="0" w:line="288" w:lineRule="auto"/>
        <w:jc w:val="left"/>
        <w:rPr>
          <w:sz w:val="21"/>
        </w:rPr>
        <w:sectPr>
          <w:type w:val="continuous"/>
          <w:pgSz w:w="11910" w:h="16840"/>
          <w:pgMar w:top="180" w:right="220" w:bottom="280" w:left="900" w:header="720" w:footer="720" w:gutter="0"/>
          <w:cols w:equalWidth="0" w:num="2">
            <w:col w:w="2415" w:space="40"/>
            <w:col w:w="8335"/>
          </w:cols>
        </w:sectPr>
      </w:pPr>
    </w:p>
    <w:p>
      <w:pPr>
        <w:pStyle w:val="8"/>
        <w:numPr>
          <w:ilvl w:val="1"/>
          <w:numId w:val="12"/>
        </w:numPr>
        <w:tabs>
          <w:tab w:val="left" w:pos="1150"/>
        </w:tabs>
        <w:spacing w:before="134" w:after="0" w:line="285" w:lineRule="auto"/>
        <w:ind w:left="2650" w:right="966" w:hanging="2362"/>
        <w:jc w:val="both"/>
        <w:rPr>
          <w:sz w:val="21"/>
        </w:rPr>
      </w:pPr>
      <w:r>
        <w:rPr>
          <w:rFonts w:ascii="黑体" w:eastAsia="黑体"/>
          <w:sz w:val="21"/>
        </w:rPr>
        <w:t xml:space="preserve">合同内容变更 </w:t>
      </w:r>
      <w:r>
        <w:rPr>
          <w:sz w:val="21"/>
        </w:rPr>
        <w:t>在本合同有效期内，经您与我们协商一致，可以变更本合同的有关内容。变更</w:t>
      </w:r>
      <w:r>
        <w:rPr>
          <w:spacing w:val="-2"/>
          <w:sz w:val="21"/>
        </w:rPr>
        <w:t>本合同的，应当由我们在保险单或者其他保险凭证上批注或者附贴批单，或者由您与我们订立书面的变更协议。</w:t>
      </w:r>
    </w:p>
    <w:p>
      <w:pPr>
        <w:pStyle w:val="8"/>
        <w:numPr>
          <w:ilvl w:val="1"/>
          <w:numId w:val="12"/>
        </w:numPr>
        <w:tabs>
          <w:tab w:val="left" w:pos="1150"/>
        </w:tabs>
        <w:spacing w:before="141" w:after="0" w:line="285" w:lineRule="auto"/>
        <w:ind w:left="2650" w:right="967" w:hanging="2362"/>
        <w:jc w:val="both"/>
        <w:rPr>
          <w:sz w:val="21"/>
        </w:rPr>
      </w:pPr>
      <w:r>
        <w:rPr>
          <w:rFonts w:ascii="黑体" w:eastAsia="黑体"/>
          <w:sz w:val="21"/>
        </w:rPr>
        <w:t xml:space="preserve">联系方式变更 </w:t>
      </w:r>
      <w:r>
        <w:rPr>
          <w:sz w:val="21"/>
        </w:rPr>
        <w:t>为了保障您的合法权益，您的住所、通讯地址或电话等联系方式变更时，请及</w:t>
      </w:r>
      <w:r>
        <w:rPr>
          <w:spacing w:val="-2"/>
          <w:sz w:val="21"/>
        </w:rPr>
        <w:t>时以书面形式或双方认可的其他形式通知我们。若您未以书面形式或双方认可的其他形式通知我们，我们按本合同载明的最后住所、通讯地址或电话等联系方式发送的有关通知，均视为已送达给您。</w:t>
      </w:r>
    </w:p>
    <w:p>
      <w:pPr>
        <w:pStyle w:val="8"/>
        <w:numPr>
          <w:ilvl w:val="1"/>
          <w:numId w:val="12"/>
        </w:numPr>
        <w:tabs>
          <w:tab w:val="left" w:pos="1150"/>
        </w:tabs>
        <w:spacing w:before="143" w:after="0" w:line="240" w:lineRule="auto"/>
        <w:ind w:left="1150" w:right="0" w:hanging="863"/>
        <w:jc w:val="both"/>
        <w:rPr>
          <w:sz w:val="21"/>
        </w:rPr>
      </w:pPr>
      <w:r>
        <w:rPr>
          <w:rFonts w:ascii="黑体" w:eastAsia="黑体"/>
          <w:spacing w:val="83"/>
          <w:sz w:val="21"/>
        </w:rPr>
        <w:t xml:space="preserve">争议处理 </w:t>
      </w:r>
      <w:r>
        <w:rPr>
          <w:spacing w:val="-1"/>
          <w:sz w:val="21"/>
        </w:rPr>
        <w:t>本合同履行过程中，双方发生争议不能协商解决的，可以依法向法院提起诉讼。</w:t>
      </w:r>
    </w:p>
    <w:p>
      <w:pPr>
        <w:pStyle w:val="4"/>
        <w:spacing w:before="5"/>
        <w:rPr>
          <w:sz w:val="9"/>
        </w:rPr>
      </w:pPr>
      <w:r>
        <w:pict>
          <v:shape id="docshape11" o:spid="_x0000_s1036" o:spt="202" type="#_x0000_t202" style="position:absolute;left:0pt;margin-left:54pt;margin-top:7.25pt;height:16.1pt;width:487.2pt;mso-position-horizontal-relative:page;mso-wrap-distance-bottom:0pt;mso-wrap-distance-top:0pt;z-index:-251649024;mso-width-relative:page;mso-height-relative:page;" fillcolor="#A6A6A6" filled="t" stroked="f" coordsize="21600,21600">
            <v:path/>
            <v:fill on="t" focussize="0,0"/>
            <v:stroke on="f" joinstyle="miter"/>
            <v:imagedata o:title=""/>
            <o:lock v:ext="edit"/>
            <v:textbox inset="0mm,0mm,0mm,0mm">
              <w:txbxContent>
                <w:p>
                  <w:pPr>
                    <w:tabs>
                      <w:tab w:val="left" w:pos="969"/>
                    </w:tabs>
                    <w:spacing w:before="47"/>
                    <w:ind w:left="107" w:right="0" w:firstLine="0"/>
                    <w:jc w:val="left"/>
                    <w:rPr>
                      <w:rFonts w:hint="eastAsia" w:ascii="黑体" w:eastAsia="黑体"/>
                      <w:b/>
                      <w:color w:val="000000"/>
                      <w:sz w:val="21"/>
                    </w:rPr>
                  </w:pPr>
                  <w:r>
                    <w:rPr>
                      <w:rFonts w:hint="eastAsia" w:ascii="黑体" w:eastAsia="黑体"/>
                      <w:b/>
                      <w:color w:val="000000"/>
                      <w:spacing w:val="-5"/>
                      <w:sz w:val="21"/>
                    </w:rPr>
                    <w:t>7．</w:t>
                  </w:r>
                  <w:r>
                    <w:rPr>
                      <w:rFonts w:hint="eastAsia" w:ascii="黑体" w:eastAsia="黑体"/>
                      <w:b/>
                      <w:color w:val="000000"/>
                      <w:sz w:val="21"/>
                    </w:rPr>
                    <w:tab/>
                  </w:r>
                  <w:r>
                    <w:rPr>
                      <w:rFonts w:hint="eastAsia" w:ascii="黑体" w:eastAsia="黑体"/>
                      <w:b/>
                      <w:color w:val="000000"/>
                      <w:spacing w:val="-6"/>
                      <w:sz w:val="21"/>
                    </w:rPr>
                    <w:t>释义</w:t>
                  </w:r>
                </w:p>
              </w:txbxContent>
            </v:textbox>
            <w10:wrap type="topAndBottom"/>
          </v:shape>
        </w:pict>
      </w:r>
    </w:p>
    <w:p>
      <w:pPr>
        <w:pStyle w:val="4"/>
        <w:spacing w:before="1"/>
        <w:rPr>
          <w:sz w:val="9"/>
        </w:rPr>
      </w:pPr>
    </w:p>
    <w:p>
      <w:pPr>
        <w:pStyle w:val="8"/>
        <w:numPr>
          <w:ilvl w:val="1"/>
          <w:numId w:val="15"/>
        </w:numPr>
        <w:tabs>
          <w:tab w:val="left" w:pos="1150"/>
        </w:tabs>
        <w:spacing w:before="72" w:after="0" w:line="285" w:lineRule="auto"/>
        <w:ind w:left="2657" w:right="981" w:hanging="2370"/>
        <w:jc w:val="both"/>
        <w:rPr>
          <w:sz w:val="21"/>
        </w:rPr>
      </w:pPr>
      <w:r>
        <w:rPr>
          <w:rFonts w:ascii="黑体" w:eastAsia="黑体"/>
          <w:sz w:val="21"/>
        </w:rPr>
        <w:t>周岁</w:t>
      </w:r>
      <w:r>
        <w:rPr>
          <w:rFonts w:ascii="黑体" w:eastAsia="黑体"/>
          <w:spacing w:val="953"/>
          <w:sz w:val="21"/>
        </w:rPr>
        <w:t xml:space="preserve"> </w:t>
      </w:r>
      <w:r>
        <w:rPr>
          <w:sz w:val="21"/>
        </w:rPr>
        <w:t>指按有效身份证件中记载的出生日期计算的年龄，自出生之日起为零周岁，每</w:t>
      </w:r>
      <w:r>
        <w:rPr>
          <w:spacing w:val="-2"/>
          <w:sz w:val="21"/>
        </w:rPr>
        <w:t>经过一年增加一岁，不足一年的不计。</w:t>
      </w:r>
    </w:p>
    <w:p>
      <w:pPr>
        <w:pStyle w:val="8"/>
        <w:numPr>
          <w:ilvl w:val="1"/>
          <w:numId w:val="15"/>
        </w:numPr>
        <w:tabs>
          <w:tab w:val="left" w:pos="1150"/>
        </w:tabs>
        <w:spacing w:before="118" w:after="0" w:line="268" w:lineRule="auto"/>
        <w:ind w:left="2650" w:right="988" w:hanging="2362"/>
        <w:jc w:val="both"/>
        <w:rPr>
          <w:sz w:val="21"/>
        </w:rPr>
      </w:pPr>
      <w:r>
        <w:rPr>
          <w:rFonts w:ascii="黑体" w:eastAsia="黑体"/>
          <w:position w:val="-1"/>
          <w:sz w:val="21"/>
        </w:rPr>
        <w:t>同时参保</w:t>
      </w:r>
      <w:r>
        <w:rPr>
          <w:rFonts w:ascii="黑体" w:eastAsia="黑体"/>
          <w:spacing w:val="526"/>
          <w:position w:val="-1"/>
          <w:sz w:val="21"/>
        </w:rPr>
        <w:t xml:space="preserve"> </w:t>
      </w:r>
      <w:r>
        <w:rPr>
          <w:sz w:val="21"/>
        </w:rPr>
        <w:t>指两名或两名以上家庭成员作为被保险人，填写同一张投保单申请本合同，且</w:t>
      </w:r>
      <w:r>
        <w:rPr>
          <w:spacing w:val="-2"/>
          <w:sz w:val="21"/>
        </w:rPr>
        <w:t>被我们同意承保的情况。同时参保的家庭成员应当选择相同保障责任和同一档次的保障水平。</w:t>
      </w:r>
    </w:p>
    <w:p>
      <w:pPr>
        <w:pStyle w:val="8"/>
        <w:numPr>
          <w:ilvl w:val="1"/>
          <w:numId w:val="15"/>
        </w:numPr>
        <w:tabs>
          <w:tab w:val="left" w:pos="1150"/>
        </w:tabs>
        <w:spacing w:before="154" w:after="0" w:line="261" w:lineRule="auto"/>
        <w:ind w:left="2650" w:right="988" w:hanging="2362"/>
        <w:jc w:val="both"/>
        <w:rPr>
          <w:sz w:val="21"/>
        </w:rPr>
      </w:pPr>
      <w:r>
        <w:rPr>
          <w:rFonts w:ascii="黑体" w:eastAsia="黑体"/>
          <w:position w:val="-1"/>
          <w:sz w:val="21"/>
        </w:rPr>
        <w:t xml:space="preserve">有效身份证件 </w:t>
      </w:r>
      <w:r>
        <w:rPr>
          <w:sz w:val="21"/>
        </w:rPr>
        <w:t>指由政府主管部门规定的证明其身份的证件，如：居民身份证、按规定可使用</w:t>
      </w:r>
      <w:r>
        <w:rPr>
          <w:spacing w:val="-2"/>
          <w:sz w:val="21"/>
        </w:rPr>
        <w:t>的有效护照、军官证、警官证、士兵证等证件。</w:t>
      </w:r>
    </w:p>
    <w:p>
      <w:pPr>
        <w:pStyle w:val="8"/>
        <w:numPr>
          <w:ilvl w:val="1"/>
          <w:numId w:val="15"/>
        </w:numPr>
        <w:tabs>
          <w:tab w:val="left" w:pos="1150"/>
        </w:tabs>
        <w:spacing w:before="159" w:after="0" w:line="259" w:lineRule="auto"/>
        <w:ind w:left="2650" w:right="988" w:hanging="2362"/>
        <w:jc w:val="both"/>
        <w:rPr>
          <w:sz w:val="21"/>
        </w:rPr>
      </w:pPr>
      <w:r>
        <w:rPr>
          <w:rFonts w:ascii="黑体" w:eastAsia="黑体"/>
          <w:spacing w:val="52"/>
          <w:position w:val="-1"/>
          <w:sz w:val="21"/>
        </w:rPr>
        <w:t xml:space="preserve">腺样体肥大 </w:t>
      </w:r>
      <w:r>
        <w:rPr>
          <w:sz w:val="21"/>
        </w:rPr>
        <w:t>指咽扁桃体增生，鼻咽部及其毗邻部位或腺样体自身的炎症反复刺激，使腺样</w:t>
      </w:r>
      <w:r>
        <w:rPr>
          <w:spacing w:val="-2"/>
          <w:sz w:val="21"/>
        </w:rPr>
        <w:t>体发生病理性增生。</w:t>
      </w:r>
    </w:p>
    <w:p>
      <w:pPr>
        <w:spacing w:after="0" w:line="259" w:lineRule="auto"/>
        <w:jc w:val="both"/>
        <w:rPr>
          <w:sz w:val="21"/>
        </w:rPr>
        <w:sectPr>
          <w:type w:val="continuous"/>
          <w:pgSz w:w="11910" w:h="16840"/>
          <w:pgMar w:top="180" w:right="220" w:bottom="280" w:left="900" w:header="720" w:footer="720" w:gutter="0"/>
          <w:cols w:space="720" w:num="1"/>
        </w:sectPr>
      </w:pPr>
    </w:p>
    <w:tbl>
      <w:tblPr>
        <w:tblStyle w:val="5"/>
        <w:tblW w:w="0" w:type="auto"/>
        <w:tblInd w:w="24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2"/>
        <w:gridCol w:w="1600"/>
        <w:gridCol w:w="74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92" w:type="dxa"/>
          </w:tcPr>
          <w:p>
            <w:pPr>
              <w:pStyle w:val="9"/>
              <w:spacing w:line="254" w:lineRule="exact"/>
              <w:ind w:left="50"/>
              <w:rPr>
                <w:rFonts w:ascii="黑体"/>
                <w:sz w:val="21"/>
              </w:rPr>
            </w:pPr>
            <w:r>
              <w:rPr>
                <w:rFonts w:ascii="黑体"/>
                <w:spacing w:val="-5"/>
                <w:sz w:val="21"/>
              </w:rPr>
              <w:t>7.5</w:t>
            </w:r>
          </w:p>
        </w:tc>
        <w:tc>
          <w:tcPr>
            <w:tcW w:w="1600" w:type="dxa"/>
          </w:tcPr>
          <w:p>
            <w:pPr>
              <w:pStyle w:val="9"/>
              <w:spacing w:line="254" w:lineRule="exact"/>
              <w:ind w:left="220"/>
              <w:rPr>
                <w:rFonts w:ascii="黑体" w:eastAsia="黑体"/>
                <w:sz w:val="21"/>
              </w:rPr>
            </w:pPr>
            <w:r>
              <w:rPr>
                <w:rFonts w:ascii="黑体" w:eastAsia="黑体"/>
                <w:spacing w:val="-5"/>
                <w:sz w:val="21"/>
              </w:rPr>
              <w:t>疝气</w:t>
            </w:r>
          </w:p>
        </w:tc>
        <w:tc>
          <w:tcPr>
            <w:tcW w:w="7441" w:type="dxa"/>
          </w:tcPr>
          <w:p>
            <w:pPr>
              <w:pStyle w:val="9"/>
              <w:spacing w:line="232" w:lineRule="exact"/>
              <w:ind w:left="120"/>
              <w:rPr>
                <w:sz w:val="21"/>
              </w:rPr>
            </w:pPr>
            <w:r>
              <w:rPr>
                <w:spacing w:val="-3"/>
                <w:sz w:val="21"/>
              </w:rPr>
              <w:t>指人体组织或器官一部分离开了原来的部位，通过人体间隙、缺损或薄弱部位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
              <w:ind w:left="120"/>
              <w:rPr>
                <w:sz w:val="21"/>
              </w:rPr>
            </w:pPr>
            <w:r>
              <w:rPr>
                <w:spacing w:val="-3"/>
                <w:sz w:val="21"/>
              </w:rPr>
              <w:t>进入另一部位；或胚胎时的裂隙未能完全闭合，遗留成为裂孔。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1" w:hRule="atLeast"/>
        </w:trPr>
        <w:tc>
          <w:tcPr>
            <w:tcW w:w="692" w:type="dxa"/>
          </w:tcPr>
          <w:p>
            <w:pPr>
              <w:pStyle w:val="9"/>
              <w:spacing w:before="108"/>
              <w:ind w:left="50"/>
              <w:rPr>
                <w:rFonts w:ascii="黑体"/>
                <w:sz w:val="21"/>
              </w:rPr>
            </w:pPr>
            <w:r>
              <w:rPr>
                <w:rFonts w:ascii="黑体"/>
                <w:spacing w:val="-5"/>
                <w:sz w:val="21"/>
              </w:rPr>
              <w:t>7.6</w:t>
            </w:r>
          </w:p>
        </w:tc>
        <w:tc>
          <w:tcPr>
            <w:tcW w:w="1600" w:type="dxa"/>
          </w:tcPr>
          <w:p>
            <w:pPr>
              <w:pStyle w:val="9"/>
              <w:spacing w:before="108"/>
              <w:ind w:left="220"/>
              <w:rPr>
                <w:rFonts w:ascii="黑体" w:eastAsia="黑体"/>
                <w:sz w:val="21"/>
              </w:rPr>
            </w:pPr>
            <w:r>
              <w:rPr>
                <w:rFonts w:ascii="黑体" w:eastAsia="黑体"/>
                <w:spacing w:val="-4"/>
                <w:sz w:val="21"/>
              </w:rPr>
              <w:t>扁桃体的疾病</w:t>
            </w:r>
          </w:p>
        </w:tc>
        <w:tc>
          <w:tcPr>
            <w:tcW w:w="7441" w:type="dxa"/>
          </w:tcPr>
          <w:p>
            <w:pPr>
              <w:pStyle w:val="9"/>
              <w:spacing w:before="84"/>
              <w:ind w:left="120"/>
              <w:rPr>
                <w:sz w:val="21"/>
              </w:rPr>
            </w:pPr>
            <w:r>
              <w:rPr>
                <w:spacing w:val="-3"/>
                <w:sz w:val="21"/>
              </w:rPr>
              <w:t>包括慢性扁桃体炎、扁桃体肿瘤和扁桃体切除术。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87"/>
              <w:ind w:left="50"/>
              <w:rPr>
                <w:rFonts w:ascii="黑体"/>
                <w:sz w:val="21"/>
              </w:rPr>
            </w:pPr>
            <w:r>
              <w:rPr>
                <w:rFonts w:ascii="黑体"/>
                <w:spacing w:val="-5"/>
                <w:sz w:val="21"/>
              </w:rPr>
              <w:t>7.7</w:t>
            </w:r>
          </w:p>
        </w:tc>
        <w:tc>
          <w:tcPr>
            <w:tcW w:w="1600" w:type="dxa"/>
          </w:tcPr>
          <w:p>
            <w:pPr>
              <w:pStyle w:val="9"/>
              <w:spacing w:before="87"/>
              <w:ind w:left="220"/>
              <w:rPr>
                <w:rFonts w:ascii="黑体" w:eastAsia="黑体"/>
                <w:sz w:val="21"/>
              </w:rPr>
            </w:pPr>
            <w:r>
              <w:rPr>
                <w:rFonts w:ascii="黑体" w:eastAsia="黑体"/>
                <w:spacing w:val="-5"/>
                <w:sz w:val="21"/>
              </w:rPr>
              <w:t>住院</w:t>
            </w:r>
          </w:p>
        </w:tc>
        <w:tc>
          <w:tcPr>
            <w:tcW w:w="7441" w:type="dxa"/>
          </w:tcPr>
          <w:p>
            <w:pPr>
              <w:pStyle w:val="9"/>
              <w:spacing w:before="87"/>
              <w:ind w:left="120"/>
              <w:rPr>
                <w:sz w:val="21"/>
              </w:rPr>
            </w:pPr>
            <w:r>
              <w:rPr>
                <w:spacing w:val="-3"/>
                <w:sz w:val="21"/>
              </w:rPr>
              <w:t>指被保险人确因临床需要入住医疗机构之正式病房进行治疗，并正式办理入出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8"/>
              <w:ind w:left="120"/>
              <w:rPr>
                <w:sz w:val="21"/>
              </w:rPr>
            </w:pPr>
            <w:r>
              <w:rPr>
                <w:spacing w:val="-2"/>
                <w:sz w:val="21"/>
              </w:rPr>
              <w:t>院手续，</w:t>
            </w:r>
            <w:r>
              <w:rPr>
                <w:color w:val="000000"/>
                <w:spacing w:val="-3"/>
                <w:sz w:val="21"/>
                <w:shd w:val="clear" w:color="auto" w:fill="D9D9D9"/>
              </w:rPr>
              <w:t>不包括入住门诊观察室、家庭病床、挂床住院及以及休养、疗养、身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6"/>
              <w:ind w:left="120"/>
              <w:rPr>
                <w:sz w:val="21"/>
              </w:rPr>
            </w:pPr>
            <w:r>
              <w:rPr>
                <w:color w:val="000000"/>
                <w:spacing w:val="-3"/>
                <w:sz w:val="21"/>
                <w:shd w:val="clear" w:color="auto" w:fill="D9D9D9"/>
              </w:rPr>
              <w:t>体检查和健康护理等非治疗性行为导致的住院。我们仅对离开日及以前属于保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6"/>
              <w:ind w:left="120"/>
              <w:rPr>
                <w:sz w:val="21"/>
              </w:rPr>
            </w:pPr>
            <w:r>
              <w:rPr>
                <w:color w:val="000000"/>
                <w:spacing w:val="-3"/>
                <w:sz w:val="21"/>
                <w:shd w:val="clear" w:color="auto" w:fill="D9D9D9"/>
              </w:rPr>
              <w:t>险责任范围内的住院治疗承担保险金给付责任。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89"/>
              <w:ind w:left="50"/>
              <w:rPr>
                <w:rFonts w:ascii="黑体"/>
                <w:sz w:val="21"/>
              </w:rPr>
            </w:pPr>
            <w:r>
              <w:rPr>
                <w:rFonts w:ascii="黑体"/>
                <w:spacing w:val="-5"/>
                <w:sz w:val="21"/>
              </w:rPr>
              <w:t>7.8</w:t>
            </w:r>
          </w:p>
        </w:tc>
        <w:tc>
          <w:tcPr>
            <w:tcW w:w="1600" w:type="dxa"/>
          </w:tcPr>
          <w:p>
            <w:pPr>
              <w:pStyle w:val="9"/>
              <w:spacing w:before="89"/>
              <w:ind w:left="220"/>
              <w:rPr>
                <w:rFonts w:ascii="黑体" w:eastAsia="黑体"/>
                <w:sz w:val="21"/>
              </w:rPr>
            </w:pPr>
            <w:r>
              <w:rPr>
                <w:rFonts w:ascii="黑体" w:eastAsia="黑体"/>
                <w:spacing w:val="-4"/>
                <w:sz w:val="21"/>
              </w:rPr>
              <w:t>意外伤害</w:t>
            </w:r>
          </w:p>
        </w:tc>
        <w:tc>
          <w:tcPr>
            <w:tcW w:w="7441" w:type="dxa"/>
          </w:tcPr>
          <w:p>
            <w:pPr>
              <w:pStyle w:val="9"/>
              <w:spacing w:before="89"/>
              <w:ind w:left="120"/>
              <w:rPr>
                <w:sz w:val="21"/>
              </w:rPr>
            </w:pPr>
            <w:r>
              <w:rPr>
                <w:spacing w:val="-3"/>
                <w:sz w:val="21"/>
              </w:rPr>
              <w:t>指遭受外来的、突发的、非本意的、非疾病的客观事件直接致使身体受到的伤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6"/>
              <w:ind w:left="120"/>
              <w:rPr>
                <w:sz w:val="21"/>
              </w:rPr>
            </w:pPr>
            <w:r>
              <w:rPr>
                <w:spacing w:val="-5"/>
                <w:sz w:val="21"/>
              </w:rPr>
              <w:t>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89"/>
              <w:ind w:left="50"/>
              <w:rPr>
                <w:rFonts w:ascii="黑体"/>
                <w:sz w:val="21"/>
              </w:rPr>
            </w:pPr>
            <w:r>
              <w:rPr>
                <w:rFonts w:ascii="黑体"/>
                <w:spacing w:val="-5"/>
                <w:sz w:val="21"/>
              </w:rPr>
              <w:t>7.9</w:t>
            </w:r>
          </w:p>
        </w:tc>
        <w:tc>
          <w:tcPr>
            <w:tcW w:w="1600" w:type="dxa"/>
          </w:tcPr>
          <w:p>
            <w:pPr>
              <w:pStyle w:val="9"/>
              <w:spacing w:before="89"/>
              <w:ind w:left="220"/>
              <w:rPr>
                <w:rFonts w:ascii="黑体" w:eastAsia="黑体"/>
                <w:sz w:val="21"/>
              </w:rPr>
            </w:pPr>
            <w:r>
              <w:rPr>
                <w:rFonts w:ascii="黑体" w:eastAsia="黑体"/>
                <w:spacing w:val="-4"/>
                <w:sz w:val="21"/>
              </w:rPr>
              <w:t>医疗必需且合</w:t>
            </w:r>
          </w:p>
        </w:tc>
        <w:tc>
          <w:tcPr>
            <w:tcW w:w="7441" w:type="dxa"/>
          </w:tcPr>
          <w:p>
            <w:pPr>
              <w:pStyle w:val="9"/>
              <w:spacing w:before="89"/>
              <w:ind w:left="120"/>
              <w:rPr>
                <w:sz w:val="21"/>
              </w:rPr>
            </w:pPr>
            <w:r>
              <w:rPr>
                <w:spacing w:val="-3"/>
                <w:sz w:val="21"/>
              </w:rPr>
              <w:t>指合理的、符合通常惯例且医疗必须的医疗费用。符合通常惯例指被保险人接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spacing w:before="16"/>
              <w:ind w:left="220"/>
              <w:rPr>
                <w:rFonts w:ascii="黑体" w:eastAsia="黑体"/>
                <w:sz w:val="21"/>
              </w:rPr>
            </w:pPr>
            <w:r>
              <w:rPr>
                <w:rFonts w:ascii="黑体" w:eastAsia="黑体"/>
                <w:w w:val="100"/>
                <w:sz w:val="21"/>
              </w:rPr>
              <w:t>理</w:t>
            </w:r>
          </w:p>
        </w:tc>
        <w:tc>
          <w:tcPr>
            <w:tcW w:w="7441" w:type="dxa"/>
          </w:tcPr>
          <w:p>
            <w:pPr>
              <w:pStyle w:val="9"/>
              <w:spacing w:before="16"/>
              <w:ind w:left="120"/>
              <w:rPr>
                <w:sz w:val="21"/>
              </w:rPr>
            </w:pPr>
            <w:r>
              <w:rPr>
                <w:spacing w:val="-3"/>
                <w:sz w:val="21"/>
              </w:rPr>
              <w:t>受的医疗服务满足以下条件：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8"/>
              <w:ind w:left="120"/>
              <w:rPr>
                <w:sz w:val="21"/>
              </w:rPr>
            </w:pPr>
            <w:r>
              <w:rPr>
                <w:spacing w:val="-6"/>
                <w:sz w:val="21"/>
              </w:rPr>
              <w:t>1）</w:t>
            </w:r>
            <w:r>
              <w:rPr>
                <w:spacing w:val="-10"/>
                <w:sz w:val="21"/>
              </w:rPr>
              <w:t>该服务满足医疗需要而且根据治疗当地通行治疗规范、采用了通行治疗方法；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6"/>
              <w:ind w:left="120"/>
              <w:rPr>
                <w:sz w:val="21"/>
              </w:rPr>
            </w:pPr>
            <w:r>
              <w:rPr>
                <w:spacing w:val="-4"/>
                <w:sz w:val="21"/>
              </w:rPr>
              <w:t>2）</w:t>
            </w:r>
            <w:r>
              <w:rPr>
                <w:spacing w:val="-5"/>
                <w:sz w:val="21"/>
              </w:rPr>
              <w:t>医疗费用没有超过当地对类似情形治疗的常规费用，类似情形是指在同一地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7"/>
              <w:ind w:left="120"/>
              <w:rPr>
                <w:sz w:val="21"/>
              </w:rPr>
            </w:pPr>
            <w:r>
              <w:rPr>
                <w:spacing w:val="-3"/>
                <w:sz w:val="21"/>
              </w:rPr>
              <w:t>区、对相同性别、近似年龄的人所患的同类疾病或身体伤害实施的类似治疗或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8"/>
              <w:ind w:left="120"/>
              <w:rPr>
                <w:sz w:val="21"/>
              </w:rPr>
            </w:pPr>
            <w:r>
              <w:rPr>
                <w:spacing w:val="-4"/>
                <w:sz w:val="21"/>
              </w:rPr>
              <w:t>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6"/>
              <w:ind w:left="120"/>
              <w:rPr>
                <w:sz w:val="21"/>
              </w:rPr>
            </w:pPr>
            <w:r>
              <w:rPr>
                <w:spacing w:val="-3"/>
                <w:sz w:val="21"/>
              </w:rPr>
              <w:t>医疗必需指针对意外伤害或疾病本身的医疗服务及医疗费用满足以下条件：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7"/>
              <w:ind w:left="120"/>
              <w:rPr>
                <w:sz w:val="21"/>
              </w:rPr>
            </w:pPr>
            <w:r>
              <w:rPr>
                <w:spacing w:val="-4"/>
                <w:sz w:val="21"/>
              </w:rPr>
              <w:t>1）</w:t>
            </w:r>
            <w:r>
              <w:rPr>
                <w:spacing w:val="-5"/>
                <w:sz w:val="21"/>
              </w:rPr>
              <w:t>治疗意外伤害或疾病合适且必须的、有医生处方的，且为不超过安全、足量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8"/>
              <w:ind w:left="120"/>
              <w:rPr>
                <w:sz w:val="21"/>
              </w:rPr>
            </w:pPr>
            <w:r>
              <w:rPr>
                <w:spacing w:val="-3"/>
                <w:sz w:val="21"/>
              </w:rPr>
              <w:t>治疗原则及非试验性的、非研究性的项目；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6"/>
              <w:ind w:left="120"/>
              <w:rPr>
                <w:sz w:val="21"/>
              </w:rPr>
            </w:pPr>
            <w:r>
              <w:rPr>
                <w:spacing w:val="-2"/>
                <w:sz w:val="21"/>
              </w:rPr>
              <w:t>2）</w:t>
            </w:r>
            <w:r>
              <w:rPr>
                <w:spacing w:val="-3"/>
                <w:sz w:val="21"/>
              </w:rPr>
              <w:t>与接受治疗当地普遍接受的医疗专业实践标准一致；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7"/>
              <w:ind w:left="120"/>
              <w:rPr>
                <w:sz w:val="21"/>
              </w:rPr>
            </w:pPr>
            <w:r>
              <w:rPr>
                <w:spacing w:val="-2"/>
                <w:sz w:val="21"/>
              </w:rPr>
              <w:t>3）</w:t>
            </w:r>
            <w:r>
              <w:rPr>
                <w:spacing w:val="-3"/>
                <w:sz w:val="21"/>
              </w:rPr>
              <w:t>非为了医师或其他医疗提供方的方便；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8"/>
              <w:ind w:left="120"/>
              <w:rPr>
                <w:sz w:val="21"/>
              </w:rPr>
            </w:pPr>
            <w:r>
              <w:rPr>
                <w:spacing w:val="-2"/>
                <w:sz w:val="21"/>
              </w:rPr>
              <w:t>4）</w:t>
            </w:r>
            <w:r>
              <w:rPr>
                <w:spacing w:val="-3"/>
                <w:sz w:val="21"/>
              </w:rPr>
              <w:t>接受的医疗服务范围是合适的而且经济有效的。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6"/>
              <w:ind w:left="120"/>
              <w:rPr>
                <w:sz w:val="21"/>
              </w:rPr>
            </w:pPr>
            <w:r>
              <w:rPr>
                <w:color w:val="000000"/>
                <w:spacing w:val="-3"/>
                <w:sz w:val="21"/>
                <w:shd w:val="clear" w:color="auto" w:fill="D9D9D9"/>
              </w:rPr>
              <w:t>对是否医疗必需由我们理赔人员根据客观、审慎、合理的原则进行审核；如果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7"/>
              <w:ind w:left="120"/>
              <w:rPr>
                <w:sz w:val="21"/>
              </w:rPr>
            </w:pPr>
            <w:r>
              <w:rPr>
                <w:color w:val="000000"/>
                <w:spacing w:val="-3"/>
                <w:sz w:val="21"/>
                <w:shd w:val="clear" w:color="auto" w:fill="D9D9D9"/>
              </w:rPr>
              <w:t>被保险人对审核结果有不同意见，可由双方认同的权威医学机构或者权威医学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41" w:type="dxa"/>
          </w:tcPr>
          <w:p>
            <w:pPr>
              <w:pStyle w:val="9"/>
              <w:spacing w:before="18"/>
              <w:ind w:left="120"/>
              <w:rPr>
                <w:sz w:val="21"/>
              </w:rPr>
            </w:pPr>
            <w:r>
              <w:rPr>
                <w:color w:val="000000"/>
                <w:spacing w:val="-3"/>
                <w:sz w:val="21"/>
                <w:shd w:val="clear" w:color="auto" w:fill="D9D9D9"/>
              </w:rPr>
              <w:t>专家进行审核鉴定。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6" w:hRule="atLeast"/>
        </w:trPr>
        <w:tc>
          <w:tcPr>
            <w:tcW w:w="692" w:type="dxa"/>
          </w:tcPr>
          <w:p>
            <w:pPr>
              <w:pStyle w:val="9"/>
              <w:spacing w:before="99"/>
              <w:ind w:left="50"/>
              <w:rPr>
                <w:rFonts w:ascii="黑体"/>
                <w:sz w:val="21"/>
              </w:rPr>
            </w:pPr>
            <w:r>
              <w:rPr>
                <w:rFonts w:ascii="黑体"/>
                <w:spacing w:val="-4"/>
                <w:sz w:val="21"/>
              </w:rPr>
              <w:t>7.10</w:t>
            </w:r>
          </w:p>
        </w:tc>
        <w:tc>
          <w:tcPr>
            <w:tcW w:w="1600" w:type="dxa"/>
          </w:tcPr>
          <w:p>
            <w:pPr>
              <w:pStyle w:val="9"/>
              <w:spacing w:before="99"/>
              <w:ind w:left="220"/>
              <w:rPr>
                <w:rFonts w:ascii="黑体" w:eastAsia="黑体"/>
                <w:sz w:val="21"/>
              </w:rPr>
            </w:pPr>
            <w:r>
              <w:rPr>
                <w:rFonts w:ascii="黑体" w:eastAsia="黑体"/>
                <w:spacing w:val="-4"/>
                <w:sz w:val="21"/>
              </w:rPr>
              <w:t>住院医疗费用</w:t>
            </w:r>
          </w:p>
        </w:tc>
        <w:tc>
          <w:tcPr>
            <w:tcW w:w="7441" w:type="dxa"/>
          </w:tcPr>
          <w:p>
            <w:pPr>
              <w:pStyle w:val="9"/>
              <w:spacing w:before="75"/>
              <w:ind w:left="120"/>
              <w:rPr>
                <w:sz w:val="21"/>
              </w:rPr>
            </w:pPr>
            <w:r>
              <w:rPr>
                <w:spacing w:val="-3"/>
                <w:sz w:val="21"/>
              </w:rPr>
              <w:t>被保险人住院期间发生的医疗费用，包括：</w:t>
            </w:r>
          </w:p>
          <w:p>
            <w:pPr>
              <w:pStyle w:val="9"/>
              <w:spacing w:before="43"/>
              <w:ind w:left="120"/>
              <w:rPr>
                <w:sz w:val="21"/>
              </w:rPr>
            </w:pPr>
            <w:r>
              <w:rPr>
                <w:spacing w:val="-4"/>
                <w:sz w:val="21"/>
              </w:rPr>
              <w:t>1、床位费：住院期间实际发生的、</w:t>
            </w:r>
            <w:r>
              <w:rPr>
                <w:color w:val="000000"/>
                <w:spacing w:val="-4"/>
                <w:sz w:val="21"/>
                <w:shd w:val="clear" w:color="auto" w:fill="D9D9D9"/>
              </w:rPr>
              <w:t>不高于标准单人病房（或私人病房）</w:t>
            </w:r>
            <w:r>
              <w:rPr>
                <w:color w:val="000000"/>
                <w:spacing w:val="-7"/>
                <w:sz w:val="21"/>
              </w:rPr>
              <w:t>的住院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2292" w:type="dxa"/>
            <w:gridSpan w:val="2"/>
            <w:vMerge w:val="restart"/>
          </w:tcPr>
          <w:p>
            <w:pPr>
              <w:pStyle w:val="9"/>
              <w:rPr>
                <w:rFonts w:ascii="Times New Roman"/>
                <w:sz w:val="20"/>
              </w:rPr>
            </w:pPr>
          </w:p>
        </w:tc>
        <w:tc>
          <w:tcPr>
            <w:tcW w:w="7441" w:type="dxa"/>
          </w:tcPr>
          <w:p>
            <w:pPr>
              <w:pStyle w:val="9"/>
              <w:spacing w:before="13"/>
              <w:ind w:left="120"/>
              <w:rPr>
                <w:sz w:val="21"/>
              </w:rPr>
            </w:pPr>
            <w:r>
              <w:rPr>
                <w:spacing w:val="-2"/>
                <w:sz w:val="21"/>
              </w:rPr>
              <w:t>床位费（</w:t>
            </w:r>
            <w:r>
              <w:rPr>
                <w:color w:val="000000"/>
                <w:spacing w:val="-2"/>
                <w:sz w:val="21"/>
                <w:shd w:val="clear" w:color="auto" w:fill="D9D9D9"/>
              </w:rPr>
              <w:t>不包括套房、家庭病床</w:t>
            </w:r>
            <w:r>
              <w:rPr>
                <w:color w:val="000000"/>
                <w:spacing w:val="-2"/>
                <w:sz w:val="21"/>
              </w:rPr>
              <w:t>）</w:t>
            </w:r>
            <w:r>
              <w:rPr>
                <w:color w:val="000000"/>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rPr>
        <w:tc>
          <w:tcPr>
            <w:tcW w:w="2292" w:type="dxa"/>
            <w:gridSpan w:val="2"/>
            <w:vMerge w:val="continue"/>
            <w:tcBorders>
              <w:top w:val="nil"/>
            </w:tcBorders>
          </w:tcPr>
          <w:p>
            <w:pPr>
              <w:rPr>
                <w:sz w:val="2"/>
                <w:szCs w:val="2"/>
              </w:rPr>
            </w:pPr>
          </w:p>
        </w:tc>
        <w:tc>
          <w:tcPr>
            <w:tcW w:w="7441" w:type="dxa"/>
          </w:tcPr>
          <w:p>
            <w:pPr>
              <w:pStyle w:val="9"/>
              <w:spacing w:before="25"/>
              <w:ind w:left="120"/>
              <w:rPr>
                <w:sz w:val="21"/>
              </w:rPr>
            </w:pPr>
            <w:r>
              <w:rPr>
                <w:spacing w:val="-4"/>
                <w:sz w:val="21"/>
              </w:rPr>
              <w:t>2</w:t>
            </w:r>
            <w:r>
              <w:rPr>
                <w:spacing w:val="-5"/>
                <w:sz w:val="21"/>
              </w:rPr>
              <w:t>、膳食费：住院期间实际发生的、由医院提供的合理的、符合惯常标准的膳食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292" w:type="dxa"/>
            <w:gridSpan w:val="2"/>
            <w:vMerge w:val="continue"/>
            <w:tcBorders>
              <w:top w:val="nil"/>
            </w:tcBorders>
          </w:tcPr>
          <w:p>
            <w:pPr>
              <w:rPr>
                <w:sz w:val="2"/>
                <w:szCs w:val="2"/>
              </w:rPr>
            </w:pPr>
          </w:p>
        </w:tc>
        <w:tc>
          <w:tcPr>
            <w:tcW w:w="7441" w:type="dxa"/>
          </w:tcPr>
          <w:p>
            <w:pPr>
              <w:pStyle w:val="9"/>
              <w:spacing w:before="17"/>
              <w:ind w:left="120"/>
              <w:rPr>
                <w:sz w:val="21"/>
              </w:rPr>
            </w:pPr>
            <w:r>
              <w:rPr>
                <w:spacing w:val="-2"/>
                <w:sz w:val="21"/>
              </w:rPr>
              <w:t>费用，但</w:t>
            </w:r>
            <w:r>
              <w:rPr>
                <w:color w:val="000000"/>
                <w:spacing w:val="-3"/>
                <w:sz w:val="21"/>
                <w:shd w:val="clear" w:color="auto" w:fill="D9D9D9"/>
              </w:rPr>
              <w:t>不包括住院期间购买的个人用品。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1" w:hRule="atLeast"/>
        </w:trPr>
        <w:tc>
          <w:tcPr>
            <w:tcW w:w="2292" w:type="dxa"/>
            <w:gridSpan w:val="2"/>
            <w:vMerge w:val="continue"/>
            <w:tcBorders>
              <w:top w:val="nil"/>
            </w:tcBorders>
          </w:tcPr>
          <w:p>
            <w:pPr>
              <w:rPr>
                <w:sz w:val="2"/>
                <w:szCs w:val="2"/>
              </w:rPr>
            </w:pPr>
          </w:p>
        </w:tc>
        <w:tc>
          <w:tcPr>
            <w:tcW w:w="7441" w:type="dxa"/>
          </w:tcPr>
          <w:p>
            <w:pPr>
              <w:pStyle w:val="9"/>
              <w:spacing w:before="18"/>
              <w:ind w:left="120"/>
              <w:rPr>
                <w:sz w:val="21"/>
              </w:rPr>
            </w:pPr>
            <w:r>
              <w:rPr>
                <w:spacing w:val="-2"/>
                <w:sz w:val="21"/>
              </w:rPr>
              <w:t>3</w:t>
            </w:r>
            <w:r>
              <w:rPr>
                <w:spacing w:val="-3"/>
                <w:sz w:val="21"/>
              </w:rPr>
              <w:t>、护理费：住院期间根据医嘱所示的护理等级确定的护理费用。</w:t>
            </w:r>
          </w:p>
          <w:p>
            <w:pPr>
              <w:pStyle w:val="9"/>
              <w:spacing w:before="26"/>
              <w:ind w:left="120"/>
              <w:rPr>
                <w:sz w:val="21"/>
              </w:rPr>
            </w:pPr>
            <w:r>
              <w:rPr>
                <w:color w:val="000000"/>
                <w:spacing w:val="-4"/>
                <w:sz w:val="21"/>
                <w:shd w:val="clear" w:color="auto" w:fill="D9D9D9"/>
              </w:rPr>
              <w:t xml:space="preserve">在每一保单年度内，我们仅对被保险人住院累计 </w:t>
            </w:r>
            <w:r>
              <w:rPr>
                <w:color w:val="000000"/>
                <w:spacing w:val="-2"/>
                <w:sz w:val="21"/>
                <w:shd w:val="clear" w:color="auto" w:fill="D9D9D9"/>
              </w:rPr>
              <w:t>180</w:t>
            </w:r>
            <w:r>
              <w:rPr>
                <w:color w:val="000000"/>
                <w:spacing w:val="-9"/>
                <w:sz w:val="21"/>
                <w:shd w:val="clear" w:color="auto" w:fill="D9D9D9"/>
              </w:rPr>
              <w:t xml:space="preserve"> 日内发生的床位费、膳食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trPr>
        <w:tc>
          <w:tcPr>
            <w:tcW w:w="2292" w:type="dxa"/>
            <w:gridSpan w:val="2"/>
            <w:vMerge w:val="continue"/>
            <w:tcBorders>
              <w:top w:val="nil"/>
            </w:tcBorders>
          </w:tcPr>
          <w:p>
            <w:pPr>
              <w:rPr>
                <w:sz w:val="2"/>
                <w:szCs w:val="2"/>
              </w:rPr>
            </w:pPr>
          </w:p>
        </w:tc>
        <w:tc>
          <w:tcPr>
            <w:tcW w:w="7441" w:type="dxa"/>
          </w:tcPr>
          <w:p>
            <w:pPr>
              <w:pStyle w:val="9"/>
              <w:spacing w:before="13"/>
              <w:ind w:left="120"/>
              <w:rPr>
                <w:sz w:val="21"/>
              </w:rPr>
            </w:pPr>
            <w:r>
              <w:rPr>
                <w:color w:val="000000"/>
                <w:spacing w:val="-3"/>
                <w:sz w:val="21"/>
                <w:shd w:val="clear" w:color="auto" w:fill="D9D9D9"/>
              </w:rPr>
              <w:t>费、护理费承担保险责任。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rPr>
        <w:tc>
          <w:tcPr>
            <w:tcW w:w="2292" w:type="dxa"/>
            <w:gridSpan w:val="2"/>
            <w:vMerge w:val="continue"/>
            <w:tcBorders>
              <w:top w:val="nil"/>
            </w:tcBorders>
          </w:tcPr>
          <w:p>
            <w:pPr>
              <w:rPr>
                <w:sz w:val="2"/>
                <w:szCs w:val="2"/>
              </w:rPr>
            </w:pPr>
          </w:p>
        </w:tc>
        <w:tc>
          <w:tcPr>
            <w:tcW w:w="7441" w:type="dxa"/>
          </w:tcPr>
          <w:p>
            <w:pPr>
              <w:pStyle w:val="9"/>
              <w:spacing w:before="25"/>
              <w:ind w:left="120"/>
              <w:rPr>
                <w:sz w:val="21"/>
              </w:rPr>
            </w:pPr>
            <w:r>
              <w:rPr>
                <w:spacing w:val="-4"/>
                <w:sz w:val="21"/>
              </w:rPr>
              <w:t>4</w:t>
            </w:r>
            <w:r>
              <w:rPr>
                <w:spacing w:val="-5"/>
                <w:sz w:val="21"/>
              </w:rPr>
              <w:t>、检查检验费：住院期间实际发生的，以诊断疾病为目的，采取必要的医学手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292" w:type="dxa"/>
            <w:gridSpan w:val="2"/>
            <w:vMerge w:val="continue"/>
            <w:tcBorders>
              <w:top w:val="nil"/>
            </w:tcBorders>
          </w:tcPr>
          <w:p>
            <w:pPr>
              <w:rPr>
                <w:sz w:val="2"/>
                <w:szCs w:val="2"/>
              </w:rPr>
            </w:pPr>
          </w:p>
        </w:tc>
        <w:tc>
          <w:tcPr>
            <w:tcW w:w="7441" w:type="dxa"/>
          </w:tcPr>
          <w:p>
            <w:pPr>
              <w:pStyle w:val="9"/>
              <w:spacing w:before="17"/>
              <w:ind w:left="120"/>
              <w:rPr>
                <w:sz w:val="21"/>
              </w:rPr>
            </w:pPr>
            <w:r>
              <w:rPr>
                <w:spacing w:val="-2"/>
                <w:sz w:val="21"/>
              </w:rPr>
              <w:t>段进行检查及检验而发生的合理的医疗费用，包括诊查费、妇检费、X</w:t>
            </w:r>
            <w:r>
              <w:rPr>
                <w:spacing w:val="2"/>
                <w:sz w:val="21"/>
              </w:rPr>
              <w:t xml:space="preserve"> 光费、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292" w:type="dxa"/>
            <w:gridSpan w:val="2"/>
            <w:vMerge w:val="continue"/>
            <w:tcBorders>
              <w:top w:val="nil"/>
            </w:tcBorders>
          </w:tcPr>
          <w:p>
            <w:pPr>
              <w:rPr>
                <w:sz w:val="2"/>
                <w:szCs w:val="2"/>
              </w:rPr>
            </w:pPr>
          </w:p>
        </w:tc>
        <w:tc>
          <w:tcPr>
            <w:tcW w:w="7441" w:type="dxa"/>
          </w:tcPr>
          <w:p>
            <w:pPr>
              <w:pStyle w:val="9"/>
              <w:spacing w:before="18"/>
              <w:ind w:left="120"/>
              <w:rPr>
                <w:sz w:val="21"/>
              </w:rPr>
            </w:pPr>
            <w:r>
              <w:rPr>
                <w:spacing w:val="-4"/>
                <w:sz w:val="21"/>
              </w:rPr>
              <w:t>心电图费、B</w:t>
            </w:r>
            <w:r>
              <w:rPr>
                <w:spacing w:val="-5"/>
                <w:sz w:val="21"/>
              </w:rPr>
              <w:t xml:space="preserve"> 超费、脑电图费、内窥镜费、肺功能仪费、分子生化检查费和血、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292" w:type="dxa"/>
            <w:gridSpan w:val="2"/>
            <w:vMerge w:val="continue"/>
            <w:tcBorders>
              <w:top w:val="nil"/>
            </w:tcBorders>
          </w:tcPr>
          <w:p>
            <w:pPr>
              <w:rPr>
                <w:sz w:val="2"/>
                <w:szCs w:val="2"/>
              </w:rPr>
            </w:pPr>
          </w:p>
        </w:tc>
        <w:tc>
          <w:tcPr>
            <w:tcW w:w="7441" w:type="dxa"/>
          </w:tcPr>
          <w:p>
            <w:pPr>
              <w:pStyle w:val="9"/>
              <w:spacing w:before="16"/>
              <w:ind w:left="120"/>
              <w:rPr>
                <w:sz w:val="21"/>
              </w:rPr>
            </w:pPr>
            <w:r>
              <w:rPr>
                <w:spacing w:val="-3"/>
                <w:sz w:val="21"/>
              </w:rPr>
              <w:t>尿、便常规检查费等。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292" w:type="dxa"/>
            <w:gridSpan w:val="2"/>
            <w:vMerge w:val="continue"/>
            <w:tcBorders>
              <w:top w:val="nil"/>
            </w:tcBorders>
          </w:tcPr>
          <w:p>
            <w:pPr>
              <w:rPr>
                <w:sz w:val="2"/>
                <w:szCs w:val="2"/>
              </w:rPr>
            </w:pPr>
          </w:p>
        </w:tc>
        <w:tc>
          <w:tcPr>
            <w:tcW w:w="7441" w:type="dxa"/>
          </w:tcPr>
          <w:p>
            <w:pPr>
              <w:pStyle w:val="9"/>
              <w:spacing w:before="17"/>
              <w:ind w:left="120"/>
              <w:rPr>
                <w:sz w:val="21"/>
              </w:rPr>
            </w:pPr>
            <w:r>
              <w:rPr>
                <w:spacing w:val="-4"/>
                <w:sz w:val="21"/>
              </w:rPr>
              <w:t>5</w:t>
            </w:r>
            <w:r>
              <w:rPr>
                <w:spacing w:val="-5"/>
                <w:sz w:val="21"/>
              </w:rPr>
              <w:t>、治疗费：住院期间以治疗疾病为目的，提供必要的医学手段而发生的合理的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292" w:type="dxa"/>
            <w:gridSpan w:val="2"/>
            <w:vMerge w:val="continue"/>
            <w:tcBorders>
              <w:top w:val="nil"/>
            </w:tcBorders>
          </w:tcPr>
          <w:p>
            <w:pPr>
              <w:rPr>
                <w:sz w:val="2"/>
                <w:szCs w:val="2"/>
              </w:rPr>
            </w:pPr>
          </w:p>
        </w:tc>
        <w:tc>
          <w:tcPr>
            <w:tcW w:w="7441" w:type="dxa"/>
          </w:tcPr>
          <w:p>
            <w:pPr>
              <w:pStyle w:val="9"/>
              <w:spacing w:before="18"/>
              <w:ind w:left="120"/>
              <w:rPr>
                <w:sz w:val="21"/>
              </w:rPr>
            </w:pPr>
            <w:r>
              <w:rPr>
                <w:spacing w:val="-5"/>
                <w:sz w:val="21"/>
              </w:rPr>
              <w:t>治疗者的技术劳务费和医疗器械使用费，以及消耗品的费用，包括放射疗法费、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292" w:type="dxa"/>
            <w:gridSpan w:val="2"/>
            <w:vMerge w:val="continue"/>
            <w:tcBorders>
              <w:top w:val="nil"/>
            </w:tcBorders>
          </w:tcPr>
          <w:p>
            <w:pPr>
              <w:rPr>
                <w:sz w:val="2"/>
                <w:szCs w:val="2"/>
              </w:rPr>
            </w:pPr>
          </w:p>
        </w:tc>
        <w:tc>
          <w:tcPr>
            <w:tcW w:w="7441" w:type="dxa"/>
          </w:tcPr>
          <w:p>
            <w:pPr>
              <w:pStyle w:val="9"/>
              <w:spacing w:before="17"/>
              <w:ind w:left="120"/>
              <w:rPr>
                <w:sz w:val="21"/>
              </w:rPr>
            </w:pPr>
            <w:r>
              <w:rPr>
                <w:spacing w:val="-3"/>
                <w:sz w:val="21"/>
              </w:rPr>
              <w:t>化学疗法费、注射费、机疗费、理疗费、输血费、输氧费、体外反搏费等。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292" w:type="dxa"/>
            <w:gridSpan w:val="2"/>
            <w:vMerge w:val="continue"/>
            <w:tcBorders>
              <w:top w:val="nil"/>
            </w:tcBorders>
          </w:tcPr>
          <w:p>
            <w:pPr>
              <w:rPr>
                <w:sz w:val="2"/>
                <w:szCs w:val="2"/>
              </w:rPr>
            </w:pPr>
          </w:p>
        </w:tc>
        <w:tc>
          <w:tcPr>
            <w:tcW w:w="7441" w:type="dxa"/>
          </w:tcPr>
          <w:p>
            <w:pPr>
              <w:pStyle w:val="9"/>
              <w:spacing w:before="17"/>
              <w:ind w:left="120"/>
              <w:rPr>
                <w:sz w:val="21"/>
              </w:rPr>
            </w:pPr>
            <w:r>
              <w:rPr>
                <w:spacing w:val="-4"/>
                <w:sz w:val="21"/>
              </w:rPr>
              <w:t>6</w:t>
            </w:r>
            <w:r>
              <w:rPr>
                <w:spacing w:val="-5"/>
                <w:sz w:val="21"/>
              </w:rPr>
              <w:t>、药品费：住院期间实际发生的医疗必需且合理的由医生开具的具有国家药品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2292" w:type="dxa"/>
            <w:gridSpan w:val="2"/>
            <w:vMerge w:val="continue"/>
            <w:tcBorders>
              <w:top w:val="nil"/>
            </w:tcBorders>
          </w:tcPr>
          <w:p>
            <w:pPr>
              <w:rPr>
                <w:sz w:val="2"/>
                <w:szCs w:val="2"/>
              </w:rPr>
            </w:pPr>
          </w:p>
        </w:tc>
        <w:tc>
          <w:tcPr>
            <w:tcW w:w="7441" w:type="dxa"/>
          </w:tcPr>
          <w:p>
            <w:pPr>
              <w:pStyle w:val="9"/>
              <w:spacing w:before="18" w:line="228" w:lineRule="exact"/>
              <w:ind w:left="120"/>
              <w:rPr>
                <w:sz w:val="21"/>
              </w:rPr>
            </w:pPr>
            <w:r>
              <w:rPr>
                <w:spacing w:val="-3"/>
                <w:sz w:val="21"/>
              </w:rPr>
              <w:t>监督管理部门核发的药品批准文号或者进口药品注册证书、医药产品注册证书</w:t>
            </w:r>
          </w:p>
        </w:tc>
      </w:tr>
    </w:tbl>
    <w:p>
      <w:pPr>
        <w:spacing w:after="0" w:line="228" w:lineRule="exact"/>
        <w:rPr>
          <w:sz w:val="21"/>
        </w:rPr>
        <w:sectPr>
          <w:pgSz w:w="11910" w:h="16840"/>
          <w:pgMar w:top="1460" w:right="220" w:bottom="1571" w:left="900" w:header="720" w:footer="720" w:gutter="0"/>
          <w:cols w:space="720" w:num="1"/>
        </w:sectPr>
      </w:pPr>
    </w:p>
    <w:tbl>
      <w:tblPr>
        <w:tblStyle w:val="5"/>
        <w:tblW w:w="0" w:type="auto"/>
        <w:tblInd w:w="24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2"/>
        <w:gridCol w:w="1600"/>
        <w:gridCol w:w="74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692" w:type="dxa"/>
          </w:tcPr>
          <w:p>
            <w:pPr>
              <w:pStyle w:val="9"/>
              <w:rPr>
                <w:rFonts w:ascii="Times New Roman"/>
                <w:sz w:val="18"/>
              </w:rPr>
            </w:pPr>
          </w:p>
        </w:tc>
        <w:tc>
          <w:tcPr>
            <w:tcW w:w="1600" w:type="dxa"/>
          </w:tcPr>
          <w:p>
            <w:pPr>
              <w:pStyle w:val="9"/>
              <w:rPr>
                <w:rFonts w:ascii="Times New Roman"/>
                <w:sz w:val="18"/>
              </w:rPr>
            </w:pPr>
          </w:p>
        </w:tc>
        <w:tc>
          <w:tcPr>
            <w:tcW w:w="7417" w:type="dxa"/>
          </w:tcPr>
          <w:p>
            <w:pPr>
              <w:pStyle w:val="9"/>
              <w:spacing w:line="236" w:lineRule="exact"/>
              <w:ind w:left="120"/>
              <w:rPr>
                <w:sz w:val="21"/>
              </w:rPr>
            </w:pPr>
            <w:r>
              <w:rPr>
                <w:spacing w:val="-3"/>
                <w:sz w:val="21"/>
              </w:rPr>
              <w:t>的国产或进口药品的费用。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2"/>
                <w:sz w:val="21"/>
              </w:rPr>
              <w:t>7</w:t>
            </w:r>
            <w:r>
              <w:rPr>
                <w:spacing w:val="-3"/>
                <w:sz w:val="21"/>
              </w:rPr>
              <w:t>、医生费：包括外科医生、麻醉师、内科医生、专科医生的费用。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4"/>
                <w:sz w:val="21"/>
              </w:rPr>
              <w:t>8</w:t>
            </w:r>
            <w:r>
              <w:rPr>
                <w:spacing w:val="-5"/>
                <w:sz w:val="21"/>
              </w:rPr>
              <w:t>、非器官移植手术费：住院期间为治疗疾病、挽救生命而施行的非器官移植手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3"/>
                <w:sz w:val="21"/>
              </w:rPr>
              <w:t>术产生的合理的手术医疗费用，包括手术室费、恢复室费、麻醉费、手术监测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3"/>
                <w:sz w:val="21"/>
              </w:rPr>
              <w:t>费、手术辅助费、材料费、一次性用品费、术中用药费、手术设备费。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4"/>
                <w:sz w:val="21"/>
              </w:rPr>
              <w:t>9</w:t>
            </w:r>
            <w:r>
              <w:rPr>
                <w:spacing w:val="-5"/>
                <w:sz w:val="21"/>
              </w:rPr>
              <w:t>、特定器官移植手术费：住院期间出于医学必要被保险人接受肾脏、肝脏、心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3"/>
                <w:sz w:val="21"/>
              </w:rPr>
              <w:t>脏、肺以及造血干细胞移植手术产生的合理手术医疗费用，包括手术室费、恢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3"/>
                <w:sz w:val="21"/>
              </w:rPr>
              <w:t>复室费、麻醉费、手术监测费、手术辅助费、材料费、一次性用品费、术中用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3"/>
                <w:sz w:val="21"/>
              </w:rPr>
              <w:t>药费、手术设备费。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2"/>
                <w:sz w:val="21"/>
              </w:rPr>
              <w:t>10</w:t>
            </w:r>
            <w:r>
              <w:rPr>
                <w:spacing w:val="-3"/>
                <w:sz w:val="21"/>
              </w:rPr>
              <w:t>、重症监护病房床位费：住院期间出于医学必要被保险人需在重症监护室进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3"/>
                <w:sz w:val="21"/>
              </w:rPr>
              <w:t>行医疗必需且合理的医疗而产生的床位费。重症监护室指配有中心监护台、心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4"/>
                <w:sz w:val="21"/>
              </w:rPr>
              <w:t>电监护仪及其他监护抢救设施，相对封闭管理，符合重症监护病房（ICU）</w:t>
            </w:r>
            <w:r>
              <w:rPr>
                <w:spacing w:val="-7"/>
                <w:sz w:val="21"/>
              </w:rPr>
              <w:t>、冠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2"/>
                <w:sz w:val="21"/>
              </w:rPr>
              <w:t>心病重症监护病房（CCU）</w:t>
            </w:r>
            <w:r>
              <w:rPr>
                <w:spacing w:val="-3"/>
                <w:sz w:val="21"/>
              </w:rPr>
              <w:t>标准的单人或多人监护病房。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2"/>
                <w:sz w:val="21"/>
              </w:rPr>
              <w:t>11</w:t>
            </w:r>
            <w:r>
              <w:rPr>
                <w:spacing w:val="-3"/>
                <w:sz w:val="21"/>
              </w:rPr>
              <w:t>、救护车费：指住院期间以抢救生命或治疗疾病为目的，根据医生建议，被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0"/>
              <w:ind w:left="120"/>
              <w:rPr>
                <w:sz w:val="21"/>
              </w:rPr>
            </w:pPr>
            <w:r>
              <w:rPr>
                <w:spacing w:val="-2"/>
                <w:sz w:val="21"/>
              </w:rPr>
              <w:t>保险人需医院转诊过程中的医院用车费用，</w:t>
            </w:r>
            <w:r>
              <w:rPr>
                <w:color w:val="000000"/>
                <w:spacing w:val="-3"/>
                <w:sz w:val="21"/>
                <w:shd w:val="clear" w:color="auto" w:fill="D9D9D9"/>
              </w:rPr>
              <w:t>且救护车的使用仅限于同一城市中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color w:val="000000"/>
                <w:spacing w:val="-4"/>
                <w:sz w:val="21"/>
                <w:shd w:val="clear" w:color="auto" w:fill="D9D9D9"/>
              </w:rPr>
              <w:t>的医疗运送。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692" w:type="dxa"/>
          </w:tcPr>
          <w:p>
            <w:pPr>
              <w:pStyle w:val="9"/>
              <w:spacing w:before="91"/>
              <w:ind w:left="50"/>
              <w:rPr>
                <w:rFonts w:ascii="黑体"/>
                <w:sz w:val="21"/>
              </w:rPr>
            </w:pPr>
            <w:r>
              <w:rPr>
                <w:rFonts w:ascii="黑体"/>
                <w:spacing w:val="-4"/>
                <w:sz w:val="21"/>
              </w:rPr>
              <w:t>7.11</w:t>
            </w:r>
          </w:p>
        </w:tc>
        <w:tc>
          <w:tcPr>
            <w:tcW w:w="1600" w:type="dxa"/>
          </w:tcPr>
          <w:p>
            <w:pPr>
              <w:pStyle w:val="9"/>
              <w:spacing w:before="91"/>
              <w:ind w:left="220"/>
              <w:rPr>
                <w:rFonts w:ascii="黑体" w:eastAsia="黑体"/>
                <w:sz w:val="21"/>
              </w:rPr>
            </w:pPr>
            <w:r>
              <w:rPr>
                <w:rFonts w:ascii="黑体" w:eastAsia="黑体"/>
                <w:spacing w:val="-4"/>
                <w:sz w:val="21"/>
              </w:rPr>
              <w:t>基本医疗保险</w:t>
            </w:r>
          </w:p>
        </w:tc>
        <w:tc>
          <w:tcPr>
            <w:tcW w:w="7417" w:type="dxa"/>
          </w:tcPr>
          <w:p>
            <w:pPr>
              <w:pStyle w:val="9"/>
              <w:spacing w:before="91"/>
              <w:ind w:left="120"/>
              <w:rPr>
                <w:sz w:val="21"/>
              </w:rPr>
            </w:pPr>
            <w:r>
              <w:rPr>
                <w:spacing w:val="-3"/>
                <w:sz w:val="21"/>
              </w:rPr>
              <w:t>包括城镇职工基本医疗保险、城镇居民基本医疗保险、新型农村合作医疗。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92"/>
              <w:ind w:left="50"/>
              <w:rPr>
                <w:rFonts w:ascii="黑体"/>
                <w:sz w:val="21"/>
              </w:rPr>
            </w:pPr>
            <w:r>
              <w:rPr>
                <w:rFonts w:ascii="黑体"/>
                <w:spacing w:val="-4"/>
                <w:sz w:val="21"/>
              </w:rPr>
              <w:t>7.12</w:t>
            </w:r>
          </w:p>
        </w:tc>
        <w:tc>
          <w:tcPr>
            <w:tcW w:w="1600" w:type="dxa"/>
          </w:tcPr>
          <w:p>
            <w:pPr>
              <w:pStyle w:val="9"/>
              <w:spacing w:before="92"/>
              <w:ind w:left="220"/>
              <w:rPr>
                <w:rFonts w:ascii="黑体" w:eastAsia="黑体"/>
                <w:sz w:val="21"/>
              </w:rPr>
            </w:pPr>
            <w:r>
              <w:rPr>
                <w:rFonts w:ascii="黑体" w:eastAsia="黑体"/>
                <w:spacing w:val="-4"/>
                <w:sz w:val="21"/>
              </w:rPr>
              <w:t>感染艾滋病病</w:t>
            </w:r>
          </w:p>
        </w:tc>
        <w:tc>
          <w:tcPr>
            <w:tcW w:w="7417" w:type="dxa"/>
          </w:tcPr>
          <w:p>
            <w:pPr>
              <w:pStyle w:val="9"/>
              <w:spacing w:before="92"/>
              <w:ind w:left="120"/>
              <w:rPr>
                <w:sz w:val="21"/>
              </w:rPr>
            </w:pPr>
            <w:r>
              <w:rPr>
                <w:spacing w:val="-1"/>
                <w:sz w:val="21"/>
              </w:rPr>
              <w:t xml:space="preserve">艾滋病病毒指人类免疫缺陷病毒，英文缩写为 </w:t>
            </w:r>
            <w:r>
              <w:rPr>
                <w:sz w:val="21"/>
              </w:rPr>
              <w:t>HIV</w:t>
            </w:r>
            <w:r>
              <w:rPr>
                <w:spacing w:val="-1"/>
                <w:sz w:val="21"/>
              </w:rPr>
              <w:t>。艾滋病指人类免疫缺陷病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spacing w:before="20"/>
              <w:ind w:left="220"/>
              <w:rPr>
                <w:rFonts w:ascii="黑体" w:eastAsia="黑体"/>
                <w:sz w:val="21"/>
              </w:rPr>
            </w:pPr>
            <w:r>
              <w:rPr>
                <w:rFonts w:ascii="黑体" w:eastAsia="黑体"/>
                <w:spacing w:val="-4"/>
                <w:sz w:val="21"/>
              </w:rPr>
              <w:t>毒或患艾滋病</w:t>
            </w:r>
          </w:p>
        </w:tc>
        <w:tc>
          <w:tcPr>
            <w:tcW w:w="7417" w:type="dxa"/>
          </w:tcPr>
          <w:p>
            <w:pPr>
              <w:pStyle w:val="9"/>
              <w:spacing w:before="20"/>
              <w:ind w:left="120"/>
              <w:rPr>
                <w:sz w:val="21"/>
              </w:rPr>
            </w:pPr>
            <w:r>
              <w:rPr>
                <w:spacing w:val="-4"/>
                <w:sz w:val="21"/>
              </w:rPr>
              <w:t xml:space="preserve">毒引起的获得性免疫缺陷综合征，英文缩写为 </w:t>
            </w:r>
            <w:r>
              <w:rPr>
                <w:spacing w:val="-2"/>
                <w:sz w:val="21"/>
              </w:rPr>
              <w:t>AIDS</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3"/>
                <w:sz w:val="21"/>
              </w:rPr>
              <w:t>在人体血液或其他样本中检测到艾滋病病毒或其抗体呈阳性，没有出现临床症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0"/>
              <w:ind w:left="120"/>
              <w:rPr>
                <w:sz w:val="21"/>
              </w:rPr>
            </w:pPr>
            <w:r>
              <w:rPr>
                <w:spacing w:val="-3"/>
                <w:sz w:val="21"/>
              </w:rPr>
              <w:t>状或体征的，为感染艾滋病病毒；如果同时出现了明显临床症状或体征的，为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0"/>
              <w:ind w:left="120"/>
              <w:rPr>
                <w:sz w:val="21"/>
              </w:rPr>
            </w:pPr>
            <w:r>
              <w:rPr>
                <w:spacing w:val="-4"/>
                <w:sz w:val="21"/>
              </w:rPr>
              <w:t>患艾滋病。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92"/>
              <w:ind w:left="50"/>
              <w:rPr>
                <w:rFonts w:ascii="黑体"/>
                <w:sz w:val="21"/>
              </w:rPr>
            </w:pPr>
            <w:r>
              <w:rPr>
                <w:rFonts w:ascii="黑体"/>
                <w:spacing w:val="-4"/>
                <w:sz w:val="21"/>
              </w:rPr>
              <w:t>7.13</w:t>
            </w:r>
          </w:p>
        </w:tc>
        <w:tc>
          <w:tcPr>
            <w:tcW w:w="1600" w:type="dxa"/>
          </w:tcPr>
          <w:p>
            <w:pPr>
              <w:pStyle w:val="9"/>
              <w:spacing w:before="92"/>
              <w:ind w:left="220"/>
              <w:rPr>
                <w:rFonts w:ascii="黑体" w:eastAsia="黑体"/>
                <w:sz w:val="21"/>
              </w:rPr>
            </w:pPr>
            <w:r>
              <w:rPr>
                <w:rFonts w:ascii="黑体" w:eastAsia="黑体"/>
                <w:spacing w:val="-4"/>
                <w:sz w:val="21"/>
              </w:rPr>
              <w:t>既往疾病</w:t>
            </w:r>
          </w:p>
        </w:tc>
        <w:tc>
          <w:tcPr>
            <w:tcW w:w="7417" w:type="dxa"/>
          </w:tcPr>
          <w:p>
            <w:pPr>
              <w:pStyle w:val="9"/>
              <w:spacing w:before="92"/>
              <w:ind w:left="120"/>
              <w:rPr>
                <w:sz w:val="21"/>
              </w:rPr>
            </w:pPr>
            <w:r>
              <w:rPr>
                <w:spacing w:val="-3"/>
                <w:sz w:val="21"/>
              </w:rPr>
              <w:t>指在本主险合同生效之前罹患的被保险人已知或应该知道的有关疾病或症状。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4"/>
                <w:sz w:val="21"/>
              </w:rPr>
              <w:t>通常有以下情况：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0"/>
              <w:ind w:left="120"/>
              <w:rPr>
                <w:sz w:val="21"/>
              </w:rPr>
            </w:pPr>
            <w:r>
              <w:rPr>
                <w:spacing w:val="-2"/>
                <w:sz w:val="21"/>
              </w:rPr>
              <w:t>1.</w:t>
            </w:r>
            <w:r>
              <w:rPr>
                <w:spacing w:val="-3"/>
                <w:sz w:val="21"/>
              </w:rPr>
              <w:t>本主险合同生效前，医生已有明确诊断，长期治疗未间断；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2"/>
                <w:sz w:val="21"/>
              </w:rPr>
              <w:t>2.</w:t>
            </w:r>
            <w:r>
              <w:rPr>
                <w:spacing w:val="-3"/>
                <w:sz w:val="21"/>
              </w:rPr>
              <w:t>本主险合同生效前，医生已有明确诊断，治疗后症状未完全消失，有间断用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4"/>
                <w:sz w:val="21"/>
              </w:rPr>
              <w:t>药情况；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0"/>
              <w:ind w:left="120"/>
              <w:rPr>
                <w:sz w:val="21"/>
              </w:rPr>
            </w:pPr>
            <w:r>
              <w:rPr>
                <w:spacing w:val="-2"/>
                <w:sz w:val="21"/>
              </w:rPr>
              <w:t>3.</w:t>
            </w:r>
            <w:r>
              <w:rPr>
                <w:spacing w:val="-3"/>
                <w:sz w:val="21"/>
              </w:rPr>
              <w:t>本主险合同生效前发生，医生已有明确诊断，但未予治疗；或者未经医生诊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3"/>
                <w:sz w:val="21"/>
              </w:rPr>
              <w:t>断和治疗，但症状明显且持续存在，以普通人医学常识应当知晓。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91"/>
              <w:ind w:left="50"/>
              <w:rPr>
                <w:rFonts w:ascii="黑体"/>
                <w:sz w:val="21"/>
              </w:rPr>
            </w:pPr>
            <w:r>
              <w:rPr>
                <w:rFonts w:ascii="黑体"/>
                <w:spacing w:val="-4"/>
                <w:sz w:val="21"/>
              </w:rPr>
              <w:t>7.14</w:t>
            </w:r>
          </w:p>
        </w:tc>
        <w:tc>
          <w:tcPr>
            <w:tcW w:w="1600" w:type="dxa"/>
          </w:tcPr>
          <w:p>
            <w:pPr>
              <w:pStyle w:val="9"/>
              <w:spacing w:before="91"/>
              <w:ind w:left="220"/>
              <w:rPr>
                <w:rFonts w:ascii="黑体" w:eastAsia="黑体"/>
                <w:sz w:val="21"/>
              </w:rPr>
            </w:pPr>
            <w:r>
              <w:rPr>
                <w:rFonts w:ascii="黑体" w:eastAsia="黑体"/>
                <w:spacing w:val="-5"/>
                <w:sz w:val="21"/>
              </w:rPr>
              <w:t>毒品</w:t>
            </w:r>
          </w:p>
        </w:tc>
        <w:tc>
          <w:tcPr>
            <w:tcW w:w="7417" w:type="dxa"/>
          </w:tcPr>
          <w:p>
            <w:pPr>
              <w:pStyle w:val="9"/>
              <w:spacing w:before="91"/>
              <w:ind w:left="120"/>
              <w:rPr>
                <w:sz w:val="21"/>
              </w:rPr>
            </w:pPr>
            <w:r>
              <w:rPr>
                <w:spacing w:val="-2"/>
                <w:sz w:val="21"/>
              </w:rPr>
              <w:t>指《中华人民共和国刑法》规定的鸦片、海洛因、甲基苯丙胺（冰毒</w:t>
            </w:r>
            <w:r>
              <w:rPr>
                <w:spacing w:val="-108"/>
                <w:sz w:val="21"/>
              </w:rPr>
              <w:t>）</w:t>
            </w:r>
            <w:r>
              <w:rPr>
                <w:spacing w:val="-4"/>
                <w:sz w:val="21"/>
              </w:rPr>
              <w:t>、吗啡、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3"/>
                <w:sz w:val="21"/>
              </w:rPr>
              <w:t>大麻、可卡因以及国家规定管制的其他能够使人形成瘾癖的麻醉药品和精神药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0"/>
              <w:ind w:left="120"/>
              <w:rPr>
                <w:sz w:val="21"/>
              </w:rPr>
            </w:pPr>
            <w:r>
              <w:rPr>
                <w:spacing w:val="-3"/>
                <w:sz w:val="21"/>
              </w:rPr>
              <w:t>品，但不包括由医生开具并遵医嘱使用的用于治疗疾病但含有毒品成分的处方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1"/>
              <w:ind w:left="120"/>
              <w:rPr>
                <w:sz w:val="21"/>
              </w:rPr>
            </w:pPr>
            <w:r>
              <w:rPr>
                <w:spacing w:val="-4"/>
                <w:sz w:val="21"/>
              </w:rPr>
              <w:t>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1" w:hRule="atLeast"/>
        </w:trPr>
        <w:tc>
          <w:tcPr>
            <w:tcW w:w="692" w:type="dxa"/>
          </w:tcPr>
          <w:p>
            <w:pPr>
              <w:pStyle w:val="9"/>
              <w:spacing w:before="104"/>
              <w:ind w:left="50"/>
              <w:rPr>
                <w:rFonts w:ascii="黑体"/>
                <w:sz w:val="21"/>
              </w:rPr>
            </w:pPr>
            <w:r>
              <w:rPr>
                <w:rFonts w:ascii="黑体"/>
                <w:spacing w:val="-4"/>
                <w:sz w:val="21"/>
              </w:rPr>
              <w:t>7.15</w:t>
            </w:r>
          </w:p>
        </w:tc>
        <w:tc>
          <w:tcPr>
            <w:tcW w:w="1600" w:type="dxa"/>
          </w:tcPr>
          <w:p>
            <w:pPr>
              <w:pStyle w:val="9"/>
              <w:spacing w:before="104"/>
              <w:ind w:left="220"/>
              <w:rPr>
                <w:rFonts w:ascii="黑体" w:eastAsia="黑体"/>
                <w:sz w:val="21"/>
              </w:rPr>
            </w:pPr>
            <w:r>
              <w:rPr>
                <w:rFonts w:ascii="黑体" w:eastAsia="黑体"/>
                <w:spacing w:val="-5"/>
                <w:sz w:val="21"/>
              </w:rPr>
              <w:t>斗殴</w:t>
            </w:r>
          </w:p>
        </w:tc>
        <w:tc>
          <w:tcPr>
            <w:tcW w:w="7417" w:type="dxa"/>
          </w:tcPr>
          <w:p>
            <w:pPr>
              <w:pStyle w:val="9"/>
              <w:spacing w:before="80" w:line="278" w:lineRule="auto"/>
              <w:ind w:left="120" w:right="148"/>
              <w:rPr>
                <w:sz w:val="21"/>
              </w:rPr>
            </w:pPr>
            <w:r>
              <w:rPr>
                <w:spacing w:val="-2"/>
                <w:sz w:val="21"/>
              </w:rPr>
              <w:t>指双方或多方通过拳脚、器械等武力以求制胜的行为。关于斗殴的认定，如有司法机关、公安部门的有关法律文件，则以上述法律文件为准。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692" w:type="dxa"/>
          </w:tcPr>
          <w:p>
            <w:pPr>
              <w:pStyle w:val="9"/>
              <w:spacing w:before="100"/>
              <w:ind w:left="50"/>
              <w:rPr>
                <w:rFonts w:ascii="黑体"/>
                <w:sz w:val="21"/>
              </w:rPr>
            </w:pPr>
            <w:r>
              <w:rPr>
                <w:rFonts w:ascii="黑体"/>
                <w:spacing w:val="-4"/>
                <w:sz w:val="21"/>
              </w:rPr>
              <w:t>7.16</w:t>
            </w:r>
          </w:p>
        </w:tc>
        <w:tc>
          <w:tcPr>
            <w:tcW w:w="1600" w:type="dxa"/>
          </w:tcPr>
          <w:p>
            <w:pPr>
              <w:pStyle w:val="9"/>
              <w:spacing w:before="100"/>
              <w:ind w:left="220"/>
              <w:rPr>
                <w:rFonts w:ascii="黑体" w:eastAsia="黑体"/>
                <w:sz w:val="21"/>
              </w:rPr>
            </w:pPr>
            <w:r>
              <w:rPr>
                <w:rFonts w:ascii="黑体" w:eastAsia="黑体"/>
                <w:spacing w:val="-4"/>
                <w:sz w:val="21"/>
              </w:rPr>
              <w:t>酒后驾驶</w:t>
            </w:r>
          </w:p>
        </w:tc>
        <w:tc>
          <w:tcPr>
            <w:tcW w:w="7417" w:type="dxa"/>
          </w:tcPr>
          <w:p>
            <w:pPr>
              <w:pStyle w:val="9"/>
              <w:spacing w:before="100"/>
              <w:ind w:left="120"/>
              <w:rPr>
                <w:sz w:val="21"/>
              </w:rPr>
            </w:pPr>
            <w:r>
              <w:rPr>
                <w:spacing w:val="-3"/>
                <w:sz w:val="21"/>
              </w:rPr>
              <w:t>指经检测或鉴定，发生事故时车辆驾驶人员每百毫升血液中的酒精含量达到或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0"/>
              <w:ind w:left="120"/>
              <w:rPr>
                <w:sz w:val="21"/>
              </w:rPr>
            </w:pPr>
            <w:r>
              <w:rPr>
                <w:spacing w:val="-3"/>
                <w:sz w:val="21"/>
              </w:rPr>
              <w:t>超过一定的标准，公安机关交通管理部门依据《道路交通安全法》的规定认定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17" w:type="dxa"/>
          </w:tcPr>
          <w:p>
            <w:pPr>
              <w:pStyle w:val="9"/>
              <w:spacing w:before="22"/>
              <w:ind w:left="120"/>
              <w:rPr>
                <w:sz w:val="21"/>
              </w:rPr>
            </w:pPr>
            <w:r>
              <w:rPr>
                <w:spacing w:val="-3"/>
                <w:sz w:val="21"/>
              </w:rPr>
              <w:t>为饮酒后驾驶或醉酒后驾驶。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trPr>
        <w:tc>
          <w:tcPr>
            <w:tcW w:w="692" w:type="dxa"/>
          </w:tcPr>
          <w:p>
            <w:pPr>
              <w:pStyle w:val="9"/>
              <w:spacing w:before="91"/>
              <w:ind w:left="50"/>
              <w:rPr>
                <w:rFonts w:ascii="黑体"/>
                <w:sz w:val="21"/>
              </w:rPr>
            </w:pPr>
            <w:r>
              <w:rPr>
                <w:rFonts w:ascii="黑体"/>
                <w:spacing w:val="-4"/>
                <w:sz w:val="21"/>
              </w:rPr>
              <w:t>7.17</w:t>
            </w:r>
          </w:p>
        </w:tc>
        <w:tc>
          <w:tcPr>
            <w:tcW w:w="1600" w:type="dxa"/>
          </w:tcPr>
          <w:p>
            <w:pPr>
              <w:pStyle w:val="9"/>
              <w:spacing w:before="91"/>
              <w:ind w:left="220"/>
              <w:rPr>
                <w:rFonts w:ascii="黑体" w:eastAsia="黑体"/>
                <w:sz w:val="21"/>
              </w:rPr>
            </w:pPr>
            <w:r>
              <w:rPr>
                <w:rFonts w:ascii="黑体" w:eastAsia="黑体"/>
                <w:spacing w:val="-4"/>
                <w:sz w:val="21"/>
              </w:rPr>
              <w:t>无合法有效驾</w:t>
            </w:r>
          </w:p>
        </w:tc>
        <w:tc>
          <w:tcPr>
            <w:tcW w:w="7417" w:type="dxa"/>
          </w:tcPr>
          <w:p>
            <w:pPr>
              <w:pStyle w:val="9"/>
              <w:spacing w:before="91"/>
              <w:ind w:left="120"/>
              <w:rPr>
                <w:sz w:val="21"/>
              </w:rPr>
            </w:pPr>
            <w:r>
              <w:rPr>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692" w:type="dxa"/>
          </w:tcPr>
          <w:p>
            <w:pPr>
              <w:pStyle w:val="9"/>
              <w:rPr>
                <w:rFonts w:ascii="Times New Roman"/>
                <w:sz w:val="18"/>
              </w:rPr>
            </w:pPr>
          </w:p>
        </w:tc>
        <w:tc>
          <w:tcPr>
            <w:tcW w:w="1600" w:type="dxa"/>
          </w:tcPr>
          <w:p>
            <w:pPr>
              <w:pStyle w:val="9"/>
              <w:spacing w:before="20" w:line="224" w:lineRule="exact"/>
              <w:ind w:left="220"/>
              <w:rPr>
                <w:rFonts w:ascii="黑体" w:eastAsia="黑体"/>
                <w:sz w:val="21"/>
              </w:rPr>
            </w:pPr>
            <w:r>
              <w:rPr>
                <w:rFonts w:ascii="黑体" w:eastAsia="黑体"/>
                <w:spacing w:val="-4"/>
                <w:sz w:val="21"/>
              </w:rPr>
              <w:t>驶证驾驶</w:t>
            </w:r>
          </w:p>
        </w:tc>
        <w:tc>
          <w:tcPr>
            <w:tcW w:w="7417" w:type="dxa"/>
          </w:tcPr>
          <w:p>
            <w:pPr>
              <w:pStyle w:val="9"/>
              <w:spacing w:before="20" w:line="224" w:lineRule="exact"/>
              <w:ind w:left="120"/>
              <w:rPr>
                <w:sz w:val="21"/>
              </w:rPr>
            </w:pPr>
            <w:r>
              <w:rPr>
                <w:spacing w:val="-2"/>
                <w:sz w:val="21"/>
              </w:rPr>
              <w:t>(1)</w:t>
            </w:r>
            <w:r>
              <w:rPr>
                <w:spacing w:val="-3"/>
                <w:sz w:val="21"/>
              </w:rPr>
              <w:t>没有取得驾驶资格；</w:t>
            </w:r>
          </w:p>
        </w:tc>
      </w:tr>
    </w:tbl>
    <w:p>
      <w:pPr>
        <w:spacing w:after="0" w:line="224" w:lineRule="exact"/>
        <w:rPr>
          <w:sz w:val="21"/>
        </w:rPr>
        <w:sectPr>
          <w:type w:val="continuous"/>
          <w:pgSz w:w="11910" w:h="16840"/>
          <w:pgMar w:top="1480" w:right="220" w:bottom="1054" w:left="900" w:header="720" w:footer="720" w:gutter="0"/>
          <w:cols w:space="720" w:num="1"/>
        </w:sectPr>
      </w:pPr>
    </w:p>
    <w:tbl>
      <w:tblPr>
        <w:tblStyle w:val="5"/>
        <w:tblW w:w="0" w:type="auto"/>
        <w:tblInd w:w="24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2"/>
        <w:gridCol w:w="1600"/>
        <w:gridCol w:w="7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6"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numPr>
                <w:ilvl w:val="0"/>
                <w:numId w:val="16"/>
              </w:numPr>
              <w:tabs>
                <w:tab w:val="left" w:pos="438"/>
              </w:tabs>
              <w:spacing w:before="0" w:after="0" w:line="236" w:lineRule="exact"/>
              <w:ind w:left="437" w:right="0" w:hanging="318"/>
              <w:jc w:val="left"/>
              <w:rPr>
                <w:sz w:val="21"/>
              </w:rPr>
            </w:pPr>
            <w:r>
              <w:rPr>
                <w:spacing w:val="-3"/>
                <w:sz w:val="21"/>
              </w:rPr>
              <w:t>驾驶与驾驶证准驾车型不相符合的车辆；</w:t>
            </w:r>
          </w:p>
          <w:p>
            <w:pPr>
              <w:pStyle w:val="9"/>
              <w:numPr>
                <w:ilvl w:val="0"/>
                <w:numId w:val="16"/>
              </w:numPr>
              <w:tabs>
                <w:tab w:val="left" w:pos="438"/>
              </w:tabs>
              <w:spacing w:before="50" w:after="0" w:line="240" w:lineRule="auto"/>
              <w:ind w:left="437" w:right="0" w:hanging="318"/>
              <w:jc w:val="left"/>
              <w:rPr>
                <w:sz w:val="21"/>
              </w:rPr>
            </w:pPr>
            <w:r>
              <w:rPr>
                <w:spacing w:val="-3"/>
                <w:sz w:val="21"/>
              </w:rPr>
              <w:t>持审验不合格的驾驶证驾驶；</w:t>
            </w:r>
          </w:p>
          <w:p>
            <w:pPr>
              <w:pStyle w:val="9"/>
              <w:numPr>
                <w:ilvl w:val="0"/>
                <w:numId w:val="16"/>
              </w:numPr>
              <w:tabs>
                <w:tab w:val="left" w:pos="438"/>
              </w:tabs>
              <w:spacing w:before="50" w:after="0" w:line="288" w:lineRule="auto"/>
              <w:ind w:left="120" w:right="151" w:firstLine="0"/>
              <w:jc w:val="left"/>
              <w:rPr>
                <w:sz w:val="21"/>
              </w:rPr>
            </w:pPr>
            <w:r>
              <w:rPr>
                <w:spacing w:val="-4"/>
                <w:sz w:val="21"/>
              </w:rPr>
              <w:t>持学习驾驶证学习驾车时，无教练员随车指导，或不按指定时间、路线学习驾车。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91"/>
              <w:ind w:left="50"/>
              <w:rPr>
                <w:rFonts w:ascii="黑体"/>
                <w:sz w:val="21"/>
              </w:rPr>
            </w:pPr>
            <w:r>
              <w:rPr>
                <w:rFonts w:ascii="黑体"/>
                <w:spacing w:val="-4"/>
                <w:sz w:val="21"/>
              </w:rPr>
              <w:t>7.18</w:t>
            </w:r>
          </w:p>
        </w:tc>
        <w:tc>
          <w:tcPr>
            <w:tcW w:w="1600" w:type="dxa"/>
          </w:tcPr>
          <w:p>
            <w:pPr>
              <w:pStyle w:val="9"/>
              <w:spacing w:before="91"/>
              <w:ind w:left="220"/>
              <w:rPr>
                <w:rFonts w:ascii="黑体" w:eastAsia="黑体"/>
                <w:sz w:val="21"/>
              </w:rPr>
            </w:pPr>
            <w:r>
              <w:rPr>
                <w:rFonts w:ascii="黑体" w:eastAsia="黑体"/>
                <w:spacing w:val="-4"/>
                <w:sz w:val="21"/>
              </w:rPr>
              <w:t>无有效行驶证</w:t>
            </w:r>
          </w:p>
        </w:tc>
        <w:tc>
          <w:tcPr>
            <w:tcW w:w="7439" w:type="dxa"/>
          </w:tcPr>
          <w:p>
            <w:pPr>
              <w:pStyle w:val="9"/>
              <w:spacing w:before="91"/>
              <w:ind w:left="120"/>
              <w:rPr>
                <w:sz w:val="21"/>
              </w:rPr>
            </w:pPr>
            <w:r>
              <w:rPr>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spacing w:before="22"/>
              <w:ind w:left="120"/>
              <w:rPr>
                <w:sz w:val="21"/>
              </w:rPr>
            </w:pPr>
            <w:r>
              <w:rPr>
                <w:spacing w:val="-2"/>
                <w:sz w:val="21"/>
              </w:rPr>
              <w:t>(1)</w:t>
            </w:r>
            <w:r>
              <w:rPr>
                <w:spacing w:val="-4"/>
                <w:sz w:val="21"/>
              </w:rPr>
              <w:t>未取得行驶证；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spacing w:before="21"/>
              <w:ind w:left="120"/>
              <w:rPr>
                <w:sz w:val="21"/>
              </w:rPr>
            </w:pPr>
            <w:r>
              <w:rPr>
                <w:spacing w:val="-2"/>
                <w:sz w:val="21"/>
              </w:rPr>
              <w:t>(2)</w:t>
            </w:r>
            <w:r>
              <w:rPr>
                <w:spacing w:val="-3"/>
                <w:sz w:val="21"/>
              </w:rPr>
              <w:t>机动车被依法注销登记的；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spacing w:before="21"/>
              <w:ind w:left="120"/>
              <w:rPr>
                <w:sz w:val="21"/>
              </w:rPr>
            </w:pPr>
            <w:r>
              <w:rPr>
                <w:spacing w:val="-2"/>
                <w:sz w:val="21"/>
              </w:rPr>
              <w:t>(3)</w:t>
            </w:r>
            <w:r>
              <w:rPr>
                <w:spacing w:val="-3"/>
                <w:sz w:val="21"/>
              </w:rPr>
              <w:t>未依法按时进行或通过机动车安全技术检验。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92"/>
              <w:ind w:left="50"/>
              <w:rPr>
                <w:rFonts w:ascii="黑体"/>
                <w:sz w:val="21"/>
              </w:rPr>
            </w:pPr>
            <w:r>
              <w:rPr>
                <w:rFonts w:ascii="黑体"/>
                <w:spacing w:val="-4"/>
                <w:sz w:val="21"/>
              </w:rPr>
              <w:t>7.19</w:t>
            </w:r>
          </w:p>
        </w:tc>
        <w:tc>
          <w:tcPr>
            <w:tcW w:w="1600" w:type="dxa"/>
          </w:tcPr>
          <w:p>
            <w:pPr>
              <w:pStyle w:val="9"/>
              <w:spacing w:before="92"/>
              <w:ind w:left="220"/>
              <w:rPr>
                <w:rFonts w:ascii="黑体" w:eastAsia="黑体"/>
                <w:sz w:val="21"/>
              </w:rPr>
            </w:pPr>
            <w:r>
              <w:rPr>
                <w:rFonts w:ascii="黑体" w:eastAsia="黑体"/>
                <w:spacing w:val="-4"/>
                <w:sz w:val="21"/>
              </w:rPr>
              <w:t>机动车</w:t>
            </w:r>
          </w:p>
        </w:tc>
        <w:tc>
          <w:tcPr>
            <w:tcW w:w="7439" w:type="dxa"/>
          </w:tcPr>
          <w:p>
            <w:pPr>
              <w:pStyle w:val="9"/>
              <w:spacing w:before="92"/>
              <w:ind w:left="120"/>
              <w:rPr>
                <w:sz w:val="21"/>
              </w:rPr>
            </w:pPr>
            <w:r>
              <w:rPr>
                <w:spacing w:val="-3"/>
                <w:sz w:val="21"/>
              </w:rPr>
              <w:t>指以动力装置驱动或者牵引，上道路行驶的供人员乘用或者用于运送物品以及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spacing w:before="21"/>
              <w:ind w:left="120"/>
              <w:rPr>
                <w:sz w:val="21"/>
              </w:rPr>
            </w:pPr>
            <w:r>
              <w:rPr>
                <w:spacing w:val="-3"/>
                <w:sz w:val="21"/>
              </w:rPr>
              <w:t>进行工程专项作业的轮式车辆。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692" w:type="dxa"/>
          </w:tcPr>
          <w:p>
            <w:pPr>
              <w:pStyle w:val="9"/>
              <w:spacing w:before="104"/>
              <w:ind w:left="50"/>
              <w:rPr>
                <w:rFonts w:ascii="黑体"/>
                <w:sz w:val="21"/>
              </w:rPr>
            </w:pPr>
            <w:r>
              <w:rPr>
                <w:rFonts w:ascii="黑体"/>
                <w:spacing w:val="-4"/>
                <w:sz w:val="21"/>
              </w:rPr>
              <w:t>7.20</w:t>
            </w:r>
          </w:p>
        </w:tc>
        <w:tc>
          <w:tcPr>
            <w:tcW w:w="1600" w:type="dxa"/>
          </w:tcPr>
          <w:p>
            <w:pPr>
              <w:pStyle w:val="9"/>
              <w:spacing w:before="104"/>
              <w:ind w:left="220"/>
              <w:rPr>
                <w:rFonts w:ascii="黑体" w:eastAsia="黑体"/>
                <w:sz w:val="21"/>
              </w:rPr>
            </w:pPr>
            <w:r>
              <w:rPr>
                <w:rFonts w:ascii="黑体" w:eastAsia="黑体"/>
                <w:spacing w:val="-5"/>
                <w:sz w:val="21"/>
              </w:rPr>
              <w:t>潜水</w:t>
            </w:r>
          </w:p>
        </w:tc>
        <w:tc>
          <w:tcPr>
            <w:tcW w:w="7439" w:type="dxa"/>
          </w:tcPr>
          <w:p>
            <w:pPr>
              <w:pStyle w:val="9"/>
              <w:spacing w:before="80"/>
              <w:ind w:left="120"/>
              <w:rPr>
                <w:sz w:val="21"/>
              </w:rPr>
            </w:pPr>
            <w:r>
              <w:rPr>
                <w:spacing w:val="-3"/>
                <w:sz w:val="21"/>
              </w:rPr>
              <w:t>指以辅助呼吸器材在江、河、湖、海、水库、运河等水域进行的水下运动。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692" w:type="dxa"/>
          </w:tcPr>
          <w:p>
            <w:pPr>
              <w:pStyle w:val="9"/>
              <w:spacing w:before="104"/>
              <w:ind w:left="50"/>
              <w:rPr>
                <w:rFonts w:ascii="黑体"/>
                <w:sz w:val="21"/>
              </w:rPr>
            </w:pPr>
            <w:r>
              <w:rPr>
                <w:rFonts w:ascii="黑体"/>
                <w:spacing w:val="-4"/>
                <w:sz w:val="21"/>
              </w:rPr>
              <w:t>7.21</w:t>
            </w:r>
          </w:p>
        </w:tc>
        <w:tc>
          <w:tcPr>
            <w:tcW w:w="1600" w:type="dxa"/>
          </w:tcPr>
          <w:p>
            <w:pPr>
              <w:pStyle w:val="9"/>
              <w:spacing w:before="104"/>
              <w:ind w:left="220"/>
              <w:rPr>
                <w:rFonts w:ascii="黑体" w:eastAsia="黑体"/>
                <w:sz w:val="21"/>
              </w:rPr>
            </w:pPr>
            <w:r>
              <w:rPr>
                <w:rFonts w:ascii="黑体" w:eastAsia="黑体"/>
                <w:spacing w:val="-5"/>
                <w:sz w:val="21"/>
              </w:rPr>
              <w:t>攀岩</w:t>
            </w:r>
          </w:p>
        </w:tc>
        <w:tc>
          <w:tcPr>
            <w:tcW w:w="7439" w:type="dxa"/>
          </w:tcPr>
          <w:p>
            <w:pPr>
              <w:pStyle w:val="9"/>
              <w:spacing w:before="80"/>
              <w:ind w:left="120"/>
              <w:rPr>
                <w:sz w:val="21"/>
              </w:rPr>
            </w:pPr>
            <w:r>
              <w:rPr>
                <w:spacing w:val="-3"/>
                <w:sz w:val="21"/>
              </w:rPr>
              <w:t>指攀登悬崖、楼宇外墙、人造悬崖、冰崖、冰山等运动。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7" w:hRule="atLeast"/>
        </w:trPr>
        <w:tc>
          <w:tcPr>
            <w:tcW w:w="692" w:type="dxa"/>
          </w:tcPr>
          <w:p>
            <w:pPr>
              <w:pStyle w:val="9"/>
              <w:spacing w:before="104"/>
              <w:ind w:left="50"/>
              <w:rPr>
                <w:rFonts w:ascii="黑体"/>
                <w:sz w:val="21"/>
              </w:rPr>
            </w:pPr>
            <w:r>
              <w:rPr>
                <w:rFonts w:ascii="黑体"/>
                <w:spacing w:val="-4"/>
                <w:sz w:val="21"/>
              </w:rPr>
              <w:t>7.22</w:t>
            </w:r>
          </w:p>
        </w:tc>
        <w:tc>
          <w:tcPr>
            <w:tcW w:w="1600" w:type="dxa"/>
          </w:tcPr>
          <w:p>
            <w:pPr>
              <w:pStyle w:val="9"/>
              <w:spacing w:before="104"/>
              <w:ind w:left="220"/>
              <w:rPr>
                <w:rFonts w:ascii="黑体" w:eastAsia="黑体"/>
                <w:sz w:val="21"/>
              </w:rPr>
            </w:pPr>
            <w:r>
              <w:rPr>
                <w:rFonts w:ascii="黑体" w:eastAsia="黑体"/>
                <w:spacing w:val="-5"/>
                <w:sz w:val="21"/>
              </w:rPr>
              <w:t>探险</w:t>
            </w:r>
          </w:p>
        </w:tc>
        <w:tc>
          <w:tcPr>
            <w:tcW w:w="7439" w:type="dxa"/>
          </w:tcPr>
          <w:p>
            <w:pPr>
              <w:pStyle w:val="9"/>
              <w:spacing w:before="40" w:line="310" w:lineRule="atLeast"/>
              <w:ind w:left="120" w:right="171"/>
              <w:rPr>
                <w:sz w:val="21"/>
              </w:rPr>
            </w:pPr>
            <w:r>
              <w:rPr>
                <w:spacing w:val="-2"/>
                <w:sz w:val="21"/>
              </w:rPr>
              <w:t>指明知在某种特定的自然条件下有失去生命或使身体受到伤害的危险，而故意</w:t>
            </w:r>
            <w:r>
              <w:rPr>
                <w:spacing w:val="-3"/>
                <w:sz w:val="21"/>
              </w:rPr>
              <w:t>使自己置身于其中的行为，如：江河漂流、徒步穿越沙漠或人迹罕见的原始森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2"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spacing w:before="17"/>
              <w:ind w:left="120"/>
              <w:rPr>
                <w:sz w:val="21"/>
              </w:rPr>
            </w:pPr>
            <w:r>
              <w:rPr>
                <w:spacing w:val="-3"/>
                <w:sz w:val="21"/>
              </w:rPr>
              <w:t>林、携带特殊攀登设备从事户外登山等活动。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5" w:hRule="atLeast"/>
        </w:trPr>
        <w:tc>
          <w:tcPr>
            <w:tcW w:w="692" w:type="dxa"/>
          </w:tcPr>
          <w:p>
            <w:pPr>
              <w:pStyle w:val="9"/>
              <w:spacing w:before="112"/>
              <w:ind w:left="50"/>
              <w:rPr>
                <w:rFonts w:ascii="黑体"/>
                <w:sz w:val="21"/>
              </w:rPr>
            </w:pPr>
            <w:r>
              <w:rPr>
                <w:rFonts w:ascii="黑体"/>
                <w:spacing w:val="-4"/>
                <w:sz w:val="21"/>
              </w:rPr>
              <w:t>7.23</w:t>
            </w:r>
          </w:p>
        </w:tc>
        <w:tc>
          <w:tcPr>
            <w:tcW w:w="1600" w:type="dxa"/>
          </w:tcPr>
          <w:p>
            <w:pPr>
              <w:pStyle w:val="9"/>
              <w:spacing w:before="112"/>
              <w:ind w:left="220"/>
              <w:rPr>
                <w:rFonts w:ascii="黑体" w:eastAsia="黑体"/>
                <w:sz w:val="21"/>
              </w:rPr>
            </w:pPr>
            <w:r>
              <w:rPr>
                <w:rFonts w:ascii="黑体" w:eastAsia="黑体"/>
                <w:spacing w:val="-4"/>
                <w:sz w:val="21"/>
              </w:rPr>
              <w:t>武术比赛</w:t>
            </w:r>
          </w:p>
        </w:tc>
        <w:tc>
          <w:tcPr>
            <w:tcW w:w="7439" w:type="dxa"/>
          </w:tcPr>
          <w:p>
            <w:pPr>
              <w:pStyle w:val="9"/>
              <w:spacing w:before="88" w:line="278" w:lineRule="auto"/>
              <w:ind w:left="120" w:right="171"/>
              <w:rPr>
                <w:sz w:val="21"/>
              </w:rPr>
            </w:pPr>
            <w:r>
              <w:rPr>
                <w:spacing w:val="-2"/>
                <w:sz w:val="21"/>
              </w:rPr>
              <w:t>指两人或两人以上对抗性柔道、空手道、跆拳道、散打、拳击等各种拳术及使用器械的对抗性比赛。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1" w:hRule="atLeast"/>
        </w:trPr>
        <w:tc>
          <w:tcPr>
            <w:tcW w:w="692" w:type="dxa"/>
          </w:tcPr>
          <w:p>
            <w:pPr>
              <w:pStyle w:val="9"/>
              <w:spacing w:before="112"/>
              <w:ind w:left="50"/>
              <w:rPr>
                <w:rFonts w:ascii="黑体"/>
                <w:sz w:val="21"/>
              </w:rPr>
            </w:pPr>
            <w:r>
              <w:rPr>
                <w:rFonts w:ascii="黑体"/>
                <w:spacing w:val="-4"/>
                <w:sz w:val="21"/>
              </w:rPr>
              <w:t>7.24</w:t>
            </w:r>
          </w:p>
        </w:tc>
        <w:tc>
          <w:tcPr>
            <w:tcW w:w="1600" w:type="dxa"/>
          </w:tcPr>
          <w:p>
            <w:pPr>
              <w:pStyle w:val="9"/>
              <w:spacing w:before="112"/>
              <w:ind w:left="220"/>
              <w:rPr>
                <w:rFonts w:ascii="黑体" w:eastAsia="黑体"/>
                <w:sz w:val="21"/>
              </w:rPr>
            </w:pPr>
            <w:r>
              <w:rPr>
                <w:rFonts w:ascii="黑体" w:eastAsia="黑体"/>
                <w:spacing w:val="-4"/>
                <w:sz w:val="21"/>
              </w:rPr>
              <w:t>特技表演</w:t>
            </w:r>
          </w:p>
        </w:tc>
        <w:tc>
          <w:tcPr>
            <w:tcW w:w="7439" w:type="dxa"/>
          </w:tcPr>
          <w:p>
            <w:pPr>
              <w:pStyle w:val="9"/>
              <w:spacing w:before="88"/>
              <w:ind w:left="120"/>
              <w:rPr>
                <w:sz w:val="21"/>
              </w:rPr>
            </w:pPr>
            <w:r>
              <w:rPr>
                <w:spacing w:val="-3"/>
                <w:sz w:val="21"/>
              </w:rPr>
              <w:t>指进行马术、杂技、驯兽等表演。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91"/>
              <w:ind w:left="50"/>
              <w:rPr>
                <w:rFonts w:ascii="黑体"/>
                <w:sz w:val="21"/>
              </w:rPr>
            </w:pPr>
            <w:r>
              <w:rPr>
                <w:rFonts w:ascii="黑体"/>
                <w:spacing w:val="-4"/>
                <w:sz w:val="21"/>
              </w:rPr>
              <w:t>7.25</w:t>
            </w:r>
          </w:p>
        </w:tc>
        <w:tc>
          <w:tcPr>
            <w:tcW w:w="1600" w:type="dxa"/>
          </w:tcPr>
          <w:p>
            <w:pPr>
              <w:pStyle w:val="9"/>
              <w:spacing w:before="91"/>
              <w:ind w:left="220"/>
              <w:rPr>
                <w:rFonts w:ascii="黑体" w:eastAsia="黑体"/>
                <w:sz w:val="21"/>
              </w:rPr>
            </w:pPr>
            <w:r>
              <w:rPr>
                <w:rFonts w:ascii="黑体" w:eastAsia="黑体"/>
                <w:spacing w:val="-4"/>
                <w:sz w:val="21"/>
              </w:rPr>
              <w:t>遗传性疾病</w:t>
            </w:r>
          </w:p>
        </w:tc>
        <w:tc>
          <w:tcPr>
            <w:tcW w:w="7439" w:type="dxa"/>
          </w:tcPr>
          <w:p>
            <w:pPr>
              <w:pStyle w:val="9"/>
              <w:spacing w:before="91"/>
              <w:ind w:left="120"/>
              <w:rPr>
                <w:sz w:val="21"/>
              </w:rPr>
            </w:pPr>
            <w:r>
              <w:rPr>
                <w:spacing w:val="-2"/>
                <w:sz w:val="21"/>
              </w:rPr>
              <w:t>指生殖细胞或受精卵的遗传物质（染色体和基因）</w:t>
            </w:r>
            <w:r>
              <w:rPr>
                <w:spacing w:val="-3"/>
                <w:sz w:val="21"/>
              </w:rPr>
              <w:t>发生突变或畸变所引起的疾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spacing w:before="22"/>
              <w:ind w:left="120"/>
              <w:rPr>
                <w:sz w:val="21"/>
              </w:rPr>
            </w:pPr>
            <w:r>
              <w:rPr>
                <w:spacing w:val="-3"/>
                <w:sz w:val="21"/>
              </w:rPr>
              <w:t>病，通常具有由亲代传至后代的垂直传递的特征。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92" w:type="dxa"/>
          </w:tcPr>
          <w:p>
            <w:pPr>
              <w:pStyle w:val="9"/>
              <w:spacing w:before="91"/>
              <w:ind w:left="50"/>
              <w:rPr>
                <w:rFonts w:ascii="黑体"/>
                <w:sz w:val="21"/>
              </w:rPr>
            </w:pPr>
            <w:r>
              <w:rPr>
                <w:rFonts w:ascii="黑体"/>
                <w:spacing w:val="-4"/>
                <w:sz w:val="21"/>
              </w:rPr>
              <w:t>7.26</w:t>
            </w:r>
          </w:p>
        </w:tc>
        <w:tc>
          <w:tcPr>
            <w:tcW w:w="1600" w:type="dxa"/>
          </w:tcPr>
          <w:p>
            <w:pPr>
              <w:pStyle w:val="9"/>
              <w:spacing w:before="91"/>
              <w:ind w:left="220"/>
              <w:rPr>
                <w:rFonts w:ascii="黑体" w:eastAsia="黑体"/>
                <w:sz w:val="21"/>
              </w:rPr>
            </w:pPr>
            <w:r>
              <w:rPr>
                <w:rFonts w:ascii="黑体" w:eastAsia="黑体"/>
                <w:spacing w:val="-4"/>
                <w:sz w:val="21"/>
              </w:rPr>
              <w:t>先天性畸形、</w:t>
            </w:r>
          </w:p>
        </w:tc>
        <w:tc>
          <w:tcPr>
            <w:tcW w:w="7439" w:type="dxa"/>
          </w:tcPr>
          <w:p>
            <w:pPr>
              <w:pStyle w:val="9"/>
              <w:spacing w:before="91"/>
              <w:ind w:left="120"/>
              <w:rPr>
                <w:sz w:val="21"/>
              </w:rPr>
            </w:pPr>
            <w:r>
              <w:rPr>
                <w:spacing w:val="-3"/>
                <w:sz w:val="21"/>
              </w:rPr>
              <w:t>指被保险人出生时就具有的畸形、变形或染色体异常。先天性畸形、变形和染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spacing w:before="22"/>
              <w:ind w:left="220"/>
              <w:rPr>
                <w:rFonts w:ascii="黑体" w:eastAsia="黑体"/>
                <w:sz w:val="21"/>
              </w:rPr>
            </w:pPr>
            <w:r>
              <w:rPr>
                <w:rFonts w:ascii="黑体" w:eastAsia="黑体"/>
                <w:spacing w:val="-4"/>
                <w:sz w:val="21"/>
              </w:rPr>
              <w:t>变形或染色体</w:t>
            </w:r>
          </w:p>
        </w:tc>
        <w:tc>
          <w:tcPr>
            <w:tcW w:w="7439" w:type="dxa"/>
          </w:tcPr>
          <w:p>
            <w:pPr>
              <w:pStyle w:val="9"/>
              <w:spacing w:before="22"/>
              <w:ind w:left="120"/>
              <w:rPr>
                <w:sz w:val="21"/>
              </w:rPr>
            </w:pPr>
            <w:r>
              <w:rPr>
                <w:spacing w:val="-6"/>
                <w:sz w:val="21"/>
              </w:rPr>
              <w:t>色体异常依照世界卫生组织《疾病和有关健康问题的国际统计分类》</w:t>
            </w:r>
            <w:r>
              <w:rPr>
                <w:spacing w:val="-2"/>
                <w:sz w:val="21"/>
              </w:rPr>
              <w:t>（ICD-</w:t>
            </w:r>
            <w:r>
              <w:rPr>
                <w:spacing w:val="-5"/>
                <w:sz w:val="21"/>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692" w:type="dxa"/>
          </w:tcPr>
          <w:p>
            <w:pPr>
              <w:pStyle w:val="9"/>
              <w:rPr>
                <w:rFonts w:ascii="Times New Roman"/>
                <w:sz w:val="20"/>
              </w:rPr>
            </w:pPr>
          </w:p>
        </w:tc>
        <w:tc>
          <w:tcPr>
            <w:tcW w:w="1600" w:type="dxa"/>
          </w:tcPr>
          <w:p>
            <w:pPr>
              <w:pStyle w:val="9"/>
              <w:spacing w:before="21"/>
              <w:ind w:left="220"/>
              <w:rPr>
                <w:rFonts w:ascii="黑体" w:eastAsia="黑体"/>
                <w:sz w:val="21"/>
              </w:rPr>
            </w:pPr>
            <w:r>
              <w:rPr>
                <w:rFonts w:ascii="黑体" w:eastAsia="黑体"/>
                <w:spacing w:val="-5"/>
                <w:sz w:val="21"/>
              </w:rPr>
              <w:t>异常</w:t>
            </w:r>
          </w:p>
        </w:tc>
        <w:tc>
          <w:tcPr>
            <w:tcW w:w="7439" w:type="dxa"/>
          </w:tcPr>
          <w:p>
            <w:pPr>
              <w:pStyle w:val="9"/>
              <w:spacing w:before="21"/>
              <w:ind w:left="120"/>
              <w:rPr>
                <w:sz w:val="21"/>
              </w:rPr>
            </w:pPr>
            <w:r>
              <w:rPr>
                <w:spacing w:val="-4"/>
                <w:sz w:val="21"/>
              </w:rPr>
              <w:t>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692" w:type="dxa"/>
          </w:tcPr>
          <w:p>
            <w:pPr>
              <w:pStyle w:val="9"/>
              <w:spacing w:before="128"/>
              <w:ind w:left="50"/>
              <w:rPr>
                <w:rFonts w:ascii="黑体"/>
                <w:sz w:val="21"/>
              </w:rPr>
            </w:pPr>
            <w:r>
              <w:rPr>
                <w:rFonts w:ascii="黑体"/>
                <w:spacing w:val="-4"/>
                <w:sz w:val="21"/>
              </w:rPr>
              <w:t>7.27</w:t>
            </w:r>
          </w:p>
        </w:tc>
        <w:tc>
          <w:tcPr>
            <w:tcW w:w="1600" w:type="dxa"/>
          </w:tcPr>
          <w:p>
            <w:pPr>
              <w:pStyle w:val="9"/>
              <w:spacing w:before="128"/>
              <w:ind w:left="220"/>
              <w:rPr>
                <w:rFonts w:ascii="黑体" w:eastAsia="黑体"/>
                <w:sz w:val="21"/>
              </w:rPr>
            </w:pPr>
            <w:r>
              <w:rPr>
                <w:rFonts w:ascii="黑体" w:eastAsia="黑体"/>
                <w:spacing w:val="-4"/>
                <w:sz w:val="21"/>
              </w:rPr>
              <w:t>现金价值</w:t>
            </w:r>
          </w:p>
        </w:tc>
        <w:tc>
          <w:tcPr>
            <w:tcW w:w="7439" w:type="dxa"/>
          </w:tcPr>
          <w:p>
            <w:pPr>
              <w:pStyle w:val="9"/>
              <w:spacing w:before="128"/>
              <w:ind w:left="120"/>
              <w:rPr>
                <w:sz w:val="21"/>
              </w:rPr>
            </w:pPr>
            <w:r>
              <w:rPr>
                <w:spacing w:val="-5"/>
                <w:sz w:val="21"/>
              </w:rPr>
              <w:t>指本合同保险单所具有的价值，通常体现为解除合同时，根据精算原理计算的，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spacing w:before="21"/>
              <w:ind w:left="120"/>
              <w:rPr>
                <w:sz w:val="21"/>
              </w:rPr>
            </w:pPr>
            <w:r>
              <w:rPr>
                <w:spacing w:val="-2"/>
                <w:sz w:val="21"/>
              </w:rPr>
              <w:t>由我们退还的那部分金额。现金价值＝本合同的保险费×65％×（1－n/m），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92" w:type="dxa"/>
          </w:tcPr>
          <w:p>
            <w:pPr>
              <w:pStyle w:val="9"/>
              <w:rPr>
                <w:rFonts w:ascii="Times New Roman"/>
                <w:sz w:val="20"/>
              </w:rPr>
            </w:pPr>
          </w:p>
        </w:tc>
        <w:tc>
          <w:tcPr>
            <w:tcW w:w="1600" w:type="dxa"/>
          </w:tcPr>
          <w:p>
            <w:pPr>
              <w:pStyle w:val="9"/>
              <w:rPr>
                <w:rFonts w:ascii="Times New Roman"/>
                <w:sz w:val="20"/>
              </w:rPr>
            </w:pPr>
          </w:p>
        </w:tc>
        <w:tc>
          <w:tcPr>
            <w:tcW w:w="7439" w:type="dxa"/>
          </w:tcPr>
          <w:p>
            <w:pPr>
              <w:pStyle w:val="9"/>
              <w:spacing w:before="21"/>
              <w:ind w:left="120"/>
              <w:rPr>
                <w:sz w:val="21"/>
              </w:rPr>
            </w:pPr>
            <w:r>
              <w:rPr>
                <w:spacing w:val="-17"/>
                <w:sz w:val="21"/>
              </w:rPr>
              <w:t xml:space="preserve">其中 </w:t>
            </w:r>
            <w:r>
              <w:rPr>
                <w:spacing w:val="-2"/>
                <w:sz w:val="21"/>
              </w:rPr>
              <w:t>n</w:t>
            </w:r>
            <w:r>
              <w:rPr>
                <w:spacing w:val="-9"/>
                <w:sz w:val="21"/>
              </w:rPr>
              <w:t xml:space="preserve"> 为本合同已生效的天数，</w:t>
            </w:r>
            <w:r>
              <w:rPr>
                <w:spacing w:val="-2"/>
                <w:sz w:val="21"/>
              </w:rPr>
              <w:t>m</w:t>
            </w:r>
            <w:r>
              <w:rPr>
                <w:spacing w:val="-10"/>
                <w:sz w:val="21"/>
              </w:rPr>
              <w:t xml:space="preserve"> 为本合同保险期间的天数。合同已生效的天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92" w:type="dxa"/>
          </w:tcPr>
          <w:p>
            <w:pPr>
              <w:pStyle w:val="9"/>
              <w:rPr>
                <w:rFonts w:ascii="Times New Roman"/>
                <w:sz w:val="18"/>
              </w:rPr>
            </w:pPr>
          </w:p>
        </w:tc>
        <w:tc>
          <w:tcPr>
            <w:tcW w:w="1600" w:type="dxa"/>
          </w:tcPr>
          <w:p>
            <w:pPr>
              <w:pStyle w:val="9"/>
              <w:rPr>
                <w:rFonts w:ascii="Times New Roman"/>
                <w:sz w:val="18"/>
              </w:rPr>
            </w:pPr>
          </w:p>
        </w:tc>
        <w:tc>
          <w:tcPr>
            <w:tcW w:w="7439" w:type="dxa"/>
          </w:tcPr>
          <w:p>
            <w:pPr>
              <w:pStyle w:val="9"/>
              <w:spacing w:before="22" w:line="224" w:lineRule="exact"/>
              <w:ind w:left="120"/>
              <w:rPr>
                <w:sz w:val="21"/>
              </w:rPr>
            </w:pPr>
            <w:r>
              <w:rPr>
                <w:spacing w:val="-3"/>
                <w:sz w:val="21"/>
              </w:rPr>
              <w:t>数不足一天的不计。</w:t>
            </w:r>
          </w:p>
        </w:tc>
      </w:tr>
    </w:tbl>
    <w:p>
      <w:pPr>
        <w:spacing w:after="0" w:line="224" w:lineRule="exact"/>
        <w:rPr>
          <w:sz w:val="21"/>
        </w:rPr>
        <w:sectPr>
          <w:type w:val="continuous"/>
          <w:pgSz w:w="11910" w:h="16840"/>
          <w:pgMar w:top="1480" w:right="220" w:bottom="280" w:left="900" w:header="720" w:footer="720" w:gutter="0"/>
          <w:cols w:space="720" w:num="1"/>
        </w:sectPr>
      </w:pPr>
    </w:p>
    <w:p>
      <w:pPr>
        <w:pStyle w:val="2"/>
        <w:spacing w:line="514" w:lineRule="exact"/>
        <w:rPr>
          <w:rFonts w:ascii="Microsoft JhengHei" w:eastAsia="Microsoft JhengHei"/>
        </w:rPr>
      </w:pPr>
      <w:r>
        <w:rPr>
          <w:rFonts w:ascii="Microsoft JhengHei" w:eastAsia="Microsoft JhengHei"/>
          <w:w w:val="95"/>
        </w:rPr>
        <w:t>附表：畅享人生医疗保险计划</w:t>
      </w:r>
      <w:r>
        <w:rPr>
          <w:rFonts w:ascii="Microsoft JhengHei" w:eastAsia="Microsoft JhengHei"/>
          <w:spacing w:val="-10"/>
          <w:w w:val="95"/>
        </w:rPr>
        <w:t>表</w:t>
      </w:r>
    </w:p>
    <w:p>
      <w:pPr>
        <w:spacing w:before="0" w:line="240" w:lineRule="auto"/>
        <w:rPr>
          <w:rFonts w:ascii="Microsoft JhengHei"/>
          <w:b/>
          <w:sz w:val="20"/>
        </w:rPr>
      </w:pPr>
      <w:r>
        <w:br w:type="column"/>
      </w:r>
    </w:p>
    <w:p>
      <w:pPr>
        <w:pStyle w:val="4"/>
        <w:spacing w:before="5"/>
        <w:rPr>
          <w:rFonts w:ascii="Microsoft JhengHei"/>
          <w:b/>
          <w:sz w:val="10"/>
        </w:rPr>
      </w:pPr>
    </w:p>
    <w:p>
      <w:pPr>
        <w:pStyle w:val="4"/>
        <w:ind w:left="1024"/>
      </w:pPr>
      <w:r>
        <w:rPr>
          <w:spacing w:val="-7"/>
        </w:rPr>
        <w:t>单位：人民币元</w:t>
      </w:r>
    </w:p>
    <w:p>
      <w:pPr>
        <w:spacing w:after="0"/>
        <w:sectPr>
          <w:pgSz w:w="11910" w:h="16840"/>
          <w:pgMar w:top="1380" w:right="220" w:bottom="280" w:left="900" w:header="720" w:footer="720" w:gutter="0"/>
          <w:cols w:equalWidth="0" w:num="2">
            <w:col w:w="7365" w:space="40"/>
            <w:col w:w="3385"/>
          </w:cols>
        </w:sectPr>
      </w:pPr>
    </w:p>
    <w:p>
      <w:pPr>
        <w:pStyle w:val="4"/>
        <w:rPr>
          <w:sz w:val="2"/>
        </w:rPr>
      </w:pPr>
    </w:p>
    <w:tbl>
      <w:tblPr>
        <w:tblStyle w:val="5"/>
        <w:tblW w:w="0" w:type="auto"/>
        <w:tblInd w:w="14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979"/>
        <w:gridCol w:w="3310"/>
        <w:gridCol w:w="356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bottom w:val="single" w:color="000000" w:sz="8" w:space="0"/>
              <w:right w:val="single" w:color="000000" w:sz="8" w:space="0"/>
            </w:tcBorders>
          </w:tcPr>
          <w:p>
            <w:pPr>
              <w:pStyle w:val="9"/>
              <w:rPr>
                <w:rFonts w:ascii="Times New Roman"/>
                <w:sz w:val="20"/>
              </w:rPr>
            </w:pPr>
          </w:p>
        </w:tc>
        <w:tc>
          <w:tcPr>
            <w:tcW w:w="3310" w:type="dxa"/>
            <w:tcBorders>
              <w:left w:val="single" w:color="000000" w:sz="8" w:space="0"/>
              <w:bottom w:val="single" w:color="000000" w:sz="8" w:space="0"/>
              <w:right w:val="single" w:color="000000" w:sz="8" w:space="0"/>
            </w:tcBorders>
          </w:tcPr>
          <w:p>
            <w:pPr>
              <w:pStyle w:val="9"/>
              <w:spacing w:line="291" w:lineRule="exact"/>
              <w:ind w:left="1075" w:right="1043"/>
              <w:jc w:val="center"/>
              <w:rPr>
                <w:rFonts w:ascii="Microsoft JhengHei" w:eastAsia="Microsoft JhengHei"/>
                <w:b/>
                <w:sz w:val="20"/>
              </w:rPr>
            </w:pPr>
            <w:r>
              <w:rPr>
                <w:rFonts w:ascii="Microsoft JhengHei" w:eastAsia="Microsoft JhengHei"/>
                <w:b/>
                <w:sz w:val="20"/>
              </w:rPr>
              <w:t xml:space="preserve">计划 </w:t>
            </w:r>
            <w:r>
              <w:rPr>
                <w:rFonts w:ascii="Microsoft JhengHei" w:eastAsia="Microsoft JhengHei"/>
                <w:b/>
                <w:spacing w:val="-10"/>
                <w:sz w:val="20"/>
              </w:rPr>
              <w:t>1</w:t>
            </w:r>
          </w:p>
        </w:tc>
        <w:tc>
          <w:tcPr>
            <w:tcW w:w="3567" w:type="dxa"/>
            <w:tcBorders>
              <w:left w:val="single" w:color="000000" w:sz="8" w:space="0"/>
              <w:bottom w:val="single" w:color="000000" w:sz="8" w:space="0"/>
            </w:tcBorders>
          </w:tcPr>
          <w:p>
            <w:pPr>
              <w:pStyle w:val="9"/>
              <w:spacing w:line="291" w:lineRule="exact"/>
              <w:ind w:left="1200" w:right="1170"/>
              <w:jc w:val="center"/>
              <w:rPr>
                <w:rFonts w:ascii="Microsoft JhengHei" w:eastAsia="Microsoft JhengHei"/>
                <w:b/>
                <w:sz w:val="20"/>
              </w:rPr>
            </w:pPr>
            <w:r>
              <w:rPr>
                <w:rFonts w:ascii="Microsoft JhengHei" w:eastAsia="Microsoft JhengHei"/>
                <w:b/>
                <w:spacing w:val="-1"/>
                <w:sz w:val="20"/>
              </w:rPr>
              <w:t xml:space="preserve">计划 </w:t>
            </w:r>
            <w:r>
              <w:rPr>
                <w:rFonts w:ascii="Microsoft JhengHei" w:eastAsia="Microsoft JhengHei"/>
                <w:b/>
                <w:spacing w:val="-10"/>
                <w:sz w:val="20"/>
              </w:rPr>
              <w:t>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line="291" w:lineRule="exact"/>
              <w:ind w:left="107"/>
              <w:rPr>
                <w:rFonts w:ascii="Microsoft JhengHei" w:eastAsia="Microsoft JhengHei"/>
                <w:b/>
                <w:sz w:val="20"/>
              </w:rPr>
            </w:pPr>
            <w:r>
              <w:rPr>
                <w:rFonts w:ascii="Microsoft JhengHei" w:eastAsia="Microsoft JhengHei"/>
                <w:b/>
                <w:w w:val="95"/>
                <w:sz w:val="20"/>
              </w:rPr>
              <w:t>保障区</w:t>
            </w:r>
            <w:r>
              <w:rPr>
                <w:rFonts w:ascii="Microsoft JhengHei" w:eastAsia="Microsoft JhengHei"/>
                <w:b/>
                <w:spacing w:val="-10"/>
                <w:w w:val="95"/>
                <w:sz w:val="20"/>
              </w:rPr>
              <w:t>域</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5"/>
              <w:ind w:left="1072" w:right="1044"/>
              <w:jc w:val="center"/>
              <w:rPr>
                <w:sz w:val="20"/>
              </w:rPr>
            </w:pPr>
            <w:r>
              <w:rPr>
                <w:w w:val="95"/>
                <w:sz w:val="20"/>
              </w:rPr>
              <w:t>中国大</w:t>
            </w:r>
            <w:r>
              <w:rPr>
                <w:spacing w:val="-10"/>
                <w:w w:val="95"/>
                <w:sz w:val="20"/>
              </w:rPr>
              <w:t>陆</w:t>
            </w:r>
          </w:p>
        </w:tc>
        <w:tc>
          <w:tcPr>
            <w:tcW w:w="3567" w:type="dxa"/>
            <w:tcBorders>
              <w:top w:val="single" w:color="000000" w:sz="8" w:space="0"/>
              <w:left w:val="single" w:color="000000" w:sz="8" w:space="0"/>
              <w:bottom w:val="single" w:color="000000" w:sz="8" w:space="0"/>
            </w:tcBorders>
          </w:tcPr>
          <w:p>
            <w:pPr>
              <w:pStyle w:val="9"/>
              <w:spacing w:before="25"/>
              <w:ind w:left="1200" w:right="1169"/>
              <w:jc w:val="center"/>
              <w:rPr>
                <w:sz w:val="20"/>
              </w:rPr>
            </w:pPr>
            <w:r>
              <w:rPr>
                <w:w w:val="95"/>
                <w:sz w:val="20"/>
              </w:rPr>
              <w:t>中国大</w:t>
            </w:r>
            <w:r>
              <w:rPr>
                <w:spacing w:val="-10"/>
                <w:w w:val="95"/>
                <w:sz w:val="20"/>
              </w:rPr>
              <w:t>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9" w:hRule="atLeast"/>
        </w:trPr>
        <w:tc>
          <w:tcPr>
            <w:tcW w:w="2979" w:type="dxa"/>
            <w:tcBorders>
              <w:top w:val="single" w:color="000000" w:sz="8" w:space="0"/>
              <w:bottom w:val="single" w:color="000000" w:sz="8" w:space="0"/>
              <w:right w:val="single" w:color="000000" w:sz="8" w:space="0"/>
            </w:tcBorders>
          </w:tcPr>
          <w:p>
            <w:pPr>
              <w:pStyle w:val="9"/>
              <w:spacing w:line="330" w:lineRule="exact"/>
              <w:ind w:left="107"/>
              <w:rPr>
                <w:rFonts w:ascii="Microsoft JhengHei" w:eastAsia="Microsoft JhengHei"/>
                <w:b/>
                <w:sz w:val="20"/>
              </w:rPr>
            </w:pPr>
            <w:r>
              <w:rPr>
                <w:rFonts w:ascii="Microsoft JhengHei" w:eastAsia="Microsoft JhengHei"/>
                <w:b/>
                <w:w w:val="95"/>
                <w:sz w:val="20"/>
              </w:rPr>
              <w:t>年度总限</w:t>
            </w:r>
            <w:r>
              <w:rPr>
                <w:rFonts w:ascii="Microsoft JhengHei" w:eastAsia="Microsoft JhengHei"/>
                <w:b/>
                <w:spacing w:val="-10"/>
                <w:w w:val="95"/>
                <w:sz w:val="20"/>
              </w:rPr>
              <w:t>额</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47"/>
              <w:ind w:left="1075" w:right="1044"/>
              <w:jc w:val="center"/>
              <w:rPr>
                <w:sz w:val="20"/>
              </w:rPr>
            </w:pPr>
            <w:r>
              <w:rPr>
                <w:spacing w:val="-2"/>
                <w:sz w:val="20"/>
              </w:rPr>
              <w:t>800000</w:t>
            </w:r>
          </w:p>
        </w:tc>
        <w:tc>
          <w:tcPr>
            <w:tcW w:w="3567" w:type="dxa"/>
            <w:tcBorders>
              <w:top w:val="single" w:color="000000" w:sz="8" w:space="0"/>
              <w:left w:val="single" w:color="000000" w:sz="8" w:space="0"/>
              <w:bottom w:val="single" w:color="000000" w:sz="8" w:space="0"/>
            </w:tcBorders>
          </w:tcPr>
          <w:p>
            <w:pPr>
              <w:pStyle w:val="9"/>
              <w:spacing w:before="47"/>
              <w:ind w:left="1200" w:right="1171"/>
              <w:jc w:val="center"/>
              <w:rPr>
                <w:sz w:val="20"/>
              </w:rPr>
            </w:pPr>
            <w:r>
              <w:rPr>
                <w:spacing w:val="-2"/>
                <w:sz w:val="20"/>
              </w:rPr>
              <w:t>800000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2979" w:type="dxa"/>
            <w:tcBorders>
              <w:top w:val="single" w:color="000000" w:sz="8" w:space="0"/>
              <w:bottom w:val="single" w:color="000000" w:sz="8" w:space="0"/>
              <w:right w:val="single" w:color="000000" w:sz="8" w:space="0"/>
            </w:tcBorders>
          </w:tcPr>
          <w:p>
            <w:pPr>
              <w:pStyle w:val="9"/>
              <w:spacing w:line="294" w:lineRule="exact"/>
              <w:ind w:left="107"/>
              <w:rPr>
                <w:rFonts w:ascii="Microsoft JhengHei" w:eastAsia="Microsoft JhengHei"/>
                <w:b/>
                <w:sz w:val="20"/>
              </w:rPr>
            </w:pPr>
            <w:r>
              <w:rPr>
                <w:rFonts w:ascii="Microsoft JhengHei" w:eastAsia="Microsoft JhengHei"/>
                <w:b/>
                <w:w w:val="95"/>
                <w:sz w:val="20"/>
              </w:rPr>
              <w:t>赔付比</w:t>
            </w:r>
            <w:r>
              <w:rPr>
                <w:rFonts w:ascii="Microsoft JhengHei" w:eastAsia="Microsoft JhengHei"/>
                <w:b/>
                <w:spacing w:val="-10"/>
                <w:w w:val="95"/>
                <w:sz w:val="20"/>
              </w:rPr>
              <w:t>例</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7"/>
              <w:ind w:left="1075" w:right="1044"/>
              <w:jc w:val="center"/>
              <w:rPr>
                <w:sz w:val="20"/>
              </w:rPr>
            </w:pPr>
            <w:r>
              <w:rPr>
                <w:spacing w:val="-4"/>
                <w:sz w:val="20"/>
              </w:rPr>
              <w:t>100%</w:t>
            </w:r>
          </w:p>
        </w:tc>
        <w:tc>
          <w:tcPr>
            <w:tcW w:w="3567" w:type="dxa"/>
            <w:tcBorders>
              <w:top w:val="single" w:color="000000" w:sz="8" w:space="0"/>
              <w:left w:val="single" w:color="000000" w:sz="8" w:space="0"/>
              <w:bottom w:val="single" w:color="000000" w:sz="8" w:space="0"/>
            </w:tcBorders>
          </w:tcPr>
          <w:p>
            <w:pPr>
              <w:pStyle w:val="9"/>
              <w:spacing w:before="27"/>
              <w:ind w:left="1200" w:right="1167"/>
              <w:jc w:val="center"/>
              <w:rPr>
                <w:sz w:val="20"/>
              </w:rPr>
            </w:pPr>
            <w:r>
              <w:rPr>
                <w:spacing w:val="-4"/>
                <w:sz w:val="20"/>
              </w:rPr>
              <w:t>100%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line="291" w:lineRule="exact"/>
              <w:ind w:left="107"/>
              <w:rPr>
                <w:rFonts w:ascii="Microsoft JhengHei" w:eastAsia="Microsoft JhengHei"/>
                <w:b/>
                <w:sz w:val="20"/>
              </w:rPr>
            </w:pPr>
            <w:r>
              <w:rPr>
                <w:rFonts w:ascii="Microsoft JhengHei" w:eastAsia="Microsoft JhengHei"/>
                <w:b/>
                <w:w w:val="95"/>
                <w:sz w:val="20"/>
              </w:rPr>
              <w:t>年度免赔</w:t>
            </w:r>
            <w:r>
              <w:rPr>
                <w:rFonts w:ascii="Microsoft JhengHei" w:eastAsia="Microsoft JhengHei"/>
                <w:b/>
                <w:spacing w:val="-10"/>
                <w:w w:val="95"/>
                <w:sz w:val="20"/>
              </w:rPr>
              <w:t>额</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5"/>
              <w:ind w:left="1075" w:right="1043"/>
              <w:jc w:val="center"/>
              <w:rPr>
                <w:sz w:val="20"/>
              </w:rPr>
            </w:pPr>
            <w:r>
              <w:rPr>
                <w:color w:val="000000"/>
                <w:spacing w:val="-2"/>
                <w:sz w:val="20"/>
                <w:shd w:val="clear" w:color="auto" w:fill="D9D9D9"/>
              </w:rPr>
              <w:t>10000</w:t>
            </w:r>
          </w:p>
        </w:tc>
        <w:tc>
          <w:tcPr>
            <w:tcW w:w="3567" w:type="dxa"/>
            <w:tcBorders>
              <w:top w:val="single" w:color="000000" w:sz="8" w:space="0"/>
              <w:left w:val="single" w:color="000000" w:sz="8" w:space="0"/>
              <w:bottom w:val="single" w:color="000000" w:sz="8" w:space="0"/>
            </w:tcBorders>
          </w:tcPr>
          <w:p>
            <w:pPr>
              <w:pStyle w:val="9"/>
              <w:spacing w:before="25"/>
              <w:ind w:left="1200" w:right="1167"/>
              <w:jc w:val="center"/>
              <w:rPr>
                <w:sz w:val="20"/>
              </w:rPr>
            </w:pPr>
            <w:r>
              <w:rPr>
                <w:color w:val="000000"/>
                <w:spacing w:val="-4"/>
                <w:sz w:val="20"/>
                <w:shd w:val="clear" w:color="auto" w:fill="D9D9D9"/>
              </w:rPr>
              <w:t>8000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line="291" w:lineRule="exact"/>
              <w:ind w:left="107"/>
              <w:rPr>
                <w:rFonts w:ascii="Microsoft JhengHei" w:eastAsia="Microsoft JhengHei"/>
                <w:b/>
                <w:sz w:val="20"/>
              </w:rPr>
            </w:pPr>
            <w:r>
              <w:rPr>
                <w:rFonts w:ascii="Microsoft JhengHei" w:eastAsia="Microsoft JhengHei"/>
                <w:b/>
                <w:sz w:val="20"/>
              </w:rPr>
              <w:t>1.</w:t>
            </w:r>
            <w:r>
              <w:rPr>
                <w:rFonts w:ascii="Microsoft JhengHei" w:eastAsia="Microsoft JhengHei"/>
                <w:b/>
                <w:spacing w:val="-2"/>
                <w:sz w:val="20"/>
              </w:rPr>
              <w:t>住院医疗费用保险金</w:t>
            </w:r>
          </w:p>
        </w:tc>
        <w:tc>
          <w:tcPr>
            <w:tcW w:w="3310" w:type="dxa"/>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3567" w:type="dxa"/>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4" w:hRule="atLeast"/>
        </w:trPr>
        <w:tc>
          <w:tcPr>
            <w:tcW w:w="2979" w:type="dxa"/>
            <w:tcBorders>
              <w:top w:val="single" w:color="000000" w:sz="8" w:space="0"/>
              <w:bottom w:val="single" w:color="000000" w:sz="8" w:space="0"/>
              <w:right w:val="single" w:color="000000" w:sz="8" w:space="0"/>
            </w:tcBorders>
          </w:tcPr>
          <w:p>
            <w:pPr>
              <w:pStyle w:val="9"/>
              <w:spacing w:before="37"/>
              <w:ind w:left="107"/>
              <w:rPr>
                <w:sz w:val="20"/>
              </w:rPr>
            </w:pPr>
            <w:r>
              <w:rPr>
                <w:w w:val="95"/>
                <w:sz w:val="20"/>
              </w:rPr>
              <w:t>床位费、膳食费、护</w:t>
            </w:r>
            <w:r>
              <w:rPr>
                <w:spacing w:val="-5"/>
                <w:w w:val="95"/>
                <w:sz w:val="20"/>
              </w:rPr>
              <w:t>理费</w:t>
            </w:r>
          </w:p>
          <w:p>
            <w:pPr>
              <w:pStyle w:val="9"/>
              <w:spacing w:before="84"/>
              <w:ind w:left="107"/>
              <w:rPr>
                <w:sz w:val="20"/>
              </w:rPr>
            </w:pPr>
            <w:r>
              <w:rPr>
                <w:w w:val="95"/>
                <w:sz w:val="20"/>
              </w:rPr>
              <w:t>(最多</w:t>
            </w:r>
            <w:r>
              <w:rPr>
                <w:spacing w:val="-14"/>
                <w:w w:val="95"/>
                <w:sz w:val="20"/>
              </w:rPr>
              <w:t xml:space="preserve"> </w:t>
            </w:r>
            <w:r>
              <w:rPr>
                <w:w w:val="95"/>
                <w:sz w:val="20"/>
              </w:rPr>
              <w:t>180</w:t>
            </w:r>
            <w:r>
              <w:rPr>
                <w:spacing w:val="-7"/>
                <w:w w:val="95"/>
                <w:sz w:val="20"/>
              </w:rPr>
              <w:t xml:space="preserve"> 日/年)</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10"/>
              <w:rPr>
                <w:sz w:val="15"/>
              </w:rPr>
            </w:pPr>
          </w:p>
          <w:p>
            <w:pPr>
              <w:pStyle w:val="9"/>
              <w:ind w:left="1075" w:right="1044"/>
              <w:jc w:val="center"/>
              <w:rPr>
                <w:sz w:val="20"/>
              </w:rPr>
            </w:pPr>
            <w:r>
              <w:rPr>
                <w:color w:val="000000"/>
                <w:w w:val="95"/>
                <w:sz w:val="20"/>
                <w:shd w:val="clear" w:color="auto" w:fill="D9D9D9"/>
              </w:rPr>
              <w:t>2000/</w:t>
            </w:r>
            <w:r>
              <w:rPr>
                <w:color w:val="000000"/>
                <w:spacing w:val="-10"/>
                <w:sz w:val="20"/>
                <w:shd w:val="clear" w:color="auto" w:fill="D9D9D9"/>
              </w:rPr>
              <w:t>日</w:t>
            </w:r>
          </w:p>
        </w:tc>
        <w:tc>
          <w:tcPr>
            <w:tcW w:w="3567" w:type="dxa"/>
            <w:tcBorders>
              <w:top w:val="single" w:color="000000" w:sz="8" w:space="0"/>
              <w:left w:val="single" w:color="000000" w:sz="8" w:space="0"/>
              <w:bottom w:val="single" w:color="000000" w:sz="8" w:space="0"/>
            </w:tcBorders>
          </w:tcPr>
          <w:p>
            <w:pPr>
              <w:pStyle w:val="9"/>
              <w:spacing w:before="10"/>
              <w:rPr>
                <w:sz w:val="15"/>
              </w:rPr>
            </w:pPr>
          </w:p>
          <w:p>
            <w:pPr>
              <w:pStyle w:val="9"/>
              <w:ind w:left="1200" w:right="1171"/>
              <w:jc w:val="center"/>
              <w:rPr>
                <w:sz w:val="20"/>
              </w:rPr>
            </w:pPr>
            <w:r>
              <w:rPr>
                <w:color w:val="000000"/>
                <w:w w:val="95"/>
                <w:sz w:val="20"/>
                <w:shd w:val="clear" w:color="auto" w:fill="D9D9D9"/>
              </w:rPr>
              <w:t>2000/</w:t>
            </w:r>
            <w:r>
              <w:rPr>
                <w:color w:val="000000"/>
                <w:spacing w:val="-10"/>
                <w:sz w:val="20"/>
                <w:shd w:val="clear" w:color="auto" w:fill="D9D9D9"/>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before="25"/>
              <w:ind w:left="107"/>
              <w:rPr>
                <w:sz w:val="20"/>
              </w:rPr>
            </w:pPr>
            <w:r>
              <w:rPr>
                <w:w w:val="95"/>
                <w:sz w:val="20"/>
              </w:rPr>
              <w:t>检查检验费、治疗</w:t>
            </w:r>
            <w:r>
              <w:rPr>
                <w:spacing w:val="-10"/>
                <w:w w:val="95"/>
                <w:sz w:val="20"/>
              </w:rPr>
              <w:t>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5"/>
              <w:ind w:left="1075" w:right="1044"/>
              <w:jc w:val="center"/>
              <w:rPr>
                <w:sz w:val="20"/>
              </w:rPr>
            </w:pPr>
            <w:r>
              <w:rPr>
                <w:w w:val="95"/>
                <w:sz w:val="20"/>
              </w:rPr>
              <w:t>同年度总限</w:t>
            </w:r>
            <w:r>
              <w:rPr>
                <w:spacing w:val="-10"/>
                <w:w w:val="95"/>
                <w:sz w:val="20"/>
              </w:rPr>
              <w:t>额</w:t>
            </w:r>
          </w:p>
        </w:tc>
        <w:tc>
          <w:tcPr>
            <w:tcW w:w="3567" w:type="dxa"/>
            <w:tcBorders>
              <w:top w:val="single" w:color="000000" w:sz="8" w:space="0"/>
              <w:left w:val="single" w:color="000000" w:sz="8" w:space="0"/>
              <w:bottom w:val="single" w:color="000000" w:sz="8" w:space="0"/>
            </w:tcBorders>
          </w:tcPr>
          <w:p>
            <w:pPr>
              <w:pStyle w:val="9"/>
              <w:spacing w:before="25"/>
              <w:ind w:left="1200" w:right="1172"/>
              <w:jc w:val="center"/>
              <w:rPr>
                <w:sz w:val="20"/>
              </w:rPr>
            </w:pPr>
            <w:r>
              <w:rPr>
                <w:w w:val="95"/>
                <w:sz w:val="20"/>
              </w:rPr>
              <w:t>同年度总限</w:t>
            </w:r>
            <w:r>
              <w:rPr>
                <w:spacing w:val="-10"/>
                <w:w w:val="95"/>
                <w:sz w:val="20"/>
              </w:rPr>
              <w:t>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before="26"/>
              <w:ind w:left="107"/>
              <w:rPr>
                <w:sz w:val="20"/>
              </w:rPr>
            </w:pPr>
            <w:r>
              <w:rPr>
                <w:w w:val="95"/>
                <w:sz w:val="20"/>
              </w:rPr>
              <w:t>药品</w:t>
            </w:r>
            <w:r>
              <w:rPr>
                <w:spacing w:val="-10"/>
                <w:w w:val="95"/>
                <w:sz w:val="20"/>
              </w:rPr>
              <w:t>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6"/>
              <w:ind w:left="1075" w:right="1044"/>
              <w:jc w:val="center"/>
              <w:rPr>
                <w:sz w:val="20"/>
              </w:rPr>
            </w:pPr>
            <w:r>
              <w:rPr>
                <w:w w:val="95"/>
                <w:sz w:val="20"/>
              </w:rPr>
              <w:t>同年度总限</w:t>
            </w:r>
            <w:r>
              <w:rPr>
                <w:spacing w:val="-10"/>
                <w:w w:val="95"/>
                <w:sz w:val="20"/>
              </w:rPr>
              <w:t>额</w:t>
            </w:r>
          </w:p>
        </w:tc>
        <w:tc>
          <w:tcPr>
            <w:tcW w:w="3567" w:type="dxa"/>
            <w:tcBorders>
              <w:top w:val="single" w:color="000000" w:sz="8" w:space="0"/>
              <w:left w:val="single" w:color="000000" w:sz="8" w:space="0"/>
              <w:bottom w:val="single" w:color="000000" w:sz="8" w:space="0"/>
            </w:tcBorders>
          </w:tcPr>
          <w:p>
            <w:pPr>
              <w:pStyle w:val="9"/>
              <w:spacing w:before="26"/>
              <w:ind w:left="1200" w:right="1172"/>
              <w:jc w:val="center"/>
              <w:rPr>
                <w:sz w:val="20"/>
              </w:rPr>
            </w:pPr>
            <w:r>
              <w:rPr>
                <w:w w:val="95"/>
                <w:sz w:val="20"/>
              </w:rPr>
              <w:t>同年度总限</w:t>
            </w:r>
            <w:r>
              <w:rPr>
                <w:spacing w:val="-10"/>
                <w:w w:val="95"/>
                <w:sz w:val="20"/>
              </w:rPr>
              <w:t>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2979" w:type="dxa"/>
            <w:tcBorders>
              <w:top w:val="single" w:color="000000" w:sz="8" w:space="0"/>
              <w:bottom w:val="single" w:color="000000" w:sz="8" w:space="0"/>
              <w:right w:val="single" w:color="000000" w:sz="8" w:space="0"/>
            </w:tcBorders>
          </w:tcPr>
          <w:p>
            <w:pPr>
              <w:pStyle w:val="9"/>
              <w:spacing w:before="27"/>
              <w:ind w:left="107"/>
              <w:rPr>
                <w:sz w:val="20"/>
              </w:rPr>
            </w:pPr>
            <w:r>
              <w:rPr>
                <w:w w:val="95"/>
                <w:sz w:val="20"/>
              </w:rPr>
              <w:t>医生</w:t>
            </w:r>
            <w:r>
              <w:rPr>
                <w:spacing w:val="-10"/>
                <w:w w:val="95"/>
                <w:sz w:val="20"/>
              </w:rPr>
              <w:t>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7"/>
              <w:ind w:left="1075" w:right="1044"/>
              <w:jc w:val="center"/>
              <w:rPr>
                <w:sz w:val="20"/>
              </w:rPr>
            </w:pPr>
            <w:r>
              <w:rPr>
                <w:w w:val="95"/>
                <w:sz w:val="20"/>
              </w:rPr>
              <w:t>同年度总限</w:t>
            </w:r>
            <w:r>
              <w:rPr>
                <w:spacing w:val="-10"/>
                <w:w w:val="95"/>
                <w:sz w:val="20"/>
              </w:rPr>
              <w:t>额</w:t>
            </w:r>
          </w:p>
        </w:tc>
        <w:tc>
          <w:tcPr>
            <w:tcW w:w="3567" w:type="dxa"/>
            <w:tcBorders>
              <w:top w:val="single" w:color="000000" w:sz="8" w:space="0"/>
              <w:left w:val="single" w:color="000000" w:sz="8" w:space="0"/>
              <w:bottom w:val="single" w:color="000000" w:sz="8" w:space="0"/>
            </w:tcBorders>
          </w:tcPr>
          <w:p>
            <w:pPr>
              <w:pStyle w:val="9"/>
              <w:spacing w:before="27"/>
              <w:ind w:left="1200" w:right="1172"/>
              <w:jc w:val="center"/>
              <w:rPr>
                <w:sz w:val="20"/>
              </w:rPr>
            </w:pPr>
            <w:r>
              <w:rPr>
                <w:w w:val="95"/>
                <w:sz w:val="20"/>
              </w:rPr>
              <w:t>同年度总限</w:t>
            </w:r>
            <w:r>
              <w:rPr>
                <w:spacing w:val="-10"/>
                <w:w w:val="95"/>
                <w:sz w:val="20"/>
              </w:rPr>
              <w:t>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before="25"/>
              <w:ind w:left="107"/>
              <w:rPr>
                <w:sz w:val="20"/>
              </w:rPr>
            </w:pPr>
            <w:r>
              <w:rPr>
                <w:w w:val="95"/>
                <w:sz w:val="20"/>
              </w:rPr>
              <w:t>非器官移植手</w:t>
            </w:r>
            <w:r>
              <w:rPr>
                <w:spacing w:val="-5"/>
                <w:w w:val="95"/>
                <w:sz w:val="20"/>
              </w:rPr>
              <w:t>术费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5"/>
              <w:ind w:left="1075" w:right="1044"/>
              <w:jc w:val="center"/>
              <w:rPr>
                <w:sz w:val="20"/>
              </w:rPr>
            </w:pPr>
            <w:r>
              <w:rPr>
                <w:w w:val="95"/>
                <w:sz w:val="20"/>
              </w:rPr>
              <w:t>同年度总限</w:t>
            </w:r>
            <w:r>
              <w:rPr>
                <w:spacing w:val="-10"/>
                <w:w w:val="95"/>
                <w:sz w:val="20"/>
              </w:rPr>
              <w:t>额</w:t>
            </w:r>
          </w:p>
        </w:tc>
        <w:tc>
          <w:tcPr>
            <w:tcW w:w="3567" w:type="dxa"/>
            <w:tcBorders>
              <w:top w:val="single" w:color="000000" w:sz="8" w:space="0"/>
              <w:left w:val="single" w:color="000000" w:sz="8" w:space="0"/>
              <w:bottom w:val="single" w:color="000000" w:sz="8" w:space="0"/>
            </w:tcBorders>
          </w:tcPr>
          <w:p>
            <w:pPr>
              <w:pStyle w:val="9"/>
              <w:spacing w:before="25"/>
              <w:ind w:left="1200" w:right="1172"/>
              <w:jc w:val="center"/>
              <w:rPr>
                <w:sz w:val="20"/>
              </w:rPr>
            </w:pPr>
            <w:r>
              <w:rPr>
                <w:w w:val="95"/>
                <w:sz w:val="20"/>
              </w:rPr>
              <w:t>同年度总限</w:t>
            </w:r>
            <w:r>
              <w:rPr>
                <w:spacing w:val="-10"/>
                <w:w w:val="95"/>
                <w:sz w:val="20"/>
              </w:rPr>
              <w:t>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before="25"/>
              <w:ind w:left="107"/>
              <w:rPr>
                <w:sz w:val="20"/>
              </w:rPr>
            </w:pPr>
            <w:r>
              <w:rPr>
                <w:w w:val="95"/>
                <w:sz w:val="20"/>
              </w:rPr>
              <w:t>特定器官移植手术</w:t>
            </w:r>
            <w:r>
              <w:rPr>
                <w:spacing w:val="-10"/>
                <w:w w:val="95"/>
                <w:sz w:val="20"/>
              </w:rPr>
              <w:t>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5"/>
              <w:ind w:left="1073" w:right="1044"/>
              <w:jc w:val="center"/>
              <w:rPr>
                <w:sz w:val="20"/>
              </w:rPr>
            </w:pPr>
            <w:r>
              <w:rPr>
                <w:color w:val="000000"/>
                <w:w w:val="95"/>
                <w:sz w:val="20"/>
                <w:shd w:val="clear" w:color="auto" w:fill="D9D9D9"/>
              </w:rPr>
              <w:t>300000/</w:t>
            </w:r>
            <w:r>
              <w:rPr>
                <w:color w:val="000000"/>
                <w:spacing w:val="-10"/>
                <w:sz w:val="20"/>
                <w:shd w:val="clear" w:color="auto" w:fill="D9D9D9"/>
              </w:rPr>
              <w:t>年</w:t>
            </w:r>
          </w:p>
        </w:tc>
        <w:tc>
          <w:tcPr>
            <w:tcW w:w="3567" w:type="dxa"/>
            <w:tcBorders>
              <w:top w:val="single" w:color="000000" w:sz="8" w:space="0"/>
              <w:left w:val="single" w:color="000000" w:sz="8" w:space="0"/>
              <w:bottom w:val="single" w:color="000000" w:sz="8" w:space="0"/>
            </w:tcBorders>
          </w:tcPr>
          <w:p>
            <w:pPr>
              <w:pStyle w:val="9"/>
              <w:spacing w:before="25"/>
              <w:ind w:left="1199" w:right="1172"/>
              <w:jc w:val="center"/>
              <w:rPr>
                <w:sz w:val="20"/>
              </w:rPr>
            </w:pPr>
            <w:r>
              <w:rPr>
                <w:color w:val="000000"/>
                <w:w w:val="95"/>
                <w:sz w:val="20"/>
                <w:shd w:val="clear" w:color="auto" w:fill="D9D9D9"/>
              </w:rPr>
              <w:t>300000/</w:t>
            </w:r>
            <w:r>
              <w:rPr>
                <w:color w:val="000000"/>
                <w:spacing w:val="-10"/>
                <w:sz w:val="20"/>
                <w:shd w:val="clear" w:color="auto" w:fill="D9D9D9"/>
              </w:rPr>
              <w:t>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2979" w:type="dxa"/>
            <w:tcBorders>
              <w:top w:val="single" w:color="000000" w:sz="8" w:space="0"/>
              <w:bottom w:val="single" w:color="000000" w:sz="8" w:space="0"/>
              <w:right w:val="single" w:color="000000" w:sz="8" w:space="0"/>
            </w:tcBorders>
          </w:tcPr>
          <w:p>
            <w:pPr>
              <w:pStyle w:val="9"/>
              <w:spacing w:before="27"/>
              <w:ind w:left="107"/>
              <w:rPr>
                <w:sz w:val="20"/>
              </w:rPr>
            </w:pPr>
            <w:r>
              <w:rPr>
                <w:w w:val="95"/>
                <w:sz w:val="20"/>
              </w:rPr>
              <w:t>重症监护病房床位</w:t>
            </w:r>
            <w:r>
              <w:rPr>
                <w:spacing w:val="-10"/>
                <w:w w:val="95"/>
                <w:sz w:val="20"/>
              </w:rPr>
              <w:t>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7"/>
              <w:ind w:left="1075" w:right="1044"/>
              <w:jc w:val="center"/>
              <w:rPr>
                <w:sz w:val="20"/>
              </w:rPr>
            </w:pPr>
            <w:r>
              <w:rPr>
                <w:w w:val="95"/>
                <w:sz w:val="20"/>
              </w:rPr>
              <w:t>同年度总限</w:t>
            </w:r>
            <w:r>
              <w:rPr>
                <w:spacing w:val="-10"/>
                <w:w w:val="95"/>
                <w:sz w:val="20"/>
              </w:rPr>
              <w:t>额</w:t>
            </w:r>
          </w:p>
        </w:tc>
        <w:tc>
          <w:tcPr>
            <w:tcW w:w="3567" w:type="dxa"/>
            <w:tcBorders>
              <w:top w:val="single" w:color="000000" w:sz="8" w:space="0"/>
              <w:left w:val="single" w:color="000000" w:sz="8" w:space="0"/>
              <w:bottom w:val="single" w:color="000000" w:sz="8" w:space="0"/>
            </w:tcBorders>
          </w:tcPr>
          <w:p>
            <w:pPr>
              <w:pStyle w:val="9"/>
              <w:spacing w:before="27"/>
              <w:ind w:left="1200" w:right="1172"/>
              <w:jc w:val="center"/>
              <w:rPr>
                <w:sz w:val="20"/>
              </w:rPr>
            </w:pPr>
            <w:r>
              <w:rPr>
                <w:w w:val="95"/>
                <w:sz w:val="20"/>
              </w:rPr>
              <w:t>同年度总限</w:t>
            </w:r>
            <w:r>
              <w:rPr>
                <w:spacing w:val="-10"/>
                <w:w w:val="95"/>
                <w:sz w:val="20"/>
              </w:rPr>
              <w:t>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before="25"/>
              <w:ind w:left="107"/>
              <w:rPr>
                <w:sz w:val="20"/>
              </w:rPr>
            </w:pPr>
            <w:r>
              <w:rPr>
                <w:w w:val="95"/>
                <w:sz w:val="20"/>
              </w:rPr>
              <w:t>救护车</w:t>
            </w:r>
            <w:r>
              <w:rPr>
                <w:spacing w:val="-10"/>
                <w:w w:val="95"/>
                <w:sz w:val="20"/>
              </w:rPr>
              <w:t>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5"/>
              <w:ind w:left="1075" w:right="1044"/>
              <w:jc w:val="center"/>
              <w:rPr>
                <w:sz w:val="20"/>
              </w:rPr>
            </w:pPr>
            <w:r>
              <w:rPr>
                <w:w w:val="95"/>
                <w:sz w:val="20"/>
              </w:rPr>
              <w:t>同年度总限</w:t>
            </w:r>
            <w:r>
              <w:rPr>
                <w:spacing w:val="-10"/>
                <w:w w:val="95"/>
                <w:sz w:val="20"/>
              </w:rPr>
              <w:t>额</w:t>
            </w:r>
          </w:p>
        </w:tc>
        <w:tc>
          <w:tcPr>
            <w:tcW w:w="3567" w:type="dxa"/>
            <w:tcBorders>
              <w:top w:val="single" w:color="000000" w:sz="8" w:space="0"/>
              <w:left w:val="single" w:color="000000" w:sz="8" w:space="0"/>
              <w:bottom w:val="single" w:color="000000" w:sz="8" w:space="0"/>
            </w:tcBorders>
          </w:tcPr>
          <w:p>
            <w:pPr>
              <w:pStyle w:val="9"/>
              <w:spacing w:before="25"/>
              <w:ind w:left="1200" w:right="1172"/>
              <w:jc w:val="center"/>
              <w:rPr>
                <w:sz w:val="20"/>
              </w:rPr>
            </w:pPr>
            <w:r>
              <w:rPr>
                <w:w w:val="95"/>
                <w:sz w:val="20"/>
              </w:rPr>
              <w:t>同年度总限</w:t>
            </w:r>
            <w:r>
              <w:rPr>
                <w:spacing w:val="-10"/>
                <w:w w:val="95"/>
                <w:sz w:val="20"/>
              </w:rPr>
              <w:t>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8" w:hRule="atLeast"/>
        </w:trPr>
        <w:tc>
          <w:tcPr>
            <w:tcW w:w="2979" w:type="dxa"/>
            <w:tcBorders>
              <w:top w:val="single" w:color="000000" w:sz="8" w:space="0"/>
              <w:bottom w:val="single" w:color="000000" w:sz="8" w:space="0"/>
              <w:right w:val="single" w:color="000000" w:sz="8" w:space="0"/>
            </w:tcBorders>
          </w:tcPr>
          <w:p>
            <w:pPr>
              <w:pStyle w:val="9"/>
              <w:spacing w:line="298" w:lineRule="exact"/>
              <w:ind w:left="107"/>
              <w:rPr>
                <w:rFonts w:ascii="Microsoft JhengHei" w:eastAsia="Microsoft JhengHei"/>
                <w:b/>
                <w:sz w:val="20"/>
              </w:rPr>
            </w:pPr>
            <w:r>
              <w:rPr>
                <w:rFonts w:ascii="Microsoft JhengHei" w:eastAsia="Microsoft JhengHei"/>
                <w:b/>
                <w:sz w:val="20"/>
              </w:rPr>
              <w:t>2.特殊门诊医疗费用保险</w:t>
            </w:r>
            <w:r>
              <w:rPr>
                <w:rFonts w:ascii="Microsoft JhengHei" w:eastAsia="Microsoft JhengHei"/>
                <w:b/>
                <w:spacing w:val="-10"/>
                <w:sz w:val="20"/>
              </w:rPr>
              <w:t>金</w:t>
            </w:r>
          </w:p>
        </w:tc>
        <w:tc>
          <w:tcPr>
            <w:tcW w:w="3310" w:type="dxa"/>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3567" w:type="dxa"/>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before="25"/>
              <w:ind w:left="107"/>
              <w:rPr>
                <w:sz w:val="20"/>
              </w:rPr>
            </w:pPr>
            <w:r>
              <w:rPr>
                <w:w w:val="95"/>
                <w:sz w:val="20"/>
              </w:rPr>
              <w:t>门诊肾透析</w:t>
            </w:r>
            <w:r>
              <w:rPr>
                <w:spacing w:val="-10"/>
                <w:w w:val="95"/>
                <w:sz w:val="20"/>
              </w:rPr>
              <w:t>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5"/>
              <w:ind w:left="1073" w:right="1044"/>
              <w:jc w:val="center"/>
              <w:rPr>
                <w:sz w:val="20"/>
              </w:rPr>
            </w:pPr>
            <w:r>
              <w:rPr>
                <w:color w:val="000000"/>
                <w:w w:val="95"/>
                <w:sz w:val="20"/>
                <w:shd w:val="clear" w:color="auto" w:fill="D9D9D9"/>
              </w:rPr>
              <w:t>100000/</w:t>
            </w:r>
            <w:r>
              <w:rPr>
                <w:color w:val="000000"/>
                <w:spacing w:val="-10"/>
                <w:sz w:val="20"/>
                <w:shd w:val="clear" w:color="auto" w:fill="D9D9D9"/>
              </w:rPr>
              <w:t>年</w:t>
            </w:r>
          </w:p>
        </w:tc>
        <w:tc>
          <w:tcPr>
            <w:tcW w:w="3567" w:type="dxa"/>
            <w:tcBorders>
              <w:top w:val="single" w:color="000000" w:sz="8" w:space="0"/>
              <w:left w:val="single" w:color="000000" w:sz="8" w:space="0"/>
              <w:bottom w:val="single" w:color="000000" w:sz="8" w:space="0"/>
            </w:tcBorders>
          </w:tcPr>
          <w:p>
            <w:pPr>
              <w:pStyle w:val="9"/>
              <w:spacing w:before="25"/>
              <w:ind w:left="1200" w:right="1168"/>
              <w:jc w:val="center"/>
              <w:rPr>
                <w:sz w:val="20"/>
              </w:rPr>
            </w:pPr>
            <w:r>
              <w:rPr>
                <w:color w:val="000000"/>
                <w:w w:val="95"/>
                <w:sz w:val="20"/>
                <w:shd w:val="clear" w:color="auto" w:fill="D9D9D9"/>
              </w:rPr>
              <w:t>100000/</w:t>
            </w:r>
            <w:r>
              <w:rPr>
                <w:color w:val="000000"/>
                <w:spacing w:val="-10"/>
                <w:sz w:val="20"/>
                <w:shd w:val="clear" w:color="auto" w:fill="D9D9D9"/>
              </w:rPr>
              <w:t>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979" w:type="dxa"/>
            <w:tcBorders>
              <w:top w:val="single" w:color="000000" w:sz="8" w:space="0"/>
              <w:bottom w:val="single" w:color="000000" w:sz="8" w:space="0"/>
              <w:right w:val="single" w:color="000000" w:sz="8" w:space="0"/>
            </w:tcBorders>
          </w:tcPr>
          <w:p>
            <w:pPr>
              <w:pStyle w:val="9"/>
              <w:spacing w:before="25"/>
              <w:ind w:left="107"/>
              <w:rPr>
                <w:sz w:val="20"/>
              </w:rPr>
            </w:pPr>
            <w:r>
              <w:rPr>
                <w:w w:val="95"/>
                <w:sz w:val="20"/>
              </w:rPr>
              <w:t>门诊癌症放化</w:t>
            </w:r>
            <w:r>
              <w:rPr>
                <w:spacing w:val="-5"/>
                <w:w w:val="95"/>
                <w:sz w:val="20"/>
              </w:rPr>
              <w:t>疗费</w:t>
            </w:r>
          </w:p>
        </w:tc>
        <w:tc>
          <w:tcPr>
            <w:tcW w:w="3310" w:type="dxa"/>
            <w:tcBorders>
              <w:top w:val="single" w:color="000000" w:sz="8" w:space="0"/>
              <w:left w:val="single" w:color="000000" w:sz="8" w:space="0"/>
              <w:bottom w:val="single" w:color="000000" w:sz="8" w:space="0"/>
              <w:right w:val="single" w:color="000000" w:sz="8" w:space="0"/>
            </w:tcBorders>
          </w:tcPr>
          <w:p>
            <w:pPr>
              <w:pStyle w:val="9"/>
              <w:spacing w:before="25"/>
              <w:ind w:left="1073" w:right="1044"/>
              <w:jc w:val="center"/>
              <w:rPr>
                <w:sz w:val="20"/>
              </w:rPr>
            </w:pPr>
            <w:r>
              <w:rPr>
                <w:color w:val="000000"/>
                <w:w w:val="95"/>
                <w:sz w:val="20"/>
                <w:shd w:val="clear" w:color="auto" w:fill="D9D9D9"/>
              </w:rPr>
              <w:t>100000/</w:t>
            </w:r>
            <w:r>
              <w:rPr>
                <w:color w:val="000000"/>
                <w:spacing w:val="-10"/>
                <w:sz w:val="20"/>
                <w:shd w:val="clear" w:color="auto" w:fill="D9D9D9"/>
              </w:rPr>
              <w:t>年</w:t>
            </w:r>
          </w:p>
        </w:tc>
        <w:tc>
          <w:tcPr>
            <w:tcW w:w="3567" w:type="dxa"/>
            <w:tcBorders>
              <w:top w:val="single" w:color="000000" w:sz="8" w:space="0"/>
              <w:left w:val="single" w:color="000000" w:sz="8" w:space="0"/>
              <w:bottom w:val="single" w:color="000000" w:sz="8" w:space="0"/>
            </w:tcBorders>
          </w:tcPr>
          <w:p>
            <w:pPr>
              <w:pStyle w:val="9"/>
              <w:spacing w:before="25"/>
              <w:ind w:left="1200" w:right="1168"/>
              <w:jc w:val="center"/>
              <w:rPr>
                <w:sz w:val="20"/>
              </w:rPr>
            </w:pPr>
            <w:r>
              <w:rPr>
                <w:color w:val="000000"/>
                <w:w w:val="95"/>
                <w:sz w:val="20"/>
                <w:shd w:val="clear" w:color="auto" w:fill="D9D9D9"/>
              </w:rPr>
              <w:t>100000/</w:t>
            </w:r>
            <w:r>
              <w:rPr>
                <w:color w:val="000000"/>
                <w:spacing w:val="-10"/>
                <w:sz w:val="20"/>
                <w:shd w:val="clear" w:color="auto" w:fill="D9D9D9"/>
              </w:rPr>
              <w:t>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2979" w:type="dxa"/>
            <w:tcBorders>
              <w:top w:val="single" w:color="000000" w:sz="8" w:space="0"/>
              <w:right w:val="single" w:color="000000" w:sz="8" w:space="0"/>
            </w:tcBorders>
          </w:tcPr>
          <w:p>
            <w:pPr>
              <w:pStyle w:val="9"/>
              <w:spacing w:before="27"/>
              <w:ind w:left="107"/>
              <w:rPr>
                <w:sz w:val="20"/>
              </w:rPr>
            </w:pPr>
            <w:r>
              <w:rPr>
                <w:spacing w:val="14"/>
                <w:w w:val="95"/>
                <w:sz w:val="20"/>
              </w:rPr>
              <w:t>器官移植后的门诊抗排异治</w:t>
            </w:r>
            <w:r>
              <w:rPr>
                <w:spacing w:val="4"/>
                <w:w w:val="95"/>
                <w:sz w:val="20"/>
              </w:rPr>
              <w:t>疗</w:t>
            </w:r>
          </w:p>
          <w:p>
            <w:pPr>
              <w:pStyle w:val="9"/>
              <w:spacing w:before="56"/>
              <w:ind w:left="107"/>
              <w:rPr>
                <w:sz w:val="20"/>
              </w:rPr>
            </w:pPr>
            <w:r>
              <w:rPr>
                <w:w w:val="99"/>
                <w:sz w:val="20"/>
              </w:rPr>
              <w:t>费</w:t>
            </w:r>
          </w:p>
        </w:tc>
        <w:tc>
          <w:tcPr>
            <w:tcW w:w="3310" w:type="dxa"/>
            <w:tcBorders>
              <w:top w:val="single" w:color="000000" w:sz="8" w:space="0"/>
              <w:left w:val="single" w:color="000000" w:sz="8" w:space="0"/>
              <w:right w:val="single" w:color="000000" w:sz="8" w:space="0"/>
            </w:tcBorders>
          </w:tcPr>
          <w:p>
            <w:pPr>
              <w:pStyle w:val="9"/>
              <w:spacing w:before="4"/>
              <w:rPr>
                <w:sz w:val="14"/>
              </w:rPr>
            </w:pPr>
          </w:p>
          <w:p>
            <w:pPr>
              <w:pStyle w:val="9"/>
              <w:ind w:left="1075" w:right="1044"/>
              <w:jc w:val="center"/>
              <w:rPr>
                <w:sz w:val="20"/>
              </w:rPr>
            </w:pPr>
            <w:r>
              <w:rPr>
                <w:w w:val="95"/>
                <w:sz w:val="20"/>
              </w:rPr>
              <w:t>同年度总限</w:t>
            </w:r>
            <w:r>
              <w:rPr>
                <w:spacing w:val="-10"/>
                <w:w w:val="95"/>
                <w:sz w:val="20"/>
              </w:rPr>
              <w:t>额</w:t>
            </w:r>
          </w:p>
        </w:tc>
        <w:tc>
          <w:tcPr>
            <w:tcW w:w="3567" w:type="dxa"/>
            <w:tcBorders>
              <w:top w:val="single" w:color="000000" w:sz="8" w:space="0"/>
              <w:left w:val="single" w:color="000000" w:sz="8" w:space="0"/>
            </w:tcBorders>
          </w:tcPr>
          <w:p>
            <w:pPr>
              <w:pStyle w:val="9"/>
              <w:spacing w:before="4"/>
              <w:rPr>
                <w:sz w:val="14"/>
              </w:rPr>
            </w:pPr>
          </w:p>
          <w:p>
            <w:pPr>
              <w:pStyle w:val="9"/>
              <w:ind w:left="1200" w:right="1172"/>
              <w:jc w:val="center"/>
              <w:rPr>
                <w:sz w:val="20"/>
              </w:rPr>
            </w:pPr>
            <w:r>
              <w:rPr>
                <w:w w:val="95"/>
                <w:sz w:val="20"/>
              </w:rPr>
              <w:t>同年度总限</w:t>
            </w:r>
            <w:r>
              <w:rPr>
                <w:spacing w:val="-10"/>
                <w:w w:val="95"/>
                <w:sz w:val="20"/>
              </w:rPr>
              <w:t>额</w:t>
            </w:r>
          </w:p>
        </w:tc>
      </w:tr>
    </w:tbl>
    <w:p/>
    <w:sectPr>
      <w:type w:val="continuous"/>
      <w:pgSz w:w="11910" w:h="16840"/>
      <w:pgMar w:top="180" w:right="220" w:bottom="280" w:left="9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Microsoft JhengHei">
    <w:panose1 w:val="020B0604030504040204"/>
    <w:charset w:val="88"/>
    <w:family w:val="swiss"/>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2650"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3472" w:hanging="318"/>
      </w:pPr>
      <w:rPr>
        <w:rFonts w:hint="default"/>
        <w:lang w:val="en-US" w:eastAsia="zh-CN" w:bidi="ar-SA"/>
      </w:rPr>
    </w:lvl>
    <w:lvl w:ilvl="2" w:tentative="0">
      <w:start w:val="0"/>
      <w:numFmt w:val="bullet"/>
      <w:lvlText w:val="•"/>
      <w:lvlJc w:val="left"/>
      <w:pPr>
        <w:ind w:left="4285" w:hanging="318"/>
      </w:pPr>
      <w:rPr>
        <w:rFonts w:hint="default"/>
        <w:lang w:val="en-US" w:eastAsia="zh-CN" w:bidi="ar-SA"/>
      </w:rPr>
    </w:lvl>
    <w:lvl w:ilvl="3" w:tentative="0">
      <w:start w:val="0"/>
      <w:numFmt w:val="bullet"/>
      <w:lvlText w:val="•"/>
      <w:lvlJc w:val="left"/>
      <w:pPr>
        <w:ind w:left="5097" w:hanging="318"/>
      </w:pPr>
      <w:rPr>
        <w:rFonts w:hint="default"/>
        <w:lang w:val="en-US" w:eastAsia="zh-CN" w:bidi="ar-SA"/>
      </w:rPr>
    </w:lvl>
    <w:lvl w:ilvl="4" w:tentative="0">
      <w:start w:val="0"/>
      <w:numFmt w:val="bullet"/>
      <w:lvlText w:val="•"/>
      <w:lvlJc w:val="left"/>
      <w:pPr>
        <w:ind w:left="5910" w:hanging="318"/>
      </w:pPr>
      <w:rPr>
        <w:rFonts w:hint="default"/>
        <w:lang w:val="en-US" w:eastAsia="zh-CN" w:bidi="ar-SA"/>
      </w:rPr>
    </w:lvl>
    <w:lvl w:ilvl="5" w:tentative="0">
      <w:start w:val="0"/>
      <w:numFmt w:val="bullet"/>
      <w:lvlText w:val="•"/>
      <w:lvlJc w:val="left"/>
      <w:pPr>
        <w:ind w:left="6723" w:hanging="318"/>
      </w:pPr>
      <w:rPr>
        <w:rFonts w:hint="default"/>
        <w:lang w:val="en-US" w:eastAsia="zh-CN" w:bidi="ar-SA"/>
      </w:rPr>
    </w:lvl>
    <w:lvl w:ilvl="6" w:tentative="0">
      <w:start w:val="0"/>
      <w:numFmt w:val="bullet"/>
      <w:lvlText w:val="•"/>
      <w:lvlJc w:val="left"/>
      <w:pPr>
        <w:ind w:left="7535" w:hanging="318"/>
      </w:pPr>
      <w:rPr>
        <w:rFonts w:hint="default"/>
        <w:lang w:val="en-US" w:eastAsia="zh-CN" w:bidi="ar-SA"/>
      </w:rPr>
    </w:lvl>
    <w:lvl w:ilvl="7" w:tentative="0">
      <w:start w:val="0"/>
      <w:numFmt w:val="bullet"/>
      <w:lvlText w:val="•"/>
      <w:lvlJc w:val="left"/>
      <w:pPr>
        <w:ind w:left="8348" w:hanging="318"/>
      </w:pPr>
      <w:rPr>
        <w:rFonts w:hint="default"/>
        <w:lang w:val="en-US" w:eastAsia="zh-CN" w:bidi="ar-SA"/>
      </w:rPr>
    </w:lvl>
    <w:lvl w:ilvl="8" w:tentative="0">
      <w:start w:val="0"/>
      <w:numFmt w:val="bullet"/>
      <w:lvlText w:val="•"/>
      <w:lvlJc w:val="left"/>
      <w:pPr>
        <w:ind w:left="9161" w:hanging="318"/>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2650" w:hanging="318"/>
        <w:jc w:val="left"/>
      </w:pPr>
      <w:rPr>
        <w:rFonts w:hint="default" w:ascii="宋体" w:hAnsi="宋体" w:eastAsia="宋体" w:cs="宋体"/>
        <w:b w:val="0"/>
        <w:bCs w:val="0"/>
        <w:i w:val="0"/>
        <w:iCs w:val="0"/>
        <w:spacing w:val="-22"/>
        <w:w w:val="100"/>
        <w:sz w:val="19"/>
        <w:szCs w:val="19"/>
        <w:shd w:val="clear" w:color="auto" w:fill="D9D9D9"/>
        <w:lang w:val="en-US" w:eastAsia="zh-CN" w:bidi="ar-SA"/>
      </w:rPr>
    </w:lvl>
    <w:lvl w:ilvl="1" w:tentative="0">
      <w:start w:val="0"/>
      <w:numFmt w:val="bullet"/>
      <w:lvlText w:val="•"/>
      <w:lvlJc w:val="left"/>
      <w:pPr>
        <w:ind w:left="3472" w:hanging="318"/>
      </w:pPr>
      <w:rPr>
        <w:rFonts w:hint="default"/>
        <w:lang w:val="en-US" w:eastAsia="zh-CN" w:bidi="ar-SA"/>
      </w:rPr>
    </w:lvl>
    <w:lvl w:ilvl="2" w:tentative="0">
      <w:start w:val="0"/>
      <w:numFmt w:val="bullet"/>
      <w:lvlText w:val="•"/>
      <w:lvlJc w:val="left"/>
      <w:pPr>
        <w:ind w:left="4285" w:hanging="318"/>
      </w:pPr>
      <w:rPr>
        <w:rFonts w:hint="default"/>
        <w:lang w:val="en-US" w:eastAsia="zh-CN" w:bidi="ar-SA"/>
      </w:rPr>
    </w:lvl>
    <w:lvl w:ilvl="3" w:tentative="0">
      <w:start w:val="0"/>
      <w:numFmt w:val="bullet"/>
      <w:lvlText w:val="•"/>
      <w:lvlJc w:val="left"/>
      <w:pPr>
        <w:ind w:left="5097" w:hanging="318"/>
      </w:pPr>
      <w:rPr>
        <w:rFonts w:hint="default"/>
        <w:lang w:val="en-US" w:eastAsia="zh-CN" w:bidi="ar-SA"/>
      </w:rPr>
    </w:lvl>
    <w:lvl w:ilvl="4" w:tentative="0">
      <w:start w:val="0"/>
      <w:numFmt w:val="bullet"/>
      <w:lvlText w:val="•"/>
      <w:lvlJc w:val="left"/>
      <w:pPr>
        <w:ind w:left="5910" w:hanging="318"/>
      </w:pPr>
      <w:rPr>
        <w:rFonts w:hint="default"/>
        <w:lang w:val="en-US" w:eastAsia="zh-CN" w:bidi="ar-SA"/>
      </w:rPr>
    </w:lvl>
    <w:lvl w:ilvl="5" w:tentative="0">
      <w:start w:val="0"/>
      <w:numFmt w:val="bullet"/>
      <w:lvlText w:val="•"/>
      <w:lvlJc w:val="left"/>
      <w:pPr>
        <w:ind w:left="6723" w:hanging="318"/>
      </w:pPr>
      <w:rPr>
        <w:rFonts w:hint="default"/>
        <w:lang w:val="en-US" w:eastAsia="zh-CN" w:bidi="ar-SA"/>
      </w:rPr>
    </w:lvl>
    <w:lvl w:ilvl="6" w:tentative="0">
      <w:start w:val="0"/>
      <w:numFmt w:val="bullet"/>
      <w:lvlText w:val="•"/>
      <w:lvlJc w:val="left"/>
      <w:pPr>
        <w:ind w:left="7535" w:hanging="318"/>
      </w:pPr>
      <w:rPr>
        <w:rFonts w:hint="default"/>
        <w:lang w:val="en-US" w:eastAsia="zh-CN" w:bidi="ar-SA"/>
      </w:rPr>
    </w:lvl>
    <w:lvl w:ilvl="7" w:tentative="0">
      <w:start w:val="0"/>
      <w:numFmt w:val="bullet"/>
      <w:lvlText w:val="•"/>
      <w:lvlJc w:val="left"/>
      <w:pPr>
        <w:ind w:left="8348" w:hanging="318"/>
      </w:pPr>
      <w:rPr>
        <w:rFonts w:hint="default"/>
        <w:lang w:val="en-US" w:eastAsia="zh-CN" w:bidi="ar-SA"/>
      </w:rPr>
    </w:lvl>
    <w:lvl w:ilvl="8" w:tentative="0">
      <w:start w:val="0"/>
      <w:numFmt w:val="bullet"/>
      <w:lvlText w:val="•"/>
      <w:lvlJc w:val="left"/>
      <w:pPr>
        <w:ind w:left="9161" w:hanging="318"/>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2967"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3742" w:hanging="318"/>
      </w:pPr>
      <w:rPr>
        <w:rFonts w:hint="default"/>
        <w:lang w:val="en-US" w:eastAsia="zh-CN" w:bidi="ar-SA"/>
      </w:rPr>
    </w:lvl>
    <w:lvl w:ilvl="2" w:tentative="0">
      <w:start w:val="0"/>
      <w:numFmt w:val="bullet"/>
      <w:lvlText w:val="•"/>
      <w:lvlJc w:val="left"/>
      <w:pPr>
        <w:ind w:left="4525" w:hanging="318"/>
      </w:pPr>
      <w:rPr>
        <w:rFonts w:hint="default"/>
        <w:lang w:val="en-US" w:eastAsia="zh-CN" w:bidi="ar-SA"/>
      </w:rPr>
    </w:lvl>
    <w:lvl w:ilvl="3" w:tentative="0">
      <w:start w:val="0"/>
      <w:numFmt w:val="bullet"/>
      <w:lvlText w:val="•"/>
      <w:lvlJc w:val="left"/>
      <w:pPr>
        <w:ind w:left="5307" w:hanging="318"/>
      </w:pPr>
      <w:rPr>
        <w:rFonts w:hint="default"/>
        <w:lang w:val="en-US" w:eastAsia="zh-CN" w:bidi="ar-SA"/>
      </w:rPr>
    </w:lvl>
    <w:lvl w:ilvl="4" w:tentative="0">
      <w:start w:val="0"/>
      <w:numFmt w:val="bullet"/>
      <w:lvlText w:val="•"/>
      <w:lvlJc w:val="left"/>
      <w:pPr>
        <w:ind w:left="6090" w:hanging="318"/>
      </w:pPr>
      <w:rPr>
        <w:rFonts w:hint="default"/>
        <w:lang w:val="en-US" w:eastAsia="zh-CN" w:bidi="ar-SA"/>
      </w:rPr>
    </w:lvl>
    <w:lvl w:ilvl="5" w:tentative="0">
      <w:start w:val="0"/>
      <w:numFmt w:val="bullet"/>
      <w:lvlText w:val="•"/>
      <w:lvlJc w:val="left"/>
      <w:pPr>
        <w:ind w:left="6873" w:hanging="318"/>
      </w:pPr>
      <w:rPr>
        <w:rFonts w:hint="default"/>
        <w:lang w:val="en-US" w:eastAsia="zh-CN" w:bidi="ar-SA"/>
      </w:rPr>
    </w:lvl>
    <w:lvl w:ilvl="6" w:tentative="0">
      <w:start w:val="0"/>
      <w:numFmt w:val="bullet"/>
      <w:lvlText w:val="•"/>
      <w:lvlJc w:val="left"/>
      <w:pPr>
        <w:ind w:left="7655" w:hanging="318"/>
      </w:pPr>
      <w:rPr>
        <w:rFonts w:hint="default"/>
        <w:lang w:val="en-US" w:eastAsia="zh-CN" w:bidi="ar-SA"/>
      </w:rPr>
    </w:lvl>
    <w:lvl w:ilvl="7" w:tentative="0">
      <w:start w:val="0"/>
      <w:numFmt w:val="bullet"/>
      <w:lvlText w:val="•"/>
      <w:lvlJc w:val="left"/>
      <w:pPr>
        <w:ind w:left="8438" w:hanging="318"/>
      </w:pPr>
      <w:rPr>
        <w:rFonts w:hint="default"/>
        <w:lang w:val="en-US" w:eastAsia="zh-CN" w:bidi="ar-SA"/>
      </w:rPr>
    </w:lvl>
    <w:lvl w:ilvl="8" w:tentative="0">
      <w:start w:val="0"/>
      <w:numFmt w:val="bullet"/>
      <w:lvlText w:val="•"/>
      <w:lvlJc w:val="left"/>
      <w:pPr>
        <w:ind w:left="9221" w:hanging="318"/>
      </w:pPr>
      <w:rPr>
        <w:rFonts w:hint="default"/>
        <w:lang w:val="en-US" w:eastAsia="zh-CN" w:bidi="ar-SA"/>
      </w:rPr>
    </w:lvl>
  </w:abstractNum>
  <w:abstractNum w:abstractNumId="3">
    <w:nsid w:val="C8879AEF"/>
    <w:multiLevelType w:val="multilevel"/>
    <w:tmpl w:val="C8879AEF"/>
    <w:lvl w:ilvl="0" w:tentative="0">
      <w:start w:val="1"/>
      <w:numFmt w:val="decimal"/>
      <w:lvlText w:val="(%1)"/>
      <w:lvlJc w:val="left"/>
      <w:pPr>
        <w:ind w:left="197" w:hanging="318"/>
        <w:jc w:val="righ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013" w:hanging="318"/>
      </w:pPr>
      <w:rPr>
        <w:rFonts w:hint="default"/>
        <w:lang w:val="en-US" w:eastAsia="zh-CN" w:bidi="ar-SA"/>
      </w:rPr>
    </w:lvl>
    <w:lvl w:ilvl="2" w:tentative="0">
      <w:start w:val="0"/>
      <w:numFmt w:val="bullet"/>
      <w:lvlText w:val="•"/>
      <w:lvlJc w:val="left"/>
      <w:pPr>
        <w:ind w:left="1826" w:hanging="318"/>
      </w:pPr>
      <w:rPr>
        <w:rFonts w:hint="default"/>
        <w:lang w:val="en-US" w:eastAsia="zh-CN" w:bidi="ar-SA"/>
      </w:rPr>
    </w:lvl>
    <w:lvl w:ilvl="3" w:tentative="0">
      <w:start w:val="0"/>
      <w:numFmt w:val="bullet"/>
      <w:lvlText w:val="•"/>
      <w:lvlJc w:val="left"/>
      <w:pPr>
        <w:ind w:left="2640" w:hanging="318"/>
      </w:pPr>
      <w:rPr>
        <w:rFonts w:hint="default"/>
        <w:lang w:val="en-US" w:eastAsia="zh-CN" w:bidi="ar-SA"/>
      </w:rPr>
    </w:lvl>
    <w:lvl w:ilvl="4" w:tentative="0">
      <w:start w:val="0"/>
      <w:numFmt w:val="bullet"/>
      <w:lvlText w:val="•"/>
      <w:lvlJc w:val="left"/>
      <w:pPr>
        <w:ind w:left="3453" w:hanging="318"/>
      </w:pPr>
      <w:rPr>
        <w:rFonts w:hint="default"/>
        <w:lang w:val="en-US" w:eastAsia="zh-CN" w:bidi="ar-SA"/>
      </w:rPr>
    </w:lvl>
    <w:lvl w:ilvl="5" w:tentative="0">
      <w:start w:val="0"/>
      <w:numFmt w:val="bullet"/>
      <w:lvlText w:val="•"/>
      <w:lvlJc w:val="left"/>
      <w:pPr>
        <w:ind w:left="4266" w:hanging="318"/>
      </w:pPr>
      <w:rPr>
        <w:rFonts w:hint="default"/>
        <w:lang w:val="en-US" w:eastAsia="zh-CN" w:bidi="ar-SA"/>
      </w:rPr>
    </w:lvl>
    <w:lvl w:ilvl="6" w:tentative="0">
      <w:start w:val="0"/>
      <w:numFmt w:val="bullet"/>
      <w:lvlText w:val="•"/>
      <w:lvlJc w:val="left"/>
      <w:pPr>
        <w:ind w:left="5080" w:hanging="318"/>
      </w:pPr>
      <w:rPr>
        <w:rFonts w:hint="default"/>
        <w:lang w:val="en-US" w:eastAsia="zh-CN" w:bidi="ar-SA"/>
      </w:rPr>
    </w:lvl>
    <w:lvl w:ilvl="7" w:tentative="0">
      <w:start w:val="0"/>
      <w:numFmt w:val="bullet"/>
      <w:lvlText w:val="•"/>
      <w:lvlJc w:val="left"/>
      <w:pPr>
        <w:ind w:left="5893" w:hanging="318"/>
      </w:pPr>
      <w:rPr>
        <w:rFonts w:hint="default"/>
        <w:lang w:val="en-US" w:eastAsia="zh-CN" w:bidi="ar-SA"/>
      </w:rPr>
    </w:lvl>
    <w:lvl w:ilvl="8" w:tentative="0">
      <w:start w:val="0"/>
      <w:numFmt w:val="bullet"/>
      <w:lvlText w:val="•"/>
      <w:lvlJc w:val="left"/>
      <w:pPr>
        <w:ind w:left="6707" w:hanging="318"/>
      </w:pPr>
      <w:rPr>
        <w:rFonts w:hint="default"/>
        <w:lang w:val="en-US" w:eastAsia="zh-CN" w:bidi="ar-SA"/>
      </w:rPr>
    </w:lvl>
  </w:abstractNum>
  <w:abstractNum w:abstractNumId="4">
    <w:nsid w:val="CF092B84"/>
    <w:multiLevelType w:val="multilevel"/>
    <w:tmpl w:val="CF092B84"/>
    <w:lvl w:ilvl="0" w:tentative="0">
      <w:start w:val="1"/>
      <w:numFmt w:val="decimal"/>
      <w:lvlText w:val="%1"/>
      <w:lvlJc w:val="left"/>
      <w:pPr>
        <w:ind w:left="2650" w:hanging="862"/>
        <w:jc w:val="left"/>
      </w:pPr>
      <w:rPr>
        <w:rFonts w:hint="default"/>
        <w:lang w:val="en-US" w:eastAsia="zh-CN" w:bidi="ar-SA"/>
      </w:rPr>
    </w:lvl>
    <w:lvl w:ilvl="1" w:tentative="0">
      <w:start w:val="1"/>
      <w:numFmt w:val="decimal"/>
      <w:lvlText w:val="%1.%2"/>
      <w:lvlJc w:val="left"/>
      <w:pPr>
        <w:ind w:left="2650" w:hanging="862"/>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285" w:hanging="862"/>
      </w:pPr>
      <w:rPr>
        <w:rFonts w:hint="default"/>
        <w:lang w:val="en-US" w:eastAsia="zh-CN" w:bidi="ar-SA"/>
      </w:rPr>
    </w:lvl>
    <w:lvl w:ilvl="3" w:tentative="0">
      <w:start w:val="0"/>
      <w:numFmt w:val="bullet"/>
      <w:lvlText w:val="•"/>
      <w:lvlJc w:val="left"/>
      <w:pPr>
        <w:ind w:left="5097" w:hanging="862"/>
      </w:pPr>
      <w:rPr>
        <w:rFonts w:hint="default"/>
        <w:lang w:val="en-US" w:eastAsia="zh-CN" w:bidi="ar-SA"/>
      </w:rPr>
    </w:lvl>
    <w:lvl w:ilvl="4" w:tentative="0">
      <w:start w:val="0"/>
      <w:numFmt w:val="bullet"/>
      <w:lvlText w:val="•"/>
      <w:lvlJc w:val="left"/>
      <w:pPr>
        <w:ind w:left="5910" w:hanging="862"/>
      </w:pPr>
      <w:rPr>
        <w:rFonts w:hint="default"/>
        <w:lang w:val="en-US" w:eastAsia="zh-CN" w:bidi="ar-SA"/>
      </w:rPr>
    </w:lvl>
    <w:lvl w:ilvl="5" w:tentative="0">
      <w:start w:val="0"/>
      <w:numFmt w:val="bullet"/>
      <w:lvlText w:val="•"/>
      <w:lvlJc w:val="left"/>
      <w:pPr>
        <w:ind w:left="6723" w:hanging="862"/>
      </w:pPr>
      <w:rPr>
        <w:rFonts w:hint="default"/>
        <w:lang w:val="en-US" w:eastAsia="zh-CN" w:bidi="ar-SA"/>
      </w:rPr>
    </w:lvl>
    <w:lvl w:ilvl="6" w:tentative="0">
      <w:start w:val="0"/>
      <w:numFmt w:val="bullet"/>
      <w:lvlText w:val="•"/>
      <w:lvlJc w:val="left"/>
      <w:pPr>
        <w:ind w:left="7535" w:hanging="862"/>
      </w:pPr>
      <w:rPr>
        <w:rFonts w:hint="default"/>
        <w:lang w:val="en-US" w:eastAsia="zh-CN" w:bidi="ar-SA"/>
      </w:rPr>
    </w:lvl>
    <w:lvl w:ilvl="7" w:tentative="0">
      <w:start w:val="0"/>
      <w:numFmt w:val="bullet"/>
      <w:lvlText w:val="•"/>
      <w:lvlJc w:val="left"/>
      <w:pPr>
        <w:ind w:left="8348" w:hanging="862"/>
      </w:pPr>
      <w:rPr>
        <w:rFonts w:hint="default"/>
        <w:lang w:val="en-US" w:eastAsia="zh-CN" w:bidi="ar-SA"/>
      </w:rPr>
    </w:lvl>
    <w:lvl w:ilvl="8" w:tentative="0">
      <w:start w:val="0"/>
      <w:numFmt w:val="bullet"/>
      <w:lvlText w:val="•"/>
      <w:lvlJc w:val="left"/>
      <w:pPr>
        <w:ind w:left="9161" w:hanging="862"/>
      </w:pPr>
      <w:rPr>
        <w:rFonts w:hint="default"/>
        <w:lang w:val="en-US" w:eastAsia="zh-CN" w:bidi="ar-SA"/>
      </w:rPr>
    </w:lvl>
  </w:abstractNum>
  <w:abstractNum w:abstractNumId="5">
    <w:nsid w:val="F4B5D9F5"/>
    <w:multiLevelType w:val="multilevel"/>
    <w:tmpl w:val="F4B5D9F5"/>
    <w:lvl w:ilvl="0" w:tentative="0">
      <w:start w:val="7"/>
      <w:numFmt w:val="decimal"/>
      <w:lvlText w:val="%1"/>
      <w:lvlJc w:val="left"/>
      <w:pPr>
        <w:ind w:left="2657" w:hanging="862"/>
        <w:jc w:val="left"/>
      </w:pPr>
      <w:rPr>
        <w:rFonts w:hint="default"/>
        <w:lang w:val="en-US" w:eastAsia="zh-CN" w:bidi="ar-SA"/>
      </w:rPr>
    </w:lvl>
    <w:lvl w:ilvl="1" w:tentative="0">
      <w:start w:val="1"/>
      <w:numFmt w:val="decimal"/>
      <w:lvlText w:val="%1.%2"/>
      <w:lvlJc w:val="left"/>
      <w:pPr>
        <w:ind w:left="2657" w:hanging="862"/>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285" w:hanging="862"/>
      </w:pPr>
      <w:rPr>
        <w:rFonts w:hint="default"/>
        <w:lang w:val="en-US" w:eastAsia="zh-CN" w:bidi="ar-SA"/>
      </w:rPr>
    </w:lvl>
    <w:lvl w:ilvl="3" w:tentative="0">
      <w:start w:val="0"/>
      <w:numFmt w:val="bullet"/>
      <w:lvlText w:val="•"/>
      <w:lvlJc w:val="left"/>
      <w:pPr>
        <w:ind w:left="5097" w:hanging="862"/>
      </w:pPr>
      <w:rPr>
        <w:rFonts w:hint="default"/>
        <w:lang w:val="en-US" w:eastAsia="zh-CN" w:bidi="ar-SA"/>
      </w:rPr>
    </w:lvl>
    <w:lvl w:ilvl="4" w:tentative="0">
      <w:start w:val="0"/>
      <w:numFmt w:val="bullet"/>
      <w:lvlText w:val="•"/>
      <w:lvlJc w:val="left"/>
      <w:pPr>
        <w:ind w:left="5910" w:hanging="862"/>
      </w:pPr>
      <w:rPr>
        <w:rFonts w:hint="default"/>
        <w:lang w:val="en-US" w:eastAsia="zh-CN" w:bidi="ar-SA"/>
      </w:rPr>
    </w:lvl>
    <w:lvl w:ilvl="5" w:tentative="0">
      <w:start w:val="0"/>
      <w:numFmt w:val="bullet"/>
      <w:lvlText w:val="•"/>
      <w:lvlJc w:val="left"/>
      <w:pPr>
        <w:ind w:left="6723" w:hanging="862"/>
      </w:pPr>
      <w:rPr>
        <w:rFonts w:hint="default"/>
        <w:lang w:val="en-US" w:eastAsia="zh-CN" w:bidi="ar-SA"/>
      </w:rPr>
    </w:lvl>
    <w:lvl w:ilvl="6" w:tentative="0">
      <w:start w:val="0"/>
      <w:numFmt w:val="bullet"/>
      <w:lvlText w:val="•"/>
      <w:lvlJc w:val="left"/>
      <w:pPr>
        <w:ind w:left="7535" w:hanging="862"/>
      </w:pPr>
      <w:rPr>
        <w:rFonts w:hint="default"/>
        <w:lang w:val="en-US" w:eastAsia="zh-CN" w:bidi="ar-SA"/>
      </w:rPr>
    </w:lvl>
    <w:lvl w:ilvl="7" w:tentative="0">
      <w:start w:val="0"/>
      <w:numFmt w:val="bullet"/>
      <w:lvlText w:val="•"/>
      <w:lvlJc w:val="left"/>
      <w:pPr>
        <w:ind w:left="8348" w:hanging="862"/>
      </w:pPr>
      <w:rPr>
        <w:rFonts w:hint="default"/>
        <w:lang w:val="en-US" w:eastAsia="zh-CN" w:bidi="ar-SA"/>
      </w:rPr>
    </w:lvl>
    <w:lvl w:ilvl="8" w:tentative="0">
      <w:start w:val="0"/>
      <w:numFmt w:val="bullet"/>
      <w:lvlText w:val="•"/>
      <w:lvlJc w:val="left"/>
      <w:pPr>
        <w:ind w:left="9161" w:hanging="862"/>
      </w:pPr>
      <w:rPr>
        <w:rFonts w:hint="default"/>
        <w:lang w:val="en-US" w:eastAsia="zh-CN" w:bidi="ar-SA"/>
      </w:rPr>
    </w:lvl>
  </w:abstractNum>
  <w:abstractNum w:abstractNumId="6">
    <w:nsid w:val="0053208E"/>
    <w:multiLevelType w:val="multilevel"/>
    <w:tmpl w:val="0053208E"/>
    <w:lvl w:ilvl="0" w:tentative="0">
      <w:start w:val="0"/>
      <w:numFmt w:val="bullet"/>
      <w:lvlText w:val=""/>
      <w:lvlJc w:val="left"/>
      <w:pPr>
        <w:ind w:left="1190" w:hanging="286"/>
      </w:pPr>
      <w:rPr>
        <w:rFonts w:hint="default" w:ascii="Wingdings" w:hAnsi="Wingdings" w:eastAsia="Wingdings" w:cs="Wingdings"/>
        <w:b w:val="0"/>
        <w:bCs w:val="0"/>
        <w:i w:val="0"/>
        <w:iCs w:val="0"/>
        <w:w w:val="100"/>
        <w:sz w:val="18"/>
        <w:szCs w:val="18"/>
        <w:lang w:val="en-US" w:eastAsia="zh-CN" w:bidi="ar-SA"/>
      </w:rPr>
    </w:lvl>
    <w:lvl w:ilvl="1" w:tentative="0">
      <w:start w:val="0"/>
      <w:numFmt w:val="bullet"/>
      <w:lvlText w:val="•"/>
      <w:lvlJc w:val="left"/>
      <w:pPr>
        <w:ind w:left="2158" w:hanging="286"/>
      </w:pPr>
      <w:rPr>
        <w:rFonts w:hint="default"/>
        <w:lang w:val="en-US" w:eastAsia="zh-CN" w:bidi="ar-SA"/>
      </w:rPr>
    </w:lvl>
    <w:lvl w:ilvl="2" w:tentative="0">
      <w:start w:val="0"/>
      <w:numFmt w:val="bullet"/>
      <w:lvlText w:val="•"/>
      <w:lvlJc w:val="left"/>
      <w:pPr>
        <w:ind w:left="3117" w:hanging="286"/>
      </w:pPr>
      <w:rPr>
        <w:rFonts w:hint="default"/>
        <w:lang w:val="en-US" w:eastAsia="zh-CN" w:bidi="ar-SA"/>
      </w:rPr>
    </w:lvl>
    <w:lvl w:ilvl="3" w:tentative="0">
      <w:start w:val="0"/>
      <w:numFmt w:val="bullet"/>
      <w:lvlText w:val="•"/>
      <w:lvlJc w:val="left"/>
      <w:pPr>
        <w:ind w:left="4075" w:hanging="286"/>
      </w:pPr>
      <w:rPr>
        <w:rFonts w:hint="default"/>
        <w:lang w:val="en-US" w:eastAsia="zh-CN" w:bidi="ar-SA"/>
      </w:rPr>
    </w:lvl>
    <w:lvl w:ilvl="4" w:tentative="0">
      <w:start w:val="0"/>
      <w:numFmt w:val="bullet"/>
      <w:lvlText w:val="•"/>
      <w:lvlJc w:val="left"/>
      <w:pPr>
        <w:ind w:left="5034" w:hanging="286"/>
      </w:pPr>
      <w:rPr>
        <w:rFonts w:hint="default"/>
        <w:lang w:val="en-US" w:eastAsia="zh-CN" w:bidi="ar-SA"/>
      </w:rPr>
    </w:lvl>
    <w:lvl w:ilvl="5" w:tentative="0">
      <w:start w:val="0"/>
      <w:numFmt w:val="bullet"/>
      <w:lvlText w:val="•"/>
      <w:lvlJc w:val="left"/>
      <w:pPr>
        <w:ind w:left="5993" w:hanging="286"/>
      </w:pPr>
      <w:rPr>
        <w:rFonts w:hint="default"/>
        <w:lang w:val="en-US" w:eastAsia="zh-CN" w:bidi="ar-SA"/>
      </w:rPr>
    </w:lvl>
    <w:lvl w:ilvl="6" w:tentative="0">
      <w:start w:val="0"/>
      <w:numFmt w:val="bullet"/>
      <w:lvlText w:val="•"/>
      <w:lvlJc w:val="left"/>
      <w:pPr>
        <w:ind w:left="6951" w:hanging="286"/>
      </w:pPr>
      <w:rPr>
        <w:rFonts w:hint="default"/>
        <w:lang w:val="en-US" w:eastAsia="zh-CN" w:bidi="ar-SA"/>
      </w:rPr>
    </w:lvl>
    <w:lvl w:ilvl="7" w:tentative="0">
      <w:start w:val="0"/>
      <w:numFmt w:val="bullet"/>
      <w:lvlText w:val="•"/>
      <w:lvlJc w:val="left"/>
      <w:pPr>
        <w:ind w:left="7910" w:hanging="286"/>
      </w:pPr>
      <w:rPr>
        <w:rFonts w:hint="default"/>
        <w:lang w:val="en-US" w:eastAsia="zh-CN" w:bidi="ar-SA"/>
      </w:rPr>
    </w:lvl>
    <w:lvl w:ilvl="8" w:tentative="0">
      <w:start w:val="0"/>
      <w:numFmt w:val="bullet"/>
      <w:lvlText w:val="•"/>
      <w:lvlJc w:val="left"/>
      <w:pPr>
        <w:ind w:left="8869" w:hanging="286"/>
      </w:pPr>
      <w:rPr>
        <w:rFonts w:hint="default"/>
        <w:lang w:val="en-US" w:eastAsia="zh-CN" w:bidi="ar-SA"/>
      </w:rPr>
    </w:lvl>
  </w:abstractNum>
  <w:abstractNum w:abstractNumId="7">
    <w:nsid w:val="0248C179"/>
    <w:multiLevelType w:val="multilevel"/>
    <w:tmpl w:val="0248C179"/>
    <w:lvl w:ilvl="0" w:tentative="0">
      <w:start w:val="1"/>
      <w:numFmt w:val="decimal"/>
      <w:lvlText w:val="%1."/>
      <w:lvlJc w:val="left"/>
      <w:pPr>
        <w:ind w:left="2967"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3742" w:hanging="318"/>
      </w:pPr>
      <w:rPr>
        <w:rFonts w:hint="default"/>
        <w:lang w:val="en-US" w:eastAsia="zh-CN" w:bidi="ar-SA"/>
      </w:rPr>
    </w:lvl>
    <w:lvl w:ilvl="2" w:tentative="0">
      <w:start w:val="0"/>
      <w:numFmt w:val="bullet"/>
      <w:lvlText w:val="•"/>
      <w:lvlJc w:val="left"/>
      <w:pPr>
        <w:ind w:left="4525" w:hanging="318"/>
      </w:pPr>
      <w:rPr>
        <w:rFonts w:hint="default"/>
        <w:lang w:val="en-US" w:eastAsia="zh-CN" w:bidi="ar-SA"/>
      </w:rPr>
    </w:lvl>
    <w:lvl w:ilvl="3" w:tentative="0">
      <w:start w:val="0"/>
      <w:numFmt w:val="bullet"/>
      <w:lvlText w:val="•"/>
      <w:lvlJc w:val="left"/>
      <w:pPr>
        <w:ind w:left="5307" w:hanging="318"/>
      </w:pPr>
      <w:rPr>
        <w:rFonts w:hint="default"/>
        <w:lang w:val="en-US" w:eastAsia="zh-CN" w:bidi="ar-SA"/>
      </w:rPr>
    </w:lvl>
    <w:lvl w:ilvl="4" w:tentative="0">
      <w:start w:val="0"/>
      <w:numFmt w:val="bullet"/>
      <w:lvlText w:val="•"/>
      <w:lvlJc w:val="left"/>
      <w:pPr>
        <w:ind w:left="6090" w:hanging="318"/>
      </w:pPr>
      <w:rPr>
        <w:rFonts w:hint="default"/>
        <w:lang w:val="en-US" w:eastAsia="zh-CN" w:bidi="ar-SA"/>
      </w:rPr>
    </w:lvl>
    <w:lvl w:ilvl="5" w:tentative="0">
      <w:start w:val="0"/>
      <w:numFmt w:val="bullet"/>
      <w:lvlText w:val="•"/>
      <w:lvlJc w:val="left"/>
      <w:pPr>
        <w:ind w:left="6873" w:hanging="318"/>
      </w:pPr>
      <w:rPr>
        <w:rFonts w:hint="default"/>
        <w:lang w:val="en-US" w:eastAsia="zh-CN" w:bidi="ar-SA"/>
      </w:rPr>
    </w:lvl>
    <w:lvl w:ilvl="6" w:tentative="0">
      <w:start w:val="0"/>
      <w:numFmt w:val="bullet"/>
      <w:lvlText w:val="•"/>
      <w:lvlJc w:val="left"/>
      <w:pPr>
        <w:ind w:left="7655" w:hanging="318"/>
      </w:pPr>
      <w:rPr>
        <w:rFonts w:hint="default"/>
        <w:lang w:val="en-US" w:eastAsia="zh-CN" w:bidi="ar-SA"/>
      </w:rPr>
    </w:lvl>
    <w:lvl w:ilvl="7" w:tentative="0">
      <w:start w:val="0"/>
      <w:numFmt w:val="bullet"/>
      <w:lvlText w:val="•"/>
      <w:lvlJc w:val="left"/>
      <w:pPr>
        <w:ind w:left="8438" w:hanging="318"/>
      </w:pPr>
      <w:rPr>
        <w:rFonts w:hint="default"/>
        <w:lang w:val="en-US" w:eastAsia="zh-CN" w:bidi="ar-SA"/>
      </w:rPr>
    </w:lvl>
    <w:lvl w:ilvl="8" w:tentative="0">
      <w:start w:val="0"/>
      <w:numFmt w:val="bullet"/>
      <w:lvlText w:val="•"/>
      <w:lvlJc w:val="left"/>
      <w:pPr>
        <w:ind w:left="9221" w:hanging="318"/>
      </w:pPr>
      <w:rPr>
        <w:rFonts w:hint="default"/>
        <w:lang w:val="en-US" w:eastAsia="zh-CN" w:bidi="ar-SA"/>
      </w:rPr>
    </w:lvl>
  </w:abstractNum>
  <w:abstractNum w:abstractNumId="8">
    <w:nsid w:val="03D62ECE"/>
    <w:multiLevelType w:val="multilevel"/>
    <w:tmpl w:val="03D62ECE"/>
    <w:lvl w:ilvl="0" w:tentative="0">
      <w:start w:val="1"/>
      <w:numFmt w:val="decimal"/>
      <w:lvlText w:val="%1."/>
      <w:lvlJc w:val="left"/>
      <w:pPr>
        <w:ind w:left="2967"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3742" w:hanging="318"/>
      </w:pPr>
      <w:rPr>
        <w:rFonts w:hint="default"/>
        <w:lang w:val="en-US" w:eastAsia="zh-CN" w:bidi="ar-SA"/>
      </w:rPr>
    </w:lvl>
    <w:lvl w:ilvl="2" w:tentative="0">
      <w:start w:val="0"/>
      <w:numFmt w:val="bullet"/>
      <w:lvlText w:val="•"/>
      <w:lvlJc w:val="left"/>
      <w:pPr>
        <w:ind w:left="4525" w:hanging="318"/>
      </w:pPr>
      <w:rPr>
        <w:rFonts w:hint="default"/>
        <w:lang w:val="en-US" w:eastAsia="zh-CN" w:bidi="ar-SA"/>
      </w:rPr>
    </w:lvl>
    <w:lvl w:ilvl="3" w:tentative="0">
      <w:start w:val="0"/>
      <w:numFmt w:val="bullet"/>
      <w:lvlText w:val="•"/>
      <w:lvlJc w:val="left"/>
      <w:pPr>
        <w:ind w:left="5307" w:hanging="318"/>
      </w:pPr>
      <w:rPr>
        <w:rFonts w:hint="default"/>
        <w:lang w:val="en-US" w:eastAsia="zh-CN" w:bidi="ar-SA"/>
      </w:rPr>
    </w:lvl>
    <w:lvl w:ilvl="4" w:tentative="0">
      <w:start w:val="0"/>
      <w:numFmt w:val="bullet"/>
      <w:lvlText w:val="•"/>
      <w:lvlJc w:val="left"/>
      <w:pPr>
        <w:ind w:left="6090" w:hanging="318"/>
      </w:pPr>
      <w:rPr>
        <w:rFonts w:hint="default"/>
        <w:lang w:val="en-US" w:eastAsia="zh-CN" w:bidi="ar-SA"/>
      </w:rPr>
    </w:lvl>
    <w:lvl w:ilvl="5" w:tentative="0">
      <w:start w:val="0"/>
      <w:numFmt w:val="bullet"/>
      <w:lvlText w:val="•"/>
      <w:lvlJc w:val="left"/>
      <w:pPr>
        <w:ind w:left="6873" w:hanging="318"/>
      </w:pPr>
      <w:rPr>
        <w:rFonts w:hint="default"/>
        <w:lang w:val="en-US" w:eastAsia="zh-CN" w:bidi="ar-SA"/>
      </w:rPr>
    </w:lvl>
    <w:lvl w:ilvl="6" w:tentative="0">
      <w:start w:val="0"/>
      <w:numFmt w:val="bullet"/>
      <w:lvlText w:val="•"/>
      <w:lvlJc w:val="left"/>
      <w:pPr>
        <w:ind w:left="7655" w:hanging="318"/>
      </w:pPr>
      <w:rPr>
        <w:rFonts w:hint="default"/>
        <w:lang w:val="en-US" w:eastAsia="zh-CN" w:bidi="ar-SA"/>
      </w:rPr>
    </w:lvl>
    <w:lvl w:ilvl="7" w:tentative="0">
      <w:start w:val="0"/>
      <w:numFmt w:val="bullet"/>
      <w:lvlText w:val="•"/>
      <w:lvlJc w:val="left"/>
      <w:pPr>
        <w:ind w:left="8438" w:hanging="318"/>
      </w:pPr>
      <w:rPr>
        <w:rFonts w:hint="default"/>
        <w:lang w:val="en-US" w:eastAsia="zh-CN" w:bidi="ar-SA"/>
      </w:rPr>
    </w:lvl>
    <w:lvl w:ilvl="8" w:tentative="0">
      <w:start w:val="0"/>
      <w:numFmt w:val="bullet"/>
      <w:lvlText w:val="•"/>
      <w:lvlJc w:val="left"/>
      <w:pPr>
        <w:ind w:left="9221" w:hanging="318"/>
      </w:pPr>
      <w:rPr>
        <w:rFonts w:hint="default"/>
        <w:lang w:val="en-US" w:eastAsia="zh-CN" w:bidi="ar-SA"/>
      </w:rPr>
    </w:lvl>
  </w:abstractNum>
  <w:abstractNum w:abstractNumId="9">
    <w:nsid w:val="2470EC97"/>
    <w:multiLevelType w:val="multilevel"/>
    <w:tmpl w:val="2470EC97"/>
    <w:lvl w:ilvl="0" w:tentative="0">
      <w:start w:val="2"/>
      <w:numFmt w:val="decimal"/>
      <w:lvlText w:val="(%1)"/>
      <w:lvlJc w:val="left"/>
      <w:pPr>
        <w:ind w:left="437"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39" w:hanging="318"/>
      </w:pPr>
      <w:rPr>
        <w:rFonts w:hint="default"/>
        <w:lang w:val="en-US" w:eastAsia="zh-CN" w:bidi="ar-SA"/>
      </w:rPr>
    </w:lvl>
    <w:lvl w:ilvl="2" w:tentative="0">
      <w:start w:val="0"/>
      <w:numFmt w:val="bullet"/>
      <w:lvlText w:val="•"/>
      <w:lvlJc w:val="left"/>
      <w:pPr>
        <w:ind w:left="1839" w:hanging="318"/>
      </w:pPr>
      <w:rPr>
        <w:rFonts w:hint="default"/>
        <w:lang w:val="en-US" w:eastAsia="zh-CN" w:bidi="ar-SA"/>
      </w:rPr>
    </w:lvl>
    <w:lvl w:ilvl="3" w:tentative="0">
      <w:start w:val="0"/>
      <w:numFmt w:val="bullet"/>
      <w:lvlText w:val="•"/>
      <w:lvlJc w:val="left"/>
      <w:pPr>
        <w:ind w:left="2539" w:hanging="318"/>
      </w:pPr>
      <w:rPr>
        <w:rFonts w:hint="default"/>
        <w:lang w:val="en-US" w:eastAsia="zh-CN" w:bidi="ar-SA"/>
      </w:rPr>
    </w:lvl>
    <w:lvl w:ilvl="4" w:tentative="0">
      <w:start w:val="0"/>
      <w:numFmt w:val="bullet"/>
      <w:lvlText w:val="•"/>
      <w:lvlJc w:val="left"/>
      <w:pPr>
        <w:ind w:left="3239" w:hanging="318"/>
      </w:pPr>
      <w:rPr>
        <w:rFonts w:hint="default"/>
        <w:lang w:val="en-US" w:eastAsia="zh-CN" w:bidi="ar-SA"/>
      </w:rPr>
    </w:lvl>
    <w:lvl w:ilvl="5" w:tentative="0">
      <w:start w:val="0"/>
      <w:numFmt w:val="bullet"/>
      <w:lvlText w:val="•"/>
      <w:lvlJc w:val="left"/>
      <w:pPr>
        <w:ind w:left="3939" w:hanging="318"/>
      </w:pPr>
      <w:rPr>
        <w:rFonts w:hint="default"/>
        <w:lang w:val="en-US" w:eastAsia="zh-CN" w:bidi="ar-SA"/>
      </w:rPr>
    </w:lvl>
    <w:lvl w:ilvl="6" w:tentative="0">
      <w:start w:val="0"/>
      <w:numFmt w:val="bullet"/>
      <w:lvlText w:val="•"/>
      <w:lvlJc w:val="left"/>
      <w:pPr>
        <w:ind w:left="4639" w:hanging="318"/>
      </w:pPr>
      <w:rPr>
        <w:rFonts w:hint="default"/>
        <w:lang w:val="en-US" w:eastAsia="zh-CN" w:bidi="ar-SA"/>
      </w:rPr>
    </w:lvl>
    <w:lvl w:ilvl="7" w:tentative="0">
      <w:start w:val="0"/>
      <w:numFmt w:val="bullet"/>
      <w:lvlText w:val="•"/>
      <w:lvlJc w:val="left"/>
      <w:pPr>
        <w:ind w:left="5339" w:hanging="318"/>
      </w:pPr>
      <w:rPr>
        <w:rFonts w:hint="default"/>
        <w:lang w:val="en-US" w:eastAsia="zh-CN" w:bidi="ar-SA"/>
      </w:rPr>
    </w:lvl>
    <w:lvl w:ilvl="8" w:tentative="0">
      <w:start w:val="0"/>
      <w:numFmt w:val="bullet"/>
      <w:lvlText w:val="•"/>
      <w:lvlJc w:val="left"/>
      <w:pPr>
        <w:ind w:left="6039" w:hanging="318"/>
      </w:pPr>
      <w:rPr>
        <w:rFonts w:hint="default"/>
        <w:lang w:val="en-US" w:eastAsia="zh-CN" w:bidi="ar-SA"/>
      </w:rPr>
    </w:lvl>
  </w:abstractNum>
  <w:abstractNum w:abstractNumId="10">
    <w:nsid w:val="25B654F3"/>
    <w:multiLevelType w:val="multilevel"/>
    <w:tmpl w:val="25B654F3"/>
    <w:lvl w:ilvl="0" w:tentative="0">
      <w:start w:val="5"/>
      <w:numFmt w:val="decimal"/>
      <w:lvlText w:val="%1."/>
      <w:lvlJc w:val="left"/>
      <w:pPr>
        <w:ind w:left="2967"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3742" w:hanging="318"/>
      </w:pPr>
      <w:rPr>
        <w:rFonts w:hint="default"/>
        <w:lang w:val="en-US" w:eastAsia="zh-CN" w:bidi="ar-SA"/>
      </w:rPr>
    </w:lvl>
    <w:lvl w:ilvl="2" w:tentative="0">
      <w:start w:val="0"/>
      <w:numFmt w:val="bullet"/>
      <w:lvlText w:val="•"/>
      <w:lvlJc w:val="left"/>
      <w:pPr>
        <w:ind w:left="4525" w:hanging="318"/>
      </w:pPr>
      <w:rPr>
        <w:rFonts w:hint="default"/>
        <w:lang w:val="en-US" w:eastAsia="zh-CN" w:bidi="ar-SA"/>
      </w:rPr>
    </w:lvl>
    <w:lvl w:ilvl="3" w:tentative="0">
      <w:start w:val="0"/>
      <w:numFmt w:val="bullet"/>
      <w:lvlText w:val="•"/>
      <w:lvlJc w:val="left"/>
      <w:pPr>
        <w:ind w:left="5307" w:hanging="318"/>
      </w:pPr>
      <w:rPr>
        <w:rFonts w:hint="default"/>
        <w:lang w:val="en-US" w:eastAsia="zh-CN" w:bidi="ar-SA"/>
      </w:rPr>
    </w:lvl>
    <w:lvl w:ilvl="4" w:tentative="0">
      <w:start w:val="0"/>
      <w:numFmt w:val="bullet"/>
      <w:lvlText w:val="•"/>
      <w:lvlJc w:val="left"/>
      <w:pPr>
        <w:ind w:left="6090" w:hanging="318"/>
      </w:pPr>
      <w:rPr>
        <w:rFonts w:hint="default"/>
        <w:lang w:val="en-US" w:eastAsia="zh-CN" w:bidi="ar-SA"/>
      </w:rPr>
    </w:lvl>
    <w:lvl w:ilvl="5" w:tentative="0">
      <w:start w:val="0"/>
      <w:numFmt w:val="bullet"/>
      <w:lvlText w:val="•"/>
      <w:lvlJc w:val="left"/>
      <w:pPr>
        <w:ind w:left="6873" w:hanging="318"/>
      </w:pPr>
      <w:rPr>
        <w:rFonts w:hint="default"/>
        <w:lang w:val="en-US" w:eastAsia="zh-CN" w:bidi="ar-SA"/>
      </w:rPr>
    </w:lvl>
    <w:lvl w:ilvl="6" w:tentative="0">
      <w:start w:val="0"/>
      <w:numFmt w:val="bullet"/>
      <w:lvlText w:val="•"/>
      <w:lvlJc w:val="left"/>
      <w:pPr>
        <w:ind w:left="7655" w:hanging="318"/>
      </w:pPr>
      <w:rPr>
        <w:rFonts w:hint="default"/>
        <w:lang w:val="en-US" w:eastAsia="zh-CN" w:bidi="ar-SA"/>
      </w:rPr>
    </w:lvl>
    <w:lvl w:ilvl="7" w:tentative="0">
      <w:start w:val="0"/>
      <w:numFmt w:val="bullet"/>
      <w:lvlText w:val="•"/>
      <w:lvlJc w:val="left"/>
      <w:pPr>
        <w:ind w:left="8438" w:hanging="318"/>
      </w:pPr>
      <w:rPr>
        <w:rFonts w:hint="default"/>
        <w:lang w:val="en-US" w:eastAsia="zh-CN" w:bidi="ar-SA"/>
      </w:rPr>
    </w:lvl>
    <w:lvl w:ilvl="8" w:tentative="0">
      <w:start w:val="0"/>
      <w:numFmt w:val="bullet"/>
      <w:lvlText w:val="•"/>
      <w:lvlJc w:val="left"/>
      <w:pPr>
        <w:ind w:left="9221" w:hanging="318"/>
      </w:pPr>
      <w:rPr>
        <w:rFonts w:hint="default"/>
        <w:lang w:val="en-US" w:eastAsia="zh-CN" w:bidi="ar-SA"/>
      </w:rPr>
    </w:lvl>
  </w:abstractNum>
  <w:abstractNum w:abstractNumId="11">
    <w:nsid w:val="2A8F537B"/>
    <w:multiLevelType w:val="multilevel"/>
    <w:tmpl w:val="2A8F537B"/>
    <w:lvl w:ilvl="0" w:tentative="0">
      <w:start w:val="3"/>
      <w:numFmt w:val="decimal"/>
      <w:lvlText w:val="%1"/>
      <w:lvlJc w:val="left"/>
      <w:pPr>
        <w:ind w:left="1150" w:hanging="862"/>
        <w:jc w:val="left"/>
      </w:pPr>
      <w:rPr>
        <w:rFonts w:hint="default"/>
        <w:lang w:val="en-US" w:eastAsia="zh-CN" w:bidi="ar-SA"/>
      </w:rPr>
    </w:lvl>
    <w:lvl w:ilvl="1" w:tentative="0">
      <w:start w:val="1"/>
      <w:numFmt w:val="decimal"/>
      <w:lvlText w:val="%1.%2"/>
      <w:lvlJc w:val="left"/>
      <w:pPr>
        <w:ind w:left="1150" w:hanging="862"/>
        <w:jc w:val="left"/>
      </w:pPr>
      <w:rPr>
        <w:rFonts w:hint="default" w:ascii="黑体" w:hAnsi="黑体" w:eastAsia="黑体" w:cs="黑体"/>
        <w:b w:val="0"/>
        <w:bCs w:val="0"/>
        <w:i w:val="0"/>
        <w:iCs w:val="0"/>
        <w:w w:val="100"/>
        <w:sz w:val="21"/>
        <w:szCs w:val="21"/>
        <w:lang w:val="en-US" w:eastAsia="zh-CN" w:bidi="ar-SA"/>
      </w:rPr>
    </w:lvl>
    <w:lvl w:ilvl="2" w:tentative="0">
      <w:start w:val="1"/>
      <w:numFmt w:val="decimal"/>
      <w:lvlText w:val="(%3)"/>
      <w:lvlJc w:val="left"/>
      <w:pPr>
        <w:ind w:left="2967" w:hanging="318"/>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4699" w:hanging="318"/>
      </w:pPr>
      <w:rPr>
        <w:rFonts w:hint="default"/>
        <w:lang w:val="en-US" w:eastAsia="zh-CN" w:bidi="ar-SA"/>
      </w:rPr>
    </w:lvl>
    <w:lvl w:ilvl="4" w:tentative="0">
      <w:start w:val="0"/>
      <w:numFmt w:val="bullet"/>
      <w:lvlText w:val="•"/>
      <w:lvlJc w:val="left"/>
      <w:pPr>
        <w:ind w:left="5568" w:hanging="318"/>
      </w:pPr>
      <w:rPr>
        <w:rFonts w:hint="default"/>
        <w:lang w:val="en-US" w:eastAsia="zh-CN" w:bidi="ar-SA"/>
      </w:rPr>
    </w:lvl>
    <w:lvl w:ilvl="5" w:tentative="0">
      <w:start w:val="0"/>
      <w:numFmt w:val="bullet"/>
      <w:lvlText w:val="•"/>
      <w:lvlJc w:val="left"/>
      <w:pPr>
        <w:ind w:left="6438" w:hanging="318"/>
      </w:pPr>
      <w:rPr>
        <w:rFonts w:hint="default"/>
        <w:lang w:val="en-US" w:eastAsia="zh-CN" w:bidi="ar-SA"/>
      </w:rPr>
    </w:lvl>
    <w:lvl w:ilvl="6" w:tentative="0">
      <w:start w:val="0"/>
      <w:numFmt w:val="bullet"/>
      <w:lvlText w:val="•"/>
      <w:lvlJc w:val="left"/>
      <w:pPr>
        <w:ind w:left="7308" w:hanging="318"/>
      </w:pPr>
      <w:rPr>
        <w:rFonts w:hint="default"/>
        <w:lang w:val="en-US" w:eastAsia="zh-CN" w:bidi="ar-SA"/>
      </w:rPr>
    </w:lvl>
    <w:lvl w:ilvl="7" w:tentative="0">
      <w:start w:val="0"/>
      <w:numFmt w:val="bullet"/>
      <w:lvlText w:val="•"/>
      <w:lvlJc w:val="left"/>
      <w:pPr>
        <w:ind w:left="8177" w:hanging="318"/>
      </w:pPr>
      <w:rPr>
        <w:rFonts w:hint="default"/>
        <w:lang w:val="en-US" w:eastAsia="zh-CN" w:bidi="ar-SA"/>
      </w:rPr>
    </w:lvl>
    <w:lvl w:ilvl="8" w:tentative="0">
      <w:start w:val="0"/>
      <w:numFmt w:val="bullet"/>
      <w:lvlText w:val="•"/>
      <w:lvlJc w:val="left"/>
      <w:pPr>
        <w:ind w:left="9047" w:hanging="318"/>
      </w:pPr>
      <w:rPr>
        <w:rFonts w:hint="default"/>
        <w:lang w:val="en-US" w:eastAsia="zh-CN" w:bidi="ar-SA"/>
      </w:rPr>
    </w:lvl>
  </w:abstractNum>
  <w:abstractNum w:abstractNumId="12">
    <w:nsid w:val="4D4DC07F"/>
    <w:multiLevelType w:val="multilevel"/>
    <w:tmpl w:val="4D4DC07F"/>
    <w:lvl w:ilvl="0" w:tentative="0">
      <w:start w:val="1"/>
      <w:numFmt w:val="decimal"/>
      <w:lvlText w:val="(%1)"/>
      <w:lvlJc w:val="left"/>
      <w:pPr>
        <w:ind w:left="195"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013" w:hanging="318"/>
      </w:pPr>
      <w:rPr>
        <w:rFonts w:hint="default"/>
        <w:lang w:val="en-US" w:eastAsia="zh-CN" w:bidi="ar-SA"/>
      </w:rPr>
    </w:lvl>
    <w:lvl w:ilvl="2" w:tentative="0">
      <w:start w:val="0"/>
      <w:numFmt w:val="bullet"/>
      <w:lvlText w:val="•"/>
      <w:lvlJc w:val="left"/>
      <w:pPr>
        <w:ind w:left="1826" w:hanging="318"/>
      </w:pPr>
      <w:rPr>
        <w:rFonts w:hint="default"/>
        <w:lang w:val="en-US" w:eastAsia="zh-CN" w:bidi="ar-SA"/>
      </w:rPr>
    </w:lvl>
    <w:lvl w:ilvl="3" w:tentative="0">
      <w:start w:val="0"/>
      <w:numFmt w:val="bullet"/>
      <w:lvlText w:val="•"/>
      <w:lvlJc w:val="left"/>
      <w:pPr>
        <w:ind w:left="2639" w:hanging="318"/>
      </w:pPr>
      <w:rPr>
        <w:rFonts w:hint="default"/>
        <w:lang w:val="en-US" w:eastAsia="zh-CN" w:bidi="ar-SA"/>
      </w:rPr>
    </w:lvl>
    <w:lvl w:ilvl="4" w:tentative="0">
      <w:start w:val="0"/>
      <w:numFmt w:val="bullet"/>
      <w:lvlText w:val="•"/>
      <w:lvlJc w:val="left"/>
      <w:pPr>
        <w:ind w:left="3452" w:hanging="318"/>
      </w:pPr>
      <w:rPr>
        <w:rFonts w:hint="default"/>
        <w:lang w:val="en-US" w:eastAsia="zh-CN" w:bidi="ar-SA"/>
      </w:rPr>
    </w:lvl>
    <w:lvl w:ilvl="5" w:tentative="0">
      <w:start w:val="0"/>
      <w:numFmt w:val="bullet"/>
      <w:lvlText w:val="•"/>
      <w:lvlJc w:val="left"/>
      <w:pPr>
        <w:ind w:left="4265" w:hanging="318"/>
      </w:pPr>
      <w:rPr>
        <w:rFonts w:hint="default"/>
        <w:lang w:val="en-US" w:eastAsia="zh-CN" w:bidi="ar-SA"/>
      </w:rPr>
    </w:lvl>
    <w:lvl w:ilvl="6" w:tentative="0">
      <w:start w:val="0"/>
      <w:numFmt w:val="bullet"/>
      <w:lvlText w:val="•"/>
      <w:lvlJc w:val="left"/>
      <w:pPr>
        <w:ind w:left="5078" w:hanging="318"/>
      </w:pPr>
      <w:rPr>
        <w:rFonts w:hint="default"/>
        <w:lang w:val="en-US" w:eastAsia="zh-CN" w:bidi="ar-SA"/>
      </w:rPr>
    </w:lvl>
    <w:lvl w:ilvl="7" w:tentative="0">
      <w:start w:val="0"/>
      <w:numFmt w:val="bullet"/>
      <w:lvlText w:val="•"/>
      <w:lvlJc w:val="left"/>
      <w:pPr>
        <w:ind w:left="5892" w:hanging="318"/>
      </w:pPr>
      <w:rPr>
        <w:rFonts w:hint="default"/>
        <w:lang w:val="en-US" w:eastAsia="zh-CN" w:bidi="ar-SA"/>
      </w:rPr>
    </w:lvl>
    <w:lvl w:ilvl="8" w:tentative="0">
      <w:start w:val="0"/>
      <w:numFmt w:val="bullet"/>
      <w:lvlText w:val="•"/>
      <w:lvlJc w:val="left"/>
      <w:pPr>
        <w:ind w:left="6705" w:hanging="318"/>
      </w:pPr>
      <w:rPr>
        <w:rFonts w:hint="default"/>
        <w:lang w:val="en-US" w:eastAsia="zh-CN" w:bidi="ar-SA"/>
      </w:rPr>
    </w:lvl>
  </w:abstractNum>
  <w:abstractNum w:abstractNumId="13">
    <w:nsid w:val="59ADCABA"/>
    <w:multiLevelType w:val="multilevel"/>
    <w:tmpl w:val="59ADCABA"/>
    <w:lvl w:ilvl="0" w:tentative="0">
      <w:start w:val="2"/>
      <w:numFmt w:val="decimal"/>
      <w:lvlText w:val="%1"/>
      <w:lvlJc w:val="left"/>
      <w:pPr>
        <w:ind w:left="1150" w:hanging="862"/>
        <w:jc w:val="left"/>
      </w:pPr>
      <w:rPr>
        <w:rFonts w:hint="default"/>
        <w:lang w:val="en-US" w:eastAsia="zh-CN" w:bidi="ar-SA"/>
      </w:rPr>
    </w:lvl>
    <w:lvl w:ilvl="1" w:tentative="0">
      <w:start w:val="1"/>
      <w:numFmt w:val="decimal"/>
      <w:lvlText w:val="%1.%2"/>
      <w:lvlJc w:val="left"/>
      <w:pPr>
        <w:ind w:left="1150" w:hanging="862"/>
        <w:jc w:val="left"/>
      </w:pPr>
      <w:rPr>
        <w:rFonts w:hint="default" w:ascii="黑体" w:hAnsi="黑体" w:eastAsia="黑体" w:cs="黑体"/>
        <w:b w:val="0"/>
        <w:bCs w:val="0"/>
        <w:i w:val="0"/>
        <w:iCs w:val="0"/>
        <w:w w:val="100"/>
        <w:sz w:val="21"/>
        <w:szCs w:val="21"/>
        <w:lang w:val="en-US" w:eastAsia="zh-CN" w:bidi="ar-SA"/>
      </w:rPr>
    </w:lvl>
    <w:lvl w:ilvl="2" w:tentative="0">
      <w:start w:val="1"/>
      <w:numFmt w:val="decimal"/>
      <w:lvlText w:val="%3."/>
      <w:lvlJc w:val="left"/>
      <w:pPr>
        <w:ind w:left="2650" w:hanging="318"/>
        <w:jc w:val="left"/>
      </w:pPr>
      <w:rPr>
        <w:rFonts w:hint="default" w:ascii="宋体" w:hAnsi="宋体" w:eastAsia="宋体" w:cs="宋体"/>
        <w:b w:val="0"/>
        <w:bCs w:val="0"/>
        <w:i w:val="0"/>
        <w:iCs w:val="0"/>
        <w:spacing w:val="-29"/>
        <w:w w:val="100"/>
        <w:sz w:val="19"/>
        <w:szCs w:val="19"/>
        <w:shd w:val="clear" w:color="auto" w:fill="D9D9D9"/>
        <w:lang w:val="en-US" w:eastAsia="zh-CN" w:bidi="ar-SA"/>
      </w:rPr>
    </w:lvl>
    <w:lvl w:ilvl="3" w:tentative="0">
      <w:start w:val="0"/>
      <w:numFmt w:val="bullet"/>
      <w:lvlText w:val="•"/>
      <w:lvlJc w:val="left"/>
      <w:pPr>
        <w:ind w:left="4465" w:hanging="318"/>
      </w:pPr>
      <w:rPr>
        <w:rFonts w:hint="default"/>
        <w:lang w:val="en-US" w:eastAsia="zh-CN" w:bidi="ar-SA"/>
      </w:rPr>
    </w:lvl>
    <w:lvl w:ilvl="4" w:tentative="0">
      <w:start w:val="0"/>
      <w:numFmt w:val="bullet"/>
      <w:lvlText w:val="•"/>
      <w:lvlJc w:val="left"/>
      <w:pPr>
        <w:ind w:left="5368" w:hanging="318"/>
      </w:pPr>
      <w:rPr>
        <w:rFonts w:hint="default"/>
        <w:lang w:val="en-US" w:eastAsia="zh-CN" w:bidi="ar-SA"/>
      </w:rPr>
    </w:lvl>
    <w:lvl w:ilvl="5" w:tentative="0">
      <w:start w:val="0"/>
      <w:numFmt w:val="bullet"/>
      <w:lvlText w:val="•"/>
      <w:lvlJc w:val="left"/>
      <w:pPr>
        <w:ind w:left="6271" w:hanging="318"/>
      </w:pPr>
      <w:rPr>
        <w:rFonts w:hint="default"/>
        <w:lang w:val="en-US" w:eastAsia="zh-CN" w:bidi="ar-SA"/>
      </w:rPr>
    </w:lvl>
    <w:lvl w:ilvl="6" w:tentative="0">
      <w:start w:val="0"/>
      <w:numFmt w:val="bullet"/>
      <w:lvlText w:val="•"/>
      <w:lvlJc w:val="left"/>
      <w:pPr>
        <w:ind w:left="7174" w:hanging="318"/>
      </w:pPr>
      <w:rPr>
        <w:rFonts w:hint="default"/>
        <w:lang w:val="en-US" w:eastAsia="zh-CN" w:bidi="ar-SA"/>
      </w:rPr>
    </w:lvl>
    <w:lvl w:ilvl="7" w:tentative="0">
      <w:start w:val="0"/>
      <w:numFmt w:val="bullet"/>
      <w:lvlText w:val="•"/>
      <w:lvlJc w:val="left"/>
      <w:pPr>
        <w:ind w:left="8077" w:hanging="318"/>
      </w:pPr>
      <w:rPr>
        <w:rFonts w:hint="default"/>
        <w:lang w:val="en-US" w:eastAsia="zh-CN" w:bidi="ar-SA"/>
      </w:rPr>
    </w:lvl>
    <w:lvl w:ilvl="8" w:tentative="0">
      <w:start w:val="0"/>
      <w:numFmt w:val="bullet"/>
      <w:lvlText w:val="•"/>
      <w:lvlJc w:val="left"/>
      <w:pPr>
        <w:ind w:left="8980" w:hanging="318"/>
      </w:pPr>
      <w:rPr>
        <w:rFonts w:hint="default"/>
        <w:lang w:val="en-US" w:eastAsia="zh-CN" w:bidi="ar-SA"/>
      </w:rPr>
    </w:lvl>
  </w:abstractNum>
  <w:abstractNum w:abstractNumId="14">
    <w:nsid w:val="5A241D34"/>
    <w:multiLevelType w:val="multilevel"/>
    <w:tmpl w:val="5A241D34"/>
    <w:lvl w:ilvl="0" w:tentative="0">
      <w:start w:val="6"/>
      <w:numFmt w:val="decimal"/>
      <w:lvlText w:val="%1"/>
      <w:lvlJc w:val="left"/>
      <w:pPr>
        <w:ind w:left="1150" w:hanging="862"/>
        <w:jc w:val="left"/>
      </w:pPr>
      <w:rPr>
        <w:rFonts w:hint="default"/>
        <w:lang w:val="en-US" w:eastAsia="zh-CN" w:bidi="ar-SA"/>
      </w:rPr>
    </w:lvl>
    <w:lvl w:ilvl="1" w:tentative="0">
      <w:start w:val="1"/>
      <w:numFmt w:val="decimal"/>
      <w:lvlText w:val="%1.%2"/>
      <w:lvlJc w:val="left"/>
      <w:pPr>
        <w:ind w:left="1150" w:hanging="862"/>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1410" w:hanging="862"/>
      </w:pPr>
      <w:rPr>
        <w:rFonts w:hint="default"/>
        <w:lang w:val="en-US" w:eastAsia="zh-CN" w:bidi="ar-SA"/>
      </w:rPr>
    </w:lvl>
    <w:lvl w:ilvl="3" w:tentative="0">
      <w:start w:val="0"/>
      <w:numFmt w:val="bullet"/>
      <w:lvlText w:val="•"/>
      <w:lvlJc w:val="left"/>
      <w:pPr>
        <w:ind w:left="1535" w:hanging="862"/>
      </w:pPr>
      <w:rPr>
        <w:rFonts w:hint="default"/>
        <w:lang w:val="en-US" w:eastAsia="zh-CN" w:bidi="ar-SA"/>
      </w:rPr>
    </w:lvl>
    <w:lvl w:ilvl="4" w:tentative="0">
      <w:start w:val="0"/>
      <w:numFmt w:val="bullet"/>
      <w:lvlText w:val="•"/>
      <w:lvlJc w:val="left"/>
      <w:pPr>
        <w:ind w:left="1661" w:hanging="862"/>
      </w:pPr>
      <w:rPr>
        <w:rFonts w:hint="default"/>
        <w:lang w:val="en-US" w:eastAsia="zh-CN" w:bidi="ar-SA"/>
      </w:rPr>
    </w:lvl>
    <w:lvl w:ilvl="5" w:tentative="0">
      <w:start w:val="0"/>
      <w:numFmt w:val="bullet"/>
      <w:lvlText w:val="•"/>
      <w:lvlJc w:val="left"/>
      <w:pPr>
        <w:ind w:left="1786" w:hanging="862"/>
      </w:pPr>
      <w:rPr>
        <w:rFonts w:hint="default"/>
        <w:lang w:val="en-US" w:eastAsia="zh-CN" w:bidi="ar-SA"/>
      </w:rPr>
    </w:lvl>
    <w:lvl w:ilvl="6" w:tentative="0">
      <w:start w:val="0"/>
      <w:numFmt w:val="bullet"/>
      <w:lvlText w:val="•"/>
      <w:lvlJc w:val="left"/>
      <w:pPr>
        <w:ind w:left="1911" w:hanging="862"/>
      </w:pPr>
      <w:rPr>
        <w:rFonts w:hint="default"/>
        <w:lang w:val="en-US" w:eastAsia="zh-CN" w:bidi="ar-SA"/>
      </w:rPr>
    </w:lvl>
    <w:lvl w:ilvl="7" w:tentative="0">
      <w:start w:val="0"/>
      <w:numFmt w:val="bullet"/>
      <w:lvlText w:val="•"/>
      <w:lvlJc w:val="left"/>
      <w:pPr>
        <w:ind w:left="2036" w:hanging="862"/>
      </w:pPr>
      <w:rPr>
        <w:rFonts w:hint="default"/>
        <w:lang w:val="en-US" w:eastAsia="zh-CN" w:bidi="ar-SA"/>
      </w:rPr>
    </w:lvl>
    <w:lvl w:ilvl="8" w:tentative="0">
      <w:start w:val="0"/>
      <w:numFmt w:val="bullet"/>
      <w:lvlText w:val="•"/>
      <w:lvlJc w:val="left"/>
      <w:pPr>
        <w:ind w:left="2162" w:hanging="862"/>
      </w:pPr>
      <w:rPr>
        <w:rFonts w:hint="default"/>
        <w:lang w:val="en-US" w:eastAsia="zh-CN" w:bidi="ar-SA"/>
      </w:rPr>
    </w:lvl>
  </w:abstractNum>
  <w:abstractNum w:abstractNumId="15">
    <w:nsid w:val="72183CF9"/>
    <w:multiLevelType w:val="multilevel"/>
    <w:tmpl w:val="72183CF9"/>
    <w:lvl w:ilvl="0" w:tentative="0">
      <w:start w:val="1"/>
      <w:numFmt w:val="decimal"/>
      <w:lvlText w:val="%1."/>
      <w:lvlJc w:val="left"/>
      <w:pPr>
        <w:ind w:left="2650" w:hanging="318"/>
        <w:jc w:val="left"/>
      </w:pPr>
      <w:rPr>
        <w:rFonts w:hint="default" w:ascii="宋体" w:hAnsi="宋体" w:eastAsia="宋体" w:cs="宋体"/>
        <w:b w:val="0"/>
        <w:bCs w:val="0"/>
        <w:i w:val="0"/>
        <w:iCs w:val="0"/>
        <w:spacing w:val="-41"/>
        <w:w w:val="100"/>
        <w:sz w:val="19"/>
        <w:szCs w:val="19"/>
        <w:shd w:val="clear" w:color="auto" w:fill="D9D9D9"/>
        <w:lang w:val="en-US" w:eastAsia="zh-CN" w:bidi="ar-SA"/>
      </w:rPr>
    </w:lvl>
    <w:lvl w:ilvl="1" w:tentative="0">
      <w:start w:val="0"/>
      <w:numFmt w:val="bullet"/>
      <w:lvlText w:val="•"/>
      <w:lvlJc w:val="left"/>
      <w:pPr>
        <w:ind w:left="3472" w:hanging="318"/>
      </w:pPr>
      <w:rPr>
        <w:rFonts w:hint="default"/>
        <w:lang w:val="en-US" w:eastAsia="zh-CN" w:bidi="ar-SA"/>
      </w:rPr>
    </w:lvl>
    <w:lvl w:ilvl="2" w:tentative="0">
      <w:start w:val="0"/>
      <w:numFmt w:val="bullet"/>
      <w:lvlText w:val="•"/>
      <w:lvlJc w:val="left"/>
      <w:pPr>
        <w:ind w:left="4285" w:hanging="318"/>
      </w:pPr>
      <w:rPr>
        <w:rFonts w:hint="default"/>
        <w:lang w:val="en-US" w:eastAsia="zh-CN" w:bidi="ar-SA"/>
      </w:rPr>
    </w:lvl>
    <w:lvl w:ilvl="3" w:tentative="0">
      <w:start w:val="0"/>
      <w:numFmt w:val="bullet"/>
      <w:lvlText w:val="•"/>
      <w:lvlJc w:val="left"/>
      <w:pPr>
        <w:ind w:left="5097" w:hanging="318"/>
      </w:pPr>
      <w:rPr>
        <w:rFonts w:hint="default"/>
        <w:lang w:val="en-US" w:eastAsia="zh-CN" w:bidi="ar-SA"/>
      </w:rPr>
    </w:lvl>
    <w:lvl w:ilvl="4" w:tentative="0">
      <w:start w:val="0"/>
      <w:numFmt w:val="bullet"/>
      <w:lvlText w:val="•"/>
      <w:lvlJc w:val="left"/>
      <w:pPr>
        <w:ind w:left="5910" w:hanging="318"/>
      </w:pPr>
      <w:rPr>
        <w:rFonts w:hint="default"/>
        <w:lang w:val="en-US" w:eastAsia="zh-CN" w:bidi="ar-SA"/>
      </w:rPr>
    </w:lvl>
    <w:lvl w:ilvl="5" w:tentative="0">
      <w:start w:val="0"/>
      <w:numFmt w:val="bullet"/>
      <w:lvlText w:val="•"/>
      <w:lvlJc w:val="left"/>
      <w:pPr>
        <w:ind w:left="6723" w:hanging="318"/>
      </w:pPr>
      <w:rPr>
        <w:rFonts w:hint="default"/>
        <w:lang w:val="en-US" w:eastAsia="zh-CN" w:bidi="ar-SA"/>
      </w:rPr>
    </w:lvl>
    <w:lvl w:ilvl="6" w:tentative="0">
      <w:start w:val="0"/>
      <w:numFmt w:val="bullet"/>
      <w:lvlText w:val="•"/>
      <w:lvlJc w:val="left"/>
      <w:pPr>
        <w:ind w:left="7535" w:hanging="318"/>
      </w:pPr>
      <w:rPr>
        <w:rFonts w:hint="default"/>
        <w:lang w:val="en-US" w:eastAsia="zh-CN" w:bidi="ar-SA"/>
      </w:rPr>
    </w:lvl>
    <w:lvl w:ilvl="7" w:tentative="0">
      <w:start w:val="0"/>
      <w:numFmt w:val="bullet"/>
      <w:lvlText w:val="•"/>
      <w:lvlJc w:val="left"/>
      <w:pPr>
        <w:ind w:left="8348" w:hanging="318"/>
      </w:pPr>
      <w:rPr>
        <w:rFonts w:hint="default"/>
        <w:lang w:val="en-US" w:eastAsia="zh-CN" w:bidi="ar-SA"/>
      </w:rPr>
    </w:lvl>
    <w:lvl w:ilvl="8" w:tentative="0">
      <w:start w:val="0"/>
      <w:numFmt w:val="bullet"/>
      <w:lvlText w:val="•"/>
      <w:lvlJc w:val="left"/>
      <w:pPr>
        <w:ind w:left="9161" w:hanging="318"/>
      </w:pPr>
      <w:rPr>
        <w:rFonts w:hint="default"/>
        <w:lang w:val="en-US" w:eastAsia="zh-CN" w:bidi="ar-SA"/>
      </w:rPr>
    </w:lvl>
  </w:abstractNum>
  <w:num w:numId="1">
    <w:abstractNumId w:val="6"/>
  </w:num>
  <w:num w:numId="2">
    <w:abstractNumId w:val="4"/>
  </w:num>
  <w:num w:numId="3">
    <w:abstractNumId w:val="13"/>
  </w:num>
  <w:num w:numId="4">
    <w:abstractNumId w:val="2"/>
  </w:num>
  <w:num w:numId="5">
    <w:abstractNumId w:val="1"/>
  </w:num>
  <w:num w:numId="6">
    <w:abstractNumId w:val="8"/>
  </w:num>
  <w:num w:numId="7">
    <w:abstractNumId w:val="10"/>
  </w:num>
  <w:num w:numId="8">
    <w:abstractNumId w:val="15"/>
  </w:num>
  <w:num w:numId="9">
    <w:abstractNumId w:val="7"/>
  </w:num>
  <w:num w:numId="10">
    <w:abstractNumId w:val="0"/>
  </w:num>
  <w:num w:numId="11">
    <w:abstractNumId w:val="11"/>
  </w:num>
  <w:num w:numId="12">
    <w:abstractNumId w:val="14"/>
  </w:num>
  <w:num w:numId="13">
    <w:abstractNumId w:val="3"/>
  </w:num>
  <w:num w:numId="14">
    <w:abstractNumId w:val="12"/>
  </w:num>
  <w:num w:numId="15">
    <w:abstractNumId w:val="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57AA66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863"/>
      <w:outlineLvl w:val="1"/>
    </w:pPr>
    <w:rPr>
      <w:rFonts w:ascii="黑体" w:hAnsi="黑体" w:eastAsia="黑体" w:cs="黑体"/>
      <w:b/>
      <w:bCs/>
      <w:sz w:val="32"/>
      <w:szCs w:val="32"/>
      <w:lang w:val="en-US" w:eastAsia="zh-CN" w:bidi="ar-SA"/>
    </w:rPr>
  </w:style>
  <w:style w:type="paragraph" w:styleId="3">
    <w:name w:val="heading 2"/>
    <w:basedOn w:val="1"/>
    <w:next w:val="1"/>
    <w:qFormat/>
    <w:uiPriority w:val="1"/>
    <w:pPr>
      <w:spacing w:before="46"/>
      <w:ind w:left="107"/>
      <w:outlineLvl w:val="2"/>
    </w:pPr>
    <w:rPr>
      <w:rFonts w:ascii="黑体" w:hAnsi="黑体" w:eastAsia="黑体" w:cs="黑体"/>
      <w:b/>
      <w:bCs/>
      <w:sz w:val="21"/>
      <w:szCs w:val="21"/>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2650" w:hanging="318"/>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10791</Words>
  <Characters>11098</Characters>
  <TotalTime>3</TotalTime>
  <ScaleCrop>false</ScaleCrop>
  <LinksUpToDate>false</LinksUpToDate>
  <CharactersWithSpaces>11840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2023-06-02T06:50:00Z</dcterms:created>
  <dc:creator>木木</dc:creator>
  <cp:lastModifiedBy>木木</cp:lastModifiedBy>
  <dcterms:modified xsi:type="dcterms:W3CDTF">2023-06-02T07:36:13Z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7FF7537D0CA945B8965DF540B8DA6643_12</vt:lpwstr>
  </property>
</Properties>
</file>