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Default Extension="png" ContentType="image/png"/>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p>
      <w:pPr>
        <w:pStyle w:val="BodyText"/>
        <w:spacing w:before="0"/>
        <w:rPr>
          <w:rFonts w:ascii="Times New Roman"/>
          <w:sz w:val="48"/>
        </w:rPr>
      </w:pPr>
    </w:p>
    <w:p>
      <w:pPr>
        <w:pStyle w:val="Title"/>
        <w:spacing w:before="414"/>
        <w:ind w:left="1064" w:right="174"/>
        <w:jc w:val="center"/>
      </w:pPr>
      <w:r>
        <w:rPr>
          <w:w w:val="95"/>
        </w:rPr>
        <w:t>同</w:t>
      </w:r>
      <w:r>
        <w:rPr>
          <w:w w:val="95"/>
        </w:rPr>
        <w:t>方</w:t>
      </w:r>
      <w:r>
        <w:rPr>
          <w:w w:val="95"/>
        </w:rPr>
        <w:t>全</w:t>
      </w:r>
      <w:r>
        <w:rPr>
          <w:w w:val="95"/>
        </w:rPr>
        <w:t>球</w:t>
      </w:r>
      <w:r>
        <w:rPr>
          <w:w w:val="95"/>
        </w:rPr>
        <w:t>「</w:t>
      </w:r>
      <w:r>
        <w:rPr>
          <w:w w:val="95"/>
        </w:rPr>
        <w:t>新</w:t>
      </w:r>
      <w:r>
        <w:rPr>
          <w:w w:val="95"/>
        </w:rPr>
        <w:t>康</w:t>
      </w:r>
      <w:r>
        <w:rPr>
          <w:w w:val="95"/>
        </w:rPr>
        <w:t>健</w:t>
      </w:r>
      <w:r>
        <w:rPr>
          <w:w w:val="95"/>
        </w:rPr>
        <w:t>一</w:t>
      </w:r>
      <w:r>
        <w:rPr>
          <w:w w:val="95"/>
        </w:rPr>
        <w:t>生</w:t>
      </w:r>
      <w:r>
        <w:rPr>
          <w:w w:val="95"/>
        </w:rPr>
        <w:t>」</w:t>
      </w:r>
      <w:r>
        <w:rPr>
          <w:w w:val="95"/>
        </w:rPr>
        <w:t>终</w:t>
      </w:r>
      <w:r>
        <w:rPr>
          <w:w w:val="95"/>
        </w:rPr>
        <w:t>身</w:t>
      </w:r>
      <w:r>
        <w:rPr>
          <w:w w:val="95"/>
        </w:rPr>
        <w:t>重</w:t>
      </w:r>
      <w:r>
        <w:rPr>
          <w:w w:val="95"/>
        </w:rPr>
        <w:t>大</w:t>
      </w:r>
      <w:r>
        <w:rPr>
          <w:w w:val="95"/>
        </w:rPr>
        <w:t>疾</w:t>
      </w:r>
      <w:r>
        <w:rPr>
          <w:w w:val="95"/>
        </w:rPr>
        <w:t>病</w:t>
      </w:r>
      <w:r>
        <w:rPr>
          <w:w w:val="95"/>
        </w:rPr>
        <w:t>保</w:t>
      </w:r>
      <w:r>
        <w:rPr>
          <w:w w:val="95"/>
        </w:rPr>
        <w:t>险</w:t>
      </w:r>
      <w:r>
        <w:rPr>
          <w:w w:val="95"/>
        </w:rPr>
        <w:t>条</w:t>
      </w:r>
      <w:r>
        <w:rPr>
          <w:spacing w:val="-10"/>
          <w:w w:val="95"/>
        </w:rPr>
        <w:t>款</w:t>
      </w:r>
    </w:p>
    <w:p>
      <w:pPr>
        <w:pStyle w:val="BodyText"/>
        <w:spacing w:before="1"/>
        <w:rPr>
          <w:rFonts w:ascii="华文中宋"/>
          <w:b/>
          <w:sz w:val="28"/>
        </w:rPr>
      </w:pPr>
    </w:p>
    <w:p>
      <w:pPr>
        <w:spacing w:before="0"/>
        <w:ind w:left="1063" w:right="174" w:firstLine="0"/>
        <w:jc w:val="center"/>
        <w:rPr>
          <w:sz w:val="32"/>
        </w:rPr>
      </w:pPr>
      <w:r>
        <w:rPr>
          <w:spacing w:val="-4"/>
          <w:sz w:val="32"/>
        </w:rPr>
        <w:t>阅 读 指 引</w:t>
      </w:r>
    </w:p>
    <w:p>
      <w:pPr>
        <w:pStyle w:val="BodyText"/>
        <w:spacing w:before="10"/>
        <w:rPr>
          <w:sz w:val="34"/>
        </w:rPr>
      </w:pPr>
    </w:p>
    <w:p>
      <w:pPr>
        <w:pStyle w:val="BodyText"/>
        <w:spacing w:before="1"/>
        <w:ind w:left="1064" w:right="113"/>
        <w:jc w:val="center"/>
      </w:pPr>
      <w:r>
        <w:rPr>
          <w:spacing w:val="-149"/>
        </w:rPr>
        <w:t>本</w:t>
      </w:r>
      <w:r>
        <w:rPr>
          <w:spacing w:val="-63"/>
          <w:position w:val="-7"/>
        </w:rPr>
        <w:t>．</w:t>
      </w:r>
      <w:r>
        <w:rPr>
          <w:spacing w:val="-149"/>
        </w:rPr>
        <w:t>阅</w:t>
      </w:r>
      <w:r>
        <w:rPr>
          <w:spacing w:val="-63"/>
          <w:position w:val="-7"/>
        </w:rPr>
        <w:t>．</w:t>
      </w:r>
      <w:r>
        <w:rPr>
          <w:spacing w:val="-152"/>
        </w:rPr>
        <w:t>读</w:t>
      </w:r>
      <w:r>
        <w:rPr>
          <w:spacing w:val="-63"/>
          <w:position w:val="-7"/>
        </w:rPr>
        <w:t>．</w:t>
      </w:r>
      <w:r>
        <w:rPr>
          <w:spacing w:val="-149"/>
        </w:rPr>
        <w:t>指</w:t>
      </w:r>
      <w:r>
        <w:rPr>
          <w:spacing w:val="-63"/>
          <w:position w:val="-7"/>
        </w:rPr>
        <w:t>．</w:t>
      </w:r>
      <w:r>
        <w:rPr>
          <w:spacing w:val="-151"/>
        </w:rPr>
        <w:t>引</w:t>
      </w:r>
      <w:r>
        <w:rPr>
          <w:spacing w:val="-63"/>
          <w:position w:val="-7"/>
        </w:rPr>
        <w:t>．</w:t>
      </w:r>
      <w:r>
        <w:rPr>
          <w:spacing w:val="-149"/>
        </w:rPr>
        <w:t>有</w:t>
      </w:r>
      <w:r>
        <w:rPr>
          <w:spacing w:val="-63"/>
          <w:position w:val="-7"/>
        </w:rPr>
        <w:t>．</w:t>
      </w:r>
      <w:r>
        <w:rPr>
          <w:spacing w:val="-151"/>
        </w:rPr>
        <w:t>助</w:t>
      </w:r>
      <w:r>
        <w:rPr>
          <w:spacing w:val="-63"/>
          <w:position w:val="-7"/>
        </w:rPr>
        <w:t>．</w:t>
      </w:r>
      <w:r>
        <w:rPr>
          <w:spacing w:val="-149"/>
        </w:rPr>
        <w:t>于</w:t>
      </w:r>
      <w:r>
        <w:rPr>
          <w:spacing w:val="-63"/>
          <w:position w:val="-7"/>
        </w:rPr>
        <w:t>．</w:t>
      </w:r>
      <w:r>
        <w:rPr>
          <w:spacing w:val="-151"/>
        </w:rPr>
        <w:t>您</w:t>
      </w:r>
      <w:r>
        <w:rPr>
          <w:spacing w:val="-63"/>
          <w:position w:val="-7"/>
        </w:rPr>
        <w:t>．</w:t>
      </w:r>
      <w:r>
        <w:rPr>
          <w:spacing w:val="-149"/>
        </w:rPr>
        <w:t>理</w:t>
      </w:r>
      <w:r>
        <w:rPr>
          <w:spacing w:val="-63"/>
          <w:position w:val="-7"/>
        </w:rPr>
        <w:t>．</w:t>
      </w:r>
      <w:r>
        <w:rPr>
          <w:spacing w:val="-151"/>
        </w:rPr>
        <w:t>解</w:t>
      </w:r>
      <w:r>
        <w:rPr>
          <w:spacing w:val="-63"/>
          <w:position w:val="-7"/>
        </w:rPr>
        <w:t>．</w:t>
      </w:r>
      <w:r>
        <w:rPr>
          <w:spacing w:val="-149"/>
        </w:rPr>
        <w:t>条</w:t>
      </w:r>
      <w:r>
        <w:rPr>
          <w:spacing w:val="-63"/>
          <w:position w:val="-7"/>
        </w:rPr>
        <w:t>．</w:t>
      </w:r>
      <w:r>
        <w:rPr>
          <w:spacing w:val="-149"/>
        </w:rPr>
        <w:t>款</w:t>
      </w:r>
      <w:r>
        <w:rPr>
          <w:spacing w:val="-93"/>
          <w:position w:val="-7"/>
        </w:rPr>
        <w:t>．</w:t>
      </w:r>
      <w:r>
        <w:rPr>
          <w:spacing w:val="-93"/>
        </w:rPr>
        <w:t>，</w:t>
      </w:r>
      <w:r>
        <w:rPr>
          <w:spacing w:val="-93"/>
          <w:position w:val="-7"/>
        </w:rPr>
        <w:t>．</w:t>
      </w:r>
      <w:r>
        <w:rPr>
          <w:spacing w:val="-149"/>
        </w:rPr>
        <w:t>对</w:t>
      </w:r>
      <w:r>
        <w:rPr>
          <w:spacing w:val="-63"/>
          <w:position w:val="-7"/>
        </w:rPr>
        <w:t>．</w:t>
      </w:r>
      <w:r>
        <w:rPr>
          <w:spacing w:val="-152"/>
        </w:rPr>
        <w:t>本</w:t>
      </w:r>
      <w:r>
        <w:rPr>
          <w:spacing w:val="-63"/>
          <w:position w:val="-7"/>
        </w:rPr>
        <w:t>．</w:t>
      </w:r>
      <w:r>
        <w:rPr>
          <w:spacing w:val="-149"/>
        </w:rPr>
        <w:t>合</w:t>
      </w:r>
      <w:r>
        <w:rPr>
          <w:spacing w:val="-63"/>
          <w:position w:val="-7"/>
        </w:rPr>
        <w:t>．</w:t>
      </w:r>
      <w:r>
        <w:rPr>
          <w:spacing w:val="-151"/>
        </w:rPr>
        <w:t>同</w:t>
      </w:r>
      <w:r>
        <w:rPr>
          <w:spacing w:val="-63"/>
          <w:position w:val="-7"/>
        </w:rPr>
        <w:t>．</w:t>
      </w:r>
      <w:r>
        <w:rPr>
          <w:spacing w:val="-149"/>
        </w:rPr>
        <w:t>内</w:t>
      </w:r>
      <w:r>
        <w:rPr>
          <w:spacing w:val="-63"/>
          <w:position w:val="-7"/>
        </w:rPr>
        <w:t>．</w:t>
      </w:r>
      <w:r>
        <w:rPr>
          <w:spacing w:val="-151"/>
        </w:rPr>
        <w:t>容</w:t>
      </w:r>
      <w:r>
        <w:rPr>
          <w:spacing w:val="-63"/>
          <w:position w:val="-7"/>
        </w:rPr>
        <w:t>．</w:t>
      </w:r>
      <w:r>
        <w:rPr>
          <w:spacing w:val="-149"/>
        </w:rPr>
        <w:t>的</w:t>
      </w:r>
      <w:r>
        <w:rPr>
          <w:spacing w:val="-63"/>
          <w:position w:val="-7"/>
        </w:rPr>
        <w:t>．</w:t>
      </w:r>
      <w:r>
        <w:rPr>
          <w:spacing w:val="-151"/>
        </w:rPr>
        <w:t>解</w:t>
      </w:r>
      <w:r>
        <w:rPr>
          <w:spacing w:val="-63"/>
          <w:position w:val="-7"/>
        </w:rPr>
        <w:t>．</w:t>
      </w:r>
      <w:r>
        <w:rPr>
          <w:spacing w:val="-149"/>
        </w:rPr>
        <w:t>释</w:t>
      </w:r>
      <w:r>
        <w:rPr>
          <w:spacing w:val="-63"/>
          <w:position w:val="-7"/>
        </w:rPr>
        <w:t>．</w:t>
      </w:r>
      <w:r>
        <w:rPr>
          <w:spacing w:val="-149"/>
        </w:rPr>
        <w:t>以</w:t>
      </w:r>
      <w:r>
        <w:rPr>
          <w:spacing w:val="-63"/>
          <w:position w:val="-7"/>
        </w:rPr>
        <w:t>．</w:t>
      </w:r>
      <w:r>
        <w:rPr>
          <w:spacing w:val="-151"/>
        </w:rPr>
        <w:t>条</w:t>
      </w:r>
      <w:r>
        <w:rPr>
          <w:spacing w:val="-63"/>
          <w:position w:val="-7"/>
        </w:rPr>
        <w:t>．</w:t>
      </w:r>
      <w:r>
        <w:rPr>
          <w:spacing w:val="-149"/>
        </w:rPr>
        <w:t>款</w:t>
      </w:r>
      <w:r>
        <w:rPr>
          <w:spacing w:val="-63"/>
          <w:position w:val="-7"/>
        </w:rPr>
        <w:t>．</w:t>
      </w:r>
      <w:r>
        <w:rPr>
          <w:spacing w:val="-152"/>
        </w:rPr>
        <w:t>为</w:t>
      </w:r>
      <w:r>
        <w:rPr>
          <w:spacing w:val="-63"/>
          <w:position w:val="-7"/>
        </w:rPr>
        <w:t>．</w:t>
      </w:r>
      <w:r>
        <w:rPr>
          <w:spacing w:val="-149"/>
        </w:rPr>
        <w:t>准</w:t>
      </w:r>
      <w:r>
        <w:rPr>
          <w:spacing w:val="-63"/>
          <w:position w:val="-7"/>
        </w:rPr>
        <w:t>．</w:t>
      </w:r>
      <w:r>
        <w:rPr>
          <w:spacing w:val="-152"/>
        </w:rPr>
        <w:t>。</w:t>
      </w:r>
      <w:r>
        <w:rPr>
          <w:spacing w:val="-10"/>
          <w:position w:val="-7"/>
        </w:rPr>
        <w:t>．</w:t>
      </w:r>
    </w:p>
    <w:p>
      <w:pPr>
        <w:spacing w:line="364" w:lineRule="auto" w:before="59"/>
        <w:ind w:left="65" w:right="198" w:firstLine="0"/>
        <w:jc w:val="center"/>
        <w:rPr>
          <w:sz w:val="16"/>
        </w:rPr>
      </w:pPr>
      <w:r>
        <w:rPr/>
        <w:br w:type="column"/>
      </w:r>
      <w:r>
        <w:rPr>
          <w:spacing w:val="-2"/>
          <w:sz w:val="16"/>
        </w:rPr>
        <w:t>同方全球人寿</w:t>
      </w:r>
      <w:r>
        <w:rPr>
          <w:spacing w:val="-2"/>
          <w:sz w:val="16"/>
        </w:rPr>
        <w:t>[2021]</w:t>
      </w:r>
      <w:r>
        <w:rPr>
          <w:spacing w:val="-5"/>
          <w:sz w:val="16"/>
        </w:rPr>
        <w:t>疾病保险 </w:t>
      </w:r>
      <w:r>
        <w:rPr>
          <w:sz w:val="16"/>
        </w:rPr>
        <w:t>005</w:t>
      </w:r>
      <w:r>
        <w:rPr>
          <w:spacing w:val="-11"/>
          <w:sz w:val="16"/>
        </w:rPr>
        <w:t> 号</w:t>
      </w:r>
    </w:p>
    <w:p>
      <w:pPr>
        <w:pStyle w:val="BodyText"/>
        <w:spacing w:before="0"/>
        <w:ind w:left="215"/>
        <w:rPr>
          <w:sz w:val="20"/>
        </w:rPr>
      </w:pPr>
      <w:r>
        <w:rPr>
          <w:sz w:val="20"/>
        </w:rPr>
        <w:drawing>
          <wp:inline distT="0" distB="0" distL="0" distR="0">
            <wp:extent cx="723900" cy="723900"/>
            <wp:effectExtent l="0" t="0" r="0" b="0"/>
            <wp:docPr id="1" name="image1.png"/>
            <wp:cNvGraphicFramePr>
              <a:graphicFrameLocks noChangeAspect="1"/>
            </wp:cNvGraphicFramePr>
            <a:graphic>
              <a:graphicData uri="http://schemas.openxmlformats.org/drawingml/2006/picture">
                <pic:pic>
                  <pic:nvPicPr>
                    <pic:cNvPr id="2" name="image1.png"/>
                    <pic:cNvPicPr/>
                  </pic:nvPicPr>
                  <pic:blipFill>
                    <a:blip r:embed="rId5" cstate="print"/>
                    <a:stretch>
                      <a:fillRect/>
                    </a:stretch>
                  </pic:blipFill>
                  <pic:spPr>
                    <a:xfrm>
                      <a:off x="0" y="0"/>
                      <a:ext cx="723900" cy="723900"/>
                    </a:xfrm>
                    <a:prstGeom prst="rect">
                      <a:avLst/>
                    </a:prstGeom>
                  </pic:spPr>
                </pic:pic>
              </a:graphicData>
            </a:graphic>
          </wp:inline>
        </w:drawing>
      </w:r>
      <w:r>
        <w:rPr>
          <w:sz w:val="20"/>
        </w:rPr>
      </w:r>
    </w:p>
    <w:p>
      <w:pPr>
        <w:spacing w:before="106"/>
        <w:ind w:left="-14" w:right="116" w:firstLine="0"/>
        <w:jc w:val="center"/>
        <w:rPr>
          <w:sz w:val="16"/>
        </w:rPr>
      </w:pPr>
      <w:r>
        <w:rPr>
          <w:spacing w:val="-3"/>
          <w:sz w:val="16"/>
        </w:rPr>
        <w:t>请扫描以查询验证条款</w:t>
      </w:r>
    </w:p>
    <w:p>
      <w:pPr>
        <w:spacing w:after="0"/>
        <w:jc w:val="center"/>
        <w:rPr>
          <w:sz w:val="16"/>
        </w:rPr>
        <w:sectPr>
          <w:type w:val="continuous"/>
          <w:pgSz w:w="11910" w:h="16840"/>
          <w:pgMar w:top="480" w:bottom="280" w:left="1280" w:right="420"/>
          <w:cols w:num="2" w:equalWidth="0">
            <w:col w:w="8459" w:space="40"/>
            <w:col w:w="1711"/>
          </w:cols>
        </w:sectPr>
      </w:pPr>
    </w:p>
    <w:p>
      <w:pPr>
        <w:pStyle w:val="BodyText"/>
        <w:spacing w:before="0"/>
        <w:rPr>
          <w:sz w:val="20"/>
        </w:rPr>
      </w:pPr>
    </w:p>
    <w:p>
      <w:pPr>
        <w:pStyle w:val="ListParagraph"/>
        <w:numPr>
          <w:ilvl w:val="0"/>
          <w:numId w:val="1"/>
        </w:numPr>
        <w:tabs>
          <w:tab w:pos="487" w:val="left" w:leader="none"/>
        </w:tabs>
        <w:spacing w:line="240" w:lineRule="auto" w:before="216" w:after="0"/>
        <w:ind w:left="486" w:right="0" w:hanging="349"/>
        <w:jc w:val="left"/>
        <w:rPr>
          <w:b/>
          <w:sz w:val="24"/>
        </w:rPr>
      </w:pPr>
      <w:r>
        <w:rPr>
          <w:b/>
          <w:w w:val="95"/>
          <w:sz w:val="24"/>
        </w:rPr>
        <w:t>您拥</w:t>
      </w:r>
      <w:r>
        <w:rPr>
          <w:b/>
          <w:w w:val="95"/>
          <w:sz w:val="24"/>
        </w:rPr>
        <w:t>有</w:t>
      </w:r>
      <w:r>
        <w:rPr>
          <w:b/>
          <w:w w:val="95"/>
          <w:sz w:val="24"/>
        </w:rPr>
        <w:t>的</w:t>
      </w:r>
      <w:r>
        <w:rPr>
          <w:b/>
          <w:spacing w:val="-3"/>
          <w:w w:val="95"/>
          <w:sz w:val="24"/>
        </w:rPr>
        <w:t>重要权益</w:t>
      </w:r>
    </w:p>
    <w:p>
      <w:pPr>
        <w:pStyle w:val="BodyText"/>
        <w:tabs>
          <w:tab w:pos="9173" w:val="right" w:leader="dot"/>
        </w:tabs>
        <w:spacing w:before="184"/>
        <w:ind w:left="138"/>
        <w:rPr>
          <w:rFonts w:ascii="Times New Roman" w:eastAsia="Times New Roman"/>
        </w:rPr>
      </w:pPr>
      <w:r>
        <w:rPr>
          <w:spacing w:val="-2"/>
        </w:rPr>
        <w:t>签</w:t>
      </w:r>
      <w:r>
        <w:rPr>
          <w:spacing w:val="-2"/>
        </w:rPr>
        <w:t>收</w:t>
      </w:r>
      <w:r>
        <w:rPr>
          <w:spacing w:val="-2"/>
        </w:rPr>
        <w:t>本合同次日起在犹豫</w:t>
      </w:r>
      <w:r>
        <w:rPr>
          <w:spacing w:val="-2"/>
        </w:rPr>
        <w:t>期</w:t>
      </w:r>
      <w:r>
        <w:rPr>
          <w:spacing w:val="-2"/>
        </w:rPr>
        <w:t>内</w:t>
      </w:r>
      <w:r>
        <w:rPr>
          <w:spacing w:val="-2"/>
        </w:rPr>
        <w:t>您可以按本合同约定</w:t>
      </w:r>
      <w:r>
        <w:rPr>
          <w:spacing w:val="-2"/>
        </w:rPr>
        <w:t>要</w:t>
      </w:r>
      <w:r>
        <w:rPr>
          <w:spacing w:val="-2"/>
        </w:rPr>
        <w:t>求</w:t>
      </w:r>
      <w:r>
        <w:rPr>
          <w:spacing w:val="-2"/>
        </w:rPr>
        <w:t>退还保</w:t>
      </w:r>
      <w:r>
        <w:rPr>
          <w:spacing w:val="-2"/>
        </w:rPr>
        <w:t>险</w:t>
      </w:r>
      <w:r>
        <w:rPr>
          <w:spacing w:val="-10"/>
        </w:rPr>
        <w:t>费</w:t>
      </w:r>
      <w:r>
        <w:rPr>
          <w:rFonts w:ascii="Times New Roman" w:eastAsia="Times New Roman"/>
        </w:rPr>
        <w:tab/>
      </w:r>
      <w:hyperlink w:history="true" w:anchor="_bookmark4">
        <w:r>
          <w:rPr>
            <w:rFonts w:ascii="Times New Roman" w:eastAsia="Times New Roman"/>
            <w:spacing w:val="-5"/>
          </w:rPr>
          <w:t>1.4</w:t>
        </w:r>
      </w:hyperlink>
    </w:p>
    <w:p>
      <w:pPr>
        <w:pStyle w:val="BodyText"/>
        <w:tabs>
          <w:tab w:pos="9171" w:val="right" w:leader="dot"/>
        </w:tabs>
        <w:spacing w:before="43"/>
        <w:ind w:left="138"/>
        <w:rPr>
          <w:rFonts w:ascii="Times New Roman" w:eastAsia="Times New Roman"/>
        </w:rPr>
      </w:pPr>
      <w:r>
        <w:rPr>
          <w:spacing w:val="-2"/>
        </w:rPr>
        <w:t>本</w:t>
      </w:r>
      <w:r>
        <w:rPr>
          <w:spacing w:val="-2"/>
        </w:rPr>
        <w:t>合</w:t>
      </w:r>
      <w:r>
        <w:rPr>
          <w:spacing w:val="-2"/>
        </w:rPr>
        <w:t>同提供的保</w:t>
      </w:r>
      <w:r>
        <w:rPr>
          <w:spacing w:val="-10"/>
        </w:rPr>
        <w:t>障</w:t>
      </w:r>
      <w:r>
        <w:rPr>
          <w:rFonts w:ascii="Times New Roman" w:eastAsia="Times New Roman"/>
        </w:rPr>
        <w:tab/>
      </w:r>
      <w:hyperlink w:history="true" w:anchor="_bookmark11">
        <w:r>
          <w:rPr>
            <w:rFonts w:ascii="Times New Roman" w:eastAsia="Times New Roman"/>
            <w:spacing w:val="-5"/>
          </w:rPr>
          <w:t>2.5</w:t>
        </w:r>
      </w:hyperlink>
    </w:p>
    <w:p>
      <w:pPr>
        <w:pStyle w:val="BodyText"/>
        <w:tabs>
          <w:tab w:pos="9013" w:val="right" w:leader="dot"/>
        </w:tabs>
        <w:spacing w:before="43"/>
        <w:ind w:left="138"/>
        <w:rPr>
          <w:rFonts w:ascii="Times New Roman" w:eastAsia="Times New Roman"/>
        </w:rPr>
      </w:pPr>
      <w:r>
        <w:rPr>
          <w:spacing w:val="-2"/>
        </w:rPr>
        <w:t>您</w:t>
      </w:r>
      <w:r>
        <w:rPr>
          <w:spacing w:val="-2"/>
        </w:rPr>
        <w:t>享</w:t>
      </w:r>
      <w:r>
        <w:rPr>
          <w:spacing w:val="-2"/>
        </w:rPr>
        <w:t>有的现金价值权</w:t>
      </w:r>
      <w:r>
        <w:rPr>
          <w:spacing w:val="-10"/>
        </w:rPr>
        <w:t>益</w:t>
      </w:r>
      <w:r>
        <w:rPr>
          <w:rFonts w:ascii="Times New Roman" w:eastAsia="Times New Roman"/>
        </w:rPr>
        <w:tab/>
      </w:r>
      <w:hyperlink w:history="true" w:anchor="_bookmark27">
        <w:r>
          <w:rPr>
            <w:rFonts w:ascii="Times New Roman" w:eastAsia="Times New Roman"/>
            <w:spacing w:val="-10"/>
          </w:rPr>
          <w:t>5</w:t>
        </w:r>
      </w:hyperlink>
    </w:p>
    <w:p>
      <w:pPr>
        <w:pStyle w:val="BodyText"/>
        <w:tabs>
          <w:tab w:pos="9013" w:val="right" w:leader="dot"/>
        </w:tabs>
        <w:spacing w:before="43"/>
        <w:ind w:left="138"/>
        <w:rPr>
          <w:rFonts w:ascii="Times New Roman" w:eastAsia="Times New Roman"/>
        </w:rPr>
      </w:pPr>
      <w:r>
        <w:rPr>
          <w:spacing w:val="-2"/>
        </w:rPr>
        <w:t>您</w:t>
      </w:r>
      <w:r>
        <w:rPr>
          <w:spacing w:val="-2"/>
        </w:rPr>
        <w:t>有</w:t>
      </w:r>
      <w:r>
        <w:rPr>
          <w:spacing w:val="-2"/>
        </w:rPr>
        <w:t>解除合同的</w:t>
      </w:r>
      <w:r>
        <w:rPr>
          <w:spacing w:val="-2"/>
        </w:rPr>
        <w:t>权</w:t>
      </w:r>
      <w:r>
        <w:rPr>
          <w:spacing w:val="-10"/>
        </w:rPr>
        <w:t>利</w:t>
      </w:r>
      <w:r>
        <w:rPr>
          <w:rFonts w:ascii="Times New Roman" w:eastAsia="Times New Roman"/>
        </w:rPr>
        <w:tab/>
      </w:r>
      <w:hyperlink w:history="true" w:anchor="_bookmark35">
        <w:r>
          <w:rPr>
            <w:rFonts w:ascii="Times New Roman" w:eastAsia="Times New Roman"/>
            <w:spacing w:val="-10"/>
          </w:rPr>
          <w:t>7</w:t>
        </w:r>
      </w:hyperlink>
    </w:p>
    <w:p>
      <w:pPr>
        <w:pStyle w:val="Heading1"/>
        <w:numPr>
          <w:ilvl w:val="0"/>
          <w:numId w:val="1"/>
        </w:numPr>
        <w:tabs>
          <w:tab w:pos="487" w:val="left" w:leader="none"/>
        </w:tabs>
        <w:spacing w:line="240" w:lineRule="auto" w:before="488" w:after="0"/>
        <w:ind w:left="486" w:right="0" w:hanging="349"/>
        <w:jc w:val="left"/>
      </w:pPr>
      <w:r>
        <w:rPr>
          <w:w w:val="95"/>
        </w:rPr>
        <w:t>您应</w:t>
      </w:r>
      <w:r>
        <w:rPr>
          <w:w w:val="95"/>
        </w:rPr>
        <w:t>当</w:t>
      </w:r>
      <w:r>
        <w:rPr>
          <w:w w:val="95"/>
        </w:rPr>
        <w:t>特</w:t>
      </w:r>
      <w:r>
        <w:rPr>
          <w:spacing w:val="-2"/>
          <w:w w:val="95"/>
        </w:rPr>
        <w:t>别注意的事项</w:t>
      </w:r>
    </w:p>
    <w:p>
      <w:pPr>
        <w:pStyle w:val="BodyText"/>
        <w:tabs>
          <w:tab w:pos="8535" w:val="left" w:leader="dot"/>
        </w:tabs>
        <w:spacing w:before="183"/>
        <w:ind w:left="138"/>
        <w:rPr>
          <w:rFonts w:ascii="Times New Roman" w:eastAsia="Times New Roman"/>
        </w:rPr>
      </w:pPr>
      <w:r>
        <w:rPr>
          <w:spacing w:val="-2"/>
        </w:rPr>
        <w:t>在</w:t>
      </w:r>
      <w:r>
        <w:rPr>
          <w:spacing w:val="-2"/>
        </w:rPr>
        <w:t>某</w:t>
      </w:r>
      <w:r>
        <w:rPr>
          <w:spacing w:val="-2"/>
        </w:rPr>
        <w:t>些情</w:t>
      </w:r>
      <w:r>
        <w:rPr>
          <w:spacing w:val="-2"/>
        </w:rPr>
        <w:t>况</w:t>
      </w:r>
      <w:r>
        <w:rPr>
          <w:spacing w:val="-2"/>
        </w:rPr>
        <w:t>下</w:t>
      </w:r>
      <w:r>
        <w:rPr>
          <w:spacing w:val="-58"/>
        </w:rPr>
        <w:t>，</w:t>
      </w:r>
      <w:r>
        <w:rPr>
          <w:spacing w:val="-2"/>
        </w:rPr>
        <w:t>我们</w:t>
      </w:r>
      <w:r>
        <w:rPr>
          <w:spacing w:val="-2"/>
        </w:rPr>
        <w:t>不</w:t>
      </w:r>
      <w:r>
        <w:rPr>
          <w:spacing w:val="-2"/>
        </w:rPr>
        <w:t>承</w:t>
      </w:r>
      <w:r>
        <w:rPr>
          <w:spacing w:val="-2"/>
        </w:rPr>
        <w:t>担</w:t>
      </w:r>
      <w:r>
        <w:rPr>
          <w:spacing w:val="-2"/>
        </w:rPr>
        <w:t>保</w:t>
      </w:r>
      <w:r>
        <w:rPr>
          <w:spacing w:val="-2"/>
        </w:rPr>
        <w:t>险</w:t>
      </w:r>
      <w:r>
        <w:rPr>
          <w:spacing w:val="-2"/>
        </w:rPr>
        <w:t>责</w:t>
      </w:r>
      <w:r>
        <w:rPr>
          <w:spacing w:val="-10"/>
        </w:rPr>
        <w:t>任</w:t>
      </w:r>
      <w:r>
        <w:rPr>
          <w:rFonts w:ascii="Times New Roman" w:eastAsia="Times New Roman"/>
        </w:rPr>
        <w:tab/>
      </w:r>
      <w:hyperlink w:history="true" w:anchor="_bookmark12">
        <w:r>
          <w:rPr>
            <w:rFonts w:ascii="Times New Roman" w:eastAsia="Times New Roman"/>
            <w:spacing w:val="-2"/>
          </w:rPr>
          <w:t>2.6</w:t>
        </w:r>
      </w:hyperlink>
      <w:r>
        <w:rPr>
          <w:spacing w:val="-58"/>
        </w:rPr>
        <w:t>、</w:t>
      </w:r>
      <w:hyperlink w:history="true" w:anchor="_bookmark14">
        <w:r>
          <w:rPr>
            <w:rFonts w:ascii="Times New Roman" w:eastAsia="Times New Roman"/>
            <w:spacing w:val="-5"/>
          </w:rPr>
          <w:t>2.7</w:t>
        </w:r>
      </w:hyperlink>
    </w:p>
    <w:p>
      <w:pPr>
        <w:pStyle w:val="BodyText"/>
        <w:tabs>
          <w:tab w:pos="9173" w:val="right" w:leader="dot"/>
        </w:tabs>
        <w:spacing w:before="43"/>
        <w:ind w:left="138"/>
        <w:rPr>
          <w:rFonts w:ascii="Times New Roman" w:eastAsia="Times New Roman"/>
        </w:rPr>
      </w:pPr>
      <w:r>
        <w:rPr>
          <w:spacing w:val="-2"/>
        </w:rPr>
        <w:t>保</w:t>
      </w:r>
      <w:r>
        <w:rPr>
          <w:spacing w:val="-2"/>
        </w:rPr>
        <w:t>险</w:t>
      </w:r>
      <w:r>
        <w:rPr>
          <w:spacing w:val="-2"/>
        </w:rPr>
        <w:t>事故发生后请您及时</w:t>
      </w:r>
      <w:r>
        <w:rPr>
          <w:spacing w:val="-2"/>
        </w:rPr>
        <w:t>通</w:t>
      </w:r>
      <w:r>
        <w:rPr>
          <w:spacing w:val="-2"/>
        </w:rPr>
        <w:t>知</w:t>
      </w:r>
      <w:r>
        <w:rPr>
          <w:spacing w:val="-2"/>
        </w:rPr>
        <w:t>我</w:t>
      </w:r>
      <w:r>
        <w:rPr>
          <w:spacing w:val="-10"/>
        </w:rPr>
        <w:t>们</w:t>
      </w:r>
      <w:r>
        <w:rPr>
          <w:rFonts w:ascii="Times New Roman" w:eastAsia="Times New Roman"/>
        </w:rPr>
        <w:tab/>
      </w:r>
      <w:hyperlink w:history="true" w:anchor="_bookmark17">
        <w:r>
          <w:rPr>
            <w:rFonts w:ascii="Times New Roman" w:eastAsia="Times New Roman"/>
            <w:spacing w:val="-5"/>
          </w:rPr>
          <w:t>3.2</w:t>
        </w:r>
      </w:hyperlink>
    </w:p>
    <w:p>
      <w:pPr>
        <w:pStyle w:val="BodyText"/>
        <w:tabs>
          <w:tab w:pos="9171" w:val="right" w:leader="dot"/>
        </w:tabs>
        <w:spacing w:before="43"/>
        <w:ind w:left="138"/>
        <w:rPr>
          <w:rFonts w:ascii="Times New Roman" w:eastAsia="Times New Roman"/>
        </w:rPr>
      </w:pPr>
      <w:r>
        <w:rPr>
          <w:spacing w:val="-2"/>
        </w:rPr>
        <w:t>您</w:t>
      </w:r>
      <w:r>
        <w:rPr>
          <w:spacing w:val="-2"/>
        </w:rPr>
        <w:t>应</w:t>
      </w:r>
      <w:r>
        <w:rPr>
          <w:spacing w:val="-2"/>
        </w:rPr>
        <w:t>当按时交纳保险</w:t>
      </w:r>
      <w:r>
        <w:rPr>
          <w:spacing w:val="-10"/>
        </w:rPr>
        <w:t>费</w:t>
      </w:r>
      <w:r>
        <w:rPr>
          <w:rFonts w:ascii="Times New Roman" w:eastAsia="Times New Roman"/>
        </w:rPr>
        <w:tab/>
      </w:r>
      <w:hyperlink w:history="true" w:anchor="_bookmark24">
        <w:r>
          <w:rPr>
            <w:rFonts w:ascii="Times New Roman" w:eastAsia="Times New Roman"/>
            <w:spacing w:val="-5"/>
          </w:rPr>
          <w:t>4.1</w:t>
        </w:r>
      </w:hyperlink>
    </w:p>
    <w:p>
      <w:pPr>
        <w:pStyle w:val="BodyText"/>
        <w:tabs>
          <w:tab w:pos="9015" w:val="right" w:leader="dot"/>
        </w:tabs>
        <w:spacing w:before="43"/>
        <w:ind w:left="138"/>
        <w:rPr>
          <w:rFonts w:ascii="Times New Roman" w:eastAsia="Times New Roman"/>
        </w:rPr>
      </w:pPr>
      <w:r>
        <w:rPr>
          <w:spacing w:val="-2"/>
        </w:rPr>
        <w:t>解</w:t>
      </w:r>
      <w:r>
        <w:rPr>
          <w:spacing w:val="-2"/>
        </w:rPr>
        <w:t>除</w:t>
      </w:r>
      <w:r>
        <w:rPr>
          <w:spacing w:val="-2"/>
        </w:rPr>
        <w:t>合同会给您造成一定</w:t>
      </w:r>
      <w:r>
        <w:rPr>
          <w:spacing w:val="-2"/>
        </w:rPr>
        <w:t>的</w:t>
      </w:r>
      <w:r>
        <w:rPr>
          <w:spacing w:val="-2"/>
        </w:rPr>
        <w:t>损</w:t>
      </w:r>
      <w:r>
        <w:rPr>
          <w:spacing w:val="-2"/>
        </w:rPr>
        <w:t>失，请您慎重决</w:t>
      </w:r>
      <w:r>
        <w:rPr>
          <w:spacing w:val="-10"/>
        </w:rPr>
        <w:t>策</w:t>
      </w:r>
      <w:r>
        <w:rPr>
          <w:rFonts w:ascii="Times New Roman" w:eastAsia="Times New Roman"/>
        </w:rPr>
        <w:tab/>
      </w:r>
      <w:hyperlink w:history="true" w:anchor="_bookmark35">
        <w:r>
          <w:rPr>
            <w:rFonts w:ascii="Times New Roman" w:eastAsia="Times New Roman"/>
            <w:spacing w:val="-10"/>
          </w:rPr>
          <w:t>7</w:t>
        </w:r>
      </w:hyperlink>
    </w:p>
    <w:p>
      <w:pPr>
        <w:pStyle w:val="BodyText"/>
        <w:tabs>
          <w:tab w:pos="9013" w:val="right" w:leader="dot"/>
        </w:tabs>
        <w:spacing w:before="43"/>
        <w:ind w:left="138"/>
        <w:rPr>
          <w:rFonts w:ascii="Times New Roman" w:eastAsia="Times New Roman"/>
        </w:rPr>
      </w:pPr>
      <w:r>
        <w:rPr>
          <w:spacing w:val="-2"/>
        </w:rPr>
        <w:t>您</w:t>
      </w:r>
      <w:r>
        <w:rPr>
          <w:spacing w:val="-2"/>
        </w:rPr>
        <w:t>有</w:t>
      </w:r>
      <w:r>
        <w:rPr>
          <w:spacing w:val="-2"/>
        </w:rPr>
        <w:t>如实告知的</w:t>
      </w:r>
      <w:r>
        <w:rPr>
          <w:spacing w:val="-2"/>
        </w:rPr>
        <w:t>义</w:t>
      </w:r>
      <w:r>
        <w:rPr>
          <w:spacing w:val="-10"/>
        </w:rPr>
        <w:t>务</w:t>
      </w:r>
      <w:r>
        <w:rPr>
          <w:rFonts w:ascii="Times New Roman" w:eastAsia="Times New Roman"/>
        </w:rPr>
        <w:tab/>
      </w:r>
      <w:hyperlink w:history="true" w:anchor="_bookmark37">
        <w:r>
          <w:rPr>
            <w:rFonts w:ascii="Times New Roman" w:eastAsia="Times New Roman"/>
            <w:spacing w:val="-10"/>
          </w:rPr>
          <w:t>8</w:t>
        </w:r>
      </w:hyperlink>
    </w:p>
    <w:p>
      <w:pPr>
        <w:pStyle w:val="BodyText"/>
        <w:tabs>
          <w:tab w:pos="9118" w:val="right" w:leader="dot"/>
        </w:tabs>
        <w:spacing w:before="43"/>
        <w:ind w:left="138"/>
        <w:rPr>
          <w:rFonts w:ascii="Times New Roman" w:eastAsia="Times New Roman"/>
        </w:rPr>
      </w:pPr>
      <w:r>
        <w:rPr>
          <w:spacing w:val="-2"/>
        </w:rPr>
        <w:t>我</w:t>
      </w:r>
      <w:r>
        <w:rPr>
          <w:spacing w:val="-2"/>
        </w:rPr>
        <w:t>们</w:t>
      </w:r>
      <w:r>
        <w:rPr>
          <w:spacing w:val="-2"/>
        </w:rPr>
        <w:t>对一些重要术语进行</w:t>
      </w:r>
      <w:r>
        <w:rPr>
          <w:spacing w:val="-2"/>
        </w:rPr>
        <w:t>了</w:t>
      </w:r>
      <w:r>
        <w:rPr>
          <w:spacing w:val="-2"/>
        </w:rPr>
        <w:t>解</w:t>
      </w:r>
      <w:r>
        <w:rPr>
          <w:spacing w:val="-2"/>
        </w:rPr>
        <w:t>释，并作了显著标识，</w:t>
      </w:r>
      <w:r>
        <w:rPr>
          <w:spacing w:val="-2"/>
        </w:rPr>
        <w:t>请</w:t>
      </w:r>
      <w:r>
        <w:rPr>
          <w:spacing w:val="-2"/>
        </w:rPr>
        <w:t>您</w:t>
      </w:r>
      <w:r>
        <w:rPr>
          <w:spacing w:val="-2"/>
        </w:rPr>
        <w:t>注</w:t>
      </w:r>
      <w:r>
        <w:rPr>
          <w:spacing w:val="-10"/>
        </w:rPr>
        <w:t>意</w:t>
      </w:r>
      <w:r>
        <w:rPr>
          <w:rFonts w:ascii="Times New Roman" w:eastAsia="Times New Roman"/>
        </w:rPr>
        <w:tab/>
      </w:r>
      <w:hyperlink w:history="true" w:anchor="_bookmark48">
        <w:r>
          <w:rPr>
            <w:rFonts w:ascii="Times New Roman" w:eastAsia="Times New Roman"/>
            <w:spacing w:val="-5"/>
          </w:rPr>
          <w:t>10</w:t>
        </w:r>
      </w:hyperlink>
    </w:p>
    <w:p>
      <w:pPr>
        <w:pStyle w:val="ListParagraph"/>
        <w:numPr>
          <w:ilvl w:val="0"/>
          <w:numId w:val="1"/>
        </w:numPr>
        <w:tabs>
          <w:tab w:pos="487" w:val="left" w:leader="none"/>
        </w:tabs>
        <w:spacing w:line="240" w:lineRule="auto" w:before="488" w:after="0"/>
        <w:ind w:left="486" w:right="0" w:hanging="349"/>
        <w:jc w:val="left"/>
        <w:rPr>
          <w:b/>
          <w:sz w:val="24"/>
        </w:rPr>
      </w:pPr>
      <w:r>
        <w:rPr>
          <w:b/>
          <w:w w:val="95"/>
          <w:sz w:val="24"/>
        </w:rPr>
        <w:t>条款</w:t>
      </w:r>
      <w:r>
        <w:rPr>
          <w:b/>
          <w:w w:val="95"/>
          <w:sz w:val="24"/>
        </w:rPr>
        <w:t>是</w:t>
      </w:r>
      <w:r>
        <w:rPr>
          <w:b/>
          <w:w w:val="95"/>
          <w:sz w:val="24"/>
        </w:rPr>
        <w:t>保</w:t>
      </w:r>
      <w:r>
        <w:rPr>
          <w:b/>
          <w:w w:val="95"/>
          <w:sz w:val="24"/>
        </w:rPr>
        <w:t>险合同的重要内</w:t>
      </w:r>
      <w:r>
        <w:rPr>
          <w:b/>
          <w:w w:val="95"/>
          <w:sz w:val="24"/>
        </w:rPr>
        <w:t>容</w:t>
      </w:r>
      <w:r>
        <w:rPr>
          <w:b/>
          <w:w w:val="95"/>
          <w:sz w:val="24"/>
        </w:rPr>
        <w:t>，为充分</w:t>
      </w:r>
      <w:r>
        <w:rPr>
          <w:b/>
          <w:w w:val="95"/>
          <w:sz w:val="24"/>
        </w:rPr>
        <w:t>保</w:t>
      </w:r>
      <w:r>
        <w:rPr>
          <w:b/>
          <w:w w:val="95"/>
          <w:sz w:val="24"/>
        </w:rPr>
        <w:t>障</w:t>
      </w:r>
      <w:r>
        <w:rPr>
          <w:b/>
          <w:w w:val="95"/>
          <w:sz w:val="24"/>
        </w:rPr>
        <w:t>您的权</w:t>
      </w:r>
      <w:r>
        <w:rPr>
          <w:b/>
          <w:w w:val="95"/>
          <w:sz w:val="24"/>
        </w:rPr>
        <w:t>益</w:t>
      </w:r>
      <w:r>
        <w:rPr>
          <w:b/>
          <w:w w:val="95"/>
          <w:sz w:val="24"/>
        </w:rPr>
        <w:t>，请您仔</w:t>
      </w:r>
      <w:r>
        <w:rPr>
          <w:b/>
          <w:w w:val="95"/>
          <w:sz w:val="24"/>
        </w:rPr>
        <w:t>细</w:t>
      </w:r>
      <w:r>
        <w:rPr>
          <w:b/>
          <w:w w:val="95"/>
          <w:sz w:val="24"/>
        </w:rPr>
        <w:t>阅</w:t>
      </w:r>
      <w:r>
        <w:rPr>
          <w:b/>
          <w:w w:val="95"/>
          <w:sz w:val="24"/>
        </w:rPr>
        <w:t>读本条</w:t>
      </w:r>
      <w:r>
        <w:rPr>
          <w:b/>
          <w:w w:val="95"/>
          <w:sz w:val="24"/>
        </w:rPr>
        <w:t>款</w:t>
      </w:r>
      <w:r>
        <w:rPr>
          <w:b/>
          <w:spacing w:val="-10"/>
          <w:w w:val="95"/>
          <w:sz w:val="24"/>
        </w:rPr>
        <w:t>。</w:t>
      </w:r>
    </w:p>
    <w:p>
      <w:pPr>
        <w:pStyle w:val="ListParagraph"/>
        <w:numPr>
          <w:ilvl w:val="0"/>
          <w:numId w:val="1"/>
        </w:numPr>
        <w:tabs>
          <w:tab w:pos="487" w:val="left" w:leader="none"/>
        </w:tabs>
        <w:spacing w:line="240" w:lineRule="auto" w:before="476" w:after="0"/>
        <w:ind w:left="486" w:right="0" w:hanging="349"/>
        <w:jc w:val="left"/>
        <w:rPr>
          <w:b/>
          <w:sz w:val="24"/>
        </w:rPr>
      </w:pPr>
      <w:r>
        <w:rPr>
          <w:b/>
          <w:w w:val="95"/>
          <w:sz w:val="24"/>
        </w:rPr>
        <w:t>条款</w:t>
      </w:r>
      <w:r>
        <w:rPr>
          <w:b/>
          <w:w w:val="95"/>
          <w:sz w:val="24"/>
        </w:rPr>
        <w:t>目</w:t>
      </w:r>
      <w:r>
        <w:rPr>
          <w:b/>
          <w:spacing w:val="-10"/>
          <w:w w:val="95"/>
          <w:sz w:val="24"/>
        </w:rPr>
        <w:t>录</w:t>
      </w:r>
    </w:p>
    <w:p>
      <w:pPr>
        <w:spacing w:after="0" w:line="240" w:lineRule="auto"/>
        <w:jc w:val="left"/>
        <w:rPr>
          <w:sz w:val="24"/>
        </w:rPr>
        <w:sectPr>
          <w:type w:val="continuous"/>
          <w:pgSz w:w="11910" w:h="16840"/>
          <w:pgMar w:top="480" w:bottom="280" w:left="1280" w:right="420"/>
        </w:sectPr>
      </w:pPr>
    </w:p>
    <w:p>
      <w:pPr>
        <w:pStyle w:val="BodyText"/>
        <w:spacing w:before="3"/>
        <w:rPr>
          <w:b/>
          <w:sz w:val="26"/>
        </w:rPr>
      </w:pPr>
    </w:p>
    <w:p>
      <w:pPr>
        <w:pStyle w:val="ListParagraph"/>
        <w:numPr>
          <w:ilvl w:val="0"/>
          <w:numId w:val="2"/>
        </w:numPr>
        <w:tabs>
          <w:tab w:pos="565" w:val="left" w:leader="none"/>
          <w:tab w:pos="567" w:val="left" w:leader="none"/>
        </w:tabs>
        <w:spacing w:line="240" w:lineRule="auto" w:before="0" w:after="0"/>
        <w:ind w:left="566" w:right="0" w:hanging="429"/>
        <w:jc w:val="left"/>
        <w:rPr>
          <w:b/>
          <w:sz w:val="21"/>
        </w:rPr>
      </w:pPr>
      <w:r>
        <w:rPr/>
        <w:drawing>
          <wp:anchor distT="0" distB="0" distL="0" distR="0" allowOverlap="1" layoutInCell="1" locked="0" behindDoc="0" simplePos="0" relativeHeight="15728640">
            <wp:simplePos x="0" y="0"/>
            <wp:positionH relativeFrom="page">
              <wp:posOffset>2792602</wp:posOffset>
            </wp:positionH>
            <wp:positionV relativeFrom="paragraph">
              <wp:posOffset>-113461</wp:posOffset>
            </wp:positionV>
            <wp:extent cx="10668" cy="3170174"/>
            <wp:effectExtent l="0" t="0" r="0" b="0"/>
            <wp:wrapNone/>
            <wp:docPr id="3" name="image2.png"/>
            <wp:cNvGraphicFramePr>
              <a:graphicFrameLocks noChangeAspect="1"/>
            </wp:cNvGraphicFramePr>
            <a:graphic>
              <a:graphicData uri="http://schemas.openxmlformats.org/drawingml/2006/picture">
                <pic:pic>
                  <pic:nvPicPr>
                    <pic:cNvPr id="4" name="image2.png"/>
                    <pic:cNvPicPr/>
                  </pic:nvPicPr>
                  <pic:blipFill>
                    <a:blip r:embed="rId6" cstate="print"/>
                    <a:stretch>
                      <a:fillRect/>
                    </a:stretch>
                  </pic:blipFill>
                  <pic:spPr>
                    <a:xfrm>
                      <a:off x="0" y="0"/>
                      <a:ext cx="10668" cy="3170174"/>
                    </a:xfrm>
                    <a:prstGeom prst="rect">
                      <a:avLst/>
                    </a:prstGeom>
                  </pic:spPr>
                </pic:pic>
              </a:graphicData>
            </a:graphic>
          </wp:anchor>
        </w:drawing>
      </w:r>
      <w:hyperlink w:history="true" w:anchor="_bookmark0">
        <w:r>
          <w:rPr>
            <w:b/>
            <w:spacing w:val="-2"/>
            <w:sz w:val="21"/>
          </w:rPr>
          <w:t>您与我们订立的合同</w:t>
        </w:r>
      </w:hyperlink>
    </w:p>
    <w:p>
      <w:pPr>
        <w:pStyle w:val="ListParagraph"/>
        <w:numPr>
          <w:ilvl w:val="1"/>
          <w:numId w:val="2"/>
        </w:numPr>
        <w:tabs>
          <w:tab w:pos="737" w:val="left" w:leader="none"/>
        </w:tabs>
        <w:spacing w:line="240" w:lineRule="auto" w:before="43" w:after="0"/>
        <w:ind w:left="736" w:right="0" w:hanging="421"/>
        <w:jc w:val="left"/>
        <w:rPr>
          <w:sz w:val="21"/>
        </w:rPr>
      </w:pPr>
      <w:hyperlink w:history="true" w:anchor="_bookmark1">
        <w:r>
          <w:rPr>
            <w:spacing w:val="-4"/>
            <w:sz w:val="21"/>
          </w:rPr>
          <w:t>合同构成</w:t>
        </w:r>
      </w:hyperlink>
    </w:p>
    <w:p>
      <w:pPr>
        <w:pStyle w:val="ListParagraph"/>
        <w:numPr>
          <w:ilvl w:val="1"/>
          <w:numId w:val="2"/>
        </w:numPr>
        <w:tabs>
          <w:tab w:pos="737" w:val="left" w:leader="none"/>
        </w:tabs>
        <w:spacing w:line="240" w:lineRule="auto" w:before="43" w:after="0"/>
        <w:ind w:left="736" w:right="0" w:hanging="421"/>
        <w:jc w:val="left"/>
        <w:rPr>
          <w:sz w:val="21"/>
        </w:rPr>
      </w:pPr>
      <w:hyperlink w:history="true" w:anchor="_bookmark2">
        <w:r>
          <w:rPr>
            <w:spacing w:val="-4"/>
            <w:sz w:val="21"/>
          </w:rPr>
          <w:t>投保范围</w:t>
        </w:r>
      </w:hyperlink>
    </w:p>
    <w:p>
      <w:pPr>
        <w:pStyle w:val="ListParagraph"/>
        <w:numPr>
          <w:ilvl w:val="1"/>
          <w:numId w:val="2"/>
        </w:numPr>
        <w:tabs>
          <w:tab w:pos="737" w:val="left" w:leader="none"/>
        </w:tabs>
        <w:spacing w:line="240" w:lineRule="auto" w:before="43" w:after="0"/>
        <w:ind w:left="736" w:right="0" w:hanging="421"/>
        <w:jc w:val="left"/>
        <w:rPr>
          <w:sz w:val="21"/>
        </w:rPr>
      </w:pPr>
      <w:hyperlink w:history="true" w:anchor="_bookmark3">
        <w:r>
          <w:rPr>
            <w:spacing w:val="-4"/>
            <w:sz w:val="21"/>
          </w:rPr>
          <w:t>合同成立与生效</w:t>
        </w:r>
      </w:hyperlink>
    </w:p>
    <w:p>
      <w:pPr>
        <w:pStyle w:val="ListParagraph"/>
        <w:numPr>
          <w:ilvl w:val="1"/>
          <w:numId w:val="2"/>
        </w:numPr>
        <w:tabs>
          <w:tab w:pos="737" w:val="left" w:leader="none"/>
        </w:tabs>
        <w:spacing w:line="240" w:lineRule="auto" w:before="43" w:after="0"/>
        <w:ind w:left="736" w:right="0" w:hanging="421"/>
        <w:jc w:val="left"/>
        <w:rPr>
          <w:sz w:val="21"/>
        </w:rPr>
      </w:pPr>
      <w:hyperlink w:history="true" w:anchor="_bookmark4">
        <w:r>
          <w:rPr>
            <w:spacing w:val="-4"/>
            <w:sz w:val="21"/>
          </w:rPr>
          <w:t>犹豫期</w:t>
        </w:r>
      </w:hyperlink>
    </w:p>
    <w:p>
      <w:pPr>
        <w:pStyle w:val="ListParagraph"/>
        <w:numPr>
          <w:ilvl w:val="1"/>
          <w:numId w:val="2"/>
        </w:numPr>
        <w:tabs>
          <w:tab w:pos="737" w:val="left" w:leader="none"/>
        </w:tabs>
        <w:spacing w:line="240" w:lineRule="auto" w:before="43" w:after="0"/>
        <w:ind w:left="736" w:right="0" w:hanging="421"/>
        <w:jc w:val="left"/>
        <w:rPr>
          <w:sz w:val="21"/>
        </w:rPr>
      </w:pPr>
      <w:hyperlink w:history="true" w:anchor="_bookmark5">
        <w:r>
          <w:rPr>
            <w:spacing w:val="-4"/>
            <w:sz w:val="21"/>
          </w:rPr>
          <w:t>合同终止</w:t>
        </w:r>
      </w:hyperlink>
    </w:p>
    <w:p>
      <w:pPr>
        <w:pStyle w:val="BodyText"/>
        <w:rPr>
          <w:sz w:val="15"/>
        </w:rPr>
      </w:pPr>
    </w:p>
    <w:p>
      <w:pPr>
        <w:pStyle w:val="ListParagraph"/>
        <w:numPr>
          <w:ilvl w:val="0"/>
          <w:numId w:val="2"/>
        </w:numPr>
        <w:tabs>
          <w:tab w:pos="565" w:val="left" w:leader="none"/>
          <w:tab w:pos="567" w:val="left" w:leader="none"/>
        </w:tabs>
        <w:spacing w:line="240" w:lineRule="auto" w:before="0" w:after="0"/>
        <w:ind w:left="566" w:right="0" w:hanging="429"/>
        <w:jc w:val="left"/>
        <w:rPr>
          <w:b/>
          <w:sz w:val="21"/>
        </w:rPr>
      </w:pPr>
      <w:hyperlink w:history="true" w:anchor="_bookmark6">
        <w:r>
          <w:rPr>
            <w:b/>
            <w:spacing w:val="-2"/>
            <w:sz w:val="21"/>
          </w:rPr>
          <w:t>我们提供的保障</w:t>
        </w:r>
      </w:hyperlink>
    </w:p>
    <w:p>
      <w:pPr>
        <w:pStyle w:val="ListParagraph"/>
        <w:numPr>
          <w:ilvl w:val="1"/>
          <w:numId w:val="2"/>
        </w:numPr>
        <w:tabs>
          <w:tab w:pos="737" w:val="left" w:leader="none"/>
        </w:tabs>
        <w:spacing w:line="278" w:lineRule="auto" w:before="43" w:after="0"/>
        <w:ind w:left="736" w:right="109" w:hanging="420"/>
        <w:jc w:val="left"/>
        <w:rPr>
          <w:sz w:val="21"/>
        </w:rPr>
      </w:pPr>
      <w:hyperlink w:history="true" w:anchor="_bookmark7">
        <w:r>
          <w:rPr>
            <w:spacing w:val="15"/>
            <w:sz w:val="21"/>
          </w:rPr>
          <w:t>未成年人身故保险金限</w:t>
        </w:r>
      </w:hyperlink>
      <w:hyperlink w:history="true" w:anchor="_bookmark7">
        <w:r>
          <w:rPr>
            <w:spacing w:val="-10"/>
            <w:sz w:val="21"/>
          </w:rPr>
          <w:t>制</w:t>
        </w:r>
      </w:hyperlink>
    </w:p>
    <w:p>
      <w:pPr>
        <w:pStyle w:val="ListParagraph"/>
        <w:numPr>
          <w:ilvl w:val="1"/>
          <w:numId w:val="2"/>
        </w:numPr>
        <w:tabs>
          <w:tab w:pos="737" w:val="left" w:leader="none"/>
        </w:tabs>
        <w:spacing w:line="240" w:lineRule="auto" w:before="0" w:after="0"/>
        <w:ind w:left="736" w:right="0" w:hanging="421"/>
        <w:jc w:val="left"/>
        <w:rPr>
          <w:sz w:val="21"/>
        </w:rPr>
      </w:pPr>
      <w:hyperlink w:history="true" w:anchor="_bookmark8">
        <w:r>
          <w:rPr>
            <w:spacing w:val="-4"/>
            <w:sz w:val="21"/>
          </w:rPr>
          <w:t>基本保险金额</w:t>
        </w:r>
      </w:hyperlink>
    </w:p>
    <w:p>
      <w:pPr>
        <w:pStyle w:val="ListParagraph"/>
        <w:numPr>
          <w:ilvl w:val="1"/>
          <w:numId w:val="2"/>
        </w:numPr>
        <w:tabs>
          <w:tab w:pos="737" w:val="left" w:leader="none"/>
        </w:tabs>
        <w:spacing w:line="240" w:lineRule="auto" w:before="43" w:after="0"/>
        <w:ind w:left="736" w:right="0" w:hanging="421"/>
        <w:jc w:val="left"/>
        <w:rPr>
          <w:sz w:val="21"/>
        </w:rPr>
      </w:pPr>
      <w:hyperlink w:history="true" w:anchor="_bookmark9">
        <w:r>
          <w:rPr>
            <w:spacing w:val="-4"/>
            <w:sz w:val="21"/>
          </w:rPr>
          <w:t>保险期间</w:t>
        </w:r>
      </w:hyperlink>
    </w:p>
    <w:p>
      <w:pPr>
        <w:pStyle w:val="ListParagraph"/>
        <w:numPr>
          <w:ilvl w:val="1"/>
          <w:numId w:val="2"/>
        </w:numPr>
        <w:tabs>
          <w:tab w:pos="737" w:val="left" w:leader="none"/>
        </w:tabs>
        <w:spacing w:line="240" w:lineRule="auto" w:before="43" w:after="0"/>
        <w:ind w:left="736" w:right="0" w:hanging="421"/>
        <w:jc w:val="left"/>
        <w:rPr>
          <w:sz w:val="21"/>
        </w:rPr>
      </w:pPr>
      <w:hyperlink w:history="true" w:anchor="_bookmark10">
        <w:r>
          <w:rPr>
            <w:spacing w:val="-4"/>
            <w:sz w:val="21"/>
          </w:rPr>
          <w:t>等待期</w:t>
        </w:r>
      </w:hyperlink>
    </w:p>
    <w:p>
      <w:pPr>
        <w:pStyle w:val="ListParagraph"/>
        <w:numPr>
          <w:ilvl w:val="1"/>
          <w:numId w:val="2"/>
        </w:numPr>
        <w:tabs>
          <w:tab w:pos="737" w:val="left" w:leader="none"/>
        </w:tabs>
        <w:spacing w:line="240" w:lineRule="auto" w:before="43" w:after="0"/>
        <w:ind w:left="736" w:right="0" w:hanging="421"/>
        <w:jc w:val="left"/>
        <w:rPr>
          <w:sz w:val="21"/>
        </w:rPr>
      </w:pPr>
      <w:hyperlink w:history="true" w:anchor="_bookmark11">
        <w:r>
          <w:rPr>
            <w:spacing w:val="-4"/>
            <w:sz w:val="21"/>
          </w:rPr>
          <w:t>保险责任</w:t>
        </w:r>
      </w:hyperlink>
    </w:p>
    <w:p>
      <w:pPr>
        <w:pStyle w:val="ListParagraph"/>
        <w:numPr>
          <w:ilvl w:val="1"/>
          <w:numId w:val="2"/>
        </w:numPr>
        <w:tabs>
          <w:tab w:pos="737" w:val="left" w:leader="none"/>
        </w:tabs>
        <w:spacing w:line="240" w:lineRule="auto" w:before="43" w:after="0"/>
        <w:ind w:left="736" w:right="0" w:hanging="421"/>
        <w:jc w:val="left"/>
        <w:rPr>
          <w:sz w:val="21"/>
        </w:rPr>
      </w:pPr>
      <w:hyperlink w:history="true" w:anchor="_bookmark13">
        <w:r>
          <w:rPr>
            <w:spacing w:val="-4"/>
            <w:sz w:val="21"/>
          </w:rPr>
          <w:t>责任免除</w:t>
        </w:r>
      </w:hyperlink>
    </w:p>
    <w:p>
      <w:pPr>
        <w:pStyle w:val="ListParagraph"/>
        <w:numPr>
          <w:ilvl w:val="1"/>
          <w:numId w:val="2"/>
        </w:numPr>
        <w:tabs>
          <w:tab w:pos="737" w:val="left" w:leader="none"/>
        </w:tabs>
        <w:spacing w:line="240" w:lineRule="auto" w:before="43" w:after="0"/>
        <w:ind w:left="736" w:right="0" w:hanging="421"/>
        <w:jc w:val="left"/>
        <w:rPr>
          <w:sz w:val="21"/>
        </w:rPr>
      </w:pPr>
      <w:hyperlink w:history="true" w:anchor="_bookmark14">
        <w:r>
          <w:rPr>
            <w:spacing w:val="-3"/>
            <w:sz w:val="21"/>
          </w:rPr>
          <w:t>其他免除保险责任条款</w:t>
        </w:r>
      </w:hyperlink>
    </w:p>
    <w:p>
      <w:pPr>
        <w:spacing w:line="240" w:lineRule="auto" w:before="3"/>
        <w:rPr>
          <w:sz w:val="26"/>
        </w:rPr>
      </w:pPr>
      <w:r>
        <w:rPr/>
        <w:br w:type="column"/>
      </w:r>
      <w:r>
        <w:rPr>
          <w:sz w:val="26"/>
        </w:rPr>
      </w:r>
    </w:p>
    <w:p>
      <w:pPr>
        <w:pStyle w:val="ListParagraph"/>
        <w:numPr>
          <w:ilvl w:val="0"/>
          <w:numId w:val="2"/>
        </w:numPr>
        <w:tabs>
          <w:tab w:pos="485" w:val="left" w:leader="none"/>
          <w:tab w:pos="486" w:val="left" w:leader="none"/>
        </w:tabs>
        <w:spacing w:line="240" w:lineRule="auto" w:before="0" w:after="0"/>
        <w:ind w:left="485" w:right="0" w:hanging="428"/>
        <w:jc w:val="left"/>
        <w:rPr>
          <w:b/>
          <w:sz w:val="21"/>
        </w:rPr>
      </w:pPr>
      <w:hyperlink w:history="true" w:anchor="_bookmark15">
        <w:r>
          <w:rPr>
            <w:b/>
            <w:spacing w:val="-2"/>
            <w:sz w:val="21"/>
          </w:rPr>
          <w:t>保险金的申请</w:t>
        </w:r>
      </w:hyperlink>
    </w:p>
    <w:p>
      <w:pPr>
        <w:pStyle w:val="ListParagraph"/>
        <w:numPr>
          <w:ilvl w:val="1"/>
          <w:numId w:val="2"/>
        </w:numPr>
        <w:tabs>
          <w:tab w:pos="656" w:val="left" w:leader="none"/>
        </w:tabs>
        <w:spacing w:line="240" w:lineRule="auto" w:before="43" w:after="0"/>
        <w:ind w:left="656" w:right="0" w:hanging="420"/>
        <w:jc w:val="left"/>
        <w:rPr>
          <w:sz w:val="21"/>
        </w:rPr>
      </w:pPr>
      <w:hyperlink w:history="true" w:anchor="_bookmark16">
        <w:r>
          <w:rPr>
            <w:spacing w:val="-4"/>
            <w:sz w:val="21"/>
          </w:rPr>
          <w:t>受益人</w:t>
        </w:r>
      </w:hyperlink>
    </w:p>
    <w:p>
      <w:pPr>
        <w:pStyle w:val="ListParagraph"/>
        <w:numPr>
          <w:ilvl w:val="1"/>
          <w:numId w:val="2"/>
        </w:numPr>
        <w:tabs>
          <w:tab w:pos="656" w:val="left" w:leader="none"/>
        </w:tabs>
        <w:spacing w:line="240" w:lineRule="auto" w:before="43" w:after="0"/>
        <w:ind w:left="656" w:right="0" w:hanging="420"/>
        <w:jc w:val="left"/>
        <w:rPr>
          <w:sz w:val="21"/>
        </w:rPr>
      </w:pPr>
      <w:hyperlink w:history="true" w:anchor="_bookmark18">
        <w:r>
          <w:rPr>
            <w:spacing w:val="-4"/>
            <w:sz w:val="21"/>
          </w:rPr>
          <w:t>保险事故通知</w:t>
        </w:r>
      </w:hyperlink>
    </w:p>
    <w:p>
      <w:pPr>
        <w:pStyle w:val="ListParagraph"/>
        <w:numPr>
          <w:ilvl w:val="1"/>
          <w:numId w:val="2"/>
        </w:numPr>
        <w:tabs>
          <w:tab w:pos="656" w:val="left" w:leader="none"/>
        </w:tabs>
        <w:spacing w:line="240" w:lineRule="auto" w:before="43" w:after="0"/>
        <w:ind w:left="656" w:right="0" w:hanging="420"/>
        <w:jc w:val="left"/>
        <w:rPr>
          <w:sz w:val="21"/>
        </w:rPr>
      </w:pPr>
      <w:hyperlink w:history="true" w:anchor="_bookmark19">
        <w:r>
          <w:rPr>
            <w:spacing w:val="-4"/>
            <w:sz w:val="21"/>
          </w:rPr>
          <w:t>保险金申请</w:t>
        </w:r>
      </w:hyperlink>
    </w:p>
    <w:p>
      <w:pPr>
        <w:pStyle w:val="ListParagraph"/>
        <w:numPr>
          <w:ilvl w:val="1"/>
          <w:numId w:val="2"/>
        </w:numPr>
        <w:tabs>
          <w:tab w:pos="656" w:val="left" w:leader="none"/>
        </w:tabs>
        <w:spacing w:line="240" w:lineRule="auto" w:before="43" w:after="0"/>
        <w:ind w:left="656" w:right="0" w:hanging="420"/>
        <w:jc w:val="left"/>
        <w:rPr>
          <w:sz w:val="21"/>
        </w:rPr>
      </w:pPr>
      <w:hyperlink w:history="true" w:anchor="_bookmark20">
        <w:r>
          <w:rPr>
            <w:spacing w:val="-4"/>
            <w:sz w:val="21"/>
          </w:rPr>
          <w:t>保险金给付</w:t>
        </w:r>
      </w:hyperlink>
    </w:p>
    <w:p>
      <w:pPr>
        <w:pStyle w:val="ListParagraph"/>
        <w:numPr>
          <w:ilvl w:val="1"/>
          <w:numId w:val="2"/>
        </w:numPr>
        <w:tabs>
          <w:tab w:pos="656" w:val="left" w:leader="none"/>
        </w:tabs>
        <w:spacing w:line="240" w:lineRule="auto" w:before="43" w:after="0"/>
        <w:ind w:left="656" w:right="0" w:hanging="420"/>
        <w:jc w:val="left"/>
        <w:rPr>
          <w:sz w:val="21"/>
        </w:rPr>
      </w:pPr>
      <w:hyperlink w:history="true" w:anchor="_bookmark21">
        <w:r>
          <w:rPr>
            <w:spacing w:val="-4"/>
            <w:sz w:val="21"/>
          </w:rPr>
          <w:t>诉讼时效</w:t>
        </w:r>
      </w:hyperlink>
    </w:p>
    <w:p>
      <w:pPr>
        <w:pStyle w:val="ListParagraph"/>
        <w:numPr>
          <w:ilvl w:val="1"/>
          <w:numId w:val="2"/>
        </w:numPr>
        <w:tabs>
          <w:tab w:pos="656" w:val="left" w:leader="none"/>
        </w:tabs>
        <w:spacing w:line="240" w:lineRule="auto" w:before="43" w:after="0"/>
        <w:ind w:left="656" w:right="0" w:hanging="420"/>
        <w:jc w:val="left"/>
        <w:rPr>
          <w:sz w:val="21"/>
        </w:rPr>
      </w:pPr>
      <w:hyperlink w:history="true" w:anchor="_bookmark22">
        <w:r>
          <w:rPr>
            <w:spacing w:val="-4"/>
            <w:sz w:val="21"/>
          </w:rPr>
          <w:t>宣告死亡处理</w:t>
        </w:r>
      </w:hyperlink>
    </w:p>
    <w:p>
      <w:pPr>
        <w:pStyle w:val="BodyText"/>
        <w:rPr>
          <w:sz w:val="15"/>
        </w:rPr>
      </w:pPr>
    </w:p>
    <w:p>
      <w:pPr>
        <w:pStyle w:val="ListParagraph"/>
        <w:numPr>
          <w:ilvl w:val="0"/>
          <w:numId w:val="2"/>
        </w:numPr>
        <w:tabs>
          <w:tab w:pos="485" w:val="left" w:leader="none"/>
          <w:tab w:pos="486" w:val="left" w:leader="none"/>
        </w:tabs>
        <w:spacing w:line="240" w:lineRule="auto" w:before="0" w:after="0"/>
        <w:ind w:left="485" w:right="0" w:hanging="428"/>
        <w:jc w:val="left"/>
        <w:rPr>
          <w:b/>
          <w:sz w:val="21"/>
        </w:rPr>
      </w:pPr>
      <w:hyperlink w:history="true" w:anchor="_bookmark23">
        <w:r>
          <w:rPr>
            <w:b/>
            <w:spacing w:val="-2"/>
            <w:sz w:val="21"/>
          </w:rPr>
          <w:t>保险费的交纳</w:t>
        </w:r>
      </w:hyperlink>
    </w:p>
    <w:p>
      <w:pPr>
        <w:pStyle w:val="ListParagraph"/>
        <w:numPr>
          <w:ilvl w:val="1"/>
          <w:numId w:val="2"/>
        </w:numPr>
        <w:tabs>
          <w:tab w:pos="656" w:val="left" w:leader="none"/>
        </w:tabs>
        <w:spacing w:line="240" w:lineRule="auto" w:before="43" w:after="0"/>
        <w:ind w:left="656" w:right="0" w:hanging="420"/>
        <w:jc w:val="left"/>
        <w:rPr>
          <w:sz w:val="21"/>
        </w:rPr>
      </w:pPr>
      <w:hyperlink w:history="true" w:anchor="_bookmark25">
        <w:r>
          <w:rPr>
            <w:spacing w:val="-4"/>
            <w:sz w:val="21"/>
          </w:rPr>
          <w:t>保险费的交纳</w:t>
        </w:r>
      </w:hyperlink>
    </w:p>
    <w:p>
      <w:pPr>
        <w:pStyle w:val="ListParagraph"/>
        <w:numPr>
          <w:ilvl w:val="1"/>
          <w:numId w:val="2"/>
        </w:numPr>
        <w:tabs>
          <w:tab w:pos="656" w:val="left" w:leader="none"/>
        </w:tabs>
        <w:spacing w:line="240" w:lineRule="auto" w:before="43" w:after="0"/>
        <w:ind w:left="656" w:right="0" w:hanging="420"/>
        <w:jc w:val="left"/>
        <w:rPr>
          <w:sz w:val="21"/>
        </w:rPr>
      </w:pPr>
      <w:hyperlink w:history="true" w:anchor="_bookmark26">
        <w:r>
          <w:rPr>
            <w:spacing w:val="-4"/>
            <w:sz w:val="21"/>
          </w:rPr>
          <w:t>宽限期</w:t>
        </w:r>
      </w:hyperlink>
    </w:p>
    <w:p>
      <w:pPr>
        <w:pStyle w:val="BodyText"/>
        <w:rPr>
          <w:sz w:val="15"/>
        </w:rPr>
      </w:pPr>
    </w:p>
    <w:p>
      <w:pPr>
        <w:pStyle w:val="ListParagraph"/>
        <w:numPr>
          <w:ilvl w:val="0"/>
          <w:numId w:val="2"/>
        </w:numPr>
        <w:tabs>
          <w:tab w:pos="485" w:val="left" w:leader="none"/>
          <w:tab w:pos="486" w:val="left" w:leader="none"/>
        </w:tabs>
        <w:spacing w:line="240" w:lineRule="auto" w:before="0" w:after="0"/>
        <w:ind w:left="485" w:right="0" w:hanging="428"/>
        <w:jc w:val="left"/>
        <w:rPr>
          <w:b/>
          <w:sz w:val="21"/>
        </w:rPr>
      </w:pPr>
      <w:hyperlink w:history="true" w:anchor="_bookmark28">
        <w:r>
          <w:rPr>
            <w:b/>
            <w:spacing w:val="-2"/>
            <w:sz w:val="21"/>
          </w:rPr>
          <w:t>现金价值权益</w:t>
        </w:r>
      </w:hyperlink>
    </w:p>
    <w:p>
      <w:pPr>
        <w:pStyle w:val="ListParagraph"/>
        <w:numPr>
          <w:ilvl w:val="1"/>
          <w:numId w:val="2"/>
        </w:numPr>
        <w:tabs>
          <w:tab w:pos="656" w:val="left" w:leader="none"/>
        </w:tabs>
        <w:spacing w:line="240" w:lineRule="auto" w:before="43" w:after="0"/>
        <w:ind w:left="656" w:right="0" w:hanging="420"/>
        <w:jc w:val="left"/>
        <w:rPr>
          <w:sz w:val="21"/>
        </w:rPr>
      </w:pPr>
      <w:hyperlink w:history="true" w:anchor="_bookmark29">
        <w:r>
          <w:rPr>
            <w:spacing w:val="-4"/>
            <w:sz w:val="21"/>
          </w:rPr>
          <w:t>现金价值</w:t>
        </w:r>
      </w:hyperlink>
    </w:p>
    <w:p>
      <w:pPr>
        <w:pStyle w:val="ListParagraph"/>
        <w:numPr>
          <w:ilvl w:val="1"/>
          <w:numId w:val="2"/>
        </w:numPr>
        <w:tabs>
          <w:tab w:pos="656" w:val="left" w:leader="none"/>
        </w:tabs>
        <w:spacing w:line="240" w:lineRule="auto" w:before="43" w:after="0"/>
        <w:ind w:left="656" w:right="0" w:hanging="420"/>
        <w:jc w:val="left"/>
        <w:rPr>
          <w:sz w:val="21"/>
        </w:rPr>
      </w:pPr>
      <w:hyperlink w:history="true" w:anchor="_bookmark30">
        <w:r>
          <w:rPr>
            <w:spacing w:val="-4"/>
            <w:sz w:val="21"/>
          </w:rPr>
          <w:t>保单借款</w:t>
        </w:r>
      </w:hyperlink>
    </w:p>
    <w:p>
      <w:pPr>
        <w:pStyle w:val="ListParagraph"/>
        <w:numPr>
          <w:ilvl w:val="1"/>
          <w:numId w:val="2"/>
        </w:numPr>
        <w:tabs>
          <w:tab w:pos="656" w:val="left" w:leader="none"/>
        </w:tabs>
        <w:spacing w:line="240" w:lineRule="auto" w:before="43" w:after="0"/>
        <w:ind w:left="656" w:right="0" w:hanging="420"/>
        <w:jc w:val="left"/>
        <w:rPr>
          <w:sz w:val="21"/>
        </w:rPr>
      </w:pPr>
      <w:hyperlink w:history="true" w:anchor="_bookmark31">
        <w:r>
          <w:rPr>
            <w:spacing w:val="-4"/>
            <w:sz w:val="21"/>
          </w:rPr>
          <w:t>保险费自动垫交</w:t>
        </w:r>
      </w:hyperlink>
    </w:p>
    <w:p>
      <w:pPr>
        <w:spacing w:line="240" w:lineRule="auto" w:before="3"/>
        <w:rPr>
          <w:sz w:val="26"/>
        </w:rPr>
      </w:pPr>
      <w:r>
        <w:rPr/>
        <w:br w:type="column"/>
      </w:r>
      <w:r>
        <w:rPr>
          <w:sz w:val="26"/>
        </w:rPr>
      </w:r>
    </w:p>
    <w:p>
      <w:pPr>
        <w:pStyle w:val="ListParagraph"/>
        <w:numPr>
          <w:ilvl w:val="0"/>
          <w:numId w:val="2"/>
        </w:numPr>
        <w:tabs>
          <w:tab w:pos="678" w:val="left" w:leader="none"/>
          <w:tab w:pos="679" w:val="left" w:leader="none"/>
        </w:tabs>
        <w:spacing w:line="240" w:lineRule="auto" w:before="0" w:after="0"/>
        <w:ind w:left="678" w:right="0" w:hanging="428"/>
        <w:jc w:val="left"/>
        <w:rPr>
          <w:b/>
          <w:sz w:val="21"/>
        </w:rPr>
      </w:pPr>
      <w:hyperlink w:history="true" w:anchor="_bookmark32">
        <w:r>
          <w:rPr>
            <w:b/>
            <w:spacing w:val="-3"/>
            <w:sz w:val="21"/>
          </w:rPr>
          <w:t>合同效力的中止及恢复</w:t>
        </w:r>
      </w:hyperlink>
    </w:p>
    <w:p>
      <w:pPr>
        <w:pStyle w:val="ListParagraph"/>
        <w:numPr>
          <w:ilvl w:val="1"/>
          <w:numId w:val="2"/>
        </w:numPr>
        <w:tabs>
          <w:tab w:pos="850" w:val="left" w:leader="none"/>
        </w:tabs>
        <w:spacing w:line="240" w:lineRule="auto" w:before="43" w:after="0"/>
        <w:ind w:left="849" w:right="0" w:hanging="421"/>
        <w:jc w:val="left"/>
        <w:rPr>
          <w:sz w:val="21"/>
        </w:rPr>
      </w:pPr>
      <w:r>
        <w:rPr/>
        <w:drawing>
          <wp:anchor distT="0" distB="0" distL="0" distR="0" allowOverlap="1" layoutInCell="1" locked="0" behindDoc="0" simplePos="0" relativeHeight="15729152">
            <wp:simplePos x="0" y="0"/>
            <wp:positionH relativeFrom="page">
              <wp:posOffset>4757292</wp:posOffset>
            </wp:positionH>
            <wp:positionV relativeFrom="paragraph">
              <wp:posOffset>-284276</wp:posOffset>
            </wp:positionV>
            <wp:extent cx="9144" cy="3170174"/>
            <wp:effectExtent l="0" t="0" r="0" b="0"/>
            <wp:wrapNone/>
            <wp:docPr id="5" name="image3.png"/>
            <wp:cNvGraphicFramePr>
              <a:graphicFrameLocks noChangeAspect="1"/>
            </wp:cNvGraphicFramePr>
            <a:graphic>
              <a:graphicData uri="http://schemas.openxmlformats.org/drawingml/2006/picture">
                <pic:pic>
                  <pic:nvPicPr>
                    <pic:cNvPr id="6" name="image3.png"/>
                    <pic:cNvPicPr/>
                  </pic:nvPicPr>
                  <pic:blipFill>
                    <a:blip r:embed="rId7" cstate="print"/>
                    <a:stretch>
                      <a:fillRect/>
                    </a:stretch>
                  </pic:blipFill>
                  <pic:spPr>
                    <a:xfrm>
                      <a:off x="0" y="0"/>
                      <a:ext cx="9144" cy="3170174"/>
                    </a:xfrm>
                    <a:prstGeom prst="rect">
                      <a:avLst/>
                    </a:prstGeom>
                  </pic:spPr>
                </pic:pic>
              </a:graphicData>
            </a:graphic>
          </wp:anchor>
        </w:drawing>
      </w:r>
      <w:hyperlink w:history="true" w:anchor="_bookmark33">
        <w:r>
          <w:rPr>
            <w:spacing w:val="-4"/>
            <w:sz w:val="21"/>
          </w:rPr>
          <w:t>效力中止</w:t>
        </w:r>
      </w:hyperlink>
    </w:p>
    <w:p>
      <w:pPr>
        <w:pStyle w:val="ListParagraph"/>
        <w:numPr>
          <w:ilvl w:val="1"/>
          <w:numId w:val="2"/>
        </w:numPr>
        <w:tabs>
          <w:tab w:pos="850" w:val="left" w:leader="none"/>
        </w:tabs>
        <w:spacing w:line="240" w:lineRule="auto" w:before="43" w:after="0"/>
        <w:ind w:left="849" w:right="0" w:hanging="421"/>
        <w:jc w:val="left"/>
        <w:rPr>
          <w:sz w:val="21"/>
        </w:rPr>
      </w:pPr>
      <w:hyperlink w:history="true" w:anchor="_bookmark34">
        <w:r>
          <w:rPr>
            <w:spacing w:val="-4"/>
            <w:sz w:val="21"/>
          </w:rPr>
          <w:t>效力恢复</w:t>
        </w:r>
      </w:hyperlink>
    </w:p>
    <w:p>
      <w:pPr>
        <w:pStyle w:val="BodyText"/>
        <w:rPr>
          <w:sz w:val="15"/>
        </w:rPr>
      </w:pPr>
    </w:p>
    <w:p>
      <w:pPr>
        <w:pStyle w:val="ListParagraph"/>
        <w:numPr>
          <w:ilvl w:val="0"/>
          <w:numId w:val="2"/>
        </w:numPr>
        <w:tabs>
          <w:tab w:pos="678" w:val="left" w:leader="none"/>
          <w:tab w:pos="679" w:val="left" w:leader="none"/>
        </w:tabs>
        <w:spacing w:line="240" w:lineRule="auto" w:before="0" w:after="0"/>
        <w:ind w:left="678" w:right="0" w:hanging="428"/>
        <w:jc w:val="left"/>
        <w:rPr>
          <w:b/>
          <w:sz w:val="21"/>
        </w:rPr>
      </w:pPr>
      <w:hyperlink w:history="true" w:anchor="_bookmark35">
        <w:r>
          <w:rPr>
            <w:b/>
            <w:spacing w:val="-3"/>
            <w:sz w:val="21"/>
          </w:rPr>
          <w:t>合同解除</w:t>
        </w:r>
      </w:hyperlink>
    </w:p>
    <w:p>
      <w:pPr>
        <w:pStyle w:val="ListParagraph"/>
        <w:numPr>
          <w:ilvl w:val="1"/>
          <w:numId w:val="2"/>
        </w:numPr>
        <w:tabs>
          <w:tab w:pos="850" w:val="left" w:leader="none"/>
        </w:tabs>
        <w:spacing w:line="278" w:lineRule="auto" w:before="43" w:after="0"/>
        <w:ind w:left="849" w:right="995" w:hanging="420"/>
        <w:jc w:val="left"/>
        <w:rPr>
          <w:sz w:val="21"/>
        </w:rPr>
      </w:pPr>
      <w:hyperlink w:history="true" w:anchor="_bookmark36">
        <w:r>
          <w:rPr>
            <w:spacing w:val="15"/>
            <w:sz w:val="21"/>
          </w:rPr>
          <w:t>您解除合同的手续及风</w:t>
        </w:r>
      </w:hyperlink>
      <w:hyperlink w:history="true" w:anchor="_bookmark36">
        <w:r>
          <w:rPr>
            <w:spacing w:val="-10"/>
            <w:sz w:val="21"/>
          </w:rPr>
          <w:t>险</w:t>
        </w:r>
      </w:hyperlink>
    </w:p>
    <w:p>
      <w:pPr>
        <w:pStyle w:val="ListParagraph"/>
        <w:numPr>
          <w:ilvl w:val="0"/>
          <w:numId w:val="2"/>
        </w:numPr>
        <w:tabs>
          <w:tab w:pos="678" w:val="left" w:leader="none"/>
          <w:tab w:pos="679" w:val="left" w:leader="none"/>
        </w:tabs>
        <w:spacing w:line="240" w:lineRule="auto" w:before="156" w:after="0"/>
        <w:ind w:left="678" w:right="0" w:hanging="428"/>
        <w:jc w:val="left"/>
        <w:rPr>
          <w:b/>
          <w:sz w:val="21"/>
        </w:rPr>
      </w:pPr>
      <w:hyperlink w:history="true" w:anchor="_bookmark37">
        <w:r>
          <w:rPr>
            <w:b/>
            <w:spacing w:val="-3"/>
            <w:sz w:val="21"/>
          </w:rPr>
          <w:t>如实告知</w:t>
        </w:r>
      </w:hyperlink>
    </w:p>
    <w:p>
      <w:pPr>
        <w:pStyle w:val="ListParagraph"/>
        <w:numPr>
          <w:ilvl w:val="1"/>
          <w:numId w:val="2"/>
        </w:numPr>
        <w:tabs>
          <w:tab w:pos="850" w:val="left" w:leader="none"/>
        </w:tabs>
        <w:spacing w:line="240" w:lineRule="auto" w:before="43" w:after="0"/>
        <w:ind w:left="849" w:right="0" w:hanging="421"/>
        <w:jc w:val="left"/>
        <w:rPr>
          <w:sz w:val="21"/>
        </w:rPr>
      </w:pPr>
      <w:hyperlink w:history="true" w:anchor="_bookmark38">
        <w:r>
          <w:rPr>
            <w:spacing w:val="-3"/>
            <w:sz w:val="21"/>
          </w:rPr>
          <w:t>明确说明与如实告知</w:t>
        </w:r>
      </w:hyperlink>
    </w:p>
    <w:p>
      <w:pPr>
        <w:pStyle w:val="ListParagraph"/>
        <w:numPr>
          <w:ilvl w:val="1"/>
          <w:numId w:val="2"/>
        </w:numPr>
        <w:tabs>
          <w:tab w:pos="850" w:val="left" w:leader="none"/>
        </w:tabs>
        <w:spacing w:line="240" w:lineRule="auto" w:before="43" w:after="0"/>
        <w:ind w:left="849" w:right="0" w:hanging="421"/>
        <w:jc w:val="left"/>
        <w:rPr>
          <w:sz w:val="21"/>
        </w:rPr>
      </w:pPr>
      <w:hyperlink w:history="true" w:anchor="_bookmark39">
        <w:r>
          <w:rPr>
            <w:spacing w:val="-4"/>
            <w:sz w:val="21"/>
          </w:rPr>
          <w:t>不如实告知的后果</w:t>
        </w:r>
      </w:hyperlink>
    </w:p>
    <w:p>
      <w:pPr>
        <w:pStyle w:val="ListParagraph"/>
        <w:numPr>
          <w:ilvl w:val="1"/>
          <w:numId w:val="2"/>
        </w:numPr>
        <w:tabs>
          <w:tab w:pos="850" w:val="left" w:leader="none"/>
        </w:tabs>
        <w:spacing w:line="240" w:lineRule="auto" w:before="43" w:after="0"/>
        <w:ind w:left="849" w:right="0" w:hanging="421"/>
        <w:jc w:val="left"/>
        <w:rPr>
          <w:sz w:val="21"/>
        </w:rPr>
      </w:pPr>
      <w:hyperlink w:history="true" w:anchor="_bookmark40">
        <w:r>
          <w:rPr>
            <w:spacing w:val="-3"/>
            <w:sz w:val="21"/>
          </w:rPr>
          <w:t>我们合同解除权的限制</w:t>
        </w:r>
      </w:hyperlink>
    </w:p>
    <w:p>
      <w:pPr>
        <w:pStyle w:val="BodyText"/>
        <w:rPr>
          <w:sz w:val="15"/>
        </w:rPr>
      </w:pPr>
    </w:p>
    <w:p>
      <w:pPr>
        <w:pStyle w:val="ListParagraph"/>
        <w:numPr>
          <w:ilvl w:val="0"/>
          <w:numId w:val="2"/>
        </w:numPr>
        <w:tabs>
          <w:tab w:pos="678" w:val="left" w:leader="none"/>
          <w:tab w:pos="679" w:val="left" w:leader="none"/>
        </w:tabs>
        <w:spacing w:line="240" w:lineRule="auto" w:before="0" w:after="0"/>
        <w:ind w:left="678" w:right="0" w:hanging="428"/>
        <w:jc w:val="left"/>
        <w:rPr>
          <w:b/>
          <w:sz w:val="21"/>
        </w:rPr>
      </w:pPr>
      <w:hyperlink w:history="true" w:anchor="_bookmark41">
        <w:r>
          <w:rPr>
            <w:b/>
            <w:spacing w:val="-2"/>
            <w:sz w:val="21"/>
          </w:rPr>
          <w:t>其他需要关注的事项</w:t>
        </w:r>
      </w:hyperlink>
    </w:p>
    <w:p>
      <w:pPr>
        <w:pStyle w:val="ListParagraph"/>
        <w:numPr>
          <w:ilvl w:val="1"/>
          <w:numId w:val="2"/>
        </w:numPr>
        <w:tabs>
          <w:tab w:pos="850" w:val="left" w:leader="none"/>
        </w:tabs>
        <w:spacing w:line="240" w:lineRule="auto" w:before="43" w:after="0"/>
        <w:ind w:left="849" w:right="0" w:hanging="421"/>
        <w:jc w:val="left"/>
        <w:rPr>
          <w:sz w:val="21"/>
        </w:rPr>
      </w:pPr>
      <w:hyperlink w:history="true" w:anchor="_bookmark42">
        <w:r>
          <w:rPr>
            <w:spacing w:val="-4"/>
            <w:sz w:val="21"/>
          </w:rPr>
          <w:t>年龄性别错误</w:t>
        </w:r>
      </w:hyperlink>
    </w:p>
    <w:p>
      <w:pPr>
        <w:pStyle w:val="ListParagraph"/>
        <w:numPr>
          <w:ilvl w:val="1"/>
          <w:numId w:val="2"/>
        </w:numPr>
        <w:tabs>
          <w:tab w:pos="850" w:val="left" w:leader="none"/>
        </w:tabs>
        <w:spacing w:line="240" w:lineRule="auto" w:before="43" w:after="0"/>
        <w:ind w:left="849" w:right="0" w:hanging="421"/>
        <w:jc w:val="left"/>
        <w:rPr>
          <w:sz w:val="21"/>
        </w:rPr>
      </w:pPr>
      <w:hyperlink w:history="true" w:anchor="_bookmark43">
        <w:r>
          <w:rPr>
            <w:spacing w:val="-4"/>
            <w:sz w:val="21"/>
          </w:rPr>
          <w:t>合同内容变更</w:t>
        </w:r>
      </w:hyperlink>
    </w:p>
    <w:p>
      <w:pPr>
        <w:pStyle w:val="ListParagraph"/>
        <w:numPr>
          <w:ilvl w:val="1"/>
          <w:numId w:val="2"/>
        </w:numPr>
        <w:tabs>
          <w:tab w:pos="850" w:val="left" w:leader="none"/>
        </w:tabs>
        <w:spacing w:line="240" w:lineRule="auto" w:before="43" w:after="0"/>
        <w:ind w:left="849" w:right="0" w:hanging="421"/>
        <w:jc w:val="left"/>
        <w:rPr>
          <w:sz w:val="21"/>
        </w:rPr>
      </w:pPr>
      <w:hyperlink w:history="true" w:anchor="_bookmark44">
        <w:r>
          <w:rPr>
            <w:spacing w:val="-3"/>
            <w:sz w:val="21"/>
          </w:rPr>
          <w:t>基本保险金额的变更</w:t>
        </w:r>
      </w:hyperlink>
    </w:p>
    <w:p>
      <w:pPr>
        <w:spacing w:after="0" w:line="240" w:lineRule="auto"/>
        <w:jc w:val="left"/>
        <w:rPr>
          <w:sz w:val="21"/>
        </w:rPr>
        <w:sectPr>
          <w:type w:val="continuous"/>
          <w:pgSz w:w="11910" w:h="16840"/>
          <w:pgMar w:top="480" w:bottom="280" w:left="1280" w:right="420"/>
          <w:cols w:num="3" w:equalWidth="0">
            <w:col w:w="3135" w:space="40"/>
            <w:col w:w="2170" w:space="728"/>
            <w:col w:w="4137"/>
          </w:cols>
        </w:sectPr>
      </w:pPr>
    </w:p>
    <w:p>
      <w:pPr>
        <w:pStyle w:val="ListParagraph"/>
        <w:numPr>
          <w:ilvl w:val="1"/>
          <w:numId w:val="2"/>
        </w:numPr>
        <w:tabs>
          <w:tab w:pos="737" w:val="left" w:leader="none"/>
        </w:tabs>
        <w:spacing w:line="240" w:lineRule="auto" w:before="64" w:after="0"/>
        <w:ind w:left="736" w:right="0" w:hanging="421"/>
        <w:jc w:val="left"/>
        <w:rPr>
          <w:sz w:val="21"/>
        </w:rPr>
      </w:pPr>
      <w:hyperlink w:history="true" w:anchor="_bookmark45">
        <w:r>
          <w:rPr>
            <w:spacing w:val="-4"/>
            <w:sz w:val="21"/>
          </w:rPr>
          <w:t>通讯方式变更</w:t>
        </w:r>
      </w:hyperlink>
    </w:p>
    <w:p>
      <w:pPr>
        <w:pStyle w:val="ListParagraph"/>
        <w:numPr>
          <w:ilvl w:val="1"/>
          <w:numId w:val="2"/>
        </w:numPr>
        <w:tabs>
          <w:tab w:pos="737" w:val="left" w:leader="none"/>
        </w:tabs>
        <w:spacing w:line="240" w:lineRule="auto" w:before="43" w:after="0"/>
        <w:ind w:left="736" w:right="0" w:hanging="421"/>
        <w:jc w:val="left"/>
        <w:rPr>
          <w:sz w:val="21"/>
        </w:rPr>
      </w:pPr>
      <w:hyperlink w:history="true" w:anchor="_bookmark46">
        <w:r>
          <w:rPr>
            <w:spacing w:val="-4"/>
            <w:sz w:val="21"/>
          </w:rPr>
          <w:t>保险事故鉴定</w:t>
        </w:r>
      </w:hyperlink>
    </w:p>
    <w:p>
      <w:pPr>
        <w:pStyle w:val="ListParagraph"/>
        <w:numPr>
          <w:ilvl w:val="1"/>
          <w:numId w:val="2"/>
        </w:numPr>
        <w:tabs>
          <w:tab w:pos="737" w:val="left" w:leader="none"/>
        </w:tabs>
        <w:spacing w:line="240" w:lineRule="auto" w:before="43" w:after="0"/>
        <w:ind w:left="736" w:right="0" w:hanging="421"/>
        <w:jc w:val="left"/>
        <w:rPr>
          <w:sz w:val="21"/>
        </w:rPr>
      </w:pPr>
      <w:hyperlink w:history="true" w:anchor="_bookmark47">
        <w:r>
          <w:rPr>
            <w:spacing w:val="-4"/>
            <w:sz w:val="21"/>
          </w:rPr>
          <w:t>争议处理</w:t>
        </w:r>
      </w:hyperlink>
    </w:p>
    <w:p>
      <w:pPr>
        <w:pStyle w:val="BodyText"/>
        <w:rPr>
          <w:sz w:val="15"/>
        </w:rPr>
      </w:pPr>
    </w:p>
    <w:p>
      <w:pPr>
        <w:pStyle w:val="ListParagraph"/>
        <w:numPr>
          <w:ilvl w:val="0"/>
          <w:numId w:val="2"/>
        </w:numPr>
        <w:tabs>
          <w:tab w:pos="565" w:val="left" w:leader="none"/>
          <w:tab w:pos="567" w:val="left" w:leader="none"/>
        </w:tabs>
        <w:spacing w:line="240" w:lineRule="auto" w:before="0" w:after="0"/>
        <w:ind w:left="566" w:right="0" w:hanging="429"/>
        <w:jc w:val="left"/>
        <w:rPr>
          <w:b/>
          <w:sz w:val="21"/>
        </w:rPr>
      </w:pPr>
      <w:hyperlink w:history="true" w:anchor="_bookmark48">
        <w:r>
          <w:rPr>
            <w:b/>
            <w:spacing w:val="-5"/>
            <w:sz w:val="21"/>
          </w:rPr>
          <w:t>释义</w:t>
        </w:r>
      </w:hyperlink>
    </w:p>
    <w:p>
      <w:pPr>
        <w:pStyle w:val="ListParagraph"/>
        <w:numPr>
          <w:ilvl w:val="1"/>
          <w:numId w:val="2"/>
        </w:numPr>
        <w:tabs>
          <w:tab w:pos="737" w:val="left" w:leader="none"/>
        </w:tabs>
        <w:spacing w:line="240" w:lineRule="auto" w:before="43" w:after="0"/>
        <w:ind w:left="736" w:right="0" w:hanging="421"/>
        <w:jc w:val="left"/>
        <w:rPr>
          <w:sz w:val="21"/>
        </w:rPr>
      </w:pPr>
      <w:hyperlink w:history="true" w:anchor="_bookmark49">
        <w:r>
          <w:rPr>
            <w:spacing w:val="-4"/>
            <w:sz w:val="21"/>
          </w:rPr>
          <w:t>投保年龄</w:t>
        </w:r>
      </w:hyperlink>
    </w:p>
    <w:p>
      <w:pPr>
        <w:pStyle w:val="ListParagraph"/>
        <w:numPr>
          <w:ilvl w:val="1"/>
          <w:numId w:val="2"/>
        </w:numPr>
        <w:tabs>
          <w:tab w:pos="737" w:val="left" w:leader="none"/>
        </w:tabs>
        <w:spacing w:line="240" w:lineRule="auto" w:before="43" w:after="0"/>
        <w:ind w:left="736" w:right="0" w:hanging="421"/>
        <w:jc w:val="left"/>
        <w:rPr>
          <w:sz w:val="21"/>
        </w:rPr>
      </w:pPr>
      <w:hyperlink w:history="true" w:anchor="_bookmark50">
        <w:r>
          <w:rPr>
            <w:spacing w:val="-5"/>
            <w:sz w:val="21"/>
          </w:rPr>
          <w:t>周岁</w:t>
        </w:r>
      </w:hyperlink>
    </w:p>
    <w:p>
      <w:pPr>
        <w:pStyle w:val="ListParagraph"/>
        <w:numPr>
          <w:ilvl w:val="1"/>
          <w:numId w:val="2"/>
        </w:numPr>
        <w:tabs>
          <w:tab w:pos="737" w:val="left" w:leader="none"/>
        </w:tabs>
        <w:spacing w:line="240" w:lineRule="auto" w:before="43" w:after="0"/>
        <w:ind w:left="736" w:right="0" w:hanging="421"/>
        <w:jc w:val="left"/>
        <w:rPr>
          <w:sz w:val="21"/>
        </w:rPr>
      </w:pPr>
      <w:hyperlink w:history="true" w:anchor="_bookmark51">
        <w:r>
          <w:rPr>
            <w:spacing w:val="-4"/>
            <w:sz w:val="21"/>
          </w:rPr>
          <w:t>保单周年日</w:t>
        </w:r>
      </w:hyperlink>
    </w:p>
    <w:p>
      <w:pPr>
        <w:pStyle w:val="ListParagraph"/>
        <w:numPr>
          <w:ilvl w:val="1"/>
          <w:numId w:val="2"/>
        </w:numPr>
        <w:tabs>
          <w:tab w:pos="737" w:val="left" w:leader="none"/>
        </w:tabs>
        <w:spacing w:line="240" w:lineRule="auto" w:before="43" w:after="0"/>
        <w:ind w:left="736" w:right="0" w:hanging="421"/>
        <w:jc w:val="left"/>
        <w:rPr>
          <w:sz w:val="21"/>
        </w:rPr>
      </w:pPr>
      <w:hyperlink w:history="true" w:anchor="_bookmark52">
        <w:r>
          <w:rPr>
            <w:spacing w:val="-4"/>
            <w:sz w:val="21"/>
          </w:rPr>
          <w:t>保单年度</w:t>
        </w:r>
      </w:hyperlink>
    </w:p>
    <w:p>
      <w:pPr>
        <w:pStyle w:val="ListParagraph"/>
        <w:numPr>
          <w:ilvl w:val="1"/>
          <w:numId w:val="2"/>
        </w:numPr>
        <w:tabs>
          <w:tab w:pos="737" w:val="left" w:leader="none"/>
        </w:tabs>
        <w:spacing w:line="240" w:lineRule="auto" w:before="43" w:after="0"/>
        <w:ind w:left="736" w:right="0" w:hanging="421"/>
        <w:jc w:val="left"/>
        <w:rPr>
          <w:sz w:val="21"/>
        </w:rPr>
      </w:pPr>
      <w:hyperlink w:history="true" w:anchor="_bookmark53">
        <w:r>
          <w:rPr>
            <w:spacing w:val="-5"/>
            <w:sz w:val="21"/>
          </w:rPr>
          <w:t>全残</w:t>
        </w:r>
      </w:hyperlink>
    </w:p>
    <w:p>
      <w:pPr>
        <w:pStyle w:val="ListParagraph"/>
        <w:numPr>
          <w:ilvl w:val="1"/>
          <w:numId w:val="2"/>
        </w:numPr>
        <w:tabs>
          <w:tab w:pos="737" w:val="left" w:leader="none"/>
        </w:tabs>
        <w:spacing w:line="240" w:lineRule="auto" w:before="43" w:after="0"/>
        <w:ind w:left="736" w:right="0" w:hanging="421"/>
        <w:jc w:val="left"/>
        <w:rPr>
          <w:sz w:val="21"/>
        </w:rPr>
      </w:pPr>
      <w:hyperlink w:history="true" w:anchor="_bookmark54">
        <w:r>
          <w:rPr>
            <w:spacing w:val="-4"/>
            <w:sz w:val="21"/>
          </w:rPr>
          <w:t>重大疾病</w:t>
        </w:r>
      </w:hyperlink>
    </w:p>
    <w:p>
      <w:pPr>
        <w:pStyle w:val="ListParagraph"/>
        <w:numPr>
          <w:ilvl w:val="1"/>
          <w:numId w:val="2"/>
        </w:numPr>
        <w:tabs>
          <w:tab w:pos="737" w:val="left" w:leader="none"/>
        </w:tabs>
        <w:spacing w:line="240" w:lineRule="auto" w:before="43" w:after="0"/>
        <w:ind w:left="736" w:right="0" w:hanging="421"/>
        <w:jc w:val="left"/>
        <w:rPr>
          <w:sz w:val="21"/>
        </w:rPr>
      </w:pPr>
      <w:hyperlink w:history="true" w:anchor="_bookmark55">
        <w:r>
          <w:rPr>
            <w:spacing w:val="-4"/>
            <w:sz w:val="21"/>
          </w:rPr>
          <w:t>轻症疾病</w:t>
        </w:r>
      </w:hyperlink>
    </w:p>
    <w:p>
      <w:pPr>
        <w:pStyle w:val="ListParagraph"/>
        <w:numPr>
          <w:ilvl w:val="1"/>
          <w:numId w:val="2"/>
        </w:numPr>
        <w:tabs>
          <w:tab w:pos="737" w:val="left" w:leader="none"/>
        </w:tabs>
        <w:spacing w:line="240" w:lineRule="auto" w:before="43" w:after="0"/>
        <w:ind w:left="736" w:right="0" w:hanging="421"/>
        <w:jc w:val="left"/>
        <w:rPr>
          <w:sz w:val="21"/>
        </w:rPr>
      </w:pPr>
      <w:hyperlink w:history="true" w:anchor="_bookmark56">
        <w:r>
          <w:rPr>
            <w:spacing w:val="-4"/>
            <w:sz w:val="21"/>
          </w:rPr>
          <w:t>意外伤害</w:t>
        </w:r>
      </w:hyperlink>
    </w:p>
    <w:p>
      <w:pPr>
        <w:pStyle w:val="ListParagraph"/>
        <w:numPr>
          <w:ilvl w:val="1"/>
          <w:numId w:val="2"/>
        </w:numPr>
        <w:tabs>
          <w:tab w:pos="737" w:val="left" w:leader="none"/>
        </w:tabs>
        <w:spacing w:line="240" w:lineRule="auto" w:before="43" w:after="0"/>
        <w:ind w:left="736" w:right="0" w:hanging="421"/>
        <w:jc w:val="left"/>
        <w:rPr>
          <w:sz w:val="21"/>
        </w:rPr>
      </w:pPr>
      <w:hyperlink w:history="true" w:anchor="_bookmark57">
        <w:r>
          <w:rPr>
            <w:spacing w:val="-4"/>
            <w:sz w:val="21"/>
          </w:rPr>
          <w:t>指定或认可的医院</w:t>
        </w:r>
      </w:hyperlink>
    </w:p>
    <w:p>
      <w:pPr>
        <w:pStyle w:val="ListParagraph"/>
        <w:numPr>
          <w:ilvl w:val="1"/>
          <w:numId w:val="2"/>
        </w:numPr>
        <w:tabs>
          <w:tab w:pos="859" w:val="left" w:leader="none"/>
        </w:tabs>
        <w:spacing w:line="240" w:lineRule="auto" w:before="43" w:after="0"/>
        <w:ind w:left="858" w:right="0" w:hanging="543"/>
        <w:jc w:val="left"/>
        <w:rPr>
          <w:sz w:val="21"/>
        </w:rPr>
      </w:pPr>
      <w:hyperlink w:history="true" w:anchor="_bookmark58">
        <w:r>
          <w:rPr>
            <w:spacing w:val="-4"/>
            <w:sz w:val="21"/>
          </w:rPr>
          <w:t>专科医生</w:t>
        </w:r>
      </w:hyperlink>
    </w:p>
    <w:p>
      <w:pPr>
        <w:pStyle w:val="ListParagraph"/>
        <w:numPr>
          <w:ilvl w:val="1"/>
          <w:numId w:val="2"/>
        </w:numPr>
        <w:tabs>
          <w:tab w:pos="859" w:val="left" w:leader="none"/>
        </w:tabs>
        <w:spacing w:line="240" w:lineRule="auto" w:before="43" w:after="0"/>
        <w:ind w:left="858" w:right="0" w:hanging="543"/>
        <w:jc w:val="left"/>
        <w:rPr>
          <w:sz w:val="21"/>
        </w:rPr>
      </w:pPr>
      <w:hyperlink w:history="true" w:anchor="_bookmark59">
        <w:r>
          <w:rPr>
            <w:spacing w:val="-4"/>
            <w:sz w:val="21"/>
          </w:rPr>
          <w:t>少儿特定疾病</w:t>
        </w:r>
      </w:hyperlink>
    </w:p>
    <w:p>
      <w:pPr>
        <w:pStyle w:val="ListParagraph"/>
        <w:numPr>
          <w:ilvl w:val="1"/>
          <w:numId w:val="2"/>
        </w:numPr>
        <w:tabs>
          <w:tab w:pos="859" w:val="left" w:leader="none"/>
        </w:tabs>
        <w:spacing w:line="240" w:lineRule="auto" w:before="43" w:after="0"/>
        <w:ind w:left="858" w:right="0" w:hanging="543"/>
        <w:jc w:val="left"/>
        <w:rPr>
          <w:sz w:val="21"/>
        </w:rPr>
      </w:pPr>
      <w:hyperlink w:history="true" w:anchor="_bookmark60">
        <w:r>
          <w:rPr>
            <w:spacing w:val="-4"/>
            <w:sz w:val="21"/>
          </w:rPr>
          <w:t>男性特定疾病</w:t>
        </w:r>
      </w:hyperlink>
    </w:p>
    <w:p>
      <w:pPr>
        <w:pStyle w:val="ListParagraph"/>
        <w:numPr>
          <w:ilvl w:val="1"/>
          <w:numId w:val="2"/>
        </w:numPr>
        <w:tabs>
          <w:tab w:pos="975" w:val="left" w:leader="none"/>
        </w:tabs>
        <w:spacing w:line="240" w:lineRule="auto" w:before="64" w:after="0"/>
        <w:ind w:left="974" w:right="0" w:hanging="544"/>
        <w:jc w:val="left"/>
        <w:rPr>
          <w:sz w:val="21"/>
        </w:rPr>
      </w:pPr>
      <w:hyperlink w:history="true" w:anchor="_bookmark61">
        <w:r>
          <w:rPr>
            <w:sz w:val="21"/>
          </w:rPr>
          <w:br w:type="column"/>
        </w:r>
        <w:r>
          <w:rPr>
            <w:spacing w:val="-4"/>
            <w:sz w:val="21"/>
          </w:rPr>
          <w:t>女性特定疾病</w:t>
        </w:r>
      </w:hyperlink>
    </w:p>
    <w:p>
      <w:pPr>
        <w:pStyle w:val="ListParagraph"/>
        <w:numPr>
          <w:ilvl w:val="1"/>
          <w:numId w:val="2"/>
        </w:numPr>
        <w:tabs>
          <w:tab w:pos="975" w:val="left" w:leader="none"/>
        </w:tabs>
        <w:spacing w:line="240" w:lineRule="auto" w:before="43" w:after="0"/>
        <w:ind w:left="974" w:right="0" w:hanging="544"/>
        <w:jc w:val="left"/>
        <w:rPr>
          <w:sz w:val="21"/>
        </w:rPr>
      </w:pPr>
      <w:r>
        <w:rPr/>
        <w:drawing>
          <wp:anchor distT="0" distB="0" distL="0" distR="0" allowOverlap="1" layoutInCell="1" locked="0" behindDoc="0" simplePos="0" relativeHeight="15729664">
            <wp:simplePos x="0" y="0"/>
            <wp:positionH relativeFrom="page">
              <wp:posOffset>2792602</wp:posOffset>
            </wp:positionH>
            <wp:positionV relativeFrom="paragraph">
              <wp:posOffset>-185547</wp:posOffset>
            </wp:positionV>
            <wp:extent cx="10668" cy="3269615"/>
            <wp:effectExtent l="0" t="0" r="0" b="0"/>
            <wp:wrapNone/>
            <wp:docPr id="7" name="image4.png"/>
            <wp:cNvGraphicFramePr>
              <a:graphicFrameLocks noChangeAspect="1"/>
            </wp:cNvGraphicFramePr>
            <a:graphic>
              <a:graphicData uri="http://schemas.openxmlformats.org/drawingml/2006/picture">
                <pic:pic>
                  <pic:nvPicPr>
                    <pic:cNvPr id="8" name="image4.png"/>
                    <pic:cNvPicPr/>
                  </pic:nvPicPr>
                  <pic:blipFill>
                    <a:blip r:embed="rId8" cstate="print"/>
                    <a:stretch>
                      <a:fillRect/>
                    </a:stretch>
                  </pic:blipFill>
                  <pic:spPr>
                    <a:xfrm>
                      <a:off x="0" y="0"/>
                      <a:ext cx="10668" cy="3269615"/>
                    </a:xfrm>
                    <a:prstGeom prst="rect">
                      <a:avLst/>
                    </a:prstGeom>
                  </pic:spPr>
                </pic:pic>
              </a:graphicData>
            </a:graphic>
          </wp:anchor>
        </w:drawing>
      </w:r>
      <w:r>
        <w:rPr/>
        <w:drawing>
          <wp:anchor distT="0" distB="0" distL="0" distR="0" allowOverlap="1" layoutInCell="1" locked="0" behindDoc="0" simplePos="0" relativeHeight="15730176">
            <wp:simplePos x="0" y="0"/>
            <wp:positionH relativeFrom="page">
              <wp:posOffset>4757292</wp:posOffset>
            </wp:positionH>
            <wp:positionV relativeFrom="paragraph">
              <wp:posOffset>-185547</wp:posOffset>
            </wp:positionV>
            <wp:extent cx="9144" cy="3269615"/>
            <wp:effectExtent l="0" t="0" r="0" b="0"/>
            <wp:wrapNone/>
            <wp:docPr id="9" name="image5.png"/>
            <wp:cNvGraphicFramePr>
              <a:graphicFrameLocks noChangeAspect="1"/>
            </wp:cNvGraphicFramePr>
            <a:graphic>
              <a:graphicData uri="http://schemas.openxmlformats.org/drawingml/2006/picture">
                <pic:pic>
                  <pic:nvPicPr>
                    <pic:cNvPr id="10" name="image5.png"/>
                    <pic:cNvPicPr/>
                  </pic:nvPicPr>
                  <pic:blipFill>
                    <a:blip r:embed="rId9" cstate="print"/>
                    <a:stretch>
                      <a:fillRect/>
                    </a:stretch>
                  </pic:blipFill>
                  <pic:spPr>
                    <a:xfrm>
                      <a:off x="0" y="0"/>
                      <a:ext cx="9144" cy="3269615"/>
                    </a:xfrm>
                    <a:prstGeom prst="rect">
                      <a:avLst/>
                    </a:prstGeom>
                  </pic:spPr>
                </pic:pic>
              </a:graphicData>
            </a:graphic>
          </wp:anchor>
        </w:drawing>
      </w:r>
      <w:hyperlink w:history="true" w:anchor="_bookmark62">
        <w:r>
          <w:rPr>
            <w:spacing w:val="-5"/>
            <w:sz w:val="21"/>
          </w:rPr>
          <w:t>毒品</w:t>
        </w:r>
      </w:hyperlink>
    </w:p>
    <w:p>
      <w:pPr>
        <w:pStyle w:val="ListParagraph"/>
        <w:numPr>
          <w:ilvl w:val="1"/>
          <w:numId w:val="2"/>
        </w:numPr>
        <w:tabs>
          <w:tab w:pos="975" w:val="left" w:leader="none"/>
        </w:tabs>
        <w:spacing w:line="240" w:lineRule="auto" w:before="43" w:after="0"/>
        <w:ind w:left="974" w:right="0" w:hanging="544"/>
        <w:jc w:val="left"/>
        <w:rPr>
          <w:sz w:val="21"/>
        </w:rPr>
      </w:pPr>
      <w:hyperlink w:history="true" w:anchor="_bookmark63">
        <w:r>
          <w:rPr>
            <w:spacing w:val="-4"/>
            <w:sz w:val="21"/>
          </w:rPr>
          <w:t>酒后驾驶</w:t>
        </w:r>
      </w:hyperlink>
    </w:p>
    <w:p>
      <w:pPr>
        <w:pStyle w:val="ListParagraph"/>
        <w:numPr>
          <w:ilvl w:val="1"/>
          <w:numId w:val="2"/>
        </w:numPr>
        <w:tabs>
          <w:tab w:pos="975" w:val="left" w:leader="none"/>
        </w:tabs>
        <w:spacing w:line="240" w:lineRule="auto" w:before="43" w:after="0"/>
        <w:ind w:left="974" w:right="0" w:hanging="544"/>
        <w:jc w:val="left"/>
        <w:rPr>
          <w:sz w:val="21"/>
        </w:rPr>
      </w:pPr>
      <w:hyperlink w:history="true" w:anchor="_bookmark64">
        <w:r>
          <w:rPr>
            <w:spacing w:val="-3"/>
            <w:sz w:val="21"/>
          </w:rPr>
          <w:t>无合法有效驾驶证驾驶</w:t>
        </w:r>
      </w:hyperlink>
    </w:p>
    <w:p>
      <w:pPr>
        <w:pStyle w:val="ListParagraph"/>
        <w:numPr>
          <w:ilvl w:val="1"/>
          <w:numId w:val="2"/>
        </w:numPr>
        <w:tabs>
          <w:tab w:pos="975" w:val="left" w:leader="none"/>
        </w:tabs>
        <w:spacing w:line="240" w:lineRule="auto" w:before="43" w:after="0"/>
        <w:ind w:left="974" w:right="0" w:hanging="544"/>
        <w:jc w:val="left"/>
        <w:rPr>
          <w:sz w:val="21"/>
        </w:rPr>
      </w:pPr>
      <w:hyperlink w:history="true" w:anchor="_bookmark65">
        <w:r>
          <w:rPr>
            <w:spacing w:val="-4"/>
            <w:sz w:val="21"/>
          </w:rPr>
          <w:t>无合法有效行驶证</w:t>
        </w:r>
      </w:hyperlink>
    </w:p>
    <w:p>
      <w:pPr>
        <w:pStyle w:val="ListParagraph"/>
        <w:numPr>
          <w:ilvl w:val="1"/>
          <w:numId w:val="2"/>
        </w:numPr>
        <w:tabs>
          <w:tab w:pos="975" w:val="left" w:leader="none"/>
        </w:tabs>
        <w:spacing w:line="278" w:lineRule="auto" w:before="43" w:after="0"/>
        <w:ind w:left="851" w:right="148" w:hanging="420"/>
        <w:jc w:val="left"/>
        <w:rPr>
          <w:sz w:val="21"/>
        </w:rPr>
      </w:pPr>
      <w:hyperlink w:history="true" w:anchor="_bookmark66">
        <w:r>
          <w:rPr>
            <w:spacing w:val="-2"/>
            <w:sz w:val="21"/>
          </w:rPr>
          <w:t>感染艾滋病病毒或患艾</w:t>
        </w:r>
      </w:hyperlink>
      <w:hyperlink w:history="true" w:anchor="_bookmark66">
        <w:r>
          <w:rPr>
            <w:spacing w:val="-6"/>
            <w:sz w:val="21"/>
          </w:rPr>
          <w:t>滋病</w:t>
        </w:r>
      </w:hyperlink>
    </w:p>
    <w:p>
      <w:pPr>
        <w:pStyle w:val="ListParagraph"/>
        <w:numPr>
          <w:ilvl w:val="1"/>
          <w:numId w:val="2"/>
        </w:numPr>
        <w:tabs>
          <w:tab w:pos="975" w:val="left" w:leader="none"/>
        </w:tabs>
        <w:spacing w:line="269" w:lineRule="exact" w:before="0" w:after="0"/>
        <w:ind w:left="974" w:right="0" w:hanging="544"/>
        <w:jc w:val="left"/>
        <w:rPr>
          <w:sz w:val="21"/>
        </w:rPr>
      </w:pPr>
      <w:hyperlink w:history="true" w:anchor="_bookmark67">
        <w:r>
          <w:rPr>
            <w:spacing w:val="-4"/>
            <w:sz w:val="21"/>
          </w:rPr>
          <w:t>遗传性疾病</w:t>
        </w:r>
      </w:hyperlink>
    </w:p>
    <w:p>
      <w:pPr>
        <w:pStyle w:val="ListParagraph"/>
        <w:numPr>
          <w:ilvl w:val="1"/>
          <w:numId w:val="2"/>
        </w:numPr>
        <w:tabs>
          <w:tab w:pos="975" w:val="left" w:leader="none"/>
        </w:tabs>
        <w:spacing w:line="278" w:lineRule="auto" w:before="43" w:after="0"/>
        <w:ind w:left="851" w:right="148" w:hanging="420"/>
        <w:jc w:val="left"/>
        <w:rPr>
          <w:sz w:val="21"/>
        </w:rPr>
      </w:pPr>
      <w:hyperlink w:history="true" w:anchor="_bookmark68">
        <w:r>
          <w:rPr>
            <w:spacing w:val="-2"/>
            <w:sz w:val="21"/>
          </w:rPr>
          <w:t>先天性畸形、变形或染</w:t>
        </w:r>
      </w:hyperlink>
      <w:hyperlink w:history="true" w:anchor="_bookmark68">
        <w:r>
          <w:rPr>
            <w:spacing w:val="-4"/>
            <w:sz w:val="21"/>
          </w:rPr>
          <w:t>色体异常</w:t>
        </w:r>
      </w:hyperlink>
    </w:p>
    <w:p>
      <w:pPr>
        <w:pStyle w:val="ListParagraph"/>
        <w:numPr>
          <w:ilvl w:val="1"/>
          <w:numId w:val="2"/>
        </w:numPr>
        <w:tabs>
          <w:tab w:pos="975" w:val="left" w:leader="none"/>
        </w:tabs>
        <w:spacing w:line="269" w:lineRule="exact" w:before="0" w:after="0"/>
        <w:ind w:left="974" w:right="0" w:hanging="544"/>
        <w:jc w:val="left"/>
        <w:rPr>
          <w:sz w:val="21"/>
        </w:rPr>
      </w:pPr>
      <w:hyperlink w:history="true" w:anchor="_bookmark69">
        <w:r>
          <w:rPr>
            <w:spacing w:val="-4"/>
            <w:sz w:val="21"/>
          </w:rPr>
          <w:t>现金价值</w:t>
        </w:r>
      </w:hyperlink>
    </w:p>
    <w:p>
      <w:pPr>
        <w:pStyle w:val="ListParagraph"/>
        <w:numPr>
          <w:ilvl w:val="1"/>
          <w:numId w:val="2"/>
        </w:numPr>
        <w:tabs>
          <w:tab w:pos="975" w:val="left" w:leader="none"/>
        </w:tabs>
        <w:spacing w:line="240" w:lineRule="auto" w:before="43" w:after="0"/>
        <w:ind w:left="974" w:right="0" w:hanging="544"/>
        <w:jc w:val="left"/>
        <w:rPr>
          <w:sz w:val="21"/>
        </w:rPr>
      </w:pPr>
      <w:hyperlink w:history="true" w:anchor="_bookmark70">
        <w:r>
          <w:rPr>
            <w:spacing w:val="-4"/>
            <w:sz w:val="21"/>
          </w:rPr>
          <w:t>有效身份证件</w:t>
        </w:r>
      </w:hyperlink>
    </w:p>
    <w:p>
      <w:pPr>
        <w:pStyle w:val="ListParagraph"/>
        <w:numPr>
          <w:ilvl w:val="1"/>
          <w:numId w:val="2"/>
        </w:numPr>
        <w:tabs>
          <w:tab w:pos="975" w:val="left" w:leader="none"/>
        </w:tabs>
        <w:spacing w:line="278" w:lineRule="auto" w:before="43" w:after="0"/>
        <w:ind w:left="851" w:right="148" w:hanging="420"/>
        <w:jc w:val="left"/>
        <w:rPr>
          <w:sz w:val="21"/>
        </w:rPr>
      </w:pPr>
      <w:hyperlink w:history="true" w:anchor="_bookmark71">
        <w:r>
          <w:rPr>
            <w:spacing w:val="-2"/>
            <w:sz w:val="21"/>
          </w:rPr>
          <w:t>人身保险伤残评定标准</w:t>
        </w:r>
      </w:hyperlink>
      <w:hyperlink w:history="true" w:anchor="_bookmark71">
        <w:r>
          <w:rPr>
            <w:spacing w:val="-4"/>
            <w:sz w:val="21"/>
          </w:rPr>
          <w:t>及代码</w:t>
        </w:r>
      </w:hyperlink>
    </w:p>
    <w:p>
      <w:pPr>
        <w:pStyle w:val="ListParagraph"/>
        <w:numPr>
          <w:ilvl w:val="1"/>
          <w:numId w:val="2"/>
        </w:numPr>
        <w:tabs>
          <w:tab w:pos="975" w:val="left" w:leader="none"/>
        </w:tabs>
        <w:spacing w:line="240" w:lineRule="auto" w:before="0" w:after="0"/>
        <w:ind w:left="974" w:right="0" w:hanging="544"/>
        <w:jc w:val="left"/>
        <w:rPr>
          <w:sz w:val="21"/>
        </w:rPr>
      </w:pPr>
      <w:hyperlink w:history="true" w:anchor="_bookmark72">
        <w:r>
          <w:rPr>
            <w:spacing w:val="-5"/>
            <w:sz w:val="21"/>
          </w:rPr>
          <w:t>利息</w:t>
        </w:r>
      </w:hyperlink>
    </w:p>
    <w:p>
      <w:pPr>
        <w:pStyle w:val="ListParagraph"/>
        <w:numPr>
          <w:ilvl w:val="1"/>
          <w:numId w:val="2"/>
        </w:numPr>
        <w:tabs>
          <w:tab w:pos="975" w:val="left" w:leader="none"/>
        </w:tabs>
        <w:spacing w:line="240" w:lineRule="auto" w:before="43" w:after="0"/>
        <w:ind w:left="974" w:right="0" w:hanging="544"/>
        <w:jc w:val="left"/>
        <w:rPr>
          <w:sz w:val="21"/>
        </w:rPr>
      </w:pPr>
      <w:hyperlink w:history="true" w:anchor="_bookmark73">
        <w:r>
          <w:rPr>
            <w:spacing w:val="-4"/>
            <w:sz w:val="21"/>
          </w:rPr>
          <w:t>借款利率</w:t>
        </w:r>
      </w:hyperlink>
    </w:p>
    <w:p>
      <w:pPr>
        <w:pStyle w:val="ListParagraph"/>
        <w:numPr>
          <w:ilvl w:val="1"/>
          <w:numId w:val="2"/>
        </w:numPr>
        <w:tabs>
          <w:tab w:pos="682" w:val="left" w:leader="none"/>
        </w:tabs>
        <w:spacing w:line="240" w:lineRule="auto" w:before="64" w:after="0"/>
        <w:ind w:left="681" w:right="0" w:hanging="544"/>
        <w:jc w:val="left"/>
        <w:rPr>
          <w:sz w:val="21"/>
        </w:rPr>
      </w:pPr>
      <w:hyperlink w:history="true" w:anchor="_bookmark74">
        <w:r>
          <w:rPr>
            <w:sz w:val="21"/>
          </w:rPr>
          <w:br w:type="column"/>
        </w:r>
        <w:r>
          <w:rPr>
            <w:spacing w:val="-4"/>
            <w:sz w:val="21"/>
          </w:rPr>
          <w:t>组织病理学检查</w:t>
        </w:r>
      </w:hyperlink>
    </w:p>
    <w:p>
      <w:pPr>
        <w:pStyle w:val="ListParagraph"/>
        <w:numPr>
          <w:ilvl w:val="1"/>
          <w:numId w:val="2"/>
        </w:numPr>
        <w:tabs>
          <w:tab w:pos="682" w:val="left" w:leader="none"/>
        </w:tabs>
        <w:spacing w:line="240" w:lineRule="auto" w:before="43" w:after="0"/>
        <w:ind w:left="681" w:right="0" w:hanging="544"/>
        <w:jc w:val="left"/>
        <w:rPr>
          <w:rFonts w:ascii="Times New Roman" w:eastAsia="Times New Roman"/>
          <w:sz w:val="21"/>
        </w:rPr>
      </w:pPr>
      <w:hyperlink w:history="true" w:anchor="_bookmark75">
        <w:r>
          <w:rPr>
            <w:rFonts w:ascii="Times New Roman" w:eastAsia="Times New Roman"/>
            <w:spacing w:val="-2"/>
            <w:sz w:val="21"/>
          </w:rPr>
          <w:t>ICD-10</w:t>
        </w:r>
        <w:r>
          <w:rPr>
            <w:rFonts w:ascii="Times New Roman" w:eastAsia="Times New Roman"/>
            <w:spacing w:val="4"/>
            <w:sz w:val="21"/>
          </w:rPr>
          <w:t> </w:t>
        </w:r>
        <w:r>
          <w:rPr>
            <w:spacing w:val="-25"/>
            <w:sz w:val="21"/>
          </w:rPr>
          <w:t>与 </w:t>
        </w:r>
        <w:r>
          <w:rPr>
            <w:rFonts w:ascii="Times New Roman" w:eastAsia="Times New Roman"/>
            <w:spacing w:val="-2"/>
            <w:sz w:val="21"/>
          </w:rPr>
          <w:t>ICD-O-</w:t>
        </w:r>
        <w:r>
          <w:rPr>
            <w:rFonts w:ascii="Times New Roman" w:eastAsia="Times New Roman"/>
            <w:spacing w:val="-10"/>
            <w:sz w:val="21"/>
          </w:rPr>
          <w:t>3</w:t>
        </w:r>
      </w:hyperlink>
    </w:p>
    <w:p>
      <w:pPr>
        <w:pStyle w:val="ListParagraph"/>
        <w:numPr>
          <w:ilvl w:val="1"/>
          <w:numId w:val="2"/>
        </w:numPr>
        <w:tabs>
          <w:tab w:pos="682" w:val="left" w:leader="none"/>
        </w:tabs>
        <w:spacing w:line="240" w:lineRule="auto" w:before="43" w:after="0"/>
        <w:ind w:left="681" w:right="0" w:hanging="544"/>
        <w:jc w:val="left"/>
        <w:rPr>
          <w:sz w:val="21"/>
        </w:rPr>
      </w:pPr>
      <w:hyperlink w:history="true" w:anchor="_bookmark76">
        <w:r>
          <w:rPr>
            <w:rFonts w:ascii="Times New Roman" w:eastAsia="Times New Roman"/>
            <w:sz w:val="21"/>
          </w:rPr>
          <w:t>TNM</w:t>
        </w:r>
        <w:r>
          <w:rPr>
            <w:rFonts w:ascii="Times New Roman" w:eastAsia="Times New Roman"/>
            <w:spacing w:val="-5"/>
            <w:sz w:val="21"/>
          </w:rPr>
          <w:t> </w:t>
        </w:r>
        <w:r>
          <w:rPr>
            <w:spacing w:val="-5"/>
            <w:sz w:val="21"/>
          </w:rPr>
          <w:t>分期</w:t>
        </w:r>
      </w:hyperlink>
    </w:p>
    <w:p>
      <w:pPr>
        <w:pStyle w:val="ListParagraph"/>
        <w:numPr>
          <w:ilvl w:val="1"/>
          <w:numId w:val="2"/>
        </w:numPr>
        <w:tabs>
          <w:tab w:pos="682" w:val="left" w:leader="none"/>
        </w:tabs>
        <w:spacing w:line="240" w:lineRule="auto" w:before="43" w:after="0"/>
        <w:ind w:left="681" w:right="0" w:hanging="544"/>
        <w:jc w:val="left"/>
        <w:rPr>
          <w:sz w:val="21"/>
        </w:rPr>
      </w:pPr>
      <w:hyperlink w:history="true" w:anchor="_bookmark77">
        <w:r>
          <w:rPr>
            <w:spacing w:val="-9"/>
            <w:sz w:val="21"/>
          </w:rPr>
          <w:t>甲状腺癌的 </w:t>
        </w:r>
        <w:r>
          <w:rPr>
            <w:rFonts w:ascii="Times New Roman" w:eastAsia="Times New Roman"/>
            <w:sz w:val="21"/>
          </w:rPr>
          <w:t>TNM</w:t>
        </w:r>
        <w:r>
          <w:rPr>
            <w:rFonts w:ascii="Times New Roman" w:eastAsia="Times New Roman"/>
            <w:spacing w:val="-11"/>
            <w:sz w:val="21"/>
          </w:rPr>
          <w:t> </w:t>
        </w:r>
        <w:r>
          <w:rPr>
            <w:spacing w:val="-5"/>
            <w:sz w:val="21"/>
          </w:rPr>
          <w:t>分期</w:t>
        </w:r>
      </w:hyperlink>
    </w:p>
    <w:p>
      <w:pPr>
        <w:pStyle w:val="ListParagraph"/>
        <w:numPr>
          <w:ilvl w:val="1"/>
          <w:numId w:val="2"/>
        </w:numPr>
        <w:tabs>
          <w:tab w:pos="682" w:val="left" w:leader="none"/>
        </w:tabs>
        <w:spacing w:line="240" w:lineRule="auto" w:before="43" w:after="0"/>
        <w:ind w:left="681" w:right="0" w:hanging="544"/>
        <w:jc w:val="left"/>
        <w:rPr>
          <w:sz w:val="21"/>
        </w:rPr>
      </w:pPr>
      <w:hyperlink w:history="true" w:anchor="_bookmark78">
        <w:r>
          <w:rPr>
            <w:spacing w:val="-5"/>
            <w:sz w:val="21"/>
          </w:rPr>
          <w:t>肢体</w:t>
        </w:r>
      </w:hyperlink>
    </w:p>
    <w:p>
      <w:pPr>
        <w:pStyle w:val="ListParagraph"/>
        <w:numPr>
          <w:ilvl w:val="1"/>
          <w:numId w:val="2"/>
        </w:numPr>
        <w:tabs>
          <w:tab w:pos="682" w:val="left" w:leader="none"/>
        </w:tabs>
        <w:spacing w:line="240" w:lineRule="auto" w:before="43" w:after="0"/>
        <w:ind w:left="681" w:right="0" w:hanging="544"/>
        <w:jc w:val="left"/>
        <w:rPr>
          <w:sz w:val="21"/>
        </w:rPr>
      </w:pPr>
      <w:hyperlink w:history="true" w:anchor="_bookmark79">
        <w:r>
          <w:rPr>
            <w:spacing w:val="-5"/>
            <w:sz w:val="21"/>
          </w:rPr>
          <w:t>肌力</w:t>
        </w:r>
      </w:hyperlink>
    </w:p>
    <w:p>
      <w:pPr>
        <w:pStyle w:val="ListParagraph"/>
        <w:numPr>
          <w:ilvl w:val="1"/>
          <w:numId w:val="2"/>
        </w:numPr>
        <w:tabs>
          <w:tab w:pos="682" w:val="left" w:leader="none"/>
        </w:tabs>
        <w:spacing w:line="278" w:lineRule="auto" w:before="43" w:after="0"/>
        <w:ind w:left="558" w:right="996" w:hanging="420"/>
        <w:jc w:val="left"/>
        <w:rPr>
          <w:sz w:val="21"/>
        </w:rPr>
      </w:pPr>
      <w:hyperlink w:history="true" w:anchor="_bookmark80">
        <w:r>
          <w:rPr>
            <w:spacing w:val="-2"/>
            <w:sz w:val="21"/>
          </w:rPr>
          <w:t>语言能力完全丧失或严</w:t>
        </w:r>
      </w:hyperlink>
      <w:hyperlink w:history="true" w:anchor="_bookmark80">
        <w:r>
          <w:rPr>
            <w:spacing w:val="-2"/>
            <w:sz w:val="21"/>
          </w:rPr>
          <w:t>重咀嚼吞咽功能障碍</w:t>
        </w:r>
      </w:hyperlink>
    </w:p>
    <w:p>
      <w:pPr>
        <w:pStyle w:val="ListParagraph"/>
        <w:numPr>
          <w:ilvl w:val="1"/>
          <w:numId w:val="2"/>
        </w:numPr>
        <w:tabs>
          <w:tab w:pos="682" w:val="left" w:leader="none"/>
        </w:tabs>
        <w:spacing w:line="269" w:lineRule="exact" w:before="0" w:after="0"/>
        <w:ind w:left="681" w:right="0" w:hanging="544"/>
        <w:jc w:val="left"/>
        <w:rPr>
          <w:sz w:val="21"/>
        </w:rPr>
      </w:pPr>
      <w:hyperlink w:history="true" w:anchor="_bookmark81">
        <w:r>
          <w:rPr>
            <w:spacing w:val="-3"/>
            <w:sz w:val="21"/>
          </w:rPr>
          <w:t>六项基本日常生活活动</w:t>
        </w:r>
      </w:hyperlink>
    </w:p>
    <w:p>
      <w:pPr>
        <w:pStyle w:val="ListParagraph"/>
        <w:numPr>
          <w:ilvl w:val="1"/>
          <w:numId w:val="2"/>
        </w:numPr>
        <w:tabs>
          <w:tab w:pos="682" w:val="left" w:leader="none"/>
        </w:tabs>
        <w:spacing w:line="240" w:lineRule="auto" w:before="43" w:after="0"/>
        <w:ind w:left="681" w:right="0" w:hanging="544"/>
        <w:jc w:val="left"/>
        <w:rPr>
          <w:sz w:val="21"/>
        </w:rPr>
      </w:pPr>
      <w:hyperlink w:history="true" w:anchor="_bookmark82">
        <w:r>
          <w:rPr>
            <w:spacing w:val="-4"/>
            <w:sz w:val="21"/>
          </w:rPr>
          <w:t>永久不可逆</w:t>
        </w:r>
      </w:hyperlink>
    </w:p>
    <w:p>
      <w:pPr>
        <w:pStyle w:val="ListParagraph"/>
        <w:numPr>
          <w:ilvl w:val="1"/>
          <w:numId w:val="2"/>
        </w:numPr>
        <w:tabs>
          <w:tab w:pos="682" w:val="left" w:leader="none"/>
        </w:tabs>
        <w:spacing w:line="240" w:lineRule="auto" w:before="43" w:after="0"/>
        <w:ind w:left="681" w:right="0" w:hanging="544"/>
        <w:jc w:val="left"/>
        <w:rPr>
          <w:sz w:val="21"/>
        </w:rPr>
      </w:pPr>
      <w:hyperlink w:history="true" w:anchor="_bookmark83">
        <w:r>
          <w:rPr>
            <w:spacing w:val="26"/>
            <w:sz w:val="21"/>
          </w:rPr>
          <w:t>美国纽约心脏病学会</w:t>
        </w:r>
      </w:hyperlink>
    </w:p>
    <w:p>
      <w:pPr>
        <w:pStyle w:val="BodyText"/>
        <w:spacing w:line="278" w:lineRule="auto" w:before="43"/>
        <w:ind w:left="558" w:right="980"/>
        <w:jc w:val="both"/>
      </w:pPr>
      <w:hyperlink w:history="true" w:anchor="_bookmark83">
        <w:r>
          <w:rPr/>
          <w:t>（ </w:t>
        </w:r>
        <w:r>
          <w:rPr>
            <w:rFonts w:ascii="Times New Roman" w:eastAsia="Times New Roman"/>
          </w:rPr>
          <w:t>New</w:t>
        </w:r>
        <w:r>
          <w:rPr>
            <w:rFonts w:ascii="Times New Roman" w:eastAsia="Times New Roman"/>
            <w:spacing w:val="40"/>
          </w:rPr>
          <w:t> </w:t>
        </w:r>
        <w:r>
          <w:rPr>
            <w:rFonts w:ascii="Times New Roman" w:eastAsia="Times New Roman"/>
          </w:rPr>
          <w:t>York</w:t>
        </w:r>
        <w:r>
          <w:rPr>
            <w:rFonts w:ascii="Times New Roman" w:eastAsia="Times New Roman"/>
            <w:spacing w:val="40"/>
          </w:rPr>
          <w:t> </w:t>
        </w:r>
        <w:r>
          <w:rPr>
            <w:rFonts w:ascii="Times New Roman" w:eastAsia="Times New Roman"/>
          </w:rPr>
          <w:t>Heart</w:t>
        </w:r>
      </w:hyperlink>
      <w:r>
        <w:rPr>
          <w:rFonts w:ascii="Times New Roman" w:eastAsia="Times New Roman"/>
        </w:rPr>
        <w:t> </w:t>
      </w:r>
      <w:hyperlink w:history="true" w:anchor="_bookmark83">
        <w:r>
          <w:rPr>
            <w:rFonts w:ascii="Times New Roman" w:eastAsia="Times New Roman"/>
          </w:rPr>
          <w:t>Association</w:t>
        </w:r>
        <w:r>
          <w:rPr/>
          <w:t>，</w:t>
        </w:r>
        <w:r>
          <w:rPr>
            <w:rFonts w:ascii="Times New Roman" w:eastAsia="Times New Roman"/>
          </w:rPr>
          <w:t>NYHA</w:t>
        </w:r>
        <w:r>
          <w:rPr/>
          <w:t>）</w:t>
        </w:r>
        <w:r>
          <w:rPr>
            <w:spacing w:val="4"/>
          </w:rPr>
          <w:t>心</w:t>
        </w:r>
      </w:hyperlink>
      <w:hyperlink w:history="true" w:anchor="_bookmark83">
        <w:r>
          <w:rPr>
            <w:spacing w:val="-2"/>
          </w:rPr>
          <w:t>功能状态分级</w:t>
        </w:r>
      </w:hyperlink>
    </w:p>
    <w:p>
      <w:pPr>
        <w:spacing w:after="0" w:line="278" w:lineRule="auto"/>
        <w:jc w:val="both"/>
        <w:sectPr>
          <w:pgSz w:w="11910" w:h="16840"/>
          <w:pgMar w:top="1380" w:bottom="280" w:left="1280" w:right="420"/>
          <w:cols w:num="3" w:equalWidth="0">
            <w:col w:w="2460" w:space="519"/>
            <w:col w:w="3288" w:space="97"/>
            <w:col w:w="3846"/>
          </w:cols>
        </w:sectPr>
      </w:pPr>
    </w:p>
    <w:p>
      <w:pPr>
        <w:pStyle w:val="Title"/>
      </w:pPr>
      <w:r>
        <w:rPr>
          <w:w w:val="95"/>
        </w:rPr>
        <w:t>同</w:t>
      </w:r>
      <w:r>
        <w:rPr>
          <w:w w:val="95"/>
        </w:rPr>
        <w:t>方</w:t>
      </w:r>
      <w:r>
        <w:rPr>
          <w:w w:val="95"/>
        </w:rPr>
        <w:t>全</w:t>
      </w:r>
      <w:r>
        <w:rPr>
          <w:w w:val="95"/>
        </w:rPr>
        <w:t>球</w:t>
      </w:r>
      <w:r>
        <w:rPr>
          <w:w w:val="95"/>
        </w:rPr>
        <w:t>「</w:t>
      </w:r>
      <w:r>
        <w:rPr>
          <w:w w:val="95"/>
        </w:rPr>
        <w:t>新</w:t>
      </w:r>
      <w:r>
        <w:rPr>
          <w:w w:val="95"/>
        </w:rPr>
        <w:t>康</w:t>
      </w:r>
      <w:r>
        <w:rPr>
          <w:w w:val="95"/>
        </w:rPr>
        <w:t>健</w:t>
      </w:r>
      <w:r>
        <w:rPr>
          <w:w w:val="95"/>
        </w:rPr>
        <w:t>一</w:t>
      </w:r>
      <w:r>
        <w:rPr>
          <w:w w:val="95"/>
        </w:rPr>
        <w:t>生</w:t>
      </w:r>
      <w:r>
        <w:rPr>
          <w:w w:val="95"/>
        </w:rPr>
        <w:t>」</w:t>
      </w:r>
      <w:r>
        <w:rPr>
          <w:w w:val="95"/>
        </w:rPr>
        <w:t>终</w:t>
      </w:r>
      <w:r>
        <w:rPr>
          <w:w w:val="95"/>
        </w:rPr>
        <w:t>身</w:t>
      </w:r>
      <w:r>
        <w:rPr>
          <w:w w:val="95"/>
        </w:rPr>
        <w:t>重</w:t>
      </w:r>
      <w:r>
        <w:rPr>
          <w:w w:val="95"/>
        </w:rPr>
        <w:t>大</w:t>
      </w:r>
      <w:r>
        <w:rPr>
          <w:w w:val="95"/>
        </w:rPr>
        <w:t>疾</w:t>
      </w:r>
      <w:r>
        <w:rPr>
          <w:w w:val="95"/>
        </w:rPr>
        <w:t>病</w:t>
      </w:r>
      <w:r>
        <w:rPr>
          <w:w w:val="95"/>
        </w:rPr>
        <w:t>保</w:t>
      </w:r>
      <w:r>
        <w:rPr>
          <w:w w:val="95"/>
        </w:rPr>
        <w:t>险</w:t>
      </w:r>
      <w:r>
        <w:rPr>
          <w:w w:val="95"/>
        </w:rPr>
        <w:t>条</w:t>
      </w:r>
      <w:r>
        <w:rPr>
          <w:spacing w:val="-10"/>
          <w:w w:val="95"/>
        </w:rPr>
        <w:t>款</w:t>
      </w:r>
    </w:p>
    <w:p>
      <w:pPr>
        <w:pStyle w:val="BodyText"/>
        <w:spacing w:line="278" w:lineRule="auto" w:before="363"/>
        <w:ind w:left="138" w:right="992"/>
      </w:pPr>
      <w:r>
        <w:rPr>
          <w:spacing w:val="-22"/>
        </w:rPr>
        <w:t>在本条款中，“您”指投保人，“我们”指同方全球人寿保险有限公司，“本合同”指您与我们之间订</w:t>
      </w:r>
      <w:r>
        <w:rPr>
          <w:spacing w:val="-7"/>
        </w:rPr>
        <w:t>立的“同方全球「新康健一生」终身重大疾病保险合同”。</w:t>
      </w:r>
    </w:p>
    <w:p>
      <w:pPr>
        <w:pStyle w:val="BodyText"/>
        <w:spacing w:before="9"/>
        <w:rPr>
          <w:sz w:val="22"/>
        </w:rPr>
      </w:pPr>
    </w:p>
    <w:p>
      <w:pPr>
        <w:pStyle w:val="Heading1"/>
        <w:numPr>
          <w:ilvl w:val="0"/>
          <w:numId w:val="3"/>
        </w:numPr>
        <w:tabs>
          <w:tab w:pos="571" w:val="left" w:leader="none"/>
        </w:tabs>
        <w:spacing w:line="240" w:lineRule="auto" w:before="1" w:after="0"/>
        <w:ind w:left="570" w:right="0" w:hanging="433"/>
        <w:jc w:val="both"/>
      </w:pPr>
      <w:r>
        <w:rPr/>
        <w:drawing>
          <wp:anchor distT="0" distB="0" distL="0" distR="0" allowOverlap="1" layoutInCell="1" locked="0" behindDoc="0" simplePos="0" relativeHeight="4">
            <wp:simplePos x="0" y="0"/>
            <wp:positionH relativeFrom="page">
              <wp:posOffset>882700</wp:posOffset>
            </wp:positionH>
            <wp:positionV relativeFrom="paragraph">
              <wp:posOffset>210946</wp:posOffset>
            </wp:positionV>
            <wp:extent cx="5796660" cy="18288"/>
            <wp:effectExtent l="0" t="0" r="0" b="0"/>
            <wp:wrapTopAndBottom/>
            <wp:docPr id="11" name="image6.png"/>
            <wp:cNvGraphicFramePr>
              <a:graphicFrameLocks noChangeAspect="1"/>
            </wp:cNvGraphicFramePr>
            <a:graphic>
              <a:graphicData uri="http://schemas.openxmlformats.org/drawingml/2006/picture">
                <pic:pic>
                  <pic:nvPicPr>
                    <pic:cNvPr id="12" name="image6.png"/>
                    <pic:cNvPicPr/>
                  </pic:nvPicPr>
                  <pic:blipFill>
                    <a:blip r:embed="rId10" cstate="print"/>
                    <a:stretch>
                      <a:fillRect/>
                    </a:stretch>
                  </pic:blipFill>
                  <pic:spPr>
                    <a:xfrm>
                      <a:off x="0" y="0"/>
                      <a:ext cx="5796660" cy="18288"/>
                    </a:xfrm>
                    <a:prstGeom prst="rect">
                      <a:avLst/>
                    </a:prstGeom>
                  </pic:spPr>
                </pic:pic>
              </a:graphicData>
            </a:graphic>
          </wp:anchor>
        </w:drawing>
      </w:r>
      <w:bookmarkStart w:name="_bookmark0" w:id="1"/>
      <w:bookmarkEnd w:id="1"/>
      <w:r>
        <w:rPr>
          <w:w w:val="95"/>
        </w:rPr>
        <w:t>您与我</w:t>
      </w:r>
      <w:r>
        <w:rPr>
          <w:w w:val="95"/>
        </w:rPr>
        <w:t>们</w:t>
      </w:r>
      <w:r>
        <w:rPr>
          <w:w w:val="95"/>
        </w:rPr>
        <w:t>订</w:t>
      </w:r>
      <w:r>
        <w:rPr>
          <w:spacing w:val="-3"/>
          <w:w w:val="95"/>
        </w:rPr>
        <w:t>立的合同</w:t>
      </w:r>
    </w:p>
    <w:p>
      <w:pPr>
        <w:pStyle w:val="ListParagraph"/>
        <w:numPr>
          <w:ilvl w:val="1"/>
          <w:numId w:val="3"/>
        </w:numPr>
        <w:tabs>
          <w:tab w:pos="715" w:val="left" w:leader="none"/>
        </w:tabs>
        <w:spacing w:line="240" w:lineRule="auto" w:before="179" w:after="0"/>
        <w:ind w:left="714" w:right="0" w:hanging="577"/>
        <w:jc w:val="both"/>
        <w:rPr>
          <w:b/>
          <w:sz w:val="21"/>
        </w:rPr>
      </w:pPr>
      <w:bookmarkStart w:name="_bookmark1" w:id="2"/>
      <w:bookmarkEnd w:id="2"/>
      <w:r>
        <w:rPr/>
      </w:r>
      <w:bookmarkStart w:name="_bookmark1" w:id="3"/>
      <w:bookmarkEnd w:id="3"/>
      <w:r>
        <w:rPr>
          <w:b/>
          <w:spacing w:val="-3"/>
          <w:sz w:val="21"/>
        </w:rPr>
        <w:t>合同构成</w:t>
      </w:r>
    </w:p>
    <w:p>
      <w:pPr>
        <w:pStyle w:val="BodyText"/>
        <w:spacing w:before="6"/>
        <w:rPr>
          <w:b/>
          <w:sz w:val="15"/>
        </w:rPr>
      </w:pPr>
    </w:p>
    <w:p>
      <w:pPr>
        <w:pStyle w:val="BodyText"/>
        <w:spacing w:line="278" w:lineRule="auto" w:before="0"/>
        <w:ind w:left="1610" w:right="884"/>
      </w:pPr>
      <w:r>
        <w:rPr>
          <w:spacing w:val="-2"/>
        </w:rPr>
        <w:t>本合同由保险条款、保险单、投保单、电子协议书、与本合同有关的其他投保文件、</w:t>
      </w:r>
      <w:r>
        <w:rPr>
          <w:spacing w:val="-2"/>
        </w:rPr>
        <w:t>合法有效的声明和批注及其他约定书构成。</w:t>
      </w:r>
    </w:p>
    <w:p>
      <w:pPr>
        <w:pStyle w:val="BodyText"/>
        <w:spacing w:line="278" w:lineRule="auto" w:before="156"/>
        <w:ind w:left="1610" w:right="1025"/>
        <w:jc w:val="both"/>
      </w:pPr>
      <w:r>
        <w:rPr>
          <w:spacing w:val="-2"/>
        </w:rPr>
        <w:t>若构成本合同的文件正本我们需要存档，则其复印件或电子影像印刷件亦视为本合</w:t>
      </w:r>
      <w:r>
        <w:rPr>
          <w:spacing w:val="-2"/>
        </w:rPr>
        <w:t>同及其附加合同的构成部分，其效力与正本相同；若复印件或电子影像印刷件的内</w:t>
      </w:r>
      <w:r>
        <w:rPr>
          <w:spacing w:val="-2"/>
        </w:rPr>
        <w:t>容与正本不同，则以正本为准。</w:t>
      </w:r>
    </w:p>
    <w:p>
      <w:pPr>
        <w:pStyle w:val="ListParagraph"/>
        <w:numPr>
          <w:ilvl w:val="1"/>
          <w:numId w:val="3"/>
        </w:numPr>
        <w:tabs>
          <w:tab w:pos="715" w:val="left" w:leader="none"/>
        </w:tabs>
        <w:spacing w:line="240" w:lineRule="auto" w:before="156" w:after="0"/>
        <w:ind w:left="714" w:right="0" w:hanging="577"/>
        <w:jc w:val="both"/>
        <w:rPr>
          <w:b/>
          <w:sz w:val="21"/>
        </w:rPr>
      </w:pPr>
      <w:bookmarkStart w:name="_bookmark2" w:id="4"/>
      <w:bookmarkEnd w:id="4"/>
      <w:r>
        <w:rPr/>
      </w:r>
      <w:bookmarkStart w:name="_bookmark2" w:id="5"/>
      <w:bookmarkEnd w:id="5"/>
      <w:r>
        <w:rPr>
          <w:b/>
          <w:spacing w:val="-3"/>
          <w:sz w:val="21"/>
        </w:rPr>
        <w:t>投保范围</w:t>
      </w:r>
    </w:p>
    <w:p>
      <w:pPr>
        <w:pStyle w:val="BodyText"/>
        <w:rPr>
          <w:b/>
          <w:sz w:val="15"/>
        </w:rPr>
      </w:pPr>
    </w:p>
    <w:p>
      <w:pPr>
        <w:spacing w:before="0"/>
        <w:ind w:left="1610" w:right="0" w:firstLine="0"/>
        <w:jc w:val="left"/>
        <w:rPr>
          <w:sz w:val="21"/>
        </w:rPr>
      </w:pPr>
      <w:r>
        <w:rPr>
          <w:spacing w:val="-4"/>
          <w:sz w:val="21"/>
        </w:rPr>
        <w:t>本合同接受的被保险人</w:t>
      </w:r>
      <w:r>
        <w:rPr>
          <w:b/>
          <w:spacing w:val="-4"/>
          <w:sz w:val="21"/>
        </w:rPr>
        <w:t>投保年龄（见释义）</w:t>
      </w:r>
      <w:r>
        <w:rPr>
          <w:spacing w:val="-4"/>
          <w:sz w:val="21"/>
        </w:rPr>
        <w:t>为出生满三十日至六十</w:t>
      </w:r>
      <w:r>
        <w:rPr>
          <w:b/>
          <w:spacing w:val="-4"/>
          <w:sz w:val="21"/>
        </w:rPr>
        <w:t>周岁（见释义）</w:t>
      </w:r>
      <w:r>
        <w:rPr>
          <w:spacing w:val="-10"/>
          <w:sz w:val="21"/>
        </w:rPr>
        <w:t>。</w:t>
      </w:r>
    </w:p>
    <w:p>
      <w:pPr>
        <w:pStyle w:val="BodyText"/>
        <w:rPr>
          <w:sz w:val="15"/>
        </w:rPr>
      </w:pPr>
    </w:p>
    <w:p>
      <w:pPr>
        <w:pStyle w:val="ListParagraph"/>
        <w:numPr>
          <w:ilvl w:val="1"/>
          <w:numId w:val="3"/>
        </w:numPr>
        <w:tabs>
          <w:tab w:pos="715" w:val="left" w:leader="none"/>
        </w:tabs>
        <w:spacing w:line="240" w:lineRule="auto" w:before="0" w:after="0"/>
        <w:ind w:left="714" w:right="0" w:hanging="577"/>
        <w:jc w:val="both"/>
        <w:rPr>
          <w:b/>
          <w:sz w:val="21"/>
        </w:rPr>
      </w:pPr>
      <w:bookmarkStart w:name="_bookmark3" w:id="6"/>
      <w:bookmarkEnd w:id="6"/>
      <w:r>
        <w:rPr/>
      </w:r>
      <w:bookmarkStart w:name="_bookmark3" w:id="7"/>
      <w:bookmarkEnd w:id="7"/>
      <w:r>
        <w:rPr>
          <w:b/>
          <w:spacing w:val="-2"/>
          <w:sz w:val="21"/>
        </w:rPr>
        <w:t>合同成立与生效</w:t>
      </w:r>
    </w:p>
    <w:p>
      <w:pPr>
        <w:pStyle w:val="BodyText"/>
        <w:spacing w:before="6"/>
        <w:rPr>
          <w:b/>
          <w:sz w:val="15"/>
        </w:rPr>
      </w:pPr>
    </w:p>
    <w:p>
      <w:pPr>
        <w:pStyle w:val="BodyText"/>
        <w:spacing w:before="1"/>
        <w:ind w:left="1610"/>
      </w:pPr>
      <w:r>
        <w:rPr>
          <w:spacing w:val="-3"/>
        </w:rPr>
        <w:t>您提出投保申请，我们同意承保，本合同成立，合同成立日期在保险单上载明。</w:t>
      </w:r>
    </w:p>
    <w:p>
      <w:pPr>
        <w:pStyle w:val="BodyText"/>
        <w:spacing w:before="6"/>
        <w:rPr>
          <w:sz w:val="15"/>
        </w:rPr>
      </w:pPr>
    </w:p>
    <w:p>
      <w:pPr>
        <w:pStyle w:val="BodyText"/>
        <w:spacing w:line="278" w:lineRule="auto" w:before="0"/>
        <w:ind w:left="1610" w:right="1026"/>
        <w:jc w:val="both"/>
      </w:pPr>
      <w:r>
        <w:rPr>
          <w:spacing w:val="-2"/>
        </w:rPr>
        <w:t>自本合同成立、我们收取首期保险费并签发保险单的次日零时起本合同生效，具体</w:t>
      </w:r>
      <w:r>
        <w:rPr>
          <w:spacing w:val="-2"/>
        </w:rPr>
        <w:t>的合同生效日期在保险单上载明。除另有约定外，本合同生效的日期为我们开始承</w:t>
      </w:r>
      <w:r>
        <w:rPr>
          <w:spacing w:val="-2"/>
        </w:rPr>
        <w:t>担保险责任的日期。</w:t>
      </w:r>
    </w:p>
    <w:p>
      <w:pPr>
        <w:spacing w:line="278" w:lineRule="auto" w:before="156"/>
        <w:ind w:left="1610" w:right="1013" w:firstLine="0"/>
        <w:jc w:val="left"/>
        <w:rPr>
          <w:sz w:val="21"/>
        </w:rPr>
      </w:pPr>
      <w:r>
        <w:rPr>
          <w:spacing w:val="-2"/>
          <w:sz w:val="21"/>
        </w:rPr>
        <w:t>本合同生效日以后的</w:t>
      </w:r>
      <w:r>
        <w:rPr>
          <w:b/>
          <w:spacing w:val="-2"/>
          <w:sz w:val="21"/>
        </w:rPr>
        <w:t>保单周年日（见释义）</w:t>
      </w:r>
      <w:r>
        <w:rPr>
          <w:spacing w:val="-2"/>
          <w:sz w:val="21"/>
        </w:rPr>
        <w:t>、</w:t>
      </w:r>
      <w:r>
        <w:rPr>
          <w:b/>
          <w:spacing w:val="-2"/>
          <w:sz w:val="21"/>
        </w:rPr>
        <w:t>保单年度（见释义）</w:t>
      </w:r>
      <w:r>
        <w:rPr>
          <w:spacing w:val="-2"/>
          <w:sz w:val="21"/>
        </w:rPr>
        <w:t>、保险费约定支</w:t>
      </w:r>
      <w:r>
        <w:rPr>
          <w:spacing w:val="-2"/>
          <w:sz w:val="21"/>
        </w:rPr>
        <w:t>付日均以该日期计算。</w:t>
      </w:r>
    </w:p>
    <w:p>
      <w:pPr>
        <w:pStyle w:val="ListParagraph"/>
        <w:numPr>
          <w:ilvl w:val="1"/>
          <w:numId w:val="3"/>
        </w:numPr>
        <w:tabs>
          <w:tab w:pos="715" w:val="left" w:leader="none"/>
        </w:tabs>
        <w:spacing w:line="240" w:lineRule="auto" w:before="156" w:after="0"/>
        <w:ind w:left="714" w:right="0" w:hanging="577"/>
        <w:jc w:val="both"/>
        <w:rPr>
          <w:b/>
          <w:sz w:val="21"/>
        </w:rPr>
      </w:pPr>
      <w:bookmarkStart w:name="_bookmark4" w:id="8"/>
      <w:bookmarkEnd w:id="8"/>
      <w:r>
        <w:rPr/>
      </w:r>
      <w:bookmarkStart w:name="_bookmark4" w:id="9"/>
      <w:bookmarkEnd w:id="9"/>
      <w:r>
        <w:rPr>
          <w:b/>
          <w:spacing w:val="-4"/>
          <w:sz w:val="21"/>
        </w:rPr>
        <w:t>犹豫期</w:t>
      </w:r>
    </w:p>
    <w:p>
      <w:pPr>
        <w:pStyle w:val="BodyText"/>
        <w:rPr>
          <w:b/>
          <w:sz w:val="15"/>
        </w:rPr>
      </w:pPr>
    </w:p>
    <w:p>
      <w:pPr>
        <w:spacing w:line="278" w:lineRule="auto" w:before="0"/>
        <w:ind w:left="1610" w:right="1003" w:firstLine="0"/>
        <w:jc w:val="both"/>
        <w:rPr>
          <w:sz w:val="21"/>
        </w:rPr>
      </w:pPr>
      <w:r>
        <w:rPr>
          <w:spacing w:val="-2"/>
          <w:sz w:val="21"/>
        </w:rPr>
        <w:t>自您签收本合同的次日起，有</w:t>
      </w:r>
      <w:r>
        <w:rPr>
          <w:b/>
          <w:spacing w:val="-2"/>
          <w:sz w:val="21"/>
        </w:rPr>
        <w:t>十五日</w:t>
      </w:r>
      <w:r>
        <w:rPr>
          <w:spacing w:val="-2"/>
          <w:sz w:val="21"/>
        </w:rPr>
        <w:t>的犹豫期。</w:t>
      </w:r>
      <w:r>
        <w:rPr>
          <w:b/>
          <w:spacing w:val="-2"/>
          <w:sz w:val="21"/>
        </w:rPr>
        <w:t>在此期间，请您认真审视本合同，</w:t>
      </w:r>
      <w:r>
        <w:rPr>
          <w:b/>
          <w:spacing w:val="-2"/>
          <w:sz w:val="21"/>
        </w:rPr>
        <w:t>如果您认为本合同与您的需求不相符，您可以在此期间提出解除本合同，</w:t>
      </w:r>
      <w:r>
        <w:rPr>
          <w:spacing w:val="-2"/>
          <w:sz w:val="21"/>
        </w:rPr>
        <w:t>我们将在</w:t>
      </w:r>
      <w:r>
        <w:rPr>
          <w:spacing w:val="-2"/>
          <w:sz w:val="21"/>
        </w:rPr>
        <w:t>扣除工本费后无息退还您所交纳的保险费。</w:t>
      </w:r>
    </w:p>
    <w:p>
      <w:pPr>
        <w:spacing w:line="278" w:lineRule="auto" w:before="156"/>
        <w:ind w:left="1610" w:right="1007" w:firstLine="0"/>
        <w:jc w:val="both"/>
        <w:rPr>
          <w:b/>
          <w:sz w:val="21"/>
        </w:rPr>
      </w:pPr>
      <w:r>
        <w:rPr>
          <w:spacing w:val="-2"/>
          <w:sz w:val="21"/>
        </w:rPr>
        <w:t>解除合同时，您需要完整填写申请书并亲笔签名后，连同保险合同一起送达或邮寄</w:t>
      </w:r>
      <w:r>
        <w:rPr>
          <w:spacing w:val="-2"/>
          <w:sz w:val="21"/>
        </w:rPr>
        <w:t>给我们。</w:t>
      </w:r>
      <w:r>
        <w:rPr>
          <w:b/>
          <w:spacing w:val="-2"/>
          <w:sz w:val="21"/>
        </w:rPr>
        <w:t>本合同自我们收到您的申请书的当日零时起正式解除。我们自本合同生效</w:t>
      </w:r>
      <w:r>
        <w:rPr>
          <w:b/>
          <w:spacing w:val="-2"/>
          <w:sz w:val="21"/>
        </w:rPr>
        <w:t>日起自始不承担保险责任。</w:t>
      </w:r>
    </w:p>
    <w:p>
      <w:pPr>
        <w:pStyle w:val="ListParagraph"/>
        <w:numPr>
          <w:ilvl w:val="1"/>
          <w:numId w:val="3"/>
        </w:numPr>
        <w:tabs>
          <w:tab w:pos="715" w:val="left" w:leader="none"/>
        </w:tabs>
        <w:spacing w:line="240" w:lineRule="auto" w:before="155" w:after="0"/>
        <w:ind w:left="714" w:right="0" w:hanging="577"/>
        <w:jc w:val="both"/>
        <w:rPr>
          <w:b/>
          <w:sz w:val="21"/>
        </w:rPr>
      </w:pPr>
      <w:bookmarkStart w:name="_bookmark5" w:id="10"/>
      <w:bookmarkEnd w:id="10"/>
      <w:r>
        <w:rPr/>
      </w:r>
      <w:bookmarkStart w:name="_bookmark5" w:id="11"/>
      <w:bookmarkEnd w:id="11"/>
      <w:r>
        <w:rPr>
          <w:b/>
          <w:spacing w:val="-3"/>
          <w:sz w:val="21"/>
        </w:rPr>
        <w:t>合同终止</w:t>
      </w:r>
    </w:p>
    <w:p>
      <w:pPr>
        <w:pStyle w:val="BodyText"/>
        <w:rPr>
          <w:b/>
          <w:sz w:val="15"/>
        </w:rPr>
      </w:pPr>
    </w:p>
    <w:p>
      <w:pPr>
        <w:pStyle w:val="BodyText"/>
        <w:spacing w:before="1"/>
        <w:ind w:left="1610"/>
      </w:pPr>
      <w:r>
        <w:rPr>
          <w:spacing w:val="-3"/>
        </w:rPr>
        <w:t>本合同因以下事项而终止效力：</w:t>
      </w:r>
    </w:p>
    <w:p>
      <w:pPr>
        <w:pStyle w:val="BodyText"/>
        <w:spacing w:before="6"/>
        <w:rPr>
          <w:sz w:val="15"/>
        </w:rPr>
      </w:pPr>
    </w:p>
    <w:p>
      <w:pPr>
        <w:pStyle w:val="ListParagraph"/>
        <w:numPr>
          <w:ilvl w:val="2"/>
          <w:numId w:val="3"/>
        </w:numPr>
        <w:tabs>
          <w:tab w:pos="1969" w:val="left" w:leader="none"/>
          <w:tab w:pos="1970" w:val="left" w:leader="none"/>
        </w:tabs>
        <w:spacing w:line="240" w:lineRule="auto" w:before="0" w:after="0"/>
        <w:ind w:left="1970" w:right="0" w:hanging="363"/>
        <w:jc w:val="left"/>
        <w:rPr>
          <w:rFonts w:ascii="Times New Roman" w:eastAsia="Times New Roman"/>
          <w:sz w:val="21"/>
        </w:rPr>
      </w:pPr>
      <w:r>
        <w:rPr>
          <w:spacing w:val="-4"/>
          <w:sz w:val="21"/>
        </w:rPr>
        <w:t>被保险人身故；</w:t>
      </w:r>
    </w:p>
    <w:p>
      <w:pPr>
        <w:pStyle w:val="BodyText"/>
        <w:rPr>
          <w:sz w:val="15"/>
        </w:rPr>
      </w:pPr>
    </w:p>
    <w:p>
      <w:pPr>
        <w:pStyle w:val="ListParagraph"/>
        <w:numPr>
          <w:ilvl w:val="2"/>
          <w:numId w:val="3"/>
        </w:numPr>
        <w:tabs>
          <w:tab w:pos="1969" w:val="left" w:leader="none"/>
          <w:tab w:pos="1970" w:val="left" w:leader="none"/>
        </w:tabs>
        <w:spacing w:line="240" w:lineRule="auto" w:before="0" w:after="0"/>
        <w:ind w:left="1970" w:right="0" w:hanging="363"/>
        <w:jc w:val="left"/>
        <w:rPr>
          <w:rFonts w:ascii="Times New Roman" w:eastAsia="Times New Roman"/>
          <w:sz w:val="21"/>
        </w:rPr>
      </w:pPr>
      <w:r>
        <w:rPr>
          <w:spacing w:val="-3"/>
          <w:sz w:val="21"/>
        </w:rPr>
        <w:t>您于本合同有效期内向我们申请解除本合同；</w:t>
      </w:r>
    </w:p>
    <w:p>
      <w:pPr>
        <w:pStyle w:val="BodyText"/>
        <w:rPr>
          <w:sz w:val="15"/>
        </w:rPr>
      </w:pPr>
    </w:p>
    <w:p>
      <w:pPr>
        <w:pStyle w:val="ListParagraph"/>
        <w:numPr>
          <w:ilvl w:val="2"/>
          <w:numId w:val="3"/>
        </w:numPr>
        <w:tabs>
          <w:tab w:pos="1969" w:val="left" w:leader="none"/>
          <w:tab w:pos="1970" w:val="left" w:leader="none"/>
        </w:tabs>
        <w:spacing w:line="240" w:lineRule="auto" w:before="0" w:after="0"/>
        <w:ind w:left="1970" w:right="0" w:hanging="363"/>
        <w:jc w:val="left"/>
        <w:rPr>
          <w:rFonts w:ascii="Times New Roman" w:eastAsia="Times New Roman"/>
          <w:sz w:val="21"/>
        </w:rPr>
      </w:pPr>
      <w:r>
        <w:rPr>
          <w:spacing w:val="-3"/>
          <w:sz w:val="21"/>
        </w:rPr>
        <w:t>本合同约定的其他终止情况。</w:t>
      </w:r>
    </w:p>
    <w:p>
      <w:pPr>
        <w:spacing w:after="0" w:line="240" w:lineRule="auto"/>
        <w:jc w:val="left"/>
        <w:rPr>
          <w:rFonts w:ascii="Times New Roman" w:eastAsia="Times New Roman"/>
          <w:sz w:val="21"/>
        </w:rPr>
        <w:sectPr>
          <w:pgSz w:w="11910" w:h="16840"/>
          <w:pgMar w:top="1420" w:bottom="280" w:left="1280" w:right="420"/>
        </w:sectPr>
      </w:pPr>
    </w:p>
    <w:p>
      <w:pPr>
        <w:pStyle w:val="Heading1"/>
        <w:numPr>
          <w:ilvl w:val="0"/>
          <w:numId w:val="3"/>
        </w:numPr>
        <w:tabs>
          <w:tab w:pos="571" w:val="left" w:leader="none"/>
        </w:tabs>
        <w:spacing w:line="240" w:lineRule="auto" w:before="44" w:after="0"/>
        <w:ind w:left="570" w:right="0" w:hanging="433"/>
        <w:jc w:val="both"/>
      </w:pPr>
      <w:r>
        <w:rPr/>
        <w:drawing>
          <wp:anchor distT="0" distB="0" distL="0" distR="0" allowOverlap="1" layoutInCell="1" locked="0" behindDoc="0" simplePos="0" relativeHeight="5">
            <wp:simplePos x="0" y="0"/>
            <wp:positionH relativeFrom="page">
              <wp:posOffset>882700</wp:posOffset>
            </wp:positionH>
            <wp:positionV relativeFrom="paragraph">
              <wp:posOffset>238251</wp:posOffset>
            </wp:positionV>
            <wp:extent cx="5796660" cy="18288"/>
            <wp:effectExtent l="0" t="0" r="0" b="0"/>
            <wp:wrapTopAndBottom/>
            <wp:docPr id="13" name="image6.png"/>
            <wp:cNvGraphicFramePr>
              <a:graphicFrameLocks noChangeAspect="1"/>
            </wp:cNvGraphicFramePr>
            <a:graphic>
              <a:graphicData uri="http://schemas.openxmlformats.org/drawingml/2006/picture">
                <pic:pic>
                  <pic:nvPicPr>
                    <pic:cNvPr id="14" name="image6.png"/>
                    <pic:cNvPicPr/>
                  </pic:nvPicPr>
                  <pic:blipFill>
                    <a:blip r:embed="rId10" cstate="print"/>
                    <a:stretch>
                      <a:fillRect/>
                    </a:stretch>
                  </pic:blipFill>
                  <pic:spPr>
                    <a:xfrm>
                      <a:off x="0" y="0"/>
                      <a:ext cx="5796660" cy="18288"/>
                    </a:xfrm>
                    <a:prstGeom prst="rect">
                      <a:avLst/>
                    </a:prstGeom>
                  </pic:spPr>
                </pic:pic>
              </a:graphicData>
            </a:graphic>
          </wp:anchor>
        </w:drawing>
      </w:r>
      <w:bookmarkStart w:name="_bookmark6" w:id="12"/>
      <w:bookmarkEnd w:id="12"/>
      <w:r>
        <w:rPr>
          <w:w w:val="95"/>
        </w:rPr>
        <w:t>我们提</w:t>
      </w:r>
      <w:r>
        <w:rPr>
          <w:w w:val="95"/>
        </w:rPr>
        <w:t>供</w:t>
      </w:r>
      <w:r>
        <w:rPr>
          <w:w w:val="95"/>
        </w:rPr>
        <w:t>的</w:t>
      </w:r>
      <w:r>
        <w:rPr>
          <w:spacing w:val="-5"/>
          <w:w w:val="95"/>
        </w:rPr>
        <w:t>保障</w:t>
      </w:r>
    </w:p>
    <w:p>
      <w:pPr>
        <w:pStyle w:val="ListParagraph"/>
        <w:numPr>
          <w:ilvl w:val="1"/>
          <w:numId w:val="3"/>
        </w:numPr>
        <w:tabs>
          <w:tab w:pos="715" w:val="left" w:leader="none"/>
        </w:tabs>
        <w:spacing w:line="240" w:lineRule="auto" w:before="179" w:after="0"/>
        <w:ind w:left="714" w:right="0" w:hanging="577"/>
        <w:jc w:val="both"/>
        <w:rPr>
          <w:b/>
          <w:sz w:val="21"/>
        </w:rPr>
      </w:pPr>
      <w:bookmarkStart w:name="_bookmark7" w:id="13"/>
      <w:bookmarkEnd w:id="13"/>
      <w:r>
        <w:rPr/>
      </w:r>
      <w:bookmarkStart w:name="_bookmark7" w:id="14"/>
      <w:bookmarkEnd w:id="14"/>
      <w:r>
        <w:rPr>
          <w:b/>
          <w:spacing w:val="-3"/>
          <w:sz w:val="21"/>
        </w:rPr>
        <w:t>未成年人身故保险金限制</w:t>
      </w:r>
    </w:p>
    <w:p>
      <w:pPr>
        <w:pStyle w:val="BodyText"/>
        <w:spacing w:before="6"/>
        <w:rPr>
          <w:b/>
          <w:sz w:val="15"/>
        </w:rPr>
      </w:pPr>
    </w:p>
    <w:p>
      <w:pPr>
        <w:pStyle w:val="BodyText"/>
        <w:spacing w:line="278" w:lineRule="auto" w:before="1"/>
        <w:ind w:left="1610" w:right="1026"/>
        <w:jc w:val="both"/>
      </w:pPr>
      <w:r>
        <w:rPr>
          <w:spacing w:val="-2"/>
        </w:rPr>
        <w:t>为未成年子女投保的人身保险，因被保险人身故而给付的保险金总和不得超过国务</w:t>
      </w:r>
      <w:r>
        <w:rPr>
          <w:spacing w:val="-2"/>
        </w:rPr>
        <w:t>院保险监督管理机构规定的限额，身故给付的保险金额总和约定也不得超过前述限</w:t>
      </w:r>
      <w:r>
        <w:rPr>
          <w:spacing w:val="-6"/>
        </w:rPr>
        <w:t>额。</w:t>
      </w:r>
    </w:p>
    <w:p>
      <w:pPr>
        <w:pStyle w:val="ListParagraph"/>
        <w:numPr>
          <w:ilvl w:val="1"/>
          <w:numId w:val="3"/>
        </w:numPr>
        <w:tabs>
          <w:tab w:pos="715" w:val="left" w:leader="none"/>
        </w:tabs>
        <w:spacing w:line="240" w:lineRule="auto" w:before="155" w:after="0"/>
        <w:ind w:left="714" w:right="0" w:hanging="577"/>
        <w:jc w:val="both"/>
        <w:rPr>
          <w:b/>
          <w:sz w:val="21"/>
        </w:rPr>
      </w:pPr>
      <w:bookmarkStart w:name="_bookmark8" w:id="15"/>
      <w:bookmarkEnd w:id="15"/>
      <w:r>
        <w:rPr/>
      </w:r>
      <w:bookmarkStart w:name="_bookmark8" w:id="16"/>
      <w:bookmarkEnd w:id="16"/>
      <w:r>
        <w:rPr>
          <w:b/>
          <w:spacing w:val="-2"/>
          <w:sz w:val="21"/>
        </w:rPr>
        <w:t>基本保险金额</w:t>
      </w:r>
    </w:p>
    <w:p>
      <w:pPr>
        <w:pStyle w:val="BodyText"/>
        <w:rPr>
          <w:b/>
          <w:sz w:val="15"/>
        </w:rPr>
      </w:pPr>
    </w:p>
    <w:p>
      <w:pPr>
        <w:pStyle w:val="BodyText"/>
        <w:spacing w:line="278" w:lineRule="auto" w:before="0"/>
        <w:ind w:left="1610" w:right="1026"/>
      </w:pPr>
      <w:r>
        <w:rPr>
          <w:spacing w:val="-2"/>
        </w:rPr>
        <w:t>本合同的基本保险金额由您于投保时与我们约定，并在保险单或批注上载明。若该</w:t>
      </w:r>
      <w:r>
        <w:rPr>
          <w:spacing w:val="-2"/>
        </w:rPr>
        <w:t>金额发生变更，则以变更后的金额为基本保险金额。</w:t>
      </w:r>
    </w:p>
    <w:p>
      <w:pPr>
        <w:pStyle w:val="ListParagraph"/>
        <w:numPr>
          <w:ilvl w:val="1"/>
          <w:numId w:val="3"/>
        </w:numPr>
        <w:tabs>
          <w:tab w:pos="714" w:val="left" w:leader="none"/>
          <w:tab w:pos="715" w:val="left" w:leader="none"/>
        </w:tabs>
        <w:spacing w:line="240" w:lineRule="auto" w:before="156" w:after="0"/>
        <w:ind w:left="714" w:right="0" w:hanging="577"/>
        <w:jc w:val="left"/>
        <w:rPr>
          <w:b/>
          <w:sz w:val="21"/>
        </w:rPr>
      </w:pPr>
      <w:bookmarkStart w:name="_bookmark9" w:id="17"/>
      <w:bookmarkEnd w:id="17"/>
      <w:r>
        <w:rPr/>
      </w:r>
      <w:bookmarkStart w:name="_bookmark9" w:id="18"/>
      <w:bookmarkEnd w:id="18"/>
      <w:r>
        <w:rPr>
          <w:b/>
          <w:spacing w:val="-3"/>
          <w:sz w:val="21"/>
        </w:rPr>
        <w:t>保险期间</w:t>
      </w:r>
    </w:p>
    <w:p>
      <w:pPr>
        <w:spacing w:before="191"/>
        <w:ind w:left="1610" w:right="0" w:firstLine="0"/>
        <w:jc w:val="left"/>
        <w:rPr>
          <w:sz w:val="21"/>
        </w:rPr>
      </w:pPr>
      <w:r>
        <w:rPr>
          <w:spacing w:val="-2"/>
          <w:sz w:val="21"/>
        </w:rPr>
        <w:t>本合同的保险期间</w:t>
      </w:r>
      <w:r>
        <w:rPr>
          <w:spacing w:val="-2"/>
          <w:sz w:val="22"/>
        </w:rPr>
        <w:t>自本合同生效日的零时起</w:t>
      </w:r>
      <w:r>
        <w:rPr>
          <w:spacing w:val="-4"/>
          <w:sz w:val="21"/>
        </w:rPr>
        <w:t>至被保险人终身。</w:t>
      </w:r>
    </w:p>
    <w:p>
      <w:pPr>
        <w:pStyle w:val="ListParagraph"/>
        <w:numPr>
          <w:ilvl w:val="1"/>
          <w:numId w:val="3"/>
        </w:numPr>
        <w:tabs>
          <w:tab w:pos="714" w:val="left" w:leader="none"/>
          <w:tab w:pos="715" w:val="left" w:leader="none"/>
        </w:tabs>
        <w:spacing w:line="240" w:lineRule="auto" w:before="195" w:after="0"/>
        <w:ind w:left="714" w:right="0" w:hanging="577"/>
        <w:jc w:val="left"/>
        <w:rPr>
          <w:b/>
          <w:sz w:val="21"/>
        </w:rPr>
      </w:pPr>
      <w:bookmarkStart w:name="_bookmark10" w:id="19"/>
      <w:bookmarkEnd w:id="19"/>
      <w:r>
        <w:rPr/>
      </w:r>
      <w:bookmarkStart w:name="_bookmark10" w:id="20"/>
      <w:bookmarkEnd w:id="20"/>
      <w:r>
        <w:rPr>
          <w:b/>
          <w:spacing w:val="-4"/>
          <w:sz w:val="21"/>
        </w:rPr>
        <w:t>等待期</w:t>
      </w:r>
    </w:p>
    <w:p>
      <w:pPr>
        <w:pStyle w:val="BodyText"/>
        <w:spacing w:before="6"/>
        <w:rPr>
          <w:b/>
          <w:sz w:val="15"/>
        </w:rPr>
      </w:pPr>
    </w:p>
    <w:p>
      <w:pPr>
        <w:spacing w:line="278" w:lineRule="auto" w:before="0"/>
        <w:ind w:left="1610" w:right="1004" w:firstLine="0"/>
        <w:jc w:val="left"/>
        <w:rPr>
          <w:b/>
          <w:sz w:val="21"/>
        </w:rPr>
      </w:pPr>
      <w:r>
        <w:rPr>
          <w:b/>
          <w:spacing w:val="-2"/>
          <w:sz w:val="21"/>
        </w:rPr>
        <w:t>本合同生效（或最后一次复效，以较迟者为准）日起九十日内（含第九十日）为本</w:t>
      </w:r>
      <w:r>
        <w:rPr>
          <w:b/>
          <w:spacing w:val="-2"/>
          <w:sz w:val="21"/>
        </w:rPr>
        <w:t>合同的等待期。</w:t>
      </w:r>
    </w:p>
    <w:p>
      <w:pPr>
        <w:spacing w:line="278" w:lineRule="auto" w:before="156"/>
        <w:ind w:left="1610" w:right="1003" w:firstLine="0"/>
        <w:jc w:val="left"/>
        <w:rPr>
          <w:b/>
          <w:sz w:val="21"/>
        </w:rPr>
      </w:pPr>
      <w:r>
        <w:rPr>
          <w:b/>
          <w:spacing w:val="-2"/>
          <w:sz w:val="21"/>
        </w:rPr>
        <w:t>被保险人于等待期内发生下列情形之一的，我们不承担保险责任，并向您无息返还</w:t>
      </w:r>
      <w:r>
        <w:rPr>
          <w:b/>
          <w:spacing w:val="-2"/>
          <w:sz w:val="21"/>
        </w:rPr>
        <w:t>本合同累计已交纳的保险费，本合同效力终止：</w:t>
      </w:r>
    </w:p>
    <w:p>
      <w:pPr>
        <w:pStyle w:val="ListParagraph"/>
        <w:numPr>
          <w:ilvl w:val="2"/>
          <w:numId w:val="3"/>
        </w:numPr>
        <w:tabs>
          <w:tab w:pos="1969" w:val="left" w:leader="none"/>
          <w:tab w:pos="1970" w:val="left" w:leader="none"/>
        </w:tabs>
        <w:spacing w:line="240" w:lineRule="auto" w:before="156" w:after="0"/>
        <w:ind w:left="1970" w:right="0" w:hanging="360"/>
        <w:jc w:val="left"/>
        <w:rPr>
          <w:rFonts w:ascii="Times New Roman" w:eastAsia="Times New Roman"/>
          <w:b/>
          <w:sz w:val="21"/>
        </w:rPr>
      </w:pPr>
      <w:r>
        <w:rPr>
          <w:b/>
          <w:spacing w:val="-4"/>
          <w:sz w:val="21"/>
        </w:rPr>
        <w:t>身故；</w:t>
      </w:r>
    </w:p>
    <w:p>
      <w:pPr>
        <w:pStyle w:val="BodyText"/>
        <w:spacing w:before="6"/>
        <w:rPr>
          <w:b/>
          <w:sz w:val="15"/>
        </w:rPr>
      </w:pPr>
    </w:p>
    <w:p>
      <w:pPr>
        <w:pStyle w:val="ListParagraph"/>
        <w:numPr>
          <w:ilvl w:val="2"/>
          <w:numId w:val="3"/>
        </w:numPr>
        <w:tabs>
          <w:tab w:pos="1969" w:val="left" w:leader="none"/>
          <w:tab w:pos="1970" w:val="left" w:leader="none"/>
        </w:tabs>
        <w:spacing w:line="240" w:lineRule="auto" w:before="1" w:after="0"/>
        <w:ind w:left="1970" w:right="0" w:hanging="360"/>
        <w:jc w:val="left"/>
        <w:rPr>
          <w:rFonts w:ascii="Times New Roman" w:eastAsia="Times New Roman"/>
          <w:b/>
          <w:sz w:val="21"/>
        </w:rPr>
      </w:pPr>
      <w:r>
        <w:rPr>
          <w:b/>
          <w:sz w:val="21"/>
        </w:rPr>
        <w:t>全残（见释义</w:t>
      </w:r>
      <w:r>
        <w:rPr>
          <w:b/>
          <w:spacing w:val="-5"/>
          <w:sz w:val="21"/>
        </w:rPr>
        <w:t>）；</w:t>
      </w:r>
    </w:p>
    <w:p>
      <w:pPr>
        <w:pStyle w:val="BodyText"/>
        <w:spacing w:before="6"/>
        <w:rPr>
          <w:b/>
          <w:sz w:val="15"/>
        </w:rPr>
      </w:pPr>
    </w:p>
    <w:p>
      <w:pPr>
        <w:pStyle w:val="ListParagraph"/>
        <w:numPr>
          <w:ilvl w:val="2"/>
          <w:numId w:val="3"/>
        </w:numPr>
        <w:tabs>
          <w:tab w:pos="1969" w:val="left" w:leader="none"/>
          <w:tab w:pos="1970" w:val="left" w:leader="none"/>
        </w:tabs>
        <w:spacing w:line="240" w:lineRule="auto" w:before="0" w:after="0"/>
        <w:ind w:left="1970" w:right="0" w:hanging="360"/>
        <w:jc w:val="left"/>
        <w:rPr>
          <w:rFonts w:ascii="Times New Roman" w:eastAsia="Times New Roman"/>
          <w:b/>
          <w:sz w:val="21"/>
        </w:rPr>
      </w:pPr>
      <w:r>
        <w:rPr>
          <w:b/>
          <w:spacing w:val="-2"/>
          <w:sz w:val="21"/>
        </w:rPr>
        <w:t>被确诊患有本合同约定的重大疾病（见释义</w:t>
      </w:r>
      <w:r>
        <w:rPr>
          <w:b/>
          <w:spacing w:val="-5"/>
          <w:sz w:val="21"/>
        </w:rPr>
        <w:t>）；</w:t>
      </w:r>
    </w:p>
    <w:p>
      <w:pPr>
        <w:pStyle w:val="BodyText"/>
        <w:rPr>
          <w:b/>
          <w:sz w:val="15"/>
        </w:rPr>
      </w:pPr>
    </w:p>
    <w:p>
      <w:pPr>
        <w:pStyle w:val="ListParagraph"/>
        <w:numPr>
          <w:ilvl w:val="2"/>
          <w:numId w:val="3"/>
        </w:numPr>
        <w:tabs>
          <w:tab w:pos="1969" w:val="left" w:leader="none"/>
          <w:tab w:pos="1970" w:val="left" w:leader="none"/>
        </w:tabs>
        <w:spacing w:line="278" w:lineRule="auto" w:before="0" w:after="0"/>
        <w:ind w:left="1970" w:right="1066" w:hanging="360"/>
        <w:jc w:val="left"/>
        <w:rPr>
          <w:rFonts w:ascii="Times New Roman" w:hAnsi="Times New Roman" w:eastAsia="Times New Roman"/>
          <w:b/>
          <w:sz w:val="21"/>
        </w:rPr>
      </w:pPr>
      <w:r>
        <w:rPr>
          <w:b/>
          <w:spacing w:val="-2"/>
          <w:sz w:val="21"/>
        </w:rPr>
        <w:t>被确诊患有本合同约定的轻症疾病（见释义）（若您投保了可选责任“轻症疾</w:t>
      </w:r>
      <w:r>
        <w:rPr>
          <w:b/>
          <w:spacing w:val="-2"/>
          <w:sz w:val="21"/>
        </w:rPr>
        <w:t>病保险金及轻症疾病豁免保险费”）。</w:t>
      </w:r>
    </w:p>
    <w:p>
      <w:pPr>
        <w:spacing w:before="156"/>
        <w:ind w:left="1610" w:right="0" w:firstLine="0"/>
        <w:jc w:val="left"/>
        <w:rPr>
          <w:b/>
          <w:sz w:val="21"/>
        </w:rPr>
      </w:pPr>
      <w:r>
        <w:rPr>
          <w:b/>
          <w:spacing w:val="-2"/>
          <w:sz w:val="21"/>
        </w:rPr>
        <w:t>被保险人因意外伤害（见释义）</w:t>
      </w:r>
      <w:r>
        <w:rPr>
          <w:b/>
          <w:spacing w:val="-3"/>
          <w:sz w:val="21"/>
        </w:rPr>
        <w:t>发生上述情形的，无等待期。</w:t>
      </w:r>
    </w:p>
    <w:p>
      <w:pPr>
        <w:pStyle w:val="BodyText"/>
        <w:rPr>
          <w:b/>
          <w:sz w:val="15"/>
        </w:rPr>
      </w:pPr>
    </w:p>
    <w:p>
      <w:pPr>
        <w:pStyle w:val="ListParagraph"/>
        <w:numPr>
          <w:ilvl w:val="1"/>
          <w:numId w:val="3"/>
        </w:numPr>
        <w:tabs>
          <w:tab w:pos="714" w:val="left" w:leader="none"/>
          <w:tab w:pos="715" w:val="left" w:leader="none"/>
        </w:tabs>
        <w:spacing w:line="240" w:lineRule="auto" w:before="0" w:after="0"/>
        <w:ind w:left="714" w:right="0" w:hanging="577"/>
        <w:jc w:val="left"/>
        <w:rPr>
          <w:b/>
          <w:sz w:val="21"/>
        </w:rPr>
      </w:pPr>
      <w:bookmarkStart w:name="_bookmark11" w:id="21"/>
      <w:bookmarkEnd w:id="21"/>
      <w:r>
        <w:rPr/>
      </w:r>
      <w:bookmarkStart w:name="_bookmark11" w:id="22"/>
      <w:bookmarkEnd w:id="22"/>
      <w:r>
        <w:rPr>
          <w:b/>
          <w:spacing w:val="-3"/>
          <w:sz w:val="21"/>
        </w:rPr>
        <w:t>保险责任</w:t>
      </w:r>
    </w:p>
    <w:p>
      <w:pPr>
        <w:pStyle w:val="BodyText"/>
        <w:rPr>
          <w:b/>
          <w:sz w:val="15"/>
        </w:rPr>
      </w:pPr>
    </w:p>
    <w:p>
      <w:pPr>
        <w:spacing w:line="278" w:lineRule="auto" w:before="0"/>
        <w:ind w:left="1610" w:right="1004" w:firstLine="0"/>
        <w:jc w:val="both"/>
        <w:rPr>
          <w:sz w:val="21"/>
        </w:rPr>
      </w:pPr>
      <w:r>
        <w:rPr>
          <w:spacing w:val="-2"/>
          <w:sz w:val="21"/>
        </w:rPr>
        <w:t>在本合同有效期间内，我们承担的保险责任包括必选责任和可选责任两大类。</w:t>
      </w:r>
      <w:r>
        <w:rPr>
          <w:b/>
          <w:spacing w:val="-2"/>
          <w:sz w:val="21"/>
        </w:rPr>
        <w:t>您可</w:t>
      </w:r>
      <w:r>
        <w:rPr>
          <w:b/>
          <w:spacing w:val="-2"/>
          <w:sz w:val="21"/>
        </w:rPr>
        <w:t>以只投保必选责任，也可以同时投保必选责任和可选责任，但不能单独投保可选责任</w:t>
      </w:r>
      <w:r>
        <w:rPr>
          <w:spacing w:val="-2"/>
          <w:sz w:val="21"/>
        </w:rPr>
        <w:t>，具体以您投保时与我们约定为准，并于保险单或批注上载明。</w:t>
      </w:r>
    </w:p>
    <w:p>
      <w:pPr>
        <w:pStyle w:val="BodyText"/>
        <w:spacing w:before="155"/>
        <w:ind w:left="1610"/>
      </w:pPr>
      <w:r>
        <w:rPr>
          <w:spacing w:val="-3"/>
        </w:rPr>
        <w:t>本合同的必选责任为：</w:t>
      </w:r>
    </w:p>
    <w:p>
      <w:pPr>
        <w:pStyle w:val="BodyText"/>
        <w:rPr>
          <w:sz w:val="15"/>
        </w:rPr>
      </w:pPr>
    </w:p>
    <w:p>
      <w:pPr>
        <w:pStyle w:val="ListParagraph"/>
        <w:numPr>
          <w:ilvl w:val="2"/>
          <w:numId w:val="3"/>
        </w:numPr>
        <w:tabs>
          <w:tab w:pos="1981" w:val="left" w:leader="none"/>
          <w:tab w:pos="1982" w:val="left" w:leader="none"/>
        </w:tabs>
        <w:spacing w:line="240" w:lineRule="auto" w:before="0" w:after="0"/>
        <w:ind w:left="1982" w:right="0" w:hanging="372"/>
        <w:jc w:val="left"/>
        <w:rPr>
          <w:rFonts w:ascii="Times New Roman" w:eastAsia="Times New Roman"/>
          <w:sz w:val="21"/>
        </w:rPr>
      </w:pPr>
      <w:r>
        <w:rPr>
          <w:spacing w:val="-4"/>
          <w:sz w:val="21"/>
        </w:rPr>
        <w:t>身故保险金；</w:t>
      </w:r>
    </w:p>
    <w:p>
      <w:pPr>
        <w:pStyle w:val="BodyText"/>
        <w:rPr>
          <w:sz w:val="15"/>
        </w:rPr>
      </w:pPr>
    </w:p>
    <w:p>
      <w:pPr>
        <w:pStyle w:val="ListParagraph"/>
        <w:numPr>
          <w:ilvl w:val="2"/>
          <w:numId w:val="3"/>
        </w:numPr>
        <w:tabs>
          <w:tab w:pos="1981" w:val="left" w:leader="none"/>
          <w:tab w:pos="1982" w:val="left" w:leader="none"/>
        </w:tabs>
        <w:spacing w:line="240" w:lineRule="auto" w:before="0" w:after="0"/>
        <w:ind w:left="1982" w:right="0" w:hanging="372"/>
        <w:jc w:val="left"/>
        <w:rPr>
          <w:rFonts w:ascii="Times New Roman" w:eastAsia="Times New Roman"/>
          <w:sz w:val="21"/>
        </w:rPr>
      </w:pPr>
      <w:r>
        <w:rPr>
          <w:spacing w:val="-4"/>
          <w:sz w:val="21"/>
        </w:rPr>
        <w:t>全残保险金；</w:t>
      </w:r>
    </w:p>
    <w:p>
      <w:pPr>
        <w:pStyle w:val="BodyText"/>
        <w:rPr>
          <w:sz w:val="15"/>
        </w:rPr>
      </w:pPr>
    </w:p>
    <w:p>
      <w:pPr>
        <w:pStyle w:val="ListParagraph"/>
        <w:numPr>
          <w:ilvl w:val="2"/>
          <w:numId w:val="3"/>
        </w:numPr>
        <w:tabs>
          <w:tab w:pos="1981" w:val="left" w:leader="none"/>
          <w:tab w:pos="1982" w:val="left" w:leader="none"/>
        </w:tabs>
        <w:spacing w:line="240" w:lineRule="auto" w:before="0" w:after="0"/>
        <w:ind w:left="1982" w:right="0" w:hanging="372"/>
        <w:jc w:val="left"/>
        <w:rPr>
          <w:rFonts w:ascii="Times New Roman" w:eastAsia="Times New Roman"/>
          <w:sz w:val="21"/>
        </w:rPr>
      </w:pPr>
      <w:r>
        <w:rPr>
          <w:spacing w:val="-4"/>
          <w:sz w:val="21"/>
        </w:rPr>
        <w:t>重大疾病保险金。</w:t>
      </w:r>
    </w:p>
    <w:p>
      <w:pPr>
        <w:pStyle w:val="BodyText"/>
        <w:rPr>
          <w:sz w:val="15"/>
        </w:rPr>
      </w:pPr>
    </w:p>
    <w:p>
      <w:pPr>
        <w:spacing w:line="278" w:lineRule="auto" w:before="0"/>
        <w:ind w:left="1610" w:right="1004" w:firstLine="0"/>
        <w:jc w:val="left"/>
        <w:rPr>
          <w:b/>
          <w:sz w:val="21"/>
        </w:rPr>
      </w:pPr>
      <w:r>
        <w:rPr>
          <w:b/>
          <w:spacing w:val="-2"/>
          <w:sz w:val="21"/>
        </w:rPr>
        <w:t>您在投保时必须选择上述所有必选责任。身故保险金、全残保险金与重大疾病保险</w:t>
      </w:r>
      <w:r>
        <w:rPr>
          <w:b/>
          <w:spacing w:val="-2"/>
          <w:sz w:val="21"/>
        </w:rPr>
        <w:t>金，我们仅给付其中一项。</w:t>
      </w:r>
    </w:p>
    <w:p>
      <w:pPr>
        <w:pStyle w:val="BodyText"/>
        <w:spacing w:before="156"/>
        <w:ind w:left="1610"/>
      </w:pPr>
      <w:r>
        <w:rPr>
          <w:spacing w:val="-3"/>
        </w:rPr>
        <w:t>本合同的可选责任为：</w:t>
      </w:r>
    </w:p>
    <w:p>
      <w:pPr>
        <w:pStyle w:val="BodyText"/>
        <w:spacing w:before="6"/>
        <w:rPr>
          <w:sz w:val="15"/>
        </w:rPr>
      </w:pPr>
    </w:p>
    <w:p>
      <w:pPr>
        <w:pStyle w:val="ListParagraph"/>
        <w:numPr>
          <w:ilvl w:val="0"/>
          <w:numId w:val="4"/>
        </w:numPr>
        <w:tabs>
          <w:tab w:pos="1981" w:val="left" w:leader="none"/>
          <w:tab w:pos="1982" w:val="left" w:leader="none"/>
        </w:tabs>
        <w:spacing w:line="240" w:lineRule="auto" w:before="0" w:after="0"/>
        <w:ind w:left="1982" w:right="0" w:hanging="372"/>
        <w:jc w:val="left"/>
        <w:rPr>
          <w:sz w:val="21"/>
        </w:rPr>
      </w:pPr>
      <w:r>
        <w:rPr>
          <w:spacing w:val="-4"/>
          <w:sz w:val="21"/>
        </w:rPr>
        <w:t>特定疾病保险金；</w:t>
      </w:r>
    </w:p>
    <w:p>
      <w:pPr>
        <w:spacing w:after="0" w:line="240" w:lineRule="auto"/>
        <w:jc w:val="left"/>
        <w:rPr>
          <w:sz w:val="21"/>
        </w:rPr>
        <w:sectPr>
          <w:pgSz w:w="11910" w:h="16840"/>
          <w:pgMar w:top="1380" w:bottom="280" w:left="1280" w:right="420"/>
        </w:sectPr>
      </w:pPr>
    </w:p>
    <w:p>
      <w:pPr>
        <w:pStyle w:val="ListParagraph"/>
        <w:numPr>
          <w:ilvl w:val="0"/>
          <w:numId w:val="4"/>
        </w:numPr>
        <w:tabs>
          <w:tab w:pos="1981" w:val="left" w:leader="none"/>
          <w:tab w:pos="1982" w:val="left" w:leader="none"/>
        </w:tabs>
        <w:spacing w:line="417" w:lineRule="auto" w:before="64" w:after="0"/>
        <w:ind w:left="1610" w:right="4437" w:firstLine="0"/>
        <w:jc w:val="left"/>
        <w:rPr>
          <w:b/>
          <w:sz w:val="21"/>
        </w:rPr>
      </w:pPr>
      <w:r>
        <w:rPr>
          <w:spacing w:val="-2"/>
          <w:sz w:val="21"/>
        </w:rPr>
        <w:t>轻症疾病保险金及轻症疾病豁免保险费。</w:t>
      </w:r>
      <w:r>
        <w:rPr>
          <w:b/>
          <w:spacing w:val="-2"/>
          <w:sz w:val="21"/>
        </w:rPr>
        <w:t>您在投保时可以选择一项或多项可选责任。</w:t>
      </w:r>
    </w:p>
    <w:p>
      <w:pPr>
        <w:pStyle w:val="ListParagraph"/>
        <w:numPr>
          <w:ilvl w:val="2"/>
          <w:numId w:val="5"/>
        </w:numPr>
        <w:tabs>
          <w:tab w:pos="1141" w:val="left" w:leader="none"/>
          <w:tab w:pos="1142" w:val="left" w:leader="none"/>
        </w:tabs>
        <w:spacing w:line="240" w:lineRule="auto" w:before="0" w:after="0"/>
        <w:ind w:left="1142" w:right="0" w:hanging="720"/>
        <w:jc w:val="left"/>
        <w:rPr>
          <w:b/>
          <w:sz w:val="21"/>
        </w:rPr>
      </w:pPr>
      <w:r>
        <w:rPr>
          <w:b/>
          <w:spacing w:val="-2"/>
          <w:sz w:val="21"/>
        </w:rPr>
        <w:t>身故保险金</w:t>
      </w:r>
    </w:p>
    <w:p>
      <w:pPr>
        <w:pStyle w:val="BodyText"/>
        <w:spacing w:line="278" w:lineRule="auto" w:before="163"/>
        <w:ind w:left="1610" w:right="1023"/>
        <w:rPr>
          <w:b/>
        </w:rPr>
      </w:pPr>
      <w:r>
        <w:rPr>
          <w:spacing w:val="-2"/>
        </w:rPr>
        <w:t>若被保险人于等待期后身故，且身故时未满十八周岁，我们将按被保险人身故时本</w:t>
      </w:r>
      <w:r>
        <w:rPr>
          <w:spacing w:val="-2"/>
        </w:rPr>
        <w:t>合同累计已交纳的保险费向身故保险金受益人给付身故保险金，</w:t>
      </w:r>
      <w:r>
        <w:rPr>
          <w:b/>
          <w:spacing w:val="-4"/>
        </w:rPr>
        <w:t>本合同效力终止。</w:t>
      </w:r>
    </w:p>
    <w:p>
      <w:pPr>
        <w:pStyle w:val="BodyText"/>
        <w:spacing w:line="278" w:lineRule="auto" w:before="156"/>
        <w:ind w:left="1610" w:right="1025"/>
        <w:rPr>
          <w:b/>
        </w:rPr>
      </w:pPr>
      <w:r>
        <w:rPr>
          <w:spacing w:val="-2"/>
        </w:rPr>
        <w:t>若被保险人于等待期后身故，且身故时年满十八周岁，我们将按被保险人身故时本</w:t>
      </w:r>
      <w:r>
        <w:rPr>
          <w:spacing w:val="-2"/>
        </w:rPr>
        <w:t>合同的基本保险金额向身故保险金受益人给付身故保险金，</w:t>
      </w:r>
      <w:r>
        <w:rPr>
          <w:b/>
          <w:spacing w:val="-2"/>
        </w:rPr>
        <w:t>本合同效力终止。</w:t>
      </w:r>
    </w:p>
    <w:p>
      <w:pPr>
        <w:pStyle w:val="ListParagraph"/>
        <w:numPr>
          <w:ilvl w:val="2"/>
          <w:numId w:val="5"/>
        </w:numPr>
        <w:tabs>
          <w:tab w:pos="1141" w:val="left" w:leader="none"/>
          <w:tab w:pos="1142" w:val="left" w:leader="none"/>
        </w:tabs>
        <w:spacing w:line="240" w:lineRule="auto" w:before="156" w:after="0"/>
        <w:ind w:left="1142" w:right="0" w:hanging="720"/>
        <w:jc w:val="left"/>
        <w:rPr>
          <w:b/>
          <w:sz w:val="21"/>
        </w:rPr>
      </w:pPr>
      <w:r>
        <w:rPr>
          <w:b/>
          <w:spacing w:val="-2"/>
          <w:sz w:val="21"/>
        </w:rPr>
        <w:t>全残保险金</w:t>
      </w:r>
    </w:p>
    <w:p>
      <w:pPr>
        <w:pStyle w:val="BodyText"/>
        <w:spacing w:line="278" w:lineRule="auto" w:before="163"/>
        <w:ind w:left="1610" w:right="1025"/>
        <w:rPr>
          <w:b/>
        </w:rPr>
      </w:pPr>
      <w:r>
        <w:rPr>
          <w:spacing w:val="-2"/>
        </w:rPr>
        <w:t>若被保险人于等待期后全残，且全残时未满十八周岁，我们将按被保险人全残时本</w:t>
      </w:r>
      <w:r>
        <w:rPr>
          <w:spacing w:val="-2"/>
        </w:rPr>
        <w:t>合同累计已交纳的保险费向被保险人给付全残保险金，</w:t>
      </w:r>
      <w:r>
        <w:rPr>
          <w:b/>
          <w:spacing w:val="-2"/>
        </w:rPr>
        <w:t>本合同效力终止。</w:t>
      </w:r>
    </w:p>
    <w:p>
      <w:pPr>
        <w:pStyle w:val="BodyText"/>
        <w:spacing w:line="278" w:lineRule="auto" w:before="156"/>
        <w:ind w:left="1610" w:right="1025"/>
        <w:rPr>
          <w:b/>
        </w:rPr>
      </w:pPr>
      <w:r>
        <w:rPr>
          <w:spacing w:val="-2"/>
        </w:rPr>
        <w:t>若被保险人于等待期后全残，且全残时年满十八周岁，我们将按被保险人全残时本</w:t>
      </w:r>
      <w:r>
        <w:rPr>
          <w:spacing w:val="-2"/>
        </w:rPr>
        <w:t>合同的基本保险金额向被保险人给付全残保险金，</w:t>
      </w:r>
      <w:r>
        <w:rPr>
          <w:b/>
          <w:spacing w:val="-2"/>
        </w:rPr>
        <w:t>本合同效力终止。</w:t>
      </w:r>
    </w:p>
    <w:p>
      <w:pPr>
        <w:spacing w:before="156"/>
        <w:ind w:left="1610" w:right="0" w:firstLine="0"/>
        <w:jc w:val="left"/>
        <w:rPr>
          <w:b/>
          <w:sz w:val="21"/>
        </w:rPr>
      </w:pPr>
      <w:r>
        <w:rPr>
          <w:b/>
          <w:spacing w:val="-3"/>
          <w:sz w:val="21"/>
        </w:rPr>
        <w:t>若被保险人同时符合一项以上的全残情形时，全残保险金的给付以一次为限。</w:t>
      </w:r>
    </w:p>
    <w:p>
      <w:pPr>
        <w:pStyle w:val="BodyText"/>
        <w:spacing w:before="6"/>
        <w:rPr>
          <w:b/>
          <w:sz w:val="15"/>
        </w:rPr>
      </w:pPr>
    </w:p>
    <w:p>
      <w:pPr>
        <w:pStyle w:val="ListParagraph"/>
        <w:numPr>
          <w:ilvl w:val="2"/>
          <w:numId w:val="5"/>
        </w:numPr>
        <w:tabs>
          <w:tab w:pos="1141" w:val="left" w:leader="none"/>
          <w:tab w:pos="1142" w:val="left" w:leader="none"/>
        </w:tabs>
        <w:spacing w:line="240" w:lineRule="auto" w:before="0" w:after="0"/>
        <w:ind w:left="1142" w:right="0" w:hanging="720"/>
        <w:jc w:val="left"/>
        <w:rPr>
          <w:b/>
          <w:sz w:val="21"/>
        </w:rPr>
      </w:pPr>
      <w:r>
        <w:rPr>
          <w:b/>
          <w:spacing w:val="-2"/>
          <w:sz w:val="21"/>
        </w:rPr>
        <w:t>重大疾病保险金</w:t>
      </w:r>
    </w:p>
    <w:p>
      <w:pPr>
        <w:spacing w:line="278" w:lineRule="auto" w:before="163"/>
        <w:ind w:left="1610" w:right="1011" w:firstLine="0"/>
        <w:jc w:val="both"/>
        <w:rPr>
          <w:b/>
          <w:sz w:val="21"/>
        </w:rPr>
      </w:pPr>
      <w:r>
        <w:rPr>
          <w:spacing w:val="-2"/>
          <w:sz w:val="21"/>
        </w:rPr>
        <w:t>若被保险人于等待期后经我们</w:t>
      </w:r>
      <w:r>
        <w:rPr>
          <w:b/>
          <w:spacing w:val="-2"/>
          <w:sz w:val="21"/>
        </w:rPr>
        <w:t>指定或认可的医院（见释义）</w:t>
      </w:r>
      <w:r>
        <w:rPr>
          <w:spacing w:val="-2"/>
          <w:sz w:val="21"/>
        </w:rPr>
        <w:t>的</w:t>
      </w:r>
      <w:r>
        <w:rPr>
          <w:b/>
          <w:spacing w:val="-2"/>
          <w:sz w:val="21"/>
        </w:rPr>
        <w:t>专科医生（见释义</w:t>
      </w:r>
      <w:r>
        <w:rPr>
          <w:b/>
          <w:spacing w:val="-2"/>
          <w:sz w:val="21"/>
        </w:rPr>
        <w:t>）</w:t>
      </w:r>
      <w:r>
        <w:rPr>
          <w:spacing w:val="-2"/>
          <w:sz w:val="21"/>
        </w:rPr>
        <w:t>确诊首次患有本合同约定的重大疾病，我们将按本合同的基本保险金额向被保险人</w:t>
      </w:r>
      <w:r>
        <w:rPr>
          <w:spacing w:val="-2"/>
          <w:sz w:val="21"/>
        </w:rPr>
        <w:t>给付重大疾病保险金</w:t>
      </w:r>
      <w:r>
        <w:rPr>
          <w:b/>
          <w:spacing w:val="-2"/>
          <w:sz w:val="21"/>
        </w:rPr>
        <w:t>（若被保险人同时符合一项以上重大疾病时，该给付以一次为</w:t>
      </w:r>
      <w:r>
        <w:rPr>
          <w:b/>
          <w:spacing w:val="-2"/>
          <w:sz w:val="21"/>
        </w:rPr>
        <w:t>限），本合同效力终止。</w:t>
      </w:r>
    </w:p>
    <w:p>
      <w:pPr>
        <w:spacing w:line="278" w:lineRule="auto" w:before="156"/>
        <w:ind w:left="1610" w:right="1003" w:firstLine="0"/>
        <w:jc w:val="left"/>
        <w:rPr>
          <w:b/>
          <w:sz w:val="21"/>
        </w:rPr>
      </w:pPr>
      <w:r>
        <w:rPr>
          <w:b/>
          <w:spacing w:val="-2"/>
          <w:sz w:val="21"/>
        </w:rPr>
        <w:t>若被保险人在本合同生效前已发生某重大疾病，本合同生效后再次发生该重大疾病</w:t>
      </w:r>
      <w:r>
        <w:rPr>
          <w:b/>
          <w:spacing w:val="-2"/>
          <w:sz w:val="21"/>
        </w:rPr>
        <w:t>的，我们不承担重大疾病保险金的保险责任。</w:t>
      </w:r>
    </w:p>
    <w:p>
      <w:pPr>
        <w:pStyle w:val="ListParagraph"/>
        <w:numPr>
          <w:ilvl w:val="2"/>
          <w:numId w:val="5"/>
        </w:numPr>
        <w:tabs>
          <w:tab w:pos="1141" w:val="left" w:leader="none"/>
          <w:tab w:pos="1142" w:val="left" w:leader="none"/>
        </w:tabs>
        <w:spacing w:line="240" w:lineRule="auto" w:before="156" w:after="0"/>
        <w:ind w:left="1142" w:right="0" w:hanging="720"/>
        <w:jc w:val="left"/>
        <w:rPr>
          <w:b/>
          <w:sz w:val="21"/>
        </w:rPr>
      </w:pPr>
      <w:r>
        <w:rPr>
          <w:b/>
          <w:spacing w:val="-2"/>
          <w:sz w:val="21"/>
        </w:rPr>
        <w:t>特定疾病保险金</w:t>
      </w:r>
    </w:p>
    <w:p>
      <w:pPr>
        <w:pStyle w:val="BodyText"/>
        <w:spacing w:line="278" w:lineRule="auto" w:before="163"/>
        <w:ind w:left="1610" w:right="989"/>
        <w:jc w:val="both"/>
      </w:pPr>
      <w:r>
        <w:rPr>
          <w:spacing w:val="-2"/>
        </w:rPr>
        <w:t>若被保险人于等待期后经我们指定或认可的医院的专科医生确诊首次患有本合同约</w:t>
      </w:r>
      <w:r>
        <w:rPr>
          <w:spacing w:val="-4"/>
        </w:rPr>
        <w:t>定的重大疾病，</w:t>
      </w:r>
      <w:r>
        <w:rPr>
          <w:b/>
          <w:spacing w:val="-4"/>
        </w:rPr>
        <w:t>且符合下列三项情形之一的，</w:t>
      </w:r>
      <w:r>
        <w:rPr>
          <w:spacing w:val="-8"/>
        </w:rPr>
        <w:t>我们除按 </w:t>
      </w:r>
      <w:r>
        <w:rPr>
          <w:rFonts w:ascii="Times New Roman" w:eastAsia="Times New Roman"/>
          <w:spacing w:val="-4"/>
        </w:rPr>
        <w:t>2.5.3</w:t>
      </w:r>
      <w:r>
        <w:rPr>
          <w:rFonts w:ascii="Times New Roman" w:eastAsia="Times New Roman"/>
          <w:spacing w:val="21"/>
        </w:rPr>
        <w:t> </w:t>
      </w:r>
      <w:r>
        <w:rPr>
          <w:spacing w:val="-4"/>
        </w:rPr>
        <w:t>项的约定给付重大疾病</w:t>
      </w:r>
      <w:r>
        <w:rPr>
          <w:spacing w:val="-3"/>
        </w:rPr>
        <w:t>保险金外，还将按本合同基本保险金额的 </w:t>
      </w:r>
      <w:r>
        <w:rPr>
          <w:rFonts w:ascii="Times New Roman" w:eastAsia="Times New Roman"/>
          <w:b/>
        </w:rPr>
        <w:t>50%</w:t>
      </w:r>
      <w:r>
        <w:rPr/>
        <w:t>向被保险人给付特定疾病保险金：</w:t>
      </w:r>
    </w:p>
    <w:p>
      <w:pPr>
        <w:pStyle w:val="ListParagraph"/>
        <w:numPr>
          <w:ilvl w:val="3"/>
          <w:numId w:val="5"/>
        </w:numPr>
        <w:tabs>
          <w:tab w:pos="1981" w:val="left" w:leader="none"/>
          <w:tab w:pos="1982" w:val="left" w:leader="none"/>
        </w:tabs>
        <w:spacing w:line="278" w:lineRule="auto" w:before="156" w:after="0"/>
        <w:ind w:left="1970" w:right="1068" w:hanging="360"/>
        <w:jc w:val="left"/>
        <w:rPr>
          <w:sz w:val="21"/>
        </w:rPr>
      </w:pPr>
      <w:r>
        <w:rPr>
          <w:spacing w:val="-2"/>
          <w:sz w:val="21"/>
        </w:rPr>
        <w:t>该重大疾病属于本合同约定的</w:t>
      </w:r>
      <w:r>
        <w:rPr>
          <w:b/>
          <w:spacing w:val="-2"/>
          <w:sz w:val="21"/>
        </w:rPr>
        <w:t>少儿特定疾病（见释义）</w:t>
      </w:r>
      <w:r>
        <w:rPr>
          <w:spacing w:val="-2"/>
          <w:sz w:val="21"/>
        </w:rPr>
        <w:t>，且确诊时被保险人</w:t>
      </w:r>
      <w:r>
        <w:rPr>
          <w:b/>
          <w:spacing w:val="-2"/>
          <w:sz w:val="21"/>
        </w:rPr>
        <w:t>未</w:t>
      </w:r>
      <w:r>
        <w:rPr>
          <w:b/>
          <w:spacing w:val="-2"/>
          <w:sz w:val="21"/>
        </w:rPr>
        <w:t>满十八周岁</w:t>
      </w:r>
      <w:r>
        <w:rPr>
          <w:spacing w:val="-2"/>
          <w:sz w:val="21"/>
        </w:rPr>
        <w:t>；</w:t>
      </w:r>
    </w:p>
    <w:p>
      <w:pPr>
        <w:pStyle w:val="ListParagraph"/>
        <w:numPr>
          <w:ilvl w:val="3"/>
          <w:numId w:val="5"/>
        </w:numPr>
        <w:tabs>
          <w:tab w:pos="1981" w:val="left" w:leader="none"/>
          <w:tab w:pos="1982" w:val="left" w:leader="none"/>
        </w:tabs>
        <w:spacing w:line="278" w:lineRule="auto" w:before="156" w:after="0"/>
        <w:ind w:left="1970" w:right="1068" w:hanging="360"/>
        <w:jc w:val="left"/>
        <w:rPr>
          <w:sz w:val="21"/>
        </w:rPr>
      </w:pPr>
      <w:r>
        <w:rPr>
          <w:spacing w:val="-2"/>
          <w:sz w:val="21"/>
        </w:rPr>
        <w:t>该重大疾病属于本合同约定的</w:t>
      </w:r>
      <w:r>
        <w:rPr>
          <w:b/>
          <w:spacing w:val="-2"/>
          <w:sz w:val="21"/>
        </w:rPr>
        <w:t>男性特定疾病（见释义）</w:t>
      </w:r>
      <w:r>
        <w:rPr>
          <w:spacing w:val="-2"/>
          <w:sz w:val="21"/>
        </w:rPr>
        <w:t>，被保险人为</w:t>
      </w:r>
      <w:r>
        <w:rPr>
          <w:b/>
          <w:spacing w:val="-2"/>
          <w:sz w:val="21"/>
        </w:rPr>
        <w:t>男性</w:t>
      </w:r>
      <w:r>
        <w:rPr>
          <w:spacing w:val="-2"/>
          <w:sz w:val="21"/>
        </w:rPr>
        <w:t>，且</w:t>
      </w:r>
      <w:r>
        <w:rPr>
          <w:spacing w:val="-2"/>
          <w:sz w:val="21"/>
        </w:rPr>
        <w:t>确诊时被保险人</w:t>
      </w:r>
      <w:r>
        <w:rPr>
          <w:b/>
          <w:spacing w:val="-2"/>
          <w:sz w:val="21"/>
        </w:rPr>
        <w:t>年满十八周岁但未满八十周岁</w:t>
      </w:r>
      <w:r>
        <w:rPr>
          <w:spacing w:val="-2"/>
          <w:sz w:val="21"/>
        </w:rPr>
        <w:t>；</w:t>
      </w:r>
    </w:p>
    <w:p>
      <w:pPr>
        <w:pStyle w:val="ListParagraph"/>
        <w:numPr>
          <w:ilvl w:val="3"/>
          <w:numId w:val="5"/>
        </w:numPr>
        <w:tabs>
          <w:tab w:pos="1981" w:val="left" w:leader="none"/>
          <w:tab w:pos="1982" w:val="left" w:leader="none"/>
        </w:tabs>
        <w:spacing w:line="278" w:lineRule="auto" w:before="155" w:after="0"/>
        <w:ind w:left="1970" w:right="1068" w:hanging="360"/>
        <w:jc w:val="left"/>
        <w:rPr>
          <w:sz w:val="21"/>
        </w:rPr>
      </w:pPr>
      <w:r>
        <w:rPr>
          <w:spacing w:val="-2"/>
          <w:sz w:val="21"/>
        </w:rPr>
        <w:t>该重大疾病属于本合同约定的</w:t>
      </w:r>
      <w:r>
        <w:rPr>
          <w:b/>
          <w:spacing w:val="-2"/>
          <w:sz w:val="21"/>
        </w:rPr>
        <w:t>女性特定疾病（见释义）</w:t>
      </w:r>
      <w:r>
        <w:rPr>
          <w:spacing w:val="-2"/>
          <w:sz w:val="21"/>
        </w:rPr>
        <w:t>，被保险人为</w:t>
      </w:r>
      <w:r>
        <w:rPr>
          <w:b/>
          <w:spacing w:val="-2"/>
          <w:sz w:val="21"/>
        </w:rPr>
        <w:t>女性</w:t>
      </w:r>
      <w:r>
        <w:rPr>
          <w:spacing w:val="-2"/>
          <w:sz w:val="21"/>
        </w:rPr>
        <w:t>，且</w:t>
      </w:r>
      <w:r>
        <w:rPr>
          <w:spacing w:val="-2"/>
          <w:sz w:val="21"/>
        </w:rPr>
        <w:t>确诊时被保险人</w:t>
      </w:r>
      <w:r>
        <w:rPr>
          <w:b/>
          <w:spacing w:val="-2"/>
          <w:sz w:val="21"/>
        </w:rPr>
        <w:t>年满十八周岁但未满八十周岁</w:t>
      </w:r>
      <w:r>
        <w:rPr>
          <w:spacing w:val="-2"/>
          <w:sz w:val="21"/>
        </w:rPr>
        <w:t>。</w:t>
      </w:r>
    </w:p>
    <w:p>
      <w:pPr>
        <w:spacing w:before="157"/>
        <w:ind w:left="1610" w:right="0" w:firstLine="0"/>
        <w:jc w:val="left"/>
        <w:rPr>
          <w:b/>
          <w:sz w:val="21"/>
        </w:rPr>
      </w:pPr>
      <w:r>
        <w:rPr>
          <w:b/>
          <w:spacing w:val="-3"/>
          <w:sz w:val="21"/>
        </w:rPr>
        <w:t>本合同的特定疾病保险金给付次数以一次为限，给付后该项保险责任终止。</w:t>
      </w:r>
    </w:p>
    <w:p>
      <w:pPr>
        <w:pStyle w:val="BodyText"/>
        <w:spacing w:before="6"/>
        <w:rPr>
          <w:b/>
          <w:sz w:val="15"/>
        </w:rPr>
      </w:pPr>
    </w:p>
    <w:p>
      <w:pPr>
        <w:spacing w:line="278" w:lineRule="auto" w:before="0"/>
        <w:ind w:left="1610" w:right="1004" w:firstLine="0"/>
        <w:jc w:val="left"/>
        <w:rPr>
          <w:b/>
          <w:sz w:val="21"/>
        </w:rPr>
      </w:pPr>
      <w:r>
        <w:rPr>
          <w:b/>
          <w:spacing w:val="-2"/>
          <w:sz w:val="21"/>
        </w:rPr>
        <w:t>若被保险人在本合同生效前已发生上述某特定疾病，本合同生效后再次发生该特定</w:t>
      </w:r>
      <w:r>
        <w:rPr>
          <w:b/>
          <w:spacing w:val="-2"/>
          <w:sz w:val="21"/>
        </w:rPr>
        <w:t>疾病的，我们不承担特定疾病保险金的保险责任。</w:t>
      </w:r>
    </w:p>
    <w:p>
      <w:pPr>
        <w:pStyle w:val="ListParagraph"/>
        <w:numPr>
          <w:ilvl w:val="2"/>
          <w:numId w:val="5"/>
        </w:numPr>
        <w:tabs>
          <w:tab w:pos="1141" w:val="left" w:leader="none"/>
          <w:tab w:pos="1142" w:val="left" w:leader="none"/>
        </w:tabs>
        <w:spacing w:line="240" w:lineRule="auto" w:before="156" w:after="0"/>
        <w:ind w:left="1142" w:right="0" w:hanging="720"/>
        <w:jc w:val="left"/>
        <w:rPr>
          <w:b/>
          <w:sz w:val="21"/>
        </w:rPr>
      </w:pPr>
      <w:r>
        <w:rPr>
          <w:b/>
          <w:spacing w:val="-3"/>
          <w:sz w:val="21"/>
        </w:rPr>
        <w:t>轻症疾病保险金及轻症疾病豁免保险费</w:t>
      </w:r>
    </w:p>
    <w:p>
      <w:pPr>
        <w:pStyle w:val="BodyText"/>
        <w:spacing w:before="163"/>
        <w:ind w:left="1610"/>
      </w:pPr>
      <w:r>
        <w:rPr>
          <w:spacing w:val="-3"/>
        </w:rPr>
        <w:t>轻症疾病保险金及轻症疾病豁免保险费包括：轻症疾病保险金和轻症疾病豁免保险</w:t>
      </w:r>
    </w:p>
    <w:p>
      <w:pPr>
        <w:spacing w:after="0"/>
        <w:sectPr>
          <w:pgSz w:w="11910" w:h="16840"/>
          <w:pgMar w:top="1380" w:bottom="280" w:left="1280" w:right="420"/>
        </w:sectPr>
      </w:pPr>
    </w:p>
    <w:p>
      <w:pPr>
        <w:pStyle w:val="BodyText"/>
        <w:spacing w:before="44"/>
        <w:ind w:left="1610"/>
      </w:pPr>
      <w:r>
        <w:rPr>
          <w:spacing w:val="-5"/>
        </w:rPr>
        <w:t>费。</w:t>
      </w:r>
    </w:p>
    <w:p>
      <w:pPr>
        <w:pStyle w:val="BodyText"/>
        <w:rPr>
          <w:sz w:val="15"/>
        </w:rPr>
      </w:pPr>
    </w:p>
    <w:p>
      <w:pPr>
        <w:spacing w:line="278" w:lineRule="auto" w:before="0"/>
        <w:ind w:left="1610" w:right="1003" w:firstLine="0"/>
        <w:jc w:val="left"/>
        <w:rPr>
          <w:b/>
          <w:sz w:val="21"/>
        </w:rPr>
      </w:pPr>
      <w:r>
        <w:rPr>
          <w:b/>
          <w:spacing w:val="-2"/>
          <w:sz w:val="21"/>
        </w:rPr>
        <w:t>若被保险人在本合同生效前已发生某轻症疾病，本合同生效后再次发生该轻症疾病</w:t>
      </w:r>
      <w:r>
        <w:rPr>
          <w:b/>
          <w:spacing w:val="-2"/>
          <w:sz w:val="21"/>
        </w:rPr>
        <w:t>的，我们不承担轻症疾病保险金及轻症疾病豁免保险费的保险责任。</w:t>
      </w:r>
    </w:p>
    <w:p>
      <w:pPr>
        <w:pStyle w:val="ListParagraph"/>
        <w:numPr>
          <w:ilvl w:val="3"/>
          <w:numId w:val="6"/>
        </w:numPr>
        <w:tabs>
          <w:tab w:pos="1399" w:val="left" w:leader="none"/>
        </w:tabs>
        <w:spacing w:line="240" w:lineRule="auto" w:before="148" w:after="0"/>
        <w:ind w:left="1398" w:right="0" w:hanging="836"/>
        <w:jc w:val="both"/>
        <w:rPr>
          <w:b/>
          <w:sz w:val="22"/>
        </w:rPr>
      </w:pPr>
      <w:r>
        <w:rPr>
          <w:b/>
          <w:w w:val="95"/>
          <w:sz w:val="22"/>
        </w:rPr>
        <w:t>轻</w:t>
      </w:r>
      <w:r>
        <w:rPr>
          <w:b/>
          <w:w w:val="95"/>
          <w:sz w:val="22"/>
        </w:rPr>
        <w:t>症</w:t>
      </w:r>
      <w:r>
        <w:rPr>
          <w:b/>
          <w:w w:val="95"/>
          <w:sz w:val="22"/>
        </w:rPr>
        <w:t>疾</w:t>
      </w:r>
      <w:r>
        <w:rPr>
          <w:b/>
          <w:w w:val="95"/>
          <w:sz w:val="22"/>
        </w:rPr>
        <w:t>病</w:t>
      </w:r>
      <w:r>
        <w:rPr>
          <w:b/>
          <w:w w:val="95"/>
          <w:sz w:val="22"/>
        </w:rPr>
        <w:t>保</w:t>
      </w:r>
      <w:r>
        <w:rPr>
          <w:b/>
          <w:w w:val="95"/>
          <w:sz w:val="22"/>
        </w:rPr>
        <w:t>险</w:t>
      </w:r>
      <w:r>
        <w:rPr>
          <w:b/>
          <w:spacing w:val="-10"/>
          <w:w w:val="95"/>
          <w:sz w:val="22"/>
        </w:rPr>
        <w:t>金</w:t>
      </w:r>
    </w:p>
    <w:p>
      <w:pPr>
        <w:spacing w:line="278" w:lineRule="auto" w:before="158"/>
        <w:ind w:left="1610" w:right="989" w:firstLine="0"/>
        <w:jc w:val="both"/>
        <w:rPr>
          <w:b/>
          <w:sz w:val="21"/>
        </w:rPr>
      </w:pPr>
      <w:r>
        <w:rPr>
          <w:spacing w:val="-2"/>
          <w:sz w:val="21"/>
        </w:rPr>
        <w:t>若被保险人于等待期后经我们指定或认可的医院的专科医生确诊首次患有本合同约</w:t>
      </w:r>
      <w:r>
        <w:rPr>
          <w:spacing w:val="-3"/>
          <w:sz w:val="21"/>
        </w:rPr>
        <w:t>定的轻症疾病，我们将按本合同基本保险金额的 </w:t>
      </w:r>
      <w:r>
        <w:rPr>
          <w:rFonts w:ascii="Times New Roman" w:eastAsia="Times New Roman"/>
          <w:b/>
          <w:spacing w:val="-2"/>
          <w:sz w:val="21"/>
        </w:rPr>
        <w:t>30%</w:t>
      </w:r>
      <w:r>
        <w:rPr>
          <w:spacing w:val="-2"/>
          <w:sz w:val="21"/>
        </w:rPr>
        <w:t>向被保险人给付轻症疾病保险</w:t>
      </w:r>
      <w:r>
        <w:rPr>
          <w:spacing w:val="-2"/>
          <w:sz w:val="21"/>
        </w:rPr>
        <w:t>金。</w:t>
      </w:r>
      <w:r>
        <w:rPr>
          <w:b/>
          <w:spacing w:val="-2"/>
          <w:sz w:val="21"/>
        </w:rPr>
        <w:t>每种轻症疾病只给付一次轻症疾病保险金，给付后该种轻症疾病的保险责任终</w:t>
      </w:r>
      <w:r>
        <w:rPr>
          <w:b/>
          <w:spacing w:val="-6"/>
          <w:sz w:val="21"/>
        </w:rPr>
        <w:t>止。</w:t>
      </w:r>
    </w:p>
    <w:p>
      <w:pPr>
        <w:spacing w:line="278" w:lineRule="auto" w:before="156"/>
        <w:ind w:left="1610" w:right="1004" w:firstLine="0"/>
        <w:jc w:val="left"/>
        <w:rPr>
          <w:sz w:val="21"/>
        </w:rPr>
      </w:pPr>
      <w:r>
        <w:rPr>
          <w:b/>
          <w:spacing w:val="-2"/>
          <w:sz w:val="21"/>
        </w:rPr>
        <w:t>本合同的轻症疾病保险金给付次数以三次为限，当累计给付次数达到三次时，轻症</w:t>
      </w:r>
      <w:r>
        <w:rPr>
          <w:b/>
          <w:spacing w:val="-2"/>
          <w:sz w:val="21"/>
        </w:rPr>
        <w:t>疾病保险金的保险责任终止</w:t>
      </w:r>
      <w:r>
        <w:rPr>
          <w:spacing w:val="-2"/>
          <w:sz w:val="21"/>
        </w:rPr>
        <w:t>。</w:t>
      </w:r>
    </w:p>
    <w:p>
      <w:pPr>
        <w:spacing w:line="278" w:lineRule="auto" w:before="155"/>
        <w:ind w:left="1610" w:right="886" w:firstLine="0"/>
        <w:jc w:val="left"/>
        <w:rPr>
          <w:b/>
          <w:sz w:val="21"/>
        </w:rPr>
      </w:pPr>
      <w:r>
        <w:rPr>
          <w:b/>
          <w:spacing w:val="-10"/>
          <w:sz w:val="21"/>
        </w:rPr>
        <w:t>若被保险人因同一疾病原因、同次医疗行为或同次意外伤害事故被确诊的多种疾病，</w:t>
      </w:r>
      <w:r>
        <w:rPr>
          <w:b/>
          <w:spacing w:val="-9"/>
          <w:sz w:val="21"/>
        </w:rPr>
        <w:t>均符合本合同约定的轻症疾病定义的，我们仅按一种轻症疾病给付轻症疾病保险金。</w:t>
      </w:r>
    </w:p>
    <w:p>
      <w:pPr>
        <w:spacing w:line="278" w:lineRule="auto" w:before="157"/>
        <w:ind w:left="1610" w:right="1004" w:firstLine="0"/>
        <w:jc w:val="both"/>
        <w:rPr>
          <w:b/>
          <w:sz w:val="21"/>
        </w:rPr>
      </w:pPr>
      <w:r>
        <w:rPr>
          <w:b/>
          <w:spacing w:val="-2"/>
          <w:sz w:val="21"/>
        </w:rPr>
        <w:t>若被保险人因同一疾病原因、同次医疗行为或同次意外伤害事故被确诊的疾病，符</w:t>
      </w:r>
      <w:r>
        <w:rPr>
          <w:b/>
          <w:spacing w:val="-2"/>
          <w:sz w:val="21"/>
        </w:rPr>
        <w:t>合本合同约定的轻症疾病定义和重大疾病定义的，我们仅承担给付重大疾病保险金</w:t>
      </w:r>
      <w:r>
        <w:rPr>
          <w:b/>
          <w:spacing w:val="-2"/>
          <w:sz w:val="21"/>
        </w:rPr>
        <w:t>的保险责任。</w:t>
      </w:r>
    </w:p>
    <w:p>
      <w:pPr>
        <w:spacing w:line="278" w:lineRule="auto" w:before="156"/>
        <w:ind w:left="1610" w:right="1003" w:firstLine="0"/>
        <w:jc w:val="both"/>
        <w:rPr>
          <w:b/>
          <w:sz w:val="21"/>
        </w:rPr>
      </w:pPr>
      <w:r>
        <w:rPr>
          <w:b/>
          <w:spacing w:val="-2"/>
          <w:sz w:val="21"/>
        </w:rPr>
        <w:t>若被保险人因同一疾病原因、同次医疗行为或同次意外伤害事故被确诊的疾病，符</w:t>
      </w:r>
      <w:r>
        <w:rPr>
          <w:b/>
          <w:spacing w:val="-2"/>
          <w:sz w:val="21"/>
        </w:rPr>
        <w:t>合本合同约定的轻症疾病定义和全残定义的，我们仅承担给付全残保险金的保险责</w:t>
      </w:r>
      <w:r>
        <w:rPr>
          <w:b/>
          <w:spacing w:val="-6"/>
          <w:sz w:val="21"/>
        </w:rPr>
        <w:t>任。</w:t>
      </w:r>
    </w:p>
    <w:p>
      <w:pPr>
        <w:pStyle w:val="ListParagraph"/>
        <w:numPr>
          <w:ilvl w:val="3"/>
          <w:numId w:val="6"/>
        </w:numPr>
        <w:tabs>
          <w:tab w:pos="1416" w:val="left" w:leader="none"/>
        </w:tabs>
        <w:spacing w:line="240" w:lineRule="auto" w:before="155" w:after="0"/>
        <w:ind w:left="1415" w:right="0" w:hanging="853"/>
        <w:jc w:val="both"/>
        <w:rPr>
          <w:b/>
          <w:sz w:val="21"/>
        </w:rPr>
      </w:pPr>
      <w:r>
        <w:rPr>
          <w:b/>
          <w:spacing w:val="-2"/>
          <w:sz w:val="21"/>
        </w:rPr>
        <w:t>轻症疾病豁免保险费</w:t>
      </w:r>
    </w:p>
    <w:p>
      <w:pPr>
        <w:pStyle w:val="BodyText"/>
        <w:spacing w:line="278" w:lineRule="auto" w:before="163"/>
        <w:ind w:left="1610" w:right="1025"/>
        <w:jc w:val="both"/>
      </w:pPr>
      <w:r>
        <w:rPr>
          <w:spacing w:val="-2"/>
        </w:rPr>
        <w:t>若被保险人于等待期后经我们指定或认可的医院的专科医生确诊首次患有本合同约</w:t>
      </w:r>
      <w:r>
        <w:rPr>
          <w:spacing w:val="-2"/>
        </w:rPr>
        <w:t>定的轻症疾病，则我们自确诊后的下一个保险费约定支付日开始，豁免本合同应交</w:t>
      </w:r>
      <w:r>
        <w:rPr>
          <w:spacing w:val="-2"/>
        </w:rPr>
        <w:t>纳的各期保险费至交费期限届满为止。</w:t>
      </w:r>
    </w:p>
    <w:p>
      <w:pPr>
        <w:pStyle w:val="BodyText"/>
        <w:spacing w:before="156"/>
        <w:ind w:left="1610"/>
      </w:pPr>
      <w:r>
        <w:rPr>
          <w:spacing w:val="-3"/>
        </w:rPr>
        <w:t>被豁免的保险费视为已交纳，同时本合同继续有效。</w:t>
      </w:r>
    </w:p>
    <w:p>
      <w:pPr>
        <w:pStyle w:val="BodyText"/>
        <w:rPr>
          <w:sz w:val="15"/>
        </w:rPr>
      </w:pPr>
    </w:p>
    <w:p>
      <w:pPr>
        <w:spacing w:before="0"/>
        <w:ind w:left="1610" w:right="0" w:firstLine="0"/>
        <w:jc w:val="left"/>
        <w:rPr>
          <w:b/>
          <w:sz w:val="21"/>
        </w:rPr>
      </w:pPr>
      <w:r>
        <w:rPr>
          <w:b/>
          <w:spacing w:val="-3"/>
          <w:sz w:val="21"/>
        </w:rPr>
        <w:t>在豁免保险费期间，我们不接受本合同基本保险金额以及交费方式的变更。</w:t>
      </w:r>
    </w:p>
    <w:p>
      <w:pPr>
        <w:pStyle w:val="BodyText"/>
        <w:spacing w:before="6"/>
        <w:rPr>
          <w:b/>
          <w:sz w:val="15"/>
        </w:rPr>
      </w:pPr>
    </w:p>
    <w:p>
      <w:pPr>
        <w:pStyle w:val="ListParagraph"/>
        <w:numPr>
          <w:ilvl w:val="1"/>
          <w:numId w:val="3"/>
        </w:numPr>
        <w:tabs>
          <w:tab w:pos="714" w:val="left" w:leader="none"/>
          <w:tab w:pos="715" w:val="left" w:leader="none"/>
        </w:tabs>
        <w:spacing w:line="240" w:lineRule="auto" w:before="1" w:after="0"/>
        <w:ind w:left="714" w:right="0" w:hanging="577"/>
        <w:jc w:val="left"/>
        <w:rPr>
          <w:b/>
          <w:sz w:val="21"/>
        </w:rPr>
      </w:pPr>
      <w:bookmarkStart w:name="_bookmark13" w:id="23"/>
      <w:bookmarkEnd w:id="23"/>
      <w:r>
        <w:rPr/>
      </w:r>
      <w:bookmarkStart w:name="_bookmark12" w:id="24"/>
      <w:bookmarkEnd w:id="24"/>
      <w:r>
        <w:rPr/>
      </w:r>
      <w:bookmarkStart w:name="_bookmark12" w:id="25"/>
      <w:bookmarkEnd w:id="25"/>
      <w:r>
        <w:rPr>
          <w:b/>
          <w:spacing w:val="-3"/>
          <w:sz w:val="21"/>
        </w:rPr>
        <w:t>责任免除</w:t>
      </w:r>
    </w:p>
    <w:p>
      <w:pPr>
        <w:pStyle w:val="BodyText"/>
        <w:spacing w:before="6"/>
        <w:rPr>
          <w:b/>
          <w:sz w:val="15"/>
        </w:rPr>
      </w:pPr>
    </w:p>
    <w:p>
      <w:pPr>
        <w:spacing w:line="278" w:lineRule="auto" w:before="0"/>
        <w:ind w:left="1610" w:right="1003" w:firstLine="0"/>
        <w:jc w:val="both"/>
        <w:rPr>
          <w:b/>
          <w:sz w:val="21"/>
        </w:rPr>
      </w:pPr>
      <w:r>
        <w:rPr>
          <w:b/>
          <w:spacing w:val="-2"/>
          <w:sz w:val="21"/>
        </w:rPr>
        <w:t>在本合同有效期内，因下列情形之一，导致被保险人身故、全残或患有本合同约定</w:t>
      </w:r>
      <w:r>
        <w:rPr>
          <w:b/>
          <w:spacing w:val="-2"/>
          <w:sz w:val="21"/>
        </w:rPr>
        <w:t>的重大疾病、轻症疾病、少儿特定疾病、男性特定疾病、女性特定疾病，我们不承</w:t>
      </w:r>
      <w:r>
        <w:rPr>
          <w:b/>
          <w:spacing w:val="-2"/>
          <w:sz w:val="21"/>
        </w:rPr>
        <w:t>担给付相应保险金的责任：</w:t>
      </w:r>
    </w:p>
    <w:p>
      <w:pPr>
        <w:pStyle w:val="ListParagraph"/>
        <w:numPr>
          <w:ilvl w:val="2"/>
          <w:numId w:val="3"/>
        </w:numPr>
        <w:tabs>
          <w:tab w:pos="1970" w:val="left" w:leader="none"/>
        </w:tabs>
        <w:spacing w:line="240" w:lineRule="auto" w:before="156" w:after="0"/>
        <w:ind w:left="1970" w:right="0" w:hanging="360"/>
        <w:jc w:val="both"/>
        <w:rPr>
          <w:rFonts w:ascii="Times New Roman" w:eastAsia="Times New Roman"/>
          <w:b/>
          <w:sz w:val="21"/>
        </w:rPr>
      </w:pPr>
      <w:r>
        <w:rPr>
          <w:b/>
          <w:spacing w:val="-3"/>
          <w:sz w:val="21"/>
        </w:rPr>
        <w:t>您对被保险人的故意杀害、故意伤害；</w:t>
      </w:r>
    </w:p>
    <w:p>
      <w:pPr>
        <w:pStyle w:val="BodyText"/>
        <w:rPr>
          <w:b/>
          <w:sz w:val="15"/>
        </w:rPr>
      </w:pPr>
    </w:p>
    <w:p>
      <w:pPr>
        <w:pStyle w:val="ListParagraph"/>
        <w:numPr>
          <w:ilvl w:val="2"/>
          <w:numId w:val="3"/>
        </w:numPr>
        <w:tabs>
          <w:tab w:pos="1970" w:val="left" w:leader="none"/>
        </w:tabs>
        <w:spacing w:line="240" w:lineRule="auto" w:before="0" w:after="0"/>
        <w:ind w:left="1970" w:right="0" w:hanging="360"/>
        <w:jc w:val="both"/>
        <w:rPr>
          <w:rFonts w:ascii="Times New Roman" w:eastAsia="Times New Roman"/>
          <w:b/>
          <w:sz w:val="21"/>
        </w:rPr>
      </w:pPr>
      <w:r>
        <w:rPr>
          <w:b/>
          <w:spacing w:val="-3"/>
          <w:sz w:val="21"/>
        </w:rPr>
        <w:t>被保险人故意犯罪或抗拒依法采取的刑事强制措施；</w:t>
      </w:r>
    </w:p>
    <w:p>
      <w:pPr>
        <w:pStyle w:val="BodyText"/>
        <w:rPr>
          <w:b/>
          <w:sz w:val="15"/>
        </w:rPr>
      </w:pPr>
    </w:p>
    <w:p>
      <w:pPr>
        <w:pStyle w:val="ListParagraph"/>
        <w:numPr>
          <w:ilvl w:val="2"/>
          <w:numId w:val="3"/>
        </w:numPr>
        <w:tabs>
          <w:tab w:pos="1969" w:val="left" w:leader="none"/>
          <w:tab w:pos="1970" w:val="left" w:leader="none"/>
        </w:tabs>
        <w:spacing w:line="278" w:lineRule="auto" w:before="0" w:after="0"/>
        <w:ind w:left="1970" w:right="994" w:hanging="360"/>
        <w:jc w:val="left"/>
        <w:rPr>
          <w:rFonts w:ascii="Times New Roman" w:eastAsia="Times New Roman"/>
          <w:b/>
          <w:sz w:val="21"/>
        </w:rPr>
      </w:pPr>
      <w:r>
        <w:rPr>
          <w:b/>
          <w:spacing w:val="-1"/>
          <w:sz w:val="21"/>
        </w:rPr>
        <w:t>被保险人故意自伤、或自本合同成立或者本合同效力恢复之日起 </w:t>
      </w:r>
      <w:r>
        <w:rPr>
          <w:rFonts w:ascii="Times New Roman" w:eastAsia="Times New Roman"/>
          <w:b/>
          <w:sz w:val="21"/>
        </w:rPr>
        <w:t>2</w:t>
      </w:r>
      <w:r>
        <w:rPr>
          <w:rFonts w:ascii="Times New Roman" w:eastAsia="Times New Roman"/>
          <w:b/>
          <w:spacing w:val="13"/>
          <w:sz w:val="21"/>
        </w:rPr>
        <w:t> </w:t>
      </w:r>
      <w:r>
        <w:rPr>
          <w:b/>
          <w:sz w:val="21"/>
        </w:rPr>
        <w:t>年内自杀，</w:t>
      </w:r>
      <w:r>
        <w:rPr>
          <w:b/>
          <w:spacing w:val="-2"/>
          <w:sz w:val="21"/>
        </w:rPr>
        <w:t>但被保险人自杀时为无民事行为能力人的除外；</w:t>
      </w:r>
    </w:p>
    <w:p>
      <w:pPr>
        <w:pStyle w:val="ListParagraph"/>
        <w:numPr>
          <w:ilvl w:val="2"/>
          <w:numId w:val="3"/>
        </w:numPr>
        <w:tabs>
          <w:tab w:pos="1970" w:val="left" w:leader="none"/>
        </w:tabs>
        <w:spacing w:line="240" w:lineRule="auto" w:before="156" w:after="0"/>
        <w:ind w:left="1970" w:right="0" w:hanging="360"/>
        <w:jc w:val="both"/>
        <w:rPr>
          <w:rFonts w:ascii="Times New Roman" w:eastAsia="Times New Roman"/>
          <w:b/>
          <w:sz w:val="21"/>
        </w:rPr>
      </w:pPr>
      <w:r>
        <w:rPr>
          <w:b/>
          <w:spacing w:val="-2"/>
          <w:sz w:val="21"/>
        </w:rPr>
        <w:t>被保险人服用、吸食或注射毒品（见释义</w:t>
      </w:r>
      <w:r>
        <w:rPr>
          <w:b/>
          <w:spacing w:val="-111"/>
          <w:sz w:val="21"/>
        </w:rPr>
        <w:t>）</w:t>
      </w:r>
      <w:r>
        <w:rPr>
          <w:b/>
          <w:spacing w:val="-5"/>
          <w:sz w:val="21"/>
        </w:rPr>
        <w:t>；</w:t>
      </w:r>
    </w:p>
    <w:p>
      <w:pPr>
        <w:pStyle w:val="BodyText"/>
        <w:rPr>
          <w:b/>
          <w:sz w:val="15"/>
        </w:rPr>
      </w:pPr>
    </w:p>
    <w:p>
      <w:pPr>
        <w:pStyle w:val="ListParagraph"/>
        <w:numPr>
          <w:ilvl w:val="2"/>
          <w:numId w:val="3"/>
        </w:numPr>
        <w:tabs>
          <w:tab w:pos="1969" w:val="left" w:leader="none"/>
          <w:tab w:pos="1970" w:val="left" w:leader="none"/>
        </w:tabs>
        <w:spacing w:line="278" w:lineRule="auto" w:before="0" w:after="0"/>
        <w:ind w:left="1970" w:right="989" w:hanging="360"/>
        <w:jc w:val="left"/>
        <w:rPr>
          <w:rFonts w:ascii="Times New Roman" w:eastAsia="Times New Roman"/>
          <w:b/>
          <w:sz w:val="21"/>
        </w:rPr>
      </w:pPr>
      <w:r>
        <w:rPr>
          <w:b/>
          <w:spacing w:val="-2"/>
          <w:sz w:val="21"/>
        </w:rPr>
        <w:t>被保险人酒后驾驶（见释义</w:t>
      </w:r>
      <w:r>
        <w:rPr>
          <w:b/>
          <w:spacing w:val="-103"/>
          <w:sz w:val="21"/>
        </w:rPr>
        <w:t>）</w:t>
      </w:r>
      <w:r>
        <w:rPr>
          <w:b/>
          <w:spacing w:val="-2"/>
          <w:sz w:val="21"/>
        </w:rPr>
        <w:t>，无合法有效驾驶证驾驶（见释义</w:t>
      </w:r>
      <w:r>
        <w:rPr>
          <w:b/>
          <w:spacing w:val="-54"/>
          <w:sz w:val="21"/>
        </w:rPr>
        <w:t>）</w:t>
      </w:r>
      <w:r>
        <w:rPr>
          <w:b/>
          <w:spacing w:val="5"/>
          <w:sz w:val="21"/>
        </w:rPr>
        <w:t>，或驾驶无合</w:t>
      </w:r>
      <w:r>
        <w:rPr>
          <w:b/>
          <w:spacing w:val="-2"/>
          <w:sz w:val="21"/>
        </w:rPr>
        <w:t>法有效行驶证（见释义）的机动车；</w:t>
      </w:r>
    </w:p>
    <w:p>
      <w:pPr>
        <w:spacing w:after="0" w:line="278" w:lineRule="auto"/>
        <w:jc w:val="left"/>
        <w:rPr>
          <w:rFonts w:ascii="Times New Roman" w:eastAsia="Times New Roman"/>
          <w:sz w:val="21"/>
        </w:rPr>
        <w:sectPr>
          <w:pgSz w:w="11910" w:h="16840"/>
          <w:pgMar w:top="1400" w:bottom="280" w:left="1280" w:right="420"/>
        </w:sectPr>
      </w:pPr>
    </w:p>
    <w:p>
      <w:pPr>
        <w:pStyle w:val="ListParagraph"/>
        <w:numPr>
          <w:ilvl w:val="2"/>
          <w:numId w:val="3"/>
        </w:numPr>
        <w:tabs>
          <w:tab w:pos="1969" w:val="left" w:leader="none"/>
          <w:tab w:pos="1970" w:val="left" w:leader="none"/>
        </w:tabs>
        <w:spacing w:line="240" w:lineRule="auto" w:before="64" w:after="0"/>
        <w:ind w:left="1970" w:right="0" w:hanging="360"/>
        <w:jc w:val="left"/>
        <w:rPr>
          <w:rFonts w:ascii="Times New Roman" w:eastAsia="Times New Roman"/>
          <w:b/>
          <w:sz w:val="21"/>
        </w:rPr>
      </w:pPr>
      <w:r>
        <w:rPr>
          <w:b/>
          <w:spacing w:val="-2"/>
          <w:sz w:val="21"/>
        </w:rPr>
        <w:t>被保险人感染艾滋病病毒或患艾滋病（见释义</w:t>
      </w:r>
      <w:r>
        <w:rPr>
          <w:b/>
          <w:spacing w:val="-113"/>
          <w:sz w:val="21"/>
        </w:rPr>
        <w:t>）</w:t>
      </w:r>
      <w:r>
        <w:rPr>
          <w:b/>
          <w:spacing w:val="-5"/>
          <w:sz w:val="21"/>
        </w:rPr>
        <w:t>；</w:t>
      </w:r>
    </w:p>
    <w:p>
      <w:pPr>
        <w:pStyle w:val="BodyText"/>
        <w:rPr>
          <w:b/>
          <w:sz w:val="15"/>
        </w:rPr>
      </w:pPr>
    </w:p>
    <w:p>
      <w:pPr>
        <w:pStyle w:val="ListParagraph"/>
        <w:numPr>
          <w:ilvl w:val="2"/>
          <w:numId w:val="3"/>
        </w:numPr>
        <w:tabs>
          <w:tab w:pos="1969" w:val="left" w:leader="none"/>
          <w:tab w:pos="1970" w:val="left" w:leader="none"/>
        </w:tabs>
        <w:spacing w:line="240" w:lineRule="auto" w:before="0" w:after="0"/>
        <w:ind w:left="1970" w:right="0" w:hanging="360"/>
        <w:jc w:val="left"/>
        <w:rPr>
          <w:rFonts w:ascii="Times New Roman" w:eastAsia="Times New Roman"/>
          <w:b/>
          <w:sz w:val="21"/>
        </w:rPr>
      </w:pPr>
      <w:r>
        <w:rPr>
          <w:b/>
          <w:spacing w:val="-3"/>
          <w:sz w:val="21"/>
        </w:rPr>
        <w:t>战争、军事冲突、暴乱或武装叛乱；</w:t>
      </w:r>
    </w:p>
    <w:p>
      <w:pPr>
        <w:pStyle w:val="BodyText"/>
        <w:rPr>
          <w:b/>
          <w:sz w:val="15"/>
        </w:rPr>
      </w:pPr>
    </w:p>
    <w:p>
      <w:pPr>
        <w:pStyle w:val="ListParagraph"/>
        <w:numPr>
          <w:ilvl w:val="2"/>
          <w:numId w:val="3"/>
        </w:numPr>
        <w:tabs>
          <w:tab w:pos="1969" w:val="left" w:leader="none"/>
          <w:tab w:pos="1970" w:val="left" w:leader="none"/>
        </w:tabs>
        <w:spacing w:line="240" w:lineRule="auto" w:before="0" w:after="0"/>
        <w:ind w:left="1970" w:right="0" w:hanging="360"/>
        <w:jc w:val="left"/>
        <w:rPr>
          <w:rFonts w:ascii="Times New Roman" w:eastAsia="Times New Roman"/>
          <w:b/>
          <w:sz w:val="21"/>
        </w:rPr>
      </w:pPr>
      <w:r>
        <w:rPr>
          <w:b/>
          <w:spacing w:val="-3"/>
          <w:sz w:val="21"/>
        </w:rPr>
        <w:t>核爆炸、核辐射或核污染；</w:t>
      </w:r>
    </w:p>
    <w:p>
      <w:pPr>
        <w:pStyle w:val="BodyText"/>
        <w:rPr>
          <w:b/>
          <w:sz w:val="15"/>
        </w:rPr>
      </w:pPr>
    </w:p>
    <w:p>
      <w:pPr>
        <w:pStyle w:val="ListParagraph"/>
        <w:numPr>
          <w:ilvl w:val="2"/>
          <w:numId w:val="3"/>
        </w:numPr>
        <w:tabs>
          <w:tab w:pos="1969" w:val="left" w:leader="none"/>
          <w:tab w:pos="1970" w:val="left" w:leader="none"/>
        </w:tabs>
        <w:spacing w:line="240" w:lineRule="auto" w:before="0" w:after="0"/>
        <w:ind w:left="1970" w:right="0" w:hanging="360"/>
        <w:jc w:val="left"/>
        <w:rPr>
          <w:rFonts w:ascii="Times New Roman" w:eastAsia="Times New Roman"/>
          <w:b/>
          <w:sz w:val="21"/>
        </w:rPr>
      </w:pPr>
      <w:r>
        <w:rPr>
          <w:b/>
          <w:spacing w:val="-2"/>
          <w:sz w:val="21"/>
        </w:rPr>
        <w:t>遗传性疾病（见释义</w:t>
      </w:r>
      <w:r>
        <w:rPr>
          <w:b/>
          <w:spacing w:val="-108"/>
          <w:sz w:val="21"/>
        </w:rPr>
        <w:t>）</w:t>
      </w:r>
      <w:r>
        <w:rPr>
          <w:b/>
          <w:spacing w:val="-2"/>
          <w:sz w:val="21"/>
        </w:rPr>
        <w:t>，先天性畸形、变形或染色体异常（见释义</w:t>
      </w:r>
      <w:r>
        <w:rPr>
          <w:b/>
          <w:spacing w:val="-106"/>
          <w:sz w:val="21"/>
        </w:rPr>
        <w:t>）</w:t>
      </w:r>
      <w:r>
        <w:rPr>
          <w:b/>
          <w:spacing w:val="-10"/>
          <w:sz w:val="21"/>
        </w:rPr>
        <w:t>。</w:t>
      </w:r>
    </w:p>
    <w:p>
      <w:pPr>
        <w:pStyle w:val="BodyText"/>
        <w:spacing w:before="6"/>
        <w:rPr>
          <w:b/>
          <w:sz w:val="15"/>
        </w:rPr>
      </w:pPr>
    </w:p>
    <w:p>
      <w:pPr>
        <w:spacing w:line="278" w:lineRule="auto" w:before="1"/>
        <w:ind w:left="1610" w:right="1004" w:firstLine="0"/>
        <w:jc w:val="left"/>
        <w:rPr>
          <w:b/>
          <w:sz w:val="21"/>
        </w:rPr>
      </w:pPr>
      <w:r>
        <w:rPr>
          <w:b/>
          <w:spacing w:val="-9"/>
          <w:sz w:val="21"/>
        </w:rPr>
        <w:t>发生上述第 </w:t>
      </w:r>
      <w:r>
        <w:rPr>
          <w:rFonts w:ascii="Times New Roman" w:eastAsia="Times New Roman"/>
          <w:b/>
          <w:sz w:val="21"/>
        </w:rPr>
        <w:t>1</w:t>
      </w:r>
      <w:r>
        <w:rPr>
          <w:rFonts w:ascii="Times New Roman" w:eastAsia="Times New Roman"/>
          <w:b/>
          <w:spacing w:val="-14"/>
          <w:sz w:val="21"/>
        </w:rPr>
        <w:t> </w:t>
      </w:r>
      <w:r>
        <w:rPr>
          <w:b/>
          <w:sz w:val="21"/>
        </w:rPr>
        <w:t>项情形导致被保险人身故的，本合同效力终止，我们向被保险人的继</w:t>
      </w:r>
      <w:r>
        <w:rPr>
          <w:b/>
          <w:spacing w:val="-2"/>
          <w:sz w:val="21"/>
        </w:rPr>
        <w:t>承人退还本合同的现金价值（见释义），但法律另有规定的除外。</w:t>
      </w:r>
    </w:p>
    <w:p>
      <w:pPr>
        <w:spacing w:line="278" w:lineRule="auto" w:before="155"/>
        <w:ind w:left="1610" w:right="1004" w:firstLine="0"/>
        <w:jc w:val="left"/>
        <w:rPr>
          <w:b/>
          <w:sz w:val="21"/>
        </w:rPr>
      </w:pPr>
      <w:r>
        <w:rPr>
          <w:b/>
          <w:spacing w:val="-9"/>
          <w:sz w:val="21"/>
        </w:rPr>
        <w:t>发生上述第 </w:t>
      </w:r>
      <w:r>
        <w:rPr>
          <w:rFonts w:ascii="Times New Roman" w:eastAsia="Times New Roman"/>
          <w:b/>
          <w:sz w:val="21"/>
        </w:rPr>
        <w:t>1</w:t>
      </w:r>
      <w:r>
        <w:rPr>
          <w:rFonts w:ascii="Times New Roman" w:eastAsia="Times New Roman"/>
          <w:b/>
          <w:spacing w:val="-14"/>
          <w:sz w:val="21"/>
        </w:rPr>
        <w:t> </w:t>
      </w:r>
      <w:r>
        <w:rPr>
          <w:b/>
          <w:sz w:val="21"/>
        </w:rPr>
        <w:t>项情形导致被保险人全残的，本合同效力终止，我们向被保险人退还</w:t>
      </w:r>
      <w:r>
        <w:rPr>
          <w:b/>
          <w:spacing w:val="-2"/>
          <w:sz w:val="21"/>
        </w:rPr>
        <w:t>本合同的现金价值。</w:t>
      </w:r>
    </w:p>
    <w:p>
      <w:pPr>
        <w:spacing w:line="278" w:lineRule="auto" w:before="156"/>
        <w:ind w:left="1610" w:right="1004" w:firstLine="0"/>
        <w:jc w:val="left"/>
        <w:rPr>
          <w:b/>
          <w:sz w:val="21"/>
        </w:rPr>
      </w:pPr>
      <w:r>
        <w:rPr>
          <w:b/>
          <w:spacing w:val="-2"/>
          <w:sz w:val="21"/>
        </w:rPr>
        <w:t>发生上述其他情形导致被保险人身故或全残的，本合同效力终止，我们向您退还本</w:t>
      </w:r>
      <w:r>
        <w:rPr>
          <w:b/>
          <w:spacing w:val="-2"/>
          <w:sz w:val="21"/>
        </w:rPr>
        <w:t>合同的现金价值。</w:t>
      </w:r>
    </w:p>
    <w:p>
      <w:pPr>
        <w:pStyle w:val="ListParagraph"/>
        <w:numPr>
          <w:ilvl w:val="1"/>
          <w:numId w:val="3"/>
        </w:numPr>
        <w:tabs>
          <w:tab w:pos="714" w:val="left" w:leader="none"/>
          <w:tab w:pos="715" w:val="left" w:leader="none"/>
        </w:tabs>
        <w:spacing w:line="240" w:lineRule="auto" w:before="156" w:after="0"/>
        <w:ind w:left="714" w:right="0" w:hanging="577"/>
        <w:jc w:val="left"/>
        <w:rPr>
          <w:b/>
          <w:sz w:val="21"/>
        </w:rPr>
      </w:pPr>
      <w:bookmarkStart w:name="_bookmark14" w:id="26"/>
      <w:bookmarkEnd w:id="26"/>
      <w:r>
        <w:rPr/>
      </w:r>
      <w:bookmarkStart w:name="_bookmark14" w:id="27"/>
      <w:bookmarkEnd w:id="27"/>
      <w:r>
        <w:rPr>
          <w:b/>
          <w:spacing w:val="-3"/>
          <w:sz w:val="21"/>
        </w:rPr>
        <w:t>其他免除保险责任条款</w:t>
      </w:r>
    </w:p>
    <w:p>
      <w:pPr>
        <w:pStyle w:val="BodyText"/>
        <w:rPr>
          <w:b/>
          <w:sz w:val="15"/>
        </w:rPr>
      </w:pPr>
    </w:p>
    <w:p>
      <w:pPr>
        <w:spacing w:line="278" w:lineRule="auto" w:before="0"/>
        <w:ind w:left="1610" w:right="886" w:firstLine="0"/>
        <w:jc w:val="left"/>
        <w:rPr>
          <w:b/>
          <w:sz w:val="21"/>
        </w:rPr>
      </w:pPr>
      <w:r>
        <w:rPr>
          <w:b/>
          <w:sz w:val="21"/>
        </w:rPr>
        <w:t>除“</w:t>
      </w:r>
      <w:r>
        <w:rPr>
          <w:rFonts w:ascii="Times New Roman" w:hAnsi="Times New Roman" w:eastAsia="Times New Roman"/>
          <w:b/>
          <w:sz w:val="21"/>
        </w:rPr>
        <w:t>2.6</w:t>
      </w:r>
      <w:r>
        <w:rPr>
          <w:rFonts w:ascii="Times New Roman" w:hAnsi="Times New Roman" w:eastAsia="Times New Roman"/>
          <w:b/>
          <w:spacing w:val="50"/>
          <w:sz w:val="21"/>
        </w:rPr>
        <w:t> </w:t>
      </w:r>
      <w:r>
        <w:rPr>
          <w:b/>
          <w:sz w:val="21"/>
        </w:rPr>
        <w:t>责任免除”外，本合同中还有一些免除本公司责任的条款，详见“</w:t>
      </w:r>
      <w:r>
        <w:rPr>
          <w:rFonts w:ascii="Times New Roman" w:hAnsi="Times New Roman" w:eastAsia="Times New Roman"/>
          <w:b/>
          <w:sz w:val="21"/>
        </w:rPr>
        <w:t>1.4 </w:t>
      </w:r>
      <w:r>
        <w:rPr>
          <w:b/>
          <w:sz w:val="21"/>
        </w:rPr>
        <w:t>犹豫</w:t>
      </w:r>
      <w:r>
        <w:rPr>
          <w:b/>
          <w:spacing w:val="-4"/>
          <w:sz w:val="21"/>
        </w:rPr>
        <w:t>期”、“</w:t>
      </w:r>
      <w:r>
        <w:rPr>
          <w:rFonts w:ascii="Times New Roman" w:hAnsi="Times New Roman" w:eastAsia="Times New Roman"/>
          <w:b/>
          <w:spacing w:val="-4"/>
          <w:sz w:val="21"/>
        </w:rPr>
        <w:t>2.4</w:t>
      </w:r>
      <w:r>
        <w:rPr>
          <w:rFonts w:ascii="Times New Roman" w:hAnsi="Times New Roman" w:eastAsia="Times New Roman"/>
          <w:b/>
          <w:spacing w:val="14"/>
          <w:sz w:val="21"/>
        </w:rPr>
        <w:t> </w:t>
      </w:r>
      <w:r>
        <w:rPr>
          <w:b/>
          <w:spacing w:val="-4"/>
          <w:sz w:val="21"/>
        </w:rPr>
        <w:t>等待期”、“</w:t>
      </w:r>
      <w:r>
        <w:rPr>
          <w:rFonts w:ascii="Times New Roman" w:hAnsi="Times New Roman" w:eastAsia="Times New Roman"/>
          <w:b/>
          <w:spacing w:val="-4"/>
          <w:sz w:val="21"/>
        </w:rPr>
        <w:t>2.5</w:t>
      </w:r>
      <w:r>
        <w:rPr>
          <w:rFonts w:ascii="Times New Roman" w:hAnsi="Times New Roman" w:eastAsia="Times New Roman"/>
          <w:b/>
          <w:spacing w:val="15"/>
          <w:sz w:val="21"/>
        </w:rPr>
        <w:t> </w:t>
      </w:r>
      <w:r>
        <w:rPr>
          <w:b/>
          <w:spacing w:val="-4"/>
          <w:sz w:val="21"/>
        </w:rPr>
        <w:t>保险责任”、“</w:t>
      </w:r>
      <w:r>
        <w:rPr>
          <w:rFonts w:ascii="Times New Roman" w:hAnsi="Times New Roman" w:eastAsia="Times New Roman"/>
          <w:b/>
          <w:spacing w:val="-4"/>
          <w:sz w:val="21"/>
        </w:rPr>
        <w:t>3.1</w:t>
      </w:r>
      <w:r>
        <w:rPr>
          <w:rFonts w:ascii="Times New Roman" w:hAnsi="Times New Roman" w:eastAsia="Times New Roman"/>
          <w:b/>
          <w:spacing w:val="15"/>
          <w:sz w:val="21"/>
        </w:rPr>
        <w:t> </w:t>
      </w:r>
      <w:r>
        <w:rPr>
          <w:b/>
          <w:spacing w:val="-4"/>
          <w:sz w:val="21"/>
        </w:rPr>
        <w:t>受益人”、“</w:t>
      </w:r>
      <w:r>
        <w:rPr>
          <w:rFonts w:ascii="Times New Roman" w:hAnsi="Times New Roman" w:eastAsia="Times New Roman"/>
          <w:b/>
          <w:spacing w:val="-4"/>
          <w:sz w:val="21"/>
        </w:rPr>
        <w:t>3.2</w:t>
      </w:r>
      <w:r>
        <w:rPr>
          <w:rFonts w:ascii="Times New Roman" w:hAnsi="Times New Roman" w:eastAsia="Times New Roman"/>
          <w:b/>
          <w:spacing w:val="14"/>
          <w:sz w:val="21"/>
        </w:rPr>
        <w:t> </w:t>
      </w:r>
      <w:r>
        <w:rPr>
          <w:b/>
          <w:spacing w:val="-4"/>
          <w:sz w:val="21"/>
        </w:rPr>
        <w:t>保险事故通知”、 </w:t>
      </w:r>
      <w:r>
        <w:rPr>
          <w:b/>
          <w:sz w:val="21"/>
        </w:rPr>
        <w:t>“</w:t>
      </w:r>
      <w:r>
        <w:rPr>
          <w:rFonts w:ascii="Times New Roman" w:hAnsi="Times New Roman" w:eastAsia="Times New Roman"/>
          <w:b/>
          <w:sz w:val="21"/>
        </w:rPr>
        <w:t>3.6</w:t>
      </w:r>
      <w:r>
        <w:rPr>
          <w:rFonts w:ascii="Times New Roman" w:hAnsi="Times New Roman" w:eastAsia="Times New Roman"/>
          <w:b/>
          <w:spacing w:val="50"/>
          <w:sz w:val="21"/>
        </w:rPr>
        <w:t> </w:t>
      </w:r>
      <w:r>
        <w:rPr>
          <w:b/>
          <w:sz w:val="21"/>
        </w:rPr>
        <w:t>宣告死亡处理”、“</w:t>
      </w:r>
      <w:r>
        <w:rPr>
          <w:rFonts w:ascii="Times New Roman" w:hAnsi="Times New Roman" w:eastAsia="Times New Roman"/>
          <w:b/>
          <w:sz w:val="21"/>
        </w:rPr>
        <w:t>4.2</w:t>
      </w:r>
      <w:r>
        <w:rPr>
          <w:rFonts w:ascii="Times New Roman" w:hAnsi="Times New Roman" w:eastAsia="Times New Roman"/>
          <w:b/>
          <w:spacing w:val="50"/>
          <w:sz w:val="21"/>
        </w:rPr>
        <w:t> </w:t>
      </w:r>
      <w:r>
        <w:rPr>
          <w:b/>
          <w:sz w:val="21"/>
        </w:rPr>
        <w:t>宽限期”、“</w:t>
      </w:r>
      <w:r>
        <w:rPr>
          <w:rFonts w:ascii="Times New Roman" w:hAnsi="Times New Roman" w:eastAsia="Times New Roman"/>
          <w:b/>
          <w:sz w:val="21"/>
        </w:rPr>
        <w:t>5.2</w:t>
      </w:r>
      <w:r>
        <w:rPr>
          <w:rFonts w:ascii="Times New Roman" w:hAnsi="Times New Roman" w:eastAsia="Times New Roman"/>
          <w:b/>
          <w:spacing w:val="40"/>
          <w:sz w:val="21"/>
        </w:rPr>
        <w:t> </w:t>
      </w:r>
      <w:r>
        <w:rPr>
          <w:b/>
          <w:sz w:val="21"/>
        </w:rPr>
        <w:t>保单借款”、“</w:t>
      </w:r>
      <w:r>
        <w:rPr>
          <w:rFonts w:ascii="Times New Roman" w:hAnsi="Times New Roman" w:eastAsia="Times New Roman"/>
          <w:b/>
          <w:sz w:val="21"/>
        </w:rPr>
        <w:t>5.3</w:t>
      </w:r>
      <w:r>
        <w:rPr>
          <w:rFonts w:ascii="Times New Roman" w:hAnsi="Times New Roman" w:eastAsia="Times New Roman"/>
          <w:b/>
          <w:spacing w:val="50"/>
          <w:sz w:val="21"/>
        </w:rPr>
        <w:t> </w:t>
      </w:r>
      <w:r>
        <w:rPr>
          <w:b/>
          <w:sz w:val="21"/>
        </w:rPr>
        <w:t>保险费自动垫交”、“</w:t>
      </w:r>
      <w:r>
        <w:rPr>
          <w:rFonts w:ascii="Times New Roman" w:hAnsi="Times New Roman" w:eastAsia="Times New Roman"/>
          <w:b/>
          <w:sz w:val="21"/>
        </w:rPr>
        <w:t>6.1 </w:t>
      </w:r>
      <w:r>
        <w:rPr>
          <w:b/>
          <w:sz w:val="21"/>
        </w:rPr>
        <w:t>效力中止”、“</w:t>
      </w:r>
      <w:r>
        <w:rPr>
          <w:rFonts w:ascii="Times New Roman" w:hAnsi="Times New Roman" w:eastAsia="Times New Roman"/>
          <w:b/>
          <w:sz w:val="21"/>
        </w:rPr>
        <w:t>6.2</w:t>
      </w:r>
      <w:r>
        <w:rPr>
          <w:rFonts w:ascii="Times New Roman" w:hAnsi="Times New Roman" w:eastAsia="Times New Roman"/>
          <w:b/>
          <w:spacing w:val="50"/>
          <w:sz w:val="21"/>
        </w:rPr>
        <w:t> </w:t>
      </w:r>
      <w:r>
        <w:rPr>
          <w:b/>
          <w:sz w:val="21"/>
        </w:rPr>
        <w:t>效力恢复”、“</w:t>
      </w:r>
      <w:r>
        <w:rPr>
          <w:rFonts w:ascii="Times New Roman" w:hAnsi="Times New Roman" w:eastAsia="Times New Roman"/>
          <w:b/>
          <w:sz w:val="21"/>
        </w:rPr>
        <w:t>7</w:t>
      </w:r>
      <w:r>
        <w:rPr>
          <w:rFonts w:ascii="Times New Roman" w:hAnsi="Times New Roman" w:eastAsia="Times New Roman"/>
          <w:b/>
          <w:spacing w:val="50"/>
          <w:sz w:val="21"/>
        </w:rPr>
        <w:t> </w:t>
      </w:r>
      <w:r>
        <w:rPr>
          <w:b/>
          <w:sz w:val="21"/>
        </w:rPr>
        <w:t>合同解除”、“</w:t>
      </w:r>
      <w:r>
        <w:rPr>
          <w:rFonts w:ascii="Times New Roman" w:hAnsi="Times New Roman" w:eastAsia="Times New Roman"/>
          <w:b/>
          <w:sz w:val="21"/>
        </w:rPr>
        <w:t>8</w:t>
      </w:r>
      <w:r>
        <w:rPr>
          <w:rFonts w:ascii="Times New Roman" w:hAnsi="Times New Roman" w:eastAsia="Times New Roman"/>
          <w:b/>
          <w:spacing w:val="50"/>
          <w:sz w:val="21"/>
        </w:rPr>
        <w:t> </w:t>
      </w:r>
      <w:r>
        <w:rPr>
          <w:b/>
          <w:sz w:val="21"/>
        </w:rPr>
        <w:t>如实告知”、 “</w:t>
      </w:r>
      <w:r>
        <w:rPr>
          <w:rFonts w:ascii="Times New Roman" w:hAnsi="Times New Roman" w:eastAsia="Times New Roman"/>
          <w:b/>
          <w:sz w:val="21"/>
        </w:rPr>
        <w:t>9.1</w:t>
      </w:r>
      <w:r>
        <w:rPr>
          <w:rFonts w:ascii="Times New Roman" w:hAnsi="Times New Roman" w:eastAsia="Times New Roman"/>
          <w:b/>
          <w:spacing w:val="32"/>
          <w:sz w:val="21"/>
        </w:rPr>
        <w:t> </w:t>
      </w:r>
      <w:r>
        <w:rPr>
          <w:b/>
          <w:spacing w:val="-11"/>
          <w:sz w:val="21"/>
        </w:rPr>
        <w:t>年龄性别错误”、“</w:t>
      </w:r>
      <w:r>
        <w:rPr>
          <w:rFonts w:ascii="Times New Roman" w:hAnsi="Times New Roman" w:eastAsia="Times New Roman"/>
          <w:b/>
          <w:sz w:val="21"/>
        </w:rPr>
        <w:t>9.2</w:t>
      </w:r>
      <w:r>
        <w:rPr>
          <w:rFonts w:ascii="Times New Roman" w:hAnsi="Times New Roman" w:eastAsia="Times New Roman"/>
          <w:b/>
          <w:spacing w:val="35"/>
          <w:sz w:val="21"/>
        </w:rPr>
        <w:t> </w:t>
      </w:r>
      <w:r>
        <w:rPr>
          <w:b/>
          <w:spacing w:val="-11"/>
          <w:sz w:val="21"/>
        </w:rPr>
        <w:t>合同内容变更”、“</w:t>
      </w:r>
      <w:r>
        <w:rPr>
          <w:rFonts w:ascii="Times New Roman" w:hAnsi="Times New Roman" w:eastAsia="Times New Roman"/>
          <w:b/>
          <w:sz w:val="21"/>
        </w:rPr>
        <w:t>9.3</w:t>
      </w:r>
      <w:r>
        <w:rPr>
          <w:rFonts w:ascii="Times New Roman" w:hAnsi="Times New Roman" w:eastAsia="Times New Roman"/>
          <w:b/>
          <w:spacing w:val="32"/>
          <w:sz w:val="21"/>
        </w:rPr>
        <w:t> </w:t>
      </w:r>
      <w:r>
        <w:rPr>
          <w:b/>
          <w:spacing w:val="-9"/>
          <w:sz w:val="21"/>
        </w:rPr>
        <w:t>基本保险金额的变更”、“</w:t>
      </w:r>
      <w:r>
        <w:rPr>
          <w:rFonts w:ascii="Times New Roman" w:hAnsi="Times New Roman" w:eastAsia="Times New Roman"/>
          <w:b/>
          <w:sz w:val="21"/>
        </w:rPr>
        <w:t>10.6</w:t>
      </w:r>
      <w:r>
        <w:rPr>
          <w:b/>
          <w:sz w:val="21"/>
        </w:rPr>
        <w:t>重大疾病”、“</w:t>
      </w:r>
      <w:r>
        <w:rPr>
          <w:rFonts w:ascii="Times New Roman" w:hAnsi="Times New Roman" w:eastAsia="Times New Roman"/>
          <w:b/>
          <w:sz w:val="21"/>
        </w:rPr>
        <w:t>10.7</w:t>
      </w:r>
      <w:r>
        <w:rPr>
          <w:rFonts w:ascii="Times New Roman" w:hAnsi="Times New Roman" w:eastAsia="Times New Roman"/>
          <w:b/>
          <w:spacing w:val="40"/>
          <w:sz w:val="21"/>
        </w:rPr>
        <w:t> </w:t>
      </w:r>
      <w:r>
        <w:rPr>
          <w:b/>
          <w:sz w:val="21"/>
        </w:rPr>
        <w:t>轻症疾病”、“</w:t>
      </w:r>
      <w:r>
        <w:rPr>
          <w:rFonts w:ascii="Times New Roman" w:hAnsi="Times New Roman" w:eastAsia="Times New Roman"/>
          <w:b/>
          <w:sz w:val="21"/>
        </w:rPr>
        <w:t>10.9</w:t>
      </w:r>
      <w:r>
        <w:rPr>
          <w:rFonts w:ascii="Times New Roman" w:hAnsi="Times New Roman" w:eastAsia="Times New Roman"/>
          <w:b/>
          <w:spacing w:val="50"/>
          <w:sz w:val="21"/>
        </w:rPr>
        <w:t> </w:t>
      </w:r>
      <w:r>
        <w:rPr>
          <w:b/>
          <w:sz w:val="21"/>
        </w:rPr>
        <w:t>指定或认可的医院”、“</w:t>
      </w:r>
      <w:r>
        <w:rPr>
          <w:rFonts w:ascii="Times New Roman" w:hAnsi="Times New Roman" w:eastAsia="Times New Roman"/>
          <w:b/>
          <w:sz w:val="21"/>
        </w:rPr>
        <w:t>10.11</w:t>
      </w:r>
      <w:r>
        <w:rPr>
          <w:rFonts w:ascii="Times New Roman" w:hAnsi="Times New Roman" w:eastAsia="Times New Roman"/>
          <w:b/>
          <w:spacing w:val="40"/>
          <w:sz w:val="21"/>
        </w:rPr>
        <w:t> </w:t>
      </w:r>
      <w:r>
        <w:rPr>
          <w:b/>
          <w:sz w:val="21"/>
        </w:rPr>
        <w:t>少儿特定疾病”、“</w:t>
      </w:r>
      <w:r>
        <w:rPr>
          <w:rFonts w:ascii="Times New Roman" w:hAnsi="Times New Roman" w:eastAsia="Times New Roman"/>
          <w:b/>
          <w:sz w:val="21"/>
        </w:rPr>
        <w:t>10.12</w:t>
      </w:r>
      <w:r>
        <w:rPr>
          <w:rFonts w:ascii="Times New Roman" w:hAnsi="Times New Roman" w:eastAsia="Times New Roman"/>
          <w:b/>
          <w:spacing w:val="50"/>
          <w:sz w:val="21"/>
        </w:rPr>
        <w:t> </w:t>
      </w:r>
      <w:r>
        <w:rPr>
          <w:b/>
          <w:sz w:val="21"/>
        </w:rPr>
        <w:t>男性特定疾病”、“</w:t>
      </w:r>
      <w:r>
        <w:rPr>
          <w:rFonts w:ascii="Times New Roman" w:hAnsi="Times New Roman" w:eastAsia="Times New Roman"/>
          <w:b/>
          <w:sz w:val="21"/>
        </w:rPr>
        <w:t>10.13</w:t>
      </w:r>
      <w:r>
        <w:rPr>
          <w:rFonts w:ascii="Times New Roman" w:hAnsi="Times New Roman" w:eastAsia="Times New Roman"/>
          <w:b/>
          <w:spacing w:val="50"/>
          <w:sz w:val="21"/>
        </w:rPr>
        <w:t> </w:t>
      </w:r>
      <w:r>
        <w:rPr>
          <w:b/>
          <w:sz w:val="21"/>
        </w:rPr>
        <w:t>女性特定疾病”、“</w:t>
      </w:r>
      <w:r>
        <w:rPr>
          <w:rFonts w:ascii="Times New Roman" w:hAnsi="Times New Roman" w:eastAsia="Times New Roman"/>
          <w:b/>
          <w:sz w:val="21"/>
        </w:rPr>
        <w:t>10.26</w:t>
      </w:r>
      <w:r>
        <w:rPr>
          <w:rFonts w:ascii="Times New Roman" w:hAnsi="Times New Roman" w:eastAsia="Times New Roman"/>
          <w:b/>
          <w:spacing w:val="50"/>
          <w:sz w:val="21"/>
        </w:rPr>
        <w:t> </w:t>
      </w:r>
      <w:r>
        <w:rPr>
          <w:b/>
          <w:sz w:val="21"/>
        </w:rPr>
        <w:t>组织病理学</w:t>
      </w:r>
      <w:r>
        <w:rPr>
          <w:b/>
          <w:spacing w:val="-2"/>
          <w:sz w:val="21"/>
        </w:rPr>
        <w:t>检查”、“</w:t>
      </w:r>
      <w:r>
        <w:rPr>
          <w:rFonts w:ascii="Times New Roman" w:hAnsi="Times New Roman" w:eastAsia="Times New Roman"/>
          <w:b/>
          <w:spacing w:val="-2"/>
          <w:sz w:val="21"/>
        </w:rPr>
        <w:t>10.33</w:t>
      </w:r>
      <w:r>
        <w:rPr>
          <w:rFonts w:ascii="Times New Roman" w:hAnsi="Times New Roman" w:eastAsia="Times New Roman"/>
          <w:b/>
          <w:spacing w:val="50"/>
          <w:sz w:val="21"/>
        </w:rPr>
        <w:t> </w:t>
      </w:r>
      <w:r>
        <w:rPr>
          <w:b/>
          <w:spacing w:val="-2"/>
          <w:sz w:val="21"/>
        </w:rPr>
        <w:t>六项基本日常生活活动”中加粗显示的内容，请您务必特别注意。</w:t>
      </w:r>
    </w:p>
    <w:p>
      <w:pPr>
        <w:pStyle w:val="BodyText"/>
        <w:spacing w:before="9"/>
        <w:rPr>
          <w:b/>
          <w:sz w:val="22"/>
        </w:rPr>
      </w:pPr>
    </w:p>
    <w:p>
      <w:pPr>
        <w:pStyle w:val="Heading1"/>
        <w:numPr>
          <w:ilvl w:val="0"/>
          <w:numId w:val="3"/>
        </w:numPr>
        <w:tabs>
          <w:tab w:pos="570" w:val="left" w:leader="none"/>
          <w:tab w:pos="571" w:val="left" w:leader="none"/>
        </w:tabs>
        <w:spacing w:line="240" w:lineRule="auto" w:before="0" w:after="0"/>
        <w:ind w:left="570" w:right="0" w:hanging="433"/>
        <w:jc w:val="left"/>
      </w:pPr>
      <w:r>
        <w:rPr/>
        <w:drawing>
          <wp:anchor distT="0" distB="0" distL="0" distR="0" allowOverlap="1" layoutInCell="1" locked="0" behindDoc="0" simplePos="0" relativeHeight="6">
            <wp:simplePos x="0" y="0"/>
            <wp:positionH relativeFrom="page">
              <wp:posOffset>882700</wp:posOffset>
            </wp:positionH>
            <wp:positionV relativeFrom="paragraph">
              <wp:posOffset>210312</wp:posOffset>
            </wp:positionV>
            <wp:extent cx="5796661" cy="18287"/>
            <wp:effectExtent l="0" t="0" r="0" b="0"/>
            <wp:wrapTopAndBottom/>
            <wp:docPr id="15" name="image6.png"/>
            <wp:cNvGraphicFramePr>
              <a:graphicFrameLocks noChangeAspect="1"/>
            </wp:cNvGraphicFramePr>
            <a:graphic>
              <a:graphicData uri="http://schemas.openxmlformats.org/drawingml/2006/picture">
                <pic:pic>
                  <pic:nvPicPr>
                    <pic:cNvPr id="16" name="image6.png"/>
                    <pic:cNvPicPr/>
                  </pic:nvPicPr>
                  <pic:blipFill>
                    <a:blip r:embed="rId10" cstate="print"/>
                    <a:stretch>
                      <a:fillRect/>
                    </a:stretch>
                  </pic:blipFill>
                  <pic:spPr>
                    <a:xfrm>
                      <a:off x="0" y="0"/>
                      <a:ext cx="5796661" cy="18287"/>
                    </a:xfrm>
                    <a:prstGeom prst="rect">
                      <a:avLst/>
                    </a:prstGeom>
                  </pic:spPr>
                </pic:pic>
              </a:graphicData>
            </a:graphic>
          </wp:anchor>
        </w:drawing>
      </w:r>
      <w:bookmarkStart w:name="_bookmark15" w:id="28"/>
      <w:bookmarkEnd w:id="28"/>
      <w:r>
        <w:rPr>
          <w:w w:val="95"/>
        </w:rPr>
        <w:t>保险金</w:t>
      </w:r>
      <w:r>
        <w:rPr>
          <w:w w:val="95"/>
        </w:rPr>
        <w:t>的</w:t>
      </w:r>
      <w:r>
        <w:rPr>
          <w:w w:val="95"/>
        </w:rPr>
        <w:t>申</w:t>
      </w:r>
      <w:r>
        <w:rPr>
          <w:spacing w:val="-10"/>
          <w:w w:val="95"/>
        </w:rPr>
        <w:t>请</w:t>
      </w:r>
    </w:p>
    <w:p>
      <w:pPr>
        <w:pStyle w:val="ListParagraph"/>
        <w:numPr>
          <w:ilvl w:val="1"/>
          <w:numId w:val="3"/>
        </w:numPr>
        <w:tabs>
          <w:tab w:pos="714" w:val="left" w:leader="none"/>
          <w:tab w:pos="715" w:val="left" w:leader="none"/>
        </w:tabs>
        <w:spacing w:line="240" w:lineRule="auto" w:before="179" w:after="0"/>
        <w:ind w:left="714" w:right="0" w:hanging="577"/>
        <w:jc w:val="left"/>
        <w:rPr>
          <w:b/>
          <w:sz w:val="21"/>
        </w:rPr>
      </w:pPr>
      <w:bookmarkStart w:name="_bookmark16" w:id="29"/>
      <w:bookmarkEnd w:id="29"/>
      <w:r>
        <w:rPr/>
      </w:r>
      <w:bookmarkStart w:name="_bookmark16" w:id="30"/>
      <w:bookmarkEnd w:id="30"/>
      <w:r>
        <w:rPr>
          <w:b/>
          <w:spacing w:val="-4"/>
          <w:sz w:val="21"/>
        </w:rPr>
        <w:t>受益人</w:t>
      </w:r>
    </w:p>
    <w:p>
      <w:pPr>
        <w:pStyle w:val="BodyText"/>
        <w:spacing w:before="6"/>
        <w:rPr>
          <w:b/>
          <w:sz w:val="15"/>
        </w:rPr>
      </w:pPr>
    </w:p>
    <w:p>
      <w:pPr>
        <w:pStyle w:val="BodyText"/>
        <w:spacing w:before="1"/>
        <w:ind w:left="1610"/>
      </w:pPr>
      <w:r>
        <w:rPr>
          <w:spacing w:val="-3"/>
        </w:rPr>
        <w:t>您或者被保险人可以指定一人或多人为身故保险金受益人。</w:t>
      </w:r>
    </w:p>
    <w:p>
      <w:pPr>
        <w:pStyle w:val="BodyText"/>
        <w:spacing w:before="6"/>
        <w:rPr>
          <w:sz w:val="15"/>
        </w:rPr>
      </w:pPr>
    </w:p>
    <w:p>
      <w:pPr>
        <w:pStyle w:val="BodyText"/>
        <w:spacing w:before="0"/>
        <w:ind w:left="1610"/>
      </w:pPr>
      <w:r>
        <w:rPr>
          <w:spacing w:val="-3"/>
        </w:rPr>
        <w:t>您在指定和变更身故保险金受益人时，必须经过被保险人同意。</w:t>
      </w:r>
    </w:p>
    <w:p>
      <w:pPr>
        <w:pStyle w:val="BodyText"/>
        <w:rPr>
          <w:sz w:val="15"/>
        </w:rPr>
      </w:pPr>
    </w:p>
    <w:p>
      <w:pPr>
        <w:pStyle w:val="BodyText"/>
        <w:spacing w:line="278" w:lineRule="auto" w:before="0"/>
        <w:ind w:left="1610" w:right="1026"/>
      </w:pPr>
      <w:r>
        <w:rPr>
          <w:spacing w:val="-2"/>
        </w:rPr>
        <w:t>身故保险金受益人为多人时，可以确定受益顺序和受益份额；如果没有确定份额，</w:t>
      </w:r>
      <w:r>
        <w:rPr>
          <w:spacing w:val="-2"/>
        </w:rPr>
        <w:t>各受益人按照相等份额享有受益权。</w:t>
      </w:r>
    </w:p>
    <w:p>
      <w:pPr>
        <w:pStyle w:val="BodyText"/>
        <w:spacing w:line="278" w:lineRule="auto" w:before="156"/>
        <w:ind w:left="1610" w:right="1026"/>
      </w:pPr>
      <w:r>
        <w:rPr>
          <w:spacing w:val="-2"/>
        </w:rPr>
        <w:t>被保险人为无民事行为能力人或限制民事行为能力人的，可以由其监护人指定受益</w:t>
      </w:r>
      <w:r>
        <w:rPr>
          <w:spacing w:val="-6"/>
        </w:rPr>
        <w:t>人。</w:t>
      </w:r>
    </w:p>
    <w:p>
      <w:pPr>
        <w:pStyle w:val="BodyText"/>
        <w:spacing w:line="278" w:lineRule="auto" w:before="156"/>
        <w:ind w:left="1610" w:right="1026"/>
      </w:pPr>
      <w:r>
        <w:rPr>
          <w:spacing w:val="-2"/>
        </w:rPr>
        <w:t>您或者被保险人可以变更身故保险金受益人并书面通知我们。我们收到变更受益人</w:t>
      </w:r>
      <w:r>
        <w:rPr>
          <w:spacing w:val="-2"/>
        </w:rPr>
        <w:t>的书面通知后，在保险单或其他保险凭证上批注或附贴批单。</w:t>
      </w:r>
    </w:p>
    <w:p>
      <w:pPr>
        <w:pStyle w:val="BodyText"/>
        <w:spacing w:line="278" w:lineRule="auto" w:before="156"/>
        <w:ind w:left="1610" w:right="1026"/>
      </w:pPr>
      <w:r>
        <w:rPr>
          <w:spacing w:val="-2"/>
        </w:rPr>
        <w:t>被保险人身故后，有下列情形之一的，保险金作为被保险人的遗产，由我们依照中</w:t>
      </w:r>
      <w:r>
        <w:rPr>
          <w:spacing w:val="-2"/>
        </w:rPr>
        <w:t>华人民共和国相关法律法规的规定履行给付保险金的义务：</w:t>
      </w:r>
    </w:p>
    <w:p>
      <w:pPr>
        <w:pStyle w:val="ListParagraph"/>
        <w:numPr>
          <w:ilvl w:val="2"/>
          <w:numId w:val="3"/>
        </w:numPr>
        <w:tabs>
          <w:tab w:pos="1969" w:val="left" w:leader="none"/>
          <w:tab w:pos="1970" w:val="left" w:leader="none"/>
        </w:tabs>
        <w:spacing w:line="240" w:lineRule="auto" w:before="156" w:after="0"/>
        <w:ind w:left="1970" w:right="0" w:hanging="360"/>
        <w:jc w:val="left"/>
        <w:rPr>
          <w:rFonts w:ascii="Times New Roman" w:eastAsia="Times New Roman"/>
          <w:sz w:val="21"/>
        </w:rPr>
      </w:pPr>
      <w:r>
        <w:rPr>
          <w:spacing w:val="-3"/>
          <w:sz w:val="21"/>
        </w:rPr>
        <w:t>没有指定受益人，或者受益人指定不明无法确定的；</w:t>
      </w:r>
    </w:p>
    <w:p>
      <w:pPr>
        <w:pStyle w:val="BodyText"/>
        <w:spacing w:before="6"/>
        <w:rPr>
          <w:sz w:val="15"/>
        </w:rPr>
      </w:pPr>
    </w:p>
    <w:p>
      <w:pPr>
        <w:pStyle w:val="ListParagraph"/>
        <w:numPr>
          <w:ilvl w:val="2"/>
          <w:numId w:val="3"/>
        </w:numPr>
        <w:tabs>
          <w:tab w:pos="1969" w:val="left" w:leader="none"/>
          <w:tab w:pos="1970" w:val="left" w:leader="none"/>
        </w:tabs>
        <w:spacing w:line="240" w:lineRule="auto" w:before="1" w:after="0"/>
        <w:ind w:left="1970" w:right="0" w:hanging="360"/>
        <w:jc w:val="left"/>
        <w:rPr>
          <w:rFonts w:ascii="Times New Roman" w:eastAsia="Times New Roman"/>
          <w:sz w:val="21"/>
        </w:rPr>
      </w:pPr>
      <w:r>
        <w:rPr>
          <w:spacing w:val="-3"/>
          <w:sz w:val="21"/>
        </w:rPr>
        <w:t>受益人先于被保险人身故，没有其他受益人的；</w:t>
      </w:r>
    </w:p>
    <w:p>
      <w:pPr>
        <w:pStyle w:val="BodyText"/>
        <w:spacing w:before="6"/>
        <w:rPr>
          <w:sz w:val="15"/>
        </w:rPr>
      </w:pPr>
    </w:p>
    <w:p>
      <w:pPr>
        <w:pStyle w:val="ListParagraph"/>
        <w:numPr>
          <w:ilvl w:val="2"/>
          <w:numId w:val="3"/>
        </w:numPr>
        <w:tabs>
          <w:tab w:pos="1969" w:val="left" w:leader="none"/>
          <w:tab w:pos="1970" w:val="left" w:leader="none"/>
        </w:tabs>
        <w:spacing w:line="240" w:lineRule="auto" w:before="0" w:after="0"/>
        <w:ind w:left="1970" w:right="0" w:hanging="360"/>
        <w:jc w:val="left"/>
        <w:rPr>
          <w:rFonts w:ascii="Times New Roman" w:eastAsia="Times New Roman"/>
          <w:sz w:val="21"/>
        </w:rPr>
      </w:pPr>
      <w:r>
        <w:rPr>
          <w:spacing w:val="-3"/>
          <w:sz w:val="21"/>
        </w:rPr>
        <w:t>受益人依法丧失受益权或者放弃受益权，没有其他受益人的。</w:t>
      </w:r>
    </w:p>
    <w:p>
      <w:pPr>
        <w:spacing w:after="0" w:line="240" w:lineRule="auto"/>
        <w:jc w:val="left"/>
        <w:rPr>
          <w:rFonts w:ascii="Times New Roman" w:eastAsia="Times New Roman"/>
          <w:sz w:val="21"/>
        </w:rPr>
        <w:sectPr>
          <w:pgSz w:w="11910" w:h="16840"/>
          <w:pgMar w:top="1380" w:bottom="280" w:left="1280" w:right="420"/>
        </w:sectPr>
      </w:pPr>
    </w:p>
    <w:p>
      <w:pPr>
        <w:pStyle w:val="BodyText"/>
        <w:spacing w:line="278" w:lineRule="auto" w:before="44"/>
        <w:ind w:left="1610" w:right="1026"/>
      </w:pPr>
      <w:r>
        <w:rPr>
          <w:spacing w:val="-2"/>
        </w:rPr>
        <w:t>受益人与被保险人在同一事件中身故，且不能确定身故先后顺序的，推定受益人身</w:t>
      </w:r>
      <w:r>
        <w:rPr>
          <w:spacing w:val="-4"/>
        </w:rPr>
        <w:t>故在先。</w:t>
      </w:r>
    </w:p>
    <w:p>
      <w:pPr>
        <w:spacing w:line="278" w:lineRule="auto" w:before="156"/>
        <w:ind w:left="1610" w:right="1005" w:firstLine="0"/>
        <w:jc w:val="left"/>
        <w:rPr>
          <w:b/>
          <w:sz w:val="21"/>
        </w:rPr>
      </w:pPr>
      <w:r>
        <w:rPr>
          <w:b/>
          <w:spacing w:val="-2"/>
          <w:sz w:val="21"/>
        </w:rPr>
        <w:t>受益人故意造成被保险人身故、伤残、疾病的，或者故意杀害被保险人未遂的，该</w:t>
      </w:r>
      <w:r>
        <w:rPr>
          <w:b/>
          <w:spacing w:val="-2"/>
          <w:sz w:val="21"/>
        </w:rPr>
        <w:t>受益人丧失受益权。</w:t>
      </w:r>
    </w:p>
    <w:p>
      <w:pPr>
        <w:pStyle w:val="ListParagraph"/>
        <w:numPr>
          <w:ilvl w:val="1"/>
          <w:numId w:val="3"/>
        </w:numPr>
        <w:tabs>
          <w:tab w:pos="714" w:val="left" w:leader="none"/>
          <w:tab w:pos="715" w:val="left" w:leader="none"/>
        </w:tabs>
        <w:spacing w:line="240" w:lineRule="auto" w:before="156" w:after="0"/>
        <w:ind w:left="714" w:right="0" w:hanging="577"/>
        <w:jc w:val="left"/>
        <w:rPr>
          <w:b/>
          <w:sz w:val="21"/>
        </w:rPr>
      </w:pPr>
      <w:bookmarkStart w:name="_bookmark18" w:id="31"/>
      <w:bookmarkEnd w:id="31"/>
      <w:r>
        <w:rPr/>
      </w:r>
      <w:bookmarkStart w:name="_bookmark18" w:id="32"/>
      <w:bookmarkEnd w:id="32"/>
      <w:r>
        <w:rPr>
          <w:b/>
          <w:spacing w:val="-4"/>
          <w:sz w:val="21"/>
        </w:rPr>
        <w:t>保险事故通知</w:t>
      </w:r>
    </w:p>
    <w:p>
      <w:pPr>
        <w:pStyle w:val="BodyText"/>
        <w:rPr>
          <w:b/>
          <w:sz w:val="15"/>
        </w:rPr>
      </w:pPr>
    </w:p>
    <w:p>
      <w:pPr>
        <w:pStyle w:val="BodyText"/>
        <w:spacing w:before="0"/>
        <w:ind w:left="1610"/>
      </w:pPr>
      <w:r>
        <w:rPr>
          <w:spacing w:val="-2"/>
        </w:rPr>
        <w:t>您、被保险人或受益人应于知道保险事故发生之日起</w:t>
      </w:r>
      <w:r>
        <w:rPr>
          <w:b/>
          <w:spacing w:val="-2"/>
        </w:rPr>
        <w:t>十日</w:t>
      </w:r>
      <w:r>
        <w:rPr>
          <w:spacing w:val="-4"/>
        </w:rPr>
        <w:t>内通知我们。</w:t>
      </w:r>
    </w:p>
    <w:p>
      <w:pPr>
        <w:pStyle w:val="BodyText"/>
        <w:spacing w:before="6"/>
        <w:rPr>
          <w:sz w:val="15"/>
        </w:rPr>
      </w:pPr>
    </w:p>
    <w:p>
      <w:pPr>
        <w:spacing w:line="278" w:lineRule="auto" w:before="1"/>
        <w:ind w:left="1610" w:right="884" w:firstLine="0"/>
        <w:jc w:val="left"/>
        <w:rPr>
          <w:sz w:val="21"/>
        </w:rPr>
      </w:pPr>
      <w:r>
        <w:rPr>
          <w:b/>
          <w:spacing w:val="-10"/>
          <w:w w:val="100"/>
          <w:sz w:val="21"/>
        </w:rPr>
        <w:t>如果您、被保险人或受益人故意或者因重大过失未及时通知，致使保险事故的性质、</w:t>
      </w:r>
      <w:r>
        <w:rPr>
          <w:b/>
          <w:spacing w:val="-9"/>
          <w:w w:val="100"/>
          <w:sz w:val="21"/>
        </w:rPr>
        <w:t>原因、损失程度等难以确定的，我们对无法确定的部分，不承担给付保险金的责任，</w:t>
      </w:r>
      <w:r>
        <w:rPr>
          <w:spacing w:val="-5"/>
          <w:w w:val="100"/>
          <w:sz w:val="21"/>
        </w:rPr>
        <w:t>但我们通过其他途径已经及时知道或者应当及时知道保险事故发生或者虽未及时通</w:t>
      </w:r>
      <w:r>
        <w:rPr>
          <w:spacing w:val="-4"/>
          <w:w w:val="100"/>
          <w:sz w:val="21"/>
        </w:rPr>
        <w:t>知但不影响我们确定保险事故的性质、原因、损失程度的除外。</w:t>
      </w:r>
    </w:p>
    <w:p>
      <w:pPr>
        <w:pStyle w:val="ListParagraph"/>
        <w:numPr>
          <w:ilvl w:val="1"/>
          <w:numId w:val="3"/>
        </w:numPr>
        <w:tabs>
          <w:tab w:pos="714" w:val="left" w:leader="none"/>
          <w:tab w:pos="715" w:val="left" w:leader="none"/>
        </w:tabs>
        <w:spacing w:line="240" w:lineRule="auto" w:before="155" w:after="0"/>
        <w:ind w:left="714" w:right="0" w:hanging="577"/>
        <w:jc w:val="left"/>
        <w:rPr>
          <w:b/>
          <w:sz w:val="21"/>
        </w:rPr>
      </w:pPr>
      <w:bookmarkStart w:name="_bookmark19" w:id="33"/>
      <w:bookmarkEnd w:id="33"/>
      <w:r>
        <w:rPr/>
      </w:r>
      <w:bookmarkStart w:name="_bookmark19" w:id="34"/>
      <w:bookmarkEnd w:id="34"/>
      <w:r>
        <w:rPr>
          <w:b/>
          <w:spacing w:val="-2"/>
          <w:sz w:val="21"/>
        </w:rPr>
        <w:t>保险金申请</w:t>
      </w:r>
    </w:p>
    <w:p>
      <w:pPr>
        <w:pStyle w:val="BodyText"/>
        <w:rPr>
          <w:b/>
          <w:sz w:val="15"/>
        </w:rPr>
      </w:pPr>
    </w:p>
    <w:p>
      <w:pPr>
        <w:pStyle w:val="BodyText"/>
        <w:spacing w:before="0"/>
        <w:ind w:left="1610"/>
      </w:pPr>
      <w:r>
        <w:rPr>
          <w:spacing w:val="-3"/>
        </w:rPr>
        <w:t>请按照下列要求申请相应保险金：</w:t>
      </w:r>
    </w:p>
    <w:p>
      <w:pPr>
        <w:pStyle w:val="BodyText"/>
        <w:rPr>
          <w:sz w:val="15"/>
        </w:rPr>
      </w:pPr>
    </w:p>
    <w:p>
      <w:pPr>
        <w:pStyle w:val="ListParagraph"/>
        <w:numPr>
          <w:ilvl w:val="2"/>
          <w:numId w:val="7"/>
        </w:numPr>
        <w:tabs>
          <w:tab w:pos="1141" w:val="left" w:leader="none"/>
          <w:tab w:pos="1142" w:val="left" w:leader="none"/>
        </w:tabs>
        <w:spacing w:line="240" w:lineRule="auto" w:before="0" w:after="0"/>
        <w:ind w:left="1142" w:right="0" w:hanging="720"/>
        <w:jc w:val="left"/>
        <w:rPr>
          <w:b/>
          <w:sz w:val="21"/>
        </w:rPr>
      </w:pPr>
      <w:r>
        <w:rPr>
          <w:b/>
          <w:spacing w:val="-2"/>
          <w:sz w:val="21"/>
        </w:rPr>
        <w:t>身故保险金申请</w:t>
      </w:r>
    </w:p>
    <w:p>
      <w:pPr>
        <w:pStyle w:val="BodyText"/>
        <w:spacing w:line="278" w:lineRule="auto" w:before="163"/>
        <w:ind w:left="1610" w:right="1025"/>
      </w:pPr>
      <w:r>
        <w:rPr>
          <w:spacing w:val="-2"/>
        </w:rPr>
        <w:t>由身故保险金受益人作为申请人填写保险金给付申请书，并向我们提供以下证明和</w:t>
      </w:r>
      <w:r>
        <w:rPr>
          <w:spacing w:val="-2"/>
        </w:rPr>
        <w:t>资料原件：</w:t>
      </w:r>
    </w:p>
    <w:p>
      <w:pPr>
        <w:pStyle w:val="ListParagraph"/>
        <w:numPr>
          <w:ilvl w:val="3"/>
          <w:numId w:val="7"/>
        </w:numPr>
        <w:tabs>
          <w:tab w:pos="1969" w:val="left" w:leader="none"/>
          <w:tab w:pos="1970" w:val="left" w:leader="none"/>
        </w:tabs>
        <w:spacing w:line="240" w:lineRule="auto" w:before="156" w:after="0"/>
        <w:ind w:left="1970" w:right="0" w:hanging="360"/>
        <w:jc w:val="left"/>
        <w:rPr>
          <w:sz w:val="21"/>
        </w:rPr>
      </w:pPr>
      <w:r>
        <w:rPr>
          <w:spacing w:val="-4"/>
          <w:sz w:val="21"/>
        </w:rPr>
        <w:t>保险合同；</w:t>
      </w:r>
    </w:p>
    <w:p>
      <w:pPr>
        <w:pStyle w:val="BodyText"/>
        <w:spacing w:before="6"/>
        <w:rPr>
          <w:sz w:val="15"/>
        </w:rPr>
      </w:pPr>
    </w:p>
    <w:p>
      <w:pPr>
        <w:pStyle w:val="ListParagraph"/>
        <w:numPr>
          <w:ilvl w:val="3"/>
          <w:numId w:val="7"/>
        </w:numPr>
        <w:tabs>
          <w:tab w:pos="1969" w:val="left" w:leader="none"/>
          <w:tab w:pos="1970" w:val="left" w:leader="none"/>
        </w:tabs>
        <w:spacing w:line="240" w:lineRule="auto" w:before="1" w:after="0"/>
        <w:ind w:left="1970" w:right="0" w:hanging="360"/>
        <w:jc w:val="left"/>
        <w:rPr>
          <w:sz w:val="21"/>
        </w:rPr>
      </w:pPr>
      <w:r>
        <w:rPr>
          <w:spacing w:val="-2"/>
          <w:sz w:val="21"/>
        </w:rPr>
        <w:t>身故保险金受益人的</w:t>
      </w:r>
      <w:r>
        <w:rPr>
          <w:b/>
          <w:spacing w:val="-2"/>
          <w:sz w:val="21"/>
        </w:rPr>
        <w:t>有效身份证件（见释义</w:t>
      </w:r>
      <w:r>
        <w:rPr>
          <w:b/>
          <w:spacing w:val="-5"/>
          <w:sz w:val="21"/>
        </w:rPr>
        <w:t>）</w:t>
      </w:r>
      <w:r>
        <w:rPr>
          <w:spacing w:val="-5"/>
          <w:sz w:val="21"/>
        </w:rPr>
        <w:t>；</w:t>
      </w:r>
    </w:p>
    <w:p>
      <w:pPr>
        <w:pStyle w:val="BodyText"/>
        <w:spacing w:before="6"/>
        <w:rPr>
          <w:sz w:val="15"/>
        </w:rPr>
      </w:pPr>
    </w:p>
    <w:p>
      <w:pPr>
        <w:pStyle w:val="ListParagraph"/>
        <w:numPr>
          <w:ilvl w:val="3"/>
          <w:numId w:val="7"/>
        </w:numPr>
        <w:tabs>
          <w:tab w:pos="1969" w:val="left" w:leader="none"/>
          <w:tab w:pos="1970" w:val="left" w:leader="none"/>
        </w:tabs>
        <w:spacing w:line="278" w:lineRule="auto" w:before="0" w:after="0"/>
        <w:ind w:left="1970" w:right="1002" w:hanging="360"/>
        <w:jc w:val="left"/>
        <w:rPr>
          <w:sz w:val="21"/>
        </w:rPr>
      </w:pPr>
      <w:r>
        <w:rPr>
          <w:spacing w:val="-2"/>
          <w:sz w:val="21"/>
        </w:rPr>
        <w:t>国家卫生行政部门认定的医疗机构、公安部门或其他相关机构出具的被保险人</w:t>
      </w:r>
      <w:r>
        <w:rPr>
          <w:spacing w:val="-2"/>
          <w:sz w:val="21"/>
        </w:rPr>
        <w:t>的死亡证明；</w:t>
      </w:r>
    </w:p>
    <w:p>
      <w:pPr>
        <w:pStyle w:val="ListParagraph"/>
        <w:numPr>
          <w:ilvl w:val="3"/>
          <w:numId w:val="7"/>
        </w:numPr>
        <w:tabs>
          <w:tab w:pos="1969" w:val="left" w:leader="none"/>
          <w:tab w:pos="1970" w:val="left" w:leader="none"/>
        </w:tabs>
        <w:spacing w:line="240" w:lineRule="auto" w:before="157" w:after="0"/>
        <w:ind w:left="1970" w:right="0" w:hanging="360"/>
        <w:jc w:val="left"/>
        <w:rPr>
          <w:sz w:val="21"/>
        </w:rPr>
      </w:pPr>
      <w:r>
        <w:rPr>
          <w:spacing w:val="-3"/>
          <w:sz w:val="21"/>
        </w:rPr>
        <w:t>其他与确定保险事故的性质、原因等有关的证明和资料。</w:t>
      </w:r>
    </w:p>
    <w:p>
      <w:pPr>
        <w:pStyle w:val="BodyText"/>
        <w:spacing w:before="6"/>
        <w:rPr>
          <w:sz w:val="15"/>
        </w:rPr>
      </w:pPr>
    </w:p>
    <w:p>
      <w:pPr>
        <w:pStyle w:val="BodyText"/>
        <w:spacing w:before="0"/>
        <w:ind w:left="1610"/>
      </w:pPr>
      <w:r>
        <w:rPr>
          <w:spacing w:val="-3"/>
        </w:rPr>
        <w:t>保险金作为被保险人遗产时，还必须提供可证明合法继承权的相关权利文件。</w:t>
      </w:r>
    </w:p>
    <w:p>
      <w:pPr>
        <w:pStyle w:val="BodyText"/>
        <w:rPr>
          <w:sz w:val="15"/>
        </w:rPr>
      </w:pPr>
    </w:p>
    <w:p>
      <w:pPr>
        <w:pStyle w:val="ListParagraph"/>
        <w:numPr>
          <w:ilvl w:val="2"/>
          <w:numId w:val="7"/>
        </w:numPr>
        <w:tabs>
          <w:tab w:pos="1141" w:val="left" w:leader="none"/>
          <w:tab w:pos="1142" w:val="left" w:leader="none"/>
        </w:tabs>
        <w:spacing w:line="278" w:lineRule="auto" w:before="0" w:after="0"/>
        <w:ind w:left="1141" w:right="993" w:hanging="720"/>
        <w:jc w:val="left"/>
        <w:rPr>
          <w:b/>
          <w:sz w:val="21"/>
        </w:rPr>
      </w:pPr>
      <w:r>
        <w:rPr>
          <w:b/>
          <w:spacing w:val="-2"/>
          <w:sz w:val="21"/>
        </w:rPr>
        <w:t>全残保险金、重大疾病保险金、特定疾病保险金、轻症疾病保险金及轻症疾病豁免保险</w:t>
      </w:r>
      <w:r>
        <w:rPr>
          <w:b/>
          <w:spacing w:val="-4"/>
          <w:sz w:val="21"/>
        </w:rPr>
        <w:t>费申请</w:t>
      </w:r>
    </w:p>
    <w:p>
      <w:pPr>
        <w:pStyle w:val="BodyText"/>
        <w:spacing w:before="120"/>
        <w:ind w:left="1610"/>
      </w:pPr>
      <w:r>
        <w:rPr>
          <w:spacing w:val="-7"/>
        </w:rPr>
        <w:t>由被保险人作为申请人填写保险金给付申请书，并向我们提供以下证明和资料原件：</w:t>
      </w:r>
    </w:p>
    <w:p>
      <w:pPr>
        <w:pStyle w:val="BodyText"/>
        <w:spacing w:before="6"/>
        <w:rPr>
          <w:sz w:val="15"/>
        </w:rPr>
      </w:pPr>
    </w:p>
    <w:p>
      <w:pPr>
        <w:pStyle w:val="ListParagraph"/>
        <w:numPr>
          <w:ilvl w:val="3"/>
          <w:numId w:val="7"/>
        </w:numPr>
        <w:tabs>
          <w:tab w:pos="1969" w:val="left" w:leader="none"/>
          <w:tab w:pos="1970" w:val="left" w:leader="none"/>
        </w:tabs>
        <w:spacing w:line="240" w:lineRule="auto" w:before="1" w:after="0"/>
        <w:ind w:left="1970" w:right="0" w:hanging="363"/>
        <w:jc w:val="left"/>
        <w:rPr>
          <w:sz w:val="21"/>
        </w:rPr>
      </w:pPr>
      <w:r>
        <w:rPr>
          <w:spacing w:val="-4"/>
          <w:sz w:val="21"/>
        </w:rPr>
        <w:t>保险合同；</w:t>
      </w:r>
    </w:p>
    <w:p>
      <w:pPr>
        <w:pStyle w:val="BodyText"/>
        <w:spacing w:before="6"/>
        <w:rPr>
          <w:sz w:val="15"/>
        </w:rPr>
      </w:pPr>
    </w:p>
    <w:p>
      <w:pPr>
        <w:pStyle w:val="ListParagraph"/>
        <w:numPr>
          <w:ilvl w:val="3"/>
          <w:numId w:val="7"/>
        </w:numPr>
        <w:tabs>
          <w:tab w:pos="1969" w:val="left" w:leader="none"/>
          <w:tab w:pos="1970" w:val="left" w:leader="none"/>
        </w:tabs>
        <w:spacing w:line="240" w:lineRule="auto" w:before="0" w:after="0"/>
        <w:ind w:left="1970" w:right="0" w:hanging="363"/>
        <w:jc w:val="left"/>
        <w:rPr>
          <w:sz w:val="21"/>
        </w:rPr>
      </w:pPr>
      <w:r>
        <w:rPr>
          <w:spacing w:val="-3"/>
          <w:sz w:val="21"/>
        </w:rPr>
        <w:t>被保险人的有效身份证件；</w:t>
      </w:r>
    </w:p>
    <w:p>
      <w:pPr>
        <w:pStyle w:val="BodyText"/>
        <w:rPr>
          <w:sz w:val="15"/>
        </w:rPr>
      </w:pPr>
    </w:p>
    <w:p>
      <w:pPr>
        <w:pStyle w:val="ListParagraph"/>
        <w:numPr>
          <w:ilvl w:val="3"/>
          <w:numId w:val="7"/>
        </w:numPr>
        <w:tabs>
          <w:tab w:pos="1969" w:val="left" w:leader="none"/>
          <w:tab w:pos="1970" w:val="left" w:leader="none"/>
        </w:tabs>
        <w:spacing w:line="278" w:lineRule="auto" w:before="0" w:after="0"/>
        <w:ind w:left="1970" w:right="1002" w:hanging="363"/>
        <w:jc w:val="left"/>
        <w:rPr>
          <w:sz w:val="21"/>
        </w:rPr>
      </w:pPr>
      <w:r>
        <w:rPr>
          <w:spacing w:val="-2"/>
          <w:sz w:val="21"/>
        </w:rPr>
        <w:t>我们指定或认可的医院的专科医生出具的所有病历资料，包含附有病理检查、</w:t>
      </w:r>
      <w:r>
        <w:rPr>
          <w:spacing w:val="-2"/>
          <w:sz w:val="21"/>
        </w:rPr>
        <w:t>血液检验及其他科学方法检验报告的医学诊断证明书；</w:t>
      </w:r>
    </w:p>
    <w:p>
      <w:pPr>
        <w:pStyle w:val="ListParagraph"/>
        <w:numPr>
          <w:ilvl w:val="3"/>
          <w:numId w:val="7"/>
        </w:numPr>
        <w:tabs>
          <w:tab w:pos="1969" w:val="left" w:leader="none"/>
          <w:tab w:pos="1970" w:val="left" w:leader="none"/>
        </w:tabs>
        <w:spacing w:line="278" w:lineRule="auto" w:before="156" w:after="0"/>
        <w:ind w:left="1970" w:right="886" w:hanging="363"/>
        <w:jc w:val="left"/>
        <w:rPr>
          <w:sz w:val="21"/>
        </w:rPr>
      </w:pPr>
      <w:r>
        <w:rPr>
          <w:w w:val="100"/>
          <w:sz w:val="21"/>
        </w:rPr>
        <w:t>由双方认可的医疗机构或有资质的鉴定机构根据</w:t>
      </w:r>
      <w:r>
        <w:rPr>
          <w:b/>
          <w:spacing w:val="2"/>
          <w:w w:val="100"/>
          <w:sz w:val="21"/>
        </w:rPr>
        <w:t>《人身保险伤残评定标准及代</w:t>
      </w:r>
      <w:r>
        <w:rPr>
          <w:b/>
          <w:spacing w:val="-90"/>
          <w:w w:val="100"/>
          <w:sz w:val="21"/>
        </w:rPr>
        <w:t>码》</w:t>
      </w:r>
      <w:r>
        <w:rPr>
          <w:b/>
          <w:w w:val="100"/>
          <w:sz w:val="21"/>
        </w:rPr>
        <w:t>（见释义</w:t>
      </w:r>
      <w:r>
        <w:rPr>
          <w:b/>
          <w:spacing w:val="-74"/>
          <w:w w:val="100"/>
          <w:sz w:val="21"/>
        </w:rPr>
        <w:t>）</w:t>
      </w:r>
      <w:r>
        <w:rPr>
          <w:spacing w:val="-6"/>
          <w:w w:val="100"/>
          <w:sz w:val="21"/>
        </w:rPr>
        <w:t>出具的被保险人伤残程度的资料或身体伤残程度评定书</w:t>
      </w:r>
      <w:r>
        <w:rPr>
          <w:spacing w:val="-3"/>
          <w:w w:val="100"/>
          <w:sz w:val="21"/>
        </w:rPr>
        <w:t>（如适用</w:t>
      </w:r>
      <w:r>
        <w:rPr>
          <w:spacing w:val="-106"/>
          <w:w w:val="100"/>
          <w:sz w:val="21"/>
        </w:rPr>
        <w:t>）</w:t>
      </w:r>
      <w:r>
        <w:rPr>
          <w:w w:val="100"/>
          <w:sz w:val="21"/>
        </w:rPr>
        <w:t>；</w:t>
      </w:r>
    </w:p>
    <w:p>
      <w:pPr>
        <w:pStyle w:val="ListParagraph"/>
        <w:numPr>
          <w:ilvl w:val="3"/>
          <w:numId w:val="7"/>
        </w:numPr>
        <w:tabs>
          <w:tab w:pos="1969" w:val="left" w:leader="none"/>
          <w:tab w:pos="1970" w:val="left" w:leader="none"/>
        </w:tabs>
        <w:spacing w:line="240" w:lineRule="auto" w:before="156" w:after="0"/>
        <w:ind w:left="1970" w:right="0" w:hanging="363"/>
        <w:jc w:val="left"/>
        <w:rPr>
          <w:sz w:val="21"/>
        </w:rPr>
      </w:pPr>
      <w:r>
        <w:rPr>
          <w:spacing w:val="-3"/>
          <w:sz w:val="21"/>
        </w:rPr>
        <w:t>其他与确定保险事故的性质、原因等有关的证明和资料。</w:t>
      </w:r>
    </w:p>
    <w:p>
      <w:pPr>
        <w:pStyle w:val="BodyText"/>
        <w:rPr>
          <w:sz w:val="15"/>
        </w:rPr>
      </w:pPr>
    </w:p>
    <w:p>
      <w:pPr>
        <w:pStyle w:val="BodyText"/>
        <w:spacing w:line="278" w:lineRule="auto" w:before="0"/>
        <w:ind w:left="1610" w:right="1025"/>
      </w:pPr>
      <w:r>
        <w:rPr>
          <w:spacing w:val="-18"/>
        </w:rPr>
        <w:t>上述 </w:t>
      </w:r>
      <w:r>
        <w:rPr>
          <w:rFonts w:ascii="Times New Roman" w:eastAsia="Times New Roman"/>
        </w:rPr>
        <w:t>3.3.1</w:t>
      </w:r>
      <w:r>
        <w:rPr>
          <w:rFonts w:ascii="Times New Roman" w:eastAsia="Times New Roman"/>
          <w:spacing w:val="-14"/>
        </w:rPr>
        <w:t> </w:t>
      </w:r>
      <w:r>
        <w:rPr>
          <w:spacing w:val="-27"/>
        </w:rPr>
        <w:t>至 </w:t>
      </w:r>
      <w:r>
        <w:rPr>
          <w:rFonts w:ascii="Times New Roman" w:eastAsia="Times New Roman"/>
        </w:rPr>
        <w:t>3.3.2</w:t>
      </w:r>
      <w:r>
        <w:rPr>
          <w:rFonts w:ascii="Times New Roman" w:eastAsia="Times New Roman"/>
          <w:spacing w:val="-11"/>
        </w:rPr>
        <w:t> </w:t>
      </w:r>
      <w:r>
        <w:rPr/>
        <w:t>中的证明和资料不完整的，我们将及时一次性通知申请人补充提</w:t>
      </w:r>
      <w:r>
        <w:rPr>
          <w:spacing w:val="-2"/>
        </w:rPr>
        <w:t>供有关证明和资料。</w:t>
      </w:r>
    </w:p>
    <w:p>
      <w:pPr>
        <w:spacing w:before="156"/>
        <w:ind w:left="1610" w:right="0" w:firstLine="0"/>
        <w:jc w:val="left"/>
        <w:rPr>
          <w:b/>
          <w:sz w:val="21"/>
        </w:rPr>
      </w:pPr>
      <w:r>
        <w:rPr>
          <w:b/>
          <w:spacing w:val="-3"/>
          <w:sz w:val="21"/>
        </w:rPr>
        <w:t>申请人为无民事行为能力人或限制民事行为能力人的，由其监护人作为申请人向我</w:t>
      </w:r>
    </w:p>
    <w:p>
      <w:pPr>
        <w:spacing w:after="0"/>
        <w:jc w:val="left"/>
        <w:rPr>
          <w:sz w:val="21"/>
        </w:rPr>
        <w:sectPr>
          <w:pgSz w:w="11910" w:h="16840"/>
          <w:pgMar w:top="1400" w:bottom="280" w:left="1280" w:right="420"/>
        </w:sectPr>
      </w:pPr>
    </w:p>
    <w:p>
      <w:pPr>
        <w:spacing w:before="44"/>
        <w:ind w:left="1610" w:right="0" w:firstLine="0"/>
        <w:jc w:val="left"/>
        <w:rPr>
          <w:b/>
          <w:sz w:val="21"/>
        </w:rPr>
      </w:pPr>
      <w:r>
        <w:rPr>
          <w:b/>
          <w:spacing w:val="-2"/>
          <w:sz w:val="21"/>
        </w:rPr>
        <w:t>们申请给付保险金。</w:t>
      </w:r>
    </w:p>
    <w:p>
      <w:pPr>
        <w:pStyle w:val="BodyText"/>
        <w:rPr>
          <w:b/>
          <w:sz w:val="15"/>
        </w:rPr>
      </w:pPr>
    </w:p>
    <w:p>
      <w:pPr>
        <w:pStyle w:val="ListParagraph"/>
        <w:numPr>
          <w:ilvl w:val="1"/>
          <w:numId w:val="3"/>
        </w:numPr>
        <w:tabs>
          <w:tab w:pos="715" w:val="left" w:leader="none"/>
        </w:tabs>
        <w:spacing w:line="240" w:lineRule="auto" w:before="0" w:after="0"/>
        <w:ind w:left="714" w:right="0" w:hanging="577"/>
        <w:jc w:val="both"/>
        <w:rPr>
          <w:b/>
          <w:sz w:val="21"/>
        </w:rPr>
      </w:pPr>
      <w:bookmarkStart w:name="_bookmark20" w:id="35"/>
      <w:bookmarkEnd w:id="35"/>
      <w:r>
        <w:rPr/>
      </w:r>
      <w:bookmarkStart w:name="_bookmark20" w:id="36"/>
      <w:bookmarkEnd w:id="36"/>
      <w:r>
        <w:rPr>
          <w:b/>
          <w:spacing w:val="-2"/>
          <w:sz w:val="21"/>
        </w:rPr>
        <w:t>保险金给付</w:t>
      </w:r>
    </w:p>
    <w:p>
      <w:pPr>
        <w:pStyle w:val="BodyText"/>
        <w:rPr>
          <w:b/>
          <w:sz w:val="15"/>
        </w:rPr>
      </w:pPr>
    </w:p>
    <w:p>
      <w:pPr>
        <w:pStyle w:val="BodyText"/>
        <w:spacing w:line="278" w:lineRule="auto" w:before="0"/>
        <w:ind w:left="1610" w:right="1026"/>
      </w:pPr>
      <w:r>
        <w:rPr>
          <w:spacing w:val="-2"/>
        </w:rPr>
        <w:t>我们在收到保险金给付申请书及合同约定的证明和资料后，将在五日内作出核定；</w:t>
      </w:r>
      <w:r>
        <w:rPr>
          <w:spacing w:val="-2"/>
        </w:rPr>
        <w:t>情形复杂的，在三十日内作出核定，但因第三方原因导致的延迟除外。</w:t>
      </w:r>
    </w:p>
    <w:p>
      <w:pPr>
        <w:pStyle w:val="BodyText"/>
        <w:spacing w:line="278" w:lineRule="auto" w:before="156"/>
        <w:ind w:left="1610" w:right="883"/>
      </w:pPr>
      <w:r>
        <w:rPr>
          <w:spacing w:val="-9"/>
        </w:rPr>
        <w:t>对属于保险责任的，我们将在与被保险人或受益人达成给付保险金的协议后十日内，</w:t>
      </w:r>
      <w:r>
        <w:rPr>
          <w:spacing w:val="-2"/>
        </w:rPr>
        <w:t>履行给付保险金义务。</w:t>
      </w:r>
    </w:p>
    <w:p>
      <w:pPr>
        <w:pStyle w:val="BodyText"/>
        <w:spacing w:line="278" w:lineRule="auto" w:before="156"/>
        <w:ind w:left="1610" w:right="1025"/>
      </w:pPr>
      <w:r>
        <w:rPr>
          <w:spacing w:val="-2"/>
        </w:rPr>
        <w:t>我们未及时履行前款规定义务的，除支付保险金外，应当赔偿被保险人或受益人因</w:t>
      </w:r>
      <w:r>
        <w:rPr>
          <w:spacing w:val="-2"/>
        </w:rPr>
        <w:t>此受到的损失。</w:t>
      </w:r>
    </w:p>
    <w:p>
      <w:pPr>
        <w:pStyle w:val="BodyText"/>
        <w:spacing w:line="278" w:lineRule="auto" w:before="155"/>
        <w:ind w:left="1610" w:right="1025"/>
      </w:pPr>
      <w:r>
        <w:rPr>
          <w:spacing w:val="-2"/>
        </w:rPr>
        <w:t>对不属于保险责任的，我们自作出核定之日起三日内向被保险人或受益人发出拒绝</w:t>
      </w:r>
      <w:r>
        <w:rPr>
          <w:spacing w:val="-2"/>
        </w:rPr>
        <w:t>给付保险金通知书并说明理由。</w:t>
      </w:r>
    </w:p>
    <w:p>
      <w:pPr>
        <w:pStyle w:val="BodyText"/>
        <w:spacing w:line="278" w:lineRule="auto" w:before="157"/>
        <w:ind w:left="1610" w:right="1026"/>
        <w:jc w:val="both"/>
      </w:pPr>
      <w:r>
        <w:rPr>
          <w:spacing w:val="-2"/>
        </w:rPr>
        <w:t>我们在收到保险金给付申请书及有关证明和资料之日起六十日内，对给付保险金的</w:t>
      </w:r>
      <w:r>
        <w:rPr>
          <w:spacing w:val="-2"/>
        </w:rPr>
        <w:t>数额不能确定的，根据已有证明和资料可以确定的数额先予支付；我们最终确定给</w:t>
      </w:r>
      <w:r>
        <w:rPr>
          <w:spacing w:val="-2"/>
        </w:rPr>
        <w:t>付保险金的数额后，将支付相应的差额。</w:t>
      </w:r>
    </w:p>
    <w:p>
      <w:pPr>
        <w:pStyle w:val="ListParagraph"/>
        <w:numPr>
          <w:ilvl w:val="1"/>
          <w:numId w:val="3"/>
        </w:numPr>
        <w:tabs>
          <w:tab w:pos="715" w:val="left" w:leader="none"/>
        </w:tabs>
        <w:spacing w:line="240" w:lineRule="auto" w:before="155" w:after="0"/>
        <w:ind w:left="714" w:right="0" w:hanging="577"/>
        <w:jc w:val="both"/>
        <w:rPr>
          <w:b/>
          <w:sz w:val="21"/>
        </w:rPr>
      </w:pPr>
      <w:bookmarkStart w:name="_bookmark21" w:id="37"/>
      <w:bookmarkEnd w:id="37"/>
      <w:r>
        <w:rPr/>
      </w:r>
      <w:bookmarkStart w:name="_bookmark21" w:id="38"/>
      <w:bookmarkEnd w:id="38"/>
      <w:r>
        <w:rPr>
          <w:b/>
          <w:spacing w:val="-3"/>
          <w:sz w:val="21"/>
        </w:rPr>
        <w:t>诉讼时效</w:t>
      </w:r>
    </w:p>
    <w:p>
      <w:pPr>
        <w:pStyle w:val="BodyText"/>
        <w:rPr>
          <w:b/>
          <w:sz w:val="15"/>
        </w:rPr>
      </w:pPr>
    </w:p>
    <w:p>
      <w:pPr>
        <w:pStyle w:val="BodyText"/>
        <w:spacing w:line="278" w:lineRule="auto" w:before="0"/>
        <w:ind w:left="1610" w:right="884"/>
      </w:pPr>
      <w:r>
        <w:rPr>
          <w:spacing w:val="-3"/>
          <w:w w:val="100"/>
        </w:rPr>
        <w:t>被保险人或受益人向我们请求给付身故保险金的诉讼时效期间为五年，除身故保险</w:t>
      </w:r>
      <w:r>
        <w:rPr>
          <w:spacing w:val="-10"/>
          <w:w w:val="100"/>
        </w:rPr>
        <w:t>金外其他保险金，被保险人或受益人向我们请求给付保险金的诉讼时效期间为两年，</w:t>
      </w:r>
      <w:r>
        <w:rPr>
          <w:spacing w:val="-5"/>
          <w:w w:val="100"/>
        </w:rPr>
        <w:t>自其知道或者应当知道保险事故发生之日起计算。</w:t>
      </w:r>
    </w:p>
    <w:p>
      <w:pPr>
        <w:pStyle w:val="ListParagraph"/>
        <w:numPr>
          <w:ilvl w:val="1"/>
          <w:numId w:val="3"/>
        </w:numPr>
        <w:tabs>
          <w:tab w:pos="714" w:val="left" w:leader="none"/>
          <w:tab w:pos="715" w:val="left" w:leader="none"/>
        </w:tabs>
        <w:spacing w:line="240" w:lineRule="auto" w:before="156" w:after="0"/>
        <w:ind w:left="714" w:right="0" w:hanging="577"/>
        <w:jc w:val="left"/>
        <w:rPr>
          <w:b/>
          <w:sz w:val="21"/>
        </w:rPr>
      </w:pPr>
      <w:bookmarkStart w:name="_bookmark22" w:id="39"/>
      <w:bookmarkEnd w:id="39"/>
      <w:r>
        <w:rPr/>
      </w:r>
      <w:bookmarkStart w:name="_bookmark22" w:id="40"/>
      <w:bookmarkEnd w:id="40"/>
      <w:r>
        <w:rPr>
          <w:b/>
          <w:spacing w:val="-4"/>
          <w:sz w:val="21"/>
        </w:rPr>
        <w:t>宣告死亡处理</w:t>
      </w:r>
    </w:p>
    <w:p>
      <w:pPr>
        <w:pStyle w:val="BodyText"/>
        <w:spacing w:before="6"/>
        <w:rPr>
          <w:b/>
          <w:sz w:val="15"/>
        </w:rPr>
      </w:pPr>
    </w:p>
    <w:p>
      <w:pPr>
        <w:pStyle w:val="BodyText"/>
        <w:spacing w:line="278" w:lineRule="auto" w:before="1"/>
        <w:ind w:left="1610" w:right="1026"/>
        <w:rPr>
          <w:b/>
        </w:rPr>
      </w:pPr>
      <w:r>
        <w:rPr>
          <w:spacing w:val="-2"/>
        </w:rPr>
        <w:t>在本合同有效期内，若被保险人失踪且经法院宣告为身故，我们按被保险人身故处</w:t>
      </w:r>
      <w:r>
        <w:rPr>
          <w:spacing w:val="-2"/>
        </w:rPr>
        <w:t>理，</w:t>
      </w:r>
      <w:r>
        <w:rPr>
          <w:b/>
          <w:spacing w:val="-2"/>
        </w:rPr>
        <w:t>本合同效力终止。</w:t>
      </w:r>
    </w:p>
    <w:p>
      <w:pPr>
        <w:spacing w:line="278" w:lineRule="auto" w:before="156"/>
        <w:ind w:left="1610" w:right="1005" w:firstLine="0"/>
        <w:jc w:val="left"/>
        <w:rPr>
          <w:sz w:val="21"/>
        </w:rPr>
      </w:pPr>
      <w:r>
        <w:rPr>
          <w:b/>
          <w:spacing w:val="-2"/>
          <w:sz w:val="21"/>
        </w:rPr>
        <w:t>若日后发现被保险人重新出现或确知其下落时，保险金领取人应于知道后三十日内</w:t>
      </w:r>
      <w:r>
        <w:rPr>
          <w:b/>
          <w:spacing w:val="-2"/>
          <w:sz w:val="21"/>
        </w:rPr>
        <w:t>向我们返还已领取的保险金。</w:t>
      </w:r>
      <w:r>
        <w:rPr>
          <w:spacing w:val="-2"/>
          <w:sz w:val="21"/>
        </w:rPr>
        <w:t>本合同的效力由我们与您依法协商处理。</w:t>
      </w:r>
    </w:p>
    <w:p>
      <w:pPr>
        <w:pStyle w:val="BodyText"/>
        <w:spacing w:before="9"/>
        <w:rPr>
          <w:sz w:val="22"/>
        </w:rPr>
      </w:pPr>
    </w:p>
    <w:p>
      <w:pPr>
        <w:pStyle w:val="Heading1"/>
        <w:numPr>
          <w:ilvl w:val="0"/>
          <w:numId w:val="3"/>
        </w:numPr>
        <w:tabs>
          <w:tab w:pos="570" w:val="left" w:leader="none"/>
          <w:tab w:pos="571" w:val="left" w:leader="none"/>
        </w:tabs>
        <w:spacing w:line="240" w:lineRule="auto" w:before="0" w:after="0"/>
        <w:ind w:left="570" w:right="0" w:hanging="433"/>
        <w:jc w:val="left"/>
      </w:pPr>
      <w:r>
        <w:rPr/>
        <w:drawing>
          <wp:anchor distT="0" distB="0" distL="0" distR="0" allowOverlap="1" layoutInCell="1" locked="0" behindDoc="0" simplePos="0" relativeHeight="7">
            <wp:simplePos x="0" y="0"/>
            <wp:positionH relativeFrom="page">
              <wp:posOffset>882700</wp:posOffset>
            </wp:positionH>
            <wp:positionV relativeFrom="paragraph">
              <wp:posOffset>210312</wp:posOffset>
            </wp:positionV>
            <wp:extent cx="5796661" cy="18287"/>
            <wp:effectExtent l="0" t="0" r="0" b="0"/>
            <wp:wrapTopAndBottom/>
            <wp:docPr id="17" name="image6.png"/>
            <wp:cNvGraphicFramePr>
              <a:graphicFrameLocks noChangeAspect="1"/>
            </wp:cNvGraphicFramePr>
            <a:graphic>
              <a:graphicData uri="http://schemas.openxmlformats.org/drawingml/2006/picture">
                <pic:pic>
                  <pic:nvPicPr>
                    <pic:cNvPr id="18" name="image6.png"/>
                    <pic:cNvPicPr/>
                  </pic:nvPicPr>
                  <pic:blipFill>
                    <a:blip r:embed="rId10" cstate="print"/>
                    <a:stretch>
                      <a:fillRect/>
                    </a:stretch>
                  </pic:blipFill>
                  <pic:spPr>
                    <a:xfrm>
                      <a:off x="0" y="0"/>
                      <a:ext cx="5796661" cy="18287"/>
                    </a:xfrm>
                    <a:prstGeom prst="rect">
                      <a:avLst/>
                    </a:prstGeom>
                  </pic:spPr>
                </pic:pic>
              </a:graphicData>
            </a:graphic>
          </wp:anchor>
        </w:drawing>
      </w:r>
      <w:bookmarkStart w:name="_bookmark23" w:id="41"/>
      <w:bookmarkEnd w:id="41"/>
      <w:r>
        <w:rPr>
          <w:w w:val="95"/>
        </w:rPr>
        <w:t>保险费</w:t>
      </w:r>
      <w:r>
        <w:rPr>
          <w:w w:val="95"/>
        </w:rPr>
        <w:t>的</w:t>
      </w:r>
      <w:r>
        <w:rPr>
          <w:w w:val="95"/>
        </w:rPr>
        <w:t>交</w:t>
      </w:r>
      <w:r>
        <w:rPr>
          <w:spacing w:val="-10"/>
          <w:w w:val="95"/>
        </w:rPr>
        <w:t>纳</w:t>
      </w:r>
    </w:p>
    <w:p>
      <w:pPr>
        <w:pStyle w:val="ListParagraph"/>
        <w:numPr>
          <w:ilvl w:val="1"/>
          <w:numId w:val="3"/>
        </w:numPr>
        <w:tabs>
          <w:tab w:pos="714" w:val="left" w:leader="none"/>
          <w:tab w:pos="715" w:val="left" w:leader="none"/>
        </w:tabs>
        <w:spacing w:line="240" w:lineRule="auto" w:before="178" w:after="0"/>
        <w:ind w:left="714" w:right="0" w:hanging="577"/>
        <w:jc w:val="left"/>
        <w:rPr>
          <w:b/>
          <w:sz w:val="21"/>
        </w:rPr>
      </w:pPr>
      <w:bookmarkStart w:name="_bookmark25" w:id="42"/>
      <w:bookmarkEnd w:id="42"/>
      <w:r>
        <w:rPr/>
      </w:r>
      <w:bookmarkStart w:name="_bookmark24" w:id="43"/>
      <w:bookmarkEnd w:id="43"/>
      <w:r>
        <w:rPr/>
      </w:r>
      <w:bookmarkStart w:name="_bookmark24" w:id="44"/>
      <w:bookmarkEnd w:id="44"/>
      <w:r>
        <w:rPr>
          <w:b/>
          <w:spacing w:val="-4"/>
          <w:sz w:val="21"/>
        </w:rPr>
        <w:t>保险费的交纳</w:t>
      </w:r>
    </w:p>
    <w:p>
      <w:pPr>
        <w:pStyle w:val="BodyText"/>
        <w:rPr>
          <w:b/>
          <w:sz w:val="15"/>
        </w:rPr>
      </w:pPr>
    </w:p>
    <w:p>
      <w:pPr>
        <w:pStyle w:val="BodyText"/>
        <w:spacing w:line="278" w:lineRule="auto" w:before="0"/>
        <w:ind w:left="1610" w:right="1025"/>
      </w:pPr>
      <w:r>
        <w:rPr>
          <w:spacing w:val="-2"/>
        </w:rPr>
        <w:t>本合同的保险费、交费方式以及交费期限由您和我们约定，并在保险单或批注上载</w:t>
      </w:r>
      <w:r>
        <w:rPr>
          <w:spacing w:val="-6"/>
        </w:rPr>
        <w:t>明。</w:t>
      </w:r>
    </w:p>
    <w:p>
      <w:pPr>
        <w:pStyle w:val="BodyText"/>
        <w:spacing w:line="278" w:lineRule="auto" w:before="156"/>
        <w:ind w:left="1610" w:right="1025"/>
      </w:pPr>
      <w:r>
        <w:rPr>
          <w:spacing w:val="-2"/>
        </w:rPr>
        <w:t>本合同有效期内，您应在本合同上载明的保险费约定支付日向我们交纳续期的保险</w:t>
      </w:r>
      <w:r>
        <w:rPr>
          <w:spacing w:val="-2"/>
        </w:rPr>
        <w:t>费，也可以向我们申请变更保险费交费方式，经我们同意并批注后生效。</w:t>
      </w:r>
    </w:p>
    <w:p>
      <w:pPr>
        <w:pStyle w:val="ListParagraph"/>
        <w:numPr>
          <w:ilvl w:val="1"/>
          <w:numId w:val="3"/>
        </w:numPr>
        <w:tabs>
          <w:tab w:pos="714" w:val="left" w:leader="none"/>
          <w:tab w:pos="715" w:val="left" w:leader="none"/>
        </w:tabs>
        <w:spacing w:line="240" w:lineRule="auto" w:before="156" w:after="0"/>
        <w:ind w:left="714" w:right="0" w:hanging="577"/>
        <w:jc w:val="left"/>
        <w:rPr>
          <w:b/>
          <w:sz w:val="21"/>
        </w:rPr>
      </w:pPr>
      <w:bookmarkStart w:name="_bookmark26" w:id="45"/>
      <w:bookmarkEnd w:id="45"/>
      <w:r>
        <w:rPr/>
      </w:r>
      <w:bookmarkStart w:name="_bookmark26" w:id="46"/>
      <w:bookmarkEnd w:id="46"/>
      <w:r>
        <w:rPr>
          <w:b/>
          <w:spacing w:val="-4"/>
          <w:sz w:val="21"/>
        </w:rPr>
        <w:t>宽限期</w:t>
      </w:r>
    </w:p>
    <w:p>
      <w:pPr>
        <w:pStyle w:val="BodyText"/>
        <w:rPr>
          <w:b/>
          <w:sz w:val="15"/>
        </w:rPr>
      </w:pPr>
    </w:p>
    <w:p>
      <w:pPr>
        <w:spacing w:line="278" w:lineRule="auto" w:before="0"/>
        <w:ind w:left="1610" w:right="886" w:firstLine="0"/>
        <w:jc w:val="both"/>
        <w:rPr>
          <w:sz w:val="21"/>
        </w:rPr>
      </w:pPr>
      <w:r>
        <w:rPr>
          <w:spacing w:val="-3"/>
          <w:w w:val="100"/>
          <w:sz w:val="21"/>
        </w:rPr>
        <w:t>分期支付保险费的，您支付首期保险费后，除本合同另有约定外，</w:t>
      </w:r>
      <w:r>
        <w:rPr>
          <w:b/>
          <w:spacing w:val="-1"/>
          <w:w w:val="100"/>
          <w:sz w:val="21"/>
        </w:rPr>
        <w:t>若您到期未交纳</w:t>
      </w:r>
      <w:r>
        <w:rPr>
          <w:b/>
          <w:spacing w:val="-3"/>
          <w:w w:val="100"/>
          <w:sz w:val="21"/>
        </w:rPr>
        <w:t>期交保险费，则自保险费约定支付日的次日零时起六十日为宽限期。</w:t>
      </w:r>
      <w:r>
        <w:rPr>
          <w:spacing w:val="-3"/>
          <w:w w:val="100"/>
          <w:sz w:val="21"/>
        </w:rPr>
        <w:t>宽限期内发生</w:t>
      </w:r>
      <w:r>
        <w:rPr>
          <w:spacing w:val="-10"/>
          <w:w w:val="100"/>
          <w:sz w:val="21"/>
        </w:rPr>
        <w:t>的保险事故，我们仍承担保险责任，但在给付保险金时会扣减您欠交的期交保险费。</w:t>
      </w:r>
    </w:p>
    <w:p>
      <w:pPr>
        <w:spacing w:line="278" w:lineRule="auto" w:before="156"/>
        <w:ind w:left="1610" w:right="1004" w:firstLine="0"/>
        <w:jc w:val="left"/>
        <w:rPr>
          <w:b/>
          <w:sz w:val="21"/>
        </w:rPr>
      </w:pPr>
      <w:r>
        <w:rPr>
          <w:b/>
          <w:spacing w:val="-2"/>
          <w:sz w:val="21"/>
        </w:rPr>
        <w:t>若您超过宽限期仍未交纳保险费，除本合同其他条款另有约定外，则本合同自宽限</w:t>
      </w:r>
      <w:r>
        <w:rPr>
          <w:b/>
          <w:spacing w:val="-2"/>
          <w:sz w:val="21"/>
        </w:rPr>
        <w:t>期届满的次日零时起效力中止。</w:t>
      </w:r>
    </w:p>
    <w:p>
      <w:pPr>
        <w:spacing w:after="0" w:line="278" w:lineRule="auto"/>
        <w:jc w:val="left"/>
        <w:rPr>
          <w:sz w:val="21"/>
        </w:rPr>
        <w:sectPr>
          <w:pgSz w:w="11910" w:h="16840"/>
          <w:pgMar w:top="1400" w:bottom="280" w:left="1280" w:right="420"/>
        </w:sectPr>
      </w:pPr>
    </w:p>
    <w:p>
      <w:pPr>
        <w:pStyle w:val="Heading1"/>
        <w:numPr>
          <w:ilvl w:val="0"/>
          <w:numId w:val="3"/>
        </w:numPr>
        <w:tabs>
          <w:tab w:pos="570" w:val="left" w:leader="none"/>
          <w:tab w:pos="571" w:val="left" w:leader="none"/>
        </w:tabs>
        <w:spacing w:line="240" w:lineRule="auto" w:before="44" w:after="0"/>
        <w:ind w:left="570" w:right="0" w:hanging="433"/>
        <w:jc w:val="left"/>
      </w:pPr>
      <w:r>
        <w:rPr/>
        <w:drawing>
          <wp:anchor distT="0" distB="0" distL="0" distR="0" allowOverlap="1" layoutInCell="1" locked="0" behindDoc="0" simplePos="0" relativeHeight="8">
            <wp:simplePos x="0" y="0"/>
            <wp:positionH relativeFrom="page">
              <wp:posOffset>882700</wp:posOffset>
            </wp:positionH>
            <wp:positionV relativeFrom="paragraph">
              <wp:posOffset>238251</wp:posOffset>
            </wp:positionV>
            <wp:extent cx="5796660" cy="18288"/>
            <wp:effectExtent l="0" t="0" r="0" b="0"/>
            <wp:wrapTopAndBottom/>
            <wp:docPr id="19" name="image6.png"/>
            <wp:cNvGraphicFramePr>
              <a:graphicFrameLocks noChangeAspect="1"/>
            </wp:cNvGraphicFramePr>
            <a:graphic>
              <a:graphicData uri="http://schemas.openxmlformats.org/drawingml/2006/picture">
                <pic:pic>
                  <pic:nvPicPr>
                    <pic:cNvPr id="20" name="image6.png"/>
                    <pic:cNvPicPr/>
                  </pic:nvPicPr>
                  <pic:blipFill>
                    <a:blip r:embed="rId10" cstate="print"/>
                    <a:stretch>
                      <a:fillRect/>
                    </a:stretch>
                  </pic:blipFill>
                  <pic:spPr>
                    <a:xfrm>
                      <a:off x="0" y="0"/>
                      <a:ext cx="5796660" cy="18288"/>
                    </a:xfrm>
                    <a:prstGeom prst="rect">
                      <a:avLst/>
                    </a:prstGeom>
                  </pic:spPr>
                </pic:pic>
              </a:graphicData>
            </a:graphic>
          </wp:anchor>
        </w:drawing>
      </w:r>
      <w:bookmarkStart w:name="_bookmark28" w:id="47"/>
      <w:bookmarkEnd w:id="47"/>
      <w:r>
        <w:rPr>
          <w:w w:val="95"/>
        </w:rPr>
        <w:t>现金价</w:t>
      </w:r>
      <w:bookmarkStart w:name="_bookmark27" w:id="48"/>
      <w:bookmarkEnd w:id="48"/>
      <w:r>
        <w:rPr>
          <w:w w:val="95"/>
        </w:rPr>
        <w:t>值</w:t>
      </w:r>
      <w:r>
        <w:rPr>
          <w:w w:val="95"/>
        </w:rPr>
        <w:t>权</w:t>
      </w:r>
      <w:r>
        <w:rPr>
          <w:spacing w:val="-10"/>
          <w:w w:val="95"/>
        </w:rPr>
        <w:t>益</w:t>
      </w:r>
    </w:p>
    <w:p>
      <w:pPr>
        <w:pStyle w:val="ListParagraph"/>
        <w:numPr>
          <w:ilvl w:val="1"/>
          <w:numId w:val="3"/>
        </w:numPr>
        <w:tabs>
          <w:tab w:pos="714" w:val="left" w:leader="none"/>
          <w:tab w:pos="715" w:val="left" w:leader="none"/>
        </w:tabs>
        <w:spacing w:line="240" w:lineRule="auto" w:before="179" w:after="0"/>
        <w:ind w:left="714" w:right="0" w:hanging="577"/>
        <w:jc w:val="left"/>
        <w:rPr>
          <w:b/>
          <w:sz w:val="21"/>
        </w:rPr>
      </w:pPr>
      <w:bookmarkStart w:name="_bookmark29" w:id="49"/>
      <w:bookmarkEnd w:id="49"/>
      <w:r>
        <w:rPr/>
      </w:r>
      <w:bookmarkStart w:name="_bookmark29" w:id="50"/>
      <w:bookmarkEnd w:id="50"/>
      <w:r>
        <w:rPr>
          <w:b/>
          <w:spacing w:val="-3"/>
          <w:sz w:val="21"/>
        </w:rPr>
        <w:t>现金价值</w:t>
      </w:r>
    </w:p>
    <w:p>
      <w:pPr>
        <w:pStyle w:val="BodyText"/>
        <w:spacing w:before="6"/>
        <w:rPr>
          <w:b/>
          <w:sz w:val="15"/>
        </w:rPr>
      </w:pPr>
    </w:p>
    <w:p>
      <w:pPr>
        <w:pStyle w:val="BodyText"/>
        <w:spacing w:before="1"/>
        <w:ind w:left="1610"/>
      </w:pPr>
      <w:r>
        <w:rPr>
          <w:spacing w:val="-3"/>
        </w:rPr>
        <w:t>本合同每一个保单年度末的现金价值会在保险单上载明。</w:t>
      </w:r>
    </w:p>
    <w:p>
      <w:pPr>
        <w:pStyle w:val="BodyText"/>
        <w:spacing w:before="6"/>
        <w:rPr>
          <w:sz w:val="15"/>
        </w:rPr>
      </w:pPr>
    </w:p>
    <w:p>
      <w:pPr>
        <w:pStyle w:val="ListParagraph"/>
        <w:numPr>
          <w:ilvl w:val="1"/>
          <w:numId w:val="3"/>
        </w:numPr>
        <w:tabs>
          <w:tab w:pos="714" w:val="left" w:leader="none"/>
          <w:tab w:pos="715" w:val="left" w:leader="none"/>
        </w:tabs>
        <w:spacing w:line="240" w:lineRule="auto" w:before="0" w:after="0"/>
        <w:ind w:left="714" w:right="0" w:hanging="577"/>
        <w:jc w:val="left"/>
        <w:rPr>
          <w:b/>
          <w:sz w:val="21"/>
        </w:rPr>
      </w:pPr>
      <w:bookmarkStart w:name="_bookmark30" w:id="51"/>
      <w:bookmarkEnd w:id="51"/>
      <w:r>
        <w:rPr/>
      </w:r>
      <w:bookmarkStart w:name="_bookmark30" w:id="52"/>
      <w:bookmarkEnd w:id="52"/>
      <w:r>
        <w:rPr>
          <w:b/>
          <w:spacing w:val="-3"/>
          <w:sz w:val="21"/>
        </w:rPr>
        <w:t>保单借款</w:t>
      </w:r>
    </w:p>
    <w:p>
      <w:pPr>
        <w:pStyle w:val="BodyText"/>
        <w:rPr>
          <w:b/>
          <w:sz w:val="15"/>
        </w:rPr>
      </w:pPr>
    </w:p>
    <w:p>
      <w:pPr>
        <w:pStyle w:val="BodyText"/>
        <w:spacing w:line="278" w:lineRule="auto" w:before="0"/>
        <w:ind w:left="1610" w:right="1009"/>
        <w:jc w:val="both"/>
      </w:pPr>
      <w:r>
        <w:rPr>
          <w:spacing w:val="-2"/>
        </w:rPr>
        <w:t>本合同有效期内，在您的保险合同累积有现金价值的前提下，您可以向我们申请借</w:t>
      </w:r>
      <w:r>
        <w:rPr>
          <w:spacing w:val="-3"/>
        </w:rPr>
        <w:t>款。累计借款金额不得超过借款时本合同现金价值的 </w:t>
      </w:r>
      <w:r>
        <w:rPr>
          <w:rFonts w:ascii="Times New Roman" w:eastAsia="Times New Roman"/>
          <w:spacing w:val="-2"/>
        </w:rPr>
        <w:t>80%</w:t>
      </w:r>
      <w:r>
        <w:rPr>
          <w:spacing w:val="-2"/>
        </w:rPr>
        <w:t>。每次借款期限最长为六</w:t>
      </w:r>
      <w:r>
        <w:rPr>
          <w:spacing w:val="-4"/>
        </w:rPr>
        <w:t>个月。</w:t>
      </w:r>
    </w:p>
    <w:p>
      <w:pPr>
        <w:spacing w:line="278" w:lineRule="auto" w:before="156"/>
        <w:ind w:left="1610" w:right="1015" w:firstLine="0"/>
        <w:jc w:val="both"/>
        <w:rPr>
          <w:b/>
          <w:sz w:val="21"/>
        </w:rPr>
      </w:pPr>
      <w:r>
        <w:rPr>
          <w:spacing w:val="-2"/>
          <w:sz w:val="21"/>
        </w:rPr>
        <w:t>保单借款的</w:t>
      </w:r>
      <w:r>
        <w:rPr>
          <w:b/>
          <w:spacing w:val="-2"/>
          <w:sz w:val="21"/>
        </w:rPr>
        <w:t>利息（见释义）</w:t>
      </w:r>
      <w:r>
        <w:rPr>
          <w:spacing w:val="-2"/>
          <w:sz w:val="21"/>
        </w:rPr>
        <w:t>按当时我们已宣布的</w:t>
      </w:r>
      <w:r>
        <w:rPr>
          <w:b/>
          <w:spacing w:val="-2"/>
          <w:sz w:val="21"/>
        </w:rPr>
        <w:t>借款利率（见释义）</w:t>
      </w:r>
      <w:r>
        <w:rPr>
          <w:spacing w:val="-2"/>
          <w:sz w:val="21"/>
        </w:rPr>
        <w:t>单利计算，并</w:t>
      </w:r>
      <w:r>
        <w:rPr>
          <w:spacing w:val="-2"/>
          <w:sz w:val="21"/>
        </w:rPr>
        <w:t>沿用至该次借款期满。若您到期未偿还借款，则借款利息将被并入原借款金额中，</w:t>
      </w:r>
      <w:r>
        <w:rPr>
          <w:spacing w:val="-2"/>
          <w:sz w:val="21"/>
        </w:rPr>
        <w:t>自动进入下一借款期，在下一借款期内按我们最近一次宣布的借款利率单利计息。</w:t>
      </w:r>
      <w:r>
        <w:rPr>
          <w:b/>
          <w:spacing w:val="-2"/>
          <w:sz w:val="21"/>
        </w:rPr>
        <w:t>当您的现金价值不足以偿还借款及借款利息时，本合同及附加合同效力中止。</w:t>
      </w:r>
    </w:p>
    <w:p>
      <w:pPr>
        <w:pStyle w:val="BodyText"/>
        <w:spacing w:line="278" w:lineRule="auto" w:before="156"/>
        <w:ind w:left="1610" w:right="1025"/>
      </w:pPr>
      <w:r>
        <w:rPr>
          <w:spacing w:val="-2"/>
        </w:rPr>
        <w:t>偿还借款应先偿还借款利息，然后偿还借款本金。若本合同及其附加合同有任何赔</w:t>
      </w:r>
      <w:r>
        <w:rPr>
          <w:spacing w:val="-2"/>
        </w:rPr>
        <w:t>偿或给付，我们有权先从该赔偿金或给付金中扣除您未偿还的借款及借款利息。</w:t>
      </w:r>
    </w:p>
    <w:p>
      <w:pPr>
        <w:pStyle w:val="BodyText"/>
        <w:spacing w:before="156"/>
        <w:ind w:left="1610"/>
      </w:pPr>
      <w:r>
        <w:rPr>
          <w:spacing w:val="-3"/>
        </w:rPr>
        <w:t>若您选择保险费自动垫交时，现金价值的计算应先扣除未偿还的借款及借款利息。</w:t>
      </w:r>
    </w:p>
    <w:p>
      <w:pPr>
        <w:pStyle w:val="BodyText"/>
        <w:spacing w:before="6"/>
        <w:rPr>
          <w:sz w:val="15"/>
        </w:rPr>
      </w:pPr>
    </w:p>
    <w:p>
      <w:pPr>
        <w:pStyle w:val="ListParagraph"/>
        <w:numPr>
          <w:ilvl w:val="1"/>
          <w:numId w:val="3"/>
        </w:numPr>
        <w:tabs>
          <w:tab w:pos="714" w:val="left" w:leader="none"/>
          <w:tab w:pos="715" w:val="left" w:leader="none"/>
        </w:tabs>
        <w:spacing w:line="240" w:lineRule="auto" w:before="0" w:after="0"/>
        <w:ind w:left="714" w:right="0" w:hanging="577"/>
        <w:jc w:val="left"/>
        <w:rPr>
          <w:b/>
          <w:sz w:val="21"/>
        </w:rPr>
      </w:pPr>
      <w:bookmarkStart w:name="_bookmark31" w:id="53"/>
      <w:bookmarkEnd w:id="53"/>
      <w:r>
        <w:rPr/>
      </w:r>
      <w:bookmarkStart w:name="_bookmark31" w:id="54"/>
      <w:bookmarkEnd w:id="54"/>
      <w:r>
        <w:rPr>
          <w:b/>
          <w:spacing w:val="-2"/>
          <w:sz w:val="21"/>
        </w:rPr>
        <w:t>保险费自动垫交</w:t>
      </w:r>
    </w:p>
    <w:p>
      <w:pPr>
        <w:pStyle w:val="BodyText"/>
        <w:rPr>
          <w:b/>
          <w:sz w:val="15"/>
        </w:rPr>
      </w:pPr>
    </w:p>
    <w:p>
      <w:pPr>
        <w:pStyle w:val="BodyText"/>
        <w:spacing w:line="278" w:lineRule="auto" w:before="0"/>
        <w:ind w:left="1610" w:right="1025"/>
        <w:jc w:val="both"/>
      </w:pPr>
      <w:r>
        <w:rPr>
          <w:spacing w:val="-2"/>
        </w:rPr>
        <w:t>您可以选择保险费自动垫交功能，若您选择了保险费自动垫交，且您在宽限期结束</w:t>
      </w:r>
      <w:r>
        <w:rPr>
          <w:spacing w:val="-2"/>
        </w:rPr>
        <w:t>时仍未交纳应交保险费的，我们将以本合同及附加合同的现金价值扣除您尚未偿还</w:t>
      </w:r>
      <w:r>
        <w:rPr>
          <w:spacing w:val="-2"/>
        </w:rPr>
        <w:t>的各项欠款之后的余额，自动垫交本合同及附加合同的应交保险费，本合同及附加</w:t>
      </w:r>
      <w:r>
        <w:rPr>
          <w:spacing w:val="-2"/>
        </w:rPr>
        <w:t>合同继续有效。我们将对保险费自动垫交的部分收取利息，具体的利息计算方式同</w:t>
      </w:r>
      <w:r>
        <w:rPr>
          <w:spacing w:val="-2"/>
        </w:rPr>
        <w:t>保单借款。</w:t>
      </w:r>
    </w:p>
    <w:p>
      <w:pPr>
        <w:spacing w:line="278" w:lineRule="auto" w:before="156"/>
        <w:ind w:left="1610" w:right="1011" w:firstLine="0"/>
        <w:jc w:val="both"/>
        <w:rPr>
          <w:b/>
          <w:sz w:val="21"/>
        </w:rPr>
      </w:pPr>
      <w:r>
        <w:rPr>
          <w:spacing w:val="-2"/>
          <w:sz w:val="21"/>
        </w:rPr>
        <w:t>当现金价值扣除各项欠款后的余额不足以垫交一期本合同及附加合同保险费的，我</w:t>
      </w:r>
      <w:r>
        <w:rPr>
          <w:spacing w:val="-2"/>
          <w:sz w:val="21"/>
        </w:rPr>
        <w:t>们将根据现金价值的余额计算本合同及附加合同可以继续有效的日数，本合同及附</w:t>
      </w:r>
      <w:r>
        <w:rPr>
          <w:spacing w:val="-2"/>
          <w:sz w:val="21"/>
        </w:rPr>
        <w:t>加合同在此期间继续有效。</w:t>
      </w:r>
      <w:r>
        <w:rPr>
          <w:b/>
          <w:spacing w:val="-2"/>
          <w:sz w:val="21"/>
        </w:rPr>
        <w:t>当现金价值扣除各项欠款后的余额为零时，本合同及附</w:t>
      </w:r>
      <w:r>
        <w:rPr>
          <w:b/>
          <w:spacing w:val="-2"/>
          <w:sz w:val="21"/>
        </w:rPr>
        <w:t>加合同效力中止。</w:t>
      </w:r>
    </w:p>
    <w:p>
      <w:pPr>
        <w:pStyle w:val="BodyText"/>
        <w:spacing w:before="9"/>
        <w:rPr>
          <w:b/>
          <w:sz w:val="22"/>
        </w:rPr>
      </w:pPr>
    </w:p>
    <w:p>
      <w:pPr>
        <w:pStyle w:val="Heading1"/>
        <w:numPr>
          <w:ilvl w:val="0"/>
          <w:numId w:val="3"/>
        </w:numPr>
        <w:tabs>
          <w:tab w:pos="570" w:val="left" w:leader="none"/>
          <w:tab w:pos="571" w:val="left" w:leader="none"/>
        </w:tabs>
        <w:spacing w:line="240" w:lineRule="auto" w:before="0" w:after="0"/>
        <w:ind w:left="570" w:right="0" w:hanging="433"/>
        <w:jc w:val="left"/>
      </w:pPr>
      <w:r>
        <w:rPr/>
        <w:drawing>
          <wp:anchor distT="0" distB="0" distL="0" distR="0" allowOverlap="1" layoutInCell="1" locked="0" behindDoc="0" simplePos="0" relativeHeight="9">
            <wp:simplePos x="0" y="0"/>
            <wp:positionH relativeFrom="page">
              <wp:posOffset>882700</wp:posOffset>
            </wp:positionH>
            <wp:positionV relativeFrom="paragraph">
              <wp:posOffset>210313</wp:posOffset>
            </wp:positionV>
            <wp:extent cx="5797063" cy="18287"/>
            <wp:effectExtent l="0" t="0" r="0" b="0"/>
            <wp:wrapTopAndBottom/>
            <wp:docPr id="21" name="image6.png"/>
            <wp:cNvGraphicFramePr>
              <a:graphicFrameLocks noChangeAspect="1"/>
            </wp:cNvGraphicFramePr>
            <a:graphic>
              <a:graphicData uri="http://schemas.openxmlformats.org/drawingml/2006/picture">
                <pic:pic>
                  <pic:nvPicPr>
                    <pic:cNvPr id="22" name="image6.png"/>
                    <pic:cNvPicPr/>
                  </pic:nvPicPr>
                  <pic:blipFill>
                    <a:blip r:embed="rId10" cstate="print"/>
                    <a:stretch>
                      <a:fillRect/>
                    </a:stretch>
                  </pic:blipFill>
                  <pic:spPr>
                    <a:xfrm>
                      <a:off x="0" y="0"/>
                      <a:ext cx="5797063" cy="18287"/>
                    </a:xfrm>
                    <a:prstGeom prst="rect">
                      <a:avLst/>
                    </a:prstGeom>
                  </pic:spPr>
                </pic:pic>
              </a:graphicData>
            </a:graphic>
          </wp:anchor>
        </w:drawing>
      </w:r>
      <w:bookmarkStart w:name="_bookmark32" w:id="55"/>
      <w:bookmarkEnd w:id="55"/>
      <w:r>
        <w:rPr>
          <w:w w:val="95"/>
        </w:rPr>
        <w:t>合同效</w:t>
      </w:r>
      <w:r>
        <w:rPr>
          <w:w w:val="95"/>
        </w:rPr>
        <w:t>力</w:t>
      </w:r>
      <w:r>
        <w:rPr>
          <w:w w:val="95"/>
        </w:rPr>
        <w:t>的</w:t>
      </w:r>
      <w:r>
        <w:rPr>
          <w:w w:val="95"/>
        </w:rPr>
        <w:t>中止及</w:t>
      </w:r>
      <w:r>
        <w:rPr>
          <w:w w:val="95"/>
        </w:rPr>
        <w:t>恢</w:t>
      </w:r>
      <w:r>
        <w:rPr>
          <w:spacing w:val="-10"/>
          <w:w w:val="95"/>
        </w:rPr>
        <w:t>复</w:t>
      </w:r>
    </w:p>
    <w:p>
      <w:pPr>
        <w:pStyle w:val="ListParagraph"/>
        <w:numPr>
          <w:ilvl w:val="1"/>
          <w:numId w:val="3"/>
        </w:numPr>
        <w:tabs>
          <w:tab w:pos="714" w:val="left" w:leader="none"/>
          <w:tab w:pos="715" w:val="left" w:leader="none"/>
        </w:tabs>
        <w:spacing w:line="240" w:lineRule="auto" w:before="178" w:after="0"/>
        <w:ind w:left="714" w:right="0" w:hanging="577"/>
        <w:jc w:val="left"/>
        <w:rPr>
          <w:b/>
          <w:sz w:val="21"/>
        </w:rPr>
      </w:pPr>
      <w:bookmarkStart w:name="_bookmark33" w:id="56"/>
      <w:bookmarkEnd w:id="56"/>
      <w:r>
        <w:rPr/>
      </w:r>
      <w:bookmarkStart w:name="_bookmark33" w:id="57"/>
      <w:bookmarkEnd w:id="57"/>
      <w:r>
        <w:rPr>
          <w:b/>
          <w:spacing w:val="-3"/>
          <w:sz w:val="21"/>
        </w:rPr>
        <w:t>效力中止</w:t>
      </w:r>
    </w:p>
    <w:p>
      <w:pPr>
        <w:pStyle w:val="BodyText"/>
        <w:rPr>
          <w:b/>
          <w:sz w:val="15"/>
        </w:rPr>
      </w:pPr>
    </w:p>
    <w:p>
      <w:pPr>
        <w:spacing w:line="278" w:lineRule="auto" w:before="0"/>
        <w:ind w:left="1610" w:right="1005" w:firstLine="0"/>
        <w:jc w:val="left"/>
        <w:rPr>
          <w:b/>
          <w:sz w:val="21"/>
        </w:rPr>
      </w:pPr>
      <w:r>
        <w:rPr>
          <w:b/>
          <w:spacing w:val="-2"/>
          <w:sz w:val="21"/>
        </w:rPr>
        <w:t>本合同的效力，因本合同约定事由的发生而中止。本合同效力中止期间，我们不承</w:t>
      </w:r>
      <w:r>
        <w:rPr>
          <w:b/>
          <w:spacing w:val="-2"/>
          <w:sz w:val="21"/>
        </w:rPr>
        <w:t>担保险责任。</w:t>
      </w:r>
    </w:p>
    <w:p>
      <w:pPr>
        <w:pStyle w:val="ListParagraph"/>
        <w:numPr>
          <w:ilvl w:val="1"/>
          <w:numId w:val="3"/>
        </w:numPr>
        <w:tabs>
          <w:tab w:pos="714" w:val="left" w:leader="none"/>
          <w:tab w:pos="715" w:val="left" w:leader="none"/>
        </w:tabs>
        <w:spacing w:line="240" w:lineRule="auto" w:before="156" w:after="0"/>
        <w:ind w:left="714" w:right="0" w:hanging="577"/>
        <w:jc w:val="left"/>
        <w:rPr>
          <w:b/>
          <w:sz w:val="21"/>
        </w:rPr>
      </w:pPr>
      <w:bookmarkStart w:name="_bookmark34" w:id="58"/>
      <w:bookmarkEnd w:id="58"/>
      <w:r>
        <w:rPr/>
      </w:r>
      <w:bookmarkStart w:name="_bookmark34" w:id="59"/>
      <w:bookmarkEnd w:id="59"/>
      <w:r>
        <w:rPr>
          <w:b/>
          <w:spacing w:val="-3"/>
          <w:sz w:val="21"/>
        </w:rPr>
        <w:t>效力恢复</w:t>
      </w:r>
    </w:p>
    <w:p>
      <w:pPr>
        <w:pStyle w:val="BodyText"/>
        <w:rPr>
          <w:b/>
          <w:sz w:val="15"/>
        </w:rPr>
      </w:pPr>
    </w:p>
    <w:p>
      <w:pPr>
        <w:pStyle w:val="BodyText"/>
        <w:spacing w:line="278" w:lineRule="auto" w:before="0"/>
        <w:ind w:left="1610" w:right="1025"/>
        <w:jc w:val="both"/>
      </w:pPr>
      <w:r>
        <w:rPr>
          <w:spacing w:val="-2"/>
        </w:rPr>
        <w:t>本合同效力中止后两年内，您可以向我们申请恢复合同效力。经我们审核同意并与</w:t>
      </w:r>
      <w:r>
        <w:rPr>
          <w:spacing w:val="-2"/>
        </w:rPr>
        <w:t>您达成协议，自您已偿清欠交的保险费及利息（自宽限期届满日起，每六个月复利</w:t>
      </w:r>
      <w:r>
        <w:rPr>
          <w:spacing w:val="-2"/>
        </w:rPr>
        <w:t>计息一次）并向我们交清您的借款及借款利息之日零时起，合同效力恢复。</w:t>
      </w:r>
    </w:p>
    <w:p>
      <w:pPr>
        <w:spacing w:line="278" w:lineRule="auto" w:before="156"/>
        <w:ind w:left="1610" w:right="1004" w:firstLine="0"/>
        <w:jc w:val="left"/>
        <w:rPr>
          <w:b/>
          <w:sz w:val="21"/>
        </w:rPr>
      </w:pPr>
      <w:r>
        <w:rPr>
          <w:b/>
          <w:spacing w:val="-2"/>
          <w:sz w:val="21"/>
        </w:rPr>
        <w:t>自本合同效力中止之日起满两年您未与我们达成复效协议的，我们有权解除合同，</w:t>
      </w:r>
      <w:r>
        <w:rPr>
          <w:b/>
          <w:spacing w:val="-2"/>
          <w:sz w:val="21"/>
        </w:rPr>
        <w:t>并向您退还合同效力中止时本合同的现金价值。</w:t>
      </w:r>
    </w:p>
    <w:p>
      <w:pPr>
        <w:spacing w:after="0" w:line="278" w:lineRule="auto"/>
        <w:jc w:val="left"/>
        <w:rPr>
          <w:sz w:val="21"/>
        </w:rPr>
        <w:sectPr>
          <w:pgSz w:w="11910" w:h="16840"/>
          <w:pgMar w:top="1380" w:bottom="280" w:left="1280" w:right="420"/>
        </w:sectPr>
      </w:pPr>
    </w:p>
    <w:p>
      <w:pPr>
        <w:pStyle w:val="Heading1"/>
        <w:numPr>
          <w:ilvl w:val="0"/>
          <w:numId w:val="3"/>
        </w:numPr>
        <w:tabs>
          <w:tab w:pos="570" w:val="left" w:leader="none"/>
          <w:tab w:pos="571" w:val="left" w:leader="none"/>
        </w:tabs>
        <w:spacing w:line="240" w:lineRule="auto" w:before="44" w:after="0"/>
        <w:ind w:left="570" w:right="0" w:hanging="433"/>
        <w:jc w:val="left"/>
      </w:pPr>
      <w:r>
        <w:rPr/>
        <w:drawing>
          <wp:anchor distT="0" distB="0" distL="0" distR="0" allowOverlap="1" layoutInCell="1" locked="0" behindDoc="0" simplePos="0" relativeHeight="10">
            <wp:simplePos x="0" y="0"/>
            <wp:positionH relativeFrom="page">
              <wp:posOffset>882700</wp:posOffset>
            </wp:positionH>
            <wp:positionV relativeFrom="paragraph">
              <wp:posOffset>238251</wp:posOffset>
            </wp:positionV>
            <wp:extent cx="5796660" cy="18288"/>
            <wp:effectExtent l="0" t="0" r="0" b="0"/>
            <wp:wrapTopAndBottom/>
            <wp:docPr id="23" name="image6.png"/>
            <wp:cNvGraphicFramePr>
              <a:graphicFrameLocks noChangeAspect="1"/>
            </wp:cNvGraphicFramePr>
            <a:graphic>
              <a:graphicData uri="http://schemas.openxmlformats.org/drawingml/2006/picture">
                <pic:pic>
                  <pic:nvPicPr>
                    <pic:cNvPr id="24" name="image6.png"/>
                    <pic:cNvPicPr/>
                  </pic:nvPicPr>
                  <pic:blipFill>
                    <a:blip r:embed="rId10" cstate="print"/>
                    <a:stretch>
                      <a:fillRect/>
                    </a:stretch>
                  </pic:blipFill>
                  <pic:spPr>
                    <a:xfrm>
                      <a:off x="0" y="0"/>
                      <a:ext cx="5796660" cy="18288"/>
                    </a:xfrm>
                    <a:prstGeom prst="rect">
                      <a:avLst/>
                    </a:prstGeom>
                  </pic:spPr>
                </pic:pic>
              </a:graphicData>
            </a:graphic>
          </wp:anchor>
        </w:drawing>
      </w:r>
      <w:bookmarkStart w:name="_bookmark35" w:id="60"/>
      <w:bookmarkEnd w:id="60"/>
      <w:r>
        <w:rPr>
          <w:w w:val="95"/>
        </w:rPr>
        <w:t>合同</w:t>
      </w:r>
      <w:r>
        <w:rPr>
          <w:w w:val="95"/>
        </w:rPr>
        <w:t>解</w:t>
      </w:r>
      <w:r>
        <w:rPr>
          <w:spacing w:val="-10"/>
          <w:w w:val="95"/>
        </w:rPr>
        <w:t>除</w:t>
      </w:r>
    </w:p>
    <w:p>
      <w:pPr>
        <w:pStyle w:val="ListParagraph"/>
        <w:numPr>
          <w:ilvl w:val="1"/>
          <w:numId w:val="3"/>
        </w:numPr>
        <w:tabs>
          <w:tab w:pos="714" w:val="left" w:leader="none"/>
          <w:tab w:pos="715" w:val="left" w:leader="none"/>
        </w:tabs>
        <w:spacing w:line="240" w:lineRule="auto" w:before="179" w:after="0"/>
        <w:ind w:left="714" w:right="0" w:hanging="577"/>
        <w:jc w:val="left"/>
        <w:rPr>
          <w:b/>
          <w:sz w:val="21"/>
        </w:rPr>
      </w:pPr>
      <w:bookmarkStart w:name="_bookmark36" w:id="61"/>
      <w:bookmarkEnd w:id="61"/>
      <w:r>
        <w:rPr/>
      </w:r>
      <w:bookmarkStart w:name="_bookmark36" w:id="62"/>
      <w:bookmarkEnd w:id="62"/>
      <w:r>
        <w:rPr>
          <w:b/>
          <w:spacing w:val="-3"/>
          <w:sz w:val="21"/>
        </w:rPr>
        <w:t>您解除合同的手续及风险</w:t>
      </w:r>
    </w:p>
    <w:p>
      <w:pPr>
        <w:pStyle w:val="BodyText"/>
        <w:spacing w:before="6"/>
        <w:rPr>
          <w:b/>
          <w:sz w:val="15"/>
        </w:rPr>
      </w:pPr>
    </w:p>
    <w:p>
      <w:pPr>
        <w:pStyle w:val="BodyText"/>
        <w:spacing w:before="1"/>
        <w:ind w:left="1610"/>
      </w:pPr>
      <w:r>
        <w:rPr>
          <w:spacing w:val="-3"/>
        </w:rPr>
        <w:t>您于犹豫期后，可以向我们书面申请解除本合同，并向我们提供下列证明和资料：</w:t>
      </w:r>
    </w:p>
    <w:p>
      <w:pPr>
        <w:pStyle w:val="BodyText"/>
        <w:spacing w:before="6"/>
        <w:rPr>
          <w:sz w:val="15"/>
        </w:rPr>
      </w:pPr>
    </w:p>
    <w:p>
      <w:pPr>
        <w:pStyle w:val="ListParagraph"/>
        <w:numPr>
          <w:ilvl w:val="2"/>
          <w:numId w:val="3"/>
        </w:numPr>
        <w:tabs>
          <w:tab w:pos="1969" w:val="left" w:leader="none"/>
          <w:tab w:pos="1970" w:val="left" w:leader="none"/>
        </w:tabs>
        <w:spacing w:line="240" w:lineRule="auto" w:before="0" w:after="0"/>
        <w:ind w:left="1970" w:right="0" w:hanging="363"/>
        <w:jc w:val="left"/>
        <w:rPr>
          <w:rFonts w:ascii="Times New Roman" w:eastAsia="Times New Roman"/>
          <w:sz w:val="21"/>
        </w:rPr>
      </w:pPr>
      <w:r>
        <w:rPr>
          <w:spacing w:val="-4"/>
          <w:sz w:val="21"/>
        </w:rPr>
        <w:t>保险合同；</w:t>
      </w:r>
    </w:p>
    <w:p>
      <w:pPr>
        <w:pStyle w:val="BodyText"/>
        <w:rPr>
          <w:sz w:val="15"/>
        </w:rPr>
      </w:pPr>
    </w:p>
    <w:p>
      <w:pPr>
        <w:pStyle w:val="ListParagraph"/>
        <w:numPr>
          <w:ilvl w:val="2"/>
          <w:numId w:val="3"/>
        </w:numPr>
        <w:tabs>
          <w:tab w:pos="1969" w:val="left" w:leader="none"/>
          <w:tab w:pos="1970" w:val="left" w:leader="none"/>
        </w:tabs>
        <w:spacing w:line="240" w:lineRule="auto" w:before="0" w:after="0"/>
        <w:ind w:left="1970" w:right="0" w:hanging="363"/>
        <w:jc w:val="left"/>
        <w:rPr>
          <w:rFonts w:ascii="Times New Roman" w:eastAsia="Times New Roman"/>
          <w:sz w:val="21"/>
        </w:rPr>
      </w:pPr>
      <w:r>
        <w:rPr>
          <w:spacing w:val="-4"/>
          <w:sz w:val="21"/>
        </w:rPr>
        <w:t>解除合同申请书；</w:t>
      </w:r>
    </w:p>
    <w:p>
      <w:pPr>
        <w:pStyle w:val="BodyText"/>
        <w:rPr>
          <w:sz w:val="15"/>
        </w:rPr>
      </w:pPr>
    </w:p>
    <w:p>
      <w:pPr>
        <w:pStyle w:val="ListParagraph"/>
        <w:numPr>
          <w:ilvl w:val="2"/>
          <w:numId w:val="3"/>
        </w:numPr>
        <w:tabs>
          <w:tab w:pos="1969" w:val="left" w:leader="none"/>
          <w:tab w:pos="1970" w:val="left" w:leader="none"/>
        </w:tabs>
        <w:spacing w:line="240" w:lineRule="auto" w:before="0" w:after="0"/>
        <w:ind w:left="1970" w:right="0" w:hanging="363"/>
        <w:jc w:val="left"/>
        <w:rPr>
          <w:rFonts w:ascii="Times New Roman" w:eastAsia="Times New Roman"/>
          <w:sz w:val="21"/>
        </w:rPr>
      </w:pPr>
      <w:r>
        <w:rPr>
          <w:spacing w:val="-3"/>
          <w:sz w:val="21"/>
        </w:rPr>
        <w:t>您的有效身份证件。</w:t>
      </w:r>
    </w:p>
    <w:p>
      <w:pPr>
        <w:pStyle w:val="BodyText"/>
        <w:spacing w:before="6"/>
        <w:rPr>
          <w:sz w:val="15"/>
        </w:rPr>
      </w:pPr>
    </w:p>
    <w:p>
      <w:pPr>
        <w:pStyle w:val="BodyText"/>
        <w:spacing w:line="278" w:lineRule="auto" w:before="1"/>
        <w:ind w:left="1610" w:right="1025"/>
        <w:jc w:val="both"/>
      </w:pPr>
      <w:r>
        <w:rPr>
          <w:spacing w:val="-2"/>
        </w:rPr>
        <w:t>自我们收到您的解除合同申请书时起，本合同效力终止。我们自收到您的解除合同</w:t>
      </w:r>
      <w:r>
        <w:rPr>
          <w:spacing w:val="-2"/>
        </w:rPr>
        <w:t>申请书之日起三十日内，向您退还本合同解除时的现金价值。若有借款，则先扣除</w:t>
      </w:r>
      <w:r>
        <w:rPr>
          <w:spacing w:val="-2"/>
        </w:rPr>
        <w:t>未偿还的借款及借款利息。</w:t>
      </w:r>
    </w:p>
    <w:p>
      <w:pPr>
        <w:spacing w:before="155"/>
        <w:ind w:left="1610" w:right="0" w:firstLine="0"/>
        <w:jc w:val="left"/>
        <w:rPr>
          <w:b/>
          <w:sz w:val="21"/>
        </w:rPr>
      </w:pPr>
      <w:r>
        <w:rPr>
          <w:b/>
          <w:spacing w:val="-3"/>
          <w:sz w:val="21"/>
        </w:rPr>
        <w:t>您在犹豫期后解除本合同会遭受一定损失。</w:t>
      </w:r>
    </w:p>
    <w:p>
      <w:pPr>
        <w:pStyle w:val="BodyText"/>
        <w:spacing w:before="2"/>
        <w:rPr>
          <w:b/>
          <w:sz w:val="26"/>
        </w:rPr>
      </w:pPr>
    </w:p>
    <w:p>
      <w:pPr>
        <w:pStyle w:val="Heading1"/>
        <w:numPr>
          <w:ilvl w:val="0"/>
          <w:numId w:val="3"/>
        </w:numPr>
        <w:tabs>
          <w:tab w:pos="570" w:val="left" w:leader="none"/>
          <w:tab w:pos="571" w:val="left" w:leader="none"/>
        </w:tabs>
        <w:spacing w:line="240" w:lineRule="auto" w:before="0" w:after="0"/>
        <w:ind w:left="570" w:right="0" w:hanging="433"/>
        <w:jc w:val="left"/>
      </w:pPr>
      <w:r>
        <w:rPr/>
        <w:drawing>
          <wp:anchor distT="0" distB="0" distL="0" distR="0" allowOverlap="1" layoutInCell="1" locked="0" behindDoc="0" simplePos="0" relativeHeight="11">
            <wp:simplePos x="0" y="0"/>
            <wp:positionH relativeFrom="page">
              <wp:posOffset>882700</wp:posOffset>
            </wp:positionH>
            <wp:positionV relativeFrom="paragraph">
              <wp:posOffset>210312</wp:posOffset>
            </wp:positionV>
            <wp:extent cx="5796660" cy="18288"/>
            <wp:effectExtent l="0" t="0" r="0" b="0"/>
            <wp:wrapTopAndBottom/>
            <wp:docPr id="25" name="image6.png"/>
            <wp:cNvGraphicFramePr>
              <a:graphicFrameLocks noChangeAspect="1"/>
            </wp:cNvGraphicFramePr>
            <a:graphic>
              <a:graphicData uri="http://schemas.openxmlformats.org/drawingml/2006/picture">
                <pic:pic>
                  <pic:nvPicPr>
                    <pic:cNvPr id="26" name="image6.png"/>
                    <pic:cNvPicPr/>
                  </pic:nvPicPr>
                  <pic:blipFill>
                    <a:blip r:embed="rId10" cstate="print"/>
                    <a:stretch>
                      <a:fillRect/>
                    </a:stretch>
                  </pic:blipFill>
                  <pic:spPr>
                    <a:xfrm>
                      <a:off x="0" y="0"/>
                      <a:ext cx="5796660" cy="18288"/>
                    </a:xfrm>
                    <a:prstGeom prst="rect">
                      <a:avLst/>
                    </a:prstGeom>
                  </pic:spPr>
                </pic:pic>
              </a:graphicData>
            </a:graphic>
          </wp:anchor>
        </w:drawing>
      </w:r>
      <w:bookmarkStart w:name="_bookmark37" w:id="63"/>
      <w:bookmarkEnd w:id="63"/>
      <w:r>
        <w:rPr>
          <w:spacing w:val="-3"/>
          <w:w w:val="95"/>
        </w:rPr>
        <w:t>如实告知</w:t>
      </w:r>
    </w:p>
    <w:p>
      <w:pPr>
        <w:pStyle w:val="ListParagraph"/>
        <w:numPr>
          <w:ilvl w:val="1"/>
          <w:numId w:val="3"/>
        </w:numPr>
        <w:tabs>
          <w:tab w:pos="714" w:val="left" w:leader="none"/>
          <w:tab w:pos="715" w:val="left" w:leader="none"/>
        </w:tabs>
        <w:spacing w:line="240" w:lineRule="auto" w:before="179" w:after="0"/>
        <w:ind w:left="714" w:right="0" w:hanging="577"/>
        <w:jc w:val="left"/>
        <w:rPr>
          <w:b/>
          <w:sz w:val="21"/>
        </w:rPr>
      </w:pPr>
      <w:bookmarkStart w:name="_bookmark38" w:id="64"/>
      <w:bookmarkEnd w:id="64"/>
      <w:r>
        <w:rPr/>
      </w:r>
      <w:bookmarkStart w:name="_bookmark38" w:id="65"/>
      <w:bookmarkEnd w:id="65"/>
      <w:r>
        <w:rPr>
          <w:b/>
          <w:spacing w:val="-2"/>
          <w:sz w:val="21"/>
        </w:rPr>
        <w:t>明确说明与如实告知</w:t>
      </w:r>
    </w:p>
    <w:p>
      <w:pPr>
        <w:pStyle w:val="BodyText"/>
        <w:spacing w:before="6"/>
        <w:rPr>
          <w:b/>
          <w:sz w:val="15"/>
        </w:rPr>
      </w:pPr>
    </w:p>
    <w:p>
      <w:pPr>
        <w:pStyle w:val="BodyText"/>
        <w:spacing w:before="0"/>
        <w:ind w:left="1610"/>
      </w:pPr>
      <w:r>
        <w:rPr>
          <w:spacing w:val="-3"/>
        </w:rPr>
        <w:t>订立本合同时，我们应向您说明本合同的内容。</w:t>
      </w:r>
    </w:p>
    <w:p>
      <w:pPr>
        <w:pStyle w:val="BodyText"/>
        <w:rPr>
          <w:sz w:val="15"/>
        </w:rPr>
      </w:pPr>
    </w:p>
    <w:p>
      <w:pPr>
        <w:pStyle w:val="BodyText"/>
        <w:spacing w:line="278" w:lineRule="auto" w:before="0"/>
        <w:ind w:left="1610" w:right="1026"/>
        <w:jc w:val="both"/>
      </w:pPr>
      <w:r>
        <w:rPr>
          <w:spacing w:val="-2"/>
        </w:rPr>
        <w:t>对保险条款中免除我们责任的条款，我们在订立合同时应当在投保单、保险单或者</w:t>
      </w:r>
      <w:r>
        <w:rPr>
          <w:spacing w:val="-2"/>
        </w:rPr>
        <w:t>其他保险凭证上作出足以引起您注意的提示，并对该条款的内容以书面或者口头形</w:t>
      </w:r>
      <w:r>
        <w:rPr>
          <w:spacing w:val="-2"/>
        </w:rPr>
        <w:t>式向您作出明确说明，未作提示或者明确说明的，该条款不产生效力。</w:t>
      </w:r>
    </w:p>
    <w:p>
      <w:pPr>
        <w:pStyle w:val="BodyText"/>
        <w:spacing w:before="156"/>
        <w:ind w:left="1610"/>
      </w:pPr>
      <w:r>
        <w:rPr>
          <w:spacing w:val="-3"/>
        </w:rPr>
        <w:t>我们就您或被保险人的有关情况提出询问，您应当如实告知。</w:t>
      </w:r>
    </w:p>
    <w:p>
      <w:pPr>
        <w:pStyle w:val="BodyText"/>
        <w:spacing w:before="6"/>
        <w:rPr>
          <w:sz w:val="15"/>
        </w:rPr>
      </w:pPr>
    </w:p>
    <w:p>
      <w:pPr>
        <w:pStyle w:val="ListParagraph"/>
        <w:numPr>
          <w:ilvl w:val="1"/>
          <w:numId w:val="3"/>
        </w:numPr>
        <w:tabs>
          <w:tab w:pos="714" w:val="left" w:leader="none"/>
          <w:tab w:pos="715" w:val="left" w:leader="none"/>
        </w:tabs>
        <w:spacing w:line="240" w:lineRule="auto" w:before="0" w:after="0"/>
        <w:ind w:left="714" w:right="0" w:hanging="577"/>
        <w:jc w:val="left"/>
        <w:rPr>
          <w:b/>
          <w:sz w:val="21"/>
        </w:rPr>
      </w:pPr>
      <w:bookmarkStart w:name="_bookmark39" w:id="66"/>
      <w:bookmarkEnd w:id="66"/>
      <w:r>
        <w:rPr/>
      </w:r>
      <w:bookmarkStart w:name="_bookmark39" w:id="67"/>
      <w:bookmarkEnd w:id="67"/>
      <w:r>
        <w:rPr>
          <w:b/>
          <w:spacing w:val="-2"/>
          <w:sz w:val="21"/>
        </w:rPr>
        <w:t>不如实告知的后果</w:t>
      </w:r>
    </w:p>
    <w:p>
      <w:pPr>
        <w:pStyle w:val="BodyText"/>
        <w:rPr>
          <w:b/>
          <w:sz w:val="15"/>
        </w:rPr>
      </w:pPr>
    </w:p>
    <w:p>
      <w:pPr>
        <w:spacing w:line="278" w:lineRule="auto" w:before="1"/>
        <w:ind w:left="1610" w:right="1005" w:firstLine="0"/>
        <w:jc w:val="left"/>
        <w:rPr>
          <w:b/>
          <w:sz w:val="21"/>
        </w:rPr>
      </w:pPr>
      <w:r>
        <w:rPr>
          <w:b/>
          <w:spacing w:val="-2"/>
          <w:sz w:val="21"/>
        </w:rPr>
        <w:t>如果您故意或者因重大过失未履行前条规定的如实告知义务，足以影响我们决定是</w:t>
      </w:r>
      <w:r>
        <w:rPr>
          <w:b/>
          <w:spacing w:val="-2"/>
          <w:sz w:val="21"/>
        </w:rPr>
        <w:t>否同意承保或者提高保险费率的，我们有权解除本合同。</w:t>
      </w:r>
    </w:p>
    <w:p>
      <w:pPr>
        <w:spacing w:line="278" w:lineRule="auto" w:before="155"/>
        <w:ind w:left="1610" w:right="1005" w:firstLine="0"/>
        <w:jc w:val="both"/>
        <w:rPr>
          <w:b/>
          <w:sz w:val="21"/>
        </w:rPr>
      </w:pPr>
      <w:r>
        <w:rPr>
          <w:b/>
          <w:spacing w:val="-2"/>
          <w:sz w:val="21"/>
        </w:rPr>
        <w:t>如果您故意不履行如实告知义务，对于本合同解除前发生的保险事故，我们不承担</w:t>
      </w:r>
      <w:r>
        <w:rPr>
          <w:b/>
          <w:spacing w:val="-2"/>
          <w:sz w:val="21"/>
        </w:rPr>
        <w:t>给付保险金的责任，并不退还保险费；对于合同解除前已支付的保险金，我们有权</w:t>
      </w:r>
      <w:r>
        <w:rPr>
          <w:b/>
          <w:spacing w:val="-4"/>
          <w:sz w:val="21"/>
        </w:rPr>
        <w:t>追索。</w:t>
      </w:r>
    </w:p>
    <w:p>
      <w:pPr>
        <w:spacing w:line="278" w:lineRule="auto" w:before="156"/>
        <w:ind w:left="1610" w:right="1004" w:firstLine="0"/>
        <w:jc w:val="both"/>
        <w:rPr>
          <w:b/>
          <w:sz w:val="21"/>
        </w:rPr>
      </w:pPr>
      <w:r>
        <w:rPr>
          <w:b/>
          <w:spacing w:val="-2"/>
          <w:sz w:val="21"/>
        </w:rPr>
        <w:t>如果您因重大过失未履行如实告知义务，对保险事故的发生有严重影响的，对于本</w:t>
      </w:r>
      <w:r>
        <w:rPr>
          <w:b/>
          <w:spacing w:val="-2"/>
          <w:sz w:val="21"/>
        </w:rPr>
        <w:t>合同解除前发生的保险事故，我们不承担给付保险金的责任，并在扣除已支付的保</w:t>
      </w:r>
      <w:r>
        <w:rPr>
          <w:b/>
          <w:spacing w:val="-2"/>
          <w:sz w:val="21"/>
        </w:rPr>
        <w:t>险金后退还保险费，保险费不足以抵扣已支付的保险金的，我们有权继续追索。</w:t>
      </w:r>
    </w:p>
    <w:p>
      <w:pPr>
        <w:pStyle w:val="BodyText"/>
        <w:spacing w:line="278" w:lineRule="auto" w:before="156"/>
        <w:ind w:left="1610" w:right="1026"/>
      </w:pPr>
      <w:r>
        <w:rPr>
          <w:spacing w:val="-2"/>
        </w:rPr>
        <w:t>我们在本合同订立时已经知道您未如实告知的情况的，我们不得解除合同；发生保</w:t>
      </w:r>
      <w:r>
        <w:rPr>
          <w:spacing w:val="-2"/>
        </w:rPr>
        <w:t>险事故的，我们承担给付保险金的责任。</w:t>
      </w:r>
    </w:p>
    <w:p>
      <w:pPr>
        <w:pStyle w:val="ListParagraph"/>
        <w:numPr>
          <w:ilvl w:val="1"/>
          <w:numId w:val="3"/>
        </w:numPr>
        <w:tabs>
          <w:tab w:pos="714" w:val="left" w:leader="none"/>
          <w:tab w:pos="715" w:val="left" w:leader="none"/>
        </w:tabs>
        <w:spacing w:line="240" w:lineRule="auto" w:before="156" w:after="0"/>
        <w:ind w:left="714" w:right="0" w:hanging="577"/>
        <w:jc w:val="left"/>
        <w:rPr>
          <w:b/>
          <w:sz w:val="21"/>
        </w:rPr>
      </w:pPr>
      <w:bookmarkStart w:name="_bookmark40" w:id="68"/>
      <w:bookmarkEnd w:id="68"/>
      <w:r>
        <w:rPr/>
      </w:r>
      <w:bookmarkStart w:name="_bookmark40" w:id="69"/>
      <w:bookmarkEnd w:id="69"/>
      <w:r>
        <w:rPr>
          <w:b/>
          <w:spacing w:val="-3"/>
          <w:sz w:val="21"/>
        </w:rPr>
        <w:t>我们合同解除权的限制</w:t>
      </w:r>
    </w:p>
    <w:p>
      <w:pPr>
        <w:pStyle w:val="BodyText"/>
        <w:rPr>
          <w:b/>
          <w:sz w:val="15"/>
        </w:rPr>
      </w:pPr>
    </w:p>
    <w:p>
      <w:pPr>
        <w:pStyle w:val="BodyText"/>
        <w:spacing w:line="278" w:lineRule="auto" w:before="0"/>
        <w:ind w:left="1610" w:right="884"/>
      </w:pPr>
      <w:r>
        <w:rPr>
          <w:spacing w:val="-8"/>
          <w:w w:val="100"/>
        </w:rPr>
        <w:t>前条规定的合同解除权，自我们知道有解除事由之日起，超过三十日不行使而消灭。</w:t>
      </w:r>
      <w:r>
        <w:rPr>
          <w:spacing w:val="-5"/>
          <w:w w:val="100"/>
        </w:rPr>
        <w:t>自本合同成立之日起超过两年的，我们不得解除合同；发生保险事故的，我们承担</w:t>
      </w:r>
      <w:r>
        <w:rPr>
          <w:spacing w:val="-4"/>
          <w:w w:val="100"/>
        </w:rPr>
        <w:t>给付保险金的责任。</w:t>
      </w:r>
    </w:p>
    <w:p>
      <w:pPr>
        <w:pStyle w:val="BodyText"/>
        <w:spacing w:before="9"/>
        <w:rPr>
          <w:sz w:val="22"/>
        </w:rPr>
      </w:pPr>
    </w:p>
    <w:p>
      <w:pPr>
        <w:pStyle w:val="Heading1"/>
        <w:numPr>
          <w:ilvl w:val="0"/>
          <w:numId w:val="3"/>
        </w:numPr>
        <w:tabs>
          <w:tab w:pos="570" w:val="left" w:leader="none"/>
          <w:tab w:pos="571" w:val="left" w:leader="none"/>
        </w:tabs>
        <w:spacing w:line="240" w:lineRule="auto" w:before="0" w:after="0"/>
        <w:ind w:left="570" w:right="0" w:hanging="433"/>
        <w:jc w:val="left"/>
      </w:pPr>
      <w:r>
        <w:rPr/>
        <w:drawing>
          <wp:anchor distT="0" distB="0" distL="0" distR="0" allowOverlap="1" layoutInCell="1" locked="0" behindDoc="0" simplePos="0" relativeHeight="12">
            <wp:simplePos x="0" y="0"/>
            <wp:positionH relativeFrom="page">
              <wp:posOffset>882700</wp:posOffset>
            </wp:positionH>
            <wp:positionV relativeFrom="paragraph">
              <wp:posOffset>200091</wp:posOffset>
            </wp:positionV>
            <wp:extent cx="5796661" cy="18287"/>
            <wp:effectExtent l="0" t="0" r="0" b="0"/>
            <wp:wrapTopAndBottom/>
            <wp:docPr id="27" name="image7.png"/>
            <wp:cNvGraphicFramePr>
              <a:graphicFrameLocks noChangeAspect="1"/>
            </wp:cNvGraphicFramePr>
            <a:graphic>
              <a:graphicData uri="http://schemas.openxmlformats.org/drawingml/2006/picture">
                <pic:pic>
                  <pic:nvPicPr>
                    <pic:cNvPr id="28" name="image7.png"/>
                    <pic:cNvPicPr/>
                  </pic:nvPicPr>
                  <pic:blipFill>
                    <a:blip r:embed="rId11" cstate="print"/>
                    <a:stretch>
                      <a:fillRect/>
                    </a:stretch>
                  </pic:blipFill>
                  <pic:spPr>
                    <a:xfrm>
                      <a:off x="0" y="0"/>
                      <a:ext cx="5796661" cy="18287"/>
                    </a:xfrm>
                    <a:prstGeom prst="rect">
                      <a:avLst/>
                    </a:prstGeom>
                  </pic:spPr>
                </pic:pic>
              </a:graphicData>
            </a:graphic>
          </wp:anchor>
        </w:drawing>
      </w:r>
      <w:bookmarkStart w:name="_bookmark41" w:id="70"/>
      <w:bookmarkEnd w:id="70"/>
      <w:r>
        <w:rPr>
          <w:w w:val="95"/>
        </w:rPr>
        <w:t>其他需</w:t>
      </w:r>
      <w:r>
        <w:rPr>
          <w:w w:val="95"/>
        </w:rPr>
        <w:t>要</w:t>
      </w:r>
      <w:r>
        <w:rPr>
          <w:w w:val="95"/>
        </w:rPr>
        <w:t>关</w:t>
      </w:r>
      <w:r>
        <w:rPr>
          <w:spacing w:val="-3"/>
          <w:w w:val="95"/>
        </w:rPr>
        <w:t>注的事项</w:t>
      </w:r>
    </w:p>
    <w:p>
      <w:pPr>
        <w:spacing w:after="0" w:line="240" w:lineRule="auto"/>
        <w:jc w:val="left"/>
        <w:sectPr>
          <w:pgSz w:w="11910" w:h="16840"/>
          <w:pgMar w:top="1380" w:bottom="280" w:left="1280" w:right="420"/>
        </w:sectPr>
      </w:pPr>
    </w:p>
    <w:p>
      <w:pPr>
        <w:pStyle w:val="ListParagraph"/>
        <w:numPr>
          <w:ilvl w:val="1"/>
          <w:numId w:val="3"/>
        </w:numPr>
        <w:tabs>
          <w:tab w:pos="714" w:val="left" w:leader="none"/>
          <w:tab w:pos="715" w:val="left" w:leader="none"/>
        </w:tabs>
        <w:spacing w:line="240" w:lineRule="auto" w:before="64" w:after="0"/>
        <w:ind w:left="714" w:right="0" w:hanging="577"/>
        <w:jc w:val="left"/>
        <w:rPr>
          <w:b/>
          <w:sz w:val="21"/>
        </w:rPr>
      </w:pPr>
      <w:bookmarkStart w:name="_bookmark42" w:id="71"/>
      <w:bookmarkEnd w:id="71"/>
      <w:r>
        <w:rPr/>
      </w:r>
      <w:bookmarkStart w:name="_bookmark42" w:id="72"/>
      <w:bookmarkEnd w:id="72"/>
      <w:r>
        <w:rPr>
          <w:b/>
          <w:spacing w:val="-2"/>
          <w:sz w:val="21"/>
        </w:rPr>
        <w:t>年龄性别错误</w:t>
      </w:r>
    </w:p>
    <w:p>
      <w:pPr>
        <w:pStyle w:val="BodyText"/>
        <w:rPr>
          <w:b/>
          <w:sz w:val="15"/>
        </w:rPr>
      </w:pPr>
    </w:p>
    <w:p>
      <w:pPr>
        <w:pStyle w:val="BodyText"/>
        <w:spacing w:line="278" w:lineRule="auto" w:before="0"/>
        <w:ind w:left="1610" w:right="1026"/>
      </w:pPr>
      <w:r>
        <w:rPr>
          <w:spacing w:val="-2"/>
        </w:rPr>
        <w:t>您在申请投保时，应将与有效身份证件相符的被保险人的出生日期和性别在投保单</w:t>
      </w:r>
      <w:r>
        <w:rPr>
          <w:spacing w:val="-2"/>
        </w:rPr>
        <w:t>上填明，如果发生错误按照下列方式办理：</w:t>
      </w:r>
    </w:p>
    <w:p>
      <w:pPr>
        <w:pStyle w:val="ListParagraph"/>
        <w:numPr>
          <w:ilvl w:val="2"/>
          <w:numId w:val="3"/>
        </w:numPr>
        <w:tabs>
          <w:tab w:pos="1970" w:val="left" w:leader="none"/>
        </w:tabs>
        <w:spacing w:line="278" w:lineRule="auto" w:before="156" w:after="0"/>
        <w:ind w:left="1970" w:right="994" w:hanging="363"/>
        <w:jc w:val="both"/>
        <w:rPr>
          <w:rFonts w:ascii="Times New Roman" w:hAnsi="Times New Roman" w:eastAsia="Times New Roman"/>
          <w:b/>
          <w:sz w:val="21"/>
        </w:rPr>
      </w:pPr>
      <w:r>
        <w:rPr>
          <w:b/>
          <w:spacing w:val="-2"/>
          <w:sz w:val="21"/>
        </w:rPr>
        <w:t>您申报的被保险人年龄或性别不真实，并且其真实年龄或性别不符合本合同约</w:t>
      </w:r>
      <w:r>
        <w:rPr>
          <w:b/>
          <w:spacing w:val="-2"/>
          <w:sz w:val="21"/>
        </w:rPr>
        <w:t>定投保年龄或性别限制的，在保险事故发生之前我们有权解除合同，并向您退</w:t>
      </w:r>
      <w:r>
        <w:rPr>
          <w:b/>
          <w:spacing w:val="-2"/>
          <w:sz w:val="21"/>
        </w:rPr>
        <w:t>还本合同的现金价值。我们行使合同解除权适用“我们合同解除权的限制”的</w:t>
      </w:r>
      <w:r>
        <w:rPr>
          <w:b/>
          <w:spacing w:val="-4"/>
          <w:sz w:val="21"/>
        </w:rPr>
        <w:t>规定；</w:t>
      </w:r>
    </w:p>
    <w:p>
      <w:pPr>
        <w:pStyle w:val="ListParagraph"/>
        <w:numPr>
          <w:ilvl w:val="2"/>
          <w:numId w:val="3"/>
        </w:numPr>
        <w:tabs>
          <w:tab w:pos="1970" w:val="left" w:leader="none"/>
        </w:tabs>
        <w:spacing w:line="278" w:lineRule="auto" w:before="156" w:after="0"/>
        <w:ind w:left="1970" w:right="997" w:hanging="363"/>
        <w:jc w:val="both"/>
        <w:rPr>
          <w:rFonts w:ascii="Times New Roman" w:eastAsia="Times New Roman"/>
          <w:b/>
          <w:sz w:val="21"/>
        </w:rPr>
      </w:pPr>
      <w:r>
        <w:rPr>
          <w:b/>
          <w:spacing w:val="-2"/>
          <w:sz w:val="21"/>
        </w:rPr>
        <w:t>您申报的被保险人年龄或性别不真实，致使您实付保险费少于应付保险费的，我们有权更正并要求您补交保险费。若已经发生保险事故，在给付保险金时按</w:t>
      </w:r>
      <w:r>
        <w:rPr>
          <w:b/>
          <w:spacing w:val="-2"/>
          <w:sz w:val="21"/>
        </w:rPr>
        <w:t>实付保险费和应付保险费的比例给付；</w:t>
      </w:r>
    </w:p>
    <w:p>
      <w:pPr>
        <w:pStyle w:val="ListParagraph"/>
        <w:numPr>
          <w:ilvl w:val="2"/>
          <w:numId w:val="3"/>
        </w:numPr>
        <w:tabs>
          <w:tab w:pos="1970" w:val="left" w:leader="none"/>
        </w:tabs>
        <w:spacing w:line="278" w:lineRule="auto" w:before="155" w:after="0"/>
        <w:ind w:left="1970" w:right="1002" w:hanging="363"/>
        <w:jc w:val="both"/>
        <w:rPr>
          <w:rFonts w:ascii="Times New Roman" w:eastAsia="Times New Roman"/>
          <w:sz w:val="21"/>
        </w:rPr>
      </w:pPr>
      <w:r>
        <w:rPr>
          <w:spacing w:val="-2"/>
          <w:sz w:val="21"/>
        </w:rPr>
        <w:t>您申报的被保险人年龄或性别不真实，致使您实付保险费多于应付保险费的，</w:t>
      </w:r>
      <w:r>
        <w:rPr>
          <w:spacing w:val="-2"/>
          <w:sz w:val="21"/>
        </w:rPr>
        <w:t>我们会将多收的保险费退还给您。</w:t>
      </w:r>
    </w:p>
    <w:p>
      <w:pPr>
        <w:pStyle w:val="ListParagraph"/>
        <w:numPr>
          <w:ilvl w:val="1"/>
          <w:numId w:val="3"/>
        </w:numPr>
        <w:tabs>
          <w:tab w:pos="714" w:val="left" w:leader="none"/>
          <w:tab w:pos="715" w:val="left" w:leader="none"/>
        </w:tabs>
        <w:spacing w:line="240" w:lineRule="auto" w:before="157" w:after="0"/>
        <w:ind w:left="714" w:right="0" w:hanging="577"/>
        <w:jc w:val="left"/>
        <w:rPr>
          <w:b/>
          <w:sz w:val="21"/>
        </w:rPr>
      </w:pPr>
      <w:bookmarkStart w:name="_bookmark43" w:id="73"/>
      <w:bookmarkEnd w:id="73"/>
      <w:r>
        <w:rPr/>
      </w:r>
      <w:bookmarkStart w:name="_bookmark43" w:id="74"/>
      <w:bookmarkEnd w:id="74"/>
      <w:r>
        <w:rPr>
          <w:b/>
          <w:spacing w:val="-2"/>
          <w:sz w:val="21"/>
        </w:rPr>
        <w:t>合同内容变更</w:t>
      </w:r>
    </w:p>
    <w:p>
      <w:pPr>
        <w:pStyle w:val="BodyText"/>
        <w:spacing w:before="6"/>
        <w:rPr>
          <w:b/>
          <w:sz w:val="15"/>
        </w:rPr>
      </w:pPr>
    </w:p>
    <w:p>
      <w:pPr>
        <w:pStyle w:val="BodyText"/>
        <w:spacing w:line="278" w:lineRule="auto" w:before="0"/>
        <w:ind w:left="1610" w:right="1026"/>
      </w:pPr>
      <w:r>
        <w:rPr>
          <w:spacing w:val="-2"/>
        </w:rPr>
        <w:t>您在本合同有效期内，可提出变更合同内容的书面申请，经我们同意并在本合同上</w:t>
      </w:r>
      <w:r>
        <w:rPr>
          <w:spacing w:val="-2"/>
        </w:rPr>
        <w:t>批注后生效。</w:t>
      </w:r>
    </w:p>
    <w:p>
      <w:pPr>
        <w:spacing w:line="278" w:lineRule="auto" w:before="156"/>
        <w:ind w:left="1610" w:right="1005" w:firstLine="0"/>
        <w:jc w:val="left"/>
        <w:rPr>
          <w:b/>
          <w:sz w:val="21"/>
        </w:rPr>
      </w:pPr>
      <w:r>
        <w:rPr>
          <w:b/>
          <w:spacing w:val="-2"/>
          <w:sz w:val="21"/>
        </w:rPr>
        <w:t>若被保险人身故，我们不接受本合同任何内容（包括身故保险金受益人变更等）</w:t>
      </w:r>
      <w:r>
        <w:rPr>
          <w:b/>
          <w:spacing w:val="-2"/>
          <w:sz w:val="21"/>
        </w:rPr>
        <w:t>的</w:t>
      </w:r>
      <w:r>
        <w:rPr>
          <w:b/>
          <w:spacing w:val="-2"/>
          <w:sz w:val="21"/>
        </w:rPr>
        <w:t>变更申请。</w:t>
      </w:r>
    </w:p>
    <w:p>
      <w:pPr>
        <w:pStyle w:val="ListParagraph"/>
        <w:numPr>
          <w:ilvl w:val="1"/>
          <w:numId w:val="3"/>
        </w:numPr>
        <w:tabs>
          <w:tab w:pos="714" w:val="left" w:leader="none"/>
          <w:tab w:pos="715" w:val="left" w:leader="none"/>
        </w:tabs>
        <w:spacing w:line="240" w:lineRule="auto" w:before="156" w:after="0"/>
        <w:ind w:left="714" w:right="0" w:hanging="577"/>
        <w:jc w:val="left"/>
        <w:rPr>
          <w:b/>
          <w:sz w:val="21"/>
        </w:rPr>
      </w:pPr>
      <w:bookmarkStart w:name="_bookmark44" w:id="75"/>
      <w:bookmarkEnd w:id="75"/>
      <w:r>
        <w:rPr/>
      </w:r>
      <w:bookmarkStart w:name="_bookmark44" w:id="76"/>
      <w:bookmarkEnd w:id="76"/>
      <w:r>
        <w:rPr>
          <w:b/>
          <w:spacing w:val="-3"/>
          <w:sz w:val="21"/>
        </w:rPr>
        <w:t>基本保险金额的变更</w:t>
      </w:r>
    </w:p>
    <w:p>
      <w:pPr>
        <w:pStyle w:val="BodyText"/>
        <w:spacing w:before="6"/>
        <w:rPr>
          <w:b/>
          <w:sz w:val="15"/>
        </w:rPr>
      </w:pPr>
    </w:p>
    <w:p>
      <w:pPr>
        <w:pStyle w:val="BodyText"/>
        <w:spacing w:line="278" w:lineRule="auto" w:before="1"/>
        <w:ind w:left="1610" w:right="1025"/>
      </w:pPr>
      <w:r>
        <w:rPr>
          <w:spacing w:val="-2"/>
        </w:rPr>
        <w:t>您在本合同有效期内，可提出变更本合同基本保险金额的书面申请，交纳变更所需</w:t>
      </w:r>
      <w:r>
        <w:rPr>
          <w:spacing w:val="-2"/>
        </w:rPr>
        <w:t>的费用，经我们同意并在本合同上批注后生效。</w:t>
      </w:r>
    </w:p>
    <w:p>
      <w:pPr>
        <w:pStyle w:val="ListParagraph"/>
        <w:numPr>
          <w:ilvl w:val="2"/>
          <w:numId w:val="3"/>
        </w:numPr>
        <w:tabs>
          <w:tab w:pos="1970" w:val="left" w:leader="none"/>
        </w:tabs>
        <w:spacing w:line="278" w:lineRule="auto" w:before="156" w:after="0"/>
        <w:ind w:left="1970" w:right="1002" w:hanging="363"/>
        <w:jc w:val="both"/>
        <w:rPr>
          <w:rFonts w:ascii="Times New Roman" w:eastAsia="Times New Roman"/>
          <w:b/>
          <w:sz w:val="21"/>
        </w:rPr>
      </w:pPr>
      <w:r>
        <w:rPr>
          <w:b/>
          <w:spacing w:val="-2"/>
          <w:sz w:val="21"/>
        </w:rPr>
        <w:t>在首个保单年度内，您可以申请增加本合同的基本保险金额，增加的基本保险</w:t>
      </w:r>
      <w:r>
        <w:rPr>
          <w:b/>
          <w:spacing w:val="-2"/>
          <w:sz w:val="21"/>
        </w:rPr>
        <w:t>金额所对应的保险责任自批注上所载的生效日的零时起生效；自第二个保单年</w:t>
      </w:r>
      <w:r>
        <w:rPr>
          <w:b/>
          <w:spacing w:val="-2"/>
          <w:sz w:val="21"/>
        </w:rPr>
        <w:t>度起，我们不接受增加本合同的基本保险金额的申请。</w:t>
      </w:r>
    </w:p>
    <w:p>
      <w:pPr>
        <w:pStyle w:val="ListParagraph"/>
        <w:numPr>
          <w:ilvl w:val="2"/>
          <w:numId w:val="3"/>
        </w:numPr>
        <w:tabs>
          <w:tab w:pos="1969" w:val="left" w:leader="none"/>
          <w:tab w:pos="1970" w:val="left" w:leader="none"/>
        </w:tabs>
        <w:spacing w:line="278" w:lineRule="auto" w:before="156" w:after="0"/>
        <w:ind w:left="1970" w:right="889" w:hanging="363"/>
        <w:jc w:val="left"/>
        <w:rPr>
          <w:rFonts w:ascii="Times New Roman" w:eastAsia="Times New Roman"/>
          <w:b/>
          <w:sz w:val="21"/>
        </w:rPr>
      </w:pPr>
      <w:r>
        <w:rPr>
          <w:b/>
          <w:spacing w:val="-5"/>
          <w:w w:val="100"/>
          <w:sz w:val="21"/>
        </w:rPr>
        <w:t>若您申请减少本合同的基本保险金额，基本保险金额的减少部分视为解除合同，</w:t>
      </w:r>
      <w:r>
        <w:rPr>
          <w:b/>
          <w:w w:val="100"/>
          <w:sz w:val="21"/>
        </w:rPr>
        <w:t>减少的基本保险金额所对应的保险责任自批注上所载的生效日的零时起效力终止。减少后的基本保险金额和保险费不得低于您申请时我们规定的最低承保金额。</w:t>
      </w:r>
    </w:p>
    <w:p>
      <w:pPr>
        <w:pStyle w:val="ListParagraph"/>
        <w:numPr>
          <w:ilvl w:val="2"/>
          <w:numId w:val="3"/>
        </w:numPr>
        <w:tabs>
          <w:tab w:pos="1969" w:val="left" w:leader="none"/>
          <w:tab w:pos="1970" w:val="left" w:leader="none"/>
        </w:tabs>
        <w:spacing w:line="278" w:lineRule="auto" w:before="155" w:after="0"/>
        <w:ind w:left="1970" w:right="1002" w:hanging="363"/>
        <w:jc w:val="left"/>
        <w:rPr>
          <w:rFonts w:ascii="Times New Roman" w:eastAsia="Times New Roman"/>
          <w:sz w:val="21"/>
        </w:rPr>
      </w:pPr>
      <w:r>
        <w:rPr>
          <w:spacing w:val="-2"/>
          <w:sz w:val="21"/>
        </w:rPr>
        <w:t>现金价值以及累计已交纳的保险费应以变更后的基本保险金额为基础，追溯自</w:t>
      </w:r>
      <w:r>
        <w:rPr>
          <w:spacing w:val="-2"/>
          <w:sz w:val="21"/>
        </w:rPr>
        <w:t>首个保单年度起重新计算。</w:t>
      </w:r>
    </w:p>
    <w:p>
      <w:pPr>
        <w:pStyle w:val="ListParagraph"/>
        <w:numPr>
          <w:ilvl w:val="1"/>
          <w:numId w:val="3"/>
        </w:numPr>
        <w:tabs>
          <w:tab w:pos="714" w:val="left" w:leader="none"/>
          <w:tab w:pos="715" w:val="left" w:leader="none"/>
        </w:tabs>
        <w:spacing w:line="240" w:lineRule="auto" w:before="156" w:after="0"/>
        <w:ind w:left="714" w:right="0" w:hanging="577"/>
        <w:jc w:val="left"/>
        <w:rPr>
          <w:b/>
          <w:sz w:val="21"/>
        </w:rPr>
      </w:pPr>
      <w:bookmarkStart w:name="_bookmark45" w:id="77"/>
      <w:bookmarkEnd w:id="77"/>
      <w:r>
        <w:rPr/>
      </w:r>
      <w:bookmarkStart w:name="_bookmark45" w:id="78"/>
      <w:bookmarkEnd w:id="78"/>
      <w:r>
        <w:rPr>
          <w:b/>
          <w:spacing w:val="-2"/>
          <w:sz w:val="21"/>
        </w:rPr>
        <w:t>通讯方式变更</w:t>
      </w:r>
    </w:p>
    <w:p>
      <w:pPr>
        <w:pStyle w:val="BodyText"/>
        <w:rPr>
          <w:b/>
          <w:sz w:val="15"/>
        </w:rPr>
      </w:pPr>
    </w:p>
    <w:p>
      <w:pPr>
        <w:pStyle w:val="BodyText"/>
        <w:spacing w:line="278" w:lineRule="auto" w:before="0"/>
        <w:ind w:left="1610" w:right="1026"/>
        <w:jc w:val="both"/>
      </w:pPr>
      <w:r>
        <w:rPr>
          <w:spacing w:val="-2"/>
        </w:rPr>
        <w:t>为了保障您的合法权益，当您的通讯方式有变更时，应及时以书面形式通知我们。</w:t>
      </w:r>
      <w:r>
        <w:rPr>
          <w:spacing w:val="-2"/>
        </w:rPr>
        <w:t>您不作上述通知时，我们按本合同所载的最后通讯方式所发送的通知，均视为已送</w:t>
      </w:r>
      <w:r>
        <w:rPr>
          <w:spacing w:val="-4"/>
        </w:rPr>
        <w:t>达您。</w:t>
      </w:r>
    </w:p>
    <w:p>
      <w:pPr>
        <w:pStyle w:val="ListParagraph"/>
        <w:numPr>
          <w:ilvl w:val="1"/>
          <w:numId w:val="3"/>
        </w:numPr>
        <w:tabs>
          <w:tab w:pos="715" w:val="left" w:leader="none"/>
        </w:tabs>
        <w:spacing w:line="240" w:lineRule="auto" w:before="156" w:after="0"/>
        <w:ind w:left="714" w:right="0" w:hanging="577"/>
        <w:jc w:val="both"/>
        <w:rPr>
          <w:b/>
          <w:sz w:val="21"/>
        </w:rPr>
      </w:pPr>
      <w:bookmarkStart w:name="_bookmark46" w:id="79"/>
      <w:bookmarkEnd w:id="79"/>
      <w:r>
        <w:rPr/>
      </w:r>
      <w:bookmarkStart w:name="_bookmark46" w:id="80"/>
      <w:bookmarkEnd w:id="80"/>
      <w:r>
        <w:rPr>
          <w:b/>
          <w:spacing w:val="-2"/>
          <w:sz w:val="21"/>
        </w:rPr>
        <w:t>保险事故鉴定</w:t>
      </w:r>
    </w:p>
    <w:p>
      <w:pPr>
        <w:pStyle w:val="BodyText"/>
        <w:spacing w:before="6"/>
        <w:rPr>
          <w:b/>
          <w:sz w:val="15"/>
        </w:rPr>
      </w:pPr>
    </w:p>
    <w:p>
      <w:pPr>
        <w:pStyle w:val="BodyText"/>
        <w:spacing w:line="278" w:lineRule="auto" w:before="1"/>
        <w:ind w:left="1610" w:right="1025"/>
      </w:pPr>
      <w:r>
        <w:rPr>
          <w:spacing w:val="-2"/>
        </w:rPr>
        <w:t>若被保险人发生保险事故，我们有权要求司法鉴定机构对该保险事故进行评估和鉴</w:t>
      </w:r>
      <w:r>
        <w:rPr>
          <w:spacing w:val="-6"/>
        </w:rPr>
        <w:t>定。</w:t>
      </w:r>
    </w:p>
    <w:p>
      <w:pPr>
        <w:spacing w:after="0" w:line="278" w:lineRule="auto"/>
        <w:sectPr>
          <w:pgSz w:w="11910" w:h="16840"/>
          <w:pgMar w:top="1380" w:bottom="280" w:left="1280" w:right="420"/>
        </w:sectPr>
      </w:pPr>
    </w:p>
    <w:p>
      <w:pPr>
        <w:pStyle w:val="ListParagraph"/>
        <w:numPr>
          <w:ilvl w:val="1"/>
          <w:numId w:val="3"/>
        </w:numPr>
        <w:tabs>
          <w:tab w:pos="714" w:val="left" w:leader="none"/>
          <w:tab w:pos="715" w:val="left" w:leader="none"/>
        </w:tabs>
        <w:spacing w:line="240" w:lineRule="auto" w:before="64" w:after="0"/>
        <w:ind w:left="714" w:right="0" w:hanging="577"/>
        <w:jc w:val="left"/>
        <w:rPr>
          <w:b/>
          <w:sz w:val="21"/>
        </w:rPr>
      </w:pPr>
      <w:bookmarkStart w:name="_bookmark47" w:id="81"/>
      <w:bookmarkEnd w:id="81"/>
      <w:r>
        <w:rPr/>
      </w:r>
      <w:bookmarkStart w:name="_bookmark47" w:id="82"/>
      <w:bookmarkEnd w:id="82"/>
      <w:r>
        <w:rPr>
          <w:b/>
          <w:spacing w:val="-3"/>
          <w:sz w:val="21"/>
        </w:rPr>
        <w:t>争议处理</w:t>
      </w:r>
    </w:p>
    <w:p>
      <w:pPr>
        <w:pStyle w:val="BodyText"/>
        <w:spacing w:before="0"/>
        <w:rPr>
          <w:b/>
          <w:sz w:val="10"/>
        </w:rPr>
      </w:pPr>
    </w:p>
    <w:p>
      <w:pPr>
        <w:pStyle w:val="BodyText"/>
        <w:spacing w:line="278" w:lineRule="auto" w:before="71"/>
        <w:ind w:left="1610" w:right="1026"/>
      </w:pPr>
      <w:r>
        <w:rPr>
          <w:spacing w:val="-2"/>
        </w:rPr>
        <w:t>在本合同履行过程中发生任何争议，其解决方式由当事人根据合同约定从下列两种</w:t>
      </w:r>
      <w:r>
        <w:rPr>
          <w:spacing w:val="-2"/>
        </w:rPr>
        <w:t>方式中选择一种：</w:t>
      </w:r>
    </w:p>
    <w:p>
      <w:pPr>
        <w:pStyle w:val="ListParagraph"/>
        <w:numPr>
          <w:ilvl w:val="2"/>
          <w:numId w:val="3"/>
        </w:numPr>
        <w:tabs>
          <w:tab w:pos="1969" w:val="left" w:leader="none"/>
          <w:tab w:pos="1970" w:val="left" w:leader="none"/>
        </w:tabs>
        <w:spacing w:line="278" w:lineRule="auto" w:before="156" w:after="0"/>
        <w:ind w:left="1970" w:right="994" w:hanging="363"/>
        <w:jc w:val="left"/>
        <w:rPr>
          <w:rFonts w:ascii="Times New Roman" w:eastAsia="Times New Roman"/>
          <w:sz w:val="21"/>
        </w:rPr>
      </w:pPr>
      <w:r>
        <w:rPr>
          <w:sz w:val="21"/>
        </w:rPr>
        <w:t>因履行本合同发生的争议，由当事人协商解决。协商不成的，提交您与我们约</w:t>
      </w:r>
      <w:r>
        <w:rPr>
          <w:spacing w:val="-2"/>
          <w:sz w:val="21"/>
        </w:rPr>
        <w:t>定的仲裁委员会仲裁，仲裁按该仲裁委员会仲裁规则进行，并适用中国法律；</w:t>
      </w:r>
    </w:p>
    <w:p>
      <w:pPr>
        <w:pStyle w:val="ListParagraph"/>
        <w:numPr>
          <w:ilvl w:val="2"/>
          <w:numId w:val="3"/>
        </w:numPr>
        <w:tabs>
          <w:tab w:pos="1969" w:val="left" w:leader="none"/>
          <w:tab w:pos="1970" w:val="left" w:leader="none"/>
        </w:tabs>
        <w:spacing w:line="278" w:lineRule="auto" w:before="156" w:after="0"/>
        <w:ind w:left="1970" w:right="1002" w:hanging="363"/>
        <w:jc w:val="left"/>
        <w:rPr>
          <w:rFonts w:ascii="Times New Roman" w:eastAsia="Times New Roman"/>
          <w:sz w:val="21"/>
        </w:rPr>
      </w:pPr>
      <w:r>
        <w:rPr>
          <w:spacing w:val="-2"/>
          <w:sz w:val="21"/>
        </w:rPr>
        <w:t>因履行本合同发生的争议，由当事人协商解决。协商不成的，依法向人民法院</w:t>
      </w:r>
      <w:r>
        <w:rPr>
          <w:spacing w:val="-4"/>
          <w:sz w:val="21"/>
        </w:rPr>
        <w:t>起诉。</w:t>
      </w:r>
    </w:p>
    <w:p>
      <w:pPr>
        <w:pStyle w:val="BodyText"/>
        <w:spacing w:before="12"/>
        <w:rPr>
          <w:sz w:val="16"/>
        </w:rPr>
      </w:pPr>
    </w:p>
    <w:p>
      <w:pPr>
        <w:pStyle w:val="Heading1"/>
        <w:numPr>
          <w:ilvl w:val="0"/>
          <w:numId w:val="3"/>
        </w:numPr>
        <w:tabs>
          <w:tab w:pos="571" w:val="left" w:leader="none"/>
        </w:tabs>
        <w:spacing w:line="240" w:lineRule="auto" w:before="74" w:after="0"/>
        <w:ind w:left="570" w:right="0" w:hanging="433"/>
        <w:jc w:val="left"/>
      </w:pPr>
      <w:r>
        <w:rPr/>
        <w:drawing>
          <wp:anchor distT="0" distB="0" distL="0" distR="0" allowOverlap="1" layoutInCell="1" locked="0" behindDoc="0" simplePos="0" relativeHeight="13">
            <wp:simplePos x="0" y="0"/>
            <wp:positionH relativeFrom="page">
              <wp:posOffset>882700</wp:posOffset>
            </wp:positionH>
            <wp:positionV relativeFrom="paragraph">
              <wp:posOffset>257302</wp:posOffset>
            </wp:positionV>
            <wp:extent cx="5796660" cy="18288"/>
            <wp:effectExtent l="0" t="0" r="0" b="0"/>
            <wp:wrapTopAndBottom/>
            <wp:docPr id="29" name="image7.png"/>
            <wp:cNvGraphicFramePr>
              <a:graphicFrameLocks noChangeAspect="1"/>
            </wp:cNvGraphicFramePr>
            <a:graphic>
              <a:graphicData uri="http://schemas.openxmlformats.org/drawingml/2006/picture">
                <pic:pic>
                  <pic:nvPicPr>
                    <pic:cNvPr id="30" name="image7.png"/>
                    <pic:cNvPicPr/>
                  </pic:nvPicPr>
                  <pic:blipFill>
                    <a:blip r:embed="rId11" cstate="print"/>
                    <a:stretch>
                      <a:fillRect/>
                    </a:stretch>
                  </pic:blipFill>
                  <pic:spPr>
                    <a:xfrm>
                      <a:off x="0" y="0"/>
                      <a:ext cx="5796660" cy="18288"/>
                    </a:xfrm>
                    <a:prstGeom prst="rect">
                      <a:avLst/>
                    </a:prstGeom>
                  </pic:spPr>
                </pic:pic>
              </a:graphicData>
            </a:graphic>
          </wp:anchor>
        </w:drawing>
      </w:r>
      <w:bookmarkStart w:name="_bookmark48" w:id="83"/>
      <w:bookmarkEnd w:id="83"/>
      <w:r>
        <w:rPr>
          <w:b w:val="0"/>
        </w:rPr>
      </w:r>
      <w:bookmarkStart w:name="_bookmark48" w:id="84"/>
      <w:bookmarkEnd w:id="84"/>
      <w:r>
        <w:rPr>
          <w:w w:val="95"/>
        </w:rPr>
        <w:t>释</w:t>
      </w:r>
      <w:r>
        <w:rPr>
          <w:spacing w:val="-10"/>
        </w:rPr>
        <w:t>义</w:t>
      </w:r>
    </w:p>
    <w:p>
      <w:pPr>
        <w:pStyle w:val="ListParagraph"/>
        <w:numPr>
          <w:ilvl w:val="1"/>
          <w:numId w:val="3"/>
        </w:numPr>
        <w:tabs>
          <w:tab w:pos="714" w:val="left" w:leader="none"/>
          <w:tab w:pos="715" w:val="left" w:leader="none"/>
        </w:tabs>
        <w:spacing w:line="240" w:lineRule="auto" w:before="178" w:after="0"/>
        <w:ind w:left="714" w:right="0" w:hanging="577"/>
        <w:jc w:val="left"/>
        <w:rPr>
          <w:b/>
          <w:sz w:val="21"/>
        </w:rPr>
      </w:pPr>
      <w:bookmarkStart w:name="_bookmark49" w:id="85"/>
      <w:bookmarkEnd w:id="85"/>
      <w:r>
        <w:rPr/>
      </w:r>
      <w:bookmarkStart w:name="_bookmark49" w:id="86"/>
      <w:bookmarkEnd w:id="86"/>
      <w:r>
        <w:rPr>
          <w:b/>
          <w:spacing w:val="-3"/>
          <w:sz w:val="21"/>
        </w:rPr>
        <w:t>投保年龄</w:t>
      </w:r>
    </w:p>
    <w:p>
      <w:pPr>
        <w:pStyle w:val="BodyText"/>
        <w:rPr>
          <w:b/>
          <w:sz w:val="15"/>
        </w:rPr>
      </w:pPr>
    </w:p>
    <w:p>
      <w:pPr>
        <w:pStyle w:val="BodyText"/>
        <w:spacing w:before="0"/>
        <w:ind w:left="1610"/>
      </w:pPr>
      <w:r>
        <w:rPr>
          <w:spacing w:val="-3"/>
        </w:rPr>
        <w:t>指您投保时被保险人的年龄，投保年龄以周岁计算。</w:t>
      </w:r>
    </w:p>
    <w:p>
      <w:pPr>
        <w:pStyle w:val="BodyText"/>
        <w:rPr>
          <w:sz w:val="15"/>
        </w:rPr>
      </w:pPr>
    </w:p>
    <w:p>
      <w:pPr>
        <w:pStyle w:val="ListParagraph"/>
        <w:numPr>
          <w:ilvl w:val="1"/>
          <w:numId w:val="3"/>
        </w:numPr>
        <w:tabs>
          <w:tab w:pos="714" w:val="left" w:leader="none"/>
          <w:tab w:pos="715" w:val="left" w:leader="none"/>
        </w:tabs>
        <w:spacing w:line="240" w:lineRule="auto" w:before="1" w:after="0"/>
        <w:ind w:left="714" w:right="0" w:hanging="577"/>
        <w:jc w:val="left"/>
        <w:rPr>
          <w:b/>
          <w:sz w:val="21"/>
        </w:rPr>
      </w:pPr>
      <w:bookmarkStart w:name="_bookmark50" w:id="87"/>
      <w:bookmarkEnd w:id="87"/>
      <w:r>
        <w:rPr/>
      </w:r>
      <w:bookmarkStart w:name="_bookmark50" w:id="88"/>
      <w:bookmarkEnd w:id="88"/>
      <w:r>
        <w:rPr>
          <w:b/>
          <w:spacing w:val="-5"/>
          <w:sz w:val="21"/>
        </w:rPr>
        <w:t>周岁</w:t>
      </w:r>
    </w:p>
    <w:p>
      <w:pPr>
        <w:pStyle w:val="BodyText"/>
        <w:spacing w:before="6"/>
        <w:rPr>
          <w:b/>
          <w:sz w:val="15"/>
        </w:rPr>
      </w:pPr>
    </w:p>
    <w:p>
      <w:pPr>
        <w:pStyle w:val="BodyText"/>
        <w:spacing w:line="278" w:lineRule="auto" w:before="0"/>
        <w:ind w:left="1610" w:right="1025"/>
      </w:pPr>
      <w:r>
        <w:rPr>
          <w:spacing w:val="-2"/>
        </w:rPr>
        <w:t>指按有效身份证件中记载的出生日期计算的年龄。自出生之日起为零周岁，每经过</w:t>
      </w:r>
      <w:r>
        <w:rPr>
          <w:spacing w:val="-2"/>
        </w:rPr>
        <w:t>一年增加一岁，不足一年的不计。</w:t>
      </w:r>
    </w:p>
    <w:p>
      <w:pPr>
        <w:pStyle w:val="ListParagraph"/>
        <w:numPr>
          <w:ilvl w:val="1"/>
          <w:numId w:val="3"/>
        </w:numPr>
        <w:tabs>
          <w:tab w:pos="714" w:val="left" w:leader="none"/>
          <w:tab w:pos="715" w:val="left" w:leader="none"/>
        </w:tabs>
        <w:spacing w:line="240" w:lineRule="auto" w:before="156" w:after="0"/>
        <w:ind w:left="714" w:right="0" w:hanging="577"/>
        <w:jc w:val="left"/>
        <w:rPr>
          <w:b/>
          <w:sz w:val="21"/>
        </w:rPr>
      </w:pPr>
      <w:bookmarkStart w:name="_bookmark51" w:id="89"/>
      <w:bookmarkEnd w:id="89"/>
      <w:r>
        <w:rPr/>
      </w:r>
      <w:bookmarkStart w:name="_bookmark51" w:id="90"/>
      <w:bookmarkEnd w:id="90"/>
      <w:r>
        <w:rPr>
          <w:b/>
          <w:spacing w:val="-2"/>
          <w:sz w:val="21"/>
        </w:rPr>
        <w:t>保单周年日</w:t>
      </w:r>
    </w:p>
    <w:p>
      <w:pPr>
        <w:pStyle w:val="BodyText"/>
        <w:rPr>
          <w:b/>
          <w:sz w:val="15"/>
        </w:rPr>
      </w:pPr>
    </w:p>
    <w:p>
      <w:pPr>
        <w:pStyle w:val="BodyText"/>
        <w:spacing w:line="278" w:lineRule="auto" w:before="0"/>
        <w:ind w:left="1610" w:right="1025"/>
      </w:pPr>
      <w:r>
        <w:rPr>
          <w:spacing w:val="-2"/>
        </w:rPr>
        <w:t>指保单生效之后每年与生效日对应的日期，如果保单年度的该日期大于当月日数，</w:t>
      </w:r>
      <w:r>
        <w:rPr>
          <w:spacing w:val="-2"/>
        </w:rPr>
        <w:t>我们则将该月的最后一日作为当年的保单周年日。</w:t>
      </w:r>
    </w:p>
    <w:p>
      <w:pPr>
        <w:pStyle w:val="ListParagraph"/>
        <w:numPr>
          <w:ilvl w:val="1"/>
          <w:numId w:val="3"/>
        </w:numPr>
        <w:tabs>
          <w:tab w:pos="714" w:val="left" w:leader="none"/>
          <w:tab w:pos="715" w:val="left" w:leader="none"/>
        </w:tabs>
        <w:spacing w:line="240" w:lineRule="auto" w:before="156" w:after="0"/>
        <w:ind w:left="714" w:right="0" w:hanging="577"/>
        <w:jc w:val="left"/>
        <w:rPr>
          <w:b/>
          <w:sz w:val="21"/>
        </w:rPr>
      </w:pPr>
      <w:bookmarkStart w:name="_bookmark52" w:id="91"/>
      <w:bookmarkEnd w:id="91"/>
      <w:r>
        <w:rPr/>
      </w:r>
      <w:bookmarkStart w:name="_bookmark52" w:id="92"/>
      <w:bookmarkEnd w:id="92"/>
      <w:r>
        <w:rPr>
          <w:b/>
          <w:spacing w:val="-3"/>
          <w:sz w:val="21"/>
        </w:rPr>
        <w:t>保单年度</w:t>
      </w:r>
    </w:p>
    <w:p>
      <w:pPr>
        <w:pStyle w:val="BodyText"/>
        <w:spacing w:before="6"/>
        <w:rPr>
          <w:b/>
          <w:sz w:val="15"/>
        </w:rPr>
      </w:pPr>
    </w:p>
    <w:p>
      <w:pPr>
        <w:pStyle w:val="BodyText"/>
        <w:spacing w:line="278" w:lineRule="auto" w:before="0"/>
        <w:ind w:left="1610" w:right="1026"/>
      </w:pPr>
      <w:r>
        <w:rPr>
          <w:spacing w:val="-2"/>
        </w:rPr>
        <w:t>从保险合同生效日或保单周年日的零时起至下一年度保单周年日的零时止为一个保</w:t>
      </w:r>
      <w:r>
        <w:rPr>
          <w:spacing w:val="-4"/>
        </w:rPr>
        <w:t>单年度。</w:t>
      </w:r>
    </w:p>
    <w:p>
      <w:pPr>
        <w:pStyle w:val="ListParagraph"/>
        <w:numPr>
          <w:ilvl w:val="1"/>
          <w:numId w:val="3"/>
        </w:numPr>
        <w:tabs>
          <w:tab w:pos="714" w:val="left" w:leader="none"/>
          <w:tab w:pos="715" w:val="left" w:leader="none"/>
        </w:tabs>
        <w:spacing w:line="240" w:lineRule="auto" w:before="157" w:after="0"/>
        <w:ind w:left="714" w:right="0" w:hanging="577"/>
        <w:jc w:val="left"/>
        <w:rPr>
          <w:b/>
          <w:sz w:val="21"/>
        </w:rPr>
      </w:pPr>
      <w:bookmarkStart w:name="_bookmark53" w:id="93"/>
      <w:bookmarkEnd w:id="93"/>
      <w:r>
        <w:rPr/>
      </w:r>
      <w:bookmarkStart w:name="_bookmark53" w:id="94"/>
      <w:bookmarkEnd w:id="94"/>
      <w:r>
        <w:rPr>
          <w:b/>
          <w:spacing w:val="-5"/>
          <w:sz w:val="21"/>
        </w:rPr>
        <w:t>全残</w:t>
      </w:r>
    </w:p>
    <w:p>
      <w:pPr>
        <w:pStyle w:val="BodyText"/>
        <w:spacing w:before="6"/>
        <w:rPr>
          <w:b/>
          <w:sz w:val="15"/>
        </w:rPr>
      </w:pPr>
    </w:p>
    <w:p>
      <w:pPr>
        <w:pStyle w:val="BodyText"/>
        <w:spacing w:before="0"/>
        <w:ind w:left="1610"/>
      </w:pPr>
      <w:r>
        <w:rPr>
          <w:spacing w:val="-3"/>
        </w:rPr>
        <w:t>指具有下列情况之一项或多项者：</w:t>
      </w:r>
    </w:p>
    <w:p>
      <w:pPr>
        <w:pStyle w:val="BodyText"/>
        <w:rPr>
          <w:sz w:val="15"/>
        </w:rPr>
      </w:pPr>
    </w:p>
    <w:p>
      <w:pPr>
        <w:pStyle w:val="ListParagraph"/>
        <w:numPr>
          <w:ilvl w:val="2"/>
          <w:numId w:val="3"/>
        </w:numPr>
        <w:tabs>
          <w:tab w:pos="1969" w:val="left" w:leader="none"/>
          <w:tab w:pos="1970" w:val="left" w:leader="none"/>
        </w:tabs>
        <w:spacing w:line="240" w:lineRule="auto" w:before="0" w:after="0"/>
        <w:ind w:left="1970" w:right="0" w:hanging="363"/>
        <w:jc w:val="left"/>
        <w:rPr>
          <w:rFonts w:ascii="Times New Roman" w:eastAsia="Times New Roman"/>
          <w:sz w:val="21"/>
        </w:rPr>
      </w:pPr>
      <w:r>
        <w:rPr>
          <w:spacing w:val="-2"/>
          <w:sz w:val="21"/>
        </w:rPr>
        <w:t>双目永久完全失明的（</w:t>
      </w:r>
      <w:r>
        <w:rPr>
          <w:spacing w:val="-26"/>
          <w:sz w:val="21"/>
        </w:rPr>
        <w:t>注 </w:t>
      </w:r>
      <w:r>
        <w:rPr>
          <w:rFonts w:ascii="Times New Roman" w:eastAsia="Times New Roman"/>
          <w:spacing w:val="-5"/>
          <w:sz w:val="21"/>
        </w:rPr>
        <w:t>1</w:t>
      </w:r>
      <w:r>
        <w:rPr>
          <w:spacing w:val="-111"/>
          <w:sz w:val="21"/>
        </w:rPr>
        <w:t>）；</w:t>
      </w:r>
    </w:p>
    <w:p>
      <w:pPr>
        <w:pStyle w:val="BodyText"/>
        <w:rPr>
          <w:sz w:val="15"/>
        </w:rPr>
      </w:pPr>
    </w:p>
    <w:p>
      <w:pPr>
        <w:pStyle w:val="ListParagraph"/>
        <w:numPr>
          <w:ilvl w:val="2"/>
          <w:numId w:val="3"/>
        </w:numPr>
        <w:tabs>
          <w:tab w:pos="1969" w:val="left" w:leader="none"/>
          <w:tab w:pos="1970" w:val="left" w:leader="none"/>
        </w:tabs>
        <w:spacing w:line="240" w:lineRule="auto" w:before="0" w:after="0"/>
        <w:ind w:left="1970" w:right="0" w:hanging="363"/>
        <w:jc w:val="left"/>
        <w:rPr>
          <w:rFonts w:ascii="Times New Roman" w:eastAsia="Times New Roman"/>
          <w:sz w:val="21"/>
        </w:rPr>
      </w:pPr>
      <w:r>
        <w:rPr>
          <w:spacing w:val="-3"/>
          <w:sz w:val="21"/>
        </w:rPr>
        <w:t>两上肢腕关节以上或两下肢踝关节以上缺失的；</w:t>
      </w:r>
    </w:p>
    <w:p>
      <w:pPr>
        <w:pStyle w:val="BodyText"/>
        <w:spacing w:before="6"/>
        <w:rPr>
          <w:sz w:val="15"/>
        </w:rPr>
      </w:pPr>
    </w:p>
    <w:p>
      <w:pPr>
        <w:pStyle w:val="ListParagraph"/>
        <w:numPr>
          <w:ilvl w:val="2"/>
          <w:numId w:val="3"/>
        </w:numPr>
        <w:tabs>
          <w:tab w:pos="1969" w:val="left" w:leader="none"/>
          <w:tab w:pos="1970" w:val="left" w:leader="none"/>
        </w:tabs>
        <w:spacing w:line="240" w:lineRule="auto" w:before="1" w:after="0"/>
        <w:ind w:left="1970" w:right="0" w:hanging="363"/>
        <w:jc w:val="left"/>
        <w:rPr>
          <w:rFonts w:ascii="Times New Roman" w:eastAsia="Times New Roman"/>
          <w:sz w:val="21"/>
        </w:rPr>
      </w:pPr>
      <w:r>
        <w:rPr>
          <w:spacing w:val="-3"/>
          <w:sz w:val="21"/>
        </w:rPr>
        <w:t>一上肢腕关节以上及一下肢踝关节以上缺失的；</w:t>
      </w:r>
    </w:p>
    <w:p>
      <w:pPr>
        <w:pStyle w:val="BodyText"/>
        <w:spacing w:before="6"/>
        <w:rPr>
          <w:sz w:val="15"/>
        </w:rPr>
      </w:pPr>
    </w:p>
    <w:p>
      <w:pPr>
        <w:pStyle w:val="ListParagraph"/>
        <w:numPr>
          <w:ilvl w:val="2"/>
          <w:numId w:val="3"/>
        </w:numPr>
        <w:tabs>
          <w:tab w:pos="1969" w:val="left" w:leader="none"/>
          <w:tab w:pos="1970" w:val="left" w:leader="none"/>
        </w:tabs>
        <w:spacing w:line="240" w:lineRule="auto" w:before="0" w:after="0"/>
        <w:ind w:left="1970" w:right="0" w:hanging="363"/>
        <w:jc w:val="left"/>
        <w:rPr>
          <w:rFonts w:ascii="Times New Roman" w:eastAsia="Times New Roman"/>
          <w:sz w:val="21"/>
        </w:rPr>
      </w:pPr>
      <w:r>
        <w:rPr>
          <w:spacing w:val="-3"/>
          <w:sz w:val="21"/>
        </w:rPr>
        <w:t>一目永久完全失明及一上肢腕关节以上缺失的；</w:t>
      </w:r>
    </w:p>
    <w:p>
      <w:pPr>
        <w:pStyle w:val="BodyText"/>
        <w:rPr>
          <w:sz w:val="15"/>
        </w:rPr>
      </w:pPr>
    </w:p>
    <w:p>
      <w:pPr>
        <w:pStyle w:val="ListParagraph"/>
        <w:numPr>
          <w:ilvl w:val="2"/>
          <w:numId w:val="3"/>
        </w:numPr>
        <w:tabs>
          <w:tab w:pos="1969" w:val="left" w:leader="none"/>
          <w:tab w:pos="1970" w:val="left" w:leader="none"/>
        </w:tabs>
        <w:spacing w:line="240" w:lineRule="auto" w:before="0" w:after="0"/>
        <w:ind w:left="1970" w:right="0" w:hanging="363"/>
        <w:jc w:val="left"/>
        <w:rPr>
          <w:rFonts w:ascii="Times New Roman" w:eastAsia="Times New Roman"/>
          <w:sz w:val="21"/>
        </w:rPr>
      </w:pPr>
      <w:r>
        <w:rPr>
          <w:spacing w:val="-3"/>
          <w:sz w:val="21"/>
        </w:rPr>
        <w:t>一目永久完全失明及一下肢踝关节以上缺失的；</w:t>
      </w:r>
    </w:p>
    <w:p>
      <w:pPr>
        <w:pStyle w:val="BodyText"/>
        <w:rPr>
          <w:sz w:val="15"/>
        </w:rPr>
      </w:pPr>
    </w:p>
    <w:p>
      <w:pPr>
        <w:pStyle w:val="ListParagraph"/>
        <w:numPr>
          <w:ilvl w:val="2"/>
          <w:numId w:val="3"/>
        </w:numPr>
        <w:tabs>
          <w:tab w:pos="1969" w:val="left" w:leader="none"/>
          <w:tab w:pos="1970" w:val="left" w:leader="none"/>
        </w:tabs>
        <w:spacing w:line="240" w:lineRule="auto" w:before="0" w:after="0"/>
        <w:ind w:left="1970" w:right="0" w:hanging="363"/>
        <w:jc w:val="left"/>
        <w:rPr>
          <w:rFonts w:ascii="Times New Roman" w:eastAsia="Times New Roman"/>
          <w:sz w:val="21"/>
        </w:rPr>
      </w:pPr>
      <w:r>
        <w:rPr>
          <w:spacing w:val="-2"/>
          <w:sz w:val="21"/>
        </w:rPr>
        <w:t>四肢关节机能永久完全丧失的（</w:t>
      </w:r>
      <w:r>
        <w:rPr>
          <w:spacing w:val="-22"/>
          <w:sz w:val="21"/>
        </w:rPr>
        <w:t>注 </w:t>
      </w:r>
      <w:r>
        <w:rPr>
          <w:rFonts w:ascii="Times New Roman" w:eastAsia="Times New Roman"/>
          <w:spacing w:val="-8"/>
          <w:sz w:val="21"/>
        </w:rPr>
        <w:t>2</w:t>
      </w:r>
      <w:r>
        <w:rPr>
          <w:spacing w:val="-111"/>
          <w:sz w:val="21"/>
        </w:rPr>
        <w:t>）；</w:t>
      </w:r>
    </w:p>
    <w:p>
      <w:pPr>
        <w:pStyle w:val="BodyText"/>
        <w:rPr>
          <w:sz w:val="15"/>
        </w:rPr>
      </w:pPr>
    </w:p>
    <w:p>
      <w:pPr>
        <w:pStyle w:val="ListParagraph"/>
        <w:numPr>
          <w:ilvl w:val="2"/>
          <w:numId w:val="3"/>
        </w:numPr>
        <w:tabs>
          <w:tab w:pos="1969" w:val="left" w:leader="none"/>
          <w:tab w:pos="1970" w:val="left" w:leader="none"/>
        </w:tabs>
        <w:spacing w:line="240" w:lineRule="auto" w:before="0" w:after="0"/>
        <w:ind w:left="1970" w:right="0" w:hanging="363"/>
        <w:jc w:val="left"/>
        <w:rPr>
          <w:rFonts w:ascii="Times New Roman" w:eastAsia="Times New Roman"/>
          <w:sz w:val="21"/>
        </w:rPr>
      </w:pPr>
      <w:r>
        <w:rPr>
          <w:spacing w:val="-2"/>
          <w:sz w:val="21"/>
        </w:rPr>
        <w:t>咀嚼、吞咽机能永久完全丧失的（</w:t>
      </w:r>
      <w:r>
        <w:rPr>
          <w:spacing w:val="-23"/>
          <w:sz w:val="21"/>
        </w:rPr>
        <w:t>注 </w:t>
      </w:r>
      <w:r>
        <w:rPr>
          <w:rFonts w:ascii="Times New Roman" w:eastAsia="Times New Roman"/>
          <w:spacing w:val="-5"/>
          <w:sz w:val="21"/>
        </w:rPr>
        <w:t>3</w:t>
      </w:r>
      <w:r>
        <w:rPr>
          <w:spacing w:val="-113"/>
          <w:sz w:val="21"/>
        </w:rPr>
        <w:t>）；</w:t>
      </w:r>
    </w:p>
    <w:p>
      <w:pPr>
        <w:pStyle w:val="BodyText"/>
        <w:rPr>
          <w:sz w:val="15"/>
        </w:rPr>
      </w:pPr>
    </w:p>
    <w:p>
      <w:pPr>
        <w:pStyle w:val="ListParagraph"/>
        <w:numPr>
          <w:ilvl w:val="2"/>
          <w:numId w:val="3"/>
        </w:numPr>
        <w:tabs>
          <w:tab w:pos="1969" w:val="left" w:leader="none"/>
          <w:tab w:pos="1970" w:val="left" w:leader="none"/>
        </w:tabs>
        <w:spacing w:line="278" w:lineRule="auto" w:before="0" w:after="0"/>
        <w:ind w:left="1970" w:right="1002" w:hanging="363"/>
        <w:jc w:val="left"/>
        <w:rPr>
          <w:rFonts w:ascii="Times New Roman" w:eastAsia="Times New Roman"/>
          <w:sz w:val="21"/>
        </w:rPr>
      </w:pPr>
      <w:r>
        <w:rPr>
          <w:spacing w:val="-2"/>
          <w:sz w:val="21"/>
        </w:rPr>
        <w:t>中枢神经系统机能或胸、腹部脏器机能极度障碍，终身不能从事任何工作，为</w:t>
      </w:r>
      <w:r>
        <w:rPr>
          <w:sz w:val="21"/>
        </w:rPr>
        <w:t>维持生命必要的日常生活活动，全需他人扶助的（</w:t>
      </w:r>
      <w:r>
        <w:rPr>
          <w:spacing w:val="-20"/>
          <w:sz w:val="21"/>
        </w:rPr>
        <w:t>注 </w:t>
      </w:r>
      <w:r>
        <w:rPr>
          <w:rFonts w:ascii="Times New Roman" w:eastAsia="Times New Roman"/>
          <w:sz w:val="21"/>
        </w:rPr>
        <w:t>4</w:t>
      </w:r>
      <w:r>
        <w:rPr>
          <w:spacing w:val="-108"/>
          <w:sz w:val="21"/>
        </w:rPr>
        <w:t>）。</w:t>
      </w:r>
    </w:p>
    <w:p>
      <w:pPr>
        <w:pStyle w:val="BodyText"/>
        <w:spacing w:before="156"/>
        <w:ind w:left="1576"/>
      </w:pPr>
      <w:r>
        <w:rPr>
          <w:spacing w:val="-5"/>
        </w:rPr>
        <w:t>注：</w:t>
      </w:r>
    </w:p>
    <w:p>
      <w:pPr>
        <w:pStyle w:val="BodyText"/>
        <w:spacing w:before="6"/>
        <w:rPr>
          <w:sz w:val="15"/>
        </w:rPr>
      </w:pPr>
    </w:p>
    <w:p>
      <w:pPr>
        <w:pStyle w:val="ListParagraph"/>
        <w:numPr>
          <w:ilvl w:val="0"/>
          <w:numId w:val="8"/>
        </w:numPr>
        <w:tabs>
          <w:tab w:pos="1970" w:val="left" w:leader="none"/>
        </w:tabs>
        <w:spacing w:line="240" w:lineRule="auto" w:before="0" w:after="0"/>
        <w:ind w:left="1970" w:right="0" w:hanging="363"/>
        <w:jc w:val="left"/>
        <w:rPr>
          <w:sz w:val="21"/>
        </w:rPr>
      </w:pPr>
      <w:r>
        <w:rPr>
          <w:spacing w:val="-1"/>
          <w:sz w:val="21"/>
        </w:rPr>
        <w:t>失明包括眼球缺失或摘除、或不能辨别明暗、或仅能辨别眼前手动者，最佳矫</w:t>
      </w:r>
    </w:p>
    <w:p>
      <w:pPr>
        <w:spacing w:after="0" w:line="240" w:lineRule="auto"/>
        <w:jc w:val="left"/>
        <w:rPr>
          <w:sz w:val="21"/>
        </w:rPr>
        <w:sectPr>
          <w:pgSz w:w="11910" w:h="16840"/>
          <w:pgMar w:top="1380" w:bottom="280" w:left="1280" w:right="420"/>
        </w:sectPr>
      </w:pPr>
    </w:p>
    <w:p>
      <w:pPr>
        <w:pStyle w:val="BodyText"/>
        <w:spacing w:before="64"/>
        <w:ind w:left="1970"/>
      </w:pPr>
      <w:r>
        <w:rPr>
          <w:spacing w:val="-6"/>
        </w:rPr>
        <w:t>正视力低于国际标准视力表 </w:t>
      </w:r>
      <w:r>
        <w:rPr>
          <w:rFonts w:ascii="Times New Roman" w:eastAsia="Times New Roman"/>
          <w:spacing w:val="-2"/>
        </w:rPr>
        <w:t>0.02</w:t>
      </w:r>
      <w:r>
        <w:rPr>
          <w:spacing w:val="-8"/>
        </w:rPr>
        <w:t>，或视野半径小于 </w:t>
      </w:r>
      <w:r>
        <w:rPr>
          <w:rFonts w:ascii="Times New Roman" w:eastAsia="Times New Roman"/>
          <w:spacing w:val="-2"/>
        </w:rPr>
        <w:t>5</w:t>
      </w:r>
      <w:r>
        <w:rPr>
          <w:rFonts w:ascii="Times New Roman" w:eastAsia="Times New Roman"/>
          <w:spacing w:val="8"/>
        </w:rPr>
        <w:t> </w:t>
      </w:r>
      <w:r>
        <w:rPr>
          <w:spacing w:val="-6"/>
        </w:rPr>
        <w:t>度；</w:t>
      </w:r>
    </w:p>
    <w:p>
      <w:pPr>
        <w:pStyle w:val="BodyText"/>
        <w:rPr>
          <w:sz w:val="15"/>
        </w:rPr>
      </w:pPr>
    </w:p>
    <w:p>
      <w:pPr>
        <w:pStyle w:val="ListParagraph"/>
        <w:numPr>
          <w:ilvl w:val="0"/>
          <w:numId w:val="8"/>
        </w:numPr>
        <w:tabs>
          <w:tab w:pos="1970" w:val="left" w:leader="none"/>
        </w:tabs>
        <w:spacing w:line="240" w:lineRule="auto" w:before="0" w:after="0"/>
        <w:ind w:left="1970" w:right="0" w:hanging="363"/>
        <w:jc w:val="left"/>
        <w:rPr>
          <w:sz w:val="21"/>
        </w:rPr>
      </w:pPr>
      <w:r>
        <w:rPr>
          <w:spacing w:val="-3"/>
          <w:sz w:val="21"/>
        </w:rPr>
        <w:t>关节机能的丧失系指关节永久完全僵硬、或麻痹、或关节不能随意识活动；</w:t>
      </w:r>
    </w:p>
    <w:p>
      <w:pPr>
        <w:pStyle w:val="BodyText"/>
        <w:rPr>
          <w:sz w:val="15"/>
        </w:rPr>
      </w:pPr>
    </w:p>
    <w:p>
      <w:pPr>
        <w:pStyle w:val="ListParagraph"/>
        <w:numPr>
          <w:ilvl w:val="0"/>
          <w:numId w:val="8"/>
        </w:numPr>
        <w:tabs>
          <w:tab w:pos="1970" w:val="left" w:leader="none"/>
        </w:tabs>
        <w:spacing w:line="278" w:lineRule="auto" w:before="0" w:after="0"/>
        <w:ind w:left="1970" w:right="994" w:hanging="363"/>
        <w:jc w:val="left"/>
        <w:rPr>
          <w:sz w:val="21"/>
        </w:rPr>
      </w:pPr>
      <w:r>
        <w:rPr>
          <w:sz w:val="21"/>
        </w:rPr>
        <w:t>咀嚼、吞咽机能的丧失系指由于牙齿以外的原因引起器质障碍或机能障碍，以</w:t>
      </w:r>
      <w:r>
        <w:rPr>
          <w:spacing w:val="-2"/>
          <w:sz w:val="21"/>
        </w:rPr>
        <w:t>致不能作咀嚼、吞咽运动，除流质食物外不能摄取或吞咽的状态；</w:t>
      </w:r>
    </w:p>
    <w:p>
      <w:pPr>
        <w:pStyle w:val="ListParagraph"/>
        <w:numPr>
          <w:ilvl w:val="0"/>
          <w:numId w:val="8"/>
        </w:numPr>
        <w:tabs>
          <w:tab w:pos="1970" w:val="left" w:leader="none"/>
        </w:tabs>
        <w:spacing w:line="278" w:lineRule="auto" w:before="156" w:after="0"/>
        <w:ind w:left="1970" w:right="1002" w:hanging="363"/>
        <w:jc w:val="left"/>
        <w:rPr>
          <w:sz w:val="21"/>
        </w:rPr>
      </w:pPr>
      <w:r>
        <w:rPr>
          <w:spacing w:val="-2"/>
          <w:sz w:val="21"/>
        </w:rPr>
        <w:t>为维持生命必要之日常生活活动，全需他人扶助系指食物摄取、大小便始末、</w:t>
      </w:r>
      <w:r>
        <w:rPr>
          <w:spacing w:val="-2"/>
          <w:sz w:val="21"/>
        </w:rPr>
        <w:t>穿脱衣服、起居、步行、入浴等，皆不能自己为之，需要他人帮助。</w:t>
      </w:r>
    </w:p>
    <w:p>
      <w:pPr>
        <w:pStyle w:val="BodyText"/>
        <w:spacing w:line="278" w:lineRule="auto" w:before="156"/>
        <w:ind w:left="1610" w:right="1025"/>
      </w:pPr>
      <w:r>
        <w:rPr>
          <w:spacing w:val="-2"/>
        </w:rPr>
        <w:t>所谓永久完全系指自上述残疾发生之日起经过一百八十日的治疗，机能仍然完全丧</w:t>
      </w:r>
      <w:r>
        <w:rPr>
          <w:spacing w:val="-2"/>
        </w:rPr>
        <w:t>失，但眼球摘除等明显无法复原之情况，不在此限。</w:t>
      </w:r>
    </w:p>
    <w:p>
      <w:pPr>
        <w:pStyle w:val="ListParagraph"/>
        <w:numPr>
          <w:ilvl w:val="1"/>
          <w:numId w:val="3"/>
        </w:numPr>
        <w:tabs>
          <w:tab w:pos="714" w:val="left" w:leader="none"/>
          <w:tab w:pos="715" w:val="left" w:leader="none"/>
        </w:tabs>
        <w:spacing w:line="240" w:lineRule="auto" w:before="155" w:after="0"/>
        <w:ind w:left="714" w:right="0" w:hanging="577"/>
        <w:jc w:val="left"/>
        <w:rPr>
          <w:b/>
          <w:sz w:val="21"/>
        </w:rPr>
      </w:pPr>
      <w:bookmarkStart w:name="_bookmark54" w:id="95"/>
      <w:bookmarkEnd w:id="95"/>
      <w:r>
        <w:rPr/>
      </w:r>
      <w:bookmarkStart w:name="_bookmark54" w:id="96"/>
      <w:bookmarkEnd w:id="96"/>
      <w:r>
        <w:rPr>
          <w:b/>
          <w:spacing w:val="-3"/>
          <w:sz w:val="21"/>
        </w:rPr>
        <w:t>重大疾病</w:t>
      </w:r>
    </w:p>
    <w:p>
      <w:pPr>
        <w:pStyle w:val="BodyText"/>
        <w:spacing w:before="12"/>
        <w:rPr>
          <w:b/>
          <w:sz w:val="9"/>
        </w:rPr>
      </w:pPr>
    </w:p>
    <w:p>
      <w:pPr>
        <w:pStyle w:val="BodyText"/>
        <w:spacing w:line="278" w:lineRule="auto" w:before="72"/>
        <w:ind w:left="1610" w:right="989"/>
        <w:jc w:val="both"/>
      </w:pPr>
      <w:r>
        <w:rPr>
          <w:spacing w:val="-2"/>
        </w:rPr>
        <w:t>重大疾病指下列所定义的一百项疾病或手术。其中前二十八项重大疾病采用中国保</w:t>
      </w:r>
      <w:r>
        <w:rPr/>
        <w:t>险行业协会颁布的《重大疾病保险的疾病定义使用规范（</w:t>
      </w:r>
      <w:r>
        <w:rPr>
          <w:rFonts w:ascii="Times New Roman" w:eastAsia="Times New Roman"/>
        </w:rPr>
        <w:t>2020</w:t>
      </w:r>
      <w:r>
        <w:rPr>
          <w:rFonts w:ascii="Times New Roman" w:eastAsia="Times New Roman"/>
          <w:spacing w:val="-14"/>
        </w:rPr>
        <w:t> </w:t>
      </w:r>
      <w:r>
        <w:rPr/>
        <w:t>年修订版）》中的定</w:t>
      </w:r>
      <w:r>
        <w:rPr>
          <w:spacing w:val="-6"/>
        </w:rPr>
        <w:t>义。</w:t>
      </w:r>
    </w:p>
    <w:p>
      <w:pPr>
        <w:spacing w:before="156"/>
        <w:ind w:left="1610" w:right="0" w:firstLine="0"/>
        <w:jc w:val="left"/>
        <w:rPr>
          <w:b/>
          <w:sz w:val="21"/>
        </w:rPr>
      </w:pPr>
      <w:r>
        <w:rPr>
          <w:b/>
          <w:spacing w:val="-3"/>
          <w:sz w:val="21"/>
        </w:rPr>
        <w:t>以下疾病名称仅供理解使用，具体保障范围以每项疾病具体定义为准。</w:t>
      </w:r>
    </w:p>
    <w:p>
      <w:pPr>
        <w:pStyle w:val="BodyText"/>
        <w:rPr>
          <w:b/>
          <w:sz w:val="15"/>
        </w:rPr>
      </w:pPr>
    </w:p>
    <w:p>
      <w:pPr>
        <w:pStyle w:val="ListParagraph"/>
        <w:numPr>
          <w:ilvl w:val="2"/>
          <w:numId w:val="9"/>
        </w:numPr>
        <w:tabs>
          <w:tab w:pos="1818" w:val="left" w:leader="none"/>
          <w:tab w:pos="1819" w:val="left" w:leader="none"/>
        </w:tabs>
        <w:spacing w:line="240" w:lineRule="auto" w:before="0" w:after="0"/>
        <w:ind w:left="1818" w:right="0" w:hanging="802"/>
        <w:jc w:val="left"/>
        <w:rPr>
          <w:b/>
          <w:sz w:val="21"/>
        </w:rPr>
      </w:pPr>
      <w:r>
        <w:rPr>
          <w:b/>
          <w:spacing w:val="-2"/>
          <w:sz w:val="21"/>
        </w:rPr>
        <w:t>恶性肿瘤——重度</w:t>
      </w:r>
    </w:p>
    <w:p>
      <w:pPr>
        <w:spacing w:line="278" w:lineRule="auto" w:before="163"/>
        <w:ind w:left="1610" w:right="884" w:firstLine="0"/>
        <w:jc w:val="left"/>
        <w:rPr>
          <w:sz w:val="21"/>
        </w:rPr>
      </w:pPr>
      <w:r>
        <w:rPr>
          <w:spacing w:val="-6"/>
          <w:w w:val="100"/>
          <w:sz w:val="21"/>
        </w:rPr>
        <w:t>指恶性细胞不受控制的进行性增长和扩散，浸润和破坏周围正常组织，可以经血管、</w:t>
      </w:r>
      <w:r>
        <w:rPr>
          <w:spacing w:val="-4"/>
          <w:w w:val="100"/>
          <w:sz w:val="21"/>
        </w:rPr>
        <w:t>淋巴管和体腔扩散转移到身体其他部位，病灶经</w:t>
      </w:r>
      <w:r>
        <w:rPr>
          <w:b/>
          <w:w w:val="100"/>
          <w:sz w:val="21"/>
        </w:rPr>
        <w:t>组织病理学检查（</w:t>
      </w:r>
      <w:r>
        <w:rPr>
          <w:b/>
          <w:spacing w:val="-2"/>
          <w:w w:val="100"/>
          <w:sz w:val="21"/>
        </w:rPr>
        <w:t>见释义）</w:t>
      </w:r>
      <w:r>
        <w:rPr>
          <w:w w:val="100"/>
          <w:sz w:val="21"/>
        </w:rPr>
        <w:t>（涵盖</w:t>
      </w:r>
      <w:r>
        <w:rPr>
          <w:spacing w:val="-3"/>
          <w:w w:val="100"/>
          <w:sz w:val="21"/>
        </w:rPr>
        <w:t>骨髓病理学检查</w:t>
      </w:r>
      <w:r>
        <w:rPr>
          <w:spacing w:val="-36"/>
          <w:w w:val="100"/>
          <w:sz w:val="21"/>
        </w:rPr>
        <w:t>）</w:t>
      </w:r>
      <w:r>
        <w:rPr>
          <w:spacing w:val="-10"/>
          <w:w w:val="100"/>
          <w:sz w:val="21"/>
        </w:rPr>
        <w:t>结果明确诊断，临床诊断属于世界卫生组织</w:t>
      </w:r>
      <w:r>
        <w:rPr>
          <w:w w:val="100"/>
          <w:sz w:val="21"/>
        </w:rPr>
        <w:t>（</w:t>
      </w:r>
      <w:r>
        <w:rPr>
          <w:rFonts w:ascii="Times New Roman" w:eastAsia="Times New Roman"/>
          <w:spacing w:val="-3"/>
          <w:w w:val="100"/>
          <w:sz w:val="21"/>
        </w:rPr>
        <w:t>W</w:t>
      </w:r>
      <w:r>
        <w:rPr>
          <w:rFonts w:ascii="Times New Roman" w:eastAsia="Times New Roman"/>
          <w:spacing w:val="-2"/>
          <w:w w:val="100"/>
          <w:sz w:val="21"/>
        </w:rPr>
        <w:t>H</w:t>
      </w:r>
      <w:r>
        <w:rPr>
          <w:rFonts w:ascii="Times New Roman" w:eastAsia="Times New Roman"/>
          <w:spacing w:val="1"/>
          <w:w w:val="100"/>
          <w:sz w:val="21"/>
        </w:rPr>
        <w:t>O</w:t>
      </w:r>
      <w:r>
        <w:rPr>
          <w:spacing w:val="-36"/>
          <w:w w:val="100"/>
          <w:sz w:val="21"/>
        </w:rPr>
        <w:t>，</w:t>
      </w:r>
      <w:r>
        <w:rPr>
          <w:rFonts w:ascii="Times New Roman" w:eastAsia="Times New Roman"/>
          <w:w w:val="100"/>
          <w:sz w:val="21"/>
        </w:rPr>
        <w:t>Wo</w:t>
      </w:r>
      <w:r>
        <w:rPr>
          <w:rFonts w:ascii="Times New Roman" w:eastAsia="Times New Roman"/>
          <w:spacing w:val="-1"/>
          <w:w w:val="100"/>
          <w:sz w:val="21"/>
        </w:rPr>
        <w:t>r</w:t>
      </w:r>
      <w:r>
        <w:rPr>
          <w:rFonts w:ascii="Times New Roman" w:eastAsia="Times New Roman"/>
          <w:spacing w:val="-2"/>
          <w:w w:val="100"/>
          <w:sz w:val="21"/>
        </w:rPr>
        <w:t>l</w:t>
      </w:r>
      <w:r>
        <w:rPr>
          <w:rFonts w:ascii="Times New Roman" w:eastAsia="Times New Roman"/>
          <w:w w:val="100"/>
          <w:sz w:val="21"/>
        </w:rPr>
        <w:t>d</w:t>
      </w:r>
      <w:r>
        <w:rPr>
          <w:rFonts w:ascii="Times New Roman" w:eastAsia="Times New Roman"/>
          <w:spacing w:val="-3"/>
          <w:sz w:val="21"/>
        </w:rPr>
        <w:t> </w:t>
      </w:r>
      <w:r>
        <w:rPr>
          <w:rFonts w:ascii="Times New Roman" w:eastAsia="Times New Roman"/>
          <w:w w:val="100"/>
          <w:sz w:val="21"/>
        </w:rPr>
        <w:t>H</w:t>
      </w:r>
      <w:r>
        <w:rPr>
          <w:rFonts w:ascii="Times New Roman" w:eastAsia="Times New Roman"/>
          <w:w w:val="100"/>
          <w:sz w:val="21"/>
        </w:rPr>
        <w:t>ea</w:t>
      </w:r>
      <w:r>
        <w:rPr>
          <w:rFonts w:ascii="Times New Roman" w:eastAsia="Times New Roman"/>
          <w:spacing w:val="-2"/>
          <w:w w:val="100"/>
          <w:sz w:val="21"/>
        </w:rPr>
        <w:t>l</w:t>
      </w:r>
      <w:r>
        <w:rPr>
          <w:rFonts w:ascii="Times New Roman" w:eastAsia="Times New Roman"/>
          <w:spacing w:val="-4"/>
          <w:w w:val="100"/>
          <w:sz w:val="21"/>
        </w:rPr>
        <w:t>t</w:t>
      </w:r>
      <w:r>
        <w:rPr>
          <w:rFonts w:ascii="Times New Roman" w:eastAsia="Times New Roman"/>
          <w:w w:val="100"/>
          <w:sz w:val="21"/>
        </w:rPr>
        <w:t>h </w:t>
      </w:r>
      <w:r>
        <w:rPr>
          <w:rFonts w:ascii="Times New Roman" w:eastAsia="Times New Roman"/>
          <w:w w:val="100"/>
          <w:sz w:val="21"/>
        </w:rPr>
        <w:t>O</w:t>
      </w:r>
      <w:r>
        <w:rPr>
          <w:rFonts w:ascii="Times New Roman" w:eastAsia="Times New Roman"/>
          <w:spacing w:val="-1"/>
          <w:w w:val="100"/>
          <w:sz w:val="21"/>
        </w:rPr>
        <w:t>r</w:t>
      </w:r>
      <w:r>
        <w:rPr>
          <w:rFonts w:ascii="Times New Roman" w:eastAsia="Times New Roman"/>
          <w:w w:val="100"/>
          <w:sz w:val="21"/>
        </w:rPr>
        <w:t>gan</w:t>
      </w:r>
      <w:r>
        <w:rPr>
          <w:rFonts w:ascii="Times New Roman" w:eastAsia="Times New Roman"/>
          <w:spacing w:val="-2"/>
          <w:w w:val="100"/>
          <w:sz w:val="21"/>
        </w:rPr>
        <w:t>i</w:t>
      </w:r>
      <w:r>
        <w:rPr>
          <w:rFonts w:ascii="Times New Roman" w:eastAsia="Times New Roman"/>
          <w:w w:val="100"/>
          <w:sz w:val="21"/>
        </w:rPr>
        <w:t>za</w:t>
      </w:r>
      <w:r>
        <w:rPr>
          <w:rFonts w:ascii="Times New Roman" w:eastAsia="Times New Roman"/>
          <w:spacing w:val="-2"/>
          <w:w w:val="100"/>
          <w:sz w:val="21"/>
        </w:rPr>
        <w:t>ti</w:t>
      </w:r>
      <w:r>
        <w:rPr>
          <w:rFonts w:ascii="Times New Roman" w:eastAsia="Times New Roman"/>
          <w:w w:val="100"/>
          <w:sz w:val="21"/>
        </w:rPr>
        <w:t>o</w:t>
      </w:r>
      <w:r>
        <w:rPr>
          <w:rFonts w:ascii="Times New Roman" w:eastAsia="Times New Roman"/>
          <w:spacing w:val="-2"/>
          <w:w w:val="100"/>
          <w:sz w:val="21"/>
        </w:rPr>
        <w:t>n</w:t>
      </w:r>
      <w:r>
        <w:rPr>
          <w:spacing w:val="-27"/>
          <w:w w:val="100"/>
          <w:sz w:val="21"/>
        </w:rPr>
        <w:t>）</w:t>
      </w:r>
      <w:r>
        <w:rPr>
          <w:b/>
          <w:spacing w:val="-5"/>
          <w:w w:val="100"/>
          <w:sz w:val="21"/>
        </w:rPr>
        <w:t>《疾病和有关健康问题的国际统计分类》第十次修订版</w:t>
      </w:r>
      <w:r>
        <w:rPr>
          <w:b/>
          <w:w w:val="100"/>
          <w:sz w:val="21"/>
        </w:rPr>
        <w:t>（</w:t>
      </w:r>
      <w:r>
        <w:rPr>
          <w:rFonts w:ascii="Times New Roman" w:eastAsia="Times New Roman"/>
          <w:b/>
          <w:spacing w:val="-3"/>
          <w:w w:val="100"/>
          <w:sz w:val="21"/>
        </w:rPr>
        <w:t>I</w:t>
      </w:r>
      <w:r>
        <w:rPr>
          <w:rFonts w:ascii="Times New Roman" w:eastAsia="Times New Roman"/>
          <w:b/>
          <w:spacing w:val="-2"/>
          <w:w w:val="100"/>
          <w:sz w:val="21"/>
        </w:rPr>
        <w:t>C</w:t>
      </w:r>
      <w:r>
        <w:rPr>
          <w:rFonts w:ascii="Times New Roman" w:eastAsia="Times New Roman"/>
          <w:b/>
          <w:spacing w:val="1"/>
          <w:w w:val="100"/>
          <w:sz w:val="21"/>
        </w:rPr>
        <w:t>D</w:t>
      </w:r>
      <w:r>
        <w:rPr>
          <w:rFonts w:ascii="Times New Roman" w:eastAsia="Times New Roman"/>
          <w:b/>
          <w:spacing w:val="-1"/>
          <w:w w:val="100"/>
          <w:sz w:val="21"/>
        </w:rPr>
        <w:t>-</w:t>
      </w:r>
      <w:r>
        <w:rPr>
          <w:rFonts w:ascii="Times New Roman" w:eastAsia="Times New Roman"/>
          <w:b/>
          <w:spacing w:val="-3"/>
          <w:w w:val="100"/>
          <w:sz w:val="21"/>
        </w:rPr>
        <w:t>10</w:t>
      </w:r>
      <w:r>
        <w:rPr>
          <w:b/>
          <w:spacing w:val="-12"/>
          <w:w w:val="100"/>
          <w:sz w:val="21"/>
        </w:rPr>
        <w:t>）的</w:t>
      </w:r>
      <w:r>
        <w:rPr>
          <w:b/>
          <w:spacing w:val="-3"/>
          <w:w w:val="100"/>
          <w:sz w:val="21"/>
        </w:rPr>
        <w:t>恶性肿瘤类别及《国际疾病分类肿瘤学专辑》第三版</w:t>
      </w:r>
      <w:r>
        <w:rPr>
          <w:b/>
          <w:spacing w:val="3"/>
          <w:w w:val="100"/>
          <w:sz w:val="21"/>
        </w:rPr>
        <w:t>（</w:t>
      </w:r>
      <w:r>
        <w:rPr>
          <w:rFonts w:ascii="Times New Roman" w:eastAsia="Times New Roman"/>
          <w:b/>
          <w:spacing w:val="-3"/>
          <w:w w:val="100"/>
          <w:sz w:val="21"/>
        </w:rPr>
        <w:t>I</w:t>
      </w:r>
      <w:r>
        <w:rPr>
          <w:rFonts w:ascii="Times New Roman" w:eastAsia="Times New Roman"/>
          <w:b/>
          <w:spacing w:val="-2"/>
          <w:w w:val="100"/>
          <w:sz w:val="21"/>
        </w:rPr>
        <w:t>C</w:t>
      </w:r>
      <w:r>
        <w:rPr>
          <w:rFonts w:ascii="Times New Roman" w:eastAsia="Times New Roman"/>
          <w:b/>
          <w:spacing w:val="1"/>
          <w:w w:val="100"/>
          <w:sz w:val="21"/>
        </w:rPr>
        <w:t>D</w:t>
      </w:r>
      <w:r>
        <w:rPr>
          <w:rFonts w:ascii="Times New Roman" w:eastAsia="Times New Roman"/>
          <w:b/>
          <w:spacing w:val="-1"/>
          <w:w w:val="100"/>
          <w:sz w:val="21"/>
        </w:rPr>
        <w:t>-</w:t>
      </w:r>
      <w:r>
        <w:rPr>
          <w:rFonts w:ascii="Times New Roman" w:eastAsia="Times New Roman"/>
          <w:b/>
          <w:spacing w:val="-2"/>
          <w:w w:val="100"/>
          <w:sz w:val="21"/>
        </w:rPr>
        <w:t>O</w:t>
      </w:r>
      <w:r>
        <w:rPr>
          <w:rFonts w:ascii="Times New Roman" w:eastAsia="Times New Roman"/>
          <w:b/>
          <w:spacing w:val="-1"/>
          <w:w w:val="100"/>
          <w:sz w:val="21"/>
        </w:rPr>
        <w:t>-</w:t>
      </w:r>
      <w:r>
        <w:rPr>
          <w:rFonts w:ascii="Times New Roman" w:eastAsia="Times New Roman"/>
          <w:b/>
          <w:spacing w:val="-3"/>
          <w:w w:val="100"/>
          <w:sz w:val="21"/>
        </w:rPr>
        <w:t>3</w:t>
      </w:r>
      <w:r>
        <w:rPr>
          <w:b/>
          <w:w w:val="100"/>
          <w:sz w:val="21"/>
        </w:rPr>
        <w:t>）（</w:t>
      </w:r>
      <w:r>
        <w:rPr>
          <w:b/>
          <w:spacing w:val="-1"/>
          <w:w w:val="100"/>
          <w:sz w:val="21"/>
        </w:rPr>
        <w:t>见释义）</w:t>
      </w:r>
      <w:r>
        <w:rPr>
          <w:w w:val="100"/>
          <w:sz w:val="21"/>
        </w:rPr>
        <w:t>的肿</w:t>
      </w:r>
      <w:r>
        <w:rPr>
          <w:spacing w:val="-3"/>
          <w:w w:val="100"/>
          <w:sz w:val="21"/>
        </w:rPr>
        <w:t>瘤形态学编码属于</w:t>
      </w:r>
      <w:r>
        <w:rPr>
          <w:spacing w:val="-52"/>
          <w:sz w:val="21"/>
        </w:rPr>
        <w:t> </w:t>
      </w:r>
      <w:r>
        <w:rPr>
          <w:rFonts w:ascii="Times New Roman" w:eastAsia="Times New Roman"/>
          <w:spacing w:val="-3"/>
          <w:w w:val="100"/>
          <w:sz w:val="21"/>
        </w:rPr>
        <w:t>3</w:t>
      </w:r>
      <w:r>
        <w:rPr>
          <w:w w:val="100"/>
          <w:sz w:val="21"/>
        </w:rPr>
        <w:t>、</w:t>
      </w:r>
      <w:r>
        <w:rPr>
          <w:rFonts w:ascii="Times New Roman" w:eastAsia="Times New Roman"/>
          <w:spacing w:val="-3"/>
          <w:w w:val="100"/>
          <w:sz w:val="21"/>
        </w:rPr>
        <w:t>6</w:t>
      </w:r>
      <w:r>
        <w:rPr>
          <w:spacing w:val="-3"/>
          <w:w w:val="100"/>
          <w:sz w:val="21"/>
        </w:rPr>
        <w:t>、</w:t>
      </w:r>
      <w:r>
        <w:rPr>
          <w:rFonts w:ascii="Times New Roman" w:eastAsia="Times New Roman"/>
          <w:w w:val="100"/>
          <w:sz w:val="21"/>
        </w:rPr>
        <w:t>9</w:t>
      </w:r>
      <w:r>
        <w:rPr>
          <w:w w:val="100"/>
          <w:sz w:val="21"/>
        </w:rPr>
        <w:t>（</w:t>
      </w:r>
      <w:r>
        <w:rPr>
          <w:spacing w:val="-3"/>
          <w:w w:val="100"/>
          <w:sz w:val="21"/>
        </w:rPr>
        <w:t>恶性肿瘤）范畴的疾病。</w:t>
      </w:r>
    </w:p>
    <w:p>
      <w:pPr>
        <w:spacing w:before="156"/>
        <w:ind w:left="1610" w:right="0" w:firstLine="0"/>
        <w:jc w:val="left"/>
        <w:rPr>
          <w:b/>
          <w:sz w:val="21"/>
        </w:rPr>
      </w:pPr>
      <w:r>
        <w:rPr>
          <w:b/>
          <w:spacing w:val="-3"/>
          <w:sz w:val="21"/>
        </w:rPr>
        <w:t>下列疾病不属于“恶性肿瘤——重度”，不在保障范围内：</w:t>
      </w:r>
    </w:p>
    <w:p>
      <w:pPr>
        <w:pStyle w:val="BodyText"/>
        <w:spacing w:before="6"/>
        <w:rPr>
          <w:b/>
          <w:sz w:val="15"/>
        </w:rPr>
      </w:pPr>
    </w:p>
    <w:p>
      <w:pPr>
        <w:pStyle w:val="ListParagraph"/>
        <w:numPr>
          <w:ilvl w:val="3"/>
          <w:numId w:val="9"/>
        </w:numPr>
        <w:tabs>
          <w:tab w:pos="1969" w:val="left" w:leader="none"/>
          <w:tab w:pos="1970" w:val="left" w:leader="none"/>
        </w:tabs>
        <w:spacing w:line="278" w:lineRule="auto" w:before="0" w:after="0"/>
        <w:ind w:left="1970" w:right="994" w:hanging="360"/>
        <w:jc w:val="left"/>
        <w:rPr>
          <w:rFonts w:ascii="Times New Roman" w:eastAsia="Times New Roman"/>
          <w:b/>
          <w:sz w:val="21"/>
        </w:rPr>
      </w:pPr>
      <w:r>
        <w:rPr>
          <w:rFonts w:ascii="Times New Roman" w:eastAsia="Times New Roman"/>
          <w:b/>
          <w:spacing w:val="-4"/>
          <w:sz w:val="21"/>
        </w:rPr>
        <w:t>ICD-O-3 </w:t>
      </w:r>
      <w:r>
        <w:rPr>
          <w:b/>
          <w:spacing w:val="-7"/>
          <w:sz w:val="21"/>
        </w:rPr>
        <w:t>肿瘤形态学编码属于 </w:t>
      </w:r>
      <w:r>
        <w:rPr>
          <w:rFonts w:ascii="Times New Roman" w:eastAsia="Times New Roman"/>
          <w:b/>
          <w:spacing w:val="-4"/>
          <w:sz w:val="21"/>
        </w:rPr>
        <w:t>0</w:t>
      </w:r>
      <w:r>
        <w:rPr>
          <w:b/>
          <w:spacing w:val="-4"/>
          <w:sz w:val="21"/>
        </w:rPr>
        <w:t>（良性肿瘤）、</w:t>
      </w:r>
      <w:r>
        <w:rPr>
          <w:rFonts w:ascii="Times New Roman" w:eastAsia="Times New Roman"/>
          <w:b/>
          <w:spacing w:val="-4"/>
          <w:sz w:val="21"/>
        </w:rPr>
        <w:t>1</w:t>
      </w:r>
      <w:r>
        <w:rPr>
          <w:b/>
          <w:spacing w:val="-4"/>
          <w:sz w:val="21"/>
        </w:rPr>
        <w:t>（动态未定性肿瘤）、</w:t>
      </w:r>
      <w:r>
        <w:rPr>
          <w:rFonts w:ascii="Times New Roman" w:eastAsia="Times New Roman"/>
          <w:b/>
          <w:spacing w:val="-4"/>
          <w:sz w:val="21"/>
        </w:rPr>
        <w:t>2</w:t>
      </w:r>
      <w:r>
        <w:rPr>
          <w:b/>
          <w:spacing w:val="-4"/>
          <w:sz w:val="21"/>
        </w:rPr>
        <w:t>（原位</w:t>
      </w:r>
      <w:r>
        <w:rPr>
          <w:b/>
          <w:spacing w:val="-2"/>
          <w:sz w:val="21"/>
        </w:rPr>
        <w:t>癌和非侵袭性癌）范畴的疾病，如：</w:t>
      </w:r>
    </w:p>
    <w:p>
      <w:pPr>
        <w:spacing w:line="278" w:lineRule="auto" w:before="156"/>
        <w:ind w:left="2406" w:right="1050" w:hanging="425"/>
        <w:jc w:val="left"/>
        <w:rPr>
          <w:b/>
          <w:sz w:val="21"/>
        </w:rPr>
      </w:pPr>
      <w:r>
        <w:rPr>
          <w:b/>
          <w:sz w:val="21"/>
        </w:rPr>
        <w:t>① 原位癌，癌前病变，非浸润性癌，非侵袭性癌，肿瘤细胞未侵犯基底层，</w:t>
      </w:r>
      <w:r>
        <w:rPr>
          <w:b/>
          <w:spacing w:val="-2"/>
          <w:sz w:val="21"/>
        </w:rPr>
        <w:t>上皮内瘤变，细胞不典型性增生等；</w:t>
      </w:r>
    </w:p>
    <w:p>
      <w:pPr>
        <w:spacing w:before="156"/>
        <w:ind w:left="1982" w:right="0" w:firstLine="0"/>
        <w:jc w:val="left"/>
        <w:rPr>
          <w:b/>
          <w:sz w:val="21"/>
        </w:rPr>
      </w:pPr>
      <w:r>
        <w:rPr>
          <w:b/>
          <w:spacing w:val="-1"/>
          <w:sz w:val="21"/>
        </w:rPr>
        <w:t>② 交界性肿瘤，交界恶性肿瘤，肿瘤低度恶性潜能，潜在低度恶性肿瘤等；</w:t>
      </w:r>
    </w:p>
    <w:p>
      <w:pPr>
        <w:pStyle w:val="BodyText"/>
        <w:spacing w:before="6"/>
        <w:rPr>
          <w:b/>
          <w:sz w:val="15"/>
        </w:rPr>
      </w:pPr>
    </w:p>
    <w:p>
      <w:pPr>
        <w:pStyle w:val="ListParagraph"/>
        <w:numPr>
          <w:ilvl w:val="3"/>
          <w:numId w:val="9"/>
        </w:numPr>
        <w:tabs>
          <w:tab w:pos="1969" w:val="left" w:leader="none"/>
          <w:tab w:pos="1970" w:val="left" w:leader="none"/>
        </w:tabs>
        <w:spacing w:line="278" w:lineRule="auto" w:before="1" w:after="0"/>
        <w:ind w:left="1970" w:right="994" w:hanging="360"/>
        <w:jc w:val="left"/>
        <w:rPr>
          <w:rFonts w:ascii="Times New Roman" w:eastAsia="Times New Roman"/>
          <w:b/>
          <w:sz w:val="21"/>
        </w:rPr>
      </w:pPr>
      <w:r>
        <w:rPr>
          <w:rFonts w:ascii="Times New Roman" w:eastAsia="Times New Roman"/>
          <w:b/>
          <w:spacing w:val="-2"/>
          <w:sz w:val="21"/>
        </w:rPr>
        <w:t>TNM</w:t>
      </w:r>
      <w:r>
        <w:rPr>
          <w:rFonts w:ascii="Times New Roman" w:eastAsia="Times New Roman"/>
          <w:b/>
          <w:spacing w:val="-4"/>
          <w:sz w:val="21"/>
        </w:rPr>
        <w:t> </w:t>
      </w:r>
      <w:r>
        <w:rPr>
          <w:b/>
          <w:spacing w:val="-2"/>
          <w:sz w:val="21"/>
        </w:rPr>
        <w:t>分期（见释义</w:t>
      </w:r>
      <w:r>
        <w:rPr>
          <w:b/>
          <w:spacing w:val="-51"/>
          <w:sz w:val="21"/>
        </w:rPr>
        <w:t>）</w:t>
      </w:r>
      <w:r>
        <w:rPr>
          <w:b/>
          <w:spacing w:val="-29"/>
          <w:sz w:val="21"/>
        </w:rPr>
        <w:t>为 </w:t>
      </w:r>
      <w:r>
        <w:rPr>
          <w:rFonts w:ascii="Times New Roman" w:eastAsia="Times New Roman"/>
          <w:b/>
          <w:spacing w:val="-2"/>
          <w:sz w:val="21"/>
        </w:rPr>
        <w:t>I</w:t>
      </w:r>
      <w:r>
        <w:rPr>
          <w:rFonts w:ascii="Times New Roman" w:eastAsia="Times New Roman"/>
          <w:b/>
          <w:spacing w:val="-4"/>
          <w:sz w:val="21"/>
        </w:rPr>
        <w:t> </w:t>
      </w:r>
      <w:r>
        <w:rPr>
          <w:b/>
          <w:spacing w:val="-7"/>
          <w:sz w:val="21"/>
        </w:rPr>
        <w:t>期或更轻分期的甲状腺癌</w:t>
      </w:r>
      <w:r>
        <w:rPr>
          <w:b/>
          <w:spacing w:val="-2"/>
          <w:sz w:val="21"/>
        </w:rPr>
        <w:t>（</w:t>
      </w:r>
      <w:r>
        <w:rPr>
          <w:b/>
          <w:spacing w:val="-11"/>
          <w:sz w:val="21"/>
        </w:rPr>
        <w:t>甲状腺癌的 </w:t>
      </w:r>
      <w:r>
        <w:rPr>
          <w:rFonts w:ascii="Times New Roman" w:eastAsia="Times New Roman"/>
          <w:b/>
          <w:spacing w:val="-2"/>
          <w:sz w:val="21"/>
        </w:rPr>
        <w:t>TNM</w:t>
      </w:r>
      <w:r>
        <w:rPr>
          <w:rFonts w:ascii="Times New Roman" w:eastAsia="Times New Roman"/>
          <w:b/>
          <w:spacing w:val="-4"/>
          <w:sz w:val="21"/>
        </w:rPr>
        <w:t> </w:t>
      </w:r>
      <w:r>
        <w:rPr>
          <w:b/>
          <w:spacing w:val="-27"/>
          <w:sz w:val="21"/>
        </w:rPr>
        <w:t>分期</w:t>
      </w:r>
      <w:r>
        <w:rPr>
          <w:b/>
          <w:spacing w:val="-2"/>
          <w:sz w:val="21"/>
        </w:rPr>
        <w:t>（见</w:t>
      </w:r>
      <w:r>
        <w:rPr>
          <w:b/>
          <w:spacing w:val="-4"/>
          <w:sz w:val="21"/>
        </w:rPr>
        <w:t>释义））；</w:t>
      </w:r>
    </w:p>
    <w:p>
      <w:pPr>
        <w:pStyle w:val="ListParagraph"/>
        <w:numPr>
          <w:ilvl w:val="3"/>
          <w:numId w:val="9"/>
        </w:numPr>
        <w:tabs>
          <w:tab w:pos="1969" w:val="left" w:leader="none"/>
          <w:tab w:pos="1970" w:val="left" w:leader="none"/>
        </w:tabs>
        <w:spacing w:line="240" w:lineRule="auto" w:before="155" w:after="0"/>
        <w:ind w:left="1970" w:right="0" w:hanging="360"/>
        <w:jc w:val="left"/>
        <w:rPr>
          <w:rFonts w:ascii="Times New Roman" w:eastAsia="Times New Roman"/>
          <w:b/>
          <w:sz w:val="21"/>
        </w:rPr>
      </w:pPr>
      <w:r>
        <w:rPr>
          <w:rFonts w:ascii="Times New Roman" w:eastAsia="Times New Roman"/>
          <w:b/>
          <w:spacing w:val="-2"/>
          <w:sz w:val="21"/>
        </w:rPr>
        <w:t>TNM</w:t>
      </w:r>
      <w:r>
        <w:rPr>
          <w:rFonts w:ascii="Times New Roman" w:eastAsia="Times New Roman"/>
          <w:b/>
          <w:spacing w:val="10"/>
          <w:sz w:val="21"/>
        </w:rPr>
        <w:t> </w:t>
      </w:r>
      <w:r>
        <w:rPr>
          <w:b/>
          <w:spacing w:val="-12"/>
          <w:sz w:val="21"/>
        </w:rPr>
        <w:t>分期为 </w:t>
      </w:r>
      <w:r>
        <w:rPr>
          <w:rFonts w:ascii="Times New Roman" w:eastAsia="Times New Roman"/>
          <w:b/>
          <w:spacing w:val="-2"/>
          <w:sz w:val="21"/>
        </w:rPr>
        <w:t>T</w:t>
      </w:r>
      <w:r>
        <w:rPr>
          <w:rFonts w:ascii="Times New Roman" w:eastAsia="Times New Roman"/>
          <w:b/>
          <w:spacing w:val="-2"/>
          <w:sz w:val="21"/>
          <w:vertAlign w:val="subscript"/>
        </w:rPr>
        <w:t>1</w:t>
      </w:r>
      <w:r>
        <w:rPr>
          <w:rFonts w:ascii="Times New Roman" w:eastAsia="Times New Roman"/>
          <w:b/>
          <w:spacing w:val="-2"/>
          <w:sz w:val="21"/>
          <w:vertAlign w:val="baseline"/>
        </w:rPr>
        <w:t>N</w:t>
      </w:r>
      <w:r>
        <w:rPr>
          <w:rFonts w:ascii="Times New Roman" w:eastAsia="Times New Roman"/>
          <w:b/>
          <w:spacing w:val="-2"/>
          <w:sz w:val="21"/>
          <w:vertAlign w:val="subscript"/>
        </w:rPr>
        <w:t>0</w:t>
      </w:r>
      <w:r>
        <w:rPr>
          <w:rFonts w:ascii="Times New Roman" w:eastAsia="Times New Roman"/>
          <w:b/>
          <w:spacing w:val="-2"/>
          <w:sz w:val="21"/>
          <w:vertAlign w:val="baseline"/>
        </w:rPr>
        <w:t>M</w:t>
      </w:r>
      <w:r>
        <w:rPr>
          <w:rFonts w:ascii="Times New Roman" w:eastAsia="Times New Roman"/>
          <w:b/>
          <w:spacing w:val="-2"/>
          <w:sz w:val="21"/>
          <w:vertAlign w:val="subscript"/>
        </w:rPr>
        <w:t>0</w:t>
      </w:r>
      <w:r>
        <w:rPr>
          <w:rFonts w:ascii="Times New Roman" w:eastAsia="Times New Roman"/>
          <w:b/>
          <w:spacing w:val="-11"/>
          <w:sz w:val="21"/>
          <w:vertAlign w:val="baseline"/>
        </w:rPr>
        <w:t> </w:t>
      </w:r>
      <w:r>
        <w:rPr>
          <w:b/>
          <w:spacing w:val="-3"/>
          <w:sz w:val="21"/>
          <w:vertAlign w:val="baseline"/>
        </w:rPr>
        <w:t>期或更轻分期的前列腺癌；</w:t>
      </w:r>
    </w:p>
    <w:p>
      <w:pPr>
        <w:pStyle w:val="ListParagraph"/>
        <w:numPr>
          <w:ilvl w:val="3"/>
          <w:numId w:val="9"/>
        </w:numPr>
        <w:tabs>
          <w:tab w:pos="1969" w:val="left" w:leader="none"/>
          <w:tab w:pos="1970" w:val="left" w:leader="none"/>
        </w:tabs>
        <w:spacing w:line="240" w:lineRule="auto" w:before="199" w:after="0"/>
        <w:ind w:left="1970" w:right="0" w:hanging="360"/>
        <w:jc w:val="left"/>
        <w:rPr>
          <w:rFonts w:ascii="Times New Roman" w:eastAsia="Times New Roman"/>
          <w:b/>
          <w:sz w:val="21"/>
        </w:rPr>
      </w:pPr>
      <w:r>
        <w:rPr>
          <w:b/>
          <w:spacing w:val="-3"/>
          <w:sz w:val="21"/>
        </w:rPr>
        <w:t>黑色素瘤以外的未发生淋巴结和远处转移的皮肤恶性肿瘤；</w:t>
      </w:r>
    </w:p>
    <w:p>
      <w:pPr>
        <w:pStyle w:val="BodyText"/>
        <w:spacing w:before="8"/>
        <w:rPr>
          <w:b/>
          <w:sz w:val="15"/>
        </w:rPr>
      </w:pPr>
    </w:p>
    <w:p>
      <w:pPr>
        <w:pStyle w:val="ListParagraph"/>
        <w:numPr>
          <w:ilvl w:val="3"/>
          <w:numId w:val="9"/>
        </w:numPr>
        <w:tabs>
          <w:tab w:pos="1969" w:val="left" w:leader="none"/>
          <w:tab w:pos="1970" w:val="left" w:leader="none"/>
        </w:tabs>
        <w:spacing w:line="240" w:lineRule="auto" w:before="0" w:after="0"/>
        <w:ind w:left="1970" w:right="0" w:hanging="360"/>
        <w:jc w:val="left"/>
        <w:rPr>
          <w:rFonts w:ascii="Times New Roman" w:eastAsia="Times New Roman"/>
          <w:b/>
          <w:sz w:val="21"/>
        </w:rPr>
      </w:pPr>
      <w:r>
        <w:rPr>
          <w:b/>
          <w:spacing w:val="-14"/>
          <w:sz w:val="21"/>
        </w:rPr>
        <w:t>相当于 </w:t>
      </w:r>
      <w:r>
        <w:rPr>
          <w:rFonts w:ascii="Times New Roman" w:eastAsia="Times New Roman"/>
          <w:b/>
          <w:sz w:val="21"/>
        </w:rPr>
        <w:t>Binet</w:t>
      </w:r>
      <w:r>
        <w:rPr>
          <w:rFonts w:ascii="Times New Roman" w:eastAsia="Times New Roman"/>
          <w:b/>
          <w:spacing w:val="-10"/>
          <w:sz w:val="21"/>
        </w:rPr>
        <w:t> </w:t>
      </w:r>
      <w:r>
        <w:rPr>
          <w:b/>
          <w:spacing w:val="-11"/>
          <w:sz w:val="21"/>
        </w:rPr>
        <w:t>分期方案 </w:t>
      </w:r>
      <w:r>
        <w:rPr>
          <w:rFonts w:ascii="Times New Roman" w:eastAsia="Times New Roman"/>
          <w:b/>
          <w:sz w:val="21"/>
        </w:rPr>
        <w:t>A</w:t>
      </w:r>
      <w:r>
        <w:rPr>
          <w:rFonts w:ascii="Times New Roman" w:eastAsia="Times New Roman"/>
          <w:b/>
          <w:spacing w:val="-5"/>
          <w:sz w:val="21"/>
        </w:rPr>
        <w:t> </w:t>
      </w:r>
      <w:r>
        <w:rPr>
          <w:b/>
          <w:spacing w:val="-1"/>
          <w:sz w:val="21"/>
        </w:rPr>
        <w:t>期程度的慢性淋巴细胞白血病；</w:t>
      </w:r>
    </w:p>
    <w:p>
      <w:pPr>
        <w:pStyle w:val="BodyText"/>
        <w:spacing w:before="6"/>
        <w:rPr>
          <w:b/>
          <w:sz w:val="15"/>
        </w:rPr>
      </w:pPr>
    </w:p>
    <w:p>
      <w:pPr>
        <w:pStyle w:val="ListParagraph"/>
        <w:numPr>
          <w:ilvl w:val="3"/>
          <w:numId w:val="9"/>
        </w:numPr>
        <w:tabs>
          <w:tab w:pos="1969" w:val="left" w:leader="none"/>
          <w:tab w:pos="1970" w:val="left" w:leader="none"/>
        </w:tabs>
        <w:spacing w:line="240" w:lineRule="auto" w:before="0" w:after="0"/>
        <w:ind w:left="1970" w:right="0" w:hanging="360"/>
        <w:jc w:val="left"/>
        <w:rPr>
          <w:rFonts w:ascii="Times New Roman" w:eastAsia="Times New Roman"/>
          <w:b/>
          <w:sz w:val="21"/>
        </w:rPr>
      </w:pPr>
      <w:r>
        <w:rPr>
          <w:b/>
          <w:spacing w:val="-14"/>
          <w:sz w:val="21"/>
        </w:rPr>
        <w:t>相当于 </w:t>
      </w:r>
      <w:r>
        <w:rPr>
          <w:rFonts w:ascii="Times New Roman" w:eastAsia="Times New Roman"/>
          <w:b/>
          <w:sz w:val="21"/>
        </w:rPr>
        <w:t>Ann</w:t>
      </w:r>
      <w:r>
        <w:rPr>
          <w:rFonts w:ascii="Times New Roman" w:eastAsia="Times New Roman"/>
          <w:b/>
          <w:spacing w:val="-9"/>
          <w:sz w:val="21"/>
        </w:rPr>
        <w:t> </w:t>
      </w:r>
      <w:r>
        <w:rPr>
          <w:rFonts w:ascii="Times New Roman" w:eastAsia="Times New Roman"/>
          <w:b/>
          <w:sz w:val="21"/>
        </w:rPr>
        <w:t>Arbor</w:t>
      </w:r>
      <w:r>
        <w:rPr>
          <w:rFonts w:ascii="Times New Roman" w:eastAsia="Times New Roman"/>
          <w:b/>
          <w:spacing w:val="-5"/>
          <w:sz w:val="21"/>
        </w:rPr>
        <w:t> </w:t>
      </w:r>
      <w:r>
        <w:rPr>
          <w:b/>
          <w:spacing w:val="-11"/>
          <w:sz w:val="21"/>
        </w:rPr>
        <w:t>分期方案 </w:t>
      </w:r>
      <w:r>
        <w:rPr>
          <w:rFonts w:ascii="Times New Roman" w:eastAsia="Times New Roman"/>
          <w:b/>
          <w:sz w:val="21"/>
        </w:rPr>
        <w:t>I</w:t>
      </w:r>
      <w:r>
        <w:rPr>
          <w:rFonts w:ascii="Times New Roman" w:eastAsia="Times New Roman"/>
          <w:b/>
          <w:spacing w:val="-5"/>
          <w:sz w:val="21"/>
        </w:rPr>
        <w:t> </w:t>
      </w:r>
      <w:r>
        <w:rPr>
          <w:b/>
          <w:spacing w:val="-2"/>
          <w:sz w:val="21"/>
        </w:rPr>
        <w:t>期程度的何杰金氏病；</w:t>
      </w:r>
    </w:p>
    <w:p>
      <w:pPr>
        <w:pStyle w:val="BodyText"/>
        <w:rPr>
          <w:b/>
          <w:sz w:val="15"/>
        </w:rPr>
      </w:pPr>
    </w:p>
    <w:p>
      <w:pPr>
        <w:pStyle w:val="ListParagraph"/>
        <w:numPr>
          <w:ilvl w:val="3"/>
          <w:numId w:val="9"/>
        </w:numPr>
        <w:tabs>
          <w:tab w:pos="1969" w:val="left" w:leader="none"/>
          <w:tab w:pos="1970" w:val="left" w:leader="none"/>
        </w:tabs>
        <w:spacing w:line="240" w:lineRule="auto" w:before="0" w:after="0"/>
        <w:ind w:left="1970" w:right="0" w:hanging="360"/>
        <w:jc w:val="left"/>
        <w:rPr>
          <w:rFonts w:ascii="Times New Roman" w:eastAsia="Times New Roman"/>
          <w:b/>
          <w:sz w:val="21"/>
        </w:rPr>
      </w:pPr>
      <w:r>
        <w:rPr>
          <w:b/>
          <w:spacing w:val="-5"/>
          <w:sz w:val="21"/>
        </w:rPr>
        <w:t>未发生淋巴结和远处转移且 </w:t>
      </w:r>
      <w:r>
        <w:rPr>
          <w:rFonts w:ascii="Times New Roman" w:eastAsia="Times New Roman"/>
          <w:b/>
          <w:sz w:val="21"/>
        </w:rPr>
        <w:t>WHO</w:t>
      </w:r>
      <w:r>
        <w:rPr>
          <w:rFonts w:ascii="Times New Roman" w:eastAsia="Times New Roman"/>
          <w:b/>
          <w:spacing w:val="-14"/>
          <w:sz w:val="21"/>
        </w:rPr>
        <w:t> </w:t>
      </w:r>
      <w:r>
        <w:rPr>
          <w:b/>
          <w:spacing w:val="-13"/>
          <w:sz w:val="21"/>
        </w:rPr>
        <w:t>分级为 </w:t>
      </w:r>
      <w:r>
        <w:rPr>
          <w:rFonts w:ascii="Times New Roman" w:eastAsia="Times New Roman"/>
          <w:b/>
          <w:sz w:val="21"/>
        </w:rPr>
        <w:t>G1</w:t>
      </w:r>
      <w:r>
        <w:rPr>
          <w:rFonts w:ascii="Times New Roman" w:eastAsia="Times New Roman"/>
          <w:b/>
          <w:spacing w:val="-7"/>
          <w:sz w:val="21"/>
        </w:rPr>
        <w:t> </w:t>
      </w:r>
      <w:r>
        <w:rPr>
          <w:b/>
          <w:sz w:val="21"/>
        </w:rPr>
        <w:t>级别（核分裂像＜</w:t>
      </w:r>
      <w:r>
        <w:rPr>
          <w:rFonts w:ascii="Times New Roman" w:eastAsia="Times New Roman"/>
          <w:b/>
          <w:sz w:val="21"/>
        </w:rPr>
        <w:t>10/50</w:t>
      </w:r>
      <w:r>
        <w:rPr>
          <w:rFonts w:ascii="Times New Roman" w:eastAsia="Times New Roman"/>
          <w:b/>
          <w:spacing w:val="-4"/>
          <w:sz w:val="21"/>
        </w:rPr>
        <w:t> </w:t>
      </w:r>
      <w:r>
        <w:rPr>
          <w:rFonts w:ascii="Times New Roman" w:eastAsia="Times New Roman"/>
          <w:b/>
          <w:sz w:val="21"/>
        </w:rPr>
        <w:t>HPF</w:t>
      </w:r>
      <w:r>
        <w:rPr>
          <w:rFonts w:ascii="Times New Roman" w:eastAsia="Times New Roman"/>
          <w:b/>
          <w:spacing w:val="-5"/>
          <w:sz w:val="21"/>
        </w:rPr>
        <w:t> </w:t>
      </w:r>
      <w:r>
        <w:rPr>
          <w:b/>
          <w:spacing w:val="-10"/>
          <w:sz w:val="21"/>
        </w:rPr>
        <w:t>和</w:t>
      </w:r>
    </w:p>
    <w:p>
      <w:pPr>
        <w:spacing w:before="43"/>
        <w:ind w:left="1970" w:right="0" w:firstLine="0"/>
        <w:jc w:val="left"/>
        <w:rPr>
          <w:b/>
          <w:sz w:val="21"/>
        </w:rPr>
      </w:pPr>
      <w:r>
        <w:rPr>
          <w:rFonts w:ascii="Times New Roman" w:hAnsi="Times New Roman" w:eastAsia="Times New Roman"/>
          <w:b/>
          <w:spacing w:val="-2"/>
          <w:sz w:val="21"/>
        </w:rPr>
        <w:t>ki-67</w:t>
      </w:r>
      <w:r>
        <w:rPr>
          <w:b/>
          <w:spacing w:val="-2"/>
          <w:sz w:val="21"/>
        </w:rPr>
        <w:t>≤</w:t>
      </w:r>
      <w:r>
        <w:rPr>
          <w:rFonts w:ascii="Times New Roman" w:hAnsi="Times New Roman" w:eastAsia="Times New Roman"/>
          <w:b/>
          <w:spacing w:val="-2"/>
          <w:sz w:val="21"/>
        </w:rPr>
        <w:t>2%</w:t>
      </w:r>
      <w:r>
        <w:rPr>
          <w:b/>
          <w:spacing w:val="-2"/>
          <w:sz w:val="21"/>
        </w:rPr>
        <w:t>）</w:t>
      </w:r>
      <w:r>
        <w:rPr>
          <w:b/>
          <w:spacing w:val="-3"/>
          <w:sz w:val="21"/>
        </w:rPr>
        <w:t>或更轻分级的神经内分泌肿瘤。</w:t>
      </w:r>
    </w:p>
    <w:p>
      <w:pPr>
        <w:spacing w:after="0"/>
        <w:jc w:val="left"/>
        <w:rPr>
          <w:sz w:val="21"/>
        </w:rPr>
        <w:sectPr>
          <w:pgSz w:w="11910" w:h="16840"/>
          <w:pgMar w:top="1380" w:bottom="280" w:left="1280" w:right="420"/>
        </w:sectPr>
      </w:pPr>
    </w:p>
    <w:p>
      <w:pPr>
        <w:pStyle w:val="ListParagraph"/>
        <w:numPr>
          <w:ilvl w:val="2"/>
          <w:numId w:val="9"/>
        </w:numPr>
        <w:tabs>
          <w:tab w:pos="1818" w:val="left" w:leader="none"/>
          <w:tab w:pos="1819" w:val="left" w:leader="none"/>
        </w:tabs>
        <w:spacing w:line="240" w:lineRule="auto" w:before="64" w:after="0"/>
        <w:ind w:left="1818" w:right="0" w:hanging="802"/>
        <w:jc w:val="left"/>
        <w:rPr>
          <w:b/>
          <w:sz w:val="21"/>
        </w:rPr>
      </w:pPr>
      <w:r>
        <w:rPr>
          <w:b/>
          <w:spacing w:val="-2"/>
          <w:sz w:val="21"/>
        </w:rPr>
        <w:t>较重急性心肌梗死</w:t>
      </w:r>
    </w:p>
    <w:p>
      <w:pPr>
        <w:pStyle w:val="BodyText"/>
        <w:spacing w:line="278" w:lineRule="auto" w:before="163"/>
        <w:ind w:left="1610" w:right="1026"/>
      </w:pPr>
      <w:r>
        <w:rPr>
          <w:spacing w:val="-2"/>
        </w:rPr>
        <w:t>急性心肌梗死指由于冠状动脉闭塞或梗阻引起部分心肌严重的持久性缺血造成急性</w:t>
      </w:r>
      <w:r>
        <w:rPr>
          <w:spacing w:val="-2"/>
        </w:rPr>
        <w:t>心肌坏死。急性心肌梗死的诊断必须依据国际国内诊断标准，符合：</w:t>
      </w:r>
    </w:p>
    <w:p>
      <w:pPr>
        <w:pStyle w:val="ListParagraph"/>
        <w:numPr>
          <w:ilvl w:val="3"/>
          <w:numId w:val="9"/>
        </w:numPr>
        <w:tabs>
          <w:tab w:pos="1970" w:val="left" w:leader="none"/>
        </w:tabs>
        <w:spacing w:line="278" w:lineRule="auto" w:before="156" w:after="0"/>
        <w:ind w:left="1970" w:right="1066" w:hanging="360"/>
        <w:jc w:val="both"/>
        <w:rPr>
          <w:rFonts w:ascii="Times New Roman" w:eastAsia="Times New Roman"/>
          <w:sz w:val="21"/>
        </w:rPr>
      </w:pPr>
      <w:r>
        <w:rPr>
          <w:spacing w:val="-2"/>
          <w:sz w:val="21"/>
        </w:rPr>
        <w:t>检测到肌酸激酶同工酶（</w:t>
      </w:r>
      <w:r>
        <w:rPr>
          <w:rFonts w:ascii="Times New Roman" w:eastAsia="Times New Roman"/>
          <w:spacing w:val="-2"/>
          <w:sz w:val="21"/>
        </w:rPr>
        <w:t>CK-MB</w:t>
      </w:r>
      <w:r>
        <w:rPr>
          <w:spacing w:val="-2"/>
          <w:sz w:val="21"/>
        </w:rPr>
        <w:t>）或肌钙蛋白（</w:t>
      </w:r>
      <w:r>
        <w:rPr>
          <w:rFonts w:ascii="Times New Roman" w:eastAsia="Times New Roman"/>
          <w:spacing w:val="-2"/>
          <w:sz w:val="21"/>
        </w:rPr>
        <w:t>cTn</w:t>
      </w:r>
      <w:r>
        <w:rPr>
          <w:spacing w:val="-2"/>
          <w:sz w:val="21"/>
        </w:rPr>
        <w:t>）升高和</w:t>
      </w:r>
      <w:r>
        <w:rPr>
          <w:rFonts w:ascii="Times New Roman" w:eastAsia="Times New Roman"/>
          <w:spacing w:val="-2"/>
          <w:sz w:val="21"/>
        </w:rPr>
        <w:t>/</w:t>
      </w:r>
      <w:r>
        <w:rPr>
          <w:spacing w:val="-2"/>
          <w:sz w:val="21"/>
        </w:rPr>
        <w:t>或降低的动态变</w:t>
      </w:r>
      <w:r>
        <w:rPr>
          <w:spacing w:val="-2"/>
          <w:sz w:val="21"/>
        </w:rPr>
        <w:t>化，至少一次达到或超过心肌梗死的临床诊断标准；</w:t>
      </w:r>
    </w:p>
    <w:p>
      <w:pPr>
        <w:pStyle w:val="ListParagraph"/>
        <w:numPr>
          <w:ilvl w:val="3"/>
          <w:numId w:val="9"/>
        </w:numPr>
        <w:tabs>
          <w:tab w:pos="1970" w:val="left" w:leader="none"/>
        </w:tabs>
        <w:spacing w:line="278" w:lineRule="auto" w:before="156" w:after="0"/>
        <w:ind w:left="1970" w:right="1042" w:hanging="360"/>
        <w:jc w:val="both"/>
        <w:rPr>
          <w:rFonts w:ascii="Times New Roman" w:eastAsia="Times New Roman"/>
          <w:sz w:val="21"/>
        </w:rPr>
      </w:pPr>
      <w:r>
        <w:rPr>
          <w:spacing w:val="-2"/>
          <w:sz w:val="21"/>
        </w:rPr>
        <w:t>同时存在下列之一的证据，包括：缺血性胸痛症状、新发生的缺血性心电图改</w:t>
      </w:r>
      <w:r>
        <w:rPr>
          <w:spacing w:val="-5"/>
          <w:sz w:val="21"/>
        </w:rPr>
        <w:t>变、新生成的病理性 </w:t>
      </w:r>
      <w:r>
        <w:rPr>
          <w:rFonts w:ascii="Times New Roman" w:eastAsia="Times New Roman"/>
          <w:spacing w:val="-2"/>
          <w:sz w:val="21"/>
        </w:rPr>
        <w:t>Q</w:t>
      </w:r>
      <w:r>
        <w:rPr>
          <w:rFonts w:ascii="Times New Roman" w:eastAsia="Times New Roman"/>
          <w:spacing w:val="11"/>
          <w:sz w:val="21"/>
        </w:rPr>
        <w:t> </w:t>
      </w:r>
      <w:r>
        <w:rPr>
          <w:spacing w:val="-2"/>
          <w:sz w:val="21"/>
        </w:rPr>
        <w:t>波、影像学证据显示有新出现的心肌活性丧失或新出现</w:t>
      </w:r>
      <w:r>
        <w:rPr>
          <w:spacing w:val="-2"/>
          <w:sz w:val="21"/>
        </w:rPr>
        <w:t>局部室壁运动异常、冠脉造影证实存在冠状动脉血栓。</w:t>
      </w:r>
    </w:p>
    <w:p>
      <w:pPr>
        <w:pStyle w:val="BodyText"/>
        <w:spacing w:line="278" w:lineRule="auto" w:before="156"/>
        <w:ind w:left="1610" w:right="1026"/>
      </w:pPr>
      <w:r>
        <w:rPr>
          <w:spacing w:val="-2"/>
        </w:rPr>
        <w:t>较重急性心肌梗死指依照上述标准被明确诊断为急性心肌梗死，并且必须同时满足</w:t>
      </w:r>
      <w:r>
        <w:rPr>
          <w:spacing w:val="-2"/>
        </w:rPr>
        <w:t>下列至少一项条件：</w:t>
      </w:r>
    </w:p>
    <w:p>
      <w:pPr>
        <w:pStyle w:val="ListParagraph"/>
        <w:numPr>
          <w:ilvl w:val="0"/>
          <w:numId w:val="10"/>
        </w:numPr>
        <w:tabs>
          <w:tab w:pos="1969" w:val="left" w:leader="none"/>
          <w:tab w:pos="1970" w:val="left" w:leader="none"/>
        </w:tabs>
        <w:spacing w:line="278" w:lineRule="auto" w:before="155" w:after="0"/>
        <w:ind w:left="1970" w:right="992" w:hanging="360"/>
        <w:jc w:val="left"/>
        <w:rPr>
          <w:sz w:val="21"/>
        </w:rPr>
      </w:pPr>
      <w:r>
        <w:rPr>
          <w:spacing w:val="-2"/>
          <w:sz w:val="21"/>
        </w:rPr>
        <w:t>心肌损伤标志物肌钙蛋白（</w:t>
      </w:r>
      <w:r>
        <w:rPr>
          <w:rFonts w:ascii="Times New Roman" w:eastAsia="Times New Roman"/>
          <w:spacing w:val="-2"/>
          <w:sz w:val="21"/>
        </w:rPr>
        <w:t>cTn</w:t>
      </w:r>
      <w:r>
        <w:rPr>
          <w:spacing w:val="-2"/>
          <w:sz w:val="21"/>
        </w:rPr>
        <w:t>）升高，至少一次检测结果达到该检验正常参考</w:t>
      </w:r>
      <w:r>
        <w:rPr>
          <w:spacing w:val="-4"/>
          <w:sz w:val="21"/>
        </w:rPr>
        <w:t>值上限的 </w:t>
      </w:r>
      <w:r>
        <w:rPr>
          <w:rFonts w:ascii="Times New Roman" w:eastAsia="Times New Roman"/>
          <w:sz w:val="21"/>
        </w:rPr>
        <w:t>15 </w:t>
      </w:r>
      <w:r>
        <w:rPr>
          <w:sz w:val="21"/>
        </w:rPr>
        <w:t>倍（含）以上；</w:t>
      </w:r>
    </w:p>
    <w:p>
      <w:pPr>
        <w:pStyle w:val="ListParagraph"/>
        <w:numPr>
          <w:ilvl w:val="0"/>
          <w:numId w:val="10"/>
        </w:numPr>
        <w:tabs>
          <w:tab w:pos="1969" w:val="left" w:leader="none"/>
          <w:tab w:pos="1970" w:val="left" w:leader="none"/>
        </w:tabs>
        <w:spacing w:line="278" w:lineRule="auto" w:before="157" w:after="0"/>
        <w:ind w:left="1970" w:right="1030" w:hanging="360"/>
        <w:jc w:val="left"/>
        <w:rPr>
          <w:sz w:val="21"/>
        </w:rPr>
      </w:pPr>
      <w:r>
        <w:rPr>
          <w:spacing w:val="-2"/>
          <w:sz w:val="21"/>
        </w:rPr>
        <w:t>肌酸激酶同工酶（</w:t>
      </w:r>
      <w:r>
        <w:rPr>
          <w:rFonts w:ascii="Times New Roman" w:eastAsia="Times New Roman"/>
          <w:spacing w:val="-2"/>
          <w:sz w:val="21"/>
        </w:rPr>
        <w:t>CK-MB</w:t>
      </w:r>
      <w:r>
        <w:rPr>
          <w:spacing w:val="-2"/>
          <w:sz w:val="21"/>
        </w:rPr>
        <w:t>）升高，至少一次检测结果达到该检验正常参考值上</w:t>
      </w:r>
      <w:r>
        <w:rPr>
          <w:spacing w:val="-8"/>
          <w:sz w:val="21"/>
        </w:rPr>
        <w:t>限的 </w:t>
      </w:r>
      <w:r>
        <w:rPr>
          <w:rFonts w:ascii="Times New Roman" w:eastAsia="Times New Roman"/>
          <w:sz w:val="21"/>
        </w:rPr>
        <w:t>2 </w:t>
      </w:r>
      <w:r>
        <w:rPr>
          <w:sz w:val="21"/>
        </w:rPr>
        <w:t>倍（含）以上；</w:t>
      </w:r>
    </w:p>
    <w:p>
      <w:pPr>
        <w:pStyle w:val="ListParagraph"/>
        <w:numPr>
          <w:ilvl w:val="0"/>
          <w:numId w:val="10"/>
        </w:numPr>
        <w:tabs>
          <w:tab w:pos="1969" w:val="left" w:leader="none"/>
          <w:tab w:pos="1970" w:val="left" w:leader="none"/>
        </w:tabs>
        <w:spacing w:line="240" w:lineRule="auto" w:before="156" w:after="0"/>
        <w:ind w:left="1970" w:right="0" w:hanging="360"/>
        <w:jc w:val="left"/>
        <w:rPr>
          <w:sz w:val="21"/>
        </w:rPr>
      </w:pPr>
      <w:r>
        <w:rPr>
          <w:spacing w:val="-5"/>
          <w:sz w:val="21"/>
        </w:rPr>
        <w:t>出现左心室收缩功能下降，在确诊 </w:t>
      </w:r>
      <w:r>
        <w:rPr>
          <w:rFonts w:ascii="Times New Roman" w:eastAsia="Times New Roman"/>
          <w:spacing w:val="-2"/>
          <w:sz w:val="21"/>
        </w:rPr>
        <w:t>6</w:t>
      </w:r>
      <w:r>
        <w:rPr>
          <w:rFonts w:ascii="Times New Roman" w:eastAsia="Times New Roman"/>
          <w:spacing w:val="5"/>
          <w:sz w:val="21"/>
        </w:rPr>
        <w:t> </w:t>
      </w:r>
      <w:r>
        <w:rPr>
          <w:spacing w:val="-2"/>
          <w:sz w:val="21"/>
        </w:rPr>
        <w:t>周以后，检测左室射血分数（</w:t>
      </w:r>
      <w:r>
        <w:rPr>
          <w:rFonts w:ascii="Times New Roman" w:eastAsia="Times New Roman"/>
          <w:spacing w:val="-2"/>
          <w:sz w:val="21"/>
        </w:rPr>
        <w:t>LVEF</w:t>
      </w:r>
      <w:r>
        <w:rPr>
          <w:spacing w:val="-2"/>
          <w:sz w:val="21"/>
        </w:rPr>
        <w:t>）</w:t>
      </w:r>
      <w:r>
        <w:rPr>
          <w:spacing w:val="-6"/>
          <w:sz w:val="21"/>
        </w:rPr>
        <w:t>低于</w:t>
      </w:r>
    </w:p>
    <w:p>
      <w:pPr>
        <w:pStyle w:val="BodyText"/>
        <w:spacing w:before="43"/>
        <w:ind w:left="1970"/>
      </w:pPr>
      <w:r>
        <w:rPr>
          <w:rFonts w:ascii="Times New Roman" w:eastAsia="Times New Roman"/>
          <w:spacing w:val="-2"/>
        </w:rPr>
        <w:t>50%</w:t>
      </w:r>
      <w:r>
        <w:rPr>
          <w:spacing w:val="-2"/>
        </w:rPr>
        <w:t>（不含</w:t>
      </w:r>
      <w:r>
        <w:rPr>
          <w:spacing w:val="-5"/>
        </w:rPr>
        <w:t>）；</w:t>
      </w:r>
    </w:p>
    <w:p>
      <w:pPr>
        <w:pStyle w:val="BodyText"/>
        <w:spacing w:before="6"/>
        <w:rPr>
          <w:sz w:val="15"/>
        </w:rPr>
      </w:pPr>
    </w:p>
    <w:p>
      <w:pPr>
        <w:pStyle w:val="ListParagraph"/>
        <w:numPr>
          <w:ilvl w:val="0"/>
          <w:numId w:val="10"/>
        </w:numPr>
        <w:tabs>
          <w:tab w:pos="1969" w:val="left" w:leader="none"/>
          <w:tab w:pos="1970" w:val="left" w:leader="none"/>
        </w:tabs>
        <w:spacing w:line="278" w:lineRule="auto" w:before="0" w:after="0"/>
        <w:ind w:left="1970" w:right="1088" w:hanging="360"/>
        <w:jc w:val="left"/>
        <w:rPr>
          <w:sz w:val="21"/>
        </w:rPr>
      </w:pPr>
      <w:r>
        <w:rPr>
          <w:spacing w:val="-2"/>
          <w:sz w:val="21"/>
        </w:rPr>
        <w:t>影像学检查证实存在新发的乳头肌功能失调或断裂引起的中度（含）以上的二</w:t>
      </w:r>
      <w:r>
        <w:rPr>
          <w:spacing w:val="-2"/>
          <w:sz w:val="21"/>
        </w:rPr>
        <w:t>尖瓣反流；</w:t>
      </w:r>
    </w:p>
    <w:p>
      <w:pPr>
        <w:pStyle w:val="ListParagraph"/>
        <w:numPr>
          <w:ilvl w:val="0"/>
          <w:numId w:val="10"/>
        </w:numPr>
        <w:tabs>
          <w:tab w:pos="1969" w:val="left" w:leader="none"/>
          <w:tab w:pos="1970" w:val="left" w:leader="none"/>
        </w:tabs>
        <w:spacing w:line="240" w:lineRule="auto" w:before="156" w:after="0"/>
        <w:ind w:left="1970" w:right="0" w:hanging="360"/>
        <w:jc w:val="left"/>
        <w:rPr>
          <w:sz w:val="21"/>
        </w:rPr>
      </w:pPr>
      <w:r>
        <w:rPr>
          <w:spacing w:val="-3"/>
          <w:sz w:val="21"/>
        </w:rPr>
        <w:t>影像学检查证实存在新出现的室壁瘤；</w:t>
      </w:r>
    </w:p>
    <w:p>
      <w:pPr>
        <w:pStyle w:val="BodyText"/>
        <w:rPr>
          <w:sz w:val="15"/>
        </w:rPr>
      </w:pPr>
    </w:p>
    <w:p>
      <w:pPr>
        <w:pStyle w:val="ListParagraph"/>
        <w:numPr>
          <w:ilvl w:val="0"/>
          <w:numId w:val="10"/>
        </w:numPr>
        <w:tabs>
          <w:tab w:pos="1969" w:val="left" w:leader="none"/>
          <w:tab w:pos="1970" w:val="left" w:leader="none"/>
        </w:tabs>
        <w:spacing w:line="240" w:lineRule="auto" w:before="0" w:after="0"/>
        <w:ind w:left="1970" w:right="0" w:hanging="360"/>
        <w:jc w:val="left"/>
        <w:rPr>
          <w:sz w:val="21"/>
        </w:rPr>
      </w:pPr>
      <w:r>
        <w:rPr>
          <w:spacing w:val="-3"/>
          <w:sz w:val="21"/>
        </w:rPr>
        <w:t>出现室性心动过速、心室颤动或心源性休克。</w:t>
      </w:r>
    </w:p>
    <w:p>
      <w:pPr>
        <w:pStyle w:val="BodyText"/>
        <w:rPr>
          <w:sz w:val="15"/>
        </w:rPr>
      </w:pPr>
    </w:p>
    <w:p>
      <w:pPr>
        <w:spacing w:before="0"/>
        <w:ind w:left="1610" w:right="0" w:firstLine="0"/>
        <w:jc w:val="left"/>
        <w:rPr>
          <w:b/>
          <w:sz w:val="21"/>
        </w:rPr>
      </w:pPr>
      <w:r>
        <w:rPr>
          <w:b/>
          <w:spacing w:val="-2"/>
          <w:sz w:val="21"/>
        </w:rPr>
        <w:t>其他非冠状动脉阻塞性疾病所引起的肌钙蛋白（</w:t>
      </w:r>
      <w:r>
        <w:rPr>
          <w:rFonts w:ascii="Times New Roman" w:eastAsia="Times New Roman"/>
          <w:b/>
          <w:spacing w:val="-2"/>
          <w:sz w:val="21"/>
        </w:rPr>
        <w:t>cTn</w:t>
      </w:r>
      <w:r>
        <w:rPr>
          <w:b/>
          <w:spacing w:val="-2"/>
          <w:sz w:val="21"/>
        </w:rPr>
        <w:t>）</w:t>
      </w:r>
      <w:r>
        <w:rPr>
          <w:b/>
          <w:spacing w:val="-3"/>
          <w:sz w:val="21"/>
        </w:rPr>
        <w:t>升高不在保障范围内。</w:t>
      </w:r>
    </w:p>
    <w:p>
      <w:pPr>
        <w:pStyle w:val="BodyText"/>
        <w:spacing w:before="6"/>
        <w:rPr>
          <w:b/>
          <w:sz w:val="15"/>
        </w:rPr>
      </w:pPr>
    </w:p>
    <w:p>
      <w:pPr>
        <w:pStyle w:val="ListParagraph"/>
        <w:numPr>
          <w:ilvl w:val="2"/>
          <w:numId w:val="9"/>
        </w:numPr>
        <w:tabs>
          <w:tab w:pos="1818" w:val="left" w:leader="none"/>
          <w:tab w:pos="1819" w:val="left" w:leader="none"/>
        </w:tabs>
        <w:spacing w:line="240" w:lineRule="auto" w:before="1" w:after="0"/>
        <w:ind w:left="1818" w:right="0" w:hanging="802"/>
        <w:jc w:val="left"/>
        <w:rPr>
          <w:b/>
          <w:sz w:val="21"/>
        </w:rPr>
      </w:pPr>
      <w:r>
        <w:rPr>
          <w:b/>
          <w:spacing w:val="-2"/>
          <w:sz w:val="21"/>
        </w:rPr>
        <w:t>严重脑中风后遗症</w:t>
      </w:r>
    </w:p>
    <w:p>
      <w:pPr>
        <w:pStyle w:val="BodyText"/>
        <w:spacing w:line="278" w:lineRule="auto" w:before="163"/>
        <w:ind w:left="1610" w:right="972"/>
      </w:pPr>
      <w:r>
        <w:rPr>
          <w:spacing w:val="-2"/>
        </w:rPr>
        <w:t>指因脑血管的突发病变引起脑血管出血、栓塞或梗塞，须由头颅断层扫描（</w:t>
      </w:r>
      <w:r>
        <w:rPr>
          <w:rFonts w:ascii="Times New Roman" w:eastAsia="Times New Roman"/>
          <w:spacing w:val="-2"/>
        </w:rPr>
        <w:t>CT</w:t>
      </w:r>
      <w:r>
        <w:rPr>
          <w:spacing w:val="-2"/>
        </w:rPr>
        <w:t>）、</w:t>
      </w:r>
      <w:r>
        <w:rPr>
          <w:spacing w:val="-2"/>
        </w:rPr>
        <w:t>核磁共振检查（</w:t>
      </w:r>
      <w:r>
        <w:rPr>
          <w:rFonts w:ascii="Times New Roman" w:eastAsia="Times New Roman"/>
          <w:spacing w:val="-2"/>
        </w:rPr>
        <w:t>MRI</w:t>
      </w:r>
      <w:r>
        <w:rPr>
          <w:spacing w:val="-2"/>
        </w:rPr>
        <w:t>）等影像学检查证实，并导致神经系统永久性的功能障碍。神</w:t>
      </w:r>
      <w:r>
        <w:rPr>
          <w:spacing w:val="-2"/>
        </w:rPr>
        <w:t>经系统永久性的功能障碍，指疾病确诊 </w:t>
      </w:r>
      <w:r>
        <w:rPr>
          <w:rFonts w:ascii="Times New Roman" w:eastAsia="Times New Roman"/>
        </w:rPr>
        <w:t>180 </w:t>
      </w:r>
      <w:r>
        <w:rPr/>
        <w:t>天后，仍遗留下列至少一种障碍：</w:t>
      </w:r>
    </w:p>
    <w:p>
      <w:pPr>
        <w:pStyle w:val="ListParagraph"/>
        <w:numPr>
          <w:ilvl w:val="3"/>
          <w:numId w:val="9"/>
        </w:numPr>
        <w:tabs>
          <w:tab w:pos="1969" w:val="left" w:leader="none"/>
          <w:tab w:pos="1970" w:val="left" w:leader="none"/>
        </w:tabs>
        <w:spacing w:line="240" w:lineRule="auto" w:before="155" w:after="0"/>
        <w:ind w:left="1970" w:right="0" w:hanging="360"/>
        <w:jc w:val="left"/>
        <w:rPr>
          <w:rFonts w:ascii="Times New Roman" w:eastAsia="Times New Roman"/>
          <w:sz w:val="21"/>
        </w:rPr>
      </w:pPr>
      <w:r>
        <w:rPr>
          <w:spacing w:val="-2"/>
          <w:sz w:val="21"/>
        </w:rPr>
        <w:t>一肢（含）以上</w:t>
      </w:r>
      <w:r>
        <w:rPr>
          <w:b/>
          <w:spacing w:val="-2"/>
          <w:sz w:val="21"/>
        </w:rPr>
        <w:t>肢体（见释义）肌力（见释义）</w:t>
      </w:r>
      <w:r>
        <w:rPr>
          <w:rFonts w:ascii="Times New Roman" w:eastAsia="Times New Roman"/>
          <w:spacing w:val="-2"/>
          <w:sz w:val="21"/>
        </w:rPr>
        <w:t>2</w:t>
      </w:r>
      <w:r>
        <w:rPr>
          <w:rFonts w:ascii="Times New Roman" w:eastAsia="Times New Roman"/>
          <w:spacing w:val="33"/>
          <w:sz w:val="21"/>
        </w:rPr>
        <w:t> </w:t>
      </w:r>
      <w:r>
        <w:rPr>
          <w:spacing w:val="-2"/>
          <w:sz w:val="21"/>
        </w:rPr>
        <w:t>级（含）</w:t>
      </w:r>
      <w:r>
        <w:rPr>
          <w:spacing w:val="-5"/>
          <w:sz w:val="21"/>
        </w:rPr>
        <w:t>以下；</w:t>
      </w:r>
    </w:p>
    <w:p>
      <w:pPr>
        <w:pStyle w:val="BodyText"/>
        <w:rPr>
          <w:sz w:val="15"/>
        </w:rPr>
      </w:pPr>
    </w:p>
    <w:p>
      <w:pPr>
        <w:pStyle w:val="ListParagraph"/>
        <w:numPr>
          <w:ilvl w:val="3"/>
          <w:numId w:val="9"/>
        </w:numPr>
        <w:tabs>
          <w:tab w:pos="1969" w:val="left" w:leader="none"/>
          <w:tab w:pos="1970" w:val="left" w:leader="none"/>
        </w:tabs>
        <w:spacing w:line="240" w:lineRule="auto" w:before="0" w:after="0"/>
        <w:ind w:left="1970" w:right="0" w:hanging="360"/>
        <w:jc w:val="left"/>
        <w:rPr>
          <w:rFonts w:ascii="Times New Roman" w:eastAsia="Times New Roman"/>
          <w:sz w:val="21"/>
        </w:rPr>
      </w:pPr>
      <w:r>
        <w:rPr>
          <w:b/>
          <w:spacing w:val="-2"/>
          <w:sz w:val="21"/>
        </w:rPr>
        <w:t>语言能力完全丧失，或严重咀嚼吞咽功能障碍（见释义</w:t>
      </w:r>
      <w:r>
        <w:rPr>
          <w:b/>
          <w:spacing w:val="-5"/>
          <w:sz w:val="21"/>
        </w:rPr>
        <w:t>）</w:t>
      </w:r>
      <w:r>
        <w:rPr>
          <w:spacing w:val="-5"/>
          <w:sz w:val="21"/>
        </w:rPr>
        <w:t>；</w:t>
      </w:r>
    </w:p>
    <w:p>
      <w:pPr>
        <w:pStyle w:val="BodyText"/>
        <w:rPr>
          <w:sz w:val="15"/>
        </w:rPr>
      </w:pPr>
    </w:p>
    <w:p>
      <w:pPr>
        <w:pStyle w:val="ListParagraph"/>
        <w:numPr>
          <w:ilvl w:val="3"/>
          <w:numId w:val="9"/>
        </w:numPr>
        <w:tabs>
          <w:tab w:pos="1969" w:val="left" w:leader="none"/>
          <w:tab w:pos="1970" w:val="left" w:leader="none"/>
        </w:tabs>
        <w:spacing w:line="278" w:lineRule="auto" w:before="0" w:after="0"/>
        <w:ind w:left="1970" w:right="1080" w:hanging="360"/>
        <w:jc w:val="left"/>
        <w:rPr>
          <w:rFonts w:ascii="Times New Roman" w:eastAsia="Times New Roman"/>
          <w:sz w:val="21"/>
        </w:rPr>
      </w:pPr>
      <w:r>
        <w:rPr>
          <w:spacing w:val="-2"/>
          <w:sz w:val="21"/>
        </w:rPr>
        <w:t>自主生活能力完全丧失，无法独立完成</w:t>
      </w:r>
      <w:r>
        <w:rPr>
          <w:b/>
          <w:spacing w:val="-2"/>
          <w:sz w:val="21"/>
        </w:rPr>
        <w:t>六项基本日常生活活动（见释义）</w:t>
      </w:r>
      <w:r>
        <w:rPr>
          <w:spacing w:val="-2"/>
          <w:sz w:val="21"/>
        </w:rPr>
        <w:t>中的</w:t>
      </w:r>
      <w:r>
        <w:rPr>
          <w:spacing w:val="-2"/>
          <w:sz w:val="21"/>
        </w:rPr>
        <w:t>三项或三项以上。</w:t>
      </w:r>
    </w:p>
    <w:p>
      <w:pPr>
        <w:pStyle w:val="ListParagraph"/>
        <w:numPr>
          <w:ilvl w:val="2"/>
          <w:numId w:val="9"/>
        </w:numPr>
        <w:tabs>
          <w:tab w:pos="1818" w:val="left" w:leader="none"/>
          <w:tab w:pos="1819" w:val="left" w:leader="none"/>
        </w:tabs>
        <w:spacing w:line="240" w:lineRule="auto" w:before="156" w:after="0"/>
        <w:ind w:left="1818" w:right="0" w:hanging="802"/>
        <w:jc w:val="left"/>
        <w:rPr>
          <w:b/>
          <w:sz w:val="21"/>
        </w:rPr>
      </w:pPr>
      <w:r>
        <w:rPr>
          <w:b/>
          <w:spacing w:val="-3"/>
          <w:sz w:val="21"/>
        </w:rPr>
        <w:t>重大器官移植术或造血干细胞移植术</w:t>
      </w:r>
    </w:p>
    <w:p>
      <w:pPr>
        <w:pStyle w:val="BodyText"/>
        <w:spacing w:line="278" w:lineRule="auto" w:before="163"/>
        <w:ind w:left="1610" w:right="1026"/>
      </w:pPr>
      <w:r>
        <w:rPr>
          <w:spacing w:val="-2"/>
        </w:rPr>
        <w:t>重大器官移植术，指因相应器官功能衰竭，已经实施了肾脏、肝脏、心脏、肺脏或</w:t>
      </w:r>
      <w:r>
        <w:rPr>
          <w:spacing w:val="-2"/>
        </w:rPr>
        <w:t>小肠的异体移植手术。</w:t>
      </w:r>
    </w:p>
    <w:p>
      <w:pPr>
        <w:pStyle w:val="BodyText"/>
        <w:spacing w:line="278" w:lineRule="auto" w:before="156"/>
        <w:ind w:left="1610" w:right="1026"/>
      </w:pPr>
      <w:r>
        <w:rPr>
          <w:spacing w:val="-2"/>
        </w:rPr>
        <w:t>造血干细胞移植术，指因造血功能损害或造血系统恶性肿瘤，已经实施了造血干细</w:t>
      </w:r>
      <w:r>
        <w:rPr>
          <w:spacing w:val="-2"/>
        </w:rPr>
        <w:t>胞（包括骨髓造血干细胞、外周血造血干细胞和脐血造血干细胞）的移植手术。</w:t>
      </w:r>
    </w:p>
    <w:p>
      <w:pPr>
        <w:spacing w:after="0" w:line="278" w:lineRule="auto"/>
        <w:sectPr>
          <w:pgSz w:w="11910" w:h="16840"/>
          <w:pgMar w:top="1380" w:bottom="280" w:left="1280" w:right="420"/>
        </w:sectPr>
      </w:pPr>
    </w:p>
    <w:p>
      <w:pPr>
        <w:pStyle w:val="ListParagraph"/>
        <w:numPr>
          <w:ilvl w:val="2"/>
          <w:numId w:val="9"/>
        </w:numPr>
        <w:tabs>
          <w:tab w:pos="1818" w:val="left" w:leader="none"/>
          <w:tab w:pos="1819" w:val="left" w:leader="none"/>
        </w:tabs>
        <w:spacing w:line="240" w:lineRule="auto" w:before="64" w:after="0"/>
        <w:ind w:left="1818" w:right="0" w:hanging="802"/>
        <w:jc w:val="left"/>
        <w:rPr>
          <w:b/>
          <w:sz w:val="21"/>
        </w:rPr>
      </w:pPr>
      <w:r>
        <w:rPr>
          <w:b/>
          <w:spacing w:val="-2"/>
          <w:sz w:val="21"/>
        </w:rPr>
        <w:t>冠状动脉搭桥术（或称冠状动脉旁路移植术</w:t>
      </w:r>
      <w:r>
        <w:rPr>
          <w:b/>
          <w:spacing w:val="-10"/>
          <w:sz w:val="21"/>
        </w:rPr>
        <w:t>）</w:t>
      </w:r>
    </w:p>
    <w:p>
      <w:pPr>
        <w:spacing w:line="417" w:lineRule="auto" w:before="163"/>
        <w:ind w:left="1610" w:right="886" w:firstLine="0"/>
        <w:jc w:val="left"/>
        <w:rPr>
          <w:b/>
          <w:sz w:val="21"/>
        </w:rPr>
      </w:pPr>
      <w:r>
        <w:rPr>
          <w:spacing w:val="-8"/>
          <w:sz w:val="21"/>
        </w:rPr>
        <w:t>指为治疗严重的冠心病，已经实施了切开心包进行的冠状动脉血管旁路移植的手术。</w:t>
      </w:r>
      <w:r>
        <w:rPr>
          <w:b/>
          <w:spacing w:val="-2"/>
          <w:sz w:val="21"/>
        </w:rPr>
        <w:t>所有未切开心包的冠状动脉介入治疗不在保障范围内。</w:t>
      </w:r>
    </w:p>
    <w:p>
      <w:pPr>
        <w:pStyle w:val="ListParagraph"/>
        <w:numPr>
          <w:ilvl w:val="2"/>
          <w:numId w:val="9"/>
        </w:numPr>
        <w:tabs>
          <w:tab w:pos="1818" w:val="left" w:leader="none"/>
          <w:tab w:pos="1819" w:val="left" w:leader="none"/>
        </w:tabs>
        <w:spacing w:line="269" w:lineRule="exact" w:before="0" w:after="0"/>
        <w:ind w:left="1818" w:right="0" w:hanging="802"/>
        <w:jc w:val="left"/>
        <w:rPr>
          <w:b/>
          <w:sz w:val="21"/>
        </w:rPr>
      </w:pPr>
      <w:r>
        <w:rPr>
          <w:b/>
          <w:spacing w:val="-2"/>
          <w:sz w:val="21"/>
        </w:rPr>
        <w:t>严重慢性肾衰竭</w:t>
      </w:r>
    </w:p>
    <w:p>
      <w:pPr>
        <w:pStyle w:val="BodyText"/>
        <w:spacing w:line="278" w:lineRule="auto" w:before="163"/>
        <w:ind w:left="1610" w:right="924"/>
        <w:jc w:val="both"/>
      </w:pPr>
      <w:r>
        <w:rPr>
          <w:spacing w:val="-2"/>
        </w:rPr>
        <w:t>指双肾功能慢性不可逆性衰竭，依据肾脏病预后质量倡议（</w:t>
      </w:r>
      <w:r>
        <w:rPr>
          <w:rFonts w:ascii="Times New Roman" w:eastAsia="Times New Roman"/>
          <w:spacing w:val="-2"/>
        </w:rPr>
        <w:t>K/DOQI</w:t>
      </w:r>
      <w:r>
        <w:rPr>
          <w:spacing w:val="-2"/>
        </w:rPr>
        <w:t>）制定的指南，</w:t>
      </w:r>
      <w:r>
        <w:rPr>
          <w:spacing w:val="-5"/>
        </w:rPr>
        <w:t>分期达到慢性肾脏病 </w:t>
      </w:r>
      <w:r>
        <w:rPr>
          <w:rFonts w:ascii="Times New Roman" w:eastAsia="Times New Roman"/>
          <w:spacing w:val="-2"/>
        </w:rPr>
        <w:t>5</w:t>
      </w:r>
      <w:r>
        <w:rPr>
          <w:rFonts w:ascii="Times New Roman" w:eastAsia="Times New Roman"/>
          <w:spacing w:val="-11"/>
        </w:rPr>
        <w:t> </w:t>
      </w:r>
      <w:r>
        <w:rPr>
          <w:spacing w:val="-4"/>
        </w:rPr>
        <w:t>期，且经诊断后已经进行了至少 </w:t>
      </w:r>
      <w:r>
        <w:rPr>
          <w:rFonts w:ascii="Times New Roman" w:eastAsia="Times New Roman"/>
          <w:spacing w:val="-2"/>
        </w:rPr>
        <w:t>90</w:t>
      </w:r>
      <w:r>
        <w:rPr>
          <w:rFonts w:ascii="Times New Roman" w:eastAsia="Times New Roman"/>
          <w:spacing w:val="-1"/>
        </w:rPr>
        <w:t> </w:t>
      </w:r>
      <w:r>
        <w:rPr>
          <w:spacing w:val="-2"/>
        </w:rPr>
        <w:t>天的规律性透析治疗。规</w:t>
      </w:r>
      <w:r>
        <w:rPr>
          <w:spacing w:val="-2"/>
        </w:rPr>
        <w:t>律性透析是指每周进行血液透析或每天进行腹膜透析。</w:t>
      </w:r>
    </w:p>
    <w:p>
      <w:pPr>
        <w:pStyle w:val="ListParagraph"/>
        <w:numPr>
          <w:ilvl w:val="2"/>
          <w:numId w:val="9"/>
        </w:numPr>
        <w:tabs>
          <w:tab w:pos="1818" w:val="left" w:leader="none"/>
          <w:tab w:pos="1819" w:val="left" w:leader="none"/>
        </w:tabs>
        <w:spacing w:line="240" w:lineRule="auto" w:before="156" w:after="0"/>
        <w:ind w:left="1818" w:right="0" w:hanging="802"/>
        <w:jc w:val="left"/>
        <w:rPr>
          <w:b/>
          <w:sz w:val="21"/>
        </w:rPr>
      </w:pPr>
      <w:r>
        <w:rPr>
          <w:b/>
          <w:spacing w:val="-2"/>
          <w:sz w:val="21"/>
        </w:rPr>
        <w:t>多个肢体缺失</w:t>
      </w:r>
    </w:p>
    <w:p>
      <w:pPr>
        <w:pStyle w:val="BodyText"/>
        <w:spacing w:line="278" w:lineRule="auto" w:before="163"/>
        <w:ind w:left="1610" w:right="884"/>
      </w:pPr>
      <w:r>
        <w:rPr>
          <w:spacing w:val="-5"/>
        </w:rPr>
        <w:t>指因疾病或意外伤害导致两个或两个以上肢体自腕关节或踝关节近端</w:t>
      </w:r>
      <w:r>
        <w:rPr>
          <w:spacing w:val="-2"/>
        </w:rPr>
        <w:t>（靠近躯干端）</w:t>
      </w:r>
      <w:r>
        <w:rPr>
          <w:spacing w:val="-2"/>
        </w:rPr>
        <w:t>以上完全性断离。</w:t>
      </w:r>
    </w:p>
    <w:p>
      <w:pPr>
        <w:pStyle w:val="ListParagraph"/>
        <w:numPr>
          <w:ilvl w:val="2"/>
          <w:numId w:val="9"/>
        </w:numPr>
        <w:tabs>
          <w:tab w:pos="1818" w:val="left" w:leader="none"/>
          <w:tab w:pos="1819" w:val="left" w:leader="none"/>
        </w:tabs>
        <w:spacing w:line="240" w:lineRule="auto" w:before="156" w:after="0"/>
        <w:ind w:left="1818" w:right="0" w:hanging="802"/>
        <w:jc w:val="left"/>
        <w:rPr>
          <w:b/>
          <w:sz w:val="21"/>
        </w:rPr>
      </w:pPr>
      <w:r>
        <w:rPr>
          <w:b/>
          <w:spacing w:val="-3"/>
          <w:sz w:val="21"/>
        </w:rPr>
        <w:t>急性重症肝炎或亚急性重症肝炎</w:t>
      </w:r>
    </w:p>
    <w:p>
      <w:pPr>
        <w:pStyle w:val="BodyText"/>
        <w:spacing w:line="278" w:lineRule="auto" w:before="163"/>
        <w:ind w:left="1610" w:right="1026"/>
      </w:pPr>
      <w:r>
        <w:rPr>
          <w:spacing w:val="-2"/>
        </w:rPr>
        <w:t>指因肝炎病毒感染引起肝脏组织弥漫性坏死，导致急性肝功能衰竭，且经血清学或</w:t>
      </w:r>
      <w:r>
        <w:rPr>
          <w:spacing w:val="-2"/>
        </w:rPr>
        <w:t>病毒学检查证实，并须满足下列全部条件：</w:t>
      </w:r>
    </w:p>
    <w:p>
      <w:pPr>
        <w:pStyle w:val="ListParagraph"/>
        <w:numPr>
          <w:ilvl w:val="3"/>
          <w:numId w:val="9"/>
        </w:numPr>
        <w:tabs>
          <w:tab w:pos="1969" w:val="left" w:leader="none"/>
          <w:tab w:pos="1970" w:val="left" w:leader="none"/>
        </w:tabs>
        <w:spacing w:line="240" w:lineRule="auto" w:before="156" w:after="0"/>
        <w:ind w:left="1970" w:right="0" w:hanging="360"/>
        <w:jc w:val="left"/>
        <w:rPr>
          <w:rFonts w:ascii="Times New Roman" w:eastAsia="Times New Roman"/>
          <w:sz w:val="21"/>
        </w:rPr>
      </w:pPr>
      <w:r>
        <w:rPr>
          <w:spacing w:val="-3"/>
          <w:sz w:val="21"/>
        </w:rPr>
        <w:t>重度黄疸或黄疸迅速加重；</w:t>
      </w:r>
    </w:p>
    <w:p>
      <w:pPr>
        <w:pStyle w:val="BodyText"/>
        <w:rPr>
          <w:sz w:val="15"/>
        </w:rPr>
      </w:pPr>
    </w:p>
    <w:p>
      <w:pPr>
        <w:pStyle w:val="ListParagraph"/>
        <w:numPr>
          <w:ilvl w:val="3"/>
          <w:numId w:val="9"/>
        </w:numPr>
        <w:tabs>
          <w:tab w:pos="1969" w:val="left" w:leader="none"/>
          <w:tab w:pos="1970" w:val="left" w:leader="none"/>
        </w:tabs>
        <w:spacing w:line="240" w:lineRule="auto" w:before="0" w:after="0"/>
        <w:ind w:left="1970" w:right="0" w:hanging="360"/>
        <w:jc w:val="left"/>
        <w:rPr>
          <w:rFonts w:ascii="Times New Roman" w:eastAsia="Times New Roman"/>
          <w:sz w:val="21"/>
        </w:rPr>
      </w:pPr>
      <w:r>
        <w:rPr>
          <w:spacing w:val="-4"/>
          <w:sz w:val="21"/>
        </w:rPr>
        <w:t>肝性脑病；</w:t>
      </w:r>
    </w:p>
    <w:p>
      <w:pPr>
        <w:pStyle w:val="BodyText"/>
        <w:spacing w:before="6"/>
        <w:rPr>
          <w:sz w:val="15"/>
        </w:rPr>
      </w:pPr>
    </w:p>
    <w:p>
      <w:pPr>
        <w:pStyle w:val="ListParagraph"/>
        <w:numPr>
          <w:ilvl w:val="3"/>
          <w:numId w:val="9"/>
        </w:numPr>
        <w:tabs>
          <w:tab w:pos="1969" w:val="left" w:leader="none"/>
          <w:tab w:pos="1970" w:val="left" w:leader="none"/>
        </w:tabs>
        <w:spacing w:line="240" w:lineRule="auto" w:before="1" w:after="0"/>
        <w:ind w:left="1970" w:right="0" w:hanging="360"/>
        <w:jc w:val="left"/>
        <w:rPr>
          <w:rFonts w:ascii="Times New Roman" w:eastAsia="Times New Roman"/>
          <w:sz w:val="21"/>
        </w:rPr>
      </w:pPr>
      <w:r>
        <w:rPr>
          <w:rFonts w:ascii="Times New Roman" w:eastAsia="Times New Roman"/>
          <w:spacing w:val="-2"/>
          <w:sz w:val="21"/>
        </w:rPr>
        <w:t>B</w:t>
      </w:r>
      <w:r>
        <w:rPr>
          <w:rFonts w:ascii="Times New Roman" w:eastAsia="Times New Roman"/>
          <w:spacing w:val="10"/>
          <w:sz w:val="21"/>
        </w:rPr>
        <w:t> </w:t>
      </w:r>
      <w:r>
        <w:rPr>
          <w:spacing w:val="-3"/>
          <w:sz w:val="21"/>
        </w:rPr>
        <w:t>超或其他影像学检查显示肝脏体积急速萎缩；</w:t>
      </w:r>
    </w:p>
    <w:p>
      <w:pPr>
        <w:pStyle w:val="BodyText"/>
        <w:spacing w:before="6"/>
        <w:rPr>
          <w:sz w:val="15"/>
        </w:rPr>
      </w:pPr>
    </w:p>
    <w:p>
      <w:pPr>
        <w:pStyle w:val="ListParagraph"/>
        <w:numPr>
          <w:ilvl w:val="3"/>
          <w:numId w:val="9"/>
        </w:numPr>
        <w:tabs>
          <w:tab w:pos="1969" w:val="left" w:leader="none"/>
          <w:tab w:pos="1970" w:val="left" w:leader="none"/>
        </w:tabs>
        <w:spacing w:line="240" w:lineRule="auto" w:before="0" w:after="0"/>
        <w:ind w:left="1970" w:right="0" w:hanging="360"/>
        <w:jc w:val="left"/>
        <w:rPr>
          <w:rFonts w:ascii="Times New Roman" w:eastAsia="Times New Roman"/>
          <w:sz w:val="21"/>
        </w:rPr>
      </w:pPr>
      <w:r>
        <w:rPr>
          <w:spacing w:val="-3"/>
          <w:sz w:val="21"/>
        </w:rPr>
        <w:t>肝功能指标进行性恶化。</w:t>
      </w:r>
    </w:p>
    <w:p>
      <w:pPr>
        <w:pStyle w:val="BodyText"/>
        <w:rPr>
          <w:sz w:val="15"/>
        </w:rPr>
      </w:pPr>
    </w:p>
    <w:p>
      <w:pPr>
        <w:pStyle w:val="ListParagraph"/>
        <w:numPr>
          <w:ilvl w:val="2"/>
          <w:numId w:val="9"/>
        </w:numPr>
        <w:tabs>
          <w:tab w:pos="1818" w:val="left" w:leader="none"/>
          <w:tab w:pos="1819" w:val="left" w:leader="none"/>
        </w:tabs>
        <w:spacing w:line="240" w:lineRule="auto" w:before="0" w:after="0"/>
        <w:ind w:left="1818" w:right="0" w:hanging="802"/>
        <w:jc w:val="left"/>
        <w:rPr>
          <w:b/>
          <w:sz w:val="21"/>
        </w:rPr>
      </w:pPr>
      <w:r>
        <w:rPr>
          <w:b/>
          <w:spacing w:val="-2"/>
          <w:sz w:val="21"/>
        </w:rPr>
        <w:t>严重非恶性颅内肿瘤</w:t>
      </w:r>
    </w:p>
    <w:p>
      <w:pPr>
        <w:pStyle w:val="BodyText"/>
        <w:spacing w:line="278" w:lineRule="auto" w:before="163"/>
        <w:ind w:left="1610" w:right="924"/>
      </w:pPr>
      <w:r>
        <w:rPr>
          <w:spacing w:val="-2"/>
        </w:rPr>
        <w:t>指起源于脑、脑神经、脑被膜的非恶性肿瘤，</w:t>
      </w:r>
      <w:r>
        <w:rPr>
          <w:rFonts w:ascii="Times New Roman" w:eastAsia="Times New Roman"/>
          <w:spacing w:val="-2"/>
        </w:rPr>
        <w:t>ICD-O-3 </w:t>
      </w:r>
      <w:r>
        <w:rPr>
          <w:spacing w:val="-6"/>
        </w:rPr>
        <w:t>肿瘤形态学编码属于 </w:t>
      </w:r>
      <w:r>
        <w:rPr>
          <w:rFonts w:ascii="Times New Roman" w:eastAsia="Times New Roman"/>
          <w:spacing w:val="-2"/>
        </w:rPr>
        <w:t>0</w:t>
      </w:r>
      <w:r>
        <w:rPr>
          <w:spacing w:val="-2"/>
        </w:rPr>
        <w:t>（良性</w:t>
      </w:r>
      <w:r>
        <w:rPr>
          <w:spacing w:val="-2"/>
        </w:rPr>
        <w:t>肿瘤）、</w:t>
      </w:r>
      <w:r>
        <w:rPr>
          <w:rFonts w:ascii="Times New Roman" w:eastAsia="Times New Roman"/>
          <w:spacing w:val="-2"/>
        </w:rPr>
        <w:t>1</w:t>
      </w:r>
      <w:r>
        <w:rPr>
          <w:spacing w:val="-2"/>
        </w:rPr>
        <w:t>（动态未定性肿瘤）范畴，并已经引起颅内压升高或神经系统功能损害，</w:t>
      </w:r>
      <w:r>
        <w:rPr>
          <w:spacing w:val="-2"/>
        </w:rPr>
        <w:t>出现视乳头水肿或视觉受损、听觉受损、面部或肢体瘫痪、癫痫等，须由头颅断层</w:t>
      </w:r>
      <w:r>
        <w:rPr>
          <w:spacing w:val="-2"/>
        </w:rPr>
        <w:t>扫描（</w:t>
      </w:r>
      <w:r>
        <w:rPr>
          <w:rFonts w:ascii="Times New Roman" w:eastAsia="Times New Roman"/>
          <w:spacing w:val="-2"/>
        </w:rPr>
        <w:t>CT</w:t>
      </w:r>
      <w:r>
        <w:rPr>
          <w:spacing w:val="-2"/>
        </w:rPr>
        <w:t>）、核磁共振检查（</w:t>
      </w:r>
      <w:r>
        <w:rPr>
          <w:rFonts w:ascii="Times New Roman" w:eastAsia="Times New Roman"/>
          <w:spacing w:val="-2"/>
        </w:rPr>
        <w:t>MRI</w:t>
      </w:r>
      <w:r>
        <w:rPr>
          <w:spacing w:val="-2"/>
        </w:rPr>
        <w:t>）或正电子发射断层扫描（</w:t>
      </w:r>
      <w:r>
        <w:rPr>
          <w:rFonts w:ascii="Times New Roman" w:eastAsia="Times New Roman"/>
          <w:spacing w:val="-2"/>
        </w:rPr>
        <w:t>PET</w:t>
      </w:r>
      <w:r>
        <w:rPr>
          <w:spacing w:val="-2"/>
        </w:rPr>
        <w:t>）等影像学检查</w:t>
      </w:r>
      <w:r>
        <w:rPr>
          <w:spacing w:val="-2"/>
        </w:rPr>
        <w:t>证实，且须满足下列至少一项条件：</w:t>
      </w:r>
    </w:p>
    <w:p>
      <w:pPr>
        <w:pStyle w:val="ListParagraph"/>
        <w:numPr>
          <w:ilvl w:val="3"/>
          <w:numId w:val="9"/>
        </w:numPr>
        <w:tabs>
          <w:tab w:pos="1969" w:val="left" w:leader="none"/>
          <w:tab w:pos="1970" w:val="left" w:leader="none"/>
        </w:tabs>
        <w:spacing w:line="240" w:lineRule="auto" w:before="156" w:after="0"/>
        <w:ind w:left="1970" w:right="0" w:hanging="360"/>
        <w:jc w:val="left"/>
        <w:rPr>
          <w:rFonts w:ascii="Times New Roman" w:eastAsia="Times New Roman"/>
          <w:sz w:val="21"/>
        </w:rPr>
      </w:pPr>
      <w:r>
        <w:rPr>
          <w:spacing w:val="-3"/>
          <w:sz w:val="21"/>
        </w:rPr>
        <w:t>已经实施了开颅进行的颅内肿瘤完全或部分切除手术；</w:t>
      </w:r>
    </w:p>
    <w:p>
      <w:pPr>
        <w:pStyle w:val="BodyText"/>
        <w:spacing w:before="6"/>
        <w:rPr>
          <w:sz w:val="15"/>
        </w:rPr>
      </w:pPr>
    </w:p>
    <w:p>
      <w:pPr>
        <w:pStyle w:val="ListParagraph"/>
        <w:numPr>
          <w:ilvl w:val="3"/>
          <w:numId w:val="9"/>
        </w:numPr>
        <w:tabs>
          <w:tab w:pos="1969" w:val="left" w:leader="none"/>
          <w:tab w:pos="1970" w:val="left" w:leader="none"/>
        </w:tabs>
        <w:spacing w:line="417" w:lineRule="auto" w:before="1" w:after="0"/>
        <w:ind w:left="1610" w:right="1942" w:firstLine="0"/>
        <w:jc w:val="left"/>
        <w:rPr>
          <w:rFonts w:ascii="Times New Roman" w:hAnsi="Times New Roman" w:eastAsia="Times New Roman"/>
          <w:sz w:val="21"/>
        </w:rPr>
      </w:pPr>
      <w:r>
        <w:rPr>
          <w:spacing w:val="-3"/>
          <w:sz w:val="21"/>
        </w:rPr>
        <w:t>已经实施了针对颅内肿瘤的放射治疗，如 </w:t>
      </w:r>
      <w:r>
        <w:rPr>
          <w:rFonts w:ascii="Times New Roman" w:hAnsi="Times New Roman" w:eastAsia="Times New Roman"/>
          <w:sz w:val="21"/>
        </w:rPr>
        <w:t>γ</w:t>
      </w:r>
      <w:r>
        <w:rPr>
          <w:rFonts w:ascii="Times New Roman" w:hAnsi="Times New Roman" w:eastAsia="Times New Roman"/>
          <w:spacing w:val="-14"/>
          <w:sz w:val="21"/>
        </w:rPr>
        <w:t> </w:t>
      </w:r>
      <w:r>
        <w:rPr>
          <w:sz w:val="21"/>
        </w:rPr>
        <w:t>刀、质子重离子治疗等。</w:t>
      </w:r>
      <w:r>
        <w:rPr>
          <w:b/>
          <w:spacing w:val="-2"/>
          <w:sz w:val="21"/>
        </w:rPr>
        <w:t>下列疾病不在保障范围内：</w:t>
      </w:r>
    </w:p>
    <w:p>
      <w:pPr>
        <w:pStyle w:val="ListParagraph"/>
        <w:numPr>
          <w:ilvl w:val="0"/>
          <w:numId w:val="11"/>
        </w:numPr>
        <w:tabs>
          <w:tab w:pos="1969" w:val="left" w:leader="none"/>
          <w:tab w:pos="1970" w:val="left" w:leader="none"/>
        </w:tabs>
        <w:spacing w:line="269" w:lineRule="exact" w:before="0" w:after="0"/>
        <w:ind w:left="1970" w:right="0" w:hanging="360"/>
        <w:jc w:val="left"/>
        <w:rPr>
          <w:b/>
          <w:sz w:val="21"/>
        </w:rPr>
      </w:pPr>
      <w:r>
        <w:rPr>
          <w:b/>
          <w:spacing w:val="-2"/>
          <w:sz w:val="21"/>
        </w:rPr>
        <w:t>脑垂体瘤；</w:t>
      </w:r>
    </w:p>
    <w:p>
      <w:pPr>
        <w:pStyle w:val="BodyText"/>
        <w:spacing w:before="6"/>
        <w:rPr>
          <w:b/>
          <w:sz w:val="15"/>
        </w:rPr>
      </w:pPr>
    </w:p>
    <w:p>
      <w:pPr>
        <w:pStyle w:val="ListParagraph"/>
        <w:numPr>
          <w:ilvl w:val="0"/>
          <w:numId w:val="11"/>
        </w:numPr>
        <w:tabs>
          <w:tab w:pos="1969" w:val="left" w:leader="none"/>
          <w:tab w:pos="1970" w:val="left" w:leader="none"/>
        </w:tabs>
        <w:spacing w:line="240" w:lineRule="auto" w:before="0" w:after="0"/>
        <w:ind w:left="1970" w:right="0" w:hanging="360"/>
        <w:jc w:val="left"/>
        <w:rPr>
          <w:b/>
          <w:sz w:val="21"/>
        </w:rPr>
      </w:pPr>
      <w:r>
        <w:rPr>
          <w:b/>
          <w:spacing w:val="-3"/>
          <w:sz w:val="21"/>
        </w:rPr>
        <w:t>脑囊肿；</w:t>
      </w:r>
    </w:p>
    <w:p>
      <w:pPr>
        <w:pStyle w:val="BodyText"/>
        <w:rPr>
          <w:b/>
          <w:sz w:val="15"/>
        </w:rPr>
      </w:pPr>
    </w:p>
    <w:p>
      <w:pPr>
        <w:pStyle w:val="ListParagraph"/>
        <w:numPr>
          <w:ilvl w:val="0"/>
          <w:numId w:val="11"/>
        </w:numPr>
        <w:tabs>
          <w:tab w:pos="1969" w:val="left" w:leader="none"/>
          <w:tab w:pos="1970" w:val="left" w:leader="none"/>
        </w:tabs>
        <w:spacing w:line="278" w:lineRule="auto" w:before="1" w:after="0"/>
        <w:ind w:left="1970" w:right="1067" w:hanging="360"/>
        <w:jc w:val="left"/>
        <w:rPr>
          <w:b/>
          <w:sz w:val="21"/>
        </w:rPr>
      </w:pPr>
      <w:r>
        <w:rPr>
          <w:b/>
          <w:spacing w:val="-2"/>
          <w:sz w:val="21"/>
        </w:rPr>
        <w:t>颅内血管性疾病（如脑动脉瘤、脑动静脉畸形、海绵状血管瘤、毛细血管扩张</w:t>
      </w:r>
      <w:r>
        <w:rPr>
          <w:b/>
          <w:spacing w:val="-4"/>
          <w:sz w:val="21"/>
        </w:rPr>
        <w:t>症等）。</w:t>
      </w:r>
    </w:p>
    <w:p>
      <w:pPr>
        <w:pStyle w:val="ListParagraph"/>
        <w:numPr>
          <w:ilvl w:val="2"/>
          <w:numId w:val="9"/>
        </w:numPr>
        <w:tabs>
          <w:tab w:pos="1819" w:val="left" w:leader="none"/>
        </w:tabs>
        <w:spacing w:line="240" w:lineRule="auto" w:before="155" w:after="0"/>
        <w:ind w:left="1818" w:right="0" w:hanging="802"/>
        <w:jc w:val="left"/>
        <w:rPr>
          <w:b/>
          <w:sz w:val="21"/>
        </w:rPr>
      </w:pPr>
      <w:r>
        <w:rPr>
          <w:b/>
          <w:spacing w:val="-2"/>
          <w:sz w:val="21"/>
        </w:rPr>
        <w:t>严重慢性肝衰竭</w:t>
      </w:r>
    </w:p>
    <w:p>
      <w:pPr>
        <w:pStyle w:val="BodyText"/>
        <w:spacing w:before="163"/>
        <w:ind w:left="1610"/>
      </w:pPr>
      <w:r>
        <w:rPr>
          <w:spacing w:val="-3"/>
        </w:rPr>
        <w:t>指因慢性肝脏疾病导致的肝衰竭，且须满足下列全部条件：</w:t>
      </w:r>
    </w:p>
    <w:p>
      <w:pPr>
        <w:pStyle w:val="BodyText"/>
        <w:rPr>
          <w:sz w:val="15"/>
        </w:rPr>
      </w:pPr>
    </w:p>
    <w:p>
      <w:pPr>
        <w:pStyle w:val="ListParagraph"/>
        <w:numPr>
          <w:ilvl w:val="3"/>
          <w:numId w:val="9"/>
        </w:numPr>
        <w:tabs>
          <w:tab w:pos="1969" w:val="left" w:leader="none"/>
          <w:tab w:pos="1970" w:val="left" w:leader="none"/>
        </w:tabs>
        <w:spacing w:line="240" w:lineRule="auto" w:before="0" w:after="0"/>
        <w:ind w:left="1970" w:right="0" w:hanging="360"/>
        <w:jc w:val="left"/>
        <w:rPr>
          <w:rFonts w:ascii="Times New Roman" w:eastAsia="Times New Roman"/>
          <w:sz w:val="21"/>
        </w:rPr>
      </w:pPr>
      <w:r>
        <w:rPr>
          <w:spacing w:val="-4"/>
          <w:sz w:val="21"/>
        </w:rPr>
        <w:t>持续性黄疸；</w:t>
      </w:r>
    </w:p>
    <w:p>
      <w:pPr>
        <w:spacing w:after="0" w:line="240" w:lineRule="auto"/>
        <w:jc w:val="left"/>
        <w:rPr>
          <w:rFonts w:ascii="Times New Roman" w:eastAsia="Times New Roman"/>
          <w:sz w:val="21"/>
        </w:rPr>
        <w:sectPr>
          <w:pgSz w:w="11910" w:h="16840"/>
          <w:pgMar w:top="1380" w:bottom="280" w:left="1280" w:right="420"/>
        </w:sectPr>
      </w:pPr>
    </w:p>
    <w:p>
      <w:pPr>
        <w:pStyle w:val="ListParagraph"/>
        <w:numPr>
          <w:ilvl w:val="3"/>
          <w:numId w:val="9"/>
        </w:numPr>
        <w:tabs>
          <w:tab w:pos="1969" w:val="left" w:leader="none"/>
          <w:tab w:pos="1970" w:val="left" w:leader="none"/>
        </w:tabs>
        <w:spacing w:line="240" w:lineRule="auto" w:before="64" w:after="0"/>
        <w:ind w:left="1970" w:right="0" w:hanging="360"/>
        <w:jc w:val="left"/>
        <w:rPr>
          <w:rFonts w:ascii="Times New Roman" w:eastAsia="Times New Roman"/>
          <w:sz w:val="21"/>
        </w:rPr>
      </w:pPr>
      <w:r>
        <w:rPr>
          <w:spacing w:val="-4"/>
          <w:sz w:val="21"/>
        </w:rPr>
        <w:t>腹水；</w:t>
      </w:r>
    </w:p>
    <w:p>
      <w:pPr>
        <w:pStyle w:val="BodyText"/>
        <w:rPr>
          <w:sz w:val="15"/>
        </w:rPr>
      </w:pPr>
    </w:p>
    <w:p>
      <w:pPr>
        <w:pStyle w:val="ListParagraph"/>
        <w:numPr>
          <w:ilvl w:val="3"/>
          <w:numId w:val="9"/>
        </w:numPr>
        <w:tabs>
          <w:tab w:pos="1969" w:val="left" w:leader="none"/>
          <w:tab w:pos="1970" w:val="left" w:leader="none"/>
        </w:tabs>
        <w:spacing w:line="240" w:lineRule="auto" w:before="0" w:after="0"/>
        <w:ind w:left="1970" w:right="0" w:hanging="360"/>
        <w:jc w:val="left"/>
        <w:rPr>
          <w:rFonts w:ascii="Times New Roman" w:eastAsia="Times New Roman"/>
          <w:sz w:val="21"/>
        </w:rPr>
      </w:pPr>
      <w:r>
        <w:rPr>
          <w:spacing w:val="-4"/>
          <w:sz w:val="21"/>
        </w:rPr>
        <w:t>肝性脑病；</w:t>
      </w:r>
    </w:p>
    <w:p>
      <w:pPr>
        <w:pStyle w:val="BodyText"/>
        <w:rPr>
          <w:sz w:val="15"/>
        </w:rPr>
      </w:pPr>
    </w:p>
    <w:p>
      <w:pPr>
        <w:pStyle w:val="ListParagraph"/>
        <w:numPr>
          <w:ilvl w:val="3"/>
          <w:numId w:val="9"/>
        </w:numPr>
        <w:tabs>
          <w:tab w:pos="1969" w:val="left" w:leader="none"/>
          <w:tab w:pos="1970" w:val="left" w:leader="none"/>
        </w:tabs>
        <w:spacing w:line="417" w:lineRule="auto" w:before="0" w:after="0"/>
        <w:ind w:left="1610" w:right="3608" w:firstLine="0"/>
        <w:jc w:val="left"/>
        <w:rPr>
          <w:rFonts w:ascii="Times New Roman" w:eastAsia="Times New Roman"/>
          <w:sz w:val="21"/>
        </w:rPr>
      </w:pPr>
      <w:r>
        <w:rPr>
          <w:spacing w:val="-2"/>
          <w:sz w:val="21"/>
        </w:rPr>
        <w:t>充血性脾肿大伴脾功能亢进或食管胃底静脉曲张。</w:t>
      </w:r>
      <w:r>
        <w:rPr>
          <w:b/>
          <w:spacing w:val="-2"/>
          <w:sz w:val="21"/>
        </w:rPr>
        <w:t>因酗酒或药物滥用导致的肝衰竭不在保障范围内。</w:t>
      </w:r>
    </w:p>
    <w:p>
      <w:pPr>
        <w:pStyle w:val="ListParagraph"/>
        <w:numPr>
          <w:ilvl w:val="2"/>
          <w:numId w:val="9"/>
        </w:numPr>
        <w:tabs>
          <w:tab w:pos="1819" w:val="left" w:leader="none"/>
        </w:tabs>
        <w:spacing w:line="269" w:lineRule="exact" w:before="0" w:after="0"/>
        <w:ind w:left="1818" w:right="0" w:hanging="802"/>
        <w:jc w:val="left"/>
        <w:rPr>
          <w:b/>
          <w:sz w:val="21"/>
        </w:rPr>
      </w:pPr>
      <w:r>
        <w:rPr>
          <w:b/>
          <w:spacing w:val="-3"/>
          <w:sz w:val="21"/>
        </w:rPr>
        <w:t>严重脑炎后遗症或严重脑膜炎后遗症</w:t>
      </w:r>
    </w:p>
    <w:p>
      <w:pPr>
        <w:pStyle w:val="BodyText"/>
        <w:spacing w:line="278" w:lineRule="auto" w:before="163"/>
        <w:ind w:left="1610" w:right="1026"/>
        <w:jc w:val="both"/>
      </w:pPr>
      <w:r>
        <w:rPr>
          <w:spacing w:val="-2"/>
        </w:rPr>
        <w:t>指因患脑炎或脑膜炎导致的神经系统永久性的功能障碍。神经系统永久性的功能障</w:t>
      </w:r>
      <w:r>
        <w:rPr>
          <w:spacing w:val="-2"/>
        </w:rPr>
        <w:t>碍，指经相关专科医生确诊疾病 </w:t>
      </w:r>
      <w:r>
        <w:rPr>
          <w:rFonts w:ascii="Times New Roman" w:eastAsia="Times New Roman"/>
        </w:rPr>
        <w:t>180 </w:t>
      </w:r>
      <w:r>
        <w:rPr/>
        <w:t>天后，仍遗留下列至少一种障碍：</w:t>
      </w:r>
    </w:p>
    <w:p>
      <w:pPr>
        <w:pStyle w:val="ListParagraph"/>
        <w:numPr>
          <w:ilvl w:val="3"/>
          <w:numId w:val="9"/>
        </w:numPr>
        <w:tabs>
          <w:tab w:pos="1969" w:val="left" w:leader="none"/>
          <w:tab w:pos="1970" w:val="left" w:leader="none"/>
        </w:tabs>
        <w:spacing w:line="240" w:lineRule="auto" w:before="156" w:after="0"/>
        <w:ind w:left="1970" w:right="0" w:hanging="360"/>
        <w:jc w:val="left"/>
        <w:rPr>
          <w:rFonts w:ascii="Times New Roman" w:eastAsia="Times New Roman"/>
          <w:sz w:val="21"/>
        </w:rPr>
      </w:pPr>
      <w:r>
        <w:rPr>
          <w:spacing w:val="-2"/>
          <w:sz w:val="21"/>
        </w:rPr>
        <w:t>一肢（含）</w:t>
      </w:r>
      <w:r>
        <w:rPr>
          <w:spacing w:val="-10"/>
          <w:sz w:val="21"/>
        </w:rPr>
        <w:t>以上肢体肌力 </w:t>
      </w:r>
      <w:r>
        <w:rPr>
          <w:rFonts w:ascii="Times New Roman" w:eastAsia="Times New Roman"/>
          <w:spacing w:val="-2"/>
          <w:sz w:val="21"/>
        </w:rPr>
        <w:t>2</w:t>
      </w:r>
      <w:r>
        <w:rPr>
          <w:rFonts w:ascii="Times New Roman" w:eastAsia="Times New Roman"/>
          <w:spacing w:val="7"/>
          <w:sz w:val="21"/>
        </w:rPr>
        <w:t> </w:t>
      </w:r>
      <w:r>
        <w:rPr>
          <w:spacing w:val="-2"/>
          <w:sz w:val="21"/>
        </w:rPr>
        <w:t>级（含）</w:t>
      </w:r>
      <w:r>
        <w:rPr>
          <w:spacing w:val="-5"/>
          <w:sz w:val="21"/>
        </w:rPr>
        <w:t>以下；</w:t>
      </w:r>
    </w:p>
    <w:p>
      <w:pPr>
        <w:pStyle w:val="BodyText"/>
        <w:spacing w:before="6"/>
        <w:rPr>
          <w:sz w:val="15"/>
        </w:rPr>
      </w:pPr>
    </w:p>
    <w:p>
      <w:pPr>
        <w:pStyle w:val="ListParagraph"/>
        <w:numPr>
          <w:ilvl w:val="3"/>
          <w:numId w:val="9"/>
        </w:numPr>
        <w:tabs>
          <w:tab w:pos="1969" w:val="left" w:leader="none"/>
          <w:tab w:pos="1970" w:val="left" w:leader="none"/>
        </w:tabs>
        <w:spacing w:line="240" w:lineRule="auto" w:before="0" w:after="0"/>
        <w:ind w:left="1970" w:right="0" w:hanging="360"/>
        <w:jc w:val="left"/>
        <w:rPr>
          <w:rFonts w:ascii="Times New Roman" w:eastAsia="Times New Roman"/>
          <w:sz w:val="21"/>
        </w:rPr>
      </w:pPr>
      <w:r>
        <w:rPr>
          <w:spacing w:val="-3"/>
          <w:sz w:val="21"/>
        </w:rPr>
        <w:t>语言能力完全丧失，或严重咀嚼吞咽功能障碍；</w:t>
      </w:r>
    </w:p>
    <w:p>
      <w:pPr>
        <w:pStyle w:val="BodyText"/>
        <w:spacing w:before="8"/>
        <w:rPr>
          <w:sz w:val="15"/>
        </w:rPr>
      </w:pPr>
    </w:p>
    <w:p>
      <w:pPr>
        <w:pStyle w:val="ListParagraph"/>
        <w:numPr>
          <w:ilvl w:val="3"/>
          <w:numId w:val="9"/>
        </w:numPr>
        <w:tabs>
          <w:tab w:pos="1969" w:val="left" w:leader="none"/>
          <w:tab w:pos="1970" w:val="left" w:leader="none"/>
        </w:tabs>
        <w:spacing w:line="278" w:lineRule="auto" w:before="0" w:after="0"/>
        <w:ind w:left="1970" w:right="1224" w:hanging="360"/>
        <w:jc w:val="left"/>
        <w:rPr>
          <w:rFonts w:ascii="Times New Roman" w:eastAsia="Times New Roman"/>
          <w:sz w:val="21"/>
        </w:rPr>
      </w:pPr>
      <w:r>
        <w:rPr>
          <w:sz w:val="21"/>
        </w:rPr>
        <w:t>由具有评估资格的专科医生根据临床痴呆评定量表（</w:t>
      </w:r>
      <w:r>
        <w:rPr>
          <w:rFonts w:ascii="Times New Roman" w:eastAsia="Times New Roman"/>
          <w:sz w:val="21"/>
        </w:rPr>
        <w:t>CDR</w:t>
      </w:r>
      <w:r>
        <w:rPr>
          <w:sz w:val="21"/>
        </w:rPr>
        <w:t>，</w:t>
      </w:r>
      <w:r>
        <w:rPr>
          <w:rFonts w:ascii="Times New Roman" w:eastAsia="Times New Roman"/>
          <w:sz w:val="21"/>
        </w:rPr>
        <w:t>Clinical</w:t>
      </w:r>
      <w:r>
        <w:rPr>
          <w:rFonts w:ascii="Times New Roman" w:eastAsia="Times New Roman"/>
          <w:spacing w:val="-14"/>
          <w:sz w:val="21"/>
        </w:rPr>
        <w:t> </w:t>
      </w:r>
      <w:r>
        <w:rPr>
          <w:rFonts w:ascii="Times New Roman" w:eastAsia="Times New Roman"/>
          <w:sz w:val="21"/>
        </w:rPr>
        <w:t>Dementia Rating</w:t>
      </w:r>
      <w:r>
        <w:rPr>
          <w:sz w:val="21"/>
        </w:rPr>
        <w:t>）</w:t>
      </w:r>
      <w:r>
        <w:rPr>
          <w:spacing w:val="-4"/>
          <w:sz w:val="21"/>
        </w:rPr>
        <w:t>评估结果为 </w:t>
      </w:r>
      <w:r>
        <w:rPr>
          <w:rFonts w:ascii="Times New Roman" w:eastAsia="Times New Roman"/>
          <w:sz w:val="21"/>
        </w:rPr>
        <w:t>3 </w:t>
      </w:r>
      <w:r>
        <w:rPr>
          <w:sz w:val="21"/>
        </w:rPr>
        <w:t>分；</w:t>
      </w:r>
    </w:p>
    <w:p>
      <w:pPr>
        <w:pStyle w:val="ListParagraph"/>
        <w:numPr>
          <w:ilvl w:val="3"/>
          <w:numId w:val="9"/>
        </w:numPr>
        <w:tabs>
          <w:tab w:pos="1969" w:val="left" w:leader="none"/>
          <w:tab w:pos="1970" w:val="left" w:leader="none"/>
        </w:tabs>
        <w:spacing w:line="278" w:lineRule="auto" w:before="156" w:after="0"/>
        <w:ind w:left="1970" w:right="1088" w:hanging="360"/>
        <w:jc w:val="left"/>
        <w:rPr>
          <w:rFonts w:ascii="Times New Roman" w:eastAsia="Times New Roman"/>
          <w:sz w:val="21"/>
        </w:rPr>
      </w:pPr>
      <w:r>
        <w:rPr>
          <w:spacing w:val="-2"/>
          <w:sz w:val="21"/>
        </w:rPr>
        <w:t>自主生活能力完全丧失，无法独立完成六项基本日常生活活动中的三项或三项</w:t>
      </w:r>
      <w:r>
        <w:rPr>
          <w:spacing w:val="-4"/>
          <w:sz w:val="21"/>
        </w:rPr>
        <w:t>以上。</w:t>
      </w:r>
    </w:p>
    <w:p>
      <w:pPr>
        <w:pStyle w:val="ListParagraph"/>
        <w:numPr>
          <w:ilvl w:val="2"/>
          <w:numId w:val="9"/>
        </w:numPr>
        <w:tabs>
          <w:tab w:pos="1819" w:val="left" w:leader="none"/>
        </w:tabs>
        <w:spacing w:line="240" w:lineRule="auto" w:before="155" w:after="0"/>
        <w:ind w:left="1818" w:right="0" w:hanging="802"/>
        <w:jc w:val="left"/>
        <w:rPr>
          <w:b/>
          <w:sz w:val="21"/>
        </w:rPr>
      </w:pPr>
      <w:r>
        <w:rPr>
          <w:b/>
          <w:spacing w:val="-3"/>
          <w:sz w:val="21"/>
        </w:rPr>
        <w:t>深度昏迷</w:t>
      </w:r>
    </w:p>
    <w:p>
      <w:pPr>
        <w:pStyle w:val="BodyText"/>
        <w:spacing w:line="278" w:lineRule="auto" w:before="163"/>
        <w:ind w:left="1610" w:right="989"/>
        <w:jc w:val="both"/>
      </w:pPr>
      <w:r>
        <w:rPr>
          <w:spacing w:val="-2"/>
        </w:rPr>
        <w:t>指因疾病或意外伤害导致意识丧失，对外界刺激和体内需求均无反应，昏迷程度按</w:t>
      </w:r>
      <w:r>
        <w:rPr>
          <w:spacing w:val="-2"/>
        </w:rPr>
        <w:t>照格拉斯哥昏迷分级（</w:t>
      </w:r>
      <w:r>
        <w:rPr>
          <w:rFonts w:ascii="Times New Roman" w:eastAsia="Times New Roman"/>
          <w:spacing w:val="-2"/>
        </w:rPr>
        <w:t>GCS</w:t>
      </w:r>
      <w:r>
        <w:rPr>
          <w:spacing w:val="-2"/>
        </w:rPr>
        <w:t>，</w:t>
      </w:r>
      <w:r>
        <w:rPr>
          <w:rFonts w:ascii="Times New Roman" w:eastAsia="Times New Roman"/>
          <w:spacing w:val="-2"/>
        </w:rPr>
        <w:t>Glasgow</w:t>
      </w:r>
      <w:r>
        <w:rPr>
          <w:rFonts w:ascii="Times New Roman" w:eastAsia="Times New Roman"/>
          <w:spacing w:val="-12"/>
        </w:rPr>
        <w:t> </w:t>
      </w:r>
      <w:r>
        <w:rPr>
          <w:rFonts w:ascii="Times New Roman" w:eastAsia="Times New Roman"/>
          <w:spacing w:val="-2"/>
        </w:rPr>
        <w:t>Coma</w:t>
      </w:r>
      <w:r>
        <w:rPr>
          <w:rFonts w:ascii="Times New Roman" w:eastAsia="Times New Roman"/>
          <w:spacing w:val="-11"/>
        </w:rPr>
        <w:t> </w:t>
      </w:r>
      <w:r>
        <w:rPr>
          <w:rFonts w:ascii="Times New Roman" w:eastAsia="Times New Roman"/>
          <w:spacing w:val="-2"/>
        </w:rPr>
        <w:t>Scale</w:t>
      </w:r>
      <w:r>
        <w:rPr>
          <w:spacing w:val="-2"/>
        </w:rPr>
        <w:t>）</w:t>
      </w:r>
      <w:r>
        <w:rPr>
          <w:spacing w:val="-8"/>
        </w:rPr>
        <w:t>结果为 </w:t>
      </w:r>
      <w:r>
        <w:rPr>
          <w:rFonts w:ascii="Times New Roman" w:eastAsia="Times New Roman"/>
          <w:spacing w:val="-2"/>
        </w:rPr>
        <w:t>5</w:t>
      </w:r>
      <w:r>
        <w:rPr>
          <w:rFonts w:ascii="Times New Roman" w:eastAsia="Times New Roman"/>
          <w:spacing w:val="-11"/>
        </w:rPr>
        <w:t> </w:t>
      </w:r>
      <w:r>
        <w:rPr>
          <w:spacing w:val="-10"/>
        </w:rPr>
        <w:t>分或 </w:t>
      </w:r>
      <w:r>
        <w:rPr>
          <w:rFonts w:ascii="Times New Roman" w:eastAsia="Times New Roman"/>
          <w:spacing w:val="-2"/>
        </w:rPr>
        <w:t>5</w:t>
      </w:r>
      <w:r>
        <w:rPr>
          <w:rFonts w:ascii="Times New Roman" w:eastAsia="Times New Roman"/>
          <w:spacing w:val="-11"/>
        </w:rPr>
        <w:t> </w:t>
      </w:r>
      <w:r>
        <w:rPr>
          <w:spacing w:val="-2"/>
        </w:rPr>
        <w:t>分以下，且已经</w:t>
      </w:r>
      <w:r>
        <w:rPr>
          <w:spacing w:val="-2"/>
        </w:rPr>
        <w:t>持续使用呼吸机及其他生命维持系统 </w:t>
      </w:r>
      <w:r>
        <w:rPr>
          <w:rFonts w:ascii="Times New Roman" w:eastAsia="Times New Roman"/>
        </w:rPr>
        <w:t>96 </w:t>
      </w:r>
      <w:r>
        <w:rPr/>
        <w:t>小时以上。</w:t>
      </w:r>
    </w:p>
    <w:p>
      <w:pPr>
        <w:spacing w:before="156"/>
        <w:ind w:left="1610" w:right="0" w:firstLine="0"/>
        <w:jc w:val="left"/>
        <w:rPr>
          <w:b/>
          <w:sz w:val="21"/>
        </w:rPr>
      </w:pPr>
      <w:r>
        <w:rPr>
          <w:b/>
          <w:spacing w:val="-3"/>
          <w:sz w:val="21"/>
        </w:rPr>
        <w:t>因酗酒或药物滥用导致的深度昏迷不在保障范围内。</w:t>
      </w:r>
    </w:p>
    <w:p>
      <w:pPr>
        <w:pStyle w:val="BodyText"/>
        <w:rPr>
          <w:b/>
          <w:sz w:val="15"/>
        </w:rPr>
      </w:pPr>
    </w:p>
    <w:p>
      <w:pPr>
        <w:pStyle w:val="ListParagraph"/>
        <w:numPr>
          <w:ilvl w:val="2"/>
          <w:numId w:val="9"/>
        </w:numPr>
        <w:tabs>
          <w:tab w:pos="1819" w:val="left" w:leader="none"/>
        </w:tabs>
        <w:spacing w:line="240" w:lineRule="auto" w:before="0" w:after="0"/>
        <w:ind w:left="1818" w:right="0" w:hanging="802"/>
        <w:jc w:val="left"/>
        <w:rPr>
          <w:b/>
          <w:sz w:val="21"/>
        </w:rPr>
      </w:pPr>
      <w:r>
        <w:rPr>
          <w:b/>
          <w:spacing w:val="-3"/>
          <w:sz w:val="21"/>
        </w:rPr>
        <w:t>双耳失聪</w:t>
      </w:r>
    </w:p>
    <w:p>
      <w:pPr>
        <w:spacing w:before="163"/>
        <w:ind w:left="1610" w:right="0" w:firstLine="0"/>
        <w:jc w:val="left"/>
        <w:rPr>
          <w:rFonts w:ascii="Times New Roman" w:eastAsia="Times New Roman"/>
          <w:sz w:val="21"/>
        </w:rPr>
      </w:pPr>
      <w:r>
        <w:rPr>
          <w:spacing w:val="-6"/>
          <w:sz w:val="21"/>
        </w:rPr>
        <w:t>指因疾病或意外伤害导致双耳听力</w:t>
      </w:r>
      <w:r>
        <w:rPr>
          <w:b/>
          <w:spacing w:val="-6"/>
          <w:sz w:val="21"/>
        </w:rPr>
        <w:t>永久不可逆（见释义）</w:t>
      </w:r>
      <w:r>
        <w:rPr>
          <w:spacing w:val="-14"/>
          <w:sz w:val="21"/>
        </w:rPr>
        <w:t>性丧失，在 </w:t>
      </w:r>
      <w:r>
        <w:rPr>
          <w:rFonts w:ascii="Times New Roman" w:eastAsia="Times New Roman"/>
          <w:spacing w:val="-6"/>
          <w:sz w:val="21"/>
        </w:rPr>
        <w:t>500</w:t>
      </w:r>
      <w:r>
        <w:rPr>
          <w:rFonts w:ascii="Times New Roman" w:eastAsia="Times New Roman"/>
          <w:spacing w:val="-3"/>
          <w:sz w:val="21"/>
        </w:rPr>
        <w:t> </w:t>
      </w:r>
      <w:r>
        <w:rPr>
          <w:spacing w:val="-6"/>
          <w:sz w:val="21"/>
        </w:rPr>
        <w:t>赫兹、</w:t>
      </w:r>
      <w:r>
        <w:rPr>
          <w:rFonts w:ascii="Times New Roman" w:eastAsia="Times New Roman"/>
          <w:spacing w:val="-6"/>
          <w:sz w:val="21"/>
        </w:rPr>
        <w:t>1000</w:t>
      </w:r>
    </w:p>
    <w:p>
      <w:pPr>
        <w:pStyle w:val="BodyText"/>
        <w:spacing w:line="278" w:lineRule="auto" w:before="43"/>
        <w:ind w:left="1610" w:right="1030"/>
      </w:pPr>
      <w:r>
        <w:rPr>
          <w:spacing w:val="-14"/>
        </w:rPr>
        <w:t>赫兹和 </w:t>
      </w:r>
      <w:r>
        <w:rPr>
          <w:rFonts w:ascii="Times New Roman" w:eastAsia="Times New Roman"/>
        </w:rPr>
        <w:t>2000</w:t>
      </w:r>
      <w:r>
        <w:rPr>
          <w:rFonts w:ascii="Times New Roman" w:eastAsia="Times New Roman"/>
          <w:spacing w:val="-14"/>
        </w:rPr>
        <w:t> </w:t>
      </w:r>
      <w:r>
        <w:rPr>
          <w:spacing w:val="-4"/>
        </w:rPr>
        <w:t>赫兹语音频率下，平均听阈大于等于 </w:t>
      </w:r>
      <w:r>
        <w:rPr>
          <w:rFonts w:ascii="Times New Roman" w:eastAsia="Times New Roman"/>
        </w:rPr>
        <w:t>91</w:t>
      </w:r>
      <w:r>
        <w:rPr>
          <w:rFonts w:ascii="Times New Roman" w:eastAsia="Times New Roman"/>
          <w:spacing w:val="-13"/>
        </w:rPr>
        <w:t> </w:t>
      </w:r>
      <w:r>
        <w:rPr/>
        <w:t>分贝，且经纯音听力测试、声</w:t>
      </w:r>
      <w:r>
        <w:rPr>
          <w:spacing w:val="-2"/>
        </w:rPr>
        <w:t>导抗检测或听觉诱发电位检测等证实。</w:t>
      </w:r>
    </w:p>
    <w:p>
      <w:pPr>
        <w:spacing w:line="278" w:lineRule="auto" w:before="156"/>
        <w:ind w:left="1610" w:right="1004" w:firstLine="0"/>
        <w:jc w:val="left"/>
        <w:rPr>
          <w:b/>
          <w:sz w:val="21"/>
        </w:rPr>
      </w:pPr>
      <w:r>
        <w:rPr>
          <w:b/>
          <w:spacing w:val="-2"/>
          <w:sz w:val="21"/>
        </w:rPr>
        <w:t>本合同仅对三周岁以上的被保险人予以理赔，并且须提供理赔当时的听力丧失诊断</w:t>
      </w:r>
      <w:r>
        <w:rPr>
          <w:b/>
          <w:spacing w:val="-2"/>
          <w:sz w:val="21"/>
        </w:rPr>
        <w:t>及检查证据。</w:t>
      </w:r>
    </w:p>
    <w:p>
      <w:pPr>
        <w:pStyle w:val="ListParagraph"/>
        <w:numPr>
          <w:ilvl w:val="2"/>
          <w:numId w:val="9"/>
        </w:numPr>
        <w:tabs>
          <w:tab w:pos="1819" w:val="left" w:leader="none"/>
        </w:tabs>
        <w:spacing w:line="240" w:lineRule="auto" w:before="156" w:after="0"/>
        <w:ind w:left="1818" w:right="0" w:hanging="802"/>
        <w:jc w:val="left"/>
        <w:rPr>
          <w:b/>
          <w:sz w:val="21"/>
        </w:rPr>
      </w:pPr>
      <w:r>
        <w:rPr>
          <w:b/>
          <w:spacing w:val="-3"/>
          <w:sz w:val="21"/>
        </w:rPr>
        <w:t>双目失明</w:t>
      </w:r>
    </w:p>
    <w:p>
      <w:pPr>
        <w:pStyle w:val="BodyText"/>
        <w:spacing w:line="278" w:lineRule="auto" w:before="162"/>
        <w:ind w:left="1610" w:right="1026"/>
      </w:pPr>
      <w:r>
        <w:rPr>
          <w:spacing w:val="-2"/>
        </w:rPr>
        <w:t>指因疾病或意外伤害导致双眼视力永久不可逆性丧失，双眼中较好眼须满足下列至</w:t>
      </w:r>
      <w:r>
        <w:rPr>
          <w:spacing w:val="-2"/>
        </w:rPr>
        <w:t>少一项条件：</w:t>
      </w:r>
    </w:p>
    <w:p>
      <w:pPr>
        <w:pStyle w:val="ListParagraph"/>
        <w:numPr>
          <w:ilvl w:val="3"/>
          <w:numId w:val="9"/>
        </w:numPr>
        <w:tabs>
          <w:tab w:pos="1969" w:val="left" w:leader="none"/>
          <w:tab w:pos="1970" w:val="left" w:leader="none"/>
        </w:tabs>
        <w:spacing w:line="240" w:lineRule="auto" w:before="156" w:after="0"/>
        <w:ind w:left="1970" w:right="0" w:hanging="360"/>
        <w:jc w:val="left"/>
        <w:rPr>
          <w:rFonts w:ascii="Times New Roman" w:eastAsia="Times New Roman"/>
          <w:sz w:val="21"/>
        </w:rPr>
      </w:pPr>
      <w:r>
        <w:rPr>
          <w:spacing w:val="-4"/>
          <w:sz w:val="21"/>
        </w:rPr>
        <w:t>眼球缺失或摘除；</w:t>
      </w:r>
    </w:p>
    <w:p>
      <w:pPr>
        <w:pStyle w:val="BodyText"/>
        <w:rPr>
          <w:sz w:val="15"/>
        </w:rPr>
      </w:pPr>
    </w:p>
    <w:p>
      <w:pPr>
        <w:pStyle w:val="ListParagraph"/>
        <w:numPr>
          <w:ilvl w:val="3"/>
          <w:numId w:val="9"/>
        </w:numPr>
        <w:tabs>
          <w:tab w:pos="1969" w:val="left" w:leader="none"/>
          <w:tab w:pos="1970" w:val="left" w:leader="none"/>
        </w:tabs>
        <w:spacing w:line="240" w:lineRule="auto" w:before="1" w:after="0"/>
        <w:ind w:left="1970" w:right="0" w:hanging="360"/>
        <w:jc w:val="left"/>
        <w:rPr>
          <w:rFonts w:ascii="Times New Roman" w:eastAsia="Times New Roman"/>
          <w:sz w:val="21"/>
        </w:rPr>
      </w:pPr>
      <w:r>
        <w:rPr>
          <w:spacing w:val="-7"/>
          <w:sz w:val="21"/>
        </w:rPr>
        <w:t>矫正视力低于 </w:t>
      </w:r>
      <w:r>
        <w:rPr>
          <w:rFonts w:ascii="Times New Roman" w:eastAsia="Times New Roman"/>
          <w:spacing w:val="-2"/>
          <w:sz w:val="21"/>
        </w:rPr>
        <w:t>0.02</w:t>
      </w:r>
      <w:r>
        <w:rPr>
          <w:spacing w:val="-2"/>
          <w:sz w:val="21"/>
        </w:rPr>
        <w:t>（采用国际标准视力表，如果使用其他视力表应进行换算</w:t>
      </w:r>
      <w:r>
        <w:rPr>
          <w:spacing w:val="-5"/>
          <w:sz w:val="21"/>
        </w:rPr>
        <w:t>）；</w:t>
      </w:r>
    </w:p>
    <w:p>
      <w:pPr>
        <w:pStyle w:val="BodyText"/>
        <w:spacing w:before="6"/>
        <w:rPr>
          <w:sz w:val="15"/>
        </w:rPr>
      </w:pPr>
    </w:p>
    <w:p>
      <w:pPr>
        <w:pStyle w:val="ListParagraph"/>
        <w:numPr>
          <w:ilvl w:val="3"/>
          <w:numId w:val="9"/>
        </w:numPr>
        <w:tabs>
          <w:tab w:pos="1969" w:val="left" w:leader="none"/>
          <w:tab w:pos="1970" w:val="left" w:leader="none"/>
        </w:tabs>
        <w:spacing w:line="240" w:lineRule="auto" w:before="0" w:after="0"/>
        <w:ind w:left="1970" w:right="0" w:hanging="360"/>
        <w:jc w:val="left"/>
        <w:rPr>
          <w:rFonts w:ascii="Times New Roman" w:eastAsia="Times New Roman"/>
          <w:sz w:val="21"/>
        </w:rPr>
      </w:pPr>
      <w:r>
        <w:rPr>
          <w:spacing w:val="-8"/>
          <w:sz w:val="21"/>
        </w:rPr>
        <w:t>视野半径小于 </w:t>
      </w:r>
      <w:r>
        <w:rPr>
          <w:rFonts w:ascii="Times New Roman" w:eastAsia="Times New Roman"/>
          <w:sz w:val="21"/>
        </w:rPr>
        <w:t>5</w:t>
      </w:r>
      <w:r>
        <w:rPr>
          <w:rFonts w:ascii="Times New Roman" w:eastAsia="Times New Roman"/>
          <w:spacing w:val="-9"/>
          <w:sz w:val="21"/>
        </w:rPr>
        <w:t> </w:t>
      </w:r>
      <w:r>
        <w:rPr>
          <w:spacing w:val="-5"/>
          <w:sz w:val="21"/>
        </w:rPr>
        <w:t>度。</w:t>
      </w:r>
    </w:p>
    <w:p>
      <w:pPr>
        <w:pStyle w:val="BodyText"/>
        <w:rPr>
          <w:sz w:val="15"/>
        </w:rPr>
      </w:pPr>
    </w:p>
    <w:p>
      <w:pPr>
        <w:spacing w:line="278" w:lineRule="auto" w:before="0"/>
        <w:ind w:left="1610" w:right="1004" w:firstLine="0"/>
        <w:jc w:val="left"/>
        <w:rPr>
          <w:b/>
          <w:sz w:val="21"/>
        </w:rPr>
      </w:pPr>
      <w:r>
        <w:rPr>
          <w:b/>
          <w:spacing w:val="-2"/>
          <w:sz w:val="21"/>
        </w:rPr>
        <w:t>本合同仅对三周岁以上的被保险人予以理赔，并且须提供理赔当时的视力丧失诊断</w:t>
      </w:r>
      <w:r>
        <w:rPr>
          <w:b/>
          <w:spacing w:val="-2"/>
          <w:sz w:val="21"/>
        </w:rPr>
        <w:t>及检查证据。</w:t>
      </w:r>
    </w:p>
    <w:p>
      <w:pPr>
        <w:spacing w:after="0" w:line="278" w:lineRule="auto"/>
        <w:jc w:val="left"/>
        <w:rPr>
          <w:sz w:val="21"/>
        </w:rPr>
        <w:sectPr>
          <w:pgSz w:w="11910" w:h="16840"/>
          <w:pgMar w:top="1380" w:bottom="280" w:left="1280" w:right="420"/>
        </w:sectPr>
      </w:pPr>
    </w:p>
    <w:p>
      <w:pPr>
        <w:pStyle w:val="ListParagraph"/>
        <w:numPr>
          <w:ilvl w:val="2"/>
          <w:numId w:val="9"/>
        </w:numPr>
        <w:tabs>
          <w:tab w:pos="1819" w:val="left" w:leader="none"/>
        </w:tabs>
        <w:spacing w:line="240" w:lineRule="auto" w:before="64" w:after="0"/>
        <w:ind w:left="1818" w:right="0" w:hanging="802"/>
        <w:jc w:val="left"/>
        <w:rPr>
          <w:b/>
          <w:sz w:val="21"/>
        </w:rPr>
      </w:pPr>
      <w:r>
        <w:rPr>
          <w:b/>
          <w:spacing w:val="-5"/>
          <w:sz w:val="21"/>
        </w:rPr>
        <w:t>瘫痪</w:t>
      </w:r>
    </w:p>
    <w:p>
      <w:pPr>
        <w:pStyle w:val="BodyText"/>
        <w:spacing w:line="278" w:lineRule="auto" w:before="163"/>
        <w:ind w:left="1610" w:right="1025"/>
        <w:jc w:val="both"/>
      </w:pPr>
      <w:r>
        <w:rPr>
          <w:spacing w:val="-2"/>
        </w:rPr>
        <w:t>指因疾病或意外伤害导致两肢或两肢以上肢体随意运动功能永久完全丧失。肢体随</w:t>
      </w:r>
      <w:r>
        <w:rPr>
          <w:spacing w:val="-5"/>
        </w:rPr>
        <w:t>意运动功能永久完全丧失，指疾病确诊 </w:t>
      </w:r>
      <w:r>
        <w:rPr>
          <w:rFonts w:ascii="Times New Roman" w:eastAsia="Times New Roman"/>
          <w:spacing w:val="-2"/>
        </w:rPr>
        <w:t>180</w:t>
      </w:r>
      <w:r>
        <w:rPr>
          <w:rFonts w:ascii="Times New Roman" w:eastAsia="Times New Roman"/>
          <w:spacing w:val="7"/>
        </w:rPr>
        <w:t> </w:t>
      </w:r>
      <w:r>
        <w:rPr>
          <w:spacing w:val="-7"/>
        </w:rPr>
        <w:t>天后或意外伤害发生 </w:t>
      </w:r>
      <w:r>
        <w:rPr>
          <w:rFonts w:ascii="Times New Roman" w:eastAsia="Times New Roman"/>
          <w:spacing w:val="-2"/>
        </w:rPr>
        <w:t>180</w:t>
      </w:r>
      <w:r>
        <w:rPr>
          <w:rFonts w:ascii="Times New Roman" w:eastAsia="Times New Roman"/>
          <w:spacing w:val="8"/>
        </w:rPr>
        <w:t> </w:t>
      </w:r>
      <w:r>
        <w:rPr>
          <w:spacing w:val="-4"/>
        </w:rPr>
        <w:t>天后，每肢三</w:t>
      </w:r>
    </w:p>
    <w:p>
      <w:pPr>
        <w:pStyle w:val="BodyText"/>
        <w:spacing w:line="269" w:lineRule="exact" w:before="0"/>
        <w:ind w:left="1610"/>
        <w:jc w:val="both"/>
      </w:pPr>
      <w:r>
        <w:rPr>
          <w:spacing w:val="-4"/>
        </w:rPr>
        <w:t>大关节中的两大关节仍然完全僵硬，或肢体肌力在 </w:t>
      </w:r>
      <w:r>
        <w:rPr>
          <w:rFonts w:ascii="Times New Roman" w:eastAsia="Times New Roman"/>
          <w:spacing w:val="-2"/>
        </w:rPr>
        <w:t>2</w:t>
      </w:r>
      <w:r>
        <w:rPr>
          <w:rFonts w:ascii="Times New Roman" w:eastAsia="Times New Roman"/>
          <w:spacing w:val="10"/>
        </w:rPr>
        <w:t> </w:t>
      </w:r>
      <w:r>
        <w:rPr>
          <w:spacing w:val="-2"/>
        </w:rPr>
        <w:t>级（含）</w:t>
      </w:r>
      <w:r>
        <w:rPr>
          <w:spacing w:val="-5"/>
        </w:rPr>
        <w:t>以下。</w:t>
      </w:r>
    </w:p>
    <w:p>
      <w:pPr>
        <w:pStyle w:val="BodyText"/>
        <w:rPr>
          <w:sz w:val="15"/>
        </w:rPr>
      </w:pPr>
    </w:p>
    <w:p>
      <w:pPr>
        <w:pStyle w:val="ListParagraph"/>
        <w:numPr>
          <w:ilvl w:val="2"/>
          <w:numId w:val="9"/>
        </w:numPr>
        <w:tabs>
          <w:tab w:pos="1819" w:val="left" w:leader="none"/>
        </w:tabs>
        <w:spacing w:line="240" w:lineRule="auto" w:before="0" w:after="0"/>
        <w:ind w:left="1818" w:right="0" w:hanging="802"/>
        <w:jc w:val="left"/>
        <w:rPr>
          <w:b/>
          <w:sz w:val="21"/>
        </w:rPr>
      </w:pPr>
      <w:r>
        <w:rPr>
          <w:b/>
          <w:spacing w:val="-2"/>
          <w:sz w:val="21"/>
        </w:rPr>
        <w:t>心脏瓣膜手术</w:t>
      </w:r>
    </w:p>
    <w:p>
      <w:pPr>
        <w:spacing w:line="417" w:lineRule="auto" w:before="163"/>
        <w:ind w:left="1610" w:right="1026" w:firstLine="0"/>
        <w:jc w:val="left"/>
        <w:rPr>
          <w:b/>
          <w:sz w:val="21"/>
        </w:rPr>
      </w:pPr>
      <w:r>
        <w:rPr>
          <w:spacing w:val="-2"/>
          <w:sz w:val="21"/>
        </w:rPr>
        <w:t>指为治疗心脏瓣膜疾病，已经实施了切开心脏进行的心脏瓣膜置换或修复的手术。</w:t>
      </w:r>
      <w:r>
        <w:rPr>
          <w:b/>
          <w:spacing w:val="-2"/>
          <w:sz w:val="21"/>
        </w:rPr>
        <w:t>所有未切开心脏的心脏瓣膜介入手术不在保障范围内。</w:t>
      </w:r>
    </w:p>
    <w:p>
      <w:pPr>
        <w:pStyle w:val="ListParagraph"/>
        <w:numPr>
          <w:ilvl w:val="2"/>
          <w:numId w:val="9"/>
        </w:numPr>
        <w:tabs>
          <w:tab w:pos="1819" w:val="left" w:leader="none"/>
        </w:tabs>
        <w:spacing w:line="269" w:lineRule="exact" w:before="0" w:after="0"/>
        <w:ind w:left="1818" w:right="0" w:hanging="802"/>
        <w:jc w:val="left"/>
        <w:rPr>
          <w:b/>
          <w:sz w:val="21"/>
        </w:rPr>
      </w:pPr>
      <w:r>
        <w:rPr>
          <w:b/>
          <w:spacing w:val="-2"/>
          <w:sz w:val="21"/>
        </w:rPr>
        <w:t>严重阿尔茨海默病</w:t>
      </w:r>
    </w:p>
    <w:p>
      <w:pPr>
        <w:pStyle w:val="BodyText"/>
        <w:spacing w:line="278" w:lineRule="auto" w:before="163"/>
        <w:ind w:left="1610" w:right="1026"/>
        <w:jc w:val="both"/>
      </w:pPr>
      <w:r>
        <w:rPr>
          <w:spacing w:val="-2"/>
        </w:rPr>
        <w:t>指因大脑进行性、不可逆性改变导致智能严重衰退或丧失，临床表现为严重的认知</w:t>
      </w:r>
      <w:r>
        <w:rPr>
          <w:spacing w:val="-2"/>
        </w:rPr>
        <w:t>功能障碍、精神行为异常和社交能力减退等，其日常生活必须持续受到他人监护。</w:t>
      </w:r>
      <w:r>
        <w:rPr>
          <w:spacing w:val="-2"/>
        </w:rPr>
        <w:t>须由头颅断层扫描（</w:t>
      </w:r>
      <w:r>
        <w:rPr>
          <w:rFonts w:ascii="Times New Roman" w:eastAsia="Times New Roman"/>
          <w:spacing w:val="-2"/>
        </w:rPr>
        <w:t>CT</w:t>
      </w:r>
      <w:r>
        <w:rPr>
          <w:spacing w:val="-2"/>
        </w:rPr>
        <w:t>）、核磁共振检查（</w:t>
      </w:r>
      <w:r>
        <w:rPr>
          <w:rFonts w:ascii="Times New Roman" w:eastAsia="Times New Roman"/>
          <w:spacing w:val="-2"/>
        </w:rPr>
        <w:t>MRI</w:t>
      </w:r>
      <w:r>
        <w:rPr>
          <w:spacing w:val="-2"/>
        </w:rPr>
        <w:t>）或正电子发射断层扫描（</w:t>
      </w:r>
      <w:r>
        <w:rPr>
          <w:rFonts w:ascii="Times New Roman" w:eastAsia="Times New Roman"/>
          <w:spacing w:val="-2"/>
        </w:rPr>
        <w:t>PET</w:t>
      </w:r>
      <w:r>
        <w:rPr>
          <w:spacing w:val="-2"/>
        </w:rPr>
        <w:t>）</w:t>
      </w:r>
      <w:r>
        <w:rPr>
          <w:spacing w:val="-2"/>
        </w:rPr>
        <w:t>等影像学检查证实，并经相关专科医生确诊，且须满足下列至少一项条件：</w:t>
      </w:r>
    </w:p>
    <w:p>
      <w:pPr>
        <w:pStyle w:val="ListParagraph"/>
        <w:numPr>
          <w:ilvl w:val="3"/>
          <w:numId w:val="9"/>
        </w:numPr>
        <w:tabs>
          <w:tab w:pos="1969" w:val="left" w:leader="none"/>
          <w:tab w:pos="1970" w:val="left" w:leader="none"/>
        </w:tabs>
        <w:spacing w:line="278" w:lineRule="auto" w:before="156" w:after="0"/>
        <w:ind w:left="1970" w:right="1225" w:hanging="360"/>
        <w:jc w:val="left"/>
        <w:rPr>
          <w:rFonts w:ascii="Times New Roman" w:eastAsia="Times New Roman"/>
          <w:sz w:val="21"/>
        </w:rPr>
      </w:pPr>
      <w:r>
        <w:rPr>
          <w:sz w:val="21"/>
        </w:rPr>
        <w:t>由具有评估资格的专科医生根据临床痴呆评定量表（</w:t>
      </w:r>
      <w:r>
        <w:rPr>
          <w:rFonts w:ascii="Times New Roman" w:eastAsia="Times New Roman"/>
          <w:sz w:val="21"/>
        </w:rPr>
        <w:t>CDR</w:t>
      </w:r>
      <w:r>
        <w:rPr>
          <w:sz w:val="21"/>
        </w:rPr>
        <w:t>，</w:t>
      </w:r>
      <w:r>
        <w:rPr>
          <w:rFonts w:ascii="Times New Roman" w:eastAsia="Times New Roman"/>
          <w:sz w:val="21"/>
        </w:rPr>
        <w:t>Clinical</w:t>
      </w:r>
      <w:r>
        <w:rPr>
          <w:rFonts w:ascii="Times New Roman" w:eastAsia="Times New Roman"/>
          <w:spacing w:val="-14"/>
          <w:sz w:val="21"/>
        </w:rPr>
        <w:t> </w:t>
      </w:r>
      <w:r>
        <w:rPr>
          <w:rFonts w:ascii="Times New Roman" w:eastAsia="Times New Roman"/>
          <w:sz w:val="21"/>
        </w:rPr>
        <w:t>Dementia Rating</w:t>
      </w:r>
      <w:r>
        <w:rPr>
          <w:sz w:val="21"/>
        </w:rPr>
        <w:t>）</w:t>
      </w:r>
      <w:r>
        <w:rPr>
          <w:spacing w:val="-4"/>
          <w:sz w:val="21"/>
        </w:rPr>
        <w:t>评估结果为 </w:t>
      </w:r>
      <w:r>
        <w:rPr>
          <w:rFonts w:ascii="Times New Roman" w:eastAsia="Times New Roman"/>
          <w:sz w:val="21"/>
        </w:rPr>
        <w:t>3 </w:t>
      </w:r>
      <w:r>
        <w:rPr>
          <w:sz w:val="21"/>
        </w:rPr>
        <w:t>分；</w:t>
      </w:r>
    </w:p>
    <w:p>
      <w:pPr>
        <w:pStyle w:val="ListParagraph"/>
        <w:numPr>
          <w:ilvl w:val="3"/>
          <w:numId w:val="9"/>
        </w:numPr>
        <w:tabs>
          <w:tab w:pos="1969" w:val="left" w:leader="none"/>
          <w:tab w:pos="1970" w:val="left" w:leader="none"/>
        </w:tabs>
        <w:spacing w:line="278" w:lineRule="auto" w:before="156" w:after="0"/>
        <w:ind w:left="1970" w:right="1088" w:hanging="360"/>
        <w:jc w:val="left"/>
        <w:rPr>
          <w:rFonts w:ascii="Times New Roman" w:eastAsia="Times New Roman"/>
          <w:sz w:val="21"/>
        </w:rPr>
      </w:pPr>
      <w:r>
        <w:rPr>
          <w:spacing w:val="-2"/>
          <w:sz w:val="21"/>
        </w:rPr>
        <w:t>自主生活能力完全丧失，无法独立完成六项基本日常生活活动中的三项或三项</w:t>
      </w:r>
      <w:r>
        <w:rPr>
          <w:spacing w:val="-4"/>
          <w:sz w:val="21"/>
        </w:rPr>
        <w:t>以上。</w:t>
      </w:r>
    </w:p>
    <w:p>
      <w:pPr>
        <w:spacing w:before="156"/>
        <w:ind w:left="1610" w:right="0" w:firstLine="0"/>
        <w:jc w:val="left"/>
        <w:rPr>
          <w:b/>
          <w:sz w:val="21"/>
        </w:rPr>
      </w:pPr>
      <w:r>
        <w:rPr>
          <w:b/>
          <w:spacing w:val="-3"/>
          <w:sz w:val="21"/>
        </w:rPr>
        <w:t>阿尔茨海默病之外的其他类型痴呆不在保障范围内。</w:t>
      </w:r>
    </w:p>
    <w:p>
      <w:pPr>
        <w:pStyle w:val="BodyText"/>
        <w:spacing w:before="6"/>
        <w:rPr>
          <w:b/>
          <w:sz w:val="15"/>
        </w:rPr>
      </w:pPr>
    </w:p>
    <w:p>
      <w:pPr>
        <w:pStyle w:val="ListParagraph"/>
        <w:numPr>
          <w:ilvl w:val="2"/>
          <w:numId w:val="9"/>
        </w:numPr>
        <w:tabs>
          <w:tab w:pos="1819" w:val="left" w:leader="none"/>
        </w:tabs>
        <w:spacing w:line="240" w:lineRule="auto" w:before="1" w:after="0"/>
        <w:ind w:left="1818" w:right="0" w:hanging="802"/>
        <w:jc w:val="left"/>
        <w:rPr>
          <w:b/>
          <w:sz w:val="21"/>
        </w:rPr>
      </w:pPr>
      <w:r>
        <w:rPr>
          <w:b/>
          <w:spacing w:val="-2"/>
          <w:sz w:val="21"/>
        </w:rPr>
        <w:t>严重脑损伤</w:t>
      </w:r>
    </w:p>
    <w:p>
      <w:pPr>
        <w:pStyle w:val="BodyText"/>
        <w:spacing w:line="278" w:lineRule="auto" w:before="162"/>
        <w:ind w:left="1610" w:right="884"/>
      </w:pPr>
      <w:r>
        <w:rPr>
          <w:spacing w:val="-8"/>
          <w:w w:val="100"/>
        </w:rPr>
        <w:t>指因头部遭受机械性外力，引起脑重要部位损伤，导致神经系统永久性的功能障碍。</w:t>
      </w:r>
      <w:r>
        <w:rPr>
          <w:spacing w:val="-5"/>
          <w:w w:val="100"/>
        </w:rPr>
        <w:t>须由头颅断层扫描</w:t>
      </w:r>
      <w:r>
        <w:rPr>
          <w:spacing w:val="-3"/>
          <w:w w:val="100"/>
        </w:rPr>
        <w:t>（</w:t>
      </w:r>
      <w:r>
        <w:rPr>
          <w:rFonts w:ascii="Times New Roman" w:eastAsia="Times New Roman"/>
          <w:spacing w:val="-2"/>
          <w:w w:val="100"/>
        </w:rPr>
        <w:t>C</w:t>
      </w:r>
      <w:r>
        <w:rPr>
          <w:rFonts w:ascii="Times New Roman" w:eastAsia="Times New Roman"/>
          <w:w w:val="100"/>
        </w:rPr>
        <w:t>T</w:t>
      </w:r>
      <w:r>
        <w:rPr>
          <w:spacing w:val="-3"/>
          <w:w w:val="100"/>
        </w:rPr>
        <w:t>）、核磁共振检查</w:t>
      </w:r>
      <w:r>
        <w:rPr>
          <w:w w:val="100"/>
        </w:rPr>
        <w:t>（</w:t>
      </w:r>
      <w:r>
        <w:rPr>
          <w:rFonts w:ascii="Times New Roman" w:eastAsia="Times New Roman"/>
          <w:spacing w:val="-3"/>
          <w:w w:val="100"/>
        </w:rPr>
        <w:t>M</w:t>
      </w:r>
      <w:r>
        <w:rPr>
          <w:rFonts w:ascii="Times New Roman" w:eastAsia="Times New Roman"/>
          <w:w w:val="100"/>
        </w:rPr>
        <w:t>R</w:t>
      </w:r>
      <w:r>
        <w:rPr>
          <w:rFonts w:ascii="Times New Roman" w:eastAsia="Times New Roman"/>
          <w:spacing w:val="-3"/>
          <w:w w:val="100"/>
        </w:rPr>
        <w:t>I</w:t>
      </w:r>
      <w:r>
        <w:rPr>
          <w:w w:val="100"/>
        </w:rPr>
        <w:t>）</w:t>
      </w:r>
      <w:r>
        <w:rPr>
          <w:spacing w:val="-3"/>
          <w:w w:val="100"/>
        </w:rPr>
        <w:t>或正电子发射断层扫描（</w:t>
      </w:r>
      <w:r>
        <w:rPr>
          <w:rFonts w:ascii="Times New Roman" w:eastAsia="Times New Roman"/>
          <w:spacing w:val="-3"/>
          <w:w w:val="100"/>
        </w:rPr>
        <w:t>P</w:t>
      </w:r>
      <w:r>
        <w:rPr>
          <w:rFonts w:ascii="Times New Roman" w:eastAsia="Times New Roman"/>
          <w:w w:val="100"/>
        </w:rPr>
        <w:t>E</w:t>
      </w:r>
      <w:r>
        <w:rPr>
          <w:rFonts w:ascii="Times New Roman" w:eastAsia="Times New Roman"/>
          <w:spacing w:val="-2"/>
          <w:w w:val="100"/>
        </w:rPr>
        <w:t>T</w:t>
      </w:r>
      <w:r>
        <w:rPr>
          <w:w w:val="100"/>
        </w:rPr>
        <w:t>）</w:t>
      </w:r>
      <w:r>
        <w:rPr>
          <w:spacing w:val="-3"/>
          <w:w w:val="100"/>
        </w:rPr>
        <w:t>等影像学检查证实。神经系统永久性的功能障碍，指脑损伤</w:t>
      </w:r>
      <w:r>
        <w:rPr>
          <w:spacing w:val="-53"/>
        </w:rPr>
        <w:t> </w:t>
      </w:r>
      <w:r>
        <w:rPr>
          <w:rFonts w:ascii="Times New Roman" w:eastAsia="Times New Roman"/>
          <w:spacing w:val="-3"/>
          <w:w w:val="100"/>
        </w:rPr>
        <w:t>1</w:t>
      </w:r>
      <w:r>
        <w:rPr>
          <w:rFonts w:ascii="Times New Roman" w:eastAsia="Times New Roman"/>
          <w:w w:val="100"/>
        </w:rPr>
        <w:t>80</w:t>
      </w:r>
      <w:r>
        <w:rPr>
          <w:rFonts w:ascii="Times New Roman" w:eastAsia="Times New Roman"/>
        </w:rPr>
        <w:t> </w:t>
      </w:r>
      <w:r>
        <w:rPr>
          <w:spacing w:val="-3"/>
          <w:w w:val="100"/>
        </w:rPr>
        <w:t>天后，仍遗留下列至少一种障碍：</w:t>
      </w:r>
    </w:p>
    <w:p>
      <w:pPr>
        <w:pStyle w:val="ListParagraph"/>
        <w:numPr>
          <w:ilvl w:val="3"/>
          <w:numId w:val="9"/>
        </w:numPr>
        <w:tabs>
          <w:tab w:pos="1969" w:val="left" w:leader="none"/>
          <w:tab w:pos="1970" w:val="left" w:leader="none"/>
        </w:tabs>
        <w:spacing w:line="240" w:lineRule="auto" w:before="156" w:after="0"/>
        <w:ind w:left="1970" w:right="0" w:hanging="360"/>
        <w:jc w:val="left"/>
        <w:rPr>
          <w:rFonts w:ascii="Times New Roman" w:eastAsia="Times New Roman"/>
          <w:sz w:val="21"/>
        </w:rPr>
      </w:pPr>
      <w:r>
        <w:rPr>
          <w:spacing w:val="-2"/>
          <w:sz w:val="21"/>
        </w:rPr>
        <w:t>一肢（含）</w:t>
      </w:r>
      <w:r>
        <w:rPr>
          <w:spacing w:val="-10"/>
          <w:sz w:val="21"/>
        </w:rPr>
        <w:t>以上肢体肌力 </w:t>
      </w:r>
      <w:r>
        <w:rPr>
          <w:rFonts w:ascii="Times New Roman" w:eastAsia="Times New Roman"/>
          <w:spacing w:val="-2"/>
          <w:sz w:val="21"/>
        </w:rPr>
        <w:t>2</w:t>
      </w:r>
      <w:r>
        <w:rPr>
          <w:rFonts w:ascii="Times New Roman" w:eastAsia="Times New Roman"/>
          <w:spacing w:val="7"/>
          <w:sz w:val="21"/>
        </w:rPr>
        <w:t> </w:t>
      </w:r>
      <w:r>
        <w:rPr>
          <w:spacing w:val="-2"/>
          <w:sz w:val="21"/>
        </w:rPr>
        <w:t>级（含）</w:t>
      </w:r>
      <w:r>
        <w:rPr>
          <w:spacing w:val="-5"/>
          <w:sz w:val="21"/>
        </w:rPr>
        <w:t>以下；</w:t>
      </w:r>
    </w:p>
    <w:p>
      <w:pPr>
        <w:pStyle w:val="BodyText"/>
        <w:rPr>
          <w:sz w:val="15"/>
        </w:rPr>
      </w:pPr>
    </w:p>
    <w:p>
      <w:pPr>
        <w:pStyle w:val="ListParagraph"/>
        <w:numPr>
          <w:ilvl w:val="3"/>
          <w:numId w:val="9"/>
        </w:numPr>
        <w:tabs>
          <w:tab w:pos="1969" w:val="left" w:leader="none"/>
          <w:tab w:pos="1970" w:val="left" w:leader="none"/>
        </w:tabs>
        <w:spacing w:line="240" w:lineRule="auto" w:before="0" w:after="0"/>
        <w:ind w:left="1970" w:right="0" w:hanging="360"/>
        <w:jc w:val="left"/>
        <w:rPr>
          <w:rFonts w:ascii="Times New Roman" w:eastAsia="Times New Roman"/>
          <w:sz w:val="21"/>
        </w:rPr>
      </w:pPr>
      <w:r>
        <w:rPr>
          <w:spacing w:val="-3"/>
          <w:sz w:val="21"/>
        </w:rPr>
        <w:t>语言能力完全丧失，或严重咀嚼吞咽功能障碍；</w:t>
      </w:r>
    </w:p>
    <w:p>
      <w:pPr>
        <w:pStyle w:val="BodyText"/>
        <w:rPr>
          <w:sz w:val="15"/>
        </w:rPr>
      </w:pPr>
    </w:p>
    <w:p>
      <w:pPr>
        <w:pStyle w:val="ListParagraph"/>
        <w:numPr>
          <w:ilvl w:val="3"/>
          <w:numId w:val="9"/>
        </w:numPr>
        <w:tabs>
          <w:tab w:pos="1969" w:val="left" w:leader="none"/>
          <w:tab w:pos="1970" w:val="left" w:leader="none"/>
        </w:tabs>
        <w:spacing w:line="278" w:lineRule="auto" w:before="0" w:after="0"/>
        <w:ind w:left="1970" w:right="1088" w:hanging="360"/>
        <w:jc w:val="left"/>
        <w:rPr>
          <w:rFonts w:ascii="Times New Roman" w:eastAsia="Times New Roman"/>
          <w:sz w:val="21"/>
        </w:rPr>
      </w:pPr>
      <w:r>
        <w:rPr>
          <w:spacing w:val="-2"/>
          <w:sz w:val="21"/>
        </w:rPr>
        <w:t>自主生活能力完全丧失，无法独立完成六项基本日常生活活动中的三项或三项</w:t>
      </w:r>
      <w:r>
        <w:rPr>
          <w:spacing w:val="-4"/>
          <w:sz w:val="21"/>
        </w:rPr>
        <w:t>以上。</w:t>
      </w:r>
    </w:p>
    <w:p>
      <w:pPr>
        <w:pStyle w:val="ListParagraph"/>
        <w:numPr>
          <w:ilvl w:val="2"/>
          <w:numId w:val="9"/>
        </w:numPr>
        <w:tabs>
          <w:tab w:pos="1819" w:val="left" w:leader="none"/>
        </w:tabs>
        <w:spacing w:line="240" w:lineRule="auto" w:before="156" w:after="0"/>
        <w:ind w:left="1818" w:right="0" w:hanging="802"/>
        <w:jc w:val="left"/>
        <w:rPr>
          <w:b/>
          <w:sz w:val="21"/>
        </w:rPr>
      </w:pPr>
      <w:r>
        <w:rPr>
          <w:b/>
          <w:spacing w:val="-2"/>
          <w:sz w:val="21"/>
        </w:rPr>
        <w:t>严重原发性帕金森病</w:t>
      </w:r>
    </w:p>
    <w:p>
      <w:pPr>
        <w:pStyle w:val="BodyText"/>
        <w:spacing w:line="278" w:lineRule="auto" w:before="163"/>
        <w:ind w:left="1610" w:right="884"/>
      </w:pPr>
      <w:r>
        <w:rPr>
          <w:spacing w:val="-8"/>
          <w:w w:val="100"/>
        </w:rPr>
        <w:t>是一种中枢神经系统的退行性疾病，临床表现为运动迟缓、静止性震颤或肌强直等，</w:t>
      </w:r>
      <w:r>
        <w:rPr>
          <w:spacing w:val="-5"/>
          <w:w w:val="100"/>
        </w:rPr>
        <w:t>经相关专科医生确诊，且须满足自主生活能力完全丧失，无法独立完成六项基本日</w:t>
      </w:r>
      <w:r>
        <w:rPr>
          <w:spacing w:val="-4"/>
          <w:w w:val="100"/>
        </w:rPr>
        <w:t>常生活活动中的三项或三项以上。</w:t>
      </w:r>
    </w:p>
    <w:p>
      <w:pPr>
        <w:spacing w:before="156"/>
        <w:ind w:left="1610" w:right="0" w:firstLine="0"/>
        <w:jc w:val="left"/>
        <w:rPr>
          <w:b/>
          <w:sz w:val="21"/>
        </w:rPr>
      </w:pPr>
      <w:r>
        <w:rPr>
          <w:b/>
          <w:spacing w:val="-3"/>
          <w:sz w:val="21"/>
        </w:rPr>
        <w:t>继发性帕金森综合征、帕金森叠加综合征不在保障范围内。</w:t>
      </w:r>
    </w:p>
    <w:p>
      <w:pPr>
        <w:pStyle w:val="BodyText"/>
        <w:spacing w:before="6"/>
        <w:rPr>
          <w:b/>
          <w:sz w:val="15"/>
        </w:rPr>
      </w:pPr>
    </w:p>
    <w:p>
      <w:pPr>
        <w:pStyle w:val="ListParagraph"/>
        <w:numPr>
          <w:ilvl w:val="2"/>
          <w:numId w:val="9"/>
        </w:numPr>
        <w:tabs>
          <w:tab w:pos="1819" w:val="left" w:leader="none"/>
        </w:tabs>
        <w:spacing w:line="240" w:lineRule="auto" w:before="1" w:after="0"/>
        <w:ind w:left="1818" w:right="0" w:hanging="802"/>
        <w:jc w:val="left"/>
        <w:rPr>
          <w:b/>
          <w:sz w:val="21"/>
        </w:rPr>
      </w:pPr>
      <w:r>
        <w:rPr>
          <w:b/>
          <w:spacing w:val="-2"/>
          <w:sz w:val="21"/>
        </w:rPr>
        <w:t>严重Ⅲ度烧伤</w:t>
      </w:r>
    </w:p>
    <w:p>
      <w:pPr>
        <w:pStyle w:val="BodyText"/>
        <w:spacing w:line="278" w:lineRule="auto" w:before="163"/>
        <w:ind w:left="1610" w:right="994"/>
      </w:pPr>
      <w:r>
        <w:rPr>
          <w:spacing w:val="-8"/>
        </w:rPr>
        <w:t>指烧伤程度为 </w:t>
      </w:r>
      <w:r>
        <w:rPr>
          <w:rFonts w:ascii="Times New Roman" w:eastAsia="Times New Roman"/>
        </w:rPr>
        <w:t>III</w:t>
      </w:r>
      <w:r>
        <w:rPr>
          <w:rFonts w:ascii="Times New Roman" w:eastAsia="Times New Roman"/>
          <w:spacing w:val="-14"/>
        </w:rPr>
        <w:t> </w:t>
      </w:r>
      <w:r>
        <w:rPr>
          <w:spacing w:val="-14"/>
        </w:rPr>
        <w:t>度，且 </w:t>
      </w:r>
      <w:r>
        <w:rPr>
          <w:rFonts w:ascii="Times New Roman" w:eastAsia="Times New Roman"/>
        </w:rPr>
        <w:t>III</w:t>
      </w:r>
      <w:r>
        <w:rPr>
          <w:rFonts w:ascii="Times New Roman" w:eastAsia="Times New Roman"/>
          <w:spacing w:val="-12"/>
        </w:rPr>
        <w:t> </w:t>
      </w:r>
      <w:r>
        <w:rPr>
          <w:spacing w:val="-4"/>
        </w:rPr>
        <w:t>度烧伤的面积达到全身体表面积的 </w:t>
      </w:r>
      <w:r>
        <w:rPr>
          <w:rFonts w:ascii="Times New Roman" w:eastAsia="Times New Roman"/>
        </w:rPr>
        <w:t>20%</w:t>
      </w:r>
      <w:r>
        <w:rPr>
          <w:spacing w:val="-28"/>
        </w:rPr>
        <w:t>或 </w:t>
      </w:r>
      <w:r>
        <w:rPr>
          <w:rFonts w:ascii="Times New Roman" w:eastAsia="Times New Roman"/>
        </w:rPr>
        <w:t>20%</w:t>
      </w:r>
      <w:r>
        <w:rPr/>
        <w:t>以上。体</w:t>
      </w:r>
      <w:r>
        <w:rPr>
          <w:spacing w:val="-2"/>
        </w:rPr>
        <w:t>表面积根据《中国新九分法》计算。</w:t>
      </w:r>
    </w:p>
    <w:p>
      <w:pPr>
        <w:spacing w:after="0" w:line="278" w:lineRule="auto"/>
        <w:sectPr>
          <w:pgSz w:w="11910" w:h="16840"/>
          <w:pgMar w:top="1380" w:bottom="280" w:left="1280" w:right="420"/>
        </w:sectPr>
      </w:pPr>
    </w:p>
    <w:p>
      <w:pPr>
        <w:pStyle w:val="ListParagraph"/>
        <w:numPr>
          <w:ilvl w:val="2"/>
          <w:numId w:val="9"/>
        </w:numPr>
        <w:tabs>
          <w:tab w:pos="1819" w:val="left" w:leader="none"/>
        </w:tabs>
        <w:spacing w:line="240" w:lineRule="auto" w:before="64" w:after="0"/>
        <w:ind w:left="1818" w:right="0" w:hanging="802"/>
        <w:jc w:val="left"/>
        <w:rPr>
          <w:b/>
          <w:sz w:val="21"/>
        </w:rPr>
      </w:pPr>
      <w:r>
        <w:rPr>
          <w:b/>
          <w:spacing w:val="-3"/>
          <w:sz w:val="21"/>
        </w:rPr>
        <w:t>严重特发性肺动脉高压</w:t>
      </w:r>
    </w:p>
    <w:p>
      <w:pPr>
        <w:spacing w:line="278" w:lineRule="auto" w:before="163"/>
        <w:ind w:left="1610" w:right="989" w:firstLine="0"/>
        <w:jc w:val="left"/>
        <w:rPr>
          <w:sz w:val="21"/>
        </w:rPr>
      </w:pPr>
      <w:r>
        <w:rPr>
          <w:spacing w:val="-2"/>
          <w:sz w:val="21"/>
        </w:rPr>
        <w:t>指不明原因的肺动脉压力持续性增高，进行性发展而导致的慢性疾病，已经造成永</w:t>
      </w:r>
      <w:r>
        <w:rPr>
          <w:sz w:val="21"/>
        </w:rPr>
        <w:t>久不可逆性的体力活动能力受限，达到</w:t>
      </w:r>
      <w:r>
        <w:rPr>
          <w:b/>
          <w:sz w:val="21"/>
        </w:rPr>
        <w:t>美国纽约心脏病学会（</w:t>
      </w:r>
      <w:r>
        <w:rPr>
          <w:rFonts w:ascii="Times New Roman" w:eastAsia="Times New Roman"/>
          <w:b/>
          <w:sz w:val="21"/>
        </w:rPr>
        <w:t>New York Heart Association</w:t>
      </w:r>
      <w:r>
        <w:rPr>
          <w:b/>
          <w:sz w:val="21"/>
        </w:rPr>
        <w:t>，</w:t>
      </w:r>
      <w:r>
        <w:rPr>
          <w:rFonts w:ascii="Times New Roman" w:eastAsia="Times New Roman"/>
          <w:b/>
          <w:sz w:val="21"/>
        </w:rPr>
        <w:t>NYHA</w:t>
      </w:r>
      <w:r>
        <w:rPr>
          <w:b/>
          <w:sz w:val="21"/>
        </w:rPr>
        <w:t>）心功能状态分级（见释义）</w:t>
      </w:r>
      <w:r>
        <w:rPr>
          <w:rFonts w:ascii="Times New Roman" w:eastAsia="Times New Roman"/>
          <w:sz w:val="21"/>
        </w:rPr>
        <w:t>IV</w:t>
      </w:r>
      <w:r>
        <w:rPr>
          <w:rFonts w:ascii="Times New Roman" w:eastAsia="Times New Roman"/>
          <w:spacing w:val="-14"/>
          <w:sz w:val="21"/>
        </w:rPr>
        <w:t> </w:t>
      </w:r>
      <w:r>
        <w:rPr>
          <w:sz w:val="21"/>
        </w:rPr>
        <w:t>级，且静息状态下肺动脉平均</w:t>
      </w:r>
      <w:r>
        <w:rPr>
          <w:spacing w:val="-15"/>
          <w:sz w:val="21"/>
        </w:rPr>
        <w:t>压在 </w:t>
      </w:r>
      <w:r>
        <w:rPr>
          <w:rFonts w:ascii="Times New Roman" w:eastAsia="Times New Roman"/>
          <w:sz w:val="21"/>
        </w:rPr>
        <w:t>36mmHg</w:t>
      </w:r>
      <w:r>
        <w:rPr>
          <w:sz w:val="21"/>
        </w:rPr>
        <w:t>（含）以上。</w:t>
      </w:r>
    </w:p>
    <w:p>
      <w:pPr>
        <w:pStyle w:val="ListParagraph"/>
        <w:numPr>
          <w:ilvl w:val="2"/>
          <w:numId w:val="9"/>
        </w:numPr>
        <w:tabs>
          <w:tab w:pos="1819" w:val="left" w:leader="none"/>
        </w:tabs>
        <w:spacing w:line="240" w:lineRule="auto" w:before="156" w:after="0"/>
        <w:ind w:left="1818" w:right="0" w:hanging="802"/>
        <w:jc w:val="left"/>
        <w:rPr>
          <w:b/>
          <w:sz w:val="21"/>
        </w:rPr>
      </w:pPr>
      <w:r>
        <w:rPr>
          <w:b/>
          <w:spacing w:val="-2"/>
          <w:sz w:val="21"/>
        </w:rPr>
        <w:t>严重运动神经元病</w:t>
      </w:r>
    </w:p>
    <w:p>
      <w:pPr>
        <w:pStyle w:val="BodyText"/>
        <w:spacing w:line="278" w:lineRule="auto" w:before="163"/>
        <w:ind w:left="1610" w:right="1025"/>
        <w:jc w:val="both"/>
      </w:pPr>
      <w:r>
        <w:rPr>
          <w:spacing w:val="-2"/>
        </w:rPr>
        <w:t>是一组中枢神经系统运动神经元的进行性变性疾病，包括进行性脊肌萎缩症、进行</w:t>
      </w:r>
      <w:r>
        <w:rPr>
          <w:spacing w:val="-2"/>
        </w:rPr>
        <w:t>性延髓麻痹症、原发性侧索硬化症、肌萎缩性侧索硬化症，经相关专科医生确诊，</w:t>
      </w:r>
      <w:r>
        <w:rPr>
          <w:spacing w:val="-2"/>
        </w:rPr>
        <w:t>且须满足下列至少一项条件：</w:t>
      </w:r>
    </w:p>
    <w:p>
      <w:pPr>
        <w:pStyle w:val="ListParagraph"/>
        <w:numPr>
          <w:ilvl w:val="3"/>
          <w:numId w:val="9"/>
        </w:numPr>
        <w:tabs>
          <w:tab w:pos="1970" w:val="left" w:leader="none"/>
        </w:tabs>
        <w:spacing w:line="240" w:lineRule="auto" w:before="156" w:after="0"/>
        <w:ind w:left="1970" w:right="0" w:hanging="360"/>
        <w:jc w:val="both"/>
        <w:rPr>
          <w:rFonts w:ascii="Times New Roman" w:eastAsia="Times New Roman"/>
          <w:sz w:val="21"/>
        </w:rPr>
      </w:pPr>
      <w:r>
        <w:rPr>
          <w:spacing w:val="-3"/>
          <w:sz w:val="21"/>
        </w:rPr>
        <w:t>严重咀嚼吞咽功能障碍；</w:t>
      </w:r>
    </w:p>
    <w:p>
      <w:pPr>
        <w:pStyle w:val="BodyText"/>
        <w:spacing w:before="6"/>
        <w:rPr>
          <w:sz w:val="15"/>
        </w:rPr>
      </w:pPr>
    </w:p>
    <w:p>
      <w:pPr>
        <w:pStyle w:val="ListParagraph"/>
        <w:numPr>
          <w:ilvl w:val="3"/>
          <w:numId w:val="9"/>
        </w:numPr>
        <w:tabs>
          <w:tab w:pos="1970" w:val="left" w:leader="none"/>
        </w:tabs>
        <w:spacing w:line="240" w:lineRule="auto" w:before="0" w:after="0"/>
        <w:ind w:left="1970" w:right="0" w:hanging="360"/>
        <w:jc w:val="both"/>
        <w:rPr>
          <w:rFonts w:ascii="Times New Roman" w:eastAsia="Times New Roman"/>
          <w:sz w:val="21"/>
        </w:rPr>
      </w:pPr>
      <w:r>
        <w:rPr>
          <w:spacing w:val="-4"/>
          <w:sz w:val="21"/>
        </w:rPr>
        <w:t>呼吸肌麻痹导致严重呼吸困难，且已经持续使用呼吸机 </w:t>
      </w:r>
      <w:r>
        <w:rPr>
          <w:rFonts w:ascii="Times New Roman" w:eastAsia="Times New Roman"/>
          <w:spacing w:val="-2"/>
          <w:sz w:val="21"/>
        </w:rPr>
        <w:t>7</w:t>
      </w:r>
      <w:r>
        <w:rPr>
          <w:rFonts w:ascii="Times New Roman" w:eastAsia="Times New Roman"/>
          <w:spacing w:val="9"/>
          <w:sz w:val="21"/>
        </w:rPr>
        <w:t> </w:t>
      </w:r>
      <w:r>
        <w:rPr>
          <w:spacing w:val="-2"/>
          <w:sz w:val="21"/>
        </w:rPr>
        <w:t>天（含）</w:t>
      </w:r>
      <w:r>
        <w:rPr>
          <w:spacing w:val="-5"/>
          <w:sz w:val="21"/>
        </w:rPr>
        <w:t>以上；</w:t>
      </w:r>
    </w:p>
    <w:p>
      <w:pPr>
        <w:pStyle w:val="BodyText"/>
        <w:rPr>
          <w:sz w:val="15"/>
        </w:rPr>
      </w:pPr>
    </w:p>
    <w:p>
      <w:pPr>
        <w:pStyle w:val="ListParagraph"/>
        <w:numPr>
          <w:ilvl w:val="3"/>
          <w:numId w:val="9"/>
        </w:numPr>
        <w:tabs>
          <w:tab w:pos="1969" w:val="left" w:leader="none"/>
          <w:tab w:pos="1970" w:val="left" w:leader="none"/>
        </w:tabs>
        <w:spacing w:line="278" w:lineRule="auto" w:before="1" w:after="0"/>
        <w:ind w:left="1970" w:right="1088" w:hanging="360"/>
        <w:jc w:val="left"/>
        <w:rPr>
          <w:rFonts w:ascii="Times New Roman" w:eastAsia="Times New Roman"/>
          <w:sz w:val="21"/>
        </w:rPr>
      </w:pPr>
      <w:r>
        <w:rPr>
          <w:spacing w:val="-2"/>
          <w:sz w:val="21"/>
        </w:rPr>
        <w:t>自主生活能力完全丧失，无法独立完成六项基本日常生活活动中的三项或三项</w:t>
      </w:r>
      <w:r>
        <w:rPr>
          <w:spacing w:val="-4"/>
          <w:sz w:val="21"/>
        </w:rPr>
        <w:t>以上。</w:t>
      </w:r>
    </w:p>
    <w:p>
      <w:pPr>
        <w:pStyle w:val="ListParagraph"/>
        <w:numPr>
          <w:ilvl w:val="2"/>
          <w:numId w:val="9"/>
        </w:numPr>
        <w:tabs>
          <w:tab w:pos="1819" w:val="left" w:leader="none"/>
        </w:tabs>
        <w:spacing w:line="240" w:lineRule="auto" w:before="155" w:after="0"/>
        <w:ind w:left="1818" w:right="0" w:hanging="802"/>
        <w:jc w:val="left"/>
        <w:rPr>
          <w:b/>
          <w:sz w:val="21"/>
        </w:rPr>
      </w:pPr>
      <w:r>
        <w:rPr>
          <w:b/>
          <w:spacing w:val="-2"/>
          <w:sz w:val="21"/>
        </w:rPr>
        <w:t>语言能力丧失</w:t>
      </w:r>
    </w:p>
    <w:p>
      <w:pPr>
        <w:pStyle w:val="BodyText"/>
        <w:spacing w:line="278" w:lineRule="auto" w:before="163"/>
        <w:ind w:left="1610" w:right="989"/>
      </w:pPr>
      <w:r>
        <w:rPr>
          <w:spacing w:val="-4"/>
        </w:rPr>
        <w:t>指因疾病或意外伤害导致语言能力完全丧失，经过积极治疗至少 </w:t>
      </w:r>
      <w:r>
        <w:rPr>
          <w:rFonts w:ascii="Times New Roman" w:eastAsia="Times New Roman"/>
          <w:spacing w:val="-2"/>
        </w:rPr>
        <w:t>12</w:t>
      </w:r>
      <w:r>
        <w:rPr>
          <w:rFonts w:ascii="Times New Roman" w:eastAsia="Times New Roman"/>
          <w:spacing w:val="-12"/>
        </w:rPr>
        <w:t> </w:t>
      </w:r>
      <w:r>
        <w:rPr>
          <w:spacing w:val="-2"/>
        </w:rPr>
        <w:t>个月（声带完全</w:t>
      </w:r>
      <w:r>
        <w:rPr>
          <w:spacing w:val="-2"/>
        </w:rPr>
        <w:t>切除不受此时间限制），仍无法通过现有医疗手段恢复。</w:t>
      </w:r>
    </w:p>
    <w:p>
      <w:pPr>
        <w:spacing w:before="156"/>
        <w:ind w:left="1610" w:right="0" w:firstLine="0"/>
        <w:jc w:val="left"/>
        <w:rPr>
          <w:b/>
          <w:sz w:val="21"/>
        </w:rPr>
      </w:pPr>
      <w:r>
        <w:rPr>
          <w:b/>
          <w:spacing w:val="-3"/>
          <w:sz w:val="21"/>
        </w:rPr>
        <w:t>精神心理因素所致的语言能力丧失不在保障范围内。</w:t>
      </w:r>
    </w:p>
    <w:p>
      <w:pPr>
        <w:pStyle w:val="BodyText"/>
        <w:rPr>
          <w:b/>
          <w:sz w:val="15"/>
        </w:rPr>
      </w:pPr>
    </w:p>
    <w:p>
      <w:pPr>
        <w:spacing w:line="278" w:lineRule="auto" w:before="0"/>
        <w:ind w:left="1610" w:right="1004" w:firstLine="0"/>
        <w:jc w:val="left"/>
        <w:rPr>
          <w:b/>
          <w:sz w:val="21"/>
        </w:rPr>
      </w:pPr>
      <w:r>
        <w:rPr>
          <w:b/>
          <w:spacing w:val="-2"/>
          <w:sz w:val="21"/>
        </w:rPr>
        <w:t>本合同仅对三周岁以上的被保险人予以理赔，并且须提供理赔当时的语言能力丧失</w:t>
      </w:r>
      <w:r>
        <w:rPr>
          <w:b/>
          <w:spacing w:val="-2"/>
          <w:sz w:val="21"/>
        </w:rPr>
        <w:t>诊断及检查证据。</w:t>
      </w:r>
    </w:p>
    <w:p>
      <w:pPr>
        <w:pStyle w:val="ListParagraph"/>
        <w:numPr>
          <w:ilvl w:val="2"/>
          <w:numId w:val="9"/>
        </w:numPr>
        <w:tabs>
          <w:tab w:pos="1819" w:val="left" w:leader="none"/>
        </w:tabs>
        <w:spacing w:line="240" w:lineRule="auto" w:before="156" w:after="0"/>
        <w:ind w:left="1818" w:right="0" w:hanging="802"/>
        <w:jc w:val="left"/>
        <w:rPr>
          <w:b/>
          <w:sz w:val="21"/>
        </w:rPr>
      </w:pPr>
      <w:r>
        <w:rPr>
          <w:b/>
          <w:spacing w:val="-2"/>
          <w:sz w:val="21"/>
        </w:rPr>
        <w:t>重型再生障碍性贫血</w:t>
      </w:r>
    </w:p>
    <w:p>
      <w:pPr>
        <w:pStyle w:val="BodyText"/>
        <w:spacing w:line="278" w:lineRule="auto" w:before="163"/>
        <w:ind w:left="1610" w:right="1026"/>
      </w:pPr>
      <w:r>
        <w:rPr>
          <w:spacing w:val="-2"/>
        </w:rPr>
        <w:t>指因骨髓造血功能慢性持续性衰竭导致的贫血、中性粒细胞减少及血小板减少，且</w:t>
      </w:r>
      <w:r>
        <w:rPr>
          <w:spacing w:val="-2"/>
        </w:rPr>
        <w:t>须满足下列全部条件：</w:t>
      </w:r>
    </w:p>
    <w:p>
      <w:pPr>
        <w:pStyle w:val="ListParagraph"/>
        <w:numPr>
          <w:ilvl w:val="3"/>
          <w:numId w:val="9"/>
        </w:numPr>
        <w:tabs>
          <w:tab w:pos="1969" w:val="left" w:leader="none"/>
          <w:tab w:pos="1970" w:val="left" w:leader="none"/>
        </w:tabs>
        <w:spacing w:line="240" w:lineRule="auto" w:before="156" w:after="0"/>
        <w:ind w:left="1970" w:right="0" w:hanging="360"/>
        <w:jc w:val="left"/>
        <w:rPr>
          <w:rFonts w:ascii="Times New Roman" w:eastAsia="Times New Roman"/>
          <w:sz w:val="21"/>
        </w:rPr>
      </w:pPr>
      <w:r>
        <w:rPr>
          <w:spacing w:val="-3"/>
          <w:sz w:val="21"/>
        </w:rPr>
        <w:t>骨髓穿刺检查或骨髓活检结果支持诊断：骨髓细胞增生程度＜正常的 </w:t>
      </w:r>
      <w:r>
        <w:rPr>
          <w:rFonts w:ascii="Times New Roman" w:eastAsia="Times New Roman"/>
          <w:spacing w:val="-2"/>
          <w:sz w:val="21"/>
        </w:rPr>
        <w:t>25%</w:t>
      </w:r>
      <w:r>
        <w:rPr>
          <w:spacing w:val="-6"/>
          <w:sz w:val="21"/>
        </w:rPr>
        <w:t>；如</w:t>
      </w:r>
    </w:p>
    <w:p>
      <w:pPr>
        <w:pStyle w:val="BodyText"/>
        <w:spacing w:before="43"/>
        <w:ind w:left="1970"/>
      </w:pPr>
      <w:r>
        <w:rPr>
          <w:spacing w:val="-10"/>
        </w:rPr>
        <w:t>≥正常的 </w:t>
      </w:r>
      <w:r>
        <w:rPr>
          <w:rFonts w:ascii="Times New Roman" w:hAnsi="Times New Roman" w:eastAsia="Times New Roman"/>
          <w:spacing w:val="-2"/>
        </w:rPr>
        <w:t>25%</w:t>
      </w:r>
      <w:r>
        <w:rPr>
          <w:spacing w:val="-2"/>
        </w:rPr>
        <w:t>但＜</w:t>
      </w:r>
      <w:r>
        <w:rPr>
          <w:rFonts w:ascii="Times New Roman" w:hAnsi="Times New Roman" w:eastAsia="Times New Roman"/>
          <w:spacing w:val="-2"/>
        </w:rPr>
        <w:t>50%</w:t>
      </w:r>
      <w:r>
        <w:rPr>
          <w:spacing w:val="-3"/>
        </w:rPr>
        <w:t>，则残存的造血细胞应＜</w:t>
      </w:r>
      <w:r>
        <w:rPr>
          <w:rFonts w:ascii="Times New Roman" w:hAnsi="Times New Roman" w:eastAsia="Times New Roman"/>
          <w:spacing w:val="-4"/>
        </w:rPr>
        <w:t>30%</w:t>
      </w:r>
      <w:r>
        <w:rPr>
          <w:spacing w:val="-4"/>
        </w:rPr>
        <w:t>；</w:t>
      </w:r>
    </w:p>
    <w:p>
      <w:pPr>
        <w:pStyle w:val="BodyText"/>
        <w:spacing w:before="6"/>
        <w:rPr>
          <w:sz w:val="15"/>
        </w:rPr>
      </w:pPr>
    </w:p>
    <w:p>
      <w:pPr>
        <w:pStyle w:val="ListParagraph"/>
        <w:numPr>
          <w:ilvl w:val="3"/>
          <w:numId w:val="9"/>
        </w:numPr>
        <w:tabs>
          <w:tab w:pos="1969" w:val="left" w:leader="none"/>
          <w:tab w:pos="1970" w:val="left" w:leader="none"/>
        </w:tabs>
        <w:spacing w:line="240" w:lineRule="auto" w:before="1" w:after="0"/>
        <w:ind w:left="1970" w:right="0" w:hanging="360"/>
        <w:jc w:val="left"/>
        <w:rPr>
          <w:rFonts w:ascii="Times New Roman" w:eastAsia="Times New Roman"/>
          <w:sz w:val="21"/>
        </w:rPr>
      </w:pPr>
      <w:r>
        <w:rPr>
          <w:spacing w:val="-3"/>
          <w:sz w:val="21"/>
        </w:rPr>
        <w:t>外周血象须具备以下三项条件中的两项：</w:t>
      </w:r>
    </w:p>
    <w:p>
      <w:pPr>
        <w:pStyle w:val="BodyText"/>
        <w:spacing w:before="6"/>
        <w:rPr>
          <w:sz w:val="15"/>
        </w:rPr>
      </w:pPr>
    </w:p>
    <w:p>
      <w:pPr>
        <w:pStyle w:val="BodyText"/>
        <w:spacing w:before="0"/>
        <w:ind w:left="1982"/>
      </w:pPr>
      <w:r>
        <w:rPr>
          <w:spacing w:val="6"/>
        </w:rPr>
        <w:t>① 中性粒细胞绝对值＜</w:t>
      </w:r>
      <w:r>
        <w:rPr>
          <w:rFonts w:ascii="Times New Roman" w:hAnsi="Times New Roman" w:eastAsia="Times New Roman"/>
          <w:spacing w:val="-2"/>
        </w:rPr>
        <w:t>0.5</w:t>
      </w:r>
      <w:r>
        <w:rPr>
          <w:spacing w:val="-2"/>
        </w:rPr>
        <w:t>×</w:t>
      </w:r>
      <w:r>
        <w:rPr>
          <w:rFonts w:ascii="Times New Roman" w:hAnsi="Times New Roman" w:eastAsia="Times New Roman"/>
          <w:spacing w:val="-2"/>
        </w:rPr>
        <w:t>10</w:t>
      </w:r>
      <w:r>
        <w:rPr>
          <w:rFonts w:ascii="Times New Roman" w:hAnsi="Times New Roman" w:eastAsia="Times New Roman"/>
          <w:spacing w:val="-2"/>
          <w:vertAlign w:val="superscript"/>
        </w:rPr>
        <w:t>9</w:t>
      </w:r>
      <w:r>
        <w:rPr>
          <w:rFonts w:ascii="Times New Roman" w:hAnsi="Times New Roman" w:eastAsia="Times New Roman"/>
          <w:spacing w:val="-2"/>
          <w:vertAlign w:val="baseline"/>
        </w:rPr>
        <w:t>/L</w:t>
      </w:r>
      <w:r>
        <w:rPr>
          <w:spacing w:val="-2"/>
          <w:vertAlign w:val="baseline"/>
        </w:rPr>
        <w:t>；</w:t>
      </w:r>
    </w:p>
    <w:p>
      <w:pPr>
        <w:pStyle w:val="BodyText"/>
        <w:spacing w:before="199"/>
        <w:ind w:left="1982"/>
      </w:pPr>
      <w:r>
        <w:rPr>
          <w:spacing w:val="7"/>
        </w:rPr>
        <w:t>② 网织红细胞计数＜</w:t>
      </w:r>
      <w:r>
        <w:rPr>
          <w:rFonts w:ascii="Times New Roman" w:hAnsi="Times New Roman" w:eastAsia="Times New Roman"/>
          <w:spacing w:val="-2"/>
        </w:rPr>
        <w:t>20</w:t>
      </w:r>
      <w:r>
        <w:rPr>
          <w:spacing w:val="-2"/>
        </w:rPr>
        <w:t>×</w:t>
      </w:r>
      <w:r>
        <w:rPr>
          <w:rFonts w:ascii="Times New Roman" w:hAnsi="Times New Roman" w:eastAsia="Times New Roman"/>
          <w:spacing w:val="-2"/>
        </w:rPr>
        <w:t>10</w:t>
      </w:r>
      <w:r>
        <w:rPr>
          <w:rFonts w:ascii="Times New Roman" w:hAnsi="Times New Roman" w:eastAsia="Times New Roman"/>
          <w:spacing w:val="-2"/>
          <w:vertAlign w:val="superscript"/>
        </w:rPr>
        <w:t>9</w:t>
      </w:r>
      <w:r>
        <w:rPr>
          <w:rFonts w:ascii="Times New Roman" w:hAnsi="Times New Roman" w:eastAsia="Times New Roman"/>
          <w:spacing w:val="-2"/>
          <w:vertAlign w:val="baseline"/>
        </w:rPr>
        <w:t>/L</w:t>
      </w:r>
      <w:r>
        <w:rPr>
          <w:spacing w:val="-2"/>
          <w:vertAlign w:val="baseline"/>
        </w:rPr>
        <w:t>；</w:t>
      </w:r>
    </w:p>
    <w:p>
      <w:pPr>
        <w:pStyle w:val="BodyText"/>
        <w:spacing w:before="199"/>
        <w:ind w:left="1982"/>
      </w:pPr>
      <w:r>
        <w:rPr>
          <w:spacing w:val="8"/>
        </w:rPr>
        <w:t>③ 血小板绝对值＜</w:t>
      </w:r>
      <w:r>
        <w:rPr>
          <w:rFonts w:ascii="Times New Roman" w:hAnsi="Times New Roman" w:eastAsia="Times New Roman"/>
        </w:rPr>
        <w:t>20</w:t>
      </w:r>
      <w:r>
        <w:rPr/>
        <w:t>×</w:t>
      </w:r>
      <w:r>
        <w:rPr>
          <w:rFonts w:ascii="Times New Roman" w:hAnsi="Times New Roman" w:eastAsia="Times New Roman"/>
        </w:rPr>
        <w:t>10</w:t>
      </w:r>
      <w:r>
        <w:rPr>
          <w:rFonts w:ascii="Times New Roman" w:hAnsi="Times New Roman" w:eastAsia="Times New Roman"/>
          <w:vertAlign w:val="superscript"/>
        </w:rPr>
        <w:t>9</w:t>
      </w:r>
      <w:r>
        <w:rPr>
          <w:rFonts w:ascii="Times New Roman" w:hAnsi="Times New Roman" w:eastAsia="Times New Roman"/>
          <w:vertAlign w:val="baseline"/>
        </w:rPr>
        <w:t>/L</w:t>
      </w:r>
      <w:r>
        <w:rPr>
          <w:spacing w:val="-10"/>
          <w:vertAlign w:val="baseline"/>
        </w:rPr>
        <w:t>。</w:t>
      </w:r>
    </w:p>
    <w:p>
      <w:pPr>
        <w:pStyle w:val="ListParagraph"/>
        <w:numPr>
          <w:ilvl w:val="2"/>
          <w:numId w:val="9"/>
        </w:numPr>
        <w:tabs>
          <w:tab w:pos="1819" w:val="left" w:leader="none"/>
        </w:tabs>
        <w:spacing w:line="240" w:lineRule="auto" w:before="199" w:after="0"/>
        <w:ind w:left="1818" w:right="0" w:hanging="802"/>
        <w:jc w:val="left"/>
        <w:rPr>
          <w:b/>
          <w:sz w:val="21"/>
        </w:rPr>
      </w:pPr>
      <w:r>
        <w:rPr>
          <w:b/>
          <w:spacing w:val="-2"/>
          <w:sz w:val="21"/>
        </w:rPr>
        <w:t>主动脉手术</w:t>
      </w:r>
    </w:p>
    <w:p>
      <w:pPr>
        <w:pStyle w:val="BodyText"/>
        <w:spacing w:line="278" w:lineRule="auto" w:before="164"/>
        <w:ind w:left="1610" w:right="1026"/>
        <w:jc w:val="both"/>
      </w:pPr>
      <w:r>
        <w:rPr>
          <w:spacing w:val="-2"/>
        </w:rPr>
        <w:t>指为治疗主动脉疾病或主动脉创伤，已经实施了开胸（含胸腔镜下）或开腹（含腹</w:t>
      </w:r>
      <w:r>
        <w:rPr>
          <w:spacing w:val="-2"/>
        </w:rPr>
        <w:t>腔镜下）进行的切除、置换、修补病损主动脉血管、主动脉创伤后修复的手术。主</w:t>
      </w:r>
      <w:r>
        <w:rPr>
          <w:spacing w:val="-2"/>
        </w:rPr>
        <w:t>动脉指升主动脉、主动脉弓和降主动脉（含胸主动脉和腹主动脉），不包括升主动</w:t>
      </w:r>
      <w:r>
        <w:rPr>
          <w:spacing w:val="-2"/>
        </w:rPr>
        <w:t>脉、主动脉弓和降主动脉的分支血管。</w:t>
      </w:r>
    </w:p>
    <w:p>
      <w:pPr>
        <w:spacing w:before="155"/>
        <w:ind w:left="1610" w:right="0" w:firstLine="0"/>
        <w:jc w:val="left"/>
        <w:rPr>
          <w:b/>
          <w:sz w:val="21"/>
        </w:rPr>
      </w:pPr>
      <w:r>
        <w:rPr>
          <w:b/>
          <w:spacing w:val="-3"/>
          <w:sz w:val="21"/>
        </w:rPr>
        <w:t>所有未实施开胸或开腹的动脉内介入治疗不在保障范围内。</w:t>
      </w:r>
    </w:p>
    <w:p>
      <w:pPr>
        <w:spacing w:after="0"/>
        <w:jc w:val="left"/>
        <w:rPr>
          <w:sz w:val="21"/>
        </w:rPr>
        <w:sectPr>
          <w:pgSz w:w="11910" w:h="16840"/>
          <w:pgMar w:top="1380" w:bottom="280" w:left="1280" w:right="420"/>
        </w:sectPr>
      </w:pPr>
    </w:p>
    <w:p>
      <w:pPr>
        <w:pStyle w:val="ListParagraph"/>
        <w:numPr>
          <w:ilvl w:val="2"/>
          <w:numId w:val="9"/>
        </w:numPr>
        <w:tabs>
          <w:tab w:pos="1819" w:val="left" w:leader="none"/>
        </w:tabs>
        <w:spacing w:line="240" w:lineRule="auto" w:before="64" w:after="0"/>
        <w:ind w:left="1818" w:right="0" w:hanging="802"/>
        <w:jc w:val="left"/>
        <w:rPr>
          <w:b/>
          <w:sz w:val="21"/>
        </w:rPr>
      </w:pPr>
      <w:r>
        <w:rPr>
          <w:b/>
          <w:spacing w:val="-2"/>
          <w:sz w:val="21"/>
        </w:rPr>
        <w:t>严重慢性呼吸衰竭</w:t>
      </w:r>
    </w:p>
    <w:p>
      <w:pPr>
        <w:pStyle w:val="BodyText"/>
        <w:spacing w:line="278" w:lineRule="auto" w:before="163"/>
        <w:ind w:left="1610" w:right="1025"/>
        <w:jc w:val="both"/>
      </w:pPr>
      <w:r>
        <w:rPr>
          <w:spacing w:val="-3"/>
        </w:rPr>
        <w:t>指因慢性呼吸系统疾病导致永久不可逆性的呼吸衰竭，经过积极治疗 </w:t>
      </w:r>
      <w:r>
        <w:rPr>
          <w:rFonts w:ascii="Times New Roman" w:eastAsia="Times New Roman"/>
          <w:spacing w:val="-2"/>
        </w:rPr>
        <w:t>180</w:t>
      </w:r>
      <w:r>
        <w:rPr>
          <w:rFonts w:ascii="Times New Roman" w:eastAsia="Times New Roman"/>
          <w:spacing w:val="21"/>
        </w:rPr>
        <w:t> </w:t>
      </w:r>
      <w:r>
        <w:rPr>
          <w:spacing w:val="-2"/>
        </w:rPr>
        <w:t>天后满足</w:t>
      </w:r>
      <w:r>
        <w:rPr>
          <w:spacing w:val="-2"/>
        </w:rPr>
        <w:t>以下所有条件：</w:t>
      </w:r>
    </w:p>
    <w:p>
      <w:pPr>
        <w:pStyle w:val="ListParagraph"/>
        <w:numPr>
          <w:ilvl w:val="3"/>
          <w:numId w:val="9"/>
        </w:numPr>
        <w:tabs>
          <w:tab w:pos="1969" w:val="left" w:leader="none"/>
          <w:tab w:pos="1970" w:val="left" w:leader="none"/>
        </w:tabs>
        <w:spacing w:line="240" w:lineRule="auto" w:before="156" w:after="0"/>
        <w:ind w:left="1970" w:right="0" w:hanging="360"/>
        <w:jc w:val="left"/>
        <w:rPr>
          <w:rFonts w:ascii="Times New Roman" w:eastAsia="Times New Roman"/>
          <w:sz w:val="21"/>
        </w:rPr>
      </w:pPr>
      <w:r>
        <w:rPr>
          <w:spacing w:val="-3"/>
          <w:sz w:val="21"/>
        </w:rPr>
        <w:t>静息时出现呼吸困难；</w:t>
      </w:r>
    </w:p>
    <w:p>
      <w:pPr>
        <w:pStyle w:val="BodyText"/>
        <w:rPr>
          <w:sz w:val="15"/>
        </w:rPr>
      </w:pPr>
    </w:p>
    <w:p>
      <w:pPr>
        <w:pStyle w:val="ListParagraph"/>
        <w:numPr>
          <w:ilvl w:val="3"/>
          <w:numId w:val="9"/>
        </w:numPr>
        <w:tabs>
          <w:tab w:pos="1969" w:val="left" w:leader="none"/>
          <w:tab w:pos="1970" w:val="left" w:leader="none"/>
        </w:tabs>
        <w:spacing w:line="240" w:lineRule="auto" w:before="0" w:after="0"/>
        <w:ind w:left="1970" w:right="0" w:hanging="360"/>
        <w:jc w:val="left"/>
        <w:rPr>
          <w:rFonts w:ascii="Times New Roman" w:eastAsia="Times New Roman"/>
          <w:sz w:val="21"/>
        </w:rPr>
      </w:pPr>
      <w:r>
        <w:rPr>
          <w:w w:val="95"/>
          <w:sz w:val="21"/>
        </w:rPr>
        <w:t>肺</w:t>
      </w:r>
      <w:r>
        <w:rPr>
          <w:w w:val="95"/>
          <w:sz w:val="21"/>
        </w:rPr>
        <w:t>功</w:t>
      </w:r>
      <w:r>
        <w:rPr>
          <w:w w:val="95"/>
          <w:sz w:val="21"/>
        </w:rPr>
        <w:t>能第一秒用力呼气容积（</w:t>
      </w:r>
      <w:r>
        <w:rPr>
          <w:rFonts w:ascii="Times New Roman" w:eastAsia="Times New Roman"/>
          <w:w w:val="95"/>
          <w:sz w:val="21"/>
        </w:rPr>
        <w:t>FEV</w:t>
      </w:r>
      <w:r>
        <w:rPr>
          <w:rFonts w:ascii="Times New Roman" w:eastAsia="Times New Roman"/>
          <w:w w:val="95"/>
          <w:sz w:val="21"/>
          <w:vertAlign w:val="subscript"/>
        </w:rPr>
        <w:t>1</w:t>
      </w:r>
      <w:r>
        <w:rPr>
          <w:w w:val="95"/>
          <w:sz w:val="21"/>
          <w:vertAlign w:val="baseline"/>
        </w:rPr>
        <w:t>）占预计值的百</w:t>
      </w:r>
      <w:r>
        <w:rPr>
          <w:w w:val="95"/>
          <w:sz w:val="21"/>
          <w:vertAlign w:val="baseline"/>
        </w:rPr>
        <w:t>分</w:t>
      </w:r>
      <w:r>
        <w:rPr>
          <w:w w:val="95"/>
          <w:sz w:val="21"/>
          <w:vertAlign w:val="baseline"/>
        </w:rPr>
        <w:t>比</w:t>
      </w:r>
      <w:r>
        <w:rPr>
          <w:spacing w:val="-2"/>
          <w:w w:val="95"/>
          <w:sz w:val="21"/>
          <w:vertAlign w:val="baseline"/>
        </w:rPr>
        <w:t>＜</w:t>
      </w:r>
      <w:r>
        <w:rPr>
          <w:rFonts w:ascii="Times New Roman" w:eastAsia="Times New Roman"/>
          <w:spacing w:val="-2"/>
          <w:w w:val="95"/>
          <w:sz w:val="21"/>
          <w:vertAlign w:val="baseline"/>
        </w:rPr>
        <w:t>30%</w:t>
      </w:r>
      <w:r>
        <w:rPr>
          <w:spacing w:val="-2"/>
          <w:w w:val="95"/>
          <w:sz w:val="21"/>
          <w:vertAlign w:val="baseline"/>
        </w:rPr>
        <w:t>；</w:t>
      </w:r>
    </w:p>
    <w:p>
      <w:pPr>
        <w:pStyle w:val="ListParagraph"/>
        <w:numPr>
          <w:ilvl w:val="3"/>
          <w:numId w:val="9"/>
        </w:numPr>
        <w:tabs>
          <w:tab w:pos="1969" w:val="left" w:leader="none"/>
          <w:tab w:pos="1970" w:val="left" w:leader="none"/>
        </w:tabs>
        <w:spacing w:line="240" w:lineRule="auto" w:before="199" w:after="0"/>
        <w:ind w:left="1970" w:right="0" w:hanging="360"/>
        <w:jc w:val="left"/>
        <w:rPr>
          <w:rFonts w:ascii="Times New Roman" w:eastAsia="Times New Roman"/>
          <w:sz w:val="21"/>
        </w:rPr>
      </w:pPr>
      <w:r>
        <w:rPr>
          <w:w w:val="95"/>
          <w:sz w:val="21"/>
        </w:rPr>
        <w:t>在</w:t>
      </w:r>
      <w:r>
        <w:rPr>
          <w:w w:val="95"/>
          <w:sz w:val="21"/>
        </w:rPr>
        <w:t>静</w:t>
      </w:r>
      <w:r>
        <w:rPr>
          <w:w w:val="95"/>
          <w:sz w:val="21"/>
        </w:rPr>
        <w:t>息状态、呼吸空气条</w:t>
      </w:r>
      <w:r>
        <w:rPr>
          <w:w w:val="95"/>
          <w:sz w:val="21"/>
        </w:rPr>
        <w:t>件</w:t>
      </w:r>
      <w:r>
        <w:rPr>
          <w:w w:val="95"/>
          <w:sz w:val="21"/>
        </w:rPr>
        <w:t>下</w:t>
      </w:r>
      <w:r>
        <w:rPr>
          <w:w w:val="95"/>
          <w:sz w:val="21"/>
        </w:rPr>
        <w:t>，动脉血氧分压（</w:t>
      </w:r>
      <w:r>
        <w:rPr>
          <w:rFonts w:ascii="Times New Roman" w:eastAsia="Times New Roman"/>
          <w:w w:val="95"/>
          <w:sz w:val="21"/>
        </w:rPr>
        <w:t>PaO</w:t>
      </w:r>
      <w:r>
        <w:rPr>
          <w:rFonts w:ascii="Times New Roman" w:eastAsia="Times New Roman"/>
          <w:w w:val="95"/>
          <w:sz w:val="21"/>
          <w:vertAlign w:val="subscript"/>
        </w:rPr>
        <w:t>2</w:t>
      </w:r>
      <w:r>
        <w:rPr>
          <w:w w:val="95"/>
          <w:sz w:val="21"/>
          <w:vertAlign w:val="baseline"/>
        </w:rPr>
        <w:t>）＜</w:t>
      </w:r>
      <w:r>
        <w:rPr>
          <w:rFonts w:ascii="Times New Roman" w:eastAsia="Times New Roman"/>
          <w:w w:val="95"/>
          <w:sz w:val="21"/>
          <w:vertAlign w:val="baseline"/>
        </w:rPr>
        <w:t>50mmHg</w:t>
      </w:r>
      <w:r>
        <w:rPr>
          <w:spacing w:val="-10"/>
          <w:w w:val="95"/>
          <w:sz w:val="21"/>
          <w:vertAlign w:val="baseline"/>
        </w:rPr>
        <w:t>。</w:t>
      </w:r>
    </w:p>
    <w:p>
      <w:pPr>
        <w:pStyle w:val="ListParagraph"/>
        <w:numPr>
          <w:ilvl w:val="2"/>
          <w:numId w:val="9"/>
        </w:numPr>
        <w:tabs>
          <w:tab w:pos="1819" w:val="left" w:leader="none"/>
        </w:tabs>
        <w:spacing w:line="240" w:lineRule="auto" w:before="199" w:after="0"/>
        <w:ind w:left="1818" w:right="7118" w:hanging="1819"/>
        <w:jc w:val="right"/>
        <w:rPr>
          <w:b/>
          <w:sz w:val="21"/>
        </w:rPr>
      </w:pPr>
      <w:r>
        <w:rPr>
          <w:b/>
          <w:spacing w:val="-2"/>
          <w:sz w:val="21"/>
        </w:rPr>
        <w:t>严重克罗恩病</w:t>
      </w:r>
    </w:p>
    <w:p>
      <w:pPr>
        <w:pStyle w:val="BodyText"/>
        <w:spacing w:line="278" w:lineRule="auto" w:before="163"/>
        <w:ind w:left="1610" w:right="1078"/>
        <w:jc w:val="both"/>
      </w:pPr>
      <w:r>
        <w:rPr/>
        <w:t>指一种慢性肉芽肿性肠炎，具有特征性的克罗恩病（</w:t>
      </w:r>
      <w:r>
        <w:rPr>
          <w:rFonts w:ascii="Times New Roman" w:eastAsia="Times New Roman"/>
        </w:rPr>
        <w:t>Crohn</w:t>
      </w:r>
      <w:r>
        <w:rPr>
          <w:rFonts w:ascii="Times New Roman" w:eastAsia="Times New Roman"/>
          <w:spacing w:val="-14"/>
        </w:rPr>
        <w:t> </w:t>
      </w:r>
      <w:r>
        <w:rPr/>
        <w:t>病）病理组织学变化，</w:t>
      </w:r>
      <w:r>
        <w:rPr>
          <w:spacing w:val="-2"/>
        </w:rPr>
        <w:t>须根据组织病理学特点诊断，且已经造成瘘管形成并伴有肠梗阻或肠穿孔。</w:t>
      </w:r>
    </w:p>
    <w:p>
      <w:pPr>
        <w:pStyle w:val="ListParagraph"/>
        <w:numPr>
          <w:ilvl w:val="2"/>
          <w:numId w:val="9"/>
        </w:numPr>
        <w:tabs>
          <w:tab w:pos="1819" w:val="left" w:leader="none"/>
        </w:tabs>
        <w:spacing w:line="240" w:lineRule="auto" w:before="156" w:after="0"/>
        <w:ind w:left="1818" w:right="0" w:hanging="802"/>
        <w:jc w:val="left"/>
        <w:rPr>
          <w:b/>
          <w:sz w:val="21"/>
        </w:rPr>
      </w:pPr>
      <w:r>
        <w:rPr>
          <w:b/>
          <w:spacing w:val="-2"/>
          <w:sz w:val="21"/>
        </w:rPr>
        <w:t>严重溃疡性结肠炎</w:t>
      </w:r>
    </w:p>
    <w:p>
      <w:pPr>
        <w:pStyle w:val="BodyText"/>
        <w:spacing w:line="278" w:lineRule="auto" w:before="163"/>
        <w:ind w:left="1610" w:right="1025"/>
        <w:jc w:val="both"/>
      </w:pPr>
      <w:r>
        <w:rPr>
          <w:spacing w:val="-2"/>
        </w:rPr>
        <w:t>指伴有致命性电解质紊乱的急性暴发性溃疡性结肠炎，病变已经累及全结肠，表现</w:t>
      </w:r>
      <w:r>
        <w:rPr>
          <w:spacing w:val="-2"/>
        </w:rPr>
        <w:t>为严重的血便和系统性症状体征，须根据组织病理学特点诊断，且已经实施了结肠</w:t>
      </w:r>
      <w:r>
        <w:rPr>
          <w:spacing w:val="-2"/>
        </w:rPr>
        <w:t>切除或回肠造瘘术。</w:t>
      </w:r>
    </w:p>
    <w:p>
      <w:pPr>
        <w:pStyle w:val="ListParagraph"/>
        <w:numPr>
          <w:ilvl w:val="2"/>
          <w:numId w:val="9"/>
        </w:numPr>
        <w:tabs>
          <w:tab w:pos="1819" w:val="left" w:leader="none"/>
        </w:tabs>
        <w:spacing w:line="240" w:lineRule="auto" w:before="156" w:after="0"/>
        <w:ind w:left="1818" w:right="7118" w:hanging="1819"/>
        <w:jc w:val="right"/>
        <w:rPr>
          <w:b/>
          <w:sz w:val="21"/>
        </w:rPr>
      </w:pPr>
      <w:r>
        <w:rPr>
          <w:b/>
          <w:spacing w:val="-2"/>
          <w:sz w:val="21"/>
        </w:rPr>
        <w:t>多发性硬化症</w:t>
      </w:r>
    </w:p>
    <w:p>
      <w:pPr>
        <w:pStyle w:val="BodyText"/>
        <w:spacing w:line="278" w:lineRule="auto" w:before="163"/>
        <w:ind w:left="1610" w:right="1026"/>
        <w:jc w:val="both"/>
      </w:pPr>
      <w:r>
        <w:rPr>
          <w:spacing w:val="-2"/>
        </w:rPr>
        <w:t>多发性硬化症为中枢神经系统白质多灶性脱髓鞘病变，病变有时累及灰质。多发性</w:t>
      </w:r>
      <w:r>
        <w:rPr>
          <w:spacing w:val="-2"/>
        </w:rPr>
        <w:t>硬化症必须由我们指定或认可的医院的神经专科医生确诊。必须伴有典型的脱髓鞘</w:t>
      </w:r>
      <w:r>
        <w:rPr>
          <w:spacing w:val="-2"/>
        </w:rPr>
        <w:t>症状和运动及感觉功能障碍的证据并有核磁共振检查（</w:t>
      </w:r>
      <w:r>
        <w:rPr>
          <w:rFonts w:ascii="Times New Roman" w:eastAsia="Times New Roman"/>
          <w:spacing w:val="-2"/>
        </w:rPr>
        <w:t>MRI</w:t>
      </w:r>
      <w:r>
        <w:rPr>
          <w:spacing w:val="-2"/>
        </w:rPr>
        <w:t>）和脑脊液检查的典型</w:t>
      </w:r>
      <w:r>
        <w:rPr>
          <w:spacing w:val="-2"/>
        </w:rPr>
        <w:t>阳性改变。多发性硬化症必须造成神经系统永久性功能损害并且已导致被保险人自</w:t>
      </w:r>
      <w:r>
        <w:rPr>
          <w:spacing w:val="-2"/>
        </w:rPr>
        <w:t>主生活能力完全丧失，无法独立完成六项基本日常生活活动中的三项或三项以上持</w:t>
      </w:r>
      <w:r>
        <w:rPr>
          <w:spacing w:val="-8"/>
        </w:rPr>
        <w:t>续达 </w:t>
      </w:r>
      <w:r>
        <w:rPr>
          <w:rFonts w:ascii="Times New Roman" w:eastAsia="Times New Roman"/>
        </w:rPr>
        <w:t>180 </w:t>
      </w:r>
      <w:r>
        <w:rPr/>
        <w:t>日以上。</w:t>
      </w:r>
    </w:p>
    <w:p>
      <w:pPr>
        <w:pStyle w:val="ListParagraph"/>
        <w:numPr>
          <w:ilvl w:val="2"/>
          <w:numId w:val="9"/>
        </w:numPr>
        <w:tabs>
          <w:tab w:pos="1819" w:val="left" w:leader="none"/>
        </w:tabs>
        <w:spacing w:line="240" w:lineRule="auto" w:before="155" w:after="0"/>
        <w:ind w:left="1818" w:right="0" w:hanging="802"/>
        <w:jc w:val="both"/>
        <w:rPr>
          <w:b/>
          <w:sz w:val="21"/>
        </w:rPr>
      </w:pPr>
      <w:r>
        <w:rPr>
          <w:b/>
          <w:spacing w:val="-3"/>
          <w:sz w:val="21"/>
        </w:rPr>
        <w:t>系统性红斑狼疮合并狼疮性肾炎</w:t>
      </w:r>
    </w:p>
    <w:p>
      <w:pPr>
        <w:spacing w:line="278" w:lineRule="auto" w:before="163"/>
        <w:ind w:left="1610" w:right="1003" w:firstLine="0"/>
        <w:jc w:val="both"/>
        <w:rPr>
          <w:b/>
          <w:sz w:val="21"/>
        </w:rPr>
      </w:pPr>
      <w:r>
        <w:rPr>
          <w:spacing w:val="-2"/>
          <w:sz w:val="21"/>
        </w:rPr>
        <w:t>系统性红斑狼疮是指由于自身抗体和免疫复合物的沉积破坏了血管和细胞而导致的</w:t>
      </w:r>
      <w:r>
        <w:rPr>
          <w:spacing w:val="-2"/>
          <w:sz w:val="21"/>
        </w:rPr>
        <w:t>累及多系统损害的一种自体免疫性疾病。</w:t>
      </w:r>
      <w:r>
        <w:rPr>
          <w:b/>
          <w:spacing w:val="-2"/>
          <w:sz w:val="21"/>
        </w:rPr>
        <w:t>本保障仅限于被保险人因系统性红斑狼疮</w:t>
      </w:r>
      <w:r>
        <w:rPr>
          <w:b/>
          <w:spacing w:val="-3"/>
          <w:sz w:val="21"/>
        </w:rPr>
        <w:t>并发狼疮性肾炎并引起肾功能损害，且肾脏病理诊断符合以下列明的世界卫生组织</w:t>
      </w:r>
    </w:p>
    <w:p>
      <w:pPr>
        <w:spacing w:line="278" w:lineRule="auto" w:before="0"/>
        <w:ind w:left="1610" w:right="1092" w:firstLine="0"/>
        <w:jc w:val="both"/>
        <w:rPr>
          <w:sz w:val="21"/>
        </w:rPr>
      </w:pPr>
      <w:r>
        <w:rPr>
          <w:b/>
          <w:spacing w:val="-2"/>
          <w:sz w:val="21"/>
        </w:rPr>
        <w:t>（</w:t>
      </w:r>
      <w:r>
        <w:rPr>
          <w:rFonts w:ascii="Times New Roman" w:eastAsia="Times New Roman"/>
          <w:b/>
          <w:spacing w:val="-2"/>
          <w:sz w:val="21"/>
        </w:rPr>
        <w:t>WHO</w:t>
      </w:r>
      <w:r>
        <w:rPr>
          <w:b/>
          <w:spacing w:val="-2"/>
          <w:sz w:val="21"/>
        </w:rPr>
        <w:t>，</w:t>
      </w:r>
      <w:r>
        <w:rPr>
          <w:rFonts w:ascii="Times New Roman" w:eastAsia="Times New Roman"/>
          <w:b/>
          <w:spacing w:val="-2"/>
          <w:sz w:val="21"/>
        </w:rPr>
        <w:t>World</w:t>
      </w:r>
      <w:r>
        <w:rPr>
          <w:rFonts w:ascii="Times New Roman" w:eastAsia="Times New Roman"/>
          <w:b/>
          <w:spacing w:val="17"/>
          <w:sz w:val="21"/>
        </w:rPr>
        <w:t> </w:t>
      </w:r>
      <w:r>
        <w:rPr>
          <w:rFonts w:ascii="Times New Roman" w:eastAsia="Times New Roman"/>
          <w:b/>
          <w:spacing w:val="-2"/>
          <w:sz w:val="21"/>
        </w:rPr>
        <w:t>Health</w:t>
      </w:r>
      <w:r>
        <w:rPr>
          <w:rFonts w:ascii="Times New Roman" w:eastAsia="Times New Roman"/>
          <w:b/>
          <w:spacing w:val="22"/>
          <w:sz w:val="21"/>
        </w:rPr>
        <w:t> </w:t>
      </w:r>
      <w:r>
        <w:rPr>
          <w:rFonts w:ascii="Times New Roman" w:eastAsia="Times New Roman"/>
          <w:b/>
          <w:spacing w:val="-2"/>
          <w:sz w:val="21"/>
        </w:rPr>
        <w:t>Organization</w:t>
      </w:r>
      <w:r>
        <w:rPr>
          <w:b/>
          <w:spacing w:val="-2"/>
          <w:sz w:val="21"/>
        </w:rPr>
        <w:t>）</w:t>
      </w:r>
      <w:r>
        <w:rPr>
          <w:b/>
          <w:spacing w:val="-4"/>
          <w:sz w:val="21"/>
        </w:rPr>
        <w:t>对狼疮性肾炎所分类中的第 </w:t>
      </w:r>
      <w:r>
        <w:rPr>
          <w:rFonts w:ascii="Times New Roman" w:eastAsia="Times New Roman"/>
          <w:b/>
          <w:spacing w:val="-2"/>
          <w:sz w:val="21"/>
        </w:rPr>
        <w:t>III</w:t>
      </w:r>
      <w:r>
        <w:rPr>
          <w:b/>
          <w:spacing w:val="-2"/>
          <w:sz w:val="21"/>
        </w:rPr>
        <w:t>、</w:t>
      </w:r>
      <w:r>
        <w:rPr>
          <w:rFonts w:ascii="Times New Roman" w:eastAsia="Times New Roman"/>
          <w:b/>
          <w:spacing w:val="-2"/>
          <w:sz w:val="21"/>
        </w:rPr>
        <w:t>IV</w:t>
      </w:r>
      <w:r>
        <w:rPr>
          <w:b/>
          <w:spacing w:val="-2"/>
          <w:sz w:val="21"/>
        </w:rPr>
        <w:t>、</w:t>
      </w:r>
      <w:r>
        <w:rPr>
          <w:rFonts w:ascii="Times New Roman" w:eastAsia="Times New Roman"/>
          <w:b/>
          <w:spacing w:val="-2"/>
          <w:sz w:val="21"/>
        </w:rPr>
        <w:t>V</w:t>
      </w:r>
      <w:r>
        <w:rPr>
          <w:b/>
          <w:spacing w:val="-2"/>
          <w:sz w:val="21"/>
        </w:rPr>
        <w:t>、 </w:t>
      </w:r>
      <w:r>
        <w:rPr>
          <w:rFonts w:ascii="Times New Roman" w:eastAsia="Times New Roman"/>
          <w:b/>
          <w:sz w:val="21"/>
        </w:rPr>
        <w:t>VI </w:t>
      </w:r>
      <w:r>
        <w:rPr>
          <w:b/>
          <w:sz w:val="21"/>
        </w:rPr>
        <w:t>型。</w:t>
      </w:r>
      <w:r>
        <w:rPr>
          <w:sz w:val="21"/>
        </w:rPr>
        <w:t>诊断须由有资格的风湿和免疫病专科医生确认。</w:t>
      </w:r>
    </w:p>
    <w:p>
      <w:pPr>
        <w:pStyle w:val="BodyText"/>
        <w:spacing w:before="156"/>
        <w:ind w:left="1610"/>
      </w:pPr>
      <w:r>
        <w:rPr>
          <w:spacing w:val="-2"/>
        </w:rPr>
        <w:t>世界卫生组织（</w:t>
      </w:r>
      <w:r>
        <w:rPr>
          <w:rFonts w:ascii="Times New Roman" w:eastAsia="Times New Roman"/>
          <w:spacing w:val="-2"/>
        </w:rPr>
        <w:t>WHO</w:t>
      </w:r>
      <w:r>
        <w:rPr>
          <w:spacing w:val="-2"/>
        </w:rPr>
        <w:t>）</w:t>
      </w:r>
      <w:r>
        <w:rPr>
          <w:spacing w:val="-3"/>
        </w:rPr>
        <w:t>对狼疮性肾炎的分类标准：</w:t>
      </w:r>
    </w:p>
    <w:p>
      <w:pPr>
        <w:pStyle w:val="BodyText"/>
        <w:spacing w:before="6"/>
        <w:rPr>
          <w:sz w:val="15"/>
        </w:rPr>
      </w:pPr>
    </w:p>
    <w:p>
      <w:pPr>
        <w:pStyle w:val="ListParagraph"/>
        <w:numPr>
          <w:ilvl w:val="3"/>
          <w:numId w:val="9"/>
        </w:numPr>
        <w:tabs>
          <w:tab w:pos="1981" w:val="left" w:leader="none"/>
          <w:tab w:pos="1982" w:val="left" w:leader="none"/>
        </w:tabs>
        <w:spacing w:line="240" w:lineRule="auto" w:before="1" w:after="0"/>
        <w:ind w:left="1982" w:right="0" w:hanging="372"/>
        <w:jc w:val="left"/>
        <w:rPr>
          <w:rFonts w:ascii="Times New Roman" w:hAnsi="Times New Roman" w:eastAsia="Times New Roman"/>
          <w:sz w:val="21"/>
        </w:rPr>
      </w:pPr>
      <w:r>
        <w:rPr>
          <w:rFonts w:ascii="Times New Roman" w:hAnsi="Times New Roman" w:eastAsia="Times New Roman"/>
          <w:sz w:val="21"/>
        </w:rPr>
        <w:t>I</w:t>
      </w:r>
      <w:r>
        <w:rPr>
          <w:rFonts w:ascii="Times New Roman" w:hAnsi="Times New Roman" w:eastAsia="Times New Roman"/>
          <w:spacing w:val="-9"/>
          <w:sz w:val="21"/>
        </w:rPr>
        <w:t> </w:t>
      </w:r>
      <w:r>
        <w:rPr>
          <w:sz w:val="21"/>
        </w:rPr>
        <w:t>型</w:t>
      </w:r>
      <w:r>
        <w:rPr>
          <w:rFonts w:ascii="Times New Roman" w:hAnsi="Times New Roman" w:eastAsia="Times New Roman"/>
          <w:sz w:val="21"/>
        </w:rPr>
        <w:t>–</w:t>
      </w:r>
      <w:r>
        <w:rPr>
          <w:spacing w:val="-2"/>
          <w:sz w:val="21"/>
        </w:rPr>
        <w:t>正常肾小球型；</w:t>
      </w:r>
    </w:p>
    <w:p>
      <w:pPr>
        <w:pStyle w:val="BodyText"/>
        <w:spacing w:before="6"/>
        <w:rPr>
          <w:sz w:val="15"/>
        </w:rPr>
      </w:pPr>
    </w:p>
    <w:p>
      <w:pPr>
        <w:pStyle w:val="ListParagraph"/>
        <w:numPr>
          <w:ilvl w:val="3"/>
          <w:numId w:val="9"/>
        </w:numPr>
        <w:tabs>
          <w:tab w:pos="1981" w:val="left" w:leader="none"/>
          <w:tab w:pos="1982" w:val="left" w:leader="none"/>
        </w:tabs>
        <w:spacing w:line="240" w:lineRule="auto" w:before="0" w:after="0"/>
        <w:ind w:left="1982" w:right="0" w:hanging="372"/>
        <w:jc w:val="left"/>
        <w:rPr>
          <w:rFonts w:ascii="Times New Roman" w:hAnsi="Times New Roman" w:eastAsia="Times New Roman"/>
          <w:sz w:val="21"/>
        </w:rPr>
      </w:pPr>
      <w:r>
        <w:rPr>
          <w:rFonts w:ascii="Times New Roman" w:hAnsi="Times New Roman" w:eastAsia="Times New Roman"/>
          <w:sz w:val="21"/>
        </w:rPr>
        <w:t>II</w:t>
      </w:r>
      <w:r>
        <w:rPr>
          <w:rFonts w:ascii="Times New Roman" w:hAnsi="Times New Roman" w:eastAsia="Times New Roman"/>
          <w:spacing w:val="-10"/>
          <w:sz w:val="21"/>
        </w:rPr>
        <w:t> </w:t>
      </w:r>
      <w:r>
        <w:rPr>
          <w:sz w:val="21"/>
        </w:rPr>
        <w:t>型</w:t>
      </w:r>
      <w:r>
        <w:rPr>
          <w:rFonts w:ascii="Times New Roman" w:hAnsi="Times New Roman" w:eastAsia="Times New Roman"/>
          <w:sz w:val="21"/>
        </w:rPr>
        <w:t>–</w:t>
      </w:r>
      <w:r>
        <w:rPr>
          <w:spacing w:val="-2"/>
          <w:sz w:val="21"/>
        </w:rPr>
        <w:t>系膜增生型；</w:t>
      </w:r>
    </w:p>
    <w:p>
      <w:pPr>
        <w:pStyle w:val="BodyText"/>
        <w:rPr>
          <w:sz w:val="15"/>
        </w:rPr>
      </w:pPr>
    </w:p>
    <w:p>
      <w:pPr>
        <w:pStyle w:val="ListParagraph"/>
        <w:numPr>
          <w:ilvl w:val="3"/>
          <w:numId w:val="9"/>
        </w:numPr>
        <w:tabs>
          <w:tab w:pos="1981" w:val="left" w:leader="none"/>
          <w:tab w:pos="1982" w:val="left" w:leader="none"/>
        </w:tabs>
        <w:spacing w:line="240" w:lineRule="auto" w:before="0" w:after="0"/>
        <w:ind w:left="1982" w:right="0" w:hanging="372"/>
        <w:jc w:val="left"/>
        <w:rPr>
          <w:rFonts w:ascii="Times New Roman" w:hAnsi="Times New Roman" w:eastAsia="Times New Roman"/>
          <w:sz w:val="21"/>
        </w:rPr>
      </w:pPr>
      <w:r>
        <w:rPr>
          <w:rFonts w:ascii="Times New Roman" w:hAnsi="Times New Roman" w:eastAsia="Times New Roman"/>
          <w:spacing w:val="-2"/>
          <w:sz w:val="21"/>
        </w:rPr>
        <w:t>III</w:t>
      </w:r>
      <w:r>
        <w:rPr>
          <w:rFonts w:ascii="Times New Roman" w:hAnsi="Times New Roman" w:eastAsia="Times New Roman"/>
          <w:spacing w:val="10"/>
          <w:sz w:val="21"/>
        </w:rPr>
        <w:t> </w:t>
      </w:r>
      <w:r>
        <w:rPr>
          <w:spacing w:val="-2"/>
          <w:sz w:val="21"/>
        </w:rPr>
        <w:t>型</w:t>
      </w:r>
      <w:r>
        <w:rPr>
          <w:rFonts w:ascii="Times New Roman" w:hAnsi="Times New Roman" w:eastAsia="Times New Roman"/>
          <w:spacing w:val="-2"/>
          <w:sz w:val="21"/>
        </w:rPr>
        <w:t>–</w:t>
      </w:r>
      <w:r>
        <w:rPr>
          <w:spacing w:val="-3"/>
          <w:sz w:val="21"/>
        </w:rPr>
        <w:t>局灶及节段增生型；</w:t>
      </w:r>
    </w:p>
    <w:p>
      <w:pPr>
        <w:pStyle w:val="BodyText"/>
        <w:rPr>
          <w:sz w:val="15"/>
        </w:rPr>
      </w:pPr>
    </w:p>
    <w:p>
      <w:pPr>
        <w:pStyle w:val="ListParagraph"/>
        <w:numPr>
          <w:ilvl w:val="3"/>
          <w:numId w:val="9"/>
        </w:numPr>
        <w:tabs>
          <w:tab w:pos="1981" w:val="left" w:leader="none"/>
          <w:tab w:pos="1982" w:val="left" w:leader="none"/>
        </w:tabs>
        <w:spacing w:line="240" w:lineRule="auto" w:before="0" w:after="0"/>
        <w:ind w:left="1982" w:right="0" w:hanging="372"/>
        <w:jc w:val="left"/>
        <w:rPr>
          <w:rFonts w:ascii="Times New Roman" w:hAnsi="Times New Roman" w:eastAsia="Times New Roman"/>
          <w:sz w:val="21"/>
        </w:rPr>
      </w:pPr>
      <w:r>
        <w:rPr>
          <w:rFonts w:ascii="Times New Roman" w:hAnsi="Times New Roman" w:eastAsia="Times New Roman"/>
          <w:sz w:val="21"/>
        </w:rPr>
        <w:t>IV</w:t>
      </w:r>
      <w:r>
        <w:rPr>
          <w:rFonts w:ascii="Times New Roman" w:hAnsi="Times New Roman" w:eastAsia="Times New Roman"/>
          <w:spacing w:val="-10"/>
          <w:sz w:val="21"/>
        </w:rPr>
        <w:t> </w:t>
      </w:r>
      <w:r>
        <w:rPr>
          <w:sz w:val="21"/>
        </w:rPr>
        <w:t>型</w:t>
      </w:r>
      <w:r>
        <w:rPr>
          <w:rFonts w:ascii="Times New Roman" w:hAnsi="Times New Roman" w:eastAsia="Times New Roman"/>
          <w:sz w:val="21"/>
        </w:rPr>
        <w:t>–</w:t>
      </w:r>
      <w:r>
        <w:rPr>
          <w:spacing w:val="-2"/>
          <w:sz w:val="21"/>
        </w:rPr>
        <w:t>弥漫增生型；</w:t>
      </w:r>
    </w:p>
    <w:p>
      <w:pPr>
        <w:pStyle w:val="BodyText"/>
        <w:rPr>
          <w:sz w:val="15"/>
        </w:rPr>
      </w:pPr>
    </w:p>
    <w:p>
      <w:pPr>
        <w:pStyle w:val="ListParagraph"/>
        <w:numPr>
          <w:ilvl w:val="3"/>
          <w:numId w:val="9"/>
        </w:numPr>
        <w:tabs>
          <w:tab w:pos="371" w:val="left" w:leader="none"/>
          <w:tab w:pos="1982" w:val="left" w:leader="none"/>
        </w:tabs>
        <w:spacing w:line="240" w:lineRule="auto" w:before="0" w:after="0"/>
        <w:ind w:left="1982" w:right="7070" w:hanging="1982"/>
        <w:jc w:val="right"/>
        <w:rPr>
          <w:rFonts w:ascii="Times New Roman" w:hAnsi="Times New Roman" w:eastAsia="Times New Roman"/>
          <w:sz w:val="21"/>
        </w:rPr>
      </w:pPr>
      <w:r>
        <w:rPr>
          <w:rFonts w:ascii="Times New Roman" w:hAnsi="Times New Roman" w:eastAsia="Times New Roman"/>
          <w:sz w:val="21"/>
        </w:rPr>
        <w:t>V</w:t>
      </w:r>
      <w:r>
        <w:rPr>
          <w:rFonts w:ascii="Times New Roman" w:hAnsi="Times New Roman" w:eastAsia="Times New Roman"/>
          <w:spacing w:val="-5"/>
          <w:sz w:val="21"/>
        </w:rPr>
        <w:t> </w:t>
      </w:r>
      <w:r>
        <w:rPr>
          <w:sz w:val="21"/>
        </w:rPr>
        <w:t>型</w:t>
      </w:r>
      <w:r>
        <w:rPr>
          <w:rFonts w:ascii="Times New Roman" w:hAnsi="Times New Roman" w:eastAsia="Times New Roman"/>
          <w:sz w:val="21"/>
        </w:rPr>
        <w:t>–</w:t>
      </w:r>
      <w:r>
        <w:rPr>
          <w:spacing w:val="-4"/>
          <w:sz w:val="21"/>
        </w:rPr>
        <w:t>膜型；</w:t>
      </w:r>
    </w:p>
    <w:p>
      <w:pPr>
        <w:pStyle w:val="BodyText"/>
        <w:rPr>
          <w:sz w:val="15"/>
        </w:rPr>
      </w:pPr>
    </w:p>
    <w:p>
      <w:pPr>
        <w:pStyle w:val="ListParagraph"/>
        <w:numPr>
          <w:ilvl w:val="3"/>
          <w:numId w:val="9"/>
        </w:numPr>
        <w:tabs>
          <w:tab w:pos="1981" w:val="left" w:leader="none"/>
          <w:tab w:pos="1982" w:val="left" w:leader="none"/>
        </w:tabs>
        <w:spacing w:line="240" w:lineRule="auto" w:before="0" w:after="0"/>
        <w:ind w:left="1982" w:right="0" w:hanging="372"/>
        <w:jc w:val="left"/>
        <w:rPr>
          <w:rFonts w:ascii="Times New Roman" w:hAnsi="Times New Roman" w:eastAsia="Times New Roman"/>
          <w:sz w:val="21"/>
        </w:rPr>
      </w:pPr>
      <w:r>
        <w:rPr>
          <w:rFonts w:ascii="Times New Roman" w:hAnsi="Times New Roman" w:eastAsia="Times New Roman"/>
          <w:sz w:val="21"/>
        </w:rPr>
        <w:t>VI</w:t>
      </w:r>
      <w:r>
        <w:rPr>
          <w:rFonts w:ascii="Times New Roman" w:hAnsi="Times New Roman" w:eastAsia="Times New Roman"/>
          <w:spacing w:val="-13"/>
          <w:sz w:val="21"/>
        </w:rPr>
        <w:t> </w:t>
      </w:r>
      <w:r>
        <w:rPr>
          <w:sz w:val="21"/>
        </w:rPr>
        <w:t>型</w:t>
      </w:r>
      <w:r>
        <w:rPr>
          <w:rFonts w:ascii="Times New Roman" w:hAnsi="Times New Roman" w:eastAsia="Times New Roman"/>
          <w:sz w:val="21"/>
        </w:rPr>
        <w:t>–</w:t>
      </w:r>
      <w:r>
        <w:rPr>
          <w:spacing w:val="-2"/>
          <w:sz w:val="21"/>
        </w:rPr>
        <w:t>肾小球硬化型。</w:t>
      </w:r>
    </w:p>
    <w:p>
      <w:pPr>
        <w:spacing w:after="0" w:line="240" w:lineRule="auto"/>
        <w:jc w:val="left"/>
        <w:rPr>
          <w:rFonts w:ascii="Times New Roman" w:hAnsi="Times New Roman" w:eastAsia="Times New Roman"/>
          <w:sz w:val="21"/>
        </w:rPr>
        <w:sectPr>
          <w:pgSz w:w="11910" w:h="16840"/>
          <w:pgMar w:top="1380" w:bottom="280" w:left="1280" w:right="420"/>
        </w:sectPr>
      </w:pPr>
    </w:p>
    <w:p>
      <w:pPr>
        <w:pStyle w:val="ListParagraph"/>
        <w:numPr>
          <w:ilvl w:val="2"/>
          <w:numId w:val="9"/>
        </w:numPr>
        <w:tabs>
          <w:tab w:pos="1819" w:val="left" w:leader="none"/>
        </w:tabs>
        <w:spacing w:line="240" w:lineRule="auto" w:before="64" w:after="0"/>
        <w:ind w:left="1818" w:right="0" w:hanging="802"/>
        <w:jc w:val="left"/>
        <w:rPr>
          <w:b/>
          <w:sz w:val="21"/>
        </w:rPr>
      </w:pPr>
      <w:r>
        <w:rPr>
          <w:b/>
          <w:spacing w:val="-4"/>
          <w:sz w:val="21"/>
        </w:rPr>
        <w:t>象皮病</w:t>
      </w:r>
    </w:p>
    <w:p>
      <w:pPr>
        <w:spacing w:line="278" w:lineRule="auto" w:before="163"/>
        <w:ind w:left="1610" w:right="1011" w:firstLine="0"/>
        <w:jc w:val="both"/>
        <w:rPr>
          <w:b/>
          <w:sz w:val="21"/>
        </w:rPr>
      </w:pPr>
      <w:r>
        <w:rPr>
          <w:spacing w:val="-2"/>
          <w:sz w:val="21"/>
        </w:rPr>
        <w:t>指末期丝虫病，按国际淋巴学会分级为三度淋巴液肿，其临床表现为肢体非凹陷性</w:t>
      </w:r>
      <w:r>
        <w:rPr>
          <w:spacing w:val="-2"/>
          <w:sz w:val="21"/>
        </w:rPr>
        <w:t>水肿伴畸形增大、硬皮症和疣状增生。必须由我们认可的专科医生确诊，且以微丝</w:t>
      </w:r>
      <w:r>
        <w:rPr>
          <w:spacing w:val="-2"/>
          <w:sz w:val="21"/>
        </w:rPr>
        <w:t>蚴化验结果阳性确认。</w:t>
      </w:r>
      <w:r>
        <w:rPr>
          <w:b/>
          <w:spacing w:val="-2"/>
          <w:sz w:val="21"/>
        </w:rPr>
        <w:t>因性接触传染的疾病、外伤、手术后的疤痕、充血性心力衰</w:t>
      </w:r>
      <w:r>
        <w:rPr>
          <w:b/>
          <w:spacing w:val="-2"/>
          <w:sz w:val="21"/>
        </w:rPr>
        <w:t>竭或先天性淋巴系统异常等情况引致的淋巴水肿均不包括在内。</w:t>
      </w:r>
    </w:p>
    <w:p>
      <w:pPr>
        <w:pStyle w:val="ListParagraph"/>
        <w:numPr>
          <w:ilvl w:val="2"/>
          <w:numId w:val="9"/>
        </w:numPr>
        <w:tabs>
          <w:tab w:pos="1819" w:val="left" w:leader="none"/>
        </w:tabs>
        <w:spacing w:line="240" w:lineRule="auto" w:before="156" w:after="0"/>
        <w:ind w:left="1818" w:right="0" w:hanging="802"/>
        <w:jc w:val="left"/>
        <w:rPr>
          <w:b/>
          <w:sz w:val="21"/>
        </w:rPr>
      </w:pPr>
      <w:r>
        <w:rPr>
          <w:b/>
          <w:spacing w:val="-2"/>
          <w:sz w:val="21"/>
        </w:rPr>
        <w:t>原发性心肌病</w:t>
      </w:r>
    </w:p>
    <w:p>
      <w:pPr>
        <w:pStyle w:val="BodyText"/>
        <w:spacing w:line="278" w:lineRule="auto" w:before="163"/>
        <w:ind w:left="1610" w:right="994"/>
        <w:jc w:val="both"/>
        <w:rPr>
          <w:b/>
        </w:rPr>
      </w:pPr>
      <w:r>
        <w:rPr>
          <w:spacing w:val="-2"/>
        </w:rPr>
        <w:t>是指不明原因引起的一类心肌病变，包括原发性扩张型心肌病、原发性肥厚型心肌</w:t>
      </w:r>
      <w:r>
        <w:rPr>
          <w:spacing w:val="-2"/>
        </w:rPr>
        <w:t>病及原发性限制型心肌病三种，病变必须已造成事实上心室功能障碍而出现明显的</w:t>
      </w:r>
      <w:r>
        <w:rPr>
          <w:spacing w:val="-2"/>
        </w:rPr>
        <w:t>心功能衰竭，达到美国纽约心脏病学会（</w:t>
      </w:r>
      <w:r>
        <w:rPr>
          <w:rFonts w:ascii="Times New Roman" w:eastAsia="Times New Roman"/>
          <w:spacing w:val="-2"/>
        </w:rPr>
        <w:t>New York</w:t>
      </w:r>
      <w:r>
        <w:rPr>
          <w:rFonts w:ascii="Times New Roman" w:eastAsia="Times New Roman"/>
          <w:spacing w:val="-3"/>
        </w:rPr>
        <w:t> </w:t>
      </w:r>
      <w:r>
        <w:rPr>
          <w:rFonts w:ascii="Times New Roman" w:eastAsia="Times New Roman"/>
          <w:spacing w:val="-2"/>
        </w:rPr>
        <w:t>Heart</w:t>
      </w:r>
      <w:r>
        <w:rPr>
          <w:rFonts w:ascii="Times New Roman" w:eastAsia="Times New Roman"/>
          <w:spacing w:val="-4"/>
        </w:rPr>
        <w:t> </w:t>
      </w:r>
      <w:r>
        <w:rPr>
          <w:rFonts w:ascii="Times New Roman" w:eastAsia="Times New Roman"/>
          <w:spacing w:val="-2"/>
        </w:rPr>
        <w:t>Association</w:t>
      </w:r>
      <w:r>
        <w:rPr>
          <w:spacing w:val="-2"/>
        </w:rPr>
        <w:t>，</w:t>
      </w:r>
      <w:r>
        <w:rPr>
          <w:rFonts w:ascii="Times New Roman" w:eastAsia="Times New Roman"/>
          <w:spacing w:val="-2"/>
        </w:rPr>
        <w:t>NYHA</w:t>
      </w:r>
      <w:r>
        <w:rPr>
          <w:spacing w:val="-2"/>
        </w:rPr>
        <w:t>）心功</w:t>
      </w:r>
      <w:r>
        <w:rPr>
          <w:spacing w:val="-6"/>
        </w:rPr>
        <w:t>能状态分级 </w:t>
      </w:r>
      <w:r>
        <w:rPr>
          <w:rFonts w:ascii="Times New Roman" w:eastAsia="Times New Roman"/>
          <w:spacing w:val="-2"/>
        </w:rPr>
        <w:t>IV</w:t>
      </w:r>
      <w:r>
        <w:rPr>
          <w:rFonts w:ascii="Times New Roman" w:eastAsia="Times New Roman"/>
          <w:spacing w:val="-11"/>
        </w:rPr>
        <w:t> </w:t>
      </w:r>
      <w:r>
        <w:rPr>
          <w:spacing w:val="-4"/>
        </w:rPr>
        <w:t>级，且有相关医疗记录显示 </w:t>
      </w:r>
      <w:r>
        <w:rPr>
          <w:rFonts w:ascii="Times New Roman" w:eastAsia="Times New Roman"/>
          <w:spacing w:val="-2"/>
        </w:rPr>
        <w:t>IV</w:t>
      </w:r>
      <w:r>
        <w:rPr>
          <w:rFonts w:ascii="Times New Roman" w:eastAsia="Times New Roman"/>
          <w:spacing w:val="-11"/>
        </w:rPr>
        <w:t> </w:t>
      </w:r>
      <w:r>
        <w:rPr>
          <w:spacing w:val="-4"/>
        </w:rPr>
        <w:t>级心功能状态持续至少 </w:t>
      </w:r>
      <w:r>
        <w:rPr>
          <w:rFonts w:ascii="Times New Roman" w:eastAsia="Times New Roman"/>
          <w:spacing w:val="-2"/>
        </w:rPr>
        <w:t>180</w:t>
      </w:r>
      <w:r>
        <w:rPr>
          <w:rFonts w:ascii="Times New Roman" w:eastAsia="Times New Roman"/>
          <w:spacing w:val="-4"/>
        </w:rPr>
        <w:t> </w:t>
      </w:r>
      <w:r>
        <w:rPr>
          <w:spacing w:val="-2"/>
        </w:rPr>
        <w:t>日。该疾</w:t>
      </w:r>
      <w:r>
        <w:rPr>
          <w:spacing w:val="-2"/>
        </w:rPr>
        <w:t>病索赔时须要经专科医生做出明确诊断。</w:t>
      </w:r>
      <w:r>
        <w:rPr>
          <w:b/>
          <w:spacing w:val="-2"/>
        </w:rPr>
        <w:t>酗酒或滥用药物引起的心肌病或继发于全</w:t>
      </w:r>
      <w:r>
        <w:rPr>
          <w:b/>
          <w:spacing w:val="-2"/>
        </w:rPr>
        <w:t>身性疾病或其他器官系统疾病的不属本保障范围。</w:t>
      </w:r>
    </w:p>
    <w:p>
      <w:pPr>
        <w:pStyle w:val="ListParagraph"/>
        <w:numPr>
          <w:ilvl w:val="2"/>
          <w:numId w:val="9"/>
        </w:numPr>
        <w:tabs>
          <w:tab w:pos="1819" w:val="left" w:leader="none"/>
        </w:tabs>
        <w:spacing w:line="240" w:lineRule="auto" w:before="156" w:after="0"/>
        <w:ind w:left="1818" w:right="0" w:hanging="802"/>
        <w:jc w:val="left"/>
        <w:rPr>
          <w:b/>
          <w:sz w:val="21"/>
        </w:rPr>
      </w:pPr>
      <w:r>
        <w:rPr>
          <w:b/>
          <w:spacing w:val="-2"/>
          <w:sz w:val="21"/>
        </w:rPr>
        <w:t>肾髓质囊性病</w:t>
      </w:r>
    </w:p>
    <w:p>
      <w:pPr>
        <w:pStyle w:val="BodyText"/>
        <w:spacing w:before="163"/>
        <w:ind w:left="1610"/>
      </w:pPr>
      <w:r>
        <w:rPr>
          <w:spacing w:val="-3"/>
        </w:rPr>
        <w:t>肾髓质囊性病的诊断必须同时符合下列要求：</w:t>
      </w:r>
    </w:p>
    <w:p>
      <w:pPr>
        <w:pStyle w:val="BodyText"/>
        <w:spacing w:before="6"/>
        <w:rPr>
          <w:sz w:val="15"/>
        </w:rPr>
      </w:pPr>
    </w:p>
    <w:p>
      <w:pPr>
        <w:pStyle w:val="ListParagraph"/>
        <w:numPr>
          <w:ilvl w:val="3"/>
          <w:numId w:val="9"/>
        </w:numPr>
        <w:tabs>
          <w:tab w:pos="1981" w:val="left" w:leader="none"/>
          <w:tab w:pos="1982" w:val="left" w:leader="none"/>
        </w:tabs>
        <w:spacing w:line="240" w:lineRule="auto" w:before="1" w:after="0"/>
        <w:ind w:left="1982" w:right="0" w:hanging="372"/>
        <w:jc w:val="left"/>
        <w:rPr>
          <w:rFonts w:ascii="Times New Roman" w:eastAsia="Times New Roman"/>
          <w:sz w:val="21"/>
        </w:rPr>
      </w:pPr>
      <w:r>
        <w:rPr>
          <w:spacing w:val="-3"/>
          <w:sz w:val="21"/>
        </w:rPr>
        <w:t>同时存在肾髓质囊肿、肾小管萎缩和间质纤维化的病理改变；</w:t>
      </w:r>
    </w:p>
    <w:p>
      <w:pPr>
        <w:pStyle w:val="BodyText"/>
        <w:spacing w:before="6"/>
        <w:rPr>
          <w:sz w:val="15"/>
        </w:rPr>
      </w:pPr>
    </w:p>
    <w:p>
      <w:pPr>
        <w:pStyle w:val="ListParagraph"/>
        <w:numPr>
          <w:ilvl w:val="3"/>
          <w:numId w:val="9"/>
        </w:numPr>
        <w:tabs>
          <w:tab w:pos="1981" w:val="left" w:leader="none"/>
          <w:tab w:pos="1982" w:val="left" w:leader="none"/>
        </w:tabs>
        <w:spacing w:line="240" w:lineRule="auto" w:before="0" w:after="0"/>
        <w:ind w:left="1982" w:right="0" w:hanging="372"/>
        <w:jc w:val="left"/>
        <w:rPr>
          <w:rFonts w:ascii="Times New Roman" w:eastAsia="Times New Roman"/>
          <w:sz w:val="21"/>
        </w:rPr>
      </w:pPr>
      <w:r>
        <w:rPr>
          <w:spacing w:val="-3"/>
          <w:sz w:val="21"/>
        </w:rPr>
        <w:t>贫血、多尿及肾功能衰竭等临床表现；</w:t>
      </w:r>
    </w:p>
    <w:p>
      <w:pPr>
        <w:pStyle w:val="BodyText"/>
        <w:rPr>
          <w:sz w:val="15"/>
        </w:rPr>
      </w:pPr>
    </w:p>
    <w:p>
      <w:pPr>
        <w:pStyle w:val="ListParagraph"/>
        <w:numPr>
          <w:ilvl w:val="3"/>
          <w:numId w:val="9"/>
        </w:numPr>
        <w:tabs>
          <w:tab w:pos="1981" w:val="left" w:leader="none"/>
          <w:tab w:pos="1982" w:val="left" w:leader="none"/>
        </w:tabs>
        <w:spacing w:line="240" w:lineRule="auto" w:before="0" w:after="0"/>
        <w:ind w:left="1982" w:right="0" w:hanging="372"/>
        <w:jc w:val="left"/>
        <w:rPr>
          <w:rFonts w:ascii="Times New Roman" w:eastAsia="Times New Roman"/>
          <w:sz w:val="21"/>
        </w:rPr>
      </w:pPr>
      <w:r>
        <w:rPr>
          <w:spacing w:val="-3"/>
          <w:sz w:val="21"/>
        </w:rPr>
        <w:t>诊断须由肾组织活检确定。</w:t>
      </w:r>
    </w:p>
    <w:p>
      <w:pPr>
        <w:pStyle w:val="BodyText"/>
        <w:rPr>
          <w:sz w:val="15"/>
        </w:rPr>
      </w:pPr>
    </w:p>
    <w:p>
      <w:pPr>
        <w:pStyle w:val="ListParagraph"/>
        <w:numPr>
          <w:ilvl w:val="2"/>
          <w:numId w:val="9"/>
        </w:numPr>
        <w:tabs>
          <w:tab w:pos="1819" w:val="left" w:leader="none"/>
        </w:tabs>
        <w:spacing w:line="240" w:lineRule="auto" w:before="0" w:after="0"/>
        <w:ind w:left="1818" w:right="0" w:hanging="802"/>
        <w:jc w:val="left"/>
        <w:rPr>
          <w:b/>
          <w:sz w:val="21"/>
        </w:rPr>
      </w:pPr>
      <w:r>
        <w:rPr>
          <w:b/>
          <w:spacing w:val="-2"/>
          <w:sz w:val="21"/>
        </w:rPr>
        <w:t>脊髓灰质炎后遗症</w:t>
      </w:r>
    </w:p>
    <w:p>
      <w:pPr>
        <w:spacing w:line="278" w:lineRule="auto" w:before="163"/>
        <w:ind w:left="1610" w:right="1004" w:firstLine="0"/>
        <w:jc w:val="both"/>
        <w:rPr>
          <w:sz w:val="21"/>
        </w:rPr>
      </w:pPr>
      <w:r>
        <w:rPr>
          <w:spacing w:val="-2"/>
          <w:sz w:val="21"/>
        </w:rPr>
        <w:t>是指由于急性脊髓灰质炎病毒感染所导致的运动功能障碍或呼吸功能减弱的瘫痪性</w:t>
      </w:r>
      <w:r>
        <w:rPr>
          <w:spacing w:val="-2"/>
          <w:sz w:val="21"/>
        </w:rPr>
        <w:t>疾病。诊断必须由我们认可的神经科专科医生确诊并提供相关的脊髓灰质炎病毒感</w:t>
      </w:r>
      <w:r>
        <w:rPr>
          <w:spacing w:val="-2"/>
          <w:sz w:val="21"/>
        </w:rPr>
        <w:t>染的证据（例如：脑脊液检查或血清学抗体检查报告）。</w:t>
      </w:r>
      <w:r>
        <w:rPr>
          <w:b/>
          <w:spacing w:val="-2"/>
          <w:sz w:val="21"/>
        </w:rPr>
        <w:t>未导致肢体瘫痪及其他病</w:t>
      </w:r>
      <w:r>
        <w:rPr>
          <w:b/>
          <w:spacing w:val="-2"/>
          <w:sz w:val="21"/>
        </w:rPr>
        <w:t>因所致的瘫痪，例如格林一巴利综合症（急性感染性多神经炎）则不在此保障范围</w:t>
      </w:r>
      <w:r>
        <w:rPr>
          <w:b/>
          <w:spacing w:val="-2"/>
          <w:sz w:val="21"/>
        </w:rPr>
        <w:t>以内。</w:t>
      </w:r>
      <w:r>
        <w:rPr>
          <w:spacing w:val="-2"/>
          <w:sz w:val="21"/>
        </w:rPr>
        <w:t>瘫痪指因疾病或意外伤害导致两肢或两肢以上肢体随意运动功能永久完全丧</w:t>
      </w:r>
      <w:r>
        <w:rPr>
          <w:spacing w:val="-4"/>
          <w:sz w:val="21"/>
        </w:rPr>
        <w:t>失。肢体随意运动功能永久完全丧失，指疾病确诊 </w:t>
      </w:r>
      <w:r>
        <w:rPr>
          <w:rFonts w:ascii="Times New Roman" w:eastAsia="Times New Roman"/>
          <w:spacing w:val="-2"/>
          <w:sz w:val="21"/>
        </w:rPr>
        <w:t>180</w:t>
      </w:r>
      <w:r>
        <w:rPr>
          <w:rFonts w:ascii="Times New Roman" w:eastAsia="Times New Roman"/>
          <w:spacing w:val="7"/>
          <w:sz w:val="21"/>
        </w:rPr>
        <w:t> </w:t>
      </w:r>
      <w:r>
        <w:rPr>
          <w:spacing w:val="-7"/>
          <w:sz w:val="21"/>
        </w:rPr>
        <w:t>日后或意外伤害发生 </w:t>
      </w:r>
      <w:r>
        <w:rPr>
          <w:rFonts w:ascii="Times New Roman" w:eastAsia="Times New Roman"/>
          <w:spacing w:val="-2"/>
          <w:sz w:val="21"/>
        </w:rPr>
        <w:t>180</w:t>
      </w:r>
      <w:r>
        <w:rPr>
          <w:rFonts w:ascii="Times New Roman" w:eastAsia="Times New Roman"/>
          <w:spacing w:val="8"/>
          <w:sz w:val="21"/>
        </w:rPr>
        <w:t> </w:t>
      </w:r>
      <w:r>
        <w:rPr>
          <w:spacing w:val="-10"/>
          <w:sz w:val="21"/>
        </w:rPr>
        <w:t>日</w:t>
      </w:r>
    </w:p>
    <w:p>
      <w:pPr>
        <w:pStyle w:val="BodyText"/>
        <w:spacing w:line="269" w:lineRule="exact" w:before="0"/>
        <w:ind w:left="1610"/>
        <w:jc w:val="both"/>
      </w:pPr>
      <w:r>
        <w:rPr>
          <w:spacing w:val="-4"/>
        </w:rPr>
        <w:t>后，每肢三大关节中的两大关节仍然完全僵硬，或肢体肌力在 </w:t>
      </w:r>
      <w:r>
        <w:rPr>
          <w:rFonts w:ascii="Times New Roman" w:eastAsia="Times New Roman"/>
          <w:spacing w:val="-2"/>
        </w:rPr>
        <w:t>2</w:t>
      </w:r>
      <w:r>
        <w:rPr>
          <w:rFonts w:ascii="Times New Roman" w:eastAsia="Times New Roman"/>
          <w:spacing w:val="12"/>
        </w:rPr>
        <w:t> </w:t>
      </w:r>
      <w:r>
        <w:rPr>
          <w:spacing w:val="-2"/>
        </w:rPr>
        <w:t>级（含）</w:t>
      </w:r>
      <w:r>
        <w:rPr>
          <w:spacing w:val="-5"/>
        </w:rPr>
        <w:t>以下。</w:t>
      </w:r>
    </w:p>
    <w:p>
      <w:pPr>
        <w:pStyle w:val="BodyText"/>
        <w:spacing w:before="6"/>
        <w:rPr>
          <w:sz w:val="15"/>
        </w:rPr>
      </w:pPr>
    </w:p>
    <w:p>
      <w:pPr>
        <w:pStyle w:val="ListParagraph"/>
        <w:numPr>
          <w:ilvl w:val="2"/>
          <w:numId w:val="9"/>
        </w:numPr>
        <w:tabs>
          <w:tab w:pos="1819" w:val="left" w:leader="none"/>
        </w:tabs>
        <w:spacing w:line="240" w:lineRule="auto" w:before="0" w:after="0"/>
        <w:ind w:left="1818" w:right="0" w:hanging="802"/>
        <w:jc w:val="left"/>
        <w:rPr>
          <w:b/>
          <w:sz w:val="21"/>
        </w:rPr>
      </w:pPr>
      <w:r>
        <w:rPr>
          <w:b/>
          <w:spacing w:val="-2"/>
          <w:sz w:val="21"/>
        </w:rPr>
        <w:t>慢性复发性胰腺炎</w:t>
      </w:r>
    </w:p>
    <w:p>
      <w:pPr>
        <w:pStyle w:val="BodyText"/>
        <w:spacing w:line="278" w:lineRule="auto" w:before="163"/>
        <w:ind w:left="1610" w:right="989"/>
        <w:jc w:val="both"/>
      </w:pPr>
      <w:r>
        <w:rPr>
          <w:spacing w:val="-2"/>
        </w:rPr>
        <w:t>有腹痛等典型症状的胰腺炎反复发作，导致胰腺进行性破坏，并导致胰腺功能紊乱</w:t>
      </w:r>
      <w:r>
        <w:rPr>
          <w:spacing w:val="-2"/>
        </w:rPr>
        <w:t>而导致严重糖尿病以及营养不良、恶液质。断层扫描（</w:t>
      </w:r>
      <w:r>
        <w:rPr>
          <w:rFonts w:ascii="Times New Roman" w:eastAsia="Times New Roman"/>
          <w:spacing w:val="-2"/>
        </w:rPr>
        <w:t>CT</w:t>
      </w:r>
      <w:r>
        <w:rPr>
          <w:spacing w:val="-2"/>
        </w:rPr>
        <w:t>）检查证实胰腺存在广泛</w:t>
      </w:r>
      <w:r>
        <w:rPr>
          <w:spacing w:val="-1"/>
        </w:rPr>
        <w:t>钙化，且必须接受并已经接受了酶替代以及胰岛素替代治疗均达 </w:t>
      </w:r>
      <w:r>
        <w:rPr>
          <w:rFonts w:ascii="Times New Roman" w:eastAsia="Times New Roman"/>
        </w:rPr>
        <w:t>6</w:t>
      </w:r>
      <w:r>
        <w:rPr>
          <w:rFonts w:ascii="Times New Roman" w:eastAsia="Times New Roman"/>
          <w:spacing w:val="-13"/>
        </w:rPr>
        <w:t> </w:t>
      </w:r>
      <w:r>
        <w:rPr/>
        <w:t>个月以上。诊断</w:t>
      </w:r>
      <w:r>
        <w:rPr>
          <w:spacing w:val="-2"/>
        </w:rPr>
        <w:t>必须由消化科专科医生确诊并且有内窥镜逆行胰胆管造影所证实。</w:t>
      </w:r>
    </w:p>
    <w:p>
      <w:pPr>
        <w:spacing w:before="156"/>
        <w:ind w:left="1610" w:right="0" w:firstLine="0"/>
        <w:jc w:val="left"/>
        <w:rPr>
          <w:b/>
          <w:sz w:val="21"/>
        </w:rPr>
      </w:pPr>
      <w:r>
        <w:rPr>
          <w:b/>
          <w:spacing w:val="-3"/>
          <w:sz w:val="21"/>
        </w:rPr>
        <w:t>酒精导致的慢性复发性胰腺炎除外。</w:t>
      </w:r>
    </w:p>
    <w:p>
      <w:pPr>
        <w:pStyle w:val="BodyText"/>
        <w:rPr>
          <w:b/>
          <w:sz w:val="15"/>
        </w:rPr>
      </w:pPr>
    </w:p>
    <w:p>
      <w:pPr>
        <w:pStyle w:val="ListParagraph"/>
        <w:numPr>
          <w:ilvl w:val="2"/>
          <w:numId w:val="9"/>
        </w:numPr>
        <w:tabs>
          <w:tab w:pos="1819" w:val="left" w:leader="none"/>
        </w:tabs>
        <w:spacing w:line="240" w:lineRule="auto" w:before="0" w:after="0"/>
        <w:ind w:left="1818" w:right="0" w:hanging="802"/>
        <w:jc w:val="left"/>
        <w:rPr>
          <w:b/>
          <w:sz w:val="21"/>
        </w:rPr>
      </w:pPr>
      <w:r>
        <w:rPr>
          <w:b/>
          <w:spacing w:val="-2"/>
          <w:sz w:val="21"/>
        </w:rPr>
        <w:t>严重类风湿性关节炎</w:t>
      </w:r>
    </w:p>
    <w:p>
      <w:pPr>
        <w:pStyle w:val="BodyText"/>
        <w:spacing w:line="278" w:lineRule="auto" w:before="163"/>
        <w:ind w:left="1610" w:right="1026"/>
        <w:jc w:val="both"/>
      </w:pPr>
      <w:r>
        <w:rPr>
          <w:spacing w:val="-2"/>
        </w:rPr>
        <w:t>类风湿性关节炎为广泛分布的慢性进行性多关节病变，表现为关节严重变形，侵犯</w:t>
      </w:r>
      <w:r>
        <w:rPr>
          <w:spacing w:val="-2"/>
        </w:rPr>
        <w:t>至少三个主要关节或关节组（如：双手（多手指）关节、双足（多足趾）关节、双</w:t>
      </w:r>
      <w:r>
        <w:rPr>
          <w:spacing w:val="-2"/>
        </w:rPr>
        <w:t>腕关节、双膝关节和双髋关节）。类风湿性关节炎必须明确诊断并且已经达到类风</w:t>
      </w:r>
      <w:r>
        <w:rPr>
          <w:spacing w:val="-2"/>
        </w:rPr>
        <w:t>湿性关节炎功能分级Ⅲ级以上的功能障碍（关节活动严重限制，不能完成大部分的</w:t>
      </w:r>
      <w:r>
        <w:rPr>
          <w:spacing w:val="-2"/>
        </w:rPr>
        <w:t>日常工作和活动）</w:t>
      </w:r>
      <w:r>
        <w:rPr>
          <w:spacing w:val="-3"/>
        </w:rPr>
        <w:t>并且自主生活能力完全丧失，无法独立完成六项基本日常生活活</w:t>
      </w:r>
    </w:p>
    <w:p>
      <w:pPr>
        <w:spacing w:after="0" w:line="278" w:lineRule="auto"/>
        <w:jc w:val="both"/>
        <w:sectPr>
          <w:pgSz w:w="11910" w:h="16840"/>
          <w:pgMar w:top="1380" w:bottom="280" w:left="1280" w:right="420"/>
        </w:sectPr>
      </w:pPr>
    </w:p>
    <w:p>
      <w:pPr>
        <w:pStyle w:val="BodyText"/>
        <w:spacing w:before="44"/>
        <w:ind w:left="1610"/>
      </w:pPr>
      <w:r>
        <w:rPr>
          <w:spacing w:val="-3"/>
        </w:rPr>
        <w:t>动中的三项或三项以上。</w:t>
      </w:r>
    </w:p>
    <w:p>
      <w:pPr>
        <w:pStyle w:val="BodyText"/>
        <w:rPr>
          <w:sz w:val="15"/>
        </w:rPr>
      </w:pPr>
    </w:p>
    <w:p>
      <w:pPr>
        <w:pStyle w:val="ListParagraph"/>
        <w:numPr>
          <w:ilvl w:val="2"/>
          <w:numId w:val="9"/>
        </w:numPr>
        <w:tabs>
          <w:tab w:pos="1819" w:val="left" w:leader="none"/>
        </w:tabs>
        <w:spacing w:line="240" w:lineRule="auto" w:before="0" w:after="0"/>
        <w:ind w:left="1818" w:right="0" w:hanging="802"/>
        <w:jc w:val="both"/>
        <w:rPr>
          <w:b/>
          <w:sz w:val="21"/>
        </w:rPr>
      </w:pPr>
      <w:r>
        <w:rPr>
          <w:b/>
          <w:spacing w:val="-3"/>
          <w:sz w:val="21"/>
        </w:rPr>
        <w:t>严重冠状动脉粥样硬化性心脏病</w:t>
      </w:r>
    </w:p>
    <w:p>
      <w:pPr>
        <w:pStyle w:val="BodyText"/>
        <w:spacing w:line="278" w:lineRule="auto" w:before="163"/>
        <w:ind w:left="1610" w:right="1026"/>
      </w:pPr>
      <w:r>
        <w:rPr>
          <w:spacing w:val="-2"/>
        </w:rPr>
        <w:t>指经冠状动脉造影检查明确诊断为主要血管严重狭窄性病变，须满足下列至少一项</w:t>
      </w:r>
      <w:r>
        <w:rPr>
          <w:spacing w:val="-4"/>
        </w:rPr>
        <w:t>条件：</w:t>
      </w:r>
    </w:p>
    <w:p>
      <w:pPr>
        <w:pStyle w:val="ListParagraph"/>
        <w:numPr>
          <w:ilvl w:val="3"/>
          <w:numId w:val="9"/>
        </w:numPr>
        <w:tabs>
          <w:tab w:pos="1981" w:val="left" w:leader="none"/>
          <w:tab w:pos="1982" w:val="left" w:leader="none"/>
        </w:tabs>
        <w:spacing w:line="278" w:lineRule="auto" w:before="156" w:after="0"/>
        <w:ind w:left="1970" w:right="1059" w:hanging="360"/>
        <w:jc w:val="left"/>
        <w:rPr>
          <w:rFonts w:ascii="Times New Roman" w:eastAsia="Times New Roman"/>
          <w:sz w:val="21"/>
        </w:rPr>
      </w:pPr>
      <w:r>
        <w:rPr>
          <w:spacing w:val="-3"/>
          <w:sz w:val="21"/>
        </w:rPr>
        <w:t>左冠状动脉主干和右冠状动脉中，一支血管管腔堵塞 </w:t>
      </w:r>
      <w:r>
        <w:rPr>
          <w:rFonts w:ascii="Times New Roman" w:eastAsia="Times New Roman"/>
          <w:sz w:val="21"/>
        </w:rPr>
        <w:t>75%</w:t>
      </w:r>
      <w:r>
        <w:rPr>
          <w:sz w:val="21"/>
        </w:rPr>
        <w:t>以上，另一支血管管</w:t>
      </w:r>
      <w:r>
        <w:rPr>
          <w:spacing w:val="-10"/>
          <w:sz w:val="21"/>
        </w:rPr>
        <w:t>腔堵塞 </w:t>
      </w:r>
      <w:r>
        <w:rPr>
          <w:rFonts w:ascii="Times New Roman" w:eastAsia="Times New Roman"/>
          <w:sz w:val="21"/>
        </w:rPr>
        <w:t>60%</w:t>
      </w:r>
      <w:r>
        <w:rPr>
          <w:sz w:val="21"/>
        </w:rPr>
        <w:t>以上；</w:t>
      </w:r>
    </w:p>
    <w:p>
      <w:pPr>
        <w:pStyle w:val="ListParagraph"/>
        <w:numPr>
          <w:ilvl w:val="3"/>
          <w:numId w:val="9"/>
        </w:numPr>
        <w:tabs>
          <w:tab w:pos="1981" w:val="left" w:leader="none"/>
          <w:tab w:pos="1982" w:val="left" w:leader="none"/>
        </w:tabs>
        <w:spacing w:line="278" w:lineRule="auto" w:before="156" w:after="0"/>
        <w:ind w:left="1970" w:right="1058" w:hanging="360"/>
        <w:jc w:val="left"/>
        <w:rPr>
          <w:rFonts w:ascii="Times New Roman" w:eastAsia="Times New Roman"/>
          <w:sz w:val="21"/>
        </w:rPr>
      </w:pPr>
      <w:r>
        <w:rPr>
          <w:spacing w:val="-2"/>
          <w:sz w:val="21"/>
        </w:rPr>
        <w:t>左前降支、左旋支和右冠状动脉中，至少一支血管官腔堵塞 </w:t>
      </w:r>
      <w:r>
        <w:rPr>
          <w:rFonts w:ascii="Times New Roman" w:eastAsia="Times New Roman"/>
          <w:sz w:val="21"/>
        </w:rPr>
        <w:t>75%</w:t>
      </w:r>
      <w:r>
        <w:rPr>
          <w:sz w:val="21"/>
        </w:rPr>
        <w:t>以上，其他两</w:t>
      </w:r>
      <w:r>
        <w:rPr>
          <w:spacing w:val="-5"/>
          <w:sz w:val="21"/>
        </w:rPr>
        <w:t>支血管官腔堵塞 </w:t>
      </w:r>
      <w:r>
        <w:rPr>
          <w:rFonts w:ascii="Times New Roman" w:eastAsia="Times New Roman"/>
          <w:sz w:val="21"/>
        </w:rPr>
        <w:t>60%</w:t>
      </w:r>
      <w:r>
        <w:rPr>
          <w:sz w:val="21"/>
        </w:rPr>
        <w:t>以上。</w:t>
      </w:r>
    </w:p>
    <w:p>
      <w:pPr>
        <w:pStyle w:val="BodyText"/>
        <w:spacing w:line="278" w:lineRule="auto" w:before="156"/>
        <w:ind w:left="1610" w:right="1026"/>
      </w:pPr>
      <w:r>
        <w:rPr>
          <w:spacing w:val="-2"/>
        </w:rPr>
        <w:t>左前降支的分支血管、左旋支的分支血管及右冠状动脉的分支血管的狭窄不作为本</w:t>
      </w:r>
      <w:r>
        <w:rPr>
          <w:spacing w:val="-2"/>
        </w:rPr>
        <w:t>保障的衡量指标。</w:t>
      </w:r>
    </w:p>
    <w:p>
      <w:pPr>
        <w:pStyle w:val="ListParagraph"/>
        <w:numPr>
          <w:ilvl w:val="2"/>
          <w:numId w:val="9"/>
        </w:numPr>
        <w:tabs>
          <w:tab w:pos="1819" w:val="left" w:leader="none"/>
        </w:tabs>
        <w:spacing w:line="240" w:lineRule="auto" w:before="156" w:after="0"/>
        <w:ind w:left="1818" w:right="0" w:hanging="802"/>
        <w:jc w:val="both"/>
        <w:rPr>
          <w:b/>
          <w:sz w:val="21"/>
        </w:rPr>
      </w:pPr>
      <w:r>
        <w:rPr>
          <w:b/>
          <w:spacing w:val="-2"/>
          <w:sz w:val="21"/>
        </w:rPr>
        <w:t>植物人状态</w:t>
      </w:r>
    </w:p>
    <w:p>
      <w:pPr>
        <w:pStyle w:val="BodyText"/>
        <w:spacing w:line="278" w:lineRule="auto" w:before="163"/>
        <w:ind w:left="1610" w:right="992"/>
        <w:jc w:val="both"/>
      </w:pPr>
      <w:r>
        <w:rPr>
          <w:spacing w:val="-2"/>
        </w:rPr>
        <w:t>指经神经科医生确诊，断层扫描（</w:t>
      </w:r>
      <w:r>
        <w:rPr>
          <w:rFonts w:ascii="Times New Roman" w:eastAsia="Times New Roman"/>
          <w:spacing w:val="-2"/>
        </w:rPr>
        <w:t>CT</w:t>
      </w:r>
      <w:r>
        <w:rPr>
          <w:spacing w:val="-2"/>
        </w:rPr>
        <w:t>）、核磁共振检查（</w:t>
      </w:r>
      <w:r>
        <w:rPr>
          <w:rFonts w:ascii="Times New Roman" w:eastAsia="Times New Roman"/>
          <w:spacing w:val="-2"/>
        </w:rPr>
        <w:t>MRI</w:t>
      </w:r>
      <w:r>
        <w:rPr>
          <w:spacing w:val="-2"/>
        </w:rPr>
        <w:t>）等证实大脑皮质全</w:t>
      </w:r>
      <w:r>
        <w:rPr>
          <w:spacing w:val="-2"/>
        </w:rPr>
        <w:t>面坏死。患者临床表现意识完全丧失，但脑干功能仍保持完好，且此情况持续一个</w:t>
      </w:r>
      <w:r>
        <w:rPr>
          <w:spacing w:val="-2"/>
        </w:rPr>
        <w:t>月或一个月以上。</w:t>
      </w:r>
    </w:p>
    <w:p>
      <w:pPr>
        <w:pStyle w:val="ListParagraph"/>
        <w:numPr>
          <w:ilvl w:val="2"/>
          <w:numId w:val="9"/>
        </w:numPr>
        <w:tabs>
          <w:tab w:pos="1819" w:val="left" w:leader="none"/>
        </w:tabs>
        <w:spacing w:line="240" w:lineRule="auto" w:before="155" w:after="0"/>
        <w:ind w:left="1818" w:right="0" w:hanging="802"/>
        <w:jc w:val="both"/>
        <w:rPr>
          <w:b/>
          <w:sz w:val="21"/>
        </w:rPr>
      </w:pPr>
      <w:r>
        <w:rPr>
          <w:b/>
          <w:spacing w:val="-2"/>
          <w:sz w:val="21"/>
        </w:rPr>
        <w:t>系统性硬化症（硬皮病</w:t>
      </w:r>
      <w:r>
        <w:rPr>
          <w:b/>
          <w:spacing w:val="-10"/>
          <w:sz w:val="21"/>
        </w:rPr>
        <w:t>）</w:t>
      </w:r>
    </w:p>
    <w:p>
      <w:pPr>
        <w:pStyle w:val="BodyText"/>
        <w:spacing w:line="278" w:lineRule="auto" w:before="163"/>
        <w:ind w:left="1610" w:right="1026"/>
      </w:pPr>
      <w:r>
        <w:rPr>
          <w:spacing w:val="-2"/>
        </w:rPr>
        <w:t>指一种以局限性或弥漫性皮肤增厚和皮肤、血管、内脏器官异常纤维化为特征的结</w:t>
      </w:r>
      <w:r>
        <w:rPr>
          <w:spacing w:val="-2"/>
        </w:rPr>
        <w:t>缔组织病。本病须经专科医师明确诊断，并须满足下列至少一项条件：</w:t>
      </w:r>
    </w:p>
    <w:p>
      <w:pPr>
        <w:pStyle w:val="ListParagraph"/>
        <w:numPr>
          <w:ilvl w:val="3"/>
          <w:numId w:val="9"/>
        </w:numPr>
        <w:tabs>
          <w:tab w:pos="1981" w:val="left" w:leader="none"/>
          <w:tab w:pos="1982" w:val="left" w:leader="none"/>
        </w:tabs>
        <w:spacing w:line="240" w:lineRule="auto" w:before="156" w:after="0"/>
        <w:ind w:left="1982" w:right="0" w:hanging="372"/>
        <w:jc w:val="left"/>
        <w:rPr>
          <w:rFonts w:ascii="Times New Roman" w:eastAsia="Times New Roman"/>
          <w:sz w:val="21"/>
        </w:rPr>
      </w:pPr>
      <w:r>
        <w:rPr>
          <w:spacing w:val="-3"/>
          <w:sz w:val="21"/>
        </w:rPr>
        <w:t>肺脏：肺部病变进而发展为肺间质纤维化和肺动脉高压；</w:t>
      </w:r>
    </w:p>
    <w:p>
      <w:pPr>
        <w:pStyle w:val="BodyText"/>
        <w:rPr>
          <w:sz w:val="15"/>
        </w:rPr>
      </w:pPr>
    </w:p>
    <w:p>
      <w:pPr>
        <w:pStyle w:val="ListParagraph"/>
        <w:numPr>
          <w:ilvl w:val="3"/>
          <w:numId w:val="9"/>
        </w:numPr>
        <w:tabs>
          <w:tab w:pos="1981" w:val="left" w:leader="none"/>
          <w:tab w:pos="1982" w:val="left" w:leader="none"/>
        </w:tabs>
        <w:spacing w:line="278" w:lineRule="auto" w:before="0" w:after="0"/>
        <w:ind w:left="1977" w:right="1361" w:hanging="370"/>
        <w:jc w:val="left"/>
        <w:rPr>
          <w:rFonts w:ascii="Times New Roman" w:eastAsia="Times New Roman"/>
          <w:sz w:val="21"/>
        </w:rPr>
      </w:pPr>
      <w:r>
        <w:rPr>
          <w:sz w:val="21"/>
        </w:rPr>
        <w:t>心脏：心功能受损达到美国纽约心脏病学会（</w:t>
      </w:r>
      <w:r>
        <w:rPr>
          <w:rFonts w:ascii="Times New Roman" w:eastAsia="Times New Roman"/>
          <w:sz w:val="21"/>
        </w:rPr>
        <w:t>New</w:t>
      </w:r>
      <w:r>
        <w:rPr>
          <w:rFonts w:ascii="Times New Roman" w:eastAsia="Times New Roman"/>
          <w:spacing w:val="-8"/>
          <w:sz w:val="21"/>
        </w:rPr>
        <w:t> </w:t>
      </w:r>
      <w:r>
        <w:rPr>
          <w:rFonts w:ascii="Times New Roman" w:eastAsia="Times New Roman"/>
          <w:sz w:val="21"/>
        </w:rPr>
        <w:t>York</w:t>
      </w:r>
      <w:r>
        <w:rPr>
          <w:rFonts w:ascii="Times New Roman" w:eastAsia="Times New Roman"/>
          <w:spacing w:val="-7"/>
          <w:sz w:val="21"/>
        </w:rPr>
        <w:t> </w:t>
      </w:r>
      <w:r>
        <w:rPr>
          <w:rFonts w:ascii="Times New Roman" w:eastAsia="Times New Roman"/>
          <w:sz w:val="21"/>
        </w:rPr>
        <w:t>Heart</w:t>
      </w:r>
      <w:r>
        <w:rPr>
          <w:rFonts w:ascii="Times New Roman" w:eastAsia="Times New Roman"/>
          <w:spacing w:val="-8"/>
          <w:sz w:val="21"/>
        </w:rPr>
        <w:t> </w:t>
      </w:r>
      <w:r>
        <w:rPr>
          <w:rFonts w:ascii="Times New Roman" w:eastAsia="Times New Roman"/>
          <w:sz w:val="21"/>
        </w:rPr>
        <w:t>Association</w:t>
      </w:r>
      <w:r>
        <w:rPr>
          <w:sz w:val="21"/>
        </w:rPr>
        <w:t>， </w:t>
      </w:r>
      <w:r>
        <w:rPr>
          <w:rFonts w:ascii="Times New Roman" w:eastAsia="Times New Roman"/>
          <w:sz w:val="21"/>
        </w:rPr>
        <w:t>NYHA</w:t>
      </w:r>
      <w:r>
        <w:rPr>
          <w:sz w:val="21"/>
        </w:rPr>
        <w:t>）</w:t>
      </w:r>
      <w:r>
        <w:rPr>
          <w:spacing w:val="-3"/>
          <w:sz w:val="21"/>
        </w:rPr>
        <w:t>心功能状态分级 </w:t>
      </w:r>
      <w:r>
        <w:rPr>
          <w:rFonts w:ascii="Times New Roman" w:eastAsia="Times New Roman"/>
          <w:sz w:val="21"/>
        </w:rPr>
        <w:t>IV </w:t>
      </w:r>
      <w:r>
        <w:rPr>
          <w:sz w:val="21"/>
        </w:rPr>
        <w:t>级；</w:t>
      </w:r>
    </w:p>
    <w:p>
      <w:pPr>
        <w:pStyle w:val="ListParagraph"/>
        <w:numPr>
          <w:ilvl w:val="3"/>
          <w:numId w:val="9"/>
        </w:numPr>
        <w:tabs>
          <w:tab w:pos="1981" w:val="left" w:leader="none"/>
          <w:tab w:pos="1982" w:val="left" w:leader="none"/>
        </w:tabs>
        <w:spacing w:line="417" w:lineRule="auto" w:before="156" w:after="0"/>
        <w:ind w:left="1610" w:right="2336" w:firstLine="0"/>
        <w:jc w:val="left"/>
        <w:rPr>
          <w:rFonts w:ascii="Times New Roman" w:eastAsia="Times New Roman"/>
          <w:sz w:val="21"/>
        </w:rPr>
      </w:pPr>
      <w:r>
        <w:rPr>
          <w:spacing w:val="-2"/>
          <w:sz w:val="21"/>
        </w:rPr>
        <w:t>肾脏：肾脏受损导致双肾功能慢性不可逆衰竭，达到尿毒症期。</w:t>
      </w:r>
      <w:r>
        <w:rPr>
          <w:b/>
          <w:spacing w:val="-2"/>
          <w:sz w:val="21"/>
        </w:rPr>
        <w:t>下列疾病不在本保障范围内：</w:t>
      </w:r>
    </w:p>
    <w:p>
      <w:pPr>
        <w:pStyle w:val="ListParagraph"/>
        <w:numPr>
          <w:ilvl w:val="0"/>
          <w:numId w:val="12"/>
        </w:numPr>
        <w:tabs>
          <w:tab w:pos="1981" w:val="left" w:leader="none"/>
          <w:tab w:pos="1982" w:val="left" w:leader="none"/>
        </w:tabs>
        <w:spacing w:line="269" w:lineRule="exact" w:before="0" w:after="0"/>
        <w:ind w:left="1982" w:right="0" w:hanging="372"/>
        <w:jc w:val="left"/>
        <w:rPr>
          <w:b/>
          <w:sz w:val="21"/>
        </w:rPr>
      </w:pPr>
      <w:r>
        <w:rPr>
          <w:b/>
          <w:spacing w:val="-2"/>
          <w:sz w:val="21"/>
        </w:rPr>
        <w:t>局部性硬皮病（如：带状硬皮病、硬斑病</w:t>
      </w:r>
      <w:r>
        <w:rPr>
          <w:b/>
          <w:spacing w:val="-5"/>
          <w:sz w:val="21"/>
        </w:rPr>
        <w:t>）；</w:t>
      </w:r>
    </w:p>
    <w:p>
      <w:pPr>
        <w:pStyle w:val="BodyText"/>
        <w:rPr>
          <w:b/>
          <w:sz w:val="15"/>
        </w:rPr>
      </w:pPr>
    </w:p>
    <w:p>
      <w:pPr>
        <w:pStyle w:val="ListParagraph"/>
        <w:numPr>
          <w:ilvl w:val="0"/>
          <w:numId w:val="12"/>
        </w:numPr>
        <w:tabs>
          <w:tab w:pos="1981" w:val="left" w:leader="none"/>
          <w:tab w:pos="1982" w:val="left" w:leader="none"/>
        </w:tabs>
        <w:spacing w:line="240" w:lineRule="auto" w:before="0" w:after="0"/>
        <w:ind w:left="1982" w:right="0" w:hanging="372"/>
        <w:jc w:val="left"/>
        <w:rPr>
          <w:b/>
          <w:sz w:val="21"/>
        </w:rPr>
      </w:pPr>
      <w:r>
        <w:rPr>
          <w:b/>
          <w:spacing w:val="-3"/>
          <w:sz w:val="21"/>
        </w:rPr>
        <w:t>嗜酸性粒细胞性筋膜炎；</w:t>
      </w:r>
    </w:p>
    <w:p>
      <w:pPr>
        <w:pStyle w:val="BodyText"/>
        <w:spacing w:before="6"/>
        <w:rPr>
          <w:b/>
          <w:sz w:val="15"/>
        </w:rPr>
      </w:pPr>
    </w:p>
    <w:p>
      <w:pPr>
        <w:pStyle w:val="ListParagraph"/>
        <w:numPr>
          <w:ilvl w:val="0"/>
          <w:numId w:val="12"/>
        </w:numPr>
        <w:tabs>
          <w:tab w:pos="1981" w:val="left" w:leader="none"/>
          <w:tab w:pos="1982" w:val="left" w:leader="none"/>
        </w:tabs>
        <w:spacing w:line="240" w:lineRule="auto" w:before="1" w:after="0"/>
        <w:ind w:left="1982" w:right="0" w:hanging="372"/>
        <w:jc w:val="left"/>
        <w:rPr>
          <w:b/>
          <w:sz w:val="21"/>
        </w:rPr>
      </w:pPr>
      <w:r>
        <w:rPr>
          <w:rFonts w:ascii="Times New Roman" w:eastAsia="Times New Roman"/>
          <w:b/>
          <w:sz w:val="21"/>
        </w:rPr>
        <w:t>CREST</w:t>
      </w:r>
      <w:r>
        <w:rPr>
          <w:rFonts w:ascii="Times New Roman" w:eastAsia="Times New Roman"/>
          <w:b/>
          <w:spacing w:val="-5"/>
          <w:sz w:val="21"/>
        </w:rPr>
        <w:t> </w:t>
      </w:r>
      <w:r>
        <w:rPr>
          <w:b/>
          <w:spacing w:val="-3"/>
          <w:sz w:val="21"/>
        </w:rPr>
        <w:t>综合征。</w:t>
      </w:r>
    </w:p>
    <w:p>
      <w:pPr>
        <w:pStyle w:val="BodyText"/>
        <w:spacing w:before="6"/>
        <w:rPr>
          <w:b/>
          <w:sz w:val="15"/>
        </w:rPr>
      </w:pPr>
    </w:p>
    <w:p>
      <w:pPr>
        <w:pStyle w:val="ListParagraph"/>
        <w:numPr>
          <w:ilvl w:val="2"/>
          <w:numId w:val="9"/>
        </w:numPr>
        <w:tabs>
          <w:tab w:pos="1819" w:val="left" w:leader="none"/>
        </w:tabs>
        <w:spacing w:line="240" w:lineRule="auto" w:before="0" w:after="0"/>
        <w:ind w:left="1818" w:right="0" w:hanging="802"/>
        <w:jc w:val="both"/>
        <w:rPr>
          <w:b/>
          <w:sz w:val="21"/>
        </w:rPr>
      </w:pPr>
      <w:r>
        <w:rPr>
          <w:b/>
          <w:spacing w:val="-2"/>
          <w:sz w:val="21"/>
        </w:rPr>
        <w:t>原发性硬化性胆管炎</w:t>
      </w:r>
    </w:p>
    <w:p>
      <w:pPr>
        <w:pStyle w:val="BodyText"/>
        <w:spacing w:line="278" w:lineRule="auto" w:before="163"/>
        <w:ind w:left="1610" w:right="884"/>
      </w:pPr>
      <w:r>
        <w:rPr>
          <w:spacing w:val="-3"/>
          <w:w w:val="100"/>
        </w:rPr>
        <w:t>指一种胆汁淤积综合征，其特征是肝内、肝外胆道因纤维化性炎症逐渐狭窄，并最</w:t>
      </w:r>
      <w:r>
        <w:rPr>
          <w:spacing w:val="-8"/>
          <w:w w:val="100"/>
        </w:rPr>
        <w:t>终导致完全阻塞而发展为肝硬化。本病须经内镜逆行胰胆管造影等影像学检查证实，</w:t>
      </w:r>
      <w:r>
        <w:rPr>
          <w:spacing w:val="-5"/>
          <w:w w:val="100"/>
        </w:rPr>
        <w:t>并须满足下列全部条件：</w:t>
      </w:r>
    </w:p>
    <w:p>
      <w:pPr>
        <w:pStyle w:val="ListParagraph"/>
        <w:numPr>
          <w:ilvl w:val="3"/>
          <w:numId w:val="9"/>
        </w:numPr>
        <w:tabs>
          <w:tab w:pos="1981" w:val="left" w:leader="none"/>
          <w:tab w:pos="1982" w:val="left" w:leader="none"/>
        </w:tabs>
        <w:spacing w:line="240" w:lineRule="auto" w:before="157" w:after="0"/>
        <w:ind w:left="1982" w:right="0" w:hanging="372"/>
        <w:jc w:val="left"/>
        <w:rPr>
          <w:rFonts w:ascii="Times New Roman" w:eastAsia="Times New Roman"/>
          <w:sz w:val="21"/>
        </w:rPr>
      </w:pPr>
      <w:r>
        <w:rPr>
          <w:spacing w:val="1"/>
          <w:sz w:val="21"/>
        </w:rPr>
        <w:t>总胆红素和直接胆红素同时升高，血清</w:t>
      </w:r>
      <w:r>
        <w:rPr>
          <w:rFonts w:ascii="Times New Roman" w:eastAsia="Times New Roman"/>
          <w:spacing w:val="-2"/>
          <w:sz w:val="21"/>
        </w:rPr>
        <w:t>ALP</w:t>
      </w:r>
      <w:r>
        <w:rPr>
          <w:spacing w:val="-2"/>
          <w:sz w:val="21"/>
        </w:rPr>
        <w:t>＞</w:t>
      </w:r>
      <w:r>
        <w:rPr>
          <w:rFonts w:ascii="Times New Roman" w:eastAsia="Times New Roman"/>
          <w:spacing w:val="-2"/>
          <w:sz w:val="21"/>
        </w:rPr>
        <w:t>200U/L</w:t>
      </w:r>
      <w:r>
        <w:rPr>
          <w:spacing w:val="-2"/>
          <w:sz w:val="21"/>
        </w:rPr>
        <w:t>；</w:t>
      </w:r>
    </w:p>
    <w:p>
      <w:pPr>
        <w:pStyle w:val="BodyText"/>
        <w:spacing w:before="6"/>
        <w:rPr>
          <w:sz w:val="15"/>
        </w:rPr>
      </w:pPr>
    </w:p>
    <w:p>
      <w:pPr>
        <w:pStyle w:val="ListParagraph"/>
        <w:numPr>
          <w:ilvl w:val="3"/>
          <w:numId w:val="9"/>
        </w:numPr>
        <w:tabs>
          <w:tab w:pos="1981" w:val="left" w:leader="none"/>
          <w:tab w:pos="1982" w:val="left" w:leader="none"/>
        </w:tabs>
        <w:spacing w:line="240" w:lineRule="auto" w:before="0" w:after="0"/>
        <w:ind w:left="1982" w:right="0" w:hanging="372"/>
        <w:jc w:val="left"/>
        <w:rPr>
          <w:rFonts w:ascii="Times New Roman" w:eastAsia="Times New Roman"/>
          <w:sz w:val="21"/>
        </w:rPr>
      </w:pPr>
      <w:r>
        <w:rPr>
          <w:spacing w:val="-4"/>
          <w:sz w:val="21"/>
        </w:rPr>
        <w:t>持续性黄疸病史；</w:t>
      </w:r>
    </w:p>
    <w:p>
      <w:pPr>
        <w:pStyle w:val="BodyText"/>
        <w:rPr>
          <w:sz w:val="15"/>
        </w:rPr>
      </w:pPr>
    </w:p>
    <w:p>
      <w:pPr>
        <w:pStyle w:val="ListParagraph"/>
        <w:numPr>
          <w:ilvl w:val="3"/>
          <w:numId w:val="9"/>
        </w:numPr>
        <w:tabs>
          <w:tab w:pos="1981" w:val="left" w:leader="none"/>
          <w:tab w:pos="1982" w:val="left" w:leader="none"/>
        </w:tabs>
        <w:spacing w:line="240" w:lineRule="auto" w:before="0" w:after="0"/>
        <w:ind w:left="1982" w:right="0" w:hanging="372"/>
        <w:jc w:val="left"/>
        <w:rPr>
          <w:rFonts w:ascii="Times New Roman" w:eastAsia="Times New Roman"/>
          <w:sz w:val="21"/>
        </w:rPr>
      </w:pPr>
      <w:r>
        <w:rPr>
          <w:spacing w:val="-3"/>
          <w:sz w:val="21"/>
        </w:rPr>
        <w:t>出现胆汁性肝硬化或门脉高压。</w:t>
      </w:r>
    </w:p>
    <w:p>
      <w:pPr>
        <w:pStyle w:val="BodyText"/>
        <w:rPr>
          <w:sz w:val="15"/>
        </w:rPr>
      </w:pPr>
    </w:p>
    <w:p>
      <w:pPr>
        <w:spacing w:before="0"/>
        <w:ind w:left="1610" w:right="0" w:firstLine="0"/>
        <w:jc w:val="left"/>
        <w:rPr>
          <w:b/>
          <w:sz w:val="21"/>
        </w:rPr>
      </w:pPr>
      <w:r>
        <w:rPr>
          <w:b/>
          <w:spacing w:val="-3"/>
          <w:sz w:val="21"/>
        </w:rPr>
        <w:t>因肿瘤或胆管损伤等继发性的硬化性胆管炎不在保障范围内。</w:t>
      </w:r>
    </w:p>
    <w:p>
      <w:pPr>
        <w:spacing w:after="0"/>
        <w:jc w:val="left"/>
        <w:rPr>
          <w:sz w:val="21"/>
        </w:rPr>
        <w:sectPr>
          <w:pgSz w:w="11910" w:h="16840"/>
          <w:pgMar w:top="1400" w:bottom="280" w:left="1280" w:right="420"/>
        </w:sectPr>
      </w:pPr>
    </w:p>
    <w:p>
      <w:pPr>
        <w:pStyle w:val="ListParagraph"/>
        <w:numPr>
          <w:ilvl w:val="2"/>
          <w:numId w:val="9"/>
        </w:numPr>
        <w:tabs>
          <w:tab w:pos="1819" w:val="left" w:leader="none"/>
        </w:tabs>
        <w:spacing w:line="240" w:lineRule="auto" w:before="64" w:after="0"/>
        <w:ind w:left="1818" w:right="0" w:hanging="802"/>
        <w:jc w:val="left"/>
        <w:rPr>
          <w:b/>
          <w:sz w:val="21"/>
        </w:rPr>
      </w:pPr>
      <w:r>
        <w:rPr>
          <w:b/>
          <w:spacing w:val="-2"/>
          <w:sz w:val="21"/>
        </w:rPr>
        <w:t>坏死性筋膜炎</w:t>
      </w:r>
    </w:p>
    <w:p>
      <w:pPr>
        <w:pStyle w:val="BodyText"/>
        <w:spacing w:line="278" w:lineRule="auto" w:before="163"/>
        <w:ind w:left="1610" w:right="1026"/>
      </w:pPr>
      <w:r>
        <w:rPr>
          <w:spacing w:val="-2"/>
        </w:rPr>
        <w:t>是一种由细菌侵入皮下组织和筋膜引起的急性坏死性软组织感染，可伴有毒血症、</w:t>
      </w:r>
      <w:r>
        <w:rPr>
          <w:spacing w:val="-3"/>
        </w:rPr>
        <w:t>败血症、中毒性休克、弥漫性血管内凝血及多器官衰竭。必须满足以下所有条件：</w:t>
      </w:r>
    </w:p>
    <w:p>
      <w:pPr>
        <w:pStyle w:val="ListParagraph"/>
        <w:numPr>
          <w:ilvl w:val="3"/>
          <w:numId w:val="9"/>
        </w:numPr>
        <w:tabs>
          <w:tab w:pos="1981" w:val="left" w:leader="none"/>
          <w:tab w:pos="1982" w:val="left" w:leader="none"/>
        </w:tabs>
        <w:spacing w:line="240" w:lineRule="auto" w:before="156" w:after="0"/>
        <w:ind w:left="1982" w:right="0" w:hanging="372"/>
        <w:jc w:val="left"/>
        <w:rPr>
          <w:rFonts w:ascii="Times New Roman" w:eastAsia="Times New Roman"/>
          <w:sz w:val="21"/>
        </w:rPr>
      </w:pPr>
      <w:r>
        <w:rPr>
          <w:spacing w:val="-3"/>
          <w:sz w:val="21"/>
        </w:rPr>
        <w:t>符合坏死性筋膜炎的一般临床表现；</w:t>
      </w:r>
    </w:p>
    <w:p>
      <w:pPr>
        <w:pStyle w:val="BodyText"/>
        <w:rPr>
          <w:sz w:val="15"/>
        </w:rPr>
      </w:pPr>
    </w:p>
    <w:p>
      <w:pPr>
        <w:pStyle w:val="ListParagraph"/>
        <w:numPr>
          <w:ilvl w:val="3"/>
          <w:numId w:val="9"/>
        </w:numPr>
        <w:tabs>
          <w:tab w:pos="1981" w:val="left" w:leader="none"/>
          <w:tab w:pos="1982" w:val="left" w:leader="none"/>
        </w:tabs>
        <w:spacing w:line="240" w:lineRule="auto" w:before="0" w:after="0"/>
        <w:ind w:left="1982" w:right="0" w:hanging="372"/>
        <w:jc w:val="left"/>
        <w:rPr>
          <w:rFonts w:ascii="Times New Roman" w:eastAsia="Times New Roman"/>
          <w:sz w:val="21"/>
        </w:rPr>
      </w:pPr>
      <w:r>
        <w:rPr>
          <w:spacing w:val="-3"/>
          <w:sz w:val="21"/>
        </w:rPr>
        <w:t>细菌培养检出致病菌；</w:t>
      </w:r>
    </w:p>
    <w:p>
      <w:pPr>
        <w:pStyle w:val="BodyText"/>
        <w:rPr>
          <w:sz w:val="15"/>
        </w:rPr>
      </w:pPr>
    </w:p>
    <w:p>
      <w:pPr>
        <w:pStyle w:val="ListParagraph"/>
        <w:numPr>
          <w:ilvl w:val="3"/>
          <w:numId w:val="9"/>
        </w:numPr>
        <w:tabs>
          <w:tab w:pos="1981" w:val="left" w:leader="none"/>
          <w:tab w:pos="1982" w:val="left" w:leader="none"/>
        </w:tabs>
        <w:spacing w:line="278" w:lineRule="auto" w:before="0" w:after="0"/>
        <w:ind w:left="1977" w:right="1076" w:hanging="370"/>
        <w:jc w:val="left"/>
        <w:rPr>
          <w:rFonts w:ascii="Times New Roman" w:eastAsia="Times New Roman"/>
          <w:sz w:val="21"/>
        </w:rPr>
      </w:pPr>
      <w:r>
        <w:rPr>
          <w:spacing w:val="-2"/>
          <w:sz w:val="21"/>
        </w:rPr>
        <w:t>出现广泛性肌肉及软组织坏死，并确实实施了坏死组织和筋膜以及肌肉的切除</w:t>
      </w:r>
      <w:r>
        <w:rPr>
          <w:spacing w:val="-4"/>
          <w:sz w:val="21"/>
        </w:rPr>
        <w:t>手术。</w:t>
      </w:r>
    </w:p>
    <w:p>
      <w:pPr>
        <w:spacing w:before="155"/>
        <w:ind w:left="1610" w:right="0" w:firstLine="0"/>
        <w:jc w:val="left"/>
        <w:rPr>
          <w:b/>
          <w:sz w:val="21"/>
        </w:rPr>
      </w:pPr>
      <w:r>
        <w:rPr>
          <w:b/>
          <w:spacing w:val="-3"/>
          <w:sz w:val="21"/>
        </w:rPr>
        <w:t>清创术不属于保险责任范围。</w:t>
      </w:r>
    </w:p>
    <w:p>
      <w:pPr>
        <w:pStyle w:val="BodyText"/>
        <w:rPr>
          <w:b/>
          <w:sz w:val="15"/>
        </w:rPr>
      </w:pPr>
    </w:p>
    <w:p>
      <w:pPr>
        <w:pStyle w:val="ListParagraph"/>
        <w:numPr>
          <w:ilvl w:val="2"/>
          <w:numId w:val="9"/>
        </w:numPr>
        <w:tabs>
          <w:tab w:pos="1819" w:val="left" w:leader="none"/>
        </w:tabs>
        <w:spacing w:line="240" w:lineRule="auto" w:before="0" w:after="0"/>
        <w:ind w:left="1818" w:right="0" w:hanging="802"/>
        <w:jc w:val="left"/>
        <w:rPr>
          <w:b/>
          <w:sz w:val="21"/>
        </w:rPr>
      </w:pPr>
      <w:r>
        <w:rPr>
          <w:b/>
          <w:spacing w:val="-3"/>
          <w:sz w:val="21"/>
        </w:rPr>
        <w:t>急性坏死性胰腺炎开腹手术</w:t>
      </w:r>
    </w:p>
    <w:p>
      <w:pPr>
        <w:pStyle w:val="BodyText"/>
        <w:spacing w:line="278" w:lineRule="auto" w:before="163"/>
        <w:ind w:left="1610" w:right="1026"/>
      </w:pPr>
      <w:r>
        <w:rPr>
          <w:spacing w:val="-2"/>
        </w:rPr>
        <w:t>指为治疗急性坏死性胰腺炎，实际实施了开腹进行的坏死组织清除术、病灶切除术</w:t>
      </w:r>
      <w:r>
        <w:rPr>
          <w:spacing w:val="-2"/>
        </w:rPr>
        <w:t>或胰腺部分切除术。</w:t>
      </w:r>
    </w:p>
    <w:p>
      <w:pPr>
        <w:spacing w:before="157"/>
        <w:ind w:left="1610" w:right="0" w:firstLine="0"/>
        <w:jc w:val="left"/>
        <w:rPr>
          <w:b/>
          <w:sz w:val="21"/>
        </w:rPr>
      </w:pPr>
      <w:r>
        <w:rPr>
          <w:b/>
          <w:spacing w:val="-3"/>
          <w:sz w:val="21"/>
        </w:rPr>
        <w:t>因饮酒所致的急性出血坏死性胰腺炎或经腹腔镜手术进行的治疗不在保障范围内。</w:t>
      </w:r>
    </w:p>
    <w:p>
      <w:pPr>
        <w:pStyle w:val="BodyText"/>
        <w:spacing w:before="6"/>
        <w:rPr>
          <w:b/>
          <w:sz w:val="15"/>
        </w:rPr>
      </w:pPr>
    </w:p>
    <w:p>
      <w:pPr>
        <w:pStyle w:val="ListParagraph"/>
        <w:numPr>
          <w:ilvl w:val="2"/>
          <w:numId w:val="9"/>
        </w:numPr>
        <w:tabs>
          <w:tab w:pos="1819" w:val="left" w:leader="none"/>
        </w:tabs>
        <w:spacing w:line="240" w:lineRule="auto" w:before="0" w:after="0"/>
        <w:ind w:left="1818" w:right="0" w:hanging="802"/>
        <w:jc w:val="left"/>
        <w:rPr>
          <w:b/>
          <w:sz w:val="21"/>
        </w:rPr>
      </w:pPr>
      <w:r>
        <w:rPr>
          <w:b/>
          <w:spacing w:val="-2"/>
          <w:sz w:val="21"/>
        </w:rPr>
        <w:t>重症肌无力</w:t>
      </w:r>
    </w:p>
    <w:p>
      <w:pPr>
        <w:pStyle w:val="BodyText"/>
        <w:spacing w:line="278" w:lineRule="auto" w:before="163"/>
        <w:ind w:left="1610" w:right="886"/>
      </w:pPr>
      <w:r>
        <w:rPr>
          <w:spacing w:val="-3"/>
          <w:w w:val="100"/>
        </w:rPr>
        <w:t>指一种神经与肌肉接头部位传递障碍的自身免疫性疾病，临床特征是局部或全身横纹肌于活动时易于疲劳无力，颅神经眼外肌最易累及，也可涉及呼吸肌、下肢近端</w:t>
      </w:r>
      <w:r>
        <w:rPr>
          <w:spacing w:val="-9"/>
          <w:w w:val="100"/>
        </w:rPr>
        <w:t>肌群乃至全身肌肉。本病须经专科医生出具医学诊断证明，并且同时满足下列条件：</w:t>
      </w:r>
    </w:p>
    <w:p>
      <w:pPr>
        <w:pStyle w:val="ListParagraph"/>
        <w:numPr>
          <w:ilvl w:val="3"/>
          <w:numId w:val="9"/>
        </w:numPr>
        <w:tabs>
          <w:tab w:pos="1981" w:val="left" w:leader="none"/>
          <w:tab w:pos="1982" w:val="left" w:leader="none"/>
        </w:tabs>
        <w:spacing w:line="240" w:lineRule="auto" w:before="156" w:after="0"/>
        <w:ind w:left="1982" w:right="0" w:hanging="372"/>
        <w:jc w:val="left"/>
        <w:rPr>
          <w:rFonts w:ascii="Times New Roman" w:eastAsia="Times New Roman"/>
          <w:sz w:val="21"/>
        </w:rPr>
      </w:pPr>
      <w:r>
        <w:rPr>
          <w:spacing w:val="-3"/>
          <w:sz w:val="21"/>
        </w:rPr>
        <w:t>经药物治疗和胸腺切除治疗一年以上仍无法控制病情；</w:t>
      </w:r>
    </w:p>
    <w:p>
      <w:pPr>
        <w:pStyle w:val="BodyText"/>
        <w:spacing w:before="6"/>
        <w:rPr>
          <w:sz w:val="15"/>
        </w:rPr>
      </w:pPr>
    </w:p>
    <w:p>
      <w:pPr>
        <w:pStyle w:val="ListParagraph"/>
        <w:numPr>
          <w:ilvl w:val="3"/>
          <w:numId w:val="9"/>
        </w:numPr>
        <w:tabs>
          <w:tab w:pos="1981" w:val="left" w:leader="none"/>
          <w:tab w:pos="1982" w:val="left" w:leader="none"/>
        </w:tabs>
        <w:spacing w:line="278" w:lineRule="auto" w:before="1" w:after="0"/>
        <w:ind w:left="1977" w:right="1076" w:hanging="370"/>
        <w:jc w:val="left"/>
        <w:rPr>
          <w:rFonts w:ascii="Times New Roman" w:eastAsia="Times New Roman"/>
          <w:sz w:val="21"/>
        </w:rPr>
      </w:pPr>
      <w:r>
        <w:rPr>
          <w:spacing w:val="-2"/>
          <w:sz w:val="21"/>
        </w:rPr>
        <w:t>自主生活能力完全丧失，无法独立完成六项基本日常生活活动中的三项或三项</w:t>
      </w:r>
      <w:r>
        <w:rPr>
          <w:spacing w:val="-4"/>
          <w:sz w:val="21"/>
        </w:rPr>
        <w:t>以上。</w:t>
      </w:r>
    </w:p>
    <w:p>
      <w:pPr>
        <w:spacing w:before="156"/>
        <w:ind w:left="1610" w:right="0" w:firstLine="0"/>
        <w:jc w:val="left"/>
        <w:rPr>
          <w:b/>
          <w:sz w:val="21"/>
        </w:rPr>
      </w:pPr>
      <w:r>
        <w:rPr>
          <w:b/>
          <w:spacing w:val="-3"/>
          <w:sz w:val="21"/>
        </w:rPr>
        <w:t>单纯眼肌型重症肌无力不在保障范围内。</w:t>
      </w:r>
    </w:p>
    <w:p>
      <w:pPr>
        <w:pStyle w:val="BodyText"/>
        <w:spacing w:before="6"/>
        <w:rPr>
          <w:b/>
          <w:sz w:val="15"/>
        </w:rPr>
      </w:pPr>
    </w:p>
    <w:p>
      <w:pPr>
        <w:pStyle w:val="ListParagraph"/>
        <w:numPr>
          <w:ilvl w:val="2"/>
          <w:numId w:val="9"/>
        </w:numPr>
        <w:tabs>
          <w:tab w:pos="1819" w:val="left" w:leader="none"/>
        </w:tabs>
        <w:spacing w:line="240" w:lineRule="auto" w:before="1" w:after="0"/>
        <w:ind w:left="1818" w:right="0" w:hanging="802"/>
        <w:jc w:val="left"/>
        <w:rPr>
          <w:b/>
          <w:sz w:val="21"/>
        </w:rPr>
      </w:pPr>
      <w:r>
        <w:rPr>
          <w:b/>
          <w:spacing w:val="-3"/>
          <w:sz w:val="21"/>
        </w:rPr>
        <w:t>原发性慢性肾上腺皮质功能减退</w:t>
      </w:r>
    </w:p>
    <w:p>
      <w:pPr>
        <w:pStyle w:val="BodyText"/>
        <w:spacing w:line="278" w:lineRule="auto" w:before="163"/>
        <w:ind w:left="1610" w:right="1026"/>
      </w:pPr>
      <w:r>
        <w:rPr>
          <w:spacing w:val="-2"/>
        </w:rPr>
        <w:t>指自身免疫性肾上腺炎（既往称：特发性肾上腺皮质萎缩）导致肾上腺萎缩和慢性</w:t>
      </w:r>
      <w:r>
        <w:rPr>
          <w:spacing w:val="-2"/>
        </w:rPr>
        <w:t>肾上腺皮质功能减退。须满足下列全部条件：</w:t>
      </w:r>
    </w:p>
    <w:p>
      <w:pPr>
        <w:pStyle w:val="ListParagraph"/>
        <w:numPr>
          <w:ilvl w:val="3"/>
          <w:numId w:val="9"/>
        </w:numPr>
        <w:tabs>
          <w:tab w:pos="1981" w:val="left" w:leader="none"/>
          <w:tab w:pos="1982" w:val="left" w:leader="none"/>
        </w:tabs>
        <w:spacing w:line="240" w:lineRule="auto" w:before="155" w:after="0"/>
        <w:ind w:left="1982" w:right="0" w:hanging="372"/>
        <w:jc w:val="left"/>
        <w:rPr>
          <w:rFonts w:ascii="Times New Roman" w:eastAsia="Times New Roman"/>
          <w:sz w:val="21"/>
        </w:rPr>
      </w:pPr>
      <w:r>
        <w:rPr>
          <w:spacing w:val="-3"/>
          <w:sz w:val="21"/>
        </w:rPr>
        <w:t>明确诊断，符合所有以下诊断标准；</w:t>
      </w:r>
    </w:p>
    <w:p>
      <w:pPr>
        <w:pStyle w:val="BodyText"/>
        <w:rPr>
          <w:sz w:val="15"/>
        </w:rPr>
      </w:pPr>
    </w:p>
    <w:p>
      <w:pPr>
        <w:pStyle w:val="BodyText"/>
        <w:spacing w:before="0"/>
        <w:ind w:left="1982"/>
      </w:pPr>
      <w:r>
        <w:rPr>
          <w:spacing w:val="4"/>
        </w:rPr>
        <w:t>① 血浆促肾上腺皮质激素</w:t>
      </w:r>
      <w:r>
        <w:rPr/>
        <w:t>（</w:t>
      </w:r>
      <w:r>
        <w:rPr>
          <w:rFonts w:ascii="Times New Roman" w:hAnsi="Times New Roman" w:eastAsia="Times New Roman"/>
        </w:rPr>
        <w:t>ACTH</w:t>
      </w:r>
      <w:r>
        <w:rPr/>
        <w:t>）</w:t>
      </w:r>
      <w:r>
        <w:rPr>
          <w:spacing w:val="-8"/>
        </w:rPr>
        <w:t>水平测定大于 </w:t>
      </w:r>
      <w:r>
        <w:rPr>
          <w:rFonts w:ascii="Times New Roman" w:hAnsi="Times New Roman" w:eastAsia="Times New Roman"/>
          <w:spacing w:val="-2"/>
        </w:rPr>
        <w:t>100pg/ml</w:t>
      </w:r>
      <w:r>
        <w:rPr>
          <w:spacing w:val="-2"/>
        </w:rPr>
        <w:t>；</w:t>
      </w:r>
    </w:p>
    <w:p>
      <w:pPr>
        <w:pStyle w:val="BodyText"/>
        <w:rPr>
          <w:sz w:val="15"/>
        </w:rPr>
      </w:pPr>
    </w:p>
    <w:p>
      <w:pPr>
        <w:pStyle w:val="BodyText"/>
        <w:spacing w:line="278" w:lineRule="auto" w:before="0"/>
        <w:ind w:left="2406" w:right="992" w:hanging="425"/>
        <w:jc w:val="both"/>
      </w:pPr>
      <w:r>
        <w:rPr>
          <w:spacing w:val="-2"/>
        </w:rPr>
        <w:t>② 血浆和尿游离皮质醇及尿 </w:t>
      </w:r>
      <w:r>
        <w:rPr>
          <w:rFonts w:ascii="Times New Roman" w:hAnsi="Times New Roman" w:eastAsia="Times New Roman"/>
        </w:rPr>
        <w:t>17</w:t>
      </w:r>
      <w:r>
        <w:rPr>
          <w:rFonts w:ascii="Times New Roman" w:hAnsi="Times New Roman" w:eastAsia="Times New Roman"/>
          <w:spacing w:val="-14"/>
        </w:rPr>
        <w:t> </w:t>
      </w:r>
      <w:r>
        <w:rPr/>
        <w:t>羟皮质类固醇、</w:t>
      </w:r>
      <w:r>
        <w:rPr>
          <w:rFonts w:ascii="Times New Roman" w:hAnsi="Times New Roman" w:eastAsia="Times New Roman"/>
        </w:rPr>
        <w:t>17</w:t>
      </w:r>
      <w:r>
        <w:rPr>
          <w:rFonts w:ascii="Times New Roman" w:hAnsi="Times New Roman" w:eastAsia="Times New Roman"/>
          <w:spacing w:val="-13"/>
        </w:rPr>
        <w:t> </w:t>
      </w:r>
      <w:r>
        <w:rPr/>
        <w:t>酮皮质类固醇测定、血浆肾</w:t>
      </w:r>
      <w:r>
        <w:rPr>
          <w:spacing w:val="-3"/>
        </w:rPr>
        <w:t>素活性、血管紧张素 </w:t>
      </w:r>
      <w:r>
        <w:rPr>
          <w:rFonts w:ascii="Times New Roman" w:hAnsi="Times New Roman" w:eastAsia="Times New Roman"/>
        </w:rPr>
        <w:t>II</w:t>
      </w:r>
      <w:r>
        <w:rPr>
          <w:rFonts w:ascii="Times New Roman" w:hAnsi="Times New Roman" w:eastAsia="Times New Roman"/>
          <w:spacing w:val="-9"/>
        </w:rPr>
        <w:t> </w:t>
      </w:r>
      <w:r>
        <w:rPr/>
        <w:t>和醛固酮测定，显示为原发性肾上腺皮质功能减退</w:t>
      </w:r>
      <w:r>
        <w:rPr>
          <w:spacing w:val="-6"/>
        </w:rPr>
        <w:t>症；</w:t>
      </w:r>
    </w:p>
    <w:p>
      <w:pPr>
        <w:pStyle w:val="BodyText"/>
        <w:spacing w:before="156"/>
        <w:ind w:left="1982"/>
      </w:pPr>
      <w:r>
        <w:rPr>
          <w:spacing w:val="-8"/>
        </w:rPr>
        <w:t>③ 促肾上腺皮质激素</w:t>
      </w:r>
      <w:r>
        <w:rPr>
          <w:spacing w:val="-2"/>
        </w:rPr>
        <w:t>（</w:t>
      </w:r>
      <w:r>
        <w:rPr>
          <w:rFonts w:ascii="Times New Roman" w:hAnsi="Times New Roman" w:eastAsia="Times New Roman"/>
          <w:spacing w:val="-2"/>
        </w:rPr>
        <w:t>ACTH</w:t>
      </w:r>
      <w:r>
        <w:rPr>
          <w:spacing w:val="-2"/>
        </w:rPr>
        <w:t>）</w:t>
      </w:r>
      <w:r>
        <w:rPr>
          <w:spacing w:val="-3"/>
        </w:rPr>
        <w:t>刺激试验显示为原发性肾上腺皮质功能减退症。</w:t>
      </w:r>
    </w:p>
    <w:p>
      <w:pPr>
        <w:pStyle w:val="BodyText"/>
        <w:rPr>
          <w:sz w:val="15"/>
        </w:rPr>
      </w:pPr>
    </w:p>
    <w:p>
      <w:pPr>
        <w:pStyle w:val="ListParagraph"/>
        <w:numPr>
          <w:ilvl w:val="3"/>
          <w:numId w:val="9"/>
        </w:numPr>
        <w:tabs>
          <w:tab w:pos="1981" w:val="left" w:leader="none"/>
          <w:tab w:pos="1982" w:val="left" w:leader="none"/>
        </w:tabs>
        <w:spacing w:line="240" w:lineRule="auto" w:before="0" w:after="0"/>
        <w:ind w:left="1982" w:right="0" w:hanging="372"/>
        <w:jc w:val="left"/>
        <w:rPr>
          <w:rFonts w:ascii="Times New Roman" w:eastAsia="Times New Roman"/>
          <w:sz w:val="21"/>
        </w:rPr>
      </w:pPr>
      <w:r>
        <w:rPr>
          <w:spacing w:val="-6"/>
          <w:sz w:val="21"/>
        </w:rPr>
        <w:t>已经采用皮质类固醇替代治疗 </w:t>
      </w:r>
      <w:r>
        <w:rPr>
          <w:rFonts w:ascii="Times New Roman" w:eastAsia="Times New Roman"/>
          <w:spacing w:val="-2"/>
          <w:sz w:val="21"/>
        </w:rPr>
        <w:t>180</w:t>
      </w:r>
      <w:r>
        <w:rPr>
          <w:rFonts w:ascii="Times New Roman" w:eastAsia="Times New Roman"/>
          <w:spacing w:val="7"/>
          <w:sz w:val="21"/>
        </w:rPr>
        <w:t> </w:t>
      </w:r>
      <w:r>
        <w:rPr>
          <w:spacing w:val="-4"/>
          <w:sz w:val="21"/>
        </w:rPr>
        <w:t>日以上。</w:t>
      </w:r>
    </w:p>
    <w:p>
      <w:pPr>
        <w:pStyle w:val="BodyText"/>
        <w:spacing w:before="6"/>
        <w:rPr>
          <w:sz w:val="15"/>
        </w:rPr>
      </w:pPr>
    </w:p>
    <w:p>
      <w:pPr>
        <w:spacing w:line="278" w:lineRule="auto" w:before="1"/>
        <w:ind w:left="1610" w:right="992" w:firstLine="0"/>
        <w:jc w:val="left"/>
        <w:rPr>
          <w:b/>
          <w:sz w:val="21"/>
        </w:rPr>
      </w:pPr>
      <w:r>
        <w:rPr>
          <w:b/>
          <w:spacing w:val="-2"/>
          <w:sz w:val="21"/>
        </w:rPr>
        <w:t>肾上腺结核、</w:t>
      </w:r>
      <w:r>
        <w:rPr>
          <w:rFonts w:ascii="Times New Roman" w:eastAsia="Times New Roman"/>
          <w:b/>
          <w:spacing w:val="-2"/>
          <w:sz w:val="21"/>
        </w:rPr>
        <w:t>HIV </w:t>
      </w:r>
      <w:r>
        <w:rPr>
          <w:b/>
          <w:spacing w:val="-2"/>
          <w:sz w:val="21"/>
        </w:rPr>
        <w:t>感染或患艾滋病、感染、肿瘤所致的肾上腺皮质功能减退不在保</w:t>
      </w:r>
      <w:r>
        <w:rPr>
          <w:b/>
          <w:spacing w:val="-2"/>
          <w:sz w:val="21"/>
        </w:rPr>
        <w:t>障范围内。</w:t>
      </w:r>
    </w:p>
    <w:p>
      <w:pPr>
        <w:spacing w:after="0" w:line="278" w:lineRule="auto"/>
        <w:jc w:val="left"/>
        <w:rPr>
          <w:sz w:val="21"/>
        </w:rPr>
        <w:sectPr>
          <w:pgSz w:w="11910" w:h="16840"/>
          <w:pgMar w:top="1380" w:bottom="280" w:left="1280" w:right="420"/>
        </w:sectPr>
      </w:pPr>
    </w:p>
    <w:p>
      <w:pPr>
        <w:pStyle w:val="ListParagraph"/>
        <w:numPr>
          <w:ilvl w:val="2"/>
          <w:numId w:val="9"/>
        </w:numPr>
        <w:tabs>
          <w:tab w:pos="1819" w:val="left" w:leader="none"/>
        </w:tabs>
        <w:spacing w:line="240" w:lineRule="auto" w:before="64" w:after="0"/>
        <w:ind w:left="1818" w:right="0" w:hanging="802"/>
        <w:jc w:val="left"/>
        <w:rPr>
          <w:b/>
          <w:sz w:val="21"/>
        </w:rPr>
      </w:pPr>
      <w:r>
        <w:rPr>
          <w:b/>
          <w:spacing w:val="-3"/>
          <w:sz w:val="21"/>
        </w:rPr>
        <w:t>胰腺移植</w:t>
      </w:r>
    </w:p>
    <w:p>
      <w:pPr>
        <w:spacing w:line="417" w:lineRule="auto" w:before="163"/>
        <w:ind w:left="1610" w:right="1237" w:firstLine="0"/>
        <w:jc w:val="left"/>
        <w:rPr>
          <w:b/>
          <w:sz w:val="21"/>
        </w:rPr>
      </w:pPr>
      <w:r>
        <w:rPr>
          <w:spacing w:val="-2"/>
          <w:sz w:val="21"/>
        </w:rPr>
        <w:t>指因胰腺功能衰竭，已经实施了在全身麻醉下进行的胰腺的异体器官移植手术。</w:t>
      </w:r>
      <w:r>
        <w:rPr>
          <w:b/>
          <w:spacing w:val="-2"/>
          <w:sz w:val="21"/>
        </w:rPr>
        <w:t>单纯胰岛移植、部分胰腺组织或细胞的移植不在本保障范围之内。</w:t>
      </w:r>
    </w:p>
    <w:p>
      <w:pPr>
        <w:pStyle w:val="ListParagraph"/>
        <w:numPr>
          <w:ilvl w:val="2"/>
          <w:numId w:val="9"/>
        </w:numPr>
        <w:tabs>
          <w:tab w:pos="1819" w:val="left" w:leader="none"/>
        </w:tabs>
        <w:spacing w:line="269" w:lineRule="exact" w:before="0" w:after="0"/>
        <w:ind w:left="1818" w:right="0" w:hanging="802"/>
        <w:jc w:val="left"/>
        <w:rPr>
          <w:b/>
          <w:sz w:val="21"/>
        </w:rPr>
      </w:pPr>
      <w:r>
        <w:rPr>
          <w:b/>
          <w:spacing w:val="-2"/>
          <w:sz w:val="21"/>
        </w:rPr>
        <w:t>经输血导致的人类免疫缺陷病毒（</w:t>
      </w:r>
      <w:r>
        <w:rPr>
          <w:rFonts w:ascii="Times New Roman" w:eastAsia="Times New Roman"/>
          <w:b/>
          <w:spacing w:val="-2"/>
          <w:sz w:val="21"/>
        </w:rPr>
        <w:t>HIV</w:t>
      </w:r>
      <w:r>
        <w:rPr>
          <w:b/>
          <w:spacing w:val="-2"/>
          <w:sz w:val="21"/>
        </w:rPr>
        <w:t>）</w:t>
      </w:r>
      <w:r>
        <w:rPr>
          <w:b/>
          <w:spacing w:val="-6"/>
          <w:sz w:val="21"/>
        </w:rPr>
        <w:t>感染</w:t>
      </w:r>
    </w:p>
    <w:p>
      <w:pPr>
        <w:pStyle w:val="BodyText"/>
        <w:spacing w:before="163"/>
        <w:ind w:left="1610"/>
      </w:pPr>
      <w:r>
        <w:rPr>
          <w:spacing w:val="-2"/>
        </w:rPr>
        <w:t>指被保险人感染上人类免疫缺陷病毒（</w:t>
      </w:r>
      <w:r>
        <w:rPr>
          <w:rFonts w:ascii="Times New Roman" w:eastAsia="Times New Roman"/>
          <w:spacing w:val="-2"/>
        </w:rPr>
        <w:t>HIV</w:t>
      </w:r>
      <w:r>
        <w:rPr>
          <w:spacing w:val="-2"/>
        </w:rPr>
        <w:t>）</w:t>
      </w:r>
      <w:r>
        <w:rPr>
          <w:spacing w:val="-3"/>
        </w:rPr>
        <w:t>并且符合下列所有条件：</w:t>
      </w:r>
    </w:p>
    <w:p>
      <w:pPr>
        <w:pStyle w:val="BodyText"/>
        <w:rPr>
          <w:sz w:val="15"/>
        </w:rPr>
      </w:pPr>
    </w:p>
    <w:p>
      <w:pPr>
        <w:pStyle w:val="ListParagraph"/>
        <w:numPr>
          <w:ilvl w:val="3"/>
          <w:numId w:val="9"/>
        </w:numPr>
        <w:tabs>
          <w:tab w:pos="1981" w:val="left" w:leader="none"/>
          <w:tab w:pos="1982" w:val="left" w:leader="none"/>
        </w:tabs>
        <w:spacing w:line="278" w:lineRule="auto" w:before="0" w:after="0"/>
        <w:ind w:left="1977" w:right="1076" w:hanging="370"/>
        <w:jc w:val="left"/>
        <w:rPr>
          <w:rFonts w:ascii="Times New Roman" w:eastAsia="Times New Roman"/>
          <w:sz w:val="21"/>
        </w:rPr>
      </w:pPr>
      <w:r>
        <w:rPr>
          <w:spacing w:val="-2"/>
          <w:sz w:val="21"/>
        </w:rPr>
        <w:t>在本合同生效（或最后一次复效，以较迟者为准）日之后，被保险人因治疗必</w:t>
      </w:r>
      <w:r>
        <w:rPr>
          <w:spacing w:val="2"/>
          <w:sz w:val="21"/>
        </w:rPr>
        <w:t>需而接受输血，并且因输血而感染</w:t>
      </w:r>
      <w:r>
        <w:rPr>
          <w:rFonts w:ascii="Times New Roman" w:eastAsia="Times New Roman"/>
          <w:sz w:val="21"/>
        </w:rPr>
        <w:t>HIV</w:t>
      </w:r>
      <w:r>
        <w:rPr>
          <w:sz w:val="21"/>
        </w:rPr>
        <w:t>；</w:t>
      </w:r>
    </w:p>
    <w:p>
      <w:pPr>
        <w:pStyle w:val="ListParagraph"/>
        <w:numPr>
          <w:ilvl w:val="3"/>
          <w:numId w:val="9"/>
        </w:numPr>
        <w:tabs>
          <w:tab w:pos="1981" w:val="left" w:leader="none"/>
          <w:tab w:pos="1982" w:val="left" w:leader="none"/>
        </w:tabs>
        <w:spacing w:line="278" w:lineRule="auto" w:before="156" w:after="0"/>
        <w:ind w:left="1977" w:right="1076" w:hanging="370"/>
        <w:jc w:val="left"/>
        <w:rPr>
          <w:rFonts w:ascii="Times New Roman" w:eastAsia="Times New Roman"/>
          <w:sz w:val="21"/>
        </w:rPr>
      </w:pPr>
      <w:r>
        <w:rPr>
          <w:spacing w:val="-2"/>
          <w:sz w:val="21"/>
        </w:rPr>
        <w:t>提供输血治疗的输血中心或医院出具该项输血感染属医疗责任事故的报告，或</w:t>
      </w:r>
      <w:r>
        <w:rPr>
          <w:spacing w:val="-2"/>
          <w:sz w:val="21"/>
        </w:rPr>
        <w:t>者法院终审裁定为医疗责任；</w:t>
      </w:r>
    </w:p>
    <w:p>
      <w:pPr>
        <w:pStyle w:val="ListParagraph"/>
        <w:numPr>
          <w:ilvl w:val="3"/>
          <w:numId w:val="9"/>
        </w:numPr>
        <w:tabs>
          <w:tab w:pos="1981" w:val="left" w:leader="none"/>
          <w:tab w:pos="1982" w:val="left" w:leader="none"/>
        </w:tabs>
        <w:spacing w:line="240" w:lineRule="auto" w:before="156" w:after="0"/>
        <w:ind w:left="1982" w:right="0" w:hanging="372"/>
        <w:jc w:val="left"/>
        <w:rPr>
          <w:rFonts w:ascii="Times New Roman" w:eastAsia="Times New Roman"/>
          <w:sz w:val="21"/>
        </w:rPr>
      </w:pPr>
      <w:r>
        <w:rPr>
          <w:spacing w:val="-3"/>
          <w:sz w:val="21"/>
        </w:rPr>
        <w:t>提供输血治疗的输血中心或医院必须拥有合法经营执照；</w:t>
      </w:r>
    </w:p>
    <w:p>
      <w:pPr>
        <w:pStyle w:val="BodyText"/>
        <w:rPr>
          <w:sz w:val="15"/>
        </w:rPr>
      </w:pPr>
    </w:p>
    <w:p>
      <w:pPr>
        <w:pStyle w:val="ListParagraph"/>
        <w:numPr>
          <w:ilvl w:val="3"/>
          <w:numId w:val="9"/>
        </w:numPr>
        <w:tabs>
          <w:tab w:pos="1981" w:val="left" w:leader="none"/>
          <w:tab w:pos="1982" w:val="left" w:leader="none"/>
        </w:tabs>
        <w:spacing w:line="240" w:lineRule="auto" w:before="0" w:after="0"/>
        <w:ind w:left="1982" w:right="0" w:hanging="372"/>
        <w:jc w:val="left"/>
        <w:rPr>
          <w:rFonts w:ascii="Times New Roman" w:eastAsia="Times New Roman"/>
          <w:sz w:val="21"/>
        </w:rPr>
      </w:pPr>
      <w:r>
        <w:rPr>
          <w:spacing w:val="-3"/>
          <w:sz w:val="21"/>
        </w:rPr>
        <w:t>受感染的被保险人不是血友病患者。</w:t>
      </w:r>
    </w:p>
    <w:p>
      <w:pPr>
        <w:pStyle w:val="BodyText"/>
        <w:rPr>
          <w:sz w:val="15"/>
        </w:rPr>
      </w:pPr>
    </w:p>
    <w:p>
      <w:pPr>
        <w:spacing w:line="278" w:lineRule="auto" w:before="0"/>
        <w:ind w:left="1610" w:right="990" w:firstLine="0"/>
        <w:jc w:val="both"/>
        <w:rPr>
          <w:b/>
          <w:sz w:val="21"/>
        </w:rPr>
      </w:pPr>
      <w:r>
        <w:rPr>
          <w:b/>
          <w:w w:val="95"/>
          <w:sz w:val="21"/>
        </w:rPr>
        <w:t>在</w:t>
      </w:r>
      <w:r>
        <w:rPr>
          <w:b/>
          <w:w w:val="95"/>
          <w:sz w:val="21"/>
        </w:rPr>
        <w:t>任</w:t>
      </w:r>
      <w:r>
        <w:rPr>
          <w:b/>
          <w:w w:val="95"/>
          <w:sz w:val="21"/>
        </w:rPr>
        <w:t>何</w:t>
      </w:r>
      <w:r>
        <w:rPr>
          <w:b/>
          <w:w w:val="95"/>
          <w:sz w:val="21"/>
        </w:rPr>
        <w:t>治</w:t>
      </w:r>
      <w:r>
        <w:rPr>
          <w:b/>
          <w:w w:val="95"/>
          <w:sz w:val="21"/>
        </w:rPr>
        <w:t>愈</w:t>
      </w:r>
      <w:r>
        <w:rPr>
          <w:b/>
          <w:w w:val="95"/>
          <w:sz w:val="21"/>
        </w:rPr>
        <w:t>艾</w:t>
      </w:r>
      <w:r>
        <w:rPr>
          <w:b/>
          <w:w w:val="95"/>
          <w:sz w:val="21"/>
        </w:rPr>
        <w:t>滋</w:t>
      </w:r>
      <w:r>
        <w:rPr>
          <w:b/>
          <w:spacing w:val="-97"/>
          <w:w w:val="95"/>
          <w:sz w:val="21"/>
        </w:rPr>
        <w:t>病</w:t>
      </w:r>
      <w:r>
        <w:rPr>
          <w:b/>
          <w:w w:val="95"/>
          <w:sz w:val="21"/>
        </w:rPr>
        <w:t>（</w:t>
      </w:r>
      <w:r>
        <w:rPr>
          <w:rFonts w:ascii="Times New Roman" w:eastAsia="Times New Roman"/>
          <w:b/>
          <w:w w:val="95"/>
          <w:sz w:val="21"/>
        </w:rPr>
        <w:t>AIDS</w:t>
      </w:r>
      <w:r>
        <w:rPr>
          <w:b/>
          <w:w w:val="95"/>
          <w:sz w:val="21"/>
        </w:rPr>
        <w:t>）</w:t>
      </w:r>
      <w:r>
        <w:rPr>
          <w:b/>
          <w:w w:val="95"/>
          <w:sz w:val="21"/>
        </w:rPr>
        <w:t>或</w:t>
      </w:r>
      <w:r>
        <w:rPr>
          <w:b/>
          <w:w w:val="95"/>
          <w:sz w:val="21"/>
        </w:rPr>
        <w:t>阻</w:t>
      </w:r>
      <w:r>
        <w:rPr>
          <w:b/>
          <w:w w:val="95"/>
          <w:sz w:val="21"/>
        </w:rPr>
        <w:t>止</w:t>
      </w:r>
      <w:r>
        <w:rPr>
          <w:b/>
          <w:w w:val="95"/>
          <w:sz w:val="21"/>
        </w:rPr>
        <w:t> </w:t>
      </w:r>
      <w:r>
        <w:rPr>
          <w:rFonts w:ascii="Times New Roman" w:eastAsia="Times New Roman"/>
          <w:b/>
          <w:w w:val="95"/>
          <w:sz w:val="21"/>
        </w:rPr>
        <w:t>HIV</w:t>
      </w:r>
      <w:r>
        <w:rPr>
          <w:rFonts w:ascii="Times New Roman" w:eastAsia="Times New Roman"/>
          <w:b/>
          <w:spacing w:val="40"/>
          <w:sz w:val="21"/>
        </w:rPr>
        <w:t> </w:t>
      </w:r>
      <w:r>
        <w:rPr>
          <w:b/>
          <w:w w:val="95"/>
          <w:sz w:val="21"/>
        </w:rPr>
        <w:t>病</w:t>
      </w:r>
      <w:r>
        <w:rPr>
          <w:b/>
          <w:w w:val="95"/>
          <w:sz w:val="21"/>
        </w:rPr>
        <w:t>毒</w:t>
      </w:r>
      <w:r>
        <w:rPr>
          <w:b/>
          <w:w w:val="95"/>
          <w:sz w:val="21"/>
        </w:rPr>
        <w:t>作</w:t>
      </w:r>
      <w:r>
        <w:rPr>
          <w:b/>
          <w:w w:val="95"/>
          <w:sz w:val="21"/>
        </w:rPr>
        <w:t>用</w:t>
      </w:r>
      <w:r>
        <w:rPr>
          <w:b/>
          <w:w w:val="95"/>
          <w:sz w:val="21"/>
        </w:rPr>
        <w:t>的</w:t>
      </w:r>
      <w:r>
        <w:rPr>
          <w:b/>
          <w:w w:val="95"/>
          <w:sz w:val="21"/>
        </w:rPr>
        <w:t>疗</w:t>
      </w:r>
      <w:r>
        <w:rPr>
          <w:b/>
          <w:w w:val="95"/>
          <w:sz w:val="21"/>
        </w:rPr>
        <w:t>法</w:t>
      </w:r>
      <w:r>
        <w:rPr>
          <w:b/>
          <w:w w:val="95"/>
          <w:sz w:val="21"/>
        </w:rPr>
        <w:t>被</w:t>
      </w:r>
      <w:r>
        <w:rPr>
          <w:b/>
          <w:w w:val="95"/>
          <w:sz w:val="21"/>
        </w:rPr>
        <w:t>发</w:t>
      </w:r>
      <w:r>
        <w:rPr>
          <w:b/>
          <w:w w:val="95"/>
          <w:sz w:val="21"/>
        </w:rPr>
        <w:t>现</w:t>
      </w:r>
      <w:r>
        <w:rPr>
          <w:b/>
          <w:w w:val="95"/>
          <w:sz w:val="21"/>
        </w:rPr>
        <w:t>以</w:t>
      </w:r>
      <w:r>
        <w:rPr>
          <w:b/>
          <w:w w:val="95"/>
          <w:sz w:val="21"/>
        </w:rPr>
        <w:t>后</w:t>
      </w:r>
      <w:r>
        <w:rPr>
          <w:b/>
          <w:spacing w:val="-97"/>
          <w:w w:val="95"/>
          <w:sz w:val="21"/>
        </w:rPr>
        <w:t>，</w:t>
      </w:r>
      <w:r>
        <w:rPr>
          <w:b/>
          <w:w w:val="95"/>
          <w:sz w:val="21"/>
        </w:rPr>
        <w:t>或</w:t>
      </w:r>
      <w:r>
        <w:rPr>
          <w:b/>
          <w:w w:val="95"/>
          <w:sz w:val="21"/>
        </w:rPr>
        <w:t>能</w:t>
      </w:r>
      <w:r>
        <w:rPr>
          <w:b/>
          <w:w w:val="95"/>
          <w:sz w:val="21"/>
        </w:rPr>
        <w:t>防</w:t>
      </w:r>
      <w:r>
        <w:rPr>
          <w:b/>
          <w:w w:val="95"/>
          <w:sz w:val="21"/>
        </w:rPr>
        <w:t>止</w:t>
      </w:r>
      <w:r>
        <w:rPr>
          <w:b/>
          <w:w w:val="95"/>
          <w:sz w:val="21"/>
        </w:rPr>
        <w:t> </w:t>
      </w:r>
      <w:r>
        <w:rPr>
          <w:rFonts w:ascii="Times New Roman" w:eastAsia="Times New Roman"/>
          <w:b/>
          <w:w w:val="95"/>
          <w:sz w:val="21"/>
        </w:rPr>
        <w:t>AIDS</w:t>
      </w:r>
      <w:r>
        <w:rPr>
          <w:b/>
          <w:spacing w:val="-12"/>
          <w:sz w:val="21"/>
        </w:rPr>
        <w:t>发生的医疗方法被研究出来以后，本保障将不再予以赔付。任何因其他传播方式</w:t>
      </w:r>
      <w:r>
        <w:rPr>
          <w:b/>
          <w:spacing w:val="-2"/>
          <w:sz w:val="21"/>
        </w:rPr>
        <w:t>（</w:t>
      </w:r>
      <w:r>
        <w:rPr>
          <w:b/>
          <w:spacing w:val="-2"/>
          <w:sz w:val="21"/>
        </w:rPr>
        <w:t>包</w:t>
      </w:r>
      <w:r>
        <w:rPr>
          <w:b/>
          <w:sz w:val="21"/>
        </w:rPr>
        <w:t>括：性传播或静脉注射毒品）</w:t>
      </w:r>
      <w:r>
        <w:rPr>
          <w:b/>
          <w:spacing w:val="-6"/>
          <w:sz w:val="21"/>
        </w:rPr>
        <w:t>导致的 </w:t>
      </w:r>
      <w:r>
        <w:rPr>
          <w:rFonts w:ascii="Times New Roman" w:eastAsia="Times New Roman"/>
          <w:b/>
          <w:sz w:val="21"/>
        </w:rPr>
        <w:t>HIV </w:t>
      </w:r>
      <w:r>
        <w:rPr>
          <w:b/>
          <w:sz w:val="21"/>
        </w:rPr>
        <w:t>感染不在保障范围内。</w:t>
      </w:r>
    </w:p>
    <w:p>
      <w:pPr>
        <w:pStyle w:val="BodyText"/>
        <w:spacing w:line="278" w:lineRule="auto" w:before="155"/>
        <w:ind w:left="1610" w:right="1026"/>
      </w:pPr>
      <w:r>
        <w:rPr>
          <w:spacing w:val="-2"/>
        </w:rPr>
        <w:t>我们必须拥有获得使用被保险人的血液样本的权利和能够对这些样本进行独立检验</w:t>
      </w:r>
      <w:r>
        <w:rPr>
          <w:spacing w:val="-4"/>
        </w:rPr>
        <w:t>的权利。</w:t>
      </w:r>
    </w:p>
    <w:p>
      <w:pPr>
        <w:pStyle w:val="ListParagraph"/>
        <w:numPr>
          <w:ilvl w:val="2"/>
          <w:numId w:val="9"/>
        </w:numPr>
        <w:tabs>
          <w:tab w:pos="1819" w:val="left" w:leader="none"/>
        </w:tabs>
        <w:spacing w:line="240" w:lineRule="auto" w:before="156" w:after="0"/>
        <w:ind w:left="1818" w:right="0" w:hanging="802"/>
        <w:jc w:val="left"/>
        <w:rPr>
          <w:b/>
          <w:sz w:val="21"/>
        </w:rPr>
      </w:pPr>
      <w:r>
        <w:rPr>
          <w:b/>
          <w:spacing w:val="-2"/>
          <w:sz w:val="21"/>
        </w:rPr>
        <w:t>肺源性心脏病</w:t>
      </w:r>
    </w:p>
    <w:p>
      <w:pPr>
        <w:pStyle w:val="BodyText"/>
        <w:spacing w:line="278" w:lineRule="auto" w:before="163"/>
        <w:ind w:left="1610" w:right="989"/>
        <w:jc w:val="both"/>
      </w:pPr>
      <w:r>
        <w:rPr>
          <w:spacing w:val="-2"/>
        </w:rPr>
        <w:t>指被保险人因慢性肺部疾病导致慢性心功能损害造成永久不可逆性的心功能衰竭。</w:t>
      </w:r>
      <w:r>
        <w:rPr>
          <w:spacing w:val="-2"/>
        </w:rPr>
        <w:t>心功能衰竭程度达到美国纽约心脏病学会（</w:t>
      </w:r>
      <w:r>
        <w:rPr>
          <w:rFonts w:ascii="Times New Roman" w:eastAsia="Times New Roman"/>
          <w:spacing w:val="-2"/>
        </w:rPr>
        <w:t>New York Heart</w:t>
      </w:r>
      <w:r>
        <w:rPr>
          <w:rFonts w:ascii="Times New Roman" w:eastAsia="Times New Roman"/>
          <w:spacing w:val="-3"/>
        </w:rPr>
        <w:t> </w:t>
      </w:r>
      <w:r>
        <w:rPr>
          <w:rFonts w:ascii="Times New Roman" w:eastAsia="Times New Roman"/>
          <w:spacing w:val="-2"/>
        </w:rPr>
        <w:t>Association</w:t>
      </w:r>
      <w:r>
        <w:rPr>
          <w:spacing w:val="-2"/>
        </w:rPr>
        <w:t>，</w:t>
      </w:r>
      <w:r>
        <w:rPr>
          <w:rFonts w:ascii="Times New Roman" w:eastAsia="Times New Roman"/>
          <w:spacing w:val="-2"/>
        </w:rPr>
        <w:t>NYHA</w:t>
      </w:r>
      <w:r>
        <w:rPr>
          <w:spacing w:val="-2"/>
        </w:rPr>
        <w:t>）的</w:t>
      </w:r>
      <w:r>
        <w:rPr>
          <w:spacing w:val="-6"/>
        </w:rPr>
        <w:t>心功能分级标准之心功能 </w:t>
      </w:r>
      <w:r>
        <w:rPr>
          <w:rFonts w:ascii="Times New Roman" w:eastAsia="Times New Roman"/>
          <w:spacing w:val="-4"/>
        </w:rPr>
        <w:t>IV</w:t>
      </w:r>
      <w:r>
        <w:rPr>
          <w:rFonts w:ascii="Times New Roman" w:eastAsia="Times New Roman"/>
          <w:spacing w:val="12"/>
        </w:rPr>
        <w:t> </w:t>
      </w:r>
      <w:r>
        <w:rPr>
          <w:spacing w:val="-4"/>
        </w:rPr>
        <w:t>级。被保险人永久不可逆性的体力活动能力受限，不能</w:t>
      </w:r>
      <w:r>
        <w:rPr>
          <w:spacing w:val="-2"/>
        </w:rPr>
        <w:t>从事任何体力活动。</w:t>
      </w:r>
    </w:p>
    <w:p>
      <w:pPr>
        <w:pStyle w:val="ListParagraph"/>
        <w:numPr>
          <w:ilvl w:val="2"/>
          <w:numId w:val="9"/>
        </w:numPr>
        <w:tabs>
          <w:tab w:pos="1819" w:val="left" w:leader="none"/>
        </w:tabs>
        <w:spacing w:line="240" w:lineRule="auto" w:before="156" w:after="0"/>
        <w:ind w:left="1818" w:right="0" w:hanging="802"/>
        <w:jc w:val="left"/>
        <w:rPr>
          <w:b/>
          <w:sz w:val="21"/>
        </w:rPr>
      </w:pPr>
      <w:r>
        <w:rPr>
          <w:b/>
          <w:spacing w:val="-3"/>
          <w:sz w:val="21"/>
        </w:rPr>
        <w:t>非阿尔茨海默病所致严重痴呆</w:t>
      </w:r>
    </w:p>
    <w:p>
      <w:pPr>
        <w:pStyle w:val="BodyText"/>
        <w:spacing w:line="278" w:lineRule="auto" w:before="163"/>
        <w:ind w:left="1610" w:right="884"/>
      </w:pPr>
      <w:r>
        <w:rPr>
          <w:spacing w:val="-3"/>
          <w:w w:val="100"/>
        </w:rPr>
        <w:t>指因阿尔茨海默病以外的脑的器质性疾病造成脑功能衰竭导致永久不可逆性的严重痴呆，临床表现为明显的认知能力障碍、行为异常和社交能力减退。被保险人自主生活能力完全丧失，无法独立完成六项基本日常生活活动中的三项或三项以上，日</w:t>
      </w:r>
      <w:r>
        <w:rPr>
          <w:spacing w:val="-7"/>
          <w:w w:val="100"/>
        </w:rPr>
        <w:t>常生活必须持续受到他人监护。导致痴呆的疾病必须明确诊断，并且有完整的临床、</w:t>
      </w:r>
      <w:r>
        <w:rPr>
          <w:spacing w:val="-5"/>
          <w:w w:val="100"/>
        </w:rPr>
        <w:t>实验室和影像学检查结果证实。</w:t>
      </w:r>
    </w:p>
    <w:p>
      <w:pPr>
        <w:spacing w:before="155"/>
        <w:ind w:left="1610" w:right="0" w:firstLine="0"/>
        <w:jc w:val="left"/>
        <w:rPr>
          <w:b/>
          <w:sz w:val="21"/>
        </w:rPr>
      </w:pPr>
      <w:r>
        <w:rPr>
          <w:b/>
          <w:spacing w:val="-3"/>
          <w:sz w:val="21"/>
        </w:rPr>
        <w:t>神经官能症，精神疾病及酒精中毒所致脑损害不在保障范围内。</w:t>
      </w:r>
    </w:p>
    <w:p>
      <w:pPr>
        <w:pStyle w:val="BodyText"/>
        <w:rPr>
          <w:b/>
          <w:sz w:val="15"/>
        </w:rPr>
      </w:pPr>
    </w:p>
    <w:p>
      <w:pPr>
        <w:pStyle w:val="ListParagraph"/>
        <w:numPr>
          <w:ilvl w:val="2"/>
          <w:numId w:val="9"/>
        </w:numPr>
        <w:tabs>
          <w:tab w:pos="1819" w:val="left" w:leader="none"/>
        </w:tabs>
        <w:spacing w:line="240" w:lineRule="auto" w:before="0" w:after="0"/>
        <w:ind w:left="1818" w:right="0" w:hanging="802"/>
        <w:jc w:val="left"/>
        <w:rPr>
          <w:b/>
          <w:sz w:val="21"/>
        </w:rPr>
      </w:pPr>
      <w:r>
        <w:rPr>
          <w:b/>
          <w:spacing w:val="-2"/>
          <w:sz w:val="21"/>
        </w:rPr>
        <w:t>严重结核性脑膜炎</w:t>
      </w:r>
    </w:p>
    <w:p>
      <w:pPr>
        <w:pStyle w:val="BodyText"/>
        <w:spacing w:before="163"/>
        <w:ind w:left="1610"/>
      </w:pPr>
      <w:r>
        <w:rPr>
          <w:spacing w:val="-3"/>
        </w:rPr>
        <w:t>由结核杆菌引起的脑膜和脊膜的非化脓性炎症性疾病。需满足以下全部条件：</w:t>
      </w:r>
    </w:p>
    <w:p>
      <w:pPr>
        <w:pStyle w:val="BodyText"/>
        <w:rPr>
          <w:sz w:val="15"/>
        </w:rPr>
      </w:pPr>
    </w:p>
    <w:p>
      <w:pPr>
        <w:pStyle w:val="ListParagraph"/>
        <w:numPr>
          <w:ilvl w:val="3"/>
          <w:numId w:val="9"/>
        </w:numPr>
        <w:tabs>
          <w:tab w:pos="1969" w:val="left" w:leader="none"/>
          <w:tab w:pos="1970" w:val="left" w:leader="none"/>
        </w:tabs>
        <w:spacing w:line="240" w:lineRule="auto" w:before="1" w:after="0"/>
        <w:ind w:left="1970" w:right="0" w:hanging="360"/>
        <w:jc w:val="left"/>
        <w:rPr>
          <w:rFonts w:ascii="Times New Roman" w:eastAsia="Times New Roman"/>
          <w:sz w:val="21"/>
        </w:rPr>
      </w:pPr>
      <w:r>
        <w:rPr>
          <w:spacing w:val="-3"/>
          <w:sz w:val="21"/>
        </w:rPr>
        <w:t>出现颅内压明显增高，表现头痛、呕吐和视乳头水肿；</w:t>
      </w:r>
    </w:p>
    <w:p>
      <w:pPr>
        <w:pStyle w:val="BodyText"/>
        <w:spacing w:before="6"/>
        <w:rPr>
          <w:sz w:val="15"/>
        </w:rPr>
      </w:pPr>
    </w:p>
    <w:p>
      <w:pPr>
        <w:pStyle w:val="ListParagraph"/>
        <w:numPr>
          <w:ilvl w:val="3"/>
          <w:numId w:val="9"/>
        </w:numPr>
        <w:tabs>
          <w:tab w:pos="1969" w:val="left" w:leader="none"/>
          <w:tab w:pos="1970" w:val="left" w:leader="none"/>
        </w:tabs>
        <w:spacing w:line="240" w:lineRule="auto" w:before="0" w:after="0"/>
        <w:ind w:left="1970" w:right="0" w:hanging="360"/>
        <w:jc w:val="left"/>
        <w:rPr>
          <w:rFonts w:ascii="Times New Roman" w:eastAsia="Times New Roman"/>
          <w:sz w:val="21"/>
        </w:rPr>
      </w:pPr>
      <w:r>
        <w:rPr>
          <w:spacing w:val="-3"/>
          <w:sz w:val="21"/>
        </w:rPr>
        <w:t>出现部分性、全身性癫痫发作或癫痫持续状态；</w:t>
      </w:r>
    </w:p>
    <w:p>
      <w:pPr>
        <w:pStyle w:val="BodyText"/>
        <w:rPr>
          <w:sz w:val="15"/>
        </w:rPr>
      </w:pPr>
    </w:p>
    <w:p>
      <w:pPr>
        <w:pStyle w:val="ListParagraph"/>
        <w:numPr>
          <w:ilvl w:val="3"/>
          <w:numId w:val="9"/>
        </w:numPr>
        <w:tabs>
          <w:tab w:pos="1969" w:val="left" w:leader="none"/>
          <w:tab w:pos="1970" w:val="left" w:leader="none"/>
        </w:tabs>
        <w:spacing w:line="240" w:lineRule="auto" w:before="0" w:after="0"/>
        <w:ind w:left="1970" w:right="0" w:hanging="360"/>
        <w:jc w:val="left"/>
        <w:rPr>
          <w:rFonts w:ascii="Times New Roman" w:eastAsia="Times New Roman"/>
          <w:sz w:val="21"/>
        </w:rPr>
      </w:pPr>
      <w:r>
        <w:rPr>
          <w:spacing w:val="-4"/>
          <w:sz w:val="21"/>
        </w:rPr>
        <w:t>昏睡或意识模糊；</w:t>
      </w:r>
    </w:p>
    <w:p>
      <w:pPr>
        <w:pStyle w:val="BodyText"/>
        <w:spacing w:before="6"/>
        <w:rPr>
          <w:sz w:val="15"/>
        </w:rPr>
      </w:pPr>
    </w:p>
    <w:p>
      <w:pPr>
        <w:pStyle w:val="ListParagraph"/>
        <w:numPr>
          <w:ilvl w:val="3"/>
          <w:numId w:val="9"/>
        </w:numPr>
        <w:tabs>
          <w:tab w:pos="1969" w:val="left" w:leader="none"/>
          <w:tab w:pos="1970" w:val="left" w:leader="none"/>
        </w:tabs>
        <w:spacing w:line="240" w:lineRule="auto" w:before="1" w:after="0"/>
        <w:ind w:left="1970" w:right="0" w:hanging="360"/>
        <w:jc w:val="left"/>
        <w:rPr>
          <w:rFonts w:ascii="Times New Roman" w:eastAsia="Times New Roman"/>
          <w:sz w:val="21"/>
        </w:rPr>
      </w:pPr>
      <w:r>
        <w:rPr>
          <w:spacing w:val="-3"/>
          <w:sz w:val="21"/>
        </w:rPr>
        <w:t>视力减退、复视和面神经麻痹。</w:t>
      </w:r>
    </w:p>
    <w:p>
      <w:pPr>
        <w:spacing w:after="0" w:line="240" w:lineRule="auto"/>
        <w:jc w:val="left"/>
        <w:rPr>
          <w:rFonts w:ascii="Times New Roman" w:eastAsia="Times New Roman"/>
          <w:sz w:val="21"/>
        </w:rPr>
        <w:sectPr>
          <w:pgSz w:w="11910" w:h="16840"/>
          <w:pgMar w:top="1380" w:bottom="280" w:left="1280" w:right="420"/>
        </w:sectPr>
      </w:pPr>
    </w:p>
    <w:p>
      <w:pPr>
        <w:pStyle w:val="ListParagraph"/>
        <w:numPr>
          <w:ilvl w:val="2"/>
          <w:numId w:val="9"/>
        </w:numPr>
        <w:tabs>
          <w:tab w:pos="1819" w:val="left" w:leader="none"/>
        </w:tabs>
        <w:spacing w:line="240" w:lineRule="auto" w:before="64" w:after="0"/>
        <w:ind w:left="1818" w:right="0" w:hanging="802"/>
        <w:jc w:val="left"/>
        <w:rPr>
          <w:b/>
          <w:sz w:val="21"/>
        </w:rPr>
      </w:pPr>
      <w:r>
        <w:rPr>
          <w:b/>
          <w:spacing w:val="-2"/>
          <w:sz w:val="21"/>
        </w:rPr>
        <w:t>肺淋巴管肌瘤病</w:t>
      </w:r>
    </w:p>
    <w:p>
      <w:pPr>
        <w:pStyle w:val="BodyText"/>
        <w:spacing w:line="278" w:lineRule="auto" w:before="163"/>
        <w:ind w:left="1610" w:right="1026"/>
      </w:pPr>
      <w:r>
        <w:rPr>
          <w:spacing w:val="-2"/>
        </w:rPr>
        <w:t>肺淋巴管肌瘤病是一种弥漫性肺部疾病，主要病理改变为肺间质、支气管、血管和</w:t>
      </w:r>
      <w:r>
        <w:rPr>
          <w:spacing w:val="-2"/>
        </w:rPr>
        <w:t>淋巴管内出现未成熟的平滑肌异常增生，同时需满足下列条件：</w:t>
      </w:r>
    </w:p>
    <w:p>
      <w:pPr>
        <w:pStyle w:val="ListParagraph"/>
        <w:numPr>
          <w:ilvl w:val="3"/>
          <w:numId w:val="9"/>
        </w:numPr>
        <w:tabs>
          <w:tab w:pos="1981" w:val="left" w:leader="none"/>
          <w:tab w:pos="1982" w:val="left" w:leader="none"/>
        </w:tabs>
        <w:spacing w:line="240" w:lineRule="auto" w:before="156" w:after="0"/>
        <w:ind w:left="1982" w:right="0" w:hanging="372"/>
        <w:jc w:val="left"/>
        <w:rPr>
          <w:rFonts w:ascii="Times New Roman" w:eastAsia="Times New Roman"/>
          <w:sz w:val="21"/>
        </w:rPr>
      </w:pPr>
      <w:r>
        <w:rPr>
          <w:spacing w:val="-3"/>
          <w:sz w:val="21"/>
        </w:rPr>
        <w:t>经组织病理学诊断；</w:t>
      </w:r>
    </w:p>
    <w:p>
      <w:pPr>
        <w:pStyle w:val="BodyText"/>
        <w:rPr>
          <w:sz w:val="15"/>
        </w:rPr>
      </w:pPr>
    </w:p>
    <w:p>
      <w:pPr>
        <w:pStyle w:val="ListParagraph"/>
        <w:numPr>
          <w:ilvl w:val="3"/>
          <w:numId w:val="9"/>
        </w:numPr>
        <w:tabs>
          <w:tab w:pos="1981" w:val="left" w:leader="none"/>
          <w:tab w:pos="1982" w:val="left" w:leader="none"/>
        </w:tabs>
        <w:spacing w:line="240" w:lineRule="auto" w:before="0" w:after="0"/>
        <w:ind w:left="1982" w:right="0" w:hanging="372"/>
        <w:jc w:val="left"/>
        <w:rPr>
          <w:rFonts w:ascii="Times New Roman" w:eastAsia="Times New Roman"/>
          <w:sz w:val="21"/>
        </w:rPr>
      </w:pPr>
      <w:r>
        <w:rPr>
          <w:spacing w:val="-2"/>
          <w:sz w:val="21"/>
        </w:rPr>
        <w:t>断层扫描（</w:t>
      </w:r>
      <w:r>
        <w:rPr>
          <w:rFonts w:ascii="Times New Roman" w:eastAsia="Times New Roman"/>
          <w:spacing w:val="-2"/>
          <w:sz w:val="21"/>
        </w:rPr>
        <w:t>CT</w:t>
      </w:r>
      <w:r>
        <w:rPr>
          <w:spacing w:val="-2"/>
          <w:sz w:val="21"/>
        </w:rPr>
        <w:t>）</w:t>
      </w:r>
      <w:r>
        <w:rPr>
          <w:spacing w:val="-3"/>
          <w:sz w:val="21"/>
        </w:rPr>
        <w:t>显示双肺弥漫性囊性改变；</w:t>
      </w:r>
    </w:p>
    <w:p>
      <w:pPr>
        <w:pStyle w:val="BodyText"/>
        <w:rPr>
          <w:sz w:val="15"/>
        </w:rPr>
      </w:pPr>
    </w:p>
    <w:p>
      <w:pPr>
        <w:pStyle w:val="ListParagraph"/>
        <w:numPr>
          <w:ilvl w:val="3"/>
          <w:numId w:val="9"/>
        </w:numPr>
        <w:tabs>
          <w:tab w:pos="1981" w:val="left" w:leader="none"/>
          <w:tab w:pos="1982" w:val="left" w:leader="none"/>
        </w:tabs>
        <w:spacing w:line="240" w:lineRule="auto" w:before="0" w:after="0"/>
        <w:ind w:left="1982" w:right="0" w:hanging="372"/>
        <w:jc w:val="left"/>
        <w:rPr>
          <w:rFonts w:ascii="Times New Roman" w:eastAsia="Times New Roman"/>
          <w:sz w:val="21"/>
        </w:rPr>
      </w:pPr>
      <w:r>
        <w:rPr>
          <w:spacing w:val="-3"/>
          <w:sz w:val="21"/>
        </w:rPr>
        <w:t>血气提示低氧血症。</w:t>
      </w:r>
    </w:p>
    <w:p>
      <w:pPr>
        <w:pStyle w:val="BodyText"/>
        <w:spacing w:before="6"/>
        <w:rPr>
          <w:sz w:val="15"/>
        </w:rPr>
      </w:pPr>
    </w:p>
    <w:p>
      <w:pPr>
        <w:pStyle w:val="ListParagraph"/>
        <w:numPr>
          <w:ilvl w:val="2"/>
          <w:numId w:val="9"/>
        </w:numPr>
        <w:tabs>
          <w:tab w:pos="1819" w:val="left" w:leader="none"/>
        </w:tabs>
        <w:spacing w:line="240" w:lineRule="auto" w:before="0" w:after="0"/>
        <w:ind w:left="1818" w:right="0" w:hanging="802"/>
        <w:jc w:val="left"/>
        <w:rPr>
          <w:b/>
          <w:sz w:val="21"/>
        </w:rPr>
      </w:pPr>
      <w:r>
        <w:rPr>
          <w:b/>
          <w:spacing w:val="-2"/>
          <w:sz w:val="21"/>
        </w:rPr>
        <w:t>肺泡蛋白质沉积症</w:t>
      </w:r>
    </w:p>
    <w:p>
      <w:pPr>
        <w:pStyle w:val="BodyText"/>
        <w:spacing w:line="278" w:lineRule="auto" w:before="163"/>
        <w:ind w:left="1610" w:right="884"/>
      </w:pPr>
      <w:r>
        <w:rPr>
          <w:spacing w:val="1"/>
        </w:rPr>
        <w:t>指肺泡和细支气管腔内充满不可溶性富磷脂蛋白的疾病，胸部</w:t>
      </w:r>
      <w:r>
        <w:rPr>
          <w:rFonts w:ascii="Times New Roman" w:eastAsia="Times New Roman"/>
        </w:rPr>
        <w:t>X </w:t>
      </w:r>
      <w:r>
        <w:rPr/>
        <w:t>线呈双肺弥漫性肺</w:t>
      </w:r>
      <w:r>
        <w:rPr>
          <w:spacing w:val="-2"/>
        </w:rPr>
        <w:t>部磨玻璃影，病理学检查肺泡内充满有过碘酸雪夫（</w:t>
      </w:r>
      <w:r>
        <w:rPr>
          <w:rFonts w:ascii="Times New Roman" w:eastAsia="Times New Roman"/>
          <w:spacing w:val="-2"/>
        </w:rPr>
        <w:t>PAS</w:t>
      </w:r>
      <w:r>
        <w:rPr>
          <w:spacing w:val="-2"/>
        </w:rPr>
        <w:t>）染色阳性的蛋白样物质，</w:t>
      </w:r>
      <w:r>
        <w:rPr>
          <w:spacing w:val="-2"/>
        </w:rPr>
        <w:t>并且接受了肺灌洗治疗。</w:t>
      </w:r>
    </w:p>
    <w:p>
      <w:pPr>
        <w:pStyle w:val="ListParagraph"/>
        <w:numPr>
          <w:ilvl w:val="2"/>
          <w:numId w:val="9"/>
        </w:numPr>
        <w:tabs>
          <w:tab w:pos="1819" w:val="left" w:leader="none"/>
        </w:tabs>
        <w:spacing w:line="240" w:lineRule="auto" w:before="157" w:after="0"/>
        <w:ind w:left="1818" w:right="0" w:hanging="802"/>
        <w:jc w:val="left"/>
        <w:rPr>
          <w:b/>
          <w:sz w:val="21"/>
        </w:rPr>
      </w:pPr>
      <w:r>
        <w:rPr>
          <w:b/>
          <w:spacing w:val="-2"/>
          <w:sz w:val="21"/>
        </w:rPr>
        <w:t>因职业关系导致的人类免疫缺陷病毒（</w:t>
      </w:r>
      <w:r>
        <w:rPr>
          <w:rFonts w:ascii="Times New Roman" w:eastAsia="Times New Roman"/>
          <w:b/>
          <w:spacing w:val="-2"/>
          <w:sz w:val="21"/>
        </w:rPr>
        <w:t>HIV</w:t>
      </w:r>
      <w:r>
        <w:rPr>
          <w:b/>
          <w:spacing w:val="-2"/>
          <w:sz w:val="21"/>
        </w:rPr>
        <w:t>）</w:t>
      </w:r>
      <w:r>
        <w:rPr>
          <w:b/>
          <w:spacing w:val="-6"/>
          <w:sz w:val="21"/>
        </w:rPr>
        <w:t>感染</w:t>
      </w:r>
    </w:p>
    <w:p>
      <w:pPr>
        <w:pStyle w:val="BodyText"/>
        <w:spacing w:line="278" w:lineRule="auto" w:before="163"/>
        <w:ind w:left="1610" w:right="1026"/>
      </w:pPr>
      <w:r>
        <w:rPr>
          <w:spacing w:val="-2"/>
        </w:rPr>
        <w:t>在本合同签发日、合同签署日或复效日（取其最晚者）之后，被保险人在从事正常</w:t>
      </w:r>
      <w:r>
        <w:rPr>
          <w:spacing w:val="-2"/>
        </w:rPr>
        <w:t>职业生活中感染艾滋病病毒，并且证实满足以下所有条件者：</w:t>
      </w:r>
    </w:p>
    <w:p>
      <w:pPr>
        <w:pStyle w:val="ListParagraph"/>
        <w:numPr>
          <w:ilvl w:val="3"/>
          <w:numId w:val="9"/>
        </w:numPr>
        <w:tabs>
          <w:tab w:pos="1981" w:val="left" w:leader="none"/>
          <w:tab w:pos="1982" w:val="left" w:leader="none"/>
        </w:tabs>
        <w:spacing w:line="278" w:lineRule="auto" w:before="155" w:after="0"/>
        <w:ind w:left="1977" w:right="1078" w:hanging="370"/>
        <w:jc w:val="left"/>
        <w:rPr>
          <w:rFonts w:ascii="Times New Roman" w:eastAsia="Times New Roman"/>
          <w:sz w:val="21"/>
        </w:rPr>
      </w:pPr>
      <w:r>
        <w:rPr>
          <w:spacing w:val="-3"/>
          <w:sz w:val="21"/>
        </w:rPr>
        <w:t>导致感染艾滋病病毒的意外事故必须在意外发生后 </w:t>
      </w:r>
      <w:r>
        <w:rPr>
          <w:rFonts w:ascii="Times New Roman" w:eastAsia="Times New Roman"/>
          <w:sz w:val="21"/>
        </w:rPr>
        <w:t>30</w:t>
      </w:r>
      <w:r>
        <w:rPr>
          <w:rFonts w:ascii="Times New Roman" w:eastAsia="Times New Roman"/>
          <w:spacing w:val="-14"/>
          <w:sz w:val="21"/>
        </w:rPr>
        <w:t> </w:t>
      </w:r>
      <w:r>
        <w:rPr>
          <w:sz w:val="21"/>
        </w:rPr>
        <w:t>日内（</w:t>
      </w:r>
      <w:r>
        <w:rPr>
          <w:spacing w:val="-18"/>
          <w:sz w:val="21"/>
        </w:rPr>
        <w:t>含第 </w:t>
      </w:r>
      <w:r>
        <w:rPr>
          <w:rFonts w:ascii="Times New Roman" w:eastAsia="Times New Roman"/>
          <w:sz w:val="21"/>
        </w:rPr>
        <w:t>30</w:t>
      </w:r>
      <w:r>
        <w:rPr>
          <w:rFonts w:ascii="Times New Roman" w:eastAsia="Times New Roman"/>
          <w:spacing w:val="-10"/>
          <w:sz w:val="21"/>
        </w:rPr>
        <w:t> </w:t>
      </w:r>
      <w:r>
        <w:rPr>
          <w:sz w:val="21"/>
        </w:rPr>
        <w:t>日）向我</w:t>
      </w:r>
      <w:r>
        <w:rPr>
          <w:spacing w:val="-4"/>
          <w:sz w:val="21"/>
        </w:rPr>
        <w:t>们报告；</w:t>
      </w:r>
    </w:p>
    <w:p>
      <w:pPr>
        <w:pStyle w:val="ListParagraph"/>
        <w:numPr>
          <w:ilvl w:val="3"/>
          <w:numId w:val="9"/>
        </w:numPr>
        <w:tabs>
          <w:tab w:pos="1981" w:val="left" w:leader="none"/>
          <w:tab w:pos="1982" w:val="left" w:leader="none"/>
        </w:tabs>
        <w:spacing w:line="240" w:lineRule="auto" w:before="156" w:after="0"/>
        <w:ind w:left="1982" w:right="0" w:hanging="375"/>
        <w:jc w:val="left"/>
        <w:rPr>
          <w:rFonts w:ascii="Times New Roman" w:eastAsia="Times New Roman"/>
          <w:sz w:val="21"/>
        </w:rPr>
      </w:pPr>
      <w:r>
        <w:rPr>
          <w:spacing w:val="-3"/>
          <w:sz w:val="21"/>
        </w:rPr>
        <w:t>导致意外事故的明确的艾滋病病毒感染的液体的证据；</w:t>
      </w:r>
    </w:p>
    <w:p>
      <w:pPr>
        <w:pStyle w:val="BodyText"/>
        <w:rPr>
          <w:sz w:val="15"/>
        </w:rPr>
      </w:pPr>
    </w:p>
    <w:p>
      <w:pPr>
        <w:pStyle w:val="ListParagraph"/>
        <w:numPr>
          <w:ilvl w:val="3"/>
          <w:numId w:val="9"/>
        </w:numPr>
        <w:tabs>
          <w:tab w:pos="1981" w:val="left" w:leader="none"/>
          <w:tab w:pos="1982" w:val="left" w:leader="none"/>
        </w:tabs>
        <w:spacing w:line="278" w:lineRule="auto" w:before="0" w:after="0"/>
        <w:ind w:left="1977" w:right="993" w:hanging="370"/>
        <w:jc w:val="left"/>
        <w:rPr>
          <w:rFonts w:ascii="Times New Roman" w:eastAsia="Times New Roman"/>
          <w:sz w:val="21"/>
        </w:rPr>
      </w:pPr>
      <w:r>
        <w:rPr>
          <w:spacing w:val="-5"/>
          <w:sz w:val="21"/>
        </w:rPr>
        <w:t>在书面报告意外发生后的 </w:t>
      </w:r>
      <w:r>
        <w:rPr>
          <w:rFonts w:ascii="Times New Roman" w:eastAsia="Times New Roman"/>
          <w:sz w:val="21"/>
        </w:rPr>
        <w:t>180</w:t>
      </w:r>
      <w:r>
        <w:rPr>
          <w:rFonts w:ascii="Times New Roman" w:eastAsia="Times New Roman"/>
          <w:spacing w:val="-8"/>
          <w:sz w:val="21"/>
        </w:rPr>
        <w:t> </w:t>
      </w:r>
      <w:r>
        <w:rPr>
          <w:spacing w:val="-47"/>
          <w:sz w:val="21"/>
        </w:rPr>
        <w:t>日内</w:t>
      </w:r>
      <w:r>
        <w:rPr>
          <w:sz w:val="21"/>
        </w:rPr>
        <w:t>（</w:t>
      </w:r>
      <w:r>
        <w:rPr>
          <w:spacing w:val="-19"/>
          <w:sz w:val="21"/>
        </w:rPr>
        <w:t>含第 </w:t>
      </w:r>
      <w:r>
        <w:rPr>
          <w:rFonts w:ascii="Times New Roman" w:eastAsia="Times New Roman"/>
          <w:sz w:val="21"/>
        </w:rPr>
        <w:t>180</w:t>
      </w:r>
      <w:r>
        <w:rPr>
          <w:rFonts w:ascii="Times New Roman" w:eastAsia="Times New Roman"/>
          <w:spacing w:val="-5"/>
          <w:sz w:val="21"/>
        </w:rPr>
        <w:t> </w:t>
      </w:r>
      <w:r>
        <w:rPr>
          <w:sz w:val="21"/>
        </w:rPr>
        <w:t>日</w:t>
      </w:r>
      <w:r>
        <w:rPr>
          <w:spacing w:val="-97"/>
          <w:sz w:val="21"/>
        </w:rPr>
        <w:t>）</w:t>
      </w:r>
      <w:r>
        <w:rPr>
          <w:spacing w:val="-11"/>
          <w:sz w:val="21"/>
        </w:rPr>
        <w:t>出现血清 </w:t>
      </w:r>
      <w:r>
        <w:rPr>
          <w:rFonts w:ascii="Times New Roman" w:eastAsia="Times New Roman"/>
          <w:sz w:val="21"/>
        </w:rPr>
        <w:t>HIV</w:t>
      </w:r>
      <w:r>
        <w:rPr>
          <w:rFonts w:ascii="Times New Roman" w:eastAsia="Times New Roman"/>
          <w:spacing w:val="-3"/>
          <w:sz w:val="21"/>
        </w:rPr>
        <w:t> </w:t>
      </w:r>
      <w:r>
        <w:rPr>
          <w:spacing w:val="10"/>
          <w:sz w:val="21"/>
        </w:rPr>
        <w:t>阴性转变为</w:t>
      </w:r>
      <w:r>
        <w:rPr>
          <w:rFonts w:ascii="Times New Roman" w:eastAsia="Times New Roman"/>
          <w:sz w:val="21"/>
        </w:rPr>
        <w:t>HIV</w:t>
      </w:r>
      <w:r>
        <w:rPr>
          <w:spacing w:val="-2"/>
          <w:sz w:val="21"/>
        </w:rPr>
        <w:t>阳性的证据。这个证据必须包括一个意外事故发生后 </w:t>
      </w:r>
      <w:r>
        <w:rPr>
          <w:rFonts w:ascii="Times New Roman" w:eastAsia="Times New Roman"/>
          <w:sz w:val="21"/>
        </w:rPr>
        <w:t>5 </w:t>
      </w:r>
      <w:r>
        <w:rPr>
          <w:sz w:val="21"/>
        </w:rPr>
        <w:t>日内（</w:t>
      </w:r>
      <w:r>
        <w:rPr>
          <w:spacing w:val="-9"/>
          <w:sz w:val="21"/>
        </w:rPr>
        <w:t>含第 </w:t>
      </w:r>
      <w:r>
        <w:rPr>
          <w:rFonts w:ascii="Times New Roman" w:eastAsia="Times New Roman"/>
          <w:sz w:val="21"/>
        </w:rPr>
        <w:t>5 </w:t>
      </w:r>
      <w:r>
        <w:rPr>
          <w:sz w:val="21"/>
        </w:rPr>
        <w:t>日）</w:t>
      </w:r>
      <w:r>
        <w:rPr>
          <w:rFonts w:ascii="Times New Roman" w:eastAsia="Times New Roman"/>
          <w:sz w:val="21"/>
        </w:rPr>
        <w:t>HIV</w:t>
      </w:r>
      <w:r>
        <w:rPr>
          <w:spacing w:val="-2"/>
          <w:sz w:val="21"/>
        </w:rPr>
        <w:t>抗体阴性的检查报告；</w:t>
      </w:r>
    </w:p>
    <w:p>
      <w:pPr>
        <w:pStyle w:val="ListParagraph"/>
        <w:numPr>
          <w:ilvl w:val="3"/>
          <w:numId w:val="9"/>
        </w:numPr>
        <w:tabs>
          <w:tab w:pos="1981" w:val="left" w:leader="none"/>
          <w:tab w:pos="1982" w:val="left" w:leader="none"/>
        </w:tabs>
        <w:spacing w:line="240" w:lineRule="auto" w:before="156" w:after="0"/>
        <w:ind w:left="1982" w:right="0" w:hanging="372"/>
        <w:jc w:val="left"/>
        <w:rPr>
          <w:rFonts w:ascii="Times New Roman" w:eastAsia="Times New Roman"/>
          <w:sz w:val="21"/>
        </w:rPr>
      </w:pPr>
      <w:r>
        <w:rPr>
          <w:b/>
          <w:spacing w:val="-3"/>
          <w:sz w:val="21"/>
        </w:rPr>
        <w:t>由其他途径感染的艾滋病病毒，包括性行为和静脉注射毒品，不在保障范围内。</w:t>
      </w:r>
    </w:p>
    <w:p>
      <w:pPr>
        <w:pStyle w:val="BodyText"/>
        <w:rPr>
          <w:b/>
          <w:sz w:val="15"/>
        </w:rPr>
      </w:pPr>
    </w:p>
    <w:p>
      <w:pPr>
        <w:pStyle w:val="BodyText"/>
        <w:spacing w:before="0"/>
        <w:ind w:left="1610"/>
      </w:pPr>
      <w:r>
        <w:rPr>
          <w:spacing w:val="-9"/>
        </w:rPr>
        <w:t>意外事故后 </w:t>
      </w:r>
      <w:r>
        <w:rPr>
          <w:rFonts w:ascii="Times New Roman" w:eastAsia="Times New Roman"/>
          <w:spacing w:val="-2"/>
        </w:rPr>
        <w:t>12</w:t>
      </w:r>
      <w:r>
        <w:rPr>
          <w:rFonts w:ascii="Times New Roman" w:eastAsia="Times New Roman"/>
          <w:spacing w:val="9"/>
        </w:rPr>
        <w:t> </w:t>
      </w:r>
      <w:r>
        <w:rPr>
          <w:spacing w:val="-3"/>
        </w:rPr>
        <w:t>个月内需要进行进一步的血液检查以确认艾滋病病毒抗体的存在。</w:t>
      </w:r>
    </w:p>
    <w:p>
      <w:pPr>
        <w:pStyle w:val="BodyText"/>
        <w:spacing w:before="6"/>
        <w:rPr>
          <w:sz w:val="15"/>
        </w:rPr>
      </w:pPr>
    </w:p>
    <w:p>
      <w:pPr>
        <w:spacing w:line="278" w:lineRule="auto" w:before="0"/>
        <w:ind w:left="1610" w:right="887" w:firstLine="0"/>
        <w:jc w:val="left"/>
        <w:rPr>
          <w:b/>
          <w:sz w:val="21"/>
        </w:rPr>
      </w:pPr>
      <w:r>
        <w:rPr>
          <w:b/>
          <w:spacing w:val="-4"/>
          <w:sz w:val="21"/>
        </w:rPr>
        <w:t>我们仅在被保险人的职业为从业医生、医学院学生、国家注册护士、医学检验技师、</w:t>
      </w:r>
      <w:r>
        <w:rPr>
          <w:b/>
          <w:spacing w:val="-2"/>
          <w:sz w:val="21"/>
        </w:rPr>
        <w:t>牙医（外科医生和护士）或辅助医务工作者、医学中心或医院工作人员时承担此项</w:t>
      </w:r>
      <w:r>
        <w:rPr>
          <w:b/>
          <w:spacing w:val="-2"/>
          <w:sz w:val="21"/>
        </w:rPr>
        <w:t>保险责任。</w:t>
      </w:r>
    </w:p>
    <w:p>
      <w:pPr>
        <w:pStyle w:val="ListParagraph"/>
        <w:numPr>
          <w:ilvl w:val="2"/>
          <w:numId w:val="9"/>
        </w:numPr>
        <w:tabs>
          <w:tab w:pos="1819" w:val="left" w:leader="none"/>
        </w:tabs>
        <w:spacing w:line="240" w:lineRule="auto" w:before="156" w:after="0"/>
        <w:ind w:left="1818" w:right="0" w:hanging="802"/>
        <w:jc w:val="left"/>
        <w:rPr>
          <w:b/>
          <w:sz w:val="21"/>
        </w:rPr>
      </w:pPr>
      <w:r>
        <w:rPr>
          <w:b/>
          <w:spacing w:val="-2"/>
          <w:sz w:val="21"/>
        </w:rPr>
        <w:t>严重川崎病</w:t>
      </w:r>
    </w:p>
    <w:p>
      <w:pPr>
        <w:pStyle w:val="BodyText"/>
        <w:spacing w:before="163"/>
        <w:ind w:left="1610"/>
      </w:pPr>
      <w:r>
        <w:rPr>
          <w:spacing w:val="-3"/>
        </w:rPr>
        <w:t>是指原因不明的系统性血管炎，并须满足下列全部条件：</w:t>
      </w:r>
    </w:p>
    <w:p>
      <w:pPr>
        <w:pStyle w:val="BodyText"/>
        <w:rPr>
          <w:sz w:val="15"/>
        </w:rPr>
      </w:pPr>
    </w:p>
    <w:p>
      <w:pPr>
        <w:pStyle w:val="ListParagraph"/>
        <w:numPr>
          <w:ilvl w:val="3"/>
          <w:numId w:val="9"/>
        </w:numPr>
        <w:tabs>
          <w:tab w:pos="1981" w:val="left" w:leader="none"/>
          <w:tab w:pos="1982" w:val="left" w:leader="none"/>
        </w:tabs>
        <w:spacing w:line="240" w:lineRule="auto" w:before="0" w:after="0"/>
        <w:ind w:left="1982" w:right="0" w:hanging="372"/>
        <w:jc w:val="left"/>
        <w:rPr>
          <w:rFonts w:ascii="Times New Roman" w:eastAsia="Times New Roman"/>
          <w:sz w:val="21"/>
        </w:rPr>
      </w:pPr>
      <w:r>
        <w:rPr>
          <w:spacing w:val="-3"/>
          <w:sz w:val="21"/>
        </w:rPr>
        <w:t>超声心动图显示川崎病并发冠状动脉瘤或其他心血管异常；</w:t>
      </w:r>
    </w:p>
    <w:p>
      <w:pPr>
        <w:pStyle w:val="BodyText"/>
        <w:spacing w:before="6"/>
        <w:rPr>
          <w:sz w:val="15"/>
        </w:rPr>
      </w:pPr>
    </w:p>
    <w:p>
      <w:pPr>
        <w:pStyle w:val="ListParagraph"/>
        <w:numPr>
          <w:ilvl w:val="3"/>
          <w:numId w:val="9"/>
        </w:numPr>
        <w:tabs>
          <w:tab w:pos="1981" w:val="left" w:leader="none"/>
          <w:tab w:pos="1982" w:val="left" w:leader="none"/>
        </w:tabs>
        <w:spacing w:line="240" w:lineRule="auto" w:before="1" w:after="0"/>
        <w:ind w:left="1982" w:right="0" w:hanging="372"/>
        <w:jc w:val="left"/>
        <w:rPr>
          <w:rFonts w:ascii="Times New Roman" w:eastAsia="Times New Roman"/>
          <w:sz w:val="21"/>
        </w:rPr>
      </w:pPr>
      <w:r>
        <w:rPr>
          <w:spacing w:val="-3"/>
          <w:sz w:val="21"/>
        </w:rPr>
        <w:t>已接受了针对川崎病并发冠状动脉瘤或其他心血管异常所进行的手术治疗。</w:t>
      </w:r>
    </w:p>
    <w:p>
      <w:pPr>
        <w:pStyle w:val="BodyText"/>
        <w:rPr>
          <w:sz w:val="15"/>
        </w:rPr>
      </w:pPr>
    </w:p>
    <w:p>
      <w:pPr>
        <w:pStyle w:val="ListParagraph"/>
        <w:numPr>
          <w:ilvl w:val="2"/>
          <w:numId w:val="9"/>
        </w:numPr>
        <w:tabs>
          <w:tab w:pos="1819" w:val="left" w:leader="none"/>
        </w:tabs>
        <w:spacing w:line="240" w:lineRule="auto" w:before="0" w:after="0"/>
        <w:ind w:left="1818" w:right="0" w:hanging="802"/>
        <w:jc w:val="left"/>
        <w:rPr>
          <w:b/>
          <w:sz w:val="21"/>
        </w:rPr>
      </w:pPr>
      <w:r>
        <w:rPr>
          <w:b/>
          <w:spacing w:val="-2"/>
          <w:sz w:val="21"/>
        </w:rPr>
        <w:t>严重肠道疾病并发症</w:t>
      </w:r>
    </w:p>
    <w:p>
      <w:pPr>
        <w:pStyle w:val="BodyText"/>
        <w:spacing w:before="163"/>
        <w:ind w:left="1610"/>
      </w:pPr>
      <w:r>
        <w:rPr>
          <w:spacing w:val="-3"/>
        </w:rPr>
        <w:t>严重肠道疾病或外伤导致小肠损害并发症，满足以下所有条件：</w:t>
      </w:r>
    </w:p>
    <w:p>
      <w:pPr>
        <w:pStyle w:val="BodyText"/>
        <w:spacing w:before="6"/>
        <w:rPr>
          <w:sz w:val="15"/>
        </w:rPr>
      </w:pPr>
    </w:p>
    <w:p>
      <w:pPr>
        <w:pStyle w:val="ListParagraph"/>
        <w:numPr>
          <w:ilvl w:val="3"/>
          <w:numId w:val="9"/>
        </w:numPr>
        <w:tabs>
          <w:tab w:pos="1981" w:val="left" w:leader="none"/>
          <w:tab w:pos="1982" w:val="left" w:leader="none"/>
        </w:tabs>
        <w:spacing w:line="240" w:lineRule="auto" w:before="1" w:after="0"/>
        <w:ind w:left="1982" w:right="0" w:hanging="372"/>
        <w:jc w:val="left"/>
        <w:rPr>
          <w:rFonts w:ascii="Times New Roman" w:eastAsia="Times New Roman"/>
          <w:sz w:val="21"/>
        </w:rPr>
      </w:pPr>
      <w:r>
        <w:rPr>
          <w:spacing w:val="-3"/>
          <w:sz w:val="21"/>
        </w:rPr>
        <w:t>至少切除了三分之二小肠；</w:t>
      </w:r>
    </w:p>
    <w:p>
      <w:pPr>
        <w:pStyle w:val="BodyText"/>
        <w:spacing w:before="6"/>
        <w:rPr>
          <w:sz w:val="15"/>
        </w:rPr>
      </w:pPr>
    </w:p>
    <w:p>
      <w:pPr>
        <w:pStyle w:val="ListParagraph"/>
        <w:numPr>
          <w:ilvl w:val="3"/>
          <w:numId w:val="9"/>
        </w:numPr>
        <w:tabs>
          <w:tab w:pos="1981" w:val="left" w:leader="none"/>
          <w:tab w:pos="1982" w:val="left" w:leader="none"/>
        </w:tabs>
        <w:spacing w:line="240" w:lineRule="auto" w:before="0" w:after="0"/>
        <w:ind w:left="1982" w:right="0" w:hanging="372"/>
        <w:jc w:val="left"/>
        <w:rPr>
          <w:rFonts w:ascii="Times New Roman" w:eastAsia="Times New Roman"/>
          <w:sz w:val="21"/>
        </w:rPr>
      </w:pPr>
      <w:r>
        <w:rPr>
          <w:spacing w:val="-3"/>
          <w:sz w:val="21"/>
        </w:rPr>
        <w:t>完全肠外营养支持三个月以上。</w:t>
      </w:r>
    </w:p>
    <w:p>
      <w:pPr>
        <w:spacing w:after="0" w:line="240" w:lineRule="auto"/>
        <w:jc w:val="left"/>
        <w:rPr>
          <w:rFonts w:ascii="Times New Roman" w:eastAsia="Times New Roman"/>
          <w:sz w:val="21"/>
        </w:rPr>
        <w:sectPr>
          <w:pgSz w:w="11910" w:h="16840"/>
          <w:pgMar w:top="1380" w:bottom="280" w:left="1280" w:right="420"/>
        </w:sectPr>
      </w:pPr>
    </w:p>
    <w:p>
      <w:pPr>
        <w:pStyle w:val="ListParagraph"/>
        <w:numPr>
          <w:ilvl w:val="2"/>
          <w:numId w:val="9"/>
        </w:numPr>
        <w:tabs>
          <w:tab w:pos="1819" w:val="left" w:leader="none"/>
        </w:tabs>
        <w:spacing w:line="240" w:lineRule="auto" w:before="64" w:after="0"/>
        <w:ind w:left="1818" w:right="0" w:hanging="802"/>
        <w:jc w:val="left"/>
        <w:rPr>
          <w:b/>
          <w:sz w:val="21"/>
        </w:rPr>
      </w:pPr>
      <w:r>
        <w:rPr>
          <w:b/>
          <w:spacing w:val="-2"/>
          <w:sz w:val="21"/>
        </w:rPr>
        <w:t>埃博拉病毒感染</w:t>
      </w:r>
    </w:p>
    <w:p>
      <w:pPr>
        <w:pStyle w:val="BodyText"/>
        <w:spacing w:before="163"/>
        <w:ind w:left="1610"/>
      </w:pPr>
      <w:r>
        <w:rPr>
          <w:spacing w:val="-3"/>
        </w:rPr>
        <w:t>指埃博拉病毒感染导致的烈性传染病，并须满足下列全部条件：</w:t>
      </w:r>
    </w:p>
    <w:p>
      <w:pPr>
        <w:pStyle w:val="BodyText"/>
        <w:rPr>
          <w:sz w:val="15"/>
        </w:rPr>
      </w:pPr>
    </w:p>
    <w:p>
      <w:pPr>
        <w:pStyle w:val="ListParagraph"/>
        <w:numPr>
          <w:ilvl w:val="3"/>
          <w:numId w:val="9"/>
        </w:numPr>
        <w:tabs>
          <w:tab w:pos="1981" w:val="left" w:leader="none"/>
          <w:tab w:pos="1982" w:val="left" w:leader="none"/>
        </w:tabs>
        <w:spacing w:line="240" w:lineRule="auto" w:before="0" w:after="0"/>
        <w:ind w:left="1982" w:right="0" w:hanging="372"/>
        <w:jc w:val="left"/>
        <w:rPr>
          <w:rFonts w:ascii="Times New Roman" w:eastAsia="Times New Roman"/>
          <w:sz w:val="21"/>
        </w:rPr>
      </w:pPr>
      <w:r>
        <w:rPr>
          <w:spacing w:val="-3"/>
          <w:sz w:val="21"/>
        </w:rPr>
        <w:t>实验室检查证实埃博拉病毒的存在；</w:t>
      </w:r>
    </w:p>
    <w:p>
      <w:pPr>
        <w:pStyle w:val="BodyText"/>
        <w:rPr>
          <w:sz w:val="15"/>
        </w:rPr>
      </w:pPr>
    </w:p>
    <w:p>
      <w:pPr>
        <w:pStyle w:val="ListParagraph"/>
        <w:numPr>
          <w:ilvl w:val="3"/>
          <w:numId w:val="9"/>
        </w:numPr>
        <w:tabs>
          <w:tab w:pos="1981" w:val="left" w:leader="none"/>
          <w:tab w:pos="1982" w:val="left" w:leader="none"/>
        </w:tabs>
        <w:spacing w:line="240" w:lineRule="auto" w:before="0" w:after="0"/>
        <w:ind w:left="1982" w:right="0" w:hanging="372"/>
        <w:jc w:val="left"/>
        <w:rPr>
          <w:rFonts w:ascii="Times New Roman" w:eastAsia="Times New Roman"/>
          <w:sz w:val="21"/>
        </w:rPr>
      </w:pPr>
      <w:r>
        <w:rPr>
          <w:spacing w:val="-8"/>
          <w:sz w:val="21"/>
        </w:rPr>
        <w:t>从发病开始有超过 </w:t>
      </w:r>
      <w:r>
        <w:rPr>
          <w:rFonts w:ascii="Times New Roman" w:eastAsia="Times New Roman"/>
          <w:spacing w:val="-2"/>
          <w:sz w:val="21"/>
        </w:rPr>
        <w:t>30</w:t>
      </w:r>
      <w:r>
        <w:rPr>
          <w:rFonts w:ascii="Times New Roman" w:eastAsia="Times New Roman"/>
          <w:spacing w:val="6"/>
          <w:sz w:val="21"/>
        </w:rPr>
        <w:t> </w:t>
      </w:r>
      <w:r>
        <w:rPr>
          <w:spacing w:val="-3"/>
          <w:sz w:val="21"/>
        </w:rPr>
        <w:t>日的进行性感染症状。</w:t>
      </w:r>
    </w:p>
    <w:p>
      <w:pPr>
        <w:pStyle w:val="BodyText"/>
        <w:spacing w:before="6"/>
        <w:rPr>
          <w:sz w:val="15"/>
        </w:rPr>
      </w:pPr>
    </w:p>
    <w:p>
      <w:pPr>
        <w:pStyle w:val="ListParagraph"/>
        <w:numPr>
          <w:ilvl w:val="2"/>
          <w:numId w:val="9"/>
        </w:numPr>
        <w:tabs>
          <w:tab w:pos="1819" w:val="left" w:leader="none"/>
        </w:tabs>
        <w:spacing w:line="240" w:lineRule="auto" w:before="1" w:after="0"/>
        <w:ind w:left="1818" w:right="0" w:hanging="802"/>
        <w:jc w:val="left"/>
        <w:rPr>
          <w:b/>
          <w:sz w:val="21"/>
        </w:rPr>
      </w:pPr>
      <w:r>
        <w:rPr>
          <w:b/>
          <w:spacing w:val="-3"/>
          <w:sz w:val="21"/>
        </w:rPr>
        <w:t>严重哮喘</w:t>
      </w:r>
    </w:p>
    <w:p>
      <w:pPr>
        <w:pStyle w:val="BodyText"/>
        <w:spacing w:before="163"/>
        <w:ind w:left="1610"/>
      </w:pPr>
      <w:r>
        <w:rPr>
          <w:spacing w:val="-3"/>
        </w:rPr>
        <w:t>一种可逆性、反复发作的支气管阻塞型疾病。需满足下列至少三项条件：</w:t>
      </w:r>
    </w:p>
    <w:p>
      <w:pPr>
        <w:pStyle w:val="BodyText"/>
        <w:spacing w:before="6"/>
        <w:rPr>
          <w:sz w:val="15"/>
        </w:rPr>
      </w:pPr>
    </w:p>
    <w:p>
      <w:pPr>
        <w:pStyle w:val="ListParagraph"/>
        <w:numPr>
          <w:ilvl w:val="3"/>
          <w:numId w:val="9"/>
        </w:numPr>
        <w:tabs>
          <w:tab w:pos="1981" w:val="left" w:leader="none"/>
          <w:tab w:pos="1982" w:val="left" w:leader="none"/>
        </w:tabs>
        <w:spacing w:line="240" w:lineRule="auto" w:before="0" w:after="0"/>
        <w:ind w:left="1982" w:right="0" w:hanging="372"/>
        <w:jc w:val="left"/>
        <w:rPr>
          <w:rFonts w:ascii="Times New Roman" w:eastAsia="Times New Roman"/>
          <w:sz w:val="21"/>
        </w:rPr>
      </w:pPr>
      <w:r>
        <w:rPr>
          <w:spacing w:val="-2"/>
          <w:sz w:val="21"/>
        </w:rPr>
        <w:t>过去两年中有哮喘持续状态（</w:t>
      </w:r>
      <w:r>
        <w:rPr>
          <w:spacing w:val="-8"/>
          <w:sz w:val="21"/>
        </w:rPr>
        <w:t>哮喘持续发作 </w:t>
      </w:r>
      <w:r>
        <w:rPr>
          <w:rFonts w:ascii="Times New Roman" w:eastAsia="Times New Roman"/>
          <w:spacing w:val="-2"/>
          <w:sz w:val="21"/>
        </w:rPr>
        <w:t>24</w:t>
      </w:r>
      <w:r>
        <w:rPr>
          <w:rFonts w:ascii="Times New Roman" w:eastAsia="Times New Roman"/>
          <w:spacing w:val="10"/>
          <w:sz w:val="21"/>
        </w:rPr>
        <w:t> </w:t>
      </w:r>
      <w:r>
        <w:rPr>
          <w:spacing w:val="-2"/>
          <w:sz w:val="21"/>
        </w:rPr>
        <w:t>小时以上不能缓解）</w:t>
      </w:r>
      <w:r>
        <w:rPr>
          <w:spacing w:val="-5"/>
          <w:sz w:val="21"/>
        </w:rPr>
        <w:t>病史；</w:t>
      </w:r>
    </w:p>
    <w:p>
      <w:pPr>
        <w:pStyle w:val="BodyText"/>
        <w:rPr>
          <w:sz w:val="15"/>
        </w:rPr>
      </w:pPr>
    </w:p>
    <w:p>
      <w:pPr>
        <w:pStyle w:val="ListParagraph"/>
        <w:numPr>
          <w:ilvl w:val="3"/>
          <w:numId w:val="9"/>
        </w:numPr>
        <w:tabs>
          <w:tab w:pos="1981" w:val="left" w:leader="none"/>
          <w:tab w:pos="1982" w:val="left" w:leader="none"/>
        </w:tabs>
        <w:spacing w:line="240" w:lineRule="auto" w:before="0" w:after="0"/>
        <w:ind w:left="1982" w:right="0" w:hanging="372"/>
        <w:jc w:val="left"/>
        <w:rPr>
          <w:rFonts w:ascii="Times New Roman" w:eastAsia="Times New Roman"/>
          <w:sz w:val="21"/>
        </w:rPr>
      </w:pPr>
      <w:r>
        <w:rPr>
          <w:spacing w:val="-3"/>
          <w:sz w:val="21"/>
        </w:rPr>
        <w:t>肺部慢性过度膨胀充气导致的胸廓畸形；</w:t>
      </w:r>
    </w:p>
    <w:p>
      <w:pPr>
        <w:pStyle w:val="BodyText"/>
        <w:rPr>
          <w:sz w:val="15"/>
        </w:rPr>
      </w:pPr>
    </w:p>
    <w:p>
      <w:pPr>
        <w:pStyle w:val="ListParagraph"/>
        <w:numPr>
          <w:ilvl w:val="3"/>
          <w:numId w:val="9"/>
        </w:numPr>
        <w:tabs>
          <w:tab w:pos="1981" w:val="left" w:leader="none"/>
          <w:tab w:pos="1982" w:val="left" w:leader="none"/>
        </w:tabs>
        <w:spacing w:line="240" w:lineRule="auto" w:before="0" w:after="0"/>
        <w:ind w:left="1982" w:right="0" w:hanging="372"/>
        <w:jc w:val="left"/>
        <w:rPr>
          <w:rFonts w:ascii="Times New Roman" w:eastAsia="Times New Roman"/>
          <w:sz w:val="21"/>
        </w:rPr>
      </w:pPr>
      <w:r>
        <w:rPr>
          <w:spacing w:val="-3"/>
          <w:sz w:val="21"/>
        </w:rPr>
        <w:t>在家中需要医师处方的氧气治疗法；</w:t>
      </w:r>
    </w:p>
    <w:p>
      <w:pPr>
        <w:pStyle w:val="BodyText"/>
        <w:rPr>
          <w:sz w:val="15"/>
        </w:rPr>
      </w:pPr>
    </w:p>
    <w:p>
      <w:pPr>
        <w:pStyle w:val="ListParagraph"/>
        <w:numPr>
          <w:ilvl w:val="3"/>
          <w:numId w:val="9"/>
        </w:numPr>
        <w:tabs>
          <w:tab w:pos="1981" w:val="left" w:leader="none"/>
          <w:tab w:pos="1982" w:val="left" w:leader="none"/>
        </w:tabs>
        <w:spacing w:line="417" w:lineRule="auto" w:before="0" w:after="0"/>
        <w:ind w:left="1610" w:right="1916" w:firstLine="0"/>
        <w:jc w:val="left"/>
        <w:rPr>
          <w:rFonts w:ascii="Times New Roman" w:eastAsia="Times New Roman"/>
          <w:sz w:val="21"/>
        </w:rPr>
      </w:pPr>
      <w:r>
        <w:rPr>
          <w:sz w:val="21"/>
        </w:rPr>
        <w:t>持续日常服用口服可的松类固醇激素（</w:t>
      </w:r>
      <w:r>
        <w:rPr>
          <w:spacing w:val="-8"/>
          <w:sz w:val="21"/>
        </w:rPr>
        <w:t>至少持续服用 </w:t>
      </w:r>
      <w:r>
        <w:rPr>
          <w:rFonts w:ascii="Times New Roman" w:eastAsia="Times New Roman"/>
          <w:sz w:val="21"/>
        </w:rPr>
        <w:t>6</w:t>
      </w:r>
      <w:r>
        <w:rPr>
          <w:rFonts w:ascii="Times New Roman" w:eastAsia="Times New Roman"/>
          <w:spacing w:val="-14"/>
          <w:sz w:val="21"/>
        </w:rPr>
        <w:t> </w:t>
      </w:r>
      <w:r>
        <w:rPr>
          <w:sz w:val="21"/>
        </w:rPr>
        <w:t>个月以上）。</w:t>
      </w:r>
      <w:r>
        <w:rPr>
          <w:b/>
          <w:spacing w:val="-2"/>
          <w:sz w:val="21"/>
        </w:rPr>
        <w:t>被保险人申请理赔时年龄必须在二十五周岁之前。</w:t>
      </w:r>
    </w:p>
    <w:p>
      <w:pPr>
        <w:pStyle w:val="ListParagraph"/>
        <w:numPr>
          <w:ilvl w:val="2"/>
          <w:numId w:val="9"/>
        </w:numPr>
        <w:tabs>
          <w:tab w:pos="1819" w:val="left" w:leader="none"/>
        </w:tabs>
        <w:spacing w:line="269" w:lineRule="exact" w:before="0" w:after="0"/>
        <w:ind w:left="1818" w:right="0" w:hanging="802"/>
        <w:jc w:val="left"/>
        <w:rPr>
          <w:b/>
          <w:sz w:val="21"/>
        </w:rPr>
      </w:pPr>
      <w:r>
        <w:rPr>
          <w:b/>
          <w:spacing w:val="-3"/>
          <w:sz w:val="21"/>
        </w:rPr>
        <w:t>严重细菌性脑脊髓膜炎后遗症</w:t>
      </w:r>
    </w:p>
    <w:p>
      <w:pPr>
        <w:pStyle w:val="BodyText"/>
        <w:spacing w:before="163"/>
        <w:ind w:left="1610"/>
        <w:rPr>
          <w:rFonts w:ascii="Times New Roman" w:eastAsia="Times New Roman"/>
        </w:rPr>
      </w:pPr>
      <w:r>
        <w:rPr>
          <w:spacing w:val="-8"/>
        </w:rPr>
        <w:t>指因脑膜炎双球菌感染引起脑脊髓膜化脓性病变，且导致永久性神经损害，持续 </w:t>
      </w:r>
      <w:r>
        <w:rPr>
          <w:rFonts w:ascii="Times New Roman" w:eastAsia="Times New Roman"/>
          <w:spacing w:val="-5"/>
        </w:rPr>
        <w:t>180</w:t>
      </w:r>
    </w:p>
    <w:p>
      <w:pPr>
        <w:pStyle w:val="BodyText"/>
        <w:spacing w:before="43"/>
        <w:ind w:left="1610"/>
      </w:pPr>
      <w:r>
        <w:rPr>
          <w:spacing w:val="-3"/>
        </w:rPr>
        <w:t>日以上，并且脑脊液检查显示脑膜炎双球菌阳性。</w:t>
      </w:r>
    </w:p>
    <w:p>
      <w:pPr>
        <w:pStyle w:val="BodyText"/>
        <w:rPr>
          <w:sz w:val="15"/>
        </w:rPr>
      </w:pPr>
    </w:p>
    <w:p>
      <w:pPr>
        <w:pStyle w:val="BodyText"/>
        <w:spacing w:line="278" w:lineRule="auto" w:before="0"/>
        <w:ind w:left="1610" w:right="884"/>
      </w:pPr>
      <w:r>
        <w:rPr>
          <w:spacing w:val="-2"/>
        </w:rPr>
        <w:t>永久性神经损害是指由细菌性脑脊髓膜炎引起的耳聋、失明、动眼神经麻痹、瘫痪、</w:t>
      </w:r>
      <w:r>
        <w:rPr>
          <w:spacing w:val="-1"/>
        </w:rPr>
        <w:t>脑积水、智力或性情中度以上的损害，且上述症状持续 </w:t>
      </w:r>
      <w:r>
        <w:rPr>
          <w:rFonts w:ascii="Times New Roman" w:eastAsia="Times New Roman"/>
        </w:rPr>
        <w:t>180 </w:t>
      </w:r>
      <w:r>
        <w:rPr/>
        <w:t>日以上仍无改善迹象。</w:t>
      </w:r>
    </w:p>
    <w:p>
      <w:pPr>
        <w:pStyle w:val="ListParagraph"/>
        <w:numPr>
          <w:ilvl w:val="2"/>
          <w:numId w:val="9"/>
        </w:numPr>
        <w:tabs>
          <w:tab w:pos="1819" w:val="left" w:leader="none"/>
        </w:tabs>
        <w:spacing w:line="240" w:lineRule="auto" w:before="156" w:after="0"/>
        <w:ind w:left="1818" w:right="0" w:hanging="802"/>
        <w:jc w:val="left"/>
        <w:rPr>
          <w:b/>
          <w:sz w:val="21"/>
        </w:rPr>
      </w:pPr>
      <w:r>
        <w:rPr>
          <w:b/>
          <w:spacing w:val="-2"/>
          <w:sz w:val="21"/>
        </w:rPr>
        <w:t>重症手足口病</w:t>
      </w:r>
    </w:p>
    <w:p>
      <w:pPr>
        <w:pStyle w:val="BodyText"/>
        <w:spacing w:line="278" w:lineRule="auto" w:before="163"/>
        <w:ind w:left="1610" w:right="1026"/>
        <w:jc w:val="both"/>
      </w:pPr>
      <w:r>
        <w:rPr>
          <w:spacing w:val="-2"/>
        </w:rPr>
        <w:t>由肠道病毒引起的急性传染病，主要症状表现为手、足、口腔等部位的斑丘疹、疱</w:t>
      </w:r>
      <w:r>
        <w:rPr>
          <w:spacing w:val="-2"/>
        </w:rPr>
        <w:t>疹。经我们认可的医疗机构的儿科专科医生确诊为患有手足口病，并伴有下列三项</w:t>
      </w:r>
      <w:r>
        <w:rPr>
          <w:spacing w:val="-2"/>
        </w:rPr>
        <w:t>中的任意一项并发症：</w:t>
      </w:r>
    </w:p>
    <w:p>
      <w:pPr>
        <w:pStyle w:val="ListParagraph"/>
        <w:numPr>
          <w:ilvl w:val="3"/>
          <w:numId w:val="9"/>
        </w:numPr>
        <w:tabs>
          <w:tab w:pos="1981" w:val="left" w:leader="none"/>
          <w:tab w:pos="1982" w:val="left" w:leader="none"/>
        </w:tabs>
        <w:spacing w:line="240" w:lineRule="auto" w:before="156" w:after="0"/>
        <w:ind w:left="1982" w:right="0" w:hanging="372"/>
        <w:jc w:val="left"/>
        <w:rPr>
          <w:rFonts w:ascii="Times New Roman" w:eastAsia="Times New Roman"/>
          <w:sz w:val="21"/>
        </w:rPr>
      </w:pPr>
      <w:r>
        <w:rPr>
          <w:spacing w:val="-3"/>
          <w:sz w:val="21"/>
        </w:rPr>
        <w:t>有脑膜炎或脑炎并发症，且导致意识障碍或瘫痪的临床表现及实验室检查证据；</w:t>
      </w:r>
    </w:p>
    <w:p>
      <w:pPr>
        <w:pStyle w:val="BodyText"/>
        <w:spacing w:before="6"/>
        <w:rPr>
          <w:sz w:val="15"/>
        </w:rPr>
      </w:pPr>
    </w:p>
    <w:p>
      <w:pPr>
        <w:pStyle w:val="ListParagraph"/>
        <w:numPr>
          <w:ilvl w:val="3"/>
          <w:numId w:val="9"/>
        </w:numPr>
        <w:tabs>
          <w:tab w:pos="1981" w:val="left" w:leader="none"/>
          <w:tab w:pos="1982" w:val="left" w:leader="none"/>
        </w:tabs>
        <w:spacing w:line="240" w:lineRule="auto" w:before="0" w:after="0"/>
        <w:ind w:left="1982" w:right="0" w:hanging="372"/>
        <w:jc w:val="left"/>
        <w:rPr>
          <w:rFonts w:ascii="Times New Roman" w:eastAsia="Times New Roman"/>
          <w:sz w:val="21"/>
        </w:rPr>
      </w:pPr>
      <w:r>
        <w:rPr>
          <w:spacing w:val="-3"/>
          <w:sz w:val="21"/>
        </w:rPr>
        <w:t>有肺炎或肺水肿并发症，且导致呼吸衰竭的临床表现及实验室检查证据；</w:t>
      </w:r>
    </w:p>
    <w:p>
      <w:pPr>
        <w:pStyle w:val="BodyText"/>
        <w:rPr>
          <w:sz w:val="15"/>
        </w:rPr>
      </w:pPr>
    </w:p>
    <w:p>
      <w:pPr>
        <w:pStyle w:val="ListParagraph"/>
        <w:numPr>
          <w:ilvl w:val="3"/>
          <w:numId w:val="9"/>
        </w:numPr>
        <w:tabs>
          <w:tab w:pos="1981" w:val="left" w:leader="none"/>
          <w:tab w:pos="1982" w:val="left" w:leader="none"/>
        </w:tabs>
        <w:spacing w:line="240" w:lineRule="auto" w:before="0" w:after="0"/>
        <w:ind w:left="1982" w:right="0" w:hanging="372"/>
        <w:jc w:val="left"/>
        <w:rPr>
          <w:rFonts w:ascii="Times New Roman" w:eastAsia="Times New Roman"/>
          <w:sz w:val="21"/>
        </w:rPr>
      </w:pPr>
      <w:r>
        <w:rPr>
          <w:spacing w:val="-3"/>
          <w:sz w:val="21"/>
        </w:rPr>
        <w:t>有心肌炎并发症，且导致心脏扩大或心力衰竭的临床表现及实验室检查证据。</w:t>
      </w:r>
    </w:p>
    <w:p>
      <w:pPr>
        <w:pStyle w:val="BodyText"/>
        <w:rPr>
          <w:sz w:val="15"/>
        </w:rPr>
      </w:pPr>
    </w:p>
    <w:p>
      <w:pPr>
        <w:pStyle w:val="ListParagraph"/>
        <w:numPr>
          <w:ilvl w:val="2"/>
          <w:numId w:val="9"/>
        </w:numPr>
        <w:tabs>
          <w:tab w:pos="1819" w:val="left" w:leader="none"/>
        </w:tabs>
        <w:spacing w:line="240" w:lineRule="auto" w:before="0" w:after="0"/>
        <w:ind w:left="1818" w:right="0" w:hanging="802"/>
        <w:jc w:val="left"/>
        <w:rPr>
          <w:b/>
          <w:sz w:val="21"/>
        </w:rPr>
      </w:pPr>
      <w:r>
        <w:rPr>
          <w:b/>
          <w:spacing w:val="-2"/>
          <w:sz w:val="21"/>
        </w:rPr>
        <w:t>严重克雅氏病</w:t>
      </w:r>
    </w:p>
    <w:p>
      <w:pPr>
        <w:pStyle w:val="BodyText"/>
        <w:spacing w:before="163"/>
        <w:ind w:left="1610"/>
      </w:pPr>
      <w:r>
        <w:rPr>
          <w:spacing w:val="-3"/>
        </w:rPr>
        <w:t>神经系统疾病及致命的成胶质状脑病，并有以下症状：</w:t>
      </w:r>
    </w:p>
    <w:p>
      <w:pPr>
        <w:pStyle w:val="BodyText"/>
        <w:spacing w:before="6"/>
        <w:rPr>
          <w:sz w:val="15"/>
        </w:rPr>
      </w:pPr>
    </w:p>
    <w:p>
      <w:pPr>
        <w:pStyle w:val="ListParagraph"/>
        <w:numPr>
          <w:ilvl w:val="3"/>
          <w:numId w:val="9"/>
        </w:numPr>
        <w:tabs>
          <w:tab w:pos="1981" w:val="left" w:leader="none"/>
          <w:tab w:pos="1982" w:val="left" w:leader="none"/>
        </w:tabs>
        <w:spacing w:line="240" w:lineRule="auto" w:before="1" w:after="0"/>
        <w:ind w:left="1982" w:right="0" w:hanging="372"/>
        <w:jc w:val="left"/>
        <w:rPr>
          <w:rFonts w:ascii="Times New Roman" w:eastAsia="Times New Roman"/>
          <w:sz w:val="21"/>
        </w:rPr>
      </w:pPr>
      <w:r>
        <w:rPr>
          <w:spacing w:val="-3"/>
          <w:sz w:val="21"/>
        </w:rPr>
        <w:t>不能控制的肌肉痉挛及震颤；</w:t>
      </w:r>
    </w:p>
    <w:p>
      <w:pPr>
        <w:pStyle w:val="BodyText"/>
        <w:spacing w:before="6"/>
        <w:rPr>
          <w:sz w:val="15"/>
        </w:rPr>
      </w:pPr>
    </w:p>
    <w:p>
      <w:pPr>
        <w:pStyle w:val="ListParagraph"/>
        <w:numPr>
          <w:ilvl w:val="3"/>
          <w:numId w:val="9"/>
        </w:numPr>
        <w:tabs>
          <w:tab w:pos="1981" w:val="left" w:leader="none"/>
          <w:tab w:pos="1982" w:val="left" w:leader="none"/>
        </w:tabs>
        <w:spacing w:line="240" w:lineRule="auto" w:before="0" w:after="0"/>
        <w:ind w:left="1982" w:right="0" w:hanging="372"/>
        <w:jc w:val="left"/>
        <w:rPr>
          <w:rFonts w:ascii="Times New Roman" w:eastAsia="Times New Roman"/>
          <w:sz w:val="21"/>
        </w:rPr>
      </w:pPr>
      <w:r>
        <w:rPr>
          <w:spacing w:val="-4"/>
          <w:sz w:val="21"/>
        </w:rPr>
        <w:t>逐渐痴呆；</w:t>
      </w:r>
    </w:p>
    <w:p>
      <w:pPr>
        <w:pStyle w:val="BodyText"/>
        <w:rPr>
          <w:sz w:val="15"/>
        </w:rPr>
      </w:pPr>
    </w:p>
    <w:p>
      <w:pPr>
        <w:pStyle w:val="ListParagraph"/>
        <w:numPr>
          <w:ilvl w:val="3"/>
          <w:numId w:val="9"/>
        </w:numPr>
        <w:tabs>
          <w:tab w:pos="1981" w:val="left" w:leader="none"/>
          <w:tab w:pos="1982" w:val="left" w:leader="none"/>
        </w:tabs>
        <w:spacing w:line="240" w:lineRule="auto" w:before="1" w:after="0"/>
        <w:ind w:left="1982" w:right="0" w:hanging="372"/>
        <w:jc w:val="left"/>
        <w:rPr>
          <w:rFonts w:ascii="Times New Roman" w:eastAsia="Times New Roman"/>
          <w:sz w:val="21"/>
        </w:rPr>
      </w:pPr>
      <w:r>
        <w:rPr>
          <w:spacing w:val="-3"/>
          <w:sz w:val="21"/>
        </w:rPr>
        <w:t>小脑功能不良，共济失调；</w:t>
      </w:r>
    </w:p>
    <w:p>
      <w:pPr>
        <w:pStyle w:val="BodyText"/>
        <w:spacing w:before="6"/>
        <w:rPr>
          <w:sz w:val="15"/>
        </w:rPr>
      </w:pPr>
    </w:p>
    <w:p>
      <w:pPr>
        <w:pStyle w:val="ListParagraph"/>
        <w:numPr>
          <w:ilvl w:val="3"/>
          <w:numId w:val="9"/>
        </w:numPr>
        <w:tabs>
          <w:tab w:pos="1981" w:val="left" w:leader="none"/>
          <w:tab w:pos="1982" w:val="left" w:leader="none"/>
        </w:tabs>
        <w:spacing w:line="240" w:lineRule="auto" w:before="0" w:after="0"/>
        <w:ind w:left="1982" w:right="0" w:hanging="372"/>
        <w:jc w:val="left"/>
        <w:rPr>
          <w:rFonts w:ascii="Times New Roman" w:eastAsia="Times New Roman"/>
          <w:sz w:val="21"/>
        </w:rPr>
      </w:pPr>
      <w:r>
        <w:rPr>
          <w:spacing w:val="-4"/>
          <w:sz w:val="21"/>
        </w:rPr>
        <w:t>手足徐动症。</w:t>
      </w:r>
    </w:p>
    <w:p>
      <w:pPr>
        <w:pStyle w:val="BodyText"/>
        <w:rPr>
          <w:sz w:val="15"/>
        </w:rPr>
      </w:pPr>
    </w:p>
    <w:p>
      <w:pPr>
        <w:pStyle w:val="BodyText"/>
        <w:spacing w:line="278" w:lineRule="auto" w:before="0"/>
        <w:ind w:left="1610" w:right="1025"/>
      </w:pPr>
      <w:r>
        <w:rPr>
          <w:spacing w:val="-2"/>
        </w:rPr>
        <w:t>诊断必须由神经科专科医生基于以下检查报告作出：脑电图、脑脊液报告、头颅断</w:t>
      </w:r>
      <w:r>
        <w:rPr>
          <w:spacing w:val="-2"/>
        </w:rPr>
        <w:t>层扫描（</w:t>
      </w:r>
      <w:r>
        <w:rPr>
          <w:rFonts w:ascii="Times New Roman" w:eastAsia="Times New Roman"/>
          <w:spacing w:val="-2"/>
        </w:rPr>
        <w:t>CT</w:t>
      </w:r>
      <w:r>
        <w:rPr>
          <w:spacing w:val="-2"/>
        </w:rPr>
        <w:t>）及核磁共振检查（</w:t>
      </w:r>
      <w:r>
        <w:rPr>
          <w:rFonts w:ascii="Times New Roman" w:eastAsia="Times New Roman"/>
          <w:spacing w:val="-2"/>
        </w:rPr>
        <w:t>MRI</w:t>
      </w:r>
      <w:r>
        <w:rPr>
          <w:spacing w:val="-2"/>
        </w:rPr>
        <w:t>）。</w:t>
      </w:r>
    </w:p>
    <w:p>
      <w:pPr>
        <w:spacing w:after="0" w:line="278" w:lineRule="auto"/>
        <w:sectPr>
          <w:pgSz w:w="11910" w:h="16840"/>
          <w:pgMar w:top="1380" w:bottom="280" w:left="1280" w:right="420"/>
        </w:sectPr>
      </w:pPr>
    </w:p>
    <w:p>
      <w:pPr>
        <w:pStyle w:val="ListParagraph"/>
        <w:numPr>
          <w:ilvl w:val="2"/>
          <w:numId w:val="9"/>
        </w:numPr>
        <w:tabs>
          <w:tab w:pos="1819" w:val="left" w:leader="none"/>
        </w:tabs>
        <w:spacing w:line="240" w:lineRule="auto" w:before="64" w:after="0"/>
        <w:ind w:left="1818" w:right="0" w:hanging="802"/>
        <w:jc w:val="left"/>
        <w:rPr>
          <w:b/>
          <w:sz w:val="21"/>
        </w:rPr>
      </w:pPr>
      <w:r>
        <w:rPr>
          <w:b/>
          <w:spacing w:val="-2"/>
          <w:sz w:val="21"/>
        </w:rPr>
        <w:t>严重心肌炎</w:t>
      </w:r>
    </w:p>
    <w:p>
      <w:pPr>
        <w:pStyle w:val="BodyText"/>
        <w:spacing w:line="278" w:lineRule="auto" w:before="163"/>
        <w:ind w:left="1610" w:right="1026"/>
      </w:pPr>
      <w:r>
        <w:rPr>
          <w:spacing w:val="-2"/>
        </w:rPr>
        <w:t>指被保险人因严重心肌炎性病变导致心功能损害造成持续的永久不可逆性的心功能</w:t>
      </w:r>
      <w:r>
        <w:rPr>
          <w:spacing w:val="-2"/>
        </w:rPr>
        <w:t>衰竭。必须满足所有以下条件：</w:t>
      </w:r>
    </w:p>
    <w:p>
      <w:pPr>
        <w:pStyle w:val="ListParagraph"/>
        <w:numPr>
          <w:ilvl w:val="3"/>
          <w:numId w:val="9"/>
        </w:numPr>
        <w:tabs>
          <w:tab w:pos="1981" w:val="left" w:leader="none"/>
          <w:tab w:pos="1982" w:val="left" w:leader="none"/>
        </w:tabs>
        <w:spacing w:line="278" w:lineRule="auto" w:before="156" w:after="0"/>
        <w:ind w:left="1977" w:right="886" w:hanging="370"/>
        <w:jc w:val="left"/>
        <w:rPr>
          <w:rFonts w:ascii="Times New Roman" w:eastAsia="Times New Roman"/>
          <w:sz w:val="21"/>
        </w:rPr>
      </w:pPr>
      <w:r>
        <w:rPr>
          <w:spacing w:val="-6"/>
          <w:sz w:val="21"/>
        </w:rPr>
        <w:t>心功能衰竭程度达到美国纽约心脏病学会</w:t>
      </w:r>
      <w:r>
        <w:rPr>
          <w:spacing w:val="-2"/>
          <w:sz w:val="21"/>
        </w:rPr>
        <w:t>（</w:t>
      </w:r>
      <w:r>
        <w:rPr>
          <w:rFonts w:ascii="Times New Roman" w:eastAsia="Times New Roman"/>
          <w:spacing w:val="-2"/>
          <w:sz w:val="21"/>
        </w:rPr>
        <w:t>New York Heart Association</w:t>
      </w:r>
      <w:r>
        <w:rPr>
          <w:spacing w:val="-2"/>
          <w:sz w:val="21"/>
        </w:rPr>
        <w:t>，</w:t>
      </w:r>
      <w:r>
        <w:rPr>
          <w:rFonts w:ascii="Times New Roman" w:eastAsia="Times New Roman"/>
          <w:spacing w:val="-2"/>
          <w:sz w:val="21"/>
        </w:rPr>
        <w:t>NYHA</w:t>
      </w:r>
      <w:r>
        <w:rPr>
          <w:spacing w:val="-2"/>
          <w:sz w:val="21"/>
        </w:rPr>
        <w:t>）</w:t>
      </w:r>
      <w:r>
        <w:rPr>
          <w:spacing w:val="-1"/>
          <w:sz w:val="21"/>
        </w:rPr>
        <w:t>的心功能分级标准之心功能 </w:t>
      </w:r>
      <w:r>
        <w:rPr>
          <w:rFonts w:ascii="Times New Roman" w:eastAsia="Times New Roman"/>
          <w:sz w:val="21"/>
        </w:rPr>
        <w:t>IV </w:t>
      </w:r>
      <w:r>
        <w:rPr>
          <w:spacing w:val="-2"/>
          <w:sz w:val="21"/>
        </w:rPr>
        <w:t>级，或左室射血分数低于 </w:t>
      </w:r>
      <w:r>
        <w:rPr>
          <w:rFonts w:ascii="Times New Roman" w:eastAsia="Times New Roman"/>
          <w:sz w:val="21"/>
        </w:rPr>
        <w:t>30%</w:t>
      </w:r>
      <w:r>
        <w:rPr>
          <w:sz w:val="21"/>
        </w:rPr>
        <w:t>；</w:t>
      </w:r>
    </w:p>
    <w:p>
      <w:pPr>
        <w:pStyle w:val="ListParagraph"/>
        <w:numPr>
          <w:ilvl w:val="3"/>
          <w:numId w:val="9"/>
        </w:numPr>
        <w:tabs>
          <w:tab w:pos="1981" w:val="left" w:leader="none"/>
          <w:tab w:pos="1982" w:val="left" w:leader="none"/>
        </w:tabs>
        <w:spacing w:line="240" w:lineRule="auto" w:before="156" w:after="0"/>
        <w:ind w:left="1982" w:right="0" w:hanging="372"/>
        <w:jc w:val="left"/>
        <w:rPr>
          <w:rFonts w:ascii="Times New Roman" w:eastAsia="Times New Roman"/>
          <w:sz w:val="21"/>
        </w:rPr>
      </w:pPr>
      <w:r>
        <w:rPr>
          <w:spacing w:val="-9"/>
          <w:sz w:val="21"/>
        </w:rPr>
        <w:t>持续不间断 </w:t>
      </w:r>
      <w:r>
        <w:rPr>
          <w:rFonts w:ascii="Times New Roman" w:eastAsia="Times New Roman"/>
          <w:sz w:val="21"/>
        </w:rPr>
        <w:t>180</w:t>
      </w:r>
      <w:r>
        <w:rPr>
          <w:rFonts w:ascii="Times New Roman" w:eastAsia="Times New Roman"/>
          <w:spacing w:val="-12"/>
          <w:sz w:val="21"/>
        </w:rPr>
        <w:t> </w:t>
      </w:r>
      <w:r>
        <w:rPr>
          <w:spacing w:val="-3"/>
          <w:sz w:val="21"/>
        </w:rPr>
        <w:t>日以上；</w:t>
      </w:r>
    </w:p>
    <w:p>
      <w:pPr>
        <w:pStyle w:val="BodyText"/>
        <w:rPr>
          <w:sz w:val="15"/>
        </w:rPr>
      </w:pPr>
    </w:p>
    <w:p>
      <w:pPr>
        <w:pStyle w:val="ListParagraph"/>
        <w:numPr>
          <w:ilvl w:val="3"/>
          <w:numId w:val="9"/>
        </w:numPr>
        <w:tabs>
          <w:tab w:pos="1981" w:val="left" w:leader="none"/>
          <w:tab w:pos="1982" w:val="left" w:leader="none"/>
        </w:tabs>
        <w:spacing w:line="240" w:lineRule="auto" w:before="0" w:after="0"/>
        <w:ind w:left="1982" w:right="0" w:hanging="372"/>
        <w:jc w:val="left"/>
        <w:rPr>
          <w:rFonts w:ascii="Times New Roman" w:eastAsia="Times New Roman"/>
          <w:sz w:val="21"/>
        </w:rPr>
      </w:pPr>
      <w:r>
        <w:rPr>
          <w:spacing w:val="-3"/>
          <w:sz w:val="21"/>
        </w:rPr>
        <w:t>被保险人永久不可逆性的体力活动能力受限，不能从事任何体力活动。</w:t>
      </w:r>
    </w:p>
    <w:p>
      <w:pPr>
        <w:pStyle w:val="BodyText"/>
        <w:spacing w:before="6"/>
        <w:rPr>
          <w:sz w:val="15"/>
        </w:rPr>
      </w:pPr>
    </w:p>
    <w:p>
      <w:pPr>
        <w:pStyle w:val="ListParagraph"/>
        <w:numPr>
          <w:ilvl w:val="2"/>
          <w:numId w:val="9"/>
        </w:numPr>
        <w:tabs>
          <w:tab w:pos="1819" w:val="left" w:leader="none"/>
        </w:tabs>
        <w:spacing w:line="240" w:lineRule="auto" w:before="0" w:after="0"/>
        <w:ind w:left="1818" w:right="0" w:hanging="802"/>
        <w:jc w:val="both"/>
        <w:rPr>
          <w:b/>
          <w:sz w:val="21"/>
        </w:rPr>
      </w:pPr>
      <w:r>
        <w:rPr>
          <w:b/>
          <w:spacing w:val="-3"/>
          <w:sz w:val="21"/>
        </w:rPr>
        <w:t>溶血性链球菌引起的坏疽</w:t>
      </w:r>
    </w:p>
    <w:p>
      <w:pPr>
        <w:pStyle w:val="BodyText"/>
        <w:spacing w:line="278" w:lineRule="auto" w:before="163"/>
        <w:ind w:left="1610" w:right="884"/>
      </w:pPr>
      <w:r>
        <w:rPr>
          <w:spacing w:val="-2"/>
        </w:rPr>
        <w:t>躯干或肢体的浅筋膜或涉及肌肉的深筋膜感染，呈暴发性进展，必须即刻手术清创。</w:t>
      </w:r>
      <w:r>
        <w:rPr>
          <w:spacing w:val="-2"/>
        </w:rPr>
        <w:t>须在外科手术后进行组织培养证实溶血性链球菌坏疽并由专科医生确诊。</w:t>
      </w:r>
    </w:p>
    <w:p>
      <w:pPr>
        <w:pStyle w:val="ListParagraph"/>
        <w:numPr>
          <w:ilvl w:val="2"/>
          <w:numId w:val="9"/>
        </w:numPr>
        <w:tabs>
          <w:tab w:pos="1819" w:val="left" w:leader="none"/>
        </w:tabs>
        <w:spacing w:line="240" w:lineRule="auto" w:before="157" w:after="0"/>
        <w:ind w:left="1818" w:right="0" w:hanging="802"/>
        <w:jc w:val="left"/>
        <w:rPr>
          <w:b/>
          <w:sz w:val="21"/>
        </w:rPr>
      </w:pPr>
      <w:r>
        <w:rPr>
          <w:b/>
          <w:spacing w:val="-2"/>
          <w:sz w:val="21"/>
        </w:rPr>
        <w:t>骨生长不全症</w:t>
      </w:r>
    </w:p>
    <w:p>
      <w:pPr>
        <w:pStyle w:val="BodyText"/>
        <w:spacing w:line="278" w:lineRule="auto" w:before="163"/>
        <w:ind w:left="1610" w:right="989"/>
        <w:jc w:val="both"/>
      </w:pPr>
      <w:r>
        <w:rPr>
          <w:spacing w:val="-3"/>
        </w:rPr>
        <w:t>一种胶原病，特征为骨易碎，骨质疏松和易骨折。该病有 </w:t>
      </w:r>
      <w:r>
        <w:rPr>
          <w:rFonts w:ascii="Times New Roman" w:eastAsia="Times New Roman"/>
          <w:spacing w:val="-2"/>
        </w:rPr>
        <w:t>4</w:t>
      </w:r>
      <w:r>
        <w:rPr>
          <w:rFonts w:ascii="Times New Roman" w:eastAsia="Times New Roman"/>
          <w:spacing w:val="-11"/>
        </w:rPr>
        <w:t> </w:t>
      </w:r>
      <w:r>
        <w:rPr>
          <w:spacing w:val="-2"/>
        </w:rPr>
        <w:t>种类型：</w:t>
      </w:r>
      <w:r>
        <w:rPr>
          <w:rFonts w:ascii="Times New Roman" w:eastAsia="Times New Roman"/>
          <w:spacing w:val="-2"/>
        </w:rPr>
        <w:t>I</w:t>
      </w:r>
      <w:r>
        <w:rPr>
          <w:rFonts w:ascii="Times New Roman" w:eastAsia="Times New Roman"/>
          <w:spacing w:val="-11"/>
        </w:rPr>
        <w:t> </w:t>
      </w:r>
      <w:r>
        <w:rPr>
          <w:spacing w:val="-2"/>
        </w:rPr>
        <w:t>型、</w:t>
      </w:r>
      <w:r>
        <w:rPr>
          <w:rFonts w:ascii="Times New Roman" w:eastAsia="Times New Roman"/>
          <w:spacing w:val="-2"/>
        </w:rPr>
        <w:t>II</w:t>
      </w:r>
      <w:r>
        <w:rPr>
          <w:rFonts w:ascii="Times New Roman" w:eastAsia="Times New Roman"/>
          <w:spacing w:val="-11"/>
        </w:rPr>
        <w:t> </w:t>
      </w:r>
      <w:r>
        <w:rPr>
          <w:spacing w:val="-2"/>
        </w:rPr>
        <w:t>型、</w:t>
      </w:r>
      <w:r>
        <w:rPr>
          <w:rFonts w:ascii="Times New Roman" w:eastAsia="Times New Roman"/>
          <w:spacing w:val="-2"/>
        </w:rPr>
        <w:t>III</w:t>
      </w:r>
      <w:r>
        <w:rPr/>
        <w:t>型、</w:t>
      </w:r>
      <w:r>
        <w:rPr>
          <w:rFonts w:ascii="Times New Roman" w:eastAsia="Times New Roman"/>
        </w:rPr>
        <w:t>IV</w:t>
      </w:r>
      <w:r>
        <w:rPr>
          <w:rFonts w:ascii="Times New Roman" w:eastAsia="Times New Roman"/>
          <w:spacing w:val="-14"/>
        </w:rPr>
        <w:t> </w:t>
      </w:r>
      <w:r>
        <w:rPr/>
        <w:t>型。</w:t>
      </w:r>
      <w:r>
        <w:rPr>
          <w:b/>
          <w:spacing w:val="-7"/>
        </w:rPr>
        <w:t>只保障 </w:t>
      </w:r>
      <w:r>
        <w:rPr>
          <w:rFonts w:ascii="Times New Roman" w:eastAsia="Times New Roman"/>
          <w:b/>
        </w:rPr>
        <w:t>III</w:t>
      </w:r>
      <w:r>
        <w:rPr>
          <w:rFonts w:ascii="Times New Roman" w:eastAsia="Times New Roman"/>
          <w:b/>
          <w:spacing w:val="-7"/>
        </w:rPr>
        <w:t> </w:t>
      </w:r>
      <w:r>
        <w:rPr>
          <w:b/>
        </w:rPr>
        <w:t>型成骨不全的情形。</w:t>
      </w:r>
      <w:r>
        <w:rPr/>
        <w:t>其主要临床特点有：发育迟缓、多发性骨折、进行性脊柱后侧凸及听力损害。</w:t>
      </w:r>
      <w:r>
        <w:rPr>
          <w:rFonts w:ascii="Times New Roman" w:eastAsia="Times New Roman"/>
        </w:rPr>
        <w:t>III</w:t>
      </w:r>
      <w:r>
        <w:rPr>
          <w:rFonts w:ascii="Times New Roman" w:eastAsia="Times New Roman"/>
          <w:spacing w:val="-14"/>
        </w:rPr>
        <w:t> </w:t>
      </w:r>
      <w:r>
        <w:rPr/>
        <w:t>型成骨不全的诊断必须根据身体检查，家族史，</w:t>
      </w:r>
      <w:r>
        <w:rPr>
          <w:rFonts w:ascii="Times New Roman" w:eastAsia="Times New Roman"/>
        </w:rPr>
        <w:t>X </w:t>
      </w:r>
      <w:r>
        <w:rPr/>
        <w:t>线检查和皮肤活检报告资料确诊。</w:t>
      </w:r>
    </w:p>
    <w:p>
      <w:pPr>
        <w:pStyle w:val="ListParagraph"/>
        <w:numPr>
          <w:ilvl w:val="2"/>
          <w:numId w:val="9"/>
        </w:numPr>
        <w:tabs>
          <w:tab w:pos="1819" w:val="left" w:leader="none"/>
        </w:tabs>
        <w:spacing w:line="240" w:lineRule="auto" w:before="155" w:after="0"/>
        <w:ind w:left="1818" w:right="0" w:hanging="802"/>
        <w:jc w:val="both"/>
        <w:rPr>
          <w:b/>
          <w:sz w:val="21"/>
        </w:rPr>
      </w:pPr>
      <w:r>
        <w:rPr>
          <w:b/>
          <w:spacing w:val="-2"/>
          <w:sz w:val="21"/>
        </w:rPr>
        <w:t>严重肌营养不良症</w:t>
      </w:r>
    </w:p>
    <w:p>
      <w:pPr>
        <w:pStyle w:val="BodyText"/>
        <w:spacing w:line="278" w:lineRule="auto" w:before="163"/>
        <w:ind w:left="1610" w:right="884"/>
      </w:pPr>
      <w:r>
        <w:rPr>
          <w:spacing w:val="-8"/>
        </w:rPr>
        <w:t>是一组原发于肌肉的疾病，临床主要表现为与神经系统无关的肌肉无力和肌肉萎缩。</w:t>
      </w:r>
      <w:r>
        <w:rPr>
          <w:spacing w:val="-2"/>
        </w:rPr>
        <w:t>且满足下列全部条件：</w:t>
      </w:r>
    </w:p>
    <w:p>
      <w:pPr>
        <w:pStyle w:val="ListParagraph"/>
        <w:numPr>
          <w:ilvl w:val="3"/>
          <w:numId w:val="9"/>
        </w:numPr>
        <w:tabs>
          <w:tab w:pos="1981" w:val="left" w:leader="none"/>
          <w:tab w:pos="1982" w:val="left" w:leader="none"/>
        </w:tabs>
        <w:spacing w:line="240" w:lineRule="auto" w:before="156" w:after="0"/>
        <w:ind w:left="1982" w:right="0" w:hanging="372"/>
        <w:jc w:val="left"/>
        <w:rPr>
          <w:rFonts w:ascii="Times New Roman" w:eastAsia="Times New Roman"/>
          <w:sz w:val="21"/>
        </w:rPr>
      </w:pPr>
      <w:r>
        <w:rPr>
          <w:spacing w:val="-3"/>
          <w:sz w:val="21"/>
        </w:rPr>
        <w:t>肌肉组织活检结果满足肌营养不良症的肌肉细胞变性、坏死等阳性改变；</w:t>
      </w:r>
    </w:p>
    <w:p>
      <w:pPr>
        <w:pStyle w:val="BodyText"/>
        <w:rPr>
          <w:sz w:val="15"/>
        </w:rPr>
      </w:pPr>
    </w:p>
    <w:p>
      <w:pPr>
        <w:pStyle w:val="ListParagraph"/>
        <w:numPr>
          <w:ilvl w:val="3"/>
          <w:numId w:val="9"/>
        </w:numPr>
        <w:tabs>
          <w:tab w:pos="1981" w:val="left" w:leader="none"/>
          <w:tab w:pos="1982" w:val="left" w:leader="none"/>
        </w:tabs>
        <w:spacing w:line="240" w:lineRule="auto" w:before="0" w:after="0"/>
        <w:ind w:left="1982" w:right="0" w:hanging="372"/>
        <w:jc w:val="left"/>
        <w:rPr>
          <w:rFonts w:ascii="Times New Roman" w:eastAsia="Times New Roman"/>
          <w:sz w:val="21"/>
        </w:rPr>
      </w:pPr>
      <w:r>
        <w:rPr>
          <w:spacing w:val="-3"/>
          <w:sz w:val="21"/>
        </w:rPr>
        <w:t>自主生活能力丧失：无法独立完成六项基本日常生活活动中的三项或三项以上。</w:t>
      </w:r>
    </w:p>
    <w:p>
      <w:pPr>
        <w:pStyle w:val="BodyText"/>
        <w:rPr>
          <w:sz w:val="15"/>
        </w:rPr>
      </w:pPr>
    </w:p>
    <w:p>
      <w:pPr>
        <w:pStyle w:val="ListParagraph"/>
        <w:numPr>
          <w:ilvl w:val="2"/>
          <w:numId w:val="9"/>
        </w:numPr>
        <w:tabs>
          <w:tab w:pos="1819" w:val="left" w:leader="none"/>
        </w:tabs>
        <w:spacing w:line="240" w:lineRule="auto" w:before="0" w:after="0"/>
        <w:ind w:left="1818" w:right="0" w:hanging="802"/>
        <w:jc w:val="left"/>
        <w:rPr>
          <w:b/>
          <w:sz w:val="21"/>
        </w:rPr>
      </w:pPr>
      <w:r>
        <w:rPr>
          <w:b/>
          <w:spacing w:val="-3"/>
          <w:sz w:val="21"/>
        </w:rPr>
        <w:t>斯蒂尔病</w:t>
      </w:r>
    </w:p>
    <w:p>
      <w:pPr>
        <w:pStyle w:val="BodyText"/>
        <w:spacing w:before="163"/>
        <w:ind w:left="1610"/>
      </w:pPr>
      <w:r>
        <w:rPr>
          <w:spacing w:val="-3"/>
        </w:rPr>
        <w:t>斯蒂尔病须满足下列全部条件：</w:t>
      </w:r>
    </w:p>
    <w:p>
      <w:pPr>
        <w:pStyle w:val="BodyText"/>
        <w:spacing w:before="6"/>
        <w:rPr>
          <w:sz w:val="15"/>
        </w:rPr>
      </w:pPr>
    </w:p>
    <w:p>
      <w:pPr>
        <w:pStyle w:val="ListParagraph"/>
        <w:numPr>
          <w:ilvl w:val="3"/>
          <w:numId w:val="9"/>
        </w:numPr>
        <w:tabs>
          <w:tab w:pos="1981" w:val="left" w:leader="none"/>
          <w:tab w:pos="1982" w:val="left" w:leader="none"/>
        </w:tabs>
        <w:spacing w:line="240" w:lineRule="auto" w:before="1" w:after="0"/>
        <w:ind w:left="1982" w:right="0" w:hanging="372"/>
        <w:jc w:val="left"/>
        <w:rPr>
          <w:rFonts w:ascii="Times New Roman" w:eastAsia="Times New Roman"/>
          <w:sz w:val="21"/>
        </w:rPr>
      </w:pPr>
      <w:r>
        <w:rPr>
          <w:spacing w:val="-3"/>
          <w:sz w:val="21"/>
        </w:rPr>
        <w:t>因该病引致广泛性关节破坏，以致需要进行髋及膝关节置换；</w:t>
      </w:r>
    </w:p>
    <w:p>
      <w:pPr>
        <w:pStyle w:val="BodyText"/>
        <w:spacing w:before="6"/>
        <w:rPr>
          <w:sz w:val="15"/>
        </w:rPr>
      </w:pPr>
    </w:p>
    <w:p>
      <w:pPr>
        <w:pStyle w:val="ListParagraph"/>
        <w:numPr>
          <w:ilvl w:val="3"/>
          <w:numId w:val="9"/>
        </w:numPr>
        <w:tabs>
          <w:tab w:pos="1981" w:val="left" w:leader="none"/>
          <w:tab w:pos="1982" w:val="left" w:leader="none"/>
        </w:tabs>
        <w:spacing w:line="240" w:lineRule="auto" w:before="0" w:after="0"/>
        <w:ind w:left="1982" w:right="0" w:hanging="372"/>
        <w:jc w:val="left"/>
        <w:rPr>
          <w:rFonts w:ascii="Times New Roman" w:eastAsia="Times New Roman"/>
          <w:sz w:val="21"/>
        </w:rPr>
      </w:pPr>
      <w:r>
        <w:rPr>
          <w:spacing w:val="-3"/>
          <w:sz w:val="21"/>
        </w:rPr>
        <w:t>由风湿病专科医生确定诊断。</w:t>
      </w:r>
    </w:p>
    <w:p>
      <w:pPr>
        <w:pStyle w:val="BodyText"/>
        <w:rPr>
          <w:sz w:val="15"/>
        </w:rPr>
      </w:pPr>
    </w:p>
    <w:p>
      <w:pPr>
        <w:pStyle w:val="ListParagraph"/>
        <w:numPr>
          <w:ilvl w:val="2"/>
          <w:numId w:val="9"/>
        </w:numPr>
        <w:tabs>
          <w:tab w:pos="1819" w:val="left" w:leader="none"/>
        </w:tabs>
        <w:spacing w:line="240" w:lineRule="auto" w:before="0" w:after="0"/>
        <w:ind w:left="1818" w:right="0" w:hanging="802"/>
        <w:jc w:val="both"/>
        <w:rPr>
          <w:b/>
          <w:sz w:val="21"/>
        </w:rPr>
      </w:pPr>
      <w:r>
        <w:rPr>
          <w:b/>
          <w:spacing w:val="-2"/>
          <w:sz w:val="21"/>
        </w:rPr>
        <w:t>进行性核上性麻痹</w:t>
      </w:r>
    </w:p>
    <w:p>
      <w:pPr>
        <w:pStyle w:val="BodyText"/>
        <w:spacing w:line="278" w:lineRule="auto" w:before="163"/>
        <w:ind w:left="1610" w:right="884"/>
      </w:pPr>
      <w:r>
        <w:rPr>
          <w:spacing w:val="-3"/>
          <w:w w:val="100"/>
        </w:rPr>
        <w:t>进行性核上性麻痹（</w:t>
      </w:r>
      <w:r>
        <w:rPr>
          <w:rFonts w:ascii="Times New Roman" w:eastAsia="Times New Roman"/>
          <w:w w:val="100"/>
        </w:rPr>
        <w:t>P</w:t>
      </w:r>
      <w:r>
        <w:rPr>
          <w:rFonts w:ascii="Times New Roman" w:eastAsia="Times New Roman"/>
          <w:spacing w:val="-3"/>
          <w:w w:val="100"/>
        </w:rPr>
        <w:t>S</w:t>
      </w:r>
      <w:r>
        <w:rPr>
          <w:rFonts w:ascii="Times New Roman" w:eastAsia="Times New Roman"/>
          <w:w w:val="100"/>
        </w:rPr>
        <w:t>P</w:t>
      </w:r>
      <w:r>
        <w:rPr>
          <w:spacing w:val="-3"/>
          <w:w w:val="100"/>
        </w:rPr>
        <w:t>）</w:t>
      </w:r>
      <w:r>
        <w:rPr>
          <w:w w:val="100"/>
        </w:rPr>
        <w:t>又称</w:t>
      </w:r>
      <w:r>
        <w:rPr>
          <w:spacing w:val="-53"/>
        </w:rPr>
        <w:t> </w:t>
      </w:r>
      <w:r>
        <w:rPr>
          <w:rFonts w:ascii="Times New Roman" w:eastAsia="Times New Roman"/>
          <w:w w:val="100"/>
        </w:rPr>
        <w:t>S</w:t>
      </w:r>
      <w:r>
        <w:rPr>
          <w:rFonts w:ascii="Times New Roman" w:eastAsia="Times New Roman"/>
          <w:spacing w:val="-1"/>
          <w:w w:val="100"/>
        </w:rPr>
        <w:t>t</w:t>
      </w:r>
      <w:r>
        <w:rPr>
          <w:rFonts w:ascii="Times New Roman" w:eastAsia="Times New Roman"/>
          <w:w w:val="100"/>
        </w:rPr>
        <w:t>ee</w:t>
      </w:r>
      <w:r>
        <w:rPr>
          <w:rFonts w:ascii="Times New Roman" w:eastAsia="Times New Roman"/>
          <w:spacing w:val="-2"/>
          <w:w w:val="100"/>
        </w:rPr>
        <w:t>l</w:t>
      </w:r>
      <w:r>
        <w:rPr>
          <w:rFonts w:ascii="Times New Roman" w:eastAsia="Times New Roman"/>
          <w:spacing w:val="-1"/>
          <w:w w:val="100"/>
        </w:rPr>
        <w:t>e</w:t>
      </w:r>
      <w:r>
        <w:rPr>
          <w:rFonts w:ascii="Times New Roman" w:eastAsia="Times New Roman"/>
          <w:spacing w:val="-3"/>
          <w:w w:val="100"/>
        </w:rPr>
        <w:t>-</w:t>
      </w:r>
      <w:r>
        <w:rPr>
          <w:rFonts w:ascii="Times New Roman" w:eastAsia="Times New Roman"/>
          <w:w w:val="100"/>
        </w:rPr>
        <w:t>Rcha</w:t>
      </w:r>
      <w:r>
        <w:rPr>
          <w:rFonts w:ascii="Times New Roman" w:eastAsia="Times New Roman"/>
          <w:spacing w:val="-2"/>
          <w:w w:val="100"/>
        </w:rPr>
        <w:t>r</w:t>
      </w:r>
      <w:r>
        <w:rPr>
          <w:rFonts w:ascii="Times New Roman" w:eastAsia="Times New Roman"/>
          <w:w w:val="100"/>
        </w:rPr>
        <w:t>d</w:t>
      </w:r>
      <w:r>
        <w:rPr>
          <w:rFonts w:ascii="Times New Roman" w:eastAsia="Times New Roman"/>
          <w:spacing w:val="-3"/>
          <w:w w:val="100"/>
        </w:rPr>
        <w:t>s</w:t>
      </w:r>
      <w:r>
        <w:rPr>
          <w:rFonts w:ascii="Times New Roman" w:eastAsia="Times New Roman"/>
          <w:w w:val="100"/>
        </w:rPr>
        <w:t>on</w:t>
      </w:r>
      <w:r>
        <w:rPr>
          <w:rFonts w:ascii="Times New Roman" w:eastAsia="Times New Roman"/>
          <w:spacing w:val="-4"/>
          <w:w w:val="100"/>
        </w:rPr>
        <w:t>-</w:t>
      </w:r>
      <w:r>
        <w:rPr>
          <w:rFonts w:ascii="Times New Roman" w:eastAsia="Times New Roman"/>
          <w:w w:val="100"/>
        </w:rPr>
        <w:t>O</w:t>
      </w:r>
      <w:r>
        <w:rPr>
          <w:rFonts w:ascii="Times New Roman" w:eastAsia="Times New Roman"/>
          <w:spacing w:val="-2"/>
          <w:w w:val="100"/>
        </w:rPr>
        <w:t>l</w:t>
      </w:r>
      <w:r>
        <w:rPr>
          <w:rFonts w:ascii="Times New Roman" w:eastAsia="Times New Roman"/>
          <w:w w:val="100"/>
        </w:rPr>
        <w:t>s</w:t>
      </w:r>
      <w:r>
        <w:rPr>
          <w:rFonts w:ascii="Times New Roman" w:eastAsia="Times New Roman"/>
          <w:spacing w:val="-1"/>
          <w:w w:val="100"/>
        </w:rPr>
        <w:t>z</w:t>
      </w:r>
      <w:r>
        <w:rPr>
          <w:rFonts w:ascii="Times New Roman" w:eastAsia="Times New Roman"/>
          <w:w w:val="100"/>
        </w:rPr>
        <w:t>e</w:t>
      </w:r>
      <w:r>
        <w:rPr>
          <w:rFonts w:ascii="Times New Roman" w:eastAsia="Times New Roman"/>
          <w:spacing w:val="-2"/>
          <w:w w:val="100"/>
        </w:rPr>
        <w:t>w</w:t>
      </w:r>
      <w:r>
        <w:rPr>
          <w:rFonts w:ascii="Times New Roman" w:eastAsia="Times New Roman"/>
          <w:w w:val="100"/>
        </w:rPr>
        <w:t>ski</w:t>
      </w:r>
      <w:r>
        <w:rPr>
          <w:rFonts w:ascii="Times New Roman" w:eastAsia="Times New Roman"/>
          <w:spacing w:val="-2"/>
        </w:rPr>
        <w:t> </w:t>
      </w:r>
      <w:r>
        <w:rPr>
          <w:spacing w:val="-3"/>
          <w:w w:val="100"/>
        </w:rPr>
        <w:t>综合症，是一种神经系</w:t>
      </w:r>
      <w:r>
        <w:rPr>
          <w:spacing w:val="-3"/>
          <w:w w:val="100"/>
        </w:rPr>
        <w:t> 统变性疾病，以假球麻痹、垂直性核上性眼肌麻痹、锥体外系肌僵直、步态共济失</w:t>
      </w:r>
      <w:r>
        <w:rPr>
          <w:spacing w:val="-7"/>
          <w:w w:val="100"/>
        </w:rPr>
        <w:t>调和轻度痴呆为主要临床特征。</w:t>
      </w:r>
      <w:r>
        <w:rPr>
          <w:rFonts w:ascii="Times New Roman" w:eastAsia="Times New Roman"/>
          <w:w w:val="100"/>
        </w:rPr>
        <w:t>P</w:t>
      </w:r>
      <w:r>
        <w:rPr>
          <w:rFonts w:ascii="Times New Roman" w:eastAsia="Times New Roman"/>
          <w:spacing w:val="-3"/>
          <w:w w:val="100"/>
        </w:rPr>
        <w:t>S</w:t>
      </w:r>
      <w:r>
        <w:rPr>
          <w:rFonts w:ascii="Times New Roman" w:eastAsia="Times New Roman"/>
          <w:w w:val="100"/>
        </w:rPr>
        <w:t>P</w:t>
      </w:r>
      <w:r>
        <w:rPr>
          <w:rFonts w:ascii="Times New Roman" w:eastAsia="Times New Roman"/>
        </w:rPr>
        <w:t> </w:t>
      </w:r>
      <w:r>
        <w:rPr>
          <w:spacing w:val="-3"/>
          <w:w w:val="100"/>
        </w:rPr>
        <w:t>必须由三级甲等医院的神经内科专科医生确诊，并且被保险人自主生活能力完全丧失，无法独立完成六项基本日常生活活动中的三项或三项以上。</w:t>
      </w:r>
    </w:p>
    <w:p>
      <w:pPr>
        <w:pStyle w:val="ListParagraph"/>
        <w:numPr>
          <w:ilvl w:val="2"/>
          <w:numId w:val="9"/>
        </w:numPr>
        <w:tabs>
          <w:tab w:pos="1819" w:val="left" w:leader="none"/>
        </w:tabs>
        <w:spacing w:line="240" w:lineRule="auto" w:before="156" w:after="0"/>
        <w:ind w:left="1818" w:right="0" w:hanging="802"/>
        <w:jc w:val="left"/>
        <w:rPr>
          <w:b/>
          <w:sz w:val="21"/>
        </w:rPr>
      </w:pPr>
      <w:r>
        <w:rPr>
          <w:b/>
          <w:spacing w:val="-2"/>
          <w:sz w:val="21"/>
        </w:rPr>
        <w:t>嗜铬细胞瘤</w:t>
      </w:r>
    </w:p>
    <w:p>
      <w:pPr>
        <w:pStyle w:val="BodyText"/>
        <w:spacing w:line="278" w:lineRule="auto" w:before="163"/>
        <w:ind w:left="1610" w:right="1026"/>
      </w:pPr>
      <w:r>
        <w:rPr>
          <w:spacing w:val="-2"/>
        </w:rPr>
        <w:t>指发生在肾上腺或肾上腺外嗜铬组织的以分泌过多的儿茶酚胺为表现的神经内分泌</w:t>
      </w:r>
      <w:r>
        <w:rPr>
          <w:spacing w:val="-2"/>
        </w:rPr>
        <w:t>肿瘤。嗜铬细胞瘤必须由内分泌专科医生诊断，并且满足以下所有条件：</w:t>
      </w:r>
    </w:p>
    <w:p>
      <w:pPr>
        <w:pStyle w:val="ListParagraph"/>
        <w:numPr>
          <w:ilvl w:val="3"/>
          <w:numId w:val="9"/>
        </w:numPr>
        <w:tabs>
          <w:tab w:pos="1981" w:val="left" w:leader="none"/>
          <w:tab w:pos="1982" w:val="left" w:leader="none"/>
        </w:tabs>
        <w:spacing w:line="240" w:lineRule="auto" w:before="156" w:after="0"/>
        <w:ind w:left="1982" w:right="0" w:hanging="372"/>
        <w:jc w:val="left"/>
        <w:rPr>
          <w:rFonts w:ascii="Times New Roman" w:eastAsia="Times New Roman"/>
          <w:sz w:val="21"/>
        </w:rPr>
      </w:pPr>
      <w:r>
        <w:rPr>
          <w:spacing w:val="-3"/>
          <w:sz w:val="21"/>
        </w:rPr>
        <w:t>临床有高血压症候群表现；</w:t>
      </w:r>
    </w:p>
    <w:p>
      <w:pPr>
        <w:spacing w:after="0" w:line="240" w:lineRule="auto"/>
        <w:jc w:val="left"/>
        <w:rPr>
          <w:rFonts w:ascii="Times New Roman" w:eastAsia="Times New Roman"/>
          <w:sz w:val="21"/>
        </w:rPr>
        <w:sectPr>
          <w:pgSz w:w="11910" w:h="16840"/>
          <w:pgMar w:top="1380" w:bottom="280" w:left="1280" w:right="420"/>
        </w:sectPr>
      </w:pPr>
    </w:p>
    <w:p>
      <w:pPr>
        <w:pStyle w:val="ListParagraph"/>
        <w:numPr>
          <w:ilvl w:val="3"/>
          <w:numId w:val="9"/>
        </w:numPr>
        <w:tabs>
          <w:tab w:pos="1982" w:val="left" w:leader="none"/>
        </w:tabs>
        <w:spacing w:line="240" w:lineRule="auto" w:before="64" w:after="0"/>
        <w:ind w:left="1982" w:right="0" w:hanging="372"/>
        <w:jc w:val="both"/>
        <w:rPr>
          <w:rFonts w:ascii="Times New Roman" w:eastAsia="Times New Roman"/>
          <w:sz w:val="21"/>
        </w:rPr>
      </w:pPr>
      <w:r>
        <w:rPr>
          <w:spacing w:val="-3"/>
          <w:sz w:val="21"/>
        </w:rPr>
        <w:t>已经实施了嗜铬细胞瘤切除手术。</w:t>
      </w:r>
    </w:p>
    <w:p>
      <w:pPr>
        <w:pStyle w:val="BodyText"/>
        <w:rPr>
          <w:sz w:val="15"/>
        </w:rPr>
      </w:pPr>
    </w:p>
    <w:p>
      <w:pPr>
        <w:pStyle w:val="ListParagraph"/>
        <w:numPr>
          <w:ilvl w:val="2"/>
          <w:numId w:val="9"/>
        </w:numPr>
        <w:tabs>
          <w:tab w:pos="1819" w:val="left" w:leader="none"/>
        </w:tabs>
        <w:spacing w:line="240" w:lineRule="auto" w:before="0" w:after="0"/>
        <w:ind w:left="1818" w:right="0" w:hanging="802"/>
        <w:jc w:val="left"/>
        <w:rPr>
          <w:b/>
          <w:sz w:val="21"/>
        </w:rPr>
      </w:pPr>
      <w:r>
        <w:rPr>
          <w:b/>
          <w:spacing w:val="-2"/>
          <w:sz w:val="21"/>
        </w:rPr>
        <w:t>严重瑞氏综合征</w:t>
      </w:r>
    </w:p>
    <w:p>
      <w:pPr>
        <w:pStyle w:val="BodyText"/>
        <w:spacing w:line="278" w:lineRule="auto" w:before="163"/>
        <w:ind w:left="1610" w:right="1026"/>
        <w:jc w:val="both"/>
      </w:pPr>
      <w:r>
        <w:rPr>
          <w:spacing w:val="-2"/>
        </w:rPr>
        <w:t>瑞氏综合征是线粒体功能障碍性疾病。导致脂肪代谢障碍，引起短链脂肪酸、血氨</w:t>
      </w:r>
      <w:r>
        <w:rPr>
          <w:spacing w:val="-2"/>
        </w:rPr>
        <w:t>升高，造成脑水肿。主要临床表现为急性发热、反复呕吐、惊厥及意识障碍等等。</w:t>
      </w:r>
      <w:r>
        <w:rPr>
          <w:spacing w:val="-2"/>
        </w:rPr>
        <w:t>肝脏活检是确诊的重要手段。瑞氏综合征需由三级医院的儿科专科医生确诊，并符</w:t>
      </w:r>
      <w:r>
        <w:rPr>
          <w:spacing w:val="-2"/>
        </w:rPr>
        <w:t>合下列所有条件：</w:t>
      </w:r>
    </w:p>
    <w:p>
      <w:pPr>
        <w:pStyle w:val="ListParagraph"/>
        <w:numPr>
          <w:ilvl w:val="3"/>
          <w:numId w:val="9"/>
        </w:numPr>
        <w:tabs>
          <w:tab w:pos="1982" w:val="left" w:leader="none"/>
        </w:tabs>
        <w:spacing w:line="240" w:lineRule="auto" w:before="156" w:after="0"/>
        <w:ind w:left="1982" w:right="0" w:hanging="372"/>
        <w:jc w:val="both"/>
        <w:rPr>
          <w:rFonts w:ascii="Times New Roman" w:eastAsia="Times New Roman"/>
          <w:sz w:val="21"/>
        </w:rPr>
      </w:pPr>
      <w:r>
        <w:rPr>
          <w:spacing w:val="-3"/>
          <w:sz w:val="21"/>
        </w:rPr>
        <w:t>有脑水肿和颅内压升高的脑脊液检查和影像学检查证据；</w:t>
      </w:r>
    </w:p>
    <w:p>
      <w:pPr>
        <w:pStyle w:val="BodyText"/>
        <w:spacing w:before="6"/>
        <w:rPr>
          <w:sz w:val="15"/>
        </w:rPr>
      </w:pPr>
    </w:p>
    <w:p>
      <w:pPr>
        <w:pStyle w:val="ListParagraph"/>
        <w:numPr>
          <w:ilvl w:val="3"/>
          <w:numId w:val="9"/>
        </w:numPr>
        <w:tabs>
          <w:tab w:pos="1982" w:val="left" w:leader="none"/>
        </w:tabs>
        <w:spacing w:line="240" w:lineRule="auto" w:before="0" w:after="0"/>
        <w:ind w:left="1982" w:right="0" w:hanging="372"/>
        <w:jc w:val="both"/>
        <w:rPr>
          <w:rFonts w:ascii="Times New Roman" w:eastAsia="Times New Roman"/>
          <w:sz w:val="21"/>
        </w:rPr>
      </w:pPr>
      <w:r>
        <w:rPr>
          <w:spacing w:val="-7"/>
          <w:sz w:val="21"/>
        </w:rPr>
        <w:t>血氨超过正常值的 </w:t>
      </w:r>
      <w:r>
        <w:rPr>
          <w:rFonts w:ascii="Times New Roman" w:eastAsia="Times New Roman"/>
          <w:sz w:val="21"/>
        </w:rPr>
        <w:t>3</w:t>
      </w:r>
      <w:r>
        <w:rPr>
          <w:rFonts w:ascii="Times New Roman" w:eastAsia="Times New Roman"/>
          <w:spacing w:val="-12"/>
          <w:sz w:val="21"/>
        </w:rPr>
        <w:t> </w:t>
      </w:r>
      <w:r>
        <w:rPr>
          <w:spacing w:val="-5"/>
          <w:sz w:val="21"/>
        </w:rPr>
        <w:t>倍；</w:t>
      </w:r>
    </w:p>
    <w:p>
      <w:pPr>
        <w:pStyle w:val="BodyText"/>
        <w:rPr>
          <w:sz w:val="15"/>
        </w:rPr>
      </w:pPr>
    </w:p>
    <w:p>
      <w:pPr>
        <w:pStyle w:val="ListParagraph"/>
        <w:numPr>
          <w:ilvl w:val="3"/>
          <w:numId w:val="9"/>
        </w:numPr>
        <w:tabs>
          <w:tab w:pos="1982" w:val="left" w:leader="none"/>
        </w:tabs>
        <w:spacing w:line="240" w:lineRule="auto" w:before="0" w:after="0"/>
        <w:ind w:left="1982" w:right="0" w:hanging="372"/>
        <w:jc w:val="both"/>
        <w:rPr>
          <w:rFonts w:ascii="Times New Roman" w:eastAsia="Times New Roman"/>
          <w:sz w:val="21"/>
        </w:rPr>
      </w:pPr>
      <w:r>
        <w:rPr>
          <w:spacing w:val="-5"/>
          <w:sz w:val="21"/>
        </w:rPr>
        <w:t>临床出现昏迷，病程至少达到疾病分期第 </w:t>
      </w:r>
      <w:r>
        <w:rPr>
          <w:rFonts w:ascii="Times New Roman" w:eastAsia="Times New Roman"/>
          <w:spacing w:val="-2"/>
          <w:sz w:val="21"/>
        </w:rPr>
        <w:t>3</w:t>
      </w:r>
      <w:r>
        <w:rPr>
          <w:rFonts w:ascii="Times New Roman" w:eastAsia="Times New Roman"/>
          <w:spacing w:val="7"/>
          <w:sz w:val="21"/>
        </w:rPr>
        <w:t> </w:t>
      </w:r>
      <w:r>
        <w:rPr>
          <w:spacing w:val="-6"/>
          <w:sz w:val="21"/>
        </w:rPr>
        <w:t>期。</w:t>
      </w:r>
    </w:p>
    <w:p>
      <w:pPr>
        <w:pStyle w:val="BodyText"/>
        <w:rPr>
          <w:sz w:val="15"/>
        </w:rPr>
      </w:pPr>
    </w:p>
    <w:p>
      <w:pPr>
        <w:pStyle w:val="ListParagraph"/>
        <w:numPr>
          <w:ilvl w:val="2"/>
          <w:numId w:val="9"/>
        </w:numPr>
        <w:tabs>
          <w:tab w:pos="1819" w:val="left" w:leader="none"/>
        </w:tabs>
        <w:spacing w:line="240" w:lineRule="auto" w:before="0" w:after="0"/>
        <w:ind w:left="1818" w:right="0" w:hanging="802"/>
        <w:jc w:val="left"/>
        <w:rPr>
          <w:b/>
          <w:sz w:val="21"/>
        </w:rPr>
      </w:pPr>
      <w:r>
        <w:rPr>
          <w:b/>
          <w:spacing w:val="-2"/>
          <w:sz w:val="21"/>
        </w:rPr>
        <w:t>严重自身免疫性肝炎</w:t>
      </w:r>
    </w:p>
    <w:p>
      <w:pPr>
        <w:pStyle w:val="BodyText"/>
        <w:spacing w:line="278" w:lineRule="auto" w:before="164"/>
        <w:ind w:left="1610" w:right="1026"/>
        <w:jc w:val="both"/>
      </w:pPr>
      <w:r>
        <w:rPr>
          <w:spacing w:val="-2"/>
        </w:rPr>
        <w:t>是一种原因不明的慢性肝脏的坏死性炎性疾病，机体免疫机制被破坏，产生针对肝</w:t>
      </w:r>
      <w:r>
        <w:rPr>
          <w:spacing w:val="-2"/>
        </w:rPr>
        <w:t>脏自身抗原的抗体导致自身免疫反应，从而破坏肝细胞造成肝脏炎症坏死，进而发</w:t>
      </w:r>
      <w:r>
        <w:rPr>
          <w:spacing w:val="-2"/>
        </w:rPr>
        <w:t>展为肝硬化。必须满足所有以下条件：</w:t>
      </w:r>
    </w:p>
    <w:p>
      <w:pPr>
        <w:pStyle w:val="ListParagraph"/>
        <w:numPr>
          <w:ilvl w:val="3"/>
          <w:numId w:val="9"/>
        </w:numPr>
        <w:tabs>
          <w:tab w:pos="1982" w:val="left" w:leader="none"/>
        </w:tabs>
        <w:spacing w:line="240" w:lineRule="auto" w:before="155" w:after="0"/>
        <w:ind w:left="1982" w:right="0" w:hanging="372"/>
        <w:jc w:val="both"/>
        <w:rPr>
          <w:rFonts w:ascii="Times New Roman" w:hAnsi="Times New Roman" w:eastAsia="Times New Roman"/>
          <w:sz w:val="21"/>
        </w:rPr>
      </w:pPr>
      <w:r>
        <w:rPr>
          <w:spacing w:val="-27"/>
          <w:sz w:val="21"/>
        </w:rPr>
        <w:t>高 </w:t>
      </w:r>
      <w:r>
        <w:rPr>
          <w:rFonts w:ascii="Times New Roman" w:hAnsi="Times New Roman" w:eastAsia="Times New Roman"/>
          <w:sz w:val="21"/>
        </w:rPr>
        <w:t>γ</w:t>
      </w:r>
      <w:r>
        <w:rPr>
          <w:rFonts w:ascii="Times New Roman" w:hAnsi="Times New Roman" w:eastAsia="Times New Roman"/>
          <w:spacing w:val="-8"/>
          <w:sz w:val="21"/>
        </w:rPr>
        <w:t> </w:t>
      </w:r>
      <w:r>
        <w:rPr>
          <w:spacing w:val="-2"/>
          <w:sz w:val="21"/>
        </w:rPr>
        <w:t>球蛋白血症；</w:t>
      </w:r>
    </w:p>
    <w:p>
      <w:pPr>
        <w:pStyle w:val="BodyText"/>
        <w:rPr>
          <w:sz w:val="15"/>
        </w:rPr>
      </w:pPr>
    </w:p>
    <w:p>
      <w:pPr>
        <w:pStyle w:val="ListParagraph"/>
        <w:numPr>
          <w:ilvl w:val="3"/>
          <w:numId w:val="9"/>
        </w:numPr>
        <w:tabs>
          <w:tab w:pos="1981" w:val="left" w:leader="none"/>
          <w:tab w:pos="1982" w:val="left" w:leader="none"/>
        </w:tabs>
        <w:spacing w:line="278" w:lineRule="auto" w:before="0" w:after="0"/>
        <w:ind w:left="1977" w:right="991" w:hanging="370"/>
        <w:jc w:val="left"/>
        <w:rPr>
          <w:rFonts w:ascii="Times New Roman" w:eastAsia="Times New Roman"/>
          <w:sz w:val="21"/>
        </w:rPr>
      </w:pPr>
      <w:r>
        <w:rPr>
          <w:spacing w:val="1"/>
          <w:sz w:val="21"/>
        </w:rPr>
        <w:t>血液中存在高水平的自身免疫抗体，如</w:t>
      </w:r>
      <w:r>
        <w:rPr>
          <w:rFonts w:ascii="Times New Roman" w:eastAsia="Times New Roman"/>
          <w:sz w:val="21"/>
        </w:rPr>
        <w:t>ANA</w:t>
      </w:r>
      <w:r>
        <w:rPr>
          <w:sz w:val="21"/>
        </w:rPr>
        <w:t>（抗核抗体）、</w:t>
      </w:r>
      <w:r>
        <w:rPr>
          <w:rFonts w:ascii="Times New Roman" w:eastAsia="Times New Roman"/>
          <w:sz w:val="21"/>
        </w:rPr>
        <w:t>SMA</w:t>
      </w:r>
      <w:r>
        <w:rPr>
          <w:sz w:val="21"/>
        </w:rPr>
        <w:t>（抗平滑肌抗体）</w:t>
      </w:r>
      <w:r>
        <w:rPr>
          <w:spacing w:val="-5"/>
          <w:sz w:val="21"/>
        </w:rPr>
        <w:t>、抗 </w:t>
      </w:r>
      <w:r>
        <w:rPr>
          <w:rFonts w:ascii="Times New Roman" w:eastAsia="Times New Roman"/>
          <w:sz w:val="21"/>
        </w:rPr>
        <w:t>LKM1 </w:t>
      </w:r>
      <w:r>
        <w:rPr>
          <w:spacing w:val="12"/>
          <w:sz w:val="21"/>
        </w:rPr>
        <w:t>抗体或抗</w:t>
      </w:r>
      <w:r>
        <w:rPr>
          <w:rFonts w:ascii="Times New Roman" w:eastAsia="Times New Roman"/>
          <w:sz w:val="21"/>
        </w:rPr>
        <w:t>SLA/LP </w:t>
      </w:r>
      <w:r>
        <w:rPr>
          <w:sz w:val="21"/>
        </w:rPr>
        <w:t>抗体；</w:t>
      </w:r>
    </w:p>
    <w:p>
      <w:pPr>
        <w:pStyle w:val="ListParagraph"/>
        <w:numPr>
          <w:ilvl w:val="3"/>
          <w:numId w:val="9"/>
        </w:numPr>
        <w:tabs>
          <w:tab w:pos="1982" w:val="left" w:leader="none"/>
        </w:tabs>
        <w:spacing w:line="240" w:lineRule="auto" w:before="156" w:after="0"/>
        <w:ind w:left="1982" w:right="0" w:hanging="372"/>
        <w:jc w:val="both"/>
        <w:rPr>
          <w:rFonts w:ascii="Times New Roman" w:eastAsia="Times New Roman"/>
          <w:sz w:val="21"/>
        </w:rPr>
      </w:pPr>
      <w:r>
        <w:rPr>
          <w:spacing w:val="-3"/>
          <w:sz w:val="21"/>
        </w:rPr>
        <w:t>肝脏活检证实免疫性肝炎；</w:t>
      </w:r>
    </w:p>
    <w:p>
      <w:pPr>
        <w:pStyle w:val="BodyText"/>
        <w:spacing w:before="6"/>
        <w:rPr>
          <w:sz w:val="15"/>
        </w:rPr>
      </w:pPr>
    </w:p>
    <w:p>
      <w:pPr>
        <w:pStyle w:val="ListParagraph"/>
        <w:numPr>
          <w:ilvl w:val="3"/>
          <w:numId w:val="9"/>
        </w:numPr>
        <w:tabs>
          <w:tab w:pos="1981" w:val="left" w:leader="none"/>
          <w:tab w:pos="1982" w:val="left" w:leader="none"/>
        </w:tabs>
        <w:spacing w:line="240" w:lineRule="auto" w:before="0" w:after="0"/>
        <w:ind w:left="1982" w:right="0" w:hanging="372"/>
        <w:jc w:val="left"/>
        <w:rPr>
          <w:rFonts w:ascii="Times New Roman" w:eastAsia="Times New Roman"/>
          <w:sz w:val="21"/>
        </w:rPr>
      </w:pPr>
      <w:r>
        <w:rPr>
          <w:spacing w:val="-3"/>
          <w:sz w:val="21"/>
        </w:rPr>
        <w:t>临床已经出现腹水、食道静脉曲张和脾肿大等肝硬化表现。</w:t>
      </w:r>
    </w:p>
    <w:p>
      <w:pPr>
        <w:pStyle w:val="BodyText"/>
        <w:rPr>
          <w:sz w:val="15"/>
        </w:rPr>
      </w:pPr>
    </w:p>
    <w:p>
      <w:pPr>
        <w:pStyle w:val="ListParagraph"/>
        <w:numPr>
          <w:ilvl w:val="2"/>
          <w:numId w:val="9"/>
        </w:numPr>
        <w:tabs>
          <w:tab w:pos="1819" w:val="left" w:leader="none"/>
        </w:tabs>
        <w:spacing w:line="240" w:lineRule="auto" w:before="0" w:after="0"/>
        <w:ind w:left="1818" w:right="0" w:hanging="802"/>
        <w:jc w:val="left"/>
        <w:rPr>
          <w:b/>
          <w:sz w:val="21"/>
        </w:rPr>
      </w:pPr>
      <w:r>
        <w:rPr>
          <w:b/>
          <w:spacing w:val="-3"/>
          <w:sz w:val="21"/>
        </w:rPr>
        <w:t>肾上腺脑白质营养不良</w:t>
      </w:r>
    </w:p>
    <w:p>
      <w:pPr>
        <w:pStyle w:val="BodyText"/>
        <w:spacing w:line="278" w:lineRule="auto" w:before="164"/>
        <w:ind w:left="1610" w:right="1026"/>
        <w:jc w:val="both"/>
      </w:pPr>
      <w:r>
        <w:rPr>
          <w:spacing w:val="-2"/>
        </w:rPr>
        <w:t>指一种最常见的过氧化物酶体病，主要累及肾上腺和脑白质，主要表现为进行性的</w:t>
      </w:r>
      <w:r>
        <w:rPr>
          <w:spacing w:val="-2"/>
        </w:rPr>
        <w:t>精神运动障碍，视力及听力下降和（或）肾上腺皮质功能低下等。须经专科医生诊</w:t>
      </w:r>
      <w:r>
        <w:rPr>
          <w:spacing w:val="-2"/>
        </w:rPr>
        <w:t>断，且已经造成自主生活能力完全丧失，无法独立完成六项基本日常生活活动中的</w:t>
      </w:r>
      <w:r>
        <w:rPr>
          <w:spacing w:val="-2"/>
        </w:rPr>
        <w:t>三项或三项以上，持续至少 </w:t>
      </w:r>
      <w:r>
        <w:rPr>
          <w:rFonts w:ascii="Times New Roman" w:eastAsia="Times New Roman"/>
        </w:rPr>
        <w:t>180 </w:t>
      </w:r>
      <w:r>
        <w:rPr/>
        <w:t>日。</w:t>
      </w:r>
    </w:p>
    <w:p>
      <w:pPr>
        <w:spacing w:line="278" w:lineRule="auto" w:before="155"/>
        <w:ind w:left="1610" w:right="1004" w:firstLine="0"/>
        <w:jc w:val="left"/>
        <w:rPr>
          <w:b/>
          <w:sz w:val="21"/>
        </w:rPr>
      </w:pPr>
      <w:r>
        <w:rPr>
          <w:b/>
          <w:spacing w:val="-2"/>
          <w:sz w:val="21"/>
        </w:rPr>
        <w:t>本合同仅对三周岁以上的被保险人予以理赔，并且须提供理赔当时该疾病的诊断及</w:t>
      </w:r>
      <w:r>
        <w:rPr>
          <w:b/>
          <w:spacing w:val="-2"/>
          <w:sz w:val="21"/>
        </w:rPr>
        <w:t>检查证据。</w:t>
      </w:r>
    </w:p>
    <w:p>
      <w:pPr>
        <w:pStyle w:val="ListParagraph"/>
        <w:numPr>
          <w:ilvl w:val="2"/>
          <w:numId w:val="9"/>
        </w:numPr>
        <w:tabs>
          <w:tab w:pos="1819" w:val="left" w:leader="none"/>
        </w:tabs>
        <w:spacing w:line="240" w:lineRule="auto" w:before="156" w:after="0"/>
        <w:ind w:left="1818" w:right="0" w:hanging="802"/>
        <w:jc w:val="left"/>
        <w:rPr>
          <w:b/>
          <w:sz w:val="21"/>
        </w:rPr>
      </w:pPr>
      <w:r>
        <w:rPr>
          <w:b/>
          <w:spacing w:val="-2"/>
          <w:sz w:val="21"/>
        </w:rPr>
        <w:t>肝豆状核变性</w:t>
      </w:r>
    </w:p>
    <w:p>
      <w:pPr>
        <w:pStyle w:val="BodyText"/>
        <w:spacing w:line="278" w:lineRule="auto" w:before="163"/>
        <w:ind w:left="1610" w:right="1026"/>
      </w:pPr>
      <w:r>
        <w:rPr>
          <w:spacing w:val="-2"/>
        </w:rPr>
        <w:t>指一种常染色体隐性遗传的铜代谢缺陷病，以不同程度的肝细胞损害、脑退行性病</w:t>
      </w:r>
      <w:r>
        <w:rPr>
          <w:spacing w:val="-2"/>
        </w:rPr>
        <w:t>变和角膜边缘有铜盐沉着环为其临床特征，并须满足下列全部条件：</w:t>
      </w:r>
    </w:p>
    <w:p>
      <w:pPr>
        <w:pStyle w:val="ListParagraph"/>
        <w:numPr>
          <w:ilvl w:val="3"/>
          <w:numId w:val="9"/>
        </w:numPr>
        <w:tabs>
          <w:tab w:pos="1981" w:val="left" w:leader="none"/>
          <w:tab w:pos="1982" w:val="left" w:leader="none"/>
        </w:tabs>
        <w:spacing w:line="240" w:lineRule="auto" w:before="156" w:after="0"/>
        <w:ind w:left="1982" w:right="0" w:hanging="372"/>
        <w:jc w:val="left"/>
        <w:rPr>
          <w:rFonts w:ascii="Times New Roman" w:eastAsia="Times New Roman"/>
          <w:sz w:val="21"/>
        </w:rPr>
      </w:pPr>
      <w:r>
        <w:rPr>
          <w:spacing w:val="-4"/>
          <w:sz w:val="21"/>
        </w:rPr>
        <w:t>典型症状；</w:t>
      </w:r>
    </w:p>
    <w:p>
      <w:pPr>
        <w:pStyle w:val="BodyText"/>
        <w:rPr>
          <w:sz w:val="15"/>
        </w:rPr>
      </w:pPr>
    </w:p>
    <w:p>
      <w:pPr>
        <w:pStyle w:val="ListParagraph"/>
        <w:numPr>
          <w:ilvl w:val="3"/>
          <w:numId w:val="9"/>
        </w:numPr>
        <w:tabs>
          <w:tab w:pos="1981" w:val="left" w:leader="none"/>
          <w:tab w:pos="1982" w:val="left" w:leader="none"/>
        </w:tabs>
        <w:spacing w:line="240" w:lineRule="auto" w:before="0" w:after="0"/>
        <w:ind w:left="1982" w:right="0" w:hanging="372"/>
        <w:jc w:val="left"/>
        <w:rPr>
          <w:rFonts w:ascii="Times New Roman" w:eastAsia="Times New Roman"/>
          <w:sz w:val="21"/>
        </w:rPr>
      </w:pPr>
      <w:r>
        <w:rPr>
          <w:spacing w:val="-2"/>
          <w:sz w:val="21"/>
        </w:rPr>
        <w:t>角膜色素环（</w:t>
      </w:r>
      <w:r>
        <w:rPr>
          <w:rFonts w:ascii="Times New Roman" w:eastAsia="Times New Roman"/>
          <w:spacing w:val="-2"/>
          <w:sz w:val="21"/>
        </w:rPr>
        <w:t>K-F</w:t>
      </w:r>
      <w:r>
        <w:rPr>
          <w:rFonts w:ascii="Times New Roman" w:eastAsia="Times New Roman"/>
          <w:spacing w:val="2"/>
          <w:sz w:val="21"/>
        </w:rPr>
        <w:t> </w:t>
      </w:r>
      <w:r>
        <w:rPr>
          <w:spacing w:val="-2"/>
          <w:sz w:val="21"/>
        </w:rPr>
        <w:t>环</w:t>
      </w:r>
      <w:r>
        <w:rPr>
          <w:spacing w:val="-5"/>
          <w:sz w:val="21"/>
        </w:rPr>
        <w:t>）；</w:t>
      </w:r>
    </w:p>
    <w:p>
      <w:pPr>
        <w:pStyle w:val="BodyText"/>
        <w:spacing w:before="6"/>
        <w:rPr>
          <w:sz w:val="15"/>
        </w:rPr>
      </w:pPr>
    </w:p>
    <w:p>
      <w:pPr>
        <w:pStyle w:val="ListParagraph"/>
        <w:numPr>
          <w:ilvl w:val="3"/>
          <w:numId w:val="9"/>
        </w:numPr>
        <w:tabs>
          <w:tab w:pos="1981" w:val="left" w:leader="none"/>
          <w:tab w:pos="1982" w:val="left" w:leader="none"/>
        </w:tabs>
        <w:spacing w:line="240" w:lineRule="auto" w:before="1" w:after="0"/>
        <w:ind w:left="1982" w:right="0" w:hanging="372"/>
        <w:jc w:val="left"/>
        <w:rPr>
          <w:rFonts w:ascii="Times New Roman" w:eastAsia="Times New Roman"/>
          <w:sz w:val="21"/>
        </w:rPr>
      </w:pPr>
      <w:r>
        <w:rPr>
          <w:spacing w:val="-3"/>
          <w:sz w:val="21"/>
        </w:rPr>
        <w:t>血清铜和血清铜蓝蛋白降低，尿铜增加；</w:t>
      </w:r>
    </w:p>
    <w:p>
      <w:pPr>
        <w:pStyle w:val="BodyText"/>
        <w:spacing w:before="6"/>
        <w:rPr>
          <w:sz w:val="15"/>
        </w:rPr>
      </w:pPr>
    </w:p>
    <w:p>
      <w:pPr>
        <w:pStyle w:val="ListParagraph"/>
        <w:numPr>
          <w:ilvl w:val="3"/>
          <w:numId w:val="9"/>
        </w:numPr>
        <w:tabs>
          <w:tab w:pos="1981" w:val="left" w:leader="none"/>
          <w:tab w:pos="1982" w:val="left" w:leader="none"/>
        </w:tabs>
        <w:spacing w:line="240" w:lineRule="auto" w:before="0" w:after="0"/>
        <w:ind w:left="1982" w:right="0" w:hanging="372"/>
        <w:jc w:val="left"/>
        <w:rPr>
          <w:rFonts w:ascii="Times New Roman" w:eastAsia="Times New Roman"/>
          <w:sz w:val="21"/>
        </w:rPr>
      </w:pPr>
      <w:r>
        <w:rPr>
          <w:spacing w:val="-3"/>
          <w:sz w:val="21"/>
        </w:rPr>
        <w:t>经皮做肝脏活检来定量分析肝脏铜的含量。</w:t>
      </w:r>
    </w:p>
    <w:p>
      <w:pPr>
        <w:pStyle w:val="BodyText"/>
        <w:rPr>
          <w:sz w:val="15"/>
        </w:rPr>
      </w:pPr>
    </w:p>
    <w:p>
      <w:pPr>
        <w:pStyle w:val="ListParagraph"/>
        <w:numPr>
          <w:ilvl w:val="2"/>
          <w:numId w:val="9"/>
        </w:numPr>
        <w:tabs>
          <w:tab w:pos="1819" w:val="left" w:leader="none"/>
        </w:tabs>
        <w:spacing w:line="240" w:lineRule="auto" w:before="0" w:after="0"/>
        <w:ind w:left="1818" w:right="0" w:hanging="802"/>
        <w:jc w:val="left"/>
        <w:rPr>
          <w:b/>
          <w:sz w:val="21"/>
        </w:rPr>
      </w:pPr>
      <w:r>
        <w:rPr>
          <w:b/>
          <w:spacing w:val="-2"/>
          <w:sz w:val="21"/>
        </w:rPr>
        <w:t>严重感染性心内膜炎</w:t>
      </w:r>
    </w:p>
    <w:p>
      <w:pPr>
        <w:pStyle w:val="BodyText"/>
        <w:spacing w:before="163"/>
        <w:ind w:left="1610"/>
        <w:rPr>
          <w:rFonts w:ascii="Times New Roman" w:eastAsia="Times New Roman"/>
        </w:rPr>
      </w:pPr>
      <w:r>
        <w:rPr>
          <w:spacing w:val="-2"/>
        </w:rPr>
        <w:t>因感染性微生物造成心脏内膜发炎，并符合下列所有条件</w:t>
      </w:r>
      <w:r>
        <w:rPr>
          <w:rFonts w:ascii="Times New Roman" w:eastAsia="Times New Roman"/>
          <w:spacing w:val="-10"/>
        </w:rPr>
        <w:t>:</w:t>
      </w:r>
    </w:p>
    <w:p>
      <w:pPr>
        <w:spacing w:after="0"/>
        <w:rPr>
          <w:rFonts w:ascii="Times New Roman" w:eastAsia="Times New Roman"/>
        </w:rPr>
        <w:sectPr>
          <w:pgSz w:w="11910" w:h="16840"/>
          <w:pgMar w:top="1380" w:bottom="280" w:left="1280" w:right="420"/>
        </w:sectPr>
      </w:pPr>
    </w:p>
    <w:p>
      <w:pPr>
        <w:pStyle w:val="ListParagraph"/>
        <w:numPr>
          <w:ilvl w:val="3"/>
          <w:numId w:val="9"/>
        </w:numPr>
        <w:tabs>
          <w:tab w:pos="1981" w:val="left" w:leader="none"/>
          <w:tab w:pos="1982" w:val="left" w:leader="none"/>
        </w:tabs>
        <w:spacing w:line="240" w:lineRule="auto" w:before="64" w:after="0"/>
        <w:ind w:left="1982" w:right="0" w:hanging="372"/>
        <w:jc w:val="left"/>
        <w:rPr>
          <w:rFonts w:ascii="Times New Roman" w:eastAsia="Times New Roman"/>
          <w:sz w:val="21"/>
        </w:rPr>
      </w:pPr>
      <w:r>
        <w:rPr>
          <w:spacing w:val="-3"/>
          <w:sz w:val="21"/>
        </w:rPr>
        <w:t>血液培养测试结果为阳性，证实存在感染性微生物：</w:t>
      </w:r>
    </w:p>
    <w:p>
      <w:pPr>
        <w:pStyle w:val="BodyText"/>
        <w:rPr>
          <w:sz w:val="15"/>
        </w:rPr>
      </w:pPr>
    </w:p>
    <w:p>
      <w:pPr>
        <w:pStyle w:val="BodyText"/>
        <w:spacing w:line="278" w:lineRule="auto" w:before="0"/>
        <w:ind w:left="2406" w:right="1071" w:hanging="425"/>
      </w:pPr>
      <w:r>
        <w:rPr/>
        <w:t>① 微生物：在赘生物，栓塞的赘生物或心脏内脓疡经培养或组织检查证实有</w:t>
      </w:r>
      <w:r>
        <w:rPr>
          <w:spacing w:val="-2"/>
        </w:rPr>
        <w:t>微生物；或</w:t>
      </w:r>
    </w:p>
    <w:p>
      <w:pPr>
        <w:pStyle w:val="BodyText"/>
        <w:spacing w:before="156"/>
        <w:ind w:left="1982"/>
      </w:pPr>
      <w:r>
        <w:rPr>
          <w:spacing w:val="-1"/>
        </w:rPr>
        <w:t>② 病理性病灶：组织检查证实赘生物或心脏内脓疡有活动性心内膜炎；或</w:t>
      </w:r>
    </w:p>
    <w:p>
      <w:pPr>
        <w:pStyle w:val="BodyText"/>
        <w:rPr>
          <w:sz w:val="15"/>
        </w:rPr>
      </w:pPr>
    </w:p>
    <w:p>
      <w:pPr>
        <w:pStyle w:val="BodyText"/>
        <w:spacing w:before="0"/>
        <w:ind w:left="1982"/>
      </w:pPr>
      <w:r>
        <w:rPr>
          <w:spacing w:val="-1"/>
        </w:rPr>
        <w:t>③ 分别两次血液培养证实有典型之微生物且与心内膜炎符合；或</w:t>
      </w:r>
    </w:p>
    <w:p>
      <w:pPr>
        <w:pStyle w:val="BodyText"/>
        <w:spacing w:before="6"/>
        <w:rPr>
          <w:sz w:val="15"/>
        </w:rPr>
      </w:pPr>
    </w:p>
    <w:p>
      <w:pPr>
        <w:pStyle w:val="BodyText"/>
        <w:spacing w:before="1"/>
        <w:ind w:left="1982"/>
      </w:pPr>
      <w:r>
        <w:rPr>
          <w:spacing w:val="-1"/>
        </w:rPr>
        <w:t>④ 持续血液培养证实有微生物阳性反应，且与心内膜炎符合。</w:t>
      </w:r>
    </w:p>
    <w:p>
      <w:pPr>
        <w:pStyle w:val="BodyText"/>
        <w:spacing w:before="6"/>
        <w:rPr>
          <w:sz w:val="15"/>
        </w:rPr>
      </w:pPr>
    </w:p>
    <w:p>
      <w:pPr>
        <w:pStyle w:val="ListParagraph"/>
        <w:numPr>
          <w:ilvl w:val="3"/>
          <w:numId w:val="9"/>
        </w:numPr>
        <w:tabs>
          <w:tab w:pos="1981" w:val="left" w:leader="none"/>
          <w:tab w:pos="1982" w:val="left" w:leader="none"/>
        </w:tabs>
        <w:spacing w:line="278" w:lineRule="auto" w:before="0" w:after="0"/>
        <w:ind w:left="1977" w:right="1061" w:hanging="370"/>
        <w:jc w:val="left"/>
        <w:rPr>
          <w:rFonts w:ascii="Times New Roman" w:eastAsia="Times New Roman"/>
          <w:sz w:val="21"/>
        </w:rPr>
      </w:pPr>
      <w:r>
        <w:rPr>
          <w:sz w:val="21"/>
        </w:rPr>
        <w:t>心内膜炎引起中度心瓣膜闭锁不全（</w:t>
      </w:r>
      <w:r>
        <w:rPr>
          <w:spacing w:val="-9"/>
          <w:sz w:val="21"/>
        </w:rPr>
        <w:t>指返流分数 </w:t>
      </w:r>
      <w:r>
        <w:rPr>
          <w:rFonts w:ascii="Times New Roman" w:eastAsia="Times New Roman"/>
          <w:sz w:val="21"/>
        </w:rPr>
        <w:t>20%</w:t>
      </w:r>
      <w:r>
        <w:rPr>
          <w:sz w:val="21"/>
        </w:rPr>
        <w:t>或以上）或中度心瓣膜狭窄（</w:t>
      </w:r>
      <w:r>
        <w:rPr>
          <w:spacing w:val="-3"/>
          <w:sz w:val="21"/>
        </w:rPr>
        <w:t>指心瓣膜开口范围少于或等于正常的 </w:t>
      </w:r>
      <w:r>
        <w:rPr>
          <w:rFonts w:ascii="Times New Roman" w:eastAsia="Times New Roman"/>
          <w:sz w:val="21"/>
        </w:rPr>
        <w:t>30%</w:t>
      </w:r>
      <w:r>
        <w:rPr>
          <w:sz w:val="21"/>
        </w:rPr>
        <w:t>）；</w:t>
      </w:r>
    </w:p>
    <w:p>
      <w:pPr>
        <w:pStyle w:val="ListParagraph"/>
        <w:numPr>
          <w:ilvl w:val="3"/>
          <w:numId w:val="9"/>
        </w:numPr>
        <w:tabs>
          <w:tab w:pos="1981" w:val="left" w:leader="none"/>
          <w:tab w:pos="1982" w:val="left" w:leader="none"/>
        </w:tabs>
        <w:spacing w:line="240" w:lineRule="auto" w:before="156" w:after="0"/>
        <w:ind w:left="1982" w:right="0" w:hanging="372"/>
        <w:jc w:val="left"/>
        <w:rPr>
          <w:rFonts w:ascii="Times New Roman" w:eastAsia="Times New Roman"/>
          <w:sz w:val="21"/>
        </w:rPr>
      </w:pPr>
      <w:r>
        <w:rPr>
          <w:spacing w:val="-3"/>
          <w:sz w:val="21"/>
        </w:rPr>
        <w:t>心内膜炎及心瓣膜损毁程度需经由心脏专科医生确诊。</w:t>
      </w:r>
    </w:p>
    <w:p>
      <w:pPr>
        <w:pStyle w:val="BodyText"/>
        <w:rPr>
          <w:sz w:val="15"/>
        </w:rPr>
      </w:pPr>
    </w:p>
    <w:p>
      <w:pPr>
        <w:pStyle w:val="ListParagraph"/>
        <w:numPr>
          <w:ilvl w:val="2"/>
          <w:numId w:val="9"/>
        </w:numPr>
        <w:tabs>
          <w:tab w:pos="1819" w:val="left" w:leader="none"/>
        </w:tabs>
        <w:spacing w:line="240" w:lineRule="auto" w:before="0" w:after="0"/>
        <w:ind w:left="1818" w:right="0" w:hanging="802"/>
        <w:jc w:val="left"/>
        <w:rPr>
          <w:b/>
          <w:sz w:val="21"/>
        </w:rPr>
      </w:pPr>
      <w:r>
        <w:rPr>
          <w:b/>
          <w:spacing w:val="-3"/>
          <w:sz w:val="21"/>
        </w:rPr>
        <w:t>破裂脑动脉瘤夹闭手术</w:t>
      </w:r>
    </w:p>
    <w:p>
      <w:pPr>
        <w:pStyle w:val="BodyText"/>
        <w:spacing w:line="278" w:lineRule="auto" w:before="163"/>
        <w:ind w:left="1610" w:right="1026"/>
      </w:pPr>
      <w:r>
        <w:rPr>
          <w:spacing w:val="-2"/>
        </w:rPr>
        <w:t>指因脑动脉瘤破裂造成蛛网膜下腔出血，被保险人实际接受了在全麻下进行的开颅</w:t>
      </w:r>
      <w:r>
        <w:rPr>
          <w:spacing w:val="-2"/>
        </w:rPr>
        <w:t>动脉夹闭手术。</w:t>
      </w:r>
    </w:p>
    <w:p>
      <w:pPr>
        <w:spacing w:line="278" w:lineRule="auto" w:before="156"/>
        <w:ind w:left="1610" w:right="1005" w:firstLine="0"/>
        <w:jc w:val="left"/>
        <w:rPr>
          <w:b/>
          <w:sz w:val="21"/>
        </w:rPr>
      </w:pPr>
      <w:r>
        <w:rPr>
          <w:b/>
          <w:spacing w:val="-2"/>
          <w:sz w:val="21"/>
        </w:rPr>
        <w:t>脑动脉瘤（未破裂）预防性手术、颅骨打孔手术、动脉瘤栓塞手术、血管内手术及</w:t>
      </w:r>
      <w:r>
        <w:rPr>
          <w:b/>
          <w:spacing w:val="-2"/>
          <w:sz w:val="21"/>
        </w:rPr>
        <w:t>其他颅脑手术不在本保障范围内。</w:t>
      </w:r>
    </w:p>
    <w:p>
      <w:pPr>
        <w:pStyle w:val="ListParagraph"/>
        <w:numPr>
          <w:ilvl w:val="2"/>
          <w:numId w:val="9"/>
        </w:numPr>
        <w:tabs>
          <w:tab w:pos="1819" w:val="left" w:leader="none"/>
        </w:tabs>
        <w:spacing w:line="240" w:lineRule="auto" w:before="156" w:after="0"/>
        <w:ind w:left="1818" w:right="0" w:hanging="802"/>
        <w:jc w:val="left"/>
        <w:rPr>
          <w:b/>
          <w:sz w:val="21"/>
        </w:rPr>
      </w:pPr>
      <w:r>
        <w:rPr>
          <w:b/>
          <w:spacing w:val="-2"/>
          <w:sz w:val="21"/>
        </w:rPr>
        <w:t>完全性房室传导阻滞</w:t>
      </w:r>
    </w:p>
    <w:p>
      <w:pPr>
        <w:pStyle w:val="BodyText"/>
        <w:spacing w:line="278" w:lineRule="auto" w:before="163"/>
        <w:ind w:left="1610" w:right="1026"/>
      </w:pPr>
      <w:r>
        <w:rPr>
          <w:spacing w:val="-2"/>
        </w:rPr>
        <w:t>指心房激动在房室交界区、房室束及其分支内发生阻滞，不能正常地传到心室的心</w:t>
      </w:r>
      <w:r>
        <w:rPr>
          <w:spacing w:val="-2"/>
        </w:rPr>
        <w:t>脏传导性疾病，须满足下列所有条件：</w:t>
      </w:r>
    </w:p>
    <w:p>
      <w:pPr>
        <w:pStyle w:val="ListParagraph"/>
        <w:numPr>
          <w:ilvl w:val="3"/>
          <w:numId w:val="9"/>
        </w:numPr>
        <w:tabs>
          <w:tab w:pos="1969" w:val="left" w:leader="none"/>
          <w:tab w:pos="1970" w:val="left" w:leader="none"/>
        </w:tabs>
        <w:spacing w:line="240" w:lineRule="auto" w:before="156" w:after="0"/>
        <w:ind w:left="1970" w:right="0" w:hanging="360"/>
        <w:jc w:val="left"/>
        <w:rPr>
          <w:rFonts w:ascii="Times New Roman" w:eastAsia="Times New Roman"/>
          <w:sz w:val="21"/>
        </w:rPr>
      </w:pPr>
      <w:r>
        <w:rPr>
          <w:spacing w:val="-2"/>
          <w:sz w:val="21"/>
        </w:rPr>
        <w:t>心电图显示房室搏动彼此独立，心室率＜</w:t>
      </w:r>
      <w:r>
        <w:rPr>
          <w:rFonts w:ascii="Times New Roman" w:eastAsia="Times New Roman"/>
          <w:spacing w:val="-2"/>
          <w:sz w:val="21"/>
        </w:rPr>
        <w:t>50</w:t>
      </w:r>
      <w:r>
        <w:rPr>
          <w:rFonts w:ascii="Times New Roman" w:eastAsia="Times New Roman"/>
          <w:spacing w:val="16"/>
          <w:sz w:val="21"/>
        </w:rPr>
        <w:t> </w:t>
      </w:r>
      <w:r>
        <w:rPr>
          <w:spacing w:val="-4"/>
          <w:sz w:val="21"/>
        </w:rPr>
        <w:t>次/分钟；</w:t>
      </w:r>
    </w:p>
    <w:p>
      <w:pPr>
        <w:pStyle w:val="BodyText"/>
        <w:spacing w:before="6"/>
        <w:rPr>
          <w:sz w:val="15"/>
        </w:rPr>
      </w:pPr>
    </w:p>
    <w:p>
      <w:pPr>
        <w:pStyle w:val="ListParagraph"/>
        <w:numPr>
          <w:ilvl w:val="3"/>
          <w:numId w:val="9"/>
        </w:numPr>
        <w:tabs>
          <w:tab w:pos="1969" w:val="left" w:leader="none"/>
          <w:tab w:pos="1970" w:val="left" w:leader="none"/>
        </w:tabs>
        <w:spacing w:line="240" w:lineRule="auto" w:before="0" w:after="0"/>
        <w:ind w:left="1970" w:right="0" w:hanging="360"/>
        <w:jc w:val="left"/>
        <w:rPr>
          <w:rFonts w:ascii="Times New Roman" w:eastAsia="Times New Roman"/>
          <w:sz w:val="21"/>
        </w:rPr>
      </w:pPr>
      <w:r>
        <w:rPr>
          <w:spacing w:val="-3"/>
          <w:sz w:val="21"/>
        </w:rPr>
        <w:t>出现阿-斯综合征或心力衰竭的表现；</w:t>
      </w:r>
    </w:p>
    <w:p>
      <w:pPr>
        <w:pStyle w:val="BodyText"/>
        <w:rPr>
          <w:sz w:val="15"/>
        </w:rPr>
      </w:pPr>
    </w:p>
    <w:p>
      <w:pPr>
        <w:pStyle w:val="ListParagraph"/>
        <w:numPr>
          <w:ilvl w:val="3"/>
          <w:numId w:val="9"/>
        </w:numPr>
        <w:tabs>
          <w:tab w:pos="1969" w:val="left" w:leader="none"/>
          <w:tab w:pos="1970" w:val="left" w:leader="none"/>
        </w:tabs>
        <w:spacing w:line="240" w:lineRule="auto" w:before="1" w:after="0"/>
        <w:ind w:left="1970" w:right="0" w:hanging="360"/>
        <w:jc w:val="left"/>
        <w:rPr>
          <w:rFonts w:ascii="Times New Roman" w:eastAsia="Times New Roman"/>
          <w:sz w:val="21"/>
        </w:rPr>
      </w:pPr>
      <w:r>
        <w:rPr>
          <w:spacing w:val="-3"/>
          <w:sz w:val="21"/>
        </w:rPr>
        <w:t>必须持续性依赖心脏起搏器维持心脏正常功能，且已经放置心脏起搏器。</w:t>
      </w:r>
    </w:p>
    <w:p>
      <w:pPr>
        <w:pStyle w:val="BodyText"/>
        <w:spacing w:before="6"/>
        <w:rPr>
          <w:sz w:val="15"/>
        </w:rPr>
      </w:pPr>
    </w:p>
    <w:p>
      <w:pPr>
        <w:pStyle w:val="ListParagraph"/>
        <w:numPr>
          <w:ilvl w:val="2"/>
          <w:numId w:val="9"/>
        </w:numPr>
        <w:tabs>
          <w:tab w:pos="1819" w:val="left" w:leader="none"/>
        </w:tabs>
        <w:spacing w:line="240" w:lineRule="auto" w:before="0" w:after="0"/>
        <w:ind w:left="1818" w:right="0" w:hanging="802"/>
        <w:jc w:val="left"/>
        <w:rPr>
          <w:b/>
          <w:sz w:val="21"/>
        </w:rPr>
      </w:pPr>
      <w:r>
        <w:rPr>
          <w:b/>
          <w:spacing w:val="-2"/>
          <w:sz w:val="21"/>
        </w:rPr>
        <w:t>范可尼综合征</w:t>
      </w:r>
    </w:p>
    <w:p>
      <w:pPr>
        <w:pStyle w:val="BodyText"/>
        <w:spacing w:line="278" w:lineRule="auto" w:before="163"/>
        <w:ind w:left="1610" w:right="1085"/>
      </w:pPr>
      <w:r>
        <w:rPr>
          <w:spacing w:val="-18"/>
        </w:rPr>
        <w:t>也称 </w:t>
      </w:r>
      <w:r>
        <w:rPr>
          <w:rFonts w:ascii="Times New Roman" w:eastAsia="Times New Roman"/>
        </w:rPr>
        <w:t>Fanconi</w:t>
      </w:r>
      <w:r>
        <w:rPr>
          <w:rFonts w:ascii="Times New Roman" w:eastAsia="Times New Roman"/>
          <w:spacing w:val="-14"/>
        </w:rPr>
        <w:t> </w:t>
      </w:r>
      <w:r>
        <w:rPr/>
        <w:t>综合征，指近端肾小管的功能异常引起的一组症候群。须经专科医生</w:t>
      </w:r>
      <w:r>
        <w:rPr>
          <w:spacing w:val="-2"/>
        </w:rPr>
        <w:t>诊断，且须满足下列至少三项条件：</w:t>
      </w:r>
    </w:p>
    <w:p>
      <w:pPr>
        <w:pStyle w:val="ListParagraph"/>
        <w:numPr>
          <w:ilvl w:val="3"/>
          <w:numId w:val="9"/>
        </w:numPr>
        <w:tabs>
          <w:tab w:pos="1969" w:val="left" w:leader="none"/>
          <w:tab w:pos="1970" w:val="left" w:leader="none"/>
        </w:tabs>
        <w:spacing w:line="240" w:lineRule="auto" w:before="156" w:after="0"/>
        <w:ind w:left="1970" w:right="0" w:hanging="360"/>
        <w:jc w:val="left"/>
        <w:rPr>
          <w:rFonts w:ascii="Times New Roman" w:eastAsia="Times New Roman"/>
          <w:sz w:val="21"/>
        </w:rPr>
      </w:pPr>
      <w:r>
        <w:rPr>
          <w:spacing w:val="-3"/>
          <w:sz w:val="21"/>
        </w:rPr>
        <w:t>尿液检查出现肾性糖尿、全氨基酸糖尿或磷酸盐尿；</w:t>
      </w:r>
    </w:p>
    <w:p>
      <w:pPr>
        <w:pStyle w:val="BodyText"/>
        <w:rPr>
          <w:sz w:val="15"/>
        </w:rPr>
      </w:pPr>
    </w:p>
    <w:p>
      <w:pPr>
        <w:pStyle w:val="ListParagraph"/>
        <w:numPr>
          <w:ilvl w:val="3"/>
          <w:numId w:val="9"/>
        </w:numPr>
        <w:tabs>
          <w:tab w:pos="1969" w:val="left" w:leader="none"/>
          <w:tab w:pos="1970" w:val="left" w:leader="none"/>
        </w:tabs>
        <w:spacing w:line="240" w:lineRule="auto" w:before="0" w:after="0"/>
        <w:ind w:left="1970" w:right="0" w:hanging="360"/>
        <w:jc w:val="left"/>
        <w:rPr>
          <w:rFonts w:ascii="Times New Roman" w:eastAsia="Times New Roman"/>
          <w:sz w:val="21"/>
        </w:rPr>
      </w:pPr>
      <w:r>
        <w:rPr>
          <w:spacing w:val="-3"/>
          <w:sz w:val="21"/>
        </w:rPr>
        <w:t>血液检查出现低磷血症、低尿酸血症或近端肾小管酸中毒；</w:t>
      </w:r>
    </w:p>
    <w:p>
      <w:pPr>
        <w:pStyle w:val="BodyText"/>
        <w:spacing w:before="6"/>
        <w:rPr>
          <w:sz w:val="15"/>
        </w:rPr>
      </w:pPr>
    </w:p>
    <w:p>
      <w:pPr>
        <w:pStyle w:val="ListParagraph"/>
        <w:numPr>
          <w:ilvl w:val="3"/>
          <w:numId w:val="9"/>
        </w:numPr>
        <w:tabs>
          <w:tab w:pos="1969" w:val="left" w:leader="none"/>
          <w:tab w:pos="1970" w:val="left" w:leader="none"/>
        </w:tabs>
        <w:spacing w:line="240" w:lineRule="auto" w:before="0" w:after="0"/>
        <w:ind w:left="1970" w:right="0" w:hanging="360"/>
        <w:jc w:val="left"/>
        <w:rPr>
          <w:rFonts w:ascii="Times New Roman" w:eastAsia="Times New Roman"/>
          <w:sz w:val="21"/>
        </w:rPr>
      </w:pPr>
      <w:r>
        <w:rPr>
          <w:spacing w:val="-3"/>
          <w:sz w:val="21"/>
        </w:rPr>
        <w:t>出现骨质疏松、骨骼畸形或尿路结石；</w:t>
      </w:r>
    </w:p>
    <w:p>
      <w:pPr>
        <w:pStyle w:val="BodyText"/>
        <w:rPr>
          <w:sz w:val="15"/>
        </w:rPr>
      </w:pPr>
    </w:p>
    <w:p>
      <w:pPr>
        <w:pStyle w:val="ListParagraph"/>
        <w:numPr>
          <w:ilvl w:val="3"/>
          <w:numId w:val="9"/>
        </w:numPr>
        <w:tabs>
          <w:tab w:pos="1969" w:val="left" w:leader="none"/>
          <w:tab w:pos="1970" w:val="left" w:leader="none"/>
        </w:tabs>
        <w:spacing w:line="240" w:lineRule="auto" w:before="0" w:after="0"/>
        <w:ind w:left="1970" w:right="0" w:hanging="360"/>
        <w:jc w:val="left"/>
        <w:rPr>
          <w:rFonts w:ascii="Times New Roman" w:eastAsia="Times New Roman"/>
          <w:sz w:val="21"/>
        </w:rPr>
      </w:pPr>
      <w:r>
        <w:rPr>
          <w:spacing w:val="-3"/>
          <w:sz w:val="21"/>
        </w:rPr>
        <w:t>通过骨髓片、白细胞、直肠黏膜中的结晶分析或裂隙灯检查角膜有胱氨酸结晶。</w:t>
      </w:r>
    </w:p>
    <w:p>
      <w:pPr>
        <w:pStyle w:val="BodyText"/>
        <w:rPr>
          <w:sz w:val="15"/>
        </w:rPr>
      </w:pPr>
    </w:p>
    <w:p>
      <w:pPr>
        <w:spacing w:line="278" w:lineRule="auto" w:before="1"/>
        <w:ind w:left="1610" w:right="1004" w:firstLine="0"/>
        <w:jc w:val="left"/>
        <w:rPr>
          <w:b/>
          <w:sz w:val="21"/>
        </w:rPr>
      </w:pPr>
      <w:r>
        <w:rPr>
          <w:b/>
          <w:spacing w:val="-2"/>
          <w:sz w:val="21"/>
        </w:rPr>
        <w:t>本合同仅对三周岁以上的被保险人予以理赔，并且须提供理赔当时该疾病的诊断及</w:t>
      </w:r>
      <w:r>
        <w:rPr>
          <w:b/>
          <w:spacing w:val="-2"/>
          <w:sz w:val="21"/>
        </w:rPr>
        <w:t>检查证据。</w:t>
      </w:r>
    </w:p>
    <w:p>
      <w:pPr>
        <w:pStyle w:val="ListParagraph"/>
        <w:numPr>
          <w:ilvl w:val="2"/>
          <w:numId w:val="9"/>
        </w:numPr>
        <w:tabs>
          <w:tab w:pos="1819" w:val="left" w:leader="none"/>
        </w:tabs>
        <w:spacing w:line="240" w:lineRule="auto" w:before="155" w:after="0"/>
        <w:ind w:left="1818" w:right="0" w:hanging="802"/>
        <w:jc w:val="left"/>
        <w:rPr>
          <w:b/>
          <w:sz w:val="21"/>
        </w:rPr>
      </w:pPr>
      <w:r>
        <w:rPr>
          <w:b/>
          <w:spacing w:val="-2"/>
          <w:sz w:val="21"/>
        </w:rPr>
        <w:t>溶血性尿毒综合征</w:t>
      </w:r>
    </w:p>
    <w:p>
      <w:pPr>
        <w:spacing w:line="278" w:lineRule="auto" w:before="163"/>
        <w:ind w:left="1610" w:right="1025" w:firstLine="0"/>
        <w:jc w:val="left"/>
        <w:rPr>
          <w:sz w:val="21"/>
        </w:rPr>
      </w:pPr>
      <w:r>
        <w:rPr>
          <w:spacing w:val="-2"/>
          <w:sz w:val="21"/>
        </w:rPr>
        <w:t>是一种由于感染导致的急性综合症，引起溶血、急性肾功能衰竭及血小板减少。溶</w:t>
      </w:r>
      <w:r>
        <w:rPr>
          <w:sz w:val="21"/>
        </w:rPr>
        <w:t>血性尿毒综合征须由血液和肾脏专科医生诊断，</w:t>
      </w:r>
      <w:r>
        <w:rPr>
          <w:b/>
          <w:spacing w:val="-2"/>
          <w:sz w:val="21"/>
        </w:rPr>
        <w:t>被保险人理赔时年龄在 </w:t>
      </w:r>
      <w:r>
        <w:rPr>
          <w:rFonts w:ascii="Times New Roman" w:eastAsia="Times New Roman"/>
          <w:b/>
          <w:sz w:val="21"/>
        </w:rPr>
        <w:t>25 </w:t>
      </w:r>
      <w:r>
        <w:rPr>
          <w:b/>
          <w:sz w:val="21"/>
        </w:rPr>
        <w:t>周岁以</w:t>
      </w:r>
      <w:r>
        <w:rPr>
          <w:b/>
          <w:spacing w:val="-2"/>
          <w:sz w:val="21"/>
        </w:rPr>
        <w:t>下，</w:t>
      </w:r>
      <w:r>
        <w:rPr>
          <w:spacing w:val="-2"/>
          <w:sz w:val="21"/>
        </w:rPr>
        <w:t>并须满足下列全部条件：</w:t>
      </w:r>
    </w:p>
    <w:p>
      <w:pPr>
        <w:spacing w:after="0" w:line="278" w:lineRule="auto"/>
        <w:jc w:val="left"/>
        <w:rPr>
          <w:sz w:val="21"/>
        </w:rPr>
        <w:sectPr>
          <w:pgSz w:w="11910" w:h="16840"/>
          <w:pgMar w:top="1380" w:bottom="280" w:left="1280" w:right="420"/>
        </w:sectPr>
      </w:pPr>
    </w:p>
    <w:p>
      <w:pPr>
        <w:pStyle w:val="ListParagraph"/>
        <w:numPr>
          <w:ilvl w:val="3"/>
          <w:numId w:val="9"/>
        </w:numPr>
        <w:tabs>
          <w:tab w:pos="1970" w:val="left" w:leader="none"/>
        </w:tabs>
        <w:spacing w:line="240" w:lineRule="auto" w:before="64" w:after="0"/>
        <w:ind w:left="1970" w:right="0" w:hanging="360"/>
        <w:jc w:val="both"/>
        <w:rPr>
          <w:rFonts w:ascii="Times New Roman" w:eastAsia="Times New Roman"/>
          <w:sz w:val="21"/>
        </w:rPr>
      </w:pPr>
      <w:r>
        <w:rPr>
          <w:spacing w:val="-3"/>
          <w:sz w:val="21"/>
        </w:rPr>
        <w:t>实验室检查确认有溶血性贫血、血小板减少、急性肾功能衰竭；</w:t>
      </w:r>
    </w:p>
    <w:p>
      <w:pPr>
        <w:pStyle w:val="BodyText"/>
        <w:rPr>
          <w:sz w:val="15"/>
        </w:rPr>
      </w:pPr>
    </w:p>
    <w:p>
      <w:pPr>
        <w:pStyle w:val="ListParagraph"/>
        <w:numPr>
          <w:ilvl w:val="3"/>
          <w:numId w:val="9"/>
        </w:numPr>
        <w:tabs>
          <w:tab w:pos="1970" w:val="left" w:leader="none"/>
        </w:tabs>
        <w:spacing w:line="240" w:lineRule="auto" w:before="0" w:after="0"/>
        <w:ind w:left="1970" w:right="0" w:hanging="360"/>
        <w:jc w:val="both"/>
        <w:rPr>
          <w:rFonts w:ascii="Times New Roman" w:eastAsia="Times New Roman"/>
          <w:sz w:val="21"/>
        </w:rPr>
      </w:pPr>
      <w:r>
        <w:rPr>
          <w:spacing w:val="-3"/>
          <w:sz w:val="21"/>
        </w:rPr>
        <w:t>因肾脏功能衰竭实际接受了肾脏透析治疗。</w:t>
      </w:r>
    </w:p>
    <w:p>
      <w:pPr>
        <w:pStyle w:val="BodyText"/>
        <w:rPr>
          <w:sz w:val="15"/>
        </w:rPr>
      </w:pPr>
    </w:p>
    <w:p>
      <w:pPr>
        <w:spacing w:line="278" w:lineRule="auto" w:before="0"/>
        <w:ind w:left="1610" w:right="1005" w:firstLine="0"/>
        <w:jc w:val="left"/>
        <w:rPr>
          <w:b/>
          <w:sz w:val="21"/>
        </w:rPr>
      </w:pPr>
      <w:r>
        <w:rPr>
          <w:b/>
          <w:spacing w:val="-2"/>
          <w:sz w:val="21"/>
        </w:rPr>
        <w:t>任何非因感染导致的溶血性贫血，如：自身免疫性溶血性贫血、与红细胞膜缺陷有</w:t>
      </w:r>
      <w:r>
        <w:rPr>
          <w:b/>
          <w:spacing w:val="-2"/>
          <w:sz w:val="21"/>
        </w:rPr>
        <w:t>关的溶血性贫血、红细胞酶病、血红蛋白病等，不在保障范围内。</w:t>
      </w:r>
    </w:p>
    <w:p>
      <w:pPr>
        <w:pStyle w:val="ListParagraph"/>
        <w:numPr>
          <w:ilvl w:val="2"/>
          <w:numId w:val="9"/>
        </w:numPr>
        <w:tabs>
          <w:tab w:pos="1819" w:val="left" w:leader="none"/>
        </w:tabs>
        <w:spacing w:line="240" w:lineRule="auto" w:before="156" w:after="0"/>
        <w:ind w:left="1818" w:right="0" w:hanging="802"/>
        <w:jc w:val="left"/>
        <w:rPr>
          <w:b/>
          <w:sz w:val="21"/>
        </w:rPr>
      </w:pPr>
      <w:r>
        <w:rPr>
          <w:b/>
          <w:spacing w:val="-2"/>
          <w:sz w:val="21"/>
        </w:rPr>
        <w:t>肺孢子菌肺炎</w:t>
      </w:r>
    </w:p>
    <w:p>
      <w:pPr>
        <w:pStyle w:val="BodyText"/>
        <w:spacing w:before="163"/>
        <w:ind w:left="1610"/>
      </w:pPr>
      <w:r>
        <w:rPr>
          <w:spacing w:val="-3"/>
        </w:rPr>
        <w:t>是指由肺孢子菌引起的间质性浆细胞性肺炎。并须满足下列全部条件：</w:t>
      </w:r>
    </w:p>
    <w:p>
      <w:pPr>
        <w:pStyle w:val="BodyText"/>
        <w:spacing w:before="6"/>
        <w:rPr>
          <w:sz w:val="15"/>
        </w:rPr>
      </w:pPr>
    </w:p>
    <w:p>
      <w:pPr>
        <w:pStyle w:val="ListParagraph"/>
        <w:numPr>
          <w:ilvl w:val="3"/>
          <w:numId w:val="9"/>
        </w:numPr>
        <w:tabs>
          <w:tab w:pos="1970" w:val="left" w:leader="none"/>
        </w:tabs>
        <w:spacing w:line="240" w:lineRule="auto" w:before="0" w:after="0"/>
        <w:ind w:left="1970" w:right="0" w:hanging="360"/>
        <w:jc w:val="both"/>
        <w:rPr>
          <w:rFonts w:ascii="Times New Roman" w:eastAsia="Times New Roman"/>
          <w:sz w:val="21"/>
        </w:rPr>
      </w:pPr>
      <w:r>
        <w:rPr>
          <w:spacing w:val="-2"/>
          <w:sz w:val="21"/>
        </w:rPr>
        <w:t>第一秒末用力呼气量（</w:t>
      </w:r>
      <w:r>
        <w:rPr>
          <w:rFonts w:ascii="Times New Roman" w:eastAsia="Times New Roman"/>
          <w:spacing w:val="-2"/>
          <w:sz w:val="21"/>
        </w:rPr>
        <w:t>FEV</w:t>
      </w:r>
      <w:r>
        <w:rPr>
          <w:rFonts w:ascii="Times New Roman" w:eastAsia="Times New Roman"/>
          <w:spacing w:val="-2"/>
          <w:sz w:val="21"/>
          <w:vertAlign w:val="subscript"/>
        </w:rPr>
        <w:t>1</w:t>
      </w:r>
      <w:r>
        <w:rPr>
          <w:spacing w:val="-2"/>
          <w:sz w:val="21"/>
          <w:vertAlign w:val="baseline"/>
        </w:rPr>
        <w:t>）</w:t>
      </w:r>
      <w:r>
        <w:rPr>
          <w:spacing w:val="-18"/>
          <w:sz w:val="21"/>
          <w:vertAlign w:val="baseline"/>
        </w:rPr>
        <w:t>小于 </w:t>
      </w:r>
      <w:r>
        <w:rPr>
          <w:rFonts w:ascii="Times New Roman" w:eastAsia="Times New Roman"/>
          <w:spacing w:val="-2"/>
          <w:sz w:val="21"/>
          <w:vertAlign w:val="baseline"/>
        </w:rPr>
        <w:t>1</w:t>
      </w:r>
      <w:r>
        <w:rPr>
          <w:rFonts w:ascii="Times New Roman" w:eastAsia="Times New Roman"/>
          <w:spacing w:val="7"/>
          <w:sz w:val="21"/>
          <w:vertAlign w:val="baseline"/>
        </w:rPr>
        <w:t> </w:t>
      </w:r>
      <w:r>
        <w:rPr>
          <w:spacing w:val="-6"/>
          <w:sz w:val="21"/>
          <w:vertAlign w:val="baseline"/>
        </w:rPr>
        <w:t>升；</w:t>
      </w:r>
    </w:p>
    <w:p>
      <w:pPr>
        <w:pStyle w:val="ListParagraph"/>
        <w:numPr>
          <w:ilvl w:val="3"/>
          <w:numId w:val="9"/>
        </w:numPr>
        <w:tabs>
          <w:tab w:pos="1970" w:val="left" w:leader="none"/>
        </w:tabs>
        <w:spacing w:line="240" w:lineRule="auto" w:before="199" w:after="0"/>
        <w:ind w:left="1970" w:right="0" w:hanging="360"/>
        <w:jc w:val="both"/>
        <w:rPr>
          <w:rFonts w:ascii="Times New Roman" w:eastAsia="Times New Roman"/>
          <w:sz w:val="21"/>
        </w:rPr>
      </w:pPr>
      <w:r>
        <w:rPr>
          <w:spacing w:val="-6"/>
          <w:sz w:val="21"/>
        </w:rPr>
        <w:t>气道内阻力增加，至少达到 </w:t>
      </w:r>
      <w:r>
        <w:rPr>
          <w:rFonts w:ascii="Times New Roman" w:eastAsia="Times New Roman"/>
          <w:spacing w:val="-2"/>
          <w:sz w:val="21"/>
        </w:rPr>
        <w:t>0.5kPa/l/s</w:t>
      </w:r>
      <w:r>
        <w:rPr>
          <w:spacing w:val="-2"/>
          <w:sz w:val="21"/>
        </w:rPr>
        <w:t>；</w:t>
      </w:r>
    </w:p>
    <w:p>
      <w:pPr>
        <w:pStyle w:val="BodyText"/>
        <w:rPr>
          <w:sz w:val="15"/>
        </w:rPr>
      </w:pPr>
    </w:p>
    <w:p>
      <w:pPr>
        <w:pStyle w:val="ListParagraph"/>
        <w:numPr>
          <w:ilvl w:val="3"/>
          <w:numId w:val="9"/>
        </w:numPr>
        <w:tabs>
          <w:tab w:pos="1970" w:val="left" w:leader="none"/>
        </w:tabs>
        <w:spacing w:line="240" w:lineRule="auto" w:before="0" w:after="0"/>
        <w:ind w:left="1970" w:right="0" w:hanging="360"/>
        <w:jc w:val="both"/>
        <w:rPr>
          <w:rFonts w:ascii="Times New Roman" w:eastAsia="Times New Roman"/>
          <w:sz w:val="21"/>
        </w:rPr>
      </w:pPr>
      <w:r>
        <w:rPr>
          <w:spacing w:val="-2"/>
          <w:sz w:val="21"/>
        </w:rPr>
        <w:t>残气容积占肺总量（</w:t>
      </w:r>
      <w:r>
        <w:rPr>
          <w:rFonts w:ascii="Times New Roman" w:eastAsia="Times New Roman"/>
          <w:spacing w:val="-2"/>
          <w:sz w:val="21"/>
        </w:rPr>
        <w:t>TLC</w:t>
      </w:r>
      <w:r>
        <w:rPr>
          <w:spacing w:val="-2"/>
          <w:sz w:val="21"/>
        </w:rPr>
        <w:t>）</w:t>
      </w:r>
      <w:r>
        <w:rPr>
          <w:spacing w:val="-21"/>
          <w:sz w:val="21"/>
        </w:rPr>
        <w:t>的 </w:t>
      </w:r>
      <w:r>
        <w:rPr>
          <w:rFonts w:ascii="Times New Roman" w:eastAsia="Times New Roman"/>
          <w:spacing w:val="-2"/>
          <w:sz w:val="21"/>
        </w:rPr>
        <w:t>60%</w:t>
      </w:r>
      <w:r>
        <w:rPr>
          <w:spacing w:val="-5"/>
          <w:sz w:val="21"/>
        </w:rPr>
        <w:t>以上；</w:t>
      </w:r>
    </w:p>
    <w:p>
      <w:pPr>
        <w:pStyle w:val="BodyText"/>
        <w:rPr>
          <w:sz w:val="15"/>
        </w:rPr>
      </w:pPr>
    </w:p>
    <w:p>
      <w:pPr>
        <w:pStyle w:val="ListParagraph"/>
        <w:numPr>
          <w:ilvl w:val="3"/>
          <w:numId w:val="9"/>
        </w:numPr>
        <w:tabs>
          <w:tab w:pos="1970" w:val="left" w:leader="none"/>
        </w:tabs>
        <w:spacing w:line="240" w:lineRule="auto" w:before="1" w:after="0"/>
        <w:ind w:left="1970" w:right="0" w:hanging="360"/>
        <w:jc w:val="both"/>
        <w:rPr>
          <w:rFonts w:ascii="Times New Roman" w:eastAsia="Times New Roman"/>
          <w:sz w:val="21"/>
        </w:rPr>
      </w:pPr>
      <w:r>
        <w:rPr>
          <w:spacing w:val="-6"/>
          <w:sz w:val="21"/>
        </w:rPr>
        <w:t>胸内气体容积升高，超过 </w:t>
      </w:r>
      <w:r>
        <w:rPr>
          <w:rFonts w:ascii="Times New Roman" w:eastAsia="Times New Roman"/>
          <w:spacing w:val="-2"/>
          <w:sz w:val="21"/>
        </w:rPr>
        <w:t>170</w:t>
      </w:r>
      <w:r>
        <w:rPr>
          <w:spacing w:val="-2"/>
          <w:sz w:val="21"/>
        </w:rPr>
        <w:t>（基值的百分比</w:t>
      </w:r>
      <w:r>
        <w:rPr>
          <w:spacing w:val="-5"/>
          <w:sz w:val="21"/>
        </w:rPr>
        <w:t>）；</w:t>
      </w:r>
    </w:p>
    <w:p>
      <w:pPr>
        <w:pStyle w:val="BodyText"/>
        <w:spacing w:before="6"/>
        <w:rPr>
          <w:sz w:val="15"/>
        </w:rPr>
      </w:pPr>
    </w:p>
    <w:p>
      <w:pPr>
        <w:pStyle w:val="ListParagraph"/>
        <w:numPr>
          <w:ilvl w:val="3"/>
          <w:numId w:val="9"/>
        </w:numPr>
        <w:tabs>
          <w:tab w:pos="1970" w:val="left" w:leader="none"/>
        </w:tabs>
        <w:spacing w:line="240" w:lineRule="auto" w:before="0" w:after="0"/>
        <w:ind w:left="1970" w:right="0" w:hanging="360"/>
        <w:jc w:val="both"/>
        <w:rPr>
          <w:rFonts w:ascii="Times New Roman" w:eastAsia="Times New Roman"/>
          <w:sz w:val="21"/>
        </w:rPr>
      </w:pPr>
      <w:r>
        <w:rPr>
          <w:rFonts w:ascii="Times New Roman" w:eastAsia="Times New Roman"/>
          <w:w w:val="95"/>
          <w:sz w:val="21"/>
        </w:rPr>
        <w:t>PaO</w:t>
      </w:r>
      <w:r>
        <w:rPr>
          <w:rFonts w:ascii="Times New Roman" w:eastAsia="Times New Roman"/>
          <w:w w:val="95"/>
          <w:sz w:val="21"/>
          <w:vertAlign w:val="subscript"/>
        </w:rPr>
        <w:t>2</w:t>
      </w:r>
      <w:r>
        <w:rPr>
          <w:w w:val="95"/>
          <w:sz w:val="21"/>
          <w:vertAlign w:val="baseline"/>
        </w:rPr>
        <w:t>＜</w:t>
      </w:r>
      <w:r>
        <w:rPr>
          <w:rFonts w:ascii="Times New Roman" w:eastAsia="Times New Roman"/>
          <w:w w:val="95"/>
          <w:sz w:val="21"/>
          <w:vertAlign w:val="baseline"/>
        </w:rPr>
        <w:t>60mmHg</w:t>
      </w:r>
      <w:r>
        <w:rPr>
          <w:w w:val="95"/>
          <w:sz w:val="21"/>
          <w:vertAlign w:val="baseline"/>
        </w:rPr>
        <w:t>，</w:t>
      </w:r>
      <w:r>
        <w:rPr>
          <w:rFonts w:ascii="Times New Roman" w:eastAsia="Times New Roman"/>
          <w:w w:val="95"/>
          <w:sz w:val="21"/>
          <w:vertAlign w:val="baseline"/>
        </w:rPr>
        <w:t>PaCO</w:t>
      </w:r>
      <w:r>
        <w:rPr>
          <w:rFonts w:ascii="Times New Roman" w:eastAsia="Times New Roman"/>
          <w:w w:val="95"/>
          <w:sz w:val="21"/>
          <w:vertAlign w:val="subscript"/>
        </w:rPr>
        <w:t>2</w:t>
      </w:r>
      <w:r>
        <w:rPr>
          <w:w w:val="95"/>
          <w:sz w:val="21"/>
          <w:vertAlign w:val="baseline"/>
        </w:rPr>
        <w:t>＞</w:t>
      </w:r>
      <w:r>
        <w:rPr>
          <w:rFonts w:ascii="Times New Roman" w:eastAsia="Times New Roman"/>
          <w:w w:val="95"/>
          <w:sz w:val="21"/>
          <w:vertAlign w:val="baseline"/>
        </w:rPr>
        <w:t>50mmHg</w:t>
      </w:r>
      <w:r>
        <w:rPr>
          <w:spacing w:val="-10"/>
          <w:sz w:val="21"/>
          <w:vertAlign w:val="baseline"/>
        </w:rPr>
        <w:t>。</w:t>
      </w:r>
    </w:p>
    <w:p>
      <w:pPr>
        <w:spacing w:before="199"/>
        <w:ind w:left="1610" w:right="0" w:firstLine="0"/>
        <w:jc w:val="left"/>
        <w:rPr>
          <w:b/>
          <w:sz w:val="21"/>
        </w:rPr>
      </w:pPr>
      <w:r>
        <w:rPr>
          <w:b/>
          <w:spacing w:val="-3"/>
          <w:sz w:val="21"/>
        </w:rPr>
        <w:t>感染艾滋病病毒或患艾滋病期间所患肺孢子菌肺炎不在本项保障范围内。</w:t>
      </w:r>
    </w:p>
    <w:p>
      <w:pPr>
        <w:pStyle w:val="BodyText"/>
        <w:rPr>
          <w:b/>
          <w:sz w:val="15"/>
        </w:rPr>
      </w:pPr>
    </w:p>
    <w:p>
      <w:pPr>
        <w:pStyle w:val="ListParagraph"/>
        <w:numPr>
          <w:ilvl w:val="2"/>
          <w:numId w:val="9"/>
        </w:numPr>
        <w:tabs>
          <w:tab w:pos="1819" w:val="left" w:leader="none"/>
        </w:tabs>
        <w:spacing w:line="240" w:lineRule="auto" w:before="0" w:after="0"/>
        <w:ind w:left="1818" w:right="0" w:hanging="802"/>
        <w:jc w:val="left"/>
        <w:rPr>
          <w:b/>
          <w:sz w:val="21"/>
        </w:rPr>
      </w:pPr>
      <w:r>
        <w:rPr>
          <w:b/>
          <w:spacing w:val="-4"/>
          <w:sz w:val="21"/>
        </w:rPr>
        <w:t>库鲁病</w:t>
      </w:r>
    </w:p>
    <w:p>
      <w:pPr>
        <w:pStyle w:val="BodyText"/>
        <w:spacing w:line="278" w:lineRule="auto" w:before="163"/>
        <w:ind w:left="1610" w:right="1025"/>
        <w:jc w:val="both"/>
      </w:pPr>
      <w:r>
        <w:rPr>
          <w:spacing w:val="-2"/>
        </w:rPr>
        <w:t>指一种亚急性传染性朊蛋白病。临床表现为共济失调、震颤、不自主运动，在病程</w:t>
      </w:r>
      <w:r>
        <w:rPr>
          <w:spacing w:val="-2"/>
        </w:rPr>
        <w:t>晚期出现进行性加重的痴呆，神经异常。该病必须由我们指定或认可的医院根据致</w:t>
      </w:r>
      <w:r>
        <w:rPr>
          <w:spacing w:val="-2"/>
        </w:rPr>
        <w:t>病蛋白的发现而明确诊断。</w:t>
      </w:r>
    </w:p>
    <w:p>
      <w:pPr>
        <w:pStyle w:val="ListParagraph"/>
        <w:numPr>
          <w:ilvl w:val="2"/>
          <w:numId w:val="9"/>
        </w:numPr>
        <w:tabs>
          <w:tab w:pos="1819" w:val="left" w:leader="none"/>
        </w:tabs>
        <w:spacing w:line="240" w:lineRule="auto" w:before="156" w:after="0"/>
        <w:ind w:left="1818" w:right="0" w:hanging="802"/>
        <w:jc w:val="left"/>
        <w:rPr>
          <w:b/>
          <w:sz w:val="21"/>
        </w:rPr>
      </w:pPr>
      <w:r>
        <w:rPr>
          <w:b/>
          <w:spacing w:val="-2"/>
          <w:sz w:val="21"/>
        </w:rPr>
        <w:t>大面积植皮手术</w:t>
      </w:r>
    </w:p>
    <w:p>
      <w:pPr>
        <w:pStyle w:val="BodyText"/>
        <w:spacing w:line="278" w:lineRule="auto" w:before="162"/>
        <w:ind w:left="1610" w:right="1026"/>
        <w:jc w:val="both"/>
      </w:pPr>
      <w:r>
        <w:rPr>
          <w:spacing w:val="-2"/>
        </w:rPr>
        <w:t>指为修复皮肤与其下的组织缺损所进行的皮肤移植手术，要求皮肤移植的面积达到</w:t>
      </w:r>
      <w:r>
        <w:rPr>
          <w:spacing w:val="-3"/>
        </w:rPr>
        <w:t>全身体表面积的 </w:t>
      </w:r>
      <w:r>
        <w:rPr>
          <w:rFonts w:ascii="Times New Roman" w:eastAsia="Times New Roman"/>
        </w:rPr>
        <w:t>30%</w:t>
      </w:r>
      <w:r>
        <w:rPr>
          <w:spacing w:val="-11"/>
        </w:rPr>
        <w:t>或 </w:t>
      </w:r>
      <w:r>
        <w:rPr>
          <w:rFonts w:ascii="Times New Roman" w:eastAsia="Times New Roman"/>
        </w:rPr>
        <w:t>30%</w:t>
      </w:r>
      <w:r>
        <w:rPr/>
        <w:t>以上。体表面积根据《中国新九分法》计算。</w:t>
      </w:r>
    </w:p>
    <w:p>
      <w:pPr>
        <w:pStyle w:val="ListParagraph"/>
        <w:numPr>
          <w:ilvl w:val="2"/>
          <w:numId w:val="9"/>
        </w:numPr>
        <w:tabs>
          <w:tab w:pos="1819" w:val="left" w:leader="none"/>
        </w:tabs>
        <w:spacing w:line="240" w:lineRule="auto" w:before="157" w:after="0"/>
        <w:ind w:left="1818" w:right="0" w:hanging="802"/>
        <w:jc w:val="left"/>
        <w:rPr>
          <w:b/>
          <w:sz w:val="21"/>
        </w:rPr>
      </w:pPr>
      <w:r>
        <w:rPr>
          <w:b/>
          <w:spacing w:val="-2"/>
          <w:sz w:val="21"/>
        </w:rPr>
        <w:t>席汉氏综合征</w:t>
      </w:r>
    </w:p>
    <w:p>
      <w:pPr>
        <w:pStyle w:val="BodyText"/>
        <w:spacing w:line="278" w:lineRule="auto" w:before="163"/>
        <w:ind w:left="1610" w:right="1026"/>
        <w:jc w:val="both"/>
      </w:pPr>
      <w:r>
        <w:rPr>
          <w:spacing w:val="-2"/>
        </w:rPr>
        <w:t>指因产后大出血并发休克、全身循环衰竭、弥漫性血管内凝血导致脑垂体缺血坏死</w:t>
      </w:r>
      <w:r>
        <w:rPr>
          <w:spacing w:val="-2"/>
        </w:rPr>
        <w:t>和垂体分泌激素不足，造成性腺、甲状腺、肾上腺皮质功能减退。必须满足下列所</w:t>
      </w:r>
      <w:r>
        <w:rPr>
          <w:spacing w:val="-4"/>
        </w:rPr>
        <w:t>有条件：</w:t>
      </w:r>
    </w:p>
    <w:p>
      <w:pPr>
        <w:pStyle w:val="ListParagraph"/>
        <w:numPr>
          <w:ilvl w:val="3"/>
          <w:numId w:val="9"/>
        </w:numPr>
        <w:tabs>
          <w:tab w:pos="1970" w:val="left" w:leader="none"/>
        </w:tabs>
        <w:spacing w:line="240" w:lineRule="auto" w:before="155" w:after="0"/>
        <w:ind w:left="1970" w:right="0" w:hanging="360"/>
        <w:jc w:val="both"/>
        <w:rPr>
          <w:rFonts w:ascii="Times New Roman" w:eastAsia="Times New Roman"/>
          <w:sz w:val="21"/>
        </w:rPr>
      </w:pPr>
      <w:r>
        <w:rPr>
          <w:spacing w:val="-3"/>
          <w:sz w:val="21"/>
        </w:rPr>
        <w:t>产后大出血休克病史；</w:t>
      </w:r>
    </w:p>
    <w:p>
      <w:pPr>
        <w:pStyle w:val="BodyText"/>
        <w:rPr>
          <w:sz w:val="15"/>
        </w:rPr>
      </w:pPr>
    </w:p>
    <w:p>
      <w:pPr>
        <w:pStyle w:val="ListParagraph"/>
        <w:numPr>
          <w:ilvl w:val="3"/>
          <w:numId w:val="9"/>
        </w:numPr>
        <w:tabs>
          <w:tab w:pos="1970" w:val="left" w:leader="none"/>
        </w:tabs>
        <w:spacing w:line="240" w:lineRule="auto" w:before="0" w:after="0"/>
        <w:ind w:left="1970" w:right="0" w:hanging="360"/>
        <w:jc w:val="both"/>
        <w:rPr>
          <w:rFonts w:ascii="Times New Roman" w:eastAsia="Times New Roman"/>
          <w:sz w:val="21"/>
        </w:rPr>
      </w:pPr>
      <w:r>
        <w:rPr>
          <w:spacing w:val="-3"/>
          <w:sz w:val="21"/>
        </w:rPr>
        <w:t>严重腺垂体功能破坏，破坏程度＞</w:t>
      </w:r>
      <w:r>
        <w:rPr>
          <w:rFonts w:ascii="Calibri" w:eastAsia="Calibri"/>
          <w:spacing w:val="-4"/>
          <w:sz w:val="21"/>
        </w:rPr>
        <w:t>95%</w:t>
      </w:r>
      <w:r>
        <w:rPr>
          <w:spacing w:val="-4"/>
          <w:sz w:val="21"/>
        </w:rPr>
        <w:t>；</w:t>
      </w:r>
    </w:p>
    <w:p>
      <w:pPr>
        <w:pStyle w:val="ListParagraph"/>
        <w:numPr>
          <w:ilvl w:val="3"/>
          <w:numId w:val="9"/>
        </w:numPr>
        <w:tabs>
          <w:tab w:pos="1970" w:val="left" w:leader="none"/>
        </w:tabs>
        <w:spacing w:line="240" w:lineRule="auto" w:before="199" w:after="0"/>
        <w:ind w:left="1970" w:right="0" w:hanging="360"/>
        <w:jc w:val="both"/>
        <w:rPr>
          <w:rFonts w:ascii="Times New Roman" w:eastAsia="Times New Roman"/>
          <w:sz w:val="21"/>
        </w:rPr>
      </w:pPr>
      <w:r>
        <w:rPr>
          <w:spacing w:val="-3"/>
          <w:sz w:val="21"/>
        </w:rPr>
        <w:t>影像学检查显示脑垂体严重萎缩或消失；</w:t>
      </w:r>
    </w:p>
    <w:p>
      <w:pPr>
        <w:pStyle w:val="BodyText"/>
        <w:spacing w:before="6"/>
        <w:rPr>
          <w:sz w:val="15"/>
        </w:rPr>
      </w:pPr>
    </w:p>
    <w:p>
      <w:pPr>
        <w:pStyle w:val="ListParagraph"/>
        <w:numPr>
          <w:ilvl w:val="3"/>
          <w:numId w:val="9"/>
        </w:numPr>
        <w:tabs>
          <w:tab w:pos="1970" w:val="left" w:leader="none"/>
        </w:tabs>
        <w:spacing w:line="240" w:lineRule="auto" w:before="1" w:after="0"/>
        <w:ind w:left="1970" w:right="0" w:hanging="360"/>
        <w:jc w:val="both"/>
        <w:rPr>
          <w:rFonts w:ascii="Times New Roman" w:eastAsia="Times New Roman"/>
          <w:sz w:val="21"/>
        </w:rPr>
      </w:pPr>
      <w:r>
        <w:rPr>
          <w:spacing w:val="-4"/>
          <w:sz w:val="21"/>
        </w:rPr>
        <w:t>实验室检查显示：</w:t>
      </w:r>
    </w:p>
    <w:p>
      <w:pPr>
        <w:pStyle w:val="BodyText"/>
        <w:rPr>
          <w:sz w:val="15"/>
        </w:rPr>
      </w:pPr>
    </w:p>
    <w:p>
      <w:pPr>
        <w:pStyle w:val="BodyText"/>
        <w:spacing w:line="278" w:lineRule="auto" w:before="0"/>
        <w:ind w:left="2406" w:right="886" w:hanging="425"/>
      </w:pPr>
      <w:r>
        <w:rPr>
          <w:spacing w:val="1"/>
        </w:rPr>
        <w:t>① 垂体前叶激素全面低下</w:t>
      </w:r>
      <w:r>
        <w:rPr/>
        <w:t>（包括生长激素、促甲状腺素、促肾上腺皮质激素、</w:t>
      </w:r>
      <w:r>
        <w:rPr>
          <w:spacing w:val="-2"/>
        </w:rPr>
        <w:t>卵泡刺激素和黄体生成素）；</w:t>
      </w:r>
    </w:p>
    <w:p>
      <w:pPr>
        <w:pStyle w:val="BodyText"/>
        <w:spacing w:before="156"/>
        <w:ind w:left="1982"/>
      </w:pPr>
      <w:r>
        <w:rPr>
          <w:spacing w:val="-1"/>
        </w:rPr>
        <w:t>② 性激素、甲状腺素、肾上腺皮质激素全面低下；</w:t>
      </w:r>
    </w:p>
    <w:p>
      <w:pPr>
        <w:pStyle w:val="BodyText"/>
        <w:spacing w:before="6"/>
        <w:rPr>
          <w:sz w:val="15"/>
        </w:rPr>
      </w:pPr>
    </w:p>
    <w:p>
      <w:pPr>
        <w:pStyle w:val="ListParagraph"/>
        <w:numPr>
          <w:ilvl w:val="3"/>
          <w:numId w:val="9"/>
        </w:numPr>
        <w:tabs>
          <w:tab w:pos="1969" w:val="left" w:leader="none"/>
          <w:tab w:pos="1970" w:val="left" w:leader="none"/>
        </w:tabs>
        <w:spacing w:line="240" w:lineRule="auto" w:before="1" w:after="0"/>
        <w:ind w:left="1970" w:right="0" w:hanging="360"/>
        <w:jc w:val="left"/>
        <w:rPr>
          <w:rFonts w:ascii="Times New Roman" w:eastAsia="Times New Roman"/>
          <w:sz w:val="21"/>
        </w:rPr>
      </w:pPr>
      <w:r>
        <w:rPr>
          <w:spacing w:val="-3"/>
          <w:sz w:val="21"/>
        </w:rPr>
        <w:t>需要终身激素替代治疗以维持身体功能，持续服用各种替代激素超过一年。</w:t>
      </w:r>
    </w:p>
    <w:p>
      <w:pPr>
        <w:spacing w:after="0" w:line="240" w:lineRule="auto"/>
        <w:jc w:val="left"/>
        <w:rPr>
          <w:rFonts w:ascii="Times New Roman" w:eastAsia="Times New Roman"/>
          <w:sz w:val="21"/>
        </w:rPr>
        <w:sectPr>
          <w:pgSz w:w="11910" w:h="16840"/>
          <w:pgMar w:top="1380" w:bottom="280" w:left="1280" w:right="420"/>
        </w:sectPr>
      </w:pPr>
    </w:p>
    <w:p>
      <w:pPr>
        <w:pStyle w:val="ListParagraph"/>
        <w:numPr>
          <w:ilvl w:val="2"/>
          <w:numId w:val="9"/>
        </w:numPr>
        <w:tabs>
          <w:tab w:pos="1819" w:val="left" w:leader="none"/>
        </w:tabs>
        <w:spacing w:line="240" w:lineRule="auto" w:before="64" w:after="0"/>
        <w:ind w:left="1818" w:right="0" w:hanging="802"/>
        <w:jc w:val="left"/>
        <w:rPr>
          <w:b/>
          <w:sz w:val="21"/>
        </w:rPr>
      </w:pPr>
      <w:r>
        <w:rPr>
          <w:b/>
          <w:spacing w:val="-2"/>
          <w:sz w:val="21"/>
        </w:rPr>
        <w:t>心脏粘液瘤</w:t>
      </w:r>
    </w:p>
    <w:p>
      <w:pPr>
        <w:spacing w:line="278" w:lineRule="auto" w:before="163"/>
        <w:ind w:left="1610" w:right="1023" w:firstLine="0"/>
        <w:jc w:val="left"/>
        <w:rPr>
          <w:b/>
          <w:sz w:val="21"/>
        </w:rPr>
      </w:pPr>
      <w:r>
        <w:rPr>
          <w:spacing w:val="-2"/>
          <w:sz w:val="21"/>
        </w:rPr>
        <w:t>为了治疗心脏粘液瘤，实际实施了开胸开心心脏粘液瘤切除手术。</w:t>
      </w:r>
      <w:r>
        <w:rPr>
          <w:b/>
          <w:spacing w:val="-2"/>
          <w:sz w:val="21"/>
        </w:rPr>
        <w:t>经导管介入手术</w:t>
      </w:r>
      <w:r>
        <w:rPr>
          <w:b/>
          <w:spacing w:val="-2"/>
          <w:sz w:val="21"/>
        </w:rPr>
        <w:t>治疗不在保障范围内。</w:t>
      </w:r>
    </w:p>
    <w:p>
      <w:pPr>
        <w:pStyle w:val="ListParagraph"/>
        <w:numPr>
          <w:ilvl w:val="2"/>
          <w:numId w:val="9"/>
        </w:numPr>
        <w:tabs>
          <w:tab w:pos="1819" w:val="left" w:leader="none"/>
        </w:tabs>
        <w:spacing w:line="240" w:lineRule="auto" w:before="156" w:after="0"/>
        <w:ind w:left="1818" w:right="0" w:hanging="802"/>
        <w:jc w:val="left"/>
        <w:rPr>
          <w:b/>
          <w:sz w:val="21"/>
        </w:rPr>
      </w:pPr>
      <w:r>
        <w:rPr>
          <w:b/>
          <w:spacing w:val="-3"/>
          <w:sz w:val="21"/>
        </w:rPr>
        <w:t>原发性脊柱侧弯的矫正手术</w:t>
      </w:r>
    </w:p>
    <w:p>
      <w:pPr>
        <w:pStyle w:val="BodyText"/>
        <w:spacing w:line="278" w:lineRule="auto" w:before="163"/>
        <w:ind w:left="1610" w:right="1025"/>
      </w:pPr>
      <w:r>
        <w:rPr>
          <w:spacing w:val="-2"/>
        </w:rPr>
        <w:t>指被保险人因原发性脊柱侧弯，在本公司认可医院实际实施了对该病的矫正外科手</w:t>
      </w:r>
      <w:r>
        <w:rPr>
          <w:spacing w:val="-6"/>
        </w:rPr>
        <w:t>术。</w:t>
      </w:r>
    </w:p>
    <w:p>
      <w:pPr>
        <w:spacing w:line="278" w:lineRule="auto" w:before="156"/>
        <w:ind w:left="1610" w:right="1005" w:firstLine="0"/>
        <w:jc w:val="left"/>
        <w:rPr>
          <w:b/>
          <w:sz w:val="21"/>
        </w:rPr>
      </w:pPr>
      <w:r>
        <w:rPr>
          <w:b/>
          <w:spacing w:val="-2"/>
          <w:sz w:val="21"/>
        </w:rPr>
        <w:t>但由于先天性脊柱侧弯以及其他疾病或意外导致的继发性脊柱侧弯而进行的手术治</w:t>
      </w:r>
      <w:r>
        <w:rPr>
          <w:b/>
          <w:spacing w:val="-2"/>
          <w:sz w:val="21"/>
        </w:rPr>
        <w:t>疗不在本项保障范围内。</w:t>
      </w:r>
    </w:p>
    <w:p>
      <w:pPr>
        <w:pStyle w:val="ListParagraph"/>
        <w:numPr>
          <w:ilvl w:val="2"/>
          <w:numId w:val="9"/>
        </w:numPr>
        <w:tabs>
          <w:tab w:pos="1819" w:val="left" w:leader="none"/>
        </w:tabs>
        <w:spacing w:line="240" w:lineRule="auto" w:before="156" w:after="0"/>
        <w:ind w:left="1818" w:right="0" w:hanging="802"/>
        <w:jc w:val="left"/>
        <w:rPr>
          <w:b/>
          <w:sz w:val="21"/>
        </w:rPr>
      </w:pPr>
      <w:r>
        <w:rPr>
          <w:b/>
          <w:spacing w:val="-3"/>
          <w:sz w:val="21"/>
        </w:rPr>
        <w:t>多处臂丛神经根性撕脱</w:t>
      </w:r>
    </w:p>
    <w:p>
      <w:pPr>
        <w:pStyle w:val="BodyText"/>
        <w:spacing w:line="278" w:lineRule="auto" w:before="163"/>
        <w:ind w:left="1610" w:right="1026"/>
        <w:jc w:val="both"/>
      </w:pPr>
      <w:r>
        <w:rPr>
          <w:spacing w:val="-2"/>
        </w:rPr>
        <w:t>由于疾病或意外导致至少两根臂丛神经根性撕脱，所造成的手臂感觉功能与运动功</w:t>
      </w:r>
      <w:r>
        <w:rPr>
          <w:spacing w:val="-2"/>
        </w:rPr>
        <w:t>能完全永久性丧失。该病必须由我们认可的医院的专科医生确诊，并且有完整的电</w:t>
      </w:r>
      <w:r>
        <w:rPr>
          <w:spacing w:val="-2"/>
        </w:rPr>
        <w:t>生理检查结果证实。</w:t>
      </w:r>
    </w:p>
    <w:p>
      <w:pPr>
        <w:pStyle w:val="ListParagraph"/>
        <w:numPr>
          <w:ilvl w:val="2"/>
          <w:numId w:val="9"/>
        </w:numPr>
        <w:tabs>
          <w:tab w:pos="1819" w:val="left" w:leader="none"/>
        </w:tabs>
        <w:spacing w:line="240" w:lineRule="auto" w:before="156" w:after="0"/>
        <w:ind w:left="1818" w:right="0" w:hanging="802"/>
        <w:jc w:val="left"/>
        <w:rPr>
          <w:b/>
          <w:sz w:val="21"/>
        </w:rPr>
      </w:pPr>
      <w:r>
        <w:rPr>
          <w:b/>
          <w:spacing w:val="-2"/>
          <w:sz w:val="21"/>
        </w:rPr>
        <w:t>严重面部烧伤</w:t>
      </w:r>
    </w:p>
    <w:p>
      <w:pPr>
        <w:pStyle w:val="BodyText"/>
        <w:spacing w:before="163"/>
        <w:ind w:left="1610"/>
      </w:pPr>
      <w:r>
        <w:rPr>
          <w:spacing w:val="-9"/>
        </w:rPr>
        <w:t>指烧伤程度为 </w:t>
      </w:r>
      <w:r>
        <w:rPr>
          <w:rFonts w:ascii="Times New Roman" w:eastAsia="Times New Roman"/>
          <w:spacing w:val="-2"/>
        </w:rPr>
        <w:t>III</w:t>
      </w:r>
      <w:r>
        <w:rPr>
          <w:rFonts w:ascii="Times New Roman" w:eastAsia="Times New Roman"/>
          <w:spacing w:val="3"/>
        </w:rPr>
        <w:t> </w:t>
      </w:r>
      <w:r>
        <w:rPr>
          <w:spacing w:val="-14"/>
        </w:rPr>
        <w:t>度，且 </w:t>
      </w:r>
      <w:r>
        <w:rPr>
          <w:rFonts w:ascii="Times New Roman" w:eastAsia="Times New Roman"/>
          <w:spacing w:val="-2"/>
        </w:rPr>
        <w:t>III</w:t>
      </w:r>
      <w:r>
        <w:rPr>
          <w:rFonts w:ascii="Times New Roman" w:eastAsia="Times New Roman"/>
          <w:spacing w:val="3"/>
        </w:rPr>
        <w:t> </w:t>
      </w:r>
      <w:r>
        <w:rPr>
          <w:spacing w:val="-5"/>
        </w:rPr>
        <w:t>度烧伤的面积达到面部表面积的 </w:t>
      </w:r>
      <w:r>
        <w:rPr>
          <w:rFonts w:ascii="Times New Roman" w:eastAsia="Times New Roman"/>
          <w:spacing w:val="-2"/>
        </w:rPr>
        <w:t>80%</w:t>
      </w:r>
      <w:r>
        <w:rPr>
          <w:spacing w:val="-24"/>
        </w:rPr>
        <w:t>或 </w:t>
      </w:r>
      <w:r>
        <w:rPr>
          <w:rFonts w:ascii="Times New Roman" w:eastAsia="Times New Roman"/>
          <w:spacing w:val="-2"/>
        </w:rPr>
        <w:t>80%</w:t>
      </w:r>
      <w:r>
        <w:rPr>
          <w:spacing w:val="-5"/>
        </w:rPr>
        <w:t>以上。</w:t>
      </w:r>
    </w:p>
    <w:p>
      <w:pPr>
        <w:pStyle w:val="BodyText"/>
        <w:spacing w:before="6"/>
        <w:rPr>
          <w:sz w:val="15"/>
        </w:rPr>
      </w:pPr>
    </w:p>
    <w:p>
      <w:pPr>
        <w:pStyle w:val="ListParagraph"/>
        <w:numPr>
          <w:ilvl w:val="2"/>
          <w:numId w:val="9"/>
        </w:numPr>
        <w:tabs>
          <w:tab w:pos="1819" w:val="left" w:leader="none"/>
        </w:tabs>
        <w:spacing w:line="240" w:lineRule="auto" w:before="1" w:after="0"/>
        <w:ind w:left="1818" w:right="0" w:hanging="802"/>
        <w:jc w:val="left"/>
        <w:rPr>
          <w:b/>
          <w:sz w:val="21"/>
        </w:rPr>
      </w:pPr>
      <w:r>
        <w:rPr>
          <w:b/>
          <w:spacing w:val="-2"/>
          <w:sz w:val="21"/>
        </w:rPr>
        <w:t>因器官移植导致的人类免疫缺陷病毒（</w:t>
      </w:r>
      <w:r>
        <w:rPr>
          <w:rFonts w:ascii="Times New Roman" w:eastAsia="Times New Roman"/>
          <w:b/>
          <w:spacing w:val="-2"/>
          <w:sz w:val="21"/>
        </w:rPr>
        <w:t>HIV</w:t>
      </w:r>
      <w:r>
        <w:rPr>
          <w:b/>
          <w:spacing w:val="-2"/>
          <w:sz w:val="21"/>
        </w:rPr>
        <w:t>）</w:t>
      </w:r>
      <w:r>
        <w:rPr>
          <w:b/>
          <w:spacing w:val="-6"/>
          <w:sz w:val="21"/>
        </w:rPr>
        <w:t>感染</w:t>
      </w:r>
    </w:p>
    <w:p>
      <w:pPr>
        <w:pStyle w:val="BodyText"/>
        <w:spacing w:before="163"/>
        <w:ind w:left="1610"/>
      </w:pPr>
      <w:r>
        <w:rPr>
          <w:spacing w:val="-2"/>
        </w:rPr>
        <w:t>指因进行器官移植而感染上人类免疫缺陷病毒（</w:t>
      </w:r>
      <w:r>
        <w:rPr>
          <w:rFonts w:ascii="Times New Roman" w:eastAsia="Times New Roman"/>
          <w:spacing w:val="-2"/>
        </w:rPr>
        <w:t>HIV</w:t>
      </w:r>
      <w:r>
        <w:rPr>
          <w:spacing w:val="-2"/>
        </w:rPr>
        <w:t>）</w:t>
      </w:r>
      <w:r>
        <w:rPr>
          <w:spacing w:val="-3"/>
        </w:rPr>
        <w:t>，且须满足下列全部条件：</w:t>
      </w:r>
    </w:p>
    <w:p>
      <w:pPr>
        <w:pStyle w:val="BodyText"/>
        <w:spacing w:before="6"/>
        <w:rPr>
          <w:sz w:val="15"/>
        </w:rPr>
      </w:pPr>
    </w:p>
    <w:p>
      <w:pPr>
        <w:pStyle w:val="ListParagraph"/>
        <w:numPr>
          <w:ilvl w:val="3"/>
          <w:numId w:val="9"/>
        </w:numPr>
        <w:tabs>
          <w:tab w:pos="1969" w:val="left" w:leader="none"/>
          <w:tab w:pos="1970" w:val="left" w:leader="none"/>
        </w:tabs>
        <w:spacing w:line="278" w:lineRule="auto" w:before="0" w:after="0"/>
        <w:ind w:left="1970" w:right="1088" w:hanging="360"/>
        <w:jc w:val="left"/>
        <w:rPr>
          <w:rFonts w:ascii="Times New Roman" w:eastAsia="Times New Roman"/>
          <w:sz w:val="21"/>
        </w:rPr>
      </w:pPr>
      <w:r>
        <w:rPr>
          <w:spacing w:val="-2"/>
          <w:sz w:val="21"/>
        </w:rPr>
        <w:t>在保障起始日或复效日之后，被保险人因治疗必需而实施器官移植，并且因器</w:t>
      </w:r>
      <w:r>
        <w:rPr>
          <w:spacing w:val="-2"/>
          <w:sz w:val="21"/>
        </w:rPr>
        <w:t>官移植而感染人类免疫缺陷病毒；</w:t>
      </w:r>
    </w:p>
    <w:p>
      <w:pPr>
        <w:pStyle w:val="ListParagraph"/>
        <w:numPr>
          <w:ilvl w:val="3"/>
          <w:numId w:val="9"/>
        </w:numPr>
        <w:tabs>
          <w:tab w:pos="1969" w:val="left" w:leader="none"/>
          <w:tab w:pos="1970" w:val="left" w:leader="none"/>
        </w:tabs>
        <w:spacing w:line="278" w:lineRule="auto" w:before="156" w:after="0"/>
        <w:ind w:left="1970" w:right="1088" w:hanging="360"/>
        <w:jc w:val="left"/>
        <w:rPr>
          <w:rFonts w:ascii="Times New Roman" w:eastAsia="Times New Roman"/>
          <w:sz w:val="21"/>
        </w:rPr>
      </w:pPr>
      <w:r>
        <w:rPr>
          <w:spacing w:val="-2"/>
          <w:sz w:val="21"/>
        </w:rPr>
        <w:t>提供器官移植治疗的器官移植中心或医院出具该项器官移植感染，属于医疗责</w:t>
      </w:r>
      <w:r>
        <w:rPr>
          <w:spacing w:val="-2"/>
          <w:sz w:val="21"/>
        </w:rPr>
        <w:t>任事故的报告，或者法院终审裁定为医疗责任并且不准上诉；</w:t>
      </w:r>
    </w:p>
    <w:p>
      <w:pPr>
        <w:pStyle w:val="ListParagraph"/>
        <w:numPr>
          <w:ilvl w:val="3"/>
          <w:numId w:val="9"/>
        </w:numPr>
        <w:tabs>
          <w:tab w:pos="1969" w:val="left" w:leader="none"/>
          <w:tab w:pos="1970" w:val="left" w:leader="none"/>
        </w:tabs>
        <w:spacing w:line="240" w:lineRule="auto" w:before="156" w:after="0"/>
        <w:ind w:left="1970" w:right="0" w:hanging="360"/>
        <w:jc w:val="left"/>
        <w:rPr>
          <w:rFonts w:ascii="Times New Roman" w:eastAsia="Times New Roman"/>
          <w:sz w:val="21"/>
        </w:rPr>
      </w:pPr>
      <w:r>
        <w:rPr>
          <w:spacing w:val="-3"/>
          <w:sz w:val="21"/>
        </w:rPr>
        <w:t>提供器官移植治疗的器官移植中心或医院必须拥有合法经营执照；</w:t>
      </w:r>
    </w:p>
    <w:p>
      <w:pPr>
        <w:pStyle w:val="BodyText"/>
        <w:rPr>
          <w:sz w:val="15"/>
        </w:rPr>
      </w:pPr>
    </w:p>
    <w:p>
      <w:pPr>
        <w:spacing w:line="278" w:lineRule="auto" w:before="0"/>
        <w:ind w:left="1610" w:right="991" w:firstLine="0"/>
        <w:jc w:val="both"/>
        <w:rPr>
          <w:b/>
          <w:sz w:val="21"/>
        </w:rPr>
      </w:pPr>
      <w:r>
        <w:rPr>
          <w:b/>
          <w:spacing w:val="-4"/>
          <w:sz w:val="21"/>
        </w:rPr>
        <w:t>任何因其他传播方式（包括：性传播或静脉注射毒品）</w:t>
      </w:r>
      <w:r>
        <w:rPr>
          <w:b/>
          <w:spacing w:val="-9"/>
          <w:sz w:val="21"/>
        </w:rPr>
        <w:t>导致的 </w:t>
      </w:r>
      <w:r>
        <w:rPr>
          <w:rFonts w:ascii="Times New Roman" w:eastAsia="Times New Roman"/>
          <w:b/>
          <w:spacing w:val="-4"/>
          <w:sz w:val="21"/>
        </w:rPr>
        <w:t>HIV</w:t>
      </w:r>
      <w:r>
        <w:rPr>
          <w:rFonts w:ascii="Times New Roman" w:eastAsia="Times New Roman"/>
          <w:b/>
          <w:spacing w:val="16"/>
          <w:sz w:val="21"/>
        </w:rPr>
        <w:t> </w:t>
      </w:r>
      <w:r>
        <w:rPr>
          <w:b/>
          <w:spacing w:val="-4"/>
          <w:sz w:val="21"/>
        </w:rPr>
        <w:t>感染或患艾滋病</w:t>
      </w:r>
      <w:r>
        <w:rPr>
          <w:b/>
          <w:spacing w:val="-2"/>
          <w:sz w:val="21"/>
        </w:rPr>
        <w:t>不在保障范围内。</w:t>
      </w:r>
    </w:p>
    <w:p>
      <w:pPr>
        <w:pStyle w:val="ListParagraph"/>
        <w:numPr>
          <w:ilvl w:val="2"/>
          <w:numId w:val="9"/>
        </w:numPr>
        <w:tabs>
          <w:tab w:pos="1819" w:val="left" w:leader="none"/>
        </w:tabs>
        <w:spacing w:line="240" w:lineRule="auto" w:before="156" w:after="0"/>
        <w:ind w:left="1818" w:right="0" w:hanging="802"/>
        <w:jc w:val="left"/>
        <w:rPr>
          <w:b/>
          <w:sz w:val="21"/>
        </w:rPr>
      </w:pPr>
      <w:r>
        <w:rPr>
          <w:b/>
          <w:spacing w:val="-3"/>
          <w:sz w:val="21"/>
        </w:rPr>
        <w:t>严重的脊髓小脑变性症</w:t>
      </w:r>
    </w:p>
    <w:p>
      <w:pPr>
        <w:pStyle w:val="BodyText"/>
        <w:spacing w:line="278" w:lineRule="auto" w:before="163"/>
        <w:ind w:left="1610" w:right="1026"/>
      </w:pPr>
      <w:r>
        <w:rPr>
          <w:spacing w:val="-2"/>
        </w:rPr>
        <w:t>脊髓小脑变性症为一组以小脑萎缩和共济失调为主要临床特点的疾病。必须符合所</w:t>
      </w:r>
      <w:r>
        <w:rPr>
          <w:spacing w:val="-2"/>
        </w:rPr>
        <w:t>有以下条件：</w:t>
      </w:r>
    </w:p>
    <w:p>
      <w:pPr>
        <w:pStyle w:val="ListParagraph"/>
        <w:numPr>
          <w:ilvl w:val="3"/>
          <w:numId w:val="9"/>
        </w:numPr>
        <w:tabs>
          <w:tab w:pos="1969" w:val="left" w:leader="none"/>
          <w:tab w:pos="1970" w:val="left" w:leader="none"/>
        </w:tabs>
        <w:spacing w:line="240" w:lineRule="auto" w:before="155" w:after="0"/>
        <w:ind w:left="1970" w:right="0" w:hanging="360"/>
        <w:jc w:val="left"/>
        <w:rPr>
          <w:rFonts w:ascii="Times New Roman" w:eastAsia="Times New Roman"/>
          <w:sz w:val="21"/>
        </w:rPr>
      </w:pPr>
      <w:r>
        <w:rPr>
          <w:spacing w:val="-3"/>
          <w:sz w:val="21"/>
        </w:rPr>
        <w:t>脊髓小脑变性症必须由三甲医院诊断，并有以下证据支持：</w:t>
      </w:r>
    </w:p>
    <w:p>
      <w:pPr>
        <w:pStyle w:val="BodyText"/>
        <w:rPr>
          <w:sz w:val="15"/>
        </w:rPr>
      </w:pPr>
    </w:p>
    <w:p>
      <w:pPr>
        <w:pStyle w:val="BodyText"/>
        <w:spacing w:before="0"/>
        <w:ind w:left="1982"/>
      </w:pPr>
      <w:r>
        <w:rPr>
          <w:spacing w:val="1"/>
        </w:rPr>
        <w:t>① 影像学检查证实存在小脑萎缩；</w:t>
      </w:r>
    </w:p>
    <w:p>
      <w:pPr>
        <w:pStyle w:val="BodyText"/>
        <w:rPr>
          <w:sz w:val="15"/>
        </w:rPr>
      </w:pPr>
    </w:p>
    <w:p>
      <w:pPr>
        <w:pStyle w:val="BodyText"/>
        <w:spacing w:before="0"/>
        <w:ind w:left="1982"/>
      </w:pPr>
      <w:r>
        <w:rPr>
          <w:spacing w:val="-1"/>
        </w:rPr>
        <w:t>② 临床表现存在共济失调、语言障碍和肌张力异常。</w:t>
      </w:r>
    </w:p>
    <w:p>
      <w:pPr>
        <w:pStyle w:val="BodyText"/>
        <w:rPr>
          <w:sz w:val="15"/>
        </w:rPr>
      </w:pPr>
    </w:p>
    <w:p>
      <w:pPr>
        <w:pStyle w:val="ListParagraph"/>
        <w:numPr>
          <w:ilvl w:val="3"/>
          <w:numId w:val="9"/>
        </w:numPr>
        <w:tabs>
          <w:tab w:pos="1969" w:val="left" w:leader="none"/>
          <w:tab w:pos="1970" w:val="left" w:leader="none"/>
        </w:tabs>
        <w:spacing w:line="278" w:lineRule="auto" w:before="0" w:after="0"/>
        <w:ind w:left="1970" w:right="1088" w:hanging="360"/>
        <w:jc w:val="left"/>
        <w:rPr>
          <w:rFonts w:ascii="Times New Roman" w:eastAsia="Times New Roman"/>
          <w:sz w:val="21"/>
        </w:rPr>
      </w:pPr>
      <w:r>
        <w:rPr>
          <w:spacing w:val="-2"/>
          <w:sz w:val="21"/>
        </w:rPr>
        <w:t>被保险人运动功能严重障碍，自主生活能力完全丧失，无法独立完成六项基本</w:t>
      </w:r>
      <w:r>
        <w:rPr>
          <w:spacing w:val="-2"/>
          <w:sz w:val="21"/>
        </w:rPr>
        <w:t>日常生活活动中的三项或三项以上。</w:t>
      </w:r>
    </w:p>
    <w:p>
      <w:pPr>
        <w:pStyle w:val="ListParagraph"/>
        <w:numPr>
          <w:ilvl w:val="2"/>
          <w:numId w:val="9"/>
        </w:numPr>
        <w:tabs>
          <w:tab w:pos="1819" w:val="left" w:leader="none"/>
        </w:tabs>
        <w:spacing w:line="240" w:lineRule="auto" w:before="156" w:after="0"/>
        <w:ind w:left="1818" w:right="0" w:hanging="802"/>
        <w:jc w:val="left"/>
        <w:rPr>
          <w:b/>
          <w:sz w:val="21"/>
        </w:rPr>
      </w:pPr>
      <w:r>
        <w:rPr>
          <w:b/>
          <w:spacing w:val="-3"/>
          <w:sz w:val="21"/>
        </w:rPr>
        <w:t>进行性多灶性白质脑病</w:t>
      </w:r>
    </w:p>
    <w:p>
      <w:pPr>
        <w:pStyle w:val="BodyText"/>
        <w:spacing w:line="278" w:lineRule="auto" w:before="163"/>
        <w:ind w:left="1610" w:right="1026"/>
      </w:pPr>
      <w:r>
        <w:rPr>
          <w:spacing w:val="-2"/>
        </w:rPr>
        <w:t>是一种亚急性脱髓鞘性脑病，常常发现于免疫缺陷的病人。必须由神经科专科医生</w:t>
      </w:r>
      <w:r>
        <w:rPr>
          <w:spacing w:val="-2"/>
        </w:rPr>
        <w:t>根据脑组织活检确诊。</w:t>
      </w:r>
    </w:p>
    <w:p>
      <w:pPr>
        <w:spacing w:after="0" w:line="278" w:lineRule="auto"/>
        <w:sectPr>
          <w:pgSz w:w="11910" w:h="16840"/>
          <w:pgMar w:top="1380" w:bottom="280" w:left="1280" w:right="420"/>
        </w:sectPr>
      </w:pPr>
    </w:p>
    <w:p>
      <w:pPr>
        <w:pStyle w:val="ListParagraph"/>
        <w:numPr>
          <w:ilvl w:val="2"/>
          <w:numId w:val="9"/>
        </w:numPr>
        <w:tabs>
          <w:tab w:pos="1819" w:val="left" w:leader="none"/>
        </w:tabs>
        <w:spacing w:line="240" w:lineRule="auto" w:before="64" w:after="0"/>
        <w:ind w:left="1818" w:right="0" w:hanging="802"/>
        <w:jc w:val="left"/>
        <w:rPr>
          <w:b/>
          <w:sz w:val="21"/>
        </w:rPr>
      </w:pPr>
      <w:r>
        <w:rPr>
          <w:b/>
          <w:spacing w:val="-2"/>
          <w:sz w:val="21"/>
        </w:rPr>
        <w:t>神经白塞病</w:t>
      </w:r>
    </w:p>
    <w:p>
      <w:pPr>
        <w:pStyle w:val="BodyText"/>
        <w:spacing w:line="278" w:lineRule="auto" w:before="163"/>
        <w:ind w:left="1610" w:right="884"/>
      </w:pPr>
      <w:r>
        <w:rPr>
          <w:spacing w:val="-3"/>
          <w:w w:val="100"/>
        </w:rPr>
        <w:t>白塞病是一种慢性全身性血管炎症性疾病，主要表现为复发性口腔溃疡、生殖器溃疡、眼炎及皮肤损害，并可累及大血管、神经系统、消化道、肺、肾等等。累及神经系统损害的白塞病称为神经白塞病。神经白塞病必须由专科医生明确诊断，并且</w:t>
      </w:r>
      <w:r>
        <w:rPr>
          <w:spacing w:val="-7"/>
          <w:w w:val="100"/>
        </w:rPr>
        <w:t>已经造成永久不可逆的神经系统功能损害，即确诊</w:t>
      </w:r>
      <w:r>
        <w:rPr>
          <w:spacing w:val="-52"/>
        </w:rPr>
        <w:t> </w:t>
      </w:r>
      <w:r>
        <w:rPr>
          <w:rFonts w:ascii="Times New Roman" w:eastAsia="Times New Roman"/>
          <w:spacing w:val="-3"/>
          <w:w w:val="100"/>
        </w:rPr>
        <w:t>1</w:t>
      </w:r>
      <w:r>
        <w:rPr>
          <w:rFonts w:ascii="Times New Roman" w:eastAsia="Times New Roman"/>
          <w:w w:val="100"/>
        </w:rPr>
        <w:t>80</w:t>
      </w:r>
      <w:r>
        <w:rPr>
          <w:rFonts w:ascii="Times New Roman" w:eastAsia="Times New Roman"/>
        </w:rPr>
        <w:t> </w:t>
      </w:r>
      <w:r>
        <w:rPr>
          <w:spacing w:val="-3"/>
          <w:w w:val="100"/>
        </w:rPr>
        <w:t>日后自主生活能力完全丧失，无法独立完成六项基本日常生活活动中的三项或三项以上。</w:t>
      </w:r>
    </w:p>
    <w:p>
      <w:pPr>
        <w:pStyle w:val="ListParagraph"/>
        <w:numPr>
          <w:ilvl w:val="2"/>
          <w:numId w:val="9"/>
        </w:numPr>
        <w:tabs>
          <w:tab w:pos="1819" w:val="left" w:leader="none"/>
        </w:tabs>
        <w:spacing w:line="240" w:lineRule="auto" w:before="156" w:after="0"/>
        <w:ind w:left="1818" w:right="0" w:hanging="802"/>
        <w:jc w:val="left"/>
        <w:rPr>
          <w:b/>
          <w:sz w:val="21"/>
        </w:rPr>
      </w:pPr>
      <w:r>
        <w:rPr>
          <w:b/>
          <w:spacing w:val="-2"/>
          <w:sz w:val="21"/>
        </w:rPr>
        <w:t>艾森门格综合征</w:t>
      </w:r>
    </w:p>
    <w:p>
      <w:pPr>
        <w:pStyle w:val="BodyText"/>
        <w:spacing w:line="278" w:lineRule="auto" w:before="163"/>
        <w:ind w:left="1610" w:right="1026"/>
      </w:pPr>
      <w:r>
        <w:rPr>
          <w:spacing w:val="-2"/>
        </w:rPr>
        <w:t>因心脏病导致的严重肺动脉高压及右向左分流。诊断必须由心脏专科医生经超声心</w:t>
      </w:r>
      <w:r>
        <w:rPr>
          <w:spacing w:val="-2"/>
        </w:rPr>
        <w:t>动图和心导管检查证实及需符合以下所有标准：</w:t>
      </w:r>
    </w:p>
    <w:p>
      <w:pPr>
        <w:pStyle w:val="ListParagraph"/>
        <w:numPr>
          <w:ilvl w:val="3"/>
          <w:numId w:val="9"/>
        </w:numPr>
        <w:tabs>
          <w:tab w:pos="1969" w:val="left" w:leader="none"/>
          <w:tab w:pos="1970" w:val="left" w:leader="none"/>
        </w:tabs>
        <w:spacing w:line="240" w:lineRule="auto" w:before="156" w:after="0"/>
        <w:ind w:left="1970" w:right="0" w:hanging="360"/>
        <w:jc w:val="left"/>
        <w:rPr>
          <w:rFonts w:ascii="Times New Roman" w:eastAsia="Times New Roman"/>
          <w:sz w:val="21"/>
        </w:rPr>
      </w:pPr>
      <w:r>
        <w:rPr>
          <w:spacing w:val="-7"/>
          <w:sz w:val="21"/>
        </w:rPr>
        <w:t>平均肺动脉压高于 </w:t>
      </w:r>
      <w:r>
        <w:rPr>
          <w:rFonts w:ascii="Times New Roman" w:eastAsia="Times New Roman"/>
          <w:spacing w:val="-2"/>
          <w:sz w:val="21"/>
        </w:rPr>
        <w:t>40mmHg</w:t>
      </w:r>
      <w:r>
        <w:rPr>
          <w:spacing w:val="-2"/>
          <w:sz w:val="21"/>
        </w:rPr>
        <w:t>；</w:t>
      </w:r>
    </w:p>
    <w:p>
      <w:pPr>
        <w:pStyle w:val="BodyText"/>
        <w:spacing w:before="6"/>
        <w:rPr>
          <w:sz w:val="15"/>
        </w:rPr>
      </w:pPr>
    </w:p>
    <w:p>
      <w:pPr>
        <w:pStyle w:val="ListParagraph"/>
        <w:numPr>
          <w:ilvl w:val="3"/>
          <w:numId w:val="9"/>
        </w:numPr>
        <w:tabs>
          <w:tab w:pos="1969" w:val="left" w:leader="none"/>
          <w:tab w:pos="1970" w:val="left" w:leader="none"/>
        </w:tabs>
        <w:spacing w:line="240" w:lineRule="auto" w:before="0" w:after="0"/>
        <w:ind w:left="1970" w:right="0" w:hanging="360"/>
        <w:jc w:val="left"/>
        <w:rPr>
          <w:rFonts w:ascii="Times New Roman" w:eastAsia="Times New Roman"/>
          <w:sz w:val="21"/>
        </w:rPr>
      </w:pPr>
      <w:r>
        <w:rPr>
          <w:spacing w:val="-7"/>
          <w:sz w:val="21"/>
        </w:rPr>
        <w:t>肺血管阻力高于 </w:t>
      </w:r>
      <w:r>
        <w:rPr>
          <w:rFonts w:ascii="Times New Roman" w:eastAsia="Times New Roman"/>
          <w:spacing w:val="-2"/>
          <w:sz w:val="21"/>
        </w:rPr>
        <w:t>3mm/L/min</w:t>
      </w:r>
      <w:r>
        <w:rPr>
          <w:spacing w:val="-2"/>
          <w:sz w:val="21"/>
        </w:rPr>
        <w:t>（</w:t>
      </w:r>
      <w:r>
        <w:rPr>
          <w:rFonts w:ascii="Times New Roman" w:eastAsia="Times New Roman"/>
          <w:spacing w:val="-2"/>
          <w:sz w:val="21"/>
        </w:rPr>
        <w:t>Wood</w:t>
      </w:r>
      <w:r>
        <w:rPr>
          <w:rFonts w:ascii="Times New Roman" w:eastAsia="Times New Roman"/>
          <w:spacing w:val="10"/>
          <w:sz w:val="21"/>
        </w:rPr>
        <w:t> </w:t>
      </w:r>
      <w:r>
        <w:rPr>
          <w:spacing w:val="-2"/>
          <w:sz w:val="21"/>
        </w:rPr>
        <w:t>单位</w:t>
      </w:r>
      <w:r>
        <w:rPr>
          <w:spacing w:val="-5"/>
          <w:sz w:val="21"/>
        </w:rPr>
        <w:t>）；</w:t>
      </w:r>
    </w:p>
    <w:p>
      <w:pPr>
        <w:pStyle w:val="BodyText"/>
        <w:rPr>
          <w:sz w:val="15"/>
        </w:rPr>
      </w:pPr>
    </w:p>
    <w:p>
      <w:pPr>
        <w:pStyle w:val="ListParagraph"/>
        <w:numPr>
          <w:ilvl w:val="3"/>
          <w:numId w:val="9"/>
        </w:numPr>
        <w:tabs>
          <w:tab w:pos="1969" w:val="left" w:leader="none"/>
          <w:tab w:pos="1970" w:val="left" w:leader="none"/>
        </w:tabs>
        <w:spacing w:line="240" w:lineRule="auto" w:before="1" w:after="0"/>
        <w:ind w:left="1970" w:right="0" w:hanging="360"/>
        <w:jc w:val="left"/>
        <w:rPr>
          <w:rFonts w:ascii="Times New Roman" w:eastAsia="Times New Roman"/>
          <w:sz w:val="21"/>
        </w:rPr>
      </w:pPr>
      <w:r>
        <w:rPr>
          <w:spacing w:val="-6"/>
          <w:sz w:val="21"/>
        </w:rPr>
        <w:t>正常肺微血管楔压低于 </w:t>
      </w:r>
      <w:r>
        <w:rPr>
          <w:rFonts w:ascii="Times New Roman" w:eastAsia="Times New Roman"/>
          <w:spacing w:val="-2"/>
          <w:sz w:val="21"/>
        </w:rPr>
        <w:t>15mmHg</w:t>
      </w:r>
      <w:r>
        <w:rPr>
          <w:spacing w:val="-10"/>
          <w:sz w:val="21"/>
        </w:rPr>
        <w:t>。</w:t>
      </w:r>
    </w:p>
    <w:p>
      <w:pPr>
        <w:pStyle w:val="BodyText"/>
        <w:spacing w:before="6"/>
        <w:rPr>
          <w:sz w:val="15"/>
        </w:rPr>
      </w:pPr>
    </w:p>
    <w:p>
      <w:pPr>
        <w:pStyle w:val="ListParagraph"/>
        <w:numPr>
          <w:ilvl w:val="2"/>
          <w:numId w:val="9"/>
        </w:numPr>
        <w:tabs>
          <w:tab w:pos="1819" w:val="left" w:leader="none"/>
        </w:tabs>
        <w:spacing w:line="240" w:lineRule="auto" w:before="0" w:after="0"/>
        <w:ind w:left="1818" w:right="6275" w:hanging="1819"/>
        <w:jc w:val="right"/>
        <w:rPr>
          <w:b/>
          <w:sz w:val="21"/>
        </w:rPr>
      </w:pPr>
      <w:r>
        <w:rPr>
          <w:b/>
          <w:spacing w:val="-3"/>
          <w:sz w:val="21"/>
        </w:rPr>
        <w:t>严重继发性肺动脉高压</w:t>
      </w:r>
    </w:p>
    <w:p>
      <w:pPr>
        <w:pStyle w:val="BodyText"/>
        <w:spacing w:line="278" w:lineRule="auto" w:before="163"/>
        <w:ind w:left="1610" w:right="989"/>
        <w:jc w:val="both"/>
      </w:pPr>
      <w:r>
        <w:rPr>
          <w:spacing w:val="-2"/>
        </w:rPr>
        <w:t>继发性肺动脉压力持续增高，导致右心室肥厚，已经造成永久不可逆性的体力活动</w:t>
      </w:r>
      <w:r>
        <w:rPr>
          <w:spacing w:val="-5"/>
        </w:rPr>
        <w:t>能力受限，达到美国纽约心脏病学会心功能状态分级 </w:t>
      </w:r>
      <w:r>
        <w:rPr>
          <w:rFonts w:ascii="Times New Roman" w:eastAsia="Times New Roman"/>
          <w:spacing w:val="-4"/>
        </w:rPr>
        <w:t>IV</w:t>
      </w:r>
      <w:r>
        <w:rPr>
          <w:rFonts w:ascii="Times New Roman" w:eastAsia="Times New Roman"/>
          <w:spacing w:val="12"/>
        </w:rPr>
        <w:t> </w:t>
      </w:r>
      <w:r>
        <w:rPr>
          <w:spacing w:val="-4"/>
        </w:rPr>
        <w:t>级。诊断需要由心脏科专家</w:t>
      </w:r>
      <w:r>
        <w:rPr>
          <w:spacing w:val="-2"/>
        </w:rPr>
        <w:t>确诊，并且心导管检查报告显示静息状态下肺动脉平均压超过 </w:t>
      </w:r>
      <w:r>
        <w:rPr>
          <w:rFonts w:ascii="Times New Roman" w:eastAsia="Times New Roman"/>
        </w:rPr>
        <w:t>36mmHg</w:t>
      </w:r>
      <w:r>
        <w:rPr/>
        <w:t>（含）。</w:t>
      </w:r>
    </w:p>
    <w:p>
      <w:pPr>
        <w:spacing w:before="156"/>
        <w:ind w:left="1610" w:right="0" w:firstLine="0"/>
        <w:jc w:val="left"/>
        <w:rPr>
          <w:b/>
          <w:sz w:val="21"/>
        </w:rPr>
      </w:pPr>
      <w:r>
        <w:rPr>
          <w:b/>
          <w:spacing w:val="-3"/>
          <w:sz w:val="21"/>
        </w:rPr>
        <w:t>所有先天性心脏疾病直接或间接引起的肺动脉高压不在保障范围内。</w:t>
      </w:r>
    </w:p>
    <w:p>
      <w:pPr>
        <w:pStyle w:val="BodyText"/>
        <w:rPr>
          <w:b/>
          <w:sz w:val="15"/>
        </w:rPr>
      </w:pPr>
    </w:p>
    <w:p>
      <w:pPr>
        <w:pStyle w:val="ListParagraph"/>
        <w:numPr>
          <w:ilvl w:val="2"/>
          <w:numId w:val="9"/>
        </w:numPr>
        <w:tabs>
          <w:tab w:pos="1819" w:val="left" w:leader="none"/>
        </w:tabs>
        <w:spacing w:line="240" w:lineRule="auto" w:before="0" w:after="0"/>
        <w:ind w:left="1818" w:right="0" w:hanging="802"/>
        <w:jc w:val="left"/>
        <w:rPr>
          <w:b/>
          <w:sz w:val="21"/>
        </w:rPr>
      </w:pPr>
      <w:r>
        <w:rPr>
          <w:b/>
          <w:spacing w:val="-2"/>
          <w:sz w:val="21"/>
        </w:rPr>
        <w:t>失去一肢及一眼</w:t>
      </w:r>
    </w:p>
    <w:p>
      <w:pPr>
        <w:pStyle w:val="BodyText"/>
        <w:spacing w:line="278" w:lineRule="auto" w:before="163"/>
        <w:ind w:left="1610" w:right="1026"/>
      </w:pPr>
      <w:r>
        <w:rPr>
          <w:spacing w:val="-2"/>
        </w:rPr>
        <w:t>因疾病或意外伤害导致单眼视力丧失及任何一肢自腕关节或踝关节近端（靠近躯干</w:t>
      </w:r>
      <w:r>
        <w:rPr>
          <w:spacing w:val="-2"/>
        </w:rPr>
        <w:t>端）以上完全性断离。</w:t>
      </w:r>
    </w:p>
    <w:p>
      <w:pPr>
        <w:pStyle w:val="BodyText"/>
        <w:spacing w:before="156"/>
        <w:ind w:left="1610"/>
      </w:pPr>
      <w:r>
        <w:rPr>
          <w:spacing w:val="-3"/>
        </w:rPr>
        <w:t>单眼视力丧失指单眼视力永久不可逆性丧失，患眼须满足下列至少一项条件：</w:t>
      </w:r>
    </w:p>
    <w:p>
      <w:pPr>
        <w:pStyle w:val="BodyText"/>
        <w:spacing w:before="6"/>
        <w:rPr>
          <w:sz w:val="15"/>
        </w:rPr>
      </w:pPr>
    </w:p>
    <w:p>
      <w:pPr>
        <w:pStyle w:val="ListParagraph"/>
        <w:numPr>
          <w:ilvl w:val="3"/>
          <w:numId w:val="9"/>
        </w:numPr>
        <w:tabs>
          <w:tab w:pos="1969" w:val="left" w:leader="none"/>
          <w:tab w:pos="1970" w:val="left" w:leader="none"/>
        </w:tabs>
        <w:spacing w:line="240" w:lineRule="auto" w:before="1" w:after="0"/>
        <w:ind w:left="1970" w:right="0" w:hanging="360"/>
        <w:jc w:val="left"/>
        <w:rPr>
          <w:rFonts w:ascii="Times New Roman" w:eastAsia="Times New Roman"/>
          <w:sz w:val="21"/>
        </w:rPr>
      </w:pPr>
      <w:r>
        <w:rPr>
          <w:spacing w:val="-4"/>
          <w:sz w:val="21"/>
        </w:rPr>
        <w:t>眼球缺失或摘除；</w:t>
      </w:r>
    </w:p>
    <w:p>
      <w:pPr>
        <w:pStyle w:val="BodyText"/>
        <w:spacing w:before="6"/>
        <w:rPr>
          <w:sz w:val="15"/>
        </w:rPr>
      </w:pPr>
    </w:p>
    <w:p>
      <w:pPr>
        <w:pStyle w:val="ListParagraph"/>
        <w:numPr>
          <w:ilvl w:val="3"/>
          <w:numId w:val="9"/>
        </w:numPr>
        <w:tabs>
          <w:tab w:pos="1969" w:val="left" w:leader="none"/>
          <w:tab w:pos="1970" w:val="left" w:leader="none"/>
        </w:tabs>
        <w:spacing w:line="240" w:lineRule="auto" w:before="0" w:after="0"/>
        <w:ind w:left="1970" w:right="0" w:hanging="360"/>
        <w:jc w:val="left"/>
        <w:rPr>
          <w:rFonts w:ascii="Times New Roman" w:eastAsia="Times New Roman"/>
          <w:sz w:val="21"/>
        </w:rPr>
      </w:pPr>
      <w:r>
        <w:rPr>
          <w:spacing w:val="-7"/>
          <w:sz w:val="21"/>
        </w:rPr>
        <w:t>矫正视力低于 </w:t>
      </w:r>
      <w:r>
        <w:rPr>
          <w:rFonts w:ascii="Times New Roman" w:eastAsia="Times New Roman"/>
          <w:spacing w:val="-2"/>
          <w:sz w:val="21"/>
        </w:rPr>
        <w:t>0.02</w:t>
      </w:r>
      <w:r>
        <w:rPr>
          <w:spacing w:val="-2"/>
          <w:sz w:val="21"/>
        </w:rPr>
        <w:t>（采用国际标准视力表，如果使用其他视力表应进行换算</w:t>
      </w:r>
      <w:r>
        <w:rPr>
          <w:spacing w:val="-5"/>
          <w:sz w:val="21"/>
        </w:rPr>
        <w:t>）；</w:t>
      </w:r>
    </w:p>
    <w:p>
      <w:pPr>
        <w:pStyle w:val="BodyText"/>
        <w:rPr>
          <w:sz w:val="15"/>
        </w:rPr>
      </w:pPr>
    </w:p>
    <w:p>
      <w:pPr>
        <w:pStyle w:val="ListParagraph"/>
        <w:numPr>
          <w:ilvl w:val="3"/>
          <w:numId w:val="9"/>
        </w:numPr>
        <w:tabs>
          <w:tab w:pos="359" w:val="left" w:leader="none"/>
          <w:tab w:pos="1970" w:val="left" w:leader="none"/>
        </w:tabs>
        <w:spacing w:line="240" w:lineRule="auto" w:before="0" w:after="0"/>
        <w:ind w:left="1970" w:right="6292" w:hanging="1970"/>
        <w:jc w:val="right"/>
        <w:rPr>
          <w:rFonts w:ascii="Times New Roman" w:eastAsia="Times New Roman"/>
          <w:sz w:val="21"/>
        </w:rPr>
      </w:pPr>
      <w:r>
        <w:rPr>
          <w:spacing w:val="-8"/>
          <w:sz w:val="21"/>
        </w:rPr>
        <w:t>视野半径小于 </w:t>
      </w:r>
      <w:r>
        <w:rPr>
          <w:rFonts w:ascii="Times New Roman" w:eastAsia="Times New Roman"/>
          <w:sz w:val="21"/>
        </w:rPr>
        <w:t>5</w:t>
      </w:r>
      <w:r>
        <w:rPr>
          <w:rFonts w:ascii="Times New Roman" w:eastAsia="Times New Roman"/>
          <w:spacing w:val="41"/>
          <w:sz w:val="21"/>
        </w:rPr>
        <w:t> </w:t>
      </w:r>
      <w:r>
        <w:rPr>
          <w:spacing w:val="-5"/>
          <w:sz w:val="21"/>
        </w:rPr>
        <w:t>度。</w:t>
      </w:r>
    </w:p>
    <w:p>
      <w:pPr>
        <w:pStyle w:val="BodyText"/>
        <w:rPr>
          <w:sz w:val="15"/>
        </w:rPr>
      </w:pPr>
    </w:p>
    <w:p>
      <w:pPr>
        <w:spacing w:line="278" w:lineRule="auto" w:before="0"/>
        <w:ind w:left="1610" w:right="1004" w:firstLine="0"/>
        <w:jc w:val="left"/>
        <w:rPr>
          <w:b/>
          <w:sz w:val="21"/>
        </w:rPr>
      </w:pPr>
      <w:r>
        <w:rPr>
          <w:b/>
          <w:spacing w:val="-2"/>
          <w:sz w:val="21"/>
        </w:rPr>
        <w:t>本合同仅对三周岁以上的被保险人予以理赔，并且须提供理赔当时的诊断及检查证</w:t>
      </w:r>
      <w:r>
        <w:rPr>
          <w:b/>
          <w:spacing w:val="-6"/>
          <w:sz w:val="21"/>
        </w:rPr>
        <w:t>据。</w:t>
      </w:r>
    </w:p>
    <w:p>
      <w:pPr>
        <w:pStyle w:val="ListParagraph"/>
        <w:numPr>
          <w:ilvl w:val="2"/>
          <w:numId w:val="9"/>
        </w:numPr>
        <w:tabs>
          <w:tab w:pos="1819" w:val="left" w:leader="none"/>
        </w:tabs>
        <w:spacing w:line="240" w:lineRule="auto" w:before="156" w:after="0"/>
        <w:ind w:left="1818" w:right="0" w:hanging="802"/>
        <w:jc w:val="left"/>
        <w:rPr>
          <w:b/>
          <w:sz w:val="21"/>
        </w:rPr>
      </w:pPr>
      <w:r>
        <w:rPr>
          <w:b/>
          <w:spacing w:val="-3"/>
          <w:sz w:val="21"/>
        </w:rPr>
        <w:t>疾病或外伤所致的智力障碍</w:t>
      </w:r>
    </w:p>
    <w:p>
      <w:pPr>
        <w:pStyle w:val="BodyText"/>
        <w:spacing w:line="278" w:lineRule="auto" w:before="163"/>
        <w:ind w:left="1610" w:right="996"/>
        <w:jc w:val="both"/>
        <w:rPr>
          <w:rFonts w:ascii="Times New Roman" w:eastAsia="Times New Roman"/>
        </w:rPr>
      </w:pPr>
      <w:r>
        <w:rPr>
          <w:spacing w:val="-2"/>
        </w:rPr>
        <w:t>因严重头部外伤或疾病造成被保险人智力低常（智力低于常态）。根据智商（</w:t>
      </w:r>
      <w:r>
        <w:rPr>
          <w:rFonts w:ascii="Times New Roman" w:eastAsia="Times New Roman"/>
          <w:spacing w:val="-2"/>
        </w:rPr>
        <w:t>IQ</w:t>
      </w:r>
      <w:r>
        <w:rPr>
          <w:spacing w:val="-2"/>
        </w:rPr>
        <w:t>）</w:t>
      </w:r>
      <w:r>
        <w:rPr>
          <w:spacing w:val="-4"/>
        </w:rPr>
        <w:t>智力低常分为轻度（</w:t>
      </w:r>
      <w:r>
        <w:rPr>
          <w:rFonts w:ascii="Times New Roman" w:eastAsia="Times New Roman"/>
          <w:spacing w:val="-4"/>
        </w:rPr>
        <w:t>IQ50-70</w:t>
      </w:r>
      <w:r>
        <w:rPr>
          <w:spacing w:val="-4"/>
        </w:rPr>
        <w:t>）；中度（</w:t>
      </w:r>
      <w:r>
        <w:rPr>
          <w:rFonts w:ascii="Times New Roman" w:eastAsia="Times New Roman"/>
          <w:spacing w:val="-4"/>
        </w:rPr>
        <w:t>IQ35-50</w:t>
      </w:r>
      <w:r>
        <w:rPr>
          <w:spacing w:val="-4"/>
        </w:rPr>
        <w:t>）；重度（</w:t>
      </w:r>
      <w:r>
        <w:rPr>
          <w:rFonts w:ascii="Times New Roman" w:eastAsia="Times New Roman"/>
          <w:spacing w:val="-4"/>
        </w:rPr>
        <w:t>IQ20</w:t>
      </w:r>
      <w:r>
        <w:rPr>
          <w:rFonts w:ascii="Times New Roman" w:eastAsia="Times New Roman"/>
          <w:spacing w:val="28"/>
        </w:rPr>
        <w:t> -</w:t>
      </w:r>
      <w:r>
        <w:rPr>
          <w:rFonts w:ascii="Times New Roman" w:eastAsia="Times New Roman"/>
          <w:spacing w:val="-4"/>
        </w:rPr>
        <w:t>35</w:t>
      </w:r>
      <w:r>
        <w:rPr>
          <w:spacing w:val="-4"/>
        </w:rPr>
        <w:t>）和极重度</w:t>
      </w:r>
      <w:r>
        <w:rPr>
          <w:spacing w:val="-5"/>
        </w:rPr>
        <w:t>（</w:t>
      </w:r>
      <w:r>
        <w:rPr>
          <w:rFonts w:ascii="Times New Roman" w:eastAsia="Times New Roman"/>
          <w:spacing w:val="-5"/>
        </w:rPr>
        <w:t>IQ</w:t>
      </w:r>
    </w:p>
    <w:p>
      <w:pPr>
        <w:pStyle w:val="BodyText"/>
        <w:spacing w:line="278" w:lineRule="auto" w:before="0"/>
        <w:ind w:left="1610" w:right="1026"/>
        <w:jc w:val="both"/>
      </w:pPr>
      <w:r>
        <w:rPr>
          <w:spacing w:val="-2"/>
        </w:rPr>
        <w:t>＜</w:t>
      </w:r>
      <w:r>
        <w:rPr>
          <w:rFonts w:ascii="Times New Roman" w:eastAsia="Times New Roman"/>
          <w:spacing w:val="-2"/>
        </w:rPr>
        <w:t>20</w:t>
      </w:r>
      <w:r>
        <w:rPr>
          <w:spacing w:val="-2"/>
        </w:rPr>
        <w:t>）。根据被保险人年龄采用对应的智力量表如韦克斯勒智力量表（儿童智力量</w:t>
      </w:r>
      <w:r>
        <w:rPr>
          <w:spacing w:val="-2"/>
        </w:rPr>
        <w:t>表或成人智力量表）检测证实。智商的检测必须由本公司认可的专职心理测验工作</w:t>
      </w:r>
      <w:r>
        <w:rPr>
          <w:spacing w:val="-2"/>
        </w:rPr>
        <w:t>者进行，心理检测工作者必须持有心理测量专业委员会资格认定书。</w:t>
      </w:r>
    </w:p>
    <w:p>
      <w:pPr>
        <w:pStyle w:val="BodyText"/>
        <w:spacing w:before="156"/>
        <w:ind w:left="1610"/>
      </w:pPr>
      <w:r>
        <w:rPr>
          <w:spacing w:val="-3"/>
        </w:rPr>
        <w:t>理赔时必须满足下列全部条件：</w:t>
      </w:r>
    </w:p>
    <w:p>
      <w:pPr>
        <w:pStyle w:val="BodyText"/>
        <w:spacing w:before="6"/>
        <w:rPr>
          <w:sz w:val="15"/>
        </w:rPr>
      </w:pPr>
    </w:p>
    <w:p>
      <w:pPr>
        <w:pStyle w:val="ListParagraph"/>
        <w:numPr>
          <w:ilvl w:val="3"/>
          <w:numId w:val="9"/>
        </w:numPr>
        <w:tabs>
          <w:tab w:pos="1969" w:val="left" w:leader="none"/>
          <w:tab w:pos="1970" w:val="left" w:leader="none"/>
        </w:tabs>
        <w:spacing w:line="278" w:lineRule="auto" w:before="0" w:after="0"/>
        <w:ind w:left="1970" w:right="1088" w:hanging="360"/>
        <w:jc w:val="left"/>
        <w:rPr>
          <w:rFonts w:ascii="Times New Roman" w:eastAsia="Times New Roman"/>
          <w:sz w:val="21"/>
        </w:rPr>
      </w:pPr>
      <w:r>
        <w:rPr>
          <w:spacing w:val="-2"/>
          <w:sz w:val="21"/>
        </w:rPr>
        <w:t>造成被保险人智力低常的严重头部外伤或疾病（以诊断日期为准）发生在被保</w:t>
      </w:r>
      <w:r>
        <w:rPr>
          <w:spacing w:val="-2"/>
          <w:sz w:val="21"/>
        </w:rPr>
        <w:t>险人五周岁以后。</w:t>
      </w:r>
    </w:p>
    <w:p>
      <w:pPr>
        <w:spacing w:after="0" w:line="278" w:lineRule="auto"/>
        <w:jc w:val="left"/>
        <w:rPr>
          <w:rFonts w:ascii="Times New Roman" w:eastAsia="Times New Roman"/>
          <w:sz w:val="21"/>
        </w:rPr>
        <w:sectPr>
          <w:pgSz w:w="11910" w:h="16840"/>
          <w:pgMar w:top="1380" w:bottom="280" w:left="1280" w:right="420"/>
        </w:sectPr>
      </w:pPr>
    </w:p>
    <w:p>
      <w:pPr>
        <w:pStyle w:val="ListParagraph"/>
        <w:numPr>
          <w:ilvl w:val="3"/>
          <w:numId w:val="9"/>
        </w:numPr>
        <w:tabs>
          <w:tab w:pos="1969" w:val="left" w:leader="none"/>
          <w:tab w:pos="1970" w:val="left" w:leader="none"/>
        </w:tabs>
        <w:spacing w:line="240" w:lineRule="auto" w:before="64" w:after="0"/>
        <w:ind w:left="1970" w:right="0" w:hanging="360"/>
        <w:jc w:val="left"/>
        <w:rPr>
          <w:rFonts w:ascii="Times New Roman" w:eastAsia="Times New Roman"/>
          <w:sz w:val="21"/>
        </w:rPr>
      </w:pPr>
      <w:r>
        <w:rPr>
          <w:spacing w:val="-3"/>
          <w:sz w:val="21"/>
        </w:rPr>
        <w:t>由专科医生确诊被保险人由于严重头部创伤或疾病造成智力低常；</w:t>
      </w:r>
    </w:p>
    <w:p>
      <w:pPr>
        <w:pStyle w:val="BodyText"/>
        <w:rPr>
          <w:sz w:val="15"/>
        </w:rPr>
      </w:pPr>
    </w:p>
    <w:p>
      <w:pPr>
        <w:pStyle w:val="ListParagraph"/>
        <w:numPr>
          <w:ilvl w:val="3"/>
          <w:numId w:val="9"/>
        </w:numPr>
        <w:tabs>
          <w:tab w:pos="1969" w:val="left" w:leader="none"/>
          <w:tab w:pos="1970" w:val="left" w:leader="none"/>
        </w:tabs>
        <w:spacing w:line="240" w:lineRule="auto" w:before="0" w:after="0"/>
        <w:ind w:left="1970" w:right="0" w:hanging="360"/>
        <w:jc w:val="left"/>
        <w:rPr>
          <w:rFonts w:ascii="Times New Roman" w:eastAsia="Times New Roman"/>
          <w:sz w:val="21"/>
        </w:rPr>
      </w:pPr>
      <w:r>
        <w:rPr>
          <w:spacing w:val="-3"/>
          <w:sz w:val="21"/>
        </w:rPr>
        <w:t>本公司认可的专职合格心理检测工作者做的心理检测证实被保险人智力低常</w:t>
      </w:r>
    </w:p>
    <w:p>
      <w:pPr>
        <w:pStyle w:val="BodyText"/>
        <w:spacing w:before="43"/>
        <w:ind w:left="1974" w:right="5074"/>
        <w:jc w:val="center"/>
      </w:pPr>
      <w:r>
        <w:rPr>
          <w:rFonts w:ascii="Times New Roman" w:eastAsia="Times New Roman"/>
          <w:spacing w:val="-2"/>
        </w:rPr>
        <w:t>IQ</w:t>
      </w:r>
      <w:r>
        <w:rPr>
          <w:spacing w:val="-2"/>
        </w:rPr>
        <w:t>＜</w:t>
      </w:r>
      <w:r>
        <w:rPr>
          <w:rFonts w:ascii="Times New Roman" w:eastAsia="Times New Roman"/>
          <w:spacing w:val="-2"/>
        </w:rPr>
        <w:t>50</w:t>
      </w:r>
      <w:r>
        <w:rPr>
          <w:spacing w:val="-2"/>
        </w:rPr>
        <w:t>（中度、重度或极重度</w:t>
      </w:r>
      <w:r>
        <w:rPr>
          <w:spacing w:val="-5"/>
        </w:rPr>
        <w:t>）；</w:t>
      </w:r>
    </w:p>
    <w:p>
      <w:pPr>
        <w:pStyle w:val="BodyText"/>
        <w:rPr>
          <w:sz w:val="15"/>
        </w:rPr>
      </w:pPr>
    </w:p>
    <w:p>
      <w:pPr>
        <w:pStyle w:val="ListParagraph"/>
        <w:numPr>
          <w:ilvl w:val="3"/>
          <w:numId w:val="9"/>
        </w:numPr>
        <w:tabs>
          <w:tab w:pos="1969" w:val="left" w:leader="none"/>
          <w:tab w:pos="1970" w:val="left" w:leader="none"/>
        </w:tabs>
        <w:spacing w:line="240" w:lineRule="auto" w:before="0" w:after="0"/>
        <w:ind w:left="1970" w:right="0" w:hanging="360"/>
        <w:jc w:val="left"/>
        <w:rPr>
          <w:rFonts w:ascii="Times New Roman" w:eastAsia="Times New Roman"/>
          <w:sz w:val="21"/>
        </w:rPr>
      </w:pPr>
      <w:r>
        <w:rPr>
          <w:spacing w:val="-5"/>
          <w:sz w:val="21"/>
        </w:rPr>
        <w:t>被保险人的智力低常自诊断确认日起持续 </w:t>
      </w:r>
      <w:r>
        <w:rPr>
          <w:rFonts w:ascii="Times New Roman" w:eastAsia="Times New Roman"/>
          <w:spacing w:val="-2"/>
          <w:sz w:val="21"/>
        </w:rPr>
        <w:t>180</w:t>
      </w:r>
      <w:r>
        <w:rPr>
          <w:rFonts w:ascii="Times New Roman" w:eastAsia="Times New Roman"/>
          <w:spacing w:val="8"/>
          <w:sz w:val="21"/>
        </w:rPr>
        <w:t> </w:t>
      </w:r>
      <w:r>
        <w:rPr>
          <w:spacing w:val="-4"/>
          <w:sz w:val="21"/>
        </w:rPr>
        <w:t>日以上。</w:t>
      </w:r>
    </w:p>
    <w:p>
      <w:pPr>
        <w:pStyle w:val="BodyText"/>
        <w:spacing w:before="6"/>
        <w:rPr>
          <w:sz w:val="15"/>
        </w:rPr>
      </w:pPr>
    </w:p>
    <w:p>
      <w:pPr>
        <w:pStyle w:val="ListParagraph"/>
        <w:numPr>
          <w:ilvl w:val="2"/>
          <w:numId w:val="9"/>
        </w:numPr>
        <w:tabs>
          <w:tab w:pos="1819" w:val="left" w:leader="none"/>
        </w:tabs>
        <w:spacing w:line="240" w:lineRule="auto" w:before="1" w:after="0"/>
        <w:ind w:left="1818" w:right="0" w:hanging="802"/>
        <w:jc w:val="left"/>
        <w:rPr>
          <w:b/>
          <w:sz w:val="21"/>
        </w:rPr>
      </w:pPr>
      <w:r>
        <w:rPr>
          <w:rFonts w:ascii="Times New Roman" w:eastAsia="Times New Roman"/>
          <w:b/>
          <w:sz w:val="21"/>
        </w:rPr>
        <w:t>Brugada</w:t>
      </w:r>
      <w:r>
        <w:rPr>
          <w:rFonts w:ascii="Times New Roman" w:eastAsia="Times New Roman"/>
          <w:b/>
          <w:spacing w:val="-5"/>
          <w:sz w:val="21"/>
        </w:rPr>
        <w:t> </w:t>
      </w:r>
      <w:r>
        <w:rPr>
          <w:b/>
          <w:spacing w:val="-4"/>
          <w:sz w:val="21"/>
        </w:rPr>
        <w:t>综合征</w:t>
      </w:r>
    </w:p>
    <w:p>
      <w:pPr>
        <w:pStyle w:val="BodyText"/>
        <w:spacing w:line="278" w:lineRule="auto" w:before="163"/>
        <w:ind w:left="1610" w:right="1049"/>
      </w:pPr>
      <w:r>
        <w:rPr>
          <w:spacing w:val="1"/>
        </w:rPr>
        <w:t>由心脏科专科医生根据临床症状和典型心电图表现，明确诊断为</w:t>
      </w:r>
      <w:r>
        <w:rPr>
          <w:rFonts w:ascii="Times New Roman" w:eastAsia="Times New Roman"/>
        </w:rPr>
        <w:t>Brugada</w:t>
      </w:r>
      <w:r>
        <w:rPr>
          <w:rFonts w:ascii="Times New Roman" w:eastAsia="Times New Roman"/>
          <w:spacing w:val="-14"/>
        </w:rPr>
        <w:t> </w:t>
      </w:r>
      <w:r>
        <w:rPr/>
        <w:t>综合征。</w:t>
      </w:r>
      <w:r>
        <w:rPr>
          <w:spacing w:val="-2"/>
        </w:rPr>
        <w:t>经医生判断认为医疗必须并且已安装永久性心脏除颤器。</w:t>
      </w:r>
    </w:p>
    <w:p>
      <w:pPr>
        <w:pStyle w:val="ListParagraph"/>
        <w:numPr>
          <w:ilvl w:val="2"/>
          <w:numId w:val="9"/>
        </w:numPr>
        <w:tabs>
          <w:tab w:pos="1819" w:val="left" w:leader="none"/>
        </w:tabs>
        <w:spacing w:line="240" w:lineRule="auto" w:before="155" w:after="0"/>
        <w:ind w:left="1818" w:right="0" w:hanging="802"/>
        <w:jc w:val="left"/>
        <w:rPr>
          <w:b/>
          <w:sz w:val="21"/>
        </w:rPr>
      </w:pPr>
      <w:r>
        <w:rPr>
          <w:b/>
          <w:spacing w:val="-3"/>
          <w:sz w:val="21"/>
        </w:rPr>
        <w:t>脑性疟疾</w:t>
      </w:r>
    </w:p>
    <w:p>
      <w:pPr>
        <w:pStyle w:val="BodyText"/>
        <w:spacing w:line="278" w:lineRule="auto" w:before="163"/>
        <w:ind w:left="1610" w:right="1026"/>
      </w:pPr>
      <w:r>
        <w:rPr>
          <w:spacing w:val="-2"/>
        </w:rPr>
        <w:t>恶性疟原虫严重感染导致的脑病或脑型疟疾，以昏迷为主要特征。脑型疟疾的诊断</w:t>
      </w:r>
      <w:r>
        <w:rPr>
          <w:spacing w:val="-2"/>
        </w:rPr>
        <w:t>须由专科医生确认，且外周血涂片存在恶性疟原虫。</w:t>
      </w:r>
    </w:p>
    <w:p>
      <w:pPr>
        <w:spacing w:before="157"/>
        <w:ind w:left="1610" w:right="0" w:firstLine="0"/>
        <w:jc w:val="left"/>
        <w:rPr>
          <w:b/>
          <w:sz w:val="21"/>
        </w:rPr>
      </w:pPr>
      <w:r>
        <w:rPr>
          <w:b/>
          <w:spacing w:val="-3"/>
          <w:sz w:val="21"/>
        </w:rPr>
        <w:t>其他明确病因导致的脑病不在保障范围内。</w:t>
      </w:r>
    </w:p>
    <w:p>
      <w:pPr>
        <w:pStyle w:val="BodyText"/>
        <w:spacing w:before="6"/>
        <w:rPr>
          <w:b/>
          <w:sz w:val="15"/>
        </w:rPr>
      </w:pPr>
    </w:p>
    <w:p>
      <w:pPr>
        <w:pStyle w:val="ListParagraph"/>
        <w:numPr>
          <w:ilvl w:val="2"/>
          <w:numId w:val="9"/>
        </w:numPr>
        <w:tabs>
          <w:tab w:pos="1819" w:val="left" w:leader="none"/>
        </w:tabs>
        <w:spacing w:line="240" w:lineRule="auto" w:before="0" w:after="0"/>
        <w:ind w:left="1818" w:right="0" w:hanging="802"/>
        <w:jc w:val="left"/>
        <w:rPr>
          <w:b/>
          <w:sz w:val="21"/>
        </w:rPr>
      </w:pPr>
      <w:r>
        <w:rPr>
          <w:b/>
          <w:spacing w:val="-4"/>
          <w:sz w:val="21"/>
        </w:rPr>
        <w:t>脊柱裂</w:t>
      </w:r>
    </w:p>
    <w:p>
      <w:pPr>
        <w:spacing w:line="278" w:lineRule="auto" w:before="163"/>
        <w:ind w:left="1610" w:right="992" w:firstLine="0"/>
        <w:jc w:val="both"/>
        <w:rPr>
          <w:b/>
          <w:sz w:val="21"/>
        </w:rPr>
      </w:pPr>
      <w:r>
        <w:rPr>
          <w:spacing w:val="-2"/>
          <w:sz w:val="21"/>
        </w:rPr>
        <w:t>指脊柱或颅骨不完全闭合，导致脊髓脊膜突出，脑（脊）膜突出或脑膨出，合并大</w:t>
      </w:r>
      <w:r>
        <w:rPr>
          <w:spacing w:val="-2"/>
          <w:sz w:val="21"/>
        </w:rPr>
        <w:t>小便失禁，部分或完全性下肢瘫痪或畸形等神经学上的异常，</w:t>
      </w:r>
      <w:r>
        <w:rPr>
          <w:b/>
          <w:spacing w:val="-6"/>
          <w:sz w:val="21"/>
        </w:rPr>
        <w:t>但不包括由 </w:t>
      </w:r>
      <w:r>
        <w:rPr>
          <w:rFonts w:ascii="Times New Roman" w:eastAsia="Times New Roman"/>
          <w:b/>
          <w:spacing w:val="-2"/>
          <w:sz w:val="21"/>
        </w:rPr>
        <w:t>X </w:t>
      </w:r>
      <w:r>
        <w:rPr>
          <w:b/>
          <w:spacing w:val="-2"/>
          <w:sz w:val="21"/>
        </w:rPr>
        <w:t>线摄片</w:t>
      </w:r>
      <w:r>
        <w:rPr>
          <w:b/>
          <w:spacing w:val="-2"/>
          <w:sz w:val="21"/>
        </w:rPr>
        <w:t>发现的没有合并脊椎脊膜突出或脑（脊）膜突出的隐形脊柱裂。</w:t>
      </w:r>
    </w:p>
    <w:p>
      <w:pPr>
        <w:pStyle w:val="ListParagraph"/>
        <w:numPr>
          <w:ilvl w:val="2"/>
          <w:numId w:val="9"/>
        </w:numPr>
        <w:tabs>
          <w:tab w:pos="1819" w:val="left" w:leader="none"/>
        </w:tabs>
        <w:spacing w:line="240" w:lineRule="auto" w:before="156" w:after="0"/>
        <w:ind w:left="1818" w:right="0" w:hanging="802"/>
        <w:jc w:val="left"/>
        <w:rPr>
          <w:b/>
          <w:sz w:val="21"/>
        </w:rPr>
      </w:pPr>
      <w:r>
        <w:rPr>
          <w:b/>
          <w:spacing w:val="-3"/>
          <w:sz w:val="21"/>
        </w:rPr>
        <w:t>颅脑手术</w:t>
      </w:r>
    </w:p>
    <w:p>
      <w:pPr>
        <w:spacing w:line="417" w:lineRule="auto" w:before="163"/>
        <w:ind w:left="1610" w:right="886" w:firstLine="0"/>
        <w:jc w:val="left"/>
        <w:rPr>
          <w:b/>
          <w:sz w:val="21"/>
        </w:rPr>
      </w:pPr>
      <w:r>
        <w:rPr>
          <w:spacing w:val="-4"/>
          <w:sz w:val="21"/>
        </w:rPr>
        <w:t>被保险人确已实施全麻下的开颅手术</w:t>
      </w:r>
      <w:r>
        <w:rPr>
          <w:b/>
          <w:spacing w:val="-4"/>
          <w:sz w:val="21"/>
        </w:rPr>
        <w:t>（不包括颅骨钻孔手术和经鼻蝶窦入颅手术）</w:t>
      </w:r>
      <w:r>
        <w:rPr>
          <w:spacing w:val="-4"/>
          <w:sz w:val="21"/>
        </w:rPr>
        <w:t>。</w:t>
      </w:r>
      <w:r>
        <w:rPr>
          <w:b/>
          <w:spacing w:val="-2"/>
          <w:sz w:val="21"/>
        </w:rPr>
        <w:t>因外伤而实施的脑外科手术不在保障范围之内。</w:t>
      </w:r>
    </w:p>
    <w:p>
      <w:pPr>
        <w:spacing w:line="278" w:lineRule="auto" w:before="0"/>
        <w:ind w:left="1610" w:right="887" w:firstLine="0"/>
        <w:jc w:val="left"/>
        <w:rPr>
          <w:b/>
          <w:sz w:val="21"/>
        </w:rPr>
      </w:pPr>
      <w:r>
        <w:rPr>
          <w:b/>
          <w:spacing w:val="-2"/>
          <w:sz w:val="21"/>
        </w:rPr>
        <w:t>理赔时必须提供由神经外科医生出具的诊断书及手术报告。因脑垂体瘤、脑囊肿、</w:t>
      </w:r>
      <w:r>
        <w:rPr>
          <w:b/>
          <w:spacing w:val="-4"/>
          <w:sz w:val="21"/>
        </w:rPr>
        <w:t>颅内血管性疾病（如脑动脉瘤、脑动静脉畸形、海绵状血管瘤、毛细血管扩张症等）</w:t>
      </w:r>
      <w:r>
        <w:rPr>
          <w:b/>
          <w:spacing w:val="-2"/>
          <w:sz w:val="21"/>
        </w:rPr>
        <w:t>而进行的颅脑手术不在保障范围内。</w:t>
      </w:r>
    </w:p>
    <w:p>
      <w:pPr>
        <w:pStyle w:val="ListParagraph"/>
        <w:numPr>
          <w:ilvl w:val="2"/>
          <w:numId w:val="9"/>
        </w:numPr>
        <w:tabs>
          <w:tab w:pos="1819" w:val="left" w:leader="none"/>
        </w:tabs>
        <w:spacing w:line="240" w:lineRule="auto" w:before="156" w:after="0"/>
        <w:ind w:left="1818" w:right="0" w:hanging="802"/>
        <w:jc w:val="left"/>
        <w:rPr>
          <w:b/>
          <w:sz w:val="21"/>
        </w:rPr>
      </w:pPr>
      <w:r>
        <w:rPr>
          <w:b/>
          <w:spacing w:val="-2"/>
          <w:sz w:val="21"/>
        </w:rPr>
        <w:t>主动脉夹层瘤</w:t>
      </w:r>
    </w:p>
    <w:p>
      <w:pPr>
        <w:pStyle w:val="BodyText"/>
        <w:spacing w:line="278" w:lineRule="auto" w:before="163"/>
        <w:ind w:left="1610" w:right="992"/>
        <w:jc w:val="both"/>
      </w:pPr>
      <w:r>
        <w:rPr>
          <w:spacing w:val="-2"/>
        </w:rPr>
        <w:t>指主动脉的内膜破裂导致血液流入主动脉壁中形成夹层动脉瘤。在本定义中，主动</w:t>
      </w:r>
      <w:r>
        <w:rPr>
          <w:spacing w:val="-2"/>
        </w:rPr>
        <w:t>脉指胸主动脉及腹主动脉而非其旁支。诊断必须由专科医生及检验结果证实，检验</w:t>
      </w:r>
      <w:r>
        <w:rPr>
          <w:spacing w:val="-2"/>
        </w:rPr>
        <w:t>包括断层扫描（</w:t>
      </w:r>
      <w:r>
        <w:rPr>
          <w:rFonts w:ascii="Times New Roman" w:eastAsia="Times New Roman"/>
          <w:spacing w:val="-2"/>
        </w:rPr>
        <w:t>CT</w:t>
      </w:r>
      <w:r>
        <w:rPr>
          <w:spacing w:val="-2"/>
        </w:rPr>
        <w:t>），核磁共振检查（</w:t>
      </w:r>
      <w:r>
        <w:rPr>
          <w:rFonts w:ascii="Times New Roman" w:eastAsia="Times New Roman"/>
          <w:spacing w:val="-2"/>
        </w:rPr>
        <w:t>MRI</w:t>
      </w:r>
      <w:r>
        <w:rPr>
          <w:spacing w:val="-2"/>
        </w:rPr>
        <w:t>）及磁共振血管造影或心导管检查的证</w:t>
      </w:r>
      <w:r>
        <w:rPr>
          <w:spacing w:val="-2"/>
        </w:rPr>
        <w:t>明，并有必要进行紧急修补手术。</w:t>
      </w:r>
    </w:p>
    <w:p>
      <w:pPr>
        <w:pStyle w:val="ListParagraph"/>
        <w:numPr>
          <w:ilvl w:val="2"/>
          <w:numId w:val="9"/>
        </w:numPr>
        <w:tabs>
          <w:tab w:pos="1819" w:val="left" w:leader="none"/>
        </w:tabs>
        <w:spacing w:line="240" w:lineRule="auto" w:before="155" w:after="0"/>
        <w:ind w:left="1818" w:right="0" w:hanging="802"/>
        <w:jc w:val="both"/>
        <w:rPr>
          <w:b/>
          <w:sz w:val="21"/>
        </w:rPr>
      </w:pPr>
      <w:r>
        <w:rPr>
          <w:b/>
          <w:spacing w:val="-2"/>
          <w:sz w:val="21"/>
        </w:rPr>
        <w:t>弥漫性血管内凝血</w:t>
      </w:r>
    </w:p>
    <w:p>
      <w:pPr>
        <w:pStyle w:val="BodyText"/>
        <w:spacing w:line="278" w:lineRule="auto" w:before="163"/>
        <w:ind w:left="1610" w:right="1026"/>
      </w:pPr>
      <w:r>
        <w:rPr>
          <w:spacing w:val="-2"/>
        </w:rPr>
        <w:t>指血液凝固系统和纤溶系统的过度活动导致微血管血栓形成、血小板及凝血因子耗</w:t>
      </w:r>
      <w:r>
        <w:rPr>
          <w:spacing w:val="-2"/>
        </w:rPr>
        <w:t>竭和严重出血，需要输注血浆和浓缩血小板进行治疗。</w:t>
      </w:r>
    </w:p>
    <w:p>
      <w:pPr>
        <w:pStyle w:val="ListParagraph"/>
        <w:numPr>
          <w:ilvl w:val="2"/>
          <w:numId w:val="9"/>
        </w:numPr>
        <w:tabs>
          <w:tab w:pos="1819" w:val="left" w:leader="none"/>
        </w:tabs>
        <w:spacing w:line="240" w:lineRule="auto" w:before="157" w:after="0"/>
        <w:ind w:left="1818" w:right="0" w:hanging="802"/>
        <w:jc w:val="left"/>
        <w:rPr>
          <w:b/>
          <w:sz w:val="21"/>
        </w:rPr>
      </w:pPr>
      <w:r>
        <w:rPr>
          <w:b/>
          <w:spacing w:val="-2"/>
          <w:sz w:val="21"/>
        </w:rPr>
        <w:t>出血性登革热</w:t>
      </w:r>
    </w:p>
    <w:p>
      <w:pPr>
        <w:pStyle w:val="BodyText"/>
        <w:spacing w:line="278" w:lineRule="auto" w:before="162"/>
        <w:ind w:left="1610" w:right="1025"/>
        <w:jc w:val="both"/>
      </w:pPr>
      <w:r>
        <w:rPr>
          <w:spacing w:val="-4"/>
        </w:rPr>
        <w:t>它涵盖了登革出血热世界卫生组织 </w:t>
      </w:r>
      <w:r>
        <w:rPr>
          <w:rFonts w:ascii="Times New Roman" w:eastAsia="Times New Roman"/>
          <w:spacing w:val="-2"/>
        </w:rPr>
        <w:t>3</w:t>
      </w:r>
      <w:r>
        <w:rPr>
          <w:rFonts w:ascii="Times New Roman" w:eastAsia="Times New Roman"/>
          <w:spacing w:val="-11"/>
        </w:rPr>
        <w:t> </w:t>
      </w:r>
      <w:r>
        <w:rPr>
          <w:spacing w:val="-10"/>
        </w:rPr>
        <w:t>期或 </w:t>
      </w:r>
      <w:r>
        <w:rPr>
          <w:rFonts w:ascii="Times New Roman" w:eastAsia="Times New Roman"/>
          <w:spacing w:val="-2"/>
        </w:rPr>
        <w:t>4</w:t>
      </w:r>
      <w:r>
        <w:rPr>
          <w:rFonts w:ascii="Times New Roman" w:eastAsia="Times New Roman"/>
          <w:spacing w:val="1"/>
        </w:rPr>
        <w:t> </w:t>
      </w:r>
      <w:r>
        <w:rPr>
          <w:spacing w:val="-2"/>
        </w:rPr>
        <w:t>期的定义，需要登革休克综合征的明确</w:t>
      </w:r>
      <w:r>
        <w:rPr>
          <w:spacing w:val="-2"/>
        </w:rPr>
        <w:t>证据和登革热感染的确认，以及登革热确诊血清学检测。由专科医生明确诊断并满</w:t>
      </w:r>
      <w:r>
        <w:rPr>
          <w:spacing w:val="-2"/>
        </w:rPr>
        <w:t>足下列要求：</w:t>
      </w:r>
    </w:p>
    <w:p>
      <w:pPr>
        <w:pStyle w:val="ListParagraph"/>
        <w:numPr>
          <w:ilvl w:val="3"/>
          <w:numId w:val="9"/>
        </w:numPr>
        <w:tabs>
          <w:tab w:pos="1970" w:val="left" w:leader="none"/>
        </w:tabs>
        <w:spacing w:line="240" w:lineRule="auto" w:before="156" w:after="0"/>
        <w:ind w:left="1970" w:right="0" w:hanging="360"/>
        <w:jc w:val="both"/>
        <w:rPr>
          <w:rFonts w:ascii="Times New Roman" w:eastAsia="Times New Roman"/>
          <w:sz w:val="21"/>
        </w:rPr>
      </w:pPr>
      <w:r>
        <w:rPr>
          <w:spacing w:val="-2"/>
          <w:sz w:val="21"/>
        </w:rPr>
        <w:t>持续高烧的历史（至少两天</w:t>
      </w:r>
      <w:r>
        <w:rPr>
          <w:spacing w:val="-5"/>
          <w:sz w:val="21"/>
        </w:rPr>
        <w:t>）；</w:t>
      </w:r>
    </w:p>
    <w:p>
      <w:pPr>
        <w:pStyle w:val="BodyText"/>
        <w:rPr>
          <w:sz w:val="15"/>
        </w:rPr>
      </w:pPr>
    </w:p>
    <w:p>
      <w:pPr>
        <w:pStyle w:val="ListParagraph"/>
        <w:numPr>
          <w:ilvl w:val="3"/>
          <w:numId w:val="9"/>
        </w:numPr>
        <w:tabs>
          <w:tab w:pos="1970" w:val="left" w:leader="none"/>
        </w:tabs>
        <w:spacing w:line="240" w:lineRule="auto" w:before="0" w:after="0"/>
        <w:ind w:left="1970" w:right="0" w:hanging="360"/>
        <w:jc w:val="both"/>
        <w:rPr>
          <w:rFonts w:ascii="Times New Roman" w:eastAsia="Times New Roman"/>
          <w:sz w:val="21"/>
        </w:rPr>
      </w:pPr>
      <w:r>
        <w:rPr>
          <w:spacing w:val="-3"/>
          <w:sz w:val="21"/>
        </w:rPr>
        <w:t>轻微或严重出血表现；</w:t>
      </w:r>
    </w:p>
    <w:p>
      <w:pPr>
        <w:spacing w:after="0" w:line="240" w:lineRule="auto"/>
        <w:jc w:val="both"/>
        <w:rPr>
          <w:rFonts w:ascii="Times New Roman" w:eastAsia="Times New Roman"/>
          <w:sz w:val="21"/>
        </w:rPr>
        <w:sectPr>
          <w:pgSz w:w="11910" w:h="16840"/>
          <w:pgMar w:top="1380" w:bottom="280" w:left="1280" w:right="420"/>
        </w:sectPr>
      </w:pPr>
    </w:p>
    <w:p>
      <w:pPr>
        <w:pStyle w:val="ListParagraph"/>
        <w:numPr>
          <w:ilvl w:val="3"/>
          <w:numId w:val="9"/>
        </w:numPr>
        <w:tabs>
          <w:tab w:pos="1969" w:val="left" w:leader="none"/>
          <w:tab w:pos="1970" w:val="left" w:leader="none"/>
        </w:tabs>
        <w:spacing w:line="240" w:lineRule="auto" w:before="64" w:after="0"/>
        <w:ind w:left="1970" w:right="0" w:hanging="360"/>
        <w:jc w:val="left"/>
        <w:rPr>
          <w:rFonts w:ascii="Times New Roman" w:eastAsia="Times New Roman"/>
          <w:sz w:val="21"/>
        </w:rPr>
      </w:pPr>
      <w:r>
        <w:rPr>
          <w:spacing w:val="-2"/>
          <w:sz w:val="21"/>
        </w:rPr>
        <w:t>血小板减少症（</w:t>
      </w:r>
      <w:r>
        <w:rPr>
          <w:spacing w:val="-12"/>
          <w:sz w:val="21"/>
        </w:rPr>
        <w:t>小于等于 </w:t>
      </w:r>
      <w:r>
        <w:rPr>
          <w:rFonts w:ascii="Times New Roman" w:eastAsia="Times New Roman"/>
          <w:spacing w:val="-2"/>
          <w:sz w:val="21"/>
        </w:rPr>
        <w:t>100000</w:t>
      </w:r>
      <w:r>
        <w:rPr>
          <w:rFonts w:ascii="Times New Roman" w:eastAsia="Times New Roman"/>
          <w:spacing w:val="9"/>
          <w:sz w:val="21"/>
        </w:rPr>
        <w:t> </w:t>
      </w:r>
      <w:r>
        <w:rPr>
          <w:spacing w:val="-2"/>
          <w:sz w:val="21"/>
        </w:rPr>
        <w:t>每立方毫米</w:t>
      </w:r>
      <w:r>
        <w:rPr>
          <w:spacing w:val="-5"/>
          <w:sz w:val="21"/>
        </w:rPr>
        <w:t>）；</w:t>
      </w:r>
    </w:p>
    <w:p>
      <w:pPr>
        <w:pStyle w:val="BodyText"/>
        <w:rPr>
          <w:sz w:val="15"/>
        </w:rPr>
      </w:pPr>
    </w:p>
    <w:p>
      <w:pPr>
        <w:pStyle w:val="ListParagraph"/>
        <w:numPr>
          <w:ilvl w:val="3"/>
          <w:numId w:val="9"/>
        </w:numPr>
        <w:tabs>
          <w:tab w:pos="1969" w:val="left" w:leader="none"/>
          <w:tab w:pos="1970" w:val="left" w:leader="none"/>
        </w:tabs>
        <w:spacing w:line="240" w:lineRule="auto" w:before="0" w:after="0"/>
        <w:ind w:left="1970" w:right="0" w:hanging="360"/>
        <w:jc w:val="left"/>
        <w:rPr>
          <w:rFonts w:ascii="Times New Roman" w:eastAsia="Times New Roman"/>
          <w:sz w:val="21"/>
        </w:rPr>
      </w:pPr>
      <w:r>
        <w:rPr>
          <w:spacing w:val="-2"/>
          <w:sz w:val="21"/>
        </w:rPr>
        <w:t>浓血症（</w:t>
      </w:r>
      <w:r>
        <w:rPr>
          <w:rFonts w:ascii="Times New Roman" w:eastAsia="Times New Roman"/>
          <w:spacing w:val="-2"/>
          <w:sz w:val="21"/>
        </w:rPr>
        <w:t>haemotocrit</w:t>
      </w:r>
      <w:r>
        <w:rPr>
          <w:rFonts w:ascii="Times New Roman" w:eastAsia="Times New Roman"/>
          <w:spacing w:val="11"/>
          <w:sz w:val="21"/>
        </w:rPr>
        <w:t> </w:t>
      </w:r>
      <w:r>
        <w:rPr>
          <w:spacing w:val="-12"/>
          <w:sz w:val="21"/>
        </w:rPr>
        <w:t>增加了 </w:t>
      </w:r>
      <w:r>
        <w:rPr>
          <w:rFonts w:ascii="Times New Roman" w:eastAsia="Times New Roman"/>
          <w:spacing w:val="-2"/>
          <w:sz w:val="21"/>
        </w:rPr>
        <w:t>20%</w:t>
      </w:r>
      <w:r>
        <w:rPr>
          <w:spacing w:val="-2"/>
          <w:sz w:val="21"/>
        </w:rPr>
        <w:t>或更多</w:t>
      </w:r>
      <w:r>
        <w:rPr>
          <w:spacing w:val="-5"/>
          <w:sz w:val="21"/>
        </w:rPr>
        <w:t>）；</w:t>
      </w:r>
    </w:p>
    <w:p>
      <w:pPr>
        <w:pStyle w:val="BodyText"/>
        <w:rPr>
          <w:sz w:val="15"/>
        </w:rPr>
      </w:pPr>
    </w:p>
    <w:p>
      <w:pPr>
        <w:pStyle w:val="ListParagraph"/>
        <w:numPr>
          <w:ilvl w:val="3"/>
          <w:numId w:val="9"/>
        </w:numPr>
        <w:tabs>
          <w:tab w:pos="1969" w:val="left" w:leader="none"/>
          <w:tab w:pos="1970" w:val="left" w:leader="none"/>
        </w:tabs>
        <w:spacing w:line="240" w:lineRule="auto" w:before="0" w:after="0"/>
        <w:ind w:left="1970" w:right="0" w:hanging="360"/>
        <w:jc w:val="left"/>
        <w:rPr>
          <w:rFonts w:ascii="Times New Roman" w:eastAsia="Times New Roman"/>
          <w:sz w:val="21"/>
        </w:rPr>
      </w:pPr>
      <w:r>
        <w:rPr>
          <w:spacing w:val="-2"/>
          <w:sz w:val="21"/>
        </w:rPr>
        <w:t>血浆渗漏（即胸水，腹水或低蛋白血症等</w:t>
      </w:r>
      <w:r>
        <w:rPr>
          <w:spacing w:val="-5"/>
          <w:sz w:val="21"/>
        </w:rPr>
        <w:t>）；</w:t>
      </w:r>
    </w:p>
    <w:p>
      <w:pPr>
        <w:pStyle w:val="BodyText"/>
        <w:rPr>
          <w:sz w:val="15"/>
        </w:rPr>
      </w:pPr>
    </w:p>
    <w:p>
      <w:pPr>
        <w:pStyle w:val="ListParagraph"/>
        <w:numPr>
          <w:ilvl w:val="3"/>
          <w:numId w:val="9"/>
        </w:numPr>
        <w:tabs>
          <w:tab w:pos="1969" w:val="left" w:leader="none"/>
          <w:tab w:pos="1970" w:val="left" w:leader="none"/>
        </w:tabs>
        <w:spacing w:line="240" w:lineRule="auto" w:before="0" w:after="0"/>
        <w:ind w:left="1970" w:right="0" w:hanging="360"/>
        <w:jc w:val="left"/>
        <w:rPr>
          <w:rFonts w:ascii="Times New Roman" w:eastAsia="Times New Roman"/>
          <w:sz w:val="21"/>
        </w:rPr>
      </w:pPr>
      <w:r>
        <w:rPr>
          <w:spacing w:val="-2"/>
          <w:sz w:val="21"/>
        </w:rPr>
        <w:t>登革休克综合征（</w:t>
      </w:r>
      <w:r>
        <w:rPr>
          <w:rFonts w:ascii="Times New Roman" w:eastAsia="Times New Roman"/>
          <w:spacing w:val="-2"/>
          <w:sz w:val="21"/>
        </w:rPr>
        <w:t>DSS</w:t>
      </w:r>
      <w:r>
        <w:rPr>
          <w:spacing w:val="-2"/>
          <w:sz w:val="21"/>
        </w:rPr>
        <w:t>）</w:t>
      </w:r>
      <w:r>
        <w:rPr>
          <w:spacing w:val="-3"/>
          <w:sz w:val="21"/>
        </w:rPr>
        <w:t>，由专科医生证实，并满足以下标准：</w:t>
      </w:r>
    </w:p>
    <w:p>
      <w:pPr>
        <w:pStyle w:val="BodyText"/>
        <w:spacing w:before="6"/>
        <w:rPr>
          <w:sz w:val="15"/>
        </w:rPr>
      </w:pPr>
    </w:p>
    <w:p>
      <w:pPr>
        <w:pStyle w:val="BodyText"/>
        <w:spacing w:before="1"/>
        <w:ind w:left="1982"/>
      </w:pPr>
      <w:r>
        <w:rPr>
          <w:spacing w:val="14"/>
        </w:rPr>
        <w:t>① 低血压</w:t>
      </w:r>
      <w:r>
        <w:rPr/>
        <w:t>（</w:t>
      </w:r>
      <w:r>
        <w:rPr>
          <w:spacing w:val="-18"/>
        </w:rPr>
        <w:t>小于 </w:t>
      </w:r>
      <w:r>
        <w:rPr>
          <w:rFonts w:ascii="Times New Roman" w:hAnsi="Times New Roman" w:eastAsia="Times New Roman"/>
        </w:rPr>
        <w:t>80</w:t>
      </w:r>
      <w:r>
        <w:rPr>
          <w:rFonts w:ascii="Times New Roman" w:hAnsi="Times New Roman" w:eastAsia="Times New Roman"/>
          <w:spacing w:val="-6"/>
        </w:rPr>
        <w:t> </w:t>
      </w:r>
      <w:r>
        <w:rPr/>
        <w:t>毫米汞柱）或窄脉冲压力（</w:t>
      </w:r>
      <w:r>
        <w:rPr>
          <w:rFonts w:ascii="Times New Roman" w:hAnsi="Times New Roman" w:eastAsia="Times New Roman"/>
        </w:rPr>
        <w:t>20</w:t>
      </w:r>
      <w:r>
        <w:rPr>
          <w:rFonts w:ascii="Times New Roman" w:hAnsi="Times New Roman" w:eastAsia="Times New Roman"/>
          <w:spacing w:val="-6"/>
        </w:rPr>
        <w:t> </w:t>
      </w:r>
      <w:r>
        <w:rPr/>
        <w:t>毫米汞柱或更小</w:t>
      </w:r>
      <w:r>
        <w:rPr>
          <w:spacing w:val="-5"/>
        </w:rPr>
        <w:t>）；</w:t>
      </w:r>
    </w:p>
    <w:p>
      <w:pPr>
        <w:pStyle w:val="BodyText"/>
        <w:spacing w:before="6"/>
        <w:rPr>
          <w:sz w:val="15"/>
        </w:rPr>
      </w:pPr>
    </w:p>
    <w:p>
      <w:pPr>
        <w:pStyle w:val="BodyText"/>
        <w:spacing w:before="0"/>
        <w:ind w:left="1982"/>
      </w:pPr>
      <w:r>
        <w:rPr>
          <w:spacing w:val="-1"/>
        </w:rPr>
        <w:t>② 组织低灌注，如冷，皮肤湿冷，尿少，或代谢性酸中毒。</w:t>
      </w:r>
    </w:p>
    <w:p>
      <w:pPr>
        <w:pStyle w:val="BodyText"/>
        <w:rPr>
          <w:sz w:val="15"/>
        </w:rPr>
      </w:pPr>
    </w:p>
    <w:p>
      <w:pPr>
        <w:pStyle w:val="BodyText"/>
        <w:spacing w:before="0"/>
        <w:ind w:left="1610"/>
      </w:pPr>
      <w:r>
        <w:rPr>
          <w:rFonts w:ascii="Times New Roman" w:eastAsia="Times New Roman"/>
        </w:rPr>
        <w:t>WHO</w:t>
      </w:r>
      <w:r>
        <w:rPr>
          <w:rFonts w:ascii="Times New Roman" w:eastAsia="Times New Roman"/>
          <w:spacing w:val="-9"/>
        </w:rPr>
        <w:t> </w:t>
      </w:r>
      <w:r>
        <w:rPr>
          <w:spacing w:val="-2"/>
        </w:rPr>
        <w:t>分期标准：</w:t>
      </w:r>
    </w:p>
    <w:p>
      <w:pPr>
        <w:pStyle w:val="BodyText"/>
        <w:rPr>
          <w:sz w:val="15"/>
        </w:rPr>
      </w:pPr>
    </w:p>
    <w:p>
      <w:pPr>
        <w:pStyle w:val="BodyText"/>
        <w:spacing w:line="417" w:lineRule="auto" w:before="0"/>
        <w:ind w:left="1610" w:right="1657"/>
      </w:pPr>
      <w:r>
        <w:rPr>
          <w:spacing w:val="-2"/>
        </w:rPr>
        <w:t>第一期：发烧伴随有非特异性体质症状：血压带试验阳性是唯一出血现象。</w:t>
      </w:r>
      <w:r>
        <w:rPr>
          <w:spacing w:val="-2"/>
        </w:rPr>
        <w:t>第二期：第一级加上有自发性出血。</w:t>
      </w:r>
    </w:p>
    <w:p>
      <w:pPr>
        <w:pStyle w:val="BodyText"/>
        <w:spacing w:line="278" w:lineRule="auto" w:before="0"/>
        <w:ind w:left="1610" w:right="989"/>
      </w:pPr>
      <w:r>
        <w:rPr>
          <w:spacing w:val="-2"/>
        </w:rPr>
        <w:t>第三期：已呈现循环衰竭现象，如:脉搏弱、脉搏压变窄，血压变低，伴随有皮肤湿</w:t>
      </w:r>
      <w:r>
        <w:rPr>
          <w:spacing w:val="-2"/>
        </w:rPr>
        <w:t>冷，坐立不安。</w:t>
      </w:r>
    </w:p>
    <w:p>
      <w:pPr>
        <w:pStyle w:val="BodyText"/>
        <w:spacing w:before="156"/>
        <w:ind w:left="1610"/>
      </w:pPr>
      <w:r>
        <w:rPr>
          <w:spacing w:val="-3"/>
        </w:rPr>
        <w:t>第四期：严重休克，血压脉搏量不到。</w:t>
      </w:r>
    </w:p>
    <w:p>
      <w:pPr>
        <w:pStyle w:val="BodyText"/>
        <w:spacing w:before="6"/>
        <w:rPr>
          <w:sz w:val="15"/>
        </w:rPr>
      </w:pPr>
    </w:p>
    <w:p>
      <w:pPr>
        <w:pStyle w:val="ListParagraph"/>
        <w:numPr>
          <w:ilvl w:val="2"/>
          <w:numId w:val="9"/>
        </w:numPr>
        <w:tabs>
          <w:tab w:pos="1819" w:val="left" w:leader="none"/>
        </w:tabs>
        <w:spacing w:line="240" w:lineRule="auto" w:before="1" w:after="0"/>
        <w:ind w:left="1818" w:right="0" w:hanging="802"/>
        <w:jc w:val="left"/>
        <w:rPr>
          <w:b/>
          <w:sz w:val="21"/>
        </w:rPr>
      </w:pPr>
      <w:r>
        <w:rPr>
          <w:b/>
          <w:spacing w:val="-2"/>
          <w:sz w:val="21"/>
        </w:rPr>
        <w:t>主动脉夹层血肿</w:t>
      </w:r>
    </w:p>
    <w:p>
      <w:pPr>
        <w:pStyle w:val="BodyText"/>
        <w:spacing w:line="278" w:lineRule="auto" w:before="162"/>
        <w:ind w:left="1610" w:right="989"/>
        <w:jc w:val="both"/>
      </w:pPr>
      <w:r>
        <w:rPr>
          <w:spacing w:val="-2"/>
        </w:rPr>
        <w:t>是指主动脉壁在受到某些病理因素的破坏后，高速、高压的主动脉血流将其内膜撕</w:t>
      </w:r>
      <w:r>
        <w:rPr>
          <w:spacing w:val="-2"/>
        </w:rPr>
        <w:t>裂，以致主动脉腔内的血流通过主动脉内膜的破裂口进入主动脉内壁而形成血肿。</w:t>
      </w:r>
      <w:r>
        <w:rPr>
          <w:spacing w:val="-2"/>
        </w:rPr>
        <w:t>被保险人需通过</w:t>
      </w:r>
      <w:r>
        <w:rPr>
          <w:rFonts w:ascii="Times New Roman" w:eastAsia="Times New Roman"/>
          <w:spacing w:val="-2"/>
        </w:rPr>
        <w:t>X</w:t>
      </w:r>
      <w:r>
        <w:rPr>
          <w:rFonts w:ascii="Times New Roman" w:eastAsia="Times New Roman"/>
          <w:spacing w:val="31"/>
        </w:rPr>
        <w:t> </w:t>
      </w:r>
      <w:r>
        <w:rPr>
          <w:spacing w:val="-2"/>
        </w:rPr>
        <w:t>线断层扫描（</w:t>
      </w:r>
      <w:r>
        <w:rPr>
          <w:rFonts w:ascii="Times New Roman" w:eastAsia="Times New Roman"/>
          <w:spacing w:val="-2"/>
        </w:rPr>
        <w:t>CT</w:t>
      </w:r>
      <w:r>
        <w:rPr>
          <w:spacing w:val="-2"/>
        </w:rPr>
        <w:t>）、核磁共振检查（</w:t>
      </w:r>
      <w:r>
        <w:rPr>
          <w:rFonts w:ascii="Times New Roman" w:eastAsia="Times New Roman"/>
          <w:spacing w:val="-2"/>
        </w:rPr>
        <w:t>MRI</w:t>
      </w:r>
      <w:r>
        <w:rPr>
          <w:spacing w:val="-2"/>
        </w:rPr>
        <w:t>）</w:t>
      </w:r>
      <w:r>
        <w:rPr>
          <w:spacing w:val="-3"/>
        </w:rPr>
        <w:t>、磁共振血管检验法</w:t>
      </w:r>
    </w:p>
    <w:p>
      <w:pPr>
        <w:pStyle w:val="BodyText"/>
        <w:spacing w:line="269" w:lineRule="exact" w:before="0"/>
        <w:ind w:left="1610"/>
      </w:pPr>
      <w:r>
        <w:rPr>
          <w:spacing w:val="-2"/>
        </w:rPr>
        <w:t>（</w:t>
      </w:r>
      <w:r>
        <w:rPr>
          <w:rFonts w:ascii="Times New Roman" w:eastAsia="Times New Roman"/>
          <w:spacing w:val="-2"/>
        </w:rPr>
        <w:t>MRA</w:t>
      </w:r>
      <w:r>
        <w:rPr>
          <w:spacing w:val="-2"/>
        </w:rPr>
        <w:t>）</w:t>
      </w:r>
      <w:r>
        <w:rPr>
          <w:spacing w:val="-3"/>
        </w:rPr>
        <w:t>或血管扫描等检查，并且实施了胸腹切开的直视主动脉手术。</w:t>
      </w:r>
    </w:p>
    <w:p>
      <w:pPr>
        <w:pStyle w:val="BodyText"/>
        <w:rPr>
          <w:sz w:val="15"/>
        </w:rPr>
      </w:pPr>
    </w:p>
    <w:p>
      <w:pPr>
        <w:pStyle w:val="ListParagraph"/>
        <w:numPr>
          <w:ilvl w:val="2"/>
          <w:numId w:val="9"/>
        </w:numPr>
        <w:tabs>
          <w:tab w:pos="1819" w:val="left" w:leader="none"/>
        </w:tabs>
        <w:spacing w:line="240" w:lineRule="auto" w:before="0" w:after="0"/>
        <w:ind w:left="1818" w:right="0" w:hanging="802"/>
        <w:jc w:val="left"/>
        <w:rPr>
          <w:b/>
          <w:sz w:val="21"/>
        </w:rPr>
      </w:pPr>
      <w:r>
        <w:rPr>
          <w:b/>
          <w:spacing w:val="-3"/>
          <w:sz w:val="21"/>
        </w:rPr>
        <w:t>婴儿进行性脊肌萎缩症</w:t>
      </w:r>
    </w:p>
    <w:p>
      <w:pPr>
        <w:pStyle w:val="BodyText"/>
        <w:spacing w:line="278" w:lineRule="auto" w:before="163"/>
        <w:ind w:left="1610" w:right="1025"/>
      </w:pPr>
      <w:r>
        <w:rPr>
          <w:spacing w:val="-2"/>
        </w:rPr>
        <w:t>该病是累及脊髓前角细胞及延髓运动核的神经元退行性变性病。在出生后两年内出</w:t>
      </w:r>
      <w:r>
        <w:rPr>
          <w:spacing w:val="-3"/>
        </w:rPr>
        <w:t>现的脊髓和脑干颅神经前角细胞进行性机能障碍，伴随肌肉无力和延髓机能障碍。</w:t>
      </w:r>
    </w:p>
    <w:p>
      <w:pPr>
        <w:spacing w:line="278" w:lineRule="auto" w:before="156"/>
        <w:ind w:left="1610" w:right="1005" w:firstLine="0"/>
        <w:jc w:val="left"/>
        <w:rPr>
          <w:b/>
          <w:sz w:val="21"/>
        </w:rPr>
      </w:pPr>
      <w:r>
        <w:rPr>
          <w:b/>
          <w:spacing w:val="-2"/>
          <w:sz w:val="21"/>
        </w:rPr>
        <w:t>我们承担本项疾病责任不受本合同责任免除中“遗传性疾病，先天性畸形、变形或</w:t>
      </w:r>
      <w:r>
        <w:rPr>
          <w:b/>
          <w:spacing w:val="-2"/>
          <w:sz w:val="21"/>
        </w:rPr>
        <w:t>染色体异常”的限制。</w:t>
      </w:r>
    </w:p>
    <w:p>
      <w:pPr>
        <w:pStyle w:val="ListParagraph"/>
        <w:numPr>
          <w:ilvl w:val="1"/>
          <w:numId w:val="3"/>
        </w:numPr>
        <w:tabs>
          <w:tab w:pos="714" w:val="left" w:leader="none"/>
          <w:tab w:pos="715" w:val="left" w:leader="none"/>
        </w:tabs>
        <w:spacing w:line="240" w:lineRule="auto" w:before="156" w:after="0"/>
        <w:ind w:left="714" w:right="0" w:hanging="577"/>
        <w:jc w:val="left"/>
        <w:rPr>
          <w:b/>
          <w:sz w:val="21"/>
        </w:rPr>
      </w:pPr>
      <w:bookmarkStart w:name="_bookmark55" w:id="97"/>
      <w:bookmarkEnd w:id="97"/>
      <w:r>
        <w:rPr>
          <w:b/>
          <w:spacing w:val="-4"/>
          <w:sz w:val="21"/>
        </w:rPr>
        <w:t>轻症疾病</w:t>
      </w:r>
    </w:p>
    <w:p>
      <w:pPr>
        <w:pStyle w:val="BodyText"/>
        <w:rPr>
          <w:b/>
          <w:sz w:val="15"/>
        </w:rPr>
      </w:pPr>
    </w:p>
    <w:p>
      <w:pPr>
        <w:pStyle w:val="BodyText"/>
        <w:spacing w:line="278" w:lineRule="auto" w:before="0"/>
        <w:ind w:left="1610" w:right="980"/>
      </w:pPr>
      <w:r>
        <w:rPr>
          <w:spacing w:val="-2"/>
        </w:rPr>
        <w:t>轻症疾病指下列所定义的三十项疾病或手术。其中前三项轻症疾病采用中国保险行</w:t>
      </w:r>
      <w:r>
        <w:rPr/>
        <w:t>业协会颁布的《重大疾病保险的疾病定义使用规范（</w:t>
      </w:r>
      <w:r>
        <w:rPr>
          <w:rFonts w:ascii="Times New Roman" w:eastAsia="Times New Roman"/>
        </w:rPr>
        <w:t>2020</w:t>
      </w:r>
      <w:r>
        <w:rPr>
          <w:rFonts w:ascii="Times New Roman" w:eastAsia="Times New Roman"/>
          <w:spacing w:val="-14"/>
        </w:rPr>
        <w:t> </w:t>
      </w:r>
      <w:r>
        <w:rPr/>
        <w:t>年修订版）》中的定义。</w:t>
      </w:r>
    </w:p>
    <w:p>
      <w:pPr>
        <w:spacing w:before="156"/>
        <w:ind w:left="1610" w:right="0" w:firstLine="0"/>
        <w:jc w:val="left"/>
        <w:rPr>
          <w:b/>
          <w:sz w:val="21"/>
        </w:rPr>
      </w:pPr>
      <w:r>
        <w:rPr>
          <w:b/>
          <w:spacing w:val="-3"/>
          <w:sz w:val="21"/>
        </w:rPr>
        <w:t>以下疾病名称仅供理解使用，具体保障范围以每项疾病具体定义为准。</w:t>
      </w:r>
    </w:p>
    <w:p>
      <w:pPr>
        <w:pStyle w:val="BodyText"/>
        <w:spacing w:before="6"/>
        <w:rPr>
          <w:b/>
          <w:sz w:val="15"/>
        </w:rPr>
      </w:pPr>
    </w:p>
    <w:p>
      <w:pPr>
        <w:pStyle w:val="ListParagraph"/>
        <w:numPr>
          <w:ilvl w:val="2"/>
          <w:numId w:val="13"/>
        </w:numPr>
        <w:tabs>
          <w:tab w:pos="1818" w:val="left" w:leader="none"/>
          <w:tab w:pos="1819" w:val="left" w:leader="none"/>
        </w:tabs>
        <w:spacing w:line="240" w:lineRule="auto" w:before="0" w:after="0"/>
        <w:ind w:left="1818" w:right="0" w:hanging="802"/>
        <w:jc w:val="left"/>
        <w:rPr>
          <w:b/>
          <w:sz w:val="21"/>
        </w:rPr>
      </w:pPr>
      <w:r>
        <w:rPr>
          <w:b/>
          <w:spacing w:val="-2"/>
          <w:sz w:val="21"/>
        </w:rPr>
        <w:t>恶性肿瘤——轻度</w:t>
      </w:r>
    </w:p>
    <w:p>
      <w:pPr>
        <w:pStyle w:val="BodyText"/>
        <w:spacing w:line="278" w:lineRule="auto" w:before="163"/>
        <w:ind w:left="1610" w:right="884"/>
      </w:pPr>
      <w:r>
        <w:rPr>
          <w:spacing w:val="-6"/>
          <w:w w:val="100"/>
        </w:rPr>
        <w:t>指恶性细胞不受控制的进行性增长和扩散，浸润和破坏周围正常组织，可以经血管、</w:t>
      </w:r>
      <w:r>
        <w:rPr>
          <w:spacing w:val="-4"/>
          <w:w w:val="100"/>
        </w:rPr>
        <w:t>淋巴管和体腔扩散转移到身体其他部位，病灶经组织病理学检查</w:t>
      </w:r>
      <w:r>
        <w:rPr>
          <w:spacing w:val="-3"/>
          <w:w w:val="100"/>
        </w:rPr>
        <w:t>（涵盖骨髓病理学检查</w:t>
      </w:r>
      <w:r>
        <w:rPr>
          <w:spacing w:val="-89"/>
          <w:w w:val="100"/>
        </w:rPr>
        <w:t>）</w:t>
      </w:r>
      <w:r>
        <w:rPr>
          <w:spacing w:val="-15"/>
          <w:w w:val="100"/>
        </w:rPr>
        <w:t>结果明确诊断，临床诊断属于世界卫生组织</w:t>
      </w:r>
      <w:r>
        <w:rPr>
          <w:spacing w:val="-3"/>
          <w:w w:val="100"/>
        </w:rPr>
        <w:t>（</w:t>
      </w:r>
      <w:r>
        <w:rPr>
          <w:rFonts w:ascii="Times New Roman" w:eastAsia="Times New Roman"/>
          <w:spacing w:val="-3"/>
          <w:w w:val="100"/>
        </w:rPr>
        <w:t>W</w:t>
      </w:r>
      <w:r>
        <w:rPr>
          <w:rFonts w:ascii="Times New Roman" w:eastAsia="Times New Roman"/>
          <w:spacing w:val="-2"/>
          <w:w w:val="100"/>
        </w:rPr>
        <w:t>H</w:t>
      </w:r>
      <w:r>
        <w:rPr>
          <w:rFonts w:ascii="Times New Roman" w:eastAsia="Times New Roman"/>
          <w:spacing w:val="1"/>
          <w:w w:val="100"/>
        </w:rPr>
        <w:t>O</w:t>
      </w:r>
      <w:r>
        <w:rPr>
          <w:spacing w:val="-87"/>
          <w:w w:val="100"/>
        </w:rPr>
        <w:t>，</w:t>
      </w:r>
      <w:r>
        <w:rPr>
          <w:rFonts w:ascii="Times New Roman" w:eastAsia="Times New Roman"/>
          <w:spacing w:val="-3"/>
          <w:w w:val="100"/>
        </w:rPr>
        <w:t>W</w:t>
      </w:r>
      <w:r>
        <w:rPr>
          <w:rFonts w:ascii="Times New Roman" w:eastAsia="Times New Roman"/>
          <w:w w:val="100"/>
        </w:rPr>
        <w:t>o</w:t>
      </w:r>
      <w:r>
        <w:rPr>
          <w:rFonts w:ascii="Times New Roman" w:eastAsia="Times New Roman"/>
          <w:spacing w:val="-1"/>
          <w:w w:val="100"/>
        </w:rPr>
        <w:t>r</w:t>
      </w:r>
      <w:r>
        <w:rPr>
          <w:rFonts w:ascii="Times New Roman" w:eastAsia="Times New Roman"/>
          <w:spacing w:val="-2"/>
          <w:w w:val="100"/>
        </w:rPr>
        <w:t>l</w:t>
      </w:r>
      <w:r>
        <w:rPr>
          <w:rFonts w:ascii="Times New Roman" w:eastAsia="Times New Roman"/>
          <w:w w:val="100"/>
        </w:rPr>
        <w:t>d</w:t>
      </w:r>
      <w:r>
        <w:rPr>
          <w:rFonts w:ascii="Times New Roman" w:eastAsia="Times New Roman"/>
        </w:rPr>
        <w:t> </w:t>
      </w:r>
      <w:r>
        <w:rPr>
          <w:rFonts w:ascii="Times New Roman" w:eastAsia="Times New Roman"/>
          <w:w w:val="100"/>
        </w:rPr>
        <w:t>H</w:t>
      </w:r>
      <w:r>
        <w:rPr>
          <w:rFonts w:ascii="Times New Roman" w:eastAsia="Times New Roman"/>
          <w:spacing w:val="-3"/>
          <w:w w:val="100"/>
        </w:rPr>
        <w:t>e</w:t>
      </w:r>
      <w:r>
        <w:rPr>
          <w:rFonts w:ascii="Times New Roman" w:eastAsia="Times New Roman"/>
          <w:w w:val="100"/>
        </w:rPr>
        <w:t>a</w:t>
      </w:r>
      <w:r>
        <w:rPr>
          <w:rFonts w:ascii="Times New Roman" w:eastAsia="Times New Roman"/>
          <w:spacing w:val="-2"/>
          <w:w w:val="100"/>
        </w:rPr>
        <w:t>lt</w:t>
      </w:r>
      <w:r>
        <w:rPr>
          <w:rFonts w:ascii="Times New Roman" w:eastAsia="Times New Roman"/>
          <w:w w:val="100"/>
        </w:rPr>
        <w:t>h</w:t>
      </w:r>
      <w:r>
        <w:rPr>
          <w:rFonts w:ascii="Times New Roman" w:eastAsia="Times New Roman"/>
        </w:rPr>
        <w:t> </w:t>
      </w:r>
      <w:r>
        <w:rPr>
          <w:rFonts w:ascii="Times New Roman" w:eastAsia="Times New Roman"/>
          <w:w w:val="100"/>
        </w:rPr>
        <w:t>O</w:t>
      </w:r>
      <w:r>
        <w:rPr>
          <w:rFonts w:ascii="Times New Roman" w:eastAsia="Times New Roman"/>
          <w:spacing w:val="-1"/>
          <w:w w:val="100"/>
        </w:rPr>
        <w:t>r</w:t>
      </w:r>
      <w:r>
        <w:rPr>
          <w:rFonts w:ascii="Times New Roman" w:eastAsia="Times New Roman"/>
          <w:w w:val="100"/>
        </w:rPr>
        <w:t>g</w:t>
      </w:r>
      <w:r>
        <w:rPr>
          <w:rFonts w:ascii="Times New Roman" w:eastAsia="Times New Roman"/>
          <w:spacing w:val="-3"/>
          <w:w w:val="100"/>
        </w:rPr>
        <w:t>a</w:t>
      </w:r>
      <w:r>
        <w:rPr>
          <w:rFonts w:ascii="Times New Roman" w:eastAsia="Times New Roman"/>
          <w:w w:val="100"/>
        </w:rPr>
        <w:t>n</w:t>
      </w:r>
      <w:r>
        <w:rPr>
          <w:rFonts w:ascii="Times New Roman" w:eastAsia="Times New Roman"/>
          <w:spacing w:val="-2"/>
          <w:w w:val="100"/>
        </w:rPr>
        <w:t>i</w:t>
      </w:r>
      <w:r>
        <w:rPr>
          <w:rFonts w:ascii="Times New Roman" w:eastAsia="Times New Roman"/>
          <w:w w:val="100"/>
        </w:rPr>
        <w:t>z</w:t>
      </w:r>
      <w:r>
        <w:rPr>
          <w:rFonts w:ascii="Times New Roman" w:eastAsia="Times New Roman"/>
          <w:spacing w:val="-3"/>
          <w:w w:val="100"/>
        </w:rPr>
        <w:t>a</w:t>
      </w:r>
      <w:r>
        <w:rPr>
          <w:rFonts w:ascii="Times New Roman" w:eastAsia="Times New Roman"/>
          <w:spacing w:val="-2"/>
          <w:w w:val="100"/>
        </w:rPr>
        <w:t>ti</w:t>
      </w:r>
      <w:r>
        <w:rPr>
          <w:rFonts w:ascii="Times New Roman" w:eastAsia="Times New Roman"/>
          <w:w w:val="100"/>
        </w:rPr>
        <w:t>on</w:t>
      </w:r>
      <w:r>
        <w:rPr>
          <w:w w:val="100"/>
        </w:rPr>
        <w:t>）</w:t>
      </w:r>
    </w:p>
    <w:p>
      <w:pPr>
        <w:pStyle w:val="BodyText"/>
        <w:spacing w:line="278" w:lineRule="auto" w:before="1"/>
        <w:ind w:left="1610" w:right="989"/>
        <w:rPr>
          <w:rFonts w:ascii="Times New Roman" w:eastAsia="Times New Roman"/>
        </w:rPr>
      </w:pPr>
      <w:r>
        <w:rPr>
          <w:spacing w:val="-2"/>
        </w:rPr>
        <w:t>《疾病和有关健康问题的国际统计分类》第十次修订版（</w:t>
      </w:r>
      <w:r>
        <w:rPr>
          <w:rFonts w:ascii="Times New Roman" w:eastAsia="Times New Roman"/>
          <w:spacing w:val="-2"/>
        </w:rPr>
        <w:t>ICD-10</w:t>
      </w:r>
      <w:r>
        <w:rPr>
          <w:spacing w:val="-2"/>
        </w:rPr>
        <w:t>）的恶性肿瘤类别</w:t>
      </w:r>
      <w:r>
        <w:rPr>
          <w:spacing w:val="-4"/>
        </w:rPr>
        <w:t>及《国际疾病分类肿瘤学专辑》第三版（</w:t>
      </w:r>
      <w:r>
        <w:rPr>
          <w:rFonts w:ascii="Times New Roman" w:eastAsia="Times New Roman"/>
          <w:spacing w:val="-4"/>
        </w:rPr>
        <w:t>ICD-O-3</w:t>
      </w:r>
      <w:r>
        <w:rPr>
          <w:spacing w:val="-4"/>
        </w:rPr>
        <w:t>）</w:t>
      </w:r>
      <w:r>
        <w:rPr>
          <w:spacing w:val="-2"/>
        </w:rPr>
        <w:t>的肿瘤形态学编码属于 </w:t>
      </w:r>
      <w:r>
        <w:rPr>
          <w:rFonts w:ascii="Times New Roman" w:eastAsia="Times New Roman"/>
          <w:spacing w:val="-4"/>
        </w:rPr>
        <w:t>3</w:t>
      </w:r>
      <w:r>
        <w:rPr>
          <w:spacing w:val="-4"/>
        </w:rPr>
        <w:t>、</w:t>
      </w:r>
      <w:r>
        <w:rPr>
          <w:rFonts w:ascii="Times New Roman" w:eastAsia="Times New Roman"/>
          <w:spacing w:val="-4"/>
        </w:rPr>
        <w:t>6</w:t>
      </w:r>
      <w:r>
        <w:rPr>
          <w:spacing w:val="-4"/>
        </w:rPr>
        <w:t>、</w:t>
      </w:r>
      <w:r>
        <w:rPr>
          <w:rFonts w:ascii="Times New Roman" w:eastAsia="Times New Roman"/>
          <w:spacing w:val="-10"/>
        </w:rPr>
        <w:t>9</w:t>
      </w:r>
    </w:p>
    <w:p>
      <w:pPr>
        <w:pStyle w:val="BodyText"/>
        <w:spacing w:line="278" w:lineRule="auto" w:before="0"/>
        <w:ind w:left="1610" w:right="1025"/>
      </w:pPr>
      <w:r>
        <w:rPr>
          <w:spacing w:val="-2"/>
        </w:rPr>
        <w:t>（恶性肿瘤）范畴，但不在“恶性肿瘤——重度”保障范围的疾病。且特指下列六</w:t>
      </w:r>
      <w:r>
        <w:rPr>
          <w:spacing w:val="-4"/>
        </w:rPr>
        <w:t>项之一：</w:t>
      </w:r>
    </w:p>
    <w:p>
      <w:pPr>
        <w:spacing w:after="0" w:line="278" w:lineRule="auto"/>
        <w:sectPr>
          <w:pgSz w:w="11910" w:h="16840"/>
          <w:pgMar w:top="1380" w:bottom="280" w:left="1280" w:right="420"/>
        </w:sectPr>
      </w:pPr>
    </w:p>
    <w:p>
      <w:pPr>
        <w:pStyle w:val="ListParagraph"/>
        <w:numPr>
          <w:ilvl w:val="3"/>
          <w:numId w:val="13"/>
        </w:numPr>
        <w:tabs>
          <w:tab w:pos="1969" w:val="left" w:leader="none"/>
          <w:tab w:pos="1970" w:val="left" w:leader="none"/>
        </w:tabs>
        <w:spacing w:line="240" w:lineRule="auto" w:before="64" w:after="0"/>
        <w:ind w:left="1970" w:right="0" w:hanging="360"/>
        <w:jc w:val="left"/>
        <w:rPr>
          <w:rFonts w:ascii="Times New Roman" w:eastAsia="Times New Roman"/>
          <w:sz w:val="21"/>
        </w:rPr>
      </w:pPr>
      <w:r>
        <w:rPr>
          <w:rFonts w:ascii="Times New Roman" w:eastAsia="Times New Roman"/>
          <w:sz w:val="21"/>
        </w:rPr>
        <w:t>TNM</w:t>
      </w:r>
      <w:r>
        <w:rPr>
          <w:rFonts w:ascii="Times New Roman" w:eastAsia="Times New Roman"/>
          <w:spacing w:val="-13"/>
          <w:sz w:val="21"/>
        </w:rPr>
        <w:t> </w:t>
      </w:r>
      <w:r>
        <w:rPr>
          <w:spacing w:val="-13"/>
          <w:sz w:val="21"/>
        </w:rPr>
        <w:t>分期为 </w:t>
      </w:r>
      <w:r>
        <w:rPr>
          <w:rFonts w:ascii="Times New Roman" w:eastAsia="Times New Roman"/>
          <w:sz w:val="21"/>
        </w:rPr>
        <w:t>I</w:t>
      </w:r>
      <w:r>
        <w:rPr>
          <w:rFonts w:ascii="Times New Roman" w:eastAsia="Times New Roman"/>
          <w:spacing w:val="-7"/>
          <w:sz w:val="21"/>
        </w:rPr>
        <w:t> </w:t>
      </w:r>
      <w:r>
        <w:rPr>
          <w:spacing w:val="-2"/>
          <w:sz w:val="21"/>
        </w:rPr>
        <w:t>期的甲状腺癌；</w:t>
      </w:r>
    </w:p>
    <w:p>
      <w:pPr>
        <w:pStyle w:val="BodyText"/>
        <w:rPr>
          <w:sz w:val="15"/>
        </w:rPr>
      </w:pPr>
    </w:p>
    <w:p>
      <w:pPr>
        <w:pStyle w:val="ListParagraph"/>
        <w:numPr>
          <w:ilvl w:val="3"/>
          <w:numId w:val="13"/>
        </w:numPr>
        <w:tabs>
          <w:tab w:pos="1969" w:val="left" w:leader="none"/>
          <w:tab w:pos="1970" w:val="left" w:leader="none"/>
        </w:tabs>
        <w:spacing w:line="240" w:lineRule="auto" w:before="0" w:after="0"/>
        <w:ind w:left="1970" w:right="0" w:hanging="360"/>
        <w:jc w:val="left"/>
        <w:rPr>
          <w:rFonts w:ascii="Times New Roman" w:eastAsia="Times New Roman"/>
          <w:sz w:val="21"/>
        </w:rPr>
      </w:pPr>
      <w:r>
        <w:rPr>
          <w:rFonts w:ascii="Times New Roman" w:eastAsia="Times New Roman"/>
          <w:sz w:val="21"/>
        </w:rPr>
        <w:t>TNM</w:t>
      </w:r>
      <w:r>
        <w:rPr>
          <w:rFonts w:ascii="Times New Roman" w:eastAsia="Times New Roman"/>
          <w:spacing w:val="-13"/>
          <w:sz w:val="21"/>
        </w:rPr>
        <w:t> </w:t>
      </w:r>
      <w:r>
        <w:rPr>
          <w:spacing w:val="14"/>
          <w:sz w:val="21"/>
        </w:rPr>
        <w:t>分期为</w:t>
      </w:r>
      <w:r>
        <w:rPr>
          <w:rFonts w:ascii="Times New Roman" w:eastAsia="Times New Roman"/>
          <w:sz w:val="21"/>
        </w:rPr>
        <w:t>T</w:t>
      </w:r>
      <w:r>
        <w:rPr>
          <w:rFonts w:ascii="Times New Roman" w:eastAsia="Times New Roman"/>
          <w:sz w:val="21"/>
          <w:vertAlign w:val="subscript"/>
        </w:rPr>
        <w:t>1</w:t>
      </w:r>
      <w:r>
        <w:rPr>
          <w:rFonts w:ascii="Times New Roman" w:eastAsia="Times New Roman"/>
          <w:sz w:val="21"/>
          <w:vertAlign w:val="baseline"/>
        </w:rPr>
        <w:t>N</w:t>
      </w:r>
      <w:r>
        <w:rPr>
          <w:rFonts w:ascii="Times New Roman" w:eastAsia="Times New Roman"/>
          <w:sz w:val="21"/>
          <w:vertAlign w:val="subscript"/>
        </w:rPr>
        <w:t>0</w:t>
      </w:r>
      <w:r>
        <w:rPr>
          <w:rFonts w:ascii="Times New Roman" w:eastAsia="Times New Roman"/>
          <w:sz w:val="21"/>
          <w:vertAlign w:val="baseline"/>
        </w:rPr>
        <w:t>M</w:t>
      </w:r>
      <w:r>
        <w:rPr>
          <w:rFonts w:ascii="Times New Roman" w:eastAsia="Times New Roman"/>
          <w:sz w:val="21"/>
          <w:vertAlign w:val="subscript"/>
        </w:rPr>
        <w:t>0</w:t>
      </w:r>
      <w:r>
        <w:rPr>
          <w:rFonts w:ascii="Times New Roman" w:eastAsia="Times New Roman"/>
          <w:spacing w:val="-17"/>
          <w:sz w:val="21"/>
          <w:vertAlign w:val="baseline"/>
        </w:rPr>
        <w:t> </w:t>
      </w:r>
      <w:r>
        <w:rPr>
          <w:spacing w:val="-2"/>
          <w:sz w:val="21"/>
          <w:vertAlign w:val="baseline"/>
        </w:rPr>
        <w:t>期的前列腺癌；</w:t>
      </w:r>
    </w:p>
    <w:p>
      <w:pPr>
        <w:pStyle w:val="ListParagraph"/>
        <w:numPr>
          <w:ilvl w:val="3"/>
          <w:numId w:val="13"/>
        </w:numPr>
        <w:tabs>
          <w:tab w:pos="1969" w:val="left" w:leader="none"/>
          <w:tab w:pos="1970" w:val="left" w:leader="none"/>
        </w:tabs>
        <w:spacing w:line="240" w:lineRule="auto" w:before="199" w:after="0"/>
        <w:ind w:left="1970" w:right="0" w:hanging="360"/>
        <w:jc w:val="left"/>
        <w:rPr>
          <w:rFonts w:ascii="Times New Roman" w:eastAsia="Times New Roman"/>
          <w:sz w:val="21"/>
        </w:rPr>
      </w:pPr>
      <w:r>
        <w:rPr>
          <w:spacing w:val="-3"/>
          <w:sz w:val="21"/>
        </w:rPr>
        <w:t>黑色素瘤以外的未发生淋巴结和远处转移的皮肤恶性肿瘤；</w:t>
      </w:r>
    </w:p>
    <w:p>
      <w:pPr>
        <w:pStyle w:val="BodyText"/>
        <w:rPr>
          <w:sz w:val="15"/>
        </w:rPr>
      </w:pPr>
    </w:p>
    <w:p>
      <w:pPr>
        <w:pStyle w:val="ListParagraph"/>
        <w:numPr>
          <w:ilvl w:val="3"/>
          <w:numId w:val="13"/>
        </w:numPr>
        <w:tabs>
          <w:tab w:pos="1969" w:val="left" w:leader="none"/>
          <w:tab w:pos="1970" w:val="left" w:leader="none"/>
        </w:tabs>
        <w:spacing w:line="240" w:lineRule="auto" w:before="0" w:after="0"/>
        <w:ind w:left="1970" w:right="0" w:hanging="360"/>
        <w:jc w:val="left"/>
        <w:rPr>
          <w:rFonts w:ascii="Times New Roman" w:eastAsia="Times New Roman"/>
          <w:sz w:val="21"/>
        </w:rPr>
      </w:pPr>
      <w:r>
        <w:rPr>
          <w:spacing w:val="-13"/>
          <w:sz w:val="21"/>
        </w:rPr>
        <w:t>相当于 </w:t>
      </w:r>
      <w:r>
        <w:rPr>
          <w:rFonts w:ascii="Times New Roman" w:eastAsia="Times New Roman"/>
          <w:sz w:val="21"/>
        </w:rPr>
        <w:t>Binet</w:t>
      </w:r>
      <w:r>
        <w:rPr>
          <w:rFonts w:ascii="Times New Roman" w:eastAsia="Times New Roman"/>
          <w:spacing w:val="-14"/>
          <w:sz w:val="21"/>
        </w:rPr>
        <w:t> </w:t>
      </w:r>
      <w:r>
        <w:rPr>
          <w:spacing w:val="12"/>
          <w:sz w:val="21"/>
        </w:rPr>
        <w:t>分期方案</w:t>
      </w:r>
      <w:r>
        <w:rPr>
          <w:rFonts w:ascii="Times New Roman" w:eastAsia="Times New Roman"/>
          <w:sz w:val="21"/>
        </w:rPr>
        <w:t>A</w:t>
      </w:r>
      <w:r>
        <w:rPr>
          <w:rFonts w:ascii="Times New Roman" w:eastAsia="Times New Roman"/>
          <w:spacing w:val="-12"/>
          <w:sz w:val="21"/>
        </w:rPr>
        <w:t> </w:t>
      </w:r>
      <w:r>
        <w:rPr>
          <w:spacing w:val="-1"/>
          <w:sz w:val="21"/>
        </w:rPr>
        <w:t>期程度的慢性淋巴细胞白血病；</w:t>
      </w:r>
    </w:p>
    <w:p>
      <w:pPr>
        <w:pStyle w:val="BodyText"/>
        <w:spacing w:before="6"/>
        <w:rPr>
          <w:sz w:val="15"/>
        </w:rPr>
      </w:pPr>
    </w:p>
    <w:p>
      <w:pPr>
        <w:pStyle w:val="ListParagraph"/>
        <w:numPr>
          <w:ilvl w:val="3"/>
          <w:numId w:val="13"/>
        </w:numPr>
        <w:tabs>
          <w:tab w:pos="1969" w:val="left" w:leader="none"/>
          <w:tab w:pos="1970" w:val="left" w:leader="none"/>
        </w:tabs>
        <w:spacing w:line="240" w:lineRule="auto" w:before="1" w:after="0"/>
        <w:ind w:left="1970" w:right="0" w:hanging="360"/>
        <w:jc w:val="left"/>
        <w:rPr>
          <w:rFonts w:ascii="Times New Roman" w:eastAsia="Times New Roman"/>
          <w:sz w:val="21"/>
        </w:rPr>
      </w:pPr>
      <w:r>
        <w:rPr>
          <w:spacing w:val="-14"/>
          <w:sz w:val="21"/>
        </w:rPr>
        <w:t>相当于 </w:t>
      </w:r>
      <w:r>
        <w:rPr>
          <w:rFonts w:ascii="Times New Roman" w:eastAsia="Times New Roman"/>
          <w:sz w:val="21"/>
        </w:rPr>
        <w:t>Ann</w:t>
      </w:r>
      <w:r>
        <w:rPr>
          <w:rFonts w:ascii="Times New Roman" w:eastAsia="Times New Roman"/>
          <w:spacing w:val="-14"/>
          <w:sz w:val="21"/>
        </w:rPr>
        <w:t> </w:t>
      </w:r>
      <w:r>
        <w:rPr>
          <w:rFonts w:ascii="Times New Roman" w:eastAsia="Times New Roman"/>
          <w:sz w:val="21"/>
        </w:rPr>
        <w:t>Arbor</w:t>
      </w:r>
      <w:r>
        <w:rPr>
          <w:rFonts w:ascii="Times New Roman" w:eastAsia="Times New Roman"/>
          <w:spacing w:val="-12"/>
          <w:sz w:val="21"/>
        </w:rPr>
        <w:t> </w:t>
      </w:r>
      <w:r>
        <w:rPr>
          <w:spacing w:val="-11"/>
          <w:sz w:val="21"/>
        </w:rPr>
        <w:t>分期方案 </w:t>
      </w:r>
      <w:r>
        <w:rPr>
          <w:rFonts w:ascii="Times New Roman" w:eastAsia="Times New Roman"/>
          <w:sz w:val="21"/>
        </w:rPr>
        <w:t>I</w:t>
      </w:r>
      <w:r>
        <w:rPr>
          <w:rFonts w:ascii="Times New Roman" w:eastAsia="Times New Roman"/>
          <w:spacing w:val="-7"/>
          <w:sz w:val="21"/>
        </w:rPr>
        <w:t> </w:t>
      </w:r>
      <w:r>
        <w:rPr>
          <w:spacing w:val="-1"/>
          <w:sz w:val="21"/>
        </w:rPr>
        <w:t>期程度的何杰金氏病；</w:t>
      </w:r>
    </w:p>
    <w:p>
      <w:pPr>
        <w:pStyle w:val="BodyText"/>
        <w:spacing w:before="6"/>
        <w:rPr>
          <w:sz w:val="15"/>
        </w:rPr>
      </w:pPr>
    </w:p>
    <w:p>
      <w:pPr>
        <w:pStyle w:val="ListParagraph"/>
        <w:numPr>
          <w:ilvl w:val="3"/>
          <w:numId w:val="13"/>
        </w:numPr>
        <w:tabs>
          <w:tab w:pos="1969" w:val="left" w:leader="none"/>
          <w:tab w:pos="1970" w:val="left" w:leader="none"/>
        </w:tabs>
        <w:spacing w:line="240" w:lineRule="auto" w:before="0" w:after="0"/>
        <w:ind w:left="1970" w:right="0" w:hanging="360"/>
        <w:jc w:val="left"/>
        <w:rPr>
          <w:rFonts w:ascii="Times New Roman" w:eastAsia="Times New Roman"/>
          <w:sz w:val="21"/>
        </w:rPr>
      </w:pPr>
      <w:r>
        <w:rPr>
          <w:spacing w:val="1"/>
          <w:sz w:val="21"/>
        </w:rPr>
        <w:t>未发生淋巴结和远处转移且</w:t>
      </w:r>
      <w:r>
        <w:rPr>
          <w:rFonts w:ascii="Times New Roman" w:eastAsia="Times New Roman"/>
          <w:sz w:val="21"/>
        </w:rPr>
        <w:t>WHO</w:t>
      </w:r>
      <w:r>
        <w:rPr>
          <w:rFonts w:ascii="Times New Roman" w:eastAsia="Times New Roman"/>
          <w:spacing w:val="-21"/>
          <w:sz w:val="21"/>
        </w:rPr>
        <w:t> </w:t>
      </w:r>
      <w:r>
        <w:rPr>
          <w:spacing w:val="6"/>
          <w:sz w:val="21"/>
        </w:rPr>
        <w:t>分级为</w:t>
      </w:r>
      <w:r>
        <w:rPr>
          <w:rFonts w:ascii="Times New Roman" w:eastAsia="Times New Roman"/>
          <w:sz w:val="21"/>
        </w:rPr>
        <w:t>G1</w:t>
      </w:r>
      <w:r>
        <w:rPr>
          <w:rFonts w:ascii="Times New Roman" w:eastAsia="Times New Roman"/>
          <w:spacing w:val="-24"/>
          <w:sz w:val="21"/>
        </w:rPr>
        <w:t> </w:t>
      </w:r>
      <w:r>
        <w:rPr>
          <w:spacing w:val="-53"/>
          <w:sz w:val="21"/>
        </w:rPr>
        <w:t>级别</w:t>
      </w:r>
      <w:r>
        <w:rPr>
          <w:sz w:val="21"/>
        </w:rPr>
        <w:t>（核分裂像＜</w:t>
      </w:r>
      <w:r>
        <w:rPr>
          <w:rFonts w:ascii="Times New Roman" w:eastAsia="Times New Roman"/>
          <w:sz w:val="21"/>
        </w:rPr>
        <w:t>10/50</w:t>
      </w:r>
      <w:r>
        <w:rPr>
          <w:rFonts w:ascii="Times New Roman" w:eastAsia="Times New Roman"/>
          <w:spacing w:val="-9"/>
          <w:sz w:val="21"/>
        </w:rPr>
        <w:t> </w:t>
      </w:r>
      <w:r>
        <w:rPr>
          <w:rFonts w:ascii="Times New Roman" w:eastAsia="Times New Roman"/>
          <w:sz w:val="21"/>
        </w:rPr>
        <w:t>HPF</w:t>
      </w:r>
      <w:r>
        <w:rPr>
          <w:rFonts w:ascii="Times New Roman" w:eastAsia="Times New Roman"/>
          <w:spacing w:val="-26"/>
          <w:sz w:val="21"/>
        </w:rPr>
        <w:t> </w:t>
      </w:r>
      <w:r>
        <w:rPr>
          <w:spacing w:val="19"/>
          <w:sz w:val="21"/>
        </w:rPr>
        <w:t>和</w:t>
      </w:r>
      <w:r>
        <w:rPr>
          <w:rFonts w:ascii="Times New Roman" w:eastAsia="Times New Roman"/>
          <w:sz w:val="21"/>
        </w:rPr>
        <w:t>ki-</w:t>
      </w:r>
      <w:r>
        <w:rPr>
          <w:rFonts w:ascii="Times New Roman" w:eastAsia="Times New Roman"/>
          <w:spacing w:val="-5"/>
          <w:sz w:val="21"/>
        </w:rPr>
        <w:t>67</w:t>
      </w:r>
    </w:p>
    <w:p>
      <w:pPr>
        <w:pStyle w:val="BodyText"/>
        <w:spacing w:before="43"/>
        <w:ind w:left="1970"/>
      </w:pPr>
      <w:r>
        <w:rPr>
          <w:spacing w:val="-2"/>
        </w:rPr>
        <w:t>≤</w:t>
      </w:r>
      <w:r>
        <w:rPr>
          <w:rFonts w:ascii="Times New Roman" w:hAnsi="Times New Roman" w:eastAsia="Times New Roman"/>
          <w:spacing w:val="-2"/>
        </w:rPr>
        <w:t>2%</w:t>
      </w:r>
      <w:r>
        <w:rPr>
          <w:spacing w:val="-2"/>
        </w:rPr>
        <w:t>）</w:t>
      </w:r>
      <w:r>
        <w:rPr>
          <w:spacing w:val="-3"/>
        </w:rPr>
        <w:t>的神经内分泌肿瘤。</w:t>
      </w:r>
    </w:p>
    <w:p>
      <w:pPr>
        <w:pStyle w:val="BodyText"/>
        <w:rPr>
          <w:sz w:val="15"/>
        </w:rPr>
      </w:pPr>
    </w:p>
    <w:p>
      <w:pPr>
        <w:spacing w:before="0"/>
        <w:ind w:left="1610" w:right="0" w:firstLine="0"/>
        <w:jc w:val="left"/>
        <w:rPr>
          <w:b/>
          <w:sz w:val="21"/>
        </w:rPr>
      </w:pPr>
      <w:r>
        <w:rPr>
          <w:b/>
          <w:spacing w:val="-3"/>
          <w:sz w:val="21"/>
        </w:rPr>
        <w:t>下列疾病不属于“恶性肿瘤——轻度”，不在保障范围内：</w:t>
      </w:r>
    </w:p>
    <w:p>
      <w:pPr>
        <w:pStyle w:val="BodyText"/>
        <w:rPr>
          <w:b/>
          <w:sz w:val="15"/>
        </w:rPr>
      </w:pPr>
    </w:p>
    <w:p>
      <w:pPr>
        <w:spacing w:line="278" w:lineRule="auto" w:before="0"/>
        <w:ind w:left="1610" w:right="1054" w:firstLine="0"/>
        <w:jc w:val="left"/>
        <w:rPr>
          <w:b/>
          <w:sz w:val="21"/>
        </w:rPr>
      </w:pPr>
      <w:r>
        <w:rPr>
          <w:rFonts w:ascii="Times New Roman" w:eastAsia="Times New Roman"/>
          <w:b/>
          <w:sz w:val="21"/>
        </w:rPr>
        <w:t>ICD-O-3</w:t>
      </w:r>
      <w:r>
        <w:rPr>
          <w:rFonts w:ascii="Times New Roman" w:eastAsia="Times New Roman"/>
          <w:b/>
          <w:spacing w:val="-14"/>
          <w:sz w:val="21"/>
        </w:rPr>
        <w:t> </w:t>
      </w:r>
      <w:r>
        <w:rPr>
          <w:b/>
          <w:spacing w:val="-6"/>
          <w:sz w:val="21"/>
        </w:rPr>
        <w:t>肿瘤形态学编码属于 </w:t>
      </w:r>
      <w:r>
        <w:rPr>
          <w:rFonts w:ascii="Times New Roman" w:eastAsia="Times New Roman"/>
          <w:b/>
          <w:sz w:val="21"/>
        </w:rPr>
        <w:t>0</w:t>
      </w:r>
      <w:r>
        <w:rPr>
          <w:b/>
          <w:sz w:val="21"/>
        </w:rPr>
        <w:t>（良性肿瘤）、</w:t>
      </w:r>
      <w:r>
        <w:rPr>
          <w:rFonts w:ascii="Times New Roman" w:eastAsia="Times New Roman"/>
          <w:b/>
          <w:sz w:val="21"/>
        </w:rPr>
        <w:t>1</w:t>
      </w:r>
      <w:r>
        <w:rPr>
          <w:b/>
          <w:sz w:val="21"/>
        </w:rPr>
        <w:t>（动态未定性肿瘤）、</w:t>
      </w:r>
      <w:r>
        <w:rPr>
          <w:rFonts w:ascii="Times New Roman" w:eastAsia="Times New Roman"/>
          <w:b/>
          <w:sz w:val="21"/>
        </w:rPr>
        <w:t>2</w:t>
      </w:r>
      <w:r>
        <w:rPr>
          <w:b/>
          <w:sz w:val="21"/>
        </w:rPr>
        <w:t>（原位癌</w:t>
      </w:r>
      <w:r>
        <w:rPr>
          <w:b/>
          <w:spacing w:val="-2"/>
          <w:sz w:val="21"/>
        </w:rPr>
        <w:t>和非侵袭性癌）范畴的疾病，如：</w:t>
      </w:r>
    </w:p>
    <w:p>
      <w:pPr>
        <w:pStyle w:val="ListParagraph"/>
        <w:numPr>
          <w:ilvl w:val="0"/>
          <w:numId w:val="14"/>
        </w:numPr>
        <w:tabs>
          <w:tab w:pos="1970" w:val="left" w:leader="none"/>
        </w:tabs>
        <w:spacing w:line="278" w:lineRule="auto" w:before="156" w:after="0"/>
        <w:ind w:left="1970" w:right="1067" w:hanging="360"/>
        <w:jc w:val="both"/>
        <w:rPr>
          <w:b/>
          <w:sz w:val="21"/>
        </w:rPr>
      </w:pPr>
      <w:r>
        <w:rPr>
          <w:b/>
          <w:spacing w:val="-2"/>
          <w:sz w:val="21"/>
        </w:rPr>
        <w:t>原位癌，癌前病变，非浸润性癌，非侵袭性癌，肿瘤细胞未侵犯基底层，上皮</w:t>
      </w:r>
      <w:r>
        <w:rPr>
          <w:b/>
          <w:spacing w:val="-2"/>
          <w:sz w:val="21"/>
        </w:rPr>
        <w:t>内瘤变，细胞不典型性增生等；</w:t>
      </w:r>
    </w:p>
    <w:p>
      <w:pPr>
        <w:pStyle w:val="ListParagraph"/>
        <w:numPr>
          <w:ilvl w:val="0"/>
          <w:numId w:val="14"/>
        </w:numPr>
        <w:tabs>
          <w:tab w:pos="1969" w:val="left" w:leader="none"/>
          <w:tab w:pos="1970" w:val="left" w:leader="none"/>
        </w:tabs>
        <w:spacing w:line="240" w:lineRule="auto" w:before="156" w:after="0"/>
        <w:ind w:left="1970" w:right="0" w:hanging="360"/>
        <w:jc w:val="left"/>
        <w:rPr>
          <w:b/>
          <w:sz w:val="21"/>
        </w:rPr>
      </w:pPr>
      <w:r>
        <w:rPr>
          <w:b/>
          <w:spacing w:val="-3"/>
          <w:sz w:val="21"/>
        </w:rPr>
        <w:t>交界性肿瘤，交界恶性肿瘤，肿瘤低度恶性潜能，潜在低度恶性肿瘤等。</w:t>
      </w:r>
    </w:p>
    <w:p>
      <w:pPr>
        <w:pStyle w:val="BodyText"/>
        <w:rPr>
          <w:b/>
          <w:sz w:val="15"/>
        </w:rPr>
      </w:pPr>
    </w:p>
    <w:p>
      <w:pPr>
        <w:pStyle w:val="ListParagraph"/>
        <w:numPr>
          <w:ilvl w:val="2"/>
          <w:numId w:val="13"/>
        </w:numPr>
        <w:tabs>
          <w:tab w:pos="1818" w:val="left" w:leader="none"/>
          <w:tab w:pos="1819" w:val="left" w:leader="none"/>
        </w:tabs>
        <w:spacing w:line="240" w:lineRule="auto" w:before="0" w:after="0"/>
        <w:ind w:left="1818" w:right="0" w:hanging="802"/>
        <w:jc w:val="left"/>
        <w:rPr>
          <w:b/>
          <w:sz w:val="21"/>
        </w:rPr>
      </w:pPr>
      <w:r>
        <w:rPr>
          <w:b/>
          <w:spacing w:val="-2"/>
          <w:sz w:val="21"/>
        </w:rPr>
        <w:t>较轻急性心肌梗死</w:t>
      </w:r>
    </w:p>
    <w:p>
      <w:pPr>
        <w:pStyle w:val="BodyText"/>
        <w:spacing w:line="278" w:lineRule="auto" w:before="163"/>
        <w:ind w:left="1610" w:right="1026"/>
      </w:pPr>
      <w:r>
        <w:rPr>
          <w:spacing w:val="-2"/>
        </w:rPr>
        <w:t>急性心肌梗死指由于冠状动脉闭塞或梗阻引起部分心肌严重的持久性缺血造成急性</w:t>
      </w:r>
      <w:r>
        <w:rPr>
          <w:spacing w:val="-2"/>
        </w:rPr>
        <w:t>心肌坏死。急性心肌梗死的诊断必须依据国际国内诊断标准，符合：</w:t>
      </w:r>
    </w:p>
    <w:p>
      <w:pPr>
        <w:pStyle w:val="ListParagraph"/>
        <w:numPr>
          <w:ilvl w:val="3"/>
          <w:numId w:val="13"/>
        </w:numPr>
        <w:tabs>
          <w:tab w:pos="1970" w:val="left" w:leader="none"/>
        </w:tabs>
        <w:spacing w:line="278" w:lineRule="auto" w:before="155" w:after="0"/>
        <w:ind w:left="1970" w:right="1066" w:hanging="360"/>
        <w:jc w:val="both"/>
        <w:rPr>
          <w:rFonts w:ascii="Times New Roman" w:eastAsia="Times New Roman"/>
          <w:sz w:val="21"/>
        </w:rPr>
      </w:pPr>
      <w:r>
        <w:rPr>
          <w:spacing w:val="-2"/>
          <w:sz w:val="21"/>
        </w:rPr>
        <w:t>检测到肌酸激酶同工酶（</w:t>
      </w:r>
      <w:r>
        <w:rPr>
          <w:rFonts w:ascii="Times New Roman" w:eastAsia="Times New Roman"/>
          <w:spacing w:val="-2"/>
          <w:sz w:val="21"/>
        </w:rPr>
        <w:t>CK-MB</w:t>
      </w:r>
      <w:r>
        <w:rPr>
          <w:spacing w:val="-2"/>
          <w:sz w:val="21"/>
        </w:rPr>
        <w:t>）或肌钙蛋白（</w:t>
      </w:r>
      <w:r>
        <w:rPr>
          <w:rFonts w:ascii="Times New Roman" w:eastAsia="Times New Roman"/>
          <w:spacing w:val="-2"/>
          <w:sz w:val="21"/>
        </w:rPr>
        <w:t>cTn</w:t>
      </w:r>
      <w:r>
        <w:rPr>
          <w:spacing w:val="-2"/>
          <w:sz w:val="21"/>
        </w:rPr>
        <w:t>）升高和</w:t>
      </w:r>
      <w:r>
        <w:rPr>
          <w:rFonts w:ascii="Times New Roman" w:eastAsia="Times New Roman"/>
          <w:spacing w:val="-2"/>
          <w:sz w:val="21"/>
        </w:rPr>
        <w:t>/</w:t>
      </w:r>
      <w:r>
        <w:rPr>
          <w:spacing w:val="-2"/>
          <w:sz w:val="21"/>
        </w:rPr>
        <w:t>或降低的动态变</w:t>
      </w:r>
      <w:r>
        <w:rPr>
          <w:spacing w:val="-2"/>
          <w:sz w:val="21"/>
        </w:rPr>
        <w:t>化，至少一次达到或超过心肌梗死的临床诊断标准；</w:t>
      </w:r>
    </w:p>
    <w:p>
      <w:pPr>
        <w:pStyle w:val="ListParagraph"/>
        <w:numPr>
          <w:ilvl w:val="3"/>
          <w:numId w:val="13"/>
        </w:numPr>
        <w:tabs>
          <w:tab w:pos="1970" w:val="left" w:leader="none"/>
        </w:tabs>
        <w:spacing w:line="278" w:lineRule="auto" w:before="156" w:after="0"/>
        <w:ind w:left="1970" w:right="1042" w:hanging="360"/>
        <w:jc w:val="both"/>
        <w:rPr>
          <w:rFonts w:ascii="Times New Roman" w:eastAsia="Times New Roman"/>
          <w:sz w:val="21"/>
        </w:rPr>
      </w:pPr>
      <w:r>
        <w:rPr>
          <w:spacing w:val="-2"/>
          <w:sz w:val="21"/>
        </w:rPr>
        <w:t>同时存在下列之一的证据，包括：缺血性胸痛症状、新发生的缺血性心电图改</w:t>
      </w:r>
      <w:r>
        <w:rPr>
          <w:spacing w:val="-5"/>
          <w:sz w:val="21"/>
        </w:rPr>
        <w:t>变、新生成的病理性 </w:t>
      </w:r>
      <w:r>
        <w:rPr>
          <w:rFonts w:ascii="Times New Roman" w:eastAsia="Times New Roman"/>
          <w:spacing w:val="-2"/>
          <w:sz w:val="21"/>
        </w:rPr>
        <w:t>Q</w:t>
      </w:r>
      <w:r>
        <w:rPr>
          <w:rFonts w:ascii="Times New Roman" w:eastAsia="Times New Roman"/>
          <w:spacing w:val="11"/>
          <w:sz w:val="21"/>
        </w:rPr>
        <w:t> </w:t>
      </w:r>
      <w:r>
        <w:rPr>
          <w:spacing w:val="-2"/>
          <w:sz w:val="21"/>
        </w:rPr>
        <w:t>波、影像学证据显示有新出现的心肌活性丧失或新出现</w:t>
      </w:r>
      <w:r>
        <w:rPr>
          <w:spacing w:val="-2"/>
          <w:sz w:val="21"/>
        </w:rPr>
        <w:t>局部室壁运动异常、冠脉造影证实存在冠状动脉血栓。</w:t>
      </w:r>
    </w:p>
    <w:p>
      <w:pPr>
        <w:pStyle w:val="BodyText"/>
        <w:spacing w:line="278" w:lineRule="auto" w:before="156"/>
        <w:ind w:left="1610" w:right="1026"/>
      </w:pPr>
      <w:r>
        <w:rPr>
          <w:spacing w:val="-2"/>
        </w:rPr>
        <w:t>较轻急性心肌梗死指依照上述标准被明确诊断为急性心肌梗死，但未达到“较重急</w:t>
      </w:r>
      <w:r>
        <w:rPr>
          <w:spacing w:val="-2"/>
        </w:rPr>
        <w:t>性心肌梗死”的给付标准。</w:t>
      </w:r>
    </w:p>
    <w:p>
      <w:pPr>
        <w:spacing w:before="156"/>
        <w:ind w:left="1610" w:right="0" w:firstLine="0"/>
        <w:jc w:val="left"/>
        <w:rPr>
          <w:b/>
          <w:sz w:val="21"/>
        </w:rPr>
      </w:pPr>
      <w:r>
        <w:rPr>
          <w:b/>
          <w:spacing w:val="-2"/>
          <w:sz w:val="21"/>
        </w:rPr>
        <w:t>其他非冠状动脉阻塞性疾病引起的肌钙蛋白（</w:t>
      </w:r>
      <w:r>
        <w:rPr>
          <w:rFonts w:ascii="Times New Roman" w:eastAsia="Times New Roman"/>
          <w:b/>
          <w:spacing w:val="-2"/>
          <w:sz w:val="21"/>
        </w:rPr>
        <w:t>cTn</w:t>
      </w:r>
      <w:r>
        <w:rPr>
          <w:b/>
          <w:spacing w:val="-2"/>
          <w:sz w:val="21"/>
        </w:rPr>
        <w:t>）</w:t>
      </w:r>
      <w:r>
        <w:rPr>
          <w:b/>
          <w:spacing w:val="-3"/>
          <w:sz w:val="21"/>
        </w:rPr>
        <w:t>升高不在保障范围内。</w:t>
      </w:r>
    </w:p>
    <w:p>
      <w:pPr>
        <w:pStyle w:val="BodyText"/>
        <w:rPr>
          <w:b/>
          <w:sz w:val="15"/>
        </w:rPr>
      </w:pPr>
    </w:p>
    <w:p>
      <w:pPr>
        <w:pStyle w:val="ListParagraph"/>
        <w:numPr>
          <w:ilvl w:val="2"/>
          <w:numId w:val="13"/>
        </w:numPr>
        <w:tabs>
          <w:tab w:pos="1818" w:val="left" w:leader="none"/>
          <w:tab w:pos="1819" w:val="left" w:leader="none"/>
        </w:tabs>
        <w:spacing w:line="240" w:lineRule="auto" w:before="0" w:after="0"/>
        <w:ind w:left="1818" w:right="0" w:hanging="802"/>
        <w:jc w:val="left"/>
        <w:rPr>
          <w:b/>
          <w:sz w:val="21"/>
        </w:rPr>
      </w:pPr>
      <w:r>
        <w:rPr>
          <w:b/>
          <w:spacing w:val="-2"/>
          <w:sz w:val="21"/>
        </w:rPr>
        <w:t>轻度脑中风后遗症</w:t>
      </w:r>
    </w:p>
    <w:p>
      <w:pPr>
        <w:pStyle w:val="BodyText"/>
        <w:spacing w:line="278" w:lineRule="auto" w:before="163"/>
        <w:ind w:left="1610" w:right="972"/>
      </w:pPr>
      <w:r>
        <w:rPr>
          <w:spacing w:val="-2"/>
        </w:rPr>
        <w:t>指因脑血管的突发病变引起脑血管出血、栓塞或梗塞，须由头颅断层扫描（</w:t>
      </w:r>
      <w:r>
        <w:rPr>
          <w:rFonts w:ascii="Times New Roman" w:hAnsi="Times New Roman" w:eastAsia="Times New Roman"/>
          <w:spacing w:val="-2"/>
        </w:rPr>
        <w:t>CT</w:t>
      </w:r>
      <w:r>
        <w:rPr>
          <w:spacing w:val="-2"/>
        </w:rPr>
        <w:t>）、</w:t>
      </w:r>
      <w:r>
        <w:rPr>
          <w:spacing w:val="-2"/>
        </w:rPr>
        <w:t>核磁共振检查（</w:t>
      </w:r>
      <w:r>
        <w:rPr>
          <w:rFonts w:ascii="Times New Roman" w:hAnsi="Times New Roman" w:eastAsia="Times New Roman"/>
          <w:spacing w:val="-2"/>
        </w:rPr>
        <w:t>MRI</w:t>
      </w:r>
      <w:r>
        <w:rPr>
          <w:spacing w:val="-2"/>
        </w:rPr>
        <w:t>）等影像学检查证实，并导致神经系统永久性的功能障碍，但</w:t>
      </w:r>
      <w:r>
        <w:rPr>
          <w:spacing w:val="-2"/>
        </w:rPr>
        <w:t>未达到“严重脑中风后遗症”的给付标准，在疾病确诊 </w:t>
      </w:r>
      <w:r>
        <w:rPr>
          <w:rFonts w:ascii="Times New Roman" w:hAnsi="Times New Roman" w:eastAsia="Times New Roman"/>
        </w:rPr>
        <w:t>180 </w:t>
      </w:r>
      <w:r>
        <w:rPr/>
        <w:t>天后，仍遗留下列至少</w:t>
      </w:r>
      <w:r>
        <w:rPr>
          <w:spacing w:val="-2"/>
        </w:rPr>
        <w:t>一种障碍：</w:t>
      </w:r>
    </w:p>
    <w:p>
      <w:pPr>
        <w:pStyle w:val="ListParagraph"/>
        <w:numPr>
          <w:ilvl w:val="3"/>
          <w:numId w:val="13"/>
        </w:numPr>
        <w:tabs>
          <w:tab w:pos="1981" w:val="left" w:leader="none"/>
          <w:tab w:pos="1982" w:val="left" w:leader="none"/>
        </w:tabs>
        <w:spacing w:line="240" w:lineRule="auto" w:before="156" w:after="0"/>
        <w:ind w:left="1982" w:right="0" w:hanging="375"/>
        <w:jc w:val="left"/>
        <w:rPr>
          <w:rFonts w:ascii="Times New Roman" w:eastAsia="Times New Roman"/>
          <w:sz w:val="21"/>
        </w:rPr>
      </w:pPr>
      <w:r>
        <w:rPr>
          <w:spacing w:val="-2"/>
          <w:sz w:val="21"/>
        </w:rPr>
        <w:t>一肢（含）</w:t>
      </w:r>
      <w:r>
        <w:rPr>
          <w:spacing w:val="-8"/>
          <w:sz w:val="21"/>
        </w:rPr>
        <w:t>以上肢体肌力为 </w:t>
      </w:r>
      <w:r>
        <w:rPr>
          <w:rFonts w:ascii="Times New Roman" w:eastAsia="Times New Roman"/>
          <w:spacing w:val="-2"/>
          <w:sz w:val="21"/>
        </w:rPr>
        <w:t>3</w:t>
      </w:r>
      <w:r>
        <w:rPr>
          <w:rFonts w:ascii="Times New Roman" w:eastAsia="Times New Roman"/>
          <w:spacing w:val="5"/>
          <w:sz w:val="21"/>
        </w:rPr>
        <w:t> </w:t>
      </w:r>
      <w:r>
        <w:rPr>
          <w:spacing w:val="-6"/>
          <w:sz w:val="21"/>
        </w:rPr>
        <w:t>级；</w:t>
      </w:r>
    </w:p>
    <w:p>
      <w:pPr>
        <w:pStyle w:val="BodyText"/>
        <w:spacing w:before="6"/>
        <w:rPr>
          <w:sz w:val="15"/>
        </w:rPr>
      </w:pPr>
    </w:p>
    <w:p>
      <w:pPr>
        <w:pStyle w:val="ListParagraph"/>
        <w:numPr>
          <w:ilvl w:val="3"/>
          <w:numId w:val="13"/>
        </w:numPr>
        <w:tabs>
          <w:tab w:pos="1981" w:val="left" w:leader="none"/>
          <w:tab w:pos="1982" w:val="left" w:leader="none"/>
        </w:tabs>
        <w:spacing w:line="240" w:lineRule="auto" w:before="1" w:after="0"/>
        <w:ind w:left="1982" w:right="0" w:hanging="375"/>
        <w:jc w:val="left"/>
        <w:rPr>
          <w:rFonts w:ascii="Times New Roman" w:eastAsia="Times New Roman"/>
          <w:sz w:val="21"/>
        </w:rPr>
      </w:pPr>
      <w:r>
        <w:rPr>
          <w:spacing w:val="-3"/>
          <w:sz w:val="21"/>
        </w:rPr>
        <w:t>自主生活能力部分丧失，无法独立完成六项基本日常生活活动中的两项。</w:t>
      </w:r>
    </w:p>
    <w:p>
      <w:pPr>
        <w:pStyle w:val="BodyText"/>
        <w:spacing w:before="6"/>
        <w:rPr>
          <w:sz w:val="15"/>
        </w:rPr>
      </w:pPr>
    </w:p>
    <w:p>
      <w:pPr>
        <w:pStyle w:val="ListParagraph"/>
        <w:numPr>
          <w:ilvl w:val="2"/>
          <w:numId w:val="13"/>
        </w:numPr>
        <w:tabs>
          <w:tab w:pos="1818" w:val="left" w:leader="none"/>
          <w:tab w:pos="1819" w:val="left" w:leader="none"/>
        </w:tabs>
        <w:spacing w:line="240" w:lineRule="auto" w:before="0" w:after="0"/>
        <w:ind w:left="1818" w:right="0" w:hanging="802"/>
        <w:jc w:val="left"/>
        <w:rPr>
          <w:b/>
          <w:sz w:val="21"/>
        </w:rPr>
      </w:pPr>
      <w:r>
        <w:rPr>
          <w:b/>
          <w:spacing w:val="-4"/>
          <w:sz w:val="21"/>
        </w:rPr>
        <w:t>原位癌</w:t>
      </w:r>
    </w:p>
    <w:p>
      <w:pPr>
        <w:pStyle w:val="BodyText"/>
        <w:spacing w:line="278" w:lineRule="auto" w:before="163"/>
        <w:ind w:left="1610" w:right="1026"/>
      </w:pPr>
      <w:r>
        <w:rPr>
          <w:spacing w:val="-2"/>
        </w:rPr>
        <w:t>指异型增生的细胞在形态和生物学特性上与癌细胞相同，并累及上皮的全层，但没</w:t>
      </w:r>
      <w:r>
        <w:rPr>
          <w:spacing w:val="-3"/>
        </w:rPr>
        <w:t>有突破基底膜向下浸润。须经病理学检查结果明确诊断，临床诊断属于世界卫生组</w:t>
      </w:r>
    </w:p>
    <w:p>
      <w:pPr>
        <w:spacing w:after="0" w:line="278" w:lineRule="auto"/>
        <w:sectPr>
          <w:pgSz w:w="11910" w:h="16840"/>
          <w:pgMar w:top="1380" w:bottom="280" w:left="1280" w:right="420"/>
        </w:sectPr>
      </w:pPr>
    </w:p>
    <w:p>
      <w:pPr>
        <w:pStyle w:val="BodyText"/>
        <w:spacing w:line="278" w:lineRule="auto" w:before="64"/>
        <w:ind w:left="1610" w:right="1018"/>
        <w:jc w:val="both"/>
      </w:pPr>
      <w:r>
        <w:rPr>
          <w:spacing w:val="-2"/>
        </w:rPr>
        <w:t>织《疾病和有关健康问题的国际统计分类》（</w:t>
      </w:r>
      <w:r>
        <w:rPr>
          <w:rFonts w:ascii="Times New Roman" w:eastAsia="Times New Roman"/>
          <w:spacing w:val="-2"/>
        </w:rPr>
        <w:t>ICD-10</w:t>
      </w:r>
      <w:r>
        <w:rPr>
          <w:spacing w:val="-2"/>
        </w:rPr>
        <w:t>）的原位癌范畴。被保险人必</w:t>
      </w:r>
      <w:r>
        <w:rPr>
          <w:spacing w:val="-2"/>
        </w:rPr>
        <w:t>须经组织病理学检查被明确诊断为原位癌，并且接受了相应的治疗。原位癌必须在</w:t>
      </w:r>
      <w:r>
        <w:rPr>
          <w:spacing w:val="-2"/>
        </w:rPr>
        <w:t>生前诊断。</w:t>
      </w:r>
    </w:p>
    <w:p>
      <w:pPr>
        <w:spacing w:before="156"/>
        <w:ind w:left="1610" w:right="0" w:firstLine="0"/>
        <w:jc w:val="left"/>
        <w:rPr>
          <w:b/>
          <w:sz w:val="21"/>
        </w:rPr>
      </w:pPr>
      <w:r>
        <w:rPr>
          <w:b/>
          <w:spacing w:val="-3"/>
          <w:sz w:val="21"/>
        </w:rPr>
        <w:t>以下情况不在保障范围内：</w:t>
      </w:r>
    </w:p>
    <w:p>
      <w:pPr>
        <w:pStyle w:val="BodyText"/>
        <w:rPr>
          <w:b/>
          <w:sz w:val="15"/>
        </w:rPr>
      </w:pPr>
    </w:p>
    <w:p>
      <w:pPr>
        <w:pStyle w:val="ListParagraph"/>
        <w:numPr>
          <w:ilvl w:val="3"/>
          <w:numId w:val="13"/>
        </w:numPr>
        <w:tabs>
          <w:tab w:pos="1981" w:val="left" w:leader="none"/>
          <w:tab w:pos="1982" w:val="left" w:leader="none"/>
        </w:tabs>
        <w:spacing w:line="240" w:lineRule="auto" w:before="0" w:after="0"/>
        <w:ind w:left="1982" w:right="0" w:hanging="372"/>
        <w:jc w:val="left"/>
        <w:rPr>
          <w:rFonts w:ascii="Times New Roman" w:eastAsia="Times New Roman"/>
          <w:b/>
          <w:sz w:val="21"/>
        </w:rPr>
      </w:pPr>
      <w:r>
        <w:rPr>
          <w:b/>
          <w:spacing w:val="-3"/>
          <w:sz w:val="21"/>
        </w:rPr>
        <w:t>被保险人所患癌症在被诊断时已经超越原位癌阶段者；</w:t>
      </w:r>
    </w:p>
    <w:p>
      <w:pPr>
        <w:pStyle w:val="BodyText"/>
        <w:spacing w:before="6"/>
        <w:rPr>
          <w:b/>
          <w:sz w:val="15"/>
        </w:rPr>
      </w:pPr>
    </w:p>
    <w:p>
      <w:pPr>
        <w:pStyle w:val="ListParagraph"/>
        <w:numPr>
          <w:ilvl w:val="3"/>
          <w:numId w:val="13"/>
        </w:numPr>
        <w:tabs>
          <w:tab w:pos="1981" w:val="left" w:leader="none"/>
          <w:tab w:pos="1982" w:val="left" w:leader="none"/>
        </w:tabs>
        <w:spacing w:line="278" w:lineRule="auto" w:before="1" w:after="0"/>
        <w:ind w:left="1970" w:right="994" w:hanging="360"/>
        <w:jc w:val="left"/>
        <w:rPr>
          <w:rFonts w:ascii="Times New Roman" w:eastAsia="Times New Roman"/>
          <w:b/>
          <w:sz w:val="21"/>
        </w:rPr>
      </w:pPr>
      <w:r>
        <w:rPr>
          <w:b/>
          <w:spacing w:val="-2"/>
          <w:sz w:val="21"/>
        </w:rPr>
        <w:t>癌前病变（</w:t>
      </w:r>
      <w:r>
        <w:rPr>
          <w:b/>
          <w:spacing w:val="-7"/>
          <w:sz w:val="21"/>
        </w:rPr>
        <w:t>包括宫颈上皮内瘤样病变 </w:t>
      </w:r>
      <w:r>
        <w:rPr>
          <w:rFonts w:ascii="Times New Roman" w:eastAsia="Times New Roman"/>
          <w:b/>
          <w:spacing w:val="-2"/>
          <w:sz w:val="21"/>
        </w:rPr>
        <w:t>CIN-1</w:t>
      </w:r>
      <w:r>
        <w:rPr>
          <w:b/>
          <w:spacing w:val="-2"/>
          <w:sz w:val="21"/>
        </w:rPr>
        <w:t>，</w:t>
      </w:r>
      <w:r>
        <w:rPr>
          <w:rFonts w:ascii="Times New Roman" w:eastAsia="Times New Roman"/>
          <w:b/>
          <w:spacing w:val="-2"/>
          <w:sz w:val="21"/>
        </w:rPr>
        <w:t>CIN-2</w:t>
      </w:r>
      <w:r>
        <w:rPr>
          <w:b/>
          <w:spacing w:val="-2"/>
          <w:sz w:val="21"/>
        </w:rPr>
        <w:t>，重度不典型增生但非原位</w:t>
      </w:r>
      <w:r>
        <w:rPr>
          <w:b/>
          <w:spacing w:val="-4"/>
          <w:sz w:val="21"/>
        </w:rPr>
        <w:t>癌）；</w:t>
      </w:r>
    </w:p>
    <w:p>
      <w:pPr>
        <w:pStyle w:val="ListParagraph"/>
        <w:numPr>
          <w:ilvl w:val="3"/>
          <w:numId w:val="13"/>
        </w:numPr>
        <w:tabs>
          <w:tab w:pos="1981" w:val="left" w:leader="none"/>
          <w:tab w:pos="1982" w:val="left" w:leader="none"/>
        </w:tabs>
        <w:spacing w:line="240" w:lineRule="auto" w:before="155" w:after="0"/>
        <w:ind w:left="1982" w:right="0" w:hanging="372"/>
        <w:jc w:val="left"/>
        <w:rPr>
          <w:rFonts w:ascii="Times New Roman" w:eastAsia="Times New Roman"/>
          <w:b/>
          <w:sz w:val="21"/>
        </w:rPr>
      </w:pPr>
      <w:r>
        <w:rPr>
          <w:b/>
          <w:spacing w:val="-3"/>
          <w:sz w:val="21"/>
        </w:rPr>
        <w:t>感染艾滋病病毒或患艾滋病期间所患原位癌不在保障范围内。</w:t>
      </w:r>
    </w:p>
    <w:p>
      <w:pPr>
        <w:pStyle w:val="BodyText"/>
        <w:rPr>
          <w:b/>
          <w:sz w:val="15"/>
        </w:rPr>
      </w:pPr>
    </w:p>
    <w:p>
      <w:pPr>
        <w:pStyle w:val="ListParagraph"/>
        <w:numPr>
          <w:ilvl w:val="2"/>
          <w:numId w:val="13"/>
        </w:numPr>
        <w:tabs>
          <w:tab w:pos="1819" w:val="left" w:leader="none"/>
        </w:tabs>
        <w:spacing w:line="240" w:lineRule="auto" w:before="0" w:after="0"/>
        <w:ind w:left="1818" w:right="0" w:hanging="802"/>
        <w:jc w:val="both"/>
        <w:rPr>
          <w:b/>
          <w:sz w:val="21"/>
        </w:rPr>
      </w:pPr>
      <w:r>
        <w:rPr>
          <w:b/>
          <w:spacing w:val="-2"/>
          <w:sz w:val="21"/>
        </w:rPr>
        <w:t>冠状动脉介入手术（非开胸手术</w:t>
      </w:r>
      <w:r>
        <w:rPr>
          <w:b/>
          <w:spacing w:val="-10"/>
          <w:sz w:val="21"/>
        </w:rPr>
        <w:t>）</w:t>
      </w:r>
    </w:p>
    <w:p>
      <w:pPr>
        <w:pStyle w:val="BodyText"/>
        <w:spacing w:line="278" w:lineRule="auto" w:before="163"/>
        <w:ind w:left="1610" w:right="1026"/>
      </w:pPr>
      <w:r>
        <w:rPr>
          <w:spacing w:val="-2"/>
        </w:rPr>
        <w:t>为了治疗明显的冠状动脉狭窄性疾病，首次实际实施了冠状动脉球囊扩张成形术、</w:t>
      </w:r>
      <w:r>
        <w:rPr>
          <w:spacing w:val="-2"/>
        </w:rPr>
        <w:t>冠状动脉支架植入术、冠状动脉粥样斑块切除术或激光冠状动脉成形术。</w:t>
      </w:r>
    </w:p>
    <w:p>
      <w:pPr>
        <w:spacing w:line="278" w:lineRule="auto" w:before="156"/>
        <w:ind w:left="1610" w:right="1004" w:firstLine="0"/>
        <w:jc w:val="both"/>
        <w:rPr>
          <w:b/>
          <w:sz w:val="21"/>
        </w:rPr>
      </w:pPr>
      <w:r>
        <w:rPr>
          <w:b/>
          <w:spacing w:val="-2"/>
          <w:sz w:val="21"/>
        </w:rPr>
        <w:t>本合同仅对“冠状动脉介入手术（非开胸手术）”、“较轻急性心肌梗死”、“激</w:t>
      </w:r>
      <w:r>
        <w:rPr>
          <w:b/>
          <w:spacing w:val="-2"/>
          <w:sz w:val="21"/>
        </w:rPr>
        <w:t>光心肌血运重建术”中的一项承担保险责任，承担其中一项轻症疾病保险责任后，</w:t>
      </w:r>
      <w:r>
        <w:rPr>
          <w:b/>
          <w:spacing w:val="-2"/>
          <w:sz w:val="21"/>
        </w:rPr>
        <w:t>其他两项轻症疾病的保险责任终止。</w:t>
      </w:r>
    </w:p>
    <w:p>
      <w:pPr>
        <w:spacing w:line="278" w:lineRule="auto" w:before="156"/>
        <w:ind w:left="1610" w:right="992" w:firstLine="0"/>
        <w:jc w:val="both"/>
        <w:rPr>
          <w:b/>
          <w:sz w:val="21"/>
        </w:rPr>
      </w:pPr>
      <w:r>
        <w:rPr>
          <w:b/>
          <w:spacing w:val="-4"/>
          <w:sz w:val="21"/>
        </w:rPr>
        <w:t>被保险人已经达到本合同 “较重急性心肌梗死”或“严重冠状动脉粥样硬化性心脏</w:t>
      </w:r>
      <w:r>
        <w:rPr>
          <w:b/>
          <w:spacing w:val="-2"/>
          <w:sz w:val="21"/>
        </w:rPr>
        <w:t>病”标准的，则不再承担本疾病的保险责任。</w:t>
      </w:r>
    </w:p>
    <w:p>
      <w:pPr>
        <w:pStyle w:val="ListParagraph"/>
        <w:numPr>
          <w:ilvl w:val="2"/>
          <w:numId w:val="13"/>
        </w:numPr>
        <w:tabs>
          <w:tab w:pos="1819" w:val="left" w:leader="none"/>
        </w:tabs>
        <w:spacing w:line="240" w:lineRule="auto" w:before="156" w:after="0"/>
        <w:ind w:left="1818" w:right="0" w:hanging="802"/>
        <w:jc w:val="both"/>
        <w:rPr>
          <w:b/>
          <w:sz w:val="21"/>
        </w:rPr>
      </w:pPr>
      <w:r>
        <w:rPr>
          <w:b/>
          <w:spacing w:val="-2"/>
          <w:sz w:val="21"/>
        </w:rPr>
        <w:t>主动脉内手术（非开胸手术</w:t>
      </w:r>
      <w:r>
        <w:rPr>
          <w:b/>
          <w:spacing w:val="-10"/>
          <w:sz w:val="21"/>
        </w:rPr>
        <w:t>）</w:t>
      </w:r>
    </w:p>
    <w:p>
      <w:pPr>
        <w:spacing w:line="278" w:lineRule="auto" w:before="163"/>
        <w:ind w:left="1610" w:right="1026" w:firstLine="0"/>
        <w:jc w:val="left"/>
        <w:rPr>
          <w:b/>
          <w:sz w:val="21"/>
        </w:rPr>
      </w:pPr>
      <w:r>
        <w:rPr>
          <w:spacing w:val="-2"/>
          <w:sz w:val="21"/>
        </w:rPr>
        <w:t>为了治疗主动脉疾病实际实施了经皮经导管进行的动脉内手术。主动脉指胸主动脉</w:t>
      </w:r>
      <w:r>
        <w:rPr>
          <w:spacing w:val="-2"/>
          <w:sz w:val="21"/>
        </w:rPr>
        <w:t>和腹主动脉，</w:t>
      </w:r>
      <w:r>
        <w:rPr>
          <w:b/>
          <w:spacing w:val="-2"/>
          <w:sz w:val="21"/>
        </w:rPr>
        <w:t>不包括胸主动脉和腹主动脉的分支血管。</w:t>
      </w:r>
    </w:p>
    <w:p>
      <w:pPr>
        <w:spacing w:before="156"/>
        <w:ind w:left="1610" w:right="0" w:firstLine="0"/>
        <w:jc w:val="left"/>
        <w:rPr>
          <w:b/>
          <w:sz w:val="21"/>
        </w:rPr>
      </w:pPr>
      <w:r>
        <w:rPr>
          <w:b/>
          <w:spacing w:val="-3"/>
          <w:sz w:val="21"/>
        </w:rPr>
        <w:t>但未达到本合同所指重大疾病“主动脉手术”的给付标准。</w:t>
      </w:r>
    </w:p>
    <w:p>
      <w:pPr>
        <w:pStyle w:val="BodyText"/>
        <w:rPr>
          <w:b/>
          <w:sz w:val="15"/>
        </w:rPr>
      </w:pPr>
    </w:p>
    <w:p>
      <w:pPr>
        <w:pStyle w:val="ListParagraph"/>
        <w:numPr>
          <w:ilvl w:val="2"/>
          <w:numId w:val="13"/>
        </w:numPr>
        <w:tabs>
          <w:tab w:pos="1818" w:val="left" w:leader="none"/>
          <w:tab w:pos="1819" w:val="left" w:leader="none"/>
        </w:tabs>
        <w:spacing w:line="240" w:lineRule="auto" w:before="0" w:after="0"/>
        <w:ind w:left="1818" w:right="0" w:hanging="802"/>
        <w:jc w:val="left"/>
        <w:rPr>
          <w:b/>
          <w:sz w:val="21"/>
        </w:rPr>
      </w:pPr>
      <w:r>
        <w:rPr>
          <w:b/>
          <w:spacing w:val="-3"/>
          <w:sz w:val="21"/>
        </w:rPr>
        <w:t>脑垂体瘤、脑囊肿、脑动脉瘤及脑血管瘤</w:t>
      </w:r>
    </w:p>
    <w:p>
      <w:pPr>
        <w:pStyle w:val="BodyText"/>
        <w:spacing w:line="278" w:lineRule="auto" w:before="163"/>
        <w:ind w:left="1610" w:right="992"/>
      </w:pPr>
      <w:r>
        <w:rPr>
          <w:spacing w:val="-2"/>
        </w:rPr>
        <w:t>指经头颅断层扫描（</w:t>
      </w:r>
      <w:r>
        <w:rPr>
          <w:rFonts w:ascii="Times New Roman" w:eastAsia="Times New Roman"/>
          <w:spacing w:val="-2"/>
        </w:rPr>
        <w:t>CT</w:t>
      </w:r>
      <w:r>
        <w:rPr>
          <w:spacing w:val="-2"/>
        </w:rPr>
        <w:t>）、核磁共振检查（</w:t>
      </w:r>
      <w:r>
        <w:rPr>
          <w:rFonts w:ascii="Times New Roman" w:eastAsia="Times New Roman"/>
          <w:spacing w:val="-2"/>
        </w:rPr>
        <w:t>MRI</w:t>
      </w:r>
      <w:r>
        <w:rPr>
          <w:spacing w:val="-2"/>
        </w:rPr>
        <w:t>）或其他影像学检查被确诊为下列</w:t>
      </w:r>
      <w:r>
        <w:rPr>
          <w:spacing w:val="-2"/>
        </w:rPr>
        <w:t>病变，并实际接受了手术或放射治疗：</w:t>
      </w:r>
    </w:p>
    <w:p>
      <w:pPr>
        <w:pStyle w:val="ListParagraph"/>
        <w:numPr>
          <w:ilvl w:val="3"/>
          <w:numId w:val="13"/>
        </w:numPr>
        <w:tabs>
          <w:tab w:pos="1981" w:val="left" w:leader="none"/>
          <w:tab w:pos="1982" w:val="left" w:leader="none"/>
        </w:tabs>
        <w:spacing w:line="240" w:lineRule="auto" w:before="156" w:after="0"/>
        <w:ind w:left="1982" w:right="0" w:hanging="372"/>
        <w:jc w:val="left"/>
        <w:rPr>
          <w:rFonts w:ascii="Times New Roman" w:eastAsia="Times New Roman"/>
          <w:sz w:val="21"/>
        </w:rPr>
      </w:pPr>
      <w:r>
        <w:rPr>
          <w:spacing w:val="-4"/>
          <w:sz w:val="21"/>
        </w:rPr>
        <w:t>脑垂体瘤；</w:t>
      </w:r>
    </w:p>
    <w:p>
      <w:pPr>
        <w:pStyle w:val="BodyText"/>
        <w:spacing w:before="6"/>
        <w:rPr>
          <w:sz w:val="15"/>
        </w:rPr>
      </w:pPr>
    </w:p>
    <w:p>
      <w:pPr>
        <w:pStyle w:val="ListParagraph"/>
        <w:numPr>
          <w:ilvl w:val="3"/>
          <w:numId w:val="13"/>
        </w:numPr>
        <w:tabs>
          <w:tab w:pos="1981" w:val="left" w:leader="none"/>
          <w:tab w:pos="1982" w:val="left" w:leader="none"/>
        </w:tabs>
        <w:spacing w:line="240" w:lineRule="auto" w:before="0" w:after="0"/>
        <w:ind w:left="1982" w:right="0" w:hanging="372"/>
        <w:jc w:val="left"/>
        <w:rPr>
          <w:rFonts w:ascii="Times New Roman" w:eastAsia="Times New Roman"/>
          <w:sz w:val="21"/>
        </w:rPr>
      </w:pPr>
      <w:r>
        <w:rPr>
          <w:spacing w:val="-4"/>
          <w:sz w:val="21"/>
        </w:rPr>
        <w:t>脑囊肿；</w:t>
      </w:r>
    </w:p>
    <w:p>
      <w:pPr>
        <w:pStyle w:val="BodyText"/>
        <w:rPr>
          <w:sz w:val="15"/>
        </w:rPr>
      </w:pPr>
    </w:p>
    <w:p>
      <w:pPr>
        <w:pStyle w:val="ListParagraph"/>
        <w:numPr>
          <w:ilvl w:val="3"/>
          <w:numId w:val="13"/>
        </w:numPr>
        <w:tabs>
          <w:tab w:pos="1981" w:val="left" w:leader="none"/>
          <w:tab w:pos="1982" w:val="left" w:leader="none"/>
        </w:tabs>
        <w:spacing w:line="240" w:lineRule="auto" w:before="0" w:after="0"/>
        <w:ind w:left="1982" w:right="0" w:hanging="372"/>
        <w:jc w:val="left"/>
        <w:rPr>
          <w:rFonts w:ascii="Times New Roman" w:eastAsia="Times New Roman"/>
          <w:sz w:val="21"/>
        </w:rPr>
      </w:pPr>
      <w:r>
        <w:rPr>
          <w:spacing w:val="-3"/>
          <w:sz w:val="21"/>
        </w:rPr>
        <w:t>脑动脉瘤、脑血管瘤。</w:t>
      </w:r>
    </w:p>
    <w:p>
      <w:pPr>
        <w:pStyle w:val="BodyText"/>
        <w:rPr>
          <w:sz w:val="15"/>
        </w:rPr>
      </w:pPr>
    </w:p>
    <w:p>
      <w:pPr>
        <w:spacing w:line="278" w:lineRule="auto" w:before="0"/>
        <w:ind w:left="1610" w:right="989" w:firstLine="0"/>
        <w:jc w:val="both"/>
        <w:rPr>
          <w:b/>
          <w:sz w:val="21"/>
        </w:rPr>
      </w:pPr>
      <w:r>
        <w:rPr>
          <w:b/>
          <w:spacing w:val="-13"/>
          <w:sz w:val="21"/>
        </w:rPr>
        <w:t>本合同仅对 “微创颅脑手术”、“脑垂体瘤、脑囊肿、脑动脉瘤及脑血管瘤”、“硬</w:t>
      </w:r>
      <w:r>
        <w:rPr>
          <w:b/>
          <w:spacing w:val="-2"/>
          <w:sz w:val="21"/>
        </w:rPr>
        <w:t>脑膜下血肿手术”中的一项承担保险责任，承担其中一项轻症疾病保险责任后，其</w:t>
      </w:r>
      <w:r>
        <w:rPr>
          <w:b/>
          <w:spacing w:val="-2"/>
          <w:sz w:val="21"/>
        </w:rPr>
        <w:t>他两项轻症疾病的保险责任终止。</w:t>
      </w:r>
    </w:p>
    <w:p>
      <w:pPr>
        <w:pStyle w:val="ListParagraph"/>
        <w:numPr>
          <w:ilvl w:val="2"/>
          <w:numId w:val="13"/>
        </w:numPr>
        <w:tabs>
          <w:tab w:pos="1818" w:val="left" w:leader="none"/>
          <w:tab w:pos="1819" w:val="left" w:leader="none"/>
        </w:tabs>
        <w:spacing w:line="240" w:lineRule="auto" w:before="156" w:after="0"/>
        <w:ind w:left="1818" w:right="0" w:hanging="802"/>
        <w:jc w:val="left"/>
        <w:rPr>
          <w:b/>
          <w:sz w:val="21"/>
        </w:rPr>
      </w:pPr>
      <w:r>
        <w:rPr>
          <w:b/>
          <w:spacing w:val="-2"/>
          <w:sz w:val="21"/>
        </w:rPr>
        <w:t>激光心肌血运重建术</w:t>
      </w:r>
    </w:p>
    <w:p>
      <w:pPr>
        <w:spacing w:line="278" w:lineRule="auto" w:before="163"/>
        <w:ind w:left="1610" w:right="1014" w:firstLine="0"/>
        <w:jc w:val="both"/>
        <w:rPr>
          <w:b/>
          <w:sz w:val="21"/>
        </w:rPr>
      </w:pPr>
      <w:r>
        <w:rPr>
          <w:spacing w:val="-2"/>
          <w:sz w:val="21"/>
        </w:rPr>
        <w:t>指患有顽固性心绞痛，经持续药物治疗后无改善，冠状动脉搭桥手术及经皮血管成</w:t>
      </w:r>
      <w:r>
        <w:rPr>
          <w:spacing w:val="-2"/>
          <w:sz w:val="21"/>
        </w:rPr>
        <w:t>形手术已失败或者被认为不适合。在本公司认可医院内实际进行了开胸手术下或者</w:t>
      </w:r>
      <w:r>
        <w:rPr>
          <w:spacing w:val="-2"/>
          <w:sz w:val="21"/>
        </w:rPr>
        <w:t>胸腔镜下的激光心肌血运重建术。</w:t>
      </w:r>
      <w:r>
        <w:rPr>
          <w:b/>
          <w:spacing w:val="-2"/>
          <w:sz w:val="21"/>
        </w:rPr>
        <w:t>但未达到本合同所指重大疾病“较重急性心肌梗</w:t>
      </w:r>
      <w:r>
        <w:rPr>
          <w:b/>
          <w:spacing w:val="-2"/>
          <w:sz w:val="21"/>
        </w:rPr>
        <w:t>死”或“严重冠状动脉粥样硬化性心脏病”的给付标准。</w:t>
      </w:r>
    </w:p>
    <w:p>
      <w:pPr>
        <w:spacing w:before="155"/>
        <w:ind w:left="1610" w:right="0" w:firstLine="0"/>
        <w:jc w:val="left"/>
        <w:rPr>
          <w:b/>
          <w:sz w:val="21"/>
        </w:rPr>
      </w:pPr>
      <w:r>
        <w:rPr>
          <w:b/>
          <w:spacing w:val="-2"/>
          <w:sz w:val="21"/>
        </w:rPr>
        <w:t>本合同仅对“冠状动脉介入手术（非开胸手术）</w:t>
      </w:r>
      <w:r>
        <w:rPr>
          <w:b/>
          <w:spacing w:val="-3"/>
          <w:sz w:val="21"/>
        </w:rPr>
        <w:t>”、“较轻急性心肌梗死”、“激</w:t>
      </w:r>
    </w:p>
    <w:p>
      <w:pPr>
        <w:spacing w:after="0"/>
        <w:jc w:val="left"/>
        <w:rPr>
          <w:sz w:val="21"/>
        </w:rPr>
        <w:sectPr>
          <w:pgSz w:w="11910" w:h="16840"/>
          <w:pgMar w:top="1380" w:bottom="280" w:left="1280" w:right="420"/>
        </w:sectPr>
      </w:pPr>
    </w:p>
    <w:p>
      <w:pPr>
        <w:spacing w:line="278" w:lineRule="auto" w:before="44"/>
        <w:ind w:left="1610" w:right="1003" w:firstLine="0"/>
        <w:jc w:val="left"/>
        <w:rPr>
          <w:b/>
          <w:sz w:val="21"/>
        </w:rPr>
      </w:pPr>
      <w:r>
        <w:rPr>
          <w:b/>
          <w:spacing w:val="-2"/>
          <w:sz w:val="21"/>
        </w:rPr>
        <w:t>光心肌血运重建术”中的一项承担保险责任，承担其中一项轻症疾病保险责任后，</w:t>
      </w:r>
      <w:r>
        <w:rPr>
          <w:b/>
          <w:spacing w:val="-2"/>
          <w:sz w:val="21"/>
        </w:rPr>
        <w:t>其他两项轻症疾病的保险责任终止。</w:t>
      </w:r>
    </w:p>
    <w:p>
      <w:pPr>
        <w:pStyle w:val="ListParagraph"/>
        <w:numPr>
          <w:ilvl w:val="2"/>
          <w:numId w:val="13"/>
        </w:numPr>
        <w:tabs>
          <w:tab w:pos="1818" w:val="left" w:leader="none"/>
          <w:tab w:pos="1819" w:val="left" w:leader="none"/>
        </w:tabs>
        <w:spacing w:line="240" w:lineRule="auto" w:before="156" w:after="0"/>
        <w:ind w:left="1818" w:right="0" w:hanging="802"/>
        <w:jc w:val="left"/>
        <w:rPr>
          <w:b/>
          <w:sz w:val="21"/>
        </w:rPr>
      </w:pPr>
      <w:r>
        <w:rPr>
          <w:b/>
          <w:spacing w:val="-3"/>
          <w:sz w:val="21"/>
        </w:rPr>
        <w:t>双侧睾丸或卵巢切除术</w:t>
      </w:r>
    </w:p>
    <w:p>
      <w:pPr>
        <w:pStyle w:val="BodyText"/>
        <w:spacing w:line="278" w:lineRule="auto" w:before="163"/>
        <w:ind w:left="1610" w:right="1025"/>
      </w:pPr>
      <w:r>
        <w:rPr>
          <w:spacing w:val="-2"/>
        </w:rPr>
        <w:t>双侧睾丸切除术指为治疗疾病实际接受了经腹部切开或腹腔镜进行的双侧睾丸完全</w:t>
      </w:r>
      <w:r>
        <w:rPr>
          <w:spacing w:val="-2"/>
        </w:rPr>
        <w:t>切除手术。</w:t>
      </w:r>
    </w:p>
    <w:p>
      <w:pPr>
        <w:spacing w:before="156"/>
        <w:ind w:left="1610" w:right="0" w:firstLine="0"/>
        <w:jc w:val="left"/>
        <w:rPr>
          <w:b/>
          <w:sz w:val="21"/>
        </w:rPr>
      </w:pPr>
      <w:r>
        <w:rPr>
          <w:b/>
          <w:spacing w:val="-3"/>
          <w:sz w:val="21"/>
        </w:rPr>
        <w:t>下列情况不在保障范围内：</w:t>
      </w:r>
    </w:p>
    <w:p>
      <w:pPr>
        <w:pStyle w:val="BodyText"/>
        <w:rPr>
          <w:b/>
          <w:sz w:val="15"/>
        </w:rPr>
      </w:pPr>
    </w:p>
    <w:p>
      <w:pPr>
        <w:pStyle w:val="ListParagraph"/>
        <w:numPr>
          <w:ilvl w:val="3"/>
          <w:numId w:val="13"/>
        </w:numPr>
        <w:tabs>
          <w:tab w:pos="1981" w:val="left" w:leader="none"/>
          <w:tab w:pos="1982" w:val="left" w:leader="none"/>
        </w:tabs>
        <w:spacing w:line="240" w:lineRule="auto" w:before="0" w:after="0"/>
        <w:ind w:left="1982" w:right="0" w:hanging="372"/>
        <w:jc w:val="left"/>
        <w:rPr>
          <w:rFonts w:ascii="Times New Roman" w:eastAsia="Times New Roman"/>
          <w:b/>
          <w:sz w:val="21"/>
        </w:rPr>
      </w:pPr>
      <w:r>
        <w:rPr>
          <w:b/>
          <w:spacing w:val="-2"/>
          <w:sz w:val="21"/>
        </w:rPr>
        <w:t>部分睾丸切除；</w:t>
      </w:r>
    </w:p>
    <w:p>
      <w:pPr>
        <w:pStyle w:val="BodyText"/>
        <w:spacing w:before="6"/>
        <w:rPr>
          <w:b/>
          <w:sz w:val="15"/>
        </w:rPr>
      </w:pPr>
    </w:p>
    <w:p>
      <w:pPr>
        <w:pStyle w:val="ListParagraph"/>
        <w:numPr>
          <w:ilvl w:val="3"/>
          <w:numId w:val="13"/>
        </w:numPr>
        <w:tabs>
          <w:tab w:pos="1981" w:val="left" w:leader="none"/>
          <w:tab w:pos="1982" w:val="left" w:leader="none"/>
        </w:tabs>
        <w:spacing w:line="240" w:lineRule="auto" w:before="0" w:after="0"/>
        <w:ind w:left="1982" w:right="0" w:hanging="372"/>
        <w:jc w:val="left"/>
        <w:rPr>
          <w:rFonts w:ascii="Times New Roman" w:eastAsia="Times New Roman"/>
          <w:b/>
          <w:sz w:val="21"/>
        </w:rPr>
      </w:pPr>
      <w:r>
        <w:rPr>
          <w:b/>
          <w:spacing w:val="-3"/>
          <w:sz w:val="21"/>
        </w:rPr>
        <w:t>因恶性肿瘤进行的睾丸切除术；</w:t>
      </w:r>
    </w:p>
    <w:p>
      <w:pPr>
        <w:pStyle w:val="BodyText"/>
        <w:rPr>
          <w:b/>
          <w:sz w:val="15"/>
        </w:rPr>
      </w:pPr>
    </w:p>
    <w:p>
      <w:pPr>
        <w:pStyle w:val="ListParagraph"/>
        <w:numPr>
          <w:ilvl w:val="3"/>
          <w:numId w:val="13"/>
        </w:numPr>
        <w:tabs>
          <w:tab w:pos="1981" w:val="left" w:leader="none"/>
          <w:tab w:pos="1982" w:val="left" w:leader="none"/>
        </w:tabs>
        <w:spacing w:line="240" w:lineRule="auto" w:before="0" w:after="0"/>
        <w:ind w:left="1982" w:right="0" w:hanging="372"/>
        <w:jc w:val="left"/>
        <w:rPr>
          <w:rFonts w:ascii="Times New Roman" w:eastAsia="Times New Roman"/>
          <w:sz w:val="21"/>
        </w:rPr>
      </w:pPr>
      <w:r>
        <w:rPr>
          <w:b/>
          <w:spacing w:val="-2"/>
          <w:sz w:val="21"/>
        </w:rPr>
        <w:t>变性手术。</w:t>
      </w:r>
    </w:p>
    <w:p>
      <w:pPr>
        <w:pStyle w:val="BodyText"/>
        <w:rPr>
          <w:b/>
          <w:sz w:val="15"/>
        </w:rPr>
      </w:pPr>
    </w:p>
    <w:p>
      <w:pPr>
        <w:pStyle w:val="BodyText"/>
        <w:spacing w:line="278" w:lineRule="auto" w:before="0"/>
        <w:ind w:left="1610" w:right="1025"/>
      </w:pPr>
      <w:r>
        <w:rPr>
          <w:spacing w:val="-2"/>
        </w:rPr>
        <w:t>双侧卵巢切除术指为治疗疾病实际接受了经腹部切开或腹腔镜进行的双侧卵巢完全</w:t>
      </w:r>
      <w:r>
        <w:rPr>
          <w:spacing w:val="-2"/>
        </w:rPr>
        <w:t>切除手术。</w:t>
      </w:r>
    </w:p>
    <w:p>
      <w:pPr>
        <w:spacing w:before="156"/>
        <w:ind w:left="1610" w:right="0" w:firstLine="0"/>
        <w:jc w:val="left"/>
        <w:rPr>
          <w:b/>
          <w:sz w:val="21"/>
        </w:rPr>
      </w:pPr>
      <w:r>
        <w:rPr>
          <w:b/>
          <w:spacing w:val="-3"/>
          <w:sz w:val="21"/>
        </w:rPr>
        <w:t>下列情况不在保障范围内：</w:t>
      </w:r>
    </w:p>
    <w:p>
      <w:pPr>
        <w:pStyle w:val="BodyText"/>
        <w:rPr>
          <w:b/>
          <w:sz w:val="15"/>
        </w:rPr>
      </w:pPr>
    </w:p>
    <w:p>
      <w:pPr>
        <w:pStyle w:val="ListParagraph"/>
        <w:numPr>
          <w:ilvl w:val="0"/>
          <w:numId w:val="15"/>
        </w:numPr>
        <w:tabs>
          <w:tab w:pos="1981" w:val="left" w:leader="none"/>
          <w:tab w:pos="1982" w:val="left" w:leader="none"/>
        </w:tabs>
        <w:spacing w:line="240" w:lineRule="auto" w:before="0" w:after="0"/>
        <w:ind w:left="1982" w:right="0" w:hanging="372"/>
        <w:jc w:val="left"/>
        <w:rPr>
          <w:b/>
          <w:sz w:val="21"/>
        </w:rPr>
      </w:pPr>
      <w:r>
        <w:rPr>
          <w:b/>
          <w:spacing w:val="-2"/>
          <w:sz w:val="21"/>
        </w:rPr>
        <w:t>部分卵巢切除；</w:t>
      </w:r>
    </w:p>
    <w:p>
      <w:pPr>
        <w:pStyle w:val="BodyText"/>
        <w:rPr>
          <w:b/>
          <w:sz w:val="15"/>
        </w:rPr>
      </w:pPr>
    </w:p>
    <w:p>
      <w:pPr>
        <w:pStyle w:val="ListParagraph"/>
        <w:numPr>
          <w:ilvl w:val="0"/>
          <w:numId w:val="15"/>
        </w:numPr>
        <w:tabs>
          <w:tab w:pos="1981" w:val="left" w:leader="none"/>
          <w:tab w:pos="1982" w:val="left" w:leader="none"/>
        </w:tabs>
        <w:spacing w:line="240" w:lineRule="auto" w:before="0" w:after="0"/>
        <w:ind w:left="1982" w:right="0" w:hanging="372"/>
        <w:jc w:val="left"/>
        <w:rPr>
          <w:b/>
          <w:sz w:val="21"/>
        </w:rPr>
      </w:pPr>
      <w:r>
        <w:rPr>
          <w:b/>
          <w:spacing w:val="-3"/>
          <w:sz w:val="21"/>
        </w:rPr>
        <w:t>因恶性肿瘤进行的卵巢切除术；</w:t>
      </w:r>
    </w:p>
    <w:p>
      <w:pPr>
        <w:pStyle w:val="BodyText"/>
        <w:spacing w:before="6"/>
        <w:rPr>
          <w:b/>
          <w:sz w:val="15"/>
        </w:rPr>
      </w:pPr>
    </w:p>
    <w:p>
      <w:pPr>
        <w:pStyle w:val="ListParagraph"/>
        <w:numPr>
          <w:ilvl w:val="0"/>
          <w:numId w:val="15"/>
        </w:numPr>
        <w:tabs>
          <w:tab w:pos="1981" w:val="left" w:leader="none"/>
          <w:tab w:pos="1982" w:val="left" w:leader="none"/>
        </w:tabs>
        <w:spacing w:line="240" w:lineRule="auto" w:before="1" w:after="0"/>
        <w:ind w:left="1982" w:right="0" w:hanging="372"/>
        <w:jc w:val="left"/>
        <w:rPr>
          <w:b/>
          <w:sz w:val="21"/>
        </w:rPr>
      </w:pPr>
      <w:r>
        <w:rPr>
          <w:b/>
          <w:spacing w:val="-2"/>
          <w:sz w:val="21"/>
        </w:rPr>
        <w:t>预防性卵巢切除；</w:t>
      </w:r>
    </w:p>
    <w:p>
      <w:pPr>
        <w:pStyle w:val="BodyText"/>
        <w:spacing w:before="6"/>
        <w:rPr>
          <w:b/>
          <w:sz w:val="15"/>
        </w:rPr>
      </w:pPr>
    </w:p>
    <w:p>
      <w:pPr>
        <w:pStyle w:val="ListParagraph"/>
        <w:numPr>
          <w:ilvl w:val="0"/>
          <w:numId w:val="15"/>
        </w:numPr>
        <w:tabs>
          <w:tab w:pos="1981" w:val="left" w:leader="none"/>
          <w:tab w:pos="1982" w:val="left" w:leader="none"/>
        </w:tabs>
        <w:spacing w:line="240" w:lineRule="auto" w:before="0" w:after="0"/>
        <w:ind w:left="1982" w:right="0" w:hanging="372"/>
        <w:jc w:val="left"/>
        <w:rPr>
          <w:b/>
          <w:sz w:val="21"/>
        </w:rPr>
      </w:pPr>
      <w:r>
        <w:rPr>
          <w:b/>
          <w:spacing w:val="-2"/>
          <w:sz w:val="21"/>
        </w:rPr>
        <w:t>变性手术。</w:t>
      </w:r>
    </w:p>
    <w:p>
      <w:pPr>
        <w:pStyle w:val="BodyText"/>
        <w:rPr>
          <w:b/>
          <w:sz w:val="15"/>
        </w:rPr>
      </w:pPr>
    </w:p>
    <w:p>
      <w:pPr>
        <w:pStyle w:val="ListParagraph"/>
        <w:numPr>
          <w:ilvl w:val="2"/>
          <w:numId w:val="13"/>
        </w:numPr>
        <w:tabs>
          <w:tab w:pos="1819" w:val="left" w:leader="none"/>
        </w:tabs>
        <w:spacing w:line="240" w:lineRule="auto" w:before="0" w:after="0"/>
        <w:ind w:left="1818" w:right="0" w:hanging="802"/>
        <w:jc w:val="left"/>
        <w:rPr>
          <w:b/>
          <w:sz w:val="21"/>
        </w:rPr>
      </w:pPr>
      <w:r>
        <w:rPr>
          <w:b/>
          <w:spacing w:val="-3"/>
          <w:sz w:val="21"/>
        </w:rPr>
        <w:t>角膜移植</w:t>
      </w:r>
    </w:p>
    <w:p>
      <w:pPr>
        <w:pStyle w:val="BodyText"/>
        <w:spacing w:before="163"/>
        <w:ind w:left="1610"/>
      </w:pPr>
      <w:r>
        <w:rPr>
          <w:spacing w:val="-3"/>
        </w:rPr>
        <w:t>指为增进视力或治疗某些角膜疾患，已经实施了异体的角膜移植手术。</w:t>
      </w:r>
    </w:p>
    <w:p>
      <w:pPr>
        <w:pStyle w:val="BodyText"/>
        <w:rPr>
          <w:sz w:val="15"/>
        </w:rPr>
      </w:pPr>
    </w:p>
    <w:p>
      <w:pPr>
        <w:pStyle w:val="BodyText"/>
        <w:spacing w:before="0"/>
        <w:ind w:left="1610"/>
      </w:pPr>
      <w:r>
        <w:rPr>
          <w:spacing w:val="-3"/>
        </w:rPr>
        <w:t>此手术必须在我们指定或认可的医院内由专科医生认为是医疗必须的情况下进行。</w:t>
      </w:r>
    </w:p>
    <w:p>
      <w:pPr>
        <w:pStyle w:val="BodyText"/>
        <w:rPr>
          <w:sz w:val="15"/>
        </w:rPr>
      </w:pPr>
    </w:p>
    <w:p>
      <w:pPr>
        <w:spacing w:line="278" w:lineRule="auto" w:before="0"/>
        <w:ind w:left="1610" w:right="992" w:firstLine="0"/>
        <w:jc w:val="left"/>
        <w:rPr>
          <w:b/>
          <w:sz w:val="21"/>
        </w:rPr>
      </w:pPr>
      <w:r>
        <w:rPr>
          <w:b/>
          <w:spacing w:val="-4"/>
          <w:sz w:val="21"/>
        </w:rPr>
        <w:t>本合同仅对 “角膜移植”、“单眼失明”、“视力严重受损”中的一项承担保险责</w:t>
      </w:r>
      <w:r>
        <w:rPr>
          <w:b/>
          <w:spacing w:val="-2"/>
          <w:sz w:val="21"/>
        </w:rPr>
        <w:t>任，承担其中一项轻症疾病保险责任后，其他两项轻症疾病的保险责任终止。</w:t>
      </w:r>
    </w:p>
    <w:p>
      <w:pPr>
        <w:pStyle w:val="ListParagraph"/>
        <w:numPr>
          <w:ilvl w:val="2"/>
          <w:numId w:val="13"/>
        </w:numPr>
        <w:tabs>
          <w:tab w:pos="1819" w:val="left" w:leader="none"/>
        </w:tabs>
        <w:spacing w:line="240" w:lineRule="auto" w:before="156" w:after="0"/>
        <w:ind w:left="1818" w:right="0" w:hanging="802"/>
        <w:jc w:val="left"/>
        <w:rPr>
          <w:b/>
          <w:sz w:val="21"/>
        </w:rPr>
      </w:pPr>
      <w:r>
        <w:rPr>
          <w:b/>
          <w:spacing w:val="-3"/>
          <w:sz w:val="21"/>
        </w:rPr>
        <w:t>单眼失明</w:t>
      </w:r>
    </w:p>
    <w:p>
      <w:pPr>
        <w:pStyle w:val="BodyText"/>
        <w:spacing w:before="163"/>
        <w:ind w:left="1610"/>
      </w:pPr>
      <w:r>
        <w:rPr>
          <w:spacing w:val="-3"/>
        </w:rPr>
        <w:t>指因疾病或意外伤害导致单眼视力永久不可逆性丧失，须满足下列至少一项条件：</w:t>
      </w:r>
    </w:p>
    <w:p>
      <w:pPr>
        <w:pStyle w:val="BodyText"/>
        <w:spacing w:before="6"/>
        <w:rPr>
          <w:sz w:val="15"/>
        </w:rPr>
      </w:pPr>
    </w:p>
    <w:p>
      <w:pPr>
        <w:pStyle w:val="ListParagraph"/>
        <w:numPr>
          <w:ilvl w:val="3"/>
          <w:numId w:val="13"/>
        </w:numPr>
        <w:tabs>
          <w:tab w:pos="1981" w:val="left" w:leader="none"/>
          <w:tab w:pos="1982" w:val="left" w:leader="none"/>
        </w:tabs>
        <w:spacing w:line="240" w:lineRule="auto" w:before="0" w:after="0"/>
        <w:ind w:left="1982" w:right="0" w:hanging="372"/>
        <w:jc w:val="left"/>
        <w:rPr>
          <w:rFonts w:ascii="Times New Roman" w:eastAsia="Times New Roman"/>
          <w:sz w:val="21"/>
        </w:rPr>
      </w:pPr>
      <w:r>
        <w:rPr>
          <w:spacing w:val="-4"/>
          <w:sz w:val="21"/>
        </w:rPr>
        <w:t>眼球缺失或摘除；</w:t>
      </w:r>
    </w:p>
    <w:p>
      <w:pPr>
        <w:pStyle w:val="BodyText"/>
        <w:rPr>
          <w:sz w:val="15"/>
        </w:rPr>
      </w:pPr>
    </w:p>
    <w:p>
      <w:pPr>
        <w:pStyle w:val="ListParagraph"/>
        <w:numPr>
          <w:ilvl w:val="3"/>
          <w:numId w:val="13"/>
        </w:numPr>
        <w:tabs>
          <w:tab w:pos="1981" w:val="left" w:leader="none"/>
          <w:tab w:pos="1982" w:val="left" w:leader="none"/>
        </w:tabs>
        <w:spacing w:line="240" w:lineRule="auto" w:before="0" w:after="0"/>
        <w:ind w:left="1982" w:right="0" w:hanging="372"/>
        <w:jc w:val="left"/>
        <w:rPr>
          <w:rFonts w:ascii="Times New Roman" w:eastAsia="Times New Roman"/>
          <w:sz w:val="21"/>
        </w:rPr>
      </w:pPr>
      <w:r>
        <w:rPr>
          <w:spacing w:val="-8"/>
          <w:sz w:val="21"/>
        </w:rPr>
        <w:t>矫正视力低于 </w:t>
      </w:r>
      <w:r>
        <w:rPr>
          <w:rFonts w:ascii="Times New Roman" w:eastAsia="Times New Roman"/>
          <w:spacing w:val="-2"/>
          <w:sz w:val="21"/>
        </w:rPr>
        <w:t>0.02</w:t>
      </w:r>
      <w:r>
        <w:rPr>
          <w:spacing w:val="-2"/>
          <w:sz w:val="21"/>
        </w:rPr>
        <w:t>（采用国际标准视力表，如果使用其他视力表应进行换算</w:t>
      </w:r>
      <w:r>
        <w:rPr>
          <w:spacing w:val="-5"/>
          <w:sz w:val="21"/>
        </w:rPr>
        <w:t>）；</w:t>
      </w:r>
    </w:p>
    <w:p>
      <w:pPr>
        <w:pStyle w:val="BodyText"/>
        <w:rPr>
          <w:sz w:val="15"/>
        </w:rPr>
      </w:pPr>
    </w:p>
    <w:p>
      <w:pPr>
        <w:pStyle w:val="ListParagraph"/>
        <w:numPr>
          <w:ilvl w:val="3"/>
          <w:numId w:val="13"/>
        </w:numPr>
        <w:tabs>
          <w:tab w:pos="1981" w:val="left" w:leader="none"/>
          <w:tab w:pos="1982" w:val="left" w:leader="none"/>
        </w:tabs>
        <w:spacing w:line="240" w:lineRule="auto" w:before="0" w:after="0"/>
        <w:ind w:left="1982" w:right="0" w:hanging="372"/>
        <w:jc w:val="left"/>
        <w:rPr>
          <w:rFonts w:ascii="Times New Roman" w:eastAsia="Times New Roman"/>
          <w:sz w:val="21"/>
        </w:rPr>
      </w:pPr>
      <w:r>
        <w:rPr>
          <w:spacing w:val="-8"/>
          <w:sz w:val="21"/>
        </w:rPr>
        <w:t>视野半径小于 </w:t>
      </w:r>
      <w:r>
        <w:rPr>
          <w:rFonts w:ascii="Times New Roman" w:eastAsia="Times New Roman"/>
          <w:sz w:val="21"/>
        </w:rPr>
        <w:t>5</w:t>
      </w:r>
      <w:r>
        <w:rPr>
          <w:rFonts w:ascii="Times New Roman" w:eastAsia="Times New Roman"/>
          <w:spacing w:val="-9"/>
          <w:sz w:val="21"/>
        </w:rPr>
        <w:t> </w:t>
      </w:r>
      <w:r>
        <w:rPr>
          <w:spacing w:val="-5"/>
          <w:sz w:val="21"/>
        </w:rPr>
        <w:t>度。</w:t>
      </w:r>
    </w:p>
    <w:p>
      <w:pPr>
        <w:pStyle w:val="BodyText"/>
        <w:spacing w:before="6"/>
        <w:rPr>
          <w:sz w:val="15"/>
        </w:rPr>
      </w:pPr>
    </w:p>
    <w:p>
      <w:pPr>
        <w:spacing w:before="1"/>
        <w:ind w:left="1610" w:right="0" w:firstLine="0"/>
        <w:jc w:val="left"/>
        <w:rPr>
          <w:b/>
          <w:sz w:val="21"/>
        </w:rPr>
      </w:pPr>
      <w:r>
        <w:rPr>
          <w:b/>
          <w:spacing w:val="-3"/>
          <w:sz w:val="21"/>
        </w:rPr>
        <w:t>但未达到本合同所指重大疾病“双目失明”的给付标准。</w:t>
      </w:r>
    </w:p>
    <w:p>
      <w:pPr>
        <w:pStyle w:val="BodyText"/>
        <w:rPr>
          <w:b/>
          <w:sz w:val="15"/>
        </w:rPr>
      </w:pPr>
    </w:p>
    <w:p>
      <w:pPr>
        <w:spacing w:line="278" w:lineRule="auto" w:before="0"/>
        <w:ind w:left="1610" w:right="992" w:firstLine="0"/>
        <w:jc w:val="left"/>
        <w:rPr>
          <w:b/>
          <w:sz w:val="21"/>
        </w:rPr>
      </w:pPr>
      <w:r>
        <w:rPr>
          <w:b/>
          <w:spacing w:val="-4"/>
          <w:sz w:val="21"/>
        </w:rPr>
        <w:t>本合同仅对 “角膜移植”、“单眼失明”、“视力严重受损”中的一项承担保险责</w:t>
      </w:r>
      <w:r>
        <w:rPr>
          <w:b/>
          <w:spacing w:val="-2"/>
          <w:sz w:val="21"/>
        </w:rPr>
        <w:t>任，承担其中一项轻症疾病保险责任后，其他两项轻症疾病的保险责任终止。</w:t>
      </w:r>
    </w:p>
    <w:p>
      <w:pPr>
        <w:pStyle w:val="ListParagraph"/>
        <w:numPr>
          <w:ilvl w:val="2"/>
          <w:numId w:val="13"/>
        </w:numPr>
        <w:tabs>
          <w:tab w:pos="1819" w:val="left" w:leader="none"/>
        </w:tabs>
        <w:spacing w:line="240" w:lineRule="auto" w:before="156" w:after="0"/>
        <w:ind w:left="1818" w:right="0" w:hanging="802"/>
        <w:jc w:val="left"/>
        <w:rPr>
          <w:b/>
          <w:sz w:val="21"/>
        </w:rPr>
      </w:pPr>
      <w:r>
        <w:rPr>
          <w:b/>
          <w:spacing w:val="-2"/>
          <w:sz w:val="21"/>
        </w:rPr>
        <w:t>肾上腺切除术</w:t>
      </w:r>
    </w:p>
    <w:p>
      <w:pPr>
        <w:pStyle w:val="BodyText"/>
        <w:spacing w:line="278" w:lineRule="auto" w:before="163"/>
        <w:ind w:left="1610" w:right="1026"/>
      </w:pPr>
      <w:r>
        <w:rPr>
          <w:spacing w:val="-2"/>
        </w:rPr>
        <w:t>指为治疗因肾上腺腺瘤所导致醛固酮分泌过多产生的继发性恶性高血压，而接受肾</w:t>
      </w:r>
      <w:r>
        <w:rPr>
          <w:spacing w:val="-2"/>
        </w:rPr>
        <w:t>上腺切除术。此项手术需由专科医生认定为处理恶性高血压的必要治疗行为。</w:t>
      </w:r>
    </w:p>
    <w:p>
      <w:pPr>
        <w:spacing w:after="0" w:line="278" w:lineRule="auto"/>
        <w:sectPr>
          <w:pgSz w:w="11910" w:h="16840"/>
          <w:pgMar w:top="1400" w:bottom="280" w:left="1280" w:right="420"/>
        </w:sectPr>
      </w:pPr>
    </w:p>
    <w:p>
      <w:pPr>
        <w:pStyle w:val="ListParagraph"/>
        <w:numPr>
          <w:ilvl w:val="2"/>
          <w:numId w:val="13"/>
        </w:numPr>
        <w:tabs>
          <w:tab w:pos="1819" w:val="left" w:leader="none"/>
        </w:tabs>
        <w:spacing w:line="240" w:lineRule="auto" w:before="64" w:after="0"/>
        <w:ind w:left="1818" w:right="0" w:hanging="802"/>
        <w:jc w:val="left"/>
        <w:rPr>
          <w:b/>
          <w:sz w:val="21"/>
        </w:rPr>
      </w:pPr>
      <w:r>
        <w:rPr>
          <w:b/>
          <w:spacing w:val="-2"/>
          <w:sz w:val="21"/>
        </w:rPr>
        <w:t>原发性肺动脉高压</w:t>
      </w:r>
    </w:p>
    <w:p>
      <w:pPr>
        <w:pStyle w:val="BodyText"/>
        <w:spacing w:line="278" w:lineRule="auto" w:before="163"/>
        <w:ind w:left="1610" w:right="884"/>
      </w:pPr>
      <w:r>
        <w:rPr>
          <w:spacing w:val="-6"/>
        </w:rPr>
        <w:t>指由于原发性肺动脉高压进行性发展，已经造成永久不可逆性的体力活动能力受限，</w:t>
      </w:r>
      <w:r>
        <w:rPr/>
        <w:t>达到美国纽约心脏病学会（</w:t>
      </w:r>
      <w:r>
        <w:rPr>
          <w:rFonts w:ascii="Times New Roman" w:eastAsia="Times New Roman"/>
        </w:rPr>
        <w:t>New</w:t>
      </w:r>
      <w:r>
        <w:rPr>
          <w:rFonts w:ascii="Times New Roman" w:eastAsia="Times New Roman"/>
          <w:spacing w:val="-14"/>
        </w:rPr>
        <w:t> </w:t>
      </w:r>
      <w:r>
        <w:rPr>
          <w:rFonts w:ascii="Times New Roman" w:eastAsia="Times New Roman"/>
        </w:rPr>
        <w:t>York</w:t>
      </w:r>
      <w:r>
        <w:rPr>
          <w:rFonts w:ascii="Times New Roman" w:eastAsia="Times New Roman"/>
          <w:spacing w:val="-13"/>
        </w:rPr>
        <w:t> </w:t>
      </w:r>
      <w:r>
        <w:rPr>
          <w:rFonts w:ascii="Times New Roman" w:eastAsia="Times New Roman"/>
        </w:rPr>
        <w:t>Heart</w:t>
      </w:r>
      <w:r>
        <w:rPr>
          <w:rFonts w:ascii="Times New Roman" w:eastAsia="Times New Roman"/>
          <w:spacing w:val="-13"/>
        </w:rPr>
        <w:t> </w:t>
      </w:r>
      <w:r>
        <w:rPr>
          <w:rFonts w:ascii="Times New Roman" w:eastAsia="Times New Roman"/>
        </w:rPr>
        <w:t>Association</w:t>
      </w:r>
      <w:r>
        <w:rPr/>
        <w:t>，</w:t>
      </w:r>
      <w:r>
        <w:rPr>
          <w:rFonts w:ascii="Times New Roman" w:eastAsia="Times New Roman"/>
        </w:rPr>
        <w:t>NYHA</w:t>
      </w:r>
      <w:r>
        <w:rPr/>
        <w:t>）</w:t>
      </w:r>
      <w:r>
        <w:rPr>
          <w:spacing w:val="-7"/>
        </w:rPr>
        <w:t>心功能状态分级 </w:t>
      </w:r>
      <w:r>
        <w:rPr>
          <w:rFonts w:ascii="Times New Roman" w:eastAsia="Times New Roman"/>
        </w:rPr>
        <w:t>III</w:t>
      </w:r>
      <w:r>
        <w:rPr>
          <w:spacing w:val="-1"/>
        </w:rPr>
        <w:t>级及以上，且静息状态下肺动脉平均压超过 </w:t>
      </w:r>
      <w:r>
        <w:rPr>
          <w:rFonts w:ascii="Times New Roman" w:eastAsia="Times New Roman"/>
        </w:rPr>
        <w:t>25mmHg</w:t>
      </w:r>
      <w:r>
        <w:rPr>
          <w:spacing w:val="-4"/>
        </w:rPr>
        <w:t>，但尚未超过 </w:t>
      </w:r>
      <w:r>
        <w:rPr>
          <w:rFonts w:ascii="Times New Roman" w:eastAsia="Times New Roman"/>
        </w:rPr>
        <w:t>36mmHg</w:t>
      </w:r>
      <w:r>
        <w:rPr/>
        <w:t>。</w:t>
      </w:r>
    </w:p>
    <w:p>
      <w:pPr>
        <w:pStyle w:val="ListParagraph"/>
        <w:numPr>
          <w:ilvl w:val="2"/>
          <w:numId w:val="13"/>
        </w:numPr>
        <w:tabs>
          <w:tab w:pos="1819" w:val="left" w:leader="none"/>
        </w:tabs>
        <w:spacing w:line="240" w:lineRule="auto" w:before="156" w:after="0"/>
        <w:ind w:left="1818" w:right="0" w:hanging="802"/>
        <w:jc w:val="left"/>
        <w:rPr>
          <w:b/>
          <w:sz w:val="21"/>
        </w:rPr>
      </w:pPr>
      <w:r>
        <w:rPr>
          <w:b/>
          <w:spacing w:val="-3"/>
          <w:sz w:val="21"/>
        </w:rPr>
        <w:t>一肢缺失</w:t>
      </w:r>
    </w:p>
    <w:p>
      <w:pPr>
        <w:spacing w:line="417" w:lineRule="auto" w:before="163"/>
        <w:ind w:left="1610" w:right="886" w:firstLine="0"/>
        <w:jc w:val="left"/>
        <w:rPr>
          <w:b/>
          <w:sz w:val="21"/>
        </w:rPr>
      </w:pPr>
      <w:r>
        <w:rPr>
          <w:spacing w:val="-2"/>
          <w:sz w:val="21"/>
        </w:rPr>
        <w:t>指因疾病或意外导致一个肢体自腕关节或踝关节近端（靠近躯干端）以上完全断离。</w:t>
      </w:r>
      <w:r>
        <w:rPr>
          <w:b/>
          <w:spacing w:val="-2"/>
          <w:sz w:val="21"/>
        </w:rPr>
        <w:t>但未达到本合同所指重大疾病“多个肢体缺失”的给付标准。</w:t>
      </w:r>
    </w:p>
    <w:p>
      <w:pPr>
        <w:spacing w:line="269" w:lineRule="exact" w:before="0"/>
        <w:ind w:left="1610" w:right="0" w:firstLine="0"/>
        <w:jc w:val="left"/>
        <w:rPr>
          <w:b/>
          <w:sz w:val="21"/>
        </w:rPr>
      </w:pPr>
      <w:r>
        <w:rPr>
          <w:b/>
          <w:spacing w:val="-3"/>
          <w:sz w:val="21"/>
        </w:rPr>
        <w:t>因“恶性肿瘤——重度”导致的一肢缺失，不在保障范围内。</w:t>
      </w:r>
    </w:p>
    <w:p>
      <w:pPr>
        <w:pStyle w:val="BodyText"/>
        <w:rPr>
          <w:b/>
          <w:sz w:val="15"/>
        </w:rPr>
      </w:pPr>
    </w:p>
    <w:p>
      <w:pPr>
        <w:pStyle w:val="ListParagraph"/>
        <w:numPr>
          <w:ilvl w:val="2"/>
          <w:numId w:val="13"/>
        </w:numPr>
        <w:tabs>
          <w:tab w:pos="1819" w:val="left" w:leader="none"/>
        </w:tabs>
        <w:spacing w:line="240" w:lineRule="auto" w:before="0" w:after="0"/>
        <w:ind w:left="1818" w:right="0" w:hanging="802"/>
        <w:jc w:val="left"/>
        <w:rPr>
          <w:b/>
          <w:sz w:val="21"/>
        </w:rPr>
      </w:pPr>
      <w:r>
        <w:rPr>
          <w:b/>
          <w:spacing w:val="-2"/>
          <w:sz w:val="21"/>
        </w:rPr>
        <w:t>早期原发性心肌病</w:t>
      </w:r>
    </w:p>
    <w:p>
      <w:pPr>
        <w:spacing w:line="278" w:lineRule="auto" w:before="163"/>
        <w:ind w:left="1610" w:right="1018" w:firstLine="0"/>
        <w:jc w:val="left"/>
        <w:rPr>
          <w:sz w:val="21"/>
        </w:rPr>
      </w:pPr>
      <w:r>
        <w:rPr>
          <w:spacing w:val="-2"/>
          <w:sz w:val="21"/>
        </w:rPr>
        <w:t>被诊断为原发性心肌病，并符合下列所有条件，</w:t>
      </w:r>
      <w:r>
        <w:rPr>
          <w:b/>
          <w:spacing w:val="-2"/>
          <w:sz w:val="21"/>
        </w:rPr>
        <w:t>但未达到本合同所指重大疾病“原</w:t>
      </w:r>
      <w:r>
        <w:rPr>
          <w:b/>
          <w:spacing w:val="-2"/>
          <w:sz w:val="21"/>
        </w:rPr>
        <w:t>发性心肌病”的给付标准</w:t>
      </w:r>
      <w:r>
        <w:rPr>
          <w:spacing w:val="-2"/>
          <w:sz w:val="21"/>
        </w:rPr>
        <w:t>：</w:t>
      </w:r>
    </w:p>
    <w:p>
      <w:pPr>
        <w:pStyle w:val="ListParagraph"/>
        <w:numPr>
          <w:ilvl w:val="3"/>
          <w:numId w:val="13"/>
        </w:numPr>
        <w:tabs>
          <w:tab w:pos="1969" w:val="left" w:leader="none"/>
          <w:tab w:pos="1970" w:val="left" w:leader="none"/>
        </w:tabs>
        <w:spacing w:line="278" w:lineRule="auto" w:before="156" w:after="0"/>
        <w:ind w:left="1970" w:right="1368" w:hanging="360"/>
        <w:jc w:val="left"/>
        <w:rPr>
          <w:rFonts w:ascii="Times New Roman" w:hAnsi="Times New Roman" w:eastAsia="Times New Roman"/>
          <w:sz w:val="21"/>
        </w:rPr>
      </w:pPr>
      <w:r>
        <w:rPr>
          <w:sz w:val="21"/>
        </w:rPr>
        <w:t>导致心室功能受损，其受损程度达到美国纽约心脏病学会（</w:t>
      </w:r>
      <w:r>
        <w:rPr>
          <w:rFonts w:ascii="Times New Roman" w:hAnsi="Times New Roman" w:eastAsia="Times New Roman"/>
          <w:sz w:val="21"/>
        </w:rPr>
        <w:t>New</w:t>
      </w:r>
      <w:r>
        <w:rPr>
          <w:rFonts w:ascii="Times New Roman" w:hAnsi="Times New Roman" w:eastAsia="Times New Roman"/>
          <w:spacing w:val="-14"/>
          <w:sz w:val="21"/>
        </w:rPr>
        <w:t> </w:t>
      </w:r>
      <w:r>
        <w:rPr>
          <w:rFonts w:ascii="Times New Roman" w:hAnsi="Times New Roman" w:eastAsia="Times New Roman"/>
          <w:sz w:val="21"/>
        </w:rPr>
        <w:t>York</w:t>
      </w:r>
      <w:r>
        <w:rPr>
          <w:rFonts w:ascii="Times New Roman" w:hAnsi="Times New Roman" w:eastAsia="Times New Roman"/>
          <w:spacing w:val="-13"/>
          <w:sz w:val="21"/>
        </w:rPr>
        <w:t> </w:t>
      </w:r>
      <w:r>
        <w:rPr>
          <w:rFonts w:ascii="Times New Roman" w:hAnsi="Times New Roman" w:eastAsia="Times New Roman"/>
          <w:sz w:val="21"/>
        </w:rPr>
        <w:t>Heart </w:t>
      </w:r>
      <w:r>
        <w:rPr>
          <w:rFonts w:ascii="Times New Roman" w:hAnsi="Times New Roman" w:eastAsia="Times New Roman"/>
          <w:spacing w:val="-2"/>
          <w:sz w:val="21"/>
        </w:rPr>
        <w:t>Association</w:t>
      </w:r>
      <w:r>
        <w:rPr>
          <w:spacing w:val="-2"/>
          <w:sz w:val="21"/>
        </w:rPr>
        <w:t>，</w:t>
      </w:r>
      <w:r>
        <w:rPr>
          <w:rFonts w:ascii="Times New Roman" w:hAnsi="Times New Roman" w:eastAsia="Times New Roman"/>
          <w:spacing w:val="-2"/>
          <w:sz w:val="21"/>
        </w:rPr>
        <w:t>NYHA</w:t>
      </w:r>
      <w:r>
        <w:rPr>
          <w:spacing w:val="-2"/>
          <w:sz w:val="21"/>
        </w:rPr>
        <w:t>）心功能状态分级</w:t>
      </w:r>
      <w:r>
        <w:rPr>
          <w:b/>
          <w:spacing w:val="-2"/>
          <w:sz w:val="21"/>
        </w:rPr>
        <w:t>Ⅲ级（注）</w:t>
      </w:r>
      <w:r>
        <w:rPr>
          <w:spacing w:val="-2"/>
          <w:sz w:val="21"/>
        </w:rPr>
        <w:t>，或其同等级别；</w:t>
      </w:r>
    </w:p>
    <w:p>
      <w:pPr>
        <w:pStyle w:val="ListParagraph"/>
        <w:numPr>
          <w:ilvl w:val="3"/>
          <w:numId w:val="13"/>
        </w:numPr>
        <w:tabs>
          <w:tab w:pos="1969" w:val="left" w:leader="none"/>
          <w:tab w:pos="1970" w:val="left" w:leader="none"/>
        </w:tabs>
        <w:spacing w:line="240" w:lineRule="auto" w:before="156" w:after="0"/>
        <w:ind w:left="1970" w:right="0" w:hanging="360"/>
        <w:jc w:val="left"/>
        <w:rPr>
          <w:rFonts w:ascii="Times New Roman" w:eastAsia="Times New Roman"/>
          <w:sz w:val="21"/>
        </w:rPr>
      </w:pPr>
      <w:r>
        <w:rPr>
          <w:spacing w:val="-9"/>
          <w:sz w:val="21"/>
        </w:rPr>
        <w:t>左室射血分数 </w:t>
      </w:r>
      <w:r>
        <w:rPr>
          <w:rFonts w:ascii="Times New Roman" w:eastAsia="Times New Roman"/>
          <w:spacing w:val="-2"/>
          <w:sz w:val="21"/>
        </w:rPr>
        <w:t>LVEF</w:t>
      </w:r>
      <w:r>
        <w:rPr>
          <w:spacing w:val="-2"/>
          <w:sz w:val="21"/>
        </w:rPr>
        <w:t>＜</w:t>
      </w:r>
      <w:r>
        <w:rPr>
          <w:rFonts w:ascii="Times New Roman" w:eastAsia="Times New Roman"/>
          <w:spacing w:val="-2"/>
          <w:sz w:val="21"/>
        </w:rPr>
        <w:t>35%</w:t>
      </w:r>
      <w:r>
        <w:rPr>
          <w:spacing w:val="-2"/>
          <w:sz w:val="21"/>
        </w:rPr>
        <w:t>；</w:t>
      </w:r>
    </w:p>
    <w:p>
      <w:pPr>
        <w:pStyle w:val="BodyText"/>
        <w:spacing w:before="6"/>
        <w:rPr>
          <w:sz w:val="15"/>
        </w:rPr>
      </w:pPr>
    </w:p>
    <w:p>
      <w:pPr>
        <w:pStyle w:val="ListParagraph"/>
        <w:numPr>
          <w:ilvl w:val="3"/>
          <w:numId w:val="13"/>
        </w:numPr>
        <w:tabs>
          <w:tab w:pos="1969" w:val="left" w:leader="none"/>
          <w:tab w:pos="1970" w:val="left" w:leader="none"/>
        </w:tabs>
        <w:spacing w:line="278" w:lineRule="auto" w:before="1" w:after="0"/>
        <w:ind w:left="1970" w:right="1088" w:hanging="360"/>
        <w:jc w:val="left"/>
        <w:rPr>
          <w:rFonts w:ascii="Times New Roman" w:eastAsia="Times New Roman"/>
          <w:sz w:val="21"/>
        </w:rPr>
      </w:pPr>
      <w:r>
        <w:rPr>
          <w:spacing w:val="-2"/>
          <w:sz w:val="21"/>
        </w:rPr>
        <w:t>原发性心肌病的诊断必须由我们认可医院的心脏专科医生确认，并提供心脏超</w:t>
      </w:r>
      <w:r>
        <w:rPr>
          <w:spacing w:val="-2"/>
          <w:sz w:val="21"/>
        </w:rPr>
        <w:t>声检查结果报告。</w:t>
      </w:r>
    </w:p>
    <w:p>
      <w:pPr>
        <w:pStyle w:val="BodyText"/>
        <w:spacing w:before="155"/>
        <w:ind w:left="1610"/>
      </w:pPr>
      <w:r>
        <w:rPr>
          <w:spacing w:val="-3"/>
        </w:rPr>
        <w:t>注：本保障范围内的心肌病仅包括扩张型心肌病、肥厚型心肌病及限制型心肌病。</w:t>
      </w:r>
    </w:p>
    <w:p>
      <w:pPr>
        <w:pStyle w:val="BodyText"/>
        <w:rPr>
          <w:sz w:val="15"/>
        </w:rPr>
      </w:pPr>
    </w:p>
    <w:p>
      <w:pPr>
        <w:spacing w:line="278" w:lineRule="auto" w:before="0"/>
        <w:ind w:left="1610" w:right="1216" w:firstLine="0"/>
        <w:jc w:val="left"/>
        <w:rPr>
          <w:b/>
          <w:sz w:val="21"/>
        </w:rPr>
      </w:pPr>
      <w:r>
        <w:rPr>
          <w:b/>
          <w:spacing w:val="-2"/>
          <w:sz w:val="21"/>
        </w:rPr>
        <w:t>继发于全身性疾病或其他器官系统疾病及酒精滥用造成的心肌病变不在保障范围</w:t>
      </w:r>
      <w:r>
        <w:rPr>
          <w:b/>
          <w:spacing w:val="-6"/>
          <w:sz w:val="21"/>
        </w:rPr>
        <w:t>内。</w:t>
      </w:r>
    </w:p>
    <w:p>
      <w:pPr>
        <w:pStyle w:val="ListParagraph"/>
        <w:numPr>
          <w:ilvl w:val="2"/>
          <w:numId w:val="13"/>
        </w:numPr>
        <w:tabs>
          <w:tab w:pos="1819" w:val="left" w:leader="none"/>
        </w:tabs>
        <w:spacing w:line="240" w:lineRule="auto" w:before="156" w:after="0"/>
        <w:ind w:left="1818" w:right="0" w:hanging="802"/>
        <w:jc w:val="left"/>
        <w:rPr>
          <w:b/>
          <w:sz w:val="21"/>
        </w:rPr>
      </w:pPr>
      <w:r>
        <w:rPr>
          <w:b/>
          <w:spacing w:val="-3"/>
          <w:sz w:val="21"/>
        </w:rPr>
        <w:t>病毒性肝炎导致的肝硬化</w:t>
      </w:r>
    </w:p>
    <w:p>
      <w:pPr>
        <w:spacing w:line="278" w:lineRule="auto" w:before="163"/>
        <w:ind w:left="1610" w:right="990" w:firstLine="0"/>
        <w:jc w:val="left"/>
        <w:rPr>
          <w:sz w:val="21"/>
        </w:rPr>
      </w:pPr>
      <w:r>
        <w:rPr>
          <w:spacing w:val="-7"/>
          <w:sz w:val="21"/>
        </w:rPr>
        <w:t>因肝炎病毒感染的肝脏慢性炎症并发展为肝硬化。</w:t>
      </w:r>
      <w:r>
        <w:rPr>
          <w:b/>
          <w:spacing w:val="-9"/>
          <w:sz w:val="21"/>
        </w:rPr>
        <w:t>但未达到本合同所指重大疾病“严</w:t>
      </w:r>
      <w:r>
        <w:rPr>
          <w:b/>
          <w:spacing w:val="-2"/>
          <w:sz w:val="21"/>
        </w:rPr>
        <w:t>重慢性肝衰竭”的给付标准</w:t>
      </w:r>
      <w:r>
        <w:rPr>
          <w:spacing w:val="-2"/>
          <w:sz w:val="21"/>
        </w:rPr>
        <w:t>。理赔时须满足下列全部条件：</w:t>
      </w:r>
    </w:p>
    <w:p>
      <w:pPr>
        <w:pStyle w:val="ListParagraph"/>
        <w:numPr>
          <w:ilvl w:val="3"/>
          <w:numId w:val="13"/>
        </w:numPr>
        <w:tabs>
          <w:tab w:pos="1969" w:val="left" w:leader="none"/>
          <w:tab w:pos="1970" w:val="left" w:leader="none"/>
        </w:tabs>
        <w:spacing w:line="240" w:lineRule="auto" w:before="156" w:after="0"/>
        <w:ind w:left="1970" w:right="0" w:hanging="360"/>
        <w:jc w:val="left"/>
        <w:rPr>
          <w:rFonts w:ascii="Times New Roman" w:eastAsia="Times New Roman"/>
          <w:sz w:val="21"/>
        </w:rPr>
      </w:pPr>
      <w:r>
        <w:rPr>
          <w:spacing w:val="-3"/>
          <w:sz w:val="21"/>
        </w:rPr>
        <w:t>被保人有感染慢性肝炎病毒的血清学及实验室检查报告等临床证据；</w:t>
      </w:r>
    </w:p>
    <w:p>
      <w:pPr>
        <w:pStyle w:val="BodyText"/>
        <w:rPr>
          <w:sz w:val="15"/>
        </w:rPr>
      </w:pPr>
    </w:p>
    <w:p>
      <w:pPr>
        <w:pStyle w:val="ListParagraph"/>
        <w:numPr>
          <w:ilvl w:val="3"/>
          <w:numId w:val="13"/>
        </w:numPr>
        <w:tabs>
          <w:tab w:pos="1969" w:val="left" w:leader="none"/>
          <w:tab w:pos="1970" w:val="left" w:leader="none"/>
        </w:tabs>
        <w:spacing w:line="278" w:lineRule="auto" w:before="0" w:after="0"/>
        <w:ind w:left="1970" w:right="1088" w:hanging="360"/>
        <w:jc w:val="left"/>
        <w:rPr>
          <w:rFonts w:ascii="Times New Roman" w:eastAsia="Times New Roman"/>
          <w:sz w:val="21"/>
        </w:rPr>
      </w:pPr>
      <w:r>
        <w:rPr>
          <w:spacing w:val="-2"/>
          <w:sz w:val="21"/>
        </w:rPr>
        <w:t>必须由本公司认可医院的消化科专科医生基于肝脏组织病理学检查报告、临床</w:t>
      </w:r>
      <w:r>
        <w:rPr>
          <w:spacing w:val="-2"/>
          <w:sz w:val="21"/>
        </w:rPr>
        <w:t>表现及病史对肝炎病毒感染导致肝硬化作出明确诊断；</w:t>
      </w:r>
    </w:p>
    <w:p>
      <w:pPr>
        <w:pStyle w:val="ListParagraph"/>
        <w:numPr>
          <w:ilvl w:val="3"/>
          <w:numId w:val="13"/>
        </w:numPr>
        <w:tabs>
          <w:tab w:pos="1969" w:val="left" w:leader="none"/>
          <w:tab w:pos="1970" w:val="left" w:leader="none"/>
        </w:tabs>
        <w:spacing w:line="278" w:lineRule="auto" w:before="156" w:after="0"/>
        <w:ind w:left="1970" w:right="991" w:hanging="360"/>
        <w:jc w:val="left"/>
        <w:rPr>
          <w:rFonts w:ascii="Times New Roman" w:eastAsia="Times New Roman"/>
          <w:sz w:val="21"/>
        </w:rPr>
      </w:pPr>
      <w:r>
        <w:rPr>
          <w:spacing w:val="2"/>
          <w:sz w:val="21"/>
        </w:rPr>
        <w:t>病理学检查报告证明肝脏病变按</w:t>
      </w:r>
      <w:r>
        <w:rPr>
          <w:rFonts w:ascii="Times New Roman" w:eastAsia="Times New Roman"/>
          <w:sz w:val="21"/>
        </w:rPr>
        <w:t>Metavir</w:t>
      </w:r>
      <w:r>
        <w:rPr>
          <w:rFonts w:ascii="Times New Roman" w:eastAsia="Times New Roman"/>
          <w:spacing w:val="-18"/>
          <w:sz w:val="21"/>
        </w:rPr>
        <w:t> </w:t>
      </w:r>
      <w:r>
        <w:rPr>
          <w:spacing w:val="6"/>
          <w:sz w:val="21"/>
        </w:rPr>
        <w:t>分级表中属</w:t>
      </w:r>
      <w:r>
        <w:rPr>
          <w:rFonts w:ascii="Times New Roman" w:eastAsia="Times New Roman"/>
          <w:sz w:val="21"/>
        </w:rPr>
        <w:t>F4</w:t>
      </w:r>
      <w:r>
        <w:rPr>
          <w:rFonts w:ascii="Times New Roman" w:eastAsia="Times New Roman"/>
          <w:spacing w:val="-17"/>
          <w:sz w:val="21"/>
        </w:rPr>
        <w:t> </w:t>
      </w:r>
      <w:r>
        <w:rPr>
          <w:spacing w:val="12"/>
          <w:sz w:val="21"/>
        </w:rPr>
        <w:t>阶段或</w:t>
      </w:r>
      <w:r>
        <w:rPr>
          <w:rFonts w:ascii="Times New Roman" w:eastAsia="Times New Roman"/>
          <w:sz w:val="21"/>
        </w:rPr>
        <w:t>Knodell</w:t>
      </w:r>
      <w:r>
        <w:rPr>
          <w:rFonts w:ascii="Times New Roman" w:eastAsia="Times New Roman"/>
          <w:spacing w:val="-18"/>
          <w:sz w:val="21"/>
        </w:rPr>
        <w:t> </w:t>
      </w:r>
      <w:r>
        <w:rPr>
          <w:sz w:val="21"/>
        </w:rPr>
        <w:t>肝纤维化</w:t>
      </w:r>
      <w:r>
        <w:rPr>
          <w:spacing w:val="-4"/>
          <w:sz w:val="21"/>
        </w:rPr>
        <w:t>标准达到 </w:t>
      </w:r>
      <w:r>
        <w:rPr>
          <w:rFonts w:ascii="Times New Roman" w:eastAsia="Times New Roman"/>
          <w:sz w:val="21"/>
        </w:rPr>
        <w:t>4 </w:t>
      </w:r>
      <w:r>
        <w:rPr>
          <w:sz w:val="21"/>
        </w:rPr>
        <w:t>分。</w:t>
      </w:r>
    </w:p>
    <w:p>
      <w:pPr>
        <w:spacing w:before="155"/>
        <w:ind w:left="1610" w:right="0" w:firstLine="0"/>
        <w:jc w:val="left"/>
        <w:rPr>
          <w:b/>
          <w:sz w:val="21"/>
        </w:rPr>
      </w:pPr>
      <w:r>
        <w:rPr>
          <w:b/>
          <w:spacing w:val="-3"/>
          <w:sz w:val="21"/>
        </w:rPr>
        <w:t>由酒精或药物滥用而引起的本疾病不在保障范围内。</w:t>
      </w:r>
    </w:p>
    <w:p>
      <w:pPr>
        <w:pStyle w:val="BodyText"/>
        <w:rPr>
          <w:b/>
          <w:sz w:val="15"/>
        </w:rPr>
      </w:pPr>
    </w:p>
    <w:p>
      <w:pPr>
        <w:spacing w:line="278" w:lineRule="auto" w:before="1"/>
        <w:ind w:left="1610" w:right="1004" w:firstLine="0"/>
        <w:jc w:val="left"/>
        <w:rPr>
          <w:b/>
          <w:sz w:val="21"/>
        </w:rPr>
      </w:pPr>
      <w:r>
        <w:rPr>
          <w:b/>
          <w:spacing w:val="-2"/>
          <w:sz w:val="21"/>
        </w:rPr>
        <w:t>本合同仅对“病毒性肝炎导致的肝硬化”和“慢性肝功能衰竭”中的一项承担保险</w:t>
      </w:r>
      <w:r>
        <w:rPr>
          <w:b/>
          <w:spacing w:val="-2"/>
          <w:sz w:val="21"/>
        </w:rPr>
        <w:t>责任，承担其中一项轻症疾病保险责任后，另一项轻症疾病的保险责任终止。</w:t>
      </w:r>
    </w:p>
    <w:p>
      <w:pPr>
        <w:pStyle w:val="ListParagraph"/>
        <w:numPr>
          <w:ilvl w:val="2"/>
          <w:numId w:val="13"/>
        </w:numPr>
        <w:tabs>
          <w:tab w:pos="1819" w:val="left" w:leader="none"/>
        </w:tabs>
        <w:spacing w:line="240" w:lineRule="auto" w:before="155" w:after="0"/>
        <w:ind w:left="1818" w:right="0" w:hanging="802"/>
        <w:jc w:val="left"/>
        <w:rPr>
          <w:b/>
          <w:sz w:val="21"/>
        </w:rPr>
      </w:pPr>
      <w:r>
        <w:rPr>
          <w:b/>
          <w:spacing w:val="-3"/>
          <w:sz w:val="21"/>
        </w:rPr>
        <w:t>于颈动脉进行血管成形术或内膜切除术</w:t>
      </w:r>
    </w:p>
    <w:p>
      <w:pPr>
        <w:pStyle w:val="BodyText"/>
        <w:spacing w:line="278" w:lineRule="auto" w:before="163"/>
        <w:ind w:left="1610" w:right="1009"/>
        <w:jc w:val="both"/>
      </w:pPr>
      <w:r>
        <w:rPr>
          <w:spacing w:val="-2"/>
        </w:rPr>
        <w:t>指根据颈动脉造影检查结果，确诊一条或以上颈动脉存在严重狭窄性病变（至少一</w:t>
      </w:r>
      <w:r>
        <w:rPr>
          <w:spacing w:val="-3"/>
        </w:rPr>
        <w:t>支血管管腔直径减少 </w:t>
      </w:r>
      <w:r>
        <w:rPr>
          <w:rFonts w:ascii="Times New Roman" w:eastAsia="Times New Roman"/>
          <w:spacing w:val="-2"/>
        </w:rPr>
        <w:t>50%</w:t>
      </w:r>
      <w:r>
        <w:rPr>
          <w:spacing w:val="-2"/>
        </w:rPr>
        <w:t>以上）。本病须经国家机关认可的有合法资质的专科医生</w:t>
      </w:r>
      <w:r>
        <w:rPr>
          <w:spacing w:val="-2"/>
        </w:rPr>
        <w:t>明确诊断，同时必须已经采取以下手术以减轻症状：</w:t>
      </w:r>
    </w:p>
    <w:p>
      <w:pPr>
        <w:spacing w:after="0" w:line="278" w:lineRule="auto"/>
        <w:jc w:val="both"/>
        <w:sectPr>
          <w:pgSz w:w="11910" w:h="16840"/>
          <w:pgMar w:top="1380" w:bottom="280" w:left="1280" w:right="420"/>
        </w:sectPr>
      </w:pPr>
    </w:p>
    <w:p>
      <w:pPr>
        <w:pStyle w:val="ListParagraph"/>
        <w:numPr>
          <w:ilvl w:val="3"/>
          <w:numId w:val="13"/>
        </w:numPr>
        <w:tabs>
          <w:tab w:pos="1969" w:val="left" w:leader="none"/>
          <w:tab w:pos="1970" w:val="left" w:leader="none"/>
        </w:tabs>
        <w:spacing w:line="240" w:lineRule="auto" w:before="64" w:after="0"/>
        <w:ind w:left="1970" w:right="0" w:hanging="360"/>
        <w:jc w:val="left"/>
        <w:rPr>
          <w:rFonts w:ascii="Times New Roman" w:eastAsia="Times New Roman"/>
          <w:sz w:val="21"/>
        </w:rPr>
      </w:pPr>
      <w:r>
        <w:rPr>
          <w:spacing w:val="-3"/>
          <w:sz w:val="21"/>
        </w:rPr>
        <w:t>确实进行颈动脉内膜切除术；</w:t>
      </w:r>
    </w:p>
    <w:p>
      <w:pPr>
        <w:pStyle w:val="BodyText"/>
        <w:rPr>
          <w:sz w:val="15"/>
        </w:rPr>
      </w:pPr>
    </w:p>
    <w:p>
      <w:pPr>
        <w:pStyle w:val="ListParagraph"/>
        <w:numPr>
          <w:ilvl w:val="3"/>
          <w:numId w:val="13"/>
        </w:numPr>
        <w:tabs>
          <w:tab w:pos="1969" w:val="left" w:leader="none"/>
          <w:tab w:pos="1970" w:val="left" w:leader="none"/>
        </w:tabs>
        <w:spacing w:line="278" w:lineRule="auto" w:before="0" w:after="0"/>
        <w:ind w:left="1970" w:right="1088" w:hanging="360"/>
        <w:jc w:val="left"/>
        <w:rPr>
          <w:rFonts w:ascii="Times New Roman" w:eastAsia="Times New Roman"/>
          <w:sz w:val="21"/>
        </w:rPr>
      </w:pPr>
      <w:r>
        <w:rPr>
          <w:spacing w:val="-2"/>
          <w:sz w:val="21"/>
        </w:rPr>
        <w:t>确实进行血管介入治疗，例如血管成形术、进行植入支架或动脉粥样斑块清除</w:t>
      </w:r>
      <w:r>
        <w:rPr>
          <w:spacing w:val="-4"/>
          <w:sz w:val="21"/>
        </w:rPr>
        <w:t>手术。</w:t>
      </w:r>
    </w:p>
    <w:p>
      <w:pPr>
        <w:pStyle w:val="ListParagraph"/>
        <w:numPr>
          <w:ilvl w:val="2"/>
          <w:numId w:val="13"/>
        </w:numPr>
        <w:tabs>
          <w:tab w:pos="1819" w:val="left" w:leader="none"/>
        </w:tabs>
        <w:spacing w:line="240" w:lineRule="auto" w:before="156" w:after="0"/>
        <w:ind w:left="1818" w:right="0" w:hanging="802"/>
        <w:jc w:val="left"/>
        <w:rPr>
          <w:b/>
          <w:sz w:val="21"/>
        </w:rPr>
      </w:pPr>
      <w:r>
        <w:rPr>
          <w:b/>
          <w:spacing w:val="-2"/>
          <w:sz w:val="21"/>
        </w:rPr>
        <w:t>心包膜切除术</w:t>
      </w:r>
    </w:p>
    <w:p>
      <w:pPr>
        <w:pStyle w:val="BodyText"/>
        <w:spacing w:line="278" w:lineRule="auto" w:before="163"/>
        <w:ind w:left="1610" w:right="1026"/>
      </w:pPr>
      <w:r>
        <w:rPr>
          <w:spacing w:val="-2"/>
        </w:rPr>
        <w:t>指为治疗心包膜疾病，已经实施了心包膜切除术，手术必须在心脏科医生认为是医</w:t>
      </w:r>
      <w:r>
        <w:rPr>
          <w:spacing w:val="-2"/>
        </w:rPr>
        <w:t>学上必需的情况下进行。</w:t>
      </w:r>
    </w:p>
    <w:p>
      <w:pPr>
        <w:pStyle w:val="ListParagraph"/>
        <w:numPr>
          <w:ilvl w:val="2"/>
          <w:numId w:val="13"/>
        </w:numPr>
        <w:tabs>
          <w:tab w:pos="1819" w:val="left" w:leader="none"/>
        </w:tabs>
        <w:spacing w:line="240" w:lineRule="auto" w:before="156" w:after="0"/>
        <w:ind w:left="1818" w:right="0" w:hanging="802"/>
        <w:jc w:val="left"/>
        <w:rPr>
          <w:b/>
          <w:sz w:val="21"/>
        </w:rPr>
      </w:pPr>
      <w:r>
        <w:rPr>
          <w:b/>
          <w:spacing w:val="-2"/>
          <w:sz w:val="21"/>
        </w:rPr>
        <w:t>微创颅脑手术</w:t>
      </w:r>
    </w:p>
    <w:p>
      <w:pPr>
        <w:spacing w:line="417" w:lineRule="auto" w:before="163"/>
        <w:ind w:left="1610" w:right="1868" w:firstLine="0"/>
        <w:jc w:val="left"/>
        <w:rPr>
          <w:b/>
          <w:sz w:val="21"/>
        </w:rPr>
      </w:pPr>
      <w:r>
        <w:rPr>
          <w:spacing w:val="-2"/>
          <w:sz w:val="21"/>
        </w:rPr>
        <w:t>因疾病被保险人确已实施全麻下的颅骨钻孔手术或者经鼻蝶窦入颅手术。</w:t>
      </w:r>
      <w:r>
        <w:rPr>
          <w:b/>
          <w:spacing w:val="-2"/>
          <w:sz w:val="21"/>
        </w:rPr>
        <w:t>因外伤而实施的脑外科手术不在保障范围内。</w:t>
      </w:r>
    </w:p>
    <w:p>
      <w:pPr>
        <w:spacing w:line="278" w:lineRule="auto" w:before="0"/>
        <w:ind w:left="1610" w:right="989" w:firstLine="0"/>
        <w:jc w:val="both"/>
        <w:rPr>
          <w:b/>
          <w:sz w:val="21"/>
        </w:rPr>
      </w:pPr>
      <w:r>
        <w:rPr>
          <w:b/>
          <w:spacing w:val="-13"/>
          <w:sz w:val="21"/>
        </w:rPr>
        <w:t>本合同仅对 “微创颅脑手术”、“脑垂体瘤、脑囊肿、脑动脉瘤及脑血管瘤”、“硬</w:t>
      </w:r>
      <w:r>
        <w:rPr>
          <w:b/>
          <w:spacing w:val="-2"/>
          <w:sz w:val="21"/>
        </w:rPr>
        <w:t>脑膜下血肿手术”中的一项承担保险责任，承担其中一项轻症疾病保险责任后，其</w:t>
      </w:r>
      <w:r>
        <w:rPr>
          <w:b/>
          <w:spacing w:val="-2"/>
          <w:sz w:val="21"/>
        </w:rPr>
        <w:t>他两项轻症疾病的保险责任终止。</w:t>
      </w:r>
    </w:p>
    <w:p>
      <w:pPr>
        <w:pStyle w:val="ListParagraph"/>
        <w:numPr>
          <w:ilvl w:val="2"/>
          <w:numId w:val="13"/>
        </w:numPr>
        <w:tabs>
          <w:tab w:pos="1819" w:val="left" w:leader="none"/>
        </w:tabs>
        <w:spacing w:line="240" w:lineRule="auto" w:before="156" w:after="0"/>
        <w:ind w:left="1818" w:right="0" w:hanging="802"/>
        <w:jc w:val="left"/>
        <w:rPr>
          <w:b/>
          <w:sz w:val="21"/>
        </w:rPr>
      </w:pPr>
      <w:r>
        <w:rPr>
          <w:b/>
          <w:spacing w:val="-2"/>
          <w:sz w:val="21"/>
        </w:rPr>
        <w:t>视力严重受损</w:t>
      </w:r>
    </w:p>
    <w:p>
      <w:pPr>
        <w:spacing w:line="278" w:lineRule="auto" w:before="163"/>
        <w:ind w:left="1610" w:right="1018" w:firstLine="0"/>
        <w:jc w:val="left"/>
        <w:rPr>
          <w:sz w:val="21"/>
        </w:rPr>
      </w:pPr>
      <w:r>
        <w:rPr>
          <w:spacing w:val="-2"/>
          <w:sz w:val="21"/>
        </w:rPr>
        <w:t>指因疾病或意外伤害导致双目视力永久不可逆性丧失，</w:t>
      </w:r>
      <w:r>
        <w:rPr>
          <w:b/>
          <w:spacing w:val="-2"/>
          <w:sz w:val="21"/>
        </w:rPr>
        <w:t>但未达到本合同所指重大疾</w:t>
      </w:r>
      <w:r>
        <w:rPr>
          <w:b/>
          <w:spacing w:val="-2"/>
          <w:sz w:val="21"/>
        </w:rPr>
        <w:t>病“双目失明”的给付标准</w:t>
      </w:r>
      <w:r>
        <w:rPr>
          <w:spacing w:val="-2"/>
          <w:sz w:val="21"/>
        </w:rPr>
        <w:t>，但满足下列条件之一：</w:t>
      </w:r>
    </w:p>
    <w:p>
      <w:pPr>
        <w:pStyle w:val="ListParagraph"/>
        <w:numPr>
          <w:ilvl w:val="3"/>
          <w:numId w:val="13"/>
        </w:numPr>
        <w:tabs>
          <w:tab w:pos="1981" w:val="left" w:leader="none"/>
          <w:tab w:pos="1982" w:val="left" w:leader="none"/>
        </w:tabs>
        <w:spacing w:line="278" w:lineRule="auto" w:before="155" w:after="0"/>
        <w:ind w:left="1970" w:right="992" w:hanging="360"/>
        <w:jc w:val="left"/>
        <w:rPr>
          <w:rFonts w:ascii="Times New Roman" w:eastAsia="Times New Roman"/>
          <w:sz w:val="21"/>
        </w:rPr>
      </w:pPr>
      <w:r>
        <w:rPr>
          <w:spacing w:val="-5"/>
          <w:sz w:val="21"/>
        </w:rPr>
        <w:t>双眼中较好眼矫正视力低于 </w:t>
      </w:r>
      <w:r>
        <w:rPr>
          <w:rFonts w:ascii="Times New Roman" w:eastAsia="Times New Roman"/>
          <w:spacing w:val="-2"/>
          <w:sz w:val="21"/>
        </w:rPr>
        <w:t>0.1</w:t>
      </w:r>
      <w:r>
        <w:rPr>
          <w:spacing w:val="-2"/>
          <w:sz w:val="21"/>
        </w:rPr>
        <w:t>（采用国际标准视力表，如果使用其他视力表应</w:t>
      </w:r>
      <w:r>
        <w:rPr>
          <w:spacing w:val="-2"/>
          <w:sz w:val="21"/>
        </w:rPr>
        <w:t>进行换算）；</w:t>
      </w:r>
    </w:p>
    <w:p>
      <w:pPr>
        <w:pStyle w:val="ListParagraph"/>
        <w:numPr>
          <w:ilvl w:val="3"/>
          <w:numId w:val="13"/>
        </w:numPr>
        <w:tabs>
          <w:tab w:pos="1981" w:val="left" w:leader="none"/>
          <w:tab w:pos="1982" w:val="left" w:leader="none"/>
        </w:tabs>
        <w:spacing w:line="240" w:lineRule="auto" w:before="156" w:after="0"/>
        <w:ind w:left="1982" w:right="0" w:hanging="372"/>
        <w:jc w:val="left"/>
        <w:rPr>
          <w:rFonts w:ascii="Times New Roman" w:eastAsia="Times New Roman"/>
          <w:sz w:val="21"/>
        </w:rPr>
      </w:pPr>
      <w:r>
        <w:rPr>
          <w:spacing w:val="-5"/>
          <w:sz w:val="21"/>
        </w:rPr>
        <w:t>双眼中较好眼视野半径小于 </w:t>
      </w:r>
      <w:r>
        <w:rPr>
          <w:rFonts w:ascii="Times New Roman" w:eastAsia="Times New Roman"/>
          <w:sz w:val="21"/>
        </w:rPr>
        <w:t>20</w:t>
      </w:r>
      <w:r>
        <w:rPr>
          <w:rFonts w:ascii="Times New Roman" w:eastAsia="Times New Roman"/>
          <w:spacing w:val="35"/>
          <w:sz w:val="21"/>
        </w:rPr>
        <w:t> </w:t>
      </w:r>
      <w:r>
        <w:rPr>
          <w:spacing w:val="-5"/>
          <w:sz w:val="21"/>
        </w:rPr>
        <w:t>度。</w:t>
      </w:r>
    </w:p>
    <w:p>
      <w:pPr>
        <w:pStyle w:val="BodyText"/>
        <w:rPr>
          <w:sz w:val="15"/>
        </w:rPr>
      </w:pPr>
    </w:p>
    <w:p>
      <w:pPr>
        <w:spacing w:line="278" w:lineRule="auto" w:before="0"/>
        <w:ind w:left="1610" w:right="1004" w:firstLine="0"/>
        <w:jc w:val="left"/>
        <w:rPr>
          <w:b/>
          <w:sz w:val="21"/>
        </w:rPr>
      </w:pPr>
      <w:r>
        <w:rPr>
          <w:b/>
          <w:spacing w:val="-2"/>
          <w:sz w:val="21"/>
        </w:rPr>
        <w:t>本合同仅对三周岁以上的被保险人予以理赔，并且须提供理赔当时的视力丧失诊断</w:t>
      </w:r>
      <w:r>
        <w:rPr>
          <w:b/>
          <w:spacing w:val="-2"/>
          <w:sz w:val="21"/>
        </w:rPr>
        <w:t>及检查证据。</w:t>
      </w:r>
    </w:p>
    <w:p>
      <w:pPr>
        <w:spacing w:line="278" w:lineRule="auto" w:before="156"/>
        <w:ind w:left="1610" w:right="1005" w:firstLine="0"/>
        <w:jc w:val="both"/>
        <w:rPr>
          <w:b/>
          <w:sz w:val="21"/>
        </w:rPr>
      </w:pPr>
      <w:r>
        <w:rPr>
          <w:b/>
          <w:spacing w:val="-2"/>
          <w:sz w:val="21"/>
        </w:rPr>
        <w:t>本合同仅对“视力严重受损”、“角膜移植”、“单眼失明”三项轻症疾病中的一</w:t>
      </w:r>
      <w:r>
        <w:rPr>
          <w:b/>
          <w:spacing w:val="-2"/>
          <w:sz w:val="21"/>
        </w:rPr>
        <w:t>项承担保险责任，承担其中一项轻症疾病保险责任后，其他两项轻症疾病的保险责</w:t>
      </w:r>
      <w:r>
        <w:rPr>
          <w:b/>
          <w:spacing w:val="-4"/>
          <w:sz w:val="21"/>
        </w:rPr>
        <w:t>任终止。</w:t>
      </w:r>
    </w:p>
    <w:p>
      <w:pPr>
        <w:pStyle w:val="ListParagraph"/>
        <w:numPr>
          <w:ilvl w:val="2"/>
          <w:numId w:val="13"/>
        </w:numPr>
        <w:tabs>
          <w:tab w:pos="1819" w:val="left" w:leader="none"/>
        </w:tabs>
        <w:spacing w:line="240" w:lineRule="auto" w:before="156" w:after="0"/>
        <w:ind w:left="1818" w:right="0" w:hanging="802"/>
        <w:jc w:val="both"/>
        <w:rPr>
          <w:b/>
          <w:sz w:val="21"/>
        </w:rPr>
      </w:pPr>
      <w:r>
        <w:rPr>
          <w:b/>
          <w:spacing w:val="-2"/>
          <w:sz w:val="21"/>
        </w:rPr>
        <w:t>硬脑膜下血肿手术</w:t>
      </w:r>
    </w:p>
    <w:p>
      <w:pPr>
        <w:pStyle w:val="BodyText"/>
        <w:spacing w:line="278" w:lineRule="auto" w:before="163"/>
        <w:ind w:left="1610" w:right="1026"/>
      </w:pPr>
      <w:r>
        <w:rPr>
          <w:spacing w:val="-2"/>
        </w:rPr>
        <w:t>为清除或引流因意外导致的血肿，需于头部进行开颅或钻孔手术。开颅或钻孔手术</w:t>
      </w:r>
      <w:r>
        <w:rPr>
          <w:spacing w:val="-2"/>
        </w:rPr>
        <w:t>必须由专科医生认为是医学上必需的情况下进行。</w:t>
      </w:r>
    </w:p>
    <w:p>
      <w:pPr>
        <w:spacing w:line="278" w:lineRule="auto" w:before="155"/>
        <w:ind w:left="1610" w:right="989" w:firstLine="0"/>
        <w:jc w:val="both"/>
        <w:rPr>
          <w:b/>
          <w:sz w:val="21"/>
        </w:rPr>
      </w:pPr>
      <w:r>
        <w:rPr>
          <w:b/>
          <w:spacing w:val="-13"/>
          <w:sz w:val="21"/>
        </w:rPr>
        <w:t>本合同仅对 “微创颅脑手术”、“脑垂体瘤、脑囊肿、脑动脉瘤及脑血管瘤”、“硬</w:t>
      </w:r>
      <w:r>
        <w:rPr>
          <w:b/>
          <w:spacing w:val="-2"/>
          <w:sz w:val="21"/>
        </w:rPr>
        <w:t>脑膜下血肿手术”中的一项承担保险责任，承担其中一项轻症疾病保险责任后，其</w:t>
      </w:r>
      <w:r>
        <w:rPr>
          <w:b/>
          <w:spacing w:val="-2"/>
          <w:sz w:val="21"/>
        </w:rPr>
        <w:t>他两项轻症疾病的保险责任终止。</w:t>
      </w:r>
    </w:p>
    <w:p>
      <w:pPr>
        <w:pStyle w:val="ListParagraph"/>
        <w:numPr>
          <w:ilvl w:val="2"/>
          <w:numId w:val="13"/>
        </w:numPr>
        <w:tabs>
          <w:tab w:pos="1819" w:val="left" w:leader="none"/>
        </w:tabs>
        <w:spacing w:line="240" w:lineRule="auto" w:before="157" w:after="0"/>
        <w:ind w:left="1818" w:right="0" w:hanging="802"/>
        <w:jc w:val="both"/>
        <w:rPr>
          <w:b/>
          <w:sz w:val="21"/>
        </w:rPr>
      </w:pPr>
      <w:r>
        <w:rPr>
          <w:b/>
          <w:spacing w:val="-3"/>
          <w:sz w:val="21"/>
        </w:rPr>
        <w:t>急性出血坏死性胰腺炎腹腔镜手术</w:t>
      </w:r>
    </w:p>
    <w:p>
      <w:pPr>
        <w:pStyle w:val="BodyText"/>
        <w:spacing w:line="278" w:lineRule="auto" w:before="163"/>
        <w:ind w:left="1610" w:right="1026"/>
      </w:pPr>
      <w:r>
        <w:rPr>
          <w:spacing w:val="-2"/>
        </w:rPr>
        <w:t>指被保险人被确诊为急性出血坏死性胰腺炎，并实际接受了腹腔镜手术治疗，以进</w:t>
      </w:r>
      <w:r>
        <w:rPr>
          <w:spacing w:val="-2"/>
        </w:rPr>
        <w:t>行坏死组织清除、坏死病灶切除或胰腺切除。</w:t>
      </w:r>
    </w:p>
    <w:p>
      <w:pPr>
        <w:spacing w:before="155"/>
        <w:ind w:left="1610" w:right="0" w:firstLine="0"/>
        <w:jc w:val="left"/>
        <w:rPr>
          <w:b/>
          <w:sz w:val="21"/>
        </w:rPr>
      </w:pPr>
      <w:r>
        <w:rPr>
          <w:b/>
          <w:spacing w:val="-3"/>
          <w:sz w:val="21"/>
        </w:rPr>
        <w:t>因酗酒或饮酒过量所致的急性出血坏死性胰腺炎不在保障范围内。</w:t>
      </w:r>
    </w:p>
    <w:p>
      <w:pPr>
        <w:spacing w:after="0"/>
        <w:jc w:val="left"/>
        <w:rPr>
          <w:sz w:val="21"/>
        </w:rPr>
        <w:sectPr>
          <w:pgSz w:w="11910" w:h="16840"/>
          <w:pgMar w:top="1380" w:bottom="280" w:left="1280" w:right="420"/>
        </w:sectPr>
      </w:pPr>
    </w:p>
    <w:p>
      <w:pPr>
        <w:pStyle w:val="ListParagraph"/>
        <w:numPr>
          <w:ilvl w:val="2"/>
          <w:numId w:val="13"/>
        </w:numPr>
        <w:tabs>
          <w:tab w:pos="1819" w:val="left" w:leader="none"/>
        </w:tabs>
        <w:spacing w:line="240" w:lineRule="auto" w:before="64" w:after="0"/>
        <w:ind w:left="1818" w:right="0" w:hanging="802"/>
        <w:jc w:val="left"/>
        <w:rPr>
          <w:b/>
          <w:sz w:val="21"/>
        </w:rPr>
      </w:pPr>
      <w:r>
        <w:rPr>
          <w:b/>
          <w:spacing w:val="-2"/>
          <w:sz w:val="21"/>
        </w:rPr>
        <w:t>中度帕金森病</w:t>
      </w:r>
    </w:p>
    <w:p>
      <w:pPr>
        <w:pStyle w:val="BodyText"/>
        <w:spacing w:line="278" w:lineRule="auto" w:before="163"/>
        <w:ind w:left="1610" w:right="1026"/>
      </w:pPr>
      <w:r>
        <w:rPr>
          <w:spacing w:val="-2"/>
        </w:rPr>
        <w:t>是一种中枢神经系统的退行性疾病，临床表现为震颤麻痹、共济失调等。必须满足</w:t>
      </w:r>
      <w:r>
        <w:rPr>
          <w:spacing w:val="-2"/>
        </w:rPr>
        <w:t>下列全部条件：</w:t>
      </w:r>
    </w:p>
    <w:p>
      <w:pPr>
        <w:pStyle w:val="ListParagraph"/>
        <w:numPr>
          <w:ilvl w:val="3"/>
          <w:numId w:val="13"/>
        </w:numPr>
        <w:tabs>
          <w:tab w:pos="1925" w:val="left" w:leader="none"/>
        </w:tabs>
        <w:spacing w:line="240" w:lineRule="auto" w:before="156" w:after="0"/>
        <w:ind w:left="1924" w:right="0" w:hanging="315"/>
        <w:jc w:val="left"/>
        <w:rPr>
          <w:rFonts w:ascii="Times New Roman" w:eastAsia="Times New Roman"/>
          <w:sz w:val="21"/>
        </w:rPr>
      </w:pPr>
      <w:r>
        <w:rPr>
          <w:spacing w:val="-3"/>
          <w:sz w:val="21"/>
        </w:rPr>
        <w:t>药物治疗无法控制病情；</w:t>
      </w:r>
    </w:p>
    <w:p>
      <w:pPr>
        <w:pStyle w:val="BodyText"/>
        <w:rPr>
          <w:sz w:val="15"/>
        </w:rPr>
      </w:pPr>
    </w:p>
    <w:p>
      <w:pPr>
        <w:pStyle w:val="ListParagraph"/>
        <w:numPr>
          <w:ilvl w:val="3"/>
          <w:numId w:val="13"/>
        </w:numPr>
        <w:tabs>
          <w:tab w:pos="1925" w:val="left" w:leader="none"/>
        </w:tabs>
        <w:spacing w:line="240" w:lineRule="auto" w:before="0" w:after="0"/>
        <w:ind w:left="1924" w:right="0" w:hanging="315"/>
        <w:jc w:val="left"/>
        <w:rPr>
          <w:rFonts w:ascii="Times New Roman" w:eastAsia="Times New Roman"/>
          <w:sz w:val="21"/>
        </w:rPr>
      </w:pPr>
      <w:r>
        <w:rPr>
          <w:spacing w:val="-3"/>
          <w:sz w:val="21"/>
        </w:rPr>
        <w:t>自主生活能力完全丧失，无法独立完成六项基本日常生活活动中的两项。</w:t>
      </w:r>
    </w:p>
    <w:p>
      <w:pPr>
        <w:pStyle w:val="BodyText"/>
        <w:rPr>
          <w:sz w:val="15"/>
        </w:rPr>
      </w:pPr>
    </w:p>
    <w:p>
      <w:pPr>
        <w:spacing w:line="417" w:lineRule="auto" w:before="0"/>
        <w:ind w:left="1610" w:right="1216" w:firstLine="0"/>
        <w:jc w:val="left"/>
        <w:rPr>
          <w:b/>
          <w:sz w:val="21"/>
        </w:rPr>
      </w:pPr>
      <w:r>
        <w:rPr>
          <w:b/>
          <w:spacing w:val="-2"/>
          <w:sz w:val="21"/>
        </w:rPr>
        <w:t>但未达到本合同所指重大疾病“严重原发性帕金森病”或“瘫痪”的给付标准。</w:t>
      </w:r>
      <w:r>
        <w:rPr>
          <w:b/>
          <w:spacing w:val="-2"/>
          <w:sz w:val="21"/>
        </w:rPr>
        <w:t>继发性帕金森综合征、帕金森叠加综合征不在保障范围内。</w:t>
      </w:r>
    </w:p>
    <w:p>
      <w:pPr>
        <w:pStyle w:val="ListParagraph"/>
        <w:numPr>
          <w:ilvl w:val="2"/>
          <w:numId w:val="13"/>
        </w:numPr>
        <w:tabs>
          <w:tab w:pos="1819" w:val="left" w:leader="none"/>
        </w:tabs>
        <w:spacing w:line="269" w:lineRule="exact" w:before="0" w:after="0"/>
        <w:ind w:left="1818" w:right="0" w:hanging="802"/>
        <w:jc w:val="left"/>
        <w:rPr>
          <w:b/>
          <w:sz w:val="21"/>
        </w:rPr>
      </w:pPr>
      <w:r>
        <w:rPr>
          <w:b/>
          <w:spacing w:val="-2"/>
          <w:sz w:val="21"/>
        </w:rPr>
        <w:t>重度头部外伤</w:t>
      </w:r>
    </w:p>
    <w:p>
      <w:pPr>
        <w:pStyle w:val="BodyText"/>
        <w:spacing w:line="278" w:lineRule="auto" w:before="163"/>
        <w:ind w:left="1610" w:right="884"/>
      </w:pPr>
      <w:r>
        <w:rPr>
          <w:spacing w:val="-8"/>
          <w:w w:val="100"/>
        </w:rPr>
        <w:t>指因头部遭受机械性外力，引起脑重要部位损伤，导致神经系统永久性的功能障碍。</w:t>
      </w:r>
      <w:r>
        <w:rPr>
          <w:spacing w:val="-5"/>
          <w:w w:val="100"/>
        </w:rPr>
        <w:t>须由头颅断层扫描</w:t>
      </w:r>
      <w:r>
        <w:rPr>
          <w:spacing w:val="-3"/>
          <w:w w:val="100"/>
        </w:rPr>
        <w:t>（</w:t>
      </w:r>
      <w:r>
        <w:rPr>
          <w:rFonts w:ascii="Times New Roman" w:eastAsia="Times New Roman"/>
          <w:spacing w:val="-2"/>
          <w:w w:val="100"/>
        </w:rPr>
        <w:t>C</w:t>
      </w:r>
      <w:r>
        <w:rPr>
          <w:rFonts w:ascii="Times New Roman" w:eastAsia="Times New Roman"/>
          <w:w w:val="100"/>
        </w:rPr>
        <w:t>T</w:t>
      </w:r>
      <w:r>
        <w:rPr>
          <w:spacing w:val="-3"/>
          <w:w w:val="100"/>
        </w:rPr>
        <w:t>）、核磁共振检查</w:t>
      </w:r>
      <w:r>
        <w:rPr>
          <w:w w:val="100"/>
        </w:rPr>
        <w:t>（</w:t>
      </w:r>
      <w:r>
        <w:rPr>
          <w:rFonts w:ascii="Times New Roman" w:eastAsia="Times New Roman"/>
          <w:spacing w:val="-3"/>
          <w:w w:val="100"/>
        </w:rPr>
        <w:t>M</w:t>
      </w:r>
      <w:r>
        <w:rPr>
          <w:rFonts w:ascii="Times New Roman" w:eastAsia="Times New Roman"/>
          <w:w w:val="100"/>
        </w:rPr>
        <w:t>R</w:t>
      </w:r>
      <w:r>
        <w:rPr>
          <w:rFonts w:ascii="Times New Roman" w:eastAsia="Times New Roman"/>
          <w:spacing w:val="-3"/>
          <w:w w:val="100"/>
        </w:rPr>
        <w:t>I</w:t>
      </w:r>
      <w:r>
        <w:rPr>
          <w:w w:val="100"/>
        </w:rPr>
        <w:t>）</w:t>
      </w:r>
      <w:r>
        <w:rPr>
          <w:spacing w:val="-3"/>
          <w:w w:val="100"/>
        </w:rPr>
        <w:t>或正电子发射断层扫描（</w:t>
      </w:r>
      <w:r>
        <w:rPr>
          <w:rFonts w:ascii="Times New Roman" w:eastAsia="Times New Roman"/>
          <w:spacing w:val="-3"/>
          <w:w w:val="100"/>
        </w:rPr>
        <w:t>P</w:t>
      </w:r>
      <w:r>
        <w:rPr>
          <w:rFonts w:ascii="Times New Roman" w:eastAsia="Times New Roman"/>
          <w:w w:val="100"/>
        </w:rPr>
        <w:t>E</w:t>
      </w:r>
      <w:r>
        <w:rPr>
          <w:rFonts w:ascii="Times New Roman" w:eastAsia="Times New Roman"/>
          <w:spacing w:val="-2"/>
          <w:w w:val="100"/>
        </w:rPr>
        <w:t>T</w:t>
      </w:r>
      <w:r>
        <w:rPr>
          <w:w w:val="100"/>
        </w:rPr>
        <w:t>）</w:t>
      </w:r>
      <w:r>
        <w:rPr>
          <w:spacing w:val="-3"/>
          <w:w w:val="100"/>
        </w:rPr>
        <w:t>等影像学检查证实。神经系统永久性的功能障碍，指脑损伤</w:t>
      </w:r>
      <w:r>
        <w:rPr>
          <w:spacing w:val="-53"/>
        </w:rPr>
        <w:t> </w:t>
      </w:r>
      <w:r>
        <w:rPr>
          <w:rFonts w:ascii="Times New Roman" w:eastAsia="Times New Roman"/>
          <w:spacing w:val="-3"/>
          <w:w w:val="100"/>
        </w:rPr>
        <w:t>1</w:t>
      </w:r>
      <w:r>
        <w:rPr>
          <w:rFonts w:ascii="Times New Roman" w:eastAsia="Times New Roman"/>
          <w:w w:val="100"/>
        </w:rPr>
        <w:t>80</w:t>
      </w:r>
      <w:r>
        <w:rPr>
          <w:rFonts w:ascii="Times New Roman" w:eastAsia="Times New Roman"/>
        </w:rPr>
        <w:t> </w:t>
      </w:r>
      <w:r>
        <w:rPr>
          <w:spacing w:val="-3"/>
          <w:w w:val="100"/>
        </w:rPr>
        <w:t>日后，仍完全丧失自主生活能力，无法独立完成六项基本日常生活活动中的两项或两项以上。</w:t>
      </w:r>
    </w:p>
    <w:p>
      <w:pPr>
        <w:spacing w:before="156"/>
        <w:ind w:left="1610" w:right="0" w:firstLine="0"/>
        <w:jc w:val="left"/>
        <w:rPr>
          <w:b/>
          <w:sz w:val="21"/>
        </w:rPr>
      </w:pPr>
      <w:r>
        <w:rPr>
          <w:b/>
          <w:spacing w:val="-3"/>
          <w:sz w:val="21"/>
        </w:rPr>
        <w:t>但未达到本合同所指重大疾病“严重脑损伤”或“瘫痪”的给付标准。</w:t>
      </w:r>
    </w:p>
    <w:p>
      <w:pPr>
        <w:pStyle w:val="BodyText"/>
        <w:spacing w:before="6"/>
        <w:rPr>
          <w:b/>
          <w:sz w:val="15"/>
        </w:rPr>
      </w:pPr>
    </w:p>
    <w:p>
      <w:pPr>
        <w:pStyle w:val="ListParagraph"/>
        <w:numPr>
          <w:ilvl w:val="2"/>
          <w:numId w:val="13"/>
        </w:numPr>
        <w:tabs>
          <w:tab w:pos="1819" w:val="left" w:leader="none"/>
        </w:tabs>
        <w:spacing w:line="240" w:lineRule="auto" w:before="1" w:after="0"/>
        <w:ind w:left="1818" w:right="0" w:hanging="802"/>
        <w:jc w:val="left"/>
        <w:rPr>
          <w:b/>
          <w:sz w:val="21"/>
        </w:rPr>
      </w:pPr>
      <w:r>
        <w:rPr>
          <w:b/>
          <w:spacing w:val="-2"/>
          <w:sz w:val="21"/>
        </w:rPr>
        <w:t>早期运动神经元病</w:t>
      </w:r>
    </w:p>
    <w:p>
      <w:pPr>
        <w:pStyle w:val="BodyText"/>
        <w:spacing w:line="278" w:lineRule="auto" w:before="162"/>
        <w:ind w:left="1610" w:right="1025"/>
        <w:jc w:val="both"/>
      </w:pPr>
      <w:r>
        <w:rPr>
          <w:spacing w:val="-2"/>
        </w:rPr>
        <w:t>是一组中枢神经系统运动神经元的进行性变性疾病，进行性脊肌萎缩症、进行性延</w:t>
      </w:r>
      <w:r>
        <w:rPr>
          <w:spacing w:val="-2"/>
        </w:rPr>
        <w:t>髓麻痹症、原发性侧索硬化症、肌萎缩性侧索硬化症。须满足自主生活能力完全丧</w:t>
      </w:r>
      <w:r>
        <w:rPr>
          <w:spacing w:val="-2"/>
        </w:rPr>
        <w:t>失，无法独立完成六项基本日常生活活动中的两项。</w:t>
      </w:r>
    </w:p>
    <w:p>
      <w:pPr>
        <w:spacing w:before="156"/>
        <w:ind w:left="1610" w:right="0" w:firstLine="0"/>
        <w:jc w:val="left"/>
        <w:rPr>
          <w:b/>
          <w:sz w:val="21"/>
        </w:rPr>
      </w:pPr>
      <w:r>
        <w:rPr>
          <w:b/>
          <w:spacing w:val="-3"/>
          <w:sz w:val="21"/>
        </w:rPr>
        <w:t>但未达到本合同所指重大疾病“严重运动神经元病”或“瘫痪”的给付标准。</w:t>
      </w:r>
    </w:p>
    <w:p>
      <w:pPr>
        <w:pStyle w:val="BodyText"/>
        <w:rPr>
          <w:b/>
          <w:sz w:val="15"/>
        </w:rPr>
      </w:pPr>
    </w:p>
    <w:p>
      <w:pPr>
        <w:pStyle w:val="ListParagraph"/>
        <w:numPr>
          <w:ilvl w:val="2"/>
          <w:numId w:val="13"/>
        </w:numPr>
        <w:tabs>
          <w:tab w:pos="1819" w:val="left" w:leader="none"/>
        </w:tabs>
        <w:spacing w:line="240" w:lineRule="auto" w:before="0" w:after="0"/>
        <w:ind w:left="1818" w:right="0" w:hanging="802"/>
        <w:jc w:val="left"/>
        <w:rPr>
          <w:b/>
          <w:sz w:val="21"/>
        </w:rPr>
      </w:pPr>
      <w:r>
        <w:rPr>
          <w:b/>
          <w:spacing w:val="-2"/>
          <w:sz w:val="21"/>
        </w:rPr>
        <w:t>中度重症肌无力</w:t>
      </w:r>
    </w:p>
    <w:p>
      <w:pPr>
        <w:pStyle w:val="BodyText"/>
        <w:spacing w:line="278" w:lineRule="auto" w:before="163"/>
        <w:ind w:left="1610" w:right="989"/>
        <w:jc w:val="both"/>
      </w:pPr>
      <w:r>
        <w:rPr>
          <w:spacing w:val="-2"/>
        </w:rPr>
        <w:t>是一种神经与肌肉接头部位传递障碍的自身免疫性疾病，临床特征是局部或全身横</w:t>
      </w:r>
      <w:r>
        <w:rPr>
          <w:spacing w:val="-2"/>
        </w:rPr>
        <w:t>纹肌于活动时易于疲劳无力，颅神经眼外肌最易累及，也可涉及呼吸肌、下肢近端</w:t>
      </w:r>
      <w:r>
        <w:rPr>
          <w:spacing w:val="-11"/>
        </w:rPr>
        <w:t>肌群以至全身肌肉。该病必须由我们认可医院的专科医生明确诊断，且疾病确诊 </w:t>
      </w:r>
      <w:r>
        <w:rPr>
          <w:rFonts w:ascii="Times New Roman" w:eastAsia="Times New Roman"/>
          <w:spacing w:val="-2"/>
        </w:rPr>
        <w:t>180</w:t>
      </w:r>
      <w:r>
        <w:rPr>
          <w:spacing w:val="-2"/>
        </w:rPr>
        <w:t>日后，仍然存在自主生活能力部分丧失，无法独立完成六项基本日常生活活动中的</w:t>
      </w:r>
      <w:r>
        <w:rPr>
          <w:spacing w:val="-4"/>
        </w:rPr>
        <w:t>两项。</w:t>
      </w:r>
    </w:p>
    <w:p>
      <w:pPr>
        <w:spacing w:before="156"/>
        <w:ind w:left="1610" w:right="0" w:firstLine="0"/>
        <w:jc w:val="left"/>
        <w:rPr>
          <w:sz w:val="21"/>
        </w:rPr>
      </w:pPr>
      <w:r>
        <w:rPr>
          <w:b/>
          <w:spacing w:val="-2"/>
          <w:sz w:val="21"/>
        </w:rPr>
        <w:t>但未达到本合同所指重大疾病“重症肌无力”或“瘫痪”的给付标准</w:t>
      </w:r>
      <w:r>
        <w:rPr>
          <w:spacing w:val="-10"/>
          <w:sz w:val="21"/>
        </w:rPr>
        <w:t>。</w:t>
      </w:r>
    </w:p>
    <w:p>
      <w:pPr>
        <w:pStyle w:val="BodyText"/>
        <w:spacing w:before="6"/>
        <w:rPr>
          <w:sz w:val="15"/>
        </w:rPr>
      </w:pPr>
    </w:p>
    <w:p>
      <w:pPr>
        <w:pStyle w:val="ListParagraph"/>
        <w:numPr>
          <w:ilvl w:val="2"/>
          <w:numId w:val="13"/>
        </w:numPr>
        <w:tabs>
          <w:tab w:pos="1819" w:val="left" w:leader="none"/>
        </w:tabs>
        <w:spacing w:line="240" w:lineRule="auto" w:before="0" w:after="0"/>
        <w:ind w:left="1818" w:right="0" w:hanging="802"/>
        <w:jc w:val="left"/>
        <w:rPr>
          <w:b/>
          <w:sz w:val="21"/>
        </w:rPr>
      </w:pPr>
      <w:r>
        <w:rPr>
          <w:b/>
          <w:spacing w:val="-3"/>
          <w:sz w:val="21"/>
        </w:rPr>
        <w:t>中度进行性核上性麻痹</w:t>
      </w:r>
    </w:p>
    <w:p>
      <w:pPr>
        <w:pStyle w:val="BodyText"/>
        <w:spacing w:line="278" w:lineRule="auto" w:before="163"/>
        <w:ind w:left="1610" w:right="1025"/>
        <w:jc w:val="both"/>
      </w:pPr>
      <w:r>
        <w:rPr>
          <w:spacing w:val="-2"/>
        </w:rPr>
        <w:t>指一种少见的神经系统变性疾病，以假球麻痹、垂直性核上性眼肌麻痹、锥体外系</w:t>
      </w:r>
      <w:r>
        <w:rPr>
          <w:spacing w:val="-2"/>
        </w:rPr>
        <w:t>肌僵直、步态共济失调和轻度痴呆为主要临床特征。本病须经专科医生明确诊断。</w:t>
      </w:r>
      <w:r>
        <w:rPr>
          <w:spacing w:val="-2"/>
        </w:rPr>
        <w:t>须满足自主生活能力严重丧失，无法独立完成六项基本日常生活活动中的两项。</w:t>
      </w:r>
    </w:p>
    <w:p>
      <w:pPr>
        <w:spacing w:before="156"/>
        <w:ind w:left="1610" w:right="0" w:firstLine="0"/>
        <w:jc w:val="left"/>
        <w:rPr>
          <w:sz w:val="21"/>
        </w:rPr>
      </w:pPr>
      <w:r>
        <w:rPr>
          <w:b/>
          <w:spacing w:val="-2"/>
          <w:sz w:val="21"/>
        </w:rPr>
        <w:t>但未达到本合同所指重大疾病“进行性核上性麻痹”或“瘫痪”的给付标准</w:t>
      </w:r>
      <w:r>
        <w:rPr>
          <w:spacing w:val="-10"/>
          <w:sz w:val="21"/>
        </w:rPr>
        <w:t>。</w:t>
      </w:r>
    </w:p>
    <w:p>
      <w:pPr>
        <w:pStyle w:val="BodyText"/>
        <w:rPr>
          <w:sz w:val="15"/>
        </w:rPr>
      </w:pPr>
    </w:p>
    <w:p>
      <w:pPr>
        <w:pStyle w:val="ListParagraph"/>
        <w:numPr>
          <w:ilvl w:val="2"/>
          <w:numId w:val="13"/>
        </w:numPr>
        <w:tabs>
          <w:tab w:pos="1819" w:val="left" w:leader="none"/>
        </w:tabs>
        <w:spacing w:line="240" w:lineRule="auto" w:before="0" w:after="0"/>
        <w:ind w:left="1818" w:right="0" w:hanging="802"/>
        <w:jc w:val="left"/>
        <w:rPr>
          <w:b/>
          <w:sz w:val="21"/>
        </w:rPr>
      </w:pPr>
      <w:r>
        <w:rPr>
          <w:b/>
          <w:spacing w:val="-3"/>
          <w:sz w:val="21"/>
        </w:rPr>
        <w:t>中度脑炎或脑膜炎后遗症</w:t>
      </w:r>
    </w:p>
    <w:p>
      <w:pPr>
        <w:pStyle w:val="BodyText"/>
        <w:spacing w:line="278" w:lineRule="auto" w:before="163"/>
        <w:ind w:left="1610" w:right="1025"/>
        <w:jc w:val="both"/>
      </w:pPr>
      <w:r>
        <w:rPr>
          <w:spacing w:val="-2"/>
        </w:rPr>
        <w:t>指因患脑炎或脑膜炎导致的神经系统的功能障碍。神经系统的功能障碍，指疾病确</w:t>
      </w:r>
      <w:r>
        <w:rPr>
          <w:spacing w:val="-14"/>
        </w:rPr>
        <w:t>诊 </w:t>
      </w:r>
      <w:r>
        <w:rPr>
          <w:rFonts w:ascii="Times New Roman" w:eastAsia="Times New Roman"/>
          <w:spacing w:val="-2"/>
        </w:rPr>
        <w:t>180</w:t>
      </w:r>
      <w:r>
        <w:rPr>
          <w:rFonts w:ascii="Times New Roman" w:eastAsia="Times New Roman"/>
          <w:spacing w:val="21"/>
        </w:rPr>
        <w:t> </w:t>
      </w:r>
      <w:r>
        <w:rPr>
          <w:spacing w:val="-2"/>
        </w:rPr>
        <w:t>日后，仍存在自主活动能力完全丧失，经鉴定无法独立完成六项基本日常生</w:t>
      </w:r>
      <w:r>
        <w:rPr>
          <w:spacing w:val="-2"/>
        </w:rPr>
        <w:t>活活动中的两项。</w:t>
      </w:r>
    </w:p>
    <w:p>
      <w:pPr>
        <w:spacing w:before="156"/>
        <w:ind w:left="1610" w:right="0" w:firstLine="0"/>
        <w:jc w:val="left"/>
        <w:rPr>
          <w:b/>
          <w:sz w:val="21"/>
        </w:rPr>
      </w:pPr>
      <w:r>
        <w:rPr>
          <w:b/>
          <w:spacing w:val="-3"/>
          <w:sz w:val="21"/>
        </w:rPr>
        <w:t>但未达到本合同所指重大疾病“严重脑炎后遗症或严重脑膜炎后遗症”或“瘫痪”</w:t>
      </w:r>
    </w:p>
    <w:p>
      <w:pPr>
        <w:spacing w:after="0"/>
        <w:jc w:val="left"/>
        <w:rPr>
          <w:sz w:val="21"/>
        </w:rPr>
        <w:sectPr>
          <w:pgSz w:w="11910" w:h="16840"/>
          <w:pgMar w:top="1380" w:bottom="280" w:left="1280" w:right="420"/>
        </w:sectPr>
      </w:pPr>
    </w:p>
    <w:p>
      <w:pPr>
        <w:spacing w:before="44"/>
        <w:ind w:left="1610" w:right="0" w:firstLine="0"/>
        <w:jc w:val="left"/>
        <w:rPr>
          <w:b/>
          <w:sz w:val="21"/>
        </w:rPr>
      </w:pPr>
      <w:r>
        <w:rPr>
          <w:b/>
          <w:spacing w:val="-2"/>
          <w:sz w:val="21"/>
        </w:rPr>
        <w:t>的给付标准。</w:t>
      </w:r>
    </w:p>
    <w:p>
      <w:pPr>
        <w:pStyle w:val="BodyText"/>
        <w:rPr>
          <w:b/>
          <w:sz w:val="15"/>
        </w:rPr>
      </w:pPr>
    </w:p>
    <w:p>
      <w:pPr>
        <w:pStyle w:val="ListParagraph"/>
        <w:numPr>
          <w:ilvl w:val="2"/>
          <w:numId w:val="13"/>
        </w:numPr>
        <w:tabs>
          <w:tab w:pos="1819" w:val="left" w:leader="none"/>
        </w:tabs>
        <w:spacing w:line="240" w:lineRule="auto" w:before="0" w:after="0"/>
        <w:ind w:left="1818" w:right="0" w:hanging="802"/>
        <w:jc w:val="left"/>
        <w:rPr>
          <w:b/>
          <w:sz w:val="21"/>
        </w:rPr>
      </w:pPr>
      <w:r>
        <w:rPr>
          <w:b/>
          <w:spacing w:val="-2"/>
          <w:sz w:val="21"/>
        </w:rPr>
        <w:t>慢性肝功能衰竭</w:t>
      </w:r>
    </w:p>
    <w:p>
      <w:pPr>
        <w:spacing w:line="278" w:lineRule="auto" w:before="163"/>
        <w:ind w:left="1610" w:right="1225" w:firstLine="0"/>
        <w:jc w:val="left"/>
        <w:rPr>
          <w:sz w:val="21"/>
        </w:rPr>
      </w:pPr>
      <w:r>
        <w:rPr>
          <w:spacing w:val="-2"/>
          <w:sz w:val="21"/>
        </w:rPr>
        <w:t>指因慢性肝脏疾病导致肝功能衰竭，</w:t>
      </w:r>
      <w:r>
        <w:rPr>
          <w:b/>
          <w:spacing w:val="-2"/>
          <w:sz w:val="21"/>
        </w:rPr>
        <w:t>但未达到本合同所指重大疾病“严重慢性肝</w:t>
      </w:r>
      <w:r>
        <w:rPr>
          <w:b/>
          <w:spacing w:val="-2"/>
          <w:sz w:val="21"/>
        </w:rPr>
        <w:t>衰竭”的给付标准</w:t>
      </w:r>
      <w:r>
        <w:rPr>
          <w:spacing w:val="-2"/>
          <w:sz w:val="21"/>
        </w:rPr>
        <w:t>。须满足下列任意三个条件：</w:t>
      </w:r>
    </w:p>
    <w:p>
      <w:pPr>
        <w:pStyle w:val="ListParagraph"/>
        <w:numPr>
          <w:ilvl w:val="3"/>
          <w:numId w:val="13"/>
        </w:numPr>
        <w:tabs>
          <w:tab w:pos="1981" w:val="left" w:leader="none"/>
          <w:tab w:pos="1982" w:val="left" w:leader="none"/>
        </w:tabs>
        <w:spacing w:line="240" w:lineRule="auto" w:before="156" w:after="0"/>
        <w:ind w:left="1982" w:right="0" w:hanging="372"/>
        <w:jc w:val="left"/>
        <w:rPr>
          <w:rFonts w:ascii="Times New Roman" w:eastAsia="Times New Roman"/>
          <w:sz w:val="21"/>
        </w:rPr>
      </w:pPr>
      <w:r>
        <w:rPr>
          <w:spacing w:val="-4"/>
          <w:sz w:val="21"/>
        </w:rPr>
        <w:t>持续性黄疸；</w:t>
      </w:r>
    </w:p>
    <w:p>
      <w:pPr>
        <w:pStyle w:val="BodyText"/>
        <w:rPr>
          <w:sz w:val="15"/>
        </w:rPr>
      </w:pPr>
    </w:p>
    <w:p>
      <w:pPr>
        <w:pStyle w:val="ListParagraph"/>
        <w:numPr>
          <w:ilvl w:val="3"/>
          <w:numId w:val="13"/>
        </w:numPr>
        <w:tabs>
          <w:tab w:pos="1981" w:val="left" w:leader="none"/>
          <w:tab w:pos="1982" w:val="left" w:leader="none"/>
        </w:tabs>
        <w:spacing w:line="240" w:lineRule="auto" w:before="0" w:after="0"/>
        <w:ind w:left="1982" w:right="0" w:hanging="372"/>
        <w:jc w:val="left"/>
        <w:rPr>
          <w:rFonts w:ascii="Times New Roman" w:eastAsia="Times New Roman"/>
          <w:sz w:val="21"/>
        </w:rPr>
      </w:pPr>
      <w:r>
        <w:rPr>
          <w:spacing w:val="-4"/>
          <w:sz w:val="21"/>
        </w:rPr>
        <w:t>腹水；</w:t>
      </w:r>
    </w:p>
    <w:p>
      <w:pPr>
        <w:pStyle w:val="BodyText"/>
        <w:spacing w:before="6"/>
        <w:rPr>
          <w:sz w:val="15"/>
        </w:rPr>
      </w:pPr>
    </w:p>
    <w:p>
      <w:pPr>
        <w:pStyle w:val="ListParagraph"/>
        <w:numPr>
          <w:ilvl w:val="3"/>
          <w:numId w:val="13"/>
        </w:numPr>
        <w:tabs>
          <w:tab w:pos="1981" w:val="left" w:leader="none"/>
          <w:tab w:pos="1982" w:val="left" w:leader="none"/>
        </w:tabs>
        <w:spacing w:line="240" w:lineRule="auto" w:before="0" w:after="0"/>
        <w:ind w:left="1982" w:right="0" w:hanging="372"/>
        <w:jc w:val="left"/>
        <w:rPr>
          <w:rFonts w:ascii="Times New Roman" w:eastAsia="Times New Roman"/>
          <w:sz w:val="21"/>
        </w:rPr>
      </w:pPr>
      <w:r>
        <w:rPr>
          <w:spacing w:val="-4"/>
          <w:sz w:val="21"/>
        </w:rPr>
        <w:t>肝性脑病；</w:t>
      </w:r>
    </w:p>
    <w:p>
      <w:pPr>
        <w:pStyle w:val="BodyText"/>
        <w:rPr>
          <w:sz w:val="15"/>
        </w:rPr>
      </w:pPr>
    </w:p>
    <w:p>
      <w:pPr>
        <w:pStyle w:val="ListParagraph"/>
        <w:numPr>
          <w:ilvl w:val="3"/>
          <w:numId w:val="13"/>
        </w:numPr>
        <w:tabs>
          <w:tab w:pos="1981" w:val="left" w:leader="none"/>
          <w:tab w:pos="1982" w:val="left" w:leader="none"/>
        </w:tabs>
        <w:spacing w:line="417" w:lineRule="auto" w:before="0" w:after="0"/>
        <w:ind w:left="1610" w:right="3534" w:firstLine="0"/>
        <w:jc w:val="left"/>
        <w:rPr>
          <w:rFonts w:ascii="Times New Roman" w:eastAsia="Times New Roman"/>
          <w:sz w:val="21"/>
        </w:rPr>
      </w:pPr>
      <w:r>
        <w:rPr>
          <w:spacing w:val="-2"/>
          <w:sz w:val="21"/>
        </w:rPr>
        <w:t>充血性脾肿大伴脾功能亢进或食管胃底静脉曲张。</w:t>
      </w:r>
      <w:r>
        <w:rPr>
          <w:b/>
          <w:spacing w:val="-2"/>
          <w:sz w:val="21"/>
        </w:rPr>
        <w:t>因酗酒或药物滥用导致的肝功能衰竭不在保障范围内。</w:t>
      </w:r>
    </w:p>
    <w:p>
      <w:pPr>
        <w:spacing w:line="278" w:lineRule="auto" w:before="0"/>
        <w:ind w:left="1610" w:right="1215" w:firstLine="0"/>
        <w:jc w:val="left"/>
        <w:rPr>
          <w:b/>
          <w:sz w:val="21"/>
        </w:rPr>
      </w:pPr>
      <w:r>
        <w:rPr>
          <w:b/>
          <w:spacing w:val="-2"/>
          <w:sz w:val="21"/>
        </w:rPr>
        <w:t>本合同仅对“病毒性肝炎导致的肝硬化”和“慢性肝功能衰竭”中的一项承担保</w:t>
      </w:r>
      <w:r>
        <w:rPr>
          <w:b/>
          <w:spacing w:val="-3"/>
          <w:sz w:val="21"/>
        </w:rPr>
        <w:t>险责任，承担其中一项轻症疾病保险责任后，另一项轻症疾病的保险责任终止。</w:t>
      </w:r>
    </w:p>
    <w:p>
      <w:pPr>
        <w:pStyle w:val="ListParagraph"/>
        <w:numPr>
          <w:ilvl w:val="2"/>
          <w:numId w:val="13"/>
        </w:numPr>
        <w:tabs>
          <w:tab w:pos="1819" w:val="left" w:leader="none"/>
        </w:tabs>
        <w:spacing w:line="240" w:lineRule="auto" w:before="156" w:after="0"/>
        <w:ind w:left="1818" w:right="0" w:hanging="802"/>
        <w:jc w:val="left"/>
        <w:rPr>
          <w:b/>
          <w:sz w:val="21"/>
        </w:rPr>
      </w:pPr>
      <w:r>
        <w:rPr>
          <w:b/>
          <w:spacing w:val="-2"/>
          <w:sz w:val="21"/>
        </w:rPr>
        <w:t>中度感染性心内膜炎</w:t>
      </w:r>
    </w:p>
    <w:p>
      <w:pPr>
        <w:spacing w:line="278" w:lineRule="auto" w:before="163"/>
        <w:ind w:left="1610" w:right="884" w:firstLine="0"/>
        <w:jc w:val="left"/>
        <w:rPr>
          <w:sz w:val="21"/>
        </w:rPr>
      </w:pPr>
      <w:r>
        <w:rPr>
          <w:spacing w:val="-2"/>
          <w:sz w:val="21"/>
        </w:rPr>
        <w:t>指因感染性微生物造成心脏内膜炎症，并且累及心脏瓣膜，导致心脏瓣膜病变,</w:t>
      </w:r>
      <w:r>
        <w:rPr>
          <w:b/>
          <w:spacing w:val="-2"/>
          <w:sz w:val="21"/>
        </w:rPr>
        <w:t>但未</w:t>
      </w:r>
      <w:r>
        <w:rPr>
          <w:b/>
          <w:spacing w:val="-4"/>
          <w:sz w:val="21"/>
        </w:rPr>
        <w:t>达到本合同所指重大疾病“严重感染性心内膜炎”或“心脏瓣膜手术”的给付标准</w:t>
      </w:r>
      <w:r>
        <w:rPr>
          <w:spacing w:val="-4"/>
          <w:sz w:val="21"/>
        </w:rPr>
        <w:t>。</w:t>
      </w:r>
      <w:r>
        <w:rPr>
          <w:spacing w:val="-2"/>
          <w:sz w:val="21"/>
        </w:rPr>
        <w:t>必须满足下列条件：</w:t>
      </w:r>
    </w:p>
    <w:p>
      <w:pPr>
        <w:pStyle w:val="ListParagraph"/>
        <w:numPr>
          <w:ilvl w:val="3"/>
          <w:numId w:val="13"/>
        </w:numPr>
        <w:tabs>
          <w:tab w:pos="1969" w:val="left" w:leader="none"/>
          <w:tab w:pos="1970" w:val="left" w:leader="none"/>
        </w:tabs>
        <w:spacing w:line="278" w:lineRule="auto" w:before="156" w:after="0"/>
        <w:ind w:left="1970" w:right="1193" w:hanging="360"/>
        <w:jc w:val="left"/>
        <w:rPr>
          <w:rFonts w:ascii="Times New Roman" w:eastAsia="Times New Roman"/>
          <w:sz w:val="21"/>
        </w:rPr>
      </w:pPr>
      <w:r>
        <w:rPr>
          <w:spacing w:val="-2"/>
          <w:sz w:val="21"/>
        </w:rPr>
        <w:t>急性或亚急性感染性心内膜炎的临床表现,合心内膜炎引起轻度心瓣膜关闭不</w:t>
      </w:r>
      <w:r>
        <w:rPr>
          <w:spacing w:val="-2"/>
          <w:sz w:val="21"/>
        </w:rPr>
        <w:t>全或轻度度心瓣膜狭窄；</w:t>
      </w:r>
    </w:p>
    <w:p>
      <w:pPr>
        <w:pStyle w:val="ListParagraph"/>
        <w:numPr>
          <w:ilvl w:val="3"/>
          <w:numId w:val="13"/>
        </w:numPr>
        <w:tabs>
          <w:tab w:pos="1969" w:val="left" w:leader="none"/>
          <w:tab w:pos="1970" w:val="left" w:leader="none"/>
        </w:tabs>
        <w:spacing w:line="240" w:lineRule="auto" w:before="156" w:after="0"/>
        <w:ind w:left="1970" w:right="0" w:hanging="360"/>
        <w:jc w:val="left"/>
        <w:rPr>
          <w:rFonts w:ascii="Times New Roman" w:eastAsia="Times New Roman"/>
          <w:sz w:val="21"/>
        </w:rPr>
      </w:pPr>
      <w:r>
        <w:rPr>
          <w:spacing w:val="-3"/>
          <w:sz w:val="21"/>
        </w:rPr>
        <w:t>血液培养测试结果为阳性，证实存在感染性微生物。</w:t>
      </w:r>
    </w:p>
    <w:p>
      <w:pPr>
        <w:pStyle w:val="BodyText"/>
        <w:spacing w:before="6"/>
        <w:rPr>
          <w:sz w:val="15"/>
        </w:rPr>
      </w:pPr>
    </w:p>
    <w:p>
      <w:pPr>
        <w:pStyle w:val="ListParagraph"/>
        <w:numPr>
          <w:ilvl w:val="1"/>
          <w:numId w:val="3"/>
        </w:numPr>
        <w:tabs>
          <w:tab w:pos="714" w:val="left" w:leader="none"/>
          <w:tab w:pos="715" w:val="left" w:leader="none"/>
        </w:tabs>
        <w:spacing w:line="240" w:lineRule="auto" w:before="0" w:after="0"/>
        <w:ind w:left="714" w:right="0" w:hanging="577"/>
        <w:jc w:val="left"/>
        <w:rPr>
          <w:b/>
          <w:sz w:val="21"/>
        </w:rPr>
      </w:pPr>
      <w:bookmarkStart w:name="_bookmark56" w:id="98"/>
      <w:bookmarkEnd w:id="98"/>
      <w:r>
        <w:rPr/>
      </w:r>
      <w:bookmarkStart w:name="_bookmark56" w:id="99"/>
      <w:bookmarkEnd w:id="99"/>
      <w:r>
        <w:rPr>
          <w:b/>
          <w:spacing w:val="-3"/>
          <w:sz w:val="21"/>
        </w:rPr>
        <w:t>意外伤害</w:t>
      </w:r>
    </w:p>
    <w:p>
      <w:pPr>
        <w:pStyle w:val="BodyText"/>
        <w:rPr>
          <w:b/>
          <w:sz w:val="15"/>
        </w:rPr>
      </w:pPr>
    </w:p>
    <w:p>
      <w:pPr>
        <w:pStyle w:val="BodyText"/>
        <w:spacing w:before="1"/>
        <w:ind w:left="1610"/>
      </w:pPr>
      <w:r>
        <w:rPr>
          <w:spacing w:val="-3"/>
        </w:rPr>
        <w:t>指遭受外来的、突发的、非本意的、非疾病的客观事件直接致使身体受到的伤害。</w:t>
      </w:r>
    </w:p>
    <w:p>
      <w:pPr>
        <w:pStyle w:val="BodyText"/>
        <w:spacing w:before="6"/>
        <w:rPr>
          <w:sz w:val="15"/>
        </w:rPr>
      </w:pPr>
    </w:p>
    <w:p>
      <w:pPr>
        <w:pStyle w:val="ListParagraph"/>
        <w:numPr>
          <w:ilvl w:val="1"/>
          <w:numId w:val="3"/>
        </w:numPr>
        <w:tabs>
          <w:tab w:pos="714" w:val="left" w:leader="none"/>
          <w:tab w:pos="715" w:val="left" w:leader="none"/>
        </w:tabs>
        <w:spacing w:line="240" w:lineRule="auto" w:before="0" w:after="0"/>
        <w:ind w:left="714" w:right="0" w:hanging="577"/>
        <w:jc w:val="left"/>
        <w:rPr>
          <w:b/>
          <w:sz w:val="21"/>
        </w:rPr>
      </w:pPr>
      <w:bookmarkStart w:name="_bookmark57" w:id="100"/>
      <w:bookmarkEnd w:id="100"/>
      <w:r>
        <w:rPr/>
      </w:r>
      <w:bookmarkStart w:name="_bookmark57" w:id="101"/>
      <w:bookmarkEnd w:id="101"/>
      <w:r>
        <w:rPr>
          <w:b/>
          <w:spacing w:val="-2"/>
          <w:sz w:val="21"/>
        </w:rPr>
        <w:t>指定或认可的医院</w:t>
      </w:r>
    </w:p>
    <w:p>
      <w:pPr>
        <w:pStyle w:val="BodyText"/>
        <w:rPr>
          <w:b/>
          <w:sz w:val="15"/>
        </w:rPr>
      </w:pPr>
    </w:p>
    <w:p>
      <w:pPr>
        <w:pStyle w:val="BodyText"/>
        <w:spacing w:line="278" w:lineRule="auto" w:before="0"/>
        <w:ind w:left="1610" w:right="1026"/>
      </w:pPr>
      <w:r>
        <w:rPr>
          <w:spacing w:val="-2"/>
        </w:rPr>
        <w:t>本合同所称的指定或认可的医院为中华人民共和国境内（港澳台除外）且符合下列</w:t>
      </w:r>
      <w:r>
        <w:rPr>
          <w:spacing w:val="-2"/>
        </w:rPr>
        <w:t>所有条件：</w:t>
      </w:r>
    </w:p>
    <w:p>
      <w:pPr>
        <w:pStyle w:val="ListParagraph"/>
        <w:numPr>
          <w:ilvl w:val="2"/>
          <w:numId w:val="3"/>
        </w:numPr>
        <w:tabs>
          <w:tab w:pos="1969" w:val="left" w:leader="none"/>
          <w:tab w:pos="1970" w:val="left" w:leader="none"/>
        </w:tabs>
        <w:spacing w:line="240" w:lineRule="auto" w:before="156" w:after="0"/>
        <w:ind w:left="1970" w:right="0" w:hanging="363"/>
        <w:jc w:val="left"/>
        <w:rPr>
          <w:rFonts w:ascii="Times New Roman" w:eastAsia="Times New Roman"/>
          <w:sz w:val="21"/>
        </w:rPr>
      </w:pPr>
      <w:r>
        <w:rPr>
          <w:spacing w:val="-3"/>
          <w:sz w:val="21"/>
        </w:rPr>
        <w:t>拥有合法经营执照；</w:t>
      </w:r>
    </w:p>
    <w:p>
      <w:pPr>
        <w:pStyle w:val="BodyText"/>
        <w:spacing w:before="6"/>
        <w:rPr>
          <w:sz w:val="15"/>
        </w:rPr>
      </w:pPr>
    </w:p>
    <w:p>
      <w:pPr>
        <w:pStyle w:val="ListParagraph"/>
        <w:numPr>
          <w:ilvl w:val="2"/>
          <w:numId w:val="3"/>
        </w:numPr>
        <w:tabs>
          <w:tab w:pos="1969" w:val="left" w:leader="none"/>
          <w:tab w:pos="1970" w:val="left" w:leader="none"/>
        </w:tabs>
        <w:spacing w:line="240" w:lineRule="auto" w:before="1" w:after="0"/>
        <w:ind w:left="1970" w:right="0" w:hanging="363"/>
        <w:jc w:val="left"/>
        <w:rPr>
          <w:rFonts w:ascii="Times New Roman" w:eastAsia="Times New Roman"/>
          <w:sz w:val="21"/>
        </w:rPr>
      </w:pPr>
      <w:r>
        <w:rPr>
          <w:spacing w:val="-3"/>
          <w:sz w:val="21"/>
        </w:rPr>
        <w:t>设立的主要目的为向受伤者和患病者提供留院治疗和护理服务；</w:t>
      </w:r>
    </w:p>
    <w:p>
      <w:pPr>
        <w:pStyle w:val="BodyText"/>
        <w:spacing w:before="6"/>
        <w:rPr>
          <w:sz w:val="15"/>
        </w:rPr>
      </w:pPr>
    </w:p>
    <w:p>
      <w:pPr>
        <w:pStyle w:val="ListParagraph"/>
        <w:numPr>
          <w:ilvl w:val="2"/>
          <w:numId w:val="3"/>
        </w:numPr>
        <w:tabs>
          <w:tab w:pos="1969" w:val="left" w:leader="none"/>
          <w:tab w:pos="1970" w:val="left" w:leader="none"/>
        </w:tabs>
        <w:spacing w:line="278" w:lineRule="auto" w:before="0" w:after="0"/>
        <w:ind w:left="1970" w:right="993" w:hanging="363"/>
        <w:jc w:val="left"/>
        <w:rPr>
          <w:rFonts w:ascii="Times New Roman" w:eastAsia="Times New Roman"/>
          <w:sz w:val="21"/>
        </w:rPr>
      </w:pPr>
      <w:r>
        <w:rPr>
          <w:spacing w:val="-2"/>
          <w:sz w:val="21"/>
        </w:rPr>
        <w:t>有合格的医生</w:t>
      </w:r>
      <w:r>
        <w:rPr>
          <w:b/>
          <w:spacing w:val="-2"/>
          <w:sz w:val="21"/>
        </w:rPr>
        <w:t>（被保险人本人、其配偶或其直系亲属除外）</w:t>
      </w:r>
      <w:r>
        <w:rPr>
          <w:spacing w:val="-2"/>
          <w:sz w:val="21"/>
        </w:rPr>
        <w:t>和护士提供全日二</w:t>
      </w:r>
      <w:r>
        <w:rPr>
          <w:spacing w:val="-2"/>
          <w:sz w:val="21"/>
        </w:rPr>
        <w:t>十四小时的医疗和护理服务；</w:t>
      </w:r>
    </w:p>
    <w:p>
      <w:pPr>
        <w:pStyle w:val="ListParagraph"/>
        <w:numPr>
          <w:ilvl w:val="2"/>
          <w:numId w:val="3"/>
        </w:numPr>
        <w:tabs>
          <w:tab w:pos="1969" w:val="left" w:leader="none"/>
          <w:tab w:pos="1970" w:val="left" w:leader="none"/>
        </w:tabs>
        <w:spacing w:line="278" w:lineRule="auto" w:before="156" w:after="0"/>
        <w:ind w:left="1970" w:right="1002" w:hanging="363"/>
        <w:jc w:val="left"/>
        <w:rPr>
          <w:rFonts w:ascii="Times New Roman" w:eastAsia="Times New Roman"/>
          <w:sz w:val="21"/>
        </w:rPr>
      </w:pPr>
      <w:r>
        <w:rPr>
          <w:spacing w:val="-2"/>
          <w:sz w:val="21"/>
        </w:rPr>
        <w:t>具有系统性诊疗等程序或手术设备的二级或以上的综合性医院或专科医院，但</w:t>
      </w:r>
      <w:r>
        <w:rPr>
          <w:b/>
          <w:spacing w:val="-2"/>
          <w:sz w:val="21"/>
        </w:rPr>
        <w:t>不包括观察室、联合病房和康复病房</w:t>
      </w:r>
      <w:r>
        <w:rPr>
          <w:spacing w:val="-2"/>
          <w:sz w:val="21"/>
        </w:rPr>
        <w:t>；</w:t>
      </w:r>
    </w:p>
    <w:p>
      <w:pPr>
        <w:pStyle w:val="ListParagraph"/>
        <w:numPr>
          <w:ilvl w:val="2"/>
          <w:numId w:val="3"/>
        </w:numPr>
        <w:tabs>
          <w:tab w:pos="1969" w:val="left" w:leader="none"/>
          <w:tab w:pos="1970" w:val="left" w:leader="none"/>
        </w:tabs>
        <w:spacing w:line="240" w:lineRule="auto" w:before="156" w:after="0"/>
        <w:ind w:left="1970" w:right="0" w:hanging="363"/>
        <w:jc w:val="left"/>
        <w:rPr>
          <w:rFonts w:ascii="Times New Roman" w:eastAsia="Times New Roman"/>
          <w:b/>
          <w:sz w:val="21"/>
        </w:rPr>
      </w:pPr>
      <w:r>
        <w:rPr>
          <w:b/>
          <w:spacing w:val="-3"/>
          <w:sz w:val="21"/>
        </w:rPr>
        <w:t>不包括康复医院、诊所、护理、疗养、戒酒、戒毒或类似的医疗机构。</w:t>
      </w:r>
    </w:p>
    <w:p>
      <w:pPr>
        <w:pStyle w:val="BodyText"/>
        <w:rPr>
          <w:b/>
          <w:sz w:val="15"/>
        </w:rPr>
      </w:pPr>
    </w:p>
    <w:p>
      <w:pPr>
        <w:pStyle w:val="ListParagraph"/>
        <w:numPr>
          <w:ilvl w:val="1"/>
          <w:numId w:val="3"/>
        </w:numPr>
        <w:tabs>
          <w:tab w:pos="715" w:val="left" w:leader="none"/>
        </w:tabs>
        <w:spacing w:line="240" w:lineRule="auto" w:before="0" w:after="0"/>
        <w:ind w:left="714" w:right="0" w:hanging="577"/>
        <w:jc w:val="left"/>
        <w:rPr>
          <w:b/>
          <w:sz w:val="21"/>
        </w:rPr>
      </w:pPr>
      <w:bookmarkStart w:name="_bookmark58" w:id="102"/>
      <w:bookmarkEnd w:id="102"/>
      <w:r>
        <w:rPr/>
      </w:r>
      <w:bookmarkStart w:name="_bookmark58" w:id="103"/>
      <w:bookmarkEnd w:id="103"/>
      <w:r>
        <w:rPr>
          <w:b/>
          <w:spacing w:val="-3"/>
          <w:sz w:val="21"/>
        </w:rPr>
        <w:t>专科医生</w:t>
      </w:r>
    </w:p>
    <w:p>
      <w:pPr>
        <w:pStyle w:val="BodyText"/>
        <w:rPr>
          <w:b/>
          <w:sz w:val="15"/>
        </w:rPr>
      </w:pPr>
    </w:p>
    <w:p>
      <w:pPr>
        <w:pStyle w:val="BodyText"/>
        <w:spacing w:before="0"/>
        <w:ind w:left="1610"/>
      </w:pPr>
      <w:r>
        <w:rPr>
          <w:spacing w:val="-3"/>
        </w:rPr>
        <w:t>专科医生应当同时满足以下四项资格条件：</w:t>
      </w:r>
    </w:p>
    <w:p>
      <w:pPr>
        <w:pStyle w:val="BodyText"/>
        <w:spacing w:before="6"/>
        <w:rPr>
          <w:sz w:val="15"/>
        </w:rPr>
      </w:pPr>
    </w:p>
    <w:p>
      <w:pPr>
        <w:pStyle w:val="ListParagraph"/>
        <w:numPr>
          <w:ilvl w:val="2"/>
          <w:numId w:val="3"/>
        </w:numPr>
        <w:tabs>
          <w:tab w:pos="1969" w:val="left" w:leader="none"/>
          <w:tab w:pos="1970" w:val="left" w:leader="none"/>
        </w:tabs>
        <w:spacing w:line="240" w:lineRule="auto" w:before="1" w:after="0"/>
        <w:ind w:left="1970" w:right="0" w:hanging="360"/>
        <w:jc w:val="left"/>
        <w:rPr>
          <w:rFonts w:ascii="Times New Roman" w:eastAsia="Times New Roman"/>
          <w:sz w:val="21"/>
        </w:rPr>
      </w:pPr>
      <w:r>
        <w:rPr>
          <w:spacing w:val="-3"/>
          <w:sz w:val="21"/>
        </w:rPr>
        <w:t>具有有效的中华人民共和国《医师资格证书》；</w:t>
      </w:r>
    </w:p>
    <w:p>
      <w:pPr>
        <w:spacing w:after="0" w:line="240" w:lineRule="auto"/>
        <w:jc w:val="left"/>
        <w:rPr>
          <w:rFonts w:ascii="Times New Roman" w:eastAsia="Times New Roman"/>
          <w:sz w:val="21"/>
        </w:rPr>
        <w:sectPr>
          <w:pgSz w:w="11910" w:h="16840"/>
          <w:pgMar w:top="1400" w:bottom="280" w:left="1280" w:right="420"/>
        </w:sectPr>
      </w:pPr>
    </w:p>
    <w:p>
      <w:pPr>
        <w:pStyle w:val="ListParagraph"/>
        <w:numPr>
          <w:ilvl w:val="2"/>
          <w:numId w:val="3"/>
        </w:numPr>
        <w:tabs>
          <w:tab w:pos="1969" w:val="left" w:leader="none"/>
          <w:tab w:pos="1970" w:val="left" w:leader="none"/>
        </w:tabs>
        <w:spacing w:line="240" w:lineRule="auto" w:before="64" w:after="0"/>
        <w:ind w:left="1970" w:right="0" w:hanging="360"/>
        <w:jc w:val="left"/>
        <w:rPr>
          <w:rFonts w:ascii="Times New Roman" w:eastAsia="Times New Roman"/>
          <w:sz w:val="21"/>
        </w:rPr>
      </w:pPr>
      <w:r>
        <w:rPr>
          <w:spacing w:val="-3"/>
          <w:sz w:val="21"/>
        </w:rPr>
        <w:t>具有有效的中华人民共和国《医师执业证书》，并按期到相关部门登记注册；</w:t>
      </w:r>
    </w:p>
    <w:p>
      <w:pPr>
        <w:pStyle w:val="BodyText"/>
        <w:rPr>
          <w:sz w:val="15"/>
        </w:rPr>
      </w:pPr>
    </w:p>
    <w:p>
      <w:pPr>
        <w:pStyle w:val="ListParagraph"/>
        <w:numPr>
          <w:ilvl w:val="2"/>
          <w:numId w:val="3"/>
        </w:numPr>
        <w:tabs>
          <w:tab w:pos="1969" w:val="left" w:leader="none"/>
          <w:tab w:pos="1970" w:val="left" w:leader="none"/>
        </w:tabs>
        <w:spacing w:line="240" w:lineRule="auto" w:before="0" w:after="0"/>
        <w:ind w:left="1970" w:right="0" w:hanging="360"/>
        <w:jc w:val="left"/>
        <w:rPr>
          <w:rFonts w:ascii="Times New Roman" w:eastAsia="Times New Roman"/>
          <w:sz w:val="21"/>
        </w:rPr>
      </w:pPr>
      <w:r>
        <w:rPr>
          <w:spacing w:val="-3"/>
          <w:sz w:val="21"/>
        </w:rPr>
        <w:t>具有有效的中华人民共和国主治医师或主治医师以上职称的《医师职称证书》；</w:t>
      </w:r>
    </w:p>
    <w:p>
      <w:pPr>
        <w:pStyle w:val="BodyText"/>
        <w:rPr>
          <w:sz w:val="15"/>
        </w:rPr>
      </w:pPr>
    </w:p>
    <w:p>
      <w:pPr>
        <w:pStyle w:val="ListParagraph"/>
        <w:numPr>
          <w:ilvl w:val="2"/>
          <w:numId w:val="3"/>
        </w:numPr>
        <w:tabs>
          <w:tab w:pos="1969" w:val="left" w:leader="none"/>
          <w:tab w:pos="1970" w:val="left" w:leader="none"/>
        </w:tabs>
        <w:spacing w:line="278" w:lineRule="auto" w:before="0" w:after="0"/>
        <w:ind w:left="1970" w:right="1088" w:hanging="360"/>
        <w:jc w:val="left"/>
        <w:rPr>
          <w:rFonts w:ascii="Times New Roman" w:eastAsia="Times New Roman"/>
          <w:sz w:val="21"/>
        </w:rPr>
      </w:pPr>
      <w:r>
        <w:rPr>
          <w:spacing w:val="-2"/>
          <w:sz w:val="21"/>
        </w:rPr>
        <w:t>在国家《医院分级管理标准》二级或二级以上医院的相应科室从事临床工作三</w:t>
      </w:r>
      <w:r>
        <w:rPr>
          <w:spacing w:val="-4"/>
          <w:sz w:val="21"/>
        </w:rPr>
        <w:t>年以上。</w:t>
      </w:r>
    </w:p>
    <w:p>
      <w:pPr>
        <w:pStyle w:val="ListParagraph"/>
        <w:numPr>
          <w:ilvl w:val="1"/>
          <w:numId w:val="3"/>
        </w:numPr>
        <w:tabs>
          <w:tab w:pos="715" w:val="left" w:leader="none"/>
        </w:tabs>
        <w:spacing w:line="240" w:lineRule="auto" w:before="156" w:after="0"/>
        <w:ind w:left="714" w:right="0" w:hanging="577"/>
        <w:jc w:val="left"/>
        <w:rPr>
          <w:b/>
          <w:sz w:val="21"/>
        </w:rPr>
      </w:pPr>
      <w:bookmarkStart w:name="_bookmark59" w:id="104"/>
      <w:bookmarkEnd w:id="104"/>
      <w:r>
        <w:rPr/>
      </w:r>
      <w:bookmarkStart w:name="_bookmark59" w:id="105"/>
      <w:bookmarkEnd w:id="105"/>
      <w:r>
        <w:rPr>
          <w:b/>
          <w:spacing w:val="-2"/>
          <w:sz w:val="21"/>
        </w:rPr>
        <w:t>少儿特定疾病</w:t>
      </w:r>
    </w:p>
    <w:p>
      <w:pPr>
        <w:pStyle w:val="BodyText"/>
        <w:spacing w:before="6"/>
        <w:rPr>
          <w:b/>
          <w:sz w:val="15"/>
        </w:rPr>
      </w:pPr>
    </w:p>
    <w:p>
      <w:pPr>
        <w:pStyle w:val="BodyText"/>
        <w:spacing w:line="278" w:lineRule="auto" w:before="1"/>
        <w:ind w:left="1610" w:right="989"/>
        <w:jc w:val="both"/>
      </w:pPr>
      <w:r>
        <w:rPr>
          <w:spacing w:val="-2"/>
        </w:rPr>
        <w:t>少儿特定疾病指下列所定义的十五项疾病或手术。其中前四项轻症疾病采用中国保</w:t>
      </w:r>
      <w:r>
        <w:rPr/>
        <w:t>险行业协会颁布的《重大疾病保险的疾病定义使用规范（</w:t>
      </w:r>
      <w:r>
        <w:rPr>
          <w:rFonts w:ascii="Times New Roman" w:eastAsia="Times New Roman"/>
        </w:rPr>
        <w:t>2020</w:t>
      </w:r>
      <w:r>
        <w:rPr>
          <w:rFonts w:ascii="Times New Roman" w:eastAsia="Times New Roman"/>
          <w:spacing w:val="-14"/>
        </w:rPr>
        <w:t> </w:t>
      </w:r>
      <w:r>
        <w:rPr/>
        <w:t>年修订版）》中的定</w:t>
      </w:r>
      <w:r>
        <w:rPr>
          <w:spacing w:val="-6"/>
        </w:rPr>
        <w:t>义。</w:t>
      </w:r>
    </w:p>
    <w:p>
      <w:pPr>
        <w:spacing w:before="155"/>
        <w:ind w:left="1610" w:right="0" w:firstLine="0"/>
        <w:jc w:val="left"/>
        <w:rPr>
          <w:b/>
          <w:sz w:val="21"/>
        </w:rPr>
      </w:pPr>
      <w:r>
        <w:rPr>
          <w:b/>
          <w:spacing w:val="-3"/>
          <w:sz w:val="21"/>
        </w:rPr>
        <w:t>以下疾病名称仅供理解使用，具体保障范围以每项疾病具体定义为准。</w:t>
      </w:r>
    </w:p>
    <w:p>
      <w:pPr>
        <w:pStyle w:val="BodyText"/>
        <w:rPr>
          <w:b/>
          <w:sz w:val="15"/>
        </w:rPr>
      </w:pPr>
    </w:p>
    <w:p>
      <w:pPr>
        <w:pStyle w:val="ListParagraph"/>
        <w:numPr>
          <w:ilvl w:val="2"/>
          <w:numId w:val="16"/>
        </w:numPr>
        <w:tabs>
          <w:tab w:pos="1819" w:val="left" w:leader="none"/>
        </w:tabs>
        <w:spacing w:line="240" w:lineRule="auto" w:before="0" w:after="0"/>
        <w:ind w:left="1818" w:right="0" w:hanging="802"/>
        <w:jc w:val="left"/>
        <w:rPr>
          <w:b/>
          <w:sz w:val="21"/>
        </w:rPr>
      </w:pPr>
      <w:r>
        <w:rPr>
          <w:b/>
          <w:spacing w:val="-2"/>
          <w:sz w:val="21"/>
        </w:rPr>
        <w:t>严重非恶性颅内肿瘤</w:t>
      </w:r>
    </w:p>
    <w:p>
      <w:pPr>
        <w:pStyle w:val="BodyText"/>
        <w:spacing w:line="278" w:lineRule="auto" w:before="163"/>
        <w:ind w:left="1610" w:right="924"/>
      </w:pPr>
      <w:r>
        <w:rPr>
          <w:spacing w:val="-2"/>
        </w:rPr>
        <w:t>指起源于脑、脑神经、脑被膜的非恶性肿瘤，</w:t>
      </w:r>
      <w:r>
        <w:rPr>
          <w:rFonts w:ascii="Times New Roman" w:eastAsia="Times New Roman"/>
          <w:spacing w:val="-2"/>
        </w:rPr>
        <w:t>ICD-O-3 </w:t>
      </w:r>
      <w:r>
        <w:rPr>
          <w:spacing w:val="-6"/>
        </w:rPr>
        <w:t>肿瘤形态学编码属于 </w:t>
      </w:r>
      <w:r>
        <w:rPr>
          <w:rFonts w:ascii="Times New Roman" w:eastAsia="Times New Roman"/>
          <w:spacing w:val="-2"/>
        </w:rPr>
        <w:t>0</w:t>
      </w:r>
      <w:r>
        <w:rPr>
          <w:spacing w:val="-2"/>
        </w:rPr>
        <w:t>（良性</w:t>
      </w:r>
      <w:r>
        <w:rPr>
          <w:spacing w:val="-2"/>
        </w:rPr>
        <w:t>肿瘤）、</w:t>
      </w:r>
      <w:r>
        <w:rPr>
          <w:rFonts w:ascii="Times New Roman" w:eastAsia="Times New Roman"/>
          <w:spacing w:val="-2"/>
        </w:rPr>
        <w:t>1</w:t>
      </w:r>
      <w:r>
        <w:rPr>
          <w:spacing w:val="-2"/>
        </w:rPr>
        <w:t>（动态未定性肿瘤）范畴，并已经引起颅内压升高或神经系统功能损害，</w:t>
      </w:r>
      <w:r>
        <w:rPr>
          <w:spacing w:val="-2"/>
        </w:rPr>
        <w:t>出现视乳头水肿或视觉受损、听觉受损、面部或肢体瘫痪、癫痫等，须由头颅断层</w:t>
      </w:r>
      <w:r>
        <w:rPr>
          <w:spacing w:val="-2"/>
        </w:rPr>
        <w:t>扫描（</w:t>
      </w:r>
      <w:r>
        <w:rPr>
          <w:rFonts w:ascii="Times New Roman" w:eastAsia="Times New Roman"/>
          <w:spacing w:val="-2"/>
        </w:rPr>
        <w:t>CT</w:t>
      </w:r>
      <w:r>
        <w:rPr>
          <w:spacing w:val="-2"/>
        </w:rPr>
        <w:t>）、核磁共振检查（</w:t>
      </w:r>
      <w:r>
        <w:rPr>
          <w:rFonts w:ascii="Times New Roman" w:eastAsia="Times New Roman"/>
          <w:spacing w:val="-2"/>
        </w:rPr>
        <w:t>MRI</w:t>
      </w:r>
      <w:r>
        <w:rPr>
          <w:spacing w:val="-2"/>
        </w:rPr>
        <w:t>）或正电子发射断层扫描（</w:t>
      </w:r>
      <w:r>
        <w:rPr>
          <w:rFonts w:ascii="Times New Roman" w:eastAsia="Times New Roman"/>
          <w:spacing w:val="-2"/>
        </w:rPr>
        <w:t>PET</w:t>
      </w:r>
      <w:r>
        <w:rPr>
          <w:spacing w:val="-2"/>
        </w:rPr>
        <w:t>）等影像学检查</w:t>
      </w:r>
      <w:r>
        <w:rPr>
          <w:spacing w:val="-2"/>
        </w:rPr>
        <w:t>证实，且须满足下列至少一项条件：</w:t>
      </w:r>
    </w:p>
    <w:p>
      <w:pPr>
        <w:pStyle w:val="ListParagraph"/>
        <w:numPr>
          <w:ilvl w:val="3"/>
          <w:numId w:val="16"/>
        </w:numPr>
        <w:tabs>
          <w:tab w:pos="1969" w:val="left" w:leader="none"/>
          <w:tab w:pos="1970" w:val="left" w:leader="none"/>
        </w:tabs>
        <w:spacing w:line="240" w:lineRule="auto" w:before="156" w:after="0"/>
        <w:ind w:left="1970" w:right="0" w:hanging="360"/>
        <w:jc w:val="left"/>
        <w:rPr>
          <w:sz w:val="21"/>
        </w:rPr>
      </w:pPr>
      <w:r>
        <w:rPr>
          <w:spacing w:val="-3"/>
          <w:sz w:val="21"/>
        </w:rPr>
        <w:t>已经实施了开颅进行的颅内肿瘤完全或部分切除手术；</w:t>
      </w:r>
    </w:p>
    <w:p>
      <w:pPr>
        <w:pStyle w:val="BodyText"/>
        <w:spacing w:before="6"/>
        <w:rPr>
          <w:sz w:val="15"/>
        </w:rPr>
      </w:pPr>
    </w:p>
    <w:p>
      <w:pPr>
        <w:pStyle w:val="ListParagraph"/>
        <w:numPr>
          <w:ilvl w:val="3"/>
          <w:numId w:val="16"/>
        </w:numPr>
        <w:tabs>
          <w:tab w:pos="1969" w:val="left" w:leader="none"/>
          <w:tab w:pos="1970" w:val="left" w:leader="none"/>
        </w:tabs>
        <w:spacing w:line="417" w:lineRule="auto" w:before="1" w:after="0"/>
        <w:ind w:left="1610" w:right="1942" w:firstLine="0"/>
        <w:jc w:val="left"/>
        <w:rPr>
          <w:b/>
          <w:sz w:val="21"/>
        </w:rPr>
      </w:pPr>
      <w:r>
        <w:rPr>
          <w:spacing w:val="-3"/>
          <w:sz w:val="21"/>
        </w:rPr>
        <w:t>已经实施了针对颅内肿瘤的放射治疗，如 </w:t>
      </w:r>
      <w:r>
        <w:rPr>
          <w:rFonts w:ascii="Times New Roman" w:hAnsi="Times New Roman" w:eastAsia="Times New Roman"/>
          <w:sz w:val="21"/>
        </w:rPr>
        <w:t>γ</w:t>
      </w:r>
      <w:r>
        <w:rPr>
          <w:rFonts w:ascii="Times New Roman" w:hAnsi="Times New Roman" w:eastAsia="Times New Roman"/>
          <w:spacing w:val="-14"/>
          <w:sz w:val="21"/>
        </w:rPr>
        <w:t> </w:t>
      </w:r>
      <w:r>
        <w:rPr>
          <w:sz w:val="21"/>
        </w:rPr>
        <w:t>刀、质子重离子治疗等。</w:t>
      </w:r>
      <w:r>
        <w:rPr>
          <w:b/>
          <w:spacing w:val="-2"/>
          <w:sz w:val="21"/>
        </w:rPr>
        <w:t>下列疾病不在保障范围内：</w:t>
      </w:r>
    </w:p>
    <w:p>
      <w:pPr>
        <w:pStyle w:val="ListParagraph"/>
        <w:numPr>
          <w:ilvl w:val="0"/>
          <w:numId w:val="17"/>
        </w:numPr>
        <w:tabs>
          <w:tab w:pos="1969" w:val="left" w:leader="none"/>
          <w:tab w:pos="1970" w:val="left" w:leader="none"/>
        </w:tabs>
        <w:spacing w:line="269" w:lineRule="exact" w:before="0" w:after="0"/>
        <w:ind w:left="1970" w:right="0" w:hanging="360"/>
        <w:jc w:val="left"/>
        <w:rPr>
          <w:b/>
          <w:sz w:val="21"/>
        </w:rPr>
      </w:pPr>
      <w:r>
        <w:rPr>
          <w:b/>
          <w:spacing w:val="-2"/>
          <w:sz w:val="21"/>
        </w:rPr>
        <w:t>脑垂体瘤；</w:t>
      </w:r>
    </w:p>
    <w:p>
      <w:pPr>
        <w:pStyle w:val="BodyText"/>
        <w:rPr>
          <w:b/>
          <w:sz w:val="15"/>
        </w:rPr>
      </w:pPr>
    </w:p>
    <w:p>
      <w:pPr>
        <w:pStyle w:val="ListParagraph"/>
        <w:numPr>
          <w:ilvl w:val="0"/>
          <w:numId w:val="17"/>
        </w:numPr>
        <w:tabs>
          <w:tab w:pos="1969" w:val="left" w:leader="none"/>
          <w:tab w:pos="1970" w:val="left" w:leader="none"/>
        </w:tabs>
        <w:spacing w:line="240" w:lineRule="auto" w:before="0" w:after="0"/>
        <w:ind w:left="1970" w:right="0" w:hanging="360"/>
        <w:jc w:val="left"/>
        <w:rPr>
          <w:b/>
          <w:sz w:val="21"/>
        </w:rPr>
      </w:pPr>
      <w:r>
        <w:rPr>
          <w:b/>
          <w:spacing w:val="-3"/>
          <w:sz w:val="21"/>
        </w:rPr>
        <w:t>脑囊肿；</w:t>
      </w:r>
    </w:p>
    <w:p>
      <w:pPr>
        <w:pStyle w:val="BodyText"/>
        <w:spacing w:before="6"/>
        <w:rPr>
          <w:b/>
          <w:sz w:val="15"/>
        </w:rPr>
      </w:pPr>
    </w:p>
    <w:p>
      <w:pPr>
        <w:pStyle w:val="ListParagraph"/>
        <w:numPr>
          <w:ilvl w:val="0"/>
          <w:numId w:val="17"/>
        </w:numPr>
        <w:tabs>
          <w:tab w:pos="1969" w:val="left" w:leader="none"/>
          <w:tab w:pos="1970" w:val="left" w:leader="none"/>
        </w:tabs>
        <w:spacing w:line="278" w:lineRule="auto" w:before="1" w:after="0"/>
        <w:ind w:left="1970" w:right="1067" w:hanging="360"/>
        <w:jc w:val="left"/>
        <w:rPr>
          <w:b/>
          <w:sz w:val="21"/>
        </w:rPr>
      </w:pPr>
      <w:r>
        <w:rPr>
          <w:b/>
          <w:spacing w:val="-2"/>
          <w:sz w:val="21"/>
        </w:rPr>
        <w:t>颅内血管性疾病（如脑动脉瘤、脑动静脉畸形、海绵状血管瘤、毛细血管扩张</w:t>
      </w:r>
      <w:r>
        <w:rPr>
          <w:b/>
          <w:spacing w:val="-4"/>
          <w:sz w:val="21"/>
        </w:rPr>
        <w:t>症等）。</w:t>
      </w:r>
    </w:p>
    <w:p>
      <w:pPr>
        <w:pStyle w:val="ListParagraph"/>
        <w:numPr>
          <w:ilvl w:val="2"/>
          <w:numId w:val="16"/>
        </w:numPr>
        <w:tabs>
          <w:tab w:pos="1819" w:val="left" w:leader="none"/>
        </w:tabs>
        <w:spacing w:line="240" w:lineRule="auto" w:before="155" w:after="0"/>
        <w:ind w:left="1818" w:right="0" w:hanging="802"/>
        <w:jc w:val="left"/>
        <w:rPr>
          <w:b/>
          <w:sz w:val="21"/>
        </w:rPr>
      </w:pPr>
      <w:r>
        <w:rPr>
          <w:b/>
          <w:spacing w:val="-2"/>
          <w:sz w:val="21"/>
        </w:rPr>
        <w:t>严重脑损伤</w:t>
      </w:r>
    </w:p>
    <w:p>
      <w:pPr>
        <w:pStyle w:val="BodyText"/>
        <w:spacing w:line="278" w:lineRule="auto" w:before="163"/>
        <w:ind w:left="1610" w:right="884"/>
      </w:pPr>
      <w:r>
        <w:rPr>
          <w:spacing w:val="-8"/>
          <w:w w:val="100"/>
        </w:rPr>
        <w:t>指因头部遭受机械性外力，引起脑重要部位损伤，导致神经系统永久性的功能障碍。</w:t>
      </w:r>
      <w:r>
        <w:rPr>
          <w:spacing w:val="-5"/>
          <w:w w:val="100"/>
        </w:rPr>
        <w:t>须由头颅断层扫描</w:t>
      </w:r>
      <w:r>
        <w:rPr>
          <w:spacing w:val="-3"/>
          <w:w w:val="100"/>
        </w:rPr>
        <w:t>（</w:t>
      </w:r>
      <w:r>
        <w:rPr>
          <w:rFonts w:ascii="Times New Roman" w:eastAsia="Times New Roman"/>
          <w:spacing w:val="-2"/>
          <w:w w:val="100"/>
        </w:rPr>
        <w:t>C</w:t>
      </w:r>
      <w:r>
        <w:rPr>
          <w:rFonts w:ascii="Times New Roman" w:eastAsia="Times New Roman"/>
          <w:w w:val="100"/>
        </w:rPr>
        <w:t>T</w:t>
      </w:r>
      <w:r>
        <w:rPr>
          <w:spacing w:val="-3"/>
          <w:w w:val="100"/>
        </w:rPr>
        <w:t>）、核磁共振检查</w:t>
      </w:r>
      <w:r>
        <w:rPr>
          <w:w w:val="100"/>
        </w:rPr>
        <w:t>（</w:t>
      </w:r>
      <w:r>
        <w:rPr>
          <w:rFonts w:ascii="Times New Roman" w:eastAsia="Times New Roman"/>
          <w:spacing w:val="-3"/>
          <w:w w:val="100"/>
        </w:rPr>
        <w:t>M</w:t>
      </w:r>
      <w:r>
        <w:rPr>
          <w:rFonts w:ascii="Times New Roman" w:eastAsia="Times New Roman"/>
          <w:w w:val="100"/>
        </w:rPr>
        <w:t>R</w:t>
      </w:r>
      <w:r>
        <w:rPr>
          <w:rFonts w:ascii="Times New Roman" w:eastAsia="Times New Roman"/>
          <w:spacing w:val="-3"/>
          <w:w w:val="100"/>
        </w:rPr>
        <w:t>I</w:t>
      </w:r>
      <w:r>
        <w:rPr>
          <w:w w:val="100"/>
        </w:rPr>
        <w:t>）</w:t>
      </w:r>
      <w:r>
        <w:rPr>
          <w:spacing w:val="-3"/>
          <w:w w:val="100"/>
        </w:rPr>
        <w:t>或正电子发射断层扫描（</w:t>
      </w:r>
      <w:r>
        <w:rPr>
          <w:rFonts w:ascii="Times New Roman" w:eastAsia="Times New Roman"/>
          <w:spacing w:val="-3"/>
          <w:w w:val="100"/>
        </w:rPr>
        <w:t>P</w:t>
      </w:r>
      <w:r>
        <w:rPr>
          <w:rFonts w:ascii="Times New Roman" w:eastAsia="Times New Roman"/>
          <w:w w:val="100"/>
        </w:rPr>
        <w:t>E</w:t>
      </w:r>
      <w:r>
        <w:rPr>
          <w:rFonts w:ascii="Times New Roman" w:eastAsia="Times New Roman"/>
          <w:spacing w:val="-2"/>
          <w:w w:val="100"/>
        </w:rPr>
        <w:t>T</w:t>
      </w:r>
      <w:r>
        <w:rPr>
          <w:w w:val="100"/>
        </w:rPr>
        <w:t>）</w:t>
      </w:r>
      <w:r>
        <w:rPr>
          <w:spacing w:val="-3"/>
          <w:w w:val="100"/>
        </w:rPr>
        <w:t>等影像学检查证实。神经系统永久性的功能障碍，指脑损伤</w:t>
      </w:r>
      <w:r>
        <w:rPr>
          <w:spacing w:val="-53"/>
        </w:rPr>
        <w:t> </w:t>
      </w:r>
      <w:r>
        <w:rPr>
          <w:rFonts w:ascii="Times New Roman" w:eastAsia="Times New Roman"/>
          <w:spacing w:val="-3"/>
          <w:w w:val="100"/>
        </w:rPr>
        <w:t>1</w:t>
      </w:r>
      <w:r>
        <w:rPr>
          <w:rFonts w:ascii="Times New Roman" w:eastAsia="Times New Roman"/>
          <w:w w:val="100"/>
        </w:rPr>
        <w:t>80</w:t>
      </w:r>
      <w:r>
        <w:rPr>
          <w:rFonts w:ascii="Times New Roman" w:eastAsia="Times New Roman"/>
        </w:rPr>
        <w:t> </w:t>
      </w:r>
      <w:r>
        <w:rPr>
          <w:spacing w:val="-3"/>
          <w:w w:val="100"/>
        </w:rPr>
        <w:t>天后，仍遗留下列至少一种障碍：</w:t>
      </w:r>
    </w:p>
    <w:p>
      <w:pPr>
        <w:pStyle w:val="ListParagraph"/>
        <w:numPr>
          <w:ilvl w:val="3"/>
          <w:numId w:val="16"/>
        </w:numPr>
        <w:tabs>
          <w:tab w:pos="1969" w:val="left" w:leader="none"/>
          <w:tab w:pos="1970" w:val="left" w:leader="none"/>
        </w:tabs>
        <w:spacing w:line="240" w:lineRule="auto" w:before="156" w:after="0"/>
        <w:ind w:left="1970" w:right="0" w:hanging="360"/>
        <w:jc w:val="left"/>
        <w:rPr>
          <w:sz w:val="21"/>
        </w:rPr>
      </w:pPr>
      <w:r>
        <w:rPr>
          <w:spacing w:val="-2"/>
          <w:sz w:val="21"/>
        </w:rPr>
        <w:t>一肢（含）</w:t>
      </w:r>
      <w:r>
        <w:rPr>
          <w:spacing w:val="-10"/>
          <w:sz w:val="21"/>
        </w:rPr>
        <w:t>以上肢体肌力 </w:t>
      </w:r>
      <w:r>
        <w:rPr>
          <w:rFonts w:ascii="Times New Roman" w:eastAsia="Times New Roman"/>
          <w:spacing w:val="-2"/>
          <w:sz w:val="21"/>
        </w:rPr>
        <w:t>2</w:t>
      </w:r>
      <w:r>
        <w:rPr>
          <w:rFonts w:ascii="Times New Roman" w:eastAsia="Times New Roman"/>
          <w:spacing w:val="7"/>
          <w:sz w:val="21"/>
        </w:rPr>
        <w:t> </w:t>
      </w:r>
      <w:r>
        <w:rPr>
          <w:spacing w:val="-2"/>
          <w:sz w:val="21"/>
        </w:rPr>
        <w:t>级（含）</w:t>
      </w:r>
      <w:r>
        <w:rPr>
          <w:spacing w:val="-5"/>
          <w:sz w:val="21"/>
        </w:rPr>
        <w:t>以下；</w:t>
      </w:r>
    </w:p>
    <w:p>
      <w:pPr>
        <w:pStyle w:val="BodyText"/>
        <w:spacing w:before="6"/>
        <w:rPr>
          <w:sz w:val="15"/>
        </w:rPr>
      </w:pPr>
    </w:p>
    <w:p>
      <w:pPr>
        <w:pStyle w:val="ListParagraph"/>
        <w:numPr>
          <w:ilvl w:val="3"/>
          <w:numId w:val="16"/>
        </w:numPr>
        <w:tabs>
          <w:tab w:pos="1969" w:val="left" w:leader="none"/>
          <w:tab w:pos="1970" w:val="left" w:leader="none"/>
        </w:tabs>
        <w:spacing w:line="240" w:lineRule="auto" w:before="1" w:after="0"/>
        <w:ind w:left="1970" w:right="0" w:hanging="360"/>
        <w:jc w:val="left"/>
        <w:rPr>
          <w:sz w:val="21"/>
        </w:rPr>
      </w:pPr>
      <w:r>
        <w:rPr>
          <w:spacing w:val="-3"/>
          <w:sz w:val="21"/>
        </w:rPr>
        <w:t>语言能力完全丧失，或严重咀嚼吞咽功能障碍；</w:t>
      </w:r>
    </w:p>
    <w:p>
      <w:pPr>
        <w:pStyle w:val="BodyText"/>
        <w:rPr>
          <w:sz w:val="15"/>
        </w:rPr>
      </w:pPr>
    </w:p>
    <w:p>
      <w:pPr>
        <w:pStyle w:val="ListParagraph"/>
        <w:numPr>
          <w:ilvl w:val="3"/>
          <w:numId w:val="16"/>
        </w:numPr>
        <w:tabs>
          <w:tab w:pos="1969" w:val="left" w:leader="none"/>
          <w:tab w:pos="1970" w:val="left" w:leader="none"/>
        </w:tabs>
        <w:spacing w:line="278" w:lineRule="auto" w:before="0" w:after="0"/>
        <w:ind w:left="1970" w:right="1088" w:hanging="360"/>
        <w:jc w:val="left"/>
        <w:rPr>
          <w:sz w:val="21"/>
        </w:rPr>
      </w:pPr>
      <w:r>
        <w:rPr>
          <w:spacing w:val="-2"/>
          <w:sz w:val="21"/>
        </w:rPr>
        <w:t>自主生活能力完全丧失，无法独立完成六项基本日常生活活动中的三项或三项</w:t>
      </w:r>
      <w:r>
        <w:rPr>
          <w:spacing w:val="-4"/>
          <w:sz w:val="21"/>
        </w:rPr>
        <w:t>以上。</w:t>
      </w:r>
    </w:p>
    <w:p>
      <w:pPr>
        <w:pStyle w:val="ListParagraph"/>
        <w:numPr>
          <w:ilvl w:val="2"/>
          <w:numId w:val="16"/>
        </w:numPr>
        <w:tabs>
          <w:tab w:pos="1819" w:val="left" w:leader="none"/>
        </w:tabs>
        <w:spacing w:line="240" w:lineRule="auto" w:before="156" w:after="0"/>
        <w:ind w:left="1818" w:right="0" w:hanging="802"/>
        <w:jc w:val="left"/>
        <w:rPr>
          <w:b/>
          <w:sz w:val="21"/>
        </w:rPr>
      </w:pPr>
      <w:r>
        <w:rPr>
          <w:b/>
          <w:spacing w:val="-2"/>
          <w:sz w:val="21"/>
        </w:rPr>
        <w:t>重型再生障碍性贫血</w:t>
      </w:r>
    </w:p>
    <w:p>
      <w:pPr>
        <w:pStyle w:val="BodyText"/>
        <w:spacing w:line="278" w:lineRule="auto" w:before="163"/>
        <w:ind w:left="1610" w:right="1026"/>
      </w:pPr>
      <w:r>
        <w:rPr>
          <w:spacing w:val="-2"/>
        </w:rPr>
        <w:t>指因骨髓造血功能慢性持续性衰竭导致的贫血、中性粒细胞减少及血小板减少，且</w:t>
      </w:r>
      <w:r>
        <w:rPr>
          <w:spacing w:val="-2"/>
        </w:rPr>
        <w:t>须满足下列全部条件：</w:t>
      </w:r>
    </w:p>
    <w:p>
      <w:pPr>
        <w:spacing w:after="0" w:line="278" w:lineRule="auto"/>
        <w:sectPr>
          <w:pgSz w:w="11910" w:h="16840"/>
          <w:pgMar w:top="1380" w:bottom="280" w:left="1280" w:right="420"/>
        </w:sectPr>
      </w:pPr>
    </w:p>
    <w:p>
      <w:pPr>
        <w:pStyle w:val="ListParagraph"/>
        <w:numPr>
          <w:ilvl w:val="3"/>
          <w:numId w:val="16"/>
        </w:numPr>
        <w:tabs>
          <w:tab w:pos="1970" w:val="left" w:leader="none"/>
        </w:tabs>
        <w:spacing w:line="240" w:lineRule="auto" w:before="64" w:after="0"/>
        <w:ind w:left="1970" w:right="0" w:hanging="360"/>
        <w:jc w:val="both"/>
        <w:rPr>
          <w:sz w:val="21"/>
        </w:rPr>
      </w:pPr>
      <w:r>
        <w:rPr>
          <w:spacing w:val="-3"/>
          <w:sz w:val="21"/>
        </w:rPr>
        <w:t>骨髓穿刺检查或骨髓活检结果支持诊断：骨髓细胞增生程度＜正常的 </w:t>
      </w:r>
      <w:r>
        <w:rPr>
          <w:rFonts w:ascii="Times New Roman" w:eastAsia="Times New Roman"/>
          <w:spacing w:val="-2"/>
          <w:sz w:val="21"/>
        </w:rPr>
        <w:t>25%</w:t>
      </w:r>
      <w:r>
        <w:rPr>
          <w:spacing w:val="-6"/>
          <w:sz w:val="21"/>
        </w:rPr>
        <w:t>；如</w:t>
      </w:r>
    </w:p>
    <w:p>
      <w:pPr>
        <w:pStyle w:val="BodyText"/>
        <w:spacing w:before="43"/>
        <w:ind w:left="1970"/>
      </w:pPr>
      <w:r>
        <w:rPr>
          <w:spacing w:val="-10"/>
        </w:rPr>
        <w:t>≥正常的 </w:t>
      </w:r>
      <w:r>
        <w:rPr>
          <w:rFonts w:ascii="Times New Roman" w:hAnsi="Times New Roman" w:eastAsia="Times New Roman"/>
          <w:spacing w:val="-2"/>
        </w:rPr>
        <w:t>25%</w:t>
      </w:r>
      <w:r>
        <w:rPr>
          <w:spacing w:val="-2"/>
        </w:rPr>
        <w:t>但＜</w:t>
      </w:r>
      <w:r>
        <w:rPr>
          <w:rFonts w:ascii="Times New Roman" w:hAnsi="Times New Roman" w:eastAsia="Times New Roman"/>
          <w:spacing w:val="-2"/>
        </w:rPr>
        <w:t>50%</w:t>
      </w:r>
      <w:r>
        <w:rPr>
          <w:spacing w:val="-3"/>
        </w:rPr>
        <w:t>，则残存的造血细胞应＜</w:t>
      </w:r>
      <w:r>
        <w:rPr>
          <w:rFonts w:ascii="Times New Roman" w:hAnsi="Times New Roman" w:eastAsia="Times New Roman"/>
          <w:spacing w:val="-4"/>
        </w:rPr>
        <w:t>30%</w:t>
      </w:r>
      <w:r>
        <w:rPr>
          <w:spacing w:val="-4"/>
        </w:rPr>
        <w:t>；</w:t>
      </w:r>
    </w:p>
    <w:p>
      <w:pPr>
        <w:pStyle w:val="BodyText"/>
        <w:rPr>
          <w:sz w:val="15"/>
        </w:rPr>
      </w:pPr>
    </w:p>
    <w:p>
      <w:pPr>
        <w:pStyle w:val="ListParagraph"/>
        <w:numPr>
          <w:ilvl w:val="3"/>
          <w:numId w:val="16"/>
        </w:numPr>
        <w:tabs>
          <w:tab w:pos="1970" w:val="left" w:leader="none"/>
        </w:tabs>
        <w:spacing w:line="240" w:lineRule="auto" w:before="0" w:after="0"/>
        <w:ind w:left="1970" w:right="0" w:hanging="360"/>
        <w:jc w:val="both"/>
        <w:rPr>
          <w:sz w:val="21"/>
        </w:rPr>
      </w:pPr>
      <w:r>
        <w:rPr>
          <w:spacing w:val="-3"/>
          <w:sz w:val="21"/>
        </w:rPr>
        <w:t>外周血象须具备以下三项条件中的两项：</w:t>
      </w:r>
    </w:p>
    <w:p>
      <w:pPr>
        <w:pStyle w:val="BodyText"/>
        <w:rPr>
          <w:sz w:val="15"/>
        </w:rPr>
      </w:pPr>
    </w:p>
    <w:p>
      <w:pPr>
        <w:pStyle w:val="BodyText"/>
        <w:spacing w:before="0"/>
        <w:ind w:left="1982"/>
      </w:pPr>
      <w:r>
        <w:rPr>
          <w:spacing w:val="6"/>
        </w:rPr>
        <w:t>① 中性粒细胞绝对值＜</w:t>
      </w:r>
      <w:r>
        <w:rPr>
          <w:rFonts w:ascii="Times New Roman" w:hAnsi="Times New Roman" w:eastAsia="Times New Roman"/>
          <w:spacing w:val="-2"/>
        </w:rPr>
        <w:t>0.5</w:t>
      </w:r>
      <w:r>
        <w:rPr>
          <w:spacing w:val="-2"/>
        </w:rPr>
        <w:t>×</w:t>
      </w:r>
      <w:r>
        <w:rPr>
          <w:rFonts w:ascii="Times New Roman" w:hAnsi="Times New Roman" w:eastAsia="Times New Roman"/>
          <w:spacing w:val="-2"/>
        </w:rPr>
        <w:t>10</w:t>
      </w:r>
      <w:r>
        <w:rPr>
          <w:rFonts w:ascii="Times New Roman" w:hAnsi="Times New Roman" w:eastAsia="Times New Roman"/>
          <w:spacing w:val="-2"/>
          <w:vertAlign w:val="superscript"/>
        </w:rPr>
        <w:t>9</w:t>
      </w:r>
      <w:r>
        <w:rPr>
          <w:rFonts w:ascii="Times New Roman" w:hAnsi="Times New Roman" w:eastAsia="Times New Roman"/>
          <w:spacing w:val="-2"/>
          <w:vertAlign w:val="baseline"/>
        </w:rPr>
        <w:t>/L</w:t>
      </w:r>
      <w:r>
        <w:rPr>
          <w:spacing w:val="-2"/>
          <w:vertAlign w:val="baseline"/>
        </w:rPr>
        <w:t>；</w:t>
      </w:r>
    </w:p>
    <w:p>
      <w:pPr>
        <w:pStyle w:val="BodyText"/>
        <w:spacing w:before="199"/>
        <w:ind w:left="1982"/>
      </w:pPr>
      <w:r>
        <w:rPr>
          <w:spacing w:val="7"/>
        </w:rPr>
        <w:t>② 网织红细胞计数＜</w:t>
      </w:r>
      <w:r>
        <w:rPr>
          <w:rFonts w:ascii="Times New Roman" w:hAnsi="Times New Roman" w:eastAsia="Times New Roman"/>
          <w:spacing w:val="-2"/>
        </w:rPr>
        <w:t>20</w:t>
      </w:r>
      <w:r>
        <w:rPr>
          <w:spacing w:val="-2"/>
        </w:rPr>
        <w:t>×</w:t>
      </w:r>
      <w:r>
        <w:rPr>
          <w:rFonts w:ascii="Times New Roman" w:hAnsi="Times New Roman" w:eastAsia="Times New Roman"/>
          <w:spacing w:val="-2"/>
        </w:rPr>
        <w:t>10</w:t>
      </w:r>
      <w:r>
        <w:rPr>
          <w:rFonts w:ascii="Times New Roman" w:hAnsi="Times New Roman" w:eastAsia="Times New Roman"/>
          <w:spacing w:val="-2"/>
          <w:vertAlign w:val="superscript"/>
        </w:rPr>
        <w:t>9</w:t>
      </w:r>
      <w:r>
        <w:rPr>
          <w:rFonts w:ascii="Times New Roman" w:hAnsi="Times New Roman" w:eastAsia="Times New Roman"/>
          <w:spacing w:val="-2"/>
          <w:vertAlign w:val="baseline"/>
        </w:rPr>
        <w:t>/L</w:t>
      </w:r>
      <w:r>
        <w:rPr>
          <w:spacing w:val="-2"/>
          <w:vertAlign w:val="baseline"/>
        </w:rPr>
        <w:t>；</w:t>
      </w:r>
    </w:p>
    <w:p>
      <w:pPr>
        <w:pStyle w:val="BodyText"/>
        <w:spacing w:before="199"/>
        <w:ind w:left="1982"/>
      </w:pPr>
      <w:r>
        <w:rPr>
          <w:spacing w:val="8"/>
        </w:rPr>
        <w:t>③ 血小板绝对值＜</w:t>
      </w:r>
      <w:r>
        <w:rPr>
          <w:rFonts w:ascii="Times New Roman" w:hAnsi="Times New Roman" w:eastAsia="Times New Roman"/>
        </w:rPr>
        <w:t>20</w:t>
      </w:r>
      <w:r>
        <w:rPr/>
        <w:t>×</w:t>
      </w:r>
      <w:r>
        <w:rPr>
          <w:rFonts w:ascii="Times New Roman" w:hAnsi="Times New Roman" w:eastAsia="Times New Roman"/>
        </w:rPr>
        <w:t>10</w:t>
      </w:r>
      <w:r>
        <w:rPr>
          <w:rFonts w:ascii="Times New Roman" w:hAnsi="Times New Roman" w:eastAsia="Times New Roman"/>
          <w:vertAlign w:val="superscript"/>
        </w:rPr>
        <w:t>9</w:t>
      </w:r>
      <w:r>
        <w:rPr>
          <w:rFonts w:ascii="Times New Roman" w:hAnsi="Times New Roman" w:eastAsia="Times New Roman"/>
          <w:vertAlign w:val="baseline"/>
        </w:rPr>
        <w:t>/L</w:t>
      </w:r>
      <w:r>
        <w:rPr>
          <w:spacing w:val="-10"/>
          <w:vertAlign w:val="baseline"/>
        </w:rPr>
        <w:t>。</w:t>
      </w:r>
    </w:p>
    <w:p>
      <w:pPr>
        <w:pStyle w:val="ListParagraph"/>
        <w:numPr>
          <w:ilvl w:val="2"/>
          <w:numId w:val="16"/>
        </w:numPr>
        <w:tabs>
          <w:tab w:pos="1819" w:val="left" w:leader="none"/>
        </w:tabs>
        <w:spacing w:line="240" w:lineRule="auto" w:before="199" w:after="0"/>
        <w:ind w:left="1818" w:right="0" w:hanging="802"/>
        <w:jc w:val="left"/>
        <w:rPr>
          <w:b/>
          <w:sz w:val="21"/>
        </w:rPr>
      </w:pPr>
      <w:r>
        <w:rPr>
          <w:b/>
          <w:spacing w:val="-17"/>
          <w:sz w:val="21"/>
        </w:rPr>
        <w:t>严重 </w:t>
      </w:r>
      <w:r>
        <w:rPr>
          <w:rFonts w:ascii="Times New Roman" w:eastAsia="Times New Roman"/>
          <w:b/>
          <w:sz w:val="21"/>
        </w:rPr>
        <w:t>III</w:t>
      </w:r>
      <w:r>
        <w:rPr>
          <w:rFonts w:ascii="Times New Roman" w:eastAsia="Times New Roman"/>
          <w:b/>
          <w:spacing w:val="-5"/>
          <w:sz w:val="21"/>
        </w:rPr>
        <w:t> </w:t>
      </w:r>
      <w:r>
        <w:rPr>
          <w:b/>
          <w:spacing w:val="-4"/>
          <w:sz w:val="21"/>
        </w:rPr>
        <w:t>度烧伤</w:t>
      </w:r>
    </w:p>
    <w:p>
      <w:pPr>
        <w:pStyle w:val="BodyText"/>
        <w:spacing w:line="278" w:lineRule="auto" w:before="163"/>
        <w:ind w:left="1610" w:right="994"/>
        <w:jc w:val="both"/>
      </w:pPr>
      <w:r>
        <w:rPr>
          <w:w w:val="95"/>
        </w:rPr>
        <w:t>指</w:t>
      </w:r>
      <w:r>
        <w:rPr>
          <w:w w:val="95"/>
        </w:rPr>
        <w:t>烧</w:t>
      </w:r>
      <w:r>
        <w:rPr>
          <w:w w:val="95"/>
        </w:rPr>
        <w:t>伤程度为 </w:t>
      </w:r>
      <w:r>
        <w:rPr>
          <w:rFonts w:ascii="Times New Roman" w:eastAsia="Times New Roman"/>
          <w:w w:val="95"/>
        </w:rPr>
        <w:t>III</w:t>
      </w:r>
      <w:r>
        <w:rPr>
          <w:rFonts w:ascii="Times New Roman" w:eastAsia="Times New Roman"/>
          <w:spacing w:val="40"/>
        </w:rPr>
        <w:t> </w:t>
      </w:r>
      <w:r>
        <w:rPr>
          <w:w w:val="95"/>
        </w:rPr>
        <w:t>度</w:t>
      </w:r>
      <w:r>
        <w:rPr>
          <w:w w:val="95"/>
        </w:rPr>
        <w:t>，</w:t>
      </w:r>
      <w:r>
        <w:rPr>
          <w:w w:val="95"/>
        </w:rPr>
        <w:t>且</w:t>
      </w:r>
      <w:r>
        <w:rPr>
          <w:w w:val="95"/>
        </w:rPr>
        <w:t> </w:t>
      </w:r>
      <w:r>
        <w:rPr>
          <w:rFonts w:ascii="Times New Roman" w:eastAsia="Times New Roman"/>
          <w:w w:val="95"/>
        </w:rPr>
        <w:t>III</w:t>
      </w:r>
      <w:r>
        <w:rPr>
          <w:rFonts w:ascii="Times New Roman" w:eastAsia="Times New Roman"/>
          <w:spacing w:val="40"/>
        </w:rPr>
        <w:t> </w:t>
      </w:r>
      <w:r>
        <w:rPr>
          <w:w w:val="95"/>
        </w:rPr>
        <w:t>度</w:t>
      </w:r>
      <w:r>
        <w:rPr>
          <w:w w:val="95"/>
        </w:rPr>
        <w:t>烧</w:t>
      </w:r>
      <w:r>
        <w:rPr>
          <w:w w:val="95"/>
        </w:rPr>
        <w:t>伤</w:t>
      </w:r>
      <w:r>
        <w:rPr>
          <w:w w:val="95"/>
        </w:rPr>
        <w:t>的</w:t>
      </w:r>
      <w:r>
        <w:rPr>
          <w:w w:val="95"/>
        </w:rPr>
        <w:t>面积达到全身体</w:t>
      </w:r>
      <w:r>
        <w:rPr>
          <w:w w:val="95"/>
        </w:rPr>
        <w:t>表</w:t>
      </w:r>
      <w:r>
        <w:rPr>
          <w:w w:val="95"/>
        </w:rPr>
        <w:t>面</w:t>
      </w:r>
      <w:r>
        <w:rPr>
          <w:w w:val="95"/>
        </w:rPr>
        <w:t>积的 </w:t>
      </w:r>
      <w:r>
        <w:rPr>
          <w:rFonts w:ascii="Times New Roman" w:eastAsia="Times New Roman"/>
          <w:w w:val="95"/>
        </w:rPr>
        <w:t>20%</w:t>
      </w:r>
      <w:r>
        <w:rPr>
          <w:w w:val="95"/>
        </w:rPr>
        <w:t>或 </w:t>
      </w:r>
      <w:r>
        <w:rPr>
          <w:rFonts w:ascii="Times New Roman" w:eastAsia="Times New Roman"/>
          <w:w w:val="95"/>
        </w:rPr>
        <w:t>20%</w:t>
      </w:r>
      <w:r>
        <w:rPr>
          <w:w w:val="95"/>
        </w:rPr>
        <w:t>以</w:t>
      </w:r>
      <w:r>
        <w:rPr>
          <w:w w:val="95"/>
        </w:rPr>
        <w:t>上</w:t>
      </w:r>
      <w:r>
        <w:rPr>
          <w:w w:val="95"/>
        </w:rPr>
        <w:t>。</w:t>
      </w:r>
      <w:r>
        <w:rPr>
          <w:w w:val="95"/>
        </w:rPr>
        <w:t>体</w:t>
      </w:r>
      <w:r>
        <w:rPr>
          <w:spacing w:val="-2"/>
        </w:rPr>
        <w:t>表面积根据《中国新九分法》计算。</w:t>
      </w:r>
    </w:p>
    <w:p>
      <w:pPr>
        <w:pStyle w:val="ListParagraph"/>
        <w:numPr>
          <w:ilvl w:val="2"/>
          <w:numId w:val="16"/>
        </w:numPr>
        <w:tabs>
          <w:tab w:pos="1819" w:val="left" w:leader="none"/>
        </w:tabs>
        <w:spacing w:line="240" w:lineRule="auto" w:before="155" w:after="0"/>
        <w:ind w:left="1818" w:right="0" w:hanging="802"/>
        <w:jc w:val="left"/>
        <w:rPr>
          <w:b/>
          <w:sz w:val="21"/>
        </w:rPr>
      </w:pPr>
      <w:r>
        <w:rPr>
          <w:b/>
          <w:spacing w:val="-4"/>
          <w:sz w:val="21"/>
        </w:rPr>
        <w:t>白血病</w:t>
      </w:r>
    </w:p>
    <w:p>
      <w:pPr>
        <w:pStyle w:val="BodyText"/>
        <w:spacing w:line="278" w:lineRule="auto" w:before="164"/>
        <w:ind w:left="1610" w:right="1015"/>
        <w:jc w:val="both"/>
      </w:pPr>
      <w:r>
        <w:rPr>
          <w:spacing w:val="-2"/>
        </w:rPr>
        <w:t>是指符合</w:t>
      </w:r>
      <w:r>
        <w:rPr>
          <w:b/>
          <w:spacing w:val="-2"/>
        </w:rPr>
        <w:t>“恶性肿瘤——重度”</w:t>
      </w:r>
      <w:r>
        <w:rPr>
          <w:spacing w:val="-2"/>
        </w:rPr>
        <w:t>定义标准，经病理学检查结果明确诊断，临床诊断</w:t>
      </w:r>
      <w:r>
        <w:rPr>
          <w:spacing w:val="-2"/>
        </w:rPr>
        <w:t>属于世界卫生组织《疾病和有关健康问题的国际统计分类》（</w:t>
      </w:r>
      <w:r>
        <w:rPr>
          <w:rFonts w:ascii="Times New Roman" w:hAnsi="Times New Roman" w:eastAsia="Times New Roman"/>
          <w:spacing w:val="-2"/>
        </w:rPr>
        <w:t>ICD-10</w:t>
      </w:r>
      <w:r>
        <w:rPr>
          <w:spacing w:val="-2"/>
        </w:rPr>
        <w:t>）的恶性肿瘤</w:t>
      </w:r>
      <w:r>
        <w:rPr>
          <w:spacing w:val="-2"/>
        </w:rPr>
        <w:t> </w:t>
      </w:r>
      <w:r>
        <w:rPr>
          <w:rFonts w:ascii="Times New Roman" w:hAnsi="Times New Roman" w:eastAsia="Times New Roman"/>
        </w:rPr>
        <w:t>C90.1</w:t>
      </w:r>
      <w:r>
        <w:rPr/>
        <w:t>、</w:t>
      </w:r>
      <w:r>
        <w:rPr>
          <w:rFonts w:ascii="Times New Roman" w:hAnsi="Times New Roman" w:eastAsia="Times New Roman"/>
        </w:rPr>
        <w:t>C91</w:t>
      </w:r>
      <w:r>
        <w:rPr/>
        <w:t>、</w:t>
      </w:r>
      <w:r>
        <w:rPr>
          <w:rFonts w:ascii="Times New Roman" w:hAnsi="Times New Roman" w:eastAsia="Times New Roman"/>
        </w:rPr>
        <w:t>C92</w:t>
      </w:r>
      <w:r>
        <w:rPr/>
        <w:t>、</w:t>
      </w:r>
      <w:r>
        <w:rPr>
          <w:rFonts w:ascii="Times New Roman" w:hAnsi="Times New Roman" w:eastAsia="Times New Roman"/>
        </w:rPr>
        <w:t>C93</w:t>
      </w:r>
      <w:r>
        <w:rPr/>
        <w:t>、</w:t>
      </w:r>
      <w:r>
        <w:rPr>
          <w:rFonts w:ascii="Times New Roman" w:hAnsi="Times New Roman" w:eastAsia="Times New Roman"/>
        </w:rPr>
        <w:t>C94</w:t>
      </w:r>
      <w:r>
        <w:rPr/>
        <w:t>、</w:t>
      </w:r>
      <w:r>
        <w:rPr>
          <w:rFonts w:ascii="Times New Roman" w:hAnsi="Times New Roman" w:eastAsia="Times New Roman"/>
        </w:rPr>
        <w:t>C95 </w:t>
      </w:r>
      <w:r>
        <w:rPr/>
        <w:t>范畴，并且至少已经接受了下列一项治疗：</w:t>
      </w:r>
    </w:p>
    <w:p>
      <w:pPr>
        <w:pStyle w:val="ListParagraph"/>
        <w:numPr>
          <w:ilvl w:val="3"/>
          <w:numId w:val="16"/>
        </w:numPr>
        <w:tabs>
          <w:tab w:pos="1970" w:val="left" w:leader="none"/>
        </w:tabs>
        <w:spacing w:line="240" w:lineRule="auto" w:before="156" w:after="0"/>
        <w:ind w:left="1970" w:right="0" w:hanging="360"/>
        <w:jc w:val="both"/>
        <w:rPr>
          <w:sz w:val="21"/>
        </w:rPr>
      </w:pPr>
      <w:r>
        <w:rPr>
          <w:spacing w:val="-4"/>
          <w:sz w:val="21"/>
        </w:rPr>
        <w:t>化学治疗；</w:t>
      </w:r>
    </w:p>
    <w:p>
      <w:pPr>
        <w:pStyle w:val="BodyText"/>
        <w:spacing w:before="6"/>
        <w:rPr>
          <w:sz w:val="15"/>
        </w:rPr>
      </w:pPr>
    </w:p>
    <w:p>
      <w:pPr>
        <w:pStyle w:val="ListParagraph"/>
        <w:numPr>
          <w:ilvl w:val="3"/>
          <w:numId w:val="16"/>
        </w:numPr>
        <w:tabs>
          <w:tab w:pos="1970" w:val="left" w:leader="none"/>
        </w:tabs>
        <w:spacing w:line="240" w:lineRule="auto" w:before="0" w:after="0"/>
        <w:ind w:left="1970" w:right="0" w:hanging="360"/>
        <w:jc w:val="both"/>
        <w:rPr>
          <w:sz w:val="21"/>
        </w:rPr>
      </w:pPr>
      <w:r>
        <w:rPr>
          <w:spacing w:val="-4"/>
          <w:sz w:val="21"/>
        </w:rPr>
        <w:t>骨髓移植。</w:t>
      </w:r>
    </w:p>
    <w:p>
      <w:pPr>
        <w:pStyle w:val="BodyText"/>
        <w:rPr>
          <w:sz w:val="15"/>
        </w:rPr>
      </w:pPr>
    </w:p>
    <w:p>
      <w:pPr>
        <w:spacing w:before="0"/>
        <w:ind w:left="1610" w:right="0" w:firstLine="0"/>
        <w:jc w:val="left"/>
        <w:rPr>
          <w:b/>
          <w:sz w:val="21"/>
        </w:rPr>
      </w:pPr>
      <w:r>
        <w:rPr>
          <w:b/>
          <w:spacing w:val="-3"/>
          <w:sz w:val="21"/>
        </w:rPr>
        <w:t>但下列疾病不在保障范围内：</w:t>
      </w:r>
    </w:p>
    <w:p>
      <w:pPr>
        <w:pStyle w:val="BodyText"/>
        <w:rPr>
          <w:b/>
          <w:sz w:val="15"/>
        </w:rPr>
      </w:pPr>
    </w:p>
    <w:p>
      <w:pPr>
        <w:pStyle w:val="ListParagraph"/>
        <w:numPr>
          <w:ilvl w:val="0"/>
          <w:numId w:val="18"/>
        </w:numPr>
        <w:tabs>
          <w:tab w:pos="1970" w:val="left" w:leader="none"/>
        </w:tabs>
        <w:spacing w:line="240" w:lineRule="auto" w:before="0" w:after="0"/>
        <w:ind w:left="1970" w:right="0" w:hanging="360"/>
        <w:jc w:val="both"/>
        <w:rPr>
          <w:b/>
          <w:sz w:val="21"/>
        </w:rPr>
      </w:pPr>
      <w:r>
        <w:rPr>
          <w:b/>
          <w:spacing w:val="-2"/>
          <w:sz w:val="21"/>
        </w:rPr>
        <w:t>继发性（转移性）</w:t>
      </w:r>
      <w:r>
        <w:rPr>
          <w:b/>
          <w:spacing w:val="-4"/>
          <w:sz w:val="21"/>
        </w:rPr>
        <w:t>恶性肿瘤；</w:t>
      </w:r>
    </w:p>
    <w:p>
      <w:pPr>
        <w:pStyle w:val="BodyText"/>
        <w:spacing w:before="6"/>
        <w:rPr>
          <w:b/>
          <w:sz w:val="15"/>
        </w:rPr>
      </w:pPr>
    </w:p>
    <w:p>
      <w:pPr>
        <w:pStyle w:val="ListParagraph"/>
        <w:numPr>
          <w:ilvl w:val="0"/>
          <w:numId w:val="18"/>
        </w:numPr>
        <w:tabs>
          <w:tab w:pos="1970" w:val="left" w:leader="none"/>
        </w:tabs>
        <w:spacing w:line="240" w:lineRule="auto" w:before="1" w:after="0"/>
        <w:ind w:left="1970" w:right="0" w:hanging="360"/>
        <w:jc w:val="both"/>
        <w:rPr>
          <w:b/>
          <w:sz w:val="21"/>
        </w:rPr>
      </w:pPr>
      <w:r>
        <w:rPr>
          <w:b/>
          <w:spacing w:val="-3"/>
          <w:sz w:val="21"/>
        </w:rPr>
        <w:t>感染艾滋病病毒或患艾滋病期间所患恶性肿瘤；</w:t>
      </w:r>
    </w:p>
    <w:p>
      <w:pPr>
        <w:pStyle w:val="BodyText"/>
        <w:spacing w:before="6"/>
        <w:rPr>
          <w:b/>
          <w:sz w:val="15"/>
        </w:rPr>
      </w:pPr>
    </w:p>
    <w:p>
      <w:pPr>
        <w:pStyle w:val="ListParagraph"/>
        <w:numPr>
          <w:ilvl w:val="0"/>
          <w:numId w:val="18"/>
        </w:numPr>
        <w:tabs>
          <w:tab w:pos="1970" w:val="left" w:leader="none"/>
        </w:tabs>
        <w:spacing w:line="240" w:lineRule="auto" w:before="0" w:after="0"/>
        <w:ind w:left="1970" w:right="0" w:hanging="360"/>
        <w:jc w:val="both"/>
        <w:rPr>
          <w:b/>
          <w:sz w:val="21"/>
        </w:rPr>
      </w:pPr>
      <w:r>
        <w:rPr>
          <w:b/>
          <w:spacing w:val="-14"/>
          <w:sz w:val="21"/>
        </w:rPr>
        <w:t>相当于 </w:t>
      </w:r>
      <w:r>
        <w:rPr>
          <w:rFonts w:ascii="Times New Roman" w:eastAsia="Times New Roman"/>
          <w:b/>
          <w:sz w:val="21"/>
        </w:rPr>
        <w:t>Binet</w:t>
      </w:r>
      <w:r>
        <w:rPr>
          <w:rFonts w:ascii="Times New Roman" w:eastAsia="Times New Roman"/>
          <w:b/>
          <w:spacing w:val="-10"/>
          <w:sz w:val="21"/>
        </w:rPr>
        <w:t> </w:t>
      </w:r>
      <w:r>
        <w:rPr>
          <w:b/>
          <w:spacing w:val="-11"/>
          <w:sz w:val="21"/>
        </w:rPr>
        <w:t>分期方案 </w:t>
      </w:r>
      <w:r>
        <w:rPr>
          <w:rFonts w:ascii="Times New Roman" w:eastAsia="Times New Roman"/>
          <w:b/>
          <w:sz w:val="21"/>
        </w:rPr>
        <w:t>A</w:t>
      </w:r>
      <w:r>
        <w:rPr>
          <w:rFonts w:ascii="Times New Roman" w:eastAsia="Times New Roman"/>
          <w:b/>
          <w:spacing w:val="-5"/>
          <w:sz w:val="21"/>
        </w:rPr>
        <w:t> </w:t>
      </w:r>
      <w:r>
        <w:rPr>
          <w:b/>
          <w:spacing w:val="-1"/>
          <w:sz w:val="21"/>
        </w:rPr>
        <w:t>期程度的慢性淋巴细胞白血病。</w:t>
      </w:r>
    </w:p>
    <w:p>
      <w:pPr>
        <w:pStyle w:val="BodyText"/>
        <w:rPr>
          <w:b/>
          <w:sz w:val="15"/>
        </w:rPr>
      </w:pPr>
    </w:p>
    <w:p>
      <w:pPr>
        <w:pStyle w:val="ListParagraph"/>
        <w:numPr>
          <w:ilvl w:val="2"/>
          <w:numId w:val="16"/>
        </w:numPr>
        <w:tabs>
          <w:tab w:pos="1819" w:val="left" w:leader="none"/>
        </w:tabs>
        <w:spacing w:line="240" w:lineRule="auto" w:before="1" w:after="0"/>
        <w:ind w:left="1818" w:right="0" w:hanging="802"/>
        <w:jc w:val="left"/>
        <w:rPr>
          <w:b/>
          <w:sz w:val="21"/>
        </w:rPr>
      </w:pPr>
      <w:r>
        <w:rPr>
          <w:b/>
          <w:spacing w:val="-2"/>
          <w:sz w:val="21"/>
        </w:rPr>
        <w:t>重症手足口病</w:t>
      </w:r>
    </w:p>
    <w:p>
      <w:pPr>
        <w:pStyle w:val="BodyText"/>
        <w:spacing w:line="278" w:lineRule="auto" w:before="163"/>
        <w:ind w:left="1610" w:right="1026"/>
        <w:jc w:val="both"/>
      </w:pPr>
      <w:r>
        <w:rPr>
          <w:spacing w:val="-2"/>
        </w:rPr>
        <w:t>由肠道病毒引起的急性传染病，主要症状表现为手、足、口腔等部位的斑丘疹、疱</w:t>
      </w:r>
      <w:r>
        <w:rPr>
          <w:spacing w:val="-2"/>
        </w:rPr>
        <w:t>疹。经我们认可的医疗机构的儿科专科医生确诊为患有手足口病，并伴有下列三项</w:t>
      </w:r>
      <w:r>
        <w:rPr>
          <w:spacing w:val="-2"/>
        </w:rPr>
        <w:t>中的任意一项并发症：</w:t>
      </w:r>
    </w:p>
    <w:p>
      <w:pPr>
        <w:pStyle w:val="ListParagraph"/>
        <w:numPr>
          <w:ilvl w:val="3"/>
          <w:numId w:val="16"/>
        </w:numPr>
        <w:tabs>
          <w:tab w:pos="1982" w:val="left" w:leader="none"/>
        </w:tabs>
        <w:spacing w:line="240" w:lineRule="auto" w:before="155" w:after="0"/>
        <w:ind w:left="1982" w:right="0" w:hanging="372"/>
        <w:jc w:val="both"/>
        <w:rPr>
          <w:sz w:val="21"/>
        </w:rPr>
      </w:pPr>
      <w:r>
        <w:rPr>
          <w:spacing w:val="-3"/>
          <w:sz w:val="21"/>
        </w:rPr>
        <w:t>有脑膜炎或脑炎并发症，且导致意识障碍或瘫痪的临床表现及实验室检查证据；</w:t>
      </w:r>
    </w:p>
    <w:p>
      <w:pPr>
        <w:pStyle w:val="BodyText"/>
        <w:rPr>
          <w:sz w:val="15"/>
        </w:rPr>
      </w:pPr>
    </w:p>
    <w:p>
      <w:pPr>
        <w:pStyle w:val="ListParagraph"/>
        <w:numPr>
          <w:ilvl w:val="3"/>
          <w:numId w:val="16"/>
        </w:numPr>
        <w:tabs>
          <w:tab w:pos="1982" w:val="left" w:leader="none"/>
        </w:tabs>
        <w:spacing w:line="240" w:lineRule="auto" w:before="0" w:after="0"/>
        <w:ind w:left="1982" w:right="0" w:hanging="372"/>
        <w:jc w:val="both"/>
        <w:rPr>
          <w:sz w:val="21"/>
        </w:rPr>
      </w:pPr>
      <w:r>
        <w:rPr>
          <w:spacing w:val="-3"/>
          <w:sz w:val="21"/>
        </w:rPr>
        <w:t>有肺炎或肺水肿并发症，且导致呼吸衰竭的临床表现及实验室检查证据；</w:t>
      </w:r>
    </w:p>
    <w:p>
      <w:pPr>
        <w:pStyle w:val="BodyText"/>
        <w:spacing w:before="6"/>
        <w:rPr>
          <w:sz w:val="15"/>
        </w:rPr>
      </w:pPr>
    </w:p>
    <w:p>
      <w:pPr>
        <w:pStyle w:val="ListParagraph"/>
        <w:numPr>
          <w:ilvl w:val="3"/>
          <w:numId w:val="16"/>
        </w:numPr>
        <w:tabs>
          <w:tab w:pos="1982" w:val="left" w:leader="none"/>
        </w:tabs>
        <w:spacing w:line="240" w:lineRule="auto" w:before="1" w:after="0"/>
        <w:ind w:left="1982" w:right="0" w:hanging="372"/>
        <w:jc w:val="both"/>
        <w:rPr>
          <w:sz w:val="21"/>
        </w:rPr>
      </w:pPr>
      <w:r>
        <w:rPr>
          <w:spacing w:val="-3"/>
          <w:sz w:val="21"/>
        </w:rPr>
        <w:t>有心肌炎并发症，且导致心脏扩大或心力衰竭的临床表现及实验室检查证据。</w:t>
      </w:r>
    </w:p>
    <w:p>
      <w:pPr>
        <w:pStyle w:val="BodyText"/>
        <w:spacing w:before="6"/>
        <w:rPr>
          <w:sz w:val="15"/>
        </w:rPr>
      </w:pPr>
    </w:p>
    <w:p>
      <w:pPr>
        <w:pStyle w:val="ListParagraph"/>
        <w:numPr>
          <w:ilvl w:val="2"/>
          <w:numId w:val="16"/>
        </w:numPr>
        <w:tabs>
          <w:tab w:pos="1819" w:val="left" w:leader="none"/>
        </w:tabs>
        <w:spacing w:line="240" w:lineRule="auto" w:before="0" w:after="0"/>
        <w:ind w:left="1818" w:right="0" w:hanging="802"/>
        <w:jc w:val="left"/>
        <w:rPr>
          <w:b/>
          <w:sz w:val="21"/>
        </w:rPr>
      </w:pPr>
      <w:r>
        <w:rPr>
          <w:b/>
          <w:spacing w:val="-2"/>
          <w:sz w:val="21"/>
        </w:rPr>
        <w:t>原发性心肌病</w:t>
      </w:r>
    </w:p>
    <w:p>
      <w:pPr>
        <w:pStyle w:val="BodyText"/>
        <w:spacing w:line="278" w:lineRule="auto" w:before="164"/>
        <w:ind w:left="1610" w:right="994"/>
        <w:jc w:val="both"/>
        <w:rPr>
          <w:b/>
        </w:rPr>
      </w:pPr>
      <w:r>
        <w:rPr>
          <w:spacing w:val="-2"/>
        </w:rPr>
        <w:t>是指不明原因引起的一类心肌病变，包括原发性扩张型心肌病、原发性肥厚型心肌</w:t>
      </w:r>
      <w:r>
        <w:rPr>
          <w:spacing w:val="-2"/>
        </w:rPr>
        <w:t>病及原发性限制型心肌病三种，病变必须已造成事实上心室功能障碍而出现明显的</w:t>
      </w:r>
      <w:r>
        <w:rPr>
          <w:spacing w:val="-2"/>
        </w:rPr>
        <w:t>心功能衰竭，达到美国纽约心脏病学会（</w:t>
      </w:r>
      <w:r>
        <w:rPr>
          <w:rFonts w:ascii="Times New Roman" w:eastAsia="Times New Roman"/>
          <w:spacing w:val="-2"/>
        </w:rPr>
        <w:t>New York</w:t>
      </w:r>
      <w:r>
        <w:rPr>
          <w:rFonts w:ascii="Times New Roman" w:eastAsia="Times New Roman"/>
          <w:spacing w:val="-3"/>
        </w:rPr>
        <w:t> </w:t>
      </w:r>
      <w:r>
        <w:rPr>
          <w:rFonts w:ascii="Times New Roman" w:eastAsia="Times New Roman"/>
          <w:spacing w:val="-2"/>
        </w:rPr>
        <w:t>Heart</w:t>
      </w:r>
      <w:r>
        <w:rPr>
          <w:rFonts w:ascii="Times New Roman" w:eastAsia="Times New Roman"/>
          <w:spacing w:val="-4"/>
        </w:rPr>
        <w:t> </w:t>
      </w:r>
      <w:r>
        <w:rPr>
          <w:rFonts w:ascii="Times New Roman" w:eastAsia="Times New Roman"/>
          <w:spacing w:val="-2"/>
        </w:rPr>
        <w:t>Association</w:t>
      </w:r>
      <w:r>
        <w:rPr>
          <w:spacing w:val="-2"/>
        </w:rPr>
        <w:t>，</w:t>
      </w:r>
      <w:r>
        <w:rPr>
          <w:rFonts w:ascii="Times New Roman" w:eastAsia="Times New Roman"/>
          <w:spacing w:val="-2"/>
        </w:rPr>
        <w:t>NYHA</w:t>
      </w:r>
      <w:r>
        <w:rPr>
          <w:spacing w:val="-2"/>
        </w:rPr>
        <w:t>）心功</w:t>
      </w:r>
      <w:r>
        <w:rPr>
          <w:spacing w:val="-6"/>
        </w:rPr>
        <w:t>能状态分级 </w:t>
      </w:r>
      <w:r>
        <w:rPr>
          <w:rFonts w:ascii="Times New Roman" w:eastAsia="Times New Roman"/>
          <w:spacing w:val="-2"/>
        </w:rPr>
        <w:t>IV</w:t>
      </w:r>
      <w:r>
        <w:rPr>
          <w:rFonts w:ascii="Times New Roman" w:eastAsia="Times New Roman"/>
          <w:spacing w:val="-11"/>
        </w:rPr>
        <w:t> </w:t>
      </w:r>
      <w:r>
        <w:rPr>
          <w:spacing w:val="-4"/>
        </w:rPr>
        <w:t>级，且有相关医疗记录显示 </w:t>
      </w:r>
      <w:r>
        <w:rPr>
          <w:rFonts w:ascii="Times New Roman" w:eastAsia="Times New Roman"/>
          <w:spacing w:val="-2"/>
        </w:rPr>
        <w:t>IV</w:t>
      </w:r>
      <w:r>
        <w:rPr>
          <w:rFonts w:ascii="Times New Roman" w:eastAsia="Times New Roman"/>
          <w:spacing w:val="-11"/>
        </w:rPr>
        <w:t> </w:t>
      </w:r>
      <w:r>
        <w:rPr>
          <w:spacing w:val="-4"/>
        </w:rPr>
        <w:t>级心功能状态持续至少 </w:t>
      </w:r>
      <w:r>
        <w:rPr>
          <w:rFonts w:ascii="Times New Roman" w:eastAsia="Times New Roman"/>
          <w:spacing w:val="-2"/>
        </w:rPr>
        <w:t>180</w:t>
      </w:r>
      <w:r>
        <w:rPr>
          <w:rFonts w:ascii="Times New Roman" w:eastAsia="Times New Roman"/>
          <w:spacing w:val="-4"/>
        </w:rPr>
        <w:t> </w:t>
      </w:r>
      <w:r>
        <w:rPr>
          <w:spacing w:val="-2"/>
        </w:rPr>
        <w:t>日。该疾</w:t>
      </w:r>
      <w:r>
        <w:rPr>
          <w:spacing w:val="-2"/>
        </w:rPr>
        <w:t>病索赔时须要经专科医生做出明确诊断。</w:t>
      </w:r>
      <w:r>
        <w:rPr>
          <w:b/>
          <w:spacing w:val="-2"/>
        </w:rPr>
        <w:t>酗酒或滥用药物引起的心肌病或继发于全</w:t>
      </w:r>
      <w:r>
        <w:rPr>
          <w:b/>
          <w:spacing w:val="-2"/>
        </w:rPr>
        <w:t>身性疾病或其他器官系统疾病的不属本保障范围。</w:t>
      </w:r>
    </w:p>
    <w:p>
      <w:pPr>
        <w:spacing w:after="0" w:line="278" w:lineRule="auto"/>
        <w:jc w:val="both"/>
        <w:sectPr>
          <w:pgSz w:w="11910" w:h="16840"/>
          <w:pgMar w:top="1380" w:bottom="280" w:left="1280" w:right="420"/>
        </w:sectPr>
      </w:pPr>
    </w:p>
    <w:p>
      <w:pPr>
        <w:pStyle w:val="ListParagraph"/>
        <w:numPr>
          <w:ilvl w:val="2"/>
          <w:numId w:val="16"/>
        </w:numPr>
        <w:tabs>
          <w:tab w:pos="1819" w:val="left" w:leader="none"/>
        </w:tabs>
        <w:spacing w:line="240" w:lineRule="auto" w:before="64" w:after="0"/>
        <w:ind w:left="1818" w:right="0" w:hanging="802"/>
        <w:jc w:val="left"/>
        <w:rPr>
          <w:b/>
          <w:sz w:val="21"/>
        </w:rPr>
      </w:pPr>
      <w:r>
        <w:rPr>
          <w:b/>
          <w:spacing w:val="-2"/>
          <w:sz w:val="21"/>
        </w:rPr>
        <w:t>脊髓灰质炎后遗症</w:t>
      </w:r>
    </w:p>
    <w:p>
      <w:pPr>
        <w:spacing w:line="278" w:lineRule="auto" w:before="163"/>
        <w:ind w:left="1610" w:right="884" w:firstLine="0"/>
        <w:jc w:val="left"/>
        <w:rPr>
          <w:sz w:val="21"/>
        </w:rPr>
      </w:pPr>
      <w:r>
        <w:rPr>
          <w:spacing w:val="-3"/>
          <w:w w:val="100"/>
          <w:sz w:val="21"/>
        </w:rPr>
        <w:t>是指由于急性脊髓灰质炎病毒感染所导致的运动功能障碍或呼吸功能减弱的瘫痪性疾病。诊断必须由我们认可的神经科专科医生确诊并提供相关的脊髓灰质炎病毒感染的证据（例如：脑脊液检查或血清学抗体检查报告</w:t>
      </w:r>
      <w:r>
        <w:rPr>
          <w:w w:val="100"/>
          <w:sz w:val="21"/>
        </w:rPr>
        <w:t>）</w:t>
      </w:r>
      <w:r>
        <w:rPr>
          <w:spacing w:val="-3"/>
          <w:w w:val="100"/>
          <w:sz w:val="21"/>
        </w:rPr>
        <w:t>。</w:t>
      </w:r>
      <w:r>
        <w:rPr>
          <w:b/>
          <w:spacing w:val="-2"/>
          <w:w w:val="100"/>
          <w:sz w:val="21"/>
        </w:rPr>
        <w:t>未导致肢体瘫痪及其他病</w:t>
      </w:r>
      <w:r>
        <w:rPr>
          <w:b/>
          <w:spacing w:val="-3"/>
          <w:w w:val="100"/>
          <w:sz w:val="21"/>
        </w:rPr>
        <w:t>因所致的瘫痪，例如格林一巴利综合症</w:t>
      </w:r>
      <w:r>
        <w:rPr>
          <w:rFonts w:ascii="Times New Roman" w:eastAsia="Times New Roman"/>
          <w:b/>
          <w:spacing w:val="-4"/>
          <w:w w:val="100"/>
          <w:sz w:val="21"/>
        </w:rPr>
        <w:t>(</w:t>
      </w:r>
      <w:r>
        <w:rPr>
          <w:b/>
          <w:spacing w:val="-1"/>
          <w:w w:val="100"/>
          <w:sz w:val="21"/>
        </w:rPr>
        <w:t>急性感染性多神经炎</w:t>
      </w:r>
      <w:r>
        <w:rPr>
          <w:rFonts w:ascii="Times New Roman" w:eastAsia="Times New Roman"/>
          <w:b/>
          <w:spacing w:val="-4"/>
          <w:w w:val="100"/>
          <w:sz w:val="21"/>
        </w:rPr>
        <w:t>)</w:t>
      </w:r>
      <w:r>
        <w:rPr>
          <w:b/>
          <w:spacing w:val="-2"/>
          <w:w w:val="100"/>
          <w:sz w:val="21"/>
        </w:rPr>
        <w:t>则不在此保障范围以</w:t>
      </w:r>
      <w:r>
        <w:rPr>
          <w:b/>
          <w:spacing w:val="-35"/>
          <w:w w:val="100"/>
          <w:sz w:val="21"/>
        </w:rPr>
        <w:t>内。</w:t>
      </w:r>
      <w:r>
        <w:rPr>
          <w:spacing w:val="-3"/>
          <w:w w:val="100"/>
          <w:sz w:val="21"/>
        </w:rPr>
        <w:t>瘫痪指因疾病或意外伤害导致两肢或两肢以上肢体随意运动功能永久完全丧失。肢体随意运动功能永久完全丧失，指疾病确诊</w:t>
      </w:r>
      <w:r>
        <w:rPr>
          <w:spacing w:val="-52"/>
          <w:sz w:val="21"/>
        </w:rPr>
        <w:t> </w:t>
      </w:r>
      <w:r>
        <w:rPr>
          <w:rFonts w:ascii="Times New Roman" w:eastAsia="Times New Roman"/>
          <w:w w:val="100"/>
          <w:sz w:val="21"/>
        </w:rPr>
        <w:t>180</w:t>
      </w:r>
      <w:r>
        <w:rPr>
          <w:rFonts w:ascii="Times New Roman" w:eastAsia="Times New Roman"/>
          <w:spacing w:val="-3"/>
          <w:sz w:val="21"/>
        </w:rPr>
        <w:t> </w:t>
      </w:r>
      <w:r>
        <w:rPr>
          <w:spacing w:val="-3"/>
          <w:w w:val="100"/>
          <w:sz w:val="21"/>
        </w:rPr>
        <w:t>日后或意外伤害发生</w:t>
      </w:r>
      <w:r>
        <w:rPr>
          <w:spacing w:val="-52"/>
          <w:sz w:val="21"/>
        </w:rPr>
        <w:t> </w:t>
      </w:r>
      <w:r>
        <w:rPr>
          <w:rFonts w:ascii="Times New Roman" w:eastAsia="Times New Roman"/>
          <w:w w:val="100"/>
          <w:sz w:val="21"/>
        </w:rPr>
        <w:t>180</w:t>
      </w:r>
      <w:r>
        <w:rPr>
          <w:rFonts w:ascii="Times New Roman" w:eastAsia="Times New Roman"/>
          <w:spacing w:val="-3"/>
          <w:sz w:val="21"/>
        </w:rPr>
        <w:t> </w:t>
      </w:r>
      <w:r>
        <w:rPr>
          <w:w w:val="100"/>
          <w:sz w:val="21"/>
        </w:rPr>
        <w:t>日后，</w:t>
      </w:r>
    </w:p>
    <w:p>
      <w:pPr>
        <w:pStyle w:val="BodyText"/>
        <w:spacing w:line="268" w:lineRule="exact" w:before="0"/>
        <w:ind w:left="1610"/>
      </w:pPr>
      <w:r>
        <w:rPr>
          <w:spacing w:val="-4"/>
        </w:rPr>
        <w:t>每肢三大关节中的两大关节仍然完全僵硬，或肢体肌力在 </w:t>
      </w:r>
      <w:r>
        <w:rPr>
          <w:rFonts w:ascii="Times New Roman" w:eastAsia="Times New Roman"/>
          <w:spacing w:val="-2"/>
        </w:rPr>
        <w:t>2</w:t>
      </w:r>
      <w:r>
        <w:rPr>
          <w:rFonts w:ascii="Times New Roman" w:eastAsia="Times New Roman"/>
          <w:spacing w:val="12"/>
        </w:rPr>
        <w:t> </w:t>
      </w:r>
      <w:r>
        <w:rPr>
          <w:spacing w:val="-2"/>
        </w:rPr>
        <w:t>级（含）</w:t>
      </w:r>
      <w:r>
        <w:rPr>
          <w:spacing w:val="-5"/>
        </w:rPr>
        <w:t>以下。</w:t>
      </w:r>
    </w:p>
    <w:p>
      <w:pPr>
        <w:pStyle w:val="BodyText"/>
        <w:rPr>
          <w:sz w:val="15"/>
        </w:rPr>
      </w:pPr>
    </w:p>
    <w:p>
      <w:pPr>
        <w:pStyle w:val="ListParagraph"/>
        <w:numPr>
          <w:ilvl w:val="2"/>
          <w:numId w:val="16"/>
        </w:numPr>
        <w:tabs>
          <w:tab w:pos="1819" w:val="left" w:leader="none"/>
        </w:tabs>
        <w:spacing w:line="240" w:lineRule="auto" w:before="0" w:after="0"/>
        <w:ind w:left="1818" w:right="0" w:hanging="802"/>
        <w:jc w:val="left"/>
        <w:rPr>
          <w:b/>
          <w:sz w:val="21"/>
        </w:rPr>
      </w:pPr>
      <w:r>
        <w:rPr>
          <w:b/>
          <w:spacing w:val="-2"/>
          <w:sz w:val="21"/>
        </w:rPr>
        <w:t>重症肌无力</w:t>
      </w:r>
    </w:p>
    <w:p>
      <w:pPr>
        <w:pStyle w:val="BodyText"/>
        <w:spacing w:line="278" w:lineRule="auto" w:before="163"/>
        <w:ind w:left="1610" w:right="886"/>
      </w:pPr>
      <w:r>
        <w:rPr>
          <w:spacing w:val="-3"/>
          <w:w w:val="100"/>
        </w:rPr>
        <w:t>指一种神经与肌肉接头部位传递障碍的自身免疫性疾病，临床特征是局部或全身横纹肌于活动时易于疲劳无力，颅神经眼外肌最易累及，也可涉及呼吸肌、下肢近端</w:t>
      </w:r>
      <w:r>
        <w:rPr>
          <w:spacing w:val="-9"/>
          <w:w w:val="100"/>
        </w:rPr>
        <w:t>肌群乃至全身肌肉。本病须经专科医生出具医学诊断证明，并且同时满足下列条件：</w:t>
      </w:r>
    </w:p>
    <w:p>
      <w:pPr>
        <w:pStyle w:val="ListParagraph"/>
        <w:numPr>
          <w:ilvl w:val="3"/>
          <w:numId w:val="16"/>
        </w:numPr>
        <w:tabs>
          <w:tab w:pos="1981" w:val="left" w:leader="none"/>
          <w:tab w:pos="1982" w:val="left" w:leader="none"/>
        </w:tabs>
        <w:spacing w:line="240" w:lineRule="auto" w:before="156" w:after="0"/>
        <w:ind w:left="1982" w:right="0" w:hanging="372"/>
        <w:jc w:val="left"/>
        <w:rPr>
          <w:sz w:val="21"/>
        </w:rPr>
      </w:pPr>
      <w:r>
        <w:rPr>
          <w:spacing w:val="-3"/>
          <w:sz w:val="21"/>
        </w:rPr>
        <w:t>经药物治疗和胸腺切除治疗一年以上仍无法控制病情；</w:t>
      </w:r>
    </w:p>
    <w:p>
      <w:pPr>
        <w:pStyle w:val="BodyText"/>
        <w:rPr>
          <w:sz w:val="15"/>
        </w:rPr>
      </w:pPr>
    </w:p>
    <w:p>
      <w:pPr>
        <w:pStyle w:val="ListParagraph"/>
        <w:numPr>
          <w:ilvl w:val="3"/>
          <w:numId w:val="16"/>
        </w:numPr>
        <w:tabs>
          <w:tab w:pos="1981" w:val="left" w:leader="none"/>
          <w:tab w:pos="1982" w:val="left" w:leader="none"/>
        </w:tabs>
        <w:spacing w:line="278" w:lineRule="auto" w:before="0" w:after="0"/>
        <w:ind w:left="1977" w:right="1076" w:hanging="370"/>
        <w:jc w:val="left"/>
        <w:rPr>
          <w:sz w:val="21"/>
        </w:rPr>
      </w:pPr>
      <w:r>
        <w:rPr>
          <w:spacing w:val="-2"/>
          <w:sz w:val="21"/>
        </w:rPr>
        <w:t>自主生活能力完全丧失，无法独立完成六项基本日常生活活动中的三项或三项</w:t>
      </w:r>
      <w:r>
        <w:rPr>
          <w:spacing w:val="-4"/>
          <w:sz w:val="21"/>
        </w:rPr>
        <w:t>以上。</w:t>
      </w:r>
    </w:p>
    <w:p>
      <w:pPr>
        <w:spacing w:before="156"/>
        <w:ind w:left="1610" w:right="0" w:firstLine="0"/>
        <w:jc w:val="left"/>
        <w:rPr>
          <w:b/>
          <w:sz w:val="21"/>
        </w:rPr>
      </w:pPr>
      <w:r>
        <w:rPr>
          <w:b/>
          <w:spacing w:val="-3"/>
          <w:sz w:val="21"/>
        </w:rPr>
        <w:t>单纯眼肌型重症肌无力不在保障范围内。</w:t>
      </w:r>
    </w:p>
    <w:p>
      <w:pPr>
        <w:pStyle w:val="BodyText"/>
        <w:spacing w:before="6"/>
        <w:rPr>
          <w:b/>
          <w:sz w:val="15"/>
        </w:rPr>
      </w:pPr>
    </w:p>
    <w:p>
      <w:pPr>
        <w:pStyle w:val="ListParagraph"/>
        <w:numPr>
          <w:ilvl w:val="2"/>
          <w:numId w:val="16"/>
        </w:numPr>
        <w:tabs>
          <w:tab w:pos="1819" w:val="left" w:leader="none"/>
        </w:tabs>
        <w:spacing w:line="240" w:lineRule="auto" w:before="1" w:after="0"/>
        <w:ind w:left="1818" w:right="0" w:hanging="802"/>
        <w:jc w:val="left"/>
        <w:rPr>
          <w:b/>
          <w:sz w:val="21"/>
        </w:rPr>
      </w:pPr>
      <w:r>
        <w:rPr>
          <w:b/>
          <w:spacing w:val="-2"/>
          <w:sz w:val="21"/>
        </w:rPr>
        <w:t>严重瑞氏综合征</w:t>
      </w:r>
    </w:p>
    <w:p>
      <w:pPr>
        <w:pStyle w:val="BodyText"/>
        <w:spacing w:line="278" w:lineRule="auto" w:before="163"/>
        <w:ind w:left="1610" w:right="1026"/>
        <w:jc w:val="both"/>
      </w:pPr>
      <w:r>
        <w:rPr>
          <w:spacing w:val="-2"/>
        </w:rPr>
        <w:t>瑞氏综合征是线粒体功能障碍性疾病。导致脂肪代谢障碍，引起短链脂肪酸、血氨</w:t>
      </w:r>
      <w:r>
        <w:rPr>
          <w:spacing w:val="-2"/>
        </w:rPr>
        <w:t>升高，造成脑水肿。主要临床表现为急性发热、反复呕吐、惊厥及意识障碍等等。</w:t>
      </w:r>
      <w:r>
        <w:rPr>
          <w:spacing w:val="-2"/>
        </w:rPr>
        <w:t>肝脏活检是确诊的重要手段。瑞氏综合征需由三级医院的儿科专科医生确诊，并符</w:t>
      </w:r>
      <w:r>
        <w:rPr>
          <w:spacing w:val="-2"/>
        </w:rPr>
        <w:t>合下列所有条件：</w:t>
      </w:r>
    </w:p>
    <w:p>
      <w:pPr>
        <w:pStyle w:val="ListParagraph"/>
        <w:numPr>
          <w:ilvl w:val="3"/>
          <w:numId w:val="16"/>
        </w:numPr>
        <w:tabs>
          <w:tab w:pos="1981" w:val="left" w:leader="none"/>
          <w:tab w:pos="1982" w:val="left" w:leader="none"/>
        </w:tabs>
        <w:spacing w:line="240" w:lineRule="auto" w:before="156" w:after="0"/>
        <w:ind w:left="1982" w:right="0" w:hanging="372"/>
        <w:jc w:val="left"/>
        <w:rPr>
          <w:sz w:val="21"/>
        </w:rPr>
      </w:pPr>
      <w:r>
        <w:rPr>
          <w:spacing w:val="-3"/>
          <w:sz w:val="21"/>
        </w:rPr>
        <w:t>有脑水肿和颅内压升高的脑脊液检查和影像学检查证据；</w:t>
      </w:r>
    </w:p>
    <w:p>
      <w:pPr>
        <w:pStyle w:val="BodyText"/>
        <w:spacing w:before="6"/>
        <w:rPr>
          <w:sz w:val="15"/>
        </w:rPr>
      </w:pPr>
    </w:p>
    <w:p>
      <w:pPr>
        <w:pStyle w:val="ListParagraph"/>
        <w:numPr>
          <w:ilvl w:val="3"/>
          <w:numId w:val="16"/>
        </w:numPr>
        <w:tabs>
          <w:tab w:pos="1981" w:val="left" w:leader="none"/>
          <w:tab w:pos="1982" w:val="left" w:leader="none"/>
        </w:tabs>
        <w:spacing w:line="240" w:lineRule="auto" w:before="0" w:after="0"/>
        <w:ind w:left="1982" w:right="0" w:hanging="372"/>
        <w:jc w:val="left"/>
        <w:rPr>
          <w:sz w:val="21"/>
        </w:rPr>
      </w:pPr>
      <w:r>
        <w:rPr>
          <w:spacing w:val="-7"/>
          <w:sz w:val="21"/>
        </w:rPr>
        <w:t>血氨超过正常值的 </w:t>
      </w:r>
      <w:r>
        <w:rPr>
          <w:rFonts w:ascii="Times New Roman" w:eastAsia="Times New Roman"/>
          <w:sz w:val="21"/>
        </w:rPr>
        <w:t>3</w:t>
      </w:r>
      <w:r>
        <w:rPr>
          <w:rFonts w:ascii="Times New Roman" w:eastAsia="Times New Roman"/>
          <w:spacing w:val="-12"/>
          <w:sz w:val="21"/>
        </w:rPr>
        <w:t> </w:t>
      </w:r>
      <w:r>
        <w:rPr>
          <w:spacing w:val="-5"/>
          <w:sz w:val="21"/>
        </w:rPr>
        <w:t>倍；</w:t>
      </w:r>
    </w:p>
    <w:p>
      <w:pPr>
        <w:pStyle w:val="BodyText"/>
        <w:rPr>
          <w:sz w:val="15"/>
        </w:rPr>
      </w:pPr>
    </w:p>
    <w:p>
      <w:pPr>
        <w:pStyle w:val="ListParagraph"/>
        <w:numPr>
          <w:ilvl w:val="3"/>
          <w:numId w:val="16"/>
        </w:numPr>
        <w:tabs>
          <w:tab w:pos="1981" w:val="left" w:leader="none"/>
          <w:tab w:pos="1982" w:val="left" w:leader="none"/>
        </w:tabs>
        <w:spacing w:line="240" w:lineRule="auto" w:before="0" w:after="0"/>
        <w:ind w:left="1982" w:right="0" w:hanging="372"/>
        <w:jc w:val="left"/>
        <w:rPr>
          <w:sz w:val="21"/>
        </w:rPr>
      </w:pPr>
      <w:r>
        <w:rPr>
          <w:spacing w:val="-5"/>
          <w:sz w:val="21"/>
        </w:rPr>
        <w:t>临床出现昏迷，病程至少达到疾病分期第 </w:t>
      </w:r>
      <w:r>
        <w:rPr>
          <w:rFonts w:ascii="Times New Roman" w:eastAsia="Times New Roman"/>
          <w:spacing w:val="-2"/>
          <w:sz w:val="21"/>
        </w:rPr>
        <w:t>3</w:t>
      </w:r>
      <w:r>
        <w:rPr>
          <w:rFonts w:ascii="Times New Roman" w:eastAsia="Times New Roman"/>
          <w:spacing w:val="7"/>
          <w:sz w:val="21"/>
        </w:rPr>
        <w:t> </w:t>
      </w:r>
      <w:r>
        <w:rPr>
          <w:spacing w:val="-6"/>
          <w:sz w:val="21"/>
        </w:rPr>
        <w:t>期。</w:t>
      </w:r>
    </w:p>
    <w:p>
      <w:pPr>
        <w:pStyle w:val="BodyText"/>
        <w:rPr>
          <w:sz w:val="15"/>
        </w:rPr>
      </w:pPr>
    </w:p>
    <w:p>
      <w:pPr>
        <w:pStyle w:val="ListParagraph"/>
        <w:numPr>
          <w:ilvl w:val="2"/>
          <w:numId w:val="16"/>
        </w:numPr>
        <w:tabs>
          <w:tab w:pos="1819" w:val="left" w:leader="none"/>
        </w:tabs>
        <w:spacing w:line="240" w:lineRule="auto" w:before="0" w:after="0"/>
        <w:ind w:left="1818" w:right="0" w:hanging="802"/>
        <w:jc w:val="left"/>
        <w:rPr>
          <w:b/>
          <w:sz w:val="21"/>
        </w:rPr>
      </w:pPr>
      <w:r>
        <w:rPr>
          <w:b/>
          <w:spacing w:val="-2"/>
          <w:sz w:val="21"/>
        </w:rPr>
        <w:t>严重川崎病</w:t>
      </w:r>
    </w:p>
    <w:p>
      <w:pPr>
        <w:pStyle w:val="BodyText"/>
        <w:spacing w:before="163"/>
        <w:ind w:left="1610"/>
      </w:pPr>
      <w:r>
        <w:rPr>
          <w:spacing w:val="-3"/>
        </w:rPr>
        <w:t>是指原因不明的系统性血管炎，并须满足下列全部条件：</w:t>
      </w:r>
    </w:p>
    <w:p>
      <w:pPr>
        <w:pStyle w:val="BodyText"/>
        <w:spacing w:before="6"/>
        <w:rPr>
          <w:sz w:val="15"/>
        </w:rPr>
      </w:pPr>
    </w:p>
    <w:p>
      <w:pPr>
        <w:pStyle w:val="ListParagraph"/>
        <w:numPr>
          <w:ilvl w:val="3"/>
          <w:numId w:val="16"/>
        </w:numPr>
        <w:tabs>
          <w:tab w:pos="1981" w:val="left" w:leader="none"/>
          <w:tab w:pos="1982" w:val="left" w:leader="none"/>
        </w:tabs>
        <w:spacing w:line="240" w:lineRule="auto" w:before="0" w:after="0"/>
        <w:ind w:left="1982" w:right="0" w:hanging="372"/>
        <w:jc w:val="left"/>
        <w:rPr>
          <w:sz w:val="21"/>
        </w:rPr>
      </w:pPr>
      <w:r>
        <w:rPr>
          <w:spacing w:val="-3"/>
          <w:sz w:val="21"/>
        </w:rPr>
        <w:t>超声心动图显示川崎病并发冠状动脉瘤或其他心血管异常；</w:t>
      </w:r>
    </w:p>
    <w:p>
      <w:pPr>
        <w:pStyle w:val="BodyText"/>
        <w:rPr>
          <w:sz w:val="15"/>
        </w:rPr>
      </w:pPr>
    </w:p>
    <w:p>
      <w:pPr>
        <w:pStyle w:val="ListParagraph"/>
        <w:numPr>
          <w:ilvl w:val="3"/>
          <w:numId w:val="16"/>
        </w:numPr>
        <w:tabs>
          <w:tab w:pos="1981" w:val="left" w:leader="none"/>
          <w:tab w:pos="1982" w:val="left" w:leader="none"/>
        </w:tabs>
        <w:spacing w:line="240" w:lineRule="auto" w:before="0" w:after="0"/>
        <w:ind w:left="1982" w:right="0" w:hanging="372"/>
        <w:jc w:val="left"/>
        <w:rPr>
          <w:sz w:val="21"/>
        </w:rPr>
      </w:pPr>
      <w:r>
        <w:rPr>
          <w:spacing w:val="-3"/>
          <w:sz w:val="21"/>
        </w:rPr>
        <w:t>已接受了针对川崎病并发冠状动脉瘤或其他心血管异常所进行的手术治疗。</w:t>
      </w:r>
    </w:p>
    <w:p>
      <w:pPr>
        <w:pStyle w:val="BodyText"/>
        <w:rPr>
          <w:sz w:val="15"/>
        </w:rPr>
      </w:pPr>
    </w:p>
    <w:p>
      <w:pPr>
        <w:pStyle w:val="ListParagraph"/>
        <w:numPr>
          <w:ilvl w:val="2"/>
          <w:numId w:val="16"/>
        </w:numPr>
        <w:tabs>
          <w:tab w:pos="1819" w:val="left" w:leader="none"/>
        </w:tabs>
        <w:spacing w:line="240" w:lineRule="auto" w:before="0" w:after="0"/>
        <w:ind w:left="1818" w:right="0" w:hanging="802"/>
        <w:jc w:val="left"/>
        <w:rPr>
          <w:b/>
          <w:sz w:val="21"/>
        </w:rPr>
      </w:pPr>
      <w:r>
        <w:rPr>
          <w:b/>
          <w:spacing w:val="-3"/>
          <w:sz w:val="21"/>
        </w:rPr>
        <w:t>斯蒂尔病</w:t>
      </w:r>
    </w:p>
    <w:p>
      <w:pPr>
        <w:pStyle w:val="BodyText"/>
        <w:spacing w:before="163"/>
        <w:ind w:left="1610"/>
      </w:pPr>
      <w:r>
        <w:rPr>
          <w:spacing w:val="-3"/>
        </w:rPr>
        <w:t>斯蒂尔病须满足下列全部条件：</w:t>
      </w:r>
    </w:p>
    <w:p>
      <w:pPr>
        <w:pStyle w:val="BodyText"/>
        <w:rPr>
          <w:sz w:val="15"/>
        </w:rPr>
      </w:pPr>
    </w:p>
    <w:p>
      <w:pPr>
        <w:pStyle w:val="ListParagraph"/>
        <w:numPr>
          <w:ilvl w:val="3"/>
          <w:numId w:val="16"/>
        </w:numPr>
        <w:tabs>
          <w:tab w:pos="1981" w:val="left" w:leader="none"/>
          <w:tab w:pos="1982" w:val="left" w:leader="none"/>
        </w:tabs>
        <w:spacing w:line="240" w:lineRule="auto" w:before="0" w:after="0"/>
        <w:ind w:left="1982" w:right="0" w:hanging="372"/>
        <w:jc w:val="left"/>
        <w:rPr>
          <w:sz w:val="21"/>
        </w:rPr>
      </w:pPr>
      <w:r>
        <w:rPr>
          <w:spacing w:val="-3"/>
          <w:sz w:val="21"/>
        </w:rPr>
        <w:t>因该病引致广泛性关节破坏，以致需要进行髋及膝关节置换；</w:t>
      </w:r>
    </w:p>
    <w:p>
      <w:pPr>
        <w:pStyle w:val="BodyText"/>
        <w:rPr>
          <w:sz w:val="15"/>
        </w:rPr>
      </w:pPr>
    </w:p>
    <w:p>
      <w:pPr>
        <w:pStyle w:val="ListParagraph"/>
        <w:numPr>
          <w:ilvl w:val="3"/>
          <w:numId w:val="16"/>
        </w:numPr>
        <w:tabs>
          <w:tab w:pos="1981" w:val="left" w:leader="none"/>
          <w:tab w:pos="1982" w:val="left" w:leader="none"/>
        </w:tabs>
        <w:spacing w:line="240" w:lineRule="auto" w:before="0" w:after="0"/>
        <w:ind w:left="1982" w:right="0" w:hanging="372"/>
        <w:jc w:val="left"/>
        <w:rPr>
          <w:sz w:val="21"/>
        </w:rPr>
      </w:pPr>
      <w:r>
        <w:rPr>
          <w:spacing w:val="-3"/>
          <w:sz w:val="21"/>
        </w:rPr>
        <w:t>由风湿病专科医生确定诊断。</w:t>
      </w:r>
    </w:p>
    <w:p>
      <w:pPr>
        <w:pStyle w:val="BodyText"/>
        <w:rPr>
          <w:sz w:val="15"/>
        </w:rPr>
      </w:pPr>
    </w:p>
    <w:p>
      <w:pPr>
        <w:pStyle w:val="ListParagraph"/>
        <w:numPr>
          <w:ilvl w:val="2"/>
          <w:numId w:val="16"/>
        </w:numPr>
        <w:tabs>
          <w:tab w:pos="1819" w:val="left" w:leader="none"/>
        </w:tabs>
        <w:spacing w:line="240" w:lineRule="auto" w:before="0" w:after="0"/>
        <w:ind w:left="1818" w:right="0" w:hanging="802"/>
        <w:jc w:val="left"/>
        <w:rPr>
          <w:b/>
          <w:sz w:val="21"/>
        </w:rPr>
      </w:pPr>
      <w:r>
        <w:rPr>
          <w:b/>
          <w:spacing w:val="-2"/>
          <w:sz w:val="21"/>
        </w:rPr>
        <w:t>肝豆状核变性</w:t>
      </w:r>
    </w:p>
    <w:p>
      <w:pPr>
        <w:pStyle w:val="BodyText"/>
        <w:spacing w:before="163"/>
        <w:ind w:left="1610"/>
      </w:pPr>
      <w:r>
        <w:rPr>
          <w:spacing w:val="-3"/>
        </w:rPr>
        <w:t>指一种常染色体隐性遗传的铜代谢缺陷病，以不同程度的肝细胞损害、脑退行性病</w:t>
      </w:r>
    </w:p>
    <w:p>
      <w:pPr>
        <w:spacing w:after="0"/>
        <w:sectPr>
          <w:pgSz w:w="11910" w:h="16840"/>
          <w:pgMar w:top="1380" w:bottom="280" w:left="1280" w:right="420"/>
        </w:sectPr>
      </w:pPr>
    </w:p>
    <w:p>
      <w:pPr>
        <w:pStyle w:val="BodyText"/>
        <w:spacing w:before="44"/>
        <w:ind w:left="1610"/>
      </w:pPr>
      <w:r>
        <w:rPr>
          <w:spacing w:val="-3"/>
        </w:rPr>
        <w:t>变和角膜边缘有铜盐沉着环为其临床特征，并须满足下列全部条件：</w:t>
      </w:r>
    </w:p>
    <w:p>
      <w:pPr>
        <w:pStyle w:val="BodyText"/>
        <w:rPr>
          <w:sz w:val="15"/>
        </w:rPr>
      </w:pPr>
    </w:p>
    <w:p>
      <w:pPr>
        <w:pStyle w:val="ListParagraph"/>
        <w:numPr>
          <w:ilvl w:val="3"/>
          <w:numId w:val="16"/>
        </w:numPr>
        <w:tabs>
          <w:tab w:pos="1981" w:val="left" w:leader="none"/>
          <w:tab w:pos="1982" w:val="left" w:leader="none"/>
        </w:tabs>
        <w:spacing w:line="240" w:lineRule="auto" w:before="0" w:after="0"/>
        <w:ind w:left="1982" w:right="0" w:hanging="372"/>
        <w:jc w:val="left"/>
        <w:rPr>
          <w:sz w:val="21"/>
        </w:rPr>
      </w:pPr>
      <w:r>
        <w:rPr>
          <w:spacing w:val="-4"/>
          <w:sz w:val="21"/>
        </w:rPr>
        <w:t>典型症状；</w:t>
      </w:r>
    </w:p>
    <w:p>
      <w:pPr>
        <w:pStyle w:val="BodyText"/>
        <w:rPr>
          <w:sz w:val="15"/>
        </w:rPr>
      </w:pPr>
    </w:p>
    <w:p>
      <w:pPr>
        <w:pStyle w:val="ListParagraph"/>
        <w:numPr>
          <w:ilvl w:val="3"/>
          <w:numId w:val="16"/>
        </w:numPr>
        <w:tabs>
          <w:tab w:pos="1981" w:val="left" w:leader="none"/>
          <w:tab w:pos="1982" w:val="left" w:leader="none"/>
        </w:tabs>
        <w:spacing w:line="240" w:lineRule="auto" w:before="0" w:after="0"/>
        <w:ind w:left="1982" w:right="0" w:hanging="372"/>
        <w:jc w:val="left"/>
        <w:rPr>
          <w:sz w:val="21"/>
        </w:rPr>
      </w:pPr>
      <w:r>
        <w:rPr>
          <w:spacing w:val="-2"/>
          <w:sz w:val="21"/>
        </w:rPr>
        <w:t>角膜色素环（</w:t>
      </w:r>
      <w:r>
        <w:rPr>
          <w:rFonts w:ascii="Times New Roman" w:eastAsia="Times New Roman"/>
          <w:spacing w:val="-2"/>
          <w:sz w:val="21"/>
        </w:rPr>
        <w:t>K-F</w:t>
      </w:r>
      <w:r>
        <w:rPr>
          <w:rFonts w:ascii="Times New Roman" w:eastAsia="Times New Roman"/>
          <w:spacing w:val="2"/>
          <w:sz w:val="21"/>
        </w:rPr>
        <w:t> </w:t>
      </w:r>
      <w:r>
        <w:rPr>
          <w:spacing w:val="-2"/>
          <w:sz w:val="21"/>
        </w:rPr>
        <w:t>环</w:t>
      </w:r>
      <w:r>
        <w:rPr>
          <w:spacing w:val="-5"/>
          <w:sz w:val="21"/>
        </w:rPr>
        <w:t>）；</w:t>
      </w:r>
    </w:p>
    <w:p>
      <w:pPr>
        <w:pStyle w:val="BodyText"/>
        <w:rPr>
          <w:sz w:val="15"/>
        </w:rPr>
      </w:pPr>
    </w:p>
    <w:p>
      <w:pPr>
        <w:pStyle w:val="ListParagraph"/>
        <w:numPr>
          <w:ilvl w:val="3"/>
          <w:numId w:val="16"/>
        </w:numPr>
        <w:tabs>
          <w:tab w:pos="1981" w:val="left" w:leader="none"/>
          <w:tab w:pos="1982" w:val="left" w:leader="none"/>
        </w:tabs>
        <w:spacing w:line="240" w:lineRule="auto" w:before="0" w:after="0"/>
        <w:ind w:left="1982" w:right="0" w:hanging="372"/>
        <w:jc w:val="left"/>
        <w:rPr>
          <w:sz w:val="21"/>
        </w:rPr>
      </w:pPr>
      <w:r>
        <w:rPr>
          <w:spacing w:val="-3"/>
          <w:sz w:val="21"/>
        </w:rPr>
        <w:t>血清铜和血清铜蓝蛋白降低，尿铜增加；</w:t>
      </w:r>
    </w:p>
    <w:p>
      <w:pPr>
        <w:pStyle w:val="BodyText"/>
        <w:spacing w:before="6"/>
        <w:rPr>
          <w:sz w:val="15"/>
        </w:rPr>
      </w:pPr>
    </w:p>
    <w:p>
      <w:pPr>
        <w:pStyle w:val="ListParagraph"/>
        <w:numPr>
          <w:ilvl w:val="3"/>
          <w:numId w:val="16"/>
        </w:numPr>
        <w:tabs>
          <w:tab w:pos="1981" w:val="left" w:leader="none"/>
          <w:tab w:pos="1982" w:val="left" w:leader="none"/>
        </w:tabs>
        <w:spacing w:line="240" w:lineRule="auto" w:before="1" w:after="0"/>
        <w:ind w:left="1982" w:right="0" w:hanging="372"/>
        <w:jc w:val="left"/>
        <w:rPr>
          <w:sz w:val="21"/>
        </w:rPr>
      </w:pPr>
      <w:r>
        <w:rPr>
          <w:spacing w:val="-3"/>
          <w:sz w:val="21"/>
        </w:rPr>
        <w:t>经皮做肝脏活检来定量分析肝脏铜的含量。</w:t>
      </w:r>
    </w:p>
    <w:p>
      <w:pPr>
        <w:pStyle w:val="BodyText"/>
        <w:spacing w:before="6"/>
        <w:rPr>
          <w:sz w:val="15"/>
        </w:rPr>
      </w:pPr>
    </w:p>
    <w:p>
      <w:pPr>
        <w:pStyle w:val="ListParagraph"/>
        <w:numPr>
          <w:ilvl w:val="2"/>
          <w:numId w:val="16"/>
        </w:numPr>
        <w:tabs>
          <w:tab w:pos="1819" w:val="left" w:leader="none"/>
        </w:tabs>
        <w:spacing w:line="240" w:lineRule="auto" w:before="0" w:after="0"/>
        <w:ind w:left="1818" w:right="0" w:hanging="802"/>
        <w:jc w:val="left"/>
        <w:rPr>
          <w:b/>
          <w:sz w:val="21"/>
        </w:rPr>
      </w:pPr>
      <w:r>
        <w:rPr>
          <w:b/>
          <w:spacing w:val="-2"/>
          <w:sz w:val="21"/>
        </w:rPr>
        <w:t>肺淋巴管肌瘤病</w:t>
      </w:r>
    </w:p>
    <w:p>
      <w:pPr>
        <w:pStyle w:val="BodyText"/>
        <w:spacing w:line="278" w:lineRule="auto" w:before="163"/>
        <w:ind w:left="1610" w:right="1026"/>
      </w:pPr>
      <w:r>
        <w:rPr>
          <w:spacing w:val="-2"/>
        </w:rPr>
        <w:t>肺淋巴管肌瘤病是一种弥漫性肺部疾病，主要病理改变为肺间质、支气管、血管和</w:t>
      </w:r>
      <w:r>
        <w:rPr>
          <w:spacing w:val="-2"/>
        </w:rPr>
        <w:t>淋巴管内出现未成熟的平滑肌异常增生，同时需满足下列条件：</w:t>
      </w:r>
    </w:p>
    <w:p>
      <w:pPr>
        <w:pStyle w:val="ListParagraph"/>
        <w:numPr>
          <w:ilvl w:val="3"/>
          <w:numId w:val="16"/>
        </w:numPr>
        <w:tabs>
          <w:tab w:pos="1981" w:val="left" w:leader="none"/>
          <w:tab w:pos="1982" w:val="left" w:leader="none"/>
        </w:tabs>
        <w:spacing w:line="240" w:lineRule="auto" w:before="156" w:after="0"/>
        <w:ind w:left="1982" w:right="0" w:hanging="372"/>
        <w:jc w:val="left"/>
        <w:rPr>
          <w:sz w:val="21"/>
        </w:rPr>
      </w:pPr>
      <w:r>
        <w:rPr>
          <w:spacing w:val="-3"/>
          <w:sz w:val="21"/>
        </w:rPr>
        <w:t>经组织病理学诊断；</w:t>
      </w:r>
    </w:p>
    <w:p>
      <w:pPr>
        <w:pStyle w:val="BodyText"/>
        <w:rPr>
          <w:sz w:val="15"/>
        </w:rPr>
      </w:pPr>
    </w:p>
    <w:p>
      <w:pPr>
        <w:pStyle w:val="ListParagraph"/>
        <w:numPr>
          <w:ilvl w:val="3"/>
          <w:numId w:val="16"/>
        </w:numPr>
        <w:tabs>
          <w:tab w:pos="1981" w:val="left" w:leader="none"/>
          <w:tab w:pos="1982" w:val="left" w:leader="none"/>
        </w:tabs>
        <w:spacing w:line="240" w:lineRule="auto" w:before="0" w:after="0"/>
        <w:ind w:left="1982" w:right="0" w:hanging="372"/>
        <w:jc w:val="left"/>
        <w:rPr>
          <w:sz w:val="21"/>
        </w:rPr>
      </w:pPr>
      <w:r>
        <w:rPr>
          <w:spacing w:val="-2"/>
          <w:sz w:val="21"/>
        </w:rPr>
        <w:t>断层扫描（</w:t>
      </w:r>
      <w:r>
        <w:rPr>
          <w:rFonts w:ascii="Times New Roman" w:eastAsia="Times New Roman"/>
          <w:spacing w:val="-2"/>
          <w:sz w:val="21"/>
        </w:rPr>
        <w:t>CT</w:t>
      </w:r>
      <w:r>
        <w:rPr>
          <w:spacing w:val="-2"/>
          <w:sz w:val="21"/>
        </w:rPr>
        <w:t>）</w:t>
      </w:r>
      <w:r>
        <w:rPr>
          <w:spacing w:val="-3"/>
          <w:sz w:val="21"/>
        </w:rPr>
        <w:t>显示双肺弥漫性囊性改变；</w:t>
      </w:r>
    </w:p>
    <w:p>
      <w:pPr>
        <w:pStyle w:val="BodyText"/>
        <w:rPr>
          <w:sz w:val="15"/>
        </w:rPr>
      </w:pPr>
    </w:p>
    <w:p>
      <w:pPr>
        <w:pStyle w:val="ListParagraph"/>
        <w:numPr>
          <w:ilvl w:val="3"/>
          <w:numId w:val="16"/>
        </w:numPr>
        <w:tabs>
          <w:tab w:pos="1981" w:val="left" w:leader="none"/>
          <w:tab w:pos="1982" w:val="left" w:leader="none"/>
        </w:tabs>
        <w:spacing w:line="240" w:lineRule="auto" w:before="0" w:after="0"/>
        <w:ind w:left="1982" w:right="0" w:hanging="372"/>
        <w:jc w:val="left"/>
        <w:rPr>
          <w:sz w:val="21"/>
        </w:rPr>
      </w:pPr>
      <w:r>
        <w:rPr>
          <w:spacing w:val="-3"/>
          <w:sz w:val="21"/>
        </w:rPr>
        <w:t>血气提示低氧血症。</w:t>
      </w:r>
    </w:p>
    <w:p>
      <w:pPr>
        <w:pStyle w:val="BodyText"/>
        <w:rPr>
          <w:sz w:val="15"/>
        </w:rPr>
      </w:pPr>
    </w:p>
    <w:p>
      <w:pPr>
        <w:pStyle w:val="ListParagraph"/>
        <w:numPr>
          <w:ilvl w:val="2"/>
          <w:numId w:val="16"/>
        </w:numPr>
        <w:tabs>
          <w:tab w:pos="1819" w:val="left" w:leader="none"/>
        </w:tabs>
        <w:spacing w:line="240" w:lineRule="auto" w:before="0" w:after="0"/>
        <w:ind w:left="1818" w:right="0" w:hanging="802"/>
        <w:jc w:val="left"/>
        <w:rPr>
          <w:b/>
          <w:sz w:val="21"/>
        </w:rPr>
      </w:pPr>
      <w:r>
        <w:rPr>
          <w:b/>
          <w:spacing w:val="-2"/>
          <w:sz w:val="21"/>
        </w:rPr>
        <w:t>肺泡蛋白质沉积症</w:t>
      </w:r>
    </w:p>
    <w:p>
      <w:pPr>
        <w:pStyle w:val="BodyText"/>
        <w:spacing w:line="278" w:lineRule="auto" w:before="163"/>
        <w:ind w:left="1610" w:right="884"/>
      </w:pPr>
      <w:r>
        <w:rPr>
          <w:spacing w:val="1"/>
        </w:rPr>
        <w:t>指肺泡和细支气管腔内充满不可溶性富磷脂蛋白的疾病，胸部</w:t>
      </w:r>
      <w:r>
        <w:rPr>
          <w:rFonts w:ascii="Times New Roman" w:eastAsia="Times New Roman"/>
        </w:rPr>
        <w:t>X </w:t>
      </w:r>
      <w:r>
        <w:rPr/>
        <w:t>线呈双肺弥漫性肺</w:t>
      </w:r>
      <w:r>
        <w:rPr>
          <w:spacing w:val="-2"/>
        </w:rPr>
        <w:t>部磨玻璃影，病理学检查肺泡内充满有过碘酸雪夫（</w:t>
      </w:r>
      <w:r>
        <w:rPr>
          <w:rFonts w:ascii="Times New Roman" w:eastAsia="Times New Roman"/>
          <w:spacing w:val="-2"/>
        </w:rPr>
        <w:t>PAS</w:t>
      </w:r>
      <w:r>
        <w:rPr>
          <w:spacing w:val="-2"/>
        </w:rPr>
        <w:t>）染色阳性的蛋白样物质，</w:t>
      </w:r>
      <w:r>
        <w:rPr>
          <w:spacing w:val="-2"/>
        </w:rPr>
        <w:t>并且接受了肺灌洗治疗。</w:t>
      </w:r>
    </w:p>
    <w:p>
      <w:pPr>
        <w:pStyle w:val="ListParagraph"/>
        <w:numPr>
          <w:ilvl w:val="1"/>
          <w:numId w:val="3"/>
        </w:numPr>
        <w:tabs>
          <w:tab w:pos="715" w:val="left" w:leader="none"/>
        </w:tabs>
        <w:spacing w:line="240" w:lineRule="auto" w:before="155" w:after="0"/>
        <w:ind w:left="714" w:right="0" w:hanging="577"/>
        <w:jc w:val="left"/>
        <w:rPr>
          <w:b/>
          <w:sz w:val="21"/>
        </w:rPr>
      </w:pPr>
      <w:bookmarkStart w:name="_bookmark60" w:id="106"/>
      <w:bookmarkEnd w:id="106"/>
      <w:r>
        <w:rPr/>
      </w:r>
      <w:bookmarkStart w:name="_bookmark60" w:id="107"/>
      <w:bookmarkEnd w:id="107"/>
      <w:r>
        <w:rPr>
          <w:b/>
          <w:spacing w:val="-2"/>
          <w:sz w:val="21"/>
        </w:rPr>
        <w:t>男性特定疾病</w:t>
      </w:r>
    </w:p>
    <w:p>
      <w:pPr>
        <w:pStyle w:val="BodyText"/>
        <w:rPr>
          <w:b/>
          <w:sz w:val="15"/>
        </w:rPr>
      </w:pPr>
    </w:p>
    <w:p>
      <w:pPr>
        <w:pStyle w:val="BodyText"/>
        <w:spacing w:line="278" w:lineRule="auto" w:before="0"/>
        <w:ind w:left="1610" w:right="989"/>
        <w:jc w:val="both"/>
      </w:pPr>
      <w:r>
        <w:rPr>
          <w:spacing w:val="-2"/>
        </w:rPr>
        <w:t>男性特定疾病指下列所定义的十二项疾病或手术。其中前两项轻症疾病采用中国保</w:t>
      </w:r>
      <w:r>
        <w:rPr/>
        <w:t>险行业协会颁布的《重大疾病保险的疾病定义使用规范（</w:t>
      </w:r>
      <w:r>
        <w:rPr>
          <w:rFonts w:ascii="Times New Roman" w:eastAsia="Times New Roman"/>
        </w:rPr>
        <w:t>2020</w:t>
      </w:r>
      <w:r>
        <w:rPr>
          <w:rFonts w:ascii="Times New Roman" w:eastAsia="Times New Roman"/>
          <w:spacing w:val="-14"/>
        </w:rPr>
        <w:t> </w:t>
      </w:r>
      <w:r>
        <w:rPr/>
        <w:t>年修订版）》中的定</w:t>
      </w:r>
      <w:r>
        <w:rPr>
          <w:spacing w:val="-6"/>
        </w:rPr>
        <w:t>义。</w:t>
      </w:r>
    </w:p>
    <w:p>
      <w:pPr>
        <w:spacing w:before="156"/>
        <w:ind w:left="1610" w:right="0" w:firstLine="0"/>
        <w:jc w:val="left"/>
        <w:rPr>
          <w:b/>
          <w:sz w:val="21"/>
        </w:rPr>
      </w:pPr>
      <w:r>
        <w:rPr>
          <w:b/>
          <w:spacing w:val="-3"/>
          <w:sz w:val="21"/>
        </w:rPr>
        <w:t>以下疾病名称仅供理解使用，具体保障范围以每项疾病具体定义为准。</w:t>
      </w:r>
    </w:p>
    <w:p>
      <w:pPr>
        <w:pStyle w:val="BodyText"/>
        <w:rPr>
          <w:b/>
          <w:sz w:val="15"/>
        </w:rPr>
      </w:pPr>
    </w:p>
    <w:p>
      <w:pPr>
        <w:pStyle w:val="ListParagraph"/>
        <w:numPr>
          <w:ilvl w:val="2"/>
          <w:numId w:val="19"/>
        </w:numPr>
        <w:tabs>
          <w:tab w:pos="1819" w:val="left" w:leader="none"/>
        </w:tabs>
        <w:spacing w:line="240" w:lineRule="auto" w:before="0" w:after="0"/>
        <w:ind w:left="1818" w:right="0" w:hanging="802"/>
        <w:jc w:val="left"/>
        <w:rPr>
          <w:b/>
          <w:sz w:val="21"/>
        </w:rPr>
      </w:pPr>
      <w:r>
        <w:rPr>
          <w:b/>
          <w:spacing w:val="-2"/>
          <w:sz w:val="21"/>
        </w:rPr>
        <w:t>严重非恶性颅内肿瘤</w:t>
      </w:r>
    </w:p>
    <w:p>
      <w:pPr>
        <w:pStyle w:val="BodyText"/>
        <w:spacing w:line="278" w:lineRule="auto" w:before="163"/>
        <w:ind w:left="1610" w:right="924"/>
      </w:pPr>
      <w:r>
        <w:rPr>
          <w:spacing w:val="-2"/>
        </w:rPr>
        <w:t>指起源于脑、脑神经、脑被膜的非恶性肿瘤，</w:t>
      </w:r>
      <w:r>
        <w:rPr>
          <w:rFonts w:ascii="Times New Roman" w:eastAsia="Times New Roman"/>
          <w:spacing w:val="-2"/>
        </w:rPr>
        <w:t>ICD-O-3 </w:t>
      </w:r>
      <w:r>
        <w:rPr>
          <w:spacing w:val="-6"/>
        </w:rPr>
        <w:t>肿瘤形态学编码属于 </w:t>
      </w:r>
      <w:r>
        <w:rPr>
          <w:rFonts w:ascii="Times New Roman" w:eastAsia="Times New Roman"/>
          <w:spacing w:val="-2"/>
        </w:rPr>
        <w:t>0</w:t>
      </w:r>
      <w:r>
        <w:rPr>
          <w:spacing w:val="-2"/>
        </w:rPr>
        <w:t>（良性</w:t>
      </w:r>
      <w:r>
        <w:rPr>
          <w:spacing w:val="-2"/>
        </w:rPr>
        <w:t>肿瘤）、</w:t>
      </w:r>
      <w:r>
        <w:rPr>
          <w:rFonts w:ascii="Times New Roman" w:eastAsia="Times New Roman"/>
          <w:spacing w:val="-2"/>
        </w:rPr>
        <w:t>1</w:t>
      </w:r>
      <w:r>
        <w:rPr>
          <w:spacing w:val="-2"/>
        </w:rPr>
        <w:t>（动态未定性肿瘤）范畴，并已经引起颅内压升高或神经系统功能损害，</w:t>
      </w:r>
      <w:r>
        <w:rPr>
          <w:spacing w:val="-2"/>
        </w:rPr>
        <w:t>出现视乳头水肿或视觉受损、听觉受损、面部或肢体瘫痪、癫痫等，须由头颅断层</w:t>
      </w:r>
      <w:r>
        <w:rPr>
          <w:spacing w:val="-2"/>
        </w:rPr>
        <w:t>扫描（</w:t>
      </w:r>
      <w:r>
        <w:rPr>
          <w:rFonts w:ascii="Times New Roman" w:eastAsia="Times New Roman"/>
          <w:spacing w:val="-2"/>
        </w:rPr>
        <w:t>CT</w:t>
      </w:r>
      <w:r>
        <w:rPr>
          <w:spacing w:val="-2"/>
        </w:rPr>
        <w:t>）、核磁共振检查（</w:t>
      </w:r>
      <w:r>
        <w:rPr>
          <w:rFonts w:ascii="Times New Roman" w:eastAsia="Times New Roman"/>
          <w:spacing w:val="-2"/>
        </w:rPr>
        <w:t>MRI</w:t>
      </w:r>
      <w:r>
        <w:rPr>
          <w:spacing w:val="-2"/>
        </w:rPr>
        <w:t>）或正电子发射断层扫描（</w:t>
      </w:r>
      <w:r>
        <w:rPr>
          <w:rFonts w:ascii="Times New Roman" w:eastAsia="Times New Roman"/>
          <w:spacing w:val="-2"/>
        </w:rPr>
        <w:t>PET</w:t>
      </w:r>
      <w:r>
        <w:rPr>
          <w:spacing w:val="-2"/>
        </w:rPr>
        <w:t>）等影像学检查</w:t>
      </w:r>
      <w:r>
        <w:rPr>
          <w:spacing w:val="-2"/>
        </w:rPr>
        <w:t>证实，且须满足下列至少一项条件：</w:t>
      </w:r>
    </w:p>
    <w:p>
      <w:pPr>
        <w:pStyle w:val="ListParagraph"/>
        <w:numPr>
          <w:ilvl w:val="3"/>
          <w:numId w:val="19"/>
        </w:numPr>
        <w:tabs>
          <w:tab w:pos="1969" w:val="left" w:leader="none"/>
          <w:tab w:pos="1970" w:val="left" w:leader="none"/>
        </w:tabs>
        <w:spacing w:line="240" w:lineRule="auto" w:before="155" w:after="0"/>
        <w:ind w:left="1970" w:right="0" w:hanging="360"/>
        <w:jc w:val="left"/>
        <w:rPr>
          <w:rFonts w:ascii="Times New Roman" w:eastAsia="Times New Roman"/>
          <w:sz w:val="21"/>
        </w:rPr>
      </w:pPr>
      <w:r>
        <w:rPr>
          <w:spacing w:val="-3"/>
          <w:sz w:val="21"/>
        </w:rPr>
        <w:t>已经实施了开颅进行的颅内肿瘤完全或部分切除手术；</w:t>
      </w:r>
    </w:p>
    <w:p>
      <w:pPr>
        <w:pStyle w:val="BodyText"/>
        <w:rPr>
          <w:sz w:val="15"/>
        </w:rPr>
      </w:pPr>
    </w:p>
    <w:p>
      <w:pPr>
        <w:pStyle w:val="ListParagraph"/>
        <w:numPr>
          <w:ilvl w:val="3"/>
          <w:numId w:val="19"/>
        </w:numPr>
        <w:tabs>
          <w:tab w:pos="1969" w:val="left" w:leader="none"/>
          <w:tab w:pos="1970" w:val="left" w:leader="none"/>
        </w:tabs>
        <w:spacing w:line="417" w:lineRule="auto" w:before="0" w:after="0"/>
        <w:ind w:left="1610" w:right="1942" w:firstLine="0"/>
        <w:jc w:val="left"/>
        <w:rPr>
          <w:rFonts w:ascii="Times New Roman" w:hAnsi="Times New Roman" w:eastAsia="Times New Roman"/>
          <w:sz w:val="21"/>
        </w:rPr>
      </w:pPr>
      <w:r>
        <w:rPr>
          <w:spacing w:val="-3"/>
          <w:sz w:val="21"/>
        </w:rPr>
        <w:t>已经实施了针对颅内肿瘤的放射治疗，如 </w:t>
      </w:r>
      <w:r>
        <w:rPr>
          <w:rFonts w:ascii="Times New Roman" w:hAnsi="Times New Roman" w:eastAsia="Times New Roman"/>
          <w:sz w:val="21"/>
        </w:rPr>
        <w:t>γ</w:t>
      </w:r>
      <w:r>
        <w:rPr>
          <w:rFonts w:ascii="Times New Roman" w:hAnsi="Times New Roman" w:eastAsia="Times New Roman"/>
          <w:spacing w:val="-14"/>
          <w:sz w:val="21"/>
        </w:rPr>
        <w:t> </w:t>
      </w:r>
      <w:r>
        <w:rPr>
          <w:sz w:val="21"/>
        </w:rPr>
        <w:t>刀、质子重离子治疗等。</w:t>
      </w:r>
      <w:r>
        <w:rPr>
          <w:b/>
          <w:spacing w:val="-2"/>
          <w:sz w:val="21"/>
        </w:rPr>
        <w:t>下列疾病不在保障范围内：</w:t>
      </w:r>
    </w:p>
    <w:p>
      <w:pPr>
        <w:pStyle w:val="ListParagraph"/>
        <w:numPr>
          <w:ilvl w:val="0"/>
          <w:numId w:val="20"/>
        </w:numPr>
        <w:tabs>
          <w:tab w:pos="1969" w:val="left" w:leader="none"/>
          <w:tab w:pos="1970" w:val="left" w:leader="none"/>
        </w:tabs>
        <w:spacing w:line="240" w:lineRule="auto" w:before="0" w:after="0"/>
        <w:ind w:left="1970" w:right="0" w:hanging="360"/>
        <w:jc w:val="left"/>
        <w:rPr>
          <w:b/>
          <w:sz w:val="21"/>
        </w:rPr>
      </w:pPr>
      <w:r>
        <w:rPr>
          <w:b/>
          <w:spacing w:val="-2"/>
          <w:sz w:val="21"/>
        </w:rPr>
        <w:t>脑垂体瘤；</w:t>
      </w:r>
    </w:p>
    <w:p>
      <w:pPr>
        <w:pStyle w:val="BodyText"/>
        <w:rPr>
          <w:b/>
          <w:sz w:val="15"/>
        </w:rPr>
      </w:pPr>
    </w:p>
    <w:p>
      <w:pPr>
        <w:pStyle w:val="ListParagraph"/>
        <w:numPr>
          <w:ilvl w:val="0"/>
          <w:numId w:val="20"/>
        </w:numPr>
        <w:tabs>
          <w:tab w:pos="1969" w:val="left" w:leader="none"/>
          <w:tab w:pos="1970" w:val="left" w:leader="none"/>
        </w:tabs>
        <w:spacing w:line="240" w:lineRule="auto" w:before="0" w:after="0"/>
        <w:ind w:left="1970" w:right="0" w:hanging="360"/>
        <w:jc w:val="left"/>
        <w:rPr>
          <w:b/>
          <w:sz w:val="21"/>
        </w:rPr>
      </w:pPr>
      <w:r>
        <w:rPr>
          <w:b/>
          <w:spacing w:val="-3"/>
          <w:sz w:val="21"/>
        </w:rPr>
        <w:t>脑囊肿；</w:t>
      </w:r>
    </w:p>
    <w:p>
      <w:pPr>
        <w:pStyle w:val="BodyText"/>
        <w:rPr>
          <w:b/>
          <w:sz w:val="15"/>
        </w:rPr>
      </w:pPr>
    </w:p>
    <w:p>
      <w:pPr>
        <w:pStyle w:val="ListParagraph"/>
        <w:numPr>
          <w:ilvl w:val="0"/>
          <w:numId w:val="20"/>
        </w:numPr>
        <w:tabs>
          <w:tab w:pos="1969" w:val="left" w:leader="none"/>
          <w:tab w:pos="1970" w:val="left" w:leader="none"/>
        </w:tabs>
        <w:spacing w:line="278" w:lineRule="auto" w:before="0" w:after="0"/>
        <w:ind w:left="1970" w:right="1067" w:hanging="360"/>
        <w:jc w:val="left"/>
        <w:rPr>
          <w:b/>
          <w:sz w:val="21"/>
        </w:rPr>
      </w:pPr>
      <w:r>
        <w:rPr>
          <w:b/>
          <w:spacing w:val="-2"/>
          <w:sz w:val="21"/>
        </w:rPr>
        <w:t>颅内血管性疾病（如脑动脉瘤、脑动静脉畸形、海绵状血管瘤、毛细血管扩张</w:t>
      </w:r>
      <w:r>
        <w:rPr>
          <w:b/>
          <w:spacing w:val="-4"/>
          <w:sz w:val="21"/>
        </w:rPr>
        <w:t>症等）。</w:t>
      </w:r>
    </w:p>
    <w:p>
      <w:pPr>
        <w:spacing w:after="0" w:line="278" w:lineRule="auto"/>
        <w:jc w:val="left"/>
        <w:rPr>
          <w:sz w:val="21"/>
        </w:rPr>
        <w:sectPr>
          <w:pgSz w:w="11910" w:h="16840"/>
          <w:pgMar w:top="1400" w:bottom="280" w:left="1280" w:right="420"/>
        </w:sectPr>
      </w:pPr>
    </w:p>
    <w:p>
      <w:pPr>
        <w:pStyle w:val="ListParagraph"/>
        <w:numPr>
          <w:ilvl w:val="2"/>
          <w:numId w:val="19"/>
        </w:numPr>
        <w:tabs>
          <w:tab w:pos="1819" w:val="left" w:leader="none"/>
        </w:tabs>
        <w:spacing w:line="240" w:lineRule="auto" w:before="64" w:after="0"/>
        <w:ind w:left="1818" w:right="0" w:hanging="802"/>
        <w:jc w:val="left"/>
        <w:rPr>
          <w:b/>
          <w:sz w:val="21"/>
        </w:rPr>
      </w:pPr>
      <w:r>
        <w:rPr>
          <w:b/>
          <w:spacing w:val="-2"/>
          <w:sz w:val="21"/>
        </w:rPr>
        <w:t>严重慢性肝衰竭</w:t>
      </w:r>
    </w:p>
    <w:p>
      <w:pPr>
        <w:pStyle w:val="BodyText"/>
        <w:spacing w:before="163"/>
        <w:ind w:left="1610"/>
      </w:pPr>
      <w:r>
        <w:rPr>
          <w:spacing w:val="-3"/>
        </w:rPr>
        <w:t>指因慢性肝脏疾病导致的肝衰竭，且须满足下列全部条件：</w:t>
      </w:r>
    </w:p>
    <w:p>
      <w:pPr>
        <w:pStyle w:val="BodyText"/>
        <w:rPr>
          <w:sz w:val="15"/>
        </w:rPr>
      </w:pPr>
    </w:p>
    <w:p>
      <w:pPr>
        <w:pStyle w:val="ListParagraph"/>
        <w:numPr>
          <w:ilvl w:val="3"/>
          <w:numId w:val="19"/>
        </w:numPr>
        <w:tabs>
          <w:tab w:pos="1969" w:val="left" w:leader="none"/>
          <w:tab w:pos="1970" w:val="left" w:leader="none"/>
        </w:tabs>
        <w:spacing w:line="240" w:lineRule="auto" w:before="0" w:after="0"/>
        <w:ind w:left="1970" w:right="0" w:hanging="360"/>
        <w:jc w:val="left"/>
        <w:rPr>
          <w:rFonts w:ascii="Times New Roman" w:eastAsia="Times New Roman"/>
          <w:sz w:val="21"/>
        </w:rPr>
      </w:pPr>
      <w:r>
        <w:rPr>
          <w:spacing w:val="-4"/>
          <w:sz w:val="21"/>
        </w:rPr>
        <w:t>持续性黄疸；</w:t>
      </w:r>
    </w:p>
    <w:p>
      <w:pPr>
        <w:pStyle w:val="BodyText"/>
        <w:rPr>
          <w:sz w:val="15"/>
        </w:rPr>
      </w:pPr>
    </w:p>
    <w:p>
      <w:pPr>
        <w:pStyle w:val="ListParagraph"/>
        <w:numPr>
          <w:ilvl w:val="3"/>
          <w:numId w:val="19"/>
        </w:numPr>
        <w:tabs>
          <w:tab w:pos="1969" w:val="left" w:leader="none"/>
          <w:tab w:pos="1970" w:val="left" w:leader="none"/>
        </w:tabs>
        <w:spacing w:line="240" w:lineRule="auto" w:before="0" w:after="0"/>
        <w:ind w:left="1970" w:right="0" w:hanging="360"/>
        <w:jc w:val="left"/>
        <w:rPr>
          <w:rFonts w:ascii="Times New Roman" w:eastAsia="Times New Roman"/>
          <w:sz w:val="21"/>
        </w:rPr>
      </w:pPr>
      <w:r>
        <w:rPr>
          <w:spacing w:val="-4"/>
          <w:sz w:val="21"/>
        </w:rPr>
        <w:t>腹水；</w:t>
      </w:r>
    </w:p>
    <w:p>
      <w:pPr>
        <w:pStyle w:val="BodyText"/>
        <w:spacing w:before="6"/>
        <w:rPr>
          <w:sz w:val="15"/>
        </w:rPr>
      </w:pPr>
    </w:p>
    <w:p>
      <w:pPr>
        <w:pStyle w:val="ListParagraph"/>
        <w:numPr>
          <w:ilvl w:val="3"/>
          <w:numId w:val="19"/>
        </w:numPr>
        <w:tabs>
          <w:tab w:pos="1969" w:val="left" w:leader="none"/>
          <w:tab w:pos="1970" w:val="left" w:leader="none"/>
        </w:tabs>
        <w:spacing w:line="240" w:lineRule="auto" w:before="1" w:after="0"/>
        <w:ind w:left="1970" w:right="0" w:hanging="360"/>
        <w:jc w:val="left"/>
        <w:rPr>
          <w:rFonts w:ascii="Times New Roman" w:eastAsia="Times New Roman"/>
          <w:sz w:val="21"/>
        </w:rPr>
      </w:pPr>
      <w:r>
        <w:rPr>
          <w:spacing w:val="-4"/>
          <w:sz w:val="21"/>
        </w:rPr>
        <w:t>肝性脑病；</w:t>
      </w:r>
    </w:p>
    <w:p>
      <w:pPr>
        <w:pStyle w:val="BodyText"/>
        <w:spacing w:before="6"/>
        <w:rPr>
          <w:sz w:val="15"/>
        </w:rPr>
      </w:pPr>
    </w:p>
    <w:p>
      <w:pPr>
        <w:pStyle w:val="ListParagraph"/>
        <w:numPr>
          <w:ilvl w:val="3"/>
          <w:numId w:val="19"/>
        </w:numPr>
        <w:tabs>
          <w:tab w:pos="1969" w:val="left" w:leader="none"/>
          <w:tab w:pos="1970" w:val="left" w:leader="none"/>
        </w:tabs>
        <w:spacing w:line="417" w:lineRule="auto" w:before="0" w:after="0"/>
        <w:ind w:left="1610" w:right="3608" w:firstLine="0"/>
        <w:jc w:val="left"/>
        <w:rPr>
          <w:rFonts w:ascii="Times New Roman" w:eastAsia="Times New Roman"/>
          <w:sz w:val="21"/>
        </w:rPr>
      </w:pPr>
      <w:r>
        <w:rPr>
          <w:spacing w:val="-2"/>
          <w:sz w:val="21"/>
        </w:rPr>
        <w:t>充血性脾肿大伴脾功能亢进或食管胃底静脉曲张。</w:t>
      </w:r>
      <w:r>
        <w:rPr>
          <w:b/>
          <w:spacing w:val="-2"/>
          <w:sz w:val="21"/>
        </w:rPr>
        <w:t>因酗酒或药物滥用导致的肝衰竭不在保障范围内。</w:t>
      </w:r>
    </w:p>
    <w:p>
      <w:pPr>
        <w:pStyle w:val="ListParagraph"/>
        <w:numPr>
          <w:ilvl w:val="2"/>
          <w:numId w:val="19"/>
        </w:numPr>
        <w:tabs>
          <w:tab w:pos="1819" w:val="left" w:leader="none"/>
        </w:tabs>
        <w:spacing w:line="269" w:lineRule="exact" w:before="0" w:after="0"/>
        <w:ind w:left="1818" w:right="0" w:hanging="802"/>
        <w:jc w:val="left"/>
        <w:rPr>
          <w:b/>
          <w:sz w:val="21"/>
        </w:rPr>
      </w:pPr>
      <w:r>
        <w:rPr>
          <w:b/>
          <w:spacing w:val="-2"/>
          <w:sz w:val="21"/>
        </w:rPr>
        <w:t>前列腺恶性肿瘤</w:t>
      </w:r>
    </w:p>
    <w:p>
      <w:pPr>
        <w:pStyle w:val="BodyText"/>
        <w:spacing w:line="278" w:lineRule="auto" w:before="163"/>
        <w:ind w:left="1610" w:right="1018"/>
        <w:jc w:val="both"/>
      </w:pPr>
      <w:r>
        <w:rPr>
          <w:spacing w:val="-2"/>
        </w:rPr>
        <w:t>是指符合</w:t>
      </w:r>
      <w:r>
        <w:rPr>
          <w:b/>
          <w:spacing w:val="-2"/>
        </w:rPr>
        <w:t>“恶性肿瘤——重度”</w:t>
      </w:r>
      <w:r>
        <w:rPr>
          <w:spacing w:val="-2"/>
        </w:rPr>
        <w:t>定义标准，病灶经组织病理学检查（涵盖骨髓病理</w:t>
      </w:r>
      <w:r>
        <w:rPr>
          <w:spacing w:val="-2"/>
        </w:rPr>
        <w:t>学检查）明确诊断，临床诊断属于世界卫生组织《疾病和有关健康问题的国际统计</w:t>
      </w:r>
      <w:r>
        <w:rPr/>
        <w:t>分类》（</w:t>
      </w:r>
      <w:r>
        <w:rPr>
          <w:rFonts w:ascii="Times New Roman" w:hAnsi="Times New Roman" w:eastAsia="Times New Roman"/>
        </w:rPr>
        <w:t>ICD-10</w:t>
      </w:r>
      <w:r>
        <w:rPr/>
        <w:t>）</w:t>
      </w:r>
      <w:r>
        <w:rPr>
          <w:spacing w:val="10"/>
        </w:rPr>
        <w:t>的恶性肿瘤</w:t>
      </w:r>
      <w:r>
        <w:rPr>
          <w:rFonts w:ascii="Times New Roman" w:hAnsi="Times New Roman" w:eastAsia="Times New Roman"/>
        </w:rPr>
        <w:t>C61 </w:t>
      </w:r>
      <w:r>
        <w:rPr/>
        <w:t>范畴。</w:t>
      </w:r>
    </w:p>
    <w:p>
      <w:pPr>
        <w:spacing w:before="157"/>
        <w:ind w:left="1610" w:right="0" w:firstLine="0"/>
        <w:jc w:val="left"/>
        <w:rPr>
          <w:b/>
          <w:sz w:val="21"/>
        </w:rPr>
      </w:pPr>
      <w:r>
        <w:rPr>
          <w:b/>
          <w:spacing w:val="-3"/>
          <w:sz w:val="21"/>
        </w:rPr>
        <w:t>但下列疾病不在保障范围内：</w:t>
      </w:r>
    </w:p>
    <w:p>
      <w:pPr>
        <w:pStyle w:val="BodyText"/>
        <w:spacing w:before="6"/>
        <w:rPr>
          <w:b/>
          <w:sz w:val="15"/>
        </w:rPr>
      </w:pPr>
    </w:p>
    <w:p>
      <w:pPr>
        <w:pStyle w:val="ListParagraph"/>
        <w:numPr>
          <w:ilvl w:val="3"/>
          <w:numId w:val="19"/>
        </w:numPr>
        <w:tabs>
          <w:tab w:pos="1981" w:val="left" w:leader="none"/>
          <w:tab w:pos="1982" w:val="left" w:leader="none"/>
        </w:tabs>
        <w:spacing w:line="240" w:lineRule="auto" w:before="0" w:after="0"/>
        <w:ind w:left="1982" w:right="0" w:hanging="372"/>
        <w:jc w:val="left"/>
        <w:rPr>
          <w:rFonts w:ascii="Times New Roman" w:eastAsia="Times New Roman"/>
          <w:b/>
          <w:sz w:val="21"/>
        </w:rPr>
      </w:pPr>
      <w:r>
        <w:rPr>
          <w:b/>
          <w:spacing w:val="-2"/>
          <w:sz w:val="21"/>
        </w:rPr>
        <w:t>继发性（转移性）</w:t>
      </w:r>
      <w:r>
        <w:rPr>
          <w:b/>
          <w:spacing w:val="-4"/>
          <w:sz w:val="21"/>
        </w:rPr>
        <w:t>恶性肿瘤；</w:t>
      </w:r>
    </w:p>
    <w:p>
      <w:pPr>
        <w:pStyle w:val="BodyText"/>
        <w:rPr>
          <w:b/>
          <w:sz w:val="15"/>
        </w:rPr>
      </w:pPr>
    </w:p>
    <w:p>
      <w:pPr>
        <w:pStyle w:val="ListParagraph"/>
        <w:numPr>
          <w:ilvl w:val="3"/>
          <w:numId w:val="19"/>
        </w:numPr>
        <w:tabs>
          <w:tab w:pos="1981" w:val="left" w:leader="none"/>
          <w:tab w:pos="1982" w:val="left" w:leader="none"/>
        </w:tabs>
        <w:spacing w:line="240" w:lineRule="auto" w:before="0" w:after="0"/>
        <w:ind w:left="1982" w:right="0" w:hanging="372"/>
        <w:jc w:val="left"/>
        <w:rPr>
          <w:rFonts w:ascii="Times New Roman" w:eastAsia="Times New Roman"/>
          <w:b/>
          <w:sz w:val="21"/>
        </w:rPr>
      </w:pPr>
      <w:r>
        <w:rPr>
          <w:b/>
          <w:spacing w:val="-3"/>
          <w:sz w:val="21"/>
        </w:rPr>
        <w:t>感染艾滋病病毒或患艾滋病期间所患恶性肿瘤；</w:t>
      </w:r>
    </w:p>
    <w:p>
      <w:pPr>
        <w:pStyle w:val="BodyText"/>
        <w:rPr>
          <w:b/>
          <w:sz w:val="15"/>
        </w:rPr>
      </w:pPr>
    </w:p>
    <w:p>
      <w:pPr>
        <w:pStyle w:val="ListParagraph"/>
        <w:numPr>
          <w:ilvl w:val="3"/>
          <w:numId w:val="19"/>
        </w:numPr>
        <w:tabs>
          <w:tab w:pos="1981" w:val="left" w:leader="none"/>
          <w:tab w:pos="1982" w:val="left" w:leader="none"/>
        </w:tabs>
        <w:spacing w:line="240" w:lineRule="auto" w:before="0" w:after="0"/>
        <w:ind w:left="1982" w:right="0" w:hanging="372"/>
        <w:jc w:val="left"/>
        <w:rPr>
          <w:rFonts w:ascii="Times New Roman" w:eastAsia="Times New Roman"/>
          <w:b/>
          <w:sz w:val="21"/>
        </w:rPr>
      </w:pPr>
      <w:r>
        <w:rPr>
          <w:rFonts w:ascii="Times New Roman" w:eastAsia="Times New Roman"/>
          <w:b/>
          <w:spacing w:val="-2"/>
          <w:sz w:val="21"/>
        </w:rPr>
        <w:t>TNM</w:t>
      </w:r>
      <w:r>
        <w:rPr>
          <w:rFonts w:ascii="Times New Roman" w:eastAsia="Times New Roman"/>
          <w:b/>
          <w:spacing w:val="10"/>
          <w:sz w:val="21"/>
        </w:rPr>
        <w:t> </w:t>
      </w:r>
      <w:r>
        <w:rPr>
          <w:b/>
          <w:spacing w:val="-12"/>
          <w:sz w:val="21"/>
        </w:rPr>
        <w:t>分期为 </w:t>
      </w:r>
      <w:r>
        <w:rPr>
          <w:rFonts w:ascii="Times New Roman" w:eastAsia="Times New Roman"/>
          <w:b/>
          <w:spacing w:val="-2"/>
          <w:sz w:val="21"/>
        </w:rPr>
        <w:t>T</w:t>
      </w:r>
      <w:r>
        <w:rPr>
          <w:rFonts w:ascii="Times New Roman" w:eastAsia="Times New Roman"/>
          <w:b/>
          <w:spacing w:val="-2"/>
          <w:sz w:val="21"/>
          <w:vertAlign w:val="subscript"/>
        </w:rPr>
        <w:t>1</w:t>
      </w:r>
      <w:r>
        <w:rPr>
          <w:rFonts w:ascii="Times New Roman" w:eastAsia="Times New Roman"/>
          <w:b/>
          <w:spacing w:val="-2"/>
          <w:sz w:val="21"/>
          <w:vertAlign w:val="baseline"/>
        </w:rPr>
        <w:t>N</w:t>
      </w:r>
      <w:r>
        <w:rPr>
          <w:rFonts w:ascii="Times New Roman" w:eastAsia="Times New Roman"/>
          <w:b/>
          <w:spacing w:val="-2"/>
          <w:sz w:val="21"/>
          <w:vertAlign w:val="subscript"/>
        </w:rPr>
        <w:t>0</w:t>
      </w:r>
      <w:r>
        <w:rPr>
          <w:rFonts w:ascii="Times New Roman" w:eastAsia="Times New Roman"/>
          <w:b/>
          <w:spacing w:val="-2"/>
          <w:sz w:val="21"/>
          <w:vertAlign w:val="baseline"/>
        </w:rPr>
        <w:t>M</w:t>
      </w:r>
      <w:r>
        <w:rPr>
          <w:rFonts w:ascii="Times New Roman" w:eastAsia="Times New Roman"/>
          <w:b/>
          <w:spacing w:val="-2"/>
          <w:sz w:val="21"/>
          <w:vertAlign w:val="subscript"/>
        </w:rPr>
        <w:t>0</w:t>
      </w:r>
      <w:r>
        <w:rPr>
          <w:rFonts w:ascii="Times New Roman" w:eastAsia="Times New Roman"/>
          <w:b/>
          <w:spacing w:val="-11"/>
          <w:sz w:val="21"/>
          <w:vertAlign w:val="baseline"/>
        </w:rPr>
        <w:t> </w:t>
      </w:r>
      <w:r>
        <w:rPr>
          <w:b/>
          <w:spacing w:val="-3"/>
          <w:sz w:val="21"/>
          <w:vertAlign w:val="baseline"/>
        </w:rPr>
        <w:t>期或更轻分期的前列腺癌。</w:t>
      </w:r>
    </w:p>
    <w:p>
      <w:pPr>
        <w:pStyle w:val="ListParagraph"/>
        <w:numPr>
          <w:ilvl w:val="2"/>
          <w:numId w:val="19"/>
        </w:numPr>
        <w:tabs>
          <w:tab w:pos="1819" w:val="left" w:leader="none"/>
        </w:tabs>
        <w:spacing w:line="240" w:lineRule="auto" w:before="199" w:after="0"/>
        <w:ind w:left="1818" w:right="0" w:hanging="802"/>
        <w:jc w:val="left"/>
        <w:rPr>
          <w:b/>
          <w:sz w:val="21"/>
        </w:rPr>
      </w:pPr>
      <w:r>
        <w:rPr>
          <w:b/>
          <w:spacing w:val="-3"/>
          <w:sz w:val="21"/>
        </w:rPr>
        <w:t>支气管和肺部恶性肿瘤</w:t>
      </w:r>
    </w:p>
    <w:p>
      <w:pPr>
        <w:pStyle w:val="BodyText"/>
        <w:spacing w:line="278" w:lineRule="auto" w:before="163"/>
        <w:ind w:left="1610" w:right="1018"/>
        <w:jc w:val="both"/>
      </w:pPr>
      <w:r>
        <w:rPr>
          <w:spacing w:val="-2"/>
        </w:rPr>
        <w:t>是指符合</w:t>
      </w:r>
      <w:r>
        <w:rPr>
          <w:b/>
          <w:spacing w:val="-2"/>
        </w:rPr>
        <w:t>“恶性肿瘤——重度”</w:t>
      </w:r>
      <w:r>
        <w:rPr>
          <w:spacing w:val="-2"/>
        </w:rPr>
        <w:t>定义标准，病灶经组织病理学检查（涵盖骨髓病理</w:t>
      </w:r>
      <w:r>
        <w:rPr>
          <w:spacing w:val="-2"/>
        </w:rPr>
        <w:t>学检查）明确诊断，临床诊断属于世界卫生组织《疾病和有关健康问题的国际统计</w:t>
      </w:r>
      <w:r>
        <w:rPr/>
        <w:t>分类》（</w:t>
      </w:r>
      <w:r>
        <w:rPr>
          <w:rFonts w:ascii="Times New Roman" w:hAnsi="Times New Roman" w:eastAsia="Times New Roman"/>
        </w:rPr>
        <w:t>ICD-10</w:t>
      </w:r>
      <w:r>
        <w:rPr/>
        <w:t>）</w:t>
      </w:r>
      <w:r>
        <w:rPr>
          <w:spacing w:val="10"/>
        </w:rPr>
        <w:t>的恶性肿瘤</w:t>
      </w:r>
      <w:r>
        <w:rPr>
          <w:rFonts w:ascii="Times New Roman" w:hAnsi="Times New Roman" w:eastAsia="Times New Roman"/>
        </w:rPr>
        <w:t>C34 </w:t>
      </w:r>
      <w:r>
        <w:rPr/>
        <w:t>范畴。</w:t>
      </w:r>
    </w:p>
    <w:p>
      <w:pPr>
        <w:spacing w:before="156"/>
        <w:ind w:left="1610" w:right="0" w:firstLine="0"/>
        <w:jc w:val="left"/>
        <w:rPr>
          <w:b/>
          <w:sz w:val="21"/>
        </w:rPr>
      </w:pPr>
      <w:r>
        <w:rPr>
          <w:b/>
          <w:spacing w:val="-3"/>
          <w:sz w:val="21"/>
        </w:rPr>
        <w:t>但下列疾病不在保障范围内：</w:t>
      </w:r>
    </w:p>
    <w:p>
      <w:pPr>
        <w:pStyle w:val="BodyText"/>
        <w:spacing w:before="6"/>
        <w:rPr>
          <w:b/>
          <w:sz w:val="15"/>
        </w:rPr>
      </w:pPr>
    </w:p>
    <w:p>
      <w:pPr>
        <w:pStyle w:val="ListParagraph"/>
        <w:numPr>
          <w:ilvl w:val="3"/>
          <w:numId w:val="19"/>
        </w:numPr>
        <w:tabs>
          <w:tab w:pos="1981" w:val="left" w:leader="none"/>
          <w:tab w:pos="1982" w:val="left" w:leader="none"/>
        </w:tabs>
        <w:spacing w:line="240" w:lineRule="auto" w:before="1" w:after="0"/>
        <w:ind w:left="1982" w:right="0" w:hanging="372"/>
        <w:jc w:val="left"/>
        <w:rPr>
          <w:rFonts w:ascii="Times New Roman" w:eastAsia="Times New Roman"/>
          <w:b/>
          <w:sz w:val="21"/>
        </w:rPr>
      </w:pPr>
      <w:r>
        <w:rPr>
          <w:b/>
          <w:spacing w:val="-2"/>
          <w:sz w:val="21"/>
        </w:rPr>
        <w:t>继发性（转移性）</w:t>
      </w:r>
      <w:r>
        <w:rPr>
          <w:b/>
          <w:spacing w:val="-4"/>
          <w:sz w:val="21"/>
        </w:rPr>
        <w:t>恶性肿瘤；</w:t>
      </w:r>
    </w:p>
    <w:p>
      <w:pPr>
        <w:pStyle w:val="BodyText"/>
        <w:spacing w:before="6"/>
        <w:rPr>
          <w:b/>
          <w:sz w:val="15"/>
        </w:rPr>
      </w:pPr>
    </w:p>
    <w:p>
      <w:pPr>
        <w:pStyle w:val="ListParagraph"/>
        <w:numPr>
          <w:ilvl w:val="3"/>
          <w:numId w:val="19"/>
        </w:numPr>
        <w:tabs>
          <w:tab w:pos="1981" w:val="left" w:leader="none"/>
          <w:tab w:pos="1982" w:val="left" w:leader="none"/>
        </w:tabs>
        <w:spacing w:line="240" w:lineRule="auto" w:before="0" w:after="0"/>
        <w:ind w:left="1982" w:right="0" w:hanging="372"/>
        <w:jc w:val="left"/>
        <w:rPr>
          <w:rFonts w:ascii="Times New Roman" w:eastAsia="Times New Roman"/>
          <w:b/>
          <w:sz w:val="21"/>
        </w:rPr>
      </w:pPr>
      <w:r>
        <w:rPr>
          <w:b/>
          <w:spacing w:val="-3"/>
          <w:sz w:val="21"/>
        </w:rPr>
        <w:t>感染艾滋病病毒或患艾滋病期间所患恶性肿瘤。</w:t>
      </w:r>
    </w:p>
    <w:p>
      <w:pPr>
        <w:pStyle w:val="BodyText"/>
        <w:rPr>
          <w:b/>
          <w:sz w:val="15"/>
        </w:rPr>
      </w:pPr>
    </w:p>
    <w:p>
      <w:pPr>
        <w:pStyle w:val="ListParagraph"/>
        <w:numPr>
          <w:ilvl w:val="2"/>
          <w:numId w:val="19"/>
        </w:numPr>
        <w:tabs>
          <w:tab w:pos="1819" w:val="left" w:leader="none"/>
        </w:tabs>
        <w:spacing w:line="240" w:lineRule="auto" w:before="0" w:after="0"/>
        <w:ind w:left="1818" w:right="0" w:hanging="802"/>
        <w:jc w:val="left"/>
        <w:rPr>
          <w:b/>
          <w:sz w:val="21"/>
        </w:rPr>
      </w:pPr>
      <w:r>
        <w:rPr>
          <w:b/>
          <w:spacing w:val="-2"/>
          <w:sz w:val="21"/>
        </w:rPr>
        <w:t>食管恶性肿瘤</w:t>
      </w:r>
    </w:p>
    <w:p>
      <w:pPr>
        <w:pStyle w:val="BodyText"/>
        <w:spacing w:line="278" w:lineRule="auto" w:before="163"/>
        <w:ind w:left="1610" w:right="1018"/>
        <w:jc w:val="both"/>
      </w:pPr>
      <w:r>
        <w:rPr>
          <w:spacing w:val="-2"/>
        </w:rPr>
        <w:t>是指符合</w:t>
      </w:r>
      <w:r>
        <w:rPr>
          <w:b/>
          <w:spacing w:val="-2"/>
        </w:rPr>
        <w:t>“恶性肿瘤——重度”</w:t>
      </w:r>
      <w:r>
        <w:rPr>
          <w:spacing w:val="-2"/>
        </w:rPr>
        <w:t>定义标准，病灶经组织病理学检查（涵盖骨髓病理</w:t>
      </w:r>
      <w:r>
        <w:rPr>
          <w:spacing w:val="-2"/>
        </w:rPr>
        <w:t>学检查）明确诊断，临床诊断属于世界卫生组织《疾病和有关健康问题的国际统计</w:t>
      </w:r>
      <w:r>
        <w:rPr/>
        <w:t>分类》（</w:t>
      </w:r>
      <w:r>
        <w:rPr>
          <w:rFonts w:ascii="Times New Roman" w:hAnsi="Times New Roman" w:eastAsia="Times New Roman"/>
        </w:rPr>
        <w:t>ICD-10</w:t>
      </w:r>
      <w:r>
        <w:rPr/>
        <w:t>）</w:t>
      </w:r>
      <w:r>
        <w:rPr>
          <w:spacing w:val="10"/>
        </w:rPr>
        <w:t>的恶性肿瘤</w:t>
      </w:r>
      <w:r>
        <w:rPr>
          <w:rFonts w:ascii="Times New Roman" w:hAnsi="Times New Roman" w:eastAsia="Times New Roman"/>
        </w:rPr>
        <w:t>C15 </w:t>
      </w:r>
      <w:r>
        <w:rPr/>
        <w:t>范畴。</w:t>
      </w:r>
    </w:p>
    <w:p>
      <w:pPr>
        <w:spacing w:before="156"/>
        <w:ind w:left="1610" w:right="0" w:firstLine="0"/>
        <w:jc w:val="left"/>
        <w:rPr>
          <w:b/>
          <w:sz w:val="21"/>
        </w:rPr>
      </w:pPr>
      <w:r>
        <w:rPr>
          <w:b/>
          <w:spacing w:val="-3"/>
          <w:sz w:val="21"/>
        </w:rPr>
        <w:t>但下列疾病不在保障范围内：</w:t>
      </w:r>
    </w:p>
    <w:p>
      <w:pPr>
        <w:pStyle w:val="BodyText"/>
        <w:rPr>
          <w:b/>
          <w:sz w:val="15"/>
        </w:rPr>
      </w:pPr>
    </w:p>
    <w:p>
      <w:pPr>
        <w:pStyle w:val="ListParagraph"/>
        <w:numPr>
          <w:ilvl w:val="3"/>
          <w:numId w:val="19"/>
        </w:numPr>
        <w:tabs>
          <w:tab w:pos="1981" w:val="left" w:leader="none"/>
          <w:tab w:pos="1982" w:val="left" w:leader="none"/>
        </w:tabs>
        <w:spacing w:line="240" w:lineRule="auto" w:before="0" w:after="0"/>
        <w:ind w:left="1982" w:right="0" w:hanging="372"/>
        <w:jc w:val="left"/>
        <w:rPr>
          <w:rFonts w:ascii="Times New Roman" w:eastAsia="Times New Roman"/>
          <w:b/>
          <w:sz w:val="21"/>
        </w:rPr>
      </w:pPr>
      <w:r>
        <w:rPr>
          <w:b/>
          <w:spacing w:val="-2"/>
          <w:sz w:val="21"/>
        </w:rPr>
        <w:t>继发性（转移性）</w:t>
      </w:r>
      <w:r>
        <w:rPr>
          <w:b/>
          <w:spacing w:val="-4"/>
          <w:sz w:val="21"/>
        </w:rPr>
        <w:t>恶性肿瘤；</w:t>
      </w:r>
    </w:p>
    <w:p>
      <w:pPr>
        <w:pStyle w:val="BodyText"/>
        <w:rPr>
          <w:b/>
          <w:sz w:val="15"/>
        </w:rPr>
      </w:pPr>
    </w:p>
    <w:p>
      <w:pPr>
        <w:pStyle w:val="ListParagraph"/>
        <w:numPr>
          <w:ilvl w:val="3"/>
          <w:numId w:val="19"/>
        </w:numPr>
        <w:tabs>
          <w:tab w:pos="1981" w:val="left" w:leader="none"/>
          <w:tab w:pos="1982" w:val="left" w:leader="none"/>
        </w:tabs>
        <w:spacing w:line="240" w:lineRule="auto" w:before="0" w:after="0"/>
        <w:ind w:left="1982" w:right="0" w:hanging="372"/>
        <w:jc w:val="left"/>
        <w:rPr>
          <w:rFonts w:ascii="Times New Roman" w:eastAsia="Times New Roman"/>
          <w:b/>
          <w:sz w:val="21"/>
        </w:rPr>
      </w:pPr>
      <w:r>
        <w:rPr>
          <w:b/>
          <w:spacing w:val="-3"/>
          <w:sz w:val="21"/>
        </w:rPr>
        <w:t>感染艾滋病病毒或患艾滋病期间所患恶性肿瘤。</w:t>
      </w:r>
    </w:p>
    <w:p>
      <w:pPr>
        <w:pStyle w:val="BodyText"/>
        <w:spacing w:before="6"/>
        <w:rPr>
          <w:b/>
          <w:sz w:val="15"/>
        </w:rPr>
      </w:pPr>
    </w:p>
    <w:p>
      <w:pPr>
        <w:pStyle w:val="ListParagraph"/>
        <w:numPr>
          <w:ilvl w:val="2"/>
          <w:numId w:val="19"/>
        </w:numPr>
        <w:tabs>
          <w:tab w:pos="1819" w:val="left" w:leader="none"/>
        </w:tabs>
        <w:spacing w:line="240" w:lineRule="auto" w:before="1" w:after="0"/>
        <w:ind w:left="1818" w:right="0" w:hanging="802"/>
        <w:jc w:val="left"/>
        <w:rPr>
          <w:b/>
          <w:sz w:val="21"/>
        </w:rPr>
      </w:pPr>
      <w:r>
        <w:rPr>
          <w:b/>
          <w:spacing w:val="-4"/>
          <w:sz w:val="21"/>
        </w:rPr>
        <w:t>白血病</w:t>
      </w:r>
    </w:p>
    <w:p>
      <w:pPr>
        <w:pStyle w:val="BodyText"/>
        <w:spacing w:line="278" w:lineRule="auto" w:before="162"/>
        <w:ind w:left="1610" w:right="1015"/>
        <w:jc w:val="both"/>
      </w:pPr>
      <w:r>
        <w:rPr>
          <w:spacing w:val="-2"/>
        </w:rPr>
        <w:t>是指符合</w:t>
      </w:r>
      <w:r>
        <w:rPr>
          <w:b/>
          <w:spacing w:val="-2"/>
        </w:rPr>
        <w:t>“恶性肿瘤——重度”</w:t>
      </w:r>
      <w:r>
        <w:rPr>
          <w:spacing w:val="-2"/>
        </w:rPr>
        <w:t>定义标准，经病理学检查结果明确诊断，临床诊断</w:t>
      </w:r>
      <w:r>
        <w:rPr>
          <w:spacing w:val="-2"/>
        </w:rPr>
        <w:t>属于世界卫生组织《疾病和有关健康问题的国际统计分类》（</w:t>
      </w:r>
      <w:r>
        <w:rPr>
          <w:rFonts w:ascii="Times New Roman" w:hAnsi="Times New Roman" w:eastAsia="Times New Roman"/>
          <w:spacing w:val="-2"/>
        </w:rPr>
        <w:t>ICD-10</w:t>
      </w:r>
      <w:r>
        <w:rPr>
          <w:spacing w:val="-2"/>
        </w:rPr>
        <w:t>）的恶性肿瘤</w:t>
      </w:r>
      <w:r>
        <w:rPr>
          <w:spacing w:val="-2"/>
        </w:rPr>
        <w:t> </w:t>
      </w:r>
      <w:r>
        <w:rPr>
          <w:rFonts w:ascii="Times New Roman" w:hAnsi="Times New Roman" w:eastAsia="Times New Roman"/>
        </w:rPr>
        <w:t>C90.1</w:t>
      </w:r>
      <w:r>
        <w:rPr/>
        <w:t>、</w:t>
      </w:r>
      <w:r>
        <w:rPr>
          <w:rFonts w:ascii="Times New Roman" w:hAnsi="Times New Roman" w:eastAsia="Times New Roman"/>
        </w:rPr>
        <w:t>C91</w:t>
      </w:r>
      <w:r>
        <w:rPr/>
        <w:t>、</w:t>
      </w:r>
      <w:r>
        <w:rPr>
          <w:rFonts w:ascii="Times New Roman" w:hAnsi="Times New Roman" w:eastAsia="Times New Roman"/>
        </w:rPr>
        <w:t>C92</w:t>
      </w:r>
      <w:r>
        <w:rPr/>
        <w:t>、</w:t>
      </w:r>
      <w:r>
        <w:rPr>
          <w:rFonts w:ascii="Times New Roman" w:hAnsi="Times New Roman" w:eastAsia="Times New Roman"/>
        </w:rPr>
        <w:t>C93</w:t>
      </w:r>
      <w:r>
        <w:rPr/>
        <w:t>、</w:t>
      </w:r>
      <w:r>
        <w:rPr>
          <w:rFonts w:ascii="Times New Roman" w:hAnsi="Times New Roman" w:eastAsia="Times New Roman"/>
        </w:rPr>
        <w:t>C94</w:t>
      </w:r>
      <w:r>
        <w:rPr/>
        <w:t>、</w:t>
      </w:r>
      <w:r>
        <w:rPr>
          <w:rFonts w:ascii="Times New Roman" w:hAnsi="Times New Roman" w:eastAsia="Times New Roman"/>
        </w:rPr>
        <w:t>C95 </w:t>
      </w:r>
      <w:r>
        <w:rPr/>
        <w:t>范畴，并且至少已经接受了下列一项治疗：</w:t>
      </w:r>
    </w:p>
    <w:p>
      <w:pPr>
        <w:spacing w:after="0" w:line="278" w:lineRule="auto"/>
        <w:jc w:val="both"/>
        <w:sectPr>
          <w:pgSz w:w="11910" w:h="16840"/>
          <w:pgMar w:top="1380" w:bottom="280" w:left="1280" w:right="420"/>
        </w:sectPr>
      </w:pPr>
    </w:p>
    <w:p>
      <w:pPr>
        <w:pStyle w:val="ListParagraph"/>
        <w:numPr>
          <w:ilvl w:val="3"/>
          <w:numId w:val="19"/>
        </w:numPr>
        <w:tabs>
          <w:tab w:pos="1969" w:val="left" w:leader="none"/>
          <w:tab w:pos="1970" w:val="left" w:leader="none"/>
        </w:tabs>
        <w:spacing w:line="240" w:lineRule="auto" w:before="64" w:after="0"/>
        <w:ind w:left="1970" w:right="0" w:hanging="360"/>
        <w:jc w:val="left"/>
        <w:rPr>
          <w:rFonts w:ascii="Times New Roman" w:eastAsia="Times New Roman"/>
          <w:sz w:val="21"/>
        </w:rPr>
      </w:pPr>
      <w:r>
        <w:rPr>
          <w:spacing w:val="-4"/>
          <w:sz w:val="21"/>
        </w:rPr>
        <w:t>化学治疗；</w:t>
      </w:r>
    </w:p>
    <w:p>
      <w:pPr>
        <w:pStyle w:val="BodyText"/>
        <w:rPr>
          <w:sz w:val="15"/>
        </w:rPr>
      </w:pPr>
    </w:p>
    <w:p>
      <w:pPr>
        <w:pStyle w:val="ListParagraph"/>
        <w:numPr>
          <w:ilvl w:val="3"/>
          <w:numId w:val="19"/>
        </w:numPr>
        <w:tabs>
          <w:tab w:pos="1969" w:val="left" w:leader="none"/>
          <w:tab w:pos="1970" w:val="left" w:leader="none"/>
        </w:tabs>
        <w:spacing w:line="240" w:lineRule="auto" w:before="0" w:after="0"/>
        <w:ind w:left="1970" w:right="0" w:hanging="360"/>
        <w:jc w:val="left"/>
        <w:rPr>
          <w:rFonts w:ascii="Times New Roman" w:eastAsia="Times New Roman"/>
          <w:sz w:val="21"/>
        </w:rPr>
      </w:pPr>
      <w:r>
        <w:rPr>
          <w:spacing w:val="-4"/>
          <w:sz w:val="21"/>
        </w:rPr>
        <w:t>骨髓移植。</w:t>
      </w:r>
    </w:p>
    <w:p>
      <w:pPr>
        <w:pStyle w:val="BodyText"/>
        <w:rPr>
          <w:sz w:val="15"/>
        </w:rPr>
      </w:pPr>
    </w:p>
    <w:p>
      <w:pPr>
        <w:spacing w:before="0"/>
        <w:ind w:left="1610" w:right="0" w:firstLine="0"/>
        <w:jc w:val="left"/>
        <w:rPr>
          <w:b/>
          <w:sz w:val="21"/>
        </w:rPr>
      </w:pPr>
      <w:r>
        <w:rPr>
          <w:b/>
          <w:spacing w:val="-3"/>
          <w:sz w:val="21"/>
        </w:rPr>
        <w:t>但下列疾病不在保障范围内：</w:t>
      </w:r>
    </w:p>
    <w:p>
      <w:pPr>
        <w:pStyle w:val="BodyText"/>
        <w:rPr>
          <w:b/>
          <w:sz w:val="15"/>
        </w:rPr>
      </w:pPr>
    </w:p>
    <w:p>
      <w:pPr>
        <w:pStyle w:val="ListParagraph"/>
        <w:numPr>
          <w:ilvl w:val="0"/>
          <w:numId w:val="21"/>
        </w:numPr>
        <w:tabs>
          <w:tab w:pos="1969" w:val="left" w:leader="none"/>
          <w:tab w:pos="1970" w:val="left" w:leader="none"/>
        </w:tabs>
        <w:spacing w:line="240" w:lineRule="auto" w:before="0" w:after="0"/>
        <w:ind w:left="1970" w:right="0" w:hanging="360"/>
        <w:jc w:val="left"/>
        <w:rPr>
          <w:b/>
          <w:sz w:val="21"/>
        </w:rPr>
      </w:pPr>
      <w:r>
        <w:rPr>
          <w:b/>
          <w:spacing w:val="-2"/>
          <w:sz w:val="21"/>
        </w:rPr>
        <w:t>继发性（转移性）</w:t>
      </w:r>
      <w:r>
        <w:rPr>
          <w:b/>
          <w:spacing w:val="-4"/>
          <w:sz w:val="21"/>
        </w:rPr>
        <w:t>恶性肿瘤；</w:t>
      </w:r>
    </w:p>
    <w:p>
      <w:pPr>
        <w:pStyle w:val="BodyText"/>
        <w:spacing w:before="6"/>
        <w:rPr>
          <w:b/>
          <w:sz w:val="15"/>
        </w:rPr>
      </w:pPr>
    </w:p>
    <w:p>
      <w:pPr>
        <w:pStyle w:val="ListParagraph"/>
        <w:numPr>
          <w:ilvl w:val="0"/>
          <w:numId w:val="21"/>
        </w:numPr>
        <w:tabs>
          <w:tab w:pos="1969" w:val="left" w:leader="none"/>
          <w:tab w:pos="1970" w:val="left" w:leader="none"/>
        </w:tabs>
        <w:spacing w:line="240" w:lineRule="auto" w:before="1" w:after="0"/>
        <w:ind w:left="1970" w:right="0" w:hanging="360"/>
        <w:jc w:val="left"/>
        <w:rPr>
          <w:b/>
          <w:sz w:val="21"/>
        </w:rPr>
      </w:pPr>
      <w:r>
        <w:rPr>
          <w:b/>
          <w:spacing w:val="-3"/>
          <w:sz w:val="21"/>
        </w:rPr>
        <w:t>感染艾滋病病毒或患艾滋病期间所患恶性肿瘤；</w:t>
      </w:r>
    </w:p>
    <w:p>
      <w:pPr>
        <w:pStyle w:val="BodyText"/>
        <w:spacing w:before="6"/>
        <w:rPr>
          <w:b/>
          <w:sz w:val="15"/>
        </w:rPr>
      </w:pPr>
    </w:p>
    <w:p>
      <w:pPr>
        <w:pStyle w:val="ListParagraph"/>
        <w:numPr>
          <w:ilvl w:val="0"/>
          <w:numId w:val="21"/>
        </w:numPr>
        <w:tabs>
          <w:tab w:pos="1969" w:val="left" w:leader="none"/>
          <w:tab w:pos="1970" w:val="left" w:leader="none"/>
        </w:tabs>
        <w:spacing w:line="240" w:lineRule="auto" w:before="0" w:after="0"/>
        <w:ind w:left="1970" w:right="0" w:hanging="360"/>
        <w:jc w:val="left"/>
        <w:rPr>
          <w:b/>
          <w:sz w:val="21"/>
        </w:rPr>
      </w:pPr>
      <w:r>
        <w:rPr>
          <w:b/>
          <w:spacing w:val="-14"/>
          <w:sz w:val="21"/>
        </w:rPr>
        <w:t>相当于 </w:t>
      </w:r>
      <w:r>
        <w:rPr>
          <w:rFonts w:ascii="Times New Roman" w:eastAsia="Times New Roman"/>
          <w:b/>
          <w:sz w:val="21"/>
        </w:rPr>
        <w:t>Binet</w:t>
      </w:r>
      <w:r>
        <w:rPr>
          <w:rFonts w:ascii="Times New Roman" w:eastAsia="Times New Roman"/>
          <w:b/>
          <w:spacing w:val="-10"/>
          <w:sz w:val="21"/>
        </w:rPr>
        <w:t> </w:t>
      </w:r>
      <w:r>
        <w:rPr>
          <w:b/>
          <w:spacing w:val="-11"/>
          <w:sz w:val="21"/>
        </w:rPr>
        <w:t>分期方案 </w:t>
      </w:r>
      <w:r>
        <w:rPr>
          <w:rFonts w:ascii="Times New Roman" w:eastAsia="Times New Roman"/>
          <w:b/>
          <w:sz w:val="21"/>
        </w:rPr>
        <w:t>A</w:t>
      </w:r>
      <w:r>
        <w:rPr>
          <w:rFonts w:ascii="Times New Roman" w:eastAsia="Times New Roman"/>
          <w:b/>
          <w:spacing w:val="-5"/>
          <w:sz w:val="21"/>
        </w:rPr>
        <w:t> </w:t>
      </w:r>
      <w:r>
        <w:rPr>
          <w:b/>
          <w:spacing w:val="-1"/>
          <w:sz w:val="21"/>
        </w:rPr>
        <w:t>期程度的慢性淋巴细胞白血病。</w:t>
      </w:r>
    </w:p>
    <w:p>
      <w:pPr>
        <w:pStyle w:val="BodyText"/>
        <w:rPr>
          <w:b/>
          <w:sz w:val="15"/>
        </w:rPr>
      </w:pPr>
    </w:p>
    <w:p>
      <w:pPr>
        <w:pStyle w:val="ListParagraph"/>
        <w:numPr>
          <w:ilvl w:val="2"/>
          <w:numId w:val="19"/>
        </w:numPr>
        <w:tabs>
          <w:tab w:pos="1819" w:val="left" w:leader="none"/>
        </w:tabs>
        <w:spacing w:line="240" w:lineRule="auto" w:before="0" w:after="0"/>
        <w:ind w:left="1818" w:right="0" w:hanging="802"/>
        <w:jc w:val="left"/>
        <w:rPr>
          <w:b/>
          <w:sz w:val="21"/>
        </w:rPr>
      </w:pPr>
      <w:r>
        <w:rPr>
          <w:b/>
          <w:spacing w:val="-2"/>
          <w:sz w:val="21"/>
        </w:rPr>
        <w:t>胃恶性肿瘤</w:t>
      </w:r>
    </w:p>
    <w:p>
      <w:pPr>
        <w:pStyle w:val="BodyText"/>
        <w:spacing w:line="278" w:lineRule="auto" w:before="163"/>
        <w:ind w:left="1610" w:right="1018"/>
        <w:jc w:val="both"/>
      </w:pPr>
      <w:r>
        <w:rPr>
          <w:spacing w:val="-2"/>
        </w:rPr>
        <w:t>是指符合</w:t>
      </w:r>
      <w:r>
        <w:rPr>
          <w:b/>
          <w:spacing w:val="-2"/>
        </w:rPr>
        <w:t>“恶性肿瘤——重度”</w:t>
      </w:r>
      <w:r>
        <w:rPr>
          <w:spacing w:val="-2"/>
        </w:rPr>
        <w:t>定义标准，病灶经组织病理学检查（涵盖骨髓病理</w:t>
      </w:r>
      <w:r>
        <w:rPr>
          <w:spacing w:val="-2"/>
        </w:rPr>
        <w:t>学检查）明确诊断，临床诊断属于世界卫生组织《疾病和有关健康问题的国际统计</w:t>
      </w:r>
      <w:r>
        <w:rPr/>
        <w:t>分类》（</w:t>
      </w:r>
      <w:r>
        <w:rPr>
          <w:rFonts w:ascii="Times New Roman" w:hAnsi="Times New Roman" w:eastAsia="Times New Roman"/>
        </w:rPr>
        <w:t>ICD-10</w:t>
      </w:r>
      <w:r>
        <w:rPr/>
        <w:t>）</w:t>
      </w:r>
      <w:r>
        <w:rPr>
          <w:spacing w:val="10"/>
        </w:rPr>
        <w:t>的恶性肿瘤</w:t>
      </w:r>
      <w:r>
        <w:rPr>
          <w:rFonts w:ascii="Times New Roman" w:hAnsi="Times New Roman" w:eastAsia="Times New Roman"/>
        </w:rPr>
        <w:t>C16 </w:t>
      </w:r>
      <w:r>
        <w:rPr/>
        <w:t>范畴。</w:t>
      </w:r>
    </w:p>
    <w:p>
      <w:pPr>
        <w:spacing w:before="156"/>
        <w:ind w:left="1610" w:right="0" w:firstLine="0"/>
        <w:jc w:val="left"/>
        <w:rPr>
          <w:b/>
          <w:sz w:val="21"/>
        </w:rPr>
      </w:pPr>
      <w:r>
        <w:rPr>
          <w:b/>
          <w:spacing w:val="-3"/>
          <w:sz w:val="21"/>
        </w:rPr>
        <w:t>但下列疾病不在保障范围内：</w:t>
      </w:r>
    </w:p>
    <w:p>
      <w:pPr>
        <w:pStyle w:val="BodyText"/>
        <w:rPr>
          <w:b/>
          <w:sz w:val="15"/>
        </w:rPr>
      </w:pPr>
    </w:p>
    <w:p>
      <w:pPr>
        <w:pStyle w:val="ListParagraph"/>
        <w:numPr>
          <w:ilvl w:val="3"/>
          <w:numId w:val="19"/>
        </w:numPr>
        <w:tabs>
          <w:tab w:pos="1981" w:val="left" w:leader="none"/>
          <w:tab w:pos="1982" w:val="left" w:leader="none"/>
        </w:tabs>
        <w:spacing w:line="240" w:lineRule="auto" w:before="0" w:after="0"/>
        <w:ind w:left="1982" w:right="0" w:hanging="372"/>
        <w:jc w:val="left"/>
        <w:rPr>
          <w:rFonts w:ascii="Times New Roman" w:eastAsia="Times New Roman"/>
          <w:b/>
          <w:sz w:val="21"/>
        </w:rPr>
      </w:pPr>
      <w:r>
        <w:rPr>
          <w:b/>
          <w:spacing w:val="-2"/>
          <w:sz w:val="21"/>
        </w:rPr>
        <w:t>继发性（转移性）</w:t>
      </w:r>
      <w:r>
        <w:rPr>
          <w:b/>
          <w:spacing w:val="-4"/>
          <w:sz w:val="21"/>
        </w:rPr>
        <w:t>恶性肿瘤；</w:t>
      </w:r>
    </w:p>
    <w:p>
      <w:pPr>
        <w:pStyle w:val="BodyText"/>
        <w:rPr>
          <w:b/>
          <w:sz w:val="15"/>
        </w:rPr>
      </w:pPr>
    </w:p>
    <w:p>
      <w:pPr>
        <w:pStyle w:val="ListParagraph"/>
        <w:numPr>
          <w:ilvl w:val="3"/>
          <w:numId w:val="19"/>
        </w:numPr>
        <w:tabs>
          <w:tab w:pos="1981" w:val="left" w:leader="none"/>
          <w:tab w:pos="1982" w:val="left" w:leader="none"/>
        </w:tabs>
        <w:spacing w:line="240" w:lineRule="auto" w:before="0" w:after="0"/>
        <w:ind w:left="1982" w:right="0" w:hanging="372"/>
        <w:jc w:val="left"/>
        <w:rPr>
          <w:rFonts w:ascii="Times New Roman" w:eastAsia="Times New Roman"/>
          <w:b/>
          <w:sz w:val="21"/>
        </w:rPr>
      </w:pPr>
      <w:r>
        <w:rPr>
          <w:b/>
          <w:spacing w:val="-3"/>
          <w:sz w:val="21"/>
        </w:rPr>
        <w:t>感染艾滋病病毒或患艾滋病期间所患恶性肿瘤。</w:t>
      </w:r>
    </w:p>
    <w:p>
      <w:pPr>
        <w:pStyle w:val="BodyText"/>
        <w:spacing w:before="6"/>
        <w:rPr>
          <w:b/>
          <w:sz w:val="15"/>
        </w:rPr>
      </w:pPr>
    </w:p>
    <w:p>
      <w:pPr>
        <w:pStyle w:val="ListParagraph"/>
        <w:numPr>
          <w:ilvl w:val="2"/>
          <w:numId w:val="19"/>
        </w:numPr>
        <w:tabs>
          <w:tab w:pos="1819" w:val="left" w:leader="none"/>
        </w:tabs>
        <w:spacing w:line="240" w:lineRule="auto" w:before="0" w:after="0"/>
        <w:ind w:left="1818" w:right="0" w:hanging="802"/>
        <w:jc w:val="left"/>
        <w:rPr>
          <w:b/>
          <w:sz w:val="21"/>
        </w:rPr>
      </w:pPr>
      <w:r>
        <w:rPr>
          <w:b/>
          <w:spacing w:val="-3"/>
          <w:sz w:val="21"/>
        </w:rPr>
        <w:t>肝脏和肝内胆管恶性肿瘤</w:t>
      </w:r>
    </w:p>
    <w:p>
      <w:pPr>
        <w:pStyle w:val="BodyText"/>
        <w:spacing w:line="278" w:lineRule="auto" w:before="163"/>
        <w:ind w:left="1610" w:right="1018"/>
        <w:jc w:val="both"/>
      </w:pPr>
      <w:r>
        <w:rPr>
          <w:spacing w:val="-2"/>
        </w:rPr>
        <w:t>是指符合</w:t>
      </w:r>
      <w:r>
        <w:rPr>
          <w:b/>
          <w:spacing w:val="-2"/>
        </w:rPr>
        <w:t>“恶性肿瘤——重度”</w:t>
      </w:r>
      <w:r>
        <w:rPr>
          <w:spacing w:val="-2"/>
        </w:rPr>
        <w:t>定义标准，病灶经组织病理学检查（涵盖骨髓病理</w:t>
      </w:r>
      <w:r>
        <w:rPr>
          <w:spacing w:val="-2"/>
        </w:rPr>
        <w:t>学检查）明确诊断，临床诊断属于世界卫生组织《疾病和有关健康问题的国际统计</w:t>
      </w:r>
      <w:r>
        <w:rPr/>
        <w:t>分类》（</w:t>
      </w:r>
      <w:r>
        <w:rPr>
          <w:rFonts w:ascii="Times New Roman" w:hAnsi="Times New Roman" w:eastAsia="Times New Roman"/>
        </w:rPr>
        <w:t>ICD-10</w:t>
      </w:r>
      <w:r>
        <w:rPr/>
        <w:t>）</w:t>
      </w:r>
      <w:r>
        <w:rPr>
          <w:spacing w:val="10"/>
        </w:rPr>
        <w:t>的恶性肿瘤</w:t>
      </w:r>
      <w:r>
        <w:rPr>
          <w:rFonts w:ascii="Times New Roman" w:hAnsi="Times New Roman" w:eastAsia="Times New Roman"/>
        </w:rPr>
        <w:t>C22 </w:t>
      </w:r>
      <w:r>
        <w:rPr/>
        <w:t>范畴。</w:t>
      </w:r>
    </w:p>
    <w:p>
      <w:pPr>
        <w:spacing w:before="156"/>
        <w:ind w:left="1610" w:right="0" w:firstLine="0"/>
        <w:jc w:val="left"/>
        <w:rPr>
          <w:b/>
          <w:sz w:val="21"/>
        </w:rPr>
      </w:pPr>
      <w:r>
        <w:rPr>
          <w:b/>
          <w:spacing w:val="-3"/>
          <w:sz w:val="21"/>
        </w:rPr>
        <w:t>但下列疾病不在保障范围内：</w:t>
      </w:r>
    </w:p>
    <w:p>
      <w:pPr>
        <w:pStyle w:val="BodyText"/>
        <w:rPr>
          <w:b/>
          <w:sz w:val="15"/>
        </w:rPr>
      </w:pPr>
    </w:p>
    <w:p>
      <w:pPr>
        <w:pStyle w:val="ListParagraph"/>
        <w:numPr>
          <w:ilvl w:val="3"/>
          <w:numId w:val="19"/>
        </w:numPr>
        <w:tabs>
          <w:tab w:pos="1981" w:val="left" w:leader="none"/>
          <w:tab w:pos="1982" w:val="left" w:leader="none"/>
        </w:tabs>
        <w:spacing w:line="240" w:lineRule="auto" w:before="0" w:after="0"/>
        <w:ind w:left="1982" w:right="0" w:hanging="372"/>
        <w:jc w:val="left"/>
        <w:rPr>
          <w:rFonts w:ascii="Times New Roman" w:eastAsia="Times New Roman"/>
          <w:b/>
          <w:sz w:val="21"/>
        </w:rPr>
      </w:pPr>
      <w:r>
        <w:rPr>
          <w:b/>
          <w:spacing w:val="-2"/>
          <w:sz w:val="21"/>
        </w:rPr>
        <w:t>继发性（转移性）</w:t>
      </w:r>
      <w:r>
        <w:rPr>
          <w:b/>
          <w:spacing w:val="-4"/>
          <w:sz w:val="21"/>
        </w:rPr>
        <w:t>恶性肿瘤；</w:t>
      </w:r>
    </w:p>
    <w:p>
      <w:pPr>
        <w:pStyle w:val="BodyText"/>
        <w:rPr>
          <w:b/>
          <w:sz w:val="15"/>
        </w:rPr>
      </w:pPr>
    </w:p>
    <w:p>
      <w:pPr>
        <w:pStyle w:val="ListParagraph"/>
        <w:numPr>
          <w:ilvl w:val="3"/>
          <w:numId w:val="19"/>
        </w:numPr>
        <w:tabs>
          <w:tab w:pos="1981" w:val="left" w:leader="none"/>
          <w:tab w:pos="1982" w:val="left" w:leader="none"/>
        </w:tabs>
        <w:spacing w:line="240" w:lineRule="auto" w:before="0" w:after="0"/>
        <w:ind w:left="1982" w:right="0" w:hanging="372"/>
        <w:jc w:val="left"/>
        <w:rPr>
          <w:rFonts w:ascii="Times New Roman" w:eastAsia="Times New Roman"/>
          <w:b/>
          <w:sz w:val="21"/>
        </w:rPr>
      </w:pPr>
      <w:r>
        <w:rPr>
          <w:b/>
          <w:spacing w:val="-3"/>
          <w:sz w:val="21"/>
        </w:rPr>
        <w:t>感染艾滋病病毒或患艾滋病期间所患恶性肿瘤；</w:t>
      </w:r>
    </w:p>
    <w:p>
      <w:pPr>
        <w:pStyle w:val="BodyText"/>
        <w:rPr>
          <w:b/>
          <w:sz w:val="15"/>
        </w:rPr>
      </w:pPr>
    </w:p>
    <w:p>
      <w:pPr>
        <w:pStyle w:val="ListParagraph"/>
        <w:numPr>
          <w:ilvl w:val="3"/>
          <w:numId w:val="19"/>
        </w:numPr>
        <w:tabs>
          <w:tab w:pos="1981" w:val="left" w:leader="none"/>
          <w:tab w:pos="1982" w:val="left" w:leader="none"/>
        </w:tabs>
        <w:spacing w:line="240" w:lineRule="auto" w:before="0" w:after="0"/>
        <w:ind w:left="1982" w:right="0" w:hanging="372"/>
        <w:jc w:val="left"/>
        <w:rPr>
          <w:rFonts w:ascii="Times New Roman" w:eastAsia="Times New Roman"/>
          <w:b/>
          <w:sz w:val="21"/>
        </w:rPr>
      </w:pPr>
      <w:r>
        <w:rPr>
          <w:b/>
          <w:sz w:val="21"/>
        </w:rPr>
        <w:t>胆道恶性肿瘤（</w:t>
      </w:r>
      <w:r>
        <w:rPr>
          <w:rFonts w:ascii="Times New Roman" w:eastAsia="Times New Roman"/>
          <w:b/>
          <w:sz w:val="21"/>
        </w:rPr>
        <w:t>ICD-10</w:t>
      </w:r>
      <w:r>
        <w:rPr>
          <w:rFonts w:ascii="Times New Roman" w:eastAsia="Times New Roman"/>
          <w:b/>
          <w:spacing w:val="-13"/>
          <w:sz w:val="21"/>
        </w:rPr>
        <w:t> </w:t>
      </w:r>
      <w:r>
        <w:rPr>
          <w:b/>
          <w:spacing w:val="-14"/>
          <w:sz w:val="21"/>
        </w:rPr>
        <w:t>编码为 </w:t>
      </w:r>
      <w:r>
        <w:rPr>
          <w:rFonts w:ascii="Times New Roman" w:eastAsia="Times New Roman"/>
          <w:b/>
          <w:sz w:val="21"/>
        </w:rPr>
        <w:t>C24.9</w:t>
      </w:r>
      <w:r>
        <w:rPr>
          <w:b/>
          <w:sz w:val="21"/>
        </w:rPr>
        <w:t>）</w:t>
      </w:r>
      <w:r>
        <w:rPr>
          <w:b/>
          <w:spacing w:val="-10"/>
          <w:sz w:val="21"/>
        </w:rPr>
        <w:t>。</w:t>
      </w:r>
    </w:p>
    <w:p>
      <w:pPr>
        <w:pStyle w:val="BodyText"/>
        <w:spacing w:before="6"/>
        <w:rPr>
          <w:b/>
          <w:sz w:val="15"/>
        </w:rPr>
      </w:pPr>
    </w:p>
    <w:p>
      <w:pPr>
        <w:pStyle w:val="ListParagraph"/>
        <w:numPr>
          <w:ilvl w:val="2"/>
          <w:numId w:val="19"/>
        </w:numPr>
        <w:tabs>
          <w:tab w:pos="1819" w:val="left" w:leader="none"/>
        </w:tabs>
        <w:spacing w:line="240" w:lineRule="auto" w:before="0" w:after="0"/>
        <w:ind w:left="1818" w:right="0" w:hanging="802"/>
        <w:jc w:val="left"/>
        <w:rPr>
          <w:b/>
          <w:sz w:val="21"/>
        </w:rPr>
      </w:pPr>
      <w:r>
        <w:rPr>
          <w:b/>
          <w:spacing w:val="-2"/>
          <w:sz w:val="21"/>
        </w:rPr>
        <w:t>结肠恶性肿瘤</w:t>
      </w:r>
    </w:p>
    <w:p>
      <w:pPr>
        <w:pStyle w:val="BodyText"/>
        <w:spacing w:line="278" w:lineRule="auto" w:before="163"/>
        <w:ind w:left="1610" w:right="1018"/>
        <w:jc w:val="both"/>
      </w:pPr>
      <w:r>
        <w:rPr>
          <w:spacing w:val="-2"/>
        </w:rPr>
        <w:t>是指符合</w:t>
      </w:r>
      <w:r>
        <w:rPr>
          <w:b/>
          <w:spacing w:val="-2"/>
        </w:rPr>
        <w:t>“恶性肿瘤——重度”</w:t>
      </w:r>
      <w:r>
        <w:rPr>
          <w:spacing w:val="-2"/>
        </w:rPr>
        <w:t>定义标准，病灶经组织病理学检查（涵盖骨髓病理</w:t>
      </w:r>
      <w:r>
        <w:rPr>
          <w:spacing w:val="-2"/>
        </w:rPr>
        <w:t>学检查）明确诊断，临床诊断属于世界卫生组织《疾病和有关健康问题的国际统计</w:t>
      </w:r>
      <w:r>
        <w:rPr/>
        <w:t>分类》（</w:t>
      </w:r>
      <w:r>
        <w:rPr>
          <w:rFonts w:ascii="Times New Roman" w:hAnsi="Times New Roman" w:eastAsia="Times New Roman"/>
        </w:rPr>
        <w:t>ICD-10</w:t>
      </w:r>
      <w:r>
        <w:rPr/>
        <w:t>）</w:t>
      </w:r>
      <w:r>
        <w:rPr>
          <w:spacing w:val="10"/>
        </w:rPr>
        <w:t>的恶性肿瘤</w:t>
      </w:r>
      <w:r>
        <w:rPr>
          <w:rFonts w:ascii="Times New Roman" w:hAnsi="Times New Roman" w:eastAsia="Times New Roman"/>
        </w:rPr>
        <w:t>C18 </w:t>
      </w:r>
      <w:r>
        <w:rPr/>
        <w:t>范畴。</w:t>
      </w:r>
    </w:p>
    <w:p>
      <w:pPr>
        <w:spacing w:before="156"/>
        <w:ind w:left="1610" w:right="0" w:firstLine="0"/>
        <w:jc w:val="left"/>
        <w:rPr>
          <w:b/>
          <w:sz w:val="21"/>
        </w:rPr>
      </w:pPr>
      <w:r>
        <w:rPr>
          <w:b/>
          <w:spacing w:val="-3"/>
          <w:sz w:val="21"/>
        </w:rPr>
        <w:t>但下列疾病不在保障范围内：</w:t>
      </w:r>
    </w:p>
    <w:p>
      <w:pPr>
        <w:pStyle w:val="BodyText"/>
        <w:rPr>
          <w:b/>
          <w:sz w:val="15"/>
        </w:rPr>
      </w:pPr>
    </w:p>
    <w:p>
      <w:pPr>
        <w:pStyle w:val="ListParagraph"/>
        <w:numPr>
          <w:ilvl w:val="3"/>
          <w:numId w:val="19"/>
        </w:numPr>
        <w:tabs>
          <w:tab w:pos="1981" w:val="left" w:leader="none"/>
          <w:tab w:pos="1982" w:val="left" w:leader="none"/>
        </w:tabs>
        <w:spacing w:line="240" w:lineRule="auto" w:before="0" w:after="0"/>
        <w:ind w:left="1982" w:right="0" w:hanging="372"/>
        <w:jc w:val="left"/>
        <w:rPr>
          <w:rFonts w:ascii="Times New Roman" w:eastAsia="Times New Roman"/>
          <w:b/>
          <w:sz w:val="21"/>
        </w:rPr>
      </w:pPr>
      <w:r>
        <w:rPr>
          <w:b/>
          <w:spacing w:val="-2"/>
          <w:sz w:val="21"/>
        </w:rPr>
        <w:t>继发性（转移性）</w:t>
      </w:r>
      <w:r>
        <w:rPr>
          <w:b/>
          <w:spacing w:val="-4"/>
          <w:sz w:val="21"/>
        </w:rPr>
        <w:t>恶性肿瘤；</w:t>
      </w:r>
    </w:p>
    <w:p>
      <w:pPr>
        <w:pStyle w:val="BodyText"/>
        <w:rPr>
          <w:b/>
          <w:sz w:val="15"/>
        </w:rPr>
      </w:pPr>
    </w:p>
    <w:p>
      <w:pPr>
        <w:pStyle w:val="ListParagraph"/>
        <w:numPr>
          <w:ilvl w:val="3"/>
          <w:numId w:val="19"/>
        </w:numPr>
        <w:tabs>
          <w:tab w:pos="1981" w:val="left" w:leader="none"/>
          <w:tab w:pos="1982" w:val="left" w:leader="none"/>
        </w:tabs>
        <w:spacing w:line="240" w:lineRule="auto" w:before="0" w:after="0"/>
        <w:ind w:left="1982" w:right="0" w:hanging="372"/>
        <w:jc w:val="left"/>
        <w:rPr>
          <w:rFonts w:ascii="Times New Roman" w:eastAsia="Times New Roman"/>
          <w:b/>
          <w:sz w:val="21"/>
        </w:rPr>
      </w:pPr>
      <w:r>
        <w:rPr>
          <w:b/>
          <w:spacing w:val="-3"/>
          <w:sz w:val="21"/>
        </w:rPr>
        <w:t>感染艾滋病病毒或患艾滋病期间所患恶性肿瘤。</w:t>
      </w:r>
    </w:p>
    <w:p>
      <w:pPr>
        <w:pStyle w:val="BodyText"/>
        <w:rPr>
          <w:b/>
          <w:sz w:val="15"/>
        </w:rPr>
      </w:pPr>
    </w:p>
    <w:p>
      <w:pPr>
        <w:pStyle w:val="ListParagraph"/>
        <w:numPr>
          <w:ilvl w:val="2"/>
          <w:numId w:val="19"/>
        </w:numPr>
        <w:tabs>
          <w:tab w:pos="1819" w:val="left" w:leader="none"/>
        </w:tabs>
        <w:spacing w:line="240" w:lineRule="auto" w:before="0" w:after="0"/>
        <w:ind w:left="1818" w:right="0" w:hanging="802"/>
        <w:jc w:val="left"/>
        <w:rPr>
          <w:b/>
          <w:sz w:val="21"/>
        </w:rPr>
      </w:pPr>
      <w:r>
        <w:rPr>
          <w:b/>
          <w:spacing w:val="-2"/>
          <w:sz w:val="21"/>
        </w:rPr>
        <w:t>直肠恶性肿瘤</w:t>
      </w:r>
    </w:p>
    <w:p>
      <w:pPr>
        <w:pStyle w:val="BodyText"/>
        <w:spacing w:line="278" w:lineRule="auto" w:before="163"/>
        <w:ind w:left="1610" w:right="1018"/>
        <w:jc w:val="both"/>
      </w:pPr>
      <w:r>
        <w:rPr>
          <w:spacing w:val="-2"/>
        </w:rPr>
        <w:t>是指符合</w:t>
      </w:r>
      <w:r>
        <w:rPr>
          <w:b/>
          <w:spacing w:val="-2"/>
        </w:rPr>
        <w:t>“恶性肿瘤——重度”</w:t>
      </w:r>
      <w:r>
        <w:rPr>
          <w:spacing w:val="-2"/>
        </w:rPr>
        <w:t>定义标准，病灶经组织病理学检查（涵盖骨髓病理</w:t>
      </w:r>
      <w:r>
        <w:rPr>
          <w:spacing w:val="-2"/>
        </w:rPr>
        <w:t>学检查）明确诊断，临床诊断属于世界卫生组织《疾病和有关健康问题的国际统计</w:t>
      </w:r>
      <w:r>
        <w:rPr/>
        <w:t>分类》（</w:t>
      </w:r>
      <w:r>
        <w:rPr>
          <w:rFonts w:ascii="Times New Roman" w:hAnsi="Times New Roman" w:eastAsia="Times New Roman"/>
        </w:rPr>
        <w:t>ICD-10</w:t>
      </w:r>
      <w:r>
        <w:rPr/>
        <w:t>）</w:t>
      </w:r>
      <w:r>
        <w:rPr>
          <w:spacing w:val="10"/>
        </w:rPr>
        <w:t>的恶性肿瘤</w:t>
      </w:r>
      <w:r>
        <w:rPr>
          <w:rFonts w:ascii="Times New Roman" w:hAnsi="Times New Roman" w:eastAsia="Times New Roman"/>
        </w:rPr>
        <w:t>C19</w:t>
      </w:r>
      <w:r>
        <w:rPr/>
        <w:t>、</w:t>
      </w:r>
      <w:r>
        <w:rPr>
          <w:rFonts w:ascii="Times New Roman" w:hAnsi="Times New Roman" w:eastAsia="Times New Roman"/>
        </w:rPr>
        <w:t>C20 </w:t>
      </w:r>
      <w:r>
        <w:rPr/>
        <w:t>范畴。</w:t>
      </w:r>
    </w:p>
    <w:p>
      <w:pPr>
        <w:spacing w:before="155"/>
        <w:ind w:left="1610" w:right="0" w:firstLine="0"/>
        <w:jc w:val="left"/>
        <w:rPr>
          <w:b/>
          <w:sz w:val="21"/>
        </w:rPr>
      </w:pPr>
      <w:r>
        <w:rPr>
          <w:b/>
          <w:spacing w:val="-3"/>
          <w:sz w:val="21"/>
        </w:rPr>
        <w:t>但下列疾病不在保障范围内：</w:t>
      </w:r>
    </w:p>
    <w:p>
      <w:pPr>
        <w:spacing w:after="0"/>
        <w:jc w:val="left"/>
        <w:rPr>
          <w:sz w:val="21"/>
        </w:rPr>
        <w:sectPr>
          <w:pgSz w:w="11910" w:h="16840"/>
          <w:pgMar w:top="1380" w:bottom="280" w:left="1280" w:right="420"/>
        </w:sectPr>
      </w:pPr>
    </w:p>
    <w:p>
      <w:pPr>
        <w:pStyle w:val="ListParagraph"/>
        <w:numPr>
          <w:ilvl w:val="3"/>
          <w:numId w:val="19"/>
        </w:numPr>
        <w:tabs>
          <w:tab w:pos="1981" w:val="left" w:leader="none"/>
          <w:tab w:pos="1982" w:val="left" w:leader="none"/>
        </w:tabs>
        <w:spacing w:line="240" w:lineRule="auto" w:before="64" w:after="0"/>
        <w:ind w:left="1982" w:right="0" w:hanging="372"/>
        <w:jc w:val="left"/>
        <w:rPr>
          <w:rFonts w:ascii="Times New Roman" w:eastAsia="Times New Roman"/>
          <w:b/>
          <w:sz w:val="21"/>
        </w:rPr>
      </w:pPr>
      <w:r>
        <w:rPr>
          <w:b/>
          <w:spacing w:val="-2"/>
          <w:sz w:val="21"/>
        </w:rPr>
        <w:t>继发性（转移性）</w:t>
      </w:r>
      <w:r>
        <w:rPr>
          <w:b/>
          <w:spacing w:val="-4"/>
          <w:sz w:val="21"/>
        </w:rPr>
        <w:t>恶性肿瘤；</w:t>
      </w:r>
    </w:p>
    <w:p>
      <w:pPr>
        <w:pStyle w:val="BodyText"/>
        <w:rPr>
          <w:b/>
          <w:sz w:val="15"/>
        </w:rPr>
      </w:pPr>
    </w:p>
    <w:p>
      <w:pPr>
        <w:pStyle w:val="ListParagraph"/>
        <w:numPr>
          <w:ilvl w:val="3"/>
          <w:numId w:val="19"/>
        </w:numPr>
        <w:tabs>
          <w:tab w:pos="1981" w:val="left" w:leader="none"/>
          <w:tab w:pos="1982" w:val="left" w:leader="none"/>
        </w:tabs>
        <w:spacing w:line="240" w:lineRule="auto" w:before="0" w:after="0"/>
        <w:ind w:left="1982" w:right="0" w:hanging="372"/>
        <w:jc w:val="left"/>
        <w:rPr>
          <w:rFonts w:ascii="Times New Roman" w:eastAsia="Times New Roman"/>
          <w:b/>
          <w:sz w:val="21"/>
        </w:rPr>
      </w:pPr>
      <w:r>
        <w:rPr>
          <w:b/>
          <w:spacing w:val="-3"/>
          <w:sz w:val="21"/>
        </w:rPr>
        <w:t>感染艾滋病病毒或患艾滋病期间所患恶性肿瘤。</w:t>
      </w:r>
    </w:p>
    <w:p>
      <w:pPr>
        <w:pStyle w:val="BodyText"/>
        <w:rPr>
          <w:b/>
          <w:sz w:val="15"/>
        </w:rPr>
      </w:pPr>
    </w:p>
    <w:p>
      <w:pPr>
        <w:pStyle w:val="ListParagraph"/>
        <w:numPr>
          <w:ilvl w:val="2"/>
          <w:numId w:val="19"/>
        </w:numPr>
        <w:tabs>
          <w:tab w:pos="1819" w:val="left" w:leader="none"/>
        </w:tabs>
        <w:spacing w:line="240" w:lineRule="auto" w:before="0" w:after="0"/>
        <w:ind w:left="1818" w:right="0" w:hanging="802"/>
        <w:jc w:val="left"/>
        <w:rPr>
          <w:b/>
          <w:sz w:val="21"/>
        </w:rPr>
      </w:pPr>
      <w:r>
        <w:rPr>
          <w:b/>
          <w:spacing w:val="-2"/>
          <w:sz w:val="21"/>
        </w:rPr>
        <w:t>阴茎恶性肿瘤</w:t>
      </w:r>
    </w:p>
    <w:p>
      <w:pPr>
        <w:pStyle w:val="BodyText"/>
        <w:spacing w:line="278" w:lineRule="auto" w:before="163"/>
        <w:ind w:left="1610" w:right="1018"/>
        <w:jc w:val="both"/>
      </w:pPr>
      <w:r>
        <w:rPr>
          <w:spacing w:val="-2"/>
        </w:rPr>
        <w:t>是指符合</w:t>
      </w:r>
      <w:r>
        <w:rPr>
          <w:b/>
          <w:spacing w:val="-2"/>
        </w:rPr>
        <w:t>“恶性肿瘤——重度”</w:t>
      </w:r>
      <w:r>
        <w:rPr>
          <w:spacing w:val="-2"/>
        </w:rPr>
        <w:t>定义标准，病灶经组织病理学检查（涵盖骨髓病理</w:t>
      </w:r>
      <w:r>
        <w:rPr>
          <w:spacing w:val="-2"/>
        </w:rPr>
        <w:t>学检查）明确诊断，临床诊断属于世界卫生组织《疾病和有关健康问题的国际统计</w:t>
      </w:r>
      <w:r>
        <w:rPr/>
        <w:t>分类》（</w:t>
      </w:r>
      <w:r>
        <w:rPr>
          <w:rFonts w:ascii="Times New Roman" w:hAnsi="Times New Roman" w:eastAsia="Times New Roman"/>
        </w:rPr>
        <w:t>ICD-10</w:t>
      </w:r>
      <w:r>
        <w:rPr/>
        <w:t>）</w:t>
      </w:r>
      <w:r>
        <w:rPr>
          <w:spacing w:val="10"/>
        </w:rPr>
        <w:t>的恶性肿瘤</w:t>
      </w:r>
      <w:r>
        <w:rPr>
          <w:rFonts w:ascii="Times New Roman" w:hAnsi="Times New Roman" w:eastAsia="Times New Roman"/>
        </w:rPr>
        <w:t>C60 </w:t>
      </w:r>
      <w:r>
        <w:rPr/>
        <w:t>范畴。</w:t>
      </w:r>
    </w:p>
    <w:p>
      <w:pPr>
        <w:spacing w:before="156"/>
        <w:ind w:left="1610" w:right="0" w:firstLine="0"/>
        <w:jc w:val="left"/>
        <w:rPr>
          <w:b/>
          <w:sz w:val="21"/>
        </w:rPr>
      </w:pPr>
      <w:r>
        <w:rPr>
          <w:b/>
          <w:spacing w:val="-3"/>
          <w:sz w:val="21"/>
        </w:rPr>
        <w:t>但下列疾病不在保障范围内：</w:t>
      </w:r>
    </w:p>
    <w:p>
      <w:pPr>
        <w:pStyle w:val="BodyText"/>
        <w:spacing w:before="6"/>
        <w:rPr>
          <w:b/>
          <w:sz w:val="15"/>
        </w:rPr>
      </w:pPr>
    </w:p>
    <w:p>
      <w:pPr>
        <w:pStyle w:val="ListParagraph"/>
        <w:numPr>
          <w:ilvl w:val="3"/>
          <w:numId w:val="19"/>
        </w:numPr>
        <w:tabs>
          <w:tab w:pos="1981" w:val="left" w:leader="none"/>
          <w:tab w:pos="1982" w:val="left" w:leader="none"/>
        </w:tabs>
        <w:spacing w:line="240" w:lineRule="auto" w:before="0" w:after="0"/>
        <w:ind w:left="1982" w:right="0" w:hanging="372"/>
        <w:jc w:val="left"/>
        <w:rPr>
          <w:rFonts w:ascii="Times New Roman" w:eastAsia="Times New Roman"/>
          <w:b/>
          <w:sz w:val="21"/>
        </w:rPr>
      </w:pPr>
      <w:r>
        <w:rPr>
          <w:b/>
          <w:spacing w:val="-2"/>
          <w:sz w:val="21"/>
        </w:rPr>
        <w:t>继发性（转移性）</w:t>
      </w:r>
      <w:r>
        <w:rPr>
          <w:b/>
          <w:spacing w:val="-4"/>
          <w:sz w:val="21"/>
        </w:rPr>
        <w:t>恶性肿瘤；</w:t>
      </w:r>
    </w:p>
    <w:p>
      <w:pPr>
        <w:pStyle w:val="BodyText"/>
        <w:rPr>
          <w:b/>
          <w:sz w:val="15"/>
        </w:rPr>
      </w:pPr>
    </w:p>
    <w:p>
      <w:pPr>
        <w:pStyle w:val="ListParagraph"/>
        <w:numPr>
          <w:ilvl w:val="3"/>
          <w:numId w:val="19"/>
        </w:numPr>
        <w:tabs>
          <w:tab w:pos="1981" w:val="left" w:leader="none"/>
          <w:tab w:pos="1982" w:val="left" w:leader="none"/>
        </w:tabs>
        <w:spacing w:line="240" w:lineRule="auto" w:before="0" w:after="0"/>
        <w:ind w:left="1982" w:right="0" w:hanging="372"/>
        <w:jc w:val="left"/>
        <w:rPr>
          <w:rFonts w:ascii="Times New Roman" w:eastAsia="Times New Roman"/>
          <w:b/>
          <w:sz w:val="21"/>
        </w:rPr>
      </w:pPr>
      <w:r>
        <w:rPr>
          <w:b/>
          <w:spacing w:val="-3"/>
          <w:sz w:val="21"/>
        </w:rPr>
        <w:t>感染艾滋病病毒或患艾滋病期间所患恶性肿瘤。</w:t>
      </w:r>
    </w:p>
    <w:p>
      <w:pPr>
        <w:pStyle w:val="BodyText"/>
        <w:rPr>
          <w:b/>
          <w:sz w:val="15"/>
        </w:rPr>
      </w:pPr>
    </w:p>
    <w:p>
      <w:pPr>
        <w:pStyle w:val="ListParagraph"/>
        <w:numPr>
          <w:ilvl w:val="2"/>
          <w:numId w:val="19"/>
        </w:numPr>
        <w:tabs>
          <w:tab w:pos="1819" w:val="left" w:leader="none"/>
        </w:tabs>
        <w:spacing w:line="240" w:lineRule="auto" w:before="0" w:after="0"/>
        <w:ind w:left="1818" w:right="0" w:hanging="802"/>
        <w:jc w:val="left"/>
        <w:rPr>
          <w:b/>
          <w:sz w:val="21"/>
        </w:rPr>
      </w:pPr>
      <w:r>
        <w:rPr>
          <w:b/>
          <w:spacing w:val="-2"/>
          <w:sz w:val="21"/>
        </w:rPr>
        <w:t>睾丸恶性肿瘤</w:t>
      </w:r>
    </w:p>
    <w:p>
      <w:pPr>
        <w:pStyle w:val="BodyText"/>
        <w:spacing w:line="278" w:lineRule="auto" w:before="163"/>
        <w:ind w:left="1610" w:right="1018"/>
        <w:jc w:val="both"/>
      </w:pPr>
      <w:r>
        <w:rPr>
          <w:spacing w:val="-2"/>
        </w:rPr>
        <w:t>是指符合</w:t>
      </w:r>
      <w:r>
        <w:rPr>
          <w:b/>
          <w:spacing w:val="-2"/>
        </w:rPr>
        <w:t>“恶性肿瘤——重度”</w:t>
      </w:r>
      <w:r>
        <w:rPr>
          <w:spacing w:val="-2"/>
        </w:rPr>
        <w:t>定义标准，病灶经组织病理学检查（涵盖骨髓病理</w:t>
      </w:r>
      <w:r>
        <w:rPr>
          <w:spacing w:val="-2"/>
        </w:rPr>
        <w:t>学检查）明确诊断，临床诊断属于世界卫生组织《疾病和有关健康问题的国际统计</w:t>
      </w:r>
      <w:r>
        <w:rPr/>
        <w:t>分类》（</w:t>
      </w:r>
      <w:r>
        <w:rPr>
          <w:rFonts w:ascii="Times New Roman" w:hAnsi="Times New Roman" w:eastAsia="Times New Roman"/>
        </w:rPr>
        <w:t>ICD-10</w:t>
      </w:r>
      <w:r>
        <w:rPr/>
        <w:t>）</w:t>
      </w:r>
      <w:r>
        <w:rPr>
          <w:spacing w:val="10"/>
        </w:rPr>
        <w:t>的恶性肿瘤</w:t>
      </w:r>
      <w:r>
        <w:rPr>
          <w:rFonts w:ascii="Times New Roman" w:hAnsi="Times New Roman" w:eastAsia="Times New Roman"/>
        </w:rPr>
        <w:t>C62 </w:t>
      </w:r>
      <w:r>
        <w:rPr/>
        <w:t>范畴。</w:t>
      </w:r>
    </w:p>
    <w:p>
      <w:pPr>
        <w:spacing w:before="156"/>
        <w:ind w:left="1610" w:right="0" w:firstLine="0"/>
        <w:jc w:val="left"/>
        <w:rPr>
          <w:b/>
          <w:sz w:val="21"/>
        </w:rPr>
      </w:pPr>
      <w:r>
        <w:rPr>
          <w:b/>
          <w:spacing w:val="-3"/>
          <w:sz w:val="21"/>
        </w:rPr>
        <w:t>但下列疾病不在保障范围内：</w:t>
      </w:r>
    </w:p>
    <w:p>
      <w:pPr>
        <w:pStyle w:val="BodyText"/>
        <w:rPr>
          <w:b/>
          <w:sz w:val="15"/>
        </w:rPr>
      </w:pPr>
    </w:p>
    <w:p>
      <w:pPr>
        <w:pStyle w:val="ListParagraph"/>
        <w:numPr>
          <w:ilvl w:val="3"/>
          <w:numId w:val="19"/>
        </w:numPr>
        <w:tabs>
          <w:tab w:pos="1981" w:val="left" w:leader="none"/>
          <w:tab w:pos="1982" w:val="left" w:leader="none"/>
        </w:tabs>
        <w:spacing w:line="240" w:lineRule="auto" w:before="0" w:after="0"/>
        <w:ind w:left="1982" w:right="0" w:hanging="372"/>
        <w:jc w:val="left"/>
        <w:rPr>
          <w:rFonts w:ascii="Times New Roman" w:eastAsia="Times New Roman"/>
          <w:b/>
          <w:sz w:val="21"/>
        </w:rPr>
      </w:pPr>
      <w:r>
        <w:rPr>
          <w:b/>
          <w:spacing w:val="-2"/>
          <w:sz w:val="21"/>
        </w:rPr>
        <w:t>继发性（转移性）</w:t>
      </w:r>
      <w:r>
        <w:rPr>
          <w:b/>
          <w:spacing w:val="-4"/>
          <w:sz w:val="21"/>
        </w:rPr>
        <w:t>恶性肿瘤；</w:t>
      </w:r>
    </w:p>
    <w:p>
      <w:pPr>
        <w:pStyle w:val="BodyText"/>
        <w:spacing w:before="6"/>
        <w:rPr>
          <w:b/>
          <w:sz w:val="15"/>
        </w:rPr>
      </w:pPr>
    </w:p>
    <w:p>
      <w:pPr>
        <w:pStyle w:val="ListParagraph"/>
        <w:numPr>
          <w:ilvl w:val="3"/>
          <w:numId w:val="19"/>
        </w:numPr>
        <w:tabs>
          <w:tab w:pos="1981" w:val="left" w:leader="none"/>
          <w:tab w:pos="1982" w:val="left" w:leader="none"/>
        </w:tabs>
        <w:spacing w:line="240" w:lineRule="auto" w:before="1" w:after="0"/>
        <w:ind w:left="1982" w:right="0" w:hanging="372"/>
        <w:jc w:val="left"/>
        <w:rPr>
          <w:rFonts w:ascii="Times New Roman" w:eastAsia="Times New Roman"/>
          <w:b/>
          <w:sz w:val="21"/>
        </w:rPr>
      </w:pPr>
      <w:r>
        <w:rPr>
          <w:b/>
          <w:spacing w:val="-3"/>
          <w:sz w:val="21"/>
        </w:rPr>
        <w:t>感染艾滋病病毒或患艾滋病期间所患恶性肿瘤。</w:t>
      </w:r>
    </w:p>
    <w:p>
      <w:pPr>
        <w:pStyle w:val="BodyText"/>
        <w:spacing w:before="6"/>
        <w:rPr>
          <w:b/>
          <w:sz w:val="15"/>
        </w:rPr>
      </w:pPr>
    </w:p>
    <w:p>
      <w:pPr>
        <w:pStyle w:val="ListParagraph"/>
        <w:numPr>
          <w:ilvl w:val="1"/>
          <w:numId w:val="3"/>
        </w:numPr>
        <w:tabs>
          <w:tab w:pos="715" w:val="left" w:leader="none"/>
        </w:tabs>
        <w:spacing w:line="240" w:lineRule="auto" w:before="0" w:after="0"/>
        <w:ind w:left="714" w:right="0" w:hanging="577"/>
        <w:jc w:val="left"/>
        <w:rPr>
          <w:b/>
          <w:sz w:val="21"/>
        </w:rPr>
      </w:pPr>
      <w:bookmarkStart w:name="_bookmark61" w:id="108"/>
      <w:bookmarkEnd w:id="108"/>
      <w:r>
        <w:rPr/>
      </w:r>
      <w:bookmarkStart w:name="_bookmark61" w:id="109"/>
      <w:bookmarkEnd w:id="109"/>
      <w:r>
        <w:rPr>
          <w:b/>
          <w:spacing w:val="-2"/>
          <w:sz w:val="21"/>
        </w:rPr>
        <w:t>女性特定疾病</w:t>
      </w:r>
    </w:p>
    <w:p>
      <w:pPr>
        <w:pStyle w:val="BodyText"/>
        <w:rPr>
          <w:b/>
          <w:sz w:val="15"/>
        </w:rPr>
      </w:pPr>
    </w:p>
    <w:p>
      <w:pPr>
        <w:pStyle w:val="BodyText"/>
        <w:spacing w:line="278" w:lineRule="auto" w:before="0"/>
        <w:ind w:left="1610" w:right="886"/>
        <w:jc w:val="both"/>
      </w:pPr>
      <w:r>
        <w:rPr>
          <w:spacing w:val="-3"/>
          <w:w w:val="100"/>
        </w:rPr>
        <w:t>女性特定疾病指下列所定义的十项疾病或手术。其中前两项轻症疾病采用中国保险</w:t>
      </w:r>
      <w:r>
        <w:rPr>
          <w:spacing w:val="-9"/>
          <w:w w:val="100"/>
        </w:rPr>
        <w:t>行业协会颁布的《重大疾病保险的疾病定义使用规范</w:t>
      </w:r>
      <w:r>
        <w:rPr>
          <w:w w:val="100"/>
        </w:rPr>
        <w:t>（</w:t>
      </w:r>
      <w:r>
        <w:rPr>
          <w:rFonts w:ascii="Times New Roman" w:eastAsia="Times New Roman"/>
          <w:spacing w:val="-3"/>
          <w:w w:val="100"/>
        </w:rPr>
        <w:t>2</w:t>
      </w:r>
      <w:r>
        <w:rPr>
          <w:rFonts w:ascii="Times New Roman" w:eastAsia="Times New Roman"/>
          <w:w w:val="100"/>
        </w:rPr>
        <w:t>020</w:t>
      </w:r>
      <w:r>
        <w:rPr>
          <w:rFonts w:ascii="Times New Roman" w:eastAsia="Times New Roman"/>
          <w:spacing w:val="-3"/>
        </w:rPr>
        <w:t> </w:t>
      </w:r>
      <w:r>
        <w:rPr>
          <w:spacing w:val="-3"/>
          <w:w w:val="100"/>
        </w:rPr>
        <w:t>年修订版</w:t>
      </w:r>
      <w:r>
        <w:rPr>
          <w:spacing w:val="-32"/>
          <w:w w:val="100"/>
        </w:rPr>
        <w:t>）</w:t>
      </w:r>
      <w:r>
        <w:rPr>
          <w:spacing w:val="-7"/>
          <w:w w:val="100"/>
        </w:rPr>
        <w:t>》中的定义。</w:t>
      </w:r>
    </w:p>
    <w:p>
      <w:pPr>
        <w:spacing w:before="156"/>
        <w:ind w:left="1610" w:right="0" w:firstLine="0"/>
        <w:jc w:val="left"/>
        <w:rPr>
          <w:b/>
          <w:sz w:val="21"/>
        </w:rPr>
      </w:pPr>
      <w:r>
        <w:rPr>
          <w:b/>
          <w:spacing w:val="-3"/>
          <w:sz w:val="21"/>
        </w:rPr>
        <w:t>以下疾病名称仅供理解使用，具体保障范围以每项疾病具体定义为准。</w:t>
      </w:r>
    </w:p>
    <w:p>
      <w:pPr>
        <w:pStyle w:val="BodyText"/>
        <w:rPr>
          <w:b/>
          <w:sz w:val="15"/>
        </w:rPr>
      </w:pPr>
    </w:p>
    <w:p>
      <w:pPr>
        <w:pStyle w:val="ListParagraph"/>
        <w:numPr>
          <w:ilvl w:val="2"/>
          <w:numId w:val="22"/>
        </w:numPr>
        <w:tabs>
          <w:tab w:pos="1819" w:val="left" w:leader="none"/>
        </w:tabs>
        <w:spacing w:line="240" w:lineRule="auto" w:before="0" w:after="0"/>
        <w:ind w:left="1818" w:right="0" w:hanging="802"/>
        <w:jc w:val="left"/>
        <w:rPr>
          <w:b/>
          <w:sz w:val="21"/>
        </w:rPr>
      </w:pPr>
      <w:r>
        <w:rPr>
          <w:b/>
          <w:spacing w:val="-2"/>
          <w:sz w:val="21"/>
        </w:rPr>
        <w:t>严重慢性肾衰竭</w:t>
      </w:r>
    </w:p>
    <w:p>
      <w:pPr>
        <w:pStyle w:val="BodyText"/>
        <w:spacing w:line="278" w:lineRule="auto" w:before="163"/>
        <w:ind w:left="1610" w:right="924"/>
        <w:jc w:val="both"/>
      </w:pPr>
      <w:r>
        <w:rPr>
          <w:spacing w:val="-2"/>
        </w:rPr>
        <w:t>指双肾功能慢性不可逆性衰竭，依据肾脏病预后质量倡议（</w:t>
      </w:r>
      <w:r>
        <w:rPr>
          <w:rFonts w:ascii="Times New Roman" w:eastAsia="Times New Roman"/>
          <w:spacing w:val="-2"/>
        </w:rPr>
        <w:t>K/DOQI</w:t>
      </w:r>
      <w:r>
        <w:rPr>
          <w:spacing w:val="-2"/>
        </w:rPr>
        <w:t>）制定的指南，</w:t>
      </w:r>
      <w:r>
        <w:rPr>
          <w:spacing w:val="-5"/>
        </w:rPr>
        <w:t>分期达到慢性肾脏病 </w:t>
      </w:r>
      <w:r>
        <w:rPr>
          <w:rFonts w:ascii="Times New Roman" w:eastAsia="Times New Roman"/>
          <w:spacing w:val="-2"/>
        </w:rPr>
        <w:t>5</w:t>
      </w:r>
      <w:r>
        <w:rPr>
          <w:rFonts w:ascii="Times New Roman" w:eastAsia="Times New Roman"/>
          <w:spacing w:val="-11"/>
        </w:rPr>
        <w:t> </w:t>
      </w:r>
      <w:r>
        <w:rPr>
          <w:spacing w:val="-4"/>
        </w:rPr>
        <w:t>期，且经诊断后已经进行了至少 </w:t>
      </w:r>
      <w:r>
        <w:rPr>
          <w:rFonts w:ascii="Times New Roman" w:eastAsia="Times New Roman"/>
          <w:spacing w:val="-2"/>
        </w:rPr>
        <w:t>90</w:t>
      </w:r>
      <w:r>
        <w:rPr>
          <w:rFonts w:ascii="Times New Roman" w:eastAsia="Times New Roman"/>
          <w:spacing w:val="-1"/>
        </w:rPr>
        <w:t> </w:t>
      </w:r>
      <w:r>
        <w:rPr>
          <w:spacing w:val="-2"/>
        </w:rPr>
        <w:t>天的规律性透析治疗。规</w:t>
      </w:r>
      <w:r>
        <w:rPr>
          <w:spacing w:val="-2"/>
        </w:rPr>
        <w:t>律性透析是指每周进行血液透析或每天进行腹膜透析。</w:t>
      </w:r>
    </w:p>
    <w:p>
      <w:pPr>
        <w:pStyle w:val="ListParagraph"/>
        <w:numPr>
          <w:ilvl w:val="2"/>
          <w:numId w:val="22"/>
        </w:numPr>
        <w:tabs>
          <w:tab w:pos="1819" w:val="left" w:leader="none"/>
        </w:tabs>
        <w:spacing w:line="240" w:lineRule="auto" w:before="156" w:after="0"/>
        <w:ind w:left="1818" w:right="0" w:hanging="802"/>
        <w:jc w:val="both"/>
        <w:rPr>
          <w:b/>
          <w:sz w:val="21"/>
        </w:rPr>
      </w:pPr>
      <w:r>
        <w:rPr>
          <w:b/>
          <w:spacing w:val="-2"/>
          <w:sz w:val="21"/>
        </w:rPr>
        <w:t>严重非恶性颅内肿瘤</w:t>
      </w:r>
    </w:p>
    <w:p>
      <w:pPr>
        <w:pStyle w:val="BodyText"/>
        <w:spacing w:line="278" w:lineRule="auto" w:before="163"/>
        <w:ind w:left="1610" w:right="924"/>
      </w:pPr>
      <w:r>
        <w:rPr>
          <w:spacing w:val="-2"/>
        </w:rPr>
        <w:t>指起源于脑、脑神经、脑被膜的非恶性肿瘤，</w:t>
      </w:r>
      <w:r>
        <w:rPr>
          <w:rFonts w:ascii="Times New Roman" w:eastAsia="Times New Roman"/>
          <w:spacing w:val="-2"/>
        </w:rPr>
        <w:t>ICD-O-3 </w:t>
      </w:r>
      <w:r>
        <w:rPr>
          <w:spacing w:val="-6"/>
        </w:rPr>
        <w:t>肿瘤形态学编码属于 </w:t>
      </w:r>
      <w:r>
        <w:rPr>
          <w:rFonts w:ascii="Times New Roman" w:eastAsia="Times New Roman"/>
          <w:spacing w:val="-2"/>
        </w:rPr>
        <w:t>0</w:t>
      </w:r>
      <w:r>
        <w:rPr>
          <w:spacing w:val="-2"/>
        </w:rPr>
        <w:t>（良性</w:t>
      </w:r>
      <w:r>
        <w:rPr>
          <w:spacing w:val="-2"/>
        </w:rPr>
        <w:t>肿瘤）、</w:t>
      </w:r>
      <w:r>
        <w:rPr>
          <w:rFonts w:ascii="Times New Roman" w:eastAsia="Times New Roman"/>
          <w:spacing w:val="-2"/>
        </w:rPr>
        <w:t>1</w:t>
      </w:r>
      <w:r>
        <w:rPr>
          <w:spacing w:val="-2"/>
        </w:rPr>
        <w:t>（动态未定性肿瘤）范畴，并已经引起颅内压升高或神经系统功能损害，</w:t>
      </w:r>
      <w:r>
        <w:rPr>
          <w:spacing w:val="-2"/>
        </w:rPr>
        <w:t>出现视乳头水肿或视觉受损、听觉受损、面部或肢体瘫痪、癫痫等，须由头颅断层</w:t>
      </w:r>
      <w:r>
        <w:rPr>
          <w:spacing w:val="-2"/>
        </w:rPr>
        <w:t>扫描（</w:t>
      </w:r>
      <w:r>
        <w:rPr>
          <w:rFonts w:ascii="Times New Roman" w:eastAsia="Times New Roman"/>
          <w:spacing w:val="-2"/>
        </w:rPr>
        <w:t>CT</w:t>
      </w:r>
      <w:r>
        <w:rPr>
          <w:spacing w:val="-2"/>
        </w:rPr>
        <w:t>）、核磁共振检查（</w:t>
      </w:r>
      <w:r>
        <w:rPr>
          <w:rFonts w:ascii="Times New Roman" w:eastAsia="Times New Roman"/>
          <w:spacing w:val="-2"/>
        </w:rPr>
        <w:t>MRI</w:t>
      </w:r>
      <w:r>
        <w:rPr>
          <w:spacing w:val="-2"/>
        </w:rPr>
        <w:t>）或正电子发射断层扫描（</w:t>
      </w:r>
      <w:r>
        <w:rPr>
          <w:rFonts w:ascii="Times New Roman" w:eastAsia="Times New Roman"/>
          <w:spacing w:val="-2"/>
        </w:rPr>
        <w:t>PET</w:t>
      </w:r>
      <w:r>
        <w:rPr>
          <w:spacing w:val="-2"/>
        </w:rPr>
        <w:t>）等影像学检查</w:t>
      </w:r>
      <w:r>
        <w:rPr>
          <w:spacing w:val="-2"/>
        </w:rPr>
        <w:t>证实，且须满足下列至少一项条件：</w:t>
      </w:r>
    </w:p>
    <w:p>
      <w:pPr>
        <w:pStyle w:val="ListParagraph"/>
        <w:numPr>
          <w:ilvl w:val="3"/>
          <w:numId w:val="22"/>
        </w:numPr>
        <w:tabs>
          <w:tab w:pos="1969" w:val="left" w:leader="none"/>
          <w:tab w:pos="1970" w:val="left" w:leader="none"/>
        </w:tabs>
        <w:spacing w:line="240" w:lineRule="auto" w:before="156" w:after="0"/>
        <w:ind w:left="1970" w:right="0" w:hanging="360"/>
        <w:jc w:val="left"/>
        <w:rPr>
          <w:rFonts w:ascii="Times New Roman" w:eastAsia="Times New Roman"/>
          <w:sz w:val="21"/>
        </w:rPr>
      </w:pPr>
      <w:r>
        <w:rPr>
          <w:spacing w:val="-3"/>
          <w:sz w:val="21"/>
        </w:rPr>
        <w:t>已经实施了开颅进行的颅内肿瘤完全或部分切除手术；</w:t>
      </w:r>
    </w:p>
    <w:p>
      <w:pPr>
        <w:pStyle w:val="BodyText"/>
        <w:spacing w:before="6"/>
        <w:rPr>
          <w:sz w:val="15"/>
        </w:rPr>
      </w:pPr>
    </w:p>
    <w:p>
      <w:pPr>
        <w:pStyle w:val="ListParagraph"/>
        <w:numPr>
          <w:ilvl w:val="3"/>
          <w:numId w:val="22"/>
        </w:numPr>
        <w:tabs>
          <w:tab w:pos="1969" w:val="left" w:leader="none"/>
          <w:tab w:pos="1970" w:val="left" w:leader="none"/>
        </w:tabs>
        <w:spacing w:line="417" w:lineRule="auto" w:before="0" w:after="0"/>
        <w:ind w:left="1610" w:right="1942" w:firstLine="0"/>
        <w:jc w:val="left"/>
        <w:rPr>
          <w:rFonts w:ascii="Times New Roman" w:hAnsi="Times New Roman" w:eastAsia="Times New Roman"/>
          <w:sz w:val="21"/>
        </w:rPr>
      </w:pPr>
      <w:r>
        <w:rPr>
          <w:spacing w:val="-3"/>
          <w:sz w:val="21"/>
        </w:rPr>
        <w:t>已经实施了针对颅内肿瘤的放射治疗，如 </w:t>
      </w:r>
      <w:r>
        <w:rPr>
          <w:rFonts w:ascii="Times New Roman" w:hAnsi="Times New Roman" w:eastAsia="Times New Roman"/>
          <w:sz w:val="21"/>
        </w:rPr>
        <w:t>γ</w:t>
      </w:r>
      <w:r>
        <w:rPr>
          <w:rFonts w:ascii="Times New Roman" w:hAnsi="Times New Roman" w:eastAsia="Times New Roman"/>
          <w:spacing w:val="-14"/>
          <w:sz w:val="21"/>
        </w:rPr>
        <w:t> </w:t>
      </w:r>
      <w:r>
        <w:rPr>
          <w:sz w:val="21"/>
        </w:rPr>
        <w:t>刀、质子重离子治疗等。</w:t>
      </w:r>
      <w:r>
        <w:rPr>
          <w:b/>
          <w:spacing w:val="-2"/>
          <w:sz w:val="21"/>
        </w:rPr>
        <w:t>下列疾病不在保障范围内：</w:t>
      </w:r>
    </w:p>
    <w:p>
      <w:pPr>
        <w:pStyle w:val="ListParagraph"/>
        <w:numPr>
          <w:ilvl w:val="0"/>
          <w:numId w:val="23"/>
        </w:numPr>
        <w:tabs>
          <w:tab w:pos="1969" w:val="left" w:leader="none"/>
          <w:tab w:pos="1970" w:val="left" w:leader="none"/>
        </w:tabs>
        <w:spacing w:line="269" w:lineRule="exact" w:before="0" w:after="0"/>
        <w:ind w:left="1970" w:right="0" w:hanging="360"/>
        <w:jc w:val="left"/>
        <w:rPr>
          <w:b/>
          <w:sz w:val="21"/>
        </w:rPr>
      </w:pPr>
      <w:r>
        <w:rPr>
          <w:b/>
          <w:spacing w:val="-2"/>
          <w:sz w:val="21"/>
        </w:rPr>
        <w:t>脑垂体瘤；</w:t>
      </w:r>
    </w:p>
    <w:p>
      <w:pPr>
        <w:spacing w:after="0" w:line="269" w:lineRule="exact"/>
        <w:jc w:val="left"/>
        <w:rPr>
          <w:sz w:val="21"/>
        </w:rPr>
        <w:sectPr>
          <w:pgSz w:w="11910" w:h="16840"/>
          <w:pgMar w:top="1380" w:bottom="280" w:left="1280" w:right="420"/>
        </w:sectPr>
      </w:pPr>
    </w:p>
    <w:p>
      <w:pPr>
        <w:pStyle w:val="ListParagraph"/>
        <w:numPr>
          <w:ilvl w:val="0"/>
          <w:numId w:val="23"/>
        </w:numPr>
        <w:tabs>
          <w:tab w:pos="1969" w:val="left" w:leader="none"/>
          <w:tab w:pos="1970" w:val="left" w:leader="none"/>
        </w:tabs>
        <w:spacing w:line="240" w:lineRule="auto" w:before="64" w:after="0"/>
        <w:ind w:left="1970" w:right="0" w:hanging="360"/>
        <w:jc w:val="left"/>
        <w:rPr>
          <w:b/>
          <w:sz w:val="21"/>
        </w:rPr>
      </w:pPr>
      <w:r>
        <w:rPr>
          <w:b/>
          <w:spacing w:val="-3"/>
          <w:sz w:val="21"/>
        </w:rPr>
        <w:t>脑囊肿；</w:t>
      </w:r>
    </w:p>
    <w:p>
      <w:pPr>
        <w:pStyle w:val="BodyText"/>
        <w:rPr>
          <w:b/>
          <w:sz w:val="15"/>
        </w:rPr>
      </w:pPr>
    </w:p>
    <w:p>
      <w:pPr>
        <w:pStyle w:val="ListParagraph"/>
        <w:numPr>
          <w:ilvl w:val="0"/>
          <w:numId w:val="23"/>
        </w:numPr>
        <w:tabs>
          <w:tab w:pos="1969" w:val="left" w:leader="none"/>
          <w:tab w:pos="1970" w:val="left" w:leader="none"/>
        </w:tabs>
        <w:spacing w:line="278" w:lineRule="auto" w:before="0" w:after="0"/>
        <w:ind w:left="1970" w:right="1067" w:hanging="360"/>
        <w:jc w:val="left"/>
        <w:rPr>
          <w:b/>
          <w:sz w:val="21"/>
        </w:rPr>
      </w:pPr>
      <w:r>
        <w:rPr>
          <w:b/>
          <w:spacing w:val="-2"/>
          <w:sz w:val="21"/>
        </w:rPr>
        <w:t>颅内血管性疾病（如脑动脉瘤、脑动静脉畸形、海绵状血管瘤、毛细血管扩张</w:t>
      </w:r>
      <w:r>
        <w:rPr>
          <w:b/>
          <w:spacing w:val="-4"/>
          <w:sz w:val="21"/>
        </w:rPr>
        <w:t>症等）。</w:t>
      </w:r>
    </w:p>
    <w:p>
      <w:pPr>
        <w:pStyle w:val="ListParagraph"/>
        <w:numPr>
          <w:ilvl w:val="2"/>
          <w:numId w:val="22"/>
        </w:numPr>
        <w:tabs>
          <w:tab w:pos="1819" w:val="left" w:leader="none"/>
        </w:tabs>
        <w:spacing w:line="240" w:lineRule="auto" w:before="156" w:after="0"/>
        <w:ind w:left="1818" w:right="0" w:hanging="802"/>
        <w:jc w:val="left"/>
        <w:rPr>
          <w:b/>
          <w:sz w:val="21"/>
        </w:rPr>
      </w:pPr>
      <w:r>
        <w:rPr>
          <w:b/>
          <w:spacing w:val="-2"/>
          <w:sz w:val="21"/>
        </w:rPr>
        <w:t>乳房恶性肿瘤</w:t>
      </w:r>
    </w:p>
    <w:p>
      <w:pPr>
        <w:pStyle w:val="BodyText"/>
        <w:spacing w:line="278" w:lineRule="auto" w:before="163"/>
        <w:ind w:left="1610" w:right="1018"/>
        <w:jc w:val="both"/>
      </w:pPr>
      <w:r>
        <w:rPr>
          <w:spacing w:val="-2"/>
        </w:rPr>
        <w:t>是指符合</w:t>
      </w:r>
      <w:r>
        <w:rPr>
          <w:b/>
          <w:spacing w:val="-2"/>
        </w:rPr>
        <w:t>“恶性肿瘤——重度”</w:t>
      </w:r>
      <w:r>
        <w:rPr>
          <w:spacing w:val="-2"/>
        </w:rPr>
        <w:t>定义标准，病灶经组织病理学检查（涵盖骨髓病理</w:t>
      </w:r>
      <w:r>
        <w:rPr>
          <w:spacing w:val="-2"/>
        </w:rPr>
        <w:t>学检查）明确诊断，临床诊断属于世界卫生组织《疾病和有关健康问题的国际统计</w:t>
      </w:r>
      <w:r>
        <w:rPr/>
        <w:t>分类》（</w:t>
      </w:r>
      <w:r>
        <w:rPr>
          <w:rFonts w:ascii="Times New Roman" w:hAnsi="Times New Roman" w:eastAsia="Times New Roman"/>
        </w:rPr>
        <w:t>ICD-10</w:t>
      </w:r>
      <w:r>
        <w:rPr/>
        <w:t>）</w:t>
      </w:r>
      <w:r>
        <w:rPr>
          <w:spacing w:val="10"/>
        </w:rPr>
        <w:t>的恶性肿瘤</w:t>
      </w:r>
      <w:r>
        <w:rPr>
          <w:rFonts w:ascii="Times New Roman" w:hAnsi="Times New Roman" w:eastAsia="Times New Roman"/>
        </w:rPr>
        <w:t>C50 </w:t>
      </w:r>
      <w:r>
        <w:rPr/>
        <w:t>范畴。</w:t>
      </w:r>
    </w:p>
    <w:p>
      <w:pPr>
        <w:spacing w:before="156"/>
        <w:ind w:left="1610" w:right="0" w:firstLine="0"/>
        <w:jc w:val="left"/>
        <w:rPr>
          <w:b/>
          <w:sz w:val="21"/>
        </w:rPr>
      </w:pPr>
      <w:r>
        <w:rPr>
          <w:b/>
          <w:spacing w:val="-3"/>
          <w:sz w:val="21"/>
        </w:rPr>
        <w:t>但下列疾病不在保障范围内：</w:t>
      </w:r>
    </w:p>
    <w:p>
      <w:pPr>
        <w:pStyle w:val="BodyText"/>
        <w:spacing w:before="6"/>
        <w:rPr>
          <w:b/>
          <w:sz w:val="15"/>
        </w:rPr>
      </w:pPr>
    </w:p>
    <w:p>
      <w:pPr>
        <w:pStyle w:val="ListParagraph"/>
        <w:numPr>
          <w:ilvl w:val="3"/>
          <w:numId w:val="22"/>
        </w:numPr>
        <w:tabs>
          <w:tab w:pos="1981" w:val="left" w:leader="none"/>
          <w:tab w:pos="1982" w:val="left" w:leader="none"/>
        </w:tabs>
        <w:spacing w:line="240" w:lineRule="auto" w:before="0" w:after="0"/>
        <w:ind w:left="1982" w:right="0" w:hanging="372"/>
        <w:jc w:val="left"/>
        <w:rPr>
          <w:rFonts w:ascii="Times New Roman" w:eastAsia="Times New Roman"/>
          <w:b/>
          <w:sz w:val="21"/>
        </w:rPr>
      </w:pPr>
      <w:r>
        <w:rPr>
          <w:b/>
          <w:spacing w:val="-2"/>
          <w:sz w:val="21"/>
        </w:rPr>
        <w:t>继发性（转移性）</w:t>
      </w:r>
      <w:r>
        <w:rPr>
          <w:b/>
          <w:spacing w:val="-4"/>
          <w:sz w:val="21"/>
        </w:rPr>
        <w:t>恶性肿瘤；</w:t>
      </w:r>
    </w:p>
    <w:p>
      <w:pPr>
        <w:pStyle w:val="BodyText"/>
        <w:rPr>
          <w:b/>
          <w:sz w:val="15"/>
        </w:rPr>
      </w:pPr>
    </w:p>
    <w:p>
      <w:pPr>
        <w:pStyle w:val="ListParagraph"/>
        <w:numPr>
          <w:ilvl w:val="3"/>
          <w:numId w:val="22"/>
        </w:numPr>
        <w:tabs>
          <w:tab w:pos="1981" w:val="left" w:leader="none"/>
          <w:tab w:pos="1982" w:val="left" w:leader="none"/>
        </w:tabs>
        <w:spacing w:line="240" w:lineRule="auto" w:before="0" w:after="0"/>
        <w:ind w:left="1982" w:right="0" w:hanging="372"/>
        <w:jc w:val="left"/>
        <w:rPr>
          <w:rFonts w:ascii="Times New Roman" w:eastAsia="Times New Roman"/>
          <w:b/>
          <w:sz w:val="21"/>
        </w:rPr>
      </w:pPr>
      <w:r>
        <w:rPr>
          <w:b/>
          <w:spacing w:val="-3"/>
          <w:sz w:val="21"/>
        </w:rPr>
        <w:t>感染艾滋病病毒或患艾滋病期间所患恶性肿瘤。</w:t>
      </w:r>
    </w:p>
    <w:p>
      <w:pPr>
        <w:pStyle w:val="BodyText"/>
        <w:rPr>
          <w:b/>
          <w:sz w:val="15"/>
        </w:rPr>
      </w:pPr>
    </w:p>
    <w:p>
      <w:pPr>
        <w:pStyle w:val="ListParagraph"/>
        <w:numPr>
          <w:ilvl w:val="2"/>
          <w:numId w:val="22"/>
        </w:numPr>
        <w:tabs>
          <w:tab w:pos="1819" w:val="left" w:leader="none"/>
        </w:tabs>
        <w:spacing w:line="240" w:lineRule="auto" w:before="0" w:after="0"/>
        <w:ind w:left="1818" w:right="0" w:hanging="802"/>
        <w:jc w:val="left"/>
        <w:rPr>
          <w:b/>
          <w:sz w:val="21"/>
        </w:rPr>
      </w:pPr>
      <w:r>
        <w:rPr>
          <w:b/>
          <w:spacing w:val="-2"/>
          <w:sz w:val="21"/>
        </w:rPr>
        <w:t>子宫颈恶性肿瘤</w:t>
      </w:r>
    </w:p>
    <w:p>
      <w:pPr>
        <w:pStyle w:val="BodyText"/>
        <w:spacing w:line="278" w:lineRule="auto" w:before="163"/>
        <w:ind w:left="1610" w:right="1018"/>
        <w:jc w:val="both"/>
      </w:pPr>
      <w:r>
        <w:rPr>
          <w:spacing w:val="-2"/>
        </w:rPr>
        <w:t>是指符合</w:t>
      </w:r>
      <w:r>
        <w:rPr>
          <w:b/>
          <w:spacing w:val="-2"/>
        </w:rPr>
        <w:t>“恶性肿瘤——重度”</w:t>
      </w:r>
      <w:r>
        <w:rPr>
          <w:spacing w:val="-2"/>
        </w:rPr>
        <w:t>定义标准，病灶经组织病理学检查（涵盖骨髓病理</w:t>
      </w:r>
      <w:r>
        <w:rPr>
          <w:spacing w:val="-2"/>
        </w:rPr>
        <w:t>学检查）明确诊断，临床诊断属于世界卫生组织《疾病和有关健康问题的国际统计</w:t>
      </w:r>
      <w:r>
        <w:rPr/>
        <w:t>分类》（</w:t>
      </w:r>
      <w:r>
        <w:rPr>
          <w:rFonts w:ascii="Times New Roman" w:hAnsi="Times New Roman" w:eastAsia="Times New Roman"/>
        </w:rPr>
        <w:t>ICD-10</w:t>
      </w:r>
      <w:r>
        <w:rPr/>
        <w:t>）</w:t>
      </w:r>
      <w:r>
        <w:rPr>
          <w:spacing w:val="10"/>
        </w:rPr>
        <w:t>的恶性肿瘤</w:t>
      </w:r>
      <w:r>
        <w:rPr>
          <w:rFonts w:ascii="Times New Roman" w:hAnsi="Times New Roman" w:eastAsia="Times New Roman"/>
        </w:rPr>
        <w:t>C53 </w:t>
      </w:r>
      <w:r>
        <w:rPr/>
        <w:t>范畴。</w:t>
      </w:r>
    </w:p>
    <w:p>
      <w:pPr>
        <w:spacing w:before="156"/>
        <w:ind w:left="1610" w:right="0" w:firstLine="0"/>
        <w:jc w:val="left"/>
        <w:rPr>
          <w:b/>
          <w:sz w:val="21"/>
        </w:rPr>
      </w:pPr>
      <w:r>
        <w:rPr>
          <w:b/>
          <w:spacing w:val="-3"/>
          <w:sz w:val="21"/>
        </w:rPr>
        <w:t>但下列疾病不在保障范围内：</w:t>
      </w:r>
    </w:p>
    <w:p>
      <w:pPr>
        <w:pStyle w:val="BodyText"/>
        <w:rPr>
          <w:b/>
          <w:sz w:val="15"/>
        </w:rPr>
      </w:pPr>
    </w:p>
    <w:p>
      <w:pPr>
        <w:pStyle w:val="ListParagraph"/>
        <w:numPr>
          <w:ilvl w:val="3"/>
          <w:numId w:val="22"/>
        </w:numPr>
        <w:tabs>
          <w:tab w:pos="1981" w:val="left" w:leader="none"/>
          <w:tab w:pos="1982" w:val="left" w:leader="none"/>
        </w:tabs>
        <w:spacing w:line="240" w:lineRule="auto" w:before="0" w:after="0"/>
        <w:ind w:left="1982" w:right="0" w:hanging="372"/>
        <w:jc w:val="left"/>
        <w:rPr>
          <w:rFonts w:ascii="Times New Roman" w:eastAsia="Times New Roman"/>
          <w:b/>
          <w:sz w:val="21"/>
        </w:rPr>
      </w:pPr>
      <w:r>
        <w:rPr>
          <w:b/>
          <w:spacing w:val="-2"/>
          <w:sz w:val="21"/>
        </w:rPr>
        <w:t>继发性（转移性）</w:t>
      </w:r>
      <w:r>
        <w:rPr>
          <w:b/>
          <w:spacing w:val="-4"/>
          <w:sz w:val="21"/>
        </w:rPr>
        <w:t>恶性肿瘤；</w:t>
      </w:r>
    </w:p>
    <w:p>
      <w:pPr>
        <w:pStyle w:val="BodyText"/>
        <w:spacing w:before="6"/>
        <w:rPr>
          <w:b/>
          <w:sz w:val="15"/>
        </w:rPr>
      </w:pPr>
    </w:p>
    <w:p>
      <w:pPr>
        <w:pStyle w:val="ListParagraph"/>
        <w:numPr>
          <w:ilvl w:val="3"/>
          <w:numId w:val="22"/>
        </w:numPr>
        <w:tabs>
          <w:tab w:pos="1981" w:val="left" w:leader="none"/>
          <w:tab w:pos="1982" w:val="left" w:leader="none"/>
        </w:tabs>
        <w:spacing w:line="240" w:lineRule="auto" w:before="1" w:after="0"/>
        <w:ind w:left="1982" w:right="0" w:hanging="372"/>
        <w:jc w:val="left"/>
        <w:rPr>
          <w:rFonts w:ascii="Times New Roman" w:eastAsia="Times New Roman"/>
          <w:b/>
          <w:sz w:val="21"/>
        </w:rPr>
      </w:pPr>
      <w:r>
        <w:rPr>
          <w:b/>
          <w:spacing w:val="-3"/>
          <w:sz w:val="21"/>
        </w:rPr>
        <w:t>感染艾滋病病毒或患艾滋病期间所患恶性肿瘤。</w:t>
      </w:r>
    </w:p>
    <w:p>
      <w:pPr>
        <w:pStyle w:val="BodyText"/>
        <w:spacing w:before="6"/>
        <w:rPr>
          <w:b/>
          <w:sz w:val="15"/>
        </w:rPr>
      </w:pPr>
    </w:p>
    <w:p>
      <w:pPr>
        <w:pStyle w:val="ListParagraph"/>
        <w:numPr>
          <w:ilvl w:val="2"/>
          <w:numId w:val="22"/>
        </w:numPr>
        <w:tabs>
          <w:tab w:pos="1819" w:val="left" w:leader="none"/>
        </w:tabs>
        <w:spacing w:line="240" w:lineRule="auto" w:before="0" w:after="0"/>
        <w:ind w:left="1818" w:right="0" w:hanging="802"/>
        <w:jc w:val="left"/>
        <w:rPr>
          <w:b/>
          <w:sz w:val="21"/>
        </w:rPr>
      </w:pPr>
      <w:r>
        <w:rPr>
          <w:b/>
          <w:spacing w:val="-2"/>
          <w:sz w:val="21"/>
        </w:rPr>
        <w:t>子宫体恶性肿瘤</w:t>
      </w:r>
    </w:p>
    <w:p>
      <w:pPr>
        <w:pStyle w:val="BodyText"/>
        <w:spacing w:line="278" w:lineRule="auto" w:before="163"/>
        <w:ind w:left="1610" w:right="1018"/>
        <w:jc w:val="both"/>
      </w:pPr>
      <w:r>
        <w:rPr>
          <w:spacing w:val="-2"/>
        </w:rPr>
        <w:t>是指符合</w:t>
      </w:r>
      <w:r>
        <w:rPr>
          <w:b/>
          <w:spacing w:val="-2"/>
        </w:rPr>
        <w:t>“恶性肿瘤——重度”</w:t>
      </w:r>
      <w:r>
        <w:rPr>
          <w:spacing w:val="-2"/>
        </w:rPr>
        <w:t>定义标准，病灶经组织病理学检查（涵盖骨髓病理</w:t>
      </w:r>
      <w:r>
        <w:rPr>
          <w:spacing w:val="-2"/>
        </w:rPr>
        <w:t>学检查）明确诊断，临床诊断属于世界卫生组织《疾病和有关健康问题的国际统计</w:t>
      </w:r>
      <w:r>
        <w:rPr/>
        <w:t>分类》（</w:t>
      </w:r>
      <w:r>
        <w:rPr>
          <w:rFonts w:ascii="Times New Roman" w:hAnsi="Times New Roman" w:eastAsia="Times New Roman"/>
        </w:rPr>
        <w:t>ICD-10</w:t>
      </w:r>
      <w:r>
        <w:rPr/>
        <w:t>）</w:t>
      </w:r>
      <w:r>
        <w:rPr>
          <w:spacing w:val="10"/>
        </w:rPr>
        <w:t>的恶性肿瘤</w:t>
      </w:r>
      <w:r>
        <w:rPr>
          <w:rFonts w:ascii="Times New Roman" w:hAnsi="Times New Roman" w:eastAsia="Times New Roman"/>
        </w:rPr>
        <w:t>C54 </w:t>
      </w:r>
      <w:r>
        <w:rPr/>
        <w:t>范畴。</w:t>
      </w:r>
    </w:p>
    <w:p>
      <w:pPr>
        <w:spacing w:before="156"/>
        <w:ind w:left="1610" w:right="0" w:firstLine="0"/>
        <w:jc w:val="left"/>
        <w:rPr>
          <w:b/>
          <w:sz w:val="21"/>
        </w:rPr>
      </w:pPr>
      <w:r>
        <w:rPr>
          <w:b/>
          <w:spacing w:val="-3"/>
          <w:sz w:val="21"/>
        </w:rPr>
        <w:t>但下列疾病不在保障范围内：</w:t>
      </w:r>
    </w:p>
    <w:p>
      <w:pPr>
        <w:pStyle w:val="BodyText"/>
        <w:rPr>
          <w:b/>
          <w:sz w:val="15"/>
        </w:rPr>
      </w:pPr>
    </w:p>
    <w:p>
      <w:pPr>
        <w:pStyle w:val="ListParagraph"/>
        <w:numPr>
          <w:ilvl w:val="3"/>
          <w:numId w:val="22"/>
        </w:numPr>
        <w:tabs>
          <w:tab w:pos="1981" w:val="left" w:leader="none"/>
          <w:tab w:pos="1982" w:val="left" w:leader="none"/>
        </w:tabs>
        <w:spacing w:line="240" w:lineRule="auto" w:before="0" w:after="0"/>
        <w:ind w:left="1982" w:right="0" w:hanging="372"/>
        <w:jc w:val="left"/>
        <w:rPr>
          <w:rFonts w:ascii="Times New Roman" w:eastAsia="Times New Roman"/>
          <w:b/>
          <w:sz w:val="21"/>
        </w:rPr>
      </w:pPr>
      <w:r>
        <w:rPr>
          <w:b/>
          <w:spacing w:val="-2"/>
          <w:sz w:val="21"/>
        </w:rPr>
        <w:t>继发性（转移性）</w:t>
      </w:r>
      <w:r>
        <w:rPr>
          <w:b/>
          <w:spacing w:val="-4"/>
          <w:sz w:val="21"/>
        </w:rPr>
        <w:t>恶性肿瘤；</w:t>
      </w:r>
    </w:p>
    <w:p>
      <w:pPr>
        <w:pStyle w:val="BodyText"/>
        <w:rPr>
          <w:b/>
          <w:sz w:val="15"/>
        </w:rPr>
      </w:pPr>
    </w:p>
    <w:p>
      <w:pPr>
        <w:pStyle w:val="ListParagraph"/>
        <w:numPr>
          <w:ilvl w:val="3"/>
          <w:numId w:val="22"/>
        </w:numPr>
        <w:tabs>
          <w:tab w:pos="1981" w:val="left" w:leader="none"/>
          <w:tab w:pos="1982" w:val="left" w:leader="none"/>
        </w:tabs>
        <w:spacing w:line="240" w:lineRule="auto" w:before="0" w:after="0"/>
        <w:ind w:left="1982" w:right="0" w:hanging="372"/>
        <w:jc w:val="left"/>
        <w:rPr>
          <w:rFonts w:ascii="Times New Roman" w:eastAsia="Times New Roman"/>
          <w:b/>
          <w:sz w:val="21"/>
        </w:rPr>
      </w:pPr>
      <w:r>
        <w:rPr>
          <w:b/>
          <w:spacing w:val="-3"/>
          <w:sz w:val="21"/>
        </w:rPr>
        <w:t>感染艾滋病病毒或患艾滋病期间所患恶性肿瘤。</w:t>
      </w:r>
    </w:p>
    <w:p>
      <w:pPr>
        <w:pStyle w:val="BodyText"/>
        <w:spacing w:before="6"/>
        <w:rPr>
          <w:b/>
          <w:sz w:val="15"/>
        </w:rPr>
      </w:pPr>
    </w:p>
    <w:p>
      <w:pPr>
        <w:pStyle w:val="ListParagraph"/>
        <w:numPr>
          <w:ilvl w:val="2"/>
          <w:numId w:val="22"/>
        </w:numPr>
        <w:tabs>
          <w:tab w:pos="1819" w:val="left" w:leader="none"/>
        </w:tabs>
        <w:spacing w:line="240" w:lineRule="auto" w:before="1" w:after="0"/>
        <w:ind w:left="1818" w:right="0" w:hanging="802"/>
        <w:jc w:val="left"/>
        <w:rPr>
          <w:b/>
          <w:sz w:val="21"/>
        </w:rPr>
      </w:pPr>
      <w:r>
        <w:rPr>
          <w:b/>
          <w:spacing w:val="-2"/>
          <w:sz w:val="21"/>
        </w:rPr>
        <w:t>卵巢恶性肿瘤</w:t>
      </w:r>
    </w:p>
    <w:p>
      <w:pPr>
        <w:pStyle w:val="BodyText"/>
        <w:spacing w:line="278" w:lineRule="auto" w:before="163"/>
        <w:ind w:left="1610" w:right="1018"/>
        <w:jc w:val="both"/>
      </w:pPr>
      <w:r>
        <w:rPr>
          <w:spacing w:val="-2"/>
        </w:rPr>
        <w:t>是指符合</w:t>
      </w:r>
      <w:r>
        <w:rPr>
          <w:b/>
          <w:spacing w:val="-2"/>
        </w:rPr>
        <w:t>“恶性肿瘤——重度”</w:t>
      </w:r>
      <w:r>
        <w:rPr>
          <w:spacing w:val="-2"/>
        </w:rPr>
        <w:t>定义标准，病灶经组织病理学检查（涵盖骨髓病理</w:t>
      </w:r>
      <w:r>
        <w:rPr>
          <w:spacing w:val="-2"/>
        </w:rPr>
        <w:t>学检查）明确诊断，临床诊断属于世界卫生组织《疾病和有关健康问题的国际统计</w:t>
      </w:r>
      <w:r>
        <w:rPr/>
        <w:t>分类》（</w:t>
      </w:r>
      <w:r>
        <w:rPr>
          <w:rFonts w:ascii="Times New Roman" w:hAnsi="Times New Roman" w:eastAsia="Times New Roman"/>
        </w:rPr>
        <w:t>ICD-10</w:t>
      </w:r>
      <w:r>
        <w:rPr/>
        <w:t>）</w:t>
      </w:r>
      <w:r>
        <w:rPr>
          <w:spacing w:val="10"/>
        </w:rPr>
        <w:t>的恶性肿瘤</w:t>
      </w:r>
      <w:r>
        <w:rPr>
          <w:rFonts w:ascii="Times New Roman" w:hAnsi="Times New Roman" w:eastAsia="Times New Roman"/>
        </w:rPr>
        <w:t>C56 </w:t>
      </w:r>
      <w:r>
        <w:rPr/>
        <w:t>范畴。</w:t>
      </w:r>
    </w:p>
    <w:p>
      <w:pPr>
        <w:spacing w:before="156"/>
        <w:ind w:left="1610" w:right="0" w:firstLine="0"/>
        <w:jc w:val="left"/>
        <w:rPr>
          <w:b/>
          <w:sz w:val="21"/>
        </w:rPr>
      </w:pPr>
      <w:r>
        <w:rPr>
          <w:b/>
          <w:spacing w:val="-3"/>
          <w:sz w:val="21"/>
        </w:rPr>
        <w:t>但下列疾病不在保障范围内：</w:t>
      </w:r>
    </w:p>
    <w:p>
      <w:pPr>
        <w:pStyle w:val="BodyText"/>
        <w:spacing w:before="6"/>
        <w:rPr>
          <w:b/>
          <w:sz w:val="15"/>
        </w:rPr>
      </w:pPr>
    </w:p>
    <w:p>
      <w:pPr>
        <w:pStyle w:val="ListParagraph"/>
        <w:numPr>
          <w:ilvl w:val="3"/>
          <w:numId w:val="22"/>
        </w:numPr>
        <w:tabs>
          <w:tab w:pos="1981" w:val="left" w:leader="none"/>
          <w:tab w:pos="1982" w:val="left" w:leader="none"/>
        </w:tabs>
        <w:spacing w:line="240" w:lineRule="auto" w:before="1" w:after="0"/>
        <w:ind w:left="1982" w:right="0" w:hanging="372"/>
        <w:jc w:val="left"/>
        <w:rPr>
          <w:rFonts w:ascii="Times New Roman" w:eastAsia="Times New Roman"/>
          <w:b/>
          <w:sz w:val="21"/>
        </w:rPr>
      </w:pPr>
      <w:r>
        <w:rPr>
          <w:b/>
          <w:spacing w:val="-2"/>
          <w:sz w:val="21"/>
        </w:rPr>
        <w:t>继发性（转移性）</w:t>
      </w:r>
      <w:r>
        <w:rPr>
          <w:b/>
          <w:spacing w:val="-4"/>
          <w:sz w:val="21"/>
        </w:rPr>
        <w:t>恶性肿瘤；</w:t>
      </w:r>
    </w:p>
    <w:p>
      <w:pPr>
        <w:pStyle w:val="BodyText"/>
        <w:spacing w:before="6"/>
        <w:rPr>
          <w:b/>
          <w:sz w:val="15"/>
        </w:rPr>
      </w:pPr>
    </w:p>
    <w:p>
      <w:pPr>
        <w:pStyle w:val="ListParagraph"/>
        <w:numPr>
          <w:ilvl w:val="3"/>
          <w:numId w:val="22"/>
        </w:numPr>
        <w:tabs>
          <w:tab w:pos="1981" w:val="left" w:leader="none"/>
          <w:tab w:pos="1982" w:val="left" w:leader="none"/>
        </w:tabs>
        <w:spacing w:line="240" w:lineRule="auto" w:before="0" w:after="0"/>
        <w:ind w:left="1982" w:right="0" w:hanging="372"/>
        <w:jc w:val="left"/>
        <w:rPr>
          <w:rFonts w:ascii="Times New Roman" w:eastAsia="Times New Roman"/>
          <w:b/>
          <w:sz w:val="21"/>
        </w:rPr>
      </w:pPr>
      <w:r>
        <w:rPr>
          <w:b/>
          <w:spacing w:val="-3"/>
          <w:sz w:val="21"/>
        </w:rPr>
        <w:t>感染艾滋病病毒或患艾滋病期间所患恶性肿瘤。</w:t>
      </w:r>
    </w:p>
    <w:p>
      <w:pPr>
        <w:pStyle w:val="BodyText"/>
        <w:rPr>
          <w:b/>
          <w:sz w:val="15"/>
        </w:rPr>
      </w:pPr>
    </w:p>
    <w:p>
      <w:pPr>
        <w:pStyle w:val="ListParagraph"/>
        <w:numPr>
          <w:ilvl w:val="2"/>
          <w:numId w:val="22"/>
        </w:numPr>
        <w:tabs>
          <w:tab w:pos="1819" w:val="left" w:leader="none"/>
        </w:tabs>
        <w:spacing w:line="240" w:lineRule="auto" w:before="0" w:after="0"/>
        <w:ind w:left="1818" w:right="0" w:hanging="802"/>
        <w:jc w:val="left"/>
        <w:rPr>
          <w:b/>
          <w:sz w:val="21"/>
        </w:rPr>
      </w:pPr>
      <w:r>
        <w:rPr>
          <w:b/>
          <w:spacing w:val="-2"/>
          <w:sz w:val="21"/>
        </w:rPr>
        <w:t>输卵管恶性肿瘤</w:t>
      </w:r>
    </w:p>
    <w:p>
      <w:pPr>
        <w:spacing w:before="163"/>
        <w:ind w:left="1610" w:right="0" w:firstLine="0"/>
        <w:jc w:val="left"/>
        <w:rPr>
          <w:sz w:val="21"/>
        </w:rPr>
      </w:pPr>
      <w:r>
        <w:rPr>
          <w:spacing w:val="-2"/>
          <w:sz w:val="21"/>
        </w:rPr>
        <w:t>是指符合</w:t>
      </w:r>
      <w:r>
        <w:rPr>
          <w:b/>
          <w:spacing w:val="-2"/>
          <w:sz w:val="21"/>
        </w:rPr>
        <w:t>“恶性肿瘤——重度”</w:t>
      </w:r>
      <w:r>
        <w:rPr>
          <w:spacing w:val="-2"/>
          <w:sz w:val="21"/>
        </w:rPr>
        <w:t>定义标准，病灶经组织病理学检查（</w:t>
      </w:r>
      <w:r>
        <w:rPr>
          <w:spacing w:val="-4"/>
          <w:sz w:val="21"/>
        </w:rPr>
        <w:t>涵盖骨髓病理</w:t>
      </w:r>
    </w:p>
    <w:p>
      <w:pPr>
        <w:spacing w:after="0"/>
        <w:jc w:val="left"/>
        <w:rPr>
          <w:sz w:val="21"/>
        </w:rPr>
        <w:sectPr>
          <w:pgSz w:w="11910" w:h="16840"/>
          <w:pgMar w:top="1380" w:bottom="280" w:left="1280" w:right="420"/>
        </w:sectPr>
      </w:pPr>
    </w:p>
    <w:p>
      <w:pPr>
        <w:pStyle w:val="BodyText"/>
        <w:spacing w:line="278" w:lineRule="auto" w:before="44"/>
        <w:ind w:left="1610" w:right="1026"/>
        <w:jc w:val="both"/>
      </w:pPr>
      <w:r>
        <w:rPr>
          <w:spacing w:val="-2"/>
        </w:rPr>
        <w:t>学检查）明确诊断，临床诊断属于世界卫生组织《疾病和有关健康问题的国际统计</w:t>
      </w:r>
      <w:r>
        <w:rPr/>
        <w:t>分类》（</w:t>
      </w:r>
      <w:r>
        <w:rPr>
          <w:rFonts w:ascii="Times New Roman" w:eastAsia="Times New Roman"/>
        </w:rPr>
        <w:t>ICD-10</w:t>
      </w:r>
      <w:r>
        <w:rPr/>
        <w:t>）</w:t>
      </w:r>
      <w:r>
        <w:rPr>
          <w:spacing w:val="10"/>
        </w:rPr>
        <w:t>的恶性肿瘤</w:t>
      </w:r>
      <w:r>
        <w:rPr>
          <w:rFonts w:ascii="Times New Roman" w:eastAsia="Times New Roman"/>
        </w:rPr>
        <w:t>C57 </w:t>
      </w:r>
      <w:r>
        <w:rPr/>
        <w:t>范畴。</w:t>
      </w:r>
    </w:p>
    <w:p>
      <w:pPr>
        <w:spacing w:before="156"/>
        <w:ind w:left="1610" w:right="0" w:firstLine="0"/>
        <w:jc w:val="left"/>
        <w:rPr>
          <w:b/>
          <w:sz w:val="21"/>
        </w:rPr>
      </w:pPr>
      <w:r>
        <w:rPr>
          <w:b/>
          <w:spacing w:val="-3"/>
          <w:sz w:val="21"/>
        </w:rPr>
        <w:t>但下列疾病不在保障范围内：</w:t>
      </w:r>
    </w:p>
    <w:p>
      <w:pPr>
        <w:pStyle w:val="BodyText"/>
        <w:rPr>
          <w:b/>
          <w:sz w:val="15"/>
        </w:rPr>
      </w:pPr>
    </w:p>
    <w:p>
      <w:pPr>
        <w:pStyle w:val="ListParagraph"/>
        <w:numPr>
          <w:ilvl w:val="3"/>
          <w:numId w:val="22"/>
        </w:numPr>
        <w:tabs>
          <w:tab w:pos="1982" w:val="left" w:leader="none"/>
        </w:tabs>
        <w:spacing w:line="240" w:lineRule="auto" w:before="0" w:after="0"/>
        <w:ind w:left="1982" w:right="0" w:hanging="372"/>
        <w:jc w:val="both"/>
        <w:rPr>
          <w:rFonts w:ascii="Times New Roman" w:eastAsia="Times New Roman"/>
          <w:b/>
          <w:sz w:val="21"/>
        </w:rPr>
      </w:pPr>
      <w:r>
        <w:rPr>
          <w:b/>
          <w:spacing w:val="-2"/>
          <w:sz w:val="21"/>
        </w:rPr>
        <w:t>继发性（转移性）</w:t>
      </w:r>
      <w:r>
        <w:rPr>
          <w:b/>
          <w:spacing w:val="-4"/>
          <w:sz w:val="21"/>
        </w:rPr>
        <w:t>恶性肿瘤；</w:t>
      </w:r>
    </w:p>
    <w:p>
      <w:pPr>
        <w:pStyle w:val="BodyText"/>
        <w:rPr>
          <w:b/>
          <w:sz w:val="15"/>
        </w:rPr>
      </w:pPr>
    </w:p>
    <w:p>
      <w:pPr>
        <w:pStyle w:val="ListParagraph"/>
        <w:numPr>
          <w:ilvl w:val="3"/>
          <w:numId w:val="22"/>
        </w:numPr>
        <w:tabs>
          <w:tab w:pos="1982" w:val="left" w:leader="none"/>
        </w:tabs>
        <w:spacing w:line="240" w:lineRule="auto" w:before="0" w:after="0"/>
        <w:ind w:left="1982" w:right="0" w:hanging="372"/>
        <w:jc w:val="both"/>
        <w:rPr>
          <w:rFonts w:ascii="Times New Roman" w:eastAsia="Times New Roman"/>
          <w:b/>
          <w:sz w:val="21"/>
        </w:rPr>
      </w:pPr>
      <w:r>
        <w:rPr>
          <w:b/>
          <w:spacing w:val="-3"/>
          <w:sz w:val="21"/>
        </w:rPr>
        <w:t>感染艾滋病病毒或患艾滋病期间所患恶性肿瘤。</w:t>
      </w:r>
    </w:p>
    <w:p>
      <w:pPr>
        <w:pStyle w:val="BodyText"/>
        <w:spacing w:before="6"/>
        <w:rPr>
          <w:b/>
          <w:sz w:val="15"/>
        </w:rPr>
      </w:pPr>
    </w:p>
    <w:p>
      <w:pPr>
        <w:pStyle w:val="ListParagraph"/>
        <w:numPr>
          <w:ilvl w:val="2"/>
          <w:numId w:val="22"/>
        </w:numPr>
        <w:tabs>
          <w:tab w:pos="1819" w:val="left" w:leader="none"/>
        </w:tabs>
        <w:spacing w:line="240" w:lineRule="auto" w:before="1" w:after="0"/>
        <w:ind w:left="1818" w:right="0" w:hanging="802"/>
        <w:jc w:val="left"/>
        <w:rPr>
          <w:b/>
          <w:sz w:val="21"/>
        </w:rPr>
      </w:pPr>
      <w:r>
        <w:rPr>
          <w:b/>
          <w:spacing w:val="-2"/>
          <w:sz w:val="21"/>
        </w:rPr>
        <w:t>阴道恶性肿瘤</w:t>
      </w:r>
    </w:p>
    <w:p>
      <w:pPr>
        <w:pStyle w:val="BodyText"/>
        <w:spacing w:line="278" w:lineRule="auto" w:before="162"/>
        <w:ind w:left="1610" w:right="1018"/>
        <w:jc w:val="both"/>
      </w:pPr>
      <w:r>
        <w:rPr>
          <w:spacing w:val="-2"/>
        </w:rPr>
        <w:t>是指符合</w:t>
      </w:r>
      <w:r>
        <w:rPr>
          <w:b/>
          <w:spacing w:val="-2"/>
        </w:rPr>
        <w:t>“恶性肿瘤——重度”</w:t>
      </w:r>
      <w:r>
        <w:rPr>
          <w:spacing w:val="-2"/>
        </w:rPr>
        <w:t>定义标准，病灶经组织病理学检查（涵盖骨髓病理</w:t>
      </w:r>
      <w:r>
        <w:rPr>
          <w:spacing w:val="-2"/>
        </w:rPr>
        <w:t>学检查）明确诊断，临床诊断属于世界卫生组织《疾病和有关健康问题的国际统计</w:t>
      </w:r>
      <w:r>
        <w:rPr/>
        <w:t>分类》（</w:t>
      </w:r>
      <w:r>
        <w:rPr>
          <w:rFonts w:ascii="Times New Roman" w:hAnsi="Times New Roman" w:eastAsia="Times New Roman"/>
        </w:rPr>
        <w:t>ICD-10</w:t>
      </w:r>
      <w:r>
        <w:rPr/>
        <w:t>）</w:t>
      </w:r>
      <w:r>
        <w:rPr>
          <w:spacing w:val="10"/>
        </w:rPr>
        <w:t>的恶性肿瘤</w:t>
      </w:r>
      <w:r>
        <w:rPr>
          <w:rFonts w:ascii="Times New Roman" w:hAnsi="Times New Roman" w:eastAsia="Times New Roman"/>
        </w:rPr>
        <w:t>C52 </w:t>
      </w:r>
      <w:r>
        <w:rPr/>
        <w:t>范畴。</w:t>
      </w:r>
    </w:p>
    <w:p>
      <w:pPr>
        <w:spacing w:before="156"/>
        <w:ind w:left="1610" w:right="0" w:firstLine="0"/>
        <w:jc w:val="left"/>
        <w:rPr>
          <w:b/>
          <w:sz w:val="21"/>
        </w:rPr>
      </w:pPr>
      <w:r>
        <w:rPr>
          <w:b/>
          <w:spacing w:val="-3"/>
          <w:sz w:val="21"/>
        </w:rPr>
        <w:t>但下列疾病不在保障范围内：</w:t>
      </w:r>
    </w:p>
    <w:p>
      <w:pPr>
        <w:pStyle w:val="BodyText"/>
        <w:rPr>
          <w:b/>
          <w:sz w:val="15"/>
        </w:rPr>
      </w:pPr>
    </w:p>
    <w:p>
      <w:pPr>
        <w:pStyle w:val="ListParagraph"/>
        <w:numPr>
          <w:ilvl w:val="3"/>
          <w:numId w:val="22"/>
        </w:numPr>
        <w:tabs>
          <w:tab w:pos="1982" w:val="left" w:leader="none"/>
        </w:tabs>
        <w:spacing w:line="240" w:lineRule="auto" w:before="0" w:after="0"/>
        <w:ind w:left="1982" w:right="0" w:hanging="372"/>
        <w:jc w:val="both"/>
        <w:rPr>
          <w:rFonts w:ascii="Times New Roman" w:eastAsia="Times New Roman"/>
          <w:b/>
          <w:sz w:val="21"/>
        </w:rPr>
      </w:pPr>
      <w:r>
        <w:rPr>
          <w:b/>
          <w:spacing w:val="-2"/>
          <w:sz w:val="21"/>
        </w:rPr>
        <w:t>继发性（转移性）</w:t>
      </w:r>
      <w:r>
        <w:rPr>
          <w:b/>
          <w:spacing w:val="-4"/>
          <w:sz w:val="21"/>
        </w:rPr>
        <w:t>恶性肿瘤；</w:t>
      </w:r>
    </w:p>
    <w:p>
      <w:pPr>
        <w:pStyle w:val="BodyText"/>
        <w:rPr>
          <w:b/>
          <w:sz w:val="15"/>
        </w:rPr>
      </w:pPr>
    </w:p>
    <w:p>
      <w:pPr>
        <w:pStyle w:val="ListParagraph"/>
        <w:numPr>
          <w:ilvl w:val="3"/>
          <w:numId w:val="22"/>
        </w:numPr>
        <w:tabs>
          <w:tab w:pos="1982" w:val="left" w:leader="none"/>
        </w:tabs>
        <w:spacing w:line="240" w:lineRule="auto" w:before="0" w:after="0"/>
        <w:ind w:left="1982" w:right="0" w:hanging="372"/>
        <w:jc w:val="both"/>
        <w:rPr>
          <w:rFonts w:ascii="Times New Roman" w:eastAsia="Times New Roman"/>
          <w:b/>
          <w:sz w:val="21"/>
        </w:rPr>
      </w:pPr>
      <w:r>
        <w:rPr>
          <w:b/>
          <w:spacing w:val="-3"/>
          <w:sz w:val="21"/>
        </w:rPr>
        <w:t>感染艾滋病病毒或患艾滋病期间所患恶性肿瘤。</w:t>
      </w:r>
    </w:p>
    <w:p>
      <w:pPr>
        <w:pStyle w:val="BodyText"/>
        <w:rPr>
          <w:b/>
          <w:sz w:val="15"/>
        </w:rPr>
      </w:pPr>
    </w:p>
    <w:p>
      <w:pPr>
        <w:pStyle w:val="ListParagraph"/>
        <w:numPr>
          <w:ilvl w:val="2"/>
          <w:numId w:val="22"/>
        </w:numPr>
        <w:tabs>
          <w:tab w:pos="1819" w:val="left" w:leader="none"/>
        </w:tabs>
        <w:spacing w:line="240" w:lineRule="auto" w:before="0" w:after="0"/>
        <w:ind w:left="1818" w:right="0" w:hanging="802"/>
        <w:jc w:val="left"/>
        <w:rPr>
          <w:b/>
          <w:sz w:val="21"/>
        </w:rPr>
      </w:pPr>
      <w:r>
        <w:rPr>
          <w:b/>
          <w:spacing w:val="-4"/>
          <w:sz w:val="21"/>
        </w:rPr>
        <w:t>白血病</w:t>
      </w:r>
    </w:p>
    <w:p>
      <w:pPr>
        <w:pStyle w:val="BodyText"/>
        <w:spacing w:line="278" w:lineRule="auto" w:before="163"/>
        <w:ind w:left="1610" w:right="1015"/>
        <w:jc w:val="both"/>
      </w:pPr>
      <w:r>
        <w:rPr>
          <w:spacing w:val="-2"/>
        </w:rPr>
        <w:t>是指符合</w:t>
      </w:r>
      <w:r>
        <w:rPr>
          <w:b/>
          <w:spacing w:val="-2"/>
        </w:rPr>
        <w:t>“恶性肿瘤——重度”</w:t>
      </w:r>
      <w:r>
        <w:rPr>
          <w:spacing w:val="-2"/>
        </w:rPr>
        <w:t>定义标准，经病理学检查结果明确诊断，临床诊断</w:t>
      </w:r>
      <w:r>
        <w:rPr>
          <w:spacing w:val="-2"/>
        </w:rPr>
        <w:t>属于世界卫生组织《疾病和有关健康问题的国际统计分类》（</w:t>
      </w:r>
      <w:r>
        <w:rPr>
          <w:rFonts w:ascii="Times New Roman" w:hAnsi="Times New Roman" w:eastAsia="Times New Roman"/>
          <w:spacing w:val="-2"/>
        </w:rPr>
        <w:t>ICD-10</w:t>
      </w:r>
      <w:r>
        <w:rPr>
          <w:spacing w:val="-2"/>
        </w:rPr>
        <w:t>）的恶性肿瘤</w:t>
      </w:r>
      <w:r>
        <w:rPr>
          <w:spacing w:val="-2"/>
        </w:rPr>
        <w:t> </w:t>
      </w:r>
      <w:r>
        <w:rPr>
          <w:rFonts w:ascii="Times New Roman" w:hAnsi="Times New Roman" w:eastAsia="Times New Roman"/>
        </w:rPr>
        <w:t>C90.1</w:t>
      </w:r>
      <w:r>
        <w:rPr/>
        <w:t>、</w:t>
      </w:r>
      <w:r>
        <w:rPr>
          <w:rFonts w:ascii="Times New Roman" w:hAnsi="Times New Roman" w:eastAsia="Times New Roman"/>
        </w:rPr>
        <w:t>C91</w:t>
      </w:r>
      <w:r>
        <w:rPr/>
        <w:t>、</w:t>
      </w:r>
      <w:r>
        <w:rPr>
          <w:rFonts w:ascii="Times New Roman" w:hAnsi="Times New Roman" w:eastAsia="Times New Roman"/>
        </w:rPr>
        <w:t>C92</w:t>
      </w:r>
      <w:r>
        <w:rPr/>
        <w:t>、</w:t>
      </w:r>
      <w:r>
        <w:rPr>
          <w:rFonts w:ascii="Times New Roman" w:hAnsi="Times New Roman" w:eastAsia="Times New Roman"/>
        </w:rPr>
        <w:t>C93</w:t>
      </w:r>
      <w:r>
        <w:rPr/>
        <w:t>、</w:t>
      </w:r>
      <w:r>
        <w:rPr>
          <w:rFonts w:ascii="Times New Roman" w:hAnsi="Times New Roman" w:eastAsia="Times New Roman"/>
        </w:rPr>
        <w:t>C94</w:t>
      </w:r>
      <w:r>
        <w:rPr/>
        <w:t>、</w:t>
      </w:r>
      <w:r>
        <w:rPr>
          <w:rFonts w:ascii="Times New Roman" w:hAnsi="Times New Roman" w:eastAsia="Times New Roman"/>
        </w:rPr>
        <w:t>C95 </w:t>
      </w:r>
      <w:r>
        <w:rPr/>
        <w:t>范畴，并且至少已经接受了下列一项治疗：</w:t>
      </w:r>
    </w:p>
    <w:p>
      <w:pPr>
        <w:pStyle w:val="ListParagraph"/>
        <w:numPr>
          <w:ilvl w:val="3"/>
          <w:numId w:val="22"/>
        </w:numPr>
        <w:tabs>
          <w:tab w:pos="1970" w:val="left" w:leader="none"/>
        </w:tabs>
        <w:spacing w:line="240" w:lineRule="auto" w:before="156" w:after="0"/>
        <w:ind w:left="1970" w:right="0" w:hanging="360"/>
        <w:jc w:val="both"/>
        <w:rPr>
          <w:rFonts w:ascii="Times New Roman" w:eastAsia="Times New Roman"/>
          <w:sz w:val="21"/>
        </w:rPr>
      </w:pPr>
      <w:r>
        <w:rPr>
          <w:spacing w:val="-4"/>
          <w:sz w:val="21"/>
        </w:rPr>
        <w:t>化学治疗；</w:t>
      </w:r>
    </w:p>
    <w:p>
      <w:pPr>
        <w:pStyle w:val="BodyText"/>
        <w:spacing w:before="6"/>
        <w:rPr>
          <w:sz w:val="15"/>
        </w:rPr>
      </w:pPr>
    </w:p>
    <w:p>
      <w:pPr>
        <w:pStyle w:val="ListParagraph"/>
        <w:numPr>
          <w:ilvl w:val="3"/>
          <w:numId w:val="22"/>
        </w:numPr>
        <w:tabs>
          <w:tab w:pos="1970" w:val="left" w:leader="none"/>
        </w:tabs>
        <w:spacing w:line="240" w:lineRule="auto" w:before="0" w:after="0"/>
        <w:ind w:left="1970" w:right="0" w:hanging="360"/>
        <w:jc w:val="both"/>
        <w:rPr>
          <w:rFonts w:ascii="Times New Roman" w:eastAsia="Times New Roman"/>
          <w:sz w:val="21"/>
        </w:rPr>
      </w:pPr>
      <w:r>
        <w:rPr>
          <w:spacing w:val="-4"/>
          <w:sz w:val="21"/>
        </w:rPr>
        <w:t>骨髓移植。</w:t>
      </w:r>
    </w:p>
    <w:p>
      <w:pPr>
        <w:pStyle w:val="BodyText"/>
        <w:rPr>
          <w:sz w:val="15"/>
        </w:rPr>
      </w:pPr>
    </w:p>
    <w:p>
      <w:pPr>
        <w:spacing w:before="0"/>
        <w:ind w:left="1610" w:right="0" w:firstLine="0"/>
        <w:jc w:val="left"/>
        <w:rPr>
          <w:b/>
          <w:sz w:val="21"/>
        </w:rPr>
      </w:pPr>
      <w:r>
        <w:rPr>
          <w:b/>
          <w:spacing w:val="-3"/>
          <w:sz w:val="21"/>
        </w:rPr>
        <w:t>但下列疾病不在保障范围内：</w:t>
      </w:r>
    </w:p>
    <w:p>
      <w:pPr>
        <w:pStyle w:val="BodyText"/>
        <w:rPr>
          <w:b/>
          <w:sz w:val="15"/>
        </w:rPr>
      </w:pPr>
    </w:p>
    <w:p>
      <w:pPr>
        <w:pStyle w:val="ListParagraph"/>
        <w:numPr>
          <w:ilvl w:val="0"/>
          <w:numId w:val="24"/>
        </w:numPr>
        <w:tabs>
          <w:tab w:pos="1970" w:val="left" w:leader="none"/>
        </w:tabs>
        <w:spacing w:line="240" w:lineRule="auto" w:before="0" w:after="0"/>
        <w:ind w:left="1970" w:right="0" w:hanging="360"/>
        <w:jc w:val="both"/>
        <w:rPr>
          <w:b/>
          <w:sz w:val="21"/>
        </w:rPr>
      </w:pPr>
      <w:r>
        <w:rPr>
          <w:b/>
          <w:spacing w:val="-2"/>
          <w:sz w:val="21"/>
        </w:rPr>
        <w:t>继发性（转移性）</w:t>
      </w:r>
      <w:r>
        <w:rPr>
          <w:b/>
          <w:spacing w:val="-4"/>
          <w:sz w:val="21"/>
        </w:rPr>
        <w:t>恶性肿瘤；</w:t>
      </w:r>
    </w:p>
    <w:p>
      <w:pPr>
        <w:pStyle w:val="BodyText"/>
        <w:rPr>
          <w:b/>
          <w:sz w:val="15"/>
        </w:rPr>
      </w:pPr>
    </w:p>
    <w:p>
      <w:pPr>
        <w:pStyle w:val="ListParagraph"/>
        <w:numPr>
          <w:ilvl w:val="0"/>
          <w:numId w:val="24"/>
        </w:numPr>
        <w:tabs>
          <w:tab w:pos="1970" w:val="left" w:leader="none"/>
        </w:tabs>
        <w:spacing w:line="240" w:lineRule="auto" w:before="0" w:after="0"/>
        <w:ind w:left="1970" w:right="0" w:hanging="360"/>
        <w:jc w:val="both"/>
        <w:rPr>
          <w:b/>
          <w:sz w:val="21"/>
        </w:rPr>
      </w:pPr>
      <w:r>
        <w:rPr>
          <w:b/>
          <w:spacing w:val="-3"/>
          <w:sz w:val="21"/>
        </w:rPr>
        <w:t>感染艾滋病病毒或患艾滋病期间所患恶性肿瘤；</w:t>
      </w:r>
    </w:p>
    <w:p>
      <w:pPr>
        <w:pStyle w:val="BodyText"/>
        <w:rPr>
          <w:b/>
          <w:sz w:val="15"/>
        </w:rPr>
      </w:pPr>
    </w:p>
    <w:p>
      <w:pPr>
        <w:pStyle w:val="ListParagraph"/>
        <w:numPr>
          <w:ilvl w:val="0"/>
          <w:numId w:val="24"/>
        </w:numPr>
        <w:tabs>
          <w:tab w:pos="1969" w:val="left" w:leader="none"/>
          <w:tab w:pos="1970" w:val="left" w:leader="none"/>
        </w:tabs>
        <w:spacing w:line="240" w:lineRule="auto" w:before="0" w:after="0"/>
        <w:ind w:left="1970" w:right="0" w:hanging="360"/>
        <w:jc w:val="left"/>
        <w:rPr>
          <w:b/>
          <w:sz w:val="21"/>
        </w:rPr>
      </w:pPr>
      <w:r>
        <w:rPr>
          <w:b/>
          <w:spacing w:val="-14"/>
          <w:sz w:val="21"/>
        </w:rPr>
        <w:t>相当于 </w:t>
      </w:r>
      <w:r>
        <w:rPr>
          <w:rFonts w:ascii="Times New Roman" w:eastAsia="Times New Roman"/>
          <w:b/>
          <w:sz w:val="21"/>
        </w:rPr>
        <w:t>Binet</w:t>
      </w:r>
      <w:r>
        <w:rPr>
          <w:rFonts w:ascii="Times New Roman" w:eastAsia="Times New Roman"/>
          <w:b/>
          <w:spacing w:val="-10"/>
          <w:sz w:val="21"/>
        </w:rPr>
        <w:t> </w:t>
      </w:r>
      <w:r>
        <w:rPr>
          <w:b/>
          <w:spacing w:val="-11"/>
          <w:sz w:val="21"/>
        </w:rPr>
        <w:t>分期方案 </w:t>
      </w:r>
      <w:r>
        <w:rPr>
          <w:rFonts w:ascii="Times New Roman" w:eastAsia="Times New Roman"/>
          <w:b/>
          <w:sz w:val="21"/>
        </w:rPr>
        <w:t>A</w:t>
      </w:r>
      <w:r>
        <w:rPr>
          <w:rFonts w:ascii="Times New Roman" w:eastAsia="Times New Roman"/>
          <w:b/>
          <w:spacing w:val="-5"/>
          <w:sz w:val="21"/>
        </w:rPr>
        <w:t> </w:t>
      </w:r>
      <w:r>
        <w:rPr>
          <w:b/>
          <w:spacing w:val="-1"/>
          <w:sz w:val="21"/>
        </w:rPr>
        <w:t>期程度的慢性淋巴细胞白血病。</w:t>
      </w:r>
    </w:p>
    <w:p>
      <w:pPr>
        <w:pStyle w:val="BodyText"/>
        <w:spacing w:before="6"/>
        <w:rPr>
          <w:b/>
          <w:sz w:val="15"/>
        </w:rPr>
      </w:pPr>
    </w:p>
    <w:p>
      <w:pPr>
        <w:pStyle w:val="ListParagraph"/>
        <w:numPr>
          <w:ilvl w:val="2"/>
          <w:numId w:val="22"/>
        </w:numPr>
        <w:tabs>
          <w:tab w:pos="1819" w:val="left" w:leader="none"/>
        </w:tabs>
        <w:spacing w:line="240" w:lineRule="auto" w:before="0" w:after="0"/>
        <w:ind w:left="1818" w:right="0" w:hanging="802"/>
        <w:jc w:val="left"/>
        <w:rPr>
          <w:b/>
          <w:sz w:val="21"/>
        </w:rPr>
      </w:pPr>
      <w:r>
        <w:rPr>
          <w:b/>
          <w:spacing w:val="-3"/>
          <w:sz w:val="21"/>
        </w:rPr>
        <w:t>系统性红斑狼疮合并狼疮性肾炎</w:t>
      </w:r>
    </w:p>
    <w:p>
      <w:pPr>
        <w:spacing w:line="278" w:lineRule="auto" w:before="163"/>
        <w:ind w:left="1610" w:right="1003" w:firstLine="0"/>
        <w:jc w:val="both"/>
        <w:rPr>
          <w:b/>
          <w:sz w:val="21"/>
        </w:rPr>
      </w:pPr>
      <w:r>
        <w:rPr>
          <w:spacing w:val="-2"/>
          <w:sz w:val="21"/>
        </w:rPr>
        <w:t>系统性红斑狼疮是指由于自身抗体和免疫复合物的沉积破坏了血管和细胞而导致的</w:t>
      </w:r>
      <w:r>
        <w:rPr>
          <w:spacing w:val="-2"/>
          <w:sz w:val="21"/>
        </w:rPr>
        <w:t>累及多系统损害的一种自体免疫性疾病。</w:t>
      </w:r>
      <w:r>
        <w:rPr>
          <w:b/>
          <w:spacing w:val="-2"/>
          <w:sz w:val="21"/>
        </w:rPr>
        <w:t>本保障仅限于被保险人因系统性红斑狼疮</w:t>
      </w:r>
      <w:r>
        <w:rPr>
          <w:b/>
          <w:spacing w:val="-3"/>
          <w:sz w:val="21"/>
        </w:rPr>
        <w:t>并发狼疮性肾炎并引起肾功能损害，且肾脏病理诊断符合以下列明的世界卫生组织</w:t>
      </w:r>
    </w:p>
    <w:p>
      <w:pPr>
        <w:spacing w:line="278" w:lineRule="auto" w:before="0"/>
        <w:ind w:left="1610" w:right="1092" w:firstLine="0"/>
        <w:jc w:val="both"/>
        <w:rPr>
          <w:sz w:val="21"/>
        </w:rPr>
      </w:pPr>
      <w:r>
        <w:rPr>
          <w:b/>
          <w:spacing w:val="-2"/>
          <w:sz w:val="21"/>
        </w:rPr>
        <w:t>（</w:t>
      </w:r>
      <w:r>
        <w:rPr>
          <w:rFonts w:ascii="Times New Roman" w:eastAsia="Times New Roman"/>
          <w:b/>
          <w:spacing w:val="-2"/>
          <w:sz w:val="21"/>
        </w:rPr>
        <w:t>WHO</w:t>
      </w:r>
      <w:r>
        <w:rPr>
          <w:b/>
          <w:spacing w:val="-2"/>
          <w:sz w:val="21"/>
        </w:rPr>
        <w:t>，</w:t>
      </w:r>
      <w:r>
        <w:rPr>
          <w:rFonts w:ascii="Times New Roman" w:eastAsia="Times New Roman"/>
          <w:b/>
          <w:spacing w:val="-2"/>
          <w:sz w:val="21"/>
        </w:rPr>
        <w:t>World</w:t>
      </w:r>
      <w:r>
        <w:rPr>
          <w:rFonts w:ascii="Times New Roman" w:eastAsia="Times New Roman"/>
          <w:b/>
          <w:spacing w:val="17"/>
          <w:sz w:val="21"/>
        </w:rPr>
        <w:t> </w:t>
      </w:r>
      <w:r>
        <w:rPr>
          <w:rFonts w:ascii="Times New Roman" w:eastAsia="Times New Roman"/>
          <w:b/>
          <w:spacing w:val="-2"/>
          <w:sz w:val="21"/>
        </w:rPr>
        <w:t>Health</w:t>
      </w:r>
      <w:r>
        <w:rPr>
          <w:rFonts w:ascii="Times New Roman" w:eastAsia="Times New Roman"/>
          <w:b/>
          <w:spacing w:val="22"/>
          <w:sz w:val="21"/>
        </w:rPr>
        <w:t> </w:t>
      </w:r>
      <w:r>
        <w:rPr>
          <w:rFonts w:ascii="Times New Roman" w:eastAsia="Times New Roman"/>
          <w:b/>
          <w:spacing w:val="-2"/>
          <w:sz w:val="21"/>
        </w:rPr>
        <w:t>Organization</w:t>
      </w:r>
      <w:r>
        <w:rPr>
          <w:b/>
          <w:spacing w:val="-2"/>
          <w:sz w:val="21"/>
        </w:rPr>
        <w:t>）</w:t>
      </w:r>
      <w:r>
        <w:rPr>
          <w:b/>
          <w:spacing w:val="-4"/>
          <w:sz w:val="21"/>
        </w:rPr>
        <w:t>对狼疮性肾炎所分类中的第 </w:t>
      </w:r>
      <w:r>
        <w:rPr>
          <w:rFonts w:ascii="Times New Roman" w:eastAsia="Times New Roman"/>
          <w:b/>
          <w:spacing w:val="-2"/>
          <w:sz w:val="21"/>
        </w:rPr>
        <w:t>III</w:t>
      </w:r>
      <w:r>
        <w:rPr>
          <w:b/>
          <w:spacing w:val="-2"/>
          <w:sz w:val="21"/>
        </w:rPr>
        <w:t>、</w:t>
      </w:r>
      <w:r>
        <w:rPr>
          <w:rFonts w:ascii="Times New Roman" w:eastAsia="Times New Roman"/>
          <w:b/>
          <w:spacing w:val="-2"/>
          <w:sz w:val="21"/>
        </w:rPr>
        <w:t>IV</w:t>
      </w:r>
      <w:r>
        <w:rPr>
          <w:b/>
          <w:spacing w:val="-2"/>
          <w:sz w:val="21"/>
        </w:rPr>
        <w:t>、</w:t>
      </w:r>
      <w:r>
        <w:rPr>
          <w:rFonts w:ascii="Times New Roman" w:eastAsia="Times New Roman"/>
          <w:b/>
          <w:spacing w:val="-2"/>
          <w:sz w:val="21"/>
        </w:rPr>
        <w:t>V</w:t>
      </w:r>
      <w:r>
        <w:rPr>
          <w:b/>
          <w:spacing w:val="-2"/>
          <w:sz w:val="21"/>
        </w:rPr>
        <w:t>、 </w:t>
      </w:r>
      <w:r>
        <w:rPr>
          <w:rFonts w:ascii="Times New Roman" w:eastAsia="Times New Roman"/>
          <w:b/>
          <w:sz w:val="21"/>
        </w:rPr>
        <w:t>VI </w:t>
      </w:r>
      <w:r>
        <w:rPr>
          <w:b/>
          <w:sz w:val="21"/>
        </w:rPr>
        <w:t>型。</w:t>
      </w:r>
      <w:r>
        <w:rPr>
          <w:sz w:val="21"/>
        </w:rPr>
        <w:t>诊断须由有资格的风湿和免疫病专科医生确认。</w:t>
      </w:r>
    </w:p>
    <w:p>
      <w:pPr>
        <w:pStyle w:val="BodyText"/>
        <w:spacing w:before="156"/>
        <w:ind w:left="1610"/>
      </w:pPr>
      <w:r>
        <w:rPr>
          <w:spacing w:val="-2"/>
        </w:rPr>
        <w:t>世界卫生组织（</w:t>
      </w:r>
      <w:r>
        <w:rPr>
          <w:rFonts w:ascii="Times New Roman" w:eastAsia="Times New Roman"/>
          <w:spacing w:val="-2"/>
        </w:rPr>
        <w:t>WHO</w:t>
      </w:r>
      <w:r>
        <w:rPr>
          <w:spacing w:val="-2"/>
        </w:rPr>
        <w:t>）</w:t>
      </w:r>
      <w:r>
        <w:rPr>
          <w:spacing w:val="-3"/>
        </w:rPr>
        <w:t>对狼疮性肾炎的分类标准：</w:t>
      </w:r>
    </w:p>
    <w:p>
      <w:pPr>
        <w:pStyle w:val="BodyText"/>
        <w:rPr>
          <w:sz w:val="15"/>
        </w:rPr>
      </w:pPr>
    </w:p>
    <w:p>
      <w:pPr>
        <w:pStyle w:val="ListParagraph"/>
        <w:numPr>
          <w:ilvl w:val="3"/>
          <w:numId w:val="22"/>
        </w:numPr>
        <w:tabs>
          <w:tab w:pos="1981" w:val="left" w:leader="none"/>
          <w:tab w:pos="1982" w:val="left" w:leader="none"/>
        </w:tabs>
        <w:spacing w:line="240" w:lineRule="auto" w:before="0" w:after="0"/>
        <w:ind w:left="1982" w:right="0" w:hanging="372"/>
        <w:jc w:val="left"/>
        <w:rPr>
          <w:rFonts w:ascii="Times New Roman" w:hAnsi="Times New Roman" w:eastAsia="Times New Roman"/>
          <w:sz w:val="21"/>
        </w:rPr>
      </w:pPr>
      <w:r>
        <w:rPr>
          <w:rFonts w:ascii="Times New Roman" w:hAnsi="Times New Roman" w:eastAsia="Times New Roman"/>
          <w:sz w:val="21"/>
        </w:rPr>
        <w:t>I</w:t>
      </w:r>
      <w:r>
        <w:rPr>
          <w:rFonts w:ascii="Times New Roman" w:hAnsi="Times New Roman" w:eastAsia="Times New Roman"/>
          <w:spacing w:val="-9"/>
          <w:sz w:val="21"/>
        </w:rPr>
        <w:t> </w:t>
      </w:r>
      <w:r>
        <w:rPr>
          <w:sz w:val="21"/>
        </w:rPr>
        <w:t>型</w:t>
      </w:r>
      <w:r>
        <w:rPr>
          <w:rFonts w:ascii="Times New Roman" w:hAnsi="Times New Roman" w:eastAsia="Times New Roman"/>
          <w:sz w:val="21"/>
        </w:rPr>
        <w:t>–</w:t>
      </w:r>
      <w:r>
        <w:rPr>
          <w:spacing w:val="-2"/>
          <w:sz w:val="21"/>
        </w:rPr>
        <w:t>正常肾小球型；</w:t>
      </w:r>
    </w:p>
    <w:p>
      <w:pPr>
        <w:pStyle w:val="BodyText"/>
        <w:rPr>
          <w:sz w:val="15"/>
        </w:rPr>
      </w:pPr>
    </w:p>
    <w:p>
      <w:pPr>
        <w:pStyle w:val="ListParagraph"/>
        <w:numPr>
          <w:ilvl w:val="3"/>
          <w:numId w:val="22"/>
        </w:numPr>
        <w:tabs>
          <w:tab w:pos="1981" w:val="left" w:leader="none"/>
          <w:tab w:pos="1982" w:val="left" w:leader="none"/>
        </w:tabs>
        <w:spacing w:line="240" w:lineRule="auto" w:before="0" w:after="0"/>
        <w:ind w:left="1982" w:right="0" w:hanging="372"/>
        <w:jc w:val="left"/>
        <w:rPr>
          <w:rFonts w:ascii="Times New Roman" w:hAnsi="Times New Roman" w:eastAsia="Times New Roman"/>
          <w:sz w:val="21"/>
        </w:rPr>
      </w:pPr>
      <w:r>
        <w:rPr>
          <w:rFonts w:ascii="Times New Roman" w:hAnsi="Times New Roman" w:eastAsia="Times New Roman"/>
          <w:sz w:val="21"/>
        </w:rPr>
        <w:t>II</w:t>
      </w:r>
      <w:r>
        <w:rPr>
          <w:rFonts w:ascii="Times New Roman" w:hAnsi="Times New Roman" w:eastAsia="Times New Roman"/>
          <w:spacing w:val="-10"/>
          <w:sz w:val="21"/>
        </w:rPr>
        <w:t> </w:t>
      </w:r>
      <w:r>
        <w:rPr>
          <w:sz w:val="21"/>
        </w:rPr>
        <w:t>型</w:t>
      </w:r>
      <w:r>
        <w:rPr>
          <w:rFonts w:ascii="Times New Roman" w:hAnsi="Times New Roman" w:eastAsia="Times New Roman"/>
          <w:sz w:val="21"/>
        </w:rPr>
        <w:t>–</w:t>
      </w:r>
      <w:r>
        <w:rPr>
          <w:spacing w:val="-2"/>
          <w:sz w:val="21"/>
        </w:rPr>
        <w:t>系膜增生型；</w:t>
      </w:r>
    </w:p>
    <w:p>
      <w:pPr>
        <w:pStyle w:val="BodyText"/>
        <w:rPr>
          <w:sz w:val="15"/>
        </w:rPr>
      </w:pPr>
    </w:p>
    <w:p>
      <w:pPr>
        <w:pStyle w:val="ListParagraph"/>
        <w:numPr>
          <w:ilvl w:val="3"/>
          <w:numId w:val="22"/>
        </w:numPr>
        <w:tabs>
          <w:tab w:pos="1981" w:val="left" w:leader="none"/>
          <w:tab w:pos="1982" w:val="left" w:leader="none"/>
        </w:tabs>
        <w:spacing w:line="240" w:lineRule="auto" w:before="0" w:after="0"/>
        <w:ind w:left="1982" w:right="0" w:hanging="372"/>
        <w:jc w:val="left"/>
        <w:rPr>
          <w:rFonts w:ascii="Times New Roman" w:hAnsi="Times New Roman" w:eastAsia="Times New Roman"/>
          <w:sz w:val="21"/>
        </w:rPr>
      </w:pPr>
      <w:r>
        <w:rPr>
          <w:rFonts w:ascii="Times New Roman" w:hAnsi="Times New Roman" w:eastAsia="Times New Roman"/>
          <w:spacing w:val="-2"/>
          <w:sz w:val="21"/>
        </w:rPr>
        <w:t>III</w:t>
      </w:r>
      <w:r>
        <w:rPr>
          <w:rFonts w:ascii="Times New Roman" w:hAnsi="Times New Roman" w:eastAsia="Times New Roman"/>
          <w:spacing w:val="10"/>
          <w:sz w:val="21"/>
        </w:rPr>
        <w:t> </w:t>
      </w:r>
      <w:r>
        <w:rPr>
          <w:spacing w:val="-2"/>
          <w:sz w:val="21"/>
        </w:rPr>
        <w:t>型</w:t>
      </w:r>
      <w:r>
        <w:rPr>
          <w:rFonts w:ascii="Times New Roman" w:hAnsi="Times New Roman" w:eastAsia="Times New Roman"/>
          <w:spacing w:val="-2"/>
          <w:sz w:val="21"/>
        </w:rPr>
        <w:t>–</w:t>
      </w:r>
      <w:r>
        <w:rPr>
          <w:spacing w:val="-3"/>
          <w:sz w:val="21"/>
        </w:rPr>
        <w:t>局灶及节段增生型；</w:t>
      </w:r>
    </w:p>
    <w:p>
      <w:pPr>
        <w:pStyle w:val="BodyText"/>
        <w:spacing w:before="6"/>
        <w:rPr>
          <w:sz w:val="15"/>
        </w:rPr>
      </w:pPr>
    </w:p>
    <w:p>
      <w:pPr>
        <w:pStyle w:val="ListParagraph"/>
        <w:numPr>
          <w:ilvl w:val="3"/>
          <w:numId w:val="22"/>
        </w:numPr>
        <w:tabs>
          <w:tab w:pos="1981" w:val="left" w:leader="none"/>
          <w:tab w:pos="1982" w:val="left" w:leader="none"/>
        </w:tabs>
        <w:spacing w:line="240" w:lineRule="auto" w:before="0" w:after="0"/>
        <w:ind w:left="1982" w:right="0" w:hanging="372"/>
        <w:jc w:val="left"/>
        <w:rPr>
          <w:rFonts w:ascii="Times New Roman" w:hAnsi="Times New Roman" w:eastAsia="Times New Roman"/>
          <w:sz w:val="21"/>
        </w:rPr>
      </w:pPr>
      <w:r>
        <w:rPr>
          <w:rFonts w:ascii="Times New Roman" w:hAnsi="Times New Roman" w:eastAsia="Times New Roman"/>
          <w:sz w:val="21"/>
        </w:rPr>
        <w:t>IV</w:t>
      </w:r>
      <w:r>
        <w:rPr>
          <w:rFonts w:ascii="Times New Roman" w:hAnsi="Times New Roman" w:eastAsia="Times New Roman"/>
          <w:spacing w:val="-9"/>
          <w:sz w:val="21"/>
        </w:rPr>
        <w:t> </w:t>
      </w:r>
      <w:r>
        <w:rPr>
          <w:sz w:val="21"/>
        </w:rPr>
        <w:t>型</w:t>
      </w:r>
      <w:r>
        <w:rPr>
          <w:rFonts w:ascii="Times New Roman" w:hAnsi="Times New Roman" w:eastAsia="Times New Roman"/>
          <w:sz w:val="21"/>
        </w:rPr>
        <w:t>–</w:t>
      </w:r>
      <w:r>
        <w:rPr>
          <w:spacing w:val="-2"/>
          <w:sz w:val="21"/>
        </w:rPr>
        <w:t>弥漫增生型；</w:t>
      </w:r>
    </w:p>
    <w:p>
      <w:pPr>
        <w:spacing w:after="0" w:line="240" w:lineRule="auto"/>
        <w:jc w:val="left"/>
        <w:rPr>
          <w:rFonts w:ascii="Times New Roman" w:hAnsi="Times New Roman" w:eastAsia="Times New Roman"/>
          <w:sz w:val="21"/>
        </w:rPr>
        <w:sectPr>
          <w:pgSz w:w="11910" w:h="16840"/>
          <w:pgMar w:top="1400" w:bottom="280" w:left="1280" w:right="420"/>
        </w:sectPr>
      </w:pPr>
    </w:p>
    <w:p>
      <w:pPr>
        <w:pStyle w:val="ListParagraph"/>
        <w:numPr>
          <w:ilvl w:val="3"/>
          <w:numId w:val="22"/>
        </w:numPr>
        <w:tabs>
          <w:tab w:pos="1981" w:val="left" w:leader="none"/>
          <w:tab w:pos="1982" w:val="left" w:leader="none"/>
        </w:tabs>
        <w:spacing w:line="240" w:lineRule="auto" w:before="64" w:after="0"/>
        <w:ind w:left="1982" w:right="0" w:hanging="372"/>
        <w:jc w:val="left"/>
        <w:rPr>
          <w:rFonts w:ascii="Times New Roman" w:hAnsi="Times New Roman" w:eastAsia="Times New Roman"/>
          <w:sz w:val="21"/>
        </w:rPr>
      </w:pPr>
      <w:r>
        <w:rPr>
          <w:rFonts w:ascii="Times New Roman" w:hAnsi="Times New Roman" w:eastAsia="Times New Roman"/>
          <w:sz w:val="21"/>
        </w:rPr>
        <w:t>V</w:t>
      </w:r>
      <w:r>
        <w:rPr>
          <w:rFonts w:ascii="Times New Roman" w:hAnsi="Times New Roman" w:eastAsia="Times New Roman"/>
          <w:spacing w:val="-5"/>
          <w:sz w:val="21"/>
        </w:rPr>
        <w:t> </w:t>
      </w:r>
      <w:r>
        <w:rPr>
          <w:sz w:val="21"/>
        </w:rPr>
        <w:t>型</w:t>
      </w:r>
      <w:r>
        <w:rPr>
          <w:rFonts w:ascii="Times New Roman" w:hAnsi="Times New Roman" w:eastAsia="Times New Roman"/>
          <w:sz w:val="21"/>
        </w:rPr>
        <w:t>–</w:t>
      </w:r>
      <w:r>
        <w:rPr>
          <w:spacing w:val="-4"/>
          <w:sz w:val="21"/>
        </w:rPr>
        <w:t>膜型；</w:t>
      </w:r>
    </w:p>
    <w:p>
      <w:pPr>
        <w:pStyle w:val="BodyText"/>
        <w:rPr>
          <w:sz w:val="15"/>
        </w:rPr>
      </w:pPr>
    </w:p>
    <w:p>
      <w:pPr>
        <w:pStyle w:val="ListParagraph"/>
        <w:numPr>
          <w:ilvl w:val="3"/>
          <w:numId w:val="22"/>
        </w:numPr>
        <w:tabs>
          <w:tab w:pos="1981" w:val="left" w:leader="none"/>
          <w:tab w:pos="1982" w:val="left" w:leader="none"/>
        </w:tabs>
        <w:spacing w:line="240" w:lineRule="auto" w:before="0" w:after="0"/>
        <w:ind w:left="1982" w:right="0" w:hanging="372"/>
        <w:jc w:val="left"/>
        <w:rPr>
          <w:rFonts w:ascii="Times New Roman" w:hAnsi="Times New Roman" w:eastAsia="Times New Roman"/>
          <w:sz w:val="21"/>
        </w:rPr>
      </w:pPr>
      <w:r>
        <w:rPr>
          <w:rFonts w:ascii="Times New Roman" w:hAnsi="Times New Roman" w:eastAsia="Times New Roman"/>
          <w:sz w:val="21"/>
        </w:rPr>
        <w:t>VI</w:t>
      </w:r>
      <w:r>
        <w:rPr>
          <w:rFonts w:ascii="Times New Roman" w:hAnsi="Times New Roman" w:eastAsia="Times New Roman"/>
          <w:spacing w:val="-13"/>
          <w:sz w:val="21"/>
        </w:rPr>
        <w:t> </w:t>
      </w:r>
      <w:r>
        <w:rPr>
          <w:sz w:val="21"/>
        </w:rPr>
        <w:t>型</w:t>
      </w:r>
      <w:r>
        <w:rPr>
          <w:rFonts w:ascii="Times New Roman" w:hAnsi="Times New Roman" w:eastAsia="Times New Roman"/>
          <w:sz w:val="21"/>
        </w:rPr>
        <w:t>–</w:t>
      </w:r>
      <w:r>
        <w:rPr>
          <w:spacing w:val="-2"/>
          <w:sz w:val="21"/>
        </w:rPr>
        <w:t>肾小球硬化型。</w:t>
      </w:r>
    </w:p>
    <w:p>
      <w:pPr>
        <w:pStyle w:val="BodyText"/>
        <w:spacing w:before="5"/>
        <w:rPr>
          <w:sz w:val="9"/>
        </w:rPr>
      </w:pPr>
    </w:p>
    <w:p>
      <w:pPr>
        <w:pStyle w:val="ListParagraph"/>
        <w:numPr>
          <w:ilvl w:val="1"/>
          <w:numId w:val="3"/>
        </w:numPr>
        <w:tabs>
          <w:tab w:pos="715" w:val="left" w:leader="none"/>
        </w:tabs>
        <w:spacing w:line="240" w:lineRule="auto" w:before="79" w:after="0"/>
        <w:ind w:left="714" w:right="0" w:hanging="577"/>
        <w:jc w:val="left"/>
        <w:rPr>
          <w:b/>
          <w:sz w:val="21"/>
        </w:rPr>
      </w:pPr>
      <w:bookmarkStart w:name="_bookmark62" w:id="110"/>
      <w:bookmarkEnd w:id="110"/>
      <w:r>
        <w:rPr/>
      </w:r>
      <w:bookmarkStart w:name="_bookmark62" w:id="111"/>
      <w:bookmarkEnd w:id="111"/>
      <w:r>
        <w:rPr>
          <w:b/>
          <w:spacing w:val="-5"/>
          <w:sz w:val="21"/>
        </w:rPr>
        <w:t>毒品</w:t>
      </w:r>
    </w:p>
    <w:p>
      <w:pPr>
        <w:pStyle w:val="BodyText"/>
        <w:spacing w:before="12"/>
        <w:rPr>
          <w:b/>
          <w:sz w:val="9"/>
        </w:rPr>
      </w:pPr>
    </w:p>
    <w:p>
      <w:pPr>
        <w:pStyle w:val="BodyText"/>
        <w:spacing w:line="278" w:lineRule="auto" w:before="72"/>
        <w:ind w:left="1610" w:right="1026"/>
        <w:jc w:val="both"/>
      </w:pPr>
      <w:r>
        <w:rPr>
          <w:spacing w:val="-2"/>
        </w:rPr>
        <w:t>指《中华人民共和国刑法》规定的鸦片、海洛因、甲基苯丙胺（冰毒）、吗啡、大</w:t>
      </w:r>
      <w:r>
        <w:rPr>
          <w:spacing w:val="-2"/>
        </w:rPr>
        <w:t>麻、可卡因以及国家规定管制的其他能够使人形成瘾癖的麻醉药品和精神药品，但</w:t>
      </w:r>
      <w:r>
        <w:rPr>
          <w:spacing w:val="-2"/>
        </w:rPr>
        <w:t>不包括由医生开具并遵医嘱使用的用于治疗疾病但含有毒品成分的处方药品。</w:t>
      </w:r>
    </w:p>
    <w:p>
      <w:pPr>
        <w:pStyle w:val="ListParagraph"/>
        <w:numPr>
          <w:ilvl w:val="1"/>
          <w:numId w:val="3"/>
        </w:numPr>
        <w:tabs>
          <w:tab w:pos="715" w:val="left" w:leader="none"/>
        </w:tabs>
        <w:spacing w:line="240" w:lineRule="auto" w:before="155" w:after="0"/>
        <w:ind w:left="714" w:right="0" w:hanging="577"/>
        <w:jc w:val="left"/>
        <w:rPr>
          <w:b/>
          <w:sz w:val="21"/>
        </w:rPr>
      </w:pPr>
      <w:bookmarkStart w:name="_bookmark63" w:id="112"/>
      <w:bookmarkEnd w:id="112"/>
      <w:r>
        <w:rPr/>
      </w:r>
      <w:bookmarkStart w:name="_bookmark63" w:id="113"/>
      <w:bookmarkEnd w:id="113"/>
      <w:r>
        <w:rPr>
          <w:b/>
          <w:spacing w:val="-3"/>
          <w:sz w:val="21"/>
        </w:rPr>
        <w:t>酒后驾驶</w:t>
      </w:r>
    </w:p>
    <w:p>
      <w:pPr>
        <w:pStyle w:val="BodyText"/>
        <w:spacing w:before="12"/>
        <w:rPr>
          <w:b/>
          <w:sz w:val="9"/>
        </w:rPr>
      </w:pPr>
    </w:p>
    <w:p>
      <w:pPr>
        <w:pStyle w:val="BodyText"/>
        <w:spacing w:line="278" w:lineRule="auto" w:before="72"/>
        <w:ind w:left="1610" w:right="1026"/>
        <w:jc w:val="both"/>
      </w:pPr>
      <w:r>
        <w:rPr>
          <w:spacing w:val="-2"/>
        </w:rPr>
        <w:t>指经检测或鉴定，发生事故时车辆驾驶人员每百毫升血液中的酒精含量达到或超过</w:t>
      </w:r>
      <w:r>
        <w:rPr>
          <w:spacing w:val="-2"/>
        </w:rPr>
        <w:t>一定的标准，公安机关交通管理部门依据《中华人民共和国道路交通安全法》的规</w:t>
      </w:r>
      <w:r>
        <w:rPr>
          <w:spacing w:val="-2"/>
        </w:rPr>
        <w:t>定认定为饮酒后驾驶或醉酒后驾驶。</w:t>
      </w:r>
    </w:p>
    <w:p>
      <w:pPr>
        <w:pStyle w:val="ListParagraph"/>
        <w:numPr>
          <w:ilvl w:val="1"/>
          <w:numId w:val="3"/>
        </w:numPr>
        <w:tabs>
          <w:tab w:pos="715" w:val="left" w:leader="none"/>
        </w:tabs>
        <w:spacing w:line="240" w:lineRule="auto" w:before="156" w:after="0"/>
        <w:ind w:left="714" w:right="0" w:hanging="577"/>
        <w:jc w:val="left"/>
        <w:rPr>
          <w:b/>
          <w:sz w:val="21"/>
        </w:rPr>
      </w:pPr>
      <w:bookmarkStart w:name="_bookmark64" w:id="114"/>
      <w:bookmarkEnd w:id="114"/>
      <w:r>
        <w:rPr/>
      </w:r>
      <w:bookmarkStart w:name="_bookmark64" w:id="115"/>
      <w:bookmarkEnd w:id="115"/>
      <w:r>
        <w:rPr>
          <w:b/>
          <w:spacing w:val="-3"/>
          <w:sz w:val="21"/>
        </w:rPr>
        <w:t>无合法有效驾驶证驾驶</w:t>
      </w:r>
    </w:p>
    <w:p>
      <w:pPr>
        <w:pStyle w:val="BodyText"/>
        <w:rPr>
          <w:b/>
          <w:sz w:val="15"/>
        </w:rPr>
      </w:pPr>
    </w:p>
    <w:p>
      <w:pPr>
        <w:pStyle w:val="BodyText"/>
        <w:spacing w:before="0"/>
        <w:ind w:left="1610"/>
      </w:pPr>
      <w:r>
        <w:rPr>
          <w:spacing w:val="-4"/>
        </w:rPr>
        <w:t>指下列情形之一：</w:t>
      </w:r>
    </w:p>
    <w:p>
      <w:pPr>
        <w:pStyle w:val="BodyText"/>
        <w:spacing w:before="6"/>
        <w:rPr>
          <w:sz w:val="15"/>
        </w:rPr>
      </w:pPr>
    </w:p>
    <w:p>
      <w:pPr>
        <w:pStyle w:val="ListParagraph"/>
        <w:numPr>
          <w:ilvl w:val="2"/>
          <w:numId w:val="3"/>
        </w:numPr>
        <w:tabs>
          <w:tab w:pos="1969" w:val="left" w:leader="none"/>
          <w:tab w:pos="1970" w:val="left" w:leader="none"/>
        </w:tabs>
        <w:spacing w:line="240" w:lineRule="auto" w:before="1" w:after="0"/>
        <w:ind w:left="1970" w:right="0" w:hanging="363"/>
        <w:jc w:val="left"/>
        <w:rPr>
          <w:rFonts w:ascii="Times New Roman" w:eastAsia="Times New Roman"/>
          <w:sz w:val="21"/>
        </w:rPr>
      </w:pPr>
      <w:r>
        <w:rPr>
          <w:spacing w:val="-3"/>
          <w:sz w:val="21"/>
        </w:rPr>
        <w:t>没有取得驾驶资格；</w:t>
      </w:r>
    </w:p>
    <w:p>
      <w:pPr>
        <w:pStyle w:val="BodyText"/>
        <w:spacing w:before="6"/>
        <w:rPr>
          <w:sz w:val="15"/>
        </w:rPr>
      </w:pPr>
    </w:p>
    <w:p>
      <w:pPr>
        <w:pStyle w:val="ListParagraph"/>
        <w:numPr>
          <w:ilvl w:val="2"/>
          <w:numId w:val="3"/>
        </w:numPr>
        <w:tabs>
          <w:tab w:pos="1969" w:val="left" w:leader="none"/>
          <w:tab w:pos="1970" w:val="left" w:leader="none"/>
        </w:tabs>
        <w:spacing w:line="240" w:lineRule="auto" w:before="0" w:after="0"/>
        <w:ind w:left="1970" w:right="0" w:hanging="363"/>
        <w:jc w:val="left"/>
        <w:rPr>
          <w:rFonts w:ascii="Times New Roman" w:eastAsia="Times New Roman"/>
          <w:sz w:val="21"/>
        </w:rPr>
      </w:pPr>
      <w:r>
        <w:rPr>
          <w:spacing w:val="-3"/>
          <w:sz w:val="21"/>
        </w:rPr>
        <w:t>驾驶与驾驶证准驾车型不相符合的车辆；</w:t>
      </w:r>
    </w:p>
    <w:p>
      <w:pPr>
        <w:pStyle w:val="BodyText"/>
        <w:rPr>
          <w:sz w:val="15"/>
        </w:rPr>
      </w:pPr>
    </w:p>
    <w:p>
      <w:pPr>
        <w:pStyle w:val="ListParagraph"/>
        <w:numPr>
          <w:ilvl w:val="2"/>
          <w:numId w:val="3"/>
        </w:numPr>
        <w:tabs>
          <w:tab w:pos="1969" w:val="left" w:leader="none"/>
          <w:tab w:pos="1970" w:val="left" w:leader="none"/>
        </w:tabs>
        <w:spacing w:line="240" w:lineRule="auto" w:before="0" w:after="0"/>
        <w:ind w:left="1970" w:right="0" w:hanging="363"/>
        <w:jc w:val="left"/>
        <w:rPr>
          <w:rFonts w:ascii="Times New Roman" w:eastAsia="Times New Roman"/>
          <w:sz w:val="21"/>
        </w:rPr>
      </w:pPr>
      <w:r>
        <w:rPr>
          <w:spacing w:val="-3"/>
          <w:sz w:val="21"/>
        </w:rPr>
        <w:t>持审验不合格的驾驶证驾驶；</w:t>
      </w:r>
    </w:p>
    <w:p>
      <w:pPr>
        <w:pStyle w:val="BodyText"/>
        <w:rPr>
          <w:sz w:val="15"/>
        </w:rPr>
      </w:pPr>
    </w:p>
    <w:p>
      <w:pPr>
        <w:pStyle w:val="ListParagraph"/>
        <w:numPr>
          <w:ilvl w:val="2"/>
          <w:numId w:val="3"/>
        </w:numPr>
        <w:tabs>
          <w:tab w:pos="1969" w:val="left" w:leader="none"/>
          <w:tab w:pos="1970" w:val="left" w:leader="none"/>
        </w:tabs>
        <w:spacing w:line="278" w:lineRule="auto" w:before="0" w:after="0"/>
        <w:ind w:left="1970" w:right="1002" w:hanging="363"/>
        <w:jc w:val="left"/>
        <w:rPr>
          <w:rFonts w:ascii="Times New Roman" w:eastAsia="Times New Roman"/>
          <w:sz w:val="21"/>
        </w:rPr>
      </w:pPr>
      <w:r>
        <w:rPr>
          <w:spacing w:val="-2"/>
          <w:sz w:val="21"/>
        </w:rPr>
        <w:t>持学习驾驶证学习驾车时，无教练员随车指导，或不按指定时间、路线学习驾</w:t>
      </w:r>
      <w:r>
        <w:rPr>
          <w:spacing w:val="-6"/>
          <w:sz w:val="21"/>
        </w:rPr>
        <w:t>车。</w:t>
      </w:r>
    </w:p>
    <w:p>
      <w:pPr>
        <w:pStyle w:val="ListParagraph"/>
        <w:numPr>
          <w:ilvl w:val="1"/>
          <w:numId w:val="3"/>
        </w:numPr>
        <w:tabs>
          <w:tab w:pos="715" w:val="left" w:leader="none"/>
        </w:tabs>
        <w:spacing w:line="240" w:lineRule="auto" w:before="156" w:after="0"/>
        <w:ind w:left="714" w:right="0" w:hanging="577"/>
        <w:jc w:val="left"/>
        <w:rPr>
          <w:b/>
          <w:sz w:val="21"/>
        </w:rPr>
      </w:pPr>
      <w:bookmarkStart w:name="_bookmark65" w:id="116"/>
      <w:bookmarkEnd w:id="116"/>
      <w:r>
        <w:rPr>
          <w:b/>
          <w:spacing w:val="-4"/>
          <w:sz w:val="21"/>
        </w:rPr>
        <w:t>无合法有效行驶证</w:t>
      </w:r>
    </w:p>
    <w:p>
      <w:pPr>
        <w:pStyle w:val="BodyText"/>
        <w:spacing w:before="6"/>
        <w:rPr>
          <w:b/>
          <w:sz w:val="15"/>
        </w:rPr>
      </w:pPr>
    </w:p>
    <w:p>
      <w:pPr>
        <w:pStyle w:val="BodyText"/>
        <w:spacing w:before="0"/>
        <w:ind w:left="1610"/>
      </w:pPr>
      <w:r>
        <w:rPr>
          <w:spacing w:val="-4"/>
        </w:rPr>
        <w:t>指下列情形之一：</w:t>
      </w:r>
    </w:p>
    <w:p>
      <w:pPr>
        <w:pStyle w:val="BodyText"/>
        <w:rPr>
          <w:sz w:val="15"/>
        </w:rPr>
      </w:pPr>
    </w:p>
    <w:p>
      <w:pPr>
        <w:pStyle w:val="ListParagraph"/>
        <w:numPr>
          <w:ilvl w:val="2"/>
          <w:numId w:val="3"/>
        </w:numPr>
        <w:tabs>
          <w:tab w:pos="1969" w:val="left" w:leader="none"/>
          <w:tab w:pos="1970" w:val="left" w:leader="none"/>
        </w:tabs>
        <w:spacing w:line="240" w:lineRule="auto" w:before="0" w:after="0"/>
        <w:ind w:left="1970" w:right="0" w:hanging="363"/>
        <w:jc w:val="left"/>
        <w:rPr>
          <w:rFonts w:ascii="Times New Roman" w:eastAsia="Times New Roman"/>
          <w:sz w:val="21"/>
        </w:rPr>
      </w:pPr>
      <w:r>
        <w:rPr>
          <w:spacing w:val="-3"/>
          <w:sz w:val="21"/>
        </w:rPr>
        <w:t>机动车被依法注销登记的；</w:t>
      </w:r>
    </w:p>
    <w:p>
      <w:pPr>
        <w:pStyle w:val="BodyText"/>
        <w:rPr>
          <w:sz w:val="15"/>
        </w:rPr>
      </w:pPr>
    </w:p>
    <w:p>
      <w:pPr>
        <w:pStyle w:val="ListParagraph"/>
        <w:numPr>
          <w:ilvl w:val="2"/>
          <w:numId w:val="3"/>
        </w:numPr>
        <w:tabs>
          <w:tab w:pos="1969" w:val="left" w:leader="none"/>
          <w:tab w:pos="1970" w:val="left" w:leader="none"/>
        </w:tabs>
        <w:spacing w:line="240" w:lineRule="auto" w:before="0" w:after="0"/>
        <w:ind w:left="1970" w:right="0" w:hanging="363"/>
        <w:jc w:val="left"/>
        <w:rPr>
          <w:rFonts w:ascii="Times New Roman" w:eastAsia="Times New Roman"/>
          <w:sz w:val="21"/>
        </w:rPr>
      </w:pPr>
      <w:r>
        <w:rPr>
          <w:spacing w:val="-3"/>
          <w:sz w:val="21"/>
        </w:rPr>
        <w:t>未依法按时进行或通过机动车安全技术检验。</w:t>
      </w:r>
    </w:p>
    <w:p>
      <w:pPr>
        <w:pStyle w:val="BodyText"/>
        <w:rPr>
          <w:sz w:val="15"/>
        </w:rPr>
      </w:pPr>
    </w:p>
    <w:p>
      <w:pPr>
        <w:pStyle w:val="ListParagraph"/>
        <w:numPr>
          <w:ilvl w:val="1"/>
          <w:numId w:val="3"/>
        </w:numPr>
        <w:tabs>
          <w:tab w:pos="715" w:val="left" w:leader="none"/>
        </w:tabs>
        <w:spacing w:line="240" w:lineRule="auto" w:before="0" w:after="0"/>
        <w:ind w:left="714" w:right="0" w:hanging="577"/>
        <w:jc w:val="left"/>
        <w:rPr>
          <w:b/>
          <w:sz w:val="21"/>
        </w:rPr>
      </w:pPr>
      <w:bookmarkStart w:name="_bookmark66" w:id="117"/>
      <w:bookmarkEnd w:id="117"/>
      <w:r>
        <w:rPr/>
      </w:r>
      <w:bookmarkStart w:name="_bookmark66" w:id="118"/>
      <w:bookmarkEnd w:id="118"/>
      <w:r>
        <w:rPr>
          <w:b/>
          <w:spacing w:val="-3"/>
          <w:sz w:val="21"/>
        </w:rPr>
        <w:t>感染艾滋病病毒或患艾滋病</w:t>
      </w:r>
    </w:p>
    <w:p>
      <w:pPr>
        <w:pStyle w:val="BodyText"/>
        <w:rPr>
          <w:b/>
          <w:sz w:val="15"/>
        </w:rPr>
      </w:pPr>
    </w:p>
    <w:p>
      <w:pPr>
        <w:pStyle w:val="BodyText"/>
        <w:spacing w:line="278" w:lineRule="auto" w:before="0"/>
        <w:ind w:left="1610" w:right="1021"/>
      </w:pPr>
      <w:r>
        <w:rPr>
          <w:spacing w:val="-3"/>
        </w:rPr>
        <w:t>艾滋病病毒指人类免疫缺陷病毒，英文缩写为 </w:t>
      </w:r>
      <w:r>
        <w:rPr>
          <w:rFonts w:ascii="Times New Roman" w:eastAsia="Times New Roman"/>
        </w:rPr>
        <w:t>HIV</w:t>
      </w:r>
      <w:r>
        <w:rPr/>
        <w:t>。艾滋病指人类免疫缺陷病毒引</w:t>
      </w:r>
      <w:r>
        <w:rPr>
          <w:spacing w:val="-3"/>
        </w:rPr>
        <w:t>起的获得性免疫缺陷综合征，英文缩写为 </w:t>
      </w:r>
      <w:r>
        <w:rPr>
          <w:rFonts w:ascii="Times New Roman" w:eastAsia="Times New Roman"/>
        </w:rPr>
        <w:t>AIDS</w:t>
      </w:r>
      <w:r>
        <w:rPr/>
        <w:t>。</w:t>
      </w:r>
    </w:p>
    <w:p>
      <w:pPr>
        <w:pStyle w:val="BodyText"/>
        <w:spacing w:line="278" w:lineRule="auto" w:before="155"/>
        <w:ind w:left="1610" w:right="886"/>
      </w:pPr>
      <w:r>
        <w:rPr>
          <w:spacing w:val="-3"/>
          <w:w w:val="100"/>
        </w:rPr>
        <w:t>在人体血液或其他样本中检测到艾滋病病毒或其抗体呈阳性，没有出现临床症状或</w:t>
      </w:r>
      <w:r>
        <w:rPr>
          <w:spacing w:val="-9"/>
          <w:w w:val="100"/>
        </w:rPr>
        <w:t>体征的，为感染艾滋病病毒；如果同时出现了明显临床症状或体征的，为患艾滋病。</w:t>
      </w:r>
    </w:p>
    <w:p>
      <w:pPr>
        <w:pStyle w:val="ListParagraph"/>
        <w:numPr>
          <w:ilvl w:val="1"/>
          <w:numId w:val="3"/>
        </w:numPr>
        <w:tabs>
          <w:tab w:pos="715" w:val="left" w:leader="none"/>
        </w:tabs>
        <w:spacing w:line="240" w:lineRule="auto" w:before="156" w:after="0"/>
        <w:ind w:left="714" w:right="0" w:hanging="577"/>
        <w:jc w:val="left"/>
        <w:rPr>
          <w:b/>
          <w:sz w:val="21"/>
        </w:rPr>
      </w:pPr>
      <w:bookmarkStart w:name="_bookmark67" w:id="119"/>
      <w:bookmarkEnd w:id="119"/>
      <w:r>
        <w:rPr/>
      </w:r>
      <w:bookmarkStart w:name="_bookmark67" w:id="120"/>
      <w:bookmarkEnd w:id="120"/>
      <w:r>
        <w:rPr>
          <w:b/>
          <w:spacing w:val="-2"/>
          <w:sz w:val="21"/>
        </w:rPr>
        <w:t>遗传性疾病</w:t>
      </w:r>
    </w:p>
    <w:p>
      <w:pPr>
        <w:pStyle w:val="BodyText"/>
        <w:rPr>
          <w:b/>
          <w:sz w:val="15"/>
        </w:rPr>
      </w:pPr>
    </w:p>
    <w:p>
      <w:pPr>
        <w:pStyle w:val="BodyText"/>
        <w:spacing w:line="278" w:lineRule="auto" w:before="1"/>
        <w:ind w:left="1610" w:right="1026"/>
      </w:pPr>
      <w:r>
        <w:rPr>
          <w:spacing w:val="-2"/>
        </w:rPr>
        <w:t>指生殖细胞或受精卵的遗传物质（染色体和基因）发生突变或畸变所引起的疾病，</w:t>
      </w:r>
      <w:r>
        <w:rPr>
          <w:spacing w:val="-2"/>
        </w:rPr>
        <w:t>通常具有由亲代传至后代的垂直传递的特征。</w:t>
      </w:r>
    </w:p>
    <w:p>
      <w:pPr>
        <w:pStyle w:val="ListParagraph"/>
        <w:numPr>
          <w:ilvl w:val="1"/>
          <w:numId w:val="3"/>
        </w:numPr>
        <w:tabs>
          <w:tab w:pos="715" w:val="left" w:leader="none"/>
        </w:tabs>
        <w:spacing w:line="240" w:lineRule="auto" w:before="155" w:after="0"/>
        <w:ind w:left="714" w:right="0" w:hanging="577"/>
        <w:jc w:val="left"/>
        <w:rPr>
          <w:b/>
          <w:sz w:val="21"/>
        </w:rPr>
      </w:pPr>
      <w:bookmarkStart w:name="_bookmark68" w:id="121"/>
      <w:bookmarkEnd w:id="121"/>
      <w:r>
        <w:rPr/>
      </w:r>
      <w:bookmarkStart w:name="_bookmark68" w:id="122"/>
      <w:bookmarkEnd w:id="122"/>
      <w:r>
        <w:rPr>
          <w:b/>
          <w:spacing w:val="-3"/>
          <w:sz w:val="21"/>
        </w:rPr>
        <w:t>先天性畸形、变形或染色体异常</w:t>
      </w:r>
    </w:p>
    <w:p>
      <w:pPr>
        <w:pStyle w:val="BodyText"/>
        <w:rPr>
          <w:b/>
          <w:sz w:val="15"/>
        </w:rPr>
      </w:pPr>
    </w:p>
    <w:p>
      <w:pPr>
        <w:pStyle w:val="BodyText"/>
        <w:spacing w:line="278" w:lineRule="auto" w:before="0"/>
        <w:ind w:left="1610" w:right="1026"/>
      </w:pPr>
      <w:r>
        <w:rPr>
          <w:spacing w:val="-2"/>
        </w:rPr>
        <w:t>指被保险人出生时就具有的畸形、变形或染色体异常。先天性畸形、变形和染色体</w:t>
      </w:r>
      <w:r>
        <w:rPr>
          <w:spacing w:val="-2"/>
        </w:rPr>
        <w:t>异常依照世界卫生组织《疾病和有关健康问题的国际统计分类》第十次修订版</w:t>
      </w:r>
    </w:p>
    <w:p>
      <w:pPr>
        <w:pStyle w:val="BodyText"/>
        <w:spacing w:line="269" w:lineRule="exact" w:before="0"/>
        <w:ind w:left="1610"/>
      </w:pPr>
      <w:r>
        <w:rPr>
          <w:spacing w:val="-2"/>
        </w:rPr>
        <w:t>（</w:t>
      </w:r>
      <w:r>
        <w:rPr>
          <w:rFonts w:ascii="Times New Roman" w:eastAsia="Times New Roman"/>
          <w:spacing w:val="-2"/>
        </w:rPr>
        <w:t>ICD-10</w:t>
      </w:r>
      <w:r>
        <w:rPr>
          <w:spacing w:val="-2"/>
        </w:rPr>
        <w:t>）</w:t>
      </w:r>
      <w:r>
        <w:rPr>
          <w:spacing w:val="-5"/>
        </w:rPr>
        <w:t>确定。</w:t>
      </w:r>
    </w:p>
    <w:p>
      <w:pPr>
        <w:spacing w:after="0" w:line="269" w:lineRule="exact"/>
        <w:sectPr>
          <w:pgSz w:w="11910" w:h="16840"/>
          <w:pgMar w:top="1380" w:bottom="280" w:left="1280" w:right="420"/>
        </w:sectPr>
      </w:pPr>
    </w:p>
    <w:p>
      <w:pPr>
        <w:pStyle w:val="ListParagraph"/>
        <w:numPr>
          <w:ilvl w:val="1"/>
          <w:numId w:val="3"/>
        </w:numPr>
        <w:tabs>
          <w:tab w:pos="715" w:val="left" w:leader="none"/>
        </w:tabs>
        <w:spacing w:line="240" w:lineRule="auto" w:before="64" w:after="0"/>
        <w:ind w:left="714" w:right="0" w:hanging="577"/>
        <w:jc w:val="left"/>
        <w:rPr>
          <w:b/>
          <w:sz w:val="21"/>
        </w:rPr>
      </w:pPr>
      <w:bookmarkStart w:name="_bookmark69" w:id="123"/>
      <w:bookmarkEnd w:id="123"/>
      <w:r>
        <w:rPr/>
      </w:r>
      <w:bookmarkStart w:name="_bookmark69" w:id="124"/>
      <w:bookmarkEnd w:id="124"/>
      <w:r>
        <w:rPr>
          <w:b/>
          <w:spacing w:val="-3"/>
          <w:sz w:val="21"/>
        </w:rPr>
        <w:t>现金价值</w:t>
      </w:r>
    </w:p>
    <w:p>
      <w:pPr>
        <w:pStyle w:val="BodyText"/>
        <w:spacing w:before="0"/>
        <w:rPr>
          <w:b/>
          <w:sz w:val="10"/>
        </w:rPr>
      </w:pPr>
    </w:p>
    <w:p>
      <w:pPr>
        <w:pStyle w:val="BodyText"/>
        <w:spacing w:line="278" w:lineRule="auto" w:before="71"/>
        <w:ind w:left="1610" w:right="1025"/>
      </w:pPr>
      <w:r>
        <w:rPr>
          <w:spacing w:val="-2"/>
        </w:rPr>
        <w:t>指保险单所具有的价值，通常体现为解除合同时，根据精算原理计算的，由我们退</w:t>
      </w:r>
      <w:r>
        <w:rPr>
          <w:spacing w:val="-2"/>
        </w:rPr>
        <w:t>还的那部分金额。</w:t>
      </w:r>
    </w:p>
    <w:p>
      <w:pPr>
        <w:pStyle w:val="ListParagraph"/>
        <w:numPr>
          <w:ilvl w:val="1"/>
          <w:numId w:val="3"/>
        </w:numPr>
        <w:tabs>
          <w:tab w:pos="715" w:val="left" w:leader="none"/>
        </w:tabs>
        <w:spacing w:line="240" w:lineRule="auto" w:before="156" w:after="0"/>
        <w:ind w:left="714" w:right="0" w:hanging="577"/>
        <w:jc w:val="left"/>
        <w:rPr>
          <w:b/>
          <w:sz w:val="21"/>
        </w:rPr>
      </w:pPr>
      <w:bookmarkStart w:name="_bookmark70" w:id="125"/>
      <w:bookmarkEnd w:id="125"/>
      <w:r>
        <w:rPr/>
      </w:r>
      <w:bookmarkStart w:name="_bookmark70" w:id="126"/>
      <w:bookmarkEnd w:id="126"/>
      <w:r>
        <w:rPr>
          <w:b/>
          <w:spacing w:val="-2"/>
          <w:sz w:val="21"/>
        </w:rPr>
        <w:t>有效身份证件</w:t>
      </w:r>
    </w:p>
    <w:p>
      <w:pPr>
        <w:pStyle w:val="BodyText"/>
        <w:rPr>
          <w:b/>
          <w:sz w:val="15"/>
        </w:rPr>
      </w:pPr>
    </w:p>
    <w:p>
      <w:pPr>
        <w:pStyle w:val="BodyText"/>
        <w:spacing w:line="278" w:lineRule="auto" w:before="0"/>
        <w:ind w:left="1610" w:right="1026"/>
        <w:jc w:val="both"/>
      </w:pPr>
      <w:r>
        <w:rPr>
          <w:spacing w:val="-2"/>
        </w:rPr>
        <w:t>指由中华人民共和国政府主管部门规定的能够证明其身份的证件，如：有效期内的</w:t>
      </w:r>
      <w:r>
        <w:rPr>
          <w:spacing w:val="-2"/>
        </w:rPr>
        <w:t>居民身份证、港澳台居民居住证、户口簿以及中华人民共和国政府主管部门颁发或</w:t>
      </w:r>
      <w:r>
        <w:rPr>
          <w:spacing w:val="-2"/>
        </w:rPr>
        <w:t>者认可的有效护照或者其他身份证明文件。</w:t>
      </w:r>
    </w:p>
    <w:p>
      <w:pPr>
        <w:pStyle w:val="ListParagraph"/>
        <w:numPr>
          <w:ilvl w:val="1"/>
          <w:numId w:val="3"/>
        </w:numPr>
        <w:tabs>
          <w:tab w:pos="715" w:val="left" w:leader="none"/>
        </w:tabs>
        <w:spacing w:line="240" w:lineRule="auto" w:before="156" w:after="0"/>
        <w:ind w:left="714" w:right="0" w:hanging="577"/>
        <w:jc w:val="both"/>
        <w:rPr>
          <w:b/>
          <w:sz w:val="21"/>
        </w:rPr>
      </w:pPr>
      <w:bookmarkStart w:name="_bookmark71" w:id="127"/>
      <w:bookmarkEnd w:id="127"/>
      <w:r>
        <w:rPr/>
      </w:r>
      <w:bookmarkStart w:name="_bookmark71" w:id="128"/>
      <w:bookmarkEnd w:id="128"/>
      <w:r>
        <w:rPr>
          <w:b/>
          <w:spacing w:val="-3"/>
          <w:sz w:val="21"/>
        </w:rPr>
        <w:t>人身保险伤残评定标准及代码</w:t>
      </w:r>
    </w:p>
    <w:p>
      <w:pPr>
        <w:pStyle w:val="BodyText"/>
        <w:spacing w:before="6"/>
        <w:rPr>
          <w:b/>
          <w:sz w:val="15"/>
        </w:rPr>
      </w:pPr>
    </w:p>
    <w:p>
      <w:pPr>
        <w:pStyle w:val="BodyText"/>
        <w:spacing w:line="278" w:lineRule="auto" w:before="0"/>
        <w:ind w:left="1610" w:right="990"/>
      </w:pPr>
      <w:r>
        <w:rPr>
          <w:spacing w:val="-2"/>
        </w:rPr>
        <w:t>《人身保险伤残评定标准及代码》是由原中国保险监督管理委员会发布（保监发</w:t>
      </w:r>
      <w:r>
        <w:rPr>
          <w:spacing w:val="-2"/>
        </w:rPr>
        <w:t> </w:t>
      </w:r>
      <w:r>
        <w:rPr>
          <w:rFonts w:ascii="Times New Roman" w:eastAsia="Times New Roman"/>
        </w:rPr>
        <w:t>[2014]</w:t>
      </w:r>
      <w:r>
        <w:rPr>
          <w:rFonts w:ascii="Times New Roman" w:eastAsia="Times New Roman"/>
          <w:spacing w:val="-14"/>
        </w:rPr>
        <w:t> </w:t>
      </w:r>
      <w:r>
        <w:rPr>
          <w:rFonts w:ascii="Times New Roman" w:eastAsia="Times New Roman"/>
        </w:rPr>
        <w:t>6</w:t>
      </w:r>
      <w:r>
        <w:rPr>
          <w:rFonts w:ascii="Times New Roman" w:eastAsia="Times New Roman"/>
          <w:spacing w:val="-13"/>
        </w:rPr>
        <w:t> </w:t>
      </w:r>
      <w:r>
        <w:rPr/>
        <w:t>号</w:t>
      </w:r>
      <w:r>
        <w:rPr>
          <w:spacing w:val="-51"/>
        </w:rPr>
        <w:t>）</w:t>
      </w:r>
      <w:r>
        <w:rPr>
          <w:spacing w:val="-2"/>
        </w:rPr>
        <w:t>并经国家标准化委员会备案的中华人民共和国金融行业标准，其标准编</w:t>
      </w:r>
      <w:r>
        <w:rPr>
          <w:spacing w:val="25"/>
        </w:rPr>
        <w:t>号为</w:t>
      </w:r>
      <w:r>
        <w:rPr>
          <w:rFonts w:ascii="Times New Roman" w:eastAsia="Times New Roman"/>
        </w:rPr>
        <w:t>JR/T 0083-2013</w:t>
      </w:r>
      <w:r>
        <w:rPr>
          <w:rFonts w:ascii="Times New Roman" w:eastAsia="Times New Roman"/>
          <w:spacing w:val="40"/>
        </w:rPr>
        <w:t> </w:t>
      </w:r>
      <w:r>
        <w:rPr/>
        <w:t>。</w:t>
      </w:r>
    </w:p>
    <w:p>
      <w:pPr>
        <w:pStyle w:val="ListParagraph"/>
        <w:numPr>
          <w:ilvl w:val="1"/>
          <w:numId w:val="3"/>
        </w:numPr>
        <w:tabs>
          <w:tab w:pos="715" w:val="left" w:leader="none"/>
        </w:tabs>
        <w:spacing w:line="240" w:lineRule="auto" w:before="157" w:after="0"/>
        <w:ind w:left="714" w:right="0" w:hanging="577"/>
        <w:jc w:val="left"/>
        <w:rPr>
          <w:b/>
          <w:sz w:val="21"/>
        </w:rPr>
      </w:pPr>
      <w:bookmarkStart w:name="_bookmark72" w:id="129"/>
      <w:bookmarkEnd w:id="129"/>
      <w:r>
        <w:rPr/>
      </w:r>
      <w:bookmarkStart w:name="_bookmark72" w:id="130"/>
      <w:bookmarkEnd w:id="130"/>
      <w:r>
        <w:rPr>
          <w:b/>
          <w:spacing w:val="-5"/>
          <w:sz w:val="21"/>
        </w:rPr>
        <w:t>利息</w:t>
      </w:r>
    </w:p>
    <w:p>
      <w:pPr>
        <w:pStyle w:val="BodyText"/>
        <w:spacing w:before="6"/>
        <w:rPr>
          <w:b/>
          <w:sz w:val="15"/>
        </w:rPr>
      </w:pPr>
    </w:p>
    <w:p>
      <w:pPr>
        <w:pStyle w:val="BodyText"/>
        <w:spacing w:before="0"/>
        <w:ind w:left="1610"/>
      </w:pPr>
      <w:r>
        <w:rPr>
          <w:spacing w:val="-3"/>
        </w:rPr>
        <w:t>参照借款利率计算。</w:t>
      </w:r>
    </w:p>
    <w:p>
      <w:pPr>
        <w:pStyle w:val="BodyText"/>
        <w:rPr>
          <w:sz w:val="15"/>
        </w:rPr>
      </w:pPr>
    </w:p>
    <w:p>
      <w:pPr>
        <w:pStyle w:val="ListParagraph"/>
        <w:numPr>
          <w:ilvl w:val="1"/>
          <w:numId w:val="3"/>
        </w:numPr>
        <w:tabs>
          <w:tab w:pos="715" w:val="left" w:leader="none"/>
        </w:tabs>
        <w:spacing w:line="240" w:lineRule="auto" w:before="0" w:after="0"/>
        <w:ind w:left="714" w:right="0" w:hanging="577"/>
        <w:jc w:val="left"/>
        <w:rPr>
          <w:b/>
          <w:sz w:val="21"/>
        </w:rPr>
      </w:pPr>
      <w:bookmarkStart w:name="_bookmark73" w:id="131"/>
      <w:bookmarkEnd w:id="131"/>
      <w:r>
        <w:rPr/>
      </w:r>
      <w:bookmarkStart w:name="_bookmark73" w:id="132"/>
      <w:bookmarkEnd w:id="132"/>
      <w:r>
        <w:rPr>
          <w:b/>
          <w:spacing w:val="-3"/>
          <w:sz w:val="21"/>
        </w:rPr>
        <w:t>借款利率</w:t>
      </w:r>
    </w:p>
    <w:p>
      <w:pPr>
        <w:pStyle w:val="BodyText"/>
        <w:rPr>
          <w:b/>
          <w:sz w:val="15"/>
        </w:rPr>
      </w:pPr>
    </w:p>
    <w:p>
      <w:pPr>
        <w:pStyle w:val="BodyText"/>
        <w:spacing w:line="278" w:lineRule="auto" w:before="0"/>
        <w:ind w:left="1610" w:right="886"/>
      </w:pPr>
      <w:r>
        <w:rPr>
          <w:spacing w:val="-3"/>
          <w:w w:val="100"/>
        </w:rPr>
        <w:t>我们每年宣布两次借款年利率，时间分别为一月一日和七月一日，该借款利率参照</w:t>
      </w:r>
      <w:r>
        <w:rPr>
          <w:spacing w:val="-5"/>
          <w:w w:val="100"/>
        </w:rPr>
        <w:t>中国人民银行下发的金融机构人民币一年以内</w:t>
      </w:r>
      <w:r>
        <w:rPr>
          <w:spacing w:val="-3"/>
          <w:w w:val="100"/>
        </w:rPr>
        <w:t>（</w:t>
      </w:r>
      <w:r>
        <w:rPr>
          <w:spacing w:val="-2"/>
          <w:w w:val="100"/>
        </w:rPr>
        <w:t>含一年</w:t>
      </w:r>
      <w:r>
        <w:rPr>
          <w:spacing w:val="-36"/>
          <w:w w:val="100"/>
        </w:rPr>
        <w:t>）</w:t>
      </w:r>
      <w:r>
        <w:rPr>
          <w:spacing w:val="-3"/>
          <w:w w:val="100"/>
        </w:rPr>
        <w:t>贷款基准利率作相应浮动。</w:t>
      </w:r>
    </w:p>
    <w:p>
      <w:pPr>
        <w:pStyle w:val="ListParagraph"/>
        <w:numPr>
          <w:ilvl w:val="1"/>
          <w:numId w:val="3"/>
        </w:numPr>
        <w:tabs>
          <w:tab w:pos="715" w:val="left" w:leader="none"/>
        </w:tabs>
        <w:spacing w:line="240" w:lineRule="auto" w:before="156" w:after="0"/>
        <w:ind w:left="714" w:right="0" w:hanging="577"/>
        <w:jc w:val="left"/>
        <w:rPr>
          <w:b/>
          <w:sz w:val="21"/>
        </w:rPr>
      </w:pPr>
      <w:bookmarkStart w:name="_bookmark74" w:id="133"/>
      <w:bookmarkEnd w:id="133"/>
      <w:r>
        <w:rPr/>
      </w:r>
      <w:bookmarkStart w:name="_bookmark74" w:id="134"/>
      <w:bookmarkEnd w:id="134"/>
      <w:r>
        <w:rPr>
          <w:b/>
          <w:spacing w:val="-2"/>
          <w:sz w:val="21"/>
        </w:rPr>
        <w:t>组织病理学检查</w:t>
      </w:r>
    </w:p>
    <w:p>
      <w:pPr>
        <w:pStyle w:val="BodyText"/>
        <w:spacing w:before="6"/>
        <w:rPr>
          <w:b/>
          <w:sz w:val="15"/>
        </w:rPr>
      </w:pPr>
    </w:p>
    <w:p>
      <w:pPr>
        <w:pStyle w:val="BodyText"/>
        <w:spacing w:line="278" w:lineRule="auto" w:before="0"/>
        <w:ind w:left="1610" w:right="1026"/>
      </w:pPr>
      <w:r>
        <w:rPr>
          <w:spacing w:val="-2"/>
        </w:rPr>
        <w:t>组织病理学检查是通过局部切除、钳取、穿刺等手术方法，从患者机体采取病变组</w:t>
      </w:r>
      <w:r>
        <w:rPr>
          <w:spacing w:val="-2"/>
        </w:rPr>
        <w:t>织块，经过包埋、切片后，进行病理检查的方法。</w:t>
      </w:r>
    </w:p>
    <w:p>
      <w:pPr>
        <w:spacing w:line="278" w:lineRule="auto" w:before="156"/>
        <w:ind w:left="1610" w:right="1005" w:firstLine="0"/>
        <w:jc w:val="both"/>
        <w:rPr>
          <w:b/>
          <w:sz w:val="21"/>
        </w:rPr>
      </w:pPr>
      <w:r>
        <w:rPr>
          <w:b/>
          <w:spacing w:val="-2"/>
          <w:sz w:val="21"/>
        </w:rPr>
        <w:t>通过采集病变部位脱落细胞、细针吸取病变部位细胞、体腔积液分离病变细胞等方</w:t>
      </w:r>
      <w:r>
        <w:rPr>
          <w:b/>
          <w:spacing w:val="-2"/>
          <w:sz w:val="21"/>
        </w:rPr>
        <w:t>式获取病变细胞，制成涂片，进行病理检查的方法，属于细胞病理学检查，不属于</w:t>
      </w:r>
      <w:r>
        <w:rPr>
          <w:b/>
          <w:spacing w:val="-2"/>
          <w:sz w:val="21"/>
        </w:rPr>
        <w:t>组织病理学检查。</w:t>
      </w:r>
    </w:p>
    <w:p>
      <w:pPr>
        <w:pStyle w:val="ListParagraph"/>
        <w:numPr>
          <w:ilvl w:val="1"/>
          <w:numId w:val="3"/>
        </w:numPr>
        <w:tabs>
          <w:tab w:pos="715" w:val="left" w:leader="none"/>
        </w:tabs>
        <w:spacing w:line="240" w:lineRule="auto" w:before="156" w:after="0"/>
        <w:ind w:left="714" w:right="0" w:hanging="577"/>
        <w:jc w:val="left"/>
        <w:rPr>
          <w:rFonts w:ascii="Times New Roman" w:eastAsia="Times New Roman"/>
          <w:b/>
          <w:sz w:val="21"/>
        </w:rPr>
      </w:pPr>
      <w:bookmarkStart w:name="_bookmark75" w:id="135"/>
      <w:bookmarkEnd w:id="135"/>
      <w:r>
        <w:rPr>
          <w:rFonts w:ascii="Times New Roman" w:eastAsia="Times New Roman"/>
          <w:b/>
          <w:sz w:val="21"/>
        </w:rPr>
        <w:t>I</w:t>
      </w:r>
      <w:r>
        <w:rPr>
          <w:rFonts w:ascii="Times New Roman" w:eastAsia="Times New Roman"/>
          <w:b/>
          <w:sz w:val="21"/>
        </w:rPr>
        <w:t>CD-10</w:t>
      </w:r>
      <w:r>
        <w:rPr>
          <w:rFonts w:ascii="Times New Roman" w:eastAsia="Times New Roman"/>
          <w:b/>
          <w:spacing w:val="-13"/>
          <w:sz w:val="21"/>
        </w:rPr>
        <w:t> </w:t>
      </w:r>
      <w:r>
        <w:rPr>
          <w:b/>
          <w:spacing w:val="-26"/>
          <w:sz w:val="21"/>
        </w:rPr>
        <w:t>与 </w:t>
      </w:r>
      <w:r>
        <w:rPr>
          <w:rFonts w:ascii="Times New Roman" w:eastAsia="Times New Roman"/>
          <w:b/>
          <w:sz w:val="21"/>
        </w:rPr>
        <w:t>ICD-O-</w:t>
      </w:r>
      <w:r>
        <w:rPr>
          <w:rFonts w:ascii="Times New Roman" w:eastAsia="Times New Roman"/>
          <w:b/>
          <w:spacing w:val="-10"/>
          <w:sz w:val="21"/>
        </w:rPr>
        <w:t>3</w:t>
      </w:r>
    </w:p>
    <w:p>
      <w:pPr>
        <w:pStyle w:val="BodyText"/>
        <w:spacing w:before="3"/>
        <w:rPr>
          <w:rFonts w:ascii="Times New Roman"/>
          <w:b/>
          <w:sz w:val="17"/>
        </w:rPr>
      </w:pPr>
    </w:p>
    <w:p>
      <w:pPr>
        <w:pStyle w:val="BodyText"/>
        <w:spacing w:line="278" w:lineRule="auto" w:before="1"/>
        <w:ind w:left="1610" w:right="989"/>
      </w:pPr>
      <w:r>
        <w:rPr>
          <w:spacing w:val="-2"/>
        </w:rPr>
        <w:t>《疾病和有关健康问题的国际统计分类》第十次修订版（</w:t>
      </w:r>
      <w:r>
        <w:rPr>
          <w:rFonts w:ascii="Times New Roman" w:eastAsia="Times New Roman"/>
          <w:spacing w:val="-2"/>
        </w:rPr>
        <w:t>ICD-10</w:t>
      </w:r>
      <w:r>
        <w:rPr>
          <w:spacing w:val="-2"/>
        </w:rPr>
        <w:t>），是世界卫生组</w:t>
      </w:r>
      <w:r>
        <w:rPr>
          <w:spacing w:val="-4"/>
        </w:rPr>
        <w:t>织（</w:t>
      </w:r>
      <w:r>
        <w:rPr>
          <w:rFonts w:ascii="Times New Roman" w:eastAsia="Times New Roman"/>
          <w:spacing w:val="-4"/>
        </w:rPr>
        <w:t>WHO</w:t>
      </w:r>
      <w:r>
        <w:rPr>
          <w:spacing w:val="-4"/>
        </w:rPr>
        <w:t>）</w:t>
      </w:r>
      <w:r>
        <w:rPr>
          <w:spacing w:val="-5"/>
        </w:rPr>
        <w:t>发布的国际通用的疾病分类方法。《国际疾病分类肿瘤学专辑》第三版</w:t>
      </w:r>
    </w:p>
    <w:p>
      <w:pPr>
        <w:pStyle w:val="BodyText"/>
        <w:spacing w:line="278" w:lineRule="auto" w:before="0"/>
        <w:ind w:left="1610" w:right="884"/>
      </w:pPr>
      <w:r>
        <w:rPr/>
        <w:t>（</w:t>
      </w:r>
      <w:r>
        <w:rPr>
          <w:rFonts w:ascii="Times New Roman" w:eastAsia="Times New Roman"/>
        </w:rPr>
        <w:t>ICD-O-3</w:t>
      </w:r>
      <w:r>
        <w:rPr/>
        <w:t>），</w:t>
      </w:r>
      <w:r>
        <w:rPr>
          <w:spacing w:val="50"/>
        </w:rPr>
        <w:t>是</w:t>
      </w:r>
      <w:r>
        <w:rPr>
          <w:rFonts w:ascii="Times New Roman" w:eastAsia="Times New Roman"/>
        </w:rPr>
        <w:t>WHO </w:t>
      </w:r>
      <w:r>
        <w:rPr>
          <w:spacing w:val="-3"/>
        </w:rPr>
        <w:t>发布的针对 </w:t>
      </w:r>
      <w:r>
        <w:rPr>
          <w:rFonts w:ascii="Times New Roman" w:eastAsia="Times New Roman"/>
        </w:rPr>
        <w:t>ICD </w:t>
      </w:r>
      <w:r>
        <w:rPr/>
        <w:t>中肿瘤形态学组织学细胞类型、动态、分</w:t>
      </w:r>
      <w:r>
        <w:rPr/>
        <w:t> 化程度的补充编码。其中形态学编码：</w:t>
      </w:r>
      <w:r>
        <w:rPr>
          <w:rFonts w:ascii="Times New Roman" w:eastAsia="Times New Roman"/>
        </w:rPr>
        <w:t>0 </w:t>
      </w:r>
      <w:r>
        <w:rPr/>
        <w:t>代表良性肿瘤；</w:t>
      </w:r>
      <w:r>
        <w:rPr>
          <w:rFonts w:ascii="Times New Roman" w:eastAsia="Times New Roman"/>
        </w:rPr>
        <w:t>1 </w:t>
      </w:r>
      <w:r>
        <w:rPr/>
        <w:t>代表动态未定性肿瘤；</w:t>
      </w:r>
      <w:r>
        <w:rPr>
          <w:rFonts w:ascii="Times New Roman" w:eastAsia="Times New Roman"/>
        </w:rPr>
        <w:t>2</w:t>
      </w:r>
      <w:r>
        <w:rPr>
          <w:spacing w:val="-4"/>
        </w:rPr>
        <w:t>代表原位癌和非侵袭性癌；</w:t>
      </w:r>
      <w:r>
        <w:rPr>
          <w:rFonts w:ascii="Times New Roman" w:eastAsia="Times New Roman"/>
          <w:spacing w:val="-4"/>
        </w:rPr>
        <w:t>3</w:t>
      </w:r>
      <w:r>
        <w:rPr>
          <w:rFonts w:ascii="Times New Roman" w:eastAsia="Times New Roman"/>
          <w:spacing w:val="-10"/>
        </w:rPr>
        <w:t> </w:t>
      </w:r>
      <w:r>
        <w:rPr>
          <w:spacing w:val="-4"/>
        </w:rPr>
        <w:t>代表恶性肿瘤（原发性）；</w:t>
      </w:r>
      <w:r>
        <w:rPr>
          <w:rFonts w:ascii="Times New Roman" w:eastAsia="Times New Roman"/>
          <w:spacing w:val="-4"/>
        </w:rPr>
        <w:t>6</w:t>
      </w:r>
      <w:r>
        <w:rPr>
          <w:rFonts w:ascii="Times New Roman" w:eastAsia="Times New Roman"/>
          <w:spacing w:val="-9"/>
        </w:rPr>
        <w:t> </w:t>
      </w:r>
      <w:r>
        <w:rPr>
          <w:spacing w:val="-4"/>
        </w:rPr>
        <w:t>代表恶性肿瘤（转移性）； </w:t>
      </w:r>
      <w:r>
        <w:rPr>
          <w:rFonts w:ascii="Times New Roman" w:eastAsia="Times New Roman"/>
        </w:rPr>
        <w:t>9 </w:t>
      </w:r>
      <w:r>
        <w:rPr/>
        <w:t>代表恶性肿瘤（原发性或转移性未肯定）</w:t>
      </w:r>
      <w:r>
        <w:rPr>
          <w:spacing w:val="-8"/>
        </w:rPr>
        <w:t>。如果出现 </w:t>
      </w:r>
      <w:r>
        <w:rPr>
          <w:rFonts w:ascii="Times New Roman" w:eastAsia="Times New Roman"/>
        </w:rPr>
        <w:t>ICD-10 </w:t>
      </w:r>
      <w:r>
        <w:rPr>
          <w:spacing w:val="-24"/>
        </w:rPr>
        <w:t>与 </w:t>
      </w:r>
      <w:r>
        <w:rPr>
          <w:rFonts w:ascii="Times New Roman" w:eastAsia="Times New Roman"/>
        </w:rPr>
        <w:t>ICD-O-3 </w:t>
      </w:r>
      <w:r>
        <w:rPr/>
        <w:t>不一致的</w:t>
      </w:r>
      <w:r>
        <w:rPr>
          <w:spacing w:val="-5"/>
        </w:rPr>
        <w:t>情况，以 </w:t>
      </w:r>
      <w:r>
        <w:rPr>
          <w:rFonts w:ascii="Times New Roman" w:eastAsia="Times New Roman"/>
        </w:rPr>
        <w:t>ICD-O-3 </w:t>
      </w:r>
      <w:r>
        <w:rPr/>
        <w:t>为准。</w:t>
      </w:r>
    </w:p>
    <w:p>
      <w:pPr>
        <w:pStyle w:val="ListParagraph"/>
        <w:numPr>
          <w:ilvl w:val="1"/>
          <w:numId w:val="3"/>
        </w:numPr>
        <w:tabs>
          <w:tab w:pos="715" w:val="left" w:leader="none"/>
        </w:tabs>
        <w:spacing w:line="240" w:lineRule="auto" w:before="155" w:after="0"/>
        <w:ind w:left="714" w:right="0" w:hanging="577"/>
        <w:jc w:val="left"/>
        <w:rPr>
          <w:b/>
          <w:sz w:val="21"/>
        </w:rPr>
      </w:pPr>
      <w:bookmarkStart w:name="_bookmark76" w:id="136"/>
      <w:bookmarkEnd w:id="136"/>
      <w:r>
        <w:rPr>
          <w:rFonts w:ascii="Times New Roman" w:eastAsia="Times New Roman"/>
          <w:b/>
          <w:sz w:val="21"/>
        </w:rPr>
        <w:t>T</w:t>
      </w:r>
      <w:r>
        <w:rPr>
          <w:rFonts w:ascii="Times New Roman" w:eastAsia="Times New Roman"/>
          <w:b/>
          <w:sz w:val="21"/>
        </w:rPr>
        <w:t>NM</w:t>
      </w:r>
      <w:r>
        <w:rPr>
          <w:rFonts w:ascii="Times New Roman" w:eastAsia="Times New Roman"/>
          <w:b/>
          <w:spacing w:val="-5"/>
          <w:sz w:val="21"/>
        </w:rPr>
        <w:t> </w:t>
      </w:r>
      <w:r>
        <w:rPr>
          <w:b/>
          <w:spacing w:val="-5"/>
          <w:sz w:val="21"/>
        </w:rPr>
        <w:t>分期</w:t>
      </w:r>
    </w:p>
    <w:p>
      <w:pPr>
        <w:pStyle w:val="BodyText"/>
        <w:rPr>
          <w:b/>
          <w:sz w:val="15"/>
        </w:rPr>
      </w:pPr>
    </w:p>
    <w:p>
      <w:pPr>
        <w:pStyle w:val="BodyText"/>
        <w:spacing w:line="278" w:lineRule="auto" w:before="0"/>
        <w:ind w:left="1610" w:right="989"/>
        <w:jc w:val="both"/>
      </w:pPr>
      <w:r>
        <w:rPr>
          <w:rFonts w:ascii="Times New Roman" w:eastAsia="Times New Roman"/>
        </w:rPr>
        <w:t>TNM</w:t>
      </w:r>
      <w:r>
        <w:rPr>
          <w:rFonts w:ascii="Times New Roman" w:eastAsia="Times New Roman"/>
          <w:spacing w:val="-13"/>
        </w:rPr>
        <w:t> </w:t>
      </w:r>
      <w:r>
        <w:rPr>
          <w:spacing w:val="12"/>
        </w:rPr>
        <w:t>分期采用</w:t>
      </w:r>
      <w:r>
        <w:rPr>
          <w:rFonts w:ascii="Times New Roman" w:eastAsia="Times New Roman"/>
        </w:rPr>
        <w:t>AJCC</w:t>
      </w:r>
      <w:r>
        <w:rPr>
          <w:rFonts w:ascii="Times New Roman" w:eastAsia="Times New Roman"/>
          <w:spacing w:val="-11"/>
        </w:rPr>
        <w:t> </w:t>
      </w:r>
      <w:r>
        <w:rPr>
          <w:spacing w:val="-6"/>
        </w:rPr>
        <w:t>癌症分期手册标准。该标准由美国癌症联合委员会与国际抗癌</w:t>
      </w:r>
      <w:r>
        <w:rPr>
          <w:spacing w:val="-9"/>
        </w:rPr>
        <w:t>联合会 </w:t>
      </w:r>
      <w:r>
        <w:rPr>
          <w:rFonts w:ascii="Times New Roman" w:eastAsia="Times New Roman"/>
          <w:spacing w:val="-4"/>
        </w:rPr>
        <w:t>TNM</w:t>
      </w:r>
      <w:r>
        <w:rPr>
          <w:rFonts w:ascii="Times New Roman" w:eastAsia="Times New Roman"/>
          <w:spacing w:val="-5"/>
        </w:rPr>
        <w:t> </w:t>
      </w:r>
      <w:r>
        <w:rPr>
          <w:spacing w:val="-4"/>
        </w:rPr>
        <w:t>委员会联合制定，是目前肿瘤医学分期的国际通用标准。</w:t>
      </w:r>
      <w:r>
        <w:rPr>
          <w:rFonts w:ascii="Times New Roman" w:eastAsia="Times New Roman"/>
          <w:spacing w:val="-4"/>
        </w:rPr>
        <w:t>T</w:t>
      </w:r>
      <w:r>
        <w:rPr>
          <w:rFonts w:ascii="Times New Roman" w:eastAsia="Times New Roman"/>
          <w:spacing w:val="11"/>
        </w:rPr>
        <w:t> </w:t>
      </w:r>
      <w:r>
        <w:rPr>
          <w:spacing w:val="-4"/>
        </w:rPr>
        <w:t>指原发肿瘤</w:t>
      </w:r>
      <w:r>
        <w:rPr/>
        <w:t>的大小、形态等；</w:t>
      </w:r>
      <w:r>
        <w:rPr>
          <w:rFonts w:ascii="Times New Roman" w:eastAsia="Times New Roman"/>
        </w:rPr>
        <w:t>N </w:t>
      </w:r>
      <w:r>
        <w:rPr/>
        <w:t>指淋巴结的转移情况；</w:t>
      </w:r>
      <w:r>
        <w:rPr>
          <w:rFonts w:ascii="Times New Roman" w:eastAsia="Times New Roman"/>
        </w:rPr>
        <w:t>M </w:t>
      </w:r>
      <w:r>
        <w:rPr/>
        <w:t>指有无其他脏器的转移情况。</w:t>
      </w:r>
    </w:p>
    <w:p>
      <w:pPr>
        <w:pStyle w:val="ListParagraph"/>
        <w:numPr>
          <w:ilvl w:val="1"/>
          <w:numId w:val="3"/>
        </w:numPr>
        <w:tabs>
          <w:tab w:pos="715" w:val="left" w:leader="none"/>
        </w:tabs>
        <w:spacing w:line="240" w:lineRule="auto" w:before="156" w:after="0"/>
        <w:ind w:left="714" w:right="0" w:hanging="577"/>
        <w:jc w:val="left"/>
        <w:rPr>
          <w:b/>
          <w:sz w:val="21"/>
        </w:rPr>
      </w:pPr>
      <w:bookmarkStart w:name="_bookmark77" w:id="137"/>
      <w:bookmarkEnd w:id="137"/>
      <w:r>
        <w:rPr/>
      </w:r>
      <w:bookmarkStart w:name="_bookmark77" w:id="138"/>
      <w:bookmarkEnd w:id="138"/>
      <w:r>
        <w:rPr>
          <w:b/>
          <w:spacing w:val="-9"/>
          <w:sz w:val="21"/>
        </w:rPr>
        <w:t>甲状腺癌的 </w:t>
      </w:r>
      <w:r>
        <w:rPr>
          <w:rFonts w:ascii="Times New Roman" w:eastAsia="Times New Roman"/>
          <w:b/>
          <w:sz w:val="21"/>
        </w:rPr>
        <w:t>TNM</w:t>
      </w:r>
      <w:r>
        <w:rPr>
          <w:rFonts w:ascii="Times New Roman" w:eastAsia="Times New Roman"/>
          <w:b/>
          <w:spacing w:val="-8"/>
          <w:sz w:val="21"/>
        </w:rPr>
        <w:t> </w:t>
      </w:r>
      <w:r>
        <w:rPr>
          <w:b/>
          <w:spacing w:val="-5"/>
          <w:sz w:val="21"/>
        </w:rPr>
        <w:t>分期</w:t>
      </w:r>
    </w:p>
    <w:p>
      <w:pPr>
        <w:spacing w:after="0" w:line="240" w:lineRule="auto"/>
        <w:jc w:val="left"/>
        <w:rPr>
          <w:sz w:val="21"/>
        </w:rPr>
        <w:sectPr>
          <w:pgSz w:w="11910" w:h="16840"/>
          <w:pgMar w:top="1380" w:bottom="280" w:left="1280" w:right="420"/>
        </w:sectPr>
      </w:pPr>
    </w:p>
    <w:p>
      <w:pPr>
        <w:pStyle w:val="BodyText"/>
        <w:spacing w:line="278" w:lineRule="auto" w:before="64"/>
        <w:ind w:left="1610" w:right="1037"/>
        <w:jc w:val="both"/>
      </w:pPr>
      <w:r>
        <w:rPr>
          <w:spacing w:val="-5"/>
        </w:rPr>
        <w:t>甲状腺癌的 </w:t>
      </w:r>
      <w:r>
        <w:rPr/>
        <w:t>TNM</w:t>
      </w:r>
      <w:r>
        <w:rPr>
          <w:spacing w:val="-3"/>
        </w:rPr>
        <w:t> 分期采用目前现行的</w:t>
      </w:r>
      <w:r>
        <w:rPr>
          <w:rFonts w:ascii="Times New Roman" w:eastAsia="Times New Roman"/>
        </w:rPr>
        <w:t>AJCC</w:t>
      </w:r>
      <w:r>
        <w:rPr>
          <w:rFonts w:ascii="Times New Roman" w:eastAsia="Times New Roman"/>
          <w:spacing w:val="-13"/>
        </w:rPr>
        <w:t> </w:t>
      </w:r>
      <w:r>
        <w:rPr/>
        <w:t>第八版定义标准，我国国家卫生健康委</w:t>
      </w:r>
      <w:r>
        <w:rPr>
          <w:spacing w:val="-9"/>
        </w:rPr>
        <w:t>员会 </w:t>
      </w:r>
      <w:r>
        <w:rPr>
          <w:rFonts w:ascii="Times New Roman" w:eastAsia="Times New Roman"/>
        </w:rPr>
        <w:t>2018</w:t>
      </w:r>
      <w:r>
        <w:rPr>
          <w:rFonts w:ascii="Times New Roman" w:eastAsia="Times New Roman"/>
          <w:spacing w:val="-13"/>
        </w:rPr>
        <w:t> </w:t>
      </w:r>
      <w:r>
        <w:rPr/>
        <w:t>年发布的《甲状腺癌诊疗规范（</w:t>
      </w:r>
      <w:r>
        <w:rPr>
          <w:rFonts w:ascii="Times New Roman" w:eastAsia="Times New Roman"/>
        </w:rPr>
        <w:t>2018</w:t>
      </w:r>
      <w:r>
        <w:rPr>
          <w:rFonts w:ascii="Times New Roman" w:eastAsia="Times New Roman"/>
          <w:spacing w:val="2"/>
        </w:rPr>
        <w:t> </w:t>
      </w:r>
      <w:r>
        <w:rPr/>
        <w:t>年版）》也采用此定义标准，具体</w:t>
      </w:r>
      <w:r>
        <w:rPr>
          <w:spacing w:val="-4"/>
        </w:rPr>
        <w:t>见下：</w:t>
      </w:r>
    </w:p>
    <w:p>
      <w:pPr>
        <w:pStyle w:val="ListParagraph"/>
        <w:numPr>
          <w:ilvl w:val="2"/>
          <w:numId w:val="3"/>
        </w:numPr>
        <w:tabs>
          <w:tab w:pos="1969" w:val="left" w:leader="none"/>
          <w:tab w:pos="1970" w:val="left" w:leader="none"/>
        </w:tabs>
        <w:spacing w:line="240" w:lineRule="auto" w:before="156" w:after="0"/>
        <w:ind w:left="1970" w:right="0" w:hanging="363"/>
        <w:jc w:val="left"/>
        <w:rPr>
          <w:rFonts w:ascii="Times New Roman" w:hAnsi="Times New Roman" w:eastAsia="Times New Roman"/>
          <w:sz w:val="21"/>
        </w:rPr>
      </w:pPr>
      <w:r>
        <w:rPr>
          <w:spacing w:val="-2"/>
          <w:sz w:val="21"/>
        </w:rPr>
        <w:t>甲状腺乳头状癌、滤泡癌、低分化癌、</w:t>
      </w:r>
      <w:r>
        <w:rPr>
          <w:rFonts w:ascii="Times New Roman" w:hAnsi="Times New Roman" w:eastAsia="Times New Roman"/>
          <w:spacing w:val="-2"/>
          <w:sz w:val="21"/>
        </w:rPr>
        <w:t>Hürthle</w:t>
      </w:r>
      <w:r>
        <w:rPr>
          <w:rFonts w:ascii="Times New Roman" w:hAnsi="Times New Roman" w:eastAsia="Times New Roman"/>
          <w:spacing w:val="21"/>
          <w:sz w:val="21"/>
        </w:rPr>
        <w:t> </w:t>
      </w:r>
      <w:r>
        <w:rPr>
          <w:spacing w:val="-4"/>
          <w:sz w:val="21"/>
        </w:rPr>
        <w:t>细胞癌和未分化癌</w:t>
      </w:r>
    </w:p>
    <w:p>
      <w:pPr>
        <w:pStyle w:val="BodyText"/>
        <w:rPr>
          <w:sz w:val="15"/>
        </w:rPr>
      </w:pPr>
    </w:p>
    <w:p>
      <w:pPr>
        <w:pStyle w:val="BodyText"/>
        <w:spacing w:line="417" w:lineRule="auto" w:before="0"/>
        <w:ind w:left="1970" w:right="6006"/>
      </w:pPr>
      <w:r>
        <w:rPr>
          <w:rFonts w:ascii="Times New Roman" w:eastAsia="Times New Roman"/>
          <w:spacing w:val="-2"/>
        </w:rPr>
        <w:t>pT</w:t>
      </w:r>
      <w:r>
        <w:rPr>
          <w:rFonts w:ascii="Times New Roman" w:eastAsia="Times New Roman"/>
          <w:spacing w:val="-2"/>
          <w:vertAlign w:val="subscript"/>
        </w:rPr>
        <w:t>X</w:t>
      </w:r>
      <w:r>
        <w:rPr>
          <w:spacing w:val="-2"/>
          <w:vertAlign w:val="baseline"/>
        </w:rPr>
        <w:t>：原发肿瘤不能评估 </w:t>
      </w:r>
      <w:r>
        <w:rPr>
          <w:rFonts w:ascii="Times New Roman" w:eastAsia="Times New Roman"/>
          <w:spacing w:val="-2"/>
          <w:vertAlign w:val="baseline"/>
        </w:rPr>
        <w:t>pT</w:t>
      </w:r>
      <w:r>
        <w:rPr>
          <w:rFonts w:ascii="Times New Roman" w:eastAsia="Times New Roman"/>
          <w:spacing w:val="-2"/>
          <w:vertAlign w:val="subscript"/>
        </w:rPr>
        <w:t>0</w:t>
      </w:r>
      <w:r>
        <w:rPr>
          <w:spacing w:val="-2"/>
          <w:vertAlign w:val="baseline"/>
        </w:rPr>
        <w:t>：无肿瘤证据</w:t>
      </w:r>
    </w:p>
    <w:p>
      <w:pPr>
        <w:pStyle w:val="BodyText"/>
        <w:spacing w:line="417" w:lineRule="auto" w:before="0"/>
        <w:ind w:left="2575" w:right="4161" w:hanging="606"/>
        <w:rPr>
          <w:rFonts w:ascii="Times New Roman" w:hAnsi="Times New Roman" w:eastAsia="Times New Roman"/>
        </w:rPr>
      </w:pPr>
      <w:r>
        <w:rPr>
          <w:rFonts w:ascii="Times New Roman" w:hAnsi="Times New Roman" w:eastAsia="Times New Roman"/>
          <w:spacing w:val="-2"/>
        </w:rPr>
        <w:t>pT</w:t>
      </w:r>
      <w:r>
        <w:rPr>
          <w:rFonts w:ascii="Times New Roman" w:hAnsi="Times New Roman" w:eastAsia="Times New Roman"/>
          <w:spacing w:val="-2"/>
          <w:vertAlign w:val="subscript"/>
        </w:rPr>
        <w:t>1</w:t>
      </w:r>
      <w:r>
        <w:rPr>
          <w:spacing w:val="-2"/>
          <w:vertAlign w:val="baseline"/>
        </w:rPr>
        <w:t>：肿瘤局限在甲状腺内，最大径≤</w:t>
      </w:r>
      <w:r>
        <w:rPr>
          <w:rFonts w:ascii="Times New Roman" w:hAnsi="Times New Roman" w:eastAsia="Times New Roman"/>
          <w:spacing w:val="-2"/>
          <w:vertAlign w:val="baseline"/>
        </w:rPr>
        <w:t>2c</w:t>
      </w:r>
      <w:r>
        <w:rPr>
          <w:rFonts w:ascii="Times New Roman" w:hAnsi="Times New Roman" w:eastAsia="Times New Roman"/>
          <w:spacing w:val="-2"/>
          <w:vertAlign w:val="baseline"/>
        </w:rPr>
        <w:t>m </w:t>
      </w:r>
      <w:r>
        <w:rPr>
          <w:rFonts w:ascii="Times New Roman" w:hAnsi="Times New Roman" w:eastAsia="Times New Roman"/>
          <w:vertAlign w:val="baseline"/>
        </w:rPr>
        <w:t>T1a </w:t>
      </w:r>
      <w:r>
        <w:rPr>
          <w:vertAlign w:val="baseline"/>
        </w:rPr>
        <w:t>肿瘤最大径≤</w:t>
      </w:r>
      <w:r>
        <w:rPr>
          <w:rFonts w:ascii="Times New Roman" w:hAnsi="Times New Roman" w:eastAsia="Times New Roman"/>
          <w:vertAlign w:val="baseline"/>
        </w:rPr>
        <w:t>1cm</w:t>
      </w:r>
    </w:p>
    <w:p>
      <w:pPr>
        <w:pStyle w:val="BodyText"/>
        <w:spacing w:line="417" w:lineRule="auto" w:before="0"/>
        <w:ind w:left="1970" w:right="4371" w:firstLine="605"/>
        <w:rPr>
          <w:rFonts w:ascii="Times New Roman" w:hAnsi="Times New Roman" w:eastAsia="Times New Roman"/>
        </w:rPr>
      </w:pPr>
      <w:r>
        <w:rPr>
          <w:rFonts w:ascii="Times New Roman" w:hAnsi="Times New Roman" w:eastAsia="Times New Roman"/>
        </w:rPr>
        <w:t>T1b</w:t>
      </w:r>
      <w:r>
        <w:rPr>
          <w:rFonts w:ascii="Times New Roman" w:hAnsi="Times New Roman" w:eastAsia="Times New Roman"/>
          <w:spacing w:val="-14"/>
        </w:rPr>
        <w:t> </w:t>
      </w:r>
      <w:r>
        <w:rPr/>
        <w:t>肿瘤最大径＞</w:t>
      </w:r>
      <w:r>
        <w:rPr>
          <w:rFonts w:ascii="Times New Roman" w:hAnsi="Times New Roman" w:eastAsia="Times New Roman"/>
        </w:rPr>
        <w:t>1cm</w:t>
      </w:r>
      <w:r>
        <w:rPr/>
        <w:t>，≤</w:t>
      </w:r>
      <w:r>
        <w:rPr>
          <w:rFonts w:ascii="Times New Roman" w:hAnsi="Times New Roman" w:eastAsia="Times New Roman"/>
        </w:rPr>
        <w:t>2c</w:t>
      </w:r>
      <w:r>
        <w:rPr>
          <w:rFonts w:ascii="Times New Roman" w:hAnsi="Times New Roman" w:eastAsia="Times New Roman"/>
        </w:rPr>
        <w:t>m pT</w:t>
      </w:r>
      <w:r>
        <w:rPr>
          <w:rFonts w:ascii="Times New Roman" w:hAnsi="Times New Roman" w:eastAsia="Times New Roman"/>
          <w:vertAlign w:val="subscript"/>
        </w:rPr>
        <w:t>2</w:t>
      </w:r>
      <w:r>
        <w:rPr>
          <w:spacing w:val="-10"/>
          <w:vertAlign w:val="baseline"/>
        </w:rPr>
        <w:t>：肿瘤 </w:t>
      </w:r>
      <w:r>
        <w:rPr>
          <w:rFonts w:ascii="Times New Roman" w:hAnsi="Times New Roman" w:eastAsia="Times New Roman"/>
          <w:vertAlign w:val="baseline"/>
        </w:rPr>
        <w:t>2</w:t>
      </w:r>
      <w:r>
        <w:rPr>
          <w:vertAlign w:val="baseline"/>
        </w:rPr>
        <w:t>～</w:t>
      </w:r>
      <w:r>
        <w:rPr>
          <w:rFonts w:ascii="Times New Roman" w:hAnsi="Times New Roman" w:eastAsia="Times New Roman"/>
          <w:vertAlign w:val="baseline"/>
        </w:rPr>
        <w:t>4cm</w:t>
      </w:r>
    </w:p>
    <w:p>
      <w:pPr>
        <w:pStyle w:val="BodyText"/>
        <w:spacing w:line="417" w:lineRule="auto" w:before="0"/>
        <w:ind w:left="1970" w:right="2523"/>
      </w:pPr>
      <w:r>
        <w:rPr>
          <w:rFonts w:ascii="Times New Roman" w:eastAsia="Times New Roman"/>
          <w:spacing w:val="-2"/>
        </w:rPr>
        <w:t>pT</w:t>
      </w:r>
      <w:r>
        <w:rPr>
          <w:rFonts w:ascii="Times New Roman" w:eastAsia="Times New Roman"/>
          <w:spacing w:val="-2"/>
          <w:vertAlign w:val="subscript"/>
        </w:rPr>
        <w:t>3</w:t>
      </w:r>
      <w:r>
        <w:rPr>
          <w:spacing w:val="-2"/>
          <w:vertAlign w:val="baseline"/>
        </w:rPr>
        <w:t>：肿瘤＞</w:t>
      </w:r>
      <w:r>
        <w:rPr>
          <w:rFonts w:ascii="Times New Roman" w:eastAsia="Times New Roman"/>
          <w:spacing w:val="-2"/>
          <w:vertAlign w:val="baseline"/>
        </w:rPr>
        <w:t>4cm</w:t>
      </w:r>
      <w:r>
        <w:rPr>
          <w:spacing w:val="-2"/>
          <w:vertAlign w:val="baseline"/>
        </w:rPr>
        <w:t>，局限于甲状腺内或大体侵犯甲状腺外带状肌</w:t>
      </w:r>
      <w:r>
        <w:rPr>
          <w:spacing w:val="-2"/>
          <w:vertAlign w:val="baseline"/>
        </w:rPr>
        <w:t> </w:t>
      </w:r>
      <w:r>
        <w:rPr>
          <w:rFonts w:ascii="Times New Roman" w:eastAsia="Times New Roman"/>
          <w:spacing w:val="-2"/>
          <w:vertAlign w:val="baseline"/>
        </w:rPr>
        <w:t>pT</w:t>
      </w:r>
      <w:r>
        <w:rPr>
          <w:rFonts w:ascii="Times New Roman" w:eastAsia="Times New Roman"/>
          <w:spacing w:val="-2"/>
          <w:vertAlign w:val="subscript"/>
        </w:rPr>
        <w:t>3a</w:t>
      </w:r>
      <w:r>
        <w:rPr>
          <w:spacing w:val="-2"/>
          <w:vertAlign w:val="baseline"/>
        </w:rPr>
        <w:t>：肿瘤＞</w:t>
      </w:r>
      <w:r>
        <w:rPr>
          <w:rFonts w:ascii="Times New Roman" w:eastAsia="Times New Roman"/>
          <w:spacing w:val="-2"/>
          <w:vertAlign w:val="baseline"/>
        </w:rPr>
        <w:t>4cm</w:t>
      </w:r>
      <w:r>
        <w:rPr>
          <w:spacing w:val="-2"/>
          <w:vertAlign w:val="baseline"/>
        </w:rPr>
        <w:t>，局限于甲状腺内</w:t>
      </w:r>
    </w:p>
    <w:p>
      <w:pPr>
        <w:pStyle w:val="BodyText"/>
        <w:spacing w:line="269" w:lineRule="exact" w:before="0"/>
        <w:ind w:left="1970"/>
      </w:pPr>
      <w:r>
        <w:rPr>
          <w:rFonts w:ascii="Times New Roman" w:eastAsia="Times New Roman"/>
          <w:w w:val="95"/>
        </w:rPr>
        <w:t>pT</w:t>
      </w:r>
      <w:r>
        <w:rPr>
          <w:rFonts w:ascii="Times New Roman" w:eastAsia="Times New Roman"/>
          <w:w w:val="95"/>
          <w:vertAlign w:val="subscript"/>
        </w:rPr>
        <w:t>3b</w:t>
      </w:r>
      <w:r>
        <w:rPr>
          <w:w w:val="95"/>
          <w:vertAlign w:val="baseline"/>
        </w:rPr>
        <w:t>：大体侵犯甲状</w:t>
      </w:r>
      <w:r>
        <w:rPr>
          <w:w w:val="95"/>
          <w:vertAlign w:val="baseline"/>
        </w:rPr>
        <w:t>腺</w:t>
      </w:r>
      <w:r>
        <w:rPr>
          <w:w w:val="95"/>
          <w:vertAlign w:val="baseline"/>
        </w:rPr>
        <w:t>外</w:t>
      </w:r>
      <w:r>
        <w:rPr>
          <w:w w:val="95"/>
          <w:vertAlign w:val="baseline"/>
        </w:rPr>
        <w:t>带</w:t>
      </w:r>
      <w:r>
        <w:rPr>
          <w:w w:val="95"/>
          <w:vertAlign w:val="baseline"/>
        </w:rPr>
        <w:t>状</w:t>
      </w:r>
      <w:r>
        <w:rPr>
          <w:spacing w:val="-2"/>
          <w:w w:val="95"/>
          <w:vertAlign w:val="baseline"/>
        </w:rPr>
        <w:t>肌，无论肿瘤大小</w:t>
      </w:r>
    </w:p>
    <w:p>
      <w:pPr>
        <w:pStyle w:val="BodyText"/>
        <w:spacing w:before="198"/>
        <w:ind w:left="2558"/>
      </w:pPr>
      <w:r>
        <w:rPr>
          <w:spacing w:val="-3"/>
        </w:rPr>
        <w:t>带状肌包括：胸骨舌骨肌、胸骨甲状肌、甲状舌骨肌、肩胛舌骨肌</w:t>
      </w:r>
    </w:p>
    <w:p>
      <w:pPr>
        <w:pStyle w:val="BodyText"/>
        <w:rPr>
          <w:sz w:val="15"/>
        </w:rPr>
      </w:pPr>
    </w:p>
    <w:p>
      <w:pPr>
        <w:pStyle w:val="BodyText"/>
        <w:spacing w:before="0"/>
        <w:ind w:left="1970"/>
      </w:pPr>
      <w:r>
        <w:rPr>
          <w:rFonts w:ascii="Times New Roman" w:eastAsia="Times New Roman"/>
          <w:w w:val="95"/>
        </w:rPr>
        <w:t>pT</w:t>
      </w:r>
      <w:r>
        <w:rPr>
          <w:rFonts w:ascii="Times New Roman" w:eastAsia="Times New Roman"/>
          <w:w w:val="95"/>
          <w:vertAlign w:val="subscript"/>
        </w:rPr>
        <w:t>4</w:t>
      </w:r>
      <w:r>
        <w:rPr>
          <w:w w:val="95"/>
          <w:vertAlign w:val="baseline"/>
        </w:rPr>
        <w:t>：大体侵犯甲状腺</w:t>
      </w:r>
      <w:r>
        <w:rPr>
          <w:w w:val="95"/>
          <w:vertAlign w:val="baseline"/>
        </w:rPr>
        <w:t>外</w:t>
      </w:r>
      <w:r>
        <w:rPr>
          <w:w w:val="95"/>
          <w:vertAlign w:val="baseline"/>
        </w:rPr>
        <w:t>带</w:t>
      </w:r>
      <w:r>
        <w:rPr>
          <w:w w:val="95"/>
          <w:vertAlign w:val="baseline"/>
        </w:rPr>
        <w:t>状</w:t>
      </w:r>
      <w:r>
        <w:rPr>
          <w:w w:val="95"/>
          <w:vertAlign w:val="baseline"/>
        </w:rPr>
        <w:t>肌</w:t>
      </w:r>
      <w:r>
        <w:rPr>
          <w:spacing w:val="-10"/>
          <w:w w:val="95"/>
          <w:vertAlign w:val="baseline"/>
        </w:rPr>
        <w:t>外</w:t>
      </w:r>
    </w:p>
    <w:p>
      <w:pPr>
        <w:pStyle w:val="BodyText"/>
        <w:spacing w:line="417" w:lineRule="auto" w:before="199"/>
        <w:ind w:left="1970" w:right="3455"/>
      </w:pPr>
      <w:r>
        <w:rPr>
          <w:rFonts w:ascii="Times New Roman" w:eastAsia="Times New Roman"/>
          <w:spacing w:val="-2"/>
        </w:rPr>
        <w:t>pT</w:t>
      </w:r>
      <w:r>
        <w:rPr>
          <w:rFonts w:ascii="Times New Roman" w:eastAsia="Times New Roman"/>
          <w:spacing w:val="-2"/>
          <w:vertAlign w:val="subscript"/>
        </w:rPr>
        <w:t>4a</w:t>
      </w:r>
      <w:r>
        <w:rPr>
          <w:spacing w:val="-2"/>
          <w:vertAlign w:val="baseline"/>
        </w:rPr>
        <w:t>：侵犯喉、气管、食管、喉反神经及皮下软组织 </w:t>
      </w:r>
      <w:r>
        <w:rPr>
          <w:rFonts w:ascii="Times New Roman" w:eastAsia="Times New Roman"/>
          <w:spacing w:val="-2"/>
          <w:vertAlign w:val="baseline"/>
        </w:rPr>
        <w:t>pT</w:t>
      </w:r>
      <w:r>
        <w:rPr>
          <w:rFonts w:ascii="Times New Roman" w:eastAsia="Times New Roman"/>
          <w:spacing w:val="-2"/>
          <w:vertAlign w:val="subscript"/>
        </w:rPr>
        <w:t>4b</w:t>
      </w:r>
      <w:r>
        <w:rPr>
          <w:spacing w:val="-2"/>
          <w:vertAlign w:val="baseline"/>
        </w:rPr>
        <w:t>：侵犯椎前筋膜，或包裹颈动脉、纵隔血管</w:t>
      </w:r>
    </w:p>
    <w:p>
      <w:pPr>
        <w:pStyle w:val="ListParagraph"/>
        <w:numPr>
          <w:ilvl w:val="2"/>
          <w:numId w:val="3"/>
        </w:numPr>
        <w:tabs>
          <w:tab w:pos="1969" w:val="left" w:leader="none"/>
          <w:tab w:pos="1970" w:val="left" w:leader="none"/>
        </w:tabs>
        <w:spacing w:line="269" w:lineRule="exact" w:before="0" w:after="0"/>
        <w:ind w:left="1970" w:right="0" w:hanging="363"/>
        <w:jc w:val="left"/>
        <w:rPr>
          <w:rFonts w:ascii="Times New Roman" w:eastAsia="Times New Roman"/>
          <w:sz w:val="21"/>
        </w:rPr>
      </w:pPr>
      <w:r>
        <w:rPr>
          <w:spacing w:val="-4"/>
          <w:sz w:val="21"/>
        </w:rPr>
        <w:t>甲状腺髓样癌</w:t>
      </w:r>
    </w:p>
    <w:p>
      <w:pPr>
        <w:pStyle w:val="BodyText"/>
        <w:rPr>
          <w:sz w:val="15"/>
        </w:rPr>
      </w:pPr>
    </w:p>
    <w:p>
      <w:pPr>
        <w:pStyle w:val="BodyText"/>
        <w:spacing w:line="417" w:lineRule="auto" w:before="0"/>
        <w:ind w:left="1970" w:right="6006"/>
      </w:pPr>
      <w:r>
        <w:rPr>
          <w:rFonts w:ascii="Times New Roman" w:eastAsia="Times New Roman"/>
          <w:spacing w:val="-2"/>
        </w:rPr>
        <w:t>pT</w:t>
      </w:r>
      <w:r>
        <w:rPr>
          <w:rFonts w:ascii="Times New Roman" w:eastAsia="Times New Roman"/>
          <w:spacing w:val="-2"/>
          <w:vertAlign w:val="subscript"/>
        </w:rPr>
        <w:t>X</w:t>
      </w:r>
      <w:r>
        <w:rPr>
          <w:spacing w:val="-2"/>
          <w:vertAlign w:val="baseline"/>
        </w:rPr>
        <w:t>：原发肿瘤不能评估 </w:t>
      </w:r>
      <w:r>
        <w:rPr>
          <w:rFonts w:ascii="Times New Roman" w:eastAsia="Times New Roman"/>
          <w:spacing w:val="-2"/>
          <w:vertAlign w:val="baseline"/>
        </w:rPr>
        <w:t>pT</w:t>
      </w:r>
      <w:r>
        <w:rPr>
          <w:rFonts w:ascii="Times New Roman" w:eastAsia="Times New Roman"/>
          <w:spacing w:val="-2"/>
          <w:vertAlign w:val="subscript"/>
        </w:rPr>
        <w:t>0</w:t>
      </w:r>
      <w:r>
        <w:rPr>
          <w:spacing w:val="-2"/>
          <w:vertAlign w:val="baseline"/>
        </w:rPr>
        <w:t>：无肿瘤证据</w:t>
      </w:r>
    </w:p>
    <w:p>
      <w:pPr>
        <w:pStyle w:val="BodyText"/>
        <w:spacing w:line="417" w:lineRule="auto" w:before="0"/>
        <w:ind w:left="2573" w:right="4371" w:hanging="603"/>
        <w:rPr>
          <w:rFonts w:ascii="Times New Roman" w:hAnsi="Times New Roman" w:eastAsia="Times New Roman"/>
        </w:rPr>
      </w:pPr>
      <w:r>
        <w:rPr>
          <w:rFonts w:ascii="Times New Roman" w:hAnsi="Times New Roman" w:eastAsia="Times New Roman"/>
          <w:spacing w:val="-2"/>
        </w:rPr>
        <w:t>pT</w:t>
      </w:r>
      <w:r>
        <w:rPr>
          <w:rFonts w:ascii="Times New Roman" w:hAnsi="Times New Roman" w:eastAsia="Times New Roman"/>
          <w:spacing w:val="-2"/>
          <w:vertAlign w:val="subscript"/>
        </w:rPr>
        <w:t>1</w:t>
      </w:r>
      <w:r>
        <w:rPr>
          <w:spacing w:val="-2"/>
          <w:vertAlign w:val="baseline"/>
        </w:rPr>
        <w:t>：肿瘤局限在甲状腺内，最大径≤</w:t>
      </w:r>
      <w:r>
        <w:rPr>
          <w:rFonts w:ascii="Times New Roman" w:hAnsi="Times New Roman" w:eastAsia="Times New Roman"/>
          <w:spacing w:val="-2"/>
          <w:vertAlign w:val="baseline"/>
        </w:rPr>
        <w:t>2c</w:t>
      </w:r>
      <w:r>
        <w:rPr>
          <w:rFonts w:ascii="Times New Roman" w:hAnsi="Times New Roman" w:eastAsia="Times New Roman"/>
          <w:spacing w:val="-2"/>
          <w:vertAlign w:val="baseline"/>
        </w:rPr>
        <w:t>m </w:t>
      </w:r>
      <w:r>
        <w:rPr>
          <w:rFonts w:ascii="Times New Roman" w:hAnsi="Times New Roman" w:eastAsia="Times New Roman"/>
          <w:vertAlign w:val="baseline"/>
        </w:rPr>
        <w:t>T</w:t>
      </w:r>
      <w:r>
        <w:rPr>
          <w:rFonts w:ascii="Times New Roman" w:hAnsi="Times New Roman" w:eastAsia="Times New Roman"/>
          <w:vertAlign w:val="subscript"/>
        </w:rPr>
        <w:t>1a</w:t>
      </w:r>
      <w:r>
        <w:rPr>
          <w:rFonts w:ascii="Times New Roman" w:hAnsi="Times New Roman" w:eastAsia="Times New Roman"/>
          <w:spacing w:val="-18"/>
          <w:vertAlign w:val="baseline"/>
        </w:rPr>
        <w:t> </w:t>
      </w:r>
      <w:r>
        <w:rPr>
          <w:vertAlign w:val="baseline"/>
        </w:rPr>
        <w:t>肿瘤最大径≤</w:t>
      </w:r>
      <w:r>
        <w:rPr>
          <w:rFonts w:ascii="Times New Roman" w:hAnsi="Times New Roman" w:eastAsia="Times New Roman"/>
          <w:vertAlign w:val="baseline"/>
        </w:rPr>
        <w:t>1cm</w:t>
      </w:r>
    </w:p>
    <w:p>
      <w:pPr>
        <w:pStyle w:val="BodyText"/>
        <w:spacing w:line="417" w:lineRule="auto" w:before="0"/>
        <w:ind w:left="1970" w:right="4480" w:firstLine="603"/>
        <w:rPr>
          <w:rFonts w:ascii="Times New Roman" w:hAnsi="Times New Roman" w:eastAsia="Times New Roman"/>
        </w:rPr>
      </w:pPr>
      <w:r>
        <w:rPr>
          <w:rFonts w:ascii="Times New Roman" w:hAnsi="Times New Roman" w:eastAsia="Times New Roman"/>
          <w:spacing w:val="-2"/>
        </w:rPr>
        <w:t>T</w:t>
      </w:r>
      <w:r>
        <w:rPr>
          <w:rFonts w:ascii="Times New Roman" w:hAnsi="Times New Roman" w:eastAsia="Times New Roman"/>
          <w:spacing w:val="-2"/>
          <w:vertAlign w:val="subscript"/>
        </w:rPr>
        <w:t>1b</w:t>
      </w:r>
      <w:r>
        <w:rPr>
          <w:rFonts w:ascii="Times New Roman" w:hAnsi="Times New Roman" w:eastAsia="Times New Roman"/>
          <w:spacing w:val="-17"/>
          <w:vertAlign w:val="baseline"/>
        </w:rPr>
        <w:t> </w:t>
      </w:r>
      <w:r>
        <w:rPr>
          <w:spacing w:val="-2"/>
          <w:vertAlign w:val="baseline"/>
        </w:rPr>
        <w:t>肿瘤最大径＞</w:t>
      </w:r>
      <w:r>
        <w:rPr>
          <w:rFonts w:ascii="Times New Roman" w:hAnsi="Times New Roman" w:eastAsia="Times New Roman"/>
          <w:spacing w:val="-2"/>
          <w:vertAlign w:val="baseline"/>
        </w:rPr>
        <w:t>1cm</w:t>
      </w:r>
      <w:r>
        <w:rPr>
          <w:spacing w:val="-2"/>
          <w:vertAlign w:val="baseline"/>
        </w:rPr>
        <w:t>，</w:t>
      </w:r>
      <w:r>
        <w:rPr>
          <w:rFonts w:ascii="黑体" w:hAnsi="黑体" w:eastAsia="黑体"/>
          <w:spacing w:val="-2"/>
          <w:vertAlign w:val="baseline"/>
        </w:rPr>
        <w:t>≤</w:t>
      </w:r>
      <w:r>
        <w:rPr>
          <w:rFonts w:ascii="Times New Roman" w:hAnsi="Times New Roman" w:eastAsia="Times New Roman"/>
          <w:spacing w:val="-2"/>
          <w:vertAlign w:val="baseline"/>
        </w:rPr>
        <w:t>2c</w:t>
      </w:r>
      <w:r>
        <w:rPr>
          <w:rFonts w:ascii="Times New Roman" w:hAnsi="Times New Roman" w:eastAsia="Times New Roman"/>
          <w:spacing w:val="-2"/>
          <w:vertAlign w:val="baseline"/>
        </w:rPr>
        <w:t>m </w:t>
      </w:r>
      <w:r>
        <w:rPr>
          <w:rFonts w:ascii="Times New Roman" w:hAnsi="Times New Roman" w:eastAsia="Times New Roman"/>
          <w:vertAlign w:val="baseline"/>
        </w:rPr>
        <w:t>pT</w:t>
      </w:r>
      <w:r>
        <w:rPr>
          <w:rFonts w:ascii="Times New Roman" w:hAnsi="Times New Roman" w:eastAsia="Times New Roman"/>
          <w:vertAlign w:val="subscript"/>
        </w:rPr>
        <w:t>2</w:t>
      </w:r>
      <w:r>
        <w:rPr>
          <w:spacing w:val="-10"/>
          <w:vertAlign w:val="baseline"/>
        </w:rPr>
        <w:t>：肿瘤 </w:t>
      </w:r>
      <w:r>
        <w:rPr>
          <w:rFonts w:ascii="Times New Roman" w:hAnsi="Times New Roman" w:eastAsia="Times New Roman"/>
          <w:vertAlign w:val="baseline"/>
        </w:rPr>
        <w:t>2</w:t>
      </w:r>
      <w:r>
        <w:rPr>
          <w:vertAlign w:val="baseline"/>
        </w:rPr>
        <w:t>～</w:t>
      </w:r>
      <w:r>
        <w:rPr>
          <w:rFonts w:ascii="Times New Roman" w:hAnsi="Times New Roman" w:eastAsia="Times New Roman"/>
          <w:vertAlign w:val="baseline"/>
        </w:rPr>
        <w:t>4cm</w:t>
      </w:r>
    </w:p>
    <w:p>
      <w:pPr>
        <w:pStyle w:val="BodyText"/>
        <w:spacing w:line="417" w:lineRule="auto" w:before="0"/>
        <w:ind w:left="1970" w:right="2523"/>
      </w:pPr>
      <w:r>
        <w:rPr>
          <w:rFonts w:ascii="Times New Roman" w:eastAsia="Times New Roman"/>
          <w:spacing w:val="-2"/>
        </w:rPr>
        <w:t>pT</w:t>
      </w:r>
      <w:r>
        <w:rPr>
          <w:rFonts w:ascii="Times New Roman" w:eastAsia="Times New Roman"/>
          <w:spacing w:val="-2"/>
          <w:vertAlign w:val="subscript"/>
        </w:rPr>
        <w:t>3</w:t>
      </w:r>
      <w:r>
        <w:rPr>
          <w:spacing w:val="-2"/>
          <w:vertAlign w:val="baseline"/>
        </w:rPr>
        <w:t>：肿瘤＞</w:t>
      </w:r>
      <w:r>
        <w:rPr>
          <w:rFonts w:ascii="Times New Roman" w:eastAsia="Times New Roman"/>
          <w:spacing w:val="-2"/>
          <w:vertAlign w:val="baseline"/>
        </w:rPr>
        <w:t>4cm</w:t>
      </w:r>
      <w:r>
        <w:rPr>
          <w:spacing w:val="-2"/>
          <w:vertAlign w:val="baseline"/>
        </w:rPr>
        <w:t>，局限于甲状腺内或大体侵犯甲状腺外带状肌</w:t>
      </w:r>
      <w:r>
        <w:rPr>
          <w:spacing w:val="-2"/>
          <w:vertAlign w:val="baseline"/>
        </w:rPr>
        <w:t> </w:t>
      </w:r>
      <w:r>
        <w:rPr>
          <w:rFonts w:ascii="Times New Roman" w:eastAsia="Times New Roman"/>
          <w:spacing w:val="-2"/>
          <w:vertAlign w:val="baseline"/>
        </w:rPr>
        <w:t>pT</w:t>
      </w:r>
      <w:r>
        <w:rPr>
          <w:rFonts w:ascii="Times New Roman" w:eastAsia="Times New Roman"/>
          <w:spacing w:val="-2"/>
          <w:vertAlign w:val="subscript"/>
        </w:rPr>
        <w:t>3a</w:t>
      </w:r>
      <w:r>
        <w:rPr>
          <w:spacing w:val="-2"/>
          <w:vertAlign w:val="baseline"/>
        </w:rPr>
        <w:t>：肿瘤＞</w:t>
      </w:r>
      <w:r>
        <w:rPr>
          <w:rFonts w:ascii="Times New Roman" w:eastAsia="Times New Roman"/>
          <w:spacing w:val="-2"/>
          <w:vertAlign w:val="baseline"/>
        </w:rPr>
        <w:t>4cm</w:t>
      </w:r>
      <w:r>
        <w:rPr>
          <w:spacing w:val="-2"/>
          <w:vertAlign w:val="baseline"/>
        </w:rPr>
        <w:t>，局限于甲状腺内</w:t>
      </w:r>
    </w:p>
    <w:p>
      <w:pPr>
        <w:pStyle w:val="BodyText"/>
        <w:spacing w:before="0"/>
        <w:ind w:left="1970"/>
      </w:pPr>
      <w:r>
        <w:rPr>
          <w:rFonts w:ascii="Times New Roman" w:eastAsia="Times New Roman"/>
          <w:w w:val="95"/>
        </w:rPr>
        <w:t>pT</w:t>
      </w:r>
      <w:r>
        <w:rPr>
          <w:rFonts w:ascii="Times New Roman" w:eastAsia="Times New Roman"/>
          <w:w w:val="95"/>
          <w:vertAlign w:val="subscript"/>
        </w:rPr>
        <w:t>3b</w:t>
      </w:r>
      <w:r>
        <w:rPr>
          <w:w w:val="95"/>
          <w:vertAlign w:val="baseline"/>
        </w:rPr>
        <w:t>：大体侵犯甲状</w:t>
      </w:r>
      <w:r>
        <w:rPr>
          <w:w w:val="95"/>
          <w:vertAlign w:val="baseline"/>
        </w:rPr>
        <w:t>腺</w:t>
      </w:r>
      <w:r>
        <w:rPr>
          <w:w w:val="95"/>
          <w:vertAlign w:val="baseline"/>
        </w:rPr>
        <w:t>外</w:t>
      </w:r>
      <w:r>
        <w:rPr>
          <w:w w:val="95"/>
          <w:vertAlign w:val="baseline"/>
        </w:rPr>
        <w:t>带</w:t>
      </w:r>
      <w:r>
        <w:rPr>
          <w:w w:val="95"/>
          <w:vertAlign w:val="baseline"/>
        </w:rPr>
        <w:t>状</w:t>
      </w:r>
      <w:r>
        <w:rPr>
          <w:spacing w:val="-2"/>
          <w:w w:val="95"/>
          <w:vertAlign w:val="baseline"/>
        </w:rPr>
        <w:t>肌，无论肿瘤大小</w:t>
      </w:r>
    </w:p>
    <w:p>
      <w:pPr>
        <w:pStyle w:val="BodyText"/>
        <w:spacing w:before="198"/>
        <w:ind w:left="2558"/>
      </w:pPr>
      <w:r>
        <w:rPr>
          <w:spacing w:val="-3"/>
        </w:rPr>
        <w:t>带状肌包括：胸骨舌骨肌、胸骨甲状肌、甲状舌骨肌、肩胛舌骨肌</w:t>
      </w:r>
    </w:p>
    <w:p>
      <w:pPr>
        <w:pStyle w:val="BodyText"/>
        <w:rPr>
          <w:sz w:val="15"/>
        </w:rPr>
      </w:pPr>
    </w:p>
    <w:p>
      <w:pPr>
        <w:pStyle w:val="BodyText"/>
        <w:spacing w:before="0"/>
        <w:ind w:left="1970"/>
      </w:pPr>
      <w:r>
        <w:rPr>
          <w:rFonts w:ascii="Times New Roman" w:eastAsia="Times New Roman"/>
          <w:w w:val="95"/>
        </w:rPr>
        <w:t>pT</w:t>
      </w:r>
      <w:r>
        <w:rPr>
          <w:rFonts w:ascii="Times New Roman" w:eastAsia="Times New Roman"/>
          <w:w w:val="95"/>
          <w:vertAlign w:val="subscript"/>
        </w:rPr>
        <w:t>4</w:t>
      </w:r>
      <w:r>
        <w:rPr>
          <w:spacing w:val="-2"/>
          <w:w w:val="95"/>
          <w:vertAlign w:val="baseline"/>
        </w:rPr>
        <w:t>：进展期病变</w:t>
      </w:r>
    </w:p>
    <w:p>
      <w:pPr>
        <w:pStyle w:val="BodyText"/>
        <w:spacing w:line="278" w:lineRule="auto" w:before="199"/>
        <w:ind w:left="2495" w:right="884" w:hanging="526"/>
      </w:pPr>
      <w:r>
        <w:rPr>
          <w:rFonts w:ascii="Times New Roman" w:eastAsia="Times New Roman"/>
          <w:spacing w:val="-6"/>
        </w:rPr>
        <w:t>pT</w:t>
      </w:r>
      <w:r>
        <w:rPr>
          <w:rFonts w:ascii="Times New Roman" w:eastAsia="Times New Roman"/>
          <w:spacing w:val="-6"/>
          <w:vertAlign w:val="subscript"/>
        </w:rPr>
        <w:t>4a</w:t>
      </w:r>
      <w:r>
        <w:rPr>
          <w:spacing w:val="-6"/>
          <w:vertAlign w:val="baseline"/>
        </w:rPr>
        <w:t>：中度进展，任何大小的肿瘤，侵犯甲状腺外颈部周围器官和软组织，如喉、</w:t>
      </w:r>
      <w:r>
        <w:rPr>
          <w:spacing w:val="-2"/>
          <w:vertAlign w:val="baseline"/>
        </w:rPr>
        <w:t>气管、食管、喉反神经及皮下软组织</w:t>
      </w:r>
    </w:p>
    <w:p>
      <w:pPr>
        <w:spacing w:after="0" w:line="278" w:lineRule="auto"/>
        <w:sectPr>
          <w:pgSz w:w="11910" w:h="16840"/>
          <w:pgMar w:top="1380" w:bottom="280" w:left="1280" w:right="420"/>
        </w:sectPr>
      </w:pPr>
    </w:p>
    <w:p>
      <w:pPr>
        <w:pStyle w:val="BodyText"/>
        <w:spacing w:before="44"/>
        <w:ind w:left="1970"/>
      </w:pPr>
      <w:r>
        <w:rPr>
          <w:spacing w:val="-2"/>
          <w:position w:val="1"/>
        </w:rPr>
        <w:t>pT</w:t>
      </w:r>
      <w:r>
        <w:rPr>
          <w:spacing w:val="-2"/>
          <w:sz w:val="11"/>
        </w:rPr>
        <w:t>4b</w:t>
      </w:r>
      <w:r>
        <w:rPr>
          <w:spacing w:val="-3"/>
          <w:position w:val="1"/>
        </w:rPr>
        <w:t>：重度进展，任何大小的肿瘤，侵犯椎前筋膜，或包裹颈动脉、纵隔血管</w:t>
      </w:r>
    </w:p>
    <w:p>
      <w:pPr>
        <w:pStyle w:val="BodyText"/>
        <w:rPr>
          <w:sz w:val="15"/>
        </w:rPr>
      </w:pPr>
    </w:p>
    <w:p>
      <w:pPr>
        <w:pStyle w:val="ListParagraph"/>
        <w:numPr>
          <w:ilvl w:val="2"/>
          <w:numId w:val="3"/>
        </w:numPr>
        <w:tabs>
          <w:tab w:pos="1969" w:val="left" w:leader="none"/>
          <w:tab w:pos="1970" w:val="left" w:leader="none"/>
        </w:tabs>
        <w:spacing w:line="240" w:lineRule="auto" w:before="0" w:after="0"/>
        <w:ind w:left="1970" w:right="0" w:hanging="363"/>
        <w:jc w:val="left"/>
        <w:rPr>
          <w:rFonts w:ascii="Times New Roman" w:eastAsia="Times New Roman"/>
          <w:sz w:val="21"/>
        </w:rPr>
      </w:pPr>
      <w:r>
        <w:rPr>
          <w:spacing w:val="-3"/>
          <w:sz w:val="21"/>
        </w:rPr>
        <w:t>区域淋巴结：适用于所有甲状腺癌</w:t>
      </w:r>
    </w:p>
    <w:p>
      <w:pPr>
        <w:pStyle w:val="BodyText"/>
        <w:rPr>
          <w:sz w:val="15"/>
        </w:rPr>
      </w:pPr>
    </w:p>
    <w:p>
      <w:pPr>
        <w:pStyle w:val="BodyText"/>
        <w:spacing w:line="417" w:lineRule="auto" w:before="0"/>
        <w:ind w:left="1970" w:right="5805"/>
      </w:pPr>
      <w:r>
        <w:rPr>
          <w:rFonts w:ascii="Times New Roman" w:eastAsia="Times New Roman"/>
          <w:spacing w:val="-2"/>
        </w:rPr>
        <w:t>pN</w:t>
      </w:r>
      <w:r>
        <w:rPr>
          <w:rFonts w:ascii="Times New Roman" w:eastAsia="Times New Roman"/>
          <w:spacing w:val="-2"/>
          <w:vertAlign w:val="subscript"/>
        </w:rPr>
        <w:t>x</w:t>
      </w:r>
      <w:r>
        <w:rPr>
          <w:spacing w:val="-2"/>
          <w:vertAlign w:val="baseline"/>
        </w:rPr>
        <w:t>：区域淋巴结无法评估 </w:t>
      </w:r>
      <w:r>
        <w:rPr>
          <w:rFonts w:ascii="Times New Roman" w:eastAsia="Times New Roman"/>
          <w:spacing w:val="-2"/>
          <w:vertAlign w:val="baseline"/>
        </w:rPr>
        <w:t>pN</w:t>
      </w:r>
      <w:r>
        <w:rPr>
          <w:rFonts w:ascii="Times New Roman" w:eastAsia="Times New Roman"/>
          <w:spacing w:val="-2"/>
          <w:vertAlign w:val="subscript"/>
        </w:rPr>
        <w:t>0</w:t>
      </w:r>
      <w:r>
        <w:rPr>
          <w:spacing w:val="-2"/>
          <w:vertAlign w:val="baseline"/>
        </w:rPr>
        <w:t>：无淋巴结转移证据</w:t>
      </w:r>
      <w:r>
        <w:rPr>
          <w:spacing w:val="-2"/>
          <w:vertAlign w:val="baseline"/>
        </w:rPr>
        <w:t> </w:t>
      </w:r>
      <w:r>
        <w:rPr>
          <w:rFonts w:ascii="Times New Roman" w:eastAsia="Times New Roman"/>
          <w:spacing w:val="-2"/>
          <w:vertAlign w:val="baseline"/>
        </w:rPr>
        <w:t>pN</w:t>
      </w:r>
      <w:r>
        <w:rPr>
          <w:rFonts w:ascii="Times New Roman" w:eastAsia="Times New Roman"/>
          <w:spacing w:val="-2"/>
          <w:vertAlign w:val="subscript"/>
        </w:rPr>
        <w:t>1</w:t>
      </w:r>
      <w:r>
        <w:rPr>
          <w:spacing w:val="-2"/>
          <w:vertAlign w:val="baseline"/>
        </w:rPr>
        <w:t>：区域淋巴结转移</w:t>
      </w:r>
    </w:p>
    <w:p>
      <w:pPr>
        <w:pStyle w:val="BodyText"/>
        <w:spacing w:line="278" w:lineRule="auto" w:before="0"/>
        <w:ind w:left="2568" w:right="991" w:hanging="599"/>
      </w:pPr>
      <w:r>
        <w:rPr>
          <w:rFonts w:ascii="Times New Roman" w:eastAsia="Times New Roman"/>
        </w:rPr>
        <w:t>pN</w:t>
      </w:r>
      <w:r>
        <w:rPr>
          <w:rFonts w:ascii="Times New Roman" w:eastAsia="Times New Roman"/>
          <w:vertAlign w:val="subscript"/>
        </w:rPr>
        <w:t>1a</w:t>
      </w:r>
      <w:r>
        <w:rPr>
          <w:spacing w:val="-6"/>
          <w:vertAlign w:val="baseline"/>
        </w:rPr>
        <w:t>：转移至 </w:t>
      </w:r>
      <w:r>
        <w:rPr>
          <w:rFonts w:ascii="Times New Roman" w:eastAsia="Times New Roman"/>
          <w:vertAlign w:val="baseline"/>
        </w:rPr>
        <w:t>VI</w:t>
      </w:r>
      <w:r>
        <w:rPr>
          <w:vertAlign w:val="baseline"/>
        </w:rPr>
        <w:t>、</w:t>
      </w:r>
      <w:r>
        <w:rPr>
          <w:rFonts w:ascii="Times New Roman" w:eastAsia="Times New Roman"/>
          <w:vertAlign w:val="baseline"/>
        </w:rPr>
        <w:t>VII</w:t>
      </w:r>
      <w:r>
        <w:rPr>
          <w:rFonts w:ascii="Times New Roman" w:eastAsia="Times New Roman"/>
          <w:spacing w:val="21"/>
          <w:vertAlign w:val="baseline"/>
        </w:rPr>
        <w:t> </w:t>
      </w:r>
      <w:r>
        <w:rPr>
          <w:vertAlign w:val="baseline"/>
        </w:rPr>
        <w:t>区（包括气管旁、气管前、喉前</w:t>
      </w:r>
      <w:r>
        <w:rPr>
          <w:rFonts w:ascii="Times New Roman" w:eastAsia="Times New Roman"/>
          <w:vertAlign w:val="baseline"/>
        </w:rPr>
        <w:t>/Delphian</w:t>
      </w:r>
      <w:r>
        <w:rPr>
          <w:rFonts w:ascii="Times New Roman" w:eastAsia="Times New Roman"/>
          <w:spacing w:val="25"/>
          <w:vertAlign w:val="baseline"/>
        </w:rPr>
        <w:t> </w:t>
      </w:r>
      <w:r>
        <w:rPr>
          <w:vertAlign w:val="baseline"/>
        </w:rPr>
        <w:t>或上纵隔）淋</w:t>
      </w:r>
      <w:r>
        <w:rPr>
          <w:spacing w:val="-2"/>
          <w:vertAlign w:val="baseline"/>
        </w:rPr>
        <w:t>巴结，可以为单侧或双侧。</w:t>
      </w:r>
    </w:p>
    <w:p>
      <w:pPr>
        <w:pStyle w:val="BodyText"/>
        <w:spacing w:line="278" w:lineRule="auto" w:before="155"/>
        <w:ind w:left="2580" w:right="991" w:hanging="611"/>
      </w:pPr>
      <w:r>
        <w:rPr>
          <w:rFonts w:ascii="Times New Roman" w:eastAsia="Times New Roman"/>
        </w:rPr>
        <w:t>pN</w:t>
      </w:r>
      <w:r>
        <w:rPr>
          <w:rFonts w:ascii="Times New Roman" w:eastAsia="Times New Roman"/>
          <w:vertAlign w:val="subscript"/>
        </w:rPr>
        <w:t>1b</w:t>
      </w:r>
      <w:r>
        <w:rPr>
          <w:vertAlign w:val="baseline"/>
        </w:rPr>
        <w:t>：单侧、双侧或对侧颈淋巴结转移（</w:t>
      </w:r>
      <w:r>
        <w:rPr>
          <w:spacing w:val="-18"/>
          <w:vertAlign w:val="baseline"/>
        </w:rPr>
        <w:t>包括 </w:t>
      </w:r>
      <w:r>
        <w:rPr>
          <w:rFonts w:ascii="Times New Roman" w:eastAsia="Times New Roman"/>
          <w:vertAlign w:val="baseline"/>
        </w:rPr>
        <w:t>I</w:t>
      </w:r>
      <w:r>
        <w:rPr>
          <w:vertAlign w:val="baseline"/>
        </w:rPr>
        <w:t>、</w:t>
      </w:r>
      <w:r>
        <w:rPr>
          <w:rFonts w:ascii="Times New Roman" w:eastAsia="Times New Roman"/>
          <w:vertAlign w:val="baseline"/>
        </w:rPr>
        <w:t>II</w:t>
      </w:r>
      <w:r>
        <w:rPr>
          <w:vertAlign w:val="baseline"/>
        </w:rPr>
        <w:t>、</w:t>
      </w:r>
      <w:r>
        <w:rPr>
          <w:rFonts w:ascii="Times New Roman" w:eastAsia="Times New Roman"/>
          <w:vertAlign w:val="baseline"/>
        </w:rPr>
        <w:t>III</w:t>
      </w:r>
      <w:r>
        <w:rPr>
          <w:vertAlign w:val="baseline"/>
        </w:rPr>
        <w:t>、</w:t>
      </w:r>
      <w:r>
        <w:rPr>
          <w:rFonts w:ascii="Times New Roman" w:eastAsia="Times New Roman"/>
          <w:vertAlign w:val="baseline"/>
        </w:rPr>
        <w:t>IV</w:t>
      </w:r>
      <w:r>
        <w:rPr>
          <w:rFonts w:ascii="Times New Roman" w:eastAsia="Times New Roman"/>
          <w:spacing w:val="-14"/>
          <w:vertAlign w:val="baseline"/>
        </w:rPr>
        <w:t> </w:t>
      </w:r>
      <w:r>
        <w:rPr>
          <w:spacing w:val="37"/>
          <w:vertAlign w:val="baseline"/>
        </w:rPr>
        <w:t>或</w:t>
      </w:r>
      <w:r>
        <w:rPr>
          <w:rFonts w:ascii="Times New Roman" w:eastAsia="Times New Roman"/>
          <w:vertAlign w:val="baseline"/>
        </w:rPr>
        <w:t>V</w:t>
      </w:r>
      <w:r>
        <w:rPr>
          <w:rFonts w:ascii="Times New Roman" w:eastAsia="Times New Roman"/>
          <w:spacing w:val="-13"/>
          <w:vertAlign w:val="baseline"/>
        </w:rPr>
        <w:t> </w:t>
      </w:r>
      <w:r>
        <w:rPr>
          <w:vertAlign w:val="baseline"/>
        </w:rPr>
        <w:t>区）淋巴结或</w:t>
      </w:r>
      <w:r>
        <w:rPr>
          <w:spacing w:val="-2"/>
          <w:vertAlign w:val="baseline"/>
        </w:rPr>
        <w:t>咽后淋巴结转移。</w:t>
      </w:r>
    </w:p>
    <w:p>
      <w:pPr>
        <w:pStyle w:val="ListParagraph"/>
        <w:numPr>
          <w:ilvl w:val="2"/>
          <w:numId w:val="3"/>
        </w:numPr>
        <w:tabs>
          <w:tab w:pos="1969" w:val="left" w:leader="none"/>
          <w:tab w:pos="1970" w:val="left" w:leader="none"/>
        </w:tabs>
        <w:spacing w:line="240" w:lineRule="auto" w:before="156" w:after="0"/>
        <w:ind w:left="1970" w:right="0" w:hanging="363"/>
        <w:jc w:val="left"/>
        <w:rPr>
          <w:rFonts w:ascii="Times New Roman" w:eastAsia="Times New Roman"/>
          <w:sz w:val="21"/>
        </w:rPr>
      </w:pPr>
      <w:r>
        <w:rPr>
          <w:spacing w:val="-3"/>
          <w:sz w:val="21"/>
        </w:rPr>
        <w:t>远处转移：适用于所有甲状腺癌</w:t>
      </w:r>
    </w:p>
    <w:p>
      <w:pPr>
        <w:pStyle w:val="BodyText"/>
        <w:rPr>
          <w:sz w:val="15"/>
        </w:rPr>
      </w:pPr>
    </w:p>
    <w:p>
      <w:pPr>
        <w:pStyle w:val="BodyText"/>
        <w:spacing w:line="417" w:lineRule="auto" w:before="0"/>
        <w:ind w:left="1970" w:right="6715"/>
      </w:pPr>
      <w:r>
        <w:rPr/>
        <w:pict>
          <v:shapetype id="_x0000_t202" o:spt="202" coordsize="21600,21600" path="m,l,21600r21600,l21600,xe">
            <v:stroke joinstyle="miter"/>
            <v:path gradientshapeok="t" o:connecttype="rect"/>
          </v:shapetype>
          <v:shape style="position:absolute;margin-left:141.37999pt;margin-top:45.660011pt;width:383.75pt;height:419.45pt;mso-position-horizontal-relative:page;mso-position-vertical-relative:paragraph;z-index:15735808" type="#_x0000_t202" id="docshape1" filled="false" stroked="false">
            <v:textbox inset="0,0,0,0">
              <w:txbxContent>
                <w:tbl>
                  <w:tblPr>
                    <w:tblW w:w="0" w:type="auto"/>
                    <w:jc w:val="left"/>
                    <w:tblInd w:w="1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
                  <w:tblGrid>
                    <w:gridCol w:w="2552"/>
                    <w:gridCol w:w="1702"/>
                    <w:gridCol w:w="1699"/>
                    <w:gridCol w:w="1702"/>
                  </w:tblGrid>
                  <w:tr>
                    <w:trPr>
                      <w:trHeight w:val="311" w:hRule="atLeast"/>
                    </w:trPr>
                    <w:tc>
                      <w:tcPr>
                        <w:tcW w:w="7655" w:type="dxa"/>
                        <w:gridSpan w:val="4"/>
                        <w:tcBorders>
                          <w:bottom w:val="single" w:sz="4" w:space="0" w:color="000000"/>
                        </w:tcBorders>
                      </w:tcPr>
                      <w:p>
                        <w:pPr>
                          <w:pStyle w:val="TableParagraph"/>
                          <w:rPr>
                            <w:rFonts w:ascii="宋体" w:eastAsia="宋体" w:hint="eastAsia"/>
                            <w:sz w:val="21"/>
                          </w:rPr>
                        </w:pPr>
                        <w:r>
                          <w:rPr>
                            <w:rFonts w:ascii="宋体" w:eastAsia="宋体" w:hint="eastAsia"/>
                            <w:spacing w:val="-2"/>
                            <w:sz w:val="21"/>
                          </w:rPr>
                          <w:t>乳头状或滤泡状癌（分化型</w:t>
                        </w:r>
                        <w:r>
                          <w:rPr>
                            <w:rFonts w:ascii="宋体" w:eastAsia="宋体" w:hint="eastAsia"/>
                            <w:spacing w:val="-10"/>
                            <w:sz w:val="21"/>
                          </w:rPr>
                          <w:t>）</w:t>
                        </w:r>
                      </w:p>
                    </w:tc>
                  </w:tr>
                  <w:tr>
                    <w:trPr>
                      <w:trHeight w:val="311" w:hRule="atLeast"/>
                    </w:trPr>
                    <w:tc>
                      <w:tcPr>
                        <w:tcW w:w="7655" w:type="dxa"/>
                        <w:gridSpan w:val="4"/>
                        <w:tcBorders>
                          <w:top w:val="single" w:sz="4" w:space="0" w:color="000000"/>
                          <w:bottom w:val="single" w:sz="4" w:space="0" w:color="000000"/>
                        </w:tcBorders>
                      </w:tcPr>
                      <w:p>
                        <w:pPr>
                          <w:pStyle w:val="TableParagraph"/>
                          <w:rPr>
                            <w:rFonts w:ascii="宋体" w:eastAsia="宋体" w:hint="eastAsia"/>
                            <w:sz w:val="21"/>
                          </w:rPr>
                        </w:pPr>
                        <w:r>
                          <w:rPr>
                            <w:rFonts w:ascii="宋体" w:eastAsia="宋体" w:hint="eastAsia"/>
                            <w:sz w:val="21"/>
                          </w:rPr>
                          <w:t>年龄＜</w:t>
                        </w:r>
                        <w:r>
                          <w:rPr>
                            <w:sz w:val="21"/>
                          </w:rPr>
                          <w:t>55</w:t>
                        </w:r>
                        <w:r>
                          <w:rPr>
                            <w:spacing w:val="-5"/>
                            <w:sz w:val="21"/>
                          </w:rPr>
                          <w:t> </w:t>
                        </w:r>
                        <w:r>
                          <w:rPr>
                            <w:rFonts w:ascii="宋体" w:eastAsia="宋体" w:hint="eastAsia"/>
                            <w:spacing w:val="-10"/>
                            <w:sz w:val="21"/>
                          </w:rPr>
                          <w:t>岁</w:t>
                        </w:r>
                      </w:p>
                    </w:tc>
                  </w:tr>
                  <w:tr>
                    <w:trPr>
                      <w:trHeight w:val="314" w:hRule="atLeast"/>
                    </w:trPr>
                    <w:tc>
                      <w:tcPr>
                        <w:tcW w:w="2552" w:type="dxa"/>
                        <w:tcBorders>
                          <w:top w:val="single" w:sz="4" w:space="0" w:color="000000"/>
                          <w:bottom w:val="single" w:sz="4" w:space="0" w:color="000000"/>
                          <w:right w:val="single" w:sz="4" w:space="0" w:color="000000"/>
                        </w:tcBorders>
                      </w:tcPr>
                      <w:p>
                        <w:pPr>
                          <w:pStyle w:val="TableParagraph"/>
                          <w:spacing w:before="0"/>
                          <w:ind w:left="0"/>
                          <w:rPr>
                            <w:sz w:val="20"/>
                          </w:rPr>
                        </w:pPr>
                      </w:p>
                    </w:tc>
                    <w:tc>
                      <w:tcPr>
                        <w:tcW w:w="1702" w:type="dxa"/>
                        <w:tcBorders>
                          <w:top w:val="single" w:sz="4" w:space="0" w:color="000000"/>
                          <w:left w:val="single" w:sz="4" w:space="0" w:color="000000"/>
                          <w:bottom w:val="single" w:sz="4" w:space="0" w:color="000000"/>
                          <w:right w:val="single" w:sz="4" w:space="0" w:color="000000"/>
                        </w:tcBorders>
                      </w:tcPr>
                      <w:p>
                        <w:pPr>
                          <w:pStyle w:val="TableParagraph"/>
                          <w:spacing w:before="36"/>
                          <w:ind w:left="112"/>
                          <w:rPr>
                            <w:sz w:val="21"/>
                          </w:rPr>
                        </w:pPr>
                        <w:r>
                          <w:rPr>
                            <w:w w:val="100"/>
                            <w:sz w:val="21"/>
                          </w:rPr>
                          <w:t>T</w:t>
                        </w:r>
                      </w:p>
                    </w:tc>
                    <w:tc>
                      <w:tcPr>
                        <w:tcW w:w="1699" w:type="dxa"/>
                        <w:tcBorders>
                          <w:top w:val="single" w:sz="4" w:space="0" w:color="000000"/>
                          <w:left w:val="single" w:sz="4" w:space="0" w:color="000000"/>
                          <w:bottom w:val="single" w:sz="4" w:space="0" w:color="000000"/>
                          <w:right w:val="single" w:sz="4" w:space="0" w:color="000000"/>
                        </w:tcBorders>
                      </w:tcPr>
                      <w:p>
                        <w:pPr>
                          <w:pStyle w:val="TableParagraph"/>
                          <w:spacing w:before="36"/>
                          <w:ind w:left="110"/>
                          <w:rPr>
                            <w:sz w:val="21"/>
                          </w:rPr>
                        </w:pPr>
                        <w:r>
                          <w:rPr>
                            <w:w w:val="100"/>
                            <w:sz w:val="21"/>
                          </w:rPr>
                          <w:t>N</w:t>
                        </w:r>
                      </w:p>
                    </w:tc>
                    <w:tc>
                      <w:tcPr>
                        <w:tcW w:w="1702" w:type="dxa"/>
                        <w:tcBorders>
                          <w:top w:val="single" w:sz="4" w:space="0" w:color="000000"/>
                          <w:left w:val="single" w:sz="4" w:space="0" w:color="000000"/>
                          <w:bottom w:val="single" w:sz="4" w:space="0" w:color="000000"/>
                        </w:tcBorders>
                      </w:tcPr>
                      <w:p>
                        <w:pPr>
                          <w:pStyle w:val="TableParagraph"/>
                          <w:spacing w:before="36"/>
                          <w:ind w:left="108"/>
                          <w:rPr>
                            <w:sz w:val="21"/>
                          </w:rPr>
                        </w:pPr>
                        <w:r>
                          <w:rPr>
                            <w:w w:val="100"/>
                            <w:sz w:val="21"/>
                          </w:rPr>
                          <w:t>M</w:t>
                        </w:r>
                      </w:p>
                    </w:tc>
                  </w:tr>
                  <w:tr>
                    <w:trPr>
                      <w:trHeight w:val="311" w:hRule="atLeast"/>
                    </w:trPr>
                    <w:tc>
                      <w:tcPr>
                        <w:tcW w:w="2552" w:type="dxa"/>
                        <w:tcBorders>
                          <w:top w:val="single" w:sz="4" w:space="0" w:color="000000"/>
                          <w:bottom w:val="single" w:sz="4" w:space="0" w:color="000000"/>
                          <w:right w:val="single" w:sz="4" w:space="0" w:color="000000"/>
                        </w:tcBorders>
                      </w:tcPr>
                      <w:p>
                        <w:pPr>
                          <w:pStyle w:val="TableParagraph"/>
                          <w:rPr>
                            <w:rFonts w:ascii="宋体" w:eastAsia="宋体" w:hint="eastAsia"/>
                            <w:sz w:val="21"/>
                          </w:rPr>
                        </w:pPr>
                        <w:r>
                          <w:rPr>
                            <w:sz w:val="21"/>
                          </w:rPr>
                          <w:t>I</w:t>
                        </w:r>
                        <w:r>
                          <w:rPr>
                            <w:spacing w:val="-3"/>
                            <w:sz w:val="21"/>
                          </w:rPr>
                          <w:t> </w:t>
                        </w:r>
                        <w:r>
                          <w:rPr>
                            <w:rFonts w:ascii="宋体" w:eastAsia="宋体" w:hint="eastAsia"/>
                            <w:spacing w:val="-10"/>
                            <w:sz w:val="21"/>
                          </w:rPr>
                          <w:t>期</w:t>
                        </w:r>
                      </w:p>
                    </w:tc>
                    <w:tc>
                      <w:tcPr>
                        <w:tcW w:w="1702" w:type="dxa"/>
                        <w:tcBorders>
                          <w:top w:val="single" w:sz="4" w:space="0" w:color="000000"/>
                          <w:left w:val="single" w:sz="4" w:space="0" w:color="000000"/>
                          <w:bottom w:val="single" w:sz="4" w:space="0" w:color="000000"/>
                          <w:right w:val="single" w:sz="4" w:space="0" w:color="000000"/>
                        </w:tcBorders>
                      </w:tcPr>
                      <w:p>
                        <w:pPr>
                          <w:pStyle w:val="TableParagraph"/>
                          <w:ind w:left="112"/>
                          <w:rPr>
                            <w:rFonts w:ascii="宋体" w:eastAsia="宋体" w:hint="eastAsia"/>
                            <w:sz w:val="21"/>
                          </w:rPr>
                        </w:pPr>
                        <w:r>
                          <w:rPr>
                            <w:rFonts w:ascii="宋体" w:eastAsia="宋体" w:hint="eastAsia"/>
                            <w:spacing w:val="-5"/>
                            <w:sz w:val="21"/>
                          </w:rPr>
                          <w:t>任何</w:t>
                        </w:r>
                      </w:p>
                    </w:tc>
                    <w:tc>
                      <w:tcPr>
                        <w:tcW w:w="1699" w:type="dxa"/>
                        <w:tcBorders>
                          <w:top w:val="single" w:sz="4" w:space="0" w:color="000000"/>
                          <w:left w:val="single" w:sz="4" w:space="0" w:color="000000"/>
                          <w:bottom w:val="single" w:sz="4" w:space="0" w:color="000000"/>
                          <w:right w:val="single" w:sz="4" w:space="0" w:color="000000"/>
                        </w:tcBorders>
                      </w:tcPr>
                      <w:p>
                        <w:pPr>
                          <w:pStyle w:val="TableParagraph"/>
                          <w:ind w:left="110"/>
                          <w:rPr>
                            <w:rFonts w:ascii="宋体" w:eastAsia="宋体" w:hint="eastAsia"/>
                            <w:sz w:val="21"/>
                          </w:rPr>
                        </w:pPr>
                        <w:r>
                          <w:rPr>
                            <w:rFonts w:ascii="宋体" w:eastAsia="宋体" w:hint="eastAsia"/>
                            <w:spacing w:val="-5"/>
                            <w:sz w:val="21"/>
                          </w:rPr>
                          <w:t>任何</w:t>
                        </w:r>
                      </w:p>
                    </w:tc>
                    <w:tc>
                      <w:tcPr>
                        <w:tcW w:w="1702" w:type="dxa"/>
                        <w:tcBorders>
                          <w:top w:val="single" w:sz="4" w:space="0" w:color="000000"/>
                          <w:left w:val="single" w:sz="4" w:space="0" w:color="000000"/>
                          <w:bottom w:val="single" w:sz="4" w:space="0" w:color="000000"/>
                        </w:tcBorders>
                      </w:tcPr>
                      <w:p>
                        <w:pPr>
                          <w:pStyle w:val="TableParagraph"/>
                          <w:spacing w:before="34"/>
                          <w:ind w:left="108"/>
                          <w:rPr>
                            <w:sz w:val="21"/>
                          </w:rPr>
                        </w:pPr>
                        <w:r>
                          <w:rPr>
                            <w:w w:val="100"/>
                            <w:sz w:val="21"/>
                          </w:rPr>
                          <w:t>0</w:t>
                        </w:r>
                      </w:p>
                    </w:tc>
                  </w:tr>
                  <w:tr>
                    <w:trPr>
                      <w:trHeight w:val="311" w:hRule="atLeast"/>
                    </w:trPr>
                    <w:tc>
                      <w:tcPr>
                        <w:tcW w:w="2552" w:type="dxa"/>
                        <w:tcBorders>
                          <w:top w:val="single" w:sz="4" w:space="0" w:color="000000"/>
                          <w:bottom w:val="single" w:sz="4" w:space="0" w:color="000000"/>
                          <w:right w:val="single" w:sz="4" w:space="0" w:color="000000"/>
                        </w:tcBorders>
                      </w:tcPr>
                      <w:p>
                        <w:pPr>
                          <w:pStyle w:val="TableParagraph"/>
                          <w:rPr>
                            <w:rFonts w:ascii="宋体" w:eastAsia="宋体" w:hint="eastAsia"/>
                            <w:sz w:val="21"/>
                          </w:rPr>
                        </w:pPr>
                        <w:r>
                          <w:rPr>
                            <w:sz w:val="21"/>
                          </w:rPr>
                          <w:t>II</w:t>
                        </w:r>
                        <w:r>
                          <w:rPr>
                            <w:spacing w:val="-4"/>
                            <w:sz w:val="21"/>
                          </w:rPr>
                          <w:t> </w:t>
                        </w:r>
                        <w:r>
                          <w:rPr>
                            <w:rFonts w:ascii="宋体" w:eastAsia="宋体" w:hint="eastAsia"/>
                            <w:spacing w:val="-10"/>
                            <w:sz w:val="21"/>
                          </w:rPr>
                          <w:t>期</w:t>
                        </w:r>
                      </w:p>
                    </w:tc>
                    <w:tc>
                      <w:tcPr>
                        <w:tcW w:w="1702" w:type="dxa"/>
                        <w:tcBorders>
                          <w:top w:val="single" w:sz="4" w:space="0" w:color="000000"/>
                          <w:left w:val="single" w:sz="4" w:space="0" w:color="000000"/>
                          <w:bottom w:val="single" w:sz="4" w:space="0" w:color="000000"/>
                          <w:right w:val="single" w:sz="4" w:space="0" w:color="000000"/>
                        </w:tcBorders>
                      </w:tcPr>
                      <w:p>
                        <w:pPr>
                          <w:pStyle w:val="TableParagraph"/>
                          <w:ind w:left="112"/>
                          <w:rPr>
                            <w:rFonts w:ascii="宋体" w:eastAsia="宋体" w:hint="eastAsia"/>
                            <w:sz w:val="21"/>
                          </w:rPr>
                        </w:pPr>
                        <w:r>
                          <w:rPr>
                            <w:rFonts w:ascii="宋体" w:eastAsia="宋体" w:hint="eastAsia"/>
                            <w:spacing w:val="-5"/>
                            <w:sz w:val="21"/>
                          </w:rPr>
                          <w:t>任何</w:t>
                        </w:r>
                      </w:p>
                    </w:tc>
                    <w:tc>
                      <w:tcPr>
                        <w:tcW w:w="1699" w:type="dxa"/>
                        <w:tcBorders>
                          <w:top w:val="single" w:sz="4" w:space="0" w:color="000000"/>
                          <w:left w:val="single" w:sz="4" w:space="0" w:color="000000"/>
                          <w:bottom w:val="single" w:sz="4" w:space="0" w:color="000000"/>
                          <w:right w:val="single" w:sz="4" w:space="0" w:color="000000"/>
                        </w:tcBorders>
                      </w:tcPr>
                      <w:p>
                        <w:pPr>
                          <w:pStyle w:val="TableParagraph"/>
                          <w:ind w:left="110"/>
                          <w:rPr>
                            <w:rFonts w:ascii="宋体" w:eastAsia="宋体" w:hint="eastAsia"/>
                            <w:sz w:val="21"/>
                          </w:rPr>
                        </w:pPr>
                        <w:r>
                          <w:rPr>
                            <w:rFonts w:ascii="宋体" w:eastAsia="宋体" w:hint="eastAsia"/>
                            <w:spacing w:val="-5"/>
                            <w:sz w:val="21"/>
                          </w:rPr>
                          <w:t>任何</w:t>
                        </w:r>
                      </w:p>
                    </w:tc>
                    <w:tc>
                      <w:tcPr>
                        <w:tcW w:w="1702" w:type="dxa"/>
                        <w:tcBorders>
                          <w:top w:val="single" w:sz="4" w:space="0" w:color="000000"/>
                          <w:left w:val="single" w:sz="4" w:space="0" w:color="000000"/>
                          <w:bottom w:val="single" w:sz="4" w:space="0" w:color="000000"/>
                        </w:tcBorders>
                      </w:tcPr>
                      <w:p>
                        <w:pPr>
                          <w:pStyle w:val="TableParagraph"/>
                          <w:spacing w:before="34"/>
                          <w:ind w:left="108"/>
                          <w:rPr>
                            <w:sz w:val="21"/>
                          </w:rPr>
                        </w:pPr>
                        <w:r>
                          <w:rPr>
                            <w:w w:val="100"/>
                            <w:sz w:val="21"/>
                          </w:rPr>
                          <w:t>1</w:t>
                        </w:r>
                      </w:p>
                    </w:tc>
                  </w:tr>
                  <w:tr>
                    <w:trPr>
                      <w:trHeight w:val="311" w:hRule="atLeast"/>
                    </w:trPr>
                    <w:tc>
                      <w:tcPr>
                        <w:tcW w:w="7655" w:type="dxa"/>
                        <w:gridSpan w:val="4"/>
                        <w:tcBorders>
                          <w:top w:val="single" w:sz="4" w:space="0" w:color="000000"/>
                          <w:bottom w:val="single" w:sz="4" w:space="0" w:color="000000"/>
                        </w:tcBorders>
                      </w:tcPr>
                      <w:p>
                        <w:pPr>
                          <w:pStyle w:val="TableParagraph"/>
                          <w:rPr>
                            <w:rFonts w:ascii="宋体" w:hAnsi="宋体" w:eastAsia="宋体" w:hint="eastAsia"/>
                            <w:sz w:val="21"/>
                          </w:rPr>
                        </w:pPr>
                        <w:r>
                          <w:rPr>
                            <w:rFonts w:ascii="宋体" w:hAnsi="宋体" w:eastAsia="宋体" w:hint="eastAsia"/>
                            <w:sz w:val="21"/>
                          </w:rPr>
                          <w:t>年龄≥</w:t>
                        </w:r>
                        <w:r>
                          <w:rPr>
                            <w:sz w:val="21"/>
                          </w:rPr>
                          <w:t>55</w:t>
                        </w:r>
                        <w:r>
                          <w:rPr>
                            <w:spacing w:val="-5"/>
                            <w:sz w:val="21"/>
                          </w:rPr>
                          <w:t> </w:t>
                        </w:r>
                        <w:r>
                          <w:rPr>
                            <w:rFonts w:ascii="宋体" w:hAnsi="宋体" w:eastAsia="宋体" w:hint="eastAsia"/>
                            <w:spacing w:val="-10"/>
                            <w:sz w:val="21"/>
                          </w:rPr>
                          <w:t>岁</w:t>
                        </w:r>
                      </w:p>
                    </w:tc>
                  </w:tr>
                  <w:tr>
                    <w:trPr>
                      <w:trHeight w:val="311" w:hRule="atLeast"/>
                    </w:trPr>
                    <w:tc>
                      <w:tcPr>
                        <w:tcW w:w="2552" w:type="dxa"/>
                        <w:vMerge w:val="restart"/>
                        <w:tcBorders>
                          <w:top w:val="single" w:sz="4" w:space="0" w:color="000000"/>
                          <w:bottom w:val="single" w:sz="4" w:space="0" w:color="000000"/>
                          <w:right w:val="single" w:sz="4" w:space="0" w:color="000000"/>
                        </w:tcBorders>
                      </w:tcPr>
                      <w:p>
                        <w:pPr>
                          <w:pStyle w:val="TableParagraph"/>
                          <w:spacing w:before="183"/>
                          <w:rPr>
                            <w:rFonts w:ascii="宋体" w:eastAsia="宋体" w:hint="eastAsia"/>
                            <w:sz w:val="21"/>
                          </w:rPr>
                        </w:pPr>
                        <w:r>
                          <w:rPr>
                            <w:sz w:val="21"/>
                          </w:rPr>
                          <w:t>I</w:t>
                        </w:r>
                        <w:r>
                          <w:rPr>
                            <w:spacing w:val="-3"/>
                            <w:sz w:val="21"/>
                          </w:rPr>
                          <w:t> </w:t>
                        </w:r>
                        <w:r>
                          <w:rPr>
                            <w:rFonts w:ascii="宋体" w:eastAsia="宋体" w:hint="eastAsia"/>
                            <w:spacing w:val="-10"/>
                            <w:sz w:val="21"/>
                          </w:rPr>
                          <w:t>期</w:t>
                        </w:r>
                      </w:p>
                    </w:tc>
                    <w:tc>
                      <w:tcPr>
                        <w:tcW w:w="1702" w:type="dxa"/>
                        <w:tcBorders>
                          <w:top w:val="single" w:sz="4" w:space="0" w:color="000000"/>
                          <w:left w:val="single" w:sz="4" w:space="0" w:color="000000"/>
                          <w:bottom w:val="single" w:sz="4" w:space="0" w:color="000000"/>
                          <w:right w:val="single" w:sz="4" w:space="0" w:color="000000"/>
                        </w:tcBorders>
                      </w:tcPr>
                      <w:p>
                        <w:pPr>
                          <w:pStyle w:val="TableParagraph"/>
                          <w:spacing w:before="34"/>
                          <w:ind w:left="112"/>
                          <w:rPr>
                            <w:sz w:val="21"/>
                          </w:rPr>
                        </w:pPr>
                        <w:r>
                          <w:rPr>
                            <w:w w:val="100"/>
                            <w:sz w:val="21"/>
                          </w:rPr>
                          <w:t>1</w:t>
                        </w:r>
                      </w:p>
                    </w:tc>
                    <w:tc>
                      <w:tcPr>
                        <w:tcW w:w="1699" w:type="dxa"/>
                        <w:tcBorders>
                          <w:top w:val="single" w:sz="4" w:space="0" w:color="000000"/>
                          <w:left w:val="single" w:sz="4" w:space="0" w:color="000000"/>
                          <w:bottom w:val="single" w:sz="4" w:space="0" w:color="000000"/>
                          <w:right w:val="single" w:sz="4" w:space="0" w:color="000000"/>
                        </w:tcBorders>
                      </w:tcPr>
                      <w:p>
                        <w:pPr>
                          <w:pStyle w:val="TableParagraph"/>
                          <w:spacing w:before="34"/>
                          <w:ind w:left="110"/>
                          <w:rPr>
                            <w:sz w:val="21"/>
                          </w:rPr>
                        </w:pPr>
                        <w:r>
                          <w:rPr>
                            <w:spacing w:val="-5"/>
                            <w:sz w:val="21"/>
                          </w:rPr>
                          <w:t>0/x</w:t>
                        </w:r>
                      </w:p>
                    </w:tc>
                    <w:tc>
                      <w:tcPr>
                        <w:tcW w:w="1702" w:type="dxa"/>
                        <w:tcBorders>
                          <w:top w:val="single" w:sz="4" w:space="0" w:color="000000"/>
                          <w:left w:val="single" w:sz="4" w:space="0" w:color="000000"/>
                          <w:bottom w:val="single" w:sz="4" w:space="0" w:color="000000"/>
                        </w:tcBorders>
                      </w:tcPr>
                      <w:p>
                        <w:pPr>
                          <w:pStyle w:val="TableParagraph"/>
                          <w:spacing w:before="34"/>
                          <w:ind w:left="108"/>
                          <w:rPr>
                            <w:sz w:val="21"/>
                          </w:rPr>
                        </w:pPr>
                        <w:r>
                          <w:rPr>
                            <w:w w:val="100"/>
                            <w:sz w:val="21"/>
                          </w:rPr>
                          <w:t>0</w:t>
                        </w:r>
                      </w:p>
                    </w:tc>
                  </w:tr>
                  <w:tr>
                    <w:trPr>
                      <w:trHeight w:val="311" w:hRule="atLeast"/>
                    </w:trPr>
                    <w:tc>
                      <w:tcPr>
                        <w:tcW w:w="2552" w:type="dxa"/>
                        <w:vMerge/>
                        <w:tcBorders>
                          <w:top w:val="nil"/>
                          <w:bottom w:val="single" w:sz="4" w:space="0" w:color="000000"/>
                          <w:right w:val="single" w:sz="4" w:space="0" w:color="000000"/>
                        </w:tcBorders>
                      </w:tcPr>
                      <w:p>
                        <w:pPr>
                          <w:rPr>
                            <w:sz w:val="2"/>
                            <w:szCs w:val="2"/>
                          </w:rPr>
                        </w:pPr>
                      </w:p>
                    </w:tc>
                    <w:tc>
                      <w:tcPr>
                        <w:tcW w:w="1702" w:type="dxa"/>
                        <w:tcBorders>
                          <w:top w:val="single" w:sz="4" w:space="0" w:color="000000"/>
                          <w:left w:val="single" w:sz="4" w:space="0" w:color="000000"/>
                          <w:bottom w:val="single" w:sz="4" w:space="0" w:color="000000"/>
                          <w:right w:val="single" w:sz="4" w:space="0" w:color="000000"/>
                        </w:tcBorders>
                      </w:tcPr>
                      <w:p>
                        <w:pPr>
                          <w:pStyle w:val="TableParagraph"/>
                          <w:spacing w:before="34"/>
                          <w:ind w:left="112"/>
                          <w:rPr>
                            <w:sz w:val="21"/>
                          </w:rPr>
                        </w:pPr>
                        <w:r>
                          <w:rPr>
                            <w:w w:val="100"/>
                            <w:sz w:val="21"/>
                          </w:rPr>
                          <w:t>2</w:t>
                        </w:r>
                      </w:p>
                    </w:tc>
                    <w:tc>
                      <w:tcPr>
                        <w:tcW w:w="1699" w:type="dxa"/>
                        <w:tcBorders>
                          <w:top w:val="single" w:sz="4" w:space="0" w:color="000000"/>
                          <w:left w:val="single" w:sz="4" w:space="0" w:color="000000"/>
                          <w:bottom w:val="single" w:sz="4" w:space="0" w:color="000000"/>
                          <w:right w:val="single" w:sz="4" w:space="0" w:color="000000"/>
                        </w:tcBorders>
                      </w:tcPr>
                      <w:p>
                        <w:pPr>
                          <w:pStyle w:val="TableParagraph"/>
                          <w:spacing w:before="34"/>
                          <w:ind w:left="110"/>
                          <w:rPr>
                            <w:sz w:val="21"/>
                          </w:rPr>
                        </w:pPr>
                        <w:r>
                          <w:rPr>
                            <w:spacing w:val="-5"/>
                            <w:sz w:val="21"/>
                          </w:rPr>
                          <w:t>0/x</w:t>
                        </w:r>
                      </w:p>
                    </w:tc>
                    <w:tc>
                      <w:tcPr>
                        <w:tcW w:w="1702" w:type="dxa"/>
                        <w:tcBorders>
                          <w:top w:val="single" w:sz="4" w:space="0" w:color="000000"/>
                          <w:left w:val="single" w:sz="4" w:space="0" w:color="000000"/>
                          <w:bottom w:val="single" w:sz="4" w:space="0" w:color="000000"/>
                        </w:tcBorders>
                      </w:tcPr>
                      <w:p>
                        <w:pPr>
                          <w:pStyle w:val="TableParagraph"/>
                          <w:spacing w:before="34"/>
                          <w:ind w:left="108"/>
                          <w:rPr>
                            <w:sz w:val="21"/>
                          </w:rPr>
                        </w:pPr>
                        <w:r>
                          <w:rPr>
                            <w:w w:val="100"/>
                            <w:sz w:val="21"/>
                          </w:rPr>
                          <w:t>0</w:t>
                        </w:r>
                      </w:p>
                    </w:tc>
                  </w:tr>
                  <w:tr>
                    <w:trPr>
                      <w:trHeight w:val="314" w:hRule="atLeast"/>
                    </w:trPr>
                    <w:tc>
                      <w:tcPr>
                        <w:tcW w:w="2552" w:type="dxa"/>
                        <w:vMerge w:val="restart"/>
                        <w:tcBorders>
                          <w:top w:val="single" w:sz="4" w:space="0" w:color="000000"/>
                          <w:bottom w:val="single" w:sz="4" w:space="0" w:color="000000"/>
                          <w:right w:val="single" w:sz="4" w:space="0" w:color="000000"/>
                        </w:tcBorders>
                      </w:tcPr>
                      <w:p>
                        <w:pPr>
                          <w:pStyle w:val="TableParagraph"/>
                          <w:spacing w:before="186"/>
                          <w:rPr>
                            <w:rFonts w:ascii="宋体" w:eastAsia="宋体" w:hint="eastAsia"/>
                            <w:sz w:val="21"/>
                          </w:rPr>
                        </w:pPr>
                        <w:r>
                          <w:rPr>
                            <w:sz w:val="21"/>
                          </w:rPr>
                          <w:t>II</w:t>
                        </w:r>
                        <w:r>
                          <w:rPr>
                            <w:spacing w:val="-4"/>
                            <w:sz w:val="21"/>
                          </w:rPr>
                          <w:t> </w:t>
                        </w:r>
                        <w:r>
                          <w:rPr>
                            <w:rFonts w:ascii="宋体" w:eastAsia="宋体" w:hint="eastAsia"/>
                            <w:spacing w:val="-10"/>
                            <w:sz w:val="21"/>
                          </w:rPr>
                          <w:t>期</w:t>
                        </w:r>
                      </w:p>
                    </w:tc>
                    <w:tc>
                      <w:tcPr>
                        <w:tcW w:w="1702" w:type="dxa"/>
                        <w:tcBorders>
                          <w:top w:val="single" w:sz="4" w:space="0" w:color="000000"/>
                          <w:left w:val="single" w:sz="4" w:space="0" w:color="000000"/>
                          <w:bottom w:val="single" w:sz="4" w:space="0" w:color="000000"/>
                          <w:right w:val="single" w:sz="4" w:space="0" w:color="000000"/>
                        </w:tcBorders>
                      </w:tcPr>
                      <w:p>
                        <w:pPr>
                          <w:pStyle w:val="TableParagraph"/>
                          <w:spacing w:before="25"/>
                          <w:ind w:left="112"/>
                          <w:rPr>
                            <w:sz w:val="21"/>
                          </w:rPr>
                        </w:pPr>
                        <w:r>
                          <w:rPr>
                            <w:spacing w:val="-5"/>
                            <w:sz w:val="21"/>
                          </w:rPr>
                          <w:t>1</w:t>
                        </w:r>
                        <w:r>
                          <w:rPr>
                            <w:rFonts w:ascii="宋体" w:eastAsia="宋体" w:hint="eastAsia"/>
                            <w:spacing w:val="-5"/>
                            <w:sz w:val="21"/>
                          </w:rPr>
                          <w:t>～</w:t>
                        </w:r>
                        <w:r>
                          <w:rPr>
                            <w:spacing w:val="-5"/>
                            <w:sz w:val="21"/>
                          </w:rPr>
                          <w:t>2</w:t>
                        </w:r>
                      </w:p>
                    </w:tc>
                    <w:tc>
                      <w:tcPr>
                        <w:tcW w:w="1699" w:type="dxa"/>
                        <w:tcBorders>
                          <w:top w:val="single" w:sz="4" w:space="0" w:color="000000"/>
                          <w:left w:val="single" w:sz="4" w:space="0" w:color="000000"/>
                          <w:bottom w:val="single" w:sz="4" w:space="0" w:color="000000"/>
                          <w:right w:val="single" w:sz="4" w:space="0" w:color="000000"/>
                        </w:tcBorders>
                      </w:tcPr>
                      <w:p>
                        <w:pPr>
                          <w:pStyle w:val="TableParagraph"/>
                          <w:spacing w:before="37"/>
                          <w:ind w:left="110"/>
                          <w:rPr>
                            <w:sz w:val="21"/>
                          </w:rPr>
                        </w:pPr>
                        <w:r>
                          <w:rPr>
                            <w:w w:val="100"/>
                            <w:sz w:val="21"/>
                          </w:rPr>
                          <w:t>1</w:t>
                        </w:r>
                      </w:p>
                    </w:tc>
                    <w:tc>
                      <w:tcPr>
                        <w:tcW w:w="1702" w:type="dxa"/>
                        <w:tcBorders>
                          <w:top w:val="single" w:sz="4" w:space="0" w:color="000000"/>
                          <w:left w:val="single" w:sz="4" w:space="0" w:color="000000"/>
                          <w:bottom w:val="single" w:sz="4" w:space="0" w:color="000000"/>
                        </w:tcBorders>
                      </w:tcPr>
                      <w:p>
                        <w:pPr>
                          <w:pStyle w:val="TableParagraph"/>
                          <w:spacing w:before="37"/>
                          <w:ind w:left="108"/>
                          <w:rPr>
                            <w:sz w:val="21"/>
                          </w:rPr>
                        </w:pPr>
                        <w:r>
                          <w:rPr>
                            <w:w w:val="100"/>
                            <w:sz w:val="21"/>
                          </w:rPr>
                          <w:t>0</w:t>
                        </w:r>
                      </w:p>
                    </w:tc>
                  </w:tr>
                  <w:tr>
                    <w:trPr>
                      <w:trHeight w:val="311" w:hRule="atLeast"/>
                    </w:trPr>
                    <w:tc>
                      <w:tcPr>
                        <w:tcW w:w="2552" w:type="dxa"/>
                        <w:vMerge/>
                        <w:tcBorders>
                          <w:top w:val="nil"/>
                          <w:bottom w:val="single" w:sz="4" w:space="0" w:color="000000"/>
                          <w:right w:val="single" w:sz="4" w:space="0" w:color="000000"/>
                        </w:tcBorders>
                      </w:tcPr>
                      <w:p>
                        <w:pPr>
                          <w:rPr>
                            <w:sz w:val="2"/>
                            <w:szCs w:val="2"/>
                          </w:rPr>
                        </w:pPr>
                      </w:p>
                    </w:tc>
                    <w:tc>
                      <w:tcPr>
                        <w:tcW w:w="1702" w:type="dxa"/>
                        <w:tcBorders>
                          <w:top w:val="single" w:sz="4" w:space="0" w:color="000000"/>
                          <w:left w:val="single" w:sz="4" w:space="0" w:color="000000"/>
                          <w:bottom w:val="single" w:sz="4" w:space="0" w:color="000000"/>
                          <w:right w:val="single" w:sz="4" w:space="0" w:color="000000"/>
                        </w:tcBorders>
                      </w:tcPr>
                      <w:p>
                        <w:pPr>
                          <w:pStyle w:val="TableParagraph"/>
                          <w:ind w:left="112"/>
                          <w:rPr>
                            <w:sz w:val="21"/>
                          </w:rPr>
                        </w:pPr>
                        <w:r>
                          <w:rPr>
                            <w:spacing w:val="-4"/>
                            <w:sz w:val="21"/>
                          </w:rPr>
                          <w:t>3a</w:t>
                        </w:r>
                        <w:r>
                          <w:rPr>
                            <w:rFonts w:ascii="宋体" w:eastAsia="宋体" w:hint="eastAsia"/>
                            <w:spacing w:val="-4"/>
                            <w:sz w:val="21"/>
                          </w:rPr>
                          <w:t>～</w:t>
                        </w:r>
                        <w:r>
                          <w:rPr>
                            <w:spacing w:val="-4"/>
                            <w:sz w:val="21"/>
                          </w:rPr>
                          <w:t>3b</w:t>
                        </w:r>
                      </w:p>
                    </w:tc>
                    <w:tc>
                      <w:tcPr>
                        <w:tcW w:w="1699" w:type="dxa"/>
                        <w:tcBorders>
                          <w:top w:val="single" w:sz="4" w:space="0" w:color="000000"/>
                          <w:left w:val="single" w:sz="4" w:space="0" w:color="000000"/>
                          <w:bottom w:val="single" w:sz="4" w:space="0" w:color="000000"/>
                          <w:right w:val="single" w:sz="4" w:space="0" w:color="000000"/>
                        </w:tcBorders>
                      </w:tcPr>
                      <w:p>
                        <w:pPr>
                          <w:pStyle w:val="TableParagraph"/>
                          <w:ind w:left="110"/>
                          <w:rPr>
                            <w:rFonts w:ascii="宋体" w:eastAsia="宋体" w:hint="eastAsia"/>
                            <w:sz w:val="21"/>
                          </w:rPr>
                        </w:pPr>
                        <w:r>
                          <w:rPr>
                            <w:rFonts w:ascii="宋体" w:eastAsia="宋体" w:hint="eastAsia"/>
                            <w:spacing w:val="-5"/>
                            <w:sz w:val="21"/>
                          </w:rPr>
                          <w:t>任何</w:t>
                        </w:r>
                      </w:p>
                    </w:tc>
                    <w:tc>
                      <w:tcPr>
                        <w:tcW w:w="1702" w:type="dxa"/>
                        <w:tcBorders>
                          <w:top w:val="single" w:sz="4" w:space="0" w:color="000000"/>
                          <w:left w:val="single" w:sz="4" w:space="0" w:color="000000"/>
                          <w:bottom w:val="single" w:sz="4" w:space="0" w:color="000000"/>
                        </w:tcBorders>
                      </w:tcPr>
                      <w:p>
                        <w:pPr>
                          <w:pStyle w:val="TableParagraph"/>
                          <w:spacing w:before="34"/>
                          <w:ind w:left="108"/>
                          <w:rPr>
                            <w:sz w:val="21"/>
                          </w:rPr>
                        </w:pPr>
                        <w:r>
                          <w:rPr>
                            <w:w w:val="100"/>
                            <w:sz w:val="21"/>
                          </w:rPr>
                          <w:t>0</w:t>
                        </w:r>
                      </w:p>
                    </w:tc>
                  </w:tr>
                  <w:tr>
                    <w:trPr>
                      <w:trHeight w:val="311" w:hRule="atLeast"/>
                    </w:trPr>
                    <w:tc>
                      <w:tcPr>
                        <w:tcW w:w="2552" w:type="dxa"/>
                        <w:tcBorders>
                          <w:top w:val="single" w:sz="4" w:space="0" w:color="000000"/>
                          <w:bottom w:val="single" w:sz="4" w:space="0" w:color="000000"/>
                          <w:right w:val="single" w:sz="4" w:space="0" w:color="000000"/>
                        </w:tcBorders>
                      </w:tcPr>
                      <w:p>
                        <w:pPr>
                          <w:pStyle w:val="TableParagraph"/>
                          <w:rPr>
                            <w:rFonts w:ascii="宋体" w:eastAsia="宋体" w:hint="eastAsia"/>
                            <w:sz w:val="21"/>
                          </w:rPr>
                        </w:pPr>
                        <w:r>
                          <w:rPr>
                            <w:sz w:val="21"/>
                          </w:rPr>
                          <w:t>III</w:t>
                        </w:r>
                        <w:r>
                          <w:rPr>
                            <w:spacing w:val="-5"/>
                            <w:sz w:val="21"/>
                          </w:rPr>
                          <w:t> </w:t>
                        </w:r>
                        <w:r>
                          <w:rPr>
                            <w:rFonts w:ascii="宋体" w:eastAsia="宋体" w:hint="eastAsia"/>
                            <w:spacing w:val="-10"/>
                            <w:sz w:val="21"/>
                          </w:rPr>
                          <w:t>期</w:t>
                        </w:r>
                      </w:p>
                    </w:tc>
                    <w:tc>
                      <w:tcPr>
                        <w:tcW w:w="1702" w:type="dxa"/>
                        <w:tcBorders>
                          <w:top w:val="single" w:sz="4" w:space="0" w:color="000000"/>
                          <w:left w:val="single" w:sz="4" w:space="0" w:color="000000"/>
                          <w:bottom w:val="single" w:sz="4" w:space="0" w:color="000000"/>
                          <w:right w:val="single" w:sz="4" w:space="0" w:color="000000"/>
                        </w:tcBorders>
                      </w:tcPr>
                      <w:p>
                        <w:pPr>
                          <w:pStyle w:val="TableParagraph"/>
                          <w:spacing w:before="34"/>
                          <w:ind w:left="112"/>
                          <w:rPr>
                            <w:sz w:val="21"/>
                          </w:rPr>
                        </w:pPr>
                        <w:r>
                          <w:rPr>
                            <w:spacing w:val="-5"/>
                            <w:sz w:val="21"/>
                          </w:rPr>
                          <w:t>4a</w:t>
                        </w:r>
                      </w:p>
                    </w:tc>
                    <w:tc>
                      <w:tcPr>
                        <w:tcW w:w="1699" w:type="dxa"/>
                        <w:tcBorders>
                          <w:top w:val="single" w:sz="4" w:space="0" w:color="000000"/>
                          <w:left w:val="single" w:sz="4" w:space="0" w:color="000000"/>
                          <w:bottom w:val="single" w:sz="4" w:space="0" w:color="000000"/>
                          <w:right w:val="single" w:sz="4" w:space="0" w:color="000000"/>
                        </w:tcBorders>
                      </w:tcPr>
                      <w:p>
                        <w:pPr>
                          <w:pStyle w:val="TableParagraph"/>
                          <w:ind w:left="110"/>
                          <w:rPr>
                            <w:rFonts w:ascii="宋体" w:eastAsia="宋体" w:hint="eastAsia"/>
                            <w:sz w:val="21"/>
                          </w:rPr>
                        </w:pPr>
                        <w:r>
                          <w:rPr>
                            <w:rFonts w:ascii="宋体" w:eastAsia="宋体" w:hint="eastAsia"/>
                            <w:spacing w:val="-5"/>
                            <w:sz w:val="21"/>
                          </w:rPr>
                          <w:t>任何</w:t>
                        </w:r>
                      </w:p>
                    </w:tc>
                    <w:tc>
                      <w:tcPr>
                        <w:tcW w:w="1702" w:type="dxa"/>
                        <w:tcBorders>
                          <w:top w:val="single" w:sz="4" w:space="0" w:color="000000"/>
                          <w:left w:val="single" w:sz="4" w:space="0" w:color="000000"/>
                          <w:bottom w:val="single" w:sz="4" w:space="0" w:color="000000"/>
                        </w:tcBorders>
                      </w:tcPr>
                      <w:p>
                        <w:pPr>
                          <w:pStyle w:val="TableParagraph"/>
                          <w:spacing w:before="34"/>
                          <w:ind w:left="108"/>
                          <w:rPr>
                            <w:sz w:val="21"/>
                          </w:rPr>
                        </w:pPr>
                        <w:r>
                          <w:rPr>
                            <w:w w:val="100"/>
                            <w:sz w:val="21"/>
                          </w:rPr>
                          <w:t>0</w:t>
                        </w:r>
                      </w:p>
                    </w:tc>
                  </w:tr>
                  <w:tr>
                    <w:trPr>
                      <w:trHeight w:val="311" w:hRule="atLeast"/>
                    </w:trPr>
                    <w:tc>
                      <w:tcPr>
                        <w:tcW w:w="2552" w:type="dxa"/>
                        <w:tcBorders>
                          <w:top w:val="single" w:sz="4" w:space="0" w:color="000000"/>
                          <w:bottom w:val="single" w:sz="4" w:space="0" w:color="000000"/>
                          <w:right w:val="single" w:sz="4" w:space="0" w:color="000000"/>
                        </w:tcBorders>
                      </w:tcPr>
                      <w:p>
                        <w:pPr>
                          <w:pStyle w:val="TableParagraph"/>
                          <w:rPr>
                            <w:rFonts w:ascii="宋体" w:eastAsia="宋体" w:hint="eastAsia"/>
                            <w:sz w:val="21"/>
                          </w:rPr>
                        </w:pPr>
                        <w:r>
                          <w:rPr>
                            <w:sz w:val="21"/>
                          </w:rPr>
                          <w:t>IVA</w:t>
                        </w:r>
                        <w:r>
                          <w:rPr>
                            <w:spacing w:val="-3"/>
                            <w:sz w:val="21"/>
                          </w:rPr>
                          <w:t> </w:t>
                        </w:r>
                        <w:r>
                          <w:rPr>
                            <w:rFonts w:ascii="宋体" w:eastAsia="宋体" w:hint="eastAsia"/>
                            <w:spacing w:val="-10"/>
                            <w:sz w:val="21"/>
                          </w:rPr>
                          <w:t>期</w:t>
                        </w:r>
                      </w:p>
                    </w:tc>
                    <w:tc>
                      <w:tcPr>
                        <w:tcW w:w="1702" w:type="dxa"/>
                        <w:tcBorders>
                          <w:top w:val="single" w:sz="4" w:space="0" w:color="000000"/>
                          <w:left w:val="single" w:sz="4" w:space="0" w:color="000000"/>
                          <w:bottom w:val="single" w:sz="4" w:space="0" w:color="000000"/>
                          <w:right w:val="single" w:sz="4" w:space="0" w:color="000000"/>
                        </w:tcBorders>
                      </w:tcPr>
                      <w:p>
                        <w:pPr>
                          <w:pStyle w:val="TableParagraph"/>
                          <w:spacing w:before="34"/>
                          <w:ind w:left="112"/>
                          <w:rPr>
                            <w:sz w:val="21"/>
                          </w:rPr>
                        </w:pPr>
                        <w:r>
                          <w:rPr>
                            <w:spacing w:val="-5"/>
                            <w:sz w:val="21"/>
                          </w:rPr>
                          <w:t>4b</w:t>
                        </w:r>
                      </w:p>
                    </w:tc>
                    <w:tc>
                      <w:tcPr>
                        <w:tcW w:w="1699" w:type="dxa"/>
                        <w:tcBorders>
                          <w:top w:val="single" w:sz="4" w:space="0" w:color="000000"/>
                          <w:left w:val="single" w:sz="4" w:space="0" w:color="000000"/>
                          <w:bottom w:val="single" w:sz="4" w:space="0" w:color="000000"/>
                          <w:right w:val="single" w:sz="4" w:space="0" w:color="000000"/>
                        </w:tcBorders>
                      </w:tcPr>
                      <w:p>
                        <w:pPr>
                          <w:pStyle w:val="TableParagraph"/>
                          <w:ind w:left="110"/>
                          <w:rPr>
                            <w:rFonts w:ascii="宋体" w:eastAsia="宋体" w:hint="eastAsia"/>
                            <w:sz w:val="21"/>
                          </w:rPr>
                        </w:pPr>
                        <w:r>
                          <w:rPr>
                            <w:rFonts w:ascii="宋体" w:eastAsia="宋体" w:hint="eastAsia"/>
                            <w:spacing w:val="-5"/>
                            <w:sz w:val="21"/>
                          </w:rPr>
                          <w:t>任何</w:t>
                        </w:r>
                      </w:p>
                    </w:tc>
                    <w:tc>
                      <w:tcPr>
                        <w:tcW w:w="1702" w:type="dxa"/>
                        <w:tcBorders>
                          <w:top w:val="single" w:sz="4" w:space="0" w:color="000000"/>
                          <w:left w:val="single" w:sz="4" w:space="0" w:color="000000"/>
                          <w:bottom w:val="single" w:sz="4" w:space="0" w:color="000000"/>
                        </w:tcBorders>
                      </w:tcPr>
                      <w:p>
                        <w:pPr>
                          <w:pStyle w:val="TableParagraph"/>
                          <w:spacing w:before="34"/>
                          <w:ind w:left="108"/>
                          <w:rPr>
                            <w:sz w:val="21"/>
                          </w:rPr>
                        </w:pPr>
                        <w:r>
                          <w:rPr>
                            <w:w w:val="100"/>
                            <w:sz w:val="21"/>
                          </w:rPr>
                          <w:t>0</w:t>
                        </w:r>
                      </w:p>
                    </w:tc>
                  </w:tr>
                  <w:tr>
                    <w:trPr>
                      <w:trHeight w:val="311" w:hRule="atLeast"/>
                    </w:trPr>
                    <w:tc>
                      <w:tcPr>
                        <w:tcW w:w="2552" w:type="dxa"/>
                        <w:tcBorders>
                          <w:top w:val="single" w:sz="4" w:space="0" w:color="000000"/>
                          <w:bottom w:val="single" w:sz="4" w:space="0" w:color="000000"/>
                          <w:right w:val="single" w:sz="4" w:space="0" w:color="000000"/>
                        </w:tcBorders>
                      </w:tcPr>
                      <w:p>
                        <w:pPr>
                          <w:pStyle w:val="TableParagraph"/>
                          <w:rPr>
                            <w:rFonts w:ascii="宋体" w:eastAsia="宋体" w:hint="eastAsia"/>
                            <w:sz w:val="21"/>
                          </w:rPr>
                        </w:pPr>
                        <w:r>
                          <w:rPr>
                            <w:sz w:val="21"/>
                          </w:rPr>
                          <w:t>IVB</w:t>
                        </w:r>
                        <w:r>
                          <w:rPr>
                            <w:spacing w:val="-3"/>
                            <w:sz w:val="21"/>
                          </w:rPr>
                          <w:t> </w:t>
                        </w:r>
                        <w:r>
                          <w:rPr>
                            <w:rFonts w:ascii="宋体" w:eastAsia="宋体" w:hint="eastAsia"/>
                            <w:spacing w:val="-10"/>
                            <w:sz w:val="21"/>
                          </w:rPr>
                          <w:t>期</w:t>
                        </w:r>
                      </w:p>
                    </w:tc>
                    <w:tc>
                      <w:tcPr>
                        <w:tcW w:w="1702" w:type="dxa"/>
                        <w:tcBorders>
                          <w:top w:val="single" w:sz="4" w:space="0" w:color="000000"/>
                          <w:left w:val="single" w:sz="4" w:space="0" w:color="000000"/>
                          <w:bottom w:val="single" w:sz="4" w:space="0" w:color="000000"/>
                          <w:right w:val="single" w:sz="4" w:space="0" w:color="000000"/>
                        </w:tcBorders>
                      </w:tcPr>
                      <w:p>
                        <w:pPr>
                          <w:pStyle w:val="TableParagraph"/>
                          <w:ind w:left="112"/>
                          <w:rPr>
                            <w:rFonts w:ascii="宋体" w:eastAsia="宋体" w:hint="eastAsia"/>
                            <w:sz w:val="21"/>
                          </w:rPr>
                        </w:pPr>
                        <w:r>
                          <w:rPr>
                            <w:rFonts w:ascii="宋体" w:eastAsia="宋体" w:hint="eastAsia"/>
                            <w:spacing w:val="-5"/>
                            <w:sz w:val="21"/>
                          </w:rPr>
                          <w:t>任何</w:t>
                        </w:r>
                      </w:p>
                    </w:tc>
                    <w:tc>
                      <w:tcPr>
                        <w:tcW w:w="1699" w:type="dxa"/>
                        <w:tcBorders>
                          <w:top w:val="single" w:sz="4" w:space="0" w:color="000000"/>
                          <w:left w:val="single" w:sz="4" w:space="0" w:color="000000"/>
                          <w:bottom w:val="single" w:sz="4" w:space="0" w:color="000000"/>
                          <w:right w:val="single" w:sz="4" w:space="0" w:color="000000"/>
                        </w:tcBorders>
                      </w:tcPr>
                      <w:p>
                        <w:pPr>
                          <w:pStyle w:val="TableParagraph"/>
                          <w:ind w:left="110"/>
                          <w:rPr>
                            <w:rFonts w:ascii="宋体" w:eastAsia="宋体" w:hint="eastAsia"/>
                            <w:sz w:val="21"/>
                          </w:rPr>
                        </w:pPr>
                        <w:r>
                          <w:rPr>
                            <w:rFonts w:ascii="宋体" w:eastAsia="宋体" w:hint="eastAsia"/>
                            <w:spacing w:val="-5"/>
                            <w:sz w:val="21"/>
                          </w:rPr>
                          <w:t>任何</w:t>
                        </w:r>
                      </w:p>
                    </w:tc>
                    <w:tc>
                      <w:tcPr>
                        <w:tcW w:w="1702" w:type="dxa"/>
                        <w:tcBorders>
                          <w:top w:val="single" w:sz="4" w:space="0" w:color="000000"/>
                          <w:left w:val="single" w:sz="4" w:space="0" w:color="000000"/>
                          <w:bottom w:val="single" w:sz="4" w:space="0" w:color="000000"/>
                        </w:tcBorders>
                      </w:tcPr>
                      <w:p>
                        <w:pPr>
                          <w:pStyle w:val="TableParagraph"/>
                          <w:spacing w:before="34"/>
                          <w:ind w:left="108"/>
                          <w:rPr>
                            <w:sz w:val="21"/>
                          </w:rPr>
                        </w:pPr>
                        <w:r>
                          <w:rPr>
                            <w:w w:val="100"/>
                            <w:sz w:val="21"/>
                          </w:rPr>
                          <w:t>1</w:t>
                        </w:r>
                      </w:p>
                    </w:tc>
                  </w:tr>
                  <w:tr>
                    <w:trPr>
                      <w:trHeight w:val="311" w:hRule="atLeast"/>
                    </w:trPr>
                    <w:tc>
                      <w:tcPr>
                        <w:tcW w:w="7655" w:type="dxa"/>
                        <w:gridSpan w:val="4"/>
                        <w:tcBorders>
                          <w:top w:val="single" w:sz="4" w:space="0" w:color="000000"/>
                          <w:bottom w:val="single" w:sz="4" w:space="0" w:color="000000"/>
                        </w:tcBorders>
                      </w:tcPr>
                      <w:p>
                        <w:pPr>
                          <w:pStyle w:val="TableParagraph"/>
                          <w:rPr>
                            <w:rFonts w:ascii="宋体" w:eastAsia="宋体" w:hint="eastAsia"/>
                            <w:sz w:val="21"/>
                          </w:rPr>
                        </w:pPr>
                        <w:r>
                          <w:rPr>
                            <w:rFonts w:ascii="宋体" w:eastAsia="宋体" w:hint="eastAsia"/>
                            <w:spacing w:val="-2"/>
                            <w:sz w:val="21"/>
                          </w:rPr>
                          <w:t>髓样癌（所有年龄组</w:t>
                        </w:r>
                        <w:r>
                          <w:rPr>
                            <w:rFonts w:ascii="宋体" w:eastAsia="宋体" w:hint="eastAsia"/>
                            <w:spacing w:val="-10"/>
                            <w:sz w:val="21"/>
                          </w:rPr>
                          <w:t>）</w:t>
                        </w:r>
                      </w:p>
                    </w:tc>
                  </w:tr>
                  <w:tr>
                    <w:trPr>
                      <w:trHeight w:val="313" w:hRule="atLeast"/>
                    </w:trPr>
                    <w:tc>
                      <w:tcPr>
                        <w:tcW w:w="2552" w:type="dxa"/>
                        <w:tcBorders>
                          <w:top w:val="single" w:sz="4" w:space="0" w:color="000000"/>
                          <w:bottom w:val="single" w:sz="4" w:space="0" w:color="000000"/>
                          <w:right w:val="single" w:sz="4" w:space="0" w:color="000000"/>
                        </w:tcBorders>
                      </w:tcPr>
                      <w:p>
                        <w:pPr>
                          <w:pStyle w:val="TableParagraph"/>
                          <w:spacing w:before="25"/>
                          <w:rPr>
                            <w:rFonts w:ascii="宋体" w:eastAsia="宋体" w:hint="eastAsia"/>
                            <w:sz w:val="21"/>
                          </w:rPr>
                        </w:pPr>
                        <w:r>
                          <w:rPr>
                            <w:sz w:val="21"/>
                          </w:rPr>
                          <w:t>I</w:t>
                        </w:r>
                        <w:r>
                          <w:rPr>
                            <w:spacing w:val="-3"/>
                            <w:sz w:val="21"/>
                          </w:rPr>
                          <w:t> </w:t>
                        </w:r>
                        <w:r>
                          <w:rPr>
                            <w:rFonts w:ascii="宋体" w:eastAsia="宋体" w:hint="eastAsia"/>
                            <w:spacing w:val="-10"/>
                            <w:sz w:val="21"/>
                          </w:rPr>
                          <w:t>期</w:t>
                        </w:r>
                      </w:p>
                    </w:tc>
                    <w:tc>
                      <w:tcPr>
                        <w:tcW w:w="1702" w:type="dxa"/>
                        <w:tcBorders>
                          <w:top w:val="single" w:sz="4" w:space="0" w:color="000000"/>
                          <w:left w:val="single" w:sz="4" w:space="0" w:color="000000"/>
                          <w:bottom w:val="single" w:sz="4" w:space="0" w:color="000000"/>
                          <w:right w:val="single" w:sz="4" w:space="0" w:color="000000"/>
                        </w:tcBorders>
                      </w:tcPr>
                      <w:p>
                        <w:pPr>
                          <w:pStyle w:val="TableParagraph"/>
                          <w:spacing w:before="36"/>
                          <w:ind w:left="112"/>
                          <w:rPr>
                            <w:sz w:val="21"/>
                          </w:rPr>
                        </w:pPr>
                        <w:r>
                          <w:rPr>
                            <w:w w:val="100"/>
                            <w:sz w:val="21"/>
                          </w:rPr>
                          <w:t>1</w:t>
                        </w:r>
                      </w:p>
                    </w:tc>
                    <w:tc>
                      <w:tcPr>
                        <w:tcW w:w="1699" w:type="dxa"/>
                        <w:tcBorders>
                          <w:top w:val="single" w:sz="4" w:space="0" w:color="000000"/>
                          <w:left w:val="single" w:sz="4" w:space="0" w:color="000000"/>
                          <w:bottom w:val="single" w:sz="4" w:space="0" w:color="000000"/>
                          <w:right w:val="single" w:sz="4" w:space="0" w:color="000000"/>
                        </w:tcBorders>
                      </w:tcPr>
                      <w:p>
                        <w:pPr>
                          <w:pStyle w:val="TableParagraph"/>
                          <w:spacing w:before="36"/>
                          <w:ind w:left="110"/>
                          <w:rPr>
                            <w:sz w:val="21"/>
                          </w:rPr>
                        </w:pPr>
                        <w:r>
                          <w:rPr>
                            <w:w w:val="100"/>
                            <w:sz w:val="21"/>
                          </w:rPr>
                          <w:t>0</w:t>
                        </w:r>
                      </w:p>
                    </w:tc>
                    <w:tc>
                      <w:tcPr>
                        <w:tcW w:w="1702" w:type="dxa"/>
                        <w:tcBorders>
                          <w:top w:val="single" w:sz="4" w:space="0" w:color="000000"/>
                          <w:left w:val="single" w:sz="4" w:space="0" w:color="000000"/>
                          <w:bottom w:val="single" w:sz="4" w:space="0" w:color="000000"/>
                        </w:tcBorders>
                      </w:tcPr>
                      <w:p>
                        <w:pPr>
                          <w:pStyle w:val="TableParagraph"/>
                          <w:spacing w:before="36"/>
                          <w:ind w:left="108"/>
                          <w:rPr>
                            <w:sz w:val="21"/>
                          </w:rPr>
                        </w:pPr>
                        <w:r>
                          <w:rPr>
                            <w:w w:val="100"/>
                            <w:sz w:val="21"/>
                          </w:rPr>
                          <w:t>0</w:t>
                        </w:r>
                      </w:p>
                    </w:tc>
                  </w:tr>
                  <w:tr>
                    <w:trPr>
                      <w:trHeight w:val="311" w:hRule="atLeast"/>
                    </w:trPr>
                    <w:tc>
                      <w:tcPr>
                        <w:tcW w:w="2552" w:type="dxa"/>
                        <w:tcBorders>
                          <w:top w:val="single" w:sz="4" w:space="0" w:color="000000"/>
                          <w:bottom w:val="single" w:sz="4" w:space="0" w:color="000000"/>
                          <w:right w:val="single" w:sz="4" w:space="0" w:color="000000"/>
                        </w:tcBorders>
                      </w:tcPr>
                      <w:p>
                        <w:pPr>
                          <w:pStyle w:val="TableParagraph"/>
                          <w:rPr>
                            <w:rFonts w:ascii="宋体" w:eastAsia="宋体" w:hint="eastAsia"/>
                            <w:sz w:val="21"/>
                          </w:rPr>
                        </w:pPr>
                        <w:r>
                          <w:rPr>
                            <w:sz w:val="21"/>
                          </w:rPr>
                          <w:t>II</w:t>
                        </w:r>
                        <w:r>
                          <w:rPr>
                            <w:spacing w:val="-4"/>
                            <w:sz w:val="21"/>
                          </w:rPr>
                          <w:t> </w:t>
                        </w:r>
                        <w:r>
                          <w:rPr>
                            <w:rFonts w:ascii="宋体" w:eastAsia="宋体" w:hint="eastAsia"/>
                            <w:spacing w:val="-10"/>
                            <w:sz w:val="21"/>
                          </w:rPr>
                          <w:t>期</w:t>
                        </w:r>
                      </w:p>
                    </w:tc>
                    <w:tc>
                      <w:tcPr>
                        <w:tcW w:w="1702" w:type="dxa"/>
                        <w:tcBorders>
                          <w:top w:val="single" w:sz="4" w:space="0" w:color="000000"/>
                          <w:left w:val="single" w:sz="4" w:space="0" w:color="000000"/>
                          <w:bottom w:val="single" w:sz="4" w:space="0" w:color="000000"/>
                          <w:right w:val="single" w:sz="4" w:space="0" w:color="000000"/>
                        </w:tcBorders>
                      </w:tcPr>
                      <w:p>
                        <w:pPr>
                          <w:pStyle w:val="TableParagraph"/>
                          <w:ind w:left="112"/>
                          <w:rPr>
                            <w:sz w:val="21"/>
                          </w:rPr>
                        </w:pPr>
                        <w:r>
                          <w:rPr>
                            <w:spacing w:val="-5"/>
                            <w:sz w:val="21"/>
                          </w:rPr>
                          <w:t>2</w:t>
                        </w:r>
                        <w:r>
                          <w:rPr>
                            <w:rFonts w:ascii="宋体" w:eastAsia="宋体" w:hint="eastAsia"/>
                            <w:spacing w:val="-5"/>
                            <w:sz w:val="21"/>
                          </w:rPr>
                          <w:t>～</w:t>
                        </w:r>
                        <w:r>
                          <w:rPr>
                            <w:spacing w:val="-5"/>
                            <w:sz w:val="21"/>
                          </w:rPr>
                          <w:t>3</w:t>
                        </w:r>
                      </w:p>
                    </w:tc>
                    <w:tc>
                      <w:tcPr>
                        <w:tcW w:w="1699" w:type="dxa"/>
                        <w:tcBorders>
                          <w:top w:val="single" w:sz="4" w:space="0" w:color="000000"/>
                          <w:left w:val="single" w:sz="4" w:space="0" w:color="000000"/>
                          <w:bottom w:val="single" w:sz="4" w:space="0" w:color="000000"/>
                          <w:right w:val="single" w:sz="4" w:space="0" w:color="000000"/>
                        </w:tcBorders>
                      </w:tcPr>
                      <w:p>
                        <w:pPr>
                          <w:pStyle w:val="TableParagraph"/>
                          <w:spacing w:before="34"/>
                          <w:ind w:left="110"/>
                          <w:rPr>
                            <w:sz w:val="21"/>
                          </w:rPr>
                        </w:pPr>
                        <w:r>
                          <w:rPr>
                            <w:w w:val="100"/>
                            <w:sz w:val="21"/>
                          </w:rPr>
                          <w:t>0</w:t>
                        </w:r>
                      </w:p>
                    </w:tc>
                    <w:tc>
                      <w:tcPr>
                        <w:tcW w:w="1702" w:type="dxa"/>
                        <w:tcBorders>
                          <w:top w:val="single" w:sz="4" w:space="0" w:color="000000"/>
                          <w:left w:val="single" w:sz="4" w:space="0" w:color="000000"/>
                          <w:bottom w:val="single" w:sz="4" w:space="0" w:color="000000"/>
                        </w:tcBorders>
                      </w:tcPr>
                      <w:p>
                        <w:pPr>
                          <w:pStyle w:val="TableParagraph"/>
                          <w:spacing w:before="34"/>
                          <w:ind w:left="108"/>
                          <w:rPr>
                            <w:sz w:val="21"/>
                          </w:rPr>
                        </w:pPr>
                        <w:r>
                          <w:rPr>
                            <w:w w:val="100"/>
                            <w:sz w:val="21"/>
                          </w:rPr>
                          <w:t>0</w:t>
                        </w:r>
                      </w:p>
                    </w:tc>
                  </w:tr>
                  <w:tr>
                    <w:trPr>
                      <w:trHeight w:val="311" w:hRule="atLeast"/>
                    </w:trPr>
                    <w:tc>
                      <w:tcPr>
                        <w:tcW w:w="2552" w:type="dxa"/>
                        <w:tcBorders>
                          <w:top w:val="single" w:sz="4" w:space="0" w:color="000000"/>
                          <w:bottom w:val="single" w:sz="4" w:space="0" w:color="000000"/>
                          <w:right w:val="single" w:sz="4" w:space="0" w:color="000000"/>
                        </w:tcBorders>
                      </w:tcPr>
                      <w:p>
                        <w:pPr>
                          <w:pStyle w:val="TableParagraph"/>
                          <w:rPr>
                            <w:rFonts w:ascii="宋体" w:eastAsia="宋体" w:hint="eastAsia"/>
                            <w:sz w:val="21"/>
                          </w:rPr>
                        </w:pPr>
                        <w:r>
                          <w:rPr>
                            <w:sz w:val="21"/>
                          </w:rPr>
                          <w:t>III</w:t>
                        </w:r>
                        <w:r>
                          <w:rPr>
                            <w:spacing w:val="-5"/>
                            <w:sz w:val="21"/>
                          </w:rPr>
                          <w:t> </w:t>
                        </w:r>
                        <w:r>
                          <w:rPr>
                            <w:rFonts w:ascii="宋体" w:eastAsia="宋体" w:hint="eastAsia"/>
                            <w:spacing w:val="-10"/>
                            <w:sz w:val="21"/>
                          </w:rPr>
                          <w:t>期</w:t>
                        </w:r>
                      </w:p>
                    </w:tc>
                    <w:tc>
                      <w:tcPr>
                        <w:tcW w:w="1702" w:type="dxa"/>
                        <w:tcBorders>
                          <w:top w:val="single" w:sz="4" w:space="0" w:color="000000"/>
                          <w:left w:val="single" w:sz="4" w:space="0" w:color="000000"/>
                          <w:bottom w:val="single" w:sz="4" w:space="0" w:color="000000"/>
                          <w:right w:val="single" w:sz="4" w:space="0" w:color="000000"/>
                        </w:tcBorders>
                      </w:tcPr>
                      <w:p>
                        <w:pPr>
                          <w:pStyle w:val="TableParagraph"/>
                          <w:ind w:left="112"/>
                          <w:rPr>
                            <w:sz w:val="21"/>
                          </w:rPr>
                        </w:pPr>
                        <w:r>
                          <w:rPr>
                            <w:spacing w:val="-5"/>
                            <w:sz w:val="21"/>
                          </w:rPr>
                          <w:t>1</w:t>
                        </w:r>
                        <w:r>
                          <w:rPr>
                            <w:rFonts w:ascii="宋体" w:eastAsia="宋体" w:hint="eastAsia"/>
                            <w:spacing w:val="-5"/>
                            <w:sz w:val="21"/>
                          </w:rPr>
                          <w:t>～</w:t>
                        </w:r>
                        <w:r>
                          <w:rPr>
                            <w:spacing w:val="-5"/>
                            <w:sz w:val="21"/>
                          </w:rPr>
                          <w:t>3</w:t>
                        </w:r>
                      </w:p>
                    </w:tc>
                    <w:tc>
                      <w:tcPr>
                        <w:tcW w:w="1699" w:type="dxa"/>
                        <w:tcBorders>
                          <w:top w:val="single" w:sz="4" w:space="0" w:color="000000"/>
                          <w:left w:val="single" w:sz="4" w:space="0" w:color="000000"/>
                          <w:bottom w:val="single" w:sz="4" w:space="0" w:color="000000"/>
                          <w:right w:val="single" w:sz="4" w:space="0" w:color="000000"/>
                        </w:tcBorders>
                      </w:tcPr>
                      <w:p>
                        <w:pPr>
                          <w:pStyle w:val="TableParagraph"/>
                          <w:spacing w:before="34"/>
                          <w:ind w:left="110"/>
                          <w:rPr>
                            <w:sz w:val="21"/>
                          </w:rPr>
                        </w:pPr>
                        <w:r>
                          <w:rPr>
                            <w:spacing w:val="-5"/>
                            <w:sz w:val="21"/>
                          </w:rPr>
                          <w:t>1a</w:t>
                        </w:r>
                      </w:p>
                    </w:tc>
                    <w:tc>
                      <w:tcPr>
                        <w:tcW w:w="1702" w:type="dxa"/>
                        <w:tcBorders>
                          <w:top w:val="single" w:sz="4" w:space="0" w:color="000000"/>
                          <w:left w:val="single" w:sz="4" w:space="0" w:color="000000"/>
                          <w:bottom w:val="single" w:sz="4" w:space="0" w:color="000000"/>
                        </w:tcBorders>
                      </w:tcPr>
                      <w:p>
                        <w:pPr>
                          <w:pStyle w:val="TableParagraph"/>
                          <w:spacing w:before="34"/>
                          <w:ind w:left="108"/>
                          <w:rPr>
                            <w:sz w:val="21"/>
                          </w:rPr>
                        </w:pPr>
                        <w:r>
                          <w:rPr>
                            <w:w w:val="100"/>
                            <w:sz w:val="21"/>
                          </w:rPr>
                          <w:t>0</w:t>
                        </w:r>
                      </w:p>
                    </w:tc>
                  </w:tr>
                  <w:tr>
                    <w:trPr>
                      <w:trHeight w:val="311" w:hRule="atLeast"/>
                    </w:trPr>
                    <w:tc>
                      <w:tcPr>
                        <w:tcW w:w="2552" w:type="dxa"/>
                        <w:vMerge w:val="restart"/>
                        <w:tcBorders>
                          <w:top w:val="single" w:sz="4" w:space="0" w:color="000000"/>
                          <w:bottom w:val="single" w:sz="4" w:space="0" w:color="000000"/>
                          <w:right w:val="single" w:sz="4" w:space="0" w:color="000000"/>
                        </w:tcBorders>
                      </w:tcPr>
                      <w:p>
                        <w:pPr>
                          <w:pStyle w:val="TableParagraph"/>
                          <w:spacing w:before="183"/>
                          <w:rPr>
                            <w:rFonts w:ascii="宋体" w:eastAsia="宋体" w:hint="eastAsia"/>
                            <w:sz w:val="21"/>
                          </w:rPr>
                        </w:pPr>
                        <w:r>
                          <w:rPr>
                            <w:sz w:val="21"/>
                          </w:rPr>
                          <w:t>IVA</w:t>
                        </w:r>
                        <w:r>
                          <w:rPr>
                            <w:spacing w:val="-3"/>
                            <w:sz w:val="21"/>
                          </w:rPr>
                          <w:t> </w:t>
                        </w:r>
                        <w:r>
                          <w:rPr>
                            <w:rFonts w:ascii="宋体" w:eastAsia="宋体" w:hint="eastAsia"/>
                            <w:spacing w:val="-10"/>
                            <w:sz w:val="21"/>
                          </w:rPr>
                          <w:t>期</w:t>
                        </w:r>
                      </w:p>
                    </w:tc>
                    <w:tc>
                      <w:tcPr>
                        <w:tcW w:w="1702" w:type="dxa"/>
                        <w:tcBorders>
                          <w:top w:val="single" w:sz="4" w:space="0" w:color="000000"/>
                          <w:left w:val="single" w:sz="4" w:space="0" w:color="000000"/>
                          <w:bottom w:val="single" w:sz="4" w:space="0" w:color="000000"/>
                          <w:right w:val="single" w:sz="4" w:space="0" w:color="000000"/>
                        </w:tcBorders>
                      </w:tcPr>
                      <w:p>
                        <w:pPr>
                          <w:pStyle w:val="TableParagraph"/>
                          <w:spacing w:before="34"/>
                          <w:ind w:left="112"/>
                          <w:rPr>
                            <w:sz w:val="21"/>
                          </w:rPr>
                        </w:pPr>
                        <w:r>
                          <w:rPr>
                            <w:spacing w:val="-5"/>
                            <w:sz w:val="21"/>
                          </w:rPr>
                          <w:t>4a</w:t>
                        </w:r>
                      </w:p>
                    </w:tc>
                    <w:tc>
                      <w:tcPr>
                        <w:tcW w:w="1699" w:type="dxa"/>
                        <w:tcBorders>
                          <w:top w:val="single" w:sz="4" w:space="0" w:color="000000"/>
                          <w:left w:val="single" w:sz="4" w:space="0" w:color="000000"/>
                          <w:bottom w:val="single" w:sz="4" w:space="0" w:color="000000"/>
                          <w:right w:val="single" w:sz="4" w:space="0" w:color="000000"/>
                        </w:tcBorders>
                      </w:tcPr>
                      <w:p>
                        <w:pPr>
                          <w:pStyle w:val="TableParagraph"/>
                          <w:ind w:left="110"/>
                          <w:rPr>
                            <w:rFonts w:ascii="宋体" w:eastAsia="宋体" w:hint="eastAsia"/>
                            <w:sz w:val="21"/>
                          </w:rPr>
                        </w:pPr>
                        <w:r>
                          <w:rPr>
                            <w:rFonts w:ascii="宋体" w:eastAsia="宋体" w:hint="eastAsia"/>
                            <w:spacing w:val="-5"/>
                            <w:sz w:val="21"/>
                          </w:rPr>
                          <w:t>任何</w:t>
                        </w:r>
                      </w:p>
                    </w:tc>
                    <w:tc>
                      <w:tcPr>
                        <w:tcW w:w="1702" w:type="dxa"/>
                        <w:tcBorders>
                          <w:top w:val="single" w:sz="4" w:space="0" w:color="000000"/>
                          <w:left w:val="single" w:sz="4" w:space="0" w:color="000000"/>
                          <w:bottom w:val="single" w:sz="4" w:space="0" w:color="000000"/>
                        </w:tcBorders>
                      </w:tcPr>
                      <w:p>
                        <w:pPr>
                          <w:pStyle w:val="TableParagraph"/>
                          <w:spacing w:before="34"/>
                          <w:ind w:left="108"/>
                          <w:rPr>
                            <w:sz w:val="21"/>
                          </w:rPr>
                        </w:pPr>
                        <w:r>
                          <w:rPr>
                            <w:w w:val="100"/>
                            <w:sz w:val="21"/>
                          </w:rPr>
                          <w:t>0</w:t>
                        </w:r>
                      </w:p>
                    </w:tc>
                  </w:tr>
                  <w:tr>
                    <w:trPr>
                      <w:trHeight w:val="311" w:hRule="atLeast"/>
                    </w:trPr>
                    <w:tc>
                      <w:tcPr>
                        <w:tcW w:w="2552" w:type="dxa"/>
                        <w:vMerge/>
                        <w:tcBorders>
                          <w:top w:val="nil"/>
                          <w:bottom w:val="single" w:sz="4" w:space="0" w:color="000000"/>
                          <w:right w:val="single" w:sz="4" w:space="0" w:color="000000"/>
                        </w:tcBorders>
                      </w:tcPr>
                      <w:p>
                        <w:pPr>
                          <w:rPr>
                            <w:sz w:val="2"/>
                            <w:szCs w:val="2"/>
                          </w:rPr>
                        </w:pPr>
                      </w:p>
                    </w:tc>
                    <w:tc>
                      <w:tcPr>
                        <w:tcW w:w="1702" w:type="dxa"/>
                        <w:tcBorders>
                          <w:top w:val="single" w:sz="4" w:space="0" w:color="000000"/>
                          <w:left w:val="single" w:sz="4" w:space="0" w:color="000000"/>
                          <w:bottom w:val="single" w:sz="4" w:space="0" w:color="000000"/>
                          <w:right w:val="single" w:sz="4" w:space="0" w:color="000000"/>
                        </w:tcBorders>
                      </w:tcPr>
                      <w:p>
                        <w:pPr>
                          <w:pStyle w:val="TableParagraph"/>
                          <w:ind w:left="112"/>
                          <w:rPr>
                            <w:sz w:val="21"/>
                          </w:rPr>
                        </w:pPr>
                        <w:r>
                          <w:rPr>
                            <w:spacing w:val="-5"/>
                            <w:sz w:val="21"/>
                          </w:rPr>
                          <w:t>1</w:t>
                        </w:r>
                        <w:r>
                          <w:rPr>
                            <w:rFonts w:ascii="宋体" w:eastAsia="宋体" w:hint="eastAsia"/>
                            <w:spacing w:val="-5"/>
                            <w:sz w:val="21"/>
                          </w:rPr>
                          <w:t>～</w:t>
                        </w:r>
                        <w:r>
                          <w:rPr>
                            <w:spacing w:val="-5"/>
                            <w:sz w:val="21"/>
                          </w:rPr>
                          <w:t>3</w:t>
                        </w:r>
                      </w:p>
                    </w:tc>
                    <w:tc>
                      <w:tcPr>
                        <w:tcW w:w="1699" w:type="dxa"/>
                        <w:tcBorders>
                          <w:top w:val="single" w:sz="4" w:space="0" w:color="000000"/>
                          <w:left w:val="single" w:sz="4" w:space="0" w:color="000000"/>
                          <w:bottom w:val="single" w:sz="4" w:space="0" w:color="000000"/>
                          <w:right w:val="single" w:sz="4" w:space="0" w:color="000000"/>
                        </w:tcBorders>
                      </w:tcPr>
                      <w:p>
                        <w:pPr>
                          <w:pStyle w:val="TableParagraph"/>
                          <w:spacing w:before="34"/>
                          <w:ind w:left="110"/>
                          <w:rPr>
                            <w:sz w:val="21"/>
                          </w:rPr>
                        </w:pPr>
                        <w:r>
                          <w:rPr>
                            <w:spacing w:val="-5"/>
                            <w:sz w:val="21"/>
                          </w:rPr>
                          <w:t>1b</w:t>
                        </w:r>
                      </w:p>
                    </w:tc>
                    <w:tc>
                      <w:tcPr>
                        <w:tcW w:w="1702" w:type="dxa"/>
                        <w:tcBorders>
                          <w:top w:val="single" w:sz="4" w:space="0" w:color="000000"/>
                          <w:left w:val="single" w:sz="4" w:space="0" w:color="000000"/>
                          <w:bottom w:val="single" w:sz="4" w:space="0" w:color="000000"/>
                        </w:tcBorders>
                      </w:tcPr>
                      <w:p>
                        <w:pPr>
                          <w:pStyle w:val="TableParagraph"/>
                          <w:spacing w:before="34"/>
                          <w:ind w:left="108"/>
                          <w:rPr>
                            <w:sz w:val="21"/>
                          </w:rPr>
                        </w:pPr>
                        <w:r>
                          <w:rPr>
                            <w:w w:val="100"/>
                            <w:sz w:val="21"/>
                          </w:rPr>
                          <w:t>0</w:t>
                        </w:r>
                      </w:p>
                    </w:tc>
                  </w:tr>
                  <w:tr>
                    <w:trPr>
                      <w:trHeight w:val="309" w:hRule="atLeast"/>
                    </w:trPr>
                    <w:tc>
                      <w:tcPr>
                        <w:tcW w:w="2552" w:type="dxa"/>
                        <w:tcBorders>
                          <w:top w:val="single" w:sz="4" w:space="0" w:color="000000"/>
                          <w:bottom w:val="single" w:sz="6" w:space="0" w:color="000000"/>
                          <w:right w:val="single" w:sz="4" w:space="0" w:color="000000"/>
                        </w:tcBorders>
                      </w:tcPr>
                      <w:p>
                        <w:pPr>
                          <w:pStyle w:val="TableParagraph"/>
                          <w:spacing w:line="267" w:lineRule="exact"/>
                          <w:rPr>
                            <w:rFonts w:ascii="宋体" w:eastAsia="宋体" w:hint="eastAsia"/>
                            <w:sz w:val="21"/>
                          </w:rPr>
                        </w:pPr>
                        <w:r>
                          <w:rPr>
                            <w:sz w:val="21"/>
                          </w:rPr>
                          <w:t>IVB</w:t>
                        </w:r>
                        <w:r>
                          <w:rPr>
                            <w:spacing w:val="-3"/>
                            <w:sz w:val="21"/>
                          </w:rPr>
                          <w:t> </w:t>
                        </w:r>
                        <w:r>
                          <w:rPr>
                            <w:rFonts w:ascii="宋体" w:eastAsia="宋体" w:hint="eastAsia"/>
                            <w:spacing w:val="-10"/>
                            <w:sz w:val="21"/>
                          </w:rPr>
                          <w:t>期</w:t>
                        </w:r>
                      </w:p>
                    </w:tc>
                    <w:tc>
                      <w:tcPr>
                        <w:tcW w:w="1702" w:type="dxa"/>
                        <w:tcBorders>
                          <w:top w:val="single" w:sz="4" w:space="0" w:color="000000"/>
                          <w:left w:val="single" w:sz="4" w:space="0" w:color="000000"/>
                          <w:bottom w:val="single" w:sz="6" w:space="0" w:color="000000"/>
                          <w:right w:val="single" w:sz="4" w:space="0" w:color="000000"/>
                        </w:tcBorders>
                      </w:tcPr>
                      <w:p>
                        <w:pPr>
                          <w:pStyle w:val="TableParagraph"/>
                          <w:spacing w:before="34"/>
                          <w:ind w:left="112"/>
                          <w:rPr>
                            <w:sz w:val="21"/>
                          </w:rPr>
                        </w:pPr>
                        <w:r>
                          <w:rPr>
                            <w:spacing w:val="-5"/>
                            <w:sz w:val="21"/>
                          </w:rPr>
                          <w:t>4b</w:t>
                        </w:r>
                      </w:p>
                    </w:tc>
                    <w:tc>
                      <w:tcPr>
                        <w:tcW w:w="1699" w:type="dxa"/>
                        <w:tcBorders>
                          <w:top w:val="single" w:sz="4" w:space="0" w:color="000000"/>
                          <w:left w:val="single" w:sz="4" w:space="0" w:color="000000"/>
                          <w:bottom w:val="single" w:sz="6" w:space="0" w:color="000000"/>
                          <w:right w:val="single" w:sz="4" w:space="0" w:color="000000"/>
                        </w:tcBorders>
                      </w:tcPr>
                      <w:p>
                        <w:pPr>
                          <w:pStyle w:val="TableParagraph"/>
                          <w:spacing w:line="267" w:lineRule="exact"/>
                          <w:ind w:left="110"/>
                          <w:rPr>
                            <w:rFonts w:ascii="宋体" w:eastAsia="宋体" w:hint="eastAsia"/>
                            <w:sz w:val="21"/>
                          </w:rPr>
                        </w:pPr>
                        <w:r>
                          <w:rPr>
                            <w:rFonts w:ascii="宋体" w:eastAsia="宋体" w:hint="eastAsia"/>
                            <w:spacing w:val="-5"/>
                            <w:sz w:val="21"/>
                          </w:rPr>
                          <w:t>任何</w:t>
                        </w:r>
                      </w:p>
                    </w:tc>
                    <w:tc>
                      <w:tcPr>
                        <w:tcW w:w="1702" w:type="dxa"/>
                        <w:tcBorders>
                          <w:top w:val="single" w:sz="4" w:space="0" w:color="000000"/>
                          <w:left w:val="single" w:sz="4" w:space="0" w:color="000000"/>
                          <w:bottom w:val="single" w:sz="6" w:space="0" w:color="000000"/>
                        </w:tcBorders>
                      </w:tcPr>
                      <w:p>
                        <w:pPr>
                          <w:pStyle w:val="TableParagraph"/>
                          <w:spacing w:before="34"/>
                          <w:ind w:left="108"/>
                          <w:rPr>
                            <w:sz w:val="21"/>
                          </w:rPr>
                        </w:pPr>
                        <w:r>
                          <w:rPr>
                            <w:w w:val="100"/>
                            <w:sz w:val="21"/>
                          </w:rPr>
                          <w:t>0</w:t>
                        </w:r>
                      </w:p>
                    </w:tc>
                  </w:tr>
                  <w:tr>
                    <w:trPr>
                      <w:trHeight w:val="311" w:hRule="atLeast"/>
                    </w:trPr>
                    <w:tc>
                      <w:tcPr>
                        <w:tcW w:w="2552" w:type="dxa"/>
                        <w:tcBorders>
                          <w:top w:val="single" w:sz="6" w:space="0" w:color="000000"/>
                          <w:bottom w:val="single" w:sz="4" w:space="0" w:color="000000"/>
                          <w:right w:val="single" w:sz="4" w:space="0" w:color="000000"/>
                        </w:tcBorders>
                      </w:tcPr>
                      <w:p>
                        <w:pPr>
                          <w:pStyle w:val="TableParagraph"/>
                          <w:rPr>
                            <w:rFonts w:ascii="宋体" w:eastAsia="宋体" w:hint="eastAsia"/>
                            <w:sz w:val="21"/>
                          </w:rPr>
                        </w:pPr>
                        <w:r>
                          <w:rPr>
                            <w:sz w:val="21"/>
                          </w:rPr>
                          <w:t>IVC</w:t>
                        </w:r>
                        <w:r>
                          <w:rPr>
                            <w:spacing w:val="-3"/>
                            <w:sz w:val="21"/>
                          </w:rPr>
                          <w:t> </w:t>
                        </w:r>
                        <w:r>
                          <w:rPr>
                            <w:rFonts w:ascii="宋体" w:eastAsia="宋体" w:hint="eastAsia"/>
                            <w:spacing w:val="-10"/>
                            <w:sz w:val="21"/>
                          </w:rPr>
                          <w:t>期</w:t>
                        </w:r>
                      </w:p>
                    </w:tc>
                    <w:tc>
                      <w:tcPr>
                        <w:tcW w:w="1702" w:type="dxa"/>
                        <w:tcBorders>
                          <w:top w:val="single" w:sz="6" w:space="0" w:color="000000"/>
                          <w:left w:val="single" w:sz="4" w:space="0" w:color="000000"/>
                          <w:bottom w:val="single" w:sz="4" w:space="0" w:color="000000"/>
                          <w:right w:val="single" w:sz="4" w:space="0" w:color="000000"/>
                        </w:tcBorders>
                      </w:tcPr>
                      <w:p>
                        <w:pPr>
                          <w:pStyle w:val="TableParagraph"/>
                          <w:ind w:left="112"/>
                          <w:rPr>
                            <w:rFonts w:ascii="宋体" w:eastAsia="宋体" w:hint="eastAsia"/>
                            <w:sz w:val="21"/>
                          </w:rPr>
                        </w:pPr>
                        <w:r>
                          <w:rPr>
                            <w:rFonts w:ascii="宋体" w:eastAsia="宋体" w:hint="eastAsia"/>
                            <w:spacing w:val="-5"/>
                            <w:sz w:val="21"/>
                          </w:rPr>
                          <w:t>任何</w:t>
                        </w:r>
                      </w:p>
                    </w:tc>
                    <w:tc>
                      <w:tcPr>
                        <w:tcW w:w="1699" w:type="dxa"/>
                        <w:tcBorders>
                          <w:top w:val="single" w:sz="6" w:space="0" w:color="000000"/>
                          <w:left w:val="single" w:sz="4" w:space="0" w:color="000000"/>
                          <w:bottom w:val="single" w:sz="4" w:space="0" w:color="000000"/>
                          <w:right w:val="single" w:sz="4" w:space="0" w:color="000000"/>
                        </w:tcBorders>
                      </w:tcPr>
                      <w:p>
                        <w:pPr>
                          <w:pStyle w:val="TableParagraph"/>
                          <w:ind w:left="110"/>
                          <w:rPr>
                            <w:rFonts w:ascii="宋体" w:eastAsia="宋体" w:hint="eastAsia"/>
                            <w:sz w:val="21"/>
                          </w:rPr>
                        </w:pPr>
                        <w:r>
                          <w:rPr>
                            <w:rFonts w:ascii="宋体" w:eastAsia="宋体" w:hint="eastAsia"/>
                            <w:spacing w:val="-5"/>
                            <w:sz w:val="21"/>
                          </w:rPr>
                          <w:t>任何</w:t>
                        </w:r>
                      </w:p>
                    </w:tc>
                    <w:tc>
                      <w:tcPr>
                        <w:tcW w:w="1702" w:type="dxa"/>
                        <w:tcBorders>
                          <w:top w:val="single" w:sz="6" w:space="0" w:color="000000"/>
                          <w:left w:val="single" w:sz="4" w:space="0" w:color="000000"/>
                          <w:bottom w:val="single" w:sz="4" w:space="0" w:color="000000"/>
                        </w:tcBorders>
                      </w:tcPr>
                      <w:p>
                        <w:pPr>
                          <w:pStyle w:val="TableParagraph"/>
                          <w:spacing w:before="34"/>
                          <w:ind w:left="108"/>
                          <w:rPr>
                            <w:sz w:val="21"/>
                          </w:rPr>
                        </w:pPr>
                        <w:r>
                          <w:rPr>
                            <w:w w:val="100"/>
                            <w:sz w:val="21"/>
                          </w:rPr>
                          <w:t>1</w:t>
                        </w:r>
                      </w:p>
                    </w:tc>
                  </w:tr>
                  <w:tr>
                    <w:trPr>
                      <w:trHeight w:val="311" w:hRule="atLeast"/>
                    </w:trPr>
                    <w:tc>
                      <w:tcPr>
                        <w:tcW w:w="7655" w:type="dxa"/>
                        <w:gridSpan w:val="4"/>
                        <w:tcBorders>
                          <w:top w:val="single" w:sz="4" w:space="0" w:color="000000"/>
                          <w:bottom w:val="single" w:sz="4" w:space="0" w:color="000000"/>
                        </w:tcBorders>
                      </w:tcPr>
                      <w:p>
                        <w:pPr>
                          <w:pStyle w:val="TableParagraph"/>
                          <w:rPr>
                            <w:rFonts w:ascii="宋体" w:eastAsia="宋体" w:hint="eastAsia"/>
                            <w:sz w:val="21"/>
                          </w:rPr>
                        </w:pPr>
                        <w:r>
                          <w:rPr>
                            <w:rFonts w:ascii="宋体" w:eastAsia="宋体" w:hint="eastAsia"/>
                            <w:spacing w:val="-2"/>
                            <w:sz w:val="21"/>
                          </w:rPr>
                          <w:t>未分化癌（所有年龄组</w:t>
                        </w:r>
                        <w:r>
                          <w:rPr>
                            <w:rFonts w:ascii="宋体" w:eastAsia="宋体" w:hint="eastAsia"/>
                            <w:spacing w:val="-10"/>
                            <w:sz w:val="21"/>
                          </w:rPr>
                          <w:t>）</w:t>
                        </w:r>
                      </w:p>
                    </w:tc>
                  </w:tr>
                  <w:tr>
                    <w:trPr>
                      <w:trHeight w:val="311" w:hRule="atLeast"/>
                    </w:trPr>
                    <w:tc>
                      <w:tcPr>
                        <w:tcW w:w="2552" w:type="dxa"/>
                        <w:tcBorders>
                          <w:top w:val="single" w:sz="4" w:space="0" w:color="000000"/>
                          <w:bottom w:val="single" w:sz="4" w:space="0" w:color="000000"/>
                          <w:right w:val="single" w:sz="4" w:space="0" w:color="000000"/>
                        </w:tcBorders>
                      </w:tcPr>
                      <w:p>
                        <w:pPr>
                          <w:pStyle w:val="TableParagraph"/>
                          <w:rPr>
                            <w:rFonts w:ascii="宋体" w:eastAsia="宋体" w:hint="eastAsia"/>
                            <w:sz w:val="21"/>
                          </w:rPr>
                        </w:pPr>
                        <w:r>
                          <w:rPr>
                            <w:sz w:val="21"/>
                          </w:rPr>
                          <w:t>IVA</w:t>
                        </w:r>
                        <w:r>
                          <w:rPr>
                            <w:spacing w:val="-3"/>
                            <w:sz w:val="21"/>
                          </w:rPr>
                          <w:t> </w:t>
                        </w:r>
                        <w:r>
                          <w:rPr>
                            <w:rFonts w:ascii="宋体" w:eastAsia="宋体" w:hint="eastAsia"/>
                            <w:spacing w:val="-10"/>
                            <w:sz w:val="21"/>
                          </w:rPr>
                          <w:t>期</w:t>
                        </w:r>
                      </w:p>
                    </w:tc>
                    <w:tc>
                      <w:tcPr>
                        <w:tcW w:w="1702" w:type="dxa"/>
                        <w:tcBorders>
                          <w:top w:val="single" w:sz="4" w:space="0" w:color="000000"/>
                          <w:left w:val="single" w:sz="4" w:space="0" w:color="000000"/>
                          <w:bottom w:val="single" w:sz="4" w:space="0" w:color="000000"/>
                          <w:right w:val="single" w:sz="4" w:space="0" w:color="000000"/>
                        </w:tcBorders>
                      </w:tcPr>
                      <w:p>
                        <w:pPr>
                          <w:pStyle w:val="TableParagraph"/>
                          <w:ind w:left="112"/>
                          <w:rPr>
                            <w:sz w:val="21"/>
                          </w:rPr>
                        </w:pPr>
                        <w:r>
                          <w:rPr>
                            <w:spacing w:val="-4"/>
                            <w:sz w:val="21"/>
                          </w:rPr>
                          <w:t>1</w:t>
                        </w:r>
                        <w:r>
                          <w:rPr>
                            <w:rFonts w:ascii="宋体" w:eastAsia="宋体" w:hint="eastAsia"/>
                            <w:spacing w:val="-4"/>
                            <w:sz w:val="21"/>
                          </w:rPr>
                          <w:t>～</w:t>
                        </w:r>
                        <w:r>
                          <w:rPr>
                            <w:spacing w:val="-4"/>
                            <w:sz w:val="21"/>
                          </w:rPr>
                          <w:t>3a</w:t>
                        </w:r>
                      </w:p>
                    </w:tc>
                    <w:tc>
                      <w:tcPr>
                        <w:tcW w:w="1699" w:type="dxa"/>
                        <w:tcBorders>
                          <w:top w:val="single" w:sz="4" w:space="0" w:color="000000"/>
                          <w:left w:val="single" w:sz="4" w:space="0" w:color="000000"/>
                          <w:bottom w:val="single" w:sz="4" w:space="0" w:color="000000"/>
                          <w:right w:val="single" w:sz="4" w:space="0" w:color="000000"/>
                        </w:tcBorders>
                      </w:tcPr>
                      <w:p>
                        <w:pPr>
                          <w:pStyle w:val="TableParagraph"/>
                          <w:spacing w:before="34"/>
                          <w:ind w:left="110"/>
                          <w:rPr>
                            <w:sz w:val="21"/>
                          </w:rPr>
                        </w:pPr>
                        <w:r>
                          <w:rPr>
                            <w:spacing w:val="-5"/>
                            <w:sz w:val="21"/>
                          </w:rPr>
                          <w:t>0/x</w:t>
                        </w:r>
                      </w:p>
                    </w:tc>
                    <w:tc>
                      <w:tcPr>
                        <w:tcW w:w="1702" w:type="dxa"/>
                        <w:tcBorders>
                          <w:top w:val="single" w:sz="4" w:space="0" w:color="000000"/>
                          <w:left w:val="single" w:sz="4" w:space="0" w:color="000000"/>
                          <w:bottom w:val="single" w:sz="4" w:space="0" w:color="000000"/>
                        </w:tcBorders>
                      </w:tcPr>
                      <w:p>
                        <w:pPr>
                          <w:pStyle w:val="TableParagraph"/>
                          <w:spacing w:before="34"/>
                          <w:ind w:left="108"/>
                          <w:rPr>
                            <w:sz w:val="21"/>
                          </w:rPr>
                        </w:pPr>
                        <w:r>
                          <w:rPr>
                            <w:w w:val="100"/>
                            <w:sz w:val="21"/>
                          </w:rPr>
                          <w:t>0</w:t>
                        </w:r>
                      </w:p>
                    </w:tc>
                  </w:tr>
                  <w:tr>
                    <w:trPr>
                      <w:trHeight w:val="311" w:hRule="atLeast"/>
                    </w:trPr>
                    <w:tc>
                      <w:tcPr>
                        <w:tcW w:w="2552" w:type="dxa"/>
                        <w:vMerge w:val="restart"/>
                        <w:tcBorders>
                          <w:top w:val="single" w:sz="4" w:space="0" w:color="000000"/>
                          <w:bottom w:val="single" w:sz="4" w:space="0" w:color="000000"/>
                          <w:right w:val="single" w:sz="4" w:space="0" w:color="000000"/>
                        </w:tcBorders>
                      </w:tcPr>
                      <w:p>
                        <w:pPr>
                          <w:pStyle w:val="TableParagraph"/>
                          <w:spacing w:before="183"/>
                          <w:rPr>
                            <w:rFonts w:ascii="宋体" w:eastAsia="宋体" w:hint="eastAsia"/>
                            <w:sz w:val="21"/>
                          </w:rPr>
                        </w:pPr>
                        <w:r>
                          <w:rPr>
                            <w:sz w:val="21"/>
                          </w:rPr>
                          <w:t>IVB</w:t>
                        </w:r>
                        <w:r>
                          <w:rPr>
                            <w:spacing w:val="-3"/>
                            <w:sz w:val="21"/>
                          </w:rPr>
                          <w:t> </w:t>
                        </w:r>
                        <w:r>
                          <w:rPr>
                            <w:rFonts w:ascii="宋体" w:eastAsia="宋体" w:hint="eastAsia"/>
                            <w:spacing w:val="-10"/>
                            <w:sz w:val="21"/>
                          </w:rPr>
                          <w:t>期</w:t>
                        </w:r>
                      </w:p>
                    </w:tc>
                    <w:tc>
                      <w:tcPr>
                        <w:tcW w:w="1702" w:type="dxa"/>
                        <w:tcBorders>
                          <w:top w:val="single" w:sz="4" w:space="0" w:color="000000"/>
                          <w:left w:val="single" w:sz="4" w:space="0" w:color="000000"/>
                          <w:bottom w:val="single" w:sz="4" w:space="0" w:color="000000"/>
                          <w:right w:val="single" w:sz="4" w:space="0" w:color="000000"/>
                        </w:tcBorders>
                      </w:tcPr>
                      <w:p>
                        <w:pPr>
                          <w:pStyle w:val="TableParagraph"/>
                          <w:ind w:left="112"/>
                          <w:rPr>
                            <w:sz w:val="21"/>
                          </w:rPr>
                        </w:pPr>
                        <w:r>
                          <w:rPr>
                            <w:spacing w:val="-4"/>
                            <w:sz w:val="21"/>
                          </w:rPr>
                          <w:t>1</w:t>
                        </w:r>
                        <w:r>
                          <w:rPr>
                            <w:rFonts w:ascii="宋体" w:eastAsia="宋体" w:hint="eastAsia"/>
                            <w:spacing w:val="-4"/>
                            <w:sz w:val="21"/>
                          </w:rPr>
                          <w:t>～</w:t>
                        </w:r>
                        <w:r>
                          <w:rPr>
                            <w:spacing w:val="-4"/>
                            <w:sz w:val="21"/>
                          </w:rPr>
                          <w:t>3a</w:t>
                        </w:r>
                      </w:p>
                    </w:tc>
                    <w:tc>
                      <w:tcPr>
                        <w:tcW w:w="1699" w:type="dxa"/>
                        <w:tcBorders>
                          <w:top w:val="single" w:sz="4" w:space="0" w:color="000000"/>
                          <w:left w:val="single" w:sz="4" w:space="0" w:color="000000"/>
                          <w:bottom w:val="single" w:sz="4" w:space="0" w:color="000000"/>
                          <w:right w:val="single" w:sz="4" w:space="0" w:color="000000"/>
                        </w:tcBorders>
                      </w:tcPr>
                      <w:p>
                        <w:pPr>
                          <w:pStyle w:val="TableParagraph"/>
                          <w:spacing w:before="34"/>
                          <w:ind w:left="110"/>
                          <w:rPr>
                            <w:sz w:val="21"/>
                          </w:rPr>
                        </w:pPr>
                        <w:r>
                          <w:rPr>
                            <w:w w:val="100"/>
                            <w:sz w:val="21"/>
                          </w:rPr>
                          <w:t>1</w:t>
                        </w:r>
                      </w:p>
                    </w:tc>
                    <w:tc>
                      <w:tcPr>
                        <w:tcW w:w="1702" w:type="dxa"/>
                        <w:tcBorders>
                          <w:top w:val="single" w:sz="4" w:space="0" w:color="000000"/>
                          <w:left w:val="single" w:sz="4" w:space="0" w:color="000000"/>
                          <w:bottom w:val="single" w:sz="4" w:space="0" w:color="000000"/>
                        </w:tcBorders>
                      </w:tcPr>
                      <w:p>
                        <w:pPr>
                          <w:pStyle w:val="TableParagraph"/>
                          <w:spacing w:before="34"/>
                          <w:ind w:left="108"/>
                          <w:rPr>
                            <w:sz w:val="21"/>
                          </w:rPr>
                        </w:pPr>
                        <w:r>
                          <w:rPr>
                            <w:w w:val="100"/>
                            <w:sz w:val="21"/>
                          </w:rPr>
                          <w:t>0</w:t>
                        </w:r>
                      </w:p>
                    </w:tc>
                  </w:tr>
                  <w:tr>
                    <w:trPr>
                      <w:trHeight w:val="311" w:hRule="atLeast"/>
                    </w:trPr>
                    <w:tc>
                      <w:tcPr>
                        <w:tcW w:w="2552" w:type="dxa"/>
                        <w:vMerge/>
                        <w:tcBorders>
                          <w:top w:val="nil"/>
                          <w:bottom w:val="single" w:sz="4" w:space="0" w:color="000000"/>
                          <w:right w:val="single" w:sz="4" w:space="0" w:color="000000"/>
                        </w:tcBorders>
                      </w:tcPr>
                      <w:p>
                        <w:pPr>
                          <w:rPr>
                            <w:sz w:val="2"/>
                            <w:szCs w:val="2"/>
                          </w:rPr>
                        </w:pPr>
                      </w:p>
                    </w:tc>
                    <w:tc>
                      <w:tcPr>
                        <w:tcW w:w="1702" w:type="dxa"/>
                        <w:tcBorders>
                          <w:top w:val="single" w:sz="4" w:space="0" w:color="000000"/>
                          <w:left w:val="single" w:sz="4" w:space="0" w:color="000000"/>
                          <w:bottom w:val="single" w:sz="4" w:space="0" w:color="000000"/>
                          <w:right w:val="single" w:sz="4" w:space="0" w:color="000000"/>
                        </w:tcBorders>
                      </w:tcPr>
                      <w:p>
                        <w:pPr>
                          <w:pStyle w:val="TableParagraph"/>
                          <w:ind w:left="112"/>
                          <w:rPr>
                            <w:sz w:val="21"/>
                          </w:rPr>
                        </w:pPr>
                        <w:r>
                          <w:rPr>
                            <w:spacing w:val="-4"/>
                            <w:sz w:val="21"/>
                          </w:rPr>
                          <w:t>3b</w:t>
                        </w:r>
                        <w:r>
                          <w:rPr>
                            <w:rFonts w:ascii="宋体" w:eastAsia="宋体" w:hint="eastAsia"/>
                            <w:spacing w:val="-4"/>
                            <w:sz w:val="21"/>
                          </w:rPr>
                          <w:t>～</w:t>
                        </w:r>
                        <w:r>
                          <w:rPr>
                            <w:spacing w:val="-4"/>
                            <w:sz w:val="21"/>
                          </w:rPr>
                          <w:t>4</w:t>
                        </w:r>
                      </w:p>
                    </w:tc>
                    <w:tc>
                      <w:tcPr>
                        <w:tcW w:w="1699" w:type="dxa"/>
                        <w:tcBorders>
                          <w:top w:val="single" w:sz="4" w:space="0" w:color="000000"/>
                          <w:left w:val="single" w:sz="4" w:space="0" w:color="000000"/>
                          <w:bottom w:val="single" w:sz="4" w:space="0" w:color="000000"/>
                          <w:right w:val="single" w:sz="4" w:space="0" w:color="000000"/>
                        </w:tcBorders>
                      </w:tcPr>
                      <w:p>
                        <w:pPr>
                          <w:pStyle w:val="TableParagraph"/>
                          <w:ind w:left="110"/>
                          <w:rPr>
                            <w:rFonts w:ascii="宋体" w:eastAsia="宋体" w:hint="eastAsia"/>
                            <w:sz w:val="21"/>
                          </w:rPr>
                        </w:pPr>
                        <w:r>
                          <w:rPr>
                            <w:rFonts w:ascii="宋体" w:eastAsia="宋体" w:hint="eastAsia"/>
                            <w:spacing w:val="-5"/>
                            <w:sz w:val="21"/>
                          </w:rPr>
                          <w:t>任何</w:t>
                        </w:r>
                      </w:p>
                    </w:tc>
                    <w:tc>
                      <w:tcPr>
                        <w:tcW w:w="1702" w:type="dxa"/>
                        <w:tcBorders>
                          <w:top w:val="single" w:sz="4" w:space="0" w:color="000000"/>
                          <w:left w:val="single" w:sz="4" w:space="0" w:color="000000"/>
                          <w:bottom w:val="single" w:sz="4" w:space="0" w:color="000000"/>
                        </w:tcBorders>
                      </w:tcPr>
                      <w:p>
                        <w:pPr>
                          <w:pStyle w:val="TableParagraph"/>
                          <w:spacing w:before="34"/>
                          <w:ind w:left="108"/>
                          <w:rPr>
                            <w:sz w:val="21"/>
                          </w:rPr>
                        </w:pPr>
                        <w:r>
                          <w:rPr>
                            <w:w w:val="100"/>
                            <w:sz w:val="21"/>
                          </w:rPr>
                          <w:t>0</w:t>
                        </w:r>
                      </w:p>
                    </w:tc>
                  </w:tr>
                  <w:tr>
                    <w:trPr>
                      <w:trHeight w:val="313" w:hRule="atLeast"/>
                    </w:trPr>
                    <w:tc>
                      <w:tcPr>
                        <w:tcW w:w="2552" w:type="dxa"/>
                        <w:tcBorders>
                          <w:top w:val="single" w:sz="4" w:space="0" w:color="000000"/>
                          <w:right w:val="single" w:sz="4" w:space="0" w:color="000000"/>
                        </w:tcBorders>
                      </w:tcPr>
                      <w:p>
                        <w:pPr>
                          <w:pStyle w:val="TableParagraph"/>
                          <w:rPr>
                            <w:rFonts w:ascii="宋体" w:eastAsia="宋体" w:hint="eastAsia"/>
                            <w:sz w:val="21"/>
                          </w:rPr>
                        </w:pPr>
                        <w:r>
                          <w:rPr>
                            <w:sz w:val="21"/>
                          </w:rPr>
                          <w:t>IVC</w:t>
                        </w:r>
                        <w:r>
                          <w:rPr>
                            <w:spacing w:val="-3"/>
                            <w:sz w:val="21"/>
                          </w:rPr>
                          <w:t> </w:t>
                        </w:r>
                        <w:r>
                          <w:rPr>
                            <w:rFonts w:ascii="宋体" w:eastAsia="宋体" w:hint="eastAsia"/>
                            <w:spacing w:val="-10"/>
                            <w:sz w:val="21"/>
                          </w:rPr>
                          <w:t>期</w:t>
                        </w:r>
                      </w:p>
                    </w:tc>
                    <w:tc>
                      <w:tcPr>
                        <w:tcW w:w="1702" w:type="dxa"/>
                        <w:tcBorders>
                          <w:top w:val="single" w:sz="4" w:space="0" w:color="000000"/>
                          <w:left w:val="single" w:sz="4" w:space="0" w:color="000000"/>
                          <w:right w:val="single" w:sz="4" w:space="0" w:color="000000"/>
                        </w:tcBorders>
                      </w:tcPr>
                      <w:p>
                        <w:pPr>
                          <w:pStyle w:val="TableParagraph"/>
                          <w:ind w:left="112"/>
                          <w:rPr>
                            <w:rFonts w:ascii="宋体" w:eastAsia="宋体" w:hint="eastAsia"/>
                            <w:sz w:val="21"/>
                          </w:rPr>
                        </w:pPr>
                        <w:r>
                          <w:rPr>
                            <w:rFonts w:ascii="宋体" w:eastAsia="宋体" w:hint="eastAsia"/>
                            <w:spacing w:val="-5"/>
                            <w:sz w:val="21"/>
                          </w:rPr>
                          <w:t>任何</w:t>
                        </w:r>
                      </w:p>
                    </w:tc>
                    <w:tc>
                      <w:tcPr>
                        <w:tcW w:w="1699" w:type="dxa"/>
                        <w:tcBorders>
                          <w:top w:val="single" w:sz="4" w:space="0" w:color="000000"/>
                          <w:left w:val="single" w:sz="4" w:space="0" w:color="000000"/>
                          <w:right w:val="single" w:sz="4" w:space="0" w:color="000000"/>
                        </w:tcBorders>
                      </w:tcPr>
                      <w:p>
                        <w:pPr>
                          <w:pStyle w:val="TableParagraph"/>
                          <w:ind w:left="110"/>
                          <w:rPr>
                            <w:rFonts w:ascii="宋体" w:eastAsia="宋体" w:hint="eastAsia"/>
                            <w:sz w:val="21"/>
                          </w:rPr>
                        </w:pPr>
                        <w:r>
                          <w:rPr>
                            <w:rFonts w:ascii="宋体" w:eastAsia="宋体" w:hint="eastAsia"/>
                            <w:spacing w:val="-5"/>
                            <w:sz w:val="21"/>
                          </w:rPr>
                          <w:t>任何</w:t>
                        </w:r>
                      </w:p>
                    </w:tc>
                    <w:tc>
                      <w:tcPr>
                        <w:tcW w:w="1702" w:type="dxa"/>
                        <w:tcBorders>
                          <w:top w:val="single" w:sz="4" w:space="0" w:color="000000"/>
                          <w:left w:val="single" w:sz="4" w:space="0" w:color="000000"/>
                        </w:tcBorders>
                      </w:tcPr>
                      <w:p>
                        <w:pPr>
                          <w:pStyle w:val="TableParagraph"/>
                          <w:spacing w:before="34"/>
                          <w:ind w:left="108"/>
                          <w:rPr>
                            <w:sz w:val="21"/>
                          </w:rPr>
                        </w:pPr>
                        <w:r>
                          <w:rPr>
                            <w:w w:val="100"/>
                            <w:sz w:val="21"/>
                          </w:rPr>
                          <w:t>1</w:t>
                        </w:r>
                      </w:p>
                    </w:tc>
                  </w:tr>
                </w:tbl>
                <w:p>
                  <w:pPr>
                    <w:pStyle w:val="BodyText"/>
                    <w:spacing w:before="0"/>
                  </w:pPr>
                </w:p>
              </w:txbxContent>
            </v:textbox>
            <w10:wrap type="none"/>
          </v:shape>
        </w:pict>
      </w:r>
      <w:r>
        <w:rPr>
          <w:rFonts w:ascii="Times New Roman" w:eastAsia="Times New Roman"/>
          <w:spacing w:val="-2"/>
        </w:rPr>
        <w:t>M</w:t>
      </w:r>
      <w:r>
        <w:rPr>
          <w:rFonts w:ascii="Times New Roman" w:eastAsia="Times New Roman"/>
          <w:spacing w:val="-2"/>
          <w:vertAlign w:val="subscript"/>
        </w:rPr>
        <w:t>0</w:t>
      </w:r>
      <w:r>
        <w:rPr>
          <w:spacing w:val="-2"/>
          <w:vertAlign w:val="baseline"/>
        </w:rPr>
        <w:t>：无远处转移 </w:t>
      </w:r>
      <w:r>
        <w:rPr>
          <w:rFonts w:ascii="Times New Roman" w:eastAsia="Times New Roman"/>
          <w:w w:val="95"/>
          <w:vertAlign w:val="baseline"/>
        </w:rPr>
        <w:t>M</w:t>
      </w:r>
      <w:r>
        <w:rPr>
          <w:rFonts w:ascii="Times New Roman" w:eastAsia="Times New Roman"/>
          <w:w w:val="95"/>
          <w:vertAlign w:val="subscript"/>
        </w:rPr>
        <w:t>1</w:t>
      </w:r>
      <w:r>
        <w:rPr>
          <w:w w:val="95"/>
          <w:vertAlign w:val="baseline"/>
        </w:rPr>
        <w:t>：有</w:t>
      </w:r>
      <w:r>
        <w:rPr>
          <w:w w:val="95"/>
          <w:vertAlign w:val="baseline"/>
        </w:rPr>
        <w:t>远</w:t>
      </w:r>
      <w:r>
        <w:rPr>
          <w:w w:val="95"/>
          <w:vertAlign w:val="baseline"/>
        </w:rPr>
        <w:t>处</w:t>
      </w:r>
      <w:r>
        <w:rPr>
          <w:spacing w:val="-5"/>
          <w:w w:val="95"/>
          <w:vertAlign w:val="baseline"/>
        </w:rPr>
        <w:t>转移</w:t>
      </w:r>
    </w:p>
    <w:p>
      <w:pPr>
        <w:spacing w:after="0" w:line="417" w:lineRule="auto"/>
        <w:sectPr>
          <w:pgSz w:w="11910" w:h="16840"/>
          <w:pgMar w:top="1400" w:bottom="280" w:left="1280" w:right="420"/>
        </w:sectPr>
      </w:pPr>
    </w:p>
    <w:p>
      <w:pPr>
        <w:pStyle w:val="ListParagraph"/>
        <w:numPr>
          <w:ilvl w:val="1"/>
          <w:numId w:val="3"/>
        </w:numPr>
        <w:tabs>
          <w:tab w:pos="715" w:val="left" w:leader="none"/>
        </w:tabs>
        <w:spacing w:line="240" w:lineRule="auto" w:before="64" w:after="0"/>
        <w:ind w:left="714" w:right="0" w:hanging="577"/>
        <w:jc w:val="left"/>
        <w:rPr>
          <w:b/>
          <w:sz w:val="21"/>
        </w:rPr>
      </w:pPr>
      <w:bookmarkStart w:name="_bookmark78" w:id="139"/>
      <w:bookmarkEnd w:id="139"/>
      <w:r>
        <w:rPr/>
      </w:r>
      <w:bookmarkStart w:name="_bookmark78" w:id="140"/>
      <w:bookmarkEnd w:id="140"/>
      <w:r>
        <w:rPr>
          <w:b/>
          <w:spacing w:val="-5"/>
          <w:sz w:val="21"/>
        </w:rPr>
        <w:t>肢体</w:t>
      </w:r>
    </w:p>
    <w:p>
      <w:pPr>
        <w:pStyle w:val="BodyText"/>
        <w:spacing w:before="0"/>
        <w:rPr>
          <w:b/>
          <w:sz w:val="10"/>
        </w:rPr>
      </w:pPr>
    </w:p>
    <w:p>
      <w:pPr>
        <w:pStyle w:val="BodyText"/>
        <w:spacing w:before="71"/>
        <w:ind w:left="1610"/>
      </w:pPr>
      <w:r>
        <w:rPr>
          <w:spacing w:val="-3"/>
        </w:rPr>
        <w:t>肢体是指包括肩关节的整个上肢或包括髋关节的整个下肢。</w:t>
      </w:r>
    </w:p>
    <w:p>
      <w:pPr>
        <w:pStyle w:val="BodyText"/>
        <w:spacing w:before="6"/>
        <w:rPr>
          <w:sz w:val="9"/>
        </w:rPr>
      </w:pPr>
    </w:p>
    <w:p>
      <w:pPr>
        <w:pStyle w:val="ListParagraph"/>
        <w:numPr>
          <w:ilvl w:val="1"/>
          <w:numId w:val="3"/>
        </w:numPr>
        <w:tabs>
          <w:tab w:pos="715" w:val="left" w:leader="none"/>
        </w:tabs>
        <w:spacing w:line="240" w:lineRule="auto" w:before="78" w:after="0"/>
        <w:ind w:left="714" w:right="0" w:hanging="577"/>
        <w:jc w:val="left"/>
        <w:rPr>
          <w:b/>
          <w:sz w:val="21"/>
        </w:rPr>
      </w:pPr>
      <w:bookmarkStart w:name="_bookmark79" w:id="141"/>
      <w:bookmarkEnd w:id="141"/>
      <w:r>
        <w:rPr/>
      </w:r>
      <w:bookmarkStart w:name="_bookmark79" w:id="142"/>
      <w:bookmarkEnd w:id="142"/>
      <w:r>
        <w:rPr>
          <w:b/>
          <w:spacing w:val="-5"/>
          <w:sz w:val="21"/>
        </w:rPr>
        <w:t>肌力</w:t>
      </w:r>
    </w:p>
    <w:p>
      <w:pPr>
        <w:pStyle w:val="BodyText"/>
        <w:spacing w:before="5"/>
        <w:rPr>
          <w:b/>
          <w:sz w:val="9"/>
        </w:rPr>
      </w:pPr>
    </w:p>
    <w:p>
      <w:pPr>
        <w:pStyle w:val="BodyText"/>
        <w:spacing w:before="79"/>
        <w:ind w:left="1610"/>
      </w:pPr>
      <w:r>
        <w:rPr>
          <w:spacing w:val="-5"/>
        </w:rPr>
        <w:t>指肌肉收缩时的力量。肌力划分为 </w:t>
      </w:r>
      <w:r>
        <w:rPr>
          <w:rFonts w:ascii="Times New Roman" w:eastAsia="Times New Roman"/>
          <w:spacing w:val="-2"/>
        </w:rPr>
        <w:t>0-5</w:t>
      </w:r>
      <w:r>
        <w:rPr>
          <w:rFonts w:ascii="Times New Roman" w:eastAsia="Times New Roman"/>
          <w:spacing w:val="8"/>
        </w:rPr>
        <w:t> </w:t>
      </w:r>
      <w:r>
        <w:rPr>
          <w:spacing w:val="-4"/>
        </w:rPr>
        <w:t>级，具体为：</w:t>
      </w:r>
    </w:p>
    <w:p>
      <w:pPr>
        <w:pStyle w:val="BodyText"/>
        <w:spacing w:before="6"/>
        <w:rPr>
          <w:sz w:val="15"/>
        </w:rPr>
      </w:pPr>
    </w:p>
    <w:p>
      <w:pPr>
        <w:pStyle w:val="ListParagraph"/>
        <w:numPr>
          <w:ilvl w:val="0"/>
          <w:numId w:val="25"/>
        </w:numPr>
        <w:tabs>
          <w:tab w:pos="1769" w:val="left" w:leader="none"/>
        </w:tabs>
        <w:spacing w:line="240" w:lineRule="auto" w:before="0" w:after="0"/>
        <w:ind w:left="1768" w:right="0" w:hanging="159"/>
        <w:jc w:val="left"/>
        <w:rPr>
          <w:sz w:val="21"/>
        </w:rPr>
      </w:pPr>
      <w:r>
        <w:rPr>
          <w:spacing w:val="-3"/>
          <w:sz w:val="21"/>
        </w:rPr>
        <w:t>级：肌肉完全瘫痪，毫无收缩。</w:t>
      </w:r>
    </w:p>
    <w:p>
      <w:pPr>
        <w:pStyle w:val="BodyText"/>
        <w:rPr>
          <w:sz w:val="15"/>
        </w:rPr>
      </w:pPr>
    </w:p>
    <w:p>
      <w:pPr>
        <w:pStyle w:val="ListParagraph"/>
        <w:numPr>
          <w:ilvl w:val="0"/>
          <w:numId w:val="25"/>
        </w:numPr>
        <w:tabs>
          <w:tab w:pos="1769" w:val="left" w:leader="none"/>
        </w:tabs>
        <w:spacing w:line="240" w:lineRule="auto" w:before="0" w:after="0"/>
        <w:ind w:left="1768" w:right="0" w:hanging="159"/>
        <w:jc w:val="left"/>
        <w:rPr>
          <w:sz w:val="21"/>
        </w:rPr>
      </w:pPr>
      <w:r>
        <w:rPr>
          <w:spacing w:val="-3"/>
          <w:sz w:val="21"/>
        </w:rPr>
        <w:t>级：可看到或者触及肌肉轻微收缩，但不能产生动作。</w:t>
      </w:r>
    </w:p>
    <w:p>
      <w:pPr>
        <w:pStyle w:val="BodyText"/>
        <w:rPr>
          <w:sz w:val="15"/>
        </w:rPr>
      </w:pPr>
    </w:p>
    <w:p>
      <w:pPr>
        <w:pStyle w:val="ListParagraph"/>
        <w:numPr>
          <w:ilvl w:val="0"/>
          <w:numId w:val="25"/>
        </w:numPr>
        <w:tabs>
          <w:tab w:pos="1769" w:val="left" w:leader="none"/>
        </w:tabs>
        <w:spacing w:line="240" w:lineRule="auto" w:before="0" w:after="0"/>
        <w:ind w:left="1768" w:right="0" w:hanging="159"/>
        <w:jc w:val="left"/>
        <w:rPr>
          <w:sz w:val="21"/>
        </w:rPr>
      </w:pPr>
      <w:r>
        <w:rPr>
          <w:spacing w:val="-3"/>
          <w:sz w:val="21"/>
        </w:rPr>
        <w:t>级：肌肉在不受重力影响下，可进行运动，即肢体能在床面上移动，但不能抬高。</w:t>
      </w:r>
    </w:p>
    <w:p>
      <w:pPr>
        <w:pStyle w:val="BodyText"/>
        <w:spacing w:before="6"/>
        <w:rPr>
          <w:sz w:val="15"/>
        </w:rPr>
      </w:pPr>
    </w:p>
    <w:p>
      <w:pPr>
        <w:pStyle w:val="ListParagraph"/>
        <w:numPr>
          <w:ilvl w:val="0"/>
          <w:numId w:val="25"/>
        </w:numPr>
        <w:tabs>
          <w:tab w:pos="1769" w:val="left" w:leader="none"/>
        </w:tabs>
        <w:spacing w:line="240" w:lineRule="auto" w:before="1" w:after="0"/>
        <w:ind w:left="1768" w:right="0" w:hanging="159"/>
        <w:jc w:val="left"/>
        <w:rPr>
          <w:sz w:val="21"/>
        </w:rPr>
      </w:pPr>
      <w:r>
        <w:rPr>
          <w:spacing w:val="-3"/>
          <w:sz w:val="21"/>
        </w:rPr>
        <w:t>级：在和地心引力相反的方向中尚能完成其动作，但不能对抗外加阻力。</w:t>
      </w:r>
    </w:p>
    <w:p>
      <w:pPr>
        <w:pStyle w:val="BodyText"/>
        <w:spacing w:before="6"/>
        <w:rPr>
          <w:sz w:val="15"/>
        </w:rPr>
      </w:pPr>
    </w:p>
    <w:p>
      <w:pPr>
        <w:pStyle w:val="ListParagraph"/>
        <w:numPr>
          <w:ilvl w:val="0"/>
          <w:numId w:val="25"/>
        </w:numPr>
        <w:tabs>
          <w:tab w:pos="1769" w:val="left" w:leader="none"/>
        </w:tabs>
        <w:spacing w:line="240" w:lineRule="auto" w:before="0" w:after="0"/>
        <w:ind w:left="1768" w:right="0" w:hanging="159"/>
        <w:jc w:val="left"/>
        <w:rPr>
          <w:sz w:val="21"/>
        </w:rPr>
      </w:pPr>
      <w:r>
        <w:rPr>
          <w:spacing w:val="-3"/>
          <w:sz w:val="21"/>
        </w:rPr>
        <w:t>级：能对抗一定的阻力，但较正常人为低。</w:t>
      </w:r>
    </w:p>
    <w:p>
      <w:pPr>
        <w:pStyle w:val="BodyText"/>
        <w:rPr>
          <w:sz w:val="15"/>
        </w:rPr>
      </w:pPr>
    </w:p>
    <w:p>
      <w:pPr>
        <w:pStyle w:val="ListParagraph"/>
        <w:numPr>
          <w:ilvl w:val="0"/>
          <w:numId w:val="25"/>
        </w:numPr>
        <w:tabs>
          <w:tab w:pos="1769" w:val="left" w:leader="none"/>
        </w:tabs>
        <w:spacing w:line="240" w:lineRule="auto" w:before="1" w:after="0"/>
        <w:ind w:left="1768" w:right="0" w:hanging="159"/>
        <w:jc w:val="left"/>
        <w:rPr>
          <w:sz w:val="21"/>
        </w:rPr>
      </w:pPr>
      <w:r>
        <w:rPr>
          <w:spacing w:val="-4"/>
          <w:sz w:val="21"/>
        </w:rPr>
        <w:t>级：正常肌力。</w:t>
      </w:r>
    </w:p>
    <w:p>
      <w:pPr>
        <w:pStyle w:val="BodyText"/>
        <w:spacing w:before="6"/>
        <w:rPr>
          <w:sz w:val="15"/>
        </w:rPr>
      </w:pPr>
    </w:p>
    <w:p>
      <w:pPr>
        <w:pStyle w:val="ListParagraph"/>
        <w:numPr>
          <w:ilvl w:val="1"/>
          <w:numId w:val="3"/>
        </w:numPr>
        <w:tabs>
          <w:tab w:pos="715" w:val="left" w:leader="none"/>
        </w:tabs>
        <w:spacing w:line="240" w:lineRule="auto" w:before="0" w:after="0"/>
        <w:ind w:left="714" w:right="0" w:hanging="577"/>
        <w:jc w:val="left"/>
        <w:rPr>
          <w:b/>
          <w:sz w:val="21"/>
        </w:rPr>
      </w:pPr>
      <w:bookmarkStart w:name="_bookmark80" w:id="143"/>
      <w:bookmarkEnd w:id="143"/>
      <w:r>
        <w:rPr/>
      </w:r>
      <w:bookmarkStart w:name="_bookmark80" w:id="144"/>
      <w:bookmarkEnd w:id="144"/>
      <w:r>
        <w:rPr>
          <w:b/>
          <w:spacing w:val="-3"/>
          <w:sz w:val="21"/>
        </w:rPr>
        <w:t>语言能力完全丧失或严重咀嚼吞咽功能障碍</w:t>
      </w:r>
    </w:p>
    <w:p>
      <w:pPr>
        <w:pStyle w:val="BodyText"/>
        <w:rPr>
          <w:b/>
          <w:sz w:val="15"/>
        </w:rPr>
      </w:pPr>
    </w:p>
    <w:p>
      <w:pPr>
        <w:pStyle w:val="BodyText"/>
        <w:spacing w:line="278" w:lineRule="auto" w:before="0"/>
        <w:ind w:left="1610" w:right="884"/>
      </w:pPr>
      <w:r>
        <w:rPr>
          <w:spacing w:val="-2"/>
        </w:rPr>
        <w:t>语言能力完全丧失，指无法发出四种语音（包括口唇音、齿舌音、口盖音和喉头音）</w:t>
      </w:r>
      <w:r>
        <w:rPr>
          <w:spacing w:val="-2"/>
        </w:rPr>
        <w:t>中的任何三种、或声带全部切除，或因大脑语言中枢受伤害而患失语症。</w:t>
      </w:r>
    </w:p>
    <w:p>
      <w:pPr>
        <w:pStyle w:val="BodyText"/>
        <w:spacing w:line="278" w:lineRule="auto" w:before="156"/>
        <w:ind w:left="1610" w:right="1026"/>
      </w:pPr>
      <w:r>
        <w:rPr>
          <w:spacing w:val="-2"/>
        </w:rPr>
        <w:t>严重咀嚼吞咽功能障碍，指因牙齿以外的原因导致器质障碍或机能障碍，以致不能</w:t>
      </w:r>
      <w:r>
        <w:rPr>
          <w:spacing w:val="-2"/>
        </w:rPr>
        <w:t>作咀嚼吞咽运动，除流质食物外不能摄取或吞咽的状态。</w:t>
      </w:r>
    </w:p>
    <w:p>
      <w:pPr>
        <w:pStyle w:val="ListParagraph"/>
        <w:numPr>
          <w:ilvl w:val="1"/>
          <w:numId w:val="3"/>
        </w:numPr>
        <w:tabs>
          <w:tab w:pos="715" w:val="left" w:leader="none"/>
        </w:tabs>
        <w:spacing w:line="240" w:lineRule="auto" w:before="156" w:after="0"/>
        <w:ind w:left="714" w:right="0" w:hanging="577"/>
        <w:jc w:val="left"/>
        <w:rPr>
          <w:b/>
          <w:sz w:val="21"/>
        </w:rPr>
      </w:pPr>
      <w:bookmarkStart w:name="_bookmark81" w:id="145"/>
      <w:bookmarkEnd w:id="145"/>
      <w:r>
        <w:rPr/>
      </w:r>
      <w:bookmarkStart w:name="_bookmark81" w:id="146"/>
      <w:bookmarkEnd w:id="146"/>
      <w:r>
        <w:rPr>
          <w:b/>
          <w:spacing w:val="-3"/>
          <w:sz w:val="21"/>
        </w:rPr>
        <w:t>六项基本日常生活活动</w:t>
      </w:r>
    </w:p>
    <w:p>
      <w:pPr>
        <w:pStyle w:val="BodyText"/>
        <w:spacing w:before="6"/>
        <w:rPr>
          <w:b/>
          <w:sz w:val="15"/>
        </w:rPr>
      </w:pPr>
    </w:p>
    <w:p>
      <w:pPr>
        <w:pStyle w:val="BodyText"/>
        <w:spacing w:before="0"/>
        <w:ind w:left="1610"/>
      </w:pPr>
      <w:r>
        <w:rPr>
          <w:spacing w:val="-3"/>
        </w:rPr>
        <w:t>六项基本日常生活活动是指：</w:t>
      </w:r>
    </w:p>
    <w:p>
      <w:pPr>
        <w:pStyle w:val="BodyText"/>
        <w:rPr>
          <w:sz w:val="15"/>
        </w:rPr>
      </w:pPr>
    </w:p>
    <w:p>
      <w:pPr>
        <w:pStyle w:val="ListParagraph"/>
        <w:numPr>
          <w:ilvl w:val="2"/>
          <w:numId w:val="3"/>
        </w:numPr>
        <w:tabs>
          <w:tab w:pos="1969" w:val="left" w:leader="none"/>
          <w:tab w:pos="1970" w:val="left" w:leader="none"/>
        </w:tabs>
        <w:spacing w:line="240" w:lineRule="auto" w:before="0" w:after="0"/>
        <w:ind w:left="1970" w:right="0" w:hanging="360"/>
        <w:jc w:val="left"/>
        <w:rPr>
          <w:rFonts w:ascii="Times New Roman" w:eastAsia="Times New Roman"/>
          <w:sz w:val="21"/>
        </w:rPr>
      </w:pPr>
      <w:r>
        <w:rPr>
          <w:spacing w:val="-3"/>
          <w:sz w:val="21"/>
        </w:rPr>
        <w:t>穿衣：自己能够穿衣及脱衣；</w:t>
      </w:r>
    </w:p>
    <w:p>
      <w:pPr>
        <w:pStyle w:val="BodyText"/>
        <w:rPr>
          <w:sz w:val="15"/>
        </w:rPr>
      </w:pPr>
    </w:p>
    <w:p>
      <w:pPr>
        <w:pStyle w:val="ListParagraph"/>
        <w:numPr>
          <w:ilvl w:val="2"/>
          <w:numId w:val="3"/>
        </w:numPr>
        <w:tabs>
          <w:tab w:pos="1969" w:val="left" w:leader="none"/>
          <w:tab w:pos="1970" w:val="left" w:leader="none"/>
        </w:tabs>
        <w:spacing w:line="240" w:lineRule="auto" w:before="0" w:after="0"/>
        <w:ind w:left="1970" w:right="0" w:hanging="360"/>
        <w:jc w:val="left"/>
        <w:rPr>
          <w:rFonts w:ascii="Times New Roman" w:eastAsia="Times New Roman"/>
          <w:sz w:val="21"/>
        </w:rPr>
      </w:pPr>
      <w:r>
        <w:rPr>
          <w:spacing w:val="-3"/>
          <w:sz w:val="21"/>
        </w:rPr>
        <w:t>移动：自己从一个房间到另一个房间；</w:t>
      </w:r>
    </w:p>
    <w:p>
      <w:pPr>
        <w:pStyle w:val="BodyText"/>
        <w:rPr>
          <w:sz w:val="15"/>
        </w:rPr>
      </w:pPr>
    </w:p>
    <w:p>
      <w:pPr>
        <w:pStyle w:val="ListParagraph"/>
        <w:numPr>
          <w:ilvl w:val="2"/>
          <w:numId w:val="3"/>
        </w:numPr>
        <w:tabs>
          <w:tab w:pos="1969" w:val="left" w:leader="none"/>
          <w:tab w:pos="1970" w:val="left" w:leader="none"/>
        </w:tabs>
        <w:spacing w:line="240" w:lineRule="auto" w:before="0" w:after="0"/>
        <w:ind w:left="1970" w:right="0" w:hanging="360"/>
        <w:jc w:val="left"/>
        <w:rPr>
          <w:rFonts w:ascii="Times New Roman" w:eastAsia="Times New Roman"/>
          <w:sz w:val="21"/>
        </w:rPr>
      </w:pPr>
      <w:r>
        <w:rPr>
          <w:spacing w:val="-3"/>
          <w:sz w:val="21"/>
        </w:rPr>
        <w:t>行动：自己上下床或上下轮椅；</w:t>
      </w:r>
    </w:p>
    <w:p>
      <w:pPr>
        <w:pStyle w:val="BodyText"/>
        <w:rPr>
          <w:sz w:val="15"/>
        </w:rPr>
      </w:pPr>
    </w:p>
    <w:p>
      <w:pPr>
        <w:pStyle w:val="ListParagraph"/>
        <w:numPr>
          <w:ilvl w:val="2"/>
          <w:numId w:val="3"/>
        </w:numPr>
        <w:tabs>
          <w:tab w:pos="1969" w:val="left" w:leader="none"/>
          <w:tab w:pos="1970" w:val="left" w:leader="none"/>
        </w:tabs>
        <w:spacing w:line="240" w:lineRule="auto" w:before="0" w:after="0"/>
        <w:ind w:left="1970" w:right="0" w:hanging="360"/>
        <w:jc w:val="left"/>
        <w:rPr>
          <w:rFonts w:ascii="Times New Roman" w:eastAsia="Times New Roman"/>
          <w:sz w:val="21"/>
        </w:rPr>
      </w:pPr>
      <w:r>
        <w:rPr>
          <w:spacing w:val="-3"/>
          <w:sz w:val="21"/>
        </w:rPr>
        <w:t>如厕：自己控制进行大小便；</w:t>
      </w:r>
    </w:p>
    <w:p>
      <w:pPr>
        <w:pStyle w:val="BodyText"/>
        <w:spacing w:before="6"/>
        <w:rPr>
          <w:sz w:val="15"/>
        </w:rPr>
      </w:pPr>
    </w:p>
    <w:p>
      <w:pPr>
        <w:pStyle w:val="ListParagraph"/>
        <w:numPr>
          <w:ilvl w:val="2"/>
          <w:numId w:val="3"/>
        </w:numPr>
        <w:tabs>
          <w:tab w:pos="1969" w:val="left" w:leader="none"/>
          <w:tab w:pos="1970" w:val="left" w:leader="none"/>
        </w:tabs>
        <w:spacing w:line="240" w:lineRule="auto" w:before="1" w:after="0"/>
        <w:ind w:left="1970" w:right="0" w:hanging="360"/>
        <w:jc w:val="left"/>
        <w:rPr>
          <w:rFonts w:ascii="Times New Roman" w:eastAsia="Times New Roman"/>
          <w:sz w:val="21"/>
        </w:rPr>
      </w:pPr>
      <w:r>
        <w:rPr>
          <w:spacing w:val="-3"/>
          <w:sz w:val="21"/>
        </w:rPr>
        <w:t>进食：自己从已准备好的碗或碟中取食物放入口中；</w:t>
      </w:r>
    </w:p>
    <w:p>
      <w:pPr>
        <w:pStyle w:val="BodyText"/>
        <w:spacing w:before="6"/>
        <w:rPr>
          <w:sz w:val="15"/>
        </w:rPr>
      </w:pPr>
    </w:p>
    <w:p>
      <w:pPr>
        <w:pStyle w:val="ListParagraph"/>
        <w:numPr>
          <w:ilvl w:val="2"/>
          <w:numId w:val="3"/>
        </w:numPr>
        <w:tabs>
          <w:tab w:pos="1969" w:val="left" w:leader="none"/>
          <w:tab w:pos="1970" w:val="left" w:leader="none"/>
        </w:tabs>
        <w:spacing w:line="240" w:lineRule="auto" w:before="0" w:after="0"/>
        <w:ind w:left="1970" w:right="0" w:hanging="360"/>
        <w:jc w:val="left"/>
        <w:rPr>
          <w:rFonts w:ascii="Times New Roman" w:eastAsia="Times New Roman"/>
          <w:sz w:val="21"/>
        </w:rPr>
      </w:pPr>
      <w:r>
        <w:rPr>
          <w:spacing w:val="-3"/>
          <w:sz w:val="21"/>
        </w:rPr>
        <w:t>洗澡：自己进行淋浴或盆浴。</w:t>
      </w:r>
    </w:p>
    <w:p>
      <w:pPr>
        <w:pStyle w:val="BodyText"/>
        <w:rPr>
          <w:sz w:val="15"/>
        </w:rPr>
      </w:pPr>
    </w:p>
    <w:p>
      <w:pPr>
        <w:spacing w:before="0"/>
        <w:ind w:left="1610" w:right="0" w:firstLine="0"/>
        <w:jc w:val="left"/>
        <w:rPr>
          <w:b/>
          <w:sz w:val="21"/>
        </w:rPr>
      </w:pPr>
      <w:r>
        <w:rPr>
          <w:b/>
          <w:spacing w:val="-3"/>
          <w:sz w:val="21"/>
        </w:rPr>
        <w:t>六项基本日常生活活动能力的鉴定不适用于 </w:t>
      </w:r>
      <w:r>
        <w:rPr>
          <w:rFonts w:ascii="Times New Roman" w:eastAsia="Times New Roman"/>
          <w:b/>
          <w:sz w:val="21"/>
        </w:rPr>
        <w:t>0-3</w:t>
      </w:r>
      <w:r>
        <w:rPr>
          <w:rFonts w:ascii="Times New Roman" w:eastAsia="Times New Roman"/>
          <w:b/>
          <w:spacing w:val="-13"/>
          <w:sz w:val="21"/>
        </w:rPr>
        <w:t> </w:t>
      </w:r>
      <w:r>
        <w:rPr>
          <w:b/>
          <w:spacing w:val="-2"/>
          <w:sz w:val="21"/>
        </w:rPr>
        <w:t>周岁幼儿。</w:t>
      </w:r>
    </w:p>
    <w:p>
      <w:pPr>
        <w:pStyle w:val="BodyText"/>
        <w:rPr>
          <w:b/>
          <w:sz w:val="15"/>
        </w:rPr>
      </w:pPr>
    </w:p>
    <w:p>
      <w:pPr>
        <w:pStyle w:val="ListParagraph"/>
        <w:numPr>
          <w:ilvl w:val="1"/>
          <w:numId w:val="3"/>
        </w:numPr>
        <w:tabs>
          <w:tab w:pos="715" w:val="left" w:leader="none"/>
        </w:tabs>
        <w:spacing w:line="240" w:lineRule="auto" w:before="0" w:after="0"/>
        <w:ind w:left="714" w:right="0" w:hanging="577"/>
        <w:jc w:val="left"/>
        <w:rPr>
          <w:b/>
          <w:sz w:val="21"/>
        </w:rPr>
      </w:pPr>
      <w:bookmarkStart w:name="_bookmark82" w:id="147"/>
      <w:bookmarkEnd w:id="147"/>
      <w:r>
        <w:rPr/>
      </w:r>
      <w:bookmarkStart w:name="_bookmark82" w:id="148"/>
      <w:bookmarkEnd w:id="148"/>
      <w:r>
        <w:rPr>
          <w:b/>
          <w:spacing w:val="-2"/>
          <w:sz w:val="21"/>
        </w:rPr>
        <w:t>永久不可逆</w:t>
      </w:r>
    </w:p>
    <w:p>
      <w:pPr>
        <w:pStyle w:val="BodyText"/>
        <w:spacing w:before="6"/>
        <w:rPr>
          <w:b/>
          <w:sz w:val="15"/>
        </w:rPr>
      </w:pPr>
    </w:p>
    <w:p>
      <w:pPr>
        <w:pStyle w:val="BodyText"/>
        <w:spacing w:line="278" w:lineRule="auto" w:before="1"/>
        <w:ind w:left="1610" w:right="1025"/>
      </w:pPr>
      <w:r>
        <w:rPr>
          <w:spacing w:val="-3"/>
        </w:rPr>
        <w:t>指自疾病确诊或意外伤害发生之日起，经过积极治疗 </w:t>
      </w:r>
      <w:r>
        <w:rPr>
          <w:rFonts w:ascii="Times New Roman" w:eastAsia="Times New Roman"/>
        </w:rPr>
        <w:t>180</w:t>
      </w:r>
      <w:r>
        <w:rPr>
          <w:rFonts w:ascii="Times New Roman" w:eastAsia="Times New Roman"/>
          <w:spacing w:val="-14"/>
        </w:rPr>
        <w:t> </w:t>
      </w:r>
      <w:r>
        <w:rPr/>
        <w:t>天后，仍无法通过现有医</w:t>
      </w:r>
      <w:r>
        <w:rPr>
          <w:spacing w:val="-2"/>
        </w:rPr>
        <w:t>疗手段恢复。</w:t>
      </w:r>
    </w:p>
    <w:p>
      <w:pPr>
        <w:pStyle w:val="ListParagraph"/>
        <w:numPr>
          <w:ilvl w:val="1"/>
          <w:numId w:val="3"/>
        </w:numPr>
        <w:tabs>
          <w:tab w:pos="715" w:val="left" w:leader="none"/>
        </w:tabs>
        <w:spacing w:line="240" w:lineRule="auto" w:before="156" w:after="0"/>
        <w:ind w:left="714" w:right="0" w:hanging="577"/>
        <w:jc w:val="left"/>
        <w:rPr>
          <w:b/>
          <w:sz w:val="21"/>
        </w:rPr>
      </w:pPr>
      <w:bookmarkStart w:name="_bookmark83" w:id="149"/>
      <w:bookmarkEnd w:id="149"/>
      <w:r>
        <w:rPr/>
      </w:r>
      <w:bookmarkStart w:name="_bookmark83" w:id="150"/>
      <w:bookmarkEnd w:id="150"/>
      <w:r>
        <w:rPr>
          <w:b/>
          <w:spacing w:val="-2"/>
          <w:sz w:val="21"/>
        </w:rPr>
        <w:t>美国纽约心脏病学会</w:t>
      </w:r>
      <w:r>
        <w:rPr>
          <w:b/>
          <w:spacing w:val="-2"/>
          <w:sz w:val="21"/>
        </w:rPr>
        <w:t>（</w:t>
      </w:r>
      <w:r>
        <w:rPr>
          <w:rFonts w:ascii="Times New Roman" w:eastAsia="Times New Roman"/>
          <w:b/>
          <w:spacing w:val="-2"/>
          <w:sz w:val="21"/>
        </w:rPr>
        <w:t>New</w:t>
      </w:r>
      <w:r>
        <w:rPr>
          <w:rFonts w:ascii="Times New Roman" w:eastAsia="Times New Roman"/>
          <w:b/>
          <w:spacing w:val="4"/>
          <w:sz w:val="21"/>
        </w:rPr>
        <w:t> </w:t>
      </w:r>
      <w:r>
        <w:rPr>
          <w:rFonts w:ascii="Times New Roman" w:eastAsia="Times New Roman"/>
          <w:b/>
          <w:spacing w:val="-2"/>
          <w:sz w:val="21"/>
        </w:rPr>
        <w:t>York</w:t>
      </w:r>
      <w:r>
        <w:rPr>
          <w:rFonts w:ascii="Times New Roman" w:eastAsia="Times New Roman"/>
          <w:b/>
          <w:spacing w:val="9"/>
          <w:sz w:val="21"/>
        </w:rPr>
        <w:t> </w:t>
      </w:r>
      <w:r>
        <w:rPr>
          <w:rFonts w:ascii="Times New Roman" w:eastAsia="Times New Roman"/>
          <w:b/>
          <w:spacing w:val="-2"/>
          <w:sz w:val="21"/>
        </w:rPr>
        <w:t>Heart</w:t>
      </w:r>
      <w:r>
        <w:rPr>
          <w:rFonts w:ascii="Times New Roman" w:eastAsia="Times New Roman"/>
          <w:b/>
          <w:sz w:val="21"/>
        </w:rPr>
        <w:t> </w:t>
      </w:r>
      <w:r>
        <w:rPr>
          <w:rFonts w:ascii="Times New Roman" w:eastAsia="Times New Roman"/>
          <w:b/>
          <w:spacing w:val="-2"/>
          <w:sz w:val="21"/>
        </w:rPr>
        <w:t>Association</w:t>
      </w:r>
      <w:r>
        <w:rPr>
          <w:b/>
          <w:spacing w:val="-2"/>
          <w:sz w:val="21"/>
        </w:rPr>
        <w:t>，</w:t>
      </w:r>
      <w:r>
        <w:rPr>
          <w:rFonts w:ascii="Times New Roman" w:eastAsia="Times New Roman"/>
          <w:b/>
          <w:spacing w:val="-2"/>
          <w:sz w:val="21"/>
        </w:rPr>
        <w:t>NYHA</w:t>
      </w:r>
      <w:r>
        <w:rPr>
          <w:b/>
          <w:spacing w:val="-2"/>
          <w:sz w:val="21"/>
        </w:rPr>
        <w:t>）</w:t>
      </w:r>
      <w:r>
        <w:rPr>
          <w:b/>
          <w:spacing w:val="-4"/>
          <w:sz w:val="21"/>
        </w:rPr>
        <w:t>心功能状态分级</w:t>
      </w:r>
    </w:p>
    <w:p>
      <w:pPr>
        <w:pStyle w:val="BodyText"/>
        <w:rPr>
          <w:b/>
          <w:sz w:val="15"/>
        </w:rPr>
      </w:pPr>
    </w:p>
    <w:p>
      <w:pPr>
        <w:pStyle w:val="BodyText"/>
        <w:spacing w:line="417" w:lineRule="auto" w:before="0"/>
        <w:ind w:left="1610" w:right="886"/>
        <w:jc w:val="both"/>
      </w:pPr>
      <w:r>
        <w:rPr>
          <w:spacing w:val="-9"/>
        </w:rPr>
        <w:t>美国纽约心脏病学会</w:t>
      </w:r>
      <w:r>
        <w:rPr>
          <w:spacing w:val="-2"/>
        </w:rPr>
        <w:t>（</w:t>
      </w:r>
      <w:r>
        <w:rPr>
          <w:rFonts w:ascii="Times New Roman" w:eastAsia="Times New Roman"/>
          <w:spacing w:val="-2"/>
        </w:rPr>
        <w:t>New</w:t>
      </w:r>
      <w:r>
        <w:rPr>
          <w:rFonts w:ascii="Times New Roman" w:eastAsia="Times New Roman"/>
          <w:spacing w:val="-12"/>
        </w:rPr>
        <w:t> </w:t>
      </w:r>
      <w:r>
        <w:rPr>
          <w:rFonts w:ascii="Times New Roman" w:eastAsia="Times New Roman"/>
          <w:spacing w:val="-2"/>
        </w:rPr>
        <w:t>York</w:t>
      </w:r>
      <w:r>
        <w:rPr>
          <w:rFonts w:ascii="Times New Roman" w:eastAsia="Times New Roman"/>
          <w:spacing w:val="-11"/>
        </w:rPr>
        <w:t> </w:t>
      </w:r>
      <w:r>
        <w:rPr>
          <w:rFonts w:ascii="Times New Roman" w:eastAsia="Times New Roman"/>
          <w:spacing w:val="-2"/>
        </w:rPr>
        <w:t>Heart</w:t>
      </w:r>
      <w:r>
        <w:rPr>
          <w:rFonts w:ascii="Times New Roman" w:eastAsia="Times New Roman"/>
          <w:spacing w:val="-11"/>
        </w:rPr>
        <w:t> </w:t>
      </w:r>
      <w:r>
        <w:rPr>
          <w:rFonts w:ascii="Times New Roman" w:eastAsia="Times New Roman"/>
          <w:spacing w:val="-2"/>
        </w:rPr>
        <w:t>Association</w:t>
      </w:r>
      <w:r>
        <w:rPr>
          <w:spacing w:val="-2"/>
        </w:rPr>
        <w:t>，</w:t>
      </w:r>
      <w:r>
        <w:rPr>
          <w:rFonts w:ascii="Times New Roman" w:eastAsia="Times New Roman"/>
          <w:spacing w:val="-2"/>
        </w:rPr>
        <w:t>NYHA</w:t>
      </w:r>
      <w:r>
        <w:rPr>
          <w:spacing w:val="-2"/>
        </w:rPr>
        <w:t>）将心功能状态分为四级： </w:t>
      </w:r>
      <w:r>
        <w:rPr>
          <w:rFonts w:ascii="Times New Roman" w:eastAsia="Times New Roman"/>
        </w:rPr>
        <w:t>I</w:t>
      </w:r>
      <w:r>
        <w:rPr>
          <w:rFonts w:ascii="Times New Roman" w:eastAsia="Times New Roman"/>
          <w:spacing w:val="-14"/>
        </w:rPr>
        <w:t> </w:t>
      </w:r>
      <w:r>
        <w:rPr>
          <w:spacing w:val="-15"/>
        </w:rPr>
        <w:t>级：心脏病病人日常活动量不受限制，一般活动不引起乏力、呼吸困难等心衰症状。</w:t>
      </w:r>
      <w:r>
        <w:rPr/>
        <w:t> </w:t>
      </w:r>
      <w:r>
        <w:rPr>
          <w:rFonts w:ascii="Times New Roman" w:eastAsia="Times New Roman"/>
        </w:rPr>
        <w:t>II </w:t>
      </w:r>
      <w:r>
        <w:rPr/>
        <w:t>级：心脏病病人体力活动轻度受限制，休息时无自觉症状，一般活动下可出现心</w:t>
      </w:r>
    </w:p>
    <w:p>
      <w:pPr>
        <w:spacing w:after="0" w:line="417" w:lineRule="auto"/>
        <w:jc w:val="both"/>
        <w:sectPr>
          <w:pgSz w:w="11910" w:h="16840"/>
          <w:pgMar w:top="1380" w:bottom="280" w:left="1280" w:right="420"/>
        </w:sectPr>
      </w:pPr>
    </w:p>
    <w:p>
      <w:pPr>
        <w:pStyle w:val="BodyText"/>
        <w:spacing w:before="44"/>
        <w:ind w:left="1610"/>
      </w:pPr>
      <w:r>
        <w:rPr>
          <w:spacing w:val="-4"/>
        </w:rPr>
        <w:t>衰症状。</w:t>
      </w:r>
    </w:p>
    <w:p>
      <w:pPr>
        <w:pStyle w:val="BodyText"/>
        <w:rPr>
          <w:sz w:val="15"/>
        </w:rPr>
      </w:pPr>
    </w:p>
    <w:p>
      <w:pPr>
        <w:pStyle w:val="ListParagraph"/>
        <w:numPr>
          <w:ilvl w:val="0"/>
          <w:numId w:val="26"/>
        </w:numPr>
        <w:tabs>
          <w:tab w:pos="1870" w:val="left" w:leader="none"/>
        </w:tabs>
        <w:spacing w:line="240" w:lineRule="auto" w:before="0" w:after="0"/>
        <w:ind w:left="1869" w:right="0" w:hanging="260"/>
        <w:jc w:val="left"/>
        <w:rPr>
          <w:sz w:val="21"/>
        </w:rPr>
      </w:pPr>
      <w:r>
        <w:rPr>
          <w:spacing w:val="-3"/>
          <w:sz w:val="21"/>
        </w:rPr>
        <w:t>级：心脏病病人体力活动明显受限，低于平时一般活动即引起心衰症状。</w:t>
      </w:r>
    </w:p>
    <w:p>
      <w:pPr>
        <w:pStyle w:val="BodyText"/>
        <w:rPr>
          <w:sz w:val="15"/>
        </w:rPr>
      </w:pPr>
    </w:p>
    <w:p>
      <w:pPr>
        <w:pStyle w:val="ListParagraph"/>
        <w:numPr>
          <w:ilvl w:val="0"/>
          <w:numId w:val="26"/>
        </w:numPr>
        <w:tabs>
          <w:tab w:pos="1884" w:val="left" w:leader="none"/>
        </w:tabs>
        <w:spacing w:line="278" w:lineRule="auto" w:before="0" w:after="0"/>
        <w:ind w:left="1610" w:right="989" w:firstLine="0"/>
        <w:jc w:val="left"/>
        <w:rPr>
          <w:sz w:val="21"/>
        </w:rPr>
      </w:pPr>
      <w:r>
        <w:rPr>
          <w:spacing w:val="-2"/>
          <w:sz w:val="21"/>
        </w:rPr>
        <w:t>级：心脏病病人不能从事任何体力活动，休息状态下也存在心衰症状，活动后加</w:t>
      </w:r>
      <w:r>
        <w:rPr>
          <w:spacing w:val="-6"/>
          <w:sz w:val="21"/>
        </w:rPr>
        <w:t>重。</w:t>
      </w:r>
    </w:p>
    <w:sectPr>
      <w:pgSz w:w="11910" w:h="16840"/>
      <w:pgMar w:top="1400" w:bottom="280" w:left="1280" w:right="42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Arial">
    <w:altName w:val="Arial"/>
    <w:charset w:val="0"/>
    <w:family w:val="swiss"/>
    <w:pitch w:val="variable"/>
  </w:font>
  <w:font w:name="华文中宋">
    <w:altName w:val="华文中宋"/>
    <w:charset w:val="86"/>
    <w:family w:val="auto"/>
    <w:pitch w:val="variable"/>
  </w:font>
  <w:font w:name="宋体">
    <w:altName w:val="宋体"/>
    <w:charset w:val="86"/>
    <w:family w:val="auto"/>
    <w:pitch w:val="variable"/>
  </w:font>
  <w:font w:name="Wingdings">
    <w:altName w:val="Wingdings"/>
    <w:charset w:val="2"/>
    <w:family w:val="auto"/>
    <w:pitch w:val="variable"/>
  </w:font>
  <w:font w:name="Calibri">
    <w:altName w:val="Calibri"/>
    <w:charset w:val="0"/>
    <w:family w:val="swiss"/>
    <w:pitch w:val="variable"/>
  </w:font>
  <w:font w:name="黑体">
    <w:altName w:val="黑体"/>
    <w:charset w:val="86"/>
    <w:family w:val="modern"/>
    <w:pitch w:val="fixed"/>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25">
    <w:multiLevelType w:val="hybridMultilevel"/>
    <w:lvl w:ilvl="0">
      <w:start w:val="3"/>
      <w:numFmt w:val="upperRoman"/>
      <w:lvlText w:val="%1"/>
      <w:lvlJc w:val="left"/>
      <w:pPr>
        <w:ind w:left="1869" w:hanging="260"/>
        <w:jc w:val="left"/>
      </w:pPr>
      <w:rPr>
        <w:rFonts w:hint="default" w:ascii="Times New Roman" w:hAnsi="Times New Roman" w:eastAsia="Times New Roman" w:cs="Times New Roman"/>
        <w:b w:val="0"/>
        <w:bCs w:val="0"/>
        <w:i w:val="0"/>
        <w:iCs w:val="0"/>
        <w:spacing w:val="-1"/>
        <w:w w:val="100"/>
        <w:sz w:val="21"/>
        <w:szCs w:val="21"/>
        <w:lang w:val="en-US" w:eastAsia="zh-CN" w:bidi="ar-SA"/>
      </w:rPr>
    </w:lvl>
    <w:lvl w:ilvl="1">
      <w:start w:val="0"/>
      <w:numFmt w:val="bullet"/>
      <w:lvlText w:val="•"/>
      <w:lvlJc w:val="left"/>
      <w:pPr>
        <w:ind w:left="2694" w:hanging="260"/>
      </w:pPr>
      <w:rPr>
        <w:rFonts w:hint="default"/>
        <w:lang w:val="en-US" w:eastAsia="zh-CN" w:bidi="ar-SA"/>
      </w:rPr>
    </w:lvl>
    <w:lvl w:ilvl="2">
      <w:start w:val="0"/>
      <w:numFmt w:val="bullet"/>
      <w:lvlText w:val="•"/>
      <w:lvlJc w:val="left"/>
      <w:pPr>
        <w:ind w:left="3529" w:hanging="260"/>
      </w:pPr>
      <w:rPr>
        <w:rFonts w:hint="default"/>
        <w:lang w:val="en-US" w:eastAsia="zh-CN" w:bidi="ar-SA"/>
      </w:rPr>
    </w:lvl>
    <w:lvl w:ilvl="3">
      <w:start w:val="0"/>
      <w:numFmt w:val="bullet"/>
      <w:lvlText w:val="•"/>
      <w:lvlJc w:val="left"/>
      <w:pPr>
        <w:ind w:left="4363" w:hanging="260"/>
      </w:pPr>
      <w:rPr>
        <w:rFonts w:hint="default"/>
        <w:lang w:val="en-US" w:eastAsia="zh-CN" w:bidi="ar-SA"/>
      </w:rPr>
    </w:lvl>
    <w:lvl w:ilvl="4">
      <w:start w:val="0"/>
      <w:numFmt w:val="bullet"/>
      <w:lvlText w:val="•"/>
      <w:lvlJc w:val="left"/>
      <w:pPr>
        <w:ind w:left="5198" w:hanging="260"/>
      </w:pPr>
      <w:rPr>
        <w:rFonts w:hint="default"/>
        <w:lang w:val="en-US" w:eastAsia="zh-CN" w:bidi="ar-SA"/>
      </w:rPr>
    </w:lvl>
    <w:lvl w:ilvl="5">
      <w:start w:val="0"/>
      <w:numFmt w:val="bullet"/>
      <w:lvlText w:val="•"/>
      <w:lvlJc w:val="left"/>
      <w:pPr>
        <w:ind w:left="6033" w:hanging="260"/>
      </w:pPr>
      <w:rPr>
        <w:rFonts w:hint="default"/>
        <w:lang w:val="en-US" w:eastAsia="zh-CN" w:bidi="ar-SA"/>
      </w:rPr>
    </w:lvl>
    <w:lvl w:ilvl="6">
      <w:start w:val="0"/>
      <w:numFmt w:val="bullet"/>
      <w:lvlText w:val="•"/>
      <w:lvlJc w:val="left"/>
      <w:pPr>
        <w:ind w:left="6867" w:hanging="260"/>
      </w:pPr>
      <w:rPr>
        <w:rFonts w:hint="default"/>
        <w:lang w:val="en-US" w:eastAsia="zh-CN" w:bidi="ar-SA"/>
      </w:rPr>
    </w:lvl>
    <w:lvl w:ilvl="7">
      <w:start w:val="0"/>
      <w:numFmt w:val="bullet"/>
      <w:lvlText w:val="•"/>
      <w:lvlJc w:val="left"/>
      <w:pPr>
        <w:ind w:left="7702" w:hanging="260"/>
      </w:pPr>
      <w:rPr>
        <w:rFonts w:hint="default"/>
        <w:lang w:val="en-US" w:eastAsia="zh-CN" w:bidi="ar-SA"/>
      </w:rPr>
    </w:lvl>
    <w:lvl w:ilvl="8">
      <w:start w:val="0"/>
      <w:numFmt w:val="bullet"/>
      <w:lvlText w:val="•"/>
      <w:lvlJc w:val="left"/>
      <w:pPr>
        <w:ind w:left="8537" w:hanging="260"/>
      </w:pPr>
      <w:rPr>
        <w:rFonts w:hint="default"/>
        <w:lang w:val="en-US" w:eastAsia="zh-CN" w:bidi="ar-SA"/>
      </w:rPr>
    </w:lvl>
  </w:abstractNum>
  <w:abstractNum w:abstractNumId="24">
    <w:multiLevelType w:val="hybridMultilevel"/>
    <w:lvl w:ilvl="0">
      <w:start w:val="0"/>
      <w:numFmt w:val="decimal"/>
      <w:lvlText w:val="%1"/>
      <w:lvlJc w:val="left"/>
      <w:pPr>
        <w:ind w:left="1768" w:hanging="159"/>
        <w:jc w:val="left"/>
      </w:pPr>
      <w:rPr>
        <w:rFonts w:hint="default" w:ascii="Times New Roman" w:hAnsi="Times New Roman" w:eastAsia="Times New Roman" w:cs="Times New Roman"/>
        <w:b w:val="0"/>
        <w:bCs w:val="0"/>
        <w:i w:val="0"/>
        <w:iCs w:val="0"/>
        <w:w w:val="100"/>
        <w:sz w:val="21"/>
        <w:szCs w:val="21"/>
        <w:lang w:val="en-US" w:eastAsia="zh-CN" w:bidi="ar-SA"/>
      </w:rPr>
    </w:lvl>
    <w:lvl w:ilvl="1">
      <w:start w:val="0"/>
      <w:numFmt w:val="bullet"/>
      <w:lvlText w:val="•"/>
      <w:lvlJc w:val="left"/>
      <w:pPr>
        <w:ind w:left="2604" w:hanging="159"/>
      </w:pPr>
      <w:rPr>
        <w:rFonts w:hint="default"/>
        <w:lang w:val="en-US" w:eastAsia="zh-CN" w:bidi="ar-SA"/>
      </w:rPr>
    </w:lvl>
    <w:lvl w:ilvl="2">
      <w:start w:val="0"/>
      <w:numFmt w:val="bullet"/>
      <w:lvlText w:val="•"/>
      <w:lvlJc w:val="left"/>
      <w:pPr>
        <w:ind w:left="3449" w:hanging="159"/>
      </w:pPr>
      <w:rPr>
        <w:rFonts w:hint="default"/>
        <w:lang w:val="en-US" w:eastAsia="zh-CN" w:bidi="ar-SA"/>
      </w:rPr>
    </w:lvl>
    <w:lvl w:ilvl="3">
      <w:start w:val="0"/>
      <w:numFmt w:val="bullet"/>
      <w:lvlText w:val="•"/>
      <w:lvlJc w:val="left"/>
      <w:pPr>
        <w:ind w:left="4293" w:hanging="159"/>
      </w:pPr>
      <w:rPr>
        <w:rFonts w:hint="default"/>
        <w:lang w:val="en-US" w:eastAsia="zh-CN" w:bidi="ar-SA"/>
      </w:rPr>
    </w:lvl>
    <w:lvl w:ilvl="4">
      <w:start w:val="0"/>
      <w:numFmt w:val="bullet"/>
      <w:lvlText w:val="•"/>
      <w:lvlJc w:val="left"/>
      <w:pPr>
        <w:ind w:left="5138" w:hanging="159"/>
      </w:pPr>
      <w:rPr>
        <w:rFonts w:hint="default"/>
        <w:lang w:val="en-US" w:eastAsia="zh-CN" w:bidi="ar-SA"/>
      </w:rPr>
    </w:lvl>
    <w:lvl w:ilvl="5">
      <w:start w:val="0"/>
      <w:numFmt w:val="bullet"/>
      <w:lvlText w:val="•"/>
      <w:lvlJc w:val="left"/>
      <w:pPr>
        <w:ind w:left="5983" w:hanging="159"/>
      </w:pPr>
      <w:rPr>
        <w:rFonts w:hint="default"/>
        <w:lang w:val="en-US" w:eastAsia="zh-CN" w:bidi="ar-SA"/>
      </w:rPr>
    </w:lvl>
    <w:lvl w:ilvl="6">
      <w:start w:val="0"/>
      <w:numFmt w:val="bullet"/>
      <w:lvlText w:val="•"/>
      <w:lvlJc w:val="left"/>
      <w:pPr>
        <w:ind w:left="6827" w:hanging="159"/>
      </w:pPr>
      <w:rPr>
        <w:rFonts w:hint="default"/>
        <w:lang w:val="en-US" w:eastAsia="zh-CN" w:bidi="ar-SA"/>
      </w:rPr>
    </w:lvl>
    <w:lvl w:ilvl="7">
      <w:start w:val="0"/>
      <w:numFmt w:val="bullet"/>
      <w:lvlText w:val="•"/>
      <w:lvlJc w:val="left"/>
      <w:pPr>
        <w:ind w:left="7672" w:hanging="159"/>
      </w:pPr>
      <w:rPr>
        <w:rFonts w:hint="default"/>
        <w:lang w:val="en-US" w:eastAsia="zh-CN" w:bidi="ar-SA"/>
      </w:rPr>
    </w:lvl>
    <w:lvl w:ilvl="8">
      <w:start w:val="0"/>
      <w:numFmt w:val="bullet"/>
      <w:lvlText w:val="•"/>
      <w:lvlJc w:val="left"/>
      <w:pPr>
        <w:ind w:left="8517" w:hanging="159"/>
      </w:pPr>
      <w:rPr>
        <w:rFonts w:hint="default"/>
        <w:lang w:val="en-US" w:eastAsia="zh-CN" w:bidi="ar-SA"/>
      </w:rPr>
    </w:lvl>
  </w:abstractNum>
  <w:abstractNum w:abstractNumId="23">
    <w:multiLevelType w:val="hybridMultilevel"/>
    <w:lvl w:ilvl="0">
      <w:start w:val="1"/>
      <w:numFmt w:val="decimal"/>
      <w:lvlText w:val="%1."/>
      <w:lvlJc w:val="left"/>
      <w:pPr>
        <w:ind w:left="1970" w:hanging="360"/>
        <w:jc w:val="left"/>
      </w:pPr>
      <w:rPr>
        <w:rFonts w:hint="default" w:ascii="Times New Roman" w:hAnsi="Times New Roman" w:eastAsia="Times New Roman" w:cs="Times New Roman"/>
        <w:b/>
        <w:bCs/>
        <w:i w:val="0"/>
        <w:iCs w:val="0"/>
        <w:w w:val="100"/>
        <w:sz w:val="21"/>
        <w:szCs w:val="21"/>
        <w:lang w:val="en-US" w:eastAsia="zh-CN" w:bidi="ar-SA"/>
      </w:rPr>
    </w:lvl>
    <w:lvl w:ilvl="1">
      <w:start w:val="0"/>
      <w:numFmt w:val="bullet"/>
      <w:lvlText w:val="•"/>
      <w:lvlJc w:val="left"/>
      <w:pPr>
        <w:ind w:left="2802" w:hanging="360"/>
      </w:pPr>
      <w:rPr>
        <w:rFonts w:hint="default"/>
        <w:lang w:val="en-US" w:eastAsia="zh-CN" w:bidi="ar-SA"/>
      </w:rPr>
    </w:lvl>
    <w:lvl w:ilvl="2">
      <w:start w:val="0"/>
      <w:numFmt w:val="bullet"/>
      <w:lvlText w:val="•"/>
      <w:lvlJc w:val="left"/>
      <w:pPr>
        <w:ind w:left="3625" w:hanging="360"/>
      </w:pPr>
      <w:rPr>
        <w:rFonts w:hint="default"/>
        <w:lang w:val="en-US" w:eastAsia="zh-CN" w:bidi="ar-SA"/>
      </w:rPr>
    </w:lvl>
    <w:lvl w:ilvl="3">
      <w:start w:val="0"/>
      <w:numFmt w:val="bullet"/>
      <w:lvlText w:val="•"/>
      <w:lvlJc w:val="left"/>
      <w:pPr>
        <w:ind w:left="4447" w:hanging="360"/>
      </w:pPr>
      <w:rPr>
        <w:rFonts w:hint="default"/>
        <w:lang w:val="en-US" w:eastAsia="zh-CN" w:bidi="ar-SA"/>
      </w:rPr>
    </w:lvl>
    <w:lvl w:ilvl="4">
      <w:start w:val="0"/>
      <w:numFmt w:val="bullet"/>
      <w:lvlText w:val="•"/>
      <w:lvlJc w:val="left"/>
      <w:pPr>
        <w:ind w:left="5270" w:hanging="360"/>
      </w:pPr>
      <w:rPr>
        <w:rFonts w:hint="default"/>
        <w:lang w:val="en-US" w:eastAsia="zh-CN" w:bidi="ar-SA"/>
      </w:rPr>
    </w:lvl>
    <w:lvl w:ilvl="5">
      <w:start w:val="0"/>
      <w:numFmt w:val="bullet"/>
      <w:lvlText w:val="•"/>
      <w:lvlJc w:val="left"/>
      <w:pPr>
        <w:ind w:left="6093" w:hanging="360"/>
      </w:pPr>
      <w:rPr>
        <w:rFonts w:hint="default"/>
        <w:lang w:val="en-US" w:eastAsia="zh-CN" w:bidi="ar-SA"/>
      </w:rPr>
    </w:lvl>
    <w:lvl w:ilvl="6">
      <w:start w:val="0"/>
      <w:numFmt w:val="bullet"/>
      <w:lvlText w:val="•"/>
      <w:lvlJc w:val="left"/>
      <w:pPr>
        <w:ind w:left="6915" w:hanging="360"/>
      </w:pPr>
      <w:rPr>
        <w:rFonts w:hint="default"/>
        <w:lang w:val="en-US" w:eastAsia="zh-CN" w:bidi="ar-SA"/>
      </w:rPr>
    </w:lvl>
    <w:lvl w:ilvl="7">
      <w:start w:val="0"/>
      <w:numFmt w:val="bullet"/>
      <w:lvlText w:val="•"/>
      <w:lvlJc w:val="left"/>
      <w:pPr>
        <w:ind w:left="7738" w:hanging="360"/>
      </w:pPr>
      <w:rPr>
        <w:rFonts w:hint="default"/>
        <w:lang w:val="en-US" w:eastAsia="zh-CN" w:bidi="ar-SA"/>
      </w:rPr>
    </w:lvl>
    <w:lvl w:ilvl="8">
      <w:start w:val="0"/>
      <w:numFmt w:val="bullet"/>
      <w:lvlText w:val="•"/>
      <w:lvlJc w:val="left"/>
      <w:pPr>
        <w:ind w:left="8561" w:hanging="360"/>
      </w:pPr>
      <w:rPr>
        <w:rFonts w:hint="default"/>
        <w:lang w:val="en-US" w:eastAsia="zh-CN" w:bidi="ar-SA"/>
      </w:rPr>
    </w:lvl>
  </w:abstractNum>
  <w:abstractNum w:abstractNumId="22">
    <w:multiLevelType w:val="hybridMultilevel"/>
    <w:lvl w:ilvl="0">
      <w:start w:val="1"/>
      <w:numFmt w:val="decimal"/>
      <w:lvlText w:val="%1."/>
      <w:lvlJc w:val="left"/>
      <w:pPr>
        <w:ind w:left="1970" w:hanging="360"/>
        <w:jc w:val="left"/>
      </w:pPr>
      <w:rPr>
        <w:rFonts w:hint="default" w:ascii="Times New Roman" w:hAnsi="Times New Roman" w:eastAsia="Times New Roman" w:cs="Times New Roman"/>
        <w:b/>
        <w:bCs/>
        <w:i w:val="0"/>
        <w:iCs w:val="0"/>
        <w:w w:val="100"/>
        <w:sz w:val="21"/>
        <w:szCs w:val="21"/>
        <w:lang w:val="en-US" w:eastAsia="zh-CN" w:bidi="ar-SA"/>
      </w:rPr>
    </w:lvl>
    <w:lvl w:ilvl="1">
      <w:start w:val="0"/>
      <w:numFmt w:val="bullet"/>
      <w:lvlText w:val="•"/>
      <w:lvlJc w:val="left"/>
      <w:pPr>
        <w:ind w:left="2802" w:hanging="360"/>
      </w:pPr>
      <w:rPr>
        <w:rFonts w:hint="default"/>
        <w:lang w:val="en-US" w:eastAsia="zh-CN" w:bidi="ar-SA"/>
      </w:rPr>
    </w:lvl>
    <w:lvl w:ilvl="2">
      <w:start w:val="0"/>
      <w:numFmt w:val="bullet"/>
      <w:lvlText w:val="•"/>
      <w:lvlJc w:val="left"/>
      <w:pPr>
        <w:ind w:left="3625" w:hanging="360"/>
      </w:pPr>
      <w:rPr>
        <w:rFonts w:hint="default"/>
        <w:lang w:val="en-US" w:eastAsia="zh-CN" w:bidi="ar-SA"/>
      </w:rPr>
    </w:lvl>
    <w:lvl w:ilvl="3">
      <w:start w:val="0"/>
      <w:numFmt w:val="bullet"/>
      <w:lvlText w:val="•"/>
      <w:lvlJc w:val="left"/>
      <w:pPr>
        <w:ind w:left="4447" w:hanging="360"/>
      </w:pPr>
      <w:rPr>
        <w:rFonts w:hint="default"/>
        <w:lang w:val="en-US" w:eastAsia="zh-CN" w:bidi="ar-SA"/>
      </w:rPr>
    </w:lvl>
    <w:lvl w:ilvl="4">
      <w:start w:val="0"/>
      <w:numFmt w:val="bullet"/>
      <w:lvlText w:val="•"/>
      <w:lvlJc w:val="left"/>
      <w:pPr>
        <w:ind w:left="5270" w:hanging="360"/>
      </w:pPr>
      <w:rPr>
        <w:rFonts w:hint="default"/>
        <w:lang w:val="en-US" w:eastAsia="zh-CN" w:bidi="ar-SA"/>
      </w:rPr>
    </w:lvl>
    <w:lvl w:ilvl="5">
      <w:start w:val="0"/>
      <w:numFmt w:val="bullet"/>
      <w:lvlText w:val="•"/>
      <w:lvlJc w:val="left"/>
      <w:pPr>
        <w:ind w:left="6093" w:hanging="360"/>
      </w:pPr>
      <w:rPr>
        <w:rFonts w:hint="default"/>
        <w:lang w:val="en-US" w:eastAsia="zh-CN" w:bidi="ar-SA"/>
      </w:rPr>
    </w:lvl>
    <w:lvl w:ilvl="6">
      <w:start w:val="0"/>
      <w:numFmt w:val="bullet"/>
      <w:lvlText w:val="•"/>
      <w:lvlJc w:val="left"/>
      <w:pPr>
        <w:ind w:left="6915" w:hanging="360"/>
      </w:pPr>
      <w:rPr>
        <w:rFonts w:hint="default"/>
        <w:lang w:val="en-US" w:eastAsia="zh-CN" w:bidi="ar-SA"/>
      </w:rPr>
    </w:lvl>
    <w:lvl w:ilvl="7">
      <w:start w:val="0"/>
      <w:numFmt w:val="bullet"/>
      <w:lvlText w:val="•"/>
      <w:lvlJc w:val="left"/>
      <w:pPr>
        <w:ind w:left="7738" w:hanging="360"/>
      </w:pPr>
      <w:rPr>
        <w:rFonts w:hint="default"/>
        <w:lang w:val="en-US" w:eastAsia="zh-CN" w:bidi="ar-SA"/>
      </w:rPr>
    </w:lvl>
    <w:lvl w:ilvl="8">
      <w:start w:val="0"/>
      <w:numFmt w:val="bullet"/>
      <w:lvlText w:val="•"/>
      <w:lvlJc w:val="left"/>
      <w:pPr>
        <w:ind w:left="8561" w:hanging="360"/>
      </w:pPr>
      <w:rPr>
        <w:rFonts w:hint="default"/>
        <w:lang w:val="en-US" w:eastAsia="zh-CN" w:bidi="ar-SA"/>
      </w:rPr>
    </w:lvl>
  </w:abstractNum>
  <w:abstractNum w:abstractNumId="21">
    <w:multiLevelType w:val="hybridMultilevel"/>
    <w:lvl w:ilvl="0">
      <w:start w:val="10"/>
      <w:numFmt w:val="decimal"/>
      <w:lvlText w:val="%1"/>
      <w:lvlJc w:val="left"/>
      <w:pPr>
        <w:ind w:left="1818" w:hanging="802"/>
        <w:jc w:val="left"/>
      </w:pPr>
      <w:rPr>
        <w:rFonts w:hint="default"/>
        <w:lang w:val="en-US" w:eastAsia="zh-CN" w:bidi="ar-SA"/>
      </w:rPr>
    </w:lvl>
    <w:lvl w:ilvl="1">
      <w:start w:val="13"/>
      <w:numFmt w:val="decimal"/>
      <w:lvlText w:val="%1.%2"/>
      <w:lvlJc w:val="left"/>
      <w:pPr>
        <w:ind w:left="1818" w:hanging="802"/>
        <w:jc w:val="left"/>
      </w:pPr>
      <w:rPr>
        <w:rFonts w:hint="default"/>
        <w:lang w:val="en-US" w:eastAsia="zh-CN" w:bidi="ar-SA"/>
      </w:rPr>
    </w:lvl>
    <w:lvl w:ilvl="2">
      <w:start w:val="1"/>
      <w:numFmt w:val="decimal"/>
      <w:lvlText w:val="%1.%2.%3"/>
      <w:lvlJc w:val="left"/>
      <w:pPr>
        <w:ind w:left="1818" w:hanging="802"/>
        <w:jc w:val="left"/>
      </w:pPr>
      <w:rPr>
        <w:rFonts w:hint="default" w:ascii="Times New Roman" w:hAnsi="Times New Roman" w:eastAsia="Times New Roman" w:cs="Times New Roman"/>
        <w:b/>
        <w:bCs/>
        <w:i w:val="0"/>
        <w:iCs w:val="0"/>
        <w:w w:val="100"/>
        <w:sz w:val="21"/>
        <w:szCs w:val="21"/>
        <w:lang w:val="en-US" w:eastAsia="zh-CN" w:bidi="ar-SA"/>
      </w:rPr>
    </w:lvl>
    <w:lvl w:ilvl="3">
      <w:start w:val="1"/>
      <w:numFmt w:val="decimal"/>
      <w:lvlText w:val="%4."/>
      <w:lvlJc w:val="left"/>
      <w:pPr>
        <w:ind w:left="1982" w:hanging="372"/>
        <w:jc w:val="left"/>
      </w:pPr>
      <w:rPr>
        <w:rFonts w:hint="default"/>
        <w:w w:val="100"/>
        <w:lang w:val="en-US" w:eastAsia="zh-CN" w:bidi="ar-SA"/>
      </w:rPr>
    </w:lvl>
    <w:lvl w:ilvl="4">
      <w:start w:val="0"/>
      <w:numFmt w:val="bullet"/>
      <w:lvlText w:val="•"/>
      <w:lvlJc w:val="left"/>
      <w:pPr>
        <w:ind w:left="4722" w:hanging="372"/>
      </w:pPr>
      <w:rPr>
        <w:rFonts w:hint="default"/>
        <w:lang w:val="en-US" w:eastAsia="zh-CN" w:bidi="ar-SA"/>
      </w:rPr>
    </w:lvl>
    <w:lvl w:ilvl="5">
      <w:start w:val="0"/>
      <w:numFmt w:val="bullet"/>
      <w:lvlText w:val="•"/>
      <w:lvlJc w:val="left"/>
      <w:pPr>
        <w:ind w:left="5636" w:hanging="372"/>
      </w:pPr>
      <w:rPr>
        <w:rFonts w:hint="default"/>
        <w:lang w:val="en-US" w:eastAsia="zh-CN" w:bidi="ar-SA"/>
      </w:rPr>
    </w:lvl>
    <w:lvl w:ilvl="6">
      <w:start w:val="0"/>
      <w:numFmt w:val="bullet"/>
      <w:lvlText w:val="•"/>
      <w:lvlJc w:val="left"/>
      <w:pPr>
        <w:ind w:left="6550" w:hanging="372"/>
      </w:pPr>
      <w:rPr>
        <w:rFonts w:hint="default"/>
        <w:lang w:val="en-US" w:eastAsia="zh-CN" w:bidi="ar-SA"/>
      </w:rPr>
    </w:lvl>
    <w:lvl w:ilvl="7">
      <w:start w:val="0"/>
      <w:numFmt w:val="bullet"/>
      <w:lvlText w:val="•"/>
      <w:lvlJc w:val="left"/>
      <w:pPr>
        <w:ind w:left="7464" w:hanging="372"/>
      </w:pPr>
      <w:rPr>
        <w:rFonts w:hint="default"/>
        <w:lang w:val="en-US" w:eastAsia="zh-CN" w:bidi="ar-SA"/>
      </w:rPr>
    </w:lvl>
    <w:lvl w:ilvl="8">
      <w:start w:val="0"/>
      <w:numFmt w:val="bullet"/>
      <w:lvlText w:val="•"/>
      <w:lvlJc w:val="left"/>
      <w:pPr>
        <w:ind w:left="8378" w:hanging="372"/>
      </w:pPr>
      <w:rPr>
        <w:rFonts w:hint="default"/>
        <w:lang w:val="en-US" w:eastAsia="zh-CN" w:bidi="ar-SA"/>
      </w:rPr>
    </w:lvl>
  </w:abstractNum>
  <w:abstractNum w:abstractNumId="20">
    <w:multiLevelType w:val="hybridMultilevel"/>
    <w:lvl w:ilvl="0">
      <w:start w:val="1"/>
      <w:numFmt w:val="decimal"/>
      <w:lvlText w:val="%1."/>
      <w:lvlJc w:val="left"/>
      <w:pPr>
        <w:ind w:left="1970" w:hanging="360"/>
        <w:jc w:val="left"/>
      </w:pPr>
      <w:rPr>
        <w:rFonts w:hint="default" w:ascii="Times New Roman" w:hAnsi="Times New Roman" w:eastAsia="Times New Roman" w:cs="Times New Roman"/>
        <w:b/>
        <w:bCs/>
        <w:i w:val="0"/>
        <w:iCs w:val="0"/>
        <w:w w:val="100"/>
        <w:sz w:val="21"/>
        <w:szCs w:val="21"/>
        <w:lang w:val="en-US" w:eastAsia="zh-CN" w:bidi="ar-SA"/>
      </w:rPr>
    </w:lvl>
    <w:lvl w:ilvl="1">
      <w:start w:val="0"/>
      <w:numFmt w:val="bullet"/>
      <w:lvlText w:val="•"/>
      <w:lvlJc w:val="left"/>
      <w:pPr>
        <w:ind w:left="2802" w:hanging="360"/>
      </w:pPr>
      <w:rPr>
        <w:rFonts w:hint="default"/>
        <w:lang w:val="en-US" w:eastAsia="zh-CN" w:bidi="ar-SA"/>
      </w:rPr>
    </w:lvl>
    <w:lvl w:ilvl="2">
      <w:start w:val="0"/>
      <w:numFmt w:val="bullet"/>
      <w:lvlText w:val="•"/>
      <w:lvlJc w:val="left"/>
      <w:pPr>
        <w:ind w:left="3625" w:hanging="360"/>
      </w:pPr>
      <w:rPr>
        <w:rFonts w:hint="default"/>
        <w:lang w:val="en-US" w:eastAsia="zh-CN" w:bidi="ar-SA"/>
      </w:rPr>
    </w:lvl>
    <w:lvl w:ilvl="3">
      <w:start w:val="0"/>
      <w:numFmt w:val="bullet"/>
      <w:lvlText w:val="•"/>
      <w:lvlJc w:val="left"/>
      <w:pPr>
        <w:ind w:left="4447" w:hanging="360"/>
      </w:pPr>
      <w:rPr>
        <w:rFonts w:hint="default"/>
        <w:lang w:val="en-US" w:eastAsia="zh-CN" w:bidi="ar-SA"/>
      </w:rPr>
    </w:lvl>
    <w:lvl w:ilvl="4">
      <w:start w:val="0"/>
      <w:numFmt w:val="bullet"/>
      <w:lvlText w:val="•"/>
      <w:lvlJc w:val="left"/>
      <w:pPr>
        <w:ind w:left="5270" w:hanging="360"/>
      </w:pPr>
      <w:rPr>
        <w:rFonts w:hint="default"/>
        <w:lang w:val="en-US" w:eastAsia="zh-CN" w:bidi="ar-SA"/>
      </w:rPr>
    </w:lvl>
    <w:lvl w:ilvl="5">
      <w:start w:val="0"/>
      <w:numFmt w:val="bullet"/>
      <w:lvlText w:val="•"/>
      <w:lvlJc w:val="left"/>
      <w:pPr>
        <w:ind w:left="6093" w:hanging="360"/>
      </w:pPr>
      <w:rPr>
        <w:rFonts w:hint="default"/>
        <w:lang w:val="en-US" w:eastAsia="zh-CN" w:bidi="ar-SA"/>
      </w:rPr>
    </w:lvl>
    <w:lvl w:ilvl="6">
      <w:start w:val="0"/>
      <w:numFmt w:val="bullet"/>
      <w:lvlText w:val="•"/>
      <w:lvlJc w:val="left"/>
      <w:pPr>
        <w:ind w:left="6915" w:hanging="360"/>
      </w:pPr>
      <w:rPr>
        <w:rFonts w:hint="default"/>
        <w:lang w:val="en-US" w:eastAsia="zh-CN" w:bidi="ar-SA"/>
      </w:rPr>
    </w:lvl>
    <w:lvl w:ilvl="7">
      <w:start w:val="0"/>
      <w:numFmt w:val="bullet"/>
      <w:lvlText w:val="•"/>
      <w:lvlJc w:val="left"/>
      <w:pPr>
        <w:ind w:left="7738" w:hanging="360"/>
      </w:pPr>
      <w:rPr>
        <w:rFonts w:hint="default"/>
        <w:lang w:val="en-US" w:eastAsia="zh-CN" w:bidi="ar-SA"/>
      </w:rPr>
    </w:lvl>
    <w:lvl w:ilvl="8">
      <w:start w:val="0"/>
      <w:numFmt w:val="bullet"/>
      <w:lvlText w:val="•"/>
      <w:lvlJc w:val="left"/>
      <w:pPr>
        <w:ind w:left="8561" w:hanging="360"/>
      </w:pPr>
      <w:rPr>
        <w:rFonts w:hint="default"/>
        <w:lang w:val="en-US" w:eastAsia="zh-CN" w:bidi="ar-SA"/>
      </w:rPr>
    </w:lvl>
  </w:abstractNum>
  <w:abstractNum w:abstractNumId="19">
    <w:multiLevelType w:val="hybridMultilevel"/>
    <w:lvl w:ilvl="0">
      <w:start w:val="1"/>
      <w:numFmt w:val="decimal"/>
      <w:lvlText w:val="%1."/>
      <w:lvlJc w:val="left"/>
      <w:pPr>
        <w:ind w:left="1970" w:hanging="360"/>
        <w:jc w:val="left"/>
      </w:pPr>
      <w:rPr>
        <w:rFonts w:hint="default" w:ascii="Times New Roman" w:hAnsi="Times New Roman" w:eastAsia="Times New Roman" w:cs="Times New Roman"/>
        <w:b/>
        <w:bCs/>
        <w:i w:val="0"/>
        <w:iCs w:val="0"/>
        <w:w w:val="100"/>
        <w:sz w:val="21"/>
        <w:szCs w:val="21"/>
        <w:lang w:val="en-US" w:eastAsia="zh-CN" w:bidi="ar-SA"/>
      </w:rPr>
    </w:lvl>
    <w:lvl w:ilvl="1">
      <w:start w:val="0"/>
      <w:numFmt w:val="bullet"/>
      <w:lvlText w:val="•"/>
      <w:lvlJc w:val="left"/>
      <w:pPr>
        <w:ind w:left="2802" w:hanging="360"/>
      </w:pPr>
      <w:rPr>
        <w:rFonts w:hint="default"/>
        <w:lang w:val="en-US" w:eastAsia="zh-CN" w:bidi="ar-SA"/>
      </w:rPr>
    </w:lvl>
    <w:lvl w:ilvl="2">
      <w:start w:val="0"/>
      <w:numFmt w:val="bullet"/>
      <w:lvlText w:val="•"/>
      <w:lvlJc w:val="left"/>
      <w:pPr>
        <w:ind w:left="3625" w:hanging="360"/>
      </w:pPr>
      <w:rPr>
        <w:rFonts w:hint="default"/>
        <w:lang w:val="en-US" w:eastAsia="zh-CN" w:bidi="ar-SA"/>
      </w:rPr>
    </w:lvl>
    <w:lvl w:ilvl="3">
      <w:start w:val="0"/>
      <w:numFmt w:val="bullet"/>
      <w:lvlText w:val="•"/>
      <w:lvlJc w:val="left"/>
      <w:pPr>
        <w:ind w:left="4447" w:hanging="360"/>
      </w:pPr>
      <w:rPr>
        <w:rFonts w:hint="default"/>
        <w:lang w:val="en-US" w:eastAsia="zh-CN" w:bidi="ar-SA"/>
      </w:rPr>
    </w:lvl>
    <w:lvl w:ilvl="4">
      <w:start w:val="0"/>
      <w:numFmt w:val="bullet"/>
      <w:lvlText w:val="•"/>
      <w:lvlJc w:val="left"/>
      <w:pPr>
        <w:ind w:left="5270" w:hanging="360"/>
      </w:pPr>
      <w:rPr>
        <w:rFonts w:hint="default"/>
        <w:lang w:val="en-US" w:eastAsia="zh-CN" w:bidi="ar-SA"/>
      </w:rPr>
    </w:lvl>
    <w:lvl w:ilvl="5">
      <w:start w:val="0"/>
      <w:numFmt w:val="bullet"/>
      <w:lvlText w:val="•"/>
      <w:lvlJc w:val="left"/>
      <w:pPr>
        <w:ind w:left="6093" w:hanging="360"/>
      </w:pPr>
      <w:rPr>
        <w:rFonts w:hint="default"/>
        <w:lang w:val="en-US" w:eastAsia="zh-CN" w:bidi="ar-SA"/>
      </w:rPr>
    </w:lvl>
    <w:lvl w:ilvl="6">
      <w:start w:val="0"/>
      <w:numFmt w:val="bullet"/>
      <w:lvlText w:val="•"/>
      <w:lvlJc w:val="left"/>
      <w:pPr>
        <w:ind w:left="6915" w:hanging="360"/>
      </w:pPr>
      <w:rPr>
        <w:rFonts w:hint="default"/>
        <w:lang w:val="en-US" w:eastAsia="zh-CN" w:bidi="ar-SA"/>
      </w:rPr>
    </w:lvl>
    <w:lvl w:ilvl="7">
      <w:start w:val="0"/>
      <w:numFmt w:val="bullet"/>
      <w:lvlText w:val="•"/>
      <w:lvlJc w:val="left"/>
      <w:pPr>
        <w:ind w:left="7738" w:hanging="360"/>
      </w:pPr>
      <w:rPr>
        <w:rFonts w:hint="default"/>
        <w:lang w:val="en-US" w:eastAsia="zh-CN" w:bidi="ar-SA"/>
      </w:rPr>
    </w:lvl>
    <w:lvl w:ilvl="8">
      <w:start w:val="0"/>
      <w:numFmt w:val="bullet"/>
      <w:lvlText w:val="•"/>
      <w:lvlJc w:val="left"/>
      <w:pPr>
        <w:ind w:left="8561" w:hanging="360"/>
      </w:pPr>
      <w:rPr>
        <w:rFonts w:hint="default"/>
        <w:lang w:val="en-US" w:eastAsia="zh-CN" w:bidi="ar-SA"/>
      </w:rPr>
    </w:lvl>
  </w:abstractNum>
  <w:abstractNum w:abstractNumId="18">
    <w:multiLevelType w:val="hybridMultilevel"/>
    <w:lvl w:ilvl="0">
      <w:start w:val="10"/>
      <w:numFmt w:val="decimal"/>
      <w:lvlText w:val="%1"/>
      <w:lvlJc w:val="left"/>
      <w:pPr>
        <w:ind w:left="1818" w:hanging="802"/>
        <w:jc w:val="left"/>
      </w:pPr>
      <w:rPr>
        <w:rFonts w:hint="default"/>
        <w:lang w:val="en-US" w:eastAsia="zh-CN" w:bidi="ar-SA"/>
      </w:rPr>
    </w:lvl>
    <w:lvl w:ilvl="1">
      <w:start w:val="12"/>
      <w:numFmt w:val="decimal"/>
      <w:lvlText w:val="%1.%2"/>
      <w:lvlJc w:val="left"/>
      <w:pPr>
        <w:ind w:left="1818" w:hanging="802"/>
        <w:jc w:val="left"/>
      </w:pPr>
      <w:rPr>
        <w:rFonts w:hint="default"/>
        <w:lang w:val="en-US" w:eastAsia="zh-CN" w:bidi="ar-SA"/>
      </w:rPr>
    </w:lvl>
    <w:lvl w:ilvl="2">
      <w:start w:val="1"/>
      <w:numFmt w:val="decimal"/>
      <w:lvlText w:val="%1.%2.%3"/>
      <w:lvlJc w:val="left"/>
      <w:pPr>
        <w:ind w:left="1818" w:hanging="802"/>
        <w:jc w:val="left"/>
      </w:pPr>
      <w:rPr>
        <w:rFonts w:hint="default" w:ascii="Times New Roman" w:hAnsi="Times New Roman" w:eastAsia="Times New Roman" w:cs="Times New Roman"/>
        <w:b/>
        <w:bCs/>
        <w:i w:val="0"/>
        <w:iCs w:val="0"/>
        <w:w w:val="100"/>
        <w:sz w:val="21"/>
        <w:szCs w:val="21"/>
        <w:lang w:val="en-US" w:eastAsia="zh-CN" w:bidi="ar-SA"/>
      </w:rPr>
    </w:lvl>
    <w:lvl w:ilvl="3">
      <w:start w:val="1"/>
      <w:numFmt w:val="decimal"/>
      <w:lvlText w:val="%4."/>
      <w:lvlJc w:val="left"/>
      <w:pPr>
        <w:ind w:left="1982" w:hanging="372"/>
        <w:jc w:val="left"/>
      </w:pPr>
      <w:rPr>
        <w:rFonts w:hint="default"/>
        <w:w w:val="100"/>
        <w:lang w:val="en-US" w:eastAsia="zh-CN" w:bidi="ar-SA"/>
      </w:rPr>
    </w:lvl>
    <w:lvl w:ilvl="4">
      <w:start w:val="0"/>
      <w:numFmt w:val="bullet"/>
      <w:lvlText w:val="•"/>
      <w:lvlJc w:val="left"/>
      <w:pPr>
        <w:ind w:left="4722" w:hanging="372"/>
      </w:pPr>
      <w:rPr>
        <w:rFonts w:hint="default"/>
        <w:lang w:val="en-US" w:eastAsia="zh-CN" w:bidi="ar-SA"/>
      </w:rPr>
    </w:lvl>
    <w:lvl w:ilvl="5">
      <w:start w:val="0"/>
      <w:numFmt w:val="bullet"/>
      <w:lvlText w:val="•"/>
      <w:lvlJc w:val="left"/>
      <w:pPr>
        <w:ind w:left="5636" w:hanging="372"/>
      </w:pPr>
      <w:rPr>
        <w:rFonts w:hint="default"/>
        <w:lang w:val="en-US" w:eastAsia="zh-CN" w:bidi="ar-SA"/>
      </w:rPr>
    </w:lvl>
    <w:lvl w:ilvl="6">
      <w:start w:val="0"/>
      <w:numFmt w:val="bullet"/>
      <w:lvlText w:val="•"/>
      <w:lvlJc w:val="left"/>
      <w:pPr>
        <w:ind w:left="6550" w:hanging="372"/>
      </w:pPr>
      <w:rPr>
        <w:rFonts w:hint="default"/>
        <w:lang w:val="en-US" w:eastAsia="zh-CN" w:bidi="ar-SA"/>
      </w:rPr>
    </w:lvl>
    <w:lvl w:ilvl="7">
      <w:start w:val="0"/>
      <w:numFmt w:val="bullet"/>
      <w:lvlText w:val="•"/>
      <w:lvlJc w:val="left"/>
      <w:pPr>
        <w:ind w:left="7464" w:hanging="372"/>
      </w:pPr>
      <w:rPr>
        <w:rFonts w:hint="default"/>
        <w:lang w:val="en-US" w:eastAsia="zh-CN" w:bidi="ar-SA"/>
      </w:rPr>
    </w:lvl>
    <w:lvl w:ilvl="8">
      <w:start w:val="0"/>
      <w:numFmt w:val="bullet"/>
      <w:lvlText w:val="•"/>
      <w:lvlJc w:val="left"/>
      <w:pPr>
        <w:ind w:left="8378" w:hanging="372"/>
      </w:pPr>
      <w:rPr>
        <w:rFonts w:hint="default"/>
        <w:lang w:val="en-US" w:eastAsia="zh-CN" w:bidi="ar-SA"/>
      </w:rPr>
    </w:lvl>
  </w:abstractNum>
  <w:abstractNum w:abstractNumId="17">
    <w:multiLevelType w:val="hybridMultilevel"/>
    <w:lvl w:ilvl="0">
      <w:start w:val="1"/>
      <w:numFmt w:val="decimal"/>
      <w:lvlText w:val="%1."/>
      <w:lvlJc w:val="left"/>
      <w:pPr>
        <w:ind w:left="1970" w:hanging="360"/>
        <w:jc w:val="left"/>
      </w:pPr>
      <w:rPr>
        <w:rFonts w:hint="default" w:ascii="Times New Roman" w:hAnsi="Times New Roman" w:eastAsia="Times New Roman" w:cs="Times New Roman"/>
        <w:b/>
        <w:bCs/>
        <w:i w:val="0"/>
        <w:iCs w:val="0"/>
        <w:w w:val="100"/>
        <w:sz w:val="21"/>
        <w:szCs w:val="21"/>
        <w:lang w:val="en-US" w:eastAsia="zh-CN" w:bidi="ar-SA"/>
      </w:rPr>
    </w:lvl>
    <w:lvl w:ilvl="1">
      <w:start w:val="0"/>
      <w:numFmt w:val="bullet"/>
      <w:lvlText w:val="•"/>
      <w:lvlJc w:val="left"/>
      <w:pPr>
        <w:ind w:left="2802" w:hanging="360"/>
      </w:pPr>
      <w:rPr>
        <w:rFonts w:hint="default"/>
        <w:lang w:val="en-US" w:eastAsia="zh-CN" w:bidi="ar-SA"/>
      </w:rPr>
    </w:lvl>
    <w:lvl w:ilvl="2">
      <w:start w:val="0"/>
      <w:numFmt w:val="bullet"/>
      <w:lvlText w:val="•"/>
      <w:lvlJc w:val="left"/>
      <w:pPr>
        <w:ind w:left="3625" w:hanging="360"/>
      </w:pPr>
      <w:rPr>
        <w:rFonts w:hint="default"/>
        <w:lang w:val="en-US" w:eastAsia="zh-CN" w:bidi="ar-SA"/>
      </w:rPr>
    </w:lvl>
    <w:lvl w:ilvl="3">
      <w:start w:val="0"/>
      <w:numFmt w:val="bullet"/>
      <w:lvlText w:val="•"/>
      <w:lvlJc w:val="left"/>
      <w:pPr>
        <w:ind w:left="4447" w:hanging="360"/>
      </w:pPr>
      <w:rPr>
        <w:rFonts w:hint="default"/>
        <w:lang w:val="en-US" w:eastAsia="zh-CN" w:bidi="ar-SA"/>
      </w:rPr>
    </w:lvl>
    <w:lvl w:ilvl="4">
      <w:start w:val="0"/>
      <w:numFmt w:val="bullet"/>
      <w:lvlText w:val="•"/>
      <w:lvlJc w:val="left"/>
      <w:pPr>
        <w:ind w:left="5270" w:hanging="360"/>
      </w:pPr>
      <w:rPr>
        <w:rFonts w:hint="default"/>
        <w:lang w:val="en-US" w:eastAsia="zh-CN" w:bidi="ar-SA"/>
      </w:rPr>
    </w:lvl>
    <w:lvl w:ilvl="5">
      <w:start w:val="0"/>
      <w:numFmt w:val="bullet"/>
      <w:lvlText w:val="•"/>
      <w:lvlJc w:val="left"/>
      <w:pPr>
        <w:ind w:left="6093" w:hanging="360"/>
      </w:pPr>
      <w:rPr>
        <w:rFonts w:hint="default"/>
        <w:lang w:val="en-US" w:eastAsia="zh-CN" w:bidi="ar-SA"/>
      </w:rPr>
    </w:lvl>
    <w:lvl w:ilvl="6">
      <w:start w:val="0"/>
      <w:numFmt w:val="bullet"/>
      <w:lvlText w:val="•"/>
      <w:lvlJc w:val="left"/>
      <w:pPr>
        <w:ind w:left="6915" w:hanging="360"/>
      </w:pPr>
      <w:rPr>
        <w:rFonts w:hint="default"/>
        <w:lang w:val="en-US" w:eastAsia="zh-CN" w:bidi="ar-SA"/>
      </w:rPr>
    </w:lvl>
    <w:lvl w:ilvl="7">
      <w:start w:val="0"/>
      <w:numFmt w:val="bullet"/>
      <w:lvlText w:val="•"/>
      <w:lvlJc w:val="left"/>
      <w:pPr>
        <w:ind w:left="7738" w:hanging="360"/>
      </w:pPr>
      <w:rPr>
        <w:rFonts w:hint="default"/>
        <w:lang w:val="en-US" w:eastAsia="zh-CN" w:bidi="ar-SA"/>
      </w:rPr>
    </w:lvl>
    <w:lvl w:ilvl="8">
      <w:start w:val="0"/>
      <w:numFmt w:val="bullet"/>
      <w:lvlText w:val="•"/>
      <w:lvlJc w:val="left"/>
      <w:pPr>
        <w:ind w:left="8561" w:hanging="360"/>
      </w:pPr>
      <w:rPr>
        <w:rFonts w:hint="default"/>
        <w:lang w:val="en-US" w:eastAsia="zh-CN" w:bidi="ar-SA"/>
      </w:rPr>
    </w:lvl>
  </w:abstractNum>
  <w:abstractNum w:abstractNumId="16">
    <w:multiLevelType w:val="hybridMultilevel"/>
    <w:lvl w:ilvl="0">
      <w:start w:val="1"/>
      <w:numFmt w:val="decimal"/>
      <w:lvlText w:val="%1."/>
      <w:lvlJc w:val="left"/>
      <w:pPr>
        <w:ind w:left="1970" w:hanging="360"/>
        <w:jc w:val="left"/>
      </w:pPr>
      <w:rPr>
        <w:rFonts w:hint="default" w:ascii="Times New Roman" w:hAnsi="Times New Roman" w:eastAsia="Times New Roman" w:cs="Times New Roman"/>
        <w:b/>
        <w:bCs/>
        <w:i w:val="0"/>
        <w:iCs w:val="0"/>
        <w:w w:val="100"/>
        <w:sz w:val="21"/>
        <w:szCs w:val="21"/>
        <w:lang w:val="en-US" w:eastAsia="zh-CN" w:bidi="ar-SA"/>
      </w:rPr>
    </w:lvl>
    <w:lvl w:ilvl="1">
      <w:start w:val="0"/>
      <w:numFmt w:val="bullet"/>
      <w:lvlText w:val="•"/>
      <w:lvlJc w:val="left"/>
      <w:pPr>
        <w:ind w:left="2802" w:hanging="360"/>
      </w:pPr>
      <w:rPr>
        <w:rFonts w:hint="default"/>
        <w:lang w:val="en-US" w:eastAsia="zh-CN" w:bidi="ar-SA"/>
      </w:rPr>
    </w:lvl>
    <w:lvl w:ilvl="2">
      <w:start w:val="0"/>
      <w:numFmt w:val="bullet"/>
      <w:lvlText w:val="•"/>
      <w:lvlJc w:val="left"/>
      <w:pPr>
        <w:ind w:left="3625" w:hanging="360"/>
      </w:pPr>
      <w:rPr>
        <w:rFonts w:hint="default"/>
        <w:lang w:val="en-US" w:eastAsia="zh-CN" w:bidi="ar-SA"/>
      </w:rPr>
    </w:lvl>
    <w:lvl w:ilvl="3">
      <w:start w:val="0"/>
      <w:numFmt w:val="bullet"/>
      <w:lvlText w:val="•"/>
      <w:lvlJc w:val="left"/>
      <w:pPr>
        <w:ind w:left="4447" w:hanging="360"/>
      </w:pPr>
      <w:rPr>
        <w:rFonts w:hint="default"/>
        <w:lang w:val="en-US" w:eastAsia="zh-CN" w:bidi="ar-SA"/>
      </w:rPr>
    </w:lvl>
    <w:lvl w:ilvl="4">
      <w:start w:val="0"/>
      <w:numFmt w:val="bullet"/>
      <w:lvlText w:val="•"/>
      <w:lvlJc w:val="left"/>
      <w:pPr>
        <w:ind w:left="5270" w:hanging="360"/>
      </w:pPr>
      <w:rPr>
        <w:rFonts w:hint="default"/>
        <w:lang w:val="en-US" w:eastAsia="zh-CN" w:bidi="ar-SA"/>
      </w:rPr>
    </w:lvl>
    <w:lvl w:ilvl="5">
      <w:start w:val="0"/>
      <w:numFmt w:val="bullet"/>
      <w:lvlText w:val="•"/>
      <w:lvlJc w:val="left"/>
      <w:pPr>
        <w:ind w:left="6093" w:hanging="360"/>
      </w:pPr>
      <w:rPr>
        <w:rFonts w:hint="default"/>
        <w:lang w:val="en-US" w:eastAsia="zh-CN" w:bidi="ar-SA"/>
      </w:rPr>
    </w:lvl>
    <w:lvl w:ilvl="6">
      <w:start w:val="0"/>
      <w:numFmt w:val="bullet"/>
      <w:lvlText w:val="•"/>
      <w:lvlJc w:val="left"/>
      <w:pPr>
        <w:ind w:left="6915" w:hanging="360"/>
      </w:pPr>
      <w:rPr>
        <w:rFonts w:hint="default"/>
        <w:lang w:val="en-US" w:eastAsia="zh-CN" w:bidi="ar-SA"/>
      </w:rPr>
    </w:lvl>
    <w:lvl w:ilvl="7">
      <w:start w:val="0"/>
      <w:numFmt w:val="bullet"/>
      <w:lvlText w:val="•"/>
      <w:lvlJc w:val="left"/>
      <w:pPr>
        <w:ind w:left="7738" w:hanging="360"/>
      </w:pPr>
      <w:rPr>
        <w:rFonts w:hint="default"/>
        <w:lang w:val="en-US" w:eastAsia="zh-CN" w:bidi="ar-SA"/>
      </w:rPr>
    </w:lvl>
    <w:lvl w:ilvl="8">
      <w:start w:val="0"/>
      <w:numFmt w:val="bullet"/>
      <w:lvlText w:val="•"/>
      <w:lvlJc w:val="left"/>
      <w:pPr>
        <w:ind w:left="8561" w:hanging="360"/>
      </w:pPr>
      <w:rPr>
        <w:rFonts w:hint="default"/>
        <w:lang w:val="en-US" w:eastAsia="zh-CN" w:bidi="ar-SA"/>
      </w:rPr>
    </w:lvl>
  </w:abstractNum>
  <w:abstractNum w:abstractNumId="15">
    <w:multiLevelType w:val="hybridMultilevel"/>
    <w:lvl w:ilvl="0">
      <w:start w:val="10"/>
      <w:numFmt w:val="decimal"/>
      <w:lvlText w:val="%1"/>
      <w:lvlJc w:val="left"/>
      <w:pPr>
        <w:ind w:left="1818" w:hanging="802"/>
        <w:jc w:val="left"/>
      </w:pPr>
      <w:rPr>
        <w:rFonts w:hint="default"/>
        <w:lang w:val="en-US" w:eastAsia="zh-CN" w:bidi="ar-SA"/>
      </w:rPr>
    </w:lvl>
    <w:lvl w:ilvl="1">
      <w:start w:val="11"/>
      <w:numFmt w:val="decimal"/>
      <w:lvlText w:val="%1.%2"/>
      <w:lvlJc w:val="left"/>
      <w:pPr>
        <w:ind w:left="1818" w:hanging="802"/>
        <w:jc w:val="left"/>
      </w:pPr>
      <w:rPr>
        <w:rFonts w:hint="default"/>
        <w:lang w:val="en-US" w:eastAsia="zh-CN" w:bidi="ar-SA"/>
      </w:rPr>
    </w:lvl>
    <w:lvl w:ilvl="2">
      <w:start w:val="1"/>
      <w:numFmt w:val="decimal"/>
      <w:lvlText w:val="%1.%2.%3"/>
      <w:lvlJc w:val="left"/>
      <w:pPr>
        <w:ind w:left="1818" w:hanging="802"/>
        <w:jc w:val="left"/>
      </w:pPr>
      <w:rPr>
        <w:rFonts w:hint="default" w:ascii="Times New Roman" w:hAnsi="Times New Roman" w:eastAsia="Times New Roman" w:cs="Times New Roman"/>
        <w:b/>
        <w:bCs/>
        <w:i w:val="0"/>
        <w:iCs w:val="0"/>
        <w:w w:val="100"/>
        <w:sz w:val="21"/>
        <w:szCs w:val="21"/>
        <w:lang w:val="en-US" w:eastAsia="zh-CN" w:bidi="ar-SA"/>
      </w:rPr>
    </w:lvl>
    <w:lvl w:ilvl="3">
      <w:start w:val="1"/>
      <w:numFmt w:val="decimal"/>
      <w:lvlText w:val="%4."/>
      <w:lvlJc w:val="left"/>
      <w:pPr>
        <w:ind w:left="1970" w:hanging="360"/>
        <w:jc w:val="left"/>
      </w:pPr>
      <w:rPr>
        <w:rFonts w:hint="default" w:ascii="Times New Roman" w:hAnsi="Times New Roman" w:eastAsia="Times New Roman" w:cs="Times New Roman"/>
        <w:b w:val="0"/>
        <w:bCs w:val="0"/>
        <w:i w:val="0"/>
        <w:iCs w:val="0"/>
        <w:w w:val="100"/>
        <w:sz w:val="21"/>
        <w:szCs w:val="21"/>
        <w:lang w:val="en-US" w:eastAsia="zh-CN" w:bidi="ar-SA"/>
      </w:rPr>
    </w:lvl>
    <w:lvl w:ilvl="4">
      <w:start w:val="0"/>
      <w:numFmt w:val="bullet"/>
      <w:lvlText w:val="•"/>
      <w:lvlJc w:val="left"/>
      <w:pPr>
        <w:ind w:left="4722" w:hanging="360"/>
      </w:pPr>
      <w:rPr>
        <w:rFonts w:hint="default"/>
        <w:lang w:val="en-US" w:eastAsia="zh-CN" w:bidi="ar-SA"/>
      </w:rPr>
    </w:lvl>
    <w:lvl w:ilvl="5">
      <w:start w:val="0"/>
      <w:numFmt w:val="bullet"/>
      <w:lvlText w:val="•"/>
      <w:lvlJc w:val="left"/>
      <w:pPr>
        <w:ind w:left="5636" w:hanging="360"/>
      </w:pPr>
      <w:rPr>
        <w:rFonts w:hint="default"/>
        <w:lang w:val="en-US" w:eastAsia="zh-CN" w:bidi="ar-SA"/>
      </w:rPr>
    </w:lvl>
    <w:lvl w:ilvl="6">
      <w:start w:val="0"/>
      <w:numFmt w:val="bullet"/>
      <w:lvlText w:val="•"/>
      <w:lvlJc w:val="left"/>
      <w:pPr>
        <w:ind w:left="6550" w:hanging="360"/>
      </w:pPr>
      <w:rPr>
        <w:rFonts w:hint="default"/>
        <w:lang w:val="en-US" w:eastAsia="zh-CN" w:bidi="ar-SA"/>
      </w:rPr>
    </w:lvl>
    <w:lvl w:ilvl="7">
      <w:start w:val="0"/>
      <w:numFmt w:val="bullet"/>
      <w:lvlText w:val="•"/>
      <w:lvlJc w:val="left"/>
      <w:pPr>
        <w:ind w:left="7464" w:hanging="360"/>
      </w:pPr>
      <w:rPr>
        <w:rFonts w:hint="default"/>
        <w:lang w:val="en-US" w:eastAsia="zh-CN" w:bidi="ar-SA"/>
      </w:rPr>
    </w:lvl>
    <w:lvl w:ilvl="8">
      <w:start w:val="0"/>
      <w:numFmt w:val="bullet"/>
      <w:lvlText w:val="•"/>
      <w:lvlJc w:val="left"/>
      <w:pPr>
        <w:ind w:left="8378" w:hanging="360"/>
      </w:pPr>
      <w:rPr>
        <w:rFonts w:hint="default"/>
        <w:lang w:val="en-US" w:eastAsia="zh-CN" w:bidi="ar-SA"/>
      </w:rPr>
    </w:lvl>
  </w:abstractNum>
  <w:abstractNum w:abstractNumId="14">
    <w:multiLevelType w:val="hybridMultilevel"/>
    <w:lvl w:ilvl="0">
      <w:start w:val="1"/>
      <w:numFmt w:val="decimal"/>
      <w:lvlText w:val="%1."/>
      <w:lvlJc w:val="left"/>
      <w:pPr>
        <w:ind w:left="1982" w:hanging="372"/>
        <w:jc w:val="left"/>
      </w:pPr>
      <w:rPr>
        <w:rFonts w:hint="default" w:ascii="Times New Roman" w:hAnsi="Times New Roman" w:eastAsia="Times New Roman" w:cs="Times New Roman"/>
        <w:b/>
        <w:bCs/>
        <w:i w:val="0"/>
        <w:iCs w:val="0"/>
        <w:w w:val="100"/>
        <w:sz w:val="21"/>
        <w:szCs w:val="21"/>
        <w:lang w:val="en-US" w:eastAsia="zh-CN" w:bidi="ar-SA"/>
      </w:rPr>
    </w:lvl>
    <w:lvl w:ilvl="1">
      <w:start w:val="0"/>
      <w:numFmt w:val="bullet"/>
      <w:lvlText w:val="•"/>
      <w:lvlJc w:val="left"/>
      <w:pPr>
        <w:ind w:left="2802" w:hanging="372"/>
      </w:pPr>
      <w:rPr>
        <w:rFonts w:hint="default"/>
        <w:lang w:val="en-US" w:eastAsia="zh-CN" w:bidi="ar-SA"/>
      </w:rPr>
    </w:lvl>
    <w:lvl w:ilvl="2">
      <w:start w:val="0"/>
      <w:numFmt w:val="bullet"/>
      <w:lvlText w:val="•"/>
      <w:lvlJc w:val="left"/>
      <w:pPr>
        <w:ind w:left="3625" w:hanging="372"/>
      </w:pPr>
      <w:rPr>
        <w:rFonts w:hint="default"/>
        <w:lang w:val="en-US" w:eastAsia="zh-CN" w:bidi="ar-SA"/>
      </w:rPr>
    </w:lvl>
    <w:lvl w:ilvl="3">
      <w:start w:val="0"/>
      <w:numFmt w:val="bullet"/>
      <w:lvlText w:val="•"/>
      <w:lvlJc w:val="left"/>
      <w:pPr>
        <w:ind w:left="4447" w:hanging="372"/>
      </w:pPr>
      <w:rPr>
        <w:rFonts w:hint="default"/>
        <w:lang w:val="en-US" w:eastAsia="zh-CN" w:bidi="ar-SA"/>
      </w:rPr>
    </w:lvl>
    <w:lvl w:ilvl="4">
      <w:start w:val="0"/>
      <w:numFmt w:val="bullet"/>
      <w:lvlText w:val="•"/>
      <w:lvlJc w:val="left"/>
      <w:pPr>
        <w:ind w:left="5270" w:hanging="372"/>
      </w:pPr>
      <w:rPr>
        <w:rFonts w:hint="default"/>
        <w:lang w:val="en-US" w:eastAsia="zh-CN" w:bidi="ar-SA"/>
      </w:rPr>
    </w:lvl>
    <w:lvl w:ilvl="5">
      <w:start w:val="0"/>
      <w:numFmt w:val="bullet"/>
      <w:lvlText w:val="•"/>
      <w:lvlJc w:val="left"/>
      <w:pPr>
        <w:ind w:left="6093" w:hanging="372"/>
      </w:pPr>
      <w:rPr>
        <w:rFonts w:hint="default"/>
        <w:lang w:val="en-US" w:eastAsia="zh-CN" w:bidi="ar-SA"/>
      </w:rPr>
    </w:lvl>
    <w:lvl w:ilvl="6">
      <w:start w:val="0"/>
      <w:numFmt w:val="bullet"/>
      <w:lvlText w:val="•"/>
      <w:lvlJc w:val="left"/>
      <w:pPr>
        <w:ind w:left="6915" w:hanging="372"/>
      </w:pPr>
      <w:rPr>
        <w:rFonts w:hint="default"/>
        <w:lang w:val="en-US" w:eastAsia="zh-CN" w:bidi="ar-SA"/>
      </w:rPr>
    </w:lvl>
    <w:lvl w:ilvl="7">
      <w:start w:val="0"/>
      <w:numFmt w:val="bullet"/>
      <w:lvlText w:val="•"/>
      <w:lvlJc w:val="left"/>
      <w:pPr>
        <w:ind w:left="7738" w:hanging="372"/>
      </w:pPr>
      <w:rPr>
        <w:rFonts w:hint="default"/>
        <w:lang w:val="en-US" w:eastAsia="zh-CN" w:bidi="ar-SA"/>
      </w:rPr>
    </w:lvl>
    <w:lvl w:ilvl="8">
      <w:start w:val="0"/>
      <w:numFmt w:val="bullet"/>
      <w:lvlText w:val="•"/>
      <w:lvlJc w:val="left"/>
      <w:pPr>
        <w:ind w:left="8561" w:hanging="372"/>
      </w:pPr>
      <w:rPr>
        <w:rFonts w:hint="default"/>
        <w:lang w:val="en-US" w:eastAsia="zh-CN" w:bidi="ar-SA"/>
      </w:rPr>
    </w:lvl>
  </w:abstractNum>
  <w:abstractNum w:abstractNumId="13">
    <w:multiLevelType w:val="hybridMultilevel"/>
    <w:lvl w:ilvl="0">
      <w:start w:val="1"/>
      <w:numFmt w:val="decimal"/>
      <w:lvlText w:val="%1."/>
      <w:lvlJc w:val="left"/>
      <w:pPr>
        <w:ind w:left="1970" w:hanging="360"/>
        <w:jc w:val="left"/>
      </w:pPr>
      <w:rPr>
        <w:rFonts w:hint="default" w:ascii="Times New Roman" w:hAnsi="Times New Roman" w:eastAsia="Times New Roman" w:cs="Times New Roman"/>
        <w:b/>
        <w:bCs/>
        <w:i w:val="0"/>
        <w:iCs w:val="0"/>
        <w:w w:val="100"/>
        <w:sz w:val="21"/>
        <w:szCs w:val="21"/>
        <w:lang w:val="en-US" w:eastAsia="zh-CN" w:bidi="ar-SA"/>
      </w:rPr>
    </w:lvl>
    <w:lvl w:ilvl="1">
      <w:start w:val="0"/>
      <w:numFmt w:val="bullet"/>
      <w:lvlText w:val="•"/>
      <w:lvlJc w:val="left"/>
      <w:pPr>
        <w:ind w:left="2802" w:hanging="360"/>
      </w:pPr>
      <w:rPr>
        <w:rFonts w:hint="default"/>
        <w:lang w:val="en-US" w:eastAsia="zh-CN" w:bidi="ar-SA"/>
      </w:rPr>
    </w:lvl>
    <w:lvl w:ilvl="2">
      <w:start w:val="0"/>
      <w:numFmt w:val="bullet"/>
      <w:lvlText w:val="•"/>
      <w:lvlJc w:val="left"/>
      <w:pPr>
        <w:ind w:left="3625" w:hanging="360"/>
      </w:pPr>
      <w:rPr>
        <w:rFonts w:hint="default"/>
        <w:lang w:val="en-US" w:eastAsia="zh-CN" w:bidi="ar-SA"/>
      </w:rPr>
    </w:lvl>
    <w:lvl w:ilvl="3">
      <w:start w:val="0"/>
      <w:numFmt w:val="bullet"/>
      <w:lvlText w:val="•"/>
      <w:lvlJc w:val="left"/>
      <w:pPr>
        <w:ind w:left="4447" w:hanging="360"/>
      </w:pPr>
      <w:rPr>
        <w:rFonts w:hint="default"/>
        <w:lang w:val="en-US" w:eastAsia="zh-CN" w:bidi="ar-SA"/>
      </w:rPr>
    </w:lvl>
    <w:lvl w:ilvl="4">
      <w:start w:val="0"/>
      <w:numFmt w:val="bullet"/>
      <w:lvlText w:val="•"/>
      <w:lvlJc w:val="left"/>
      <w:pPr>
        <w:ind w:left="5270" w:hanging="360"/>
      </w:pPr>
      <w:rPr>
        <w:rFonts w:hint="default"/>
        <w:lang w:val="en-US" w:eastAsia="zh-CN" w:bidi="ar-SA"/>
      </w:rPr>
    </w:lvl>
    <w:lvl w:ilvl="5">
      <w:start w:val="0"/>
      <w:numFmt w:val="bullet"/>
      <w:lvlText w:val="•"/>
      <w:lvlJc w:val="left"/>
      <w:pPr>
        <w:ind w:left="6093" w:hanging="360"/>
      </w:pPr>
      <w:rPr>
        <w:rFonts w:hint="default"/>
        <w:lang w:val="en-US" w:eastAsia="zh-CN" w:bidi="ar-SA"/>
      </w:rPr>
    </w:lvl>
    <w:lvl w:ilvl="6">
      <w:start w:val="0"/>
      <w:numFmt w:val="bullet"/>
      <w:lvlText w:val="•"/>
      <w:lvlJc w:val="left"/>
      <w:pPr>
        <w:ind w:left="6915" w:hanging="360"/>
      </w:pPr>
      <w:rPr>
        <w:rFonts w:hint="default"/>
        <w:lang w:val="en-US" w:eastAsia="zh-CN" w:bidi="ar-SA"/>
      </w:rPr>
    </w:lvl>
    <w:lvl w:ilvl="7">
      <w:start w:val="0"/>
      <w:numFmt w:val="bullet"/>
      <w:lvlText w:val="•"/>
      <w:lvlJc w:val="left"/>
      <w:pPr>
        <w:ind w:left="7738" w:hanging="360"/>
      </w:pPr>
      <w:rPr>
        <w:rFonts w:hint="default"/>
        <w:lang w:val="en-US" w:eastAsia="zh-CN" w:bidi="ar-SA"/>
      </w:rPr>
    </w:lvl>
    <w:lvl w:ilvl="8">
      <w:start w:val="0"/>
      <w:numFmt w:val="bullet"/>
      <w:lvlText w:val="•"/>
      <w:lvlJc w:val="left"/>
      <w:pPr>
        <w:ind w:left="8561" w:hanging="360"/>
      </w:pPr>
      <w:rPr>
        <w:rFonts w:hint="default"/>
        <w:lang w:val="en-US" w:eastAsia="zh-CN" w:bidi="ar-SA"/>
      </w:rPr>
    </w:lvl>
  </w:abstractNum>
  <w:abstractNum w:abstractNumId="12">
    <w:multiLevelType w:val="hybridMultilevel"/>
    <w:lvl w:ilvl="0">
      <w:start w:val="10"/>
      <w:numFmt w:val="decimal"/>
      <w:lvlText w:val="%1"/>
      <w:lvlJc w:val="left"/>
      <w:pPr>
        <w:ind w:left="1818" w:hanging="802"/>
        <w:jc w:val="left"/>
      </w:pPr>
      <w:rPr>
        <w:rFonts w:hint="default"/>
        <w:lang w:val="en-US" w:eastAsia="zh-CN" w:bidi="ar-SA"/>
      </w:rPr>
    </w:lvl>
    <w:lvl w:ilvl="1">
      <w:start w:val="7"/>
      <w:numFmt w:val="decimal"/>
      <w:lvlText w:val="%1.%2"/>
      <w:lvlJc w:val="left"/>
      <w:pPr>
        <w:ind w:left="1818" w:hanging="802"/>
        <w:jc w:val="left"/>
      </w:pPr>
      <w:rPr>
        <w:rFonts w:hint="default"/>
        <w:lang w:val="en-US" w:eastAsia="zh-CN" w:bidi="ar-SA"/>
      </w:rPr>
    </w:lvl>
    <w:lvl w:ilvl="2">
      <w:start w:val="1"/>
      <w:numFmt w:val="decimal"/>
      <w:lvlText w:val="%1.%2.%3"/>
      <w:lvlJc w:val="left"/>
      <w:pPr>
        <w:ind w:left="1818" w:hanging="802"/>
        <w:jc w:val="left"/>
      </w:pPr>
      <w:rPr>
        <w:rFonts w:hint="default" w:ascii="Times New Roman" w:hAnsi="Times New Roman" w:eastAsia="Times New Roman" w:cs="Times New Roman"/>
        <w:b/>
        <w:bCs/>
        <w:i w:val="0"/>
        <w:iCs w:val="0"/>
        <w:w w:val="100"/>
        <w:sz w:val="21"/>
        <w:szCs w:val="21"/>
        <w:lang w:val="en-US" w:eastAsia="zh-CN" w:bidi="ar-SA"/>
      </w:rPr>
    </w:lvl>
    <w:lvl w:ilvl="3">
      <w:start w:val="1"/>
      <w:numFmt w:val="decimal"/>
      <w:lvlText w:val="%4."/>
      <w:lvlJc w:val="left"/>
      <w:pPr>
        <w:ind w:left="1970" w:hanging="360"/>
        <w:jc w:val="left"/>
      </w:pPr>
      <w:rPr>
        <w:rFonts w:hint="default"/>
        <w:w w:val="100"/>
        <w:lang w:val="en-US" w:eastAsia="zh-CN" w:bidi="ar-SA"/>
      </w:rPr>
    </w:lvl>
    <w:lvl w:ilvl="4">
      <w:start w:val="0"/>
      <w:numFmt w:val="bullet"/>
      <w:lvlText w:val="•"/>
      <w:lvlJc w:val="left"/>
      <w:pPr>
        <w:ind w:left="4036" w:hanging="360"/>
      </w:pPr>
      <w:rPr>
        <w:rFonts w:hint="default"/>
        <w:lang w:val="en-US" w:eastAsia="zh-CN" w:bidi="ar-SA"/>
      </w:rPr>
    </w:lvl>
    <w:lvl w:ilvl="5">
      <w:start w:val="0"/>
      <w:numFmt w:val="bullet"/>
      <w:lvlText w:val="•"/>
      <w:lvlJc w:val="left"/>
      <w:pPr>
        <w:ind w:left="5064" w:hanging="360"/>
      </w:pPr>
      <w:rPr>
        <w:rFonts w:hint="default"/>
        <w:lang w:val="en-US" w:eastAsia="zh-CN" w:bidi="ar-SA"/>
      </w:rPr>
    </w:lvl>
    <w:lvl w:ilvl="6">
      <w:start w:val="0"/>
      <w:numFmt w:val="bullet"/>
      <w:lvlText w:val="•"/>
      <w:lvlJc w:val="left"/>
      <w:pPr>
        <w:ind w:left="6093" w:hanging="360"/>
      </w:pPr>
      <w:rPr>
        <w:rFonts w:hint="default"/>
        <w:lang w:val="en-US" w:eastAsia="zh-CN" w:bidi="ar-SA"/>
      </w:rPr>
    </w:lvl>
    <w:lvl w:ilvl="7">
      <w:start w:val="0"/>
      <w:numFmt w:val="bullet"/>
      <w:lvlText w:val="•"/>
      <w:lvlJc w:val="left"/>
      <w:pPr>
        <w:ind w:left="7121" w:hanging="360"/>
      </w:pPr>
      <w:rPr>
        <w:rFonts w:hint="default"/>
        <w:lang w:val="en-US" w:eastAsia="zh-CN" w:bidi="ar-SA"/>
      </w:rPr>
    </w:lvl>
    <w:lvl w:ilvl="8">
      <w:start w:val="0"/>
      <w:numFmt w:val="bullet"/>
      <w:lvlText w:val="•"/>
      <w:lvlJc w:val="left"/>
      <w:pPr>
        <w:ind w:left="8149" w:hanging="360"/>
      </w:pPr>
      <w:rPr>
        <w:rFonts w:hint="default"/>
        <w:lang w:val="en-US" w:eastAsia="zh-CN" w:bidi="ar-SA"/>
      </w:rPr>
    </w:lvl>
  </w:abstractNum>
  <w:abstractNum w:abstractNumId="11">
    <w:multiLevelType w:val="hybridMultilevel"/>
    <w:lvl w:ilvl="0">
      <w:start w:val="1"/>
      <w:numFmt w:val="decimal"/>
      <w:lvlText w:val="%1."/>
      <w:lvlJc w:val="left"/>
      <w:pPr>
        <w:ind w:left="1982" w:hanging="372"/>
        <w:jc w:val="left"/>
      </w:pPr>
      <w:rPr>
        <w:rFonts w:hint="default" w:ascii="Times New Roman" w:hAnsi="Times New Roman" w:eastAsia="Times New Roman" w:cs="Times New Roman"/>
        <w:b/>
        <w:bCs/>
        <w:i w:val="0"/>
        <w:iCs w:val="0"/>
        <w:w w:val="100"/>
        <w:sz w:val="21"/>
        <w:szCs w:val="21"/>
        <w:lang w:val="en-US" w:eastAsia="zh-CN" w:bidi="ar-SA"/>
      </w:rPr>
    </w:lvl>
    <w:lvl w:ilvl="1">
      <w:start w:val="0"/>
      <w:numFmt w:val="bullet"/>
      <w:lvlText w:val="•"/>
      <w:lvlJc w:val="left"/>
      <w:pPr>
        <w:ind w:left="2802" w:hanging="372"/>
      </w:pPr>
      <w:rPr>
        <w:rFonts w:hint="default"/>
        <w:lang w:val="en-US" w:eastAsia="zh-CN" w:bidi="ar-SA"/>
      </w:rPr>
    </w:lvl>
    <w:lvl w:ilvl="2">
      <w:start w:val="0"/>
      <w:numFmt w:val="bullet"/>
      <w:lvlText w:val="•"/>
      <w:lvlJc w:val="left"/>
      <w:pPr>
        <w:ind w:left="3625" w:hanging="372"/>
      </w:pPr>
      <w:rPr>
        <w:rFonts w:hint="default"/>
        <w:lang w:val="en-US" w:eastAsia="zh-CN" w:bidi="ar-SA"/>
      </w:rPr>
    </w:lvl>
    <w:lvl w:ilvl="3">
      <w:start w:val="0"/>
      <w:numFmt w:val="bullet"/>
      <w:lvlText w:val="•"/>
      <w:lvlJc w:val="left"/>
      <w:pPr>
        <w:ind w:left="4447" w:hanging="372"/>
      </w:pPr>
      <w:rPr>
        <w:rFonts w:hint="default"/>
        <w:lang w:val="en-US" w:eastAsia="zh-CN" w:bidi="ar-SA"/>
      </w:rPr>
    </w:lvl>
    <w:lvl w:ilvl="4">
      <w:start w:val="0"/>
      <w:numFmt w:val="bullet"/>
      <w:lvlText w:val="•"/>
      <w:lvlJc w:val="left"/>
      <w:pPr>
        <w:ind w:left="5270" w:hanging="372"/>
      </w:pPr>
      <w:rPr>
        <w:rFonts w:hint="default"/>
        <w:lang w:val="en-US" w:eastAsia="zh-CN" w:bidi="ar-SA"/>
      </w:rPr>
    </w:lvl>
    <w:lvl w:ilvl="5">
      <w:start w:val="0"/>
      <w:numFmt w:val="bullet"/>
      <w:lvlText w:val="•"/>
      <w:lvlJc w:val="left"/>
      <w:pPr>
        <w:ind w:left="6093" w:hanging="372"/>
      </w:pPr>
      <w:rPr>
        <w:rFonts w:hint="default"/>
        <w:lang w:val="en-US" w:eastAsia="zh-CN" w:bidi="ar-SA"/>
      </w:rPr>
    </w:lvl>
    <w:lvl w:ilvl="6">
      <w:start w:val="0"/>
      <w:numFmt w:val="bullet"/>
      <w:lvlText w:val="•"/>
      <w:lvlJc w:val="left"/>
      <w:pPr>
        <w:ind w:left="6915" w:hanging="372"/>
      </w:pPr>
      <w:rPr>
        <w:rFonts w:hint="default"/>
        <w:lang w:val="en-US" w:eastAsia="zh-CN" w:bidi="ar-SA"/>
      </w:rPr>
    </w:lvl>
    <w:lvl w:ilvl="7">
      <w:start w:val="0"/>
      <w:numFmt w:val="bullet"/>
      <w:lvlText w:val="•"/>
      <w:lvlJc w:val="left"/>
      <w:pPr>
        <w:ind w:left="7738" w:hanging="372"/>
      </w:pPr>
      <w:rPr>
        <w:rFonts w:hint="default"/>
        <w:lang w:val="en-US" w:eastAsia="zh-CN" w:bidi="ar-SA"/>
      </w:rPr>
    </w:lvl>
    <w:lvl w:ilvl="8">
      <w:start w:val="0"/>
      <w:numFmt w:val="bullet"/>
      <w:lvlText w:val="•"/>
      <w:lvlJc w:val="left"/>
      <w:pPr>
        <w:ind w:left="8561" w:hanging="372"/>
      </w:pPr>
      <w:rPr>
        <w:rFonts w:hint="default"/>
        <w:lang w:val="en-US" w:eastAsia="zh-CN" w:bidi="ar-SA"/>
      </w:rPr>
    </w:lvl>
  </w:abstractNum>
  <w:abstractNum w:abstractNumId="10">
    <w:multiLevelType w:val="hybridMultilevel"/>
    <w:lvl w:ilvl="0">
      <w:start w:val="1"/>
      <w:numFmt w:val="decimal"/>
      <w:lvlText w:val="%1."/>
      <w:lvlJc w:val="left"/>
      <w:pPr>
        <w:ind w:left="1970" w:hanging="360"/>
        <w:jc w:val="left"/>
      </w:pPr>
      <w:rPr>
        <w:rFonts w:hint="default" w:ascii="Times New Roman" w:hAnsi="Times New Roman" w:eastAsia="Times New Roman" w:cs="Times New Roman"/>
        <w:b/>
        <w:bCs/>
        <w:i w:val="0"/>
        <w:iCs w:val="0"/>
        <w:w w:val="100"/>
        <w:sz w:val="21"/>
        <w:szCs w:val="21"/>
        <w:lang w:val="en-US" w:eastAsia="zh-CN" w:bidi="ar-SA"/>
      </w:rPr>
    </w:lvl>
    <w:lvl w:ilvl="1">
      <w:start w:val="0"/>
      <w:numFmt w:val="bullet"/>
      <w:lvlText w:val="•"/>
      <w:lvlJc w:val="left"/>
      <w:pPr>
        <w:ind w:left="2802" w:hanging="360"/>
      </w:pPr>
      <w:rPr>
        <w:rFonts w:hint="default"/>
        <w:lang w:val="en-US" w:eastAsia="zh-CN" w:bidi="ar-SA"/>
      </w:rPr>
    </w:lvl>
    <w:lvl w:ilvl="2">
      <w:start w:val="0"/>
      <w:numFmt w:val="bullet"/>
      <w:lvlText w:val="•"/>
      <w:lvlJc w:val="left"/>
      <w:pPr>
        <w:ind w:left="3625" w:hanging="360"/>
      </w:pPr>
      <w:rPr>
        <w:rFonts w:hint="default"/>
        <w:lang w:val="en-US" w:eastAsia="zh-CN" w:bidi="ar-SA"/>
      </w:rPr>
    </w:lvl>
    <w:lvl w:ilvl="3">
      <w:start w:val="0"/>
      <w:numFmt w:val="bullet"/>
      <w:lvlText w:val="•"/>
      <w:lvlJc w:val="left"/>
      <w:pPr>
        <w:ind w:left="4447" w:hanging="360"/>
      </w:pPr>
      <w:rPr>
        <w:rFonts w:hint="default"/>
        <w:lang w:val="en-US" w:eastAsia="zh-CN" w:bidi="ar-SA"/>
      </w:rPr>
    </w:lvl>
    <w:lvl w:ilvl="4">
      <w:start w:val="0"/>
      <w:numFmt w:val="bullet"/>
      <w:lvlText w:val="•"/>
      <w:lvlJc w:val="left"/>
      <w:pPr>
        <w:ind w:left="5270" w:hanging="360"/>
      </w:pPr>
      <w:rPr>
        <w:rFonts w:hint="default"/>
        <w:lang w:val="en-US" w:eastAsia="zh-CN" w:bidi="ar-SA"/>
      </w:rPr>
    </w:lvl>
    <w:lvl w:ilvl="5">
      <w:start w:val="0"/>
      <w:numFmt w:val="bullet"/>
      <w:lvlText w:val="•"/>
      <w:lvlJc w:val="left"/>
      <w:pPr>
        <w:ind w:left="6093" w:hanging="360"/>
      </w:pPr>
      <w:rPr>
        <w:rFonts w:hint="default"/>
        <w:lang w:val="en-US" w:eastAsia="zh-CN" w:bidi="ar-SA"/>
      </w:rPr>
    </w:lvl>
    <w:lvl w:ilvl="6">
      <w:start w:val="0"/>
      <w:numFmt w:val="bullet"/>
      <w:lvlText w:val="•"/>
      <w:lvlJc w:val="left"/>
      <w:pPr>
        <w:ind w:left="6915" w:hanging="360"/>
      </w:pPr>
      <w:rPr>
        <w:rFonts w:hint="default"/>
        <w:lang w:val="en-US" w:eastAsia="zh-CN" w:bidi="ar-SA"/>
      </w:rPr>
    </w:lvl>
    <w:lvl w:ilvl="7">
      <w:start w:val="0"/>
      <w:numFmt w:val="bullet"/>
      <w:lvlText w:val="•"/>
      <w:lvlJc w:val="left"/>
      <w:pPr>
        <w:ind w:left="7738" w:hanging="360"/>
      </w:pPr>
      <w:rPr>
        <w:rFonts w:hint="default"/>
        <w:lang w:val="en-US" w:eastAsia="zh-CN" w:bidi="ar-SA"/>
      </w:rPr>
    </w:lvl>
    <w:lvl w:ilvl="8">
      <w:start w:val="0"/>
      <w:numFmt w:val="bullet"/>
      <w:lvlText w:val="•"/>
      <w:lvlJc w:val="left"/>
      <w:pPr>
        <w:ind w:left="8561" w:hanging="360"/>
      </w:pPr>
      <w:rPr>
        <w:rFonts w:hint="default"/>
        <w:lang w:val="en-US" w:eastAsia="zh-CN" w:bidi="ar-SA"/>
      </w:rPr>
    </w:lvl>
  </w:abstractNum>
  <w:abstractNum w:abstractNumId="9">
    <w:multiLevelType w:val="hybridMultilevel"/>
    <w:lvl w:ilvl="0">
      <w:start w:val="1"/>
      <w:numFmt w:val="decimal"/>
      <w:lvlText w:val="%1."/>
      <w:lvlJc w:val="left"/>
      <w:pPr>
        <w:ind w:left="1970" w:hanging="360"/>
        <w:jc w:val="left"/>
      </w:pPr>
      <w:rPr>
        <w:rFonts w:hint="default" w:ascii="Times New Roman" w:hAnsi="Times New Roman" w:eastAsia="Times New Roman" w:cs="Times New Roman"/>
        <w:b w:val="0"/>
        <w:bCs w:val="0"/>
        <w:i w:val="0"/>
        <w:iCs w:val="0"/>
        <w:w w:val="100"/>
        <w:sz w:val="21"/>
        <w:szCs w:val="21"/>
        <w:lang w:val="en-US" w:eastAsia="zh-CN" w:bidi="ar-SA"/>
      </w:rPr>
    </w:lvl>
    <w:lvl w:ilvl="1">
      <w:start w:val="0"/>
      <w:numFmt w:val="bullet"/>
      <w:lvlText w:val="•"/>
      <w:lvlJc w:val="left"/>
      <w:pPr>
        <w:ind w:left="2802" w:hanging="360"/>
      </w:pPr>
      <w:rPr>
        <w:rFonts w:hint="default"/>
        <w:lang w:val="en-US" w:eastAsia="zh-CN" w:bidi="ar-SA"/>
      </w:rPr>
    </w:lvl>
    <w:lvl w:ilvl="2">
      <w:start w:val="0"/>
      <w:numFmt w:val="bullet"/>
      <w:lvlText w:val="•"/>
      <w:lvlJc w:val="left"/>
      <w:pPr>
        <w:ind w:left="3625" w:hanging="360"/>
      </w:pPr>
      <w:rPr>
        <w:rFonts w:hint="default"/>
        <w:lang w:val="en-US" w:eastAsia="zh-CN" w:bidi="ar-SA"/>
      </w:rPr>
    </w:lvl>
    <w:lvl w:ilvl="3">
      <w:start w:val="0"/>
      <w:numFmt w:val="bullet"/>
      <w:lvlText w:val="•"/>
      <w:lvlJc w:val="left"/>
      <w:pPr>
        <w:ind w:left="4447" w:hanging="360"/>
      </w:pPr>
      <w:rPr>
        <w:rFonts w:hint="default"/>
        <w:lang w:val="en-US" w:eastAsia="zh-CN" w:bidi="ar-SA"/>
      </w:rPr>
    </w:lvl>
    <w:lvl w:ilvl="4">
      <w:start w:val="0"/>
      <w:numFmt w:val="bullet"/>
      <w:lvlText w:val="•"/>
      <w:lvlJc w:val="left"/>
      <w:pPr>
        <w:ind w:left="5270" w:hanging="360"/>
      </w:pPr>
      <w:rPr>
        <w:rFonts w:hint="default"/>
        <w:lang w:val="en-US" w:eastAsia="zh-CN" w:bidi="ar-SA"/>
      </w:rPr>
    </w:lvl>
    <w:lvl w:ilvl="5">
      <w:start w:val="0"/>
      <w:numFmt w:val="bullet"/>
      <w:lvlText w:val="•"/>
      <w:lvlJc w:val="left"/>
      <w:pPr>
        <w:ind w:left="6093" w:hanging="360"/>
      </w:pPr>
      <w:rPr>
        <w:rFonts w:hint="default"/>
        <w:lang w:val="en-US" w:eastAsia="zh-CN" w:bidi="ar-SA"/>
      </w:rPr>
    </w:lvl>
    <w:lvl w:ilvl="6">
      <w:start w:val="0"/>
      <w:numFmt w:val="bullet"/>
      <w:lvlText w:val="•"/>
      <w:lvlJc w:val="left"/>
      <w:pPr>
        <w:ind w:left="6915" w:hanging="360"/>
      </w:pPr>
      <w:rPr>
        <w:rFonts w:hint="default"/>
        <w:lang w:val="en-US" w:eastAsia="zh-CN" w:bidi="ar-SA"/>
      </w:rPr>
    </w:lvl>
    <w:lvl w:ilvl="7">
      <w:start w:val="0"/>
      <w:numFmt w:val="bullet"/>
      <w:lvlText w:val="•"/>
      <w:lvlJc w:val="left"/>
      <w:pPr>
        <w:ind w:left="7738" w:hanging="360"/>
      </w:pPr>
      <w:rPr>
        <w:rFonts w:hint="default"/>
        <w:lang w:val="en-US" w:eastAsia="zh-CN" w:bidi="ar-SA"/>
      </w:rPr>
    </w:lvl>
    <w:lvl w:ilvl="8">
      <w:start w:val="0"/>
      <w:numFmt w:val="bullet"/>
      <w:lvlText w:val="•"/>
      <w:lvlJc w:val="left"/>
      <w:pPr>
        <w:ind w:left="8561" w:hanging="360"/>
      </w:pPr>
      <w:rPr>
        <w:rFonts w:hint="default"/>
        <w:lang w:val="en-US" w:eastAsia="zh-CN" w:bidi="ar-SA"/>
      </w:rPr>
    </w:lvl>
  </w:abstractNum>
  <w:abstractNum w:abstractNumId="8">
    <w:multiLevelType w:val="hybridMultilevel"/>
    <w:lvl w:ilvl="0">
      <w:start w:val="10"/>
      <w:numFmt w:val="decimal"/>
      <w:lvlText w:val="%1"/>
      <w:lvlJc w:val="left"/>
      <w:pPr>
        <w:ind w:left="1818" w:hanging="802"/>
        <w:jc w:val="left"/>
      </w:pPr>
      <w:rPr>
        <w:rFonts w:hint="default"/>
        <w:lang w:val="en-US" w:eastAsia="zh-CN" w:bidi="ar-SA"/>
      </w:rPr>
    </w:lvl>
    <w:lvl w:ilvl="1">
      <w:start w:val="6"/>
      <w:numFmt w:val="decimal"/>
      <w:lvlText w:val="%1.%2"/>
      <w:lvlJc w:val="left"/>
      <w:pPr>
        <w:ind w:left="1818" w:hanging="802"/>
        <w:jc w:val="left"/>
      </w:pPr>
      <w:rPr>
        <w:rFonts w:hint="default"/>
        <w:lang w:val="en-US" w:eastAsia="zh-CN" w:bidi="ar-SA"/>
      </w:rPr>
    </w:lvl>
    <w:lvl w:ilvl="2">
      <w:start w:val="1"/>
      <w:numFmt w:val="decimal"/>
      <w:lvlText w:val="%1.%2.%3"/>
      <w:lvlJc w:val="left"/>
      <w:pPr>
        <w:ind w:left="1818" w:hanging="802"/>
        <w:jc w:val="left"/>
      </w:pPr>
      <w:rPr>
        <w:rFonts w:hint="default" w:ascii="Times New Roman" w:hAnsi="Times New Roman" w:eastAsia="Times New Roman" w:cs="Times New Roman"/>
        <w:b/>
        <w:bCs/>
        <w:i w:val="0"/>
        <w:iCs w:val="0"/>
        <w:w w:val="100"/>
        <w:sz w:val="21"/>
        <w:szCs w:val="21"/>
        <w:lang w:val="en-US" w:eastAsia="zh-CN" w:bidi="ar-SA"/>
      </w:rPr>
    </w:lvl>
    <w:lvl w:ilvl="3">
      <w:start w:val="1"/>
      <w:numFmt w:val="decimal"/>
      <w:lvlText w:val="%4."/>
      <w:lvlJc w:val="left"/>
      <w:pPr>
        <w:ind w:left="1970" w:hanging="360"/>
        <w:jc w:val="left"/>
      </w:pPr>
      <w:rPr>
        <w:rFonts w:hint="default"/>
        <w:w w:val="100"/>
        <w:lang w:val="en-US" w:eastAsia="zh-CN" w:bidi="ar-SA"/>
      </w:rPr>
    </w:lvl>
    <w:lvl w:ilvl="4">
      <w:start w:val="0"/>
      <w:numFmt w:val="bullet"/>
      <w:lvlText w:val="•"/>
      <w:lvlJc w:val="left"/>
      <w:pPr>
        <w:ind w:left="4722" w:hanging="360"/>
      </w:pPr>
      <w:rPr>
        <w:rFonts w:hint="default"/>
        <w:lang w:val="en-US" w:eastAsia="zh-CN" w:bidi="ar-SA"/>
      </w:rPr>
    </w:lvl>
    <w:lvl w:ilvl="5">
      <w:start w:val="0"/>
      <w:numFmt w:val="bullet"/>
      <w:lvlText w:val="•"/>
      <w:lvlJc w:val="left"/>
      <w:pPr>
        <w:ind w:left="5636" w:hanging="360"/>
      </w:pPr>
      <w:rPr>
        <w:rFonts w:hint="default"/>
        <w:lang w:val="en-US" w:eastAsia="zh-CN" w:bidi="ar-SA"/>
      </w:rPr>
    </w:lvl>
    <w:lvl w:ilvl="6">
      <w:start w:val="0"/>
      <w:numFmt w:val="bullet"/>
      <w:lvlText w:val="•"/>
      <w:lvlJc w:val="left"/>
      <w:pPr>
        <w:ind w:left="6550" w:hanging="360"/>
      </w:pPr>
      <w:rPr>
        <w:rFonts w:hint="default"/>
        <w:lang w:val="en-US" w:eastAsia="zh-CN" w:bidi="ar-SA"/>
      </w:rPr>
    </w:lvl>
    <w:lvl w:ilvl="7">
      <w:start w:val="0"/>
      <w:numFmt w:val="bullet"/>
      <w:lvlText w:val="•"/>
      <w:lvlJc w:val="left"/>
      <w:pPr>
        <w:ind w:left="7464" w:hanging="360"/>
      </w:pPr>
      <w:rPr>
        <w:rFonts w:hint="default"/>
        <w:lang w:val="en-US" w:eastAsia="zh-CN" w:bidi="ar-SA"/>
      </w:rPr>
    </w:lvl>
    <w:lvl w:ilvl="8">
      <w:start w:val="0"/>
      <w:numFmt w:val="bullet"/>
      <w:lvlText w:val="•"/>
      <w:lvlJc w:val="left"/>
      <w:pPr>
        <w:ind w:left="8378" w:hanging="360"/>
      </w:pPr>
      <w:rPr>
        <w:rFonts w:hint="default"/>
        <w:lang w:val="en-US" w:eastAsia="zh-CN" w:bidi="ar-SA"/>
      </w:rPr>
    </w:lvl>
  </w:abstractNum>
  <w:abstractNum w:abstractNumId="7">
    <w:multiLevelType w:val="hybridMultilevel"/>
    <w:lvl w:ilvl="0">
      <w:start w:val="1"/>
      <w:numFmt w:val="decimal"/>
      <w:lvlText w:val="%1."/>
      <w:lvlJc w:val="left"/>
      <w:pPr>
        <w:ind w:left="1970" w:hanging="363"/>
        <w:jc w:val="left"/>
      </w:pPr>
      <w:rPr>
        <w:rFonts w:hint="default" w:ascii="Times New Roman" w:hAnsi="Times New Roman" w:eastAsia="Times New Roman" w:cs="Times New Roman"/>
        <w:b w:val="0"/>
        <w:bCs w:val="0"/>
        <w:i w:val="0"/>
        <w:iCs w:val="0"/>
        <w:w w:val="100"/>
        <w:sz w:val="21"/>
        <w:szCs w:val="21"/>
        <w:lang w:val="en-US" w:eastAsia="zh-CN" w:bidi="ar-SA"/>
      </w:rPr>
    </w:lvl>
    <w:lvl w:ilvl="1">
      <w:start w:val="0"/>
      <w:numFmt w:val="bullet"/>
      <w:lvlText w:val="•"/>
      <w:lvlJc w:val="left"/>
      <w:pPr>
        <w:ind w:left="2802" w:hanging="363"/>
      </w:pPr>
      <w:rPr>
        <w:rFonts w:hint="default"/>
        <w:lang w:val="en-US" w:eastAsia="zh-CN" w:bidi="ar-SA"/>
      </w:rPr>
    </w:lvl>
    <w:lvl w:ilvl="2">
      <w:start w:val="0"/>
      <w:numFmt w:val="bullet"/>
      <w:lvlText w:val="•"/>
      <w:lvlJc w:val="left"/>
      <w:pPr>
        <w:ind w:left="3625" w:hanging="363"/>
      </w:pPr>
      <w:rPr>
        <w:rFonts w:hint="default"/>
        <w:lang w:val="en-US" w:eastAsia="zh-CN" w:bidi="ar-SA"/>
      </w:rPr>
    </w:lvl>
    <w:lvl w:ilvl="3">
      <w:start w:val="0"/>
      <w:numFmt w:val="bullet"/>
      <w:lvlText w:val="•"/>
      <w:lvlJc w:val="left"/>
      <w:pPr>
        <w:ind w:left="4447" w:hanging="363"/>
      </w:pPr>
      <w:rPr>
        <w:rFonts w:hint="default"/>
        <w:lang w:val="en-US" w:eastAsia="zh-CN" w:bidi="ar-SA"/>
      </w:rPr>
    </w:lvl>
    <w:lvl w:ilvl="4">
      <w:start w:val="0"/>
      <w:numFmt w:val="bullet"/>
      <w:lvlText w:val="•"/>
      <w:lvlJc w:val="left"/>
      <w:pPr>
        <w:ind w:left="5270" w:hanging="363"/>
      </w:pPr>
      <w:rPr>
        <w:rFonts w:hint="default"/>
        <w:lang w:val="en-US" w:eastAsia="zh-CN" w:bidi="ar-SA"/>
      </w:rPr>
    </w:lvl>
    <w:lvl w:ilvl="5">
      <w:start w:val="0"/>
      <w:numFmt w:val="bullet"/>
      <w:lvlText w:val="•"/>
      <w:lvlJc w:val="left"/>
      <w:pPr>
        <w:ind w:left="6093" w:hanging="363"/>
      </w:pPr>
      <w:rPr>
        <w:rFonts w:hint="default"/>
        <w:lang w:val="en-US" w:eastAsia="zh-CN" w:bidi="ar-SA"/>
      </w:rPr>
    </w:lvl>
    <w:lvl w:ilvl="6">
      <w:start w:val="0"/>
      <w:numFmt w:val="bullet"/>
      <w:lvlText w:val="•"/>
      <w:lvlJc w:val="left"/>
      <w:pPr>
        <w:ind w:left="6915" w:hanging="363"/>
      </w:pPr>
      <w:rPr>
        <w:rFonts w:hint="default"/>
        <w:lang w:val="en-US" w:eastAsia="zh-CN" w:bidi="ar-SA"/>
      </w:rPr>
    </w:lvl>
    <w:lvl w:ilvl="7">
      <w:start w:val="0"/>
      <w:numFmt w:val="bullet"/>
      <w:lvlText w:val="•"/>
      <w:lvlJc w:val="left"/>
      <w:pPr>
        <w:ind w:left="7738" w:hanging="363"/>
      </w:pPr>
      <w:rPr>
        <w:rFonts w:hint="default"/>
        <w:lang w:val="en-US" w:eastAsia="zh-CN" w:bidi="ar-SA"/>
      </w:rPr>
    </w:lvl>
    <w:lvl w:ilvl="8">
      <w:start w:val="0"/>
      <w:numFmt w:val="bullet"/>
      <w:lvlText w:val="•"/>
      <w:lvlJc w:val="left"/>
      <w:pPr>
        <w:ind w:left="8561" w:hanging="363"/>
      </w:pPr>
      <w:rPr>
        <w:rFonts w:hint="default"/>
        <w:lang w:val="en-US" w:eastAsia="zh-CN" w:bidi="ar-SA"/>
      </w:rPr>
    </w:lvl>
  </w:abstractNum>
  <w:abstractNum w:abstractNumId="6">
    <w:multiLevelType w:val="hybridMultilevel"/>
    <w:lvl w:ilvl="0">
      <w:start w:val="3"/>
      <w:numFmt w:val="decimal"/>
      <w:lvlText w:val="%1"/>
      <w:lvlJc w:val="left"/>
      <w:pPr>
        <w:ind w:left="1142" w:hanging="720"/>
        <w:jc w:val="left"/>
      </w:pPr>
      <w:rPr>
        <w:rFonts w:hint="default"/>
        <w:lang w:val="en-US" w:eastAsia="zh-CN" w:bidi="ar-SA"/>
      </w:rPr>
    </w:lvl>
    <w:lvl w:ilvl="1">
      <w:start w:val="3"/>
      <w:numFmt w:val="decimal"/>
      <w:lvlText w:val="%1.%2"/>
      <w:lvlJc w:val="left"/>
      <w:pPr>
        <w:ind w:left="1142" w:hanging="720"/>
        <w:jc w:val="left"/>
      </w:pPr>
      <w:rPr>
        <w:rFonts w:hint="default"/>
        <w:lang w:val="en-US" w:eastAsia="zh-CN" w:bidi="ar-SA"/>
      </w:rPr>
    </w:lvl>
    <w:lvl w:ilvl="2">
      <w:start w:val="1"/>
      <w:numFmt w:val="decimal"/>
      <w:lvlText w:val="%1.%2.%3"/>
      <w:lvlJc w:val="left"/>
      <w:pPr>
        <w:ind w:left="1142" w:hanging="720"/>
        <w:jc w:val="left"/>
      </w:pPr>
      <w:rPr>
        <w:rFonts w:hint="default" w:ascii="Times New Roman" w:hAnsi="Times New Roman" w:eastAsia="Times New Roman" w:cs="Times New Roman"/>
        <w:b/>
        <w:bCs/>
        <w:i w:val="0"/>
        <w:iCs w:val="0"/>
        <w:w w:val="100"/>
        <w:sz w:val="21"/>
        <w:szCs w:val="21"/>
        <w:lang w:val="en-US" w:eastAsia="zh-CN" w:bidi="ar-SA"/>
      </w:rPr>
    </w:lvl>
    <w:lvl w:ilvl="3">
      <w:start w:val="1"/>
      <w:numFmt w:val="decimal"/>
      <w:lvlText w:val="%4."/>
      <w:lvlJc w:val="left"/>
      <w:pPr>
        <w:ind w:left="1970" w:hanging="360"/>
        <w:jc w:val="left"/>
      </w:pPr>
      <w:rPr>
        <w:rFonts w:hint="default" w:ascii="Times New Roman" w:hAnsi="Times New Roman" w:eastAsia="Times New Roman" w:cs="Times New Roman"/>
        <w:b w:val="0"/>
        <w:bCs w:val="0"/>
        <w:i w:val="0"/>
        <w:iCs w:val="0"/>
        <w:w w:val="100"/>
        <w:sz w:val="21"/>
        <w:szCs w:val="21"/>
        <w:lang w:val="en-US" w:eastAsia="zh-CN" w:bidi="ar-SA"/>
      </w:rPr>
    </w:lvl>
    <w:lvl w:ilvl="4">
      <w:start w:val="0"/>
      <w:numFmt w:val="bullet"/>
      <w:lvlText w:val="•"/>
      <w:lvlJc w:val="left"/>
      <w:pPr>
        <w:ind w:left="4722" w:hanging="360"/>
      </w:pPr>
      <w:rPr>
        <w:rFonts w:hint="default"/>
        <w:lang w:val="en-US" w:eastAsia="zh-CN" w:bidi="ar-SA"/>
      </w:rPr>
    </w:lvl>
    <w:lvl w:ilvl="5">
      <w:start w:val="0"/>
      <w:numFmt w:val="bullet"/>
      <w:lvlText w:val="•"/>
      <w:lvlJc w:val="left"/>
      <w:pPr>
        <w:ind w:left="5636" w:hanging="360"/>
      </w:pPr>
      <w:rPr>
        <w:rFonts w:hint="default"/>
        <w:lang w:val="en-US" w:eastAsia="zh-CN" w:bidi="ar-SA"/>
      </w:rPr>
    </w:lvl>
    <w:lvl w:ilvl="6">
      <w:start w:val="0"/>
      <w:numFmt w:val="bullet"/>
      <w:lvlText w:val="•"/>
      <w:lvlJc w:val="left"/>
      <w:pPr>
        <w:ind w:left="6550" w:hanging="360"/>
      </w:pPr>
      <w:rPr>
        <w:rFonts w:hint="default"/>
        <w:lang w:val="en-US" w:eastAsia="zh-CN" w:bidi="ar-SA"/>
      </w:rPr>
    </w:lvl>
    <w:lvl w:ilvl="7">
      <w:start w:val="0"/>
      <w:numFmt w:val="bullet"/>
      <w:lvlText w:val="•"/>
      <w:lvlJc w:val="left"/>
      <w:pPr>
        <w:ind w:left="7464" w:hanging="360"/>
      </w:pPr>
      <w:rPr>
        <w:rFonts w:hint="default"/>
        <w:lang w:val="en-US" w:eastAsia="zh-CN" w:bidi="ar-SA"/>
      </w:rPr>
    </w:lvl>
    <w:lvl w:ilvl="8">
      <w:start w:val="0"/>
      <w:numFmt w:val="bullet"/>
      <w:lvlText w:val="•"/>
      <w:lvlJc w:val="left"/>
      <w:pPr>
        <w:ind w:left="8378" w:hanging="360"/>
      </w:pPr>
      <w:rPr>
        <w:rFonts w:hint="default"/>
        <w:lang w:val="en-US" w:eastAsia="zh-CN" w:bidi="ar-SA"/>
      </w:rPr>
    </w:lvl>
  </w:abstractNum>
  <w:abstractNum w:abstractNumId="5">
    <w:multiLevelType w:val="hybridMultilevel"/>
    <w:lvl w:ilvl="0">
      <w:start w:val="2"/>
      <w:numFmt w:val="decimal"/>
      <w:lvlText w:val="%1"/>
      <w:lvlJc w:val="left"/>
      <w:pPr>
        <w:ind w:left="1398" w:hanging="836"/>
        <w:jc w:val="left"/>
      </w:pPr>
      <w:rPr>
        <w:rFonts w:hint="default"/>
        <w:lang w:val="en-US" w:eastAsia="zh-CN" w:bidi="ar-SA"/>
      </w:rPr>
    </w:lvl>
    <w:lvl w:ilvl="1">
      <w:start w:val="5"/>
      <w:numFmt w:val="decimal"/>
      <w:lvlText w:val="%1.%2"/>
      <w:lvlJc w:val="left"/>
      <w:pPr>
        <w:ind w:left="1398" w:hanging="836"/>
        <w:jc w:val="left"/>
      </w:pPr>
      <w:rPr>
        <w:rFonts w:hint="default"/>
        <w:lang w:val="en-US" w:eastAsia="zh-CN" w:bidi="ar-SA"/>
      </w:rPr>
    </w:lvl>
    <w:lvl w:ilvl="2">
      <w:start w:val="5"/>
      <w:numFmt w:val="decimal"/>
      <w:lvlText w:val="%1.%2.%3"/>
      <w:lvlJc w:val="left"/>
      <w:pPr>
        <w:ind w:left="1398" w:hanging="836"/>
        <w:jc w:val="left"/>
      </w:pPr>
      <w:rPr>
        <w:rFonts w:hint="default"/>
        <w:lang w:val="en-US" w:eastAsia="zh-CN" w:bidi="ar-SA"/>
      </w:rPr>
    </w:lvl>
    <w:lvl w:ilvl="3">
      <w:start w:val="1"/>
      <w:numFmt w:val="decimal"/>
      <w:lvlText w:val="%1.%2.%3.%4"/>
      <w:lvlJc w:val="left"/>
      <w:pPr>
        <w:ind w:left="1398" w:hanging="836"/>
        <w:jc w:val="left"/>
      </w:pPr>
      <w:rPr>
        <w:rFonts w:hint="default" w:ascii="Times New Roman" w:hAnsi="Times New Roman" w:eastAsia="Times New Roman" w:cs="Times New Roman"/>
        <w:b/>
        <w:bCs/>
        <w:i w:val="0"/>
        <w:iCs w:val="0"/>
        <w:w w:val="100"/>
        <w:sz w:val="21"/>
        <w:szCs w:val="21"/>
        <w:lang w:val="en-US" w:eastAsia="zh-CN" w:bidi="ar-SA"/>
      </w:rPr>
    </w:lvl>
    <w:lvl w:ilvl="4">
      <w:start w:val="0"/>
      <w:numFmt w:val="bullet"/>
      <w:lvlText w:val="•"/>
      <w:lvlJc w:val="left"/>
      <w:pPr>
        <w:ind w:left="4922" w:hanging="836"/>
      </w:pPr>
      <w:rPr>
        <w:rFonts w:hint="default"/>
        <w:lang w:val="en-US" w:eastAsia="zh-CN" w:bidi="ar-SA"/>
      </w:rPr>
    </w:lvl>
    <w:lvl w:ilvl="5">
      <w:start w:val="0"/>
      <w:numFmt w:val="bullet"/>
      <w:lvlText w:val="•"/>
      <w:lvlJc w:val="left"/>
      <w:pPr>
        <w:ind w:left="5803" w:hanging="836"/>
      </w:pPr>
      <w:rPr>
        <w:rFonts w:hint="default"/>
        <w:lang w:val="en-US" w:eastAsia="zh-CN" w:bidi="ar-SA"/>
      </w:rPr>
    </w:lvl>
    <w:lvl w:ilvl="6">
      <w:start w:val="0"/>
      <w:numFmt w:val="bullet"/>
      <w:lvlText w:val="•"/>
      <w:lvlJc w:val="left"/>
      <w:pPr>
        <w:ind w:left="6683" w:hanging="836"/>
      </w:pPr>
      <w:rPr>
        <w:rFonts w:hint="default"/>
        <w:lang w:val="en-US" w:eastAsia="zh-CN" w:bidi="ar-SA"/>
      </w:rPr>
    </w:lvl>
    <w:lvl w:ilvl="7">
      <w:start w:val="0"/>
      <w:numFmt w:val="bullet"/>
      <w:lvlText w:val="•"/>
      <w:lvlJc w:val="left"/>
      <w:pPr>
        <w:ind w:left="7564" w:hanging="836"/>
      </w:pPr>
      <w:rPr>
        <w:rFonts w:hint="default"/>
        <w:lang w:val="en-US" w:eastAsia="zh-CN" w:bidi="ar-SA"/>
      </w:rPr>
    </w:lvl>
    <w:lvl w:ilvl="8">
      <w:start w:val="0"/>
      <w:numFmt w:val="bullet"/>
      <w:lvlText w:val="•"/>
      <w:lvlJc w:val="left"/>
      <w:pPr>
        <w:ind w:left="8445" w:hanging="836"/>
      </w:pPr>
      <w:rPr>
        <w:rFonts w:hint="default"/>
        <w:lang w:val="en-US" w:eastAsia="zh-CN" w:bidi="ar-SA"/>
      </w:rPr>
    </w:lvl>
  </w:abstractNum>
  <w:abstractNum w:abstractNumId="4">
    <w:multiLevelType w:val="hybridMultilevel"/>
    <w:lvl w:ilvl="0">
      <w:start w:val="2"/>
      <w:numFmt w:val="decimal"/>
      <w:lvlText w:val="%1"/>
      <w:lvlJc w:val="left"/>
      <w:pPr>
        <w:ind w:left="1142" w:hanging="720"/>
        <w:jc w:val="left"/>
      </w:pPr>
      <w:rPr>
        <w:rFonts w:hint="default"/>
        <w:lang w:val="en-US" w:eastAsia="zh-CN" w:bidi="ar-SA"/>
      </w:rPr>
    </w:lvl>
    <w:lvl w:ilvl="1">
      <w:start w:val="5"/>
      <w:numFmt w:val="decimal"/>
      <w:lvlText w:val="%1.%2"/>
      <w:lvlJc w:val="left"/>
      <w:pPr>
        <w:ind w:left="1142" w:hanging="720"/>
        <w:jc w:val="left"/>
      </w:pPr>
      <w:rPr>
        <w:rFonts w:hint="default"/>
        <w:lang w:val="en-US" w:eastAsia="zh-CN" w:bidi="ar-SA"/>
      </w:rPr>
    </w:lvl>
    <w:lvl w:ilvl="2">
      <w:start w:val="1"/>
      <w:numFmt w:val="decimal"/>
      <w:lvlText w:val="%1.%2.%3"/>
      <w:lvlJc w:val="left"/>
      <w:pPr>
        <w:ind w:left="1142" w:hanging="720"/>
        <w:jc w:val="left"/>
      </w:pPr>
      <w:rPr>
        <w:rFonts w:hint="default" w:ascii="Times New Roman" w:hAnsi="Times New Roman" w:eastAsia="Times New Roman" w:cs="Times New Roman"/>
        <w:b/>
        <w:bCs/>
        <w:i w:val="0"/>
        <w:iCs w:val="0"/>
        <w:w w:val="100"/>
        <w:sz w:val="21"/>
        <w:szCs w:val="21"/>
        <w:lang w:val="en-US" w:eastAsia="zh-CN" w:bidi="ar-SA"/>
      </w:rPr>
    </w:lvl>
    <w:lvl w:ilvl="3">
      <w:start w:val="1"/>
      <w:numFmt w:val="decimal"/>
      <w:lvlText w:val="%4."/>
      <w:lvlJc w:val="left"/>
      <w:pPr>
        <w:ind w:left="1970" w:hanging="372"/>
        <w:jc w:val="left"/>
      </w:pPr>
      <w:rPr>
        <w:rFonts w:hint="default" w:ascii="Times New Roman" w:hAnsi="Times New Roman" w:eastAsia="Times New Roman" w:cs="Times New Roman"/>
        <w:b w:val="0"/>
        <w:bCs w:val="0"/>
        <w:i w:val="0"/>
        <w:iCs w:val="0"/>
        <w:w w:val="100"/>
        <w:sz w:val="21"/>
        <w:szCs w:val="21"/>
        <w:lang w:val="en-US" w:eastAsia="zh-CN" w:bidi="ar-SA"/>
      </w:rPr>
    </w:lvl>
    <w:lvl w:ilvl="4">
      <w:start w:val="0"/>
      <w:numFmt w:val="bullet"/>
      <w:lvlText w:val="•"/>
      <w:lvlJc w:val="left"/>
      <w:pPr>
        <w:ind w:left="4722" w:hanging="372"/>
      </w:pPr>
      <w:rPr>
        <w:rFonts w:hint="default"/>
        <w:lang w:val="en-US" w:eastAsia="zh-CN" w:bidi="ar-SA"/>
      </w:rPr>
    </w:lvl>
    <w:lvl w:ilvl="5">
      <w:start w:val="0"/>
      <w:numFmt w:val="bullet"/>
      <w:lvlText w:val="•"/>
      <w:lvlJc w:val="left"/>
      <w:pPr>
        <w:ind w:left="5636" w:hanging="372"/>
      </w:pPr>
      <w:rPr>
        <w:rFonts w:hint="default"/>
        <w:lang w:val="en-US" w:eastAsia="zh-CN" w:bidi="ar-SA"/>
      </w:rPr>
    </w:lvl>
    <w:lvl w:ilvl="6">
      <w:start w:val="0"/>
      <w:numFmt w:val="bullet"/>
      <w:lvlText w:val="•"/>
      <w:lvlJc w:val="left"/>
      <w:pPr>
        <w:ind w:left="6550" w:hanging="372"/>
      </w:pPr>
      <w:rPr>
        <w:rFonts w:hint="default"/>
        <w:lang w:val="en-US" w:eastAsia="zh-CN" w:bidi="ar-SA"/>
      </w:rPr>
    </w:lvl>
    <w:lvl w:ilvl="7">
      <w:start w:val="0"/>
      <w:numFmt w:val="bullet"/>
      <w:lvlText w:val="•"/>
      <w:lvlJc w:val="left"/>
      <w:pPr>
        <w:ind w:left="7464" w:hanging="372"/>
      </w:pPr>
      <w:rPr>
        <w:rFonts w:hint="default"/>
        <w:lang w:val="en-US" w:eastAsia="zh-CN" w:bidi="ar-SA"/>
      </w:rPr>
    </w:lvl>
    <w:lvl w:ilvl="8">
      <w:start w:val="0"/>
      <w:numFmt w:val="bullet"/>
      <w:lvlText w:val="•"/>
      <w:lvlJc w:val="left"/>
      <w:pPr>
        <w:ind w:left="8378" w:hanging="372"/>
      </w:pPr>
      <w:rPr>
        <w:rFonts w:hint="default"/>
        <w:lang w:val="en-US" w:eastAsia="zh-CN" w:bidi="ar-SA"/>
      </w:rPr>
    </w:lvl>
  </w:abstractNum>
  <w:abstractNum w:abstractNumId="3">
    <w:multiLevelType w:val="hybridMultilevel"/>
    <w:lvl w:ilvl="0">
      <w:start w:val="1"/>
      <w:numFmt w:val="decimal"/>
      <w:lvlText w:val="%1."/>
      <w:lvlJc w:val="left"/>
      <w:pPr>
        <w:ind w:left="1982" w:hanging="372"/>
        <w:jc w:val="left"/>
      </w:pPr>
      <w:rPr>
        <w:rFonts w:hint="default" w:ascii="Times New Roman" w:hAnsi="Times New Roman" w:eastAsia="Times New Roman" w:cs="Times New Roman"/>
        <w:b w:val="0"/>
        <w:bCs w:val="0"/>
        <w:i w:val="0"/>
        <w:iCs w:val="0"/>
        <w:w w:val="100"/>
        <w:sz w:val="21"/>
        <w:szCs w:val="21"/>
        <w:lang w:val="en-US" w:eastAsia="zh-CN" w:bidi="ar-SA"/>
      </w:rPr>
    </w:lvl>
    <w:lvl w:ilvl="1">
      <w:start w:val="0"/>
      <w:numFmt w:val="bullet"/>
      <w:lvlText w:val="•"/>
      <w:lvlJc w:val="left"/>
      <w:pPr>
        <w:ind w:left="2802" w:hanging="372"/>
      </w:pPr>
      <w:rPr>
        <w:rFonts w:hint="default"/>
        <w:lang w:val="en-US" w:eastAsia="zh-CN" w:bidi="ar-SA"/>
      </w:rPr>
    </w:lvl>
    <w:lvl w:ilvl="2">
      <w:start w:val="0"/>
      <w:numFmt w:val="bullet"/>
      <w:lvlText w:val="•"/>
      <w:lvlJc w:val="left"/>
      <w:pPr>
        <w:ind w:left="3625" w:hanging="372"/>
      </w:pPr>
      <w:rPr>
        <w:rFonts w:hint="default"/>
        <w:lang w:val="en-US" w:eastAsia="zh-CN" w:bidi="ar-SA"/>
      </w:rPr>
    </w:lvl>
    <w:lvl w:ilvl="3">
      <w:start w:val="0"/>
      <w:numFmt w:val="bullet"/>
      <w:lvlText w:val="•"/>
      <w:lvlJc w:val="left"/>
      <w:pPr>
        <w:ind w:left="4447" w:hanging="372"/>
      </w:pPr>
      <w:rPr>
        <w:rFonts w:hint="default"/>
        <w:lang w:val="en-US" w:eastAsia="zh-CN" w:bidi="ar-SA"/>
      </w:rPr>
    </w:lvl>
    <w:lvl w:ilvl="4">
      <w:start w:val="0"/>
      <w:numFmt w:val="bullet"/>
      <w:lvlText w:val="•"/>
      <w:lvlJc w:val="left"/>
      <w:pPr>
        <w:ind w:left="5270" w:hanging="372"/>
      </w:pPr>
      <w:rPr>
        <w:rFonts w:hint="default"/>
        <w:lang w:val="en-US" w:eastAsia="zh-CN" w:bidi="ar-SA"/>
      </w:rPr>
    </w:lvl>
    <w:lvl w:ilvl="5">
      <w:start w:val="0"/>
      <w:numFmt w:val="bullet"/>
      <w:lvlText w:val="•"/>
      <w:lvlJc w:val="left"/>
      <w:pPr>
        <w:ind w:left="6093" w:hanging="372"/>
      </w:pPr>
      <w:rPr>
        <w:rFonts w:hint="default"/>
        <w:lang w:val="en-US" w:eastAsia="zh-CN" w:bidi="ar-SA"/>
      </w:rPr>
    </w:lvl>
    <w:lvl w:ilvl="6">
      <w:start w:val="0"/>
      <w:numFmt w:val="bullet"/>
      <w:lvlText w:val="•"/>
      <w:lvlJc w:val="left"/>
      <w:pPr>
        <w:ind w:left="6915" w:hanging="372"/>
      </w:pPr>
      <w:rPr>
        <w:rFonts w:hint="default"/>
        <w:lang w:val="en-US" w:eastAsia="zh-CN" w:bidi="ar-SA"/>
      </w:rPr>
    </w:lvl>
    <w:lvl w:ilvl="7">
      <w:start w:val="0"/>
      <w:numFmt w:val="bullet"/>
      <w:lvlText w:val="•"/>
      <w:lvlJc w:val="left"/>
      <w:pPr>
        <w:ind w:left="7738" w:hanging="372"/>
      </w:pPr>
      <w:rPr>
        <w:rFonts w:hint="default"/>
        <w:lang w:val="en-US" w:eastAsia="zh-CN" w:bidi="ar-SA"/>
      </w:rPr>
    </w:lvl>
    <w:lvl w:ilvl="8">
      <w:start w:val="0"/>
      <w:numFmt w:val="bullet"/>
      <w:lvlText w:val="•"/>
      <w:lvlJc w:val="left"/>
      <w:pPr>
        <w:ind w:left="8561" w:hanging="372"/>
      </w:pPr>
      <w:rPr>
        <w:rFonts w:hint="default"/>
        <w:lang w:val="en-US" w:eastAsia="zh-CN" w:bidi="ar-SA"/>
      </w:rPr>
    </w:lvl>
  </w:abstractNum>
  <w:abstractNum w:abstractNumId="2">
    <w:multiLevelType w:val="hybridMultilevel"/>
    <w:lvl w:ilvl="0">
      <w:start w:val="1"/>
      <w:numFmt w:val="decimal"/>
      <w:lvlText w:val="%1"/>
      <w:lvlJc w:val="left"/>
      <w:pPr>
        <w:ind w:left="570" w:hanging="432"/>
        <w:jc w:val="left"/>
      </w:pPr>
      <w:rPr>
        <w:rFonts w:hint="default" w:ascii="Times New Roman" w:hAnsi="Times New Roman" w:eastAsia="Times New Roman" w:cs="Times New Roman"/>
        <w:b/>
        <w:bCs/>
        <w:i w:val="0"/>
        <w:iCs w:val="0"/>
        <w:w w:val="100"/>
        <w:sz w:val="24"/>
        <w:szCs w:val="24"/>
        <w:lang w:val="en-US" w:eastAsia="zh-CN" w:bidi="ar-SA"/>
      </w:rPr>
    </w:lvl>
    <w:lvl w:ilvl="1">
      <w:start w:val="1"/>
      <w:numFmt w:val="decimal"/>
      <w:lvlText w:val="%1.%2"/>
      <w:lvlJc w:val="left"/>
      <w:pPr>
        <w:ind w:left="714" w:hanging="576"/>
        <w:jc w:val="left"/>
      </w:pPr>
      <w:rPr>
        <w:rFonts w:hint="default" w:ascii="Times New Roman" w:hAnsi="Times New Roman" w:eastAsia="Times New Roman" w:cs="Times New Roman"/>
        <w:b/>
        <w:bCs/>
        <w:i w:val="0"/>
        <w:iCs w:val="0"/>
        <w:w w:val="100"/>
        <w:sz w:val="21"/>
        <w:szCs w:val="21"/>
        <w:lang w:val="en-US" w:eastAsia="zh-CN" w:bidi="ar-SA"/>
      </w:rPr>
    </w:lvl>
    <w:lvl w:ilvl="2">
      <w:start w:val="1"/>
      <w:numFmt w:val="decimal"/>
      <w:lvlText w:val="%3."/>
      <w:lvlJc w:val="left"/>
      <w:pPr>
        <w:ind w:left="1970" w:hanging="360"/>
        <w:jc w:val="left"/>
      </w:pPr>
      <w:rPr>
        <w:rFonts w:hint="default"/>
        <w:w w:val="100"/>
        <w:lang w:val="en-US" w:eastAsia="zh-CN" w:bidi="ar-SA"/>
      </w:rPr>
    </w:lvl>
    <w:lvl w:ilvl="3">
      <w:start w:val="0"/>
      <w:numFmt w:val="bullet"/>
      <w:lvlText w:val="•"/>
      <w:lvlJc w:val="left"/>
      <w:pPr>
        <w:ind w:left="3008" w:hanging="360"/>
      </w:pPr>
      <w:rPr>
        <w:rFonts w:hint="default"/>
        <w:lang w:val="en-US" w:eastAsia="zh-CN" w:bidi="ar-SA"/>
      </w:rPr>
    </w:lvl>
    <w:lvl w:ilvl="4">
      <w:start w:val="0"/>
      <w:numFmt w:val="bullet"/>
      <w:lvlText w:val="•"/>
      <w:lvlJc w:val="left"/>
      <w:pPr>
        <w:ind w:left="4036" w:hanging="360"/>
      </w:pPr>
      <w:rPr>
        <w:rFonts w:hint="default"/>
        <w:lang w:val="en-US" w:eastAsia="zh-CN" w:bidi="ar-SA"/>
      </w:rPr>
    </w:lvl>
    <w:lvl w:ilvl="5">
      <w:start w:val="0"/>
      <w:numFmt w:val="bullet"/>
      <w:lvlText w:val="•"/>
      <w:lvlJc w:val="left"/>
      <w:pPr>
        <w:ind w:left="5064" w:hanging="360"/>
      </w:pPr>
      <w:rPr>
        <w:rFonts w:hint="default"/>
        <w:lang w:val="en-US" w:eastAsia="zh-CN" w:bidi="ar-SA"/>
      </w:rPr>
    </w:lvl>
    <w:lvl w:ilvl="6">
      <w:start w:val="0"/>
      <w:numFmt w:val="bullet"/>
      <w:lvlText w:val="•"/>
      <w:lvlJc w:val="left"/>
      <w:pPr>
        <w:ind w:left="6093" w:hanging="360"/>
      </w:pPr>
      <w:rPr>
        <w:rFonts w:hint="default"/>
        <w:lang w:val="en-US" w:eastAsia="zh-CN" w:bidi="ar-SA"/>
      </w:rPr>
    </w:lvl>
    <w:lvl w:ilvl="7">
      <w:start w:val="0"/>
      <w:numFmt w:val="bullet"/>
      <w:lvlText w:val="•"/>
      <w:lvlJc w:val="left"/>
      <w:pPr>
        <w:ind w:left="7121" w:hanging="360"/>
      </w:pPr>
      <w:rPr>
        <w:rFonts w:hint="default"/>
        <w:lang w:val="en-US" w:eastAsia="zh-CN" w:bidi="ar-SA"/>
      </w:rPr>
    </w:lvl>
    <w:lvl w:ilvl="8">
      <w:start w:val="0"/>
      <w:numFmt w:val="bullet"/>
      <w:lvlText w:val="•"/>
      <w:lvlJc w:val="left"/>
      <w:pPr>
        <w:ind w:left="8149" w:hanging="360"/>
      </w:pPr>
      <w:rPr>
        <w:rFonts w:hint="default"/>
        <w:lang w:val="en-US" w:eastAsia="zh-CN" w:bidi="ar-SA"/>
      </w:rPr>
    </w:lvl>
  </w:abstractNum>
  <w:abstractNum w:abstractNumId="1">
    <w:multiLevelType w:val="hybridMultilevel"/>
    <w:lvl w:ilvl="0">
      <w:start w:val="1"/>
      <w:numFmt w:val="decimal"/>
      <w:lvlText w:val="%1"/>
      <w:lvlJc w:val="left"/>
      <w:pPr>
        <w:ind w:left="566" w:hanging="428"/>
        <w:jc w:val="right"/>
      </w:pPr>
      <w:rPr>
        <w:rFonts w:hint="default" w:ascii="Times New Roman" w:hAnsi="Times New Roman" w:eastAsia="Times New Roman" w:cs="Times New Roman"/>
        <w:b/>
        <w:bCs/>
        <w:i w:val="0"/>
        <w:iCs w:val="0"/>
        <w:w w:val="100"/>
        <w:sz w:val="21"/>
        <w:szCs w:val="21"/>
        <w:lang w:val="en-US" w:eastAsia="zh-CN" w:bidi="ar-SA"/>
      </w:rPr>
    </w:lvl>
    <w:lvl w:ilvl="1">
      <w:start w:val="1"/>
      <w:numFmt w:val="decimal"/>
      <w:lvlText w:val="%1.%2"/>
      <w:lvlJc w:val="left"/>
      <w:pPr>
        <w:ind w:left="736" w:hanging="420"/>
        <w:jc w:val="left"/>
      </w:pPr>
      <w:rPr>
        <w:rFonts w:hint="default" w:ascii="Times New Roman" w:hAnsi="Times New Roman" w:eastAsia="Times New Roman" w:cs="Times New Roman"/>
        <w:b w:val="0"/>
        <w:bCs w:val="0"/>
        <w:i w:val="0"/>
        <w:iCs w:val="0"/>
        <w:w w:val="100"/>
        <w:sz w:val="21"/>
        <w:szCs w:val="21"/>
        <w:lang w:val="en-US" w:eastAsia="zh-CN" w:bidi="ar-SA"/>
      </w:rPr>
    </w:lvl>
    <w:lvl w:ilvl="2">
      <w:start w:val="0"/>
      <w:numFmt w:val="bullet"/>
      <w:lvlText w:val="•"/>
      <w:lvlJc w:val="left"/>
      <w:pPr>
        <w:ind w:left="740" w:hanging="420"/>
      </w:pPr>
      <w:rPr>
        <w:rFonts w:hint="default"/>
        <w:lang w:val="en-US" w:eastAsia="zh-CN" w:bidi="ar-SA"/>
      </w:rPr>
    </w:lvl>
    <w:lvl w:ilvl="3">
      <w:start w:val="0"/>
      <w:numFmt w:val="bullet"/>
      <w:lvlText w:val="•"/>
      <w:lvlJc w:val="left"/>
      <w:pPr>
        <w:ind w:left="840" w:hanging="420"/>
      </w:pPr>
      <w:rPr>
        <w:rFonts w:hint="default"/>
        <w:lang w:val="en-US" w:eastAsia="zh-CN" w:bidi="ar-SA"/>
      </w:rPr>
    </w:lvl>
    <w:lvl w:ilvl="4">
      <w:start w:val="0"/>
      <w:numFmt w:val="bullet"/>
      <w:lvlText w:val="•"/>
      <w:lvlJc w:val="left"/>
      <w:pPr>
        <w:ind w:left="203" w:hanging="420"/>
      </w:pPr>
      <w:rPr>
        <w:rFonts w:hint="default"/>
        <w:lang w:val="en-US" w:eastAsia="zh-CN" w:bidi="ar-SA"/>
      </w:rPr>
    </w:lvl>
    <w:lvl w:ilvl="5">
      <w:start w:val="0"/>
      <w:numFmt w:val="bullet"/>
      <w:lvlText w:val="•"/>
      <w:lvlJc w:val="left"/>
      <w:pPr>
        <w:ind w:left="-433" w:hanging="420"/>
      </w:pPr>
      <w:rPr>
        <w:rFonts w:hint="default"/>
        <w:lang w:val="en-US" w:eastAsia="zh-CN" w:bidi="ar-SA"/>
      </w:rPr>
    </w:lvl>
    <w:lvl w:ilvl="6">
      <w:start w:val="0"/>
      <w:numFmt w:val="bullet"/>
      <w:lvlText w:val="•"/>
      <w:lvlJc w:val="left"/>
      <w:pPr>
        <w:ind w:left="-1069" w:hanging="420"/>
      </w:pPr>
      <w:rPr>
        <w:rFonts w:hint="default"/>
        <w:lang w:val="en-US" w:eastAsia="zh-CN" w:bidi="ar-SA"/>
      </w:rPr>
    </w:lvl>
    <w:lvl w:ilvl="7">
      <w:start w:val="0"/>
      <w:numFmt w:val="bullet"/>
      <w:lvlText w:val="•"/>
      <w:lvlJc w:val="left"/>
      <w:pPr>
        <w:ind w:left="-1706" w:hanging="420"/>
      </w:pPr>
      <w:rPr>
        <w:rFonts w:hint="default"/>
        <w:lang w:val="en-US" w:eastAsia="zh-CN" w:bidi="ar-SA"/>
      </w:rPr>
    </w:lvl>
    <w:lvl w:ilvl="8">
      <w:start w:val="0"/>
      <w:numFmt w:val="bullet"/>
      <w:lvlText w:val="•"/>
      <w:lvlJc w:val="left"/>
      <w:pPr>
        <w:ind w:left="-2342" w:hanging="420"/>
      </w:pPr>
      <w:rPr>
        <w:rFonts w:hint="default"/>
        <w:lang w:val="en-US" w:eastAsia="zh-CN" w:bidi="ar-SA"/>
      </w:rPr>
    </w:lvl>
  </w:abstractNum>
  <w:abstractNum w:abstractNumId="0">
    <w:multiLevelType w:val="hybridMultilevel"/>
    <w:lvl w:ilvl="0">
      <w:start w:val="0"/>
      <w:numFmt w:val="bullet"/>
      <w:lvlText w:val=""/>
      <w:lvlJc w:val="left"/>
      <w:pPr>
        <w:ind w:left="486" w:hanging="348"/>
      </w:pPr>
      <w:rPr>
        <w:rFonts w:hint="default" w:ascii="Wingdings" w:hAnsi="Wingdings" w:eastAsia="Wingdings" w:cs="Wingdings"/>
        <w:b/>
        <w:bCs/>
        <w:i w:val="0"/>
        <w:iCs w:val="0"/>
        <w:w w:val="99"/>
        <w:sz w:val="24"/>
        <w:szCs w:val="24"/>
        <w:lang w:val="en-US" w:eastAsia="zh-CN" w:bidi="ar-SA"/>
      </w:rPr>
    </w:lvl>
    <w:lvl w:ilvl="1">
      <w:start w:val="0"/>
      <w:numFmt w:val="bullet"/>
      <w:lvlText w:val="•"/>
      <w:lvlJc w:val="left"/>
      <w:pPr>
        <w:ind w:left="1452" w:hanging="348"/>
      </w:pPr>
      <w:rPr>
        <w:rFonts w:hint="default"/>
        <w:lang w:val="en-US" w:eastAsia="zh-CN" w:bidi="ar-SA"/>
      </w:rPr>
    </w:lvl>
    <w:lvl w:ilvl="2">
      <w:start w:val="0"/>
      <w:numFmt w:val="bullet"/>
      <w:lvlText w:val="•"/>
      <w:lvlJc w:val="left"/>
      <w:pPr>
        <w:ind w:left="2425" w:hanging="348"/>
      </w:pPr>
      <w:rPr>
        <w:rFonts w:hint="default"/>
        <w:lang w:val="en-US" w:eastAsia="zh-CN" w:bidi="ar-SA"/>
      </w:rPr>
    </w:lvl>
    <w:lvl w:ilvl="3">
      <w:start w:val="0"/>
      <w:numFmt w:val="bullet"/>
      <w:lvlText w:val="•"/>
      <w:lvlJc w:val="left"/>
      <w:pPr>
        <w:ind w:left="3397" w:hanging="348"/>
      </w:pPr>
      <w:rPr>
        <w:rFonts w:hint="default"/>
        <w:lang w:val="en-US" w:eastAsia="zh-CN" w:bidi="ar-SA"/>
      </w:rPr>
    </w:lvl>
    <w:lvl w:ilvl="4">
      <w:start w:val="0"/>
      <w:numFmt w:val="bullet"/>
      <w:lvlText w:val="•"/>
      <w:lvlJc w:val="left"/>
      <w:pPr>
        <w:ind w:left="4370" w:hanging="348"/>
      </w:pPr>
      <w:rPr>
        <w:rFonts w:hint="default"/>
        <w:lang w:val="en-US" w:eastAsia="zh-CN" w:bidi="ar-SA"/>
      </w:rPr>
    </w:lvl>
    <w:lvl w:ilvl="5">
      <w:start w:val="0"/>
      <w:numFmt w:val="bullet"/>
      <w:lvlText w:val="•"/>
      <w:lvlJc w:val="left"/>
      <w:pPr>
        <w:ind w:left="5343" w:hanging="348"/>
      </w:pPr>
      <w:rPr>
        <w:rFonts w:hint="default"/>
        <w:lang w:val="en-US" w:eastAsia="zh-CN" w:bidi="ar-SA"/>
      </w:rPr>
    </w:lvl>
    <w:lvl w:ilvl="6">
      <w:start w:val="0"/>
      <w:numFmt w:val="bullet"/>
      <w:lvlText w:val="•"/>
      <w:lvlJc w:val="left"/>
      <w:pPr>
        <w:ind w:left="6315" w:hanging="348"/>
      </w:pPr>
      <w:rPr>
        <w:rFonts w:hint="default"/>
        <w:lang w:val="en-US" w:eastAsia="zh-CN" w:bidi="ar-SA"/>
      </w:rPr>
    </w:lvl>
    <w:lvl w:ilvl="7">
      <w:start w:val="0"/>
      <w:numFmt w:val="bullet"/>
      <w:lvlText w:val="•"/>
      <w:lvlJc w:val="left"/>
      <w:pPr>
        <w:ind w:left="7288" w:hanging="348"/>
      </w:pPr>
      <w:rPr>
        <w:rFonts w:hint="default"/>
        <w:lang w:val="en-US" w:eastAsia="zh-CN" w:bidi="ar-SA"/>
      </w:rPr>
    </w:lvl>
    <w:lvl w:ilvl="8">
      <w:start w:val="0"/>
      <w:numFmt w:val="bullet"/>
      <w:lvlText w:val="•"/>
      <w:lvlJc w:val="left"/>
      <w:pPr>
        <w:ind w:left="8261" w:hanging="348"/>
      </w:pPr>
      <w:rPr>
        <w:rFonts w:hint="default"/>
        <w:lang w:val="en-US" w:eastAsia="zh-CN" w:bidi="ar-SA"/>
      </w:rPr>
    </w:lvl>
  </w:abstractNum>
  <w:num w:numId="26">
    <w:abstractNumId w:val="25"/>
  </w:num>
  <w:num w:numId="25">
    <w:abstractNumId w:val="24"/>
  </w:num>
  <w:num w:numId="24">
    <w:abstractNumId w:val="23"/>
  </w:num>
  <w:num w:numId="23">
    <w:abstractNumId w:val="22"/>
  </w:num>
  <w:num w:numId="22">
    <w:abstractNumId w:val="21"/>
  </w:num>
  <w:num w:numId="21">
    <w:abstractNumId w:val="20"/>
  </w:num>
  <w:num w:numId="20">
    <w:abstractNumId w:val="19"/>
  </w:num>
  <w:num w:numId="19">
    <w:abstractNumId w:val="18"/>
  </w:num>
  <w:num w:numId="18">
    <w:abstractNumId w:val="17"/>
  </w:num>
  <w:num w:numId="17">
    <w:abstractNumId w:val="16"/>
  </w:num>
  <w:num w:numId="16">
    <w:abstractNumId w:val="15"/>
  </w:num>
  <w:num w:numId="15">
    <w:abstractNumId w:val="14"/>
  </w:num>
  <w:num w:numId="14">
    <w:abstractNumId w:val="13"/>
  </w:num>
  <w:num w:numId="13">
    <w:abstractNumId w:val="12"/>
  </w:num>
  <w:num w:numId="12">
    <w:abstractNumId w:val="11"/>
  </w:num>
  <w:num w:numId="11">
    <w:abstractNumId w:val="10"/>
  </w:num>
  <w:num w:numId="10">
    <w:abstractNumId w:val="9"/>
  </w:num>
  <w:num w:numId="9">
    <w:abstractNumId w:val="8"/>
  </w:num>
  <w:num w:numId="8">
    <w:abstractNumId w:val="7"/>
  </w:num>
  <w:num w:numId="7">
    <w:abstractNumId w:val="6"/>
  </w:num>
  <w:num w:numId="6">
    <w:abstractNumId w:val="5"/>
  </w:num>
  <w:num w:numId="5">
    <w:abstractNumId w:val="4"/>
  </w:num>
  <w:num w:numId="4">
    <w:abstractNumId w:val="3"/>
  </w:num>
  <w:num w:numId="3">
    <w:abstractNumId w:val="2"/>
  </w: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宋体" w:hAnsi="宋体" w:eastAsia="宋体" w:cs="宋体"/>
      <w:lang w:val="en-US" w:eastAsia="zh-CN" w:bidi="ar-SA"/>
    </w:rPr>
  </w:style>
  <w:style w:styleId="BodyText" w:type="paragraph">
    <w:name w:val="Body Text"/>
    <w:basedOn w:val="Normal"/>
    <w:uiPriority w:val="1"/>
    <w:qFormat/>
    <w:pPr>
      <w:spacing w:before="7"/>
    </w:pPr>
    <w:rPr>
      <w:rFonts w:ascii="宋体" w:hAnsi="宋体" w:eastAsia="宋体" w:cs="宋体"/>
      <w:sz w:val="21"/>
      <w:szCs w:val="21"/>
      <w:lang w:val="en-US" w:eastAsia="zh-CN" w:bidi="ar-SA"/>
    </w:rPr>
  </w:style>
  <w:style w:styleId="Heading1" w:type="paragraph">
    <w:name w:val="Heading 1"/>
    <w:basedOn w:val="Normal"/>
    <w:uiPriority w:val="1"/>
    <w:qFormat/>
    <w:pPr>
      <w:ind w:left="570" w:hanging="433"/>
      <w:outlineLvl w:val="1"/>
    </w:pPr>
    <w:rPr>
      <w:rFonts w:ascii="宋体" w:hAnsi="宋体" w:eastAsia="宋体" w:cs="宋体"/>
      <w:b/>
      <w:bCs/>
      <w:sz w:val="24"/>
      <w:szCs w:val="24"/>
      <w:lang w:val="en-US" w:eastAsia="zh-CN" w:bidi="ar-SA"/>
    </w:rPr>
  </w:style>
  <w:style w:styleId="Title" w:type="paragraph">
    <w:name w:val="Title"/>
    <w:basedOn w:val="Normal"/>
    <w:uiPriority w:val="1"/>
    <w:qFormat/>
    <w:pPr>
      <w:spacing w:before="26"/>
      <w:ind w:left="890"/>
    </w:pPr>
    <w:rPr>
      <w:rFonts w:ascii="华文中宋" w:hAnsi="华文中宋" w:eastAsia="华文中宋" w:cs="华文中宋"/>
      <w:b/>
      <w:bCs/>
      <w:sz w:val="36"/>
      <w:szCs w:val="36"/>
      <w:lang w:val="en-US" w:eastAsia="zh-CN" w:bidi="ar-SA"/>
    </w:rPr>
  </w:style>
  <w:style w:styleId="ListParagraph" w:type="paragraph">
    <w:name w:val="List Paragraph"/>
    <w:basedOn w:val="Normal"/>
    <w:uiPriority w:val="1"/>
    <w:qFormat/>
    <w:pPr>
      <w:ind w:left="1970" w:hanging="360"/>
    </w:pPr>
    <w:rPr>
      <w:rFonts w:ascii="宋体" w:hAnsi="宋体" w:eastAsia="宋体" w:cs="宋体"/>
      <w:lang w:val="en-US" w:eastAsia="zh-CN" w:bidi="ar-SA"/>
    </w:rPr>
  </w:style>
  <w:style w:styleId="TableParagraph" w:type="paragraph">
    <w:name w:val="Table Paragraph"/>
    <w:basedOn w:val="Normal"/>
    <w:uiPriority w:val="1"/>
    <w:qFormat/>
    <w:pPr>
      <w:spacing w:before="22"/>
      <w:ind w:left="107"/>
    </w:pPr>
    <w:rPr>
      <w:rFonts w:ascii="Times New Roman" w:hAnsi="Times New Roman" w:eastAsia="Times New Roman" w:cs="Times New Roman"/>
      <w:lang w:val="en-US" w:eastAsia="zh-CN"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image" Target="media/image1.png"/><Relationship Id="rId6" Type="http://schemas.openxmlformats.org/officeDocument/2006/relationships/image" Target="media/image2.png"/><Relationship Id="rId7" Type="http://schemas.openxmlformats.org/officeDocument/2006/relationships/image" Target="media/image3.png"/><Relationship Id="rId8" Type="http://schemas.openxmlformats.org/officeDocument/2006/relationships/image" Target="media/image4.png"/><Relationship Id="rId9" Type="http://schemas.openxmlformats.org/officeDocument/2006/relationships/image" Target="media/image5.png"/><Relationship Id="rId10" Type="http://schemas.openxmlformats.org/officeDocument/2006/relationships/image" Target="media/image6.png"/><Relationship Id="rId11" Type="http://schemas.openxmlformats.org/officeDocument/2006/relationships/image" Target="media/image7.png"/><Relationship Id="rId1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2023-06-02T05:57:10Z</dcterms:created>
  <dcterms:modified xsi:type="dcterms:W3CDTF">2023-06-02T05:57:10Z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2023-06-02T00:00:00Z</vt:filetime>
  </property>
  <property fmtid="{D5CDD505-2E9C-101B-9397-08002B2CF9AE}" pid="3" name="Creator">
    <vt:lpwstr>Aspose Ltd.</vt:lpwstr>
  </property>
  <property fmtid="{D5CDD505-2E9C-101B-9397-08002B2CF9AE}" pid="4" name="LastSaved">
    <vt:filetime>2023-06-02T00:00:00Z</vt:filetime>
  </property>
</Properties>
</file>