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6"/>
        <w:ind w:left="0" w:right="108" w:firstLine="0"/>
        <w:jc w:val="right"/>
        <w:rPr>
          <w:sz w:val="16"/>
        </w:rPr>
      </w:pPr>
      <w:r>
        <w:rPr/>
        <w:drawing>
          <wp:anchor distT="0" distB="0" distL="0" distR="0" allowOverlap="1" layoutInCell="1" locked="0" behindDoc="0" simplePos="0" relativeHeight="15728640">
            <wp:simplePos x="0" y="0"/>
            <wp:positionH relativeFrom="page">
              <wp:posOffset>6205854</wp:posOffset>
            </wp:positionH>
            <wp:positionV relativeFrom="paragraph">
              <wp:posOffset>233426</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z w:val="16"/>
        </w:rPr>
        <w:t>君康人寿[2021]</w:t>
      </w:r>
      <w:r>
        <w:rPr>
          <w:spacing w:val="-6"/>
          <w:sz w:val="16"/>
        </w:rPr>
        <w:t>疾病保险 </w:t>
      </w:r>
      <w:r>
        <w:rPr>
          <w:sz w:val="16"/>
        </w:rPr>
        <w:t>005</w:t>
      </w:r>
      <w:r>
        <w:rPr>
          <w:spacing w:val="-19"/>
          <w:sz w:val="16"/>
        </w:rPr>
        <w:t> 号</w:t>
      </w:r>
    </w:p>
    <w:p>
      <w:pPr>
        <w:pStyle w:val="BodyText"/>
        <w:spacing w:before="0"/>
        <w:rPr>
          <w:sz w:val="20"/>
        </w:rPr>
      </w:pPr>
    </w:p>
    <w:p>
      <w:pPr>
        <w:pStyle w:val="BodyText"/>
        <w:spacing w:before="1"/>
        <w:rPr>
          <w:sz w:val="15"/>
        </w:rPr>
      </w:pPr>
    </w:p>
    <w:p>
      <w:pPr>
        <w:spacing w:after="0"/>
        <w:rPr>
          <w:sz w:val="15"/>
        </w:rPr>
        <w:sectPr>
          <w:type w:val="continuous"/>
          <w:pgSz w:w="11910" w:h="16840"/>
          <w:pgMar w:top="620" w:bottom="280" w:left="800" w:right="660"/>
        </w:sectPr>
      </w:pPr>
    </w:p>
    <w:p>
      <w:pPr>
        <w:spacing w:line="542" w:lineRule="exact" w:before="0"/>
        <w:ind w:left="2402" w:right="142" w:firstLine="0"/>
        <w:jc w:val="center"/>
        <w:rPr>
          <w:rFonts w:ascii="微软雅黑" w:eastAsia="微软雅黑"/>
          <w:b/>
          <w:sz w:val="32"/>
        </w:rPr>
      </w:pPr>
      <w:r>
        <w:rPr>
          <w:rFonts w:ascii="微软雅黑" w:eastAsia="微软雅黑"/>
          <w:b/>
          <w:w w:val="95"/>
          <w:sz w:val="32"/>
        </w:rPr>
        <w:t>君康</w:t>
      </w:r>
      <w:r>
        <w:rPr>
          <w:rFonts w:ascii="微软雅黑" w:eastAsia="微软雅黑"/>
          <w:b/>
          <w:w w:val="95"/>
          <w:sz w:val="32"/>
        </w:rPr>
        <w:t>多</w:t>
      </w:r>
      <w:r>
        <w:rPr>
          <w:rFonts w:ascii="微软雅黑" w:eastAsia="微软雅黑"/>
          <w:b/>
          <w:w w:val="95"/>
          <w:sz w:val="32"/>
        </w:rPr>
        <w:t>倍</w:t>
      </w:r>
      <w:r>
        <w:rPr>
          <w:rFonts w:ascii="微软雅黑" w:eastAsia="微软雅黑"/>
          <w:b/>
          <w:w w:val="95"/>
          <w:sz w:val="32"/>
        </w:rPr>
        <w:t>宝</w:t>
      </w:r>
      <w:r>
        <w:rPr>
          <w:rFonts w:ascii="微软雅黑" w:eastAsia="微软雅黑"/>
          <w:b/>
          <w:w w:val="95"/>
          <w:sz w:val="32"/>
        </w:rPr>
        <w:t>（臻</w:t>
      </w:r>
      <w:r>
        <w:rPr>
          <w:rFonts w:ascii="微软雅黑" w:eastAsia="微软雅黑"/>
          <w:b/>
          <w:w w:val="95"/>
          <w:sz w:val="32"/>
        </w:rPr>
        <w:t>享</w:t>
      </w:r>
      <w:r>
        <w:rPr>
          <w:rFonts w:ascii="微软雅黑" w:eastAsia="微软雅黑"/>
          <w:b/>
          <w:w w:val="95"/>
          <w:sz w:val="32"/>
        </w:rPr>
        <w:t>版</w:t>
      </w:r>
      <w:r>
        <w:rPr>
          <w:rFonts w:ascii="微软雅黑" w:eastAsia="微软雅黑"/>
          <w:b/>
          <w:w w:val="95"/>
          <w:sz w:val="32"/>
        </w:rPr>
        <w:t>）</w:t>
      </w:r>
      <w:r>
        <w:rPr>
          <w:rFonts w:ascii="微软雅黑" w:eastAsia="微软雅黑"/>
          <w:b/>
          <w:w w:val="95"/>
          <w:sz w:val="32"/>
        </w:rPr>
        <w:t>重</w:t>
      </w:r>
      <w:r>
        <w:rPr>
          <w:rFonts w:ascii="微软雅黑" w:eastAsia="微软雅黑"/>
          <w:b/>
          <w:w w:val="95"/>
          <w:sz w:val="32"/>
        </w:rPr>
        <w:t>大</w:t>
      </w:r>
      <w:r>
        <w:rPr>
          <w:rFonts w:ascii="微软雅黑" w:eastAsia="微软雅黑"/>
          <w:b/>
          <w:w w:val="95"/>
          <w:sz w:val="32"/>
        </w:rPr>
        <w:t>疾</w:t>
      </w:r>
      <w:r>
        <w:rPr>
          <w:rFonts w:ascii="微软雅黑" w:eastAsia="微软雅黑"/>
          <w:b/>
          <w:spacing w:val="-2"/>
          <w:w w:val="95"/>
          <w:sz w:val="32"/>
        </w:rPr>
        <w:t>病保险条款</w:t>
      </w:r>
    </w:p>
    <w:p>
      <w:pPr>
        <w:spacing w:before="34"/>
        <w:ind w:left="2402" w:right="142" w:firstLine="0"/>
        <w:jc w:val="center"/>
        <w:rPr>
          <w:rFonts w:ascii="微软雅黑" w:eastAsia="微软雅黑"/>
          <w:b/>
          <w:sz w:val="32"/>
        </w:rPr>
      </w:pPr>
      <w:r>
        <w:rPr>
          <w:rFonts w:ascii="微软雅黑" w:eastAsia="微软雅黑"/>
          <w:b/>
          <w:spacing w:val="24"/>
          <w:sz w:val="32"/>
        </w:rPr>
        <w:t>阅 读 指 引</w:t>
      </w:r>
    </w:p>
    <w:p>
      <w:pPr>
        <w:spacing w:line="240" w:lineRule="auto" w:before="0"/>
        <w:rPr>
          <w:rFonts w:ascii="微软雅黑"/>
          <w:b/>
          <w:sz w:val="14"/>
        </w:rPr>
      </w:pPr>
      <w:r>
        <w:rPr/>
        <w:br w:type="column"/>
      </w:r>
      <w:r>
        <w:rPr>
          <w:rFonts w:ascii="微软雅黑"/>
          <w:b/>
          <w:sz w:val="14"/>
        </w:rPr>
      </w:r>
    </w:p>
    <w:p>
      <w:pPr>
        <w:pStyle w:val="BodyText"/>
        <w:spacing w:before="0"/>
        <w:rPr>
          <w:rFonts w:ascii="微软雅黑"/>
          <w:b/>
          <w:sz w:val="14"/>
        </w:rPr>
      </w:pPr>
    </w:p>
    <w:p>
      <w:pPr>
        <w:pStyle w:val="BodyText"/>
        <w:spacing w:before="0"/>
        <w:rPr>
          <w:rFonts w:ascii="微软雅黑"/>
          <w:b/>
          <w:sz w:val="14"/>
        </w:rPr>
      </w:pPr>
    </w:p>
    <w:p>
      <w:pPr>
        <w:pStyle w:val="BodyText"/>
        <w:spacing w:before="7"/>
        <w:rPr>
          <w:rFonts w:ascii="微软雅黑"/>
          <w:b/>
          <w:sz w:val="7"/>
        </w:rPr>
      </w:pPr>
    </w:p>
    <w:p>
      <w:pPr>
        <w:spacing w:before="1"/>
        <w:ind w:left="639" w:right="0" w:firstLine="0"/>
        <w:jc w:val="left"/>
        <w:rPr>
          <w:sz w:val="15"/>
        </w:rPr>
      </w:pPr>
      <w:r>
        <w:rPr>
          <w:spacing w:val="-3"/>
          <w:sz w:val="15"/>
        </w:rPr>
        <w:t>请扫描以查询验证条款</w:t>
      </w:r>
    </w:p>
    <w:p>
      <w:pPr>
        <w:spacing w:after="0"/>
        <w:jc w:val="left"/>
        <w:rPr>
          <w:sz w:val="15"/>
        </w:rPr>
        <w:sectPr>
          <w:type w:val="continuous"/>
          <w:pgSz w:w="11910" w:h="16840"/>
          <w:pgMar w:top="620" w:bottom="280" w:left="800" w:right="660"/>
          <w:cols w:num="2" w:equalWidth="0">
            <w:col w:w="8046" w:space="40"/>
            <w:col w:w="2364"/>
          </w:cols>
        </w:sectPr>
      </w:pPr>
    </w:p>
    <w:p>
      <w:pPr>
        <w:pStyle w:val="BodyText"/>
        <w:spacing w:before="57"/>
        <w:ind w:left="844"/>
      </w:pPr>
      <w:r>
        <w:rPr/>
        <w:drawing>
          <wp:anchor distT="0" distB="0" distL="0" distR="0" allowOverlap="1" layoutInCell="1" locked="0" behindDoc="1" simplePos="0" relativeHeight="486156800">
            <wp:simplePos x="0" y="0"/>
            <wp:positionH relativeFrom="page">
              <wp:posOffset>559308</wp:posOffset>
            </wp:positionH>
            <wp:positionV relativeFrom="paragraph">
              <wp:posOffset>318897</wp:posOffset>
            </wp:positionV>
            <wp:extent cx="6510578" cy="8410397"/>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510578" cy="8410397"/>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50"/>
        </w:rPr>
        <w:t>有</w:t>
      </w:r>
      <w:r>
        <w:rPr>
          <w:spacing w:val="-63"/>
          <w:position w:val="-7"/>
        </w:rPr>
        <w:t>．</w:t>
      </w:r>
      <w:r>
        <w:rPr>
          <w:spacing w:val="-152"/>
        </w:rPr>
        <w:t>助</w:t>
      </w:r>
      <w:r>
        <w:rPr>
          <w:spacing w:val="-63"/>
          <w:position w:val="-7"/>
        </w:rPr>
        <w:t>．</w:t>
      </w:r>
      <w:r>
        <w:rPr>
          <w:spacing w:val="-150"/>
        </w:rPr>
        <w:t>于</w:t>
      </w:r>
      <w:r>
        <w:rPr>
          <w:spacing w:val="-63"/>
          <w:position w:val="-7"/>
        </w:rPr>
        <w:t>．</w:t>
      </w:r>
      <w:r>
        <w:rPr>
          <w:spacing w:val="-152"/>
        </w:rPr>
        <w:t>您</w:t>
      </w:r>
      <w:r>
        <w:rPr>
          <w:spacing w:val="-92"/>
          <w:position w:val="-7"/>
        </w:rPr>
        <w:t>．</w:t>
      </w:r>
      <w:r>
        <w:rPr>
          <w:spacing w:val="-92"/>
        </w:rPr>
        <w:t>（</w:t>
      </w:r>
      <w:r>
        <w:rPr>
          <w:spacing w:val="-92"/>
          <w:position w:val="-7"/>
        </w:rPr>
        <w:t>．</w:t>
      </w:r>
      <w:r>
        <w:rPr>
          <w:spacing w:val="-151"/>
        </w:rPr>
        <w:t>投</w:t>
      </w:r>
      <w:r>
        <w:rPr>
          <w:spacing w:val="-63"/>
          <w:position w:val="-7"/>
        </w:rPr>
        <w:t>．</w:t>
      </w:r>
      <w:r>
        <w:rPr>
          <w:spacing w:val="-149"/>
        </w:rPr>
        <w:t>保</w:t>
      </w:r>
      <w:r>
        <w:rPr>
          <w:spacing w:val="-63"/>
          <w:position w:val="-7"/>
        </w:rPr>
        <w:t>．</w:t>
      </w:r>
      <w:r>
        <w:rPr>
          <w:spacing w:val="-149"/>
        </w:rPr>
        <w:t>人</w:t>
      </w:r>
      <w:r>
        <w:rPr>
          <w:spacing w:val="-93"/>
          <w:position w:val="-7"/>
        </w:rPr>
        <w:t>．</w:t>
      </w:r>
      <w:r>
        <w:rPr>
          <w:spacing w:val="-93"/>
        </w:rPr>
        <w:t>，</w:t>
      </w:r>
      <w:r>
        <w:rPr>
          <w:spacing w:val="-93"/>
          <w:position w:val="-7"/>
        </w:rPr>
        <w:t>．</w:t>
      </w:r>
      <w:r>
        <w:rPr>
          <w:spacing w:val="-149"/>
        </w:rPr>
        <w:t>以</w:t>
      </w:r>
      <w:r>
        <w:rPr>
          <w:spacing w:val="-63"/>
          <w:position w:val="-7"/>
        </w:rPr>
        <w:t>．</w:t>
      </w:r>
      <w:r>
        <w:rPr>
          <w:spacing w:val="-151"/>
        </w:rPr>
        <w:t>下</w:t>
      </w:r>
      <w:r>
        <w:rPr>
          <w:spacing w:val="-63"/>
          <w:position w:val="-7"/>
        </w:rPr>
        <w:t>．</w:t>
      </w:r>
      <w:r>
        <w:rPr>
          <w:spacing w:val="-149"/>
        </w:rPr>
        <w:t>含</w:t>
      </w:r>
      <w:r>
        <w:rPr>
          <w:spacing w:val="-63"/>
          <w:position w:val="-7"/>
        </w:rPr>
        <w:t>．</w:t>
      </w:r>
      <w:r>
        <w:rPr>
          <w:spacing w:val="-151"/>
        </w:rPr>
        <w:t>义</w:t>
      </w:r>
      <w:r>
        <w:rPr>
          <w:spacing w:val="-63"/>
          <w:position w:val="-7"/>
        </w:rPr>
        <w:t>．</w:t>
      </w:r>
      <w:r>
        <w:rPr>
          <w:spacing w:val="-149"/>
        </w:rPr>
        <w:t>相</w:t>
      </w:r>
      <w:r>
        <w:rPr>
          <w:spacing w:val="-63"/>
          <w:position w:val="-7"/>
        </w:rPr>
        <w:t>．</w:t>
      </w:r>
      <w:r>
        <w:rPr>
          <w:spacing w:val="-151"/>
        </w:rPr>
        <w:t>同</w:t>
      </w:r>
      <w:r>
        <w:rPr>
          <w:spacing w:val="-92"/>
          <w:position w:val="-7"/>
        </w:rPr>
        <w:t>．</w:t>
      </w:r>
      <w:r>
        <w:rPr>
          <w:spacing w:val="-92"/>
        </w:rPr>
        <w:t>）</w:t>
      </w:r>
      <w:r>
        <w:rPr>
          <w:spacing w:val="-92"/>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1"/>
        </w:rPr>
        <w:t>款</w:t>
      </w:r>
      <w:r>
        <w:rPr>
          <w:spacing w:val="-92"/>
          <w:position w:val="-7"/>
        </w:rPr>
        <w:t>．</w:t>
      </w:r>
      <w:r>
        <w:rPr>
          <w:spacing w:val="-92"/>
        </w:rPr>
        <w:t>，</w:t>
      </w:r>
      <w:r>
        <w:rPr>
          <w:spacing w:val="-92"/>
          <w:position w:val="-7"/>
        </w:rPr>
        <w:t>．</w:t>
      </w:r>
      <w:r>
        <w:rPr>
          <w:spacing w:val="-151"/>
        </w:rPr>
        <w:t>对</w:t>
      </w:r>
      <w:r>
        <w:rPr>
          <w:spacing w:val="-63"/>
          <w:position w:val="-7"/>
        </w:rPr>
        <w:t>．</w:t>
      </w:r>
      <w:r>
        <w:rPr>
          <w:spacing w:val="-149"/>
        </w:rPr>
        <w:t>本</w:t>
      </w:r>
      <w:r>
        <w:rPr>
          <w:spacing w:val="-63"/>
          <w:position w:val="-7"/>
        </w:rPr>
        <w:t>．</w:t>
      </w:r>
      <w:r>
        <w:rPr>
          <w:spacing w:val="-152"/>
        </w:rPr>
        <w:t>合</w:t>
      </w:r>
      <w:r>
        <w:rPr>
          <w:spacing w:val="-63"/>
          <w:position w:val="-7"/>
        </w:rPr>
        <w:t>．</w:t>
      </w:r>
      <w:r>
        <w:rPr>
          <w:spacing w:val="-149"/>
        </w:rPr>
        <w:t>同</w:t>
      </w:r>
      <w:r>
        <w:rPr>
          <w:spacing w:val="-63"/>
          <w:position w:val="-7"/>
        </w:rPr>
        <w:t>．</w:t>
      </w:r>
      <w:r>
        <w:rPr>
          <w:spacing w:val="-152"/>
        </w:rPr>
        <w:t>内</w:t>
      </w:r>
      <w:r>
        <w:rPr>
          <w:spacing w:val="-63"/>
          <w:position w:val="-7"/>
        </w:rPr>
        <w:t>．</w:t>
      </w:r>
      <w:r>
        <w:rPr>
          <w:spacing w:val="-149"/>
        </w:rPr>
        <w:t>容</w:t>
      </w:r>
      <w:r>
        <w:rPr>
          <w:spacing w:val="-63"/>
          <w:position w:val="-7"/>
        </w:rPr>
        <w:t>．</w:t>
      </w:r>
      <w:r>
        <w:rPr>
          <w:spacing w:val="-152"/>
        </w:rPr>
        <w:t>的</w:t>
      </w:r>
      <w:r>
        <w:rPr>
          <w:spacing w:val="-63"/>
          <w:position w:val="-7"/>
        </w:rPr>
        <w:t>．</w:t>
      </w:r>
      <w:r>
        <w:rPr>
          <w:spacing w:val="-149"/>
        </w:rPr>
        <w:t>解</w:t>
      </w:r>
      <w:r>
        <w:rPr>
          <w:spacing w:val="-63"/>
          <w:position w:val="-7"/>
        </w:rPr>
        <w:t>．</w:t>
      </w:r>
      <w:r>
        <w:rPr>
          <w:spacing w:val="-149"/>
        </w:rPr>
        <w:t>释</w:t>
      </w:r>
      <w:r>
        <w:rPr>
          <w:spacing w:val="-63"/>
          <w:position w:val="-7"/>
        </w:rPr>
        <w:t>．</w:t>
      </w:r>
      <w:r>
        <w:rPr>
          <w:spacing w:val="-151"/>
        </w:rPr>
        <w:t>以</w:t>
      </w:r>
      <w:r>
        <w:rPr>
          <w:spacing w:val="-63"/>
          <w:position w:val="-7"/>
        </w:rPr>
        <w:t>．</w:t>
      </w:r>
      <w:r>
        <w:rPr>
          <w:spacing w:val="-149"/>
        </w:rPr>
        <w:t>条</w:t>
      </w:r>
      <w:r>
        <w:rPr>
          <w:spacing w:val="-63"/>
          <w:position w:val="-7"/>
        </w:rPr>
        <w:t>．</w:t>
      </w:r>
      <w:r>
        <w:rPr>
          <w:spacing w:val="-151"/>
        </w:rPr>
        <w:t>款</w:t>
      </w:r>
      <w:r>
        <w:rPr>
          <w:spacing w:val="-63"/>
          <w:position w:val="-7"/>
        </w:rPr>
        <w:t>．</w:t>
      </w:r>
      <w:r>
        <w:rPr>
          <w:spacing w:val="-149"/>
        </w:rPr>
        <w:t>为</w:t>
      </w:r>
      <w:r>
        <w:rPr>
          <w:spacing w:val="-63"/>
          <w:position w:val="-7"/>
        </w:rPr>
        <w:t>．</w:t>
      </w:r>
      <w:r>
        <w:rPr>
          <w:spacing w:val="-151"/>
        </w:rPr>
        <w:t>准</w:t>
      </w:r>
      <w:r>
        <w:rPr>
          <w:spacing w:val="-63"/>
          <w:position w:val="-7"/>
        </w:rPr>
        <w:t>．</w:t>
      </w:r>
      <w:r>
        <w:rPr>
          <w:spacing w:val="-10"/>
        </w:rPr>
        <w:t>。</w:t>
      </w:r>
    </w:p>
    <w:p>
      <w:pPr>
        <w:tabs>
          <w:tab w:pos="1233" w:val="left" w:leader="none"/>
        </w:tabs>
        <w:spacing w:before="236"/>
        <w:ind w:left="220" w:right="0" w:firstLine="0"/>
        <w:jc w:val="left"/>
        <w:rPr>
          <w:rFonts w:ascii="微软雅黑" w:hAnsi="微软雅黑" w:eastAsia="微软雅黑"/>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微软雅黑" w:hAnsi="微软雅黑" w:eastAsia="微软雅黑"/>
          <w:b/>
          <w:spacing w:val="-4"/>
          <w:sz w:val="21"/>
        </w:rPr>
        <w:t>您拥有的重要权益</w:t>
      </w:r>
    </w:p>
    <w:p>
      <w:pPr>
        <w:pStyle w:val="ListParagraph"/>
        <w:numPr>
          <w:ilvl w:val="0"/>
          <w:numId w:val="1"/>
        </w:numPr>
        <w:tabs>
          <w:tab w:pos="1612" w:val="left" w:leader="none"/>
          <w:tab w:pos="1613" w:val="left" w:leader="none"/>
          <w:tab w:pos="10121" w:val="right" w:leader="dot"/>
        </w:tabs>
        <w:spacing w:line="240" w:lineRule="auto" w:before="69" w:after="0"/>
        <w:ind w:left="1612" w:right="0" w:hanging="421"/>
        <w:jc w:val="left"/>
        <w:rPr>
          <w:sz w:val="21"/>
        </w:rPr>
      </w:pPr>
      <w:r>
        <w:rPr>
          <w:spacing w:val="-2"/>
          <w:sz w:val="21"/>
        </w:rPr>
        <w:t>在</w:t>
      </w:r>
      <w:r>
        <w:rPr>
          <w:spacing w:val="-2"/>
          <w:sz w:val="21"/>
        </w:rPr>
        <w:t>犹</w:t>
      </w:r>
      <w:r>
        <w:rPr>
          <w:spacing w:val="-2"/>
          <w:sz w:val="21"/>
        </w:rPr>
        <w:t>豫期内您可以要求退</w:t>
      </w:r>
      <w:r>
        <w:rPr>
          <w:spacing w:val="-2"/>
          <w:sz w:val="21"/>
        </w:rPr>
        <w:t>还</w:t>
      </w:r>
      <w:r>
        <w:rPr>
          <w:spacing w:val="-2"/>
          <w:sz w:val="21"/>
        </w:rPr>
        <w:t>全</w:t>
      </w:r>
      <w:r>
        <w:rPr>
          <w:spacing w:val="-2"/>
          <w:sz w:val="21"/>
        </w:rPr>
        <w:t>部保险</w:t>
      </w:r>
      <w:r>
        <w:rPr>
          <w:spacing w:val="-10"/>
          <w:sz w:val="21"/>
        </w:rPr>
        <w:t>费</w:t>
      </w:r>
      <w:r>
        <w:rPr>
          <w:rFonts w:ascii="Times New Roman" w:hAnsi="Times New Roman" w:eastAsia="Times New Roman"/>
          <w:sz w:val="21"/>
        </w:rPr>
        <w:tab/>
      </w:r>
      <w:r>
        <w:rPr>
          <w:spacing w:val="-5"/>
          <w:sz w:val="21"/>
        </w:rPr>
        <w:t>1.4</w:t>
      </w:r>
    </w:p>
    <w:p>
      <w:pPr>
        <w:pStyle w:val="ListParagraph"/>
        <w:numPr>
          <w:ilvl w:val="0"/>
          <w:numId w:val="1"/>
        </w:numPr>
        <w:tabs>
          <w:tab w:pos="1612" w:val="left" w:leader="none"/>
          <w:tab w:pos="1613" w:val="left" w:leader="none"/>
          <w:tab w:pos="10121" w:val="right" w:leader="dot"/>
        </w:tabs>
        <w:spacing w:line="240" w:lineRule="auto" w:before="43" w:after="0"/>
        <w:ind w:left="1612" w:right="0" w:hanging="421"/>
        <w:jc w:val="left"/>
        <w:rPr>
          <w:sz w:val="21"/>
        </w:rPr>
      </w:pPr>
      <w:r>
        <w:rPr>
          <w:spacing w:val="-2"/>
          <w:sz w:val="21"/>
        </w:rPr>
        <w:t>被</w:t>
      </w:r>
      <w:r>
        <w:rPr>
          <w:spacing w:val="-2"/>
          <w:sz w:val="21"/>
        </w:rPr>
        <w:t>保</w:t>
      </w:r>
      <w:r>
        <w:rPr>
          <w:spacing w:val="-2"/>
          <w:sz w:val="21"/>
        </w:rPr>
        <w:t>险人可以享受本合同</w:t>
      </w:r>
      <w:r>
        <w:rPr>
          <w:spacing w:val="-2"/>
          <w:sz w:val="21"/>
        </w:rPr>
        <w:t>提</w:t>
      </w:r>
      <w:r>
        <w:rPr>
          <w:spacing w:val="-2"/>
          <w:sz w:val="21"/>
        </w:rPr>
        <w:t>供</w:t>
      </w:r>
      <w:r>
        <w:rPr>
          <w:spacing w:val="-2"/>
          <w:sz w:val="21"/>
        </w:rPr>
        <w:t>的</w:t>
      </w:r>
      <w:r>
        <w:rPr>
          <w:spacing w:val="-2"/>
          <w:sz w:val="21"/>
        </w:rPr>
        <w:t>保</w:t>
      </w:r>
      <w:r>
        <w:rPr>
          <w:spacing w:val="-10"/>
          <w:sz w:val="21"/>
        </w:rPr>
        <w:t>障</w:t>
      </w:r>
      <w:r>
        <w:rPr>
          <w:rFonts w:ascii="Times New Roman" w:hAnsi="Times New Roman" w:eastAsia="Times New Roman"/>
          <w:sz w:val="21"/>
        </w:rPr>
        <w:tab/>
      </w:r>
      <w:r>
        <w:rPr>
          <w:spacing w:val="-5"/>
          <w:sz w:val="21"/>
        </w:rPr>
        <w:t>2.1</w:t>
      </w:r>
    </w:p>
    <w:p>
      <w:pPr>
        <w:pStyle w:val="ListParagraph"/>
        <w:numPr>
          <w:ilvl w:val="0"/>
          <w:numId w:val="1"/>
        </w:numPr>
        <w:tabs>
          <w:tab w:pos="1612" w:val="left" w:leader="none"/>
          <w:tab w:pos="1613" w:val="left" w:leader="none"/>
          <w:tab w:pos="10121" w:val="right" w:leader="dot"/>
        </w:tabs>
        <w:spacing w:line="240" w:lineRule="auto" w:before="43" w:after="0"/>
        <w:ind w:left="1612" w:right="0" w:hanging="421"/>
        <w:jc w:val="left"/>
        <w:rPr>
          <w:sz w:val="21"/>
        </w:rPr>
      </w:pPr>
      <w:r>
        <w:rPr>
          <w:spacing w:val="-2"/>
          <w:sz w:val="21"/>
        </w:rPr>
        <w:t>您</w:t>
      </w:r>
      <w:r>
        <w:rPr>
          <w:spacing w:val="-2"/>
          <w:sz w:val="21"/>
        </w:rPr>
        <w:t>有</w:t>
      </w:r>
      <w:r>
        <w:rPr>
          <w:spacing w:val="-2"/>
          <w:sz w:val="21"/>
        </w:rPr>
        <w:t>按合同约定申请保单</w:t>
      </w:r>
      <w:r>
        <w:rPr>
          <w:spacing w:val="-2"/>
          <w:sz w:val="21"/>
        </w:rPr>
        <w:t>贷</w:t>
      </w:r>
      <w:r>
        <w:rPr>
          <w:spacing w:val="-2"/>
          <w:sz w:val="21"/>
        </w:rPr>
        <w:t>款</w:t>
      </w:r>
      <w:r>
        <w:rPr>
          <w:spacing w:val="-2"/>
          <w:sz w:val="21"/>
        </w:rPr>
        <w:t>的</w:t>
      </w:r>
      <w:r>
        <w:rPr>
          <w:spacing w:val="-2"/>
          <w:sz w:val="21"/>
        </w:rPr>
        <w:t>权</w:t>
      </w:r>
      <w:r>
        <w:rPr>
          <w:spacing w:val="-10"/>
          <w:sz w:val="21"/>
        </w:rPr>
        <w:t>利</w:t>
      </w:r>
      <w:r>
        <w:rPr>
          <w:rFonts w:ascii="Times New Roman" w:hAnsi="Times New Roman" w:eastAsia="Times New Roman"/>
          <w:sz w:val="21"/>
        </w:rPr>
        <w:tab/>
      </w:r>
      <w:r>
        <w:rPr>
          <w:spacing w:val="-5"/>
          <w:sz w:val="21"/>
        </w:rPr>
        <w:t>5.2</w:t>
      </w:r>
    </w:p>
    <w:p>
      <w:pPr>
        <w:pStyle w:val="ListParagraph"/>
        <w:numPr>
          <w:ilvl w:val="0"/>
          <w:numId w:val="1"/>
        </w:numPr>
        <w:tabs>
          <w:tab w:pos="1612" w:val="left" w:leader="none"/>
          <w:tab w:pos="1613" w:val="left" w:leader="none"/>
          <w:tab w:pos="10119" w:val="right" w:leader="dot"/>
        </w:tabs>
        <w:spacing w:line="240" w:lineRule="auto" w:before="43" w:after="0"/>
        <w:ind w:left="1612" w:right="0" w:hanging="421"/>
        <w:jc w:val="left"/>
        <w:rPr>
          <w:sz w:val="21"/>
        </w:rPr>
      </w:pPr>
      <w:r>
        <w:rPr>
          <w:spacing w:val="-2"/>
          <w:sz w:val="21"/>
        </w:rPr>
        <w:t>您</w:t>
      </w:r>
      <w:r>
        <w:rPr>
          <w:spacing w:val="-2"/>
          <w:sz w:val="21"/>
        </w:rPr>
        <w:t>有</w:t>
      </w:r>
      <w:r>
        <w:rPr>
          <w:spacing w:val="-2"/>
          <w:sz w:val="21"/>
        </w:rPr>
        <w:t>解除合同的</w:t>
      </w:r>
      <w:r>
        <w:rPr>
          <w:spacing w:val="-2"/>
          <w:sz w:val="21"/>
        </w:rPr>
        <w:t>权</w:t>
      </w:r>
      <w:r>
        <w:rPr>
          <w:spacing w:val="-10"/>
          <w:sz w:val="21"/>
        </w:rPr>
        <w:t>利</w:t>
      </w:r>
      <w:r>
        <w:rPr>
          <w:rFonts w:ascii="Times New Roman" w:hAnsi="Times New Roman" w:eastAsia="Times New Roman"/>
          <w:sz w:val="21"/>
        </w:rPr>
        <w:tab/>
      </w:r>
      <w:r>
        <w:rPr>
          <w:spacing w:val="-5"/>
          <w:sz w:val="21"/>
        </w:rPr>
        <w:t>7.1</w:t>
      </w:r>
    </w:p>
    <w:p>
      <w:pPr>
        <w:tabs>
          <w:tab w:pos="1233" w:val="left" w:leader="none"/>
        </w:tabs>
        <w:spacing w:before="57"/>
        <w:ind w:left="220" w:right="0" w:firstLine="0"/>
        <w:jc w:val="left"/>
        <w:rPr>
          <w:rFonts w:ascii="微软雅黑" w:hAnsi="微软雅黑" w:eastAsia="微软雅黑"/>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微软雅黑" w:hAnsi="微软雅黑" w:eastAsia="微软雅黑"/>
          <w:b/>
          <w:spacing w:val="-3"/>
          <w:sz w:val="21"/>
        </w:rPr>
        <w:t>您应当特别注意的事项</w:t>
      </w:r>
    </w:p>
    <w:p>
      <w:pPr>
        <w:pStyle w:val="ListParagraph"/>
        <w:numPr>
          <w:ilvl w:val="0"/>
          <w:numId w:val="1"/>
        </w:numPr>
        <w:tabs>
          <w:tab w:pos="1612" w:val="left" w:leader="none"/>
          <w:tab w:pos="1613" w:val="left" w:leader="none"/>
          <w:tab w:pos="10124" w:val="right" w:leader="dot"/>
        </w:tabs>
        <w:spacing w:line="278" w:lineRule="auto" w:before="86" w:after="0"/>
        <w:ind w:left="1612" w:right="245" w:hanging="420"/>
        <w:jc w:val="left"/>
        <w:rPr>
          <w:sz w:val="21"/>
        </w:rPr>
      </w:pPr>
      <w:r>
        <w:rPr>
          <w:spacing w:val="-2"/>
          <w:sz w:val="21"/>
        </w:rPr>
        <w:t>重</w:t>
      </w:r>
      <w:r>
        <w:rPr>
          <w:spacing w:val="-2"/>
          <w:sz w:val="21"/>
        </w:rPr>
        <w:t>度</w:t>
      </w:r>
      <w:r>
        <w:rPr>
          <w:spacing w:val="-2"/>
          <w:sz w:val="21"/>
        </w:rPr>
        <w:t>疾病保险金、身故保</w:t>
      </w:r>
      <w:r>
        <w:rPr>
          <w:spacing w:val="-2"/>
          <w:sz w:val="21"/>
        </w:rPr>
        <w:t>险</w:t>
      </w:r>
      <w:r>
        <w:rPr>
          <w:spacing w:val="-2"/>
          <w:sz w:val="21"/>
        </w:rPr>
        <w:t>金</w:t>
      </w:r>
      <w:r>
        <w:rPr>
          <w:spacing w:val="-2"/>
          <w:sz w:val="21"/>
        </w:rPr>
        <w:t>、全残保险金和疾病</w:t>
      </w:r>
      <w:r>
        <w:rPr>
          <w:spacing w:val="-2"/>
          <w:sz w:val="21"/>
        </w:rPr>
        <w:t>终</w:t>
      </w:r>
      <w:r>
        <w:rPr>
          <w:spacing w:val="-2"/>
          <w:sz w:val="21"/>
        </w:rPr>
        <w:t>末</w:t>
      </w:r>
      <w:r>
        <w:rPr>
          <w:spacing w:val="-2"/>
          <w:sz w:val="21"/>
        </w:rPr>
        <w:t>期保险金四种保险金，本公司给付</w:t>
      </w:r>
      <w:r>
        <w:rPr>
          <w:spacing w:val="-2"/>
          <w:sz w:val="21"/>
        </w:rPr>
        <w:t>了</w:t>
      </w:r>
      <w:r>
        <w:rPr>
          <w:spacing w:val="-2"/>
          <w:sz w:val="21"/>
        </w:rPr>
        <w:t>其</w:t>
      </w:r>
      <w:r>
        <w:rPr>
          <w:spacing w:val="-2"/>
          <w:sz w:val="21"/>
        </w:rPr>
        <w:t>中</w:t>
      </w:r>
      <w:r>
        <w:rPr>
          <w:spacing w:val="-2"/>
          <w:sz w:val="21"/>
        </w:rPr>
        <w:t>一</w:t>
      </w:r>
      <w:r>
        <w:rPr>
          <w:spacing w:val="-2"/>
          <w:sz w:val="21"/>
        </w:rPr>
        <w:t>种保险金，就不承担</w:t>
      </w:r>
      <w:r>
        <w:rPr>
          <w:spacing w:val="-2"/>
          <w:sz w:val="21"/>
        </w:rPr>
        <w:t>另</w:t>
      </w:r>
      <w:r>
        <w:rPr>
          <w:spacing w:val="-2"/>
          <w:sz w:val="21"/>
        </w:rPr>
        <w:t>外</w:t>
      </w:r>
      <w:r>
        <w:rPr>
          <w:spacing w:val="-2"/>
          <w:sz w:val="21"/>
        </w:rPr>
        <w:t>三种保险金的给付责任</w:t>
      </w:r>
      <w:r>
        <w:rPr>
          <w:rFonts w:ascii="Times New Roman" w:hAnsi="Times New Roman" w:eastAsia="Times New Roman"/>
          <w:sz w:val="21"/>
        </w:rPr>
        <w:tab/>
      </w:r>
      <w:r>
        <w:rPr>
          <w:spacing w:val="-4"/>
          <w:sz w:val="21"/>
        </w:rPr>
        <w:t>2.1</w:t>
      </w:r>
    </w:p>
    <w:p>
      <w:pPr>
        <w:pStyle w:val="ListParagraph"/>
        <w:numPr>
          <w:ilvl w:val="0"/>
          <w:numId w:val="1"/>
        </w:numPr>
        <w:tabs>
          <w:tab w:pos="1612" w:val="left" w:leader="none"/>
          <w:tab w:pos="1613" w:val="left" w:leader="none"/>
          <w:tab w:pos="10119" w:val="right" w:leader="dot"/>
        </w:tabs>
        <w:spacing w:line="269" w:lineRule="exact" w:before="0" w:after="0"/>
        <w:ind w:left="1612" w:right="0" w:hanging="421"/>
        <w:jc w:val="left"/>
        <w:rPr>
          <w:sz w:val="21"/>
        </w:rPr>
      </w:pPr>
      <w:r>
        <w:rPr>
          <w:spacing w:val="-2"/>
          <w:sz w:val="21"/>
        </w:rPr>
        <w:t>您</w:t>
      </w:r>
      <w:r>
        <w:rPr>
          <w:spacing w:val="-2"/>
          <w:sz w:val="21"/>
        </w:rPr>
        <w:t>如</w:t>
      </w:r>
      <w:r>
        <w:rPr>
          <w:spacing w:val="-2"/>
          <w:sz w:val="21"/>
        </w:rPr>
        <w:t>何交付保险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612" w:val="left" w:leader="none"/>
          <w:tab w:pos="1613" w:val="left" w:leader="none"/>
          <w:tab w:pos="10119" w:val="right" w:leader="dot"/>
        </w:tabs>
        <w:spacing w:line="240" w:lineRule="auto" w:before="43" w:after="0"/>
        <w:ind w:left="1612" w:right="0" w:hanging="421"/>
        <w:jc w:val="left"/>
        <w:rPr>
          <w:sz w:val="21"/>
        </w:rPr>
      </w:pPr>
      <w:r>
        <w:rPr>
          <w:spacing w:val="-2"/>
          <w:sz w:val="21"/>
        </w:rPr>
        <w:t>您</w:t>
      </w:r>
      <w:r>
        <w:rPr>
          <w:spacing w:val="-2"/>
          <w:sz w:val="21"/>
        </w:rPr>
        <w:t>有</w:t>
      </w:r>
      <w:r>
        <w:rPr>
          <w:spacing w:val="-2"/>
          <w:sz w:val="21"/>
        </w:rPr>
        <w:t>如实告知的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0"/>
          <w:numId w:val="1"/>
        </w:numPr>
        <w:tabs>
          <w:tab w:pos="1612" w:val="left" w:leader="none"/>
          <w:tab w:pos="1613" w:val="left" w:leader="none"/>
          <w:tab w:pos="9912" w:val="right" w:leader="dot"/>
        </w:tabs>
        <w:spacing w:line="240" w:lineRule="auto" w:before="43" w:after="0"/>
        <w:ind w:left="1612" w:right="0" w:hanging="421"/>
        <w:jc w:val="left"/>
        <w:rPr>
          <w:sz w:val="21"/>
        </w:rPr>
      </w:pPr>
      <w:r>
        <w:rPr>
          <w:spacing w:val="-2"/>
          <w:sz w:val="21"/>
        </w:rPr>
        <w:t>本</w:t>
      </w:r>
      <w:r>
        <w:rPr>
          <w:spacing w:val="-2"/>
          <w:sz w:val="21"/>
        </w:rPr>
        <w:t>公</w:t>
      </w:r>
      <w:r>
        <w:rPr>
          <w:spacing w:val="-2"/>
          <w:sz w:val="21"/>
        </w:rPr>
        <w:t>司对一些重要术语进</w:t>
      </w:r>
      <w:r>
        <w:rPr>
          <w:spacing w:val="-2"/>
          <w:sz w:val="21"/>
        </w:rPr>
        <w:t>行</w:t>
      </w:r>
      <w:r>
        <w:rPr>
          <w:spacing w:val="-2"/>
          <w:sz w:val="21"/>
        </w:rPr>
        <w:t>了</w:t>
      </w:r>
      <w:r>
        <w:rPr>
          <w:spacing w:val="-2"/>
          <w:sz w:val="21"/>
        </w:rPr>
        <w:t>解释，并作了显著标</w:t>
      </w:r>
      <w:r>
        <w:rPr>
          <w:spacing w:val="-2"/>
          <w:sz w:val="21"/>
        </w:rPr>
        <w:t>识</w:t>
      </w:r>
      <w:r>
        <w:rPr>
          <w:spacing w:val="-2"/>
          <w:sz w:val="21"/>
        </w:rPr>
        <w:t>，请您注</w:t>
      </w:r>
      <w:r>
        <w:rPr>
          <w:spacing w:val="-10"/>
          <w:sz w:val="21"/>
        </w:rPr>
        <w:t>意</w:t>
      </w:r>
      <w:r>
        <w:rPr>
          <w:rFonts w:ascii="Times New Roman" w:hAnsi="Times New Roman" w:eastAsia="Times New Roman"/>
          <w:sz w:val="21"/>
        </w:rPr>
        <w:tab/>
      </w:r>
      <w:r>
        <w:rPr>
          <w:spacing w:val="-10"/>
          <w:sz w:val="21"/>
        </w:rPr>
        <w:t>9</w:t>
      </w:r>
    </w:p>
    <w:p>
      <w:pPr>
        <w:tabs>
          <w:tab w:pos="1233" w:val="left" w:leader="none"/>
        </w:tabs>
        <w:spacing w:line="230" w:lineRule="auto" w:before="113"/>
        <w:ind w:left="1235" w:right="779" w:hanging="1016"/>
        <w:jc w:val="left"/>
        <w:rPr>
          <w:rFonts w:ascii="微软雅黑" w:hAnsi="微软雅黑" w:eastAsia="微软雅黑"/>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微软雅黑" w:hAnsi="微软雅黑" w:eastAsia="微软雅黑"/>
          <w:b/>
          <w:spacing w:val="-2"/>
          <w:sz w:val="21"/>
        </w:rPr>
        <w:t>条款中加粗显示的内容是本公司不承担或限制承担保险责任的内容和释义，请您特别注意。</w:t>
      </w:r>
      <w:r>
        <w:rPr>
          <w:rFonts w:ascii="微软雅黑" w:hAnsi="微软雅黑" w:eastAsia="微软雅黑"/>
          <w:b/>
          <w:spacing w:val="-2"/>
          <w:sz w:val="21"/>
        </w:rPr>
        <w:t>条款中每个第一次出现的释义名词的右方有标注，其他相同的释义名词不另作标注。</w:t>
      </w:r>
    </w:p>
    <w:p>
      <w:pPr>
        <w:tabs>
          <w:tab w:pos="1233" w:val="left" w:leader="none"/>
        </w:tabs>
        <w:spacing w:line="535" w:lineRule="exact" w:before="38"/>
        <w:ind w:left="220" w:right="0" w:firstLine="0"/>
        <w:jc w:val="left"/>
        <w:rPr>
          <w:rFonts w:ascii="微软雅黑" w:hAnsi="微软雅黑" w:eastAsia="微软雅黑"/>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微软雅黑" w:hAnsi="微软雅黑" w:eastAsia="微软雅黑"/>
          <w:b/>
          <w:spacing w:val="-3"/>
          <w:sz w:val="21"/>
        </w:rPr>
        <w:t>条款目录</w:t>
      </w:r>
    </w:p>
    <w:p>
      <w:pPr>
        <w:spacing w:after="0" w:line="535" w:lineRule="exact"/>
        <w:jc w:val="left"/>
        <w:rPr>
          <w:rFonts w:ascii="微软雅黑" w:hAnsi="微软雅黑" w:eastAsia="微软雅黑"/>
          <w:sz w:val="21"/>
        </w:rPr>
        <w:sectPr>
          <w:type w:val="continuous"/>
          <w:pgSz w:w="11910" w:h="16840"/>
          <w:pgMar w:top="620" w:bottom="280" w:left="800" w:right="660"/>
        </w:sectPr>
      </w:pPr>
    </w:p>
    <w:p>
      <w:pPr>
        <w:pStyle w:val="ListParagraph"/>
        <w:numPr>
          <w:ilvl w:val="0"/>
          <w:numId w:val="2"/>
        </w:numPr>
        <w:tabs>
          <w:tab w:pos="1499" w:val="left" w:leader="none"/>
        </w:tabs>
        <w:spacing w:line="262" w:lineRule="exact" w:before="0" w:after="0"/>
        <w:ind w:left="1498" w:right="0" w:hanging="319"/>
        <w:jc w:val="left"/>
        <w:rPr>
          <w:rFonts w:ascii="微软雅黑" w:eastAsia="微软雅黑"/>
          <w:b/>
          <w:sz w:val="21"/>
        </w:rPr>
      </w:pPr>
      <w:r>
        <w:rPr>
          <w:rFonts w:ascii="微软雅黑" w:eastAsia="微软雅黑"/>
          <w:b/>
          <w:spacing w:val="-3"/>
          <w:sz w:val="21"/>
        </w:rPr>
        <w:t>投保人与本公司的合同</w:t>
      </w:r>
    </w:p>
    <w:p>
      <w:pPr>
        <w:pStyle w:val="ListParagraph"/>
        <w:numPr>
          <w:ilvl w:val="1"/>
          <w:numId w:val="2"/>
        </w:numPr>
        <w:tabs>
          <w:tab w:pos="1814" w:val="left" w:leader="none"/>
        </w:tabs>
        <w:spacing w:line="235" w:lineRule="exact" w:before="0" w:after="0"/>
        <w:ind w:left="1814" w:right="0" w:hanging="423"/>
        <w:jc w:val="left"/>
        <w:rPr>
          <w:sz w:val="21"/>
        </w:rPr>
      </w:pPr>
      <w:r>
        <w:rPr>
          <w:spacing w:val="-4"/>
          <w:sz w:val="21"/>
        </w:rPr>
        <w:t>合同构成</w:t>
      </w:r>
    </w:p>
    <w:p>
      <w:pPr>
        <w:pStyle w:val="ListParagraph"/>
        <w:numPr>
          <w:ilvl w:val="1"/>
          <w:numId w:val="2"/>
        </w:numPr>
        <w:tabs>
          <w:tab w:pos="1814" w:val="left" w:leader="none"/>
        </w:tabs>
        <w:spacing w:line="259" w:lineRule="exact" w:before="0" w:after="0"/>
        <w:ind w:left="1814" w:right="0" w:hanging="423"/>
        <w:jc w:val="left"/>
        <w:rPr>
          <w:sz w:val="21"/>
        </w:rPr>
      </w:pPr>
      <w:r>
        <w:rPr>
          <w:spacing w:val="-4"/>
          <w:sz w:val="21"/>
        </w:rPr>
        <w:t>合同成立与生效</w:t>
      </w:r>
    </w:p>
    <w:p>
      <w:pPr>
        <w:pStyle w:val="ListParagraph"/>
        <w:numPr>
          <w:ilvl w:val="1"/>
          <w:numId w:val="2"/>
        </w:numPr>
        <w:tabs>
          <w:tab w:pos="1814" w:val="left" w:leader="none"/>
        </w:tabs>
        <w:spacing w:line="260" w:lineRule="exact" w:before="0" w:after="0"/>
        <w:ind w:left="1814" w:right="0" w:hanging="423"/>
        <w:jc w:val="left"/>
        <w:rPr>
          <w:sz w:val="21"/>
        </w:rPr>
      </w:pPr>
      <w:r>
        <w:rPr>
          <w:spacing w:val="-4"/>
          <w:sz w:val="21"/>
        </w:rPr>
        <w:t>投保范围</w:t>
      </w:r>
    </w:p>
    <w:p>
      <w:pPr>
        <w:pStyle w:val="ListParagraph"/>
        <w:numPr>
          <w:ilvl w:val="1"/>
          <w:numId w:val="2"/>
        </w:numPr>
        <w:tabs>
          <w:tab w:pos="1814" w:val="left" w:leader="none"/>
        </w:tabs>
        <w:spacing w:line="265" w:lineRule="exact" w:before="0" w:after="0"/>
        <w:ind w:left="1814" w:right="0" w:hanging="423"/>
        <w:jc w:val="left"/>
        <w:rPr>
          <w:sz w:val="21"/>
        </w:rPr>
      </w:pPr>
      <w:r>
        <w:rPr>
          <w:spacing w:val="-5"/>
          <w:sz w:val="21"/>
        </w:rPr>
        <w:t>犹豫期</w:t>
      </w:r>
    </w:p>
    <w:p>
      <w:pPr>
        <w:pStyle w:val="BodyText"/>
        <w:spacing w:before="2"/>
        <w:rPr>
          <w:sz w:val="14"/>
        </w:rPr>
      </w:pPr>
    </w:p>
    <w:p>
      <w:pPr>
        <w:pStyle w:val="ListParagraph"/>
        <w:numPr>
          <w:ilvl w:val="0"/>
          <w:numId w:val="2"/>
        </w:numPr>
        <w:tabs>
          <w:tab w:pos="1499" w:val="left" w:leader="none"/>
        </w:tabs>
        <w:spacing w:line="358" w:lineRule="exact" w:before="0" w:after="0"/>
        <w:ind w:left="1498" w:right="0" w:hanging="319"/>
        <w:jc w:val="left"/>
        <w:rPr>
          <w:rFonts w:ascii="微软雅黑" w:eastAsia="微软雅黑"/>
          <w:b/>
          <w:sz w:val="21"/>
        </w:rPr>
      </w:pPr>
      <w:r>
        <w:rPr>
          <w:rFonts w:ascii="微软雅黑" w:eastAsia="微软雅黑"/>
          <w:b/>
          <w:spacing w:val="-2"/>
          <w:sz w:val="21"/>
        </w:rPr>
        <w:t>本公司提供的保障</w:t>
      </w:r>
    </w:p>
    <w:p>
      <w:pPr>
        <w:pStyle w:val="ListParagraph"/>
        <w:numPr>
          <w:ilvl w:val="1"/>
          <w:numId w:val="2"/>
        </w:numPr>
        <w:tabs>
          <w:tab w:pos="1814" w:val="left" w:leader="none"/>
        </w:tabs>
        <w:spacing w:line="235" w:lineRule="exact" w:before="0" w:after="0"/>
        <w:ind w:left="1814" w:right="0" w:hanging="423"/>
        <w:jc w:val="left"/>
        <w:rPr>
          <w:sz w:val="21"/>
        </w:rPr>
      </w:pPr>
      <w:r>
        <w:rPr>
          <w:spacing w:val="-4"/>
          <w:sz w:val="21"/>
        </w:rPr>
        <w:t>保险责任</w:t>
      </w:r>
    </w:p>
    <w:p>
      <w:pPr>
        <w:pStyle w:val="ListParagraph"/>
        <w:numPr>
          <w:ilvl w:val="1"/>
          <w:numId w:val="2"/>
        </w:numPr>
        <w:tabs>
          <w:tab w:pos="1814" w:val="left" w:leader="none"/>
        </w:tabs>
        <w:spacing w:line="259" w:lineRule="exact" w:before="0" w:after="0"/>
        <w:ind w:left="1814" w:right="0" w:hanging="423"/>
        <w:jc w:val="left"/>
        <w:rPr>
          <w:sz w:val="21"/>
        </w:rPr>
      </w:pPr>
      <w:r>
        <w:rPr>
          <w:spacing w:val="-4"/>
          <w:sz w:val="21"/>
        </w:rPr>
        <w:t>责任免除</w:t>
      </w:r>
    </w:p>
    <w:p>
      <w:pPr>
        <w:pStyle w:val="ListParagraph"/>
        <w:numPr>
          <w:ilvl w:val="1"/>
          <w:numId w:val="2"/>
        </w:numPr>
        <w:tabs>
          <w:tab w:pos="1814" w:val="left" w:leader="none"/>
        </w:tabs>
        <w:spacing w:line="260" w:lineRule="exact" w:before="0" w:after="0"/>
        <w:ind w:left="1814" w:right="0" w:hanging="423"/>
        <w:jc w:val="left"/>
        <w:rPr>
          <w:sz w:val="21"/>
        </w:rPr>
      </w:pPr>
      <w:r>
        <w:rPr>
          <w:spacing w:val="-4"/>
          <w:sz w:val="21"/>
        </w:rPr>
        <w:t>基本保险金额</w:t>
      </w:r>
    </w:p>
    <w:p>
      <w:pPr>
        <w:pStyle w:val="ListParagraph"/>
        <w:numPr>
          <w:ilvl w:val="1"/>
          <w:numId w:val="2"/>
        </w:numPr>
        <w:tabs>
          <w:tab w:pos="1814" w:val="left" w:leader="none"/>
        </w:tabs>
        <w:spacing w:line="230" w:lineRule="auto" w:before="5" w:after="0"/>
        <w:ind w:left="1811" w:right="0" w:hanging="420"/>
        <w:jc w:val="left"/>
        <w:rPr>
          <w:sz w:val="21"/>
        </w:rPr>
      </w:pPr>
      <w:r>
        <w:rPr>
          <w:spacing w:val="-2"/>
          <w:sz w:val="21"/>
        </w:rPr>
        <w:t>未成年人身故利益给</w:t>
      </w:r>
      <w:r>
        <w:rPr>
          <w:spacing w:val="-4"/>
          <w:sz w:val="21"/>
        </w:rPr>
        <w:t>付限制</w:t>
      </w:r>
    </w:p>
    <w:p>
      <w:pPr>
        <w:pStyle w:val="ListParagraph"/>
        <w:numPr>
          <w:ilvl w:val="1"/>
          <w:numId w:val="2"/>
        </w:numPr>
        <w:tabs>
          <w:tab w:pos="1814" w:val="left" w:leader="none"/>
        </w:tabs>
        <w:spacing w:line="262" w:lineRule="exact" w:before="0" w:after="0"/>
        <w:ind w:left="1814" w:right="0" w:hanging="423"/>
        <w:jc w:val="left"/>
        <w:rPr>
          <w:sz w:val="21"/>
        </w:rPr>
      </w:pPr>
      <w:r>
        <w:rPr>
          <w:spacing w:val="-4"/>
          <w:sz w:val="21"/>
        </w:rPr>
        <w:t>保险期间</w:t>
      </w:r>
    </w:p>
    <w:p>
      <w:pPr>
        <w:pStyle w:val="BodyText"/>
        <w:spacing w:before="5"/>
        <w:rPr>
          <w:sz w:val="14"/>
        </w:rPr>
      </w:pPr>
    </w:p>
    <w:p>
      <w:pPr>
        <w:pStyle w:val="ListParagraph"/>
        <w:numPr>
          <w:ilvl w:val="0"/>
          <w:numId w:val="2"/>
        </w:numPr>
        <w:tabs>
          <w:tab w:pos="1499" w:val="left" w:leader="none"/>
        </w:tabs>
        <w:spacing w:line="357" w:lineRule="exact" w:before="0" w:after="0"/>
        <w:ind w:left="1498" w:right="0" w:hanging="319"/>
        <w:jc w:val="left"/>
        <w:rPr>
          <w:rFonts w:ascii="微软雅黑" w:eastAsia="微软雅黑"/>
          <w:b/>
          <w:sz w:val="21"/>
        </w:rPr>
      </w:pPr>
      <w:r>
        <w:rPr>
          <w:rFonts w:ascii="微软雅黑" w:eastAsia="微软雅黑"/>
          <w:b/>
          <w:spacing w:val="-2"/>
          <w:sz w:val="21"/>
        </w:rPr>
        <w:t>如何申请领取保险金</w:t>
      </w:r>
    </w:p>
    <w:p>
      <w:pPr>
        <w:pStyle w:val="ListParagraph"/>
        <w:numPr>
          <w:ilvl w:val="1"/>
          <w:numId w:val="2"/>
        </w:numPr>
        <w:tabs>
          <w:tab w:pos="1814" w:val="left" w:leader="none"/>
        </w:tabs>
        <w:spacing w:line="235" w:lineRule="exact" w:before="0" w:after="0"/>
        <w:ind w:left="1814" w:right="0" w:hanging="423"/>
        <w:jc w:val="left"/>
        <w:rPr>
          <w:sz w:val="21"/>
        </w:rPr>
      </w:pPr>
      <w:r>
        <w:rPr>
          <w:spacing w:val="-5"/>
          <w:sz w:val="21"/>
        </w:rPr>
        <w:t>受益人</w:t>
      </w:r>
    </w:p>
    <w:p>
      <w:pPr>
        <w:pStyle w:val="ListParagraph"/>
        <w:numPr>
          <w:ilvl w:val="1"/>
          <w:numId w:val="2"/>
        </w:numPr>
        <w:tabs>
          <w:tab w:pos="1814" w:val="left" w:leader="none"/>
        </w:tabs>
        <w:spacing w:line="261" w:lineRule="exact" w:before="0" w:after="0"/>
        <w:ind w:left="1814" w:right="0" w:hanging="423"/>
        <w:jc w:val="left"/>
        <w:rPr>
          <w:sz w:val="21"/>
        </w:rPr>
      </w:pPr>
      <w:r>
        <w:rPr>
          <w:spacing w:val="-4"/>
          <w:sz w:val="21"/>
        </w:rPr>
        <w:t>保险事故通知</w:t>
      </w:r>
    </w:p>
    <w:p>
      <w:pPr>
        <w:pStyle w:val="ListParagraph"/>
        <w:numPr>
          <w:ilvl w:val="1"/>
          <w:numId w:val="2"/>
        </w:numPr>
        <w:tabs>
          <w:tab w:pos="1814" w:val="left" w:leader="none"/>
        </w:tabs>
        <w:spacing w:line="264" w:lineRule="exact" w:before="0" w:after="0"/>
        <w:ind w:left="1814" w:right="0" w:hanging="423"/>
        <w:jc w:val="left"/>
        <w:rPr>
          <w:sz w:val="21"/>
        </w:rPr>
      </w:pPr>
      <w:r>
        <w:rPr>
          <w:spacing w:val="-4"/>
          <w:sz w:val="21"/>
        </w:rPr>
        <w:t>保险金申请</w:t>
      </w:r>
    </w:p>
    <w:p>
      <w:pPr>
        <w:pStyle w:val="BodyText"/>
        <w:spacing w:line="255" w:lineRule="exact" w:before="0"/>
        <w:ind w:left="795"/>
      </w:pPr>
      <w:r>
        <w:rPr/>
        <w:br w:type="column"/>
      </w:r>
      <w:r>
        <w:rPr/>
        <w:t>5.2</w:t>
      </w:r>
      <w:r>
        <w:rPr>
          <w:spacing w:val="-4"/>
        </w:rPr>
        <w:t> 保单贷款</w:t>
      </w:r>
    </w:p>
    <w:p>
      <w:pPr>
        <w:pStyle w:val="BodyText"/>
        <w:spacing w:before="6"/>
        <w:rPr>
          <w:sz w:val="16"/>
        </w:rPr>
      </w:pPr>
    </w:p>
    <w:p>
      <w:pPr>
        <w:pStyle w:val="ListParagraph"/>
        <w:numPr>
          <w:ilvl w:val="0"/>
          <w:numId w:val="3"/>
        </w:numPr>
        <w:tabs>
          <w:tab w:pos="902" w:val="left" w:leader="none"/>
        </w:tabs>
        <w:spacing w:line="357" w:lineRule="exact" w:before="0" w:after="0"/>
        <w:ind w:left="901" w:right="0" w:hanging="319"/>
        <w:jc w:val="left"/>
        <w:rPr>
          <w:rFonts w:ascii="微软雅黑" w:eastAsia="微软雅黑"/>
          <w:b/>
          <w:sz w:val="21"/>
        </w:rPr>
      </w:pPr>
      <w:r>
        <w:rPr>
          <w:rFonts w:ascii="微软雅黑" w:eastAsia="微软雅黑"/>
          <w:b/>
          <w:spacing w:val="-3"/>
          <w:sz w:val="21"/>
        </w:rPr>
        <w:t>合同效力的中止及恢复</w:t>
      </w:r>
    </w:p>
    <w:p>
      <w:pPr>
        <w:pStyle w:val="ListParagraph"/>
        <w:numPr>
          <w:ilvl w:val="1"/>
          <w:numId w:val="3"/>
        </w:numPr>
        <w:tabs>
          <w:tab w:pos="1218" w:val="left" w:leader="none"/>
        </w:tabs>
        <w:spacing w:line="234" w:lineRule="exact" w:before="0" w:after="0"/>
        <w:ind w:left="1217" w:right="0" w:hanging="423"/>
        <w:jc w:val="left"/>
        <w:rPr>
          <w:sz w:val="21"/>
        </w:rPr>
      </w:pPr>
      <w:r>
        <w:rPr>
          <w:spacing w:val="-4"/>
          <w:sz w:val="21"/>
        </w:rPr>
        <w:t>效力中止</w:t>
      </w:r>
    </w:p>
    <w:p>
      <w:pPr>
        <w:pStyle w:val="ListParagraph"/>
        <w:numPr>
          <w:ilvl w:val="1"/>
          <w:numId w:val="3"/>
        </w:numPr>
        <w:tabs>
          <w:tab w:pos="1218" w:val="left" w:leader="none"/>
        </w:tabs>
        <w:spacing w:line="264" w:lineRule="exact" w:before="0" w:after="0"/>
        <w:ind w:left="1217" w:right="0" w:hanging="423"/>
        <w:jc w:val="left"/>
        <w:rPr>
          <w:sz w:val="21"/>
        </w:rPr>
      </w:pPr>
      <w:r>
        <w:rPr>
          <w:spacing w:val="-4"/>
          <w:sz w:val="21"/>
        </w:rPr>
        <w:t>效力恢复</w:t>
      </w:r>
    </w:p>
    <w:p>
      <w:pPr>
        <w:pStyle w:val="BodyText"/>
        <w:spacing w:before="5"/>
        <w:rPr>
          <w:sz w:val="14"/>
        </w:rPr>
      </w:pPr>
    </w:p>
    <w:p>
      <w:pPr>
        <w:pStyle w:val="ListParagraph"/>
        <w:numPr>
          <w:ilvl w:val="0"/>
          <w:numId w:val="3"/>
        </w:numPr>
        <w:tabs>
          <w:tab w:pos="902" w:val="left" w:leader="none"/>
        </w:tabs>
        <w:spacing w:line="357" w:lineRule="exact" w:before="0" w:after="0"/>
        <w:ind w:left="901" w:right="0" w:hanging="319"/>
        <w:jc w:val="left"/>
        <w:rPr>
          <w:rFonts w:ascii="微软雅黑" w:eastAsia="微软雅黑"/>
          <w:b/>
          <w:sz w:val="21"/>
        </w:rPr>
      </w:pPr>
      <w:r>
        <w:rPr>
          <w:rFonts w:ascii="微软雅黑" w:eastAsia="微软雅黑"/>
          <w:b/>
          <w:spacing w:val="-2"/>
          <w:sz w:val="21"/>
        </w:rPr>
        <w:t>如何解除保险合同</w:t>
      </w:r>
    </w:p>
    <w:p>
      <w:pPr>
        <w:pStyle w:val="ListParagraph"/>
        <w:numPr>
          <w:ilvl w:val="1"/>
          <w:numId w:val="3"/>
        </w:numPr>
        <w:tabs>
          <w:tab w:pos="1218" w:val="left" w:leader="none"/>
        </w:tabs>
        <w:spacing w:line="239" w:lineRule="exact" w:before="0" w:after="0"/>
        <w:ind w:left="1217" w:right="0" w:hanging="423"/>
        <w:jc w:val="left"/>
        <w:rPr>
          <w:sz w:val="21"/>
        </w:rPr>
      </w:pPr>
      <w:r>
        <w:rPr>
          <w:spacing w:val="-4"/>
          <w:sz w:val="21"/>
        </w:rPr>
        <w:t>合同解除</w:t>
      </w:r>
    </w:p>
    <w:p>
      <w:pPr>
        <w:pStyle w:val="BodyText"/>
        <w:spacing w:before="5"/>
        <w:rPr>
          <w:sz w:val="14"/>
        </w:rPr>
      </w:pPr>
    </w:p>
    <w:p>
      <w:pPr>
        <w:pStyle w:val="ListParagraph"/>
        <w:numPr>
          <w:ilvl w:val="0"/>
          <w:numId w:val="3"/>
        </w:numPr>
        <w:tabs>
          <w:tab w:pos="902" w:val="left" w:leader="none"/>
        </w:tabs>
        <w:spacing w:line="357" w:lineRule="exact" w:before="0" w:after="0"/>
        <w:ind w:left="901" w:right="0" w:hanging="319"/>
        <w:jc w:val="left"/>
        <w:rPr>
          <w:rFonts w:ascii="微软雅黑" w:eastAsia="微软雅黑"/>
          <w:b/>
          <w:sz w:val="21"/>
        </w:rPr>
      </w:pPr>
      <w:r>
        <w:rPr>
          <w:rFonts w:ascii="微软雅黑" w:eastAsia="微软雅黑"/>
          <w:b/>
          <w:spacing w:val="-2"/>
          <w:sz w:val="21"/>
        </w:rPr>
        <w:t>其他需要关注的事项</w:t>
      </w:r>
    </w:p>
    <w:p>
      <w:pPr>
        <w:pStyle w:val="ListParagraph"/>
        <w:numPr>
          <w:ilvl w:val="1"/>
          <w:numId w:val="3"/>
        </w:numPr>
        <w:tabs>
          <w:tab w:pos="1218" w:val="left" w:leader="none"/>
        </w:tabs>
        <w:spacing w:line="235" w:lineRule="exact" w:before="0" w:after="0"/>
        <w:ind w:left="1217" w:right="0" w:hanging="423"/>
        <w:jc w:val="left"/>
        <w:rPr>
          <w:sz w:val="21"/>
        </w:rPr>
      </w:pPr>
      <w:r>
        <w:rPr>
          <w:spacing w:val="-3"/>
          <w:sz w:val="21"/>
        </w:rPr>
        <w:t>明确说明与如实告知</w:t>
      </w:r>
    </w:p>
    <w:p>
      <w:pPr>
        <w:pStyle w:val="ListParagraph"/>
        <w:numPr>
          <w:ilvl w:val="1"/>
          <w:numId w:val="3"/>
        </w:numPr>
        <w:tabs>
          <w:tab w:pos="1218" w:val="left" w:leader="none"/>
        </w:tabs>
        <w:spacing w:line="260" w:lineRule="exact" w:before="0" w:after="0"/>
        <w:ind w:left="1217" w:right="0" w:hanging="423"/>
        <w:jc w:val="left"/>
        <w:rPr>
          <w:sz w:val="21"/>
        </w:rPr>
      </w:pPr>
      <w:r>
        <w:rPr>
          <w:spacing w:val="-3"/>
          <w:sz w:val="21"/>
        </w:rPr>
        <w:t>年龄确定与错误处理</w:t>
      </w:r>
    </w:p>
    <w:p>
      <w:pPr>
        <w:pStyle w:val="ListParagraph"/>
        <w:numPr>
          <w:ilvl w:val="1"/>
          <w:numId w:val="3"/>
        </w:numPr>
        <w:tabs>
          <w:tab w:pos="1218" w:val="left" w:leader="none"/>
        </w:tabs>
        <w:spacing w:line="259" w:lineRule="exact" w:before="0" w:after="0"/>
        <w:ind w:left="1217" w:right="0" w:hanging="423"/>
        <w:jc w:val="left"/>
        <w:rPr>
          <w:sz w:val="21"/>
        </w:rPr>
      </w:pPr>
      <w:r>
        <w:rPr>
          <w:spacing w:val="-4"/>
          <w:sz w:val="21"/>
        </w:rPr>
        <w:t>未还款项</w:t>
      </w:r>
    </w:p>
    <w:p>
      <w:pPr>
        <w:pStyle w:val="ListParagraph"/>
        <w:numPr>
          <w:ilvl w:val="1"/>
          <w:numId w:val="3"/>
        </w:numPr>
        <w:tabs>
          <w:tab w:pos="1218" w:val="left" w:leader="none"/>
        </w:tabs>
        <w:spacing w:line="260" w:lineRule="exact" w:before="0" w:after="0"/>
        <w:ind w:left="1217" w:right="0" w:hanging="423"/>
        <w:jc w:val="left"/>
        <w:rPr>
          <w:sz w:val="21"/>
        </w:rPr>
      </w:pPr>
      <w:r>
        <w:rPr>
          <w:spacing w:val="-4"/>
          <w:sz w:val="21"/>
        </w:rPr>
        <w:t>合同内容变更</w:t>
      </w:r>
    </w:p>
    <w:p>
      <w:pPr>
        <w:pStyle w:val="ListParagraph"/>
        <w:numPr>
          <w:ilvl w:val="1"/>
          <w:numId w:val="3"/>
        </w:numPr>
        <w:tabs>
          <w:tab w:pos="1218" w:val="left" w:leader="none"/>
        </w:tabs>
        <w:spacing w:line="261" w:lineRule="exact" w:before="0" w:after="0"/>
        <w:ind w:left="1217" w:right="0" w:hanging="423"/>
        <w:jc w:val="left"/>
        <w:rPr>
          <w:sz w:val="21"/>
        </w:rPr>
      </w:pPr>
      <w:r>
        <w:rPr>
          <w:spacing w:val="-4"/>
          <w:sz w:val="21"/>
        </w:rPr>
        <w:t>联系方式变更</w:t>
      </w:r>
    </w:p>
    <w:p>
      <w:pPr>
        <w:pStyle w:val="ListParagraph"/>
        <w:numPr>
          <w:ilvl w:val="1"/>
          <w:numId w:val="3"/>
        </w:numPr>
        <w:tabs>
          <w:tab w:pos="1218" w:val="left" w:leader="none"/>
        </w:tabs>
        <w:spacing w:line="405" w:lineRule="auto" w:before="0" w:after="0"/>
        <w:ind w:left="583" w:right="1049" w:firstLine="211"/>
        <w:jc w:val="left"/>
        <w:rPr>
          <w:rFonts w:ascii="微软雅黑" w:eastAsia="微软雅黑"/>
          <w:b/>
          <w:sz w:val="21"/>
        </w:rPr>
      </w:pPr>
      <w:r>
        <w:rPr/>
        <w:pict>
          <v:shapetype id="_x0000_t202" o:spt="202" coordsize="21600,21600" path="m,l,21600r21600,l21600,xe">
            <v:stroke joinstyle="miter"/>
            <v:path gradientshapeok="t" o:connecttype="rect"/>
          </v:shapetype>
          <v:shape style="position:absolute;margin-left:96.524002pt;margin-top:40.424992pt;width:257.2pt;height:127.35pt;mso-position-horizontal-relative:page;mso-position-vertical-relative:paragraph;z-index:15729664"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1"/>
                    <w:gridCol w:w="2152"/>
                    <w:gridCol w:w="997"/>
                    <w:gridCol w:w="1363"/>
                  </w:tblGrid>
                  <w:tr>
                    <w:trPr>
                      <w:trHeight w:val="216" w:hRule="atLeast"/>
                    </w:trPr>
                    <w:tc>
                      <w:tcPr>
                        <w:tcW w:w="631" w:type="dxa"/>
                      </w:tcPr>
                      <w:p>
                        <w:pPr>
                          <w:pStyle w:val="TableParagraph"/>
                          <w:spacing w:line="196" w:lineRule="exact"/>
                          <w:ind w:left="0" w:right="51"/>
                          <w:jc w:val="right"/>
                          <w:rPr>
                            <w:sz w:val="21"/>
                          </w:rPr>
                        </w:pPr>
                        <w:r>
                          <w:rPr>
                            <w:spacing w:val="-5"/>
                            <w:sz w:val="21"/>
                          </w:rPr>
                          <w:t>3.4</w:t>
                        </w:r>
                      </w:p>
                    </w:tc>
                    <w:tc>
                      <w:tcPr>
                        <w:tcW w:w="2152" w:type="dxa"/>
                      </w:tcPr>
                      <w:p>
                        <w:pPr>
                          <w:pStyle w:val="TableParagraph"/>
                          <w:spacing w:line="196" w:lineRule="exact"/>
                          <w:ind w:left="52"/>
                          <w:rPr>
                            <w:sz w:val="21"/>
                          </w:rPr>
                        </w:pPr>
                        <w:r>
                          <w:rPr>
                            <w:spacing w:val="-4"/>
                            <w:sz w:val="21"/>
                          </w:rPr>
                          <w:t>保险金给付</w:t>
                        </w:r>
                      </w:p>
                    </w:tc>
                    <w:tc>
                      <w:tcPr>
                        <w:tcW w:w="997" w:type="dxa"/>
                      </w:tcPr>
                      <w:p>
                        <w:pPr>
                          <w:pStyle w:val="TableParagraph"/>
                          <w:spacing w:line="196" w:lineRule="exact"/>
                          <w:ind w:left="0" w:right="50"/>
                          <w:jc w:val="right"/>
                          <w:rPr>
                            <w:sz w:val="21"/>
                          </w:rPr>
                        </w:pPr>
                        <w:r>
                          <w:rPr>
                            <w:spacing w:val="-5"/>
                            <w:sz w:val="21"/>
                          </w:rPr>
                          <w:t>9.1</w:t>
                        </w:r>
                      </w:p>
                    </w:tc>
                    <w:tc>
                      <w:tcPr>
                        <w:tcW w:w="1363" w:type="dxa"/>
                      </w:tcPr>
                      <w:p>
                        <w:pPr>
                          <w:pStyle w:val="TableParagraph"/>
                          <w:spacing w:line="196" w:lineRule="exact"/>
                          <w:ind w:left="52"/>
                          <w:rPr>
                            <w:sz w:val="21"/>
                          </w:rPr>
                        </w:pPr>
                        <w:r>
                          <w:rPr>
                            <w:spacing w:val="-5"/>
                            <w:sz w:val="21"/>
                          </w:rPr>
                          <w:t>本公司</w:t>
                        </w:r>
                      </w:p>
                    </w:tc>
                  </w:tr>
                  <w:tr>
                    <w:trPr>
                      <w:trHeight w:val="259" w:hRule="atLeast"/>
                    </w:trPr>
                    <w:tc>
                      <w:tcPr>
                        <w:tcW w:w="631" w:type="dxa"/>
                      </w:tcPr>
                      <w:p>
                        <w:pPr>
                          <w:pStyle w:val="TableParagraph"/>
                          <w:spacing w:line="239" w:lineRule="exact"/>
                          <w:ind w:left="0" w:right="51"/>
                          <w:jc w:val="right"/>
                          <w:rPr>
                            <w:sz w:val="21"/>
                          </w:rPr>
                        </w:pPr>
                        <w:r>
                          <w:rPr>
                            <w:spacing w:val="-5"/>
                            <w:sz w:val="21"/>
                          </w:rPr>
                          <w:t>3.5</w:t>
                        </w:r>
                      </w:p>
                    </w:tc>
                    <w:tc>
                      <w:tcPr>
                        <w:tcW w:w="2152" w:type="dxa"/>
                      </w:tcPr>
                      <w:p>
                        <w:pPr>
                          <w:pStyle w:val="TableParagraph"/>
                          <w:spacing w:line="239" w:lineRule="exact"/>
                          <w:ind w:left="52"/>
                          <w:rPr>
                            <w:sz w:val="21"/>
                          </w:rPr>
                        </w:pPr>
                        <w:r>
                          <w:rPr>
                            <w:spacing w:val="-4"/>
                            <w:sz w:val="21"/>
                          </w:rPr>
                          <w:t>保险金诉讼时效</w:t>
                        </w:r>
                      </w:p>
                    </w:tc>
                    <w:tc>
                      <w:tcPr>
                        <w:tcW w:w="997" w:type="dxa"/>
                      </w:tcPr>
                      <w:p>
                        <w:pPr>
                          <w:pStyle w:val="TableParagraph"/>
                          <w:spacing w:line="225" w:lineRule="exact" w:before="14"/>
                          <w:ind w:left="0" w:right="50"/>
                          <w:jc w:val="right"/>
                          <w:rPr>
                            <w:sz w:val="21"/>
                          </w:rPr>
                        </w:pPr>
                        <w:r>
                          <w:rPr>
                            <w:spacing w:val="-5"/>
                            <w:sz w:val="21"/>
                          </w:rPr>
                          <w:t>9.2</w:t>
                        </w:r>
                      </w:p>
                    </w:tc>
                    <w:tc>
                      <w:tcPr>
                        <w:tcW w:w="1363" w:type="dxa"/>
                      </w:tcPr>
                      <w:p>
                        <w:pPr>
                          <w:pStyle w:val="TableParagraph"/>
                          <w:spacing w:line="225" w:lineRule="exact" w:before="14"/>
                          <w:ind w:left="52"/>
                          <w:rPr>
                            <w:sz w:val="21"/>
                          </w:rPr>
                        </w:pPr>
                        <w:r>
                          <w:rPr>
                            <w:spacing w:val="-4"/>
                            <w:sz w:val="21"/>
                          </w:rPr>
                          <w:t>保单年度</w:t>
                        </w:r>
                      </w:p>
                    </w:tc>
                  </w:tr>
                  <w:tr>
                    <w:trPr>
                      <w:trHeight w:val="280" w:hRule="atLeast"/>
                    </w:trPr>
                    <w:tc>
                      <w:tcPr>
                        <w:tcW w:w="631" w:type="dxa"/>
                      </w:tcPr>
                      <w:p>
                        <w:pPr>
                          <w:pStyle w:val="TableParagraph"/>
                          <w:spacing w:line="245" w:lineRule="exact"/>
                          <w:ind w:left="0" w:right="51"/>
                          <w:jc w:val="right"/>
                          <w:rPr>
                            <w:sz w:val="21"/>
                          </w:rPr>
                        </w:pPr>
                        <w:r>
                          <w:rPr>
                            <w:spacing w:val="-5"/>
                            <w:sz w:val="21"/>
                          </w:rPr>
                          <w:t>3.6</w:t>
                        </w:r>
                      </w:p>
                    </w:tc>
                    <w:tc>
                      <w:tcPr>
                        <w:tcW w:w="2152" w:type="dxa"/>
                      </w:tcPr>
                      <w:p>
                        <w:pPr>
                          <w:pStyle w:val="TableParagraph"/>
                          <w:spacing w:line="245" w:lineRule="exact"/>
                          <w:ind w:left="52"/>
                          <w:rPr>
                            <w:sz w:val="21"/>
                          </w:rPr>
                        </w:pPr>
                        <w:r>
                          <w:rPr>
                            <w:spacing w:val="-4"/>
                            <w:sz w:val="21"/>
                          </w:rPr>
                          <w:t>宣告死亡处理</w:t>
                        </w:r>
                      </w:p>
                    </w:tc>
                    <w:tc>
                      <w:tcPr>
                        <w:tcW w:w="997" w:type="dxa"/>
                      </w:tcPr>
                      <w:p>
                        <w:pPr>
                          <w:pStyle w:val="TableParagraph"/>
                          <w:spacing w:line="244" w:lineRule="exact" w:before="17"/>
                          <w:ind w:left="0" w:right="50"/>
                          <w:jc w:val="right"/>
                          <w:rPr>
                            <w:sz w:val="21"/>
                          </w:rPr>
                        </w:pPr>
                        <w:r>
                          <w:rPr>
                            <w:spacing w:val="-5"/>
                            <w:sz w:val="21"/>
                          </w:rPr>
                          <w:t>9.3</w:t>
                        </w:r>
                      </w:p>
                    </w:tc>
                    <w:tc>
                      <w:tcPr>
                        <w:tcW w:w="1363" w:type="dxa"/>
                      </w:tcPr>
                      <w:p>
                        <w:pPr>
                          <w:pStyle w:val="TableParagraph"/>
                          <w:spacing w:line="244" w:lineRule="exact" w:before="17"/>
                          <w:ind w:left="52"/>
                          <w:rPr>
                            <w:sz w:val="21"/>
                          </w:rPr>
                        </w:pPr>
                        <w:r>
                          <w:rPr>
                            <w:spacing w:val="-4"/>
                            <w:sz w:val="21"/>
                          </w:rPr>
                          <w:t>保险费应交日</w:t>
                        </w:r>
                      </w:p>
                    </w:tc>
                  </w:tr>
                  <w:tr>
                    <w:trPr>
                      <w:trHeight w:val="235" w:hRule="atLeast"/>
                    </w:trPr>
                    <w:tc>
                      <w:tcPr>
                        <w:tcW w:w="631" w:type="dxa"/>
                      </w:tcPr>
                      <w:p>
                        <w:pPr>
                          <w:pStyle w:val="TableParagraph"/>
                          <w:ind w:left="0"/>
                          <w:rPr>
                            <w:rFonts w:ascii="Times New Roman"/>
                            <w:sz w:val="16"/>
                          </w:rPr>
                        </w:pPr>
                      </w:p>
                    </w:tc>
                    <w:tc>
                      <w:tcPr>
                        <w:tcW w:w="2152" w:type="dxa"/>
                      </w:tcPr>
                      <w:p>
                        <w:pPr>
                          <w:pStyle w:val="TableParagraph"/>
                          <w:ind w:left="0"/>
                          <w:rPr>
                            <w:rFonts w:ascii="Times New Roman"/>
                            <w:sz w:val="16"/>
                          </w:rPr>
                        </w:pPr>
                      </w:p>
                    </w:tc>
                    <w:tc>
                      <w:tcPr>
                        <w:tcW w:w="997" w:type="dxa"/>
                      </w:tcPr>
                      <w:p>
                        <w:pPr>
                          <w:pStyle w:val="TableParagraph"/>
                          <w:spacing w:line="215" w:lineRule="exact"/>
                          <w:ind w:left="0" w:right="50"/>
                          <w:jc w:val="right"/>
                          <w:rPr>
                            <w:sz w:val="21"/>
                          </w:rPr>
                        </w:pPr>
                        <w:r>
                          <w:rPr>
                            <w:spacing w:val="-5"/>
                            <w:sz w:val="21"/>
                          </w:rPr>
                          <w:t>9.4</w:t>
                        </w:r>
                      </w:p>
                    </w:tc>
                    <w:tc>
                      <w:tcPr>
                        <w:tcW w:w="1363" w:type="dxa"/>
                      </w:tcPr>
                      <w:p>
                        <w:pPr>
                          <w:pStyle w:val="TableParagraph"/>
                          <w:spacing w:line="215" w:lineRule="exact"/>
                          <w:ind w:left="52"/>
                          <w:rPr>
                            <w:sz w:val="21"/>
                          </w:rPr>
                        </w:pPr>
                        <w:r>
                          <w:rPr>
                            <w:spacing w:val="-7"/>
                            <w:sz w:val="21"/>
                          </w:rPr>
                          <w:t>周岁</w:t>
                        </w:r>
                      </w:p>
                    </w:tc>
                  </w:tr>
                  <w:tr>
                    <w:trPr>
                      <w:trHeight w:val="263" w:hRule="atLeast"/>
                    </w:trPr>
                    <w:tc>
                      <w:tcPr>
                        <w:tcW w:w="2783" w:type="dxa"/>
                        <w:gridSpan w:val="2"/>
                      </w:tcPr>
                      <w:p>
                        <w:pPr>
                          <w:pStyle w:val="TableParagraph"/>
                          <w:spacing w:line="234" w:lineRule="exact"/>
                          <w:ind w:left="50"/>
                          <w:rPr>
                            <w:rFonts w:ascii="微软雅黑" w:eastAsia="微软雅黑"/>
                            <w:b/>
                            <w:sz w:val="21"/>
                          </w:rPr>
                        </w:pPr>
                        <w:r>
                          <w:rPr>
                            <w:rFonts w:ascii="微软雅黑" w:eastAsia="微软雅黑"/>
                            <w:b/>
                            <w:w w:val="95"/>
                            <w:sz w:val="21"/>
                          </w:rPr>
                          <w:t>4．</w:t>
                        </w:r>
                        <w:r>
                          <w:rPr>
                            <w:rFonts w:ascii="微软雅黑" w:eastAsia="微软雅黑"/>
                            <w:b/>
                            <w:w w:val="95"/>
                            <w:sz w:val="21"/>
                          </w:rPr>
                          <w:t>如</w:t>
                        </w:r>
                        <w:r>
                          <w:rPr>
                            <w:rFonts w:ascii="微软雅黑" w:eastAsia="微软雅黑"/>
                            <w:b/>
                            <w:w w:val="95"/>
                            <w:sz w:val="21"/>
                          </w:rPr>
                          <w:t>何</w:t>
                        </w:r>
                        <w:r>
                          <w:rPr>
                            <w:rFonts w:ascii="微软雅黑" w:eastAsia="微软雅黑"/>
                            <w:b/>
                            <w:w w:val="95"/>
                            <w:sz w:val="21"/>
                          </w:rPr>
                          <w:t>交</w:t>
                        </w:r>
                        <w:r>
                          <w:rPr>
                            <w:rFonts w:ascii="微软雅黑" w:eastAsia="微软雅黑"/>
                            <w:b/>
                            <w:w w:val="95"/>
                            <w:sz w:val="21"/>
                          </w:rPr>
                          <w:t>付</w:t>
                        </w:r>
                        <w:r>
                          <w:rPr>
                            <w:rFonts w:ascii="微软雅黑" w:eastAsia="微软雅黑"/>
                            <w:b/>
                            <w:w w:val="95"/>
                            <w:sz w:val="21"/>
                          </w:rPr>
                          <w:t>保</w:t>
                        </w:r>
                        <w:r>
                          <w:rPr>
                            <w:rFonts w:ascii="微软雅黑" w:eastAsia="微软雅黑"/>
                            <w:b/>
                            <w:w w:val="95"/>
                            <w:sz w:val="21"/>
                          </w:rPr>
                          <w:t>险</w:t>
                        </w:r>
                        <w:r>
                          <w:rPr>
                            <w:rFonts w:ascii="微软雅黑" w:eastAsia="微软雅黑"/>
                            <w:b/>
                            <w:spacing w:val="-10"/>
                            <w:w w:val="95"/>
                            <w:sz w:val="21"/>
                          </w:rPr>
                          <w:t>费</w:t>
                        </w:r>
                      </w:p>
                    </w:tc>
                    <w:tc>
                      <w:tcPr>
                        <w:tcW w:w="997" w:type="dxa"/>
                      </w:tcPr>
                      <w:p>
                        <w:pPr>
                          <w:pStyle w:val="TableParagraph"/>
                          <w:spacing w:line="224" w:lineRule="exact" w:before="10"/>
                          <w:ind w:left="0" w:right="50"/>
                          <w:jc w:val="right"/>
                          <w:rPr>
                            <w:sz w:val="21"/>
                          </w:rPr>
                        </w:pPr>
                        <w:r>
                          <w:rPr>
                            <w:spacing w:val="-5"/>
                            <w:sz w:val="21"/>
                          </w:rPr>
                          <w:t>9.5</w:t>
                        </w:r>
                      </w:p>
                    </w:tc>
                    <w:tc>
                      <w:tcPr>
                        <w:tcW w:w="1363" w:type="dxa"/>
                      </w:tcPr>
                      <w:p>
                        <w:pPr>
                          <w:pStyle w:val="TableParagraph"/>
                          <w:spacing w:line="224" w:lineRule="exact" w:before="10"/>
                          <w:ind w:left="52"/>
                          <w:rPr>
                            <w:sz w:val="21"/>
                          </w:rPr>
                        </w:pPr>
                        <w:r>
                          <w:rPr>
                            <w:spacing w:val="-4"/>
                            <w:sz w:val="21"/>
                          </w:rPr>
                          <w:t>意外伤害</w:t>
                        </w:r>
                      </w:p>
                    </w:tc>
                  </w:tr>
                  <w:tr>
                    <w:trPr>
                      <w:trHeight w:val="260" w:hRule="atLeast"/>
                    </w:trPr>
                    <w:tc>
                      <w:tcPr>
                        <w:tcW w:w="2783" w:type="dxa"/>
                        <w:gridSpan w:val="2"/>
                      </w:tcPr>
                      <w:p>
                        <w:pPr>
                          <w:pStyle w:val="TableParagraph"/>
                          <w:spacing w:line="240" w:lineRule="exact"/>
                          <w:ind w:left="261"/>
                          <w:rPr>
                            <w:sz w:val="21"/>
                          </w:rPr>
                        </w:pPr>
                        <w:r>
                          <w:rPr>
                            <w:sz w:val="21"/>
                          </w:rPr>
                          <w:t>4.1</w:t>
                        </w:r>
                        <w:r>
                          <w:rPr>
                            <w:spacing w:val="-4"/>
                            <w:sz w:val="21"/>
                          </w:rPr>
                          <w:t> 保险费的交付</w:t>
                        </w:r>
                      </w:p>
                    </w:tc>
                    <w:tc>
                      <w:tcPr>
                        <w:tcW w:w="997" w:type="dxa"/>
                      </w:tcPr>
                      <w:p>
                        <w:pPr>
                          <w:pStyle w:val="TableParagraph"/>
                          <w:spacing w:line="223" w:lineRule="exact" w:before="17"/>
                          <w:ind w:left="0" w:right="50"/>
                          <w:jc w:val="right"/>
                          <w:rPr>
                            <w:sz w:val="21"/>
                          </w:rPr>
                        </w:pPr>
                        <w:r>
                          <w:rPr>
                            <w:spacing w:val="-5"/>
                            <w:sz w:val="21"/>
                          </w:rPr>
                          <w:t>9.6</w:t>
                        </w:r>
                      </w:p>
                    </w:tc>
                    <w:tc>
                      <w:tcPr>
                        <w:tcW w:w="1363" w:type="dxa"/>
                      </w:tcPr>
                      <w:p>
                        <w:pPr>
                          <w:pStyle w:val="TableParagraph"/>
                          <w:spacing w:line="223" w:lineRule="exact" w:before="17"/>
                          <w:ind w:left="52"/>
                          <w:rPr>
                            <w:sz w:val="21"/>
                          </w:rPr>
                        </w:pPr>
                        <w:r>
                          <w:rPr>
                            <w:spacing w:val="-4"/>
                            <w:sz w:val="21"/>
                          </w:rPr>
                          <w:t>轻度疾病</w:t>
                        </w:r>
                      </w:p>
                    </w:tc>
                  </w:tr>
                  <w:tr>
                    <w:trPr>
                      <w:trHeight w:val="279" w:hRule="atLeast"/>
                    </w:trPr>
                    <w:tc>
                      <w:tcPr>
                        <w:tcW w:w="2783" w:type="dxa"/>
                        <w:gridSpan w:val="2"/>
                      </w:tcPr>
                      <w:p>
                        <w:pPr>
                          <w:pStyle w:val="TableParagraph"/>
                          <w:spacing w:line="244" w:lineRule="exact"/>
                          <w:ind w:left="261"/>
                          <w:rPr>
                            <w:sz w:val="21"/>
                          </w:rPr>
                        </w:pPr>
                        <w:r>
                          <w:rPr>
                            <w:sz w:val="21"/>
                          </w:rPr>
                          <w:t>4.2</w:t>
                        </w:r>
                        <w:r>
                          <w:rPr>
                            <w:spacing w:val="-4"/>
                            <w:sz w:val="21"/>
                          </w:rPr>
                          <w:t> 宽限期</w:t>
                        </w:r>
                      </w:p>
                    </w:tc>
                    <w:tc>
                      <w:tcPr>
                        <w:tcW w:w="997" w:type="dxa"/>
                      </w:tcPr>
                      <w:p>
                        <w:pPr>
                          <w:pStyle w:val="TableParagraph"/>
                          <w:spacing w:line="244" w:lineRule="exact" w:before="16"/>
                          <w:ind w:left="0" w:right="50"/>
                          <w:jc w:val="right"/>
                          <w:rPr>
                            <w:sz w:val="21"/>
                          </w:rPr>
                        </w:pPr>
                        <w:r>
                          <w:rPr>
                            <w:spacing w:val="-5"/>
                            <w:sz w:val="21"/>
                          </w:rPr>
                          <w:t>9.7</w:t>
                        </w:r>
                      </w:p>
                    </w:tc>
                    <w:tc>
                      <w:tcPr>
                        <w:tcW w:w="1363" w:type="dxa"/>
                      </w:tcPr>
                      <w:p>
                        <w:pPr>
                          <w:pStyle w:val="TableParagraph"/>
                          <w:spacing w:line="244" w:lineRule="exact" w:before="16"/>
                          <w:ind w:left="52"/>
                          <w:rPr>
                            <w:sz w:val="21"/>
                          </w:rPr>
                        </w:pPr>
                        <w:r>
                          <w:rPr>
                            <w:spacing w:val="-4"/>
                            <w:sz w:val="21"/>
                          </w:rPr>
                          <w:t>中度疾病</w:t>
                        </w:r>
                      </w:p>
                    </w:tc>
                  </w:tr>
                  <w:tr>
                    <w:trPr>
                      <w:trHeight w:val="240" w:hRule="atLeast"/>
                    </w:trPr>
                    <w:tc>
                      <w:tcPr>
                        <w:tcW w:w="2783" w:type="dxa"/>
                        <w:gridSpan w:val="2"/>
                      </w:tcPr>
                      <w:p>
                        <w:pPr>
                          <w:pStyle w:val="TableParagraph"/>
                          <w:ind w:left="0"/>
                          <w:rPr>
                            <w:rFonts w:ascii="Times New Roman"/>
                            <w:sz w:val="16"/>
                          </w:rPr>
                        </w:pPr>
                      </w:p>
                    </w:tc>
                    <w:tc>
                      <w:tcPr>
                        <w:tcW w:w="997" w:type="dxa"/>
                      </w:tcPr>
                      <w:p>
                        <w:pPr>
                          <w:pStyle w:val="TableParagraph"/>
                          <w:spacing w:line="220" w:lineRule="exact"/>
                          <w:ind w:left="0" w:right="50"/>
                          <w:jc w:val="right"/>
                          <w:rPr>
                            <w:sz w:val="21"/>
                          </w:rPr>
                        </w:pPr>
                        <w:r>
                          <w:rPr>
                            <w:spacing w:val="-5"/>
                            <w:sz w:val="21"/>
                          </w:rPr>
                          <w:t>9.8</w:t>
                        </w:r>
                      </w:p>
                    </w:tc>
                    <w:tc>
                      <w:tcPr>
                        <w:tcW w:w="1363" w:type="dxa"/>
                      </w:tcPr>
                      <w:p>
                        <w:pPr>
                          <w:pStyle w:val="TableParagraph"/>
                          <w:spacing w:line="220" w:lineRule="exact"/>
                          <w:ind w:left="52"/>
                          <w:rPr>
                            <w:sz w:val="21"/>
                          </w:rPr>
                        </w:pPr>
                        <w:r>
                          <w:rPr>
                            <w:spacing w:val="-4"/>
                            <w:sz w:val="21"/>
                          </w:rPr>
                          <w:t>重度疾病</w:t>
                        </w:r>
                      </w:p>
                    </w:tc>
                  </w:tr>
                  <w:tr>
                    <w:trPr>
                      <w:trHeight w:val="256" w:hRule="atLeast"/>
                    </w:trPr>
                    <w:tc>
                      <w:tcPr>
                        <w:tcW w:w="2783" w:type="dxa"/>
                        <w:gridSpan w:val="2"/>
                      </w:tcPr>
                      <w:p>
                        <w:pPr>
                          <w:pStyle w:val="TableParagraph"/>
                          <w:spacing w:line="237" w:lineRule="exact"/>
                          <w:ind w:left="50"/>
                          <w:rPr>
                            <w:rFonts w:ascii="微软雅黑" w:eastAsia="微软雅黑"/>
                            <w:b/>
                            <w:sz w:val="21"/>
                          </w:rPr>
                        </w:pPr>
                        <w:r>
                          <w:rPr>
                            <w:rFonts w:ascii="微软雅黑" w:eastAsia="微软雅黑"/>
                            <w:b/>
                            <w:w w:val="95"/>
                            <w:sz w:val="21"/>
                          </w:rPr>
                          <w:t>5．</w:t>
                        </w:r>
                        <w:r>
                          <w:rPr>
                            <w:rFonts w:ascii="微软雅黑" w:eastAsia="微软雅黑"/>
                            <w:b/>
                            <w:w w:val="95"/>
                            <w:sz w:val="21"/>
                          </w:rPr>
                          <w:t>现</w:t>
                        </w:r>
                        <w:r>
                          <w:rPr>
                            <w:rFonts w:ascii="微软雅黑" w:eastAsia="微软雅黑"/>
                            <w:b/>
                            <w:w w:val="95"/>
                            <w:sz w:val="21"/>
                          </w:rPr>
                          <w:t>金</w:t>
                        </w:r>
                        <w:r>
                          <w:rPr>
                            <w:rFonts w:ascii="微软雅黑" w:eastAsia="微软雅黑"/>
                            <w:b/>
                            <w:w w:val="95"/>
                            <w:sz w:val="21"/>
                          </w:rPr>
                          <w:t>价</w:t>
                        </w:r>
                        <w:r>
                          <w:rPr>
                            <w:rFonts w:ascii="微软雅黑" w:eastAsia="微软雅黑"/>
                            <w:b/>
                            <w:w w:val="95"/>
                            <w:sz w:val="21"/>
                          </w:rPr>
                          <w:t>值</w:t>
                        </w:r>
                        <w:r>
                          <w:rPr>
                            <w:rFonts w:ascii="微软雅黑" w:eastAsia="微软雅黑"/>
                            <w:b/>
                            <w:w w:val="95"/>
                            <w:sz w:val="21"/>
                          </w:rPr>
                          <w:t>权</w:t>
                        </w:r>
                        <w:r>
                          <w:rPr>
                            <w:rFonts w:ascii="微软雅黑" w:eastAsia="微软雅黑"/>
                            <w:b/>
                            <w:spacing w:val="-10"/>
                            <w:w w:val="95"/>
                            <w:sz w:val="21"/>
                          </w:rPr>
                          <w:t>益</w:t>
                        </w:r>
                      </w:p>
                    </w:tc>
                    <w:tc>
                      <w:tcPr>
                        <w:tcW w:w="997" w:type="dxa"/>
                      </w:tcPr>
                      <w:p>
                        <w:pPr>
                          <w:pStyle w:val="TableParagraph"/>
                          <w:spacing w:line="220" w:lineRule="exact" w:before="17"/>
                          <w:ind w:left="0" w:right="50"/>
                          <w:jc w:val="right"/>
                          <w:rPr>
                            <w:sz w:val="21"/>
                          </w:rPr>
                        </w:pPr>
                        <w:r>
                          <w:rPr>
                            <w:spacing w:val="-5"/>
                            <w:sz w:val="21"/>
                          </w:rPr>
                          <w:t>9.9</w:t>
                        </w:r>
                      </w:p>
                    </w:tc>
                    <w:tc>
                      <w:tcPr>
                        <w:tcW w:w="1363" w:type="dxa"/>
                      </w:tcPr>
                      <w:p>
                        <w:pPr>
                          <w:pStyle w:val="TableParagraph"/>
                          <w:spacing w:line="220" w:lineRule="exact" w:before="17"/>
                          <w:ind w:left="52"/>
                          <w:rPr>
                            <w:sz w:val="21"/>
                          </w:rPr>
                        </w:pPr>
                        <w:r>
                          <w:rPr>
                            <w:spacing w:val="-7"/>
                            <w:sz w:val="21"/>
                          </w:rPr>
                          <w:t>全残</w:t>
                        </w:r>
                      </w:p>
                    </w:tc>
                  </w:tr>
                  <w:tr>
                    <w:trPr>
                      <w:trHeight w:val="259" w:hRule="atLeast"/>
                    </w:trPr>
                    <w:tc>
                      <w:tcPr>
                        <w:tcW w:w="2783" w:type="dxa"/>
                        <w:gridSpan w:val="2"/>
                      </w:tcPr>
                      <w:p>
                        <w:pPr>
                          <w:pStyle w:val="TableParagraph"/>
                          <w:spacing w:line="239" w:lineRule="exact"/>
                          <w:ind w:left="261"/>
                          <w:rPr>
                            <w:sz w:val="21"/>
                          </w:rPr>
                        </w:pPr>
                        <w:r>
                          <w:rPr>
                            <w:sz w:val="21"/>
                          </w:rPr>
                          <w:t>5.1</w:t>
                        </w:r>
                        <w:r>
                          <w:rPr>
                            <w:spacing w:val="-4"/>
                            <w:sz w:val="21"/>
                          </w:rPr>
                          <w:t> 现金价值</w:t>
                        </w:r>
                      </w:p>
                    </w:tc>
                    <w:tc>
                      <w:tcPr>
                        <w:tcW w:w="2360" w:type="dxa"/>
                        <w:gridSpan w:val="2"/>
                      </w:tcPr>
                      <w:p>
                        <w:pPr>
                          <w:pStyle w:val="TableParagraph"/>
                          <w:spacing w:line="220" w:lineRule="exact" w:before="19"/>
                          <w:ind w:left="627"/>
                          <w:rPr>
                            <w:sz w:val="21"/>
                          </w:rPr>
                        </w:pPr>
                        <w:r>
                          <w:rPr>
                            <w:sz w:val="21"/>
                          </w:rPr>
                          <w:t>9.10</w:t>
                        </w:r>
                        <w:r>
                          <w:rPr>
                            <w:spacing w:val="-5"/>
                            <w:sz w:val="21"/>
                          </w:rPr>
                          <w:t> 疾病终末期</w:t>
                        </w:r>
                      </w:p>
                    </w:tc>
                  </w:tr>
                </w:tbl>
                <w:p>
                  <w:pPr>
                    <w:pStyle w:val="BodyText"/>
                    <w:spacing w:before="0"/>
                  </w:pPr>
                </w:p>
              </w:txbxContent>
            </v:textbox>
            <w10:wrap type="none"/>
          </v:shape>
        </w:pict>
      </w:r>
      <w:r>
        <w:rPr>
          <w:spacing w:val="-4"/>
          <w:sz w:val="21"/>
        </w:rPr>
        <w:t>争议处理</w:t>
      </w:r>
      <w:r>
        <w:rPr>
          <w:spacing w:val="-4"/>
          <w:sz w:val="21"/>
        </w:rPr>
        <w:t> </w:t>
      </w:r>
      <w:r>
        <w:rPr>
          <w:rFonts w:ascii="微软雅黑" w:eastAsia="微软雅黑"/>
          <w:b/>
          <w:spacing w:val="-4"/>
          <w:sz w:val="21"/>
        </w:rPr>
        <w:t>9．释义</w:t>
      </w:r>
    </w:p>
    <w:p>
      <w:pPr>
        <w:pStyle w:val="ListParagraph"/>
        <w:numPr>
          <w:ilvl w:val="1"/>
          <w:numId w:val="4"/>
        </w:numPr>
        <w:tabs>
          <w:tab w:pos="1219" w:val="left" w:leader="none"/>
        </w:tabs>
        <w:spacing w:line="237" w:lineRule="exact" w:before="0" w:after="0"/>
        <w:ind w:left="1218" w:right="0" w:hanging="528"/>
        <w:jc w:val="left"/>
        <w:rPr>
          <w:sz w:val="21"/>
        </w:rPr>
      </w:pPr>
      <w:r>
        <w:rPr>
          <w:sz w:val="21"/>
        </w:rPr>
        <w:br w:type="column"/>
      </w:r>
      <w:r>
        <w:rPr>
          <w:spacing w:val="-4"/>
          <w:sz w:val="21"/>
        </w:rPr>
        <w:t>累计已交保险费</w:t>
      </w:r>
    </w:p>
    <w:p>
      <w:pPr>
        <w:pStyle w:val="ListParagraph"/>
        <w:numPr>
          <w:ilvl w:val="1"/>
          <w:numId w:val="4"/>
        </w:numPr>
        <w:tabs>
          <w:tab w:pos="1219" w:val="left" w:leader="none"/>
        </w:tabs>
        <w:spacing w:line="261" w:lineRule="exact" w:before="0" w:after="0"/>
        <w:ind w:left="1218" w:right="0" w:hanging="528"/>
        <w:jc w:val="left"/>
        <w:rPr>
          <w:sz w:val="21"/>
        </w:rPr>
      </w:pPr>
      <w:r>
        <w:rPr>
          <w:spacing w:val="-5"/>
          <w:sz w:val="21"/>
        </w:rPr>
        <w:t>医院</w:t>
      </w:r>
    </w:p>
    <w:p>
      <w:pPr>
        <w:pStyle w:val="ListParagraph"/>
        <w:numPr>
          <w:ilvl w:val="1"/>
          <w:numId w:val="4"/>
        </w:numPr>
        <w:tabs>
          <w:tab w:pos="1219" w:val="left" w:leader="none"/>
        </w:tabs>
        <w:spacing w:line="259" w:lineRule="exact" w:before="0" w:after="0"/>
        <w:ind w:left="1218" w:right="0" w:hanging="528"/>
        <w:jc w:val="left"/>
        <w:rPr>
          <w:sz w:val="21"/>
        </w:rPr>
      </w:pPr>
      <w:r>
        <w:rPr>
          <w:spacing w:val="-4"/>
          <w:sz w:val="21"/>
        </w:rPr>
        <w:t>专科医生</w:t>
      </w:r>
    </w:p>
    <w:p>
      <w:pPr>
        <w:pStyle w:val="ListParagraph"/>
        <w:numPr>
          <w:ilvl w:val="1"/>
          <w:numId w:val="4"/>
        </w:numPr>
        <w:tabs>
          <w:tab w:pos="1219" w:val="left" w:leader="none"/>
        </w:tabs>
        <w:spacing w:line="260" w:lineRule="exact" w:before="0" w:after="0"/>
        <w:ind w:left="1218" w:right="0" w:hanging="528"/>
        <w:jc w:val="left"/>
        <w:rPr>
          <w:sz w:val="21"/>
        </w:rPr>
      </w:pPr>
      <w:r>
        <w:rPr>
          <w:spacing w:val="-4"/>
          <w:sz w:val="21"/>
        </w:rPr>
        <w:t>重度疾病分组表</w:t>
      </w:r>
    </w:p>
    <w:p>
      <w:pPr>
        <w:pStyle w:val="ListParagraph"/>
        <w:numPr>
          <w:ilvl w:val="1"/>
          <w:numId w:val="4"/>
        </w:numPr>
        <w:tabs>
          <w:tab w:pos="1219" w:val="left" w:leader="none"/>
        </w:tabs>
        <w:spacing w:line="265" w:lineRule="exact" w:before="0" w:after="0"/>
        <w:ind w:left="1218" w:right="0" w:hanging="528"/>
        <w:jc w:val="left"/>
        <w:rPr>
          <w:sz w:val="21"/>
        </w:rPr>
      </w:pPr>
      <w:r>
        <w:rPr>
          <w:spacing w:val="-4"/>
          <w:sz w:val="21"/>
        </w:rPr>
        <w:t>保险事故</w:t>
      </w:r>
    </w:p>
    <w:p>
      <w:pPr>
        <w:pStyle w:val="ListParagraph"/>
        <w:numPr>
          <w:ilvl w:val="1"/>
          <w:numId w:val="4"/>
        </w:numPr>
        <w:tabs>
          <w:tab w:pos="1219" w:val="left" w:leader="none"/>
        </w:tabs>
        <w:spacing w:line="240" w:lineRule="auto" w:before="4" w:after="0"/>
        <w:ind w:left="1218" w:right="0" w:hanging="528"/>
        <w:jc w:val="left"/>
        <w:rPr>
          <w:sz w:val="21"/>
        </w:rPr>
      </w:pPr>
      <w:r>
        <w:rPr>
          <w:spacing w:val="-5"/>
          <w:sz w:val="21"/>
        </w:rPr>
        <w:t>毒品</w:t>
      </w:r>
    </w:p>
    <w:p>
      <w:pPr>
        <w:pStyle w:val="ListParagraph"/>
        <w:numPr>
          <w:ilvl w:val="1"/>
          <w:numId w:val="4"/>
        </w:numPr>
        <w:tabs>
          <w:tab w:pos="1219" w:val="left" w:leader="none"/>
        </w:tabs>
        <w:spacing w:line="240" w:lineRule="auto" w:before="12" w:after="0"/>
        <w:ind w:left="1218" w:right="0" w:hanging="528"/>
        <w:jc w:val="left"/>
        <w:rPr>
          <w:sz w:val="21"/>
        </w:rPr>
      </w:pPr>
      <w:r>
        <w:rPr>
          <w:spacing w:val="-4"/>
          <w:sz w:val="21"/>
        </w:rPr>
        <w:t>酒后驾驶</w:t>
      </w:r>
    </w:p>
    <w:p>
      <w:pPr>
        <w:pStyle w:val="ListParagraph"/>
        <w:numPr>
          <w:ilvl w:val="1"/>
          <w:numId w:val="4"/>
        </w:numPr>
        <w:tabs>
          <w:tab w:pos="1238" w:val="left" w:leader="none"/>
        </w:tabs>
        <w:spacing w:line="249" w:lineRule="auto" w:before="9" w:after="0"/>
        <w:ind w:left="1215" w:right="513" w:hanging="524"/>
        <w:jc w:val="left"/>
        <w:rPr>
          <w:sz w:val="21"/>
        </w:rPr>
      </w:pPr>
      <w:r>
        <w:rPr>
          <w:spacing w:val="10"/>
          <w:sz w:val="21"/>
        </w:rPr>
        <w:t>无合法有效驾驶证</w:t>
      </w:r>
      <w:r>
        <w:rPr>
          <w:spacing w:val="-6"/>
          <w:sz w:val="21"/>
        </w:rPr>
        <w:t>驾驶</w:t>
      </w:r>
    </w:p>
    <w:p>
      <w:pPr>
        <w:pStyle w:val="ListParagraph"/>
        <w:numPr>
          <w:ilvl w:val="1"/>
          <w:numId w:val="4"/>
        </w:numPr>
        <w:tabs>
          <w:tab w:pos="1219" w:val="left" w:leader="none"/>
        </w:tabs>
        <w:spacing w:line="240" w:lineRule="auto" w:before="2" w:after="0"/>
        <w:ind w:left="1218" w:right="0" w:hanging="528"/>
        <w:jc w:val="left"/>
        <w:rPr>
          <w:sz w:val="21"/>
        </w:rPr>
      </w:pPr>
      <w:r>
        <w:rPr>
          <w:spacing w:val="-4"/>
          <w:sz w:val="21"/>
        </w:rPr>
        <w:t>无有效行驶证</w:t>
      </w:r>
    </w:p>
    <w:p>
      <w:pPr>
        <w:pStyle w:val="ListParagraph"/>
        <w:numPr>
          <w:ilvl w:val="1"/>
          <w:numId w:val="4"/>
        </w:numPr>
        <w:tabs>
          <w:tab w:pos="1219" w:val="left" w:leader="none"/>
        </w:tabs>
        <w:spacing w:line="240" w:lineRule="auto" w:before="10" w:after="0"/>
        <w:ind w:left="1218" w:right="0" w:hanging="528"/>
        <w:jc w:val="left"/>
        <w:rPr>
          <w:sz w:val="21"/>
        </w:rPr>
      </w:pPr>
      <w:r>
        <w:rPr>
          <w:spacing w:val="-5"/>
          <w:sz w:val="21"/>
        </w:rPr>
        <w:t>机动车</w:t>
      </w:r>
    </w:p>
    <w:p>
      <w:pPr>
        <w:pStyle w:val="ListParagraph"/>
        <w:numPr>
          <w:ilvl w:val="1"/>
          <w:numId w:val="4"/>
        </w:numPr>
        <w:tabs>
          <w:tab w:pos="1219" w:val="left" w:leader="none"/>
        </w:tabs>
        <w:spacing w:line="249" w:lineRule="auto" w:before="11" w:after="0"/>
        <w:ind w:left="1215" w:right="648" w:hanging="524"/>
        <w:jc w:val="left"/>
        <w:rPr>
          <w:sz w:val="21"/>
        </w:rPr>
      </w:pPr>
      <w:r>
        <w:rPr>
          <w:spacing w:val="-2"/>
          <w:sz w:val="21"/>
        </w:rPr>
        <w:t>感染艾滋病病毒或</w:t>
      </w:r>
      <w:r>
        <w:rPr>
          <w:spacing w:val="-4"/>
          <w:sz w:val="21"/>
        </w:rPr>
        <w:t>患艾滋病</w:t>
      </w:r>
    </w:p>
    <w:p>
      <w:pPr>
        <w:pStyle w:val="ListParagraph"/>
        <w:numPr>
          <w:ilvl w:val="1"/>
          <w:numId w:val="4"/>
        </w:numPr>
        <w:tabs>
          <w:tab w:pos="1219" w:val="left" w:leader="none"/>
        </w:tabs>
        <w:spacing w:line="250" w:lineRule="exact" w:before="0" w:after="0"/>
        <w:ind w:left="1218" w:right="0" w:hanging="528"/>
        <w:jc w:val="left"/>
        <w:rPr>
          <w:sz w:val="21"/>
        </w:rPr>
      </w:pPr>
      <w:r>
        <w:rPr>
          <w:spacing w:val="-4"/>
          <w:sz w:val="21"/>
        </w:rPr>
        <w:t>遗传性疾病</w:t>
      </w:r>
    </w:p>
    <w:p>
      <w:pPr>
        <w:pStyle w:val="ListParagraph"/>
        <w:numPr>
          <w:ilvl w:val="1"/>
          <w:numId w:val="4"/>
        </w:numPr>
        <w:tabs>
          <w:tab w:pos="1219" w:val="left" w:leader="none"/>
        </w:tabs>
        <w:spacing w:line="232" w:lineRule="auto" w:before="3" w:after="0"/>
        <w:ind w:left="1215" w:right="648" w:hanging="524"/>
        <w:jc w:val="left"/>
        <w:rPr>
          <w:sz w:val="21"/>
        </w:rPr>
      </w:pPr>
      <w:r>
        <w:rPr>
          <w:spacing w:val="-2"/>
          <w:sz w:val="21"/>
        </w:rPr>
        <w:t>先天性畸形、变形</w:t>
      </w:r>
      <w:r>
        <w:rPr>
          <w:spacing w:val="-2"/>
          <w:sz w:val="21"/>
        </w:rPr>
        <w:t>或染色体异常</w:t>
      </w:r>
    </w:p>
    <w:p>
      <w:pPr>
        <w:pStyle w:val="ListParagraph"/>
        <w:numPr>
          <w:ilvl w:val="1"/>
          <w:numId w:val="4"/>
        </w:numPr>
        <w:tabs>
          <w:tab w:pos="1219" w:val="left" w:leader="none"/>
        </w:tabs>
        <w:spacing w:line="256" w:lineRule="exact" w:before="0" w:after="0"/>
        <w:ind w:left="1218" w:right="0" w:hanging="528"/>
        <w:jc w:val="left"/>
        <w:rPr>
          <w:sz w:val="21"/>
        </w:rPr>
      </w:pPr>
      <w:r>
        <w:rPr>
          <w:spacing w:val="-4"/>
          <w:sz w:val="21"/>
        </w:rPr>
        <w:t>其他权利人</w:t>
      </w:r>
    </w:p>
    <w:p>
      <w:pPr>
        <w:pStyle w:val="ListParagraph"/>
        <w:numPr>
          <w:ilvl w:val="1"/>
          <w:numId w:val="4"/>
        </w:numPr>
        <w:tabs>
          <w:tab w:pos="1219" w:val="left" w:leader="none"/>
        </w:tabs>
        <w:spacing w:line="260" w:lineRule="exact" w:before="0" w:after="0"/>
        <w:ind w:left="1218" w:right="0" w:hanging="528"/>
        <w:jc w:val="left"/>
        <w:rPr>
          <w:sz w:val="21"/>
        </w:rPr>
      </w:pPr>
      <w:r>
        <w:rPr>
          <w:spacing w:val="-4"/>
          <w:sz w:val="21"/>
        </w:rPr>
        <w:t>不可抗力</w:t>
      </w:r>
    </w:p>
    <w:p>
      <w:pPr>
        <w:pStyle w:val="ListParagraph"/>
        <w:numPr>
          <w:ilvl w:val="1"/>
          <w:numId w:val="4"/>
        </w:numPr>
        <w:tabs>
          <w:tab w:pos="1219" w:val="left" w:leader="none"/>
        </w:tabs>
        <w:spacing w:line="259" w:lineRule="exact" w:before="0" w:after="0"/>
        <w:ind w:left="1218" w:right="0" w:hanging="528"/>
        <w:jc w:val="left"/>
        <w:rPr>
          <w:sz w:val="21"/>
        </w:rPr>
      </w:pPr>
      <w:r>
        <w:rPr>
          <w:spacing w:val="-4"/>
          <w:sz w:val="21"/>
        </w:rPr>
        <w:t>法定身份证明</w:t>
      </w:r>
    </w:p>
    <w:p>
      <w:pPr>
        <w:pStyle w:val="ListParagraph"/>
        <w:numPr>
          <w:ilvl w:val="1"/>
          <w:numId w:val="4"/>
        </w:numPr>
        <w:tabs>
          <w:tab w:pos="1219" w:val="left" w:leader="none"/>
        </w:tabs>
        <w:spacing w:line="260" w:lineRule="exact" w:before="0" w:after="0"/>
        <w:ind w:left="1218" w:right="0" w:hanging="528"/>
        <w:jc w:val="left"/>
        <w:rPr>
          <w:sz w:val="21"/>
        </w:rPr>
      </w:pPr>
      <w:r>
        <w:rPr>
          <w:spacing w:val="-4"/>
          <w:sz w:val="21"/>
        </w:rPr>
        <w:t>约定利率</w:t>
      </w:r>
    </w:p>
    <w:p>
      <w:pPr>
        <w:pStyle w:val="ListParagraph"/>
        <w:numPr>
          <w:ilvl w:val="1"/>
          <w:numId w:val="4"/>
        </w:numPr>
        <w:tabs>
          <w:tab w:pos="1219" w:val="left" w:leader="none"/>
        </w:tabs>
        <w:spacing w:line="265" w:lineRule="exact" w:before="0" w:after="0"/>
        <w:ind w:left="1218" w:right="0" w:hanging="528"/>
        <w:jc w:val="left"/>
        <w:rPr>
          <w:sz w:val="21"/>
        </w:rPr>
      </w:pPr>
      <w:r>
        <w:rPr>
          <w:spacing w:val="-4"/>
          <w:sz w:val="21"/>
        </w:rPr>
        <w:t>现金价值净额</w:t>
      </w:r>
    </w:p>
    <w:p>
      <w:pPr>
        <w:spacing w:after="0" w:line="265" w:lineRule="exact"/>
        <w:jc w:val="left"/>
        <w:rPr>
          <w:sz w:val="21"/>
        </w:rPr>
        <w:sectPr>
          <w:type w:val="continuous"/>
          <w:pgSz w:w="11910" w:h="16840"/>
          <w:pgMar w:top="620" w:bottom="280" w:left="800" w:right="660"/>
          <w:cols w:num="3" w:equalWidth="0">
            <w:col w:w="3706" w:space="40"/>
            <w:col w:w="3110" w:space="39"/>
            <w:col w:w="3555"/>
          </w:cols>
        </w:sectPr>
      </w:pPr>
    </w:p>
    <w:p>
      <w:pPr>
        <w:spacing w:before="15"/>
        <w:ind w:left="2405" w:right="2540" w:firstLine="0"/>
        <w:jc w:val="center"/>
        <w:rPr>
          <w:rFonts w:ascii="微软雅黑" w:eastAsia="微软雅黑"/>
          <w:b/>
          <w:sz w:val="32"/>
        </w:rPr>
      </w:pPr>
      <w:r>
        <w:rPr>
          <w:rFonts w:ascii="微软雅黑" w:eastAsia="微软雅黑"/>
          <w:b/>
          <w:w w:val="95"/>
          <w:sz w:val="32"/>
        </w:rPr>
        <w:t>君</w:t>
      </w:r>
      <w:r>
        <w:rPr>
          <w:rFonts w:ascii="微软雅黑" w:eastAsia="微软雅黑"/>
          <w:b/>
          <w:w w:val="95"/>
          <w:sz w:val="32"/>
        </w:rPr>
        <w:t>康</w:t>
      </w:r>
      <w:r>
        <w:rPr>
          <w:rFonts w:ascii="微软雅黑" w:eastAsia="微软雅黑"/>
          <w:b/>
          <w:w w:val="95"/>
          <w:sz w:val="32"/>
        </w:rPr>
        <w:t>人</w:t>
      </w:r>
      <w:r>
        <w:rPr>
          <w:rFonts w:ascii="微软雅黑" w:eastAsia="微软雅黑"/>
          <w:b/>
          <w:w w:val="95"/>
          <w:sz w:val="32"/>
        </w:rPr>
        <w:t>寿</w:t>
      </w:r>
      <w:r>
        <w:rPr>
          <w:rFonts w:ascii="微软雅黑" w:eastAsia="微软雅黑"/>
          <w:b/>
          <w:w w:val="95"/>
          <w:sz w:val="32"/>
        </w:rPr>
        <w:t>保</w:t>
      </w:r>
      <w:r>
        <w:rPr>
          <w:rFonts w:ascii="微软雅黑" w:eastAsia="微软雅黑"/>
          <w:b/>
          <w:w w:val="95"/>
          <w:sz w:val="32"/>
        </w:rPr>
        <w:t>险</w:t>
      </w:r>
      <w:r>
        <w:rPr>
          <w:rFonts w:ascii="微软雅黑" w:eastAsia="微软雅黑"/>
          <w:b/>
          <w:w w:val="95"/>
          <w:sz w:val="32"/>
        </w:rPr>
        <w:t>股份</w:t>
      </w:r>
      <w:r>
        <w:rPr>
          <w:rFonts w:ascii="微软雅黑" w:eastAsia="微软雅黑"/>
          <w:b/>
          <w:w w:val="95"/>
          <w:sz w:val="32"/>
        </w:rPr>
        <w:t>有</w:t>
      </w:r>
      <w:r>
        <w:rPr>
          <w:rFonts w:ascii="微软雅黑" w:eastAsia="微软雅黑"/>
          <w:b/>
          <w:w w:val="95"/>
          <w:sz w:val="32"/>
        </w:rPr>
        <w:t>限</w:t>
      </w:r>
      <w:r>
        <w:rPr>
          <w:rFonts w:ascii="微软雅黑" w:eastAsia="微软雅黑"/>
          <w:b/>
          <w:w w:val="95"/>
          <w:sz w:val="32"/>
        </w:rPr>
        <w:t>公</w:t>
      </w:r>
      <w:r>
        <w:rPr>
          <w:rFonts w:ascii="微软雅黑" w:eastAsia="微软雅黑"/>
          <w:b/>
          <w:spacing w:val="-10"/>
          <w:w w:val="95"/>
          <w:sz w:val="32"/>
        </w:rPr>
        <w:t>司</w:t>
      </w:r>
    </w:p>
    <w:p>
      <w:pPr>
        <w:spacing w:before="34"/>
        <w:ind w:left="2405" w:right="2543" w:firstLine="0"/>
        <w:jc w:val="center"/>
        <w:rPr>
          <w:rFonts w:ascii="微软雅黑" w:eastAsia="微软雅黑"/>
          <w:b/>
          <w:sz w:val="32"/>
        </w:rPr>
      </w:pPr>
      <w:r>
        <w:rPr>
          <w:rFonts w:ascii="微软雅黑" w:eastAsia="微软雅黑"/>
          <w:b/>
          <w:w w:val="95"/>
          <w:sz w:val="32"/>
        </w:rPr>
        <w:t>君康</w:t>
      </w:r>
      <w:r>
        <w:rPr>
          <w:rFonts w:ascii="微软雅黑" w:eastAsia="微软雅黑"/>
          <w:b/>
          <w:w w:val="95"/>
          <w:sz w:val="32"/>
        </w:rPr>
        <w:t>多</w:t>
      </w:r>
      <w:r>
        <w:rPr>
          <w:rFonts w:ascii="微软雅黑" w:eastAsia="微软雅黑"/>
          <w:b/>
          <w:w w:val="95"/>
          <w:sz w:val="32"/>
        </w:rPr>
        <w:t>倍</w:t>
      </w:r>
      <w:r>
        <w:rPr>
          <w:rFonts w:ascii="微软雅黑" w:eastAsia="微软雅黑"/>
          <w:b/>
          <w:w w:val="95"/>
          <w:sz w:val="32"/>
        </w:rPr>
        <w:t>宝</w:t>
      </w:r>
      <w:r>
        <w:rPr>
          <w:rFonts w:ascii="微软雅黑" w:eastAsia="微软雅黑"/>
          <w:b/>
          <w:w w:val="95"/>
          <w:sz w:val="32"/>
        </w:rPr>
        <w:t>（臻</w:t>
      </w:r>
      <w:r>
        <w:rPr>
          <w:rFonts w:ascii="微软雅黑" w:eastAsia="微软雅黑"/>
          <w:b/>
          <w:w w:val="95"/>
          <w:sz w:val="32"/>
        </w:rPr>
        <w:t>享</w:t>
      </w:r>
      <w:r>
        <w:rPr>
          <w:rFonts w:ascii="微软雅黑" w:eastAsia="微软雅黑"/>
          <w:b/>
          <w:w w:val="95"/>
          <w:sz w:val="32"/>
        </w:rPr>
        <w:t>版</w:t>
      </w:r>
      <w:r>
        <w:rPr>
          <w:rFonts w:ascii="微软雅黑" w:eastAsia="微软雅黑"/>
          <w:b/>
          <w:w w:val="95"/>
          <w:sz w:val="32"/>
        </w:rPr>
        <w:t>）</w:t>
      </w:r>
      <w:r>
        <w:rPr>
          <w:rFonts w:ascii="微软雅黑" w:eastAsia="微软雅黑"/>
          <w:b/>
          <w:w w:val="95"/>
          <w:sz w:val="32"/>
        </w:rPr>
        <w:t>重</w:t>
      </w:r>
      <w:r>
        <w:rPr>
          <w:rFonts w:ascii="微软雅黑" w:eastAsia="微软雅黑"/>
          <w:b/>
          <w:w w:val="95"/>
          <w:sz w:val="32"/>
        </w:rPr>
        <w:t>大</w:t>
      </w:r>
      <w:r>
        <w:rPr>
          <w:rFonts w:ascii="微软雅黑" w:eastAsia="微软雅黑"/>
          <w:b/>
          <w:w w:val="95"/>
          <w:sz w:val="32"/>
        </w:rPr>
        <w:t>疾</w:t>
      </w:r>
      <w:r>
        <w:rPr>
          <w:rFonts w:ascii="微软雅黑" w:eastAsia="微软雅黑"/>
          <w:b/>
          <w:w w:val="95"/>
          <w:sz w:val="32"/>
        </w:rPr>
        <w:t>病保险</w:t>
      </w:r>
      <w:r>
        <w:rPr>
          <w:rFonts w:ascii="微软雅黑" w:eastAsia="微软雅黑"/>
          <w:b/>
          <w:w w:val="95"/>
          <w:sz w:val="32"/>
        </w:rPr>
        <w:t>条</w:t>
      </w:r>
      <w:r>
        <w:rPr>
          <w:rFonts w:ascii="微软雅黑" w:eastAsia="微软雅黑"/>
          <w:b/>
          <w:spacing w:val="-10"/>
          <w:w w:val="95"/>
          <w:sz w:val="32"/>
        </w:rPr>
        <w:t>款</w:t>
      </w:r>
    </w:p>
    <w:p>
      <w:pPr>
        <w:pStyle w:val="BodyText"/>
        <w:spacing w:before="6"/>
        <w:rPr>
          <w:rFonts w:ascii="微软雅黑"/>
          <w:b/>
          <w:sz w:val="22"/>
        </w:rPr>
      </w:pPr>
    </w:p>
    <w:p>
      <w:pPr>
        <w:pStyle w:val="Heading1"/>
        <w:numPr>
          <w:ilvl w:val="0"/>
          <w:numId w:val="5"/>
        </w:numPr>
        <w:tabs>
          <w:tab w:pos="1072" w:val="left" w:leader="none"/>
          <w:tab w:pos="1073" w:val="left" w:leader="none"/>
        </w:tabs>
        <w:spacing w:line="240" w:lineRule="auto" w:before="0" w:after="0"/>
        <w:ind w:left="1072" w:right="0" w:hanging="745"/>
        <w:jc w:val="left"/>
      </w:pPr>
      <w:r>
        <w:rPr/>
        <w:drawing>
          <wp:anchor distT="0" distB="0" distL="0" distR="0" allowOverlap="1" layoutInCell="1" locked="0" behindDoc="0" simplePos="0" relativeHeight="3">
            <wp:simplePos x="0" y="0"/>
            <wp:positionH relativeFrom="page">
              <wp:posOffset>579119</wp:posOffset>
            </wp:positionH>
            <wp:positionV relativeFrom="paragraph">
              <wp:posOffset>392394</wp:posOffset>
            </wp:positionV>
            <wp:extent cx="6401942" cy="6096"/>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401942" cy="6096"/>
                    </a:xfrm>
                    <a:prstGeom prst="rect">
                      <a:avLst/>
                    </a:prstGeom>
                  </pic:spPr>
                </pic:pic>
              </a:graphicData>
            </a:graphic>
          </wp:anchor>
        </w:drawing>
      </w:r>
      <w:r>
        <w:rPr>
          <w:spacing w:val="-1"/>
        </w:rPr>
        <w:t>投保人与本公司的合同</w:t>
      </w:r>
    </w:p>
    <w:p>
      <w:pPr>
        <w:pStyle w:val="ListParagraph"/>
        <w:numPr>
          <w:ilvl w:val="1"/>
          <w:numId w:val="6"/>
        </w:numPr>
        <w:tabs>
          <w:tab w:pos="1072" w:val="left" w:leader="none"/>
          <w:tab w:pos="1073" w:val="left" w:leader="none"/>
          <w:tab w:pos="2699" w:val="left" w:leader="none"/>
        </w:tabs>
        <w:spacing w:line="201" w:lineRule="auto" w:before="180" w:after="0"/>
        <w:ind w:left="2699" w:right="355" w:hanging="2480"/>
        <w:jc w:val="left"/>
        <w:rPr>
          <w:sz w:val="21"/>
        </w:rPr>
      </w:pPr>
      <w:r>
        <w:rPr>
          <w:rFonts w:ascii="微软雅黑" w:eastAsia="微软雅黑"/>
          <w:b/>
          <w:spacing w:val="-4"/>
          <w:sz w:val="21"/>
        </w:rPr>
        <w:t>合同</w:t>
      </w:r>
      <w:r>
        <w:rPr>
          <w:rFonts w:ascii="微软雅黑" w:eastAsia="微软雅黑"/>
          <w:b/>
          <w:spacing w:val="-4"/>
          <w:sz w:val="21"/>
        </w:rPr>
        <w:t>构</w:t>
      </w:r>
      <w:r>
        <w:rPr>
          <w:rFonts w:ascii="微软雅黑" w:eastAsia="微软雅黑"/>
          <w:b/>
          <w:spacing w:val="-4"/>
          <w:sz w:val="21"/>
        </w:rPr>
        <w:t>成</w:t>
      </w:r>
      <w:r>
        <w:rPr>
          <w:rFonts w:ascii="微软雅黑" w:eastAsia="微软雅黑"/>
          <w:b/>
          <w:sz w:val="21"/>
        </w:rPr>
        <w:tab/>
      </w:r>
      <w:r>
        <w:rPr>
          <w:spacing w:val="-2"/>
          <w:position w:val="2"/>
          <w:sz w:val="21"/>
        </w:rPr>
        <w:t>本</w:t>
      </w:r>
      <w:r>
        <w:rPr>
          <w:spacing w:val="-2"/>
          <w:position w:val="2"/>
          <w:sz w:val="21"/>
        </w:rPr>
        <w:t>保</w:t>
      </w:r>
      <w:r>
        <w:rPr>
          <w:spacing w:val="-2"/>
          <w:position w:val="2"/>
          <w:sz w:val="21"/>
        </w:rPr>
        <w:t>险</w:t>
      </w:r>
      <w:r>
        <w:rPr>
          <w:spacing w:val="-2"/>
          <w:position w:val="2"/>
          <w:sz w:val="21"/>
        </w:rPr>
        <w:t>条</w:t>
      </w:r>
      <w:r>
        <w:rPr>
          <w:spacing w:val="-2"/>
          <w:position w:val="2"/>
          <w:sz w:val="21"/>
        </w:rPr>
        <w:t>款</w:t>
      </w:r>
      <w:r>
        <w:rPr>
          <w:spacing w:val="-2"/>
          <w:position w:val="2"/>
          <w:sz w:val="21"/>
        </w:rPr>
        <w:t>、</w:t>
      </w:r>
      <w:r>
        <w:rPr>
          <w:spacing w:val="-2"/>
          <w:position w:val="2"/>
          <w:sz w:val="21"/>
        </w:rPr>
        <w:t>保</w:t>
      </w:r>
      <w:r>
        <w:rPr>
          <w:spacing w:val="-2"/>
          <w:position w:val="2"/>
          <w:sz w:val="21"/>
        </w:rPr>
        <w:t>险</w:t>
      </w:r>
      <w:r>
        <w:rPr>
          <w:spacing w:val="-2"/>
          <w:position w:val="2"/>
          <w:sz w:val="21"/>
        </w:rPr>
        <w:t>单</w:t>
      </w:r>
      <w:r>
        <w:rPr>
          <w:spacing w:val="-2"/>
          <w:position w:val="2"/>
          <w:sz w:val="21"/>
        </w:rPr>
        <w:t>或</w:t>
      </w:r>
      <w:r>
        <w:rPr>
          <w:spacing w:val="-2"/>
          <w:position w:val="2"/>
          <w:sz w:val="21"/>
        </w:rPr>
        <w:t>其</w:t>
      </w:r>
      <w:r>
        <w:rPr>
          <w:spacing w:val="-2"/>
          <w:position w:val="2"/>
          <w:sz w:val="21"/>
        </w:rPr>
        <w:t>他</w:t>
      </w:r>
      <w:r>
        <w:rPr>
          <w:spacing w:val="-2"/>
          <w:position w:val="2"/>
          <w:sz w:val="21"/>
        </w:rPr>
        <w:t>保</w:t>
      </w:r>
      <w:r>
        <w:rPr>
          <w:spacing w:val="-2"/>
          <w:position w:val="2"/>
          <w:sz w:val="21"/>
        </w:rPr>
        <w:t>险</w:t>
      </w:r>
      <w:r>
        <w:rPr>
          <w:spacing w:val="-2"/>
          <w:position w:val="2"/>
          <w:sz w:val="21"/>
        </w:rPr>
        <w:t>凭</w:t>
      </w:r>
      <w:r>
        <w:rPr>
          <w:spacing w:val="-2"/>
          <w:position w:val="2"/>
          <w:sz w:val="21"/>
        </w:rPr>
        <w:t>证</w:t>
      </w:r>
      <w:r>
        <w:rPr>
          <w:spacing w:val="-2"/>
          <w:position w:val="2"/>
          <w:sz w:val="21"/>
        </w:rPr>
        <w:t>、</w:t>
      </w:r>
      <w:r>
        <w:rPr>
          <w:spacing w:val="-2"/>
          <w:position w:val="2"/>
          <w:sz w:val="21"/>
        </w:rPr>
        <w:t>投</w:t>
      </w:r>
      <w:r>
        <w:rPr>
          <w:spacing w:val="-2"/>
          <w:position w:val="2"/>
          <w:sz w:val="21"/>
        </w:rPr>
        <w:t>保</w:t>
      </w:r>
      <w:r>
        <w:rPr>
          <w:spacing w:val="-2"/>
          <w:position w:val="2"/>
          <w:sz w:val="21"/>
        </w:rPr>
        <w:t>单</w:t>
      </w:r>
      <w:r>
        <w:rPr>
          <w:spacing w:val="-2"/>
          <w:position w:val="2"/>
          <w:sz w:val="21"/>
        </w:rPr>
        <w:t>、</w:t>
      </w:r>
      <w:r>
        <w:rPr>
          <w:spacing w:val="-2"/>
          <w:position w:val="2"/>
          <w:sz w:val="21"/>
        </w:rPr>
        <w:t>与</w:t>
      </w:r>
      <w:r>
        <w:rPr>
          <w:spacing w:val="-2"/>
          <w:position w:val="2"/>
          <w:sz w:val="21"/>
        </w:rPr>
        <w:t>保</w:t>
      </w:r>
      <w:r>
        <w:rPr>
          <w:spacing w:val="-2"/>
          <w:position w:val="2"/>
          <w:sz w:val="21"/>
        </w:rPr>
        <w:t>险</w:t>
      </w:r>
      <w:r>
        <w:rPr>
          <w:spacing w:val="-2"/>
          <w:position w:val="2"/>
          <w:sz w:val="21"/>
        </w:rPr>
        <w:t>合</w:t>
      </w:r>
      <w:r>
        <w:rPr>
          <w:spacing w:val="-2"/>
          <w:position w:val="2"/>
          <w:sz w:val="21"/>
        </w:rPr>
        <w:t>同</w:t>
      </w:r>
      <w:r>
        <w:rPr>
          <w:spacing w:val="-2"/>
          <w:position w:val="2"/>
          <w:sz w:val="21"/>
        </w:rPr>
        <w:t>有</w:t>
      </w:r>
      <w:r>
        <w:rPr>
          <w:spacing w:val="-2"/>
          <w:position w:val="2"/>
          <w:sz w:val="21"/>
        </w:rPr>
        <w:t>关</w:t>
      </w:r>
      <w:r>
        <w:rPr>
          <w:spacing w:val="-2"/>
          <w:position w:val="2"/>
          <w:sz w:val="21"/>
        </w:rPr>
        <w:t>的</w:t>
      </w:r>
      <w:r>
        <w:rPr>
          <w:spacing w:val="-2"/>
          <w:position w:val="2"/>
          <w:sz w:val="21"/>
        </w:rPr>
        <w:t>投</w:t>
      </w:r>
      <w:r>
        <w:rPr>
          <w:spacing w:val="-2"/>
          <w:position w:val="2"/>
          <w:sz w:val="21"/>
        </w:rPr>
        <w:t>保</w:t>
      </w:r>
      <w:r>
        <w:rPr>
          <w:spacing w:val="-2"/>
          <w:position w:val="2"/>
          <w:sz w:val="21"/>
        </w:rPr>
        <w:t>文</w:t>
      </w:r>
      <w:r>
        <w:rPr>
          <w:spacing w:val="-2"/>
          <w:position w:val="2"/>
          <w:sz w:val="21"/>
        </w:rPr>
        <w:t>件、</w:t>
      </w:r>
      <w:r>
        <w:rPr>
          <w:spacing w:val="-2"/>
          <w:position w:val="2"/>
          <w:sz w:val="21"/>
        </w:rPr>
        <w:t>合</w:t>
      </w:r>
      <w:r>
        <w:rPr>
          <w:sz w:val="21"/>
        </w:rPr>
        <w:t>法有效的声明、批注、批</w:t>
      </w:r>
      <w:r>
        <w:rPr>
          <w:sz w:val="21"/>
        </w:rPr>
        <w:t>单、其他经投保人与</w:t>
      </w:r>
      <w:r>
        <w:rPr>
          <w:rFonts w:ascii="微软雅黑" w:eastAsia="微软雅黑"/>
          <w:b/>
          <w:sz w:val="21"/>
        </w:rPr>
        <w:t>本公司</w:t>
      </w:r>
      <w:r>
        <w:rPr>
          <w:sz w:val="21"/>
        </w:rPr>
        <w:t>（见 9.1）共同认可的与本</w:t>
      </w:r>
    </w:p>
    <w:p>
      <w:pPr>
        <w:pStyle w:val="BodyText"/>
        <w:spacing w:line="307" w:lineRule="auto" w:before="42"/>
        <w:ind w:left="2699" w:right="358"/>
      </w:pPr>
      <w:r>
        <w:rPr>
          <w:spacing w:val="-2"/>
        </w:rPr>
        <w:t>合同有关的书面协议都是投保人与本公司之间订立的“君康多倍宝（臻享版）</w:t>
      </w:r>
      <w:r>
        <w:rPr>
          <w:spacing w:val="-2"/>
        </w:rPr>
        <w:t>重</w:t>
      </w:r>
      <w:r>
        <w:rPr>
          <w:spacing w:val="-15"/>
        </w:rPr>
        <w:t>大疾病保险合同”</w:t>
      </w:r>
      <w:r>
        <w:rPr>
          <w:spacing w:val="-3"/>
        </w:rPr>
        <w:t>（</w:t>
      </w:r>
      <w:r>
        <w:rPr>
          <w:spacing w:val="-13"/>
        </w:rPr>
        <w:t>以下简称为“本合同”</w:t>
      </w:r>
      <w:r>
        <w:rPr/>
        <w:t>）</w:t>
      </w:r>
      <w:r>
        <w:rPr>
          <w:spacing w:val="-2"/>
        </w:rPr>
        <w:t>的构成部分。</w:t>
      </w:r>
    </w:p>
    <w:p>
      <w:pPr>
        <w:spacing w:after="0" w:line="307" w:lineRule="auto"/>
        <w:sectPr>
          <w:footerReference w:type="default" r:id="rId7"/>
          <w:pgSz w:w="11910" w:h="16840"/>
          <w:pgMar w:footer="458" w:header="0" w:top="1580" w:bottom="640" w:left="800" w:right="660"/>
          <w:pgNumType w:start="1"/>
        </w:sectPr>
      </w:pPr>
    </w:p>
    <w:p>
      <w:pPr>
        <w:pStyle w:val="ListParagraph"/>
        <w:numPr>
          <w:ilvl w:val="1"/>
          <w:numId w:val="6"/>
        </w:numPr>
        <w:tabs>
          <w:tab w:pos="1072" w:val="left" w:leader="none"/>
          <w:tab w:pos="1073" w:val="left" w:leader="none"/>
        </w:tabs>
        <w:spacing w:line="232" w:lineRule="auto" w:before="117" w:after="0"/>
        <w:ind w:left="1072" w:right="38" w:hanging="853"/>
        <w:jc w:val="left"/>
        <w:rPr>
          <w:rFonts w:ascii="微软雅黑" w:eastAsia="微软雅黑"/>
          <w:b/>
          <w:sz w:val="21"/>
        </w:rPr>
      </w:pPr>
      <w:r>
        <w:rPr>
          <w:rFonts w:ascii="微软雅黑" w:eastAsia="微软雅黑"/>
          <w:b/>
          <w:spacing w:val="-2"/>
          <w:sz w:val="21"/>
        </w:rPr>
        <w:t>合同成立与生</w:t>
      </w:r>
      <w:r>
        <w:rPr>
          <w:rFonts w:ascii="微软雅黑" w:eastAsia="微软雅黑"/>
          <w:b/>
          <w:spacing w:val="-10"/>
          <w:sz w:val="21"/>
        </w:rPr>
        <w:t>效</w:t>
      </w:r>
    </w:p>
    <w:p>
      <w:pPr>
        <w:pStyle w:val="BodyText"/>
        <w:spacing w:before="159"/>
        <w:ind w:left="220"/>
      </w:pPr>
      <w:r>
        <w:rPr/>
        <w:br w:type="column"/>
      </w:r>
      <w:r>
        <w:rPr>
          <w:spacing w:val="-3"/>
        </w:rPr>
        <w:t>投保人提出保险申请，本公司同意承保，本合同成立。</w:t>
      </w:r>
    </w:p>
    <w:p>
      <w:pPr>
        <w:pStyle w:val="BodyText"/>
        <w:spacing w:before="6"/>
        <w:rPr>
          <w:sz w:val="18"/>
        </w:rPr>
      </w:pPr>
    </w:p>
    <w:p>
      <w:pPr>
        <w:pStyle w:val="BodyText"/>
        <w:spacing w:line="307" w:lineRule="auto" w:before="1"/>
        <w:ind w:left="220" w:right="358"/>
        <w:jc w:val="both"/>
      </w:pPr>
      <w:r>
        <w:rPr>
          <w:spacing w:val="-2"/>
        </w:rPr>
        <w:t>除另有约定外，自本合同成立、本公司收取首期保险费并签发保险单后次日零时</w:t>
      </w:r>
      <w:r>
        <w:rPr>
          <w:spacing w:val="-2"/>
        </w:rPr>
        <w:t>起本合同生效，生效日应载于保险单上。本公司自生效日的零时起开始承担本合</w:t>
      </w:r>
      <w:r>
        <w:rPr>
          <w:spacing w:val="-2"/>
        </w:rPr>
        <w:t>同约定的保险责任。</w:t>
      </w:r>
    </w:p>
    <w:p>
      <w:pPr>
        <w:pStyle w:val="BodyText"/>
        <w:spacing w:line="307" w:lineRule="auto" w:before="152"/>
        <w:ind w:left="220" w:right="358"/>
      </w:pPr>
      <w:r>
        <w:rPr>
          <w:spacing w:val="-2"/>
        </w:rPr>
        <w:t>本合同生效日以后每年的对应日是保单周年日，若当月无对应日期，则以该月最</w:t>
      </w:r>
      <w:r>
        <w:rPr>
          <w:spacing w:val="-2"/>
        </w:rPr>
        <w:t>后一日作为对应日。</w:t>
      </w:r>
    </w:p>
    <w:p>
      <w:pPr>
        <w:spacing w:before="86"/>
        <w:ind w:left="220" w:right="0" w:firstLine="0"/>
        <w:jc w:val="left"/>
        <w:rPr>
          <w:sz w:val="21"/>
        </w:rPr>
      </w:pPr>
      <w:r>
        <w:rPr>
          <w:rFonts w:ascii="微软雅黑" w:eastAsia="微软雅黑"/>
          <w:b/>
          <w:spacing w:val="-6"/>
          <w:sz w:val="21"/>
        </w:rPr>
        <w:t>保单年度</w:t>
      </w:r>
      <w:r>
        <w:rPr>
          <w:spacing w:val="-6"/>
          <w:sz w:val="21"/>
        </w:rPr>
        <w:t>（</w:t>
      </w:r>
      <w:r>
        <w:rPr>
          <w:spacing w:val="-15"/>
          <w:sz w:val="21"/>
        </w:rPr>
        <w:t>见 </w:t>
      </w:r>
      <w:r>
        <w:rPr>
          <w:spacing w:val="21"/>
          <w:sz w:val="21"/>
        </w:rPr>
        <w:t>9.</w:t>
      </w:r>
      <w:r>
        <w:rPr>
          <w:spacing w:val="18"/>
          <w:sz w:val="21"/>
        </w:rPr>
        <w:t>2</w:t>
      </w:r>
      <w:r>
        <w:rPr>
          <w:spacing w:val="-85"/>
          <w:sz w:val="21"/>
        </w:rPr>
        <w:t>）</w:t>
      </w:r>
      <w:r>
        <w:rPr>
          <w:spacing w:val="-6"/>
          <w:sz w:val="21"/>
        </w:rPr>
        <w:t>、</w:t>
      </w:r>
      <w:r>
        <w:rPr>
          <w:rFonts w:ascii="微软雅黑" w:eastAsia="微软雅黑"/>
          <w:b/>
          <w:spacing w:val="-6"/>
          <w:sz w:val="21"/>
        </w:rPr>
        <w:t>保险费应交日</w:t>
      </w:r>
      <w:r>
        <w:rPr>
          <w:spacing w:val="-6"/>
          <w:sz w:val="21"/>
        </w:rPr>
        <w:t>（</w:t>
      </w:r>
      <w:r>
        <w:rPr>
          <w:spacing w:val="-14"/>
          <w:sz w:val="21"/>
        </w:rPr>
        <w:t>见 </w:t>
      </w:r>
      <w:r>
        <w:rPr>
          <w:spacing w:val="-6"/>
          <w:sz w:val="21"/>
        </w:rPr>
        <w:t>9.3）</w:t>
      </w:r>
      <w:r>
        <w:rPr>
          <w:spacing w:val="-7"/>
          <w:sz w:val="21"/>
        </w:rPr>
        <w:t>均依据生效日进行计算。</w:t>
      </w:r>
    </w:p>
    <w:p>
      <w:pPr>
        <w:spacing w:after="0"/>
        <w:jc w:val="left"/>
        <w:rPr>
          <w:sz w:val="21"/>
        </w:rPr>
        <w:sectPr>
          <w:type w:val="continuous"/>
          <w:pgSz w:w="11910" w:h="16840"/>
          <w:pgMar w:header="0" w:footer="458" w:top="620" w:bottom="280" w:left="800" w:right="660"/>
          <w:cols w:num="2" w:equalWidth="0">
            <w:col w:w="2380" w:space="99"/>
            <w:col w:w="7971"/>
          </w:cols>
        </w:sectPr>
      </w:pPr>
    </w:p>
    <w:p>
      <w:pPr>
        <w:pStyle w:val="BodyText"/>
        <w:spacing w:before="12"/>
        <w:rPr>
          <w:sz w:val="9"/>
        </w:rPr>
      </w:pPr>
    </w:p>
    <w:p>
      <w:pPr>
        <w:pStyle w:val="ListParagraph"/>
        <w:numPr>
          <w:ilvl w:val="1"/>
          <w:numId w:val="6"/>
        </w:numPr>
        <w:tabs>
          <w:tab w:pos="1073" w:val="left" w:leader="none"/>
          <w:tab w:pos="2699" w:val="left" w:leader="none"/>
        </w:tabs>
        <w:spacing w:line="213" w:lineRule="auto" w:before="32" w:after="0"/>
        <w:ind w:left="2699" w:right="355" w:hanging="2480"/>
        <w:jc w:val="both"/>
        <w:rPr>
          <w:sz w:val="21"/>
        </w:rPr>
      </w:pPr>
      <w:r>
        <w:rPr>
          <w:rFonts w:ascii="微软雅黑" w:eastAsia="微软雅黑"/>
          <w:b/>
          <w:spacing w:val="-4"/>
          <w:position w:val="-2"/>
          <w:sz w:val="21"/>
        </w:rPr>
        <w:t>投保</w:t>
      </w:r>
      <w:r>
        <w:rPr>
          <w:rFonts w:ascii="微软雅黑" w:eastAsia="微软雅黑"/>
          <w:b/>
          <w:spacing w:val="-4"/>
          <w:position w:val="-2"/>
          <w:sz w:val="21"/>
        </w:rPr>
        <w:t>范</w:t>
      </w:r>
      <w:r>
        <w:rPr>
          <w:rFonts w:ascii="微软雅黑" w:eastAsia="微软雅黑"/>
          <w:b/>
          <w:spacing w:val="-4"/>
          <w:position w:val="-2"/>
          <w:sz w:val="21"/>
        </w:rPr>
        <w:t>围</w:t>
      </w:r>
      <w:r>
        <w:rPr>
          <w:rFonts w:ascii="微软雅黑" w:eastAsia="微软雅黑"/>
          <w:b/>
          <w:position w:val="-2"/>
          <w:sz w:val="21"/>
        </w:rPr>
        <w:tab/>
      </w:r>
      <w:r>
        <w:rPr>
          <w:spacing w:val="-4"/>
          <w:sz w:val="21"/>
        </w:rPr>
        <w:t>投</w:t>
      </w:r>
      <w:r>
        <w:rPr>
          <w:spacing w:val="-4"/>
          <w:sz w:val="21"/>
        </w:rPr>
        <w:t>保</w:t>
      </w:r>
      <w:r>
        <w:rPr>
          <w:spacing w:val="-4"/>
          <w:sz w:val="21"/>
        </w:rPr>
        <w:t>人：凡年满</w:t>
      </w:r>
      <w:r>
        <w:rPr>
          <w:spacing w:val="-17"/>
          <w:sz w:val="21"/>
        </w:rPr>
        <w:t> </w:t>
      </w:r>
      <w:r>
        <w:rPr>
          <w:spacing w:val="-4"/>
          <w:sz w:val="21"/>
        </w:rPr>
        <w:t>18</w:t>
      </w:r>
      <w:r>
        <w:rPr>
          <w:spacing w:val="-19"/>
          <w:sz w:val="21"/>
        </w:rPr>
        <w:t> </w:t>
      </w:r>
      <w:r>
        <w:rPr>
          <w:rFonts w:ascii="微软雅黑" w:eastAsia="微软雅黑"/>
          <w:b/>
          <w:spacing w:val="-4"/>
          <w:sz w:val="21"/>
        </w:rPr>
        <w:t>周</w:t>
      </w:r>
      <w:r>
        <w:rPr>
          <w:rFonts w:ascii="微软雅黑" w:eastAsia="微软雅黑"/>
          <w:b/>
          <w:spacing w:val="-4"/>
          <w:sz w:val="21"/>
        </w:rPr>
        <w:t>岁</w:t>
      </w:r>
      <w:r>
        <w:rPr>
          <w:spacing w:val="-4"/>
          <w:sz w:val="21"/>
        </w:rPr>
        <w:t>（</w:t>
      </w:r>
      <w:r>
        <w:rPr>
          <w:spacing w:val="-4"/>
          <w:sz w:val="21"/>
        </w:rPr>
        <w:t>见</w:t>
      </w:r>
      <w:r>
        <w:rPr>
          <w:spacing w:val="-19"/>
          <w:sz w:val="21"/>
        </w:rPr>
        <w:t> </w:t>
      </w:r>
      <w:r>
        <w:rPr>
          <w:spacing w:val="17"/>
          <w:sz w:val="21"/>
        </w:rPr>
        <w:t>9.4</w:t>
      </w:r>
      <w:r>
        <w:rPr>
          <w:spacing w:val="-91"/>
          <w:sz w:val="21"/>
        </w:rPr>
        <w:t>）</w:t>
      </w:r>
      <w:r>
        <w:rPr>
          <w:spacing w:val="17"/>
          <w:sz w:val="21"/>
        </w:rPr>
        <w:t>，</w:t>
      </w:r>
      <w:r>
        <w:rPr>
          <w:spacing w:val="-4"/>
          <w:sz w:val="21"/>
        </w:rPr>
        <w:t>具有完全民事</w:t>
      </w:r>
      <w:r>
        <w:rPr>
          <w:spacing w:val="-4"/>
          <w:sz w:val="21"/>
        </w:rPr>
        <w:t>行</w:t>
      </w:r>
      <w:r>
        <w:rPr>
          <w:spacing w:val="-4"/>
          <w:sz w:val="21"/>
        </w:rPr>
        <w:t>为</w:t>
      </w:r>
      <w:r>
        <w:rPr>
          <w:spacing w:val="-4"/>
          <w:sz w:val="21"/>
        </w:rPr>
        <w:t>能力且对被保险人具</w:t>
      </w:r>
      <w:r>
        <w:rPr>
          <w:spacing w:val="-4"/>
          <w:sz w:val="21"/>
        </w:rPr>
        <w:t>有</w:t>
      </w:r>
      <w:r>
        <w:rPr>
          <w:spacing w:val="-4"/>
          <w:sz w:val="21"/>
        </w:rPr>
        <w:t>保</w:t>
      </w:r>
      <w:r>
        <w:rPr>
          <w:spacing w:val="-2"/>
          <w:sz w:val="21"/>
        </w:rPr>
        <w:t>险</w:t>
      </w:r>
      <w:r>
        <w:rPr>
          <w:spacing w:val="-2"/>
          <w:sz w:val="21"/>
        </w:rPr>
        <w:t>利</w:t>
      </w:r>
      <w:r>
        <w:rPr>
          <w:spacing w:val="-2"/>
          <w:sz w:val="21"/>
        </w:rPr>
        <w:t>益的人，均可作为本</w:t>
      </w:r>
      <w:r>
        <w:rPr>
          <w:spacing w:val="-2"/>
          <w:sz w:val="21"/>
        </w:rPr>
        <w:t>合</w:t>
      </w:r>
      <w:r>
        <w:rPr>
          <w:spacing w:val="-2"/>
          <w:sz w:val="21"/>
        </w:rPr>
        <w:t>同</w:t>
      </w:r>
      <w:r>
        <w:rPr>
          <w:spacing w:val="-2"/>
          <w:sz w:val="21"/>
        </w:rPr>
        <w:t>的投保人</w:t>
      </w:r>
      <w:r>
        <w:rPr>
          <w:spacing w:val="-2"/>
          <w:sz w:val="21"/>
        </w:rPr>
        <w:t>。</w:t>
      </w:r>
    </w:p>
    <w:p>
      <w:pPr>
        <w:pStyle w:val="BodyText"/>
        <w:spacing w:before="1"/>
        <w:rPr>
          <w:sz w:val="16"/>
        </w:rPr>
      </w:pPr>
    </w:p>
    <w:p>
      <w:pPr>
        <w:pStyle w:val="BodyText"/>
        <w:spacing w:line="278" w:lineRule="auto" w:before="0"/>
        <w:ind w:left="2699" w:right="358"/>
      </w:pPr>
      <w:r>
        <w:rPr>
          <w:spacing w:val="-5"/>
        </w:rPr>
        <w:t>被保险人：凡出生届满 </w:t>
      </w:r>
      <w:r>
        <w:rPr/>
        <w:t>28</w:t>
      </w:r>
      <w:r>
        <w:rPr>
          <w:spacing w:val="-24"/>
        </w:rPr>
        <w:t> 日至 </w:t>
      </w:r>
      <w:r>
        <w:rPr/>
        <w:t>60</w:t>
      </w:r>
      <w:r>
        <w:rPr>
          <w:spacing w:val="-16"/>
        </w:rPr>
        <w:t> 周岁</w:t>
      </w:r>
      <w:r>
        <w:rPr/>
        <w:t>（含）身体健康的人，均可作为本合同的</w:t>
      </w:r>
      <w:r>
        <w:rPr>
          <w:spacing w:val="-2"/>
        </w:rPr>
        <w:t>被保险人。</w:t>
      </w:r>
    </w:p>
    <w:p>
      <w:pPr>
        <w:pStyle w:val="BodyText"/>
        <w:spacing w:before="8"/>
        <w:rPr>
          <w:sz w:val="18"/>
        </w:rPr>
      </w:pPr>
    </w:p>
    <w:p>
      <w:pPr>
        <w:pStyle w:val="ListParagraph"/>
        <w:numPr>
          <w:ilvl w:val="1"/>
          <w:numId w:val="6"/>
        </w:numPr>
        <w:tabs>
          <w:tab w:pos="1073" w:val="left" w:leader="none"/>
          <w:tab w:pos="2699" w:val="left" w:leader="none"/>
        </w:tabs>
        <w:spacing w:line="312" w:lineRule="exact" w:before="0" w:after="0"/>
        <w:ind w:left="2699" w:right="356" w:hanging="2480"/>
        <w:jc w:val="both"/>
        <w:rPr>
          <w:sz w:val="21"/>
        </w:rPr>
      </w:pPr>
      <w:r>
        <w:rPr>
          <w:rFonts w:ascii="微软雅黑" w:eastAsia="微软雅黑"/>
          <w:b/>
          <w:spacing w:val="-4"/>
          <w:position w:val="-2"/>
          <w:sz w:val="21"/>
        </w:rPr>
        <w:t>犹</w:t>
      </w:r>
      <w:r>
        <w:rPr>
          <w:rFonts w:ascii="微软雅黑" w:eastAsia="微软雅黑"/>
          <w:b/>
          <w:spacing w:val="-4"/>
          <w:position w:val="-2"/>
          <w:sz w:val="21"/>
        </w:rPr>
        <w:t>豫</w:t>
      </w:r>
      <w:r>
        <w:rPr>
          <w:rFonts w:ascii="微软雅黑" w:eastAsia="微软雅黑"/>
          <w:b/>
          <w:spacing w:val="-4"/>
          <w:position w:val="-2"/>
          <w:sz w:val="21"/>
        </w:rPr>
        <w:t>期</w:t>
      </w:r>
      <w:r>
        <w:rPr>
          <w:rFonts w:ascii="微软雅黑" w:eastAsia="微软雅黑"/>
          <w:b/>
          <w:position w:val="-2"/>
          <w:sz w:val="21"/>
        </w:rPr>
        <w:tab/>
      </w:r>
      <w:r>
        <w:rPr>
          <w:spacing w:val="-4"/>
          <w:sz w:val="21"/>
        </w:rPr>
        <w:t>从</w:t>
      </w:r>
      <w:r>
        <w:rPr>
          <w:spacing w:val="-4"/>
          <w:sz w:val="21"/>
        </w:rPr>
        <w:t>投</w:t>
      </w:r>
      <w:r>
        <w:rPr>
          <w:spacing w:val="-4"/>
          <w:sz w:val="21"/>
        </w:rPr>
        <w:t>保人收到本合同并书</w:t>
      </w:r>
      <w:r>
        <w:rPr>
          <w:spacing w:val="-4"/>
          <w:sz w:val="21"/>
        </w:rPr>
        <w:t>面</w:t>
      </w:r>
      <w:r>
        <w:rPr>
          <w:spacing w:val="-4"/>
          <w:sz w:val="21"/>
        </w:rPr>
        <w:t>签</w:t>
      </w:r>
      <w:r>
        <w:rPr>
          <w:spacing w:val="-4"/>
          <w:sz w:val="21"/>
        </w:rPr>
        <w:t>收之日起，有</w:t>
      </w:r>
      <w:r>
        <w:rPr>
          <w:spacing w:val="-23"/>
          <w:sz w:val="21"/>
        </w:rPr>
        <w:t> </w:t>
      </w:r>
      <w:r>
        <w:rPr>
          <w:spacing w:val="-4"/>
          <w:sz w:val="21"/>
        </w:rPr>
        <w:t>15</w:t>
      </w:r>
      <w:r>
        <w:rPr>
          <w:spacing w:val="-22"/>
          <w:sz w:val="21"/>
        </w:rPr>
        <w:t> </w:t>
      </w:r>
      <w:r>
        <w:rPr>
          <w:spacing w:val="-4"/>
          <w:sz w:val="21"/>
        </w:rPr>
        <w:t>个自</w:t>
      </w:r>
      <w:r>
        <w:rPr>
          <w:spacing w:val="-4"/>
          <w:sz w:val="21"/>
        </w:rPr>
        <w:t>然</w:t>
      </w:r>
      <w:r>
        <w:rPr>
          <w:spacing w:val="-4"/>
          <w:sz w:val="21"/>
        </w:rPr>
        <w:t>日</w:t>
      </w:r>
      <w:r>
        <w:rPr>
          <w:spacing w:val="-4"/>
          <w:sz w:val="21"/>
        </w:rPr>
        <w:t>的犹豫期。在此期间，若</w:t>
      </w:r>
      <w:r>
        <w:rPr>
          <w:spacing w:val="-2"/>
          <w:sz w:val="21"/>
        </w:rPr>
        <w:t>投</w:t>
      </w:r>
      <w:r>
        <w:rPr>
          <w:spacing w:val="-2"/>
          <w:sz w:val="21"/>
        </w:rPr>
        <w:t>保</w:t>
      </w:r>
      <w:r>
        <w:rPr>
          <w:spacing w:val="-2"/>
          <w:sz w:val="21"/>
        </w:rPr>
        <w:t>人</w:t>
      </w:r>
      <w:r>
        <w:rPr>
          <w:spacing w:val="-2"/>
          <w:sz w:val="21"/>
        </w:rPr>
        <w:t>认</w:t>
      </w:r>
      <w:r>
        <w:rPr>
          <w:spacing w:val="-2"/>
          <w:sz w:val="21"/>
        </w:rPr>
        <w:t>为</w:t>
      </w:r>
      <w:r>
        <w:rPr>
          <w:spacing w:val="-2"/>
          <w:sz w:val="21"/>
        </w:rPr>
        <w:t>本</w:t>
      </w:r>
      <w:r>
        <w:rPr>
          <w:spacing w:val="-2"/>
          <w:sz w:val="21"/>
        </w:rPr>
        <w:t>合</w:t>
      </w:r>
      <w:r>
        <w:rPr>
          <w:spacing w:val="-2"/>
          <w:sz w:val="21"/>
        </w:rPr>
        <w:t>同</w:t>
      </w:r>
      <w:r>
        <w:rPr>
          <w:spacing w:val="-2"/>
          <w:sz w:val="21"/>
        </w:rPr>
        <w:t>与</w:t>
      </w:r>
      <w:r>
        <w:rPr>
          <w:spacing w:val="-2"/>
          <w:sz w:val="21"/>
        </w:rPr>
        <w:t>投</w:t>
      </w:r>
      <w:r>
        <w:rPr>
          <w:spacing w:val="-2"/>
          <w:sz w:val="21"/>
        </w:rPr>
        <w:t>保</w:t>
      </w:r>
      <w:r>
        <w:rPr>
          <w:spacing w:val="-2"/>
          <w:sz w:val="21"/>
        </w:rPr>
        <w:t>人</w:t>
      </w:r>
      <w:r>
        <w:rPr>
          <w:spacing w:val="-2"/>
          <w:sz w:val="21"/>
        </w:rPr>
        <w:t>的</w:t>
      </w:r>
      <w:r>
        <w:rPr>
          <w:spacing w:val="-2"/>
          <w:sz w:val="21"/>
        </w:rPr>
        <w:t>需</w:t>
      </w:r>
      <w:r>
        <w:rPr>
          <w:spacing w:val="-2"/>
          <w:sz w:val="21"/>
        </w:rPr>
        <w:t>求</w:t>
      </w:r>
      <w:r>
        <w:rPr>
          <w:spacing w:val="-2"/>
          <w:sz w:val="21"/>
        </w:rPr>
        <w:t>不</w:t>
      </w:r>
      <w:r>
        <w:rPr>
          <w:spacing w:val="-2"/>
          <w:sz w:val="21"/>
        </w:rPr>
        <w:t>相</w:t>
      </w:r>
      <w:r>
        <w:rPr>
          <w:spacing w:val="-2"/>
          <w:sz w:val="21"/>
        </w:rPr>
        <w:t>符</w:t>
      </w:r>
      <w:r>
        <w:rPr>
          <w:spacing w:val="-2"/>
          <w:sz w:val="21"/>
        </w:rPr>
        <w:t>，</w:t>
      </w:r>
      <w:r>
        <w:rPr>
          <w:spacing w:val="-2"/>
          <w:sz w:val="21"/>
        </w:rPr>
        <w:t>可</w:t>
      </w:r>
      <w:r>
        <w:rPr>
          <w:spacing w:val="-2"/>
          <w:sz w:val="21"/>
        </w:rPr>
        <w:t>以</w:t>
      </w:r>
      <w:r>
        <w:rPr>
          <w:spacing w:val="-2"/>
          <w:sz w:val="21"/>
        </w:rPr>
        <w:t>解</w:t>
      </w:r>
      <w:r>
        <w:rPr>
          <w:spacing w:val="-2"/>
          <w:sz w:val="21"/>
        </w:rPr>
        <w:t>除</w:t>
      </w:r>
      <w:r>
        <w:rPr>
          <w:spacing w:val="-2"/>
          <w:sz w:val="21"/>
        </w:rPr>
        <w:t>本</w:t>
      </w:r>
      <w:r>
        <w:rPr>
          <w:spacing w:val="-2"/>
          <w:sz w:val="21"/>
        </w:rPr>
        <w:t>合</w:t>
      </w:r>
      <w:r>
        <w:rPr>
          <w:spacing w:val="-2"/>
          <w:sz w:val="21"/>
        </w:rPr>
        <w:t>同</w:t>
      </w:r>
      <w:r>
        <w:rPr>
          <w:spacing w:val="-2"/>
          <w:sz w:val="21"/>
        </w:rPr>
        <w:t>，</w:t>
      </w:r>
      <w:r>
        <w:rPr>
          <w:spacing w:val="-2"/>
          <w:sz w:val="21"/>
        </w:rPr>
        <w:t>本</w:t>
      </w:r>
      <w:r>
        <w:rPr>
          <w:spacing w:val="-2"/>
          <w:sz w:val="21"/>
        </w:rPr>
        <w:t>公</w:t>
      </w:r>
      <w:r>
        <w:rPr>
          <w:spacing w:val="-2"/>
          <w:sz w:val="21"/>
        </w:rPr>
        <w:t>司</w:t>
      </w:r>
      <w:r>
        <w:rPr>
          <w:spacing w:val="-2"/>
          <w:sz w:val="21"/>
        </w:rPr>
        <w:t>将</w:t>
      </w:r>
      <w:r>
        <w:rPr>
          <w:spacing w:val="-2"/>
          <w:sz w:val="21"/>
        </w:rPr>
        <w:t>无</w:t>
      </w:r>
      <w:r>
        <w:rPr>
          <w:spacing w:val="-2"/>
          <w:sz w:val="21"/>
        </w:rPr>
        <w:t>息退</w:t>
      </w:r>
      <w:r>
        <w:rPr>
          <w:spacing w:val="-2"/>
          <w:sz w:val="21"/>
        </w:rPr>
        <w:t>还</w:t>
      </w:r>
      <w:r>
        <w:rPr>
          <w:spacing w:val="-4"/>
          <w:sz w:val="21"/>
        </w:rPr>
        <w:t>保</w:t>
      </w:r>
      <w:r>
        <w:rPr>
          <w:spacing w:val="-4"/>
          <w:sz w:val="21"/>
        </w:rPr>
        <w:t>险</w:t>
      </w:r>
      <w:r>
        <w:rPr>
          <w:spacing w:val="-4"/>
          <w:sz w:val="21"/>
        </w:rPr>
        <w:t>费。</w:t>
      </w:r>
    </w:p>
    <w:p>
      <w:pPr>
        <w:pStyle w:val="BodyText"/>
        <w:spacing w:before="3"/>
        <w:rPr>
          <w:sz w:val="15"/>
        </w:rPr>
      </w:pPr>
    </w:p>
    <w:p>
      <w:pPr>
        <w:pStyle w:val="BodyText"/>
        <w:spacing w:line="278" w:lineRule="auto" w:before="0"/>
        <w:ind w:left="2699" w:right="247"/>
      </w:pPr>
      <w:r>
        <w:rPr>
          <w:spacing w:val="-3"/>
          <w:w w:val="100"/>
        </w:rPr>
        <w:t>犹豫期内解除合同时，投保人需要填写申请书，并提供本合同及本公司要求的相</w:t>
      </w:r>
      <w:r>
        <w:rPr>
          <w:spacing w:val="-9"/>
          <w:w w:val="100"/>
        </w:rPr>
        <w:t>关资料。自本公司收到投保人申请解除合同的书面申请之日起，本合同即被解除，</w:t>
      </w:r>
      <w:r>
        <w:rPr>
          <w:spacing w:val="-5"/>
          <w:w w:val="100"/>
        </w:rPr>
        <w:t>本公司自本合同生效日起自始不承担保险责任。</w:t>
      </w:r>
    </w:p>
    <w:p>
      <w:pPr>
        <w:pStyle w:val="BodyText"/>
        <w:spacing w:before="1"/>
        <w:rPr>
          <w:sz w:val="17"/>
        </w:rPr>
      </w:pPr>
    </w:p>
    <w:p>
      <w:pPr>
        <w:pStyle w:val="Heading1"/>
        <w:numPr>
          <w:ilvl w:val="0"/>
          <w:numId w:val="5"/>
        </w:numPr>
        <w:tabs>
          <w:tab w:pos="1072" w:val="left" w:leader="none"/>
          <w:tab w:pos="1073" w:val="left" w:leader="none"/>
        </w:tabs>
        <w:spacing w:line="240" w:lineRule="auto" w:before="0" w:after="0"/>
        <w:ind w:left="1072" w:right="0" w:hanging="745"/>
        <w:jc w:val="left"/>
      </w:pPr>
      <w:r>
        <w:rPr/>
        <w:drawing>
          <wp:anchor distT="0" distB="0" distL="0" distR="0" allowOverlap="1" layoutInCell="1" locked="0" behindDoc="0" simplePos="0" relativeHeight="4">
            <wp:simplePos x="0" y="0"/>
            <wp:positionH relativeFrom="page">
              <wp:posOffset>579119</wp:posOffset>
            </wp:positionH>
            <wp:positionV relativeFrom="paragraph">
              <wp:posOffset>392393</wp:posOffset>
            </wp:positionV>
            <wp:extent cx="6401409" cy="6095"/>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401409" cy="6095"/>
                    </a:xfrm>
                    <a:prstGeom prst="rect">
                      <a:avLst/>
                    </a:prstGeom>
                  </pic:spPr>
                </pic:pic>
              </a:graphicData>
            </a:graphic>
          </wp:anchor>
        </w:drawing>
      </w:r>
      <w:r>
        <w:rPr>
          <w:spacing w:val="-2"/>
        </w:rPr>
        <w:t>本公司提供的保障</w:t>
      </w:r>
    </w:p>
    <w:p>
      <w:pPr>
        <w:pStyle w:val="ListParagraph"/>
        <w:numPr>
          <w:ilvl w:val="1"/>
          <w:numId w:val="7"/>
        </w:numPr>
        <w:tabs>
          <w:tab w:pos="1072" w:val="left" w:leader="none"/>
          <w:tab w:pos="1073" w:val="left" w:leader="none"/>
          <w:tab w:pos="2699" w:val="left" w:leader="none"/>
        </w:tabs>
        <w:spacing w:line="240" w:lineRule="auto" w:before="138" w:after="0"/>
        <w:ind w:left="1072" w:right="0" w:hanging="853"/>
        <w:jc w:val="left"/>
        <w:rPr>
          <w:sz w:val="21"/>
        </w:rPr>
      </w:pPr>
      <w:r>
        <w:rPr>
          <w:rFonts w:ascii="微软雅黑" w:eastAsia="微软雅黑"/>
          <w:b/>
          <w:sz w:val="21"/>
        </w:rPr>
        <w:t>保险责</w:t>
      </w:r>
      <w:r>
        <w:rPr>
          <w:rFonts w:ascii="微软雅黑" w:eastAsia="微软雅黑"/>
          <w:b/>
          <w:spacing w:val="-10"/>
          <w:sz w:val="21"/>
        </w:rPr>
        <w:t>任</w:t>
      </w:r>
      <w:r>
        <w:rPr>
          <w:rFonts w:ascii="微软雅黑" w:eastAsia="微软雅黑"/>
          <w:b/>
          <w:sz w:val="21"/>
        </w:rPr>
        <w:tab/>
      </w:r>
      <w:r>
        <w:rPr>
          <w:spacing w:val="-2"/>
          <w:position w:val="2"/>
          <w:sz w:val="21"/>
        </w:rPr>
        <w:t>在</w:t>
      </w:r>
      <w:r>
        <w:rPr>
          <w:spacing w:val="-2"/>
          <w:position w:val="2"/>
          <w:sz w:val="21"/>
        </w:rPr>
        <w:t>本</w:t>
      </w:r>
      <w:r>
        <w:rPr>
          <w:spacing w:val="-2"/>
          <w:position w:val="2"/>
          <w:sz w:val="21"/>
        </w:rPr>
        <w:t>合同有效期内，本公司承担下列保险责任</w:t>
      </w:r>
      <w:r>
        <w:rPr>
          <w:spacing w:val="-10"/>
          <w:position w:val="2"/>
          <w:sz w:val="21"/>
        </w:rPr>
        <w:t>：</w:t>
      </w:r>
    </w:p>
    <w:p>
      <w:pPr>
        <w:spacing w:before="81"/>
        <w:ind w:left="2699" w:right="0" w:firstLine="0"/>
        <w:jc w:val="left"/>
        <w:rPr>
          <w:rFonts w:ascii="微软雅黑" w:eastAsia="微软雅黑"/>
          <w:b/>
          <w:sz w:val="21"/>
        </w:rPr>
      </w:pPr>
      <w:r>
        <w:rPr>
          <w:rFonts w:ascii="微软雅黑" w:eastAsia="微软雅黑"/>
          <w:b/>
          <w:spacing w:val="-2"/>
          <w:sz w:val="21"/>
        </w:rPr>
        <w:t>一、等待期</w:t>
      </w:r>
    </w:p>
    <w:p>
      <w:pPr>
        <w:pStyle w:val="BodyText"/>
        <w:spacing w:line="208" w:lineRule="auto" w:before="117"/>
        <w:ind w:left="2699" w:right="353" w:firstLine="420"/>
        <w:jc w:val="both"/>
      </w:pPr>
      <w:r>
        <w:rPr>
          <w:spacing w:val="-4"/>
        </w:rPr>
        <w:t>在本合同生效日或最后一个复效日起 </w:t>
      </w:r>
      <w:r>
        <w:rPr>
          <w:spacing w:val="-2"/>
        </w:rPr>
        <w:t>90</w:t>
      </w:r>
      <w:r>
        <w:rPr>
          <w:spacing w:val="-48"/>
        </w:rPr>
        <w:t> 日</w:t>
      </w:r>
      <w:r>
        <w:rPr>
          <w:spacing w:val="-2"/>
        </w:rPr>
        <w:t>（含</w:t>
      </w:r>
      <w:r>
        <w:rPr>
          <w:spacing w:val="-75"/>
        </w:rPr>
        <w:t>）</w:t>
      </w:r>
      <w:r>
        <w:rPr>
          <w:spacing w:val="-14"/>
        </w:rPr>
        <w:t>内，被保险人因</w:t>
      </w:r>
      <w:r>
        <w:rPr>
          <w:rFonts w:ascii="微软雅黑" w:eastAsia="微软雅黑"/>
          <w:b/>
          <w:spacing w:val="-20"/>
        </w:rPr>
        <w:t>意外伤害</w:t>
      </w:r>
      <w:r>
        <w:rPr>
          <w:spacing w:val="-2"/>
        </w:rPr>
        <w:t>（见</w:t>
      </w:r>
      <w:r>
        <w:rPr>
          <w:spacing w:val="-2"/>
        </w:rPr>
        <w:t> </w:t>
      </w:r>
      <w:r>
        <w:rPr>
          <w:spacing w:val="-6"/>
        </w:rPr>
        <w:t>9.5）以外的原因发生本合同约定的</w:t>
      </w:r>
      <w:r>
        <w:rPr>
          <w:rFonts w:ascii="微软雅黑" w:eastAsia="微软雅黑"/>
          <w:b/>
          <w:spacing w:val="-6"/>
        </w:rPr>
        <w:t>轻度疾病</w:t>
      </w:r>
      <w:r>
        <w:rPr>
          <w:spacing w:val="-6"/>
        </w:rPr>
        <w:t>（</w:t>
      </w:r>
      <w:r>
        <w:rPr>
          <w:spacing w:val="-14"/>
        </w:rPr>
        <w:t>见 </w:t>
      </w:r>
      <w:r>
        <w:rPr>
          <w:spacing w:val="19"/>
        </w:rPr>
        <w:t>9.</w:t>
      </w:r>
      <w:r>
        <w:rPr>
          <w:spacing w:val="22"/>
        </w:rPr>
        <w:t>6</w:t>
      </w:r>
      <w:r>
        <w:rPr>
          <w:spacing w:val="-84"/>
        </w:rPr>
        <w:t>）</w:t>
      </w:r>
      <w:r>
        <w:rPr>
          <w:spacing w:val="-6"/>
        </w:rPr>
        <w:t>、</w:t>
      </w:r>
      <w:r>
        <w:rPr>
          <w:rFonts w:ascii="微软雅黑" w:eastAsia="微软雅黑"/>
          <w:b/>
          <w:spacing w:val="-6"/>
        </w:rPr>
        <w:t>中度疾病</w:t>
      </w:r>
      <w:r>
        <w:rPr>
          <w:spacing w:val="-6"/>
        </w:rPr>
        <w:t>（</w:t>
      </w:r>
      <w:r>
        <w:rPr>
          <w:spacing w:val="-13"/>
        </w:rPr>
        <w:t>见 </w:t>
      </w:r>
      <w:r>
        <w:rPr>
          <w:spacing w:val="18"/>
        </w:rPr>
        <w:t>9</w:t>
      </w:r>
      <w:r>
        <w:rPr>
          <w:spacing w:val="21"/>
        </w:rPr>
        <w:t>.7</w:t>
      </w:r>
      <w:r>
        <w:rPr>
          <w:spacing w:val="-87"/>
        </w:rPr>
        <w:t>）</w:t>
      </w:r>
      <w:r>
        <w:rPr>
          <w:spacing w:val="-6"/>
        </w:rPr>
        <w:t>、</w:t>
      </w:r>
      <w:r>
        <w:rPr>
          <w:rFonts w:ascii="微软雅黑" w:eastAsia="微软雅黑"/>
          <w:b/>
          <w:spacing w:val="-6"/>
        </w:rPr>
        <w:t>重</w:t>
      </w:r>
      <w:r>
        <w:rPr>
          <w:rFonts w:ascii="微软雅黑" w:eastAsia="微软雅黑"/>
          <w:b/>
          <w:w w:val="95"/>
        </w:rPr>
        <w:t>度</w:t>
      </w:r>
      <w:r>
        <w:rPr>
          <w:rFonts w:ascii="微软雅黑" w:eastAsia="微软雅黑"/>
          <w:b/>
          <w:w w:val="95"/>
        </w:rPr>
        <w:t>疾</w:t>
      </w:r>
      <w:r>
        <w:rPr>
          <w:rFonts w:ascii="微软雅黑" w:eastAsia="微软雅黑"/>
          <w:b/>
          <w:w w:val="95"/>
        </w:rPr>
        <w:t>病</w:t>
      </w:r>
      <w:r>
        <w:rPr>
          <w:w w:val="95"/>
        </w:rPr>
        <w:t>（见 </w:t>
      </w:r>
      <w:r>
        <w:rPr>
          <w:spacing w:val="27"/>
          <w:w w:val="95"/>
        </w:rPr>
        <w:t>9</w:t>
      </w:r>
      <w:r>
        <w:rPr>
          <w:spacing w:val="24"/>
          <w:w w:val="95"/>
        </w:rPr>
        <w:t>.</w:t>
      </w:r>
      <w:r>
        <w:rPr>
          <w:spacing w:val="27"/>
          <w:w w:val="95"/>
        </w:rPr>
        <w:t>8</w:t>
      </w:r>
      <w:r>
        <w:rPr>
          <w:spacing w:val="-81"/>
          <w:w w:val="95"/>
        </w:rPr>
        <w:t>）</w:t>
      </w:r>
      <w:r>
        <w:rPr>
          <w:w w:val="95"/>
        </w:rPr>
        <w:t>、</w:t>
      </w:r>
      <w:r>
        <w:rPr>
          <w:w w:val="95"/>
        </w:rPr>
        <w:t>身</w:t>
      </w:r>
      <w:r>
        <w:rPr>
          <w:w w:val="95"/>
        </w:rPr>
        <w:t>故</w:t>
      </w:r>
      <w:r>
        <w:rPr>
          <w:w w:val="95"/>
        </w:rPr>
        <w:t>、</w:t>
      </w:r>
      <w:r>
        <w:rPr>
          <w:rFonts w:ascii="微软雅黑" w:eastAsia="微软雅黑"/>
          <w:b/>
          <w:w w:val="95"/>
        </w:rPr>
        <w:t>全残</w:t>
      </w:r>
      <w:r>
        <w:rPr>
          <w:w w:val="95"/>
        </w:rPr>
        <w:t>（见 9.9）或</w:t>
      </w:r>
      <w:r>
        <w:rPr>
          <w:w w:val="95"/>
        </w:rPr>
        <w:t>达</w:t>
      </w:r>
      <w:r>
        <w:rPr>
          <w:w w:val="95"/>
        </w:rPr>
        <w:t>到</w:t>
      </w:r>
      <w:r>
        <w:rPr>
          <w:rFonts w:ascii="微软雅黑" w:eastAsia="微软雅黑"/>
          <w:b/>
          <w:w w:val="95"/>
        </w:rPr>
        <w:t>疾</w:t>
      </w:r>
      <w:r>
        <w:rPr>
          <w:rFonts w:ascii="微软雅黑" w:eastAsia="微软雅黑"/>
          <w:b/>
          <w:w w:val="95"/>
        </w:rPr>
        <w:t>病</w:t>
      </w:r>
      <w:r>
        <w:rPr>
          <w:rFonts w:ascii="微软雅黑" w:eastAsia="微软雅黑"/>
          <w:b/>
          <w:w w:val="95"/>
        </w:rPr>
        <w:t>终</w:t>
      </w:r>
      <w:r>
        <w:rPr>
          <w:rFonts w:ascii="微软雅黑" w:eastAsia="微软雅黑"/>
          <w:b/>
          <w:w w:val="95"/>
        </w:rPr>
        <w:t>末</w:t>
      </w:r>
      <w:r>
        <w:rPr>
          <w:rFonts w:ascii="微软雅黑" w:eastAsia="微软雅黑"/>
          <w:b/>
          <w:w w:val="95"/>
        </w:rPr>
        <w:t>期</w:t>
      </w:r>
      <w:r>
        <w:rPr>
          <w:w w:val="95"/>
        </w:rPr>
        <w:t>（见 9.10）</w:t>
      </w:r>
      <w:r>
        <w:rPr>
          <w:w w:val="95"/>
        </w:rPr>
        <w:t>的</w:t>
      </w:r>
      <w:r>
        <w:rPr>
          <w:w w:val="95"/>
        </w:rPr>
        <w:t>，</w:t>
      </w:r>
      <w:r>
        <w:rPr>
          <w:w w:val="95"/>
        </w:rPr>
        <w:t>投</w:t>
      </w:r>
      <w:r>
        <w:rPr>
          <w:w w:val="95"/>
        </w:rPr>
        <w:t>保</w:t>
      </w:r>
      <w:r>
        <w:rPr>
          <w:spacing w:val="-2"/>
        </w:rPr>
        <w:t>人因意外伤害以外的原因发生本合同约定的中度疾病、重度疾病、身故、全残或</w:t>
      </w:r>
      <w:r>
        <w:rPr>
          <w:spacing w:val="-4"/>
        </w:rPr>
        <w:t>达到疾病终末期的本公司将无息退还本合同</w:t>
      </w:r>
      <w:r>
        <w:rPr>
          <w:rFonts w:ascii="微软雅黑" w:eastAsia="微软雅黑"/>
          <w:b/>
          <w:spacing w:val="-4"/>
        </w:rPr>
        <w:t>累计已交保险费</w:t>
      </w:r>
      <w:r>
        <w:rPr>
          <w:spacing w:val="-4"/>
        </w:rPr>
        <w:t>（</w:t>
      </w:r>
      <w:r>
        <w:rPr>
          <w:spacing w:val="15"/>
        </w:rPr>
        <w:t>见 </w:t>
      </w:r>
      <w:r>
        <w:rPr>
          <w:spacing w:val="13"/>
        </w:rPr>
        <w:t>9.1</w:t>
      </w:r>
      <w:r>
        <w:rPr>
          <w:spacing w:val="10"/>
        </w:rPr>
        <w:t>1</w:t>
      </w:r>
      <w:r>
        <w:rPr>
          <w:spacing w:val="-91"/>
        </w:rPr>
        <w:t>）</w:t>
      </w:r>
      <w:r>
        <w:rPr>
          <w:spacing w:val="-2"/>
        </w:rPr>
        <w:t>，本合同</w:t>
      </w:r>
    </w:p>
    <w:p>
      <w:pPr>
        <w:spacing w:after="0" w:line="208" w:lineRule="auto"/>
        <w:jc w:val="both"/>
        <w:sectPr>
          <w:type w:val="continuous"/>
          <w:pgSz w:w="11910" w:h="16840"/>
          <w:pgMar w:header="0" w:footer="458" w:top="620" w:bottom="280" w:left="800" w:right="660"/>
        </w:sectPr>
      </w:pPr>
    </w:p>
    <w:p>
      <w:pPr>
        <w:pStyle w:val="BodyText"/>
        <w:spacing w:line="278" w:lineRule="auto"/>
        <w:ind w:left="2699" w:right="353"/>
        <w:jc w:val="both"/>
      </w:pPr>
      <w:r>
        <w:rPr>
          <w:spacing w:val="-8"/>
        </w:rPr>
        <w:t>终止。这 </w:t>
      </w:r>
      <w:r>
        <w:rPr>
          <w:spacing w:val="-4"/>
        </w:rPr>
        <w:t>90</w:t>
      </w:r>
      <w:r>
        <w:rPr>
          <w:spacing w:val="-8"/>
        </w:rPr>
        <w:t> 日的时间称为等待期。若被保险人因意外伤害发生本合同约定的轻度</w:t>
      </w:r>
      <w:r>
        <w:rPr>
          <w:spacing w:val="-2"/>
        </w:rPr>
        <w:t>疾病、中度疾病、重度疾病、身故、全残、达到疾病终末期或投保人因意外伤害</w:t>
      </w:r>
      <w:r>
        <w:rPr>
          <w:spacing w:val="-2"/>
        </w:rPr>
        <w:t>发生本合同约定的中度疾病、重度疾病、身故、全残、达到疾病终末期的，则无</w:t>
      </w:r>
      <w:r>
        <w:rPr>
          <w:spacing w:val="-4"/>
        </w:rPr>
        <w:t>等待期。</w:t>
      </w:r>
    </w:p>
    <w:p>
      <w:pPr>
        <w:spacing w:before="88"/>
        <w:ind w:left="2699" w:right="0" w:firstLine="0"/>
        <w:jc w:val="left"/>
        <w:rPr>
          <w:rFonts w:ascii="微软雅黑" w:eastAsia="微软雅黑"/>
          <w:b/>
          <w:sz w:val="21"/>
        </w:rPr>
      </w:pPr>
      <w:r>
        <w:rPr>
          <w:rFonts w:ascii="微软雅黑" w:eastAsia="微软雅黑"/>
          <w:b/>
          <w:spacing w:val="-2"/>
          <w:sz w:val="21"/>
        </w:rPr>
        <w:t>二、轻度疾病保险金</w:t>
      </w:r>
    </w:p>
    <w:p>
      <w:pPr>
        <w:spacing w:line="194" w:lineRule="auto" w:before="134"/>
        <w:ind w:left="2699" w:right="248" w:firstLine="420"/>
        <w:jc w:val="left"/>
        <w:rPr>
          <w:sz w:val="21"/>
        </w:rPr>
      </w:pPr>
      <w:r>
        <w:rPr>
          <w:sz w:val="21"/>
        </w:rPr>
        <w:t>若被保险人因意外伤害或在等待期后因意外伤害以外的原因经</w:t>
      </w:r>
      <w:r>
        <w:rPr>
          <w:rFonts w:ascii="微软雅黑" w:eastAsia="微软雅黑"/>
          <w:b/>
          <w:spacing w:val="-53"/>
          <w:sz w:val="21"/>
        </w:rPr>
        <w:t>医院</w:t>
      </w:r>
      <w:r>
        <w:rPr>
          <w:sz w:val="21"/>
        </w:rPr>
        <w:t>（</w:t>
      </w:r>
      <w:r>
        <w:rPr>
          <w:spacing w:val="21"/>
          <w:sz w:val="21"/>
        </w:rPr>
        <w:t>见</w:t>
      </w:r>
      <w:r>
        <w:rPr>
          <w:sz w:val="21"/>
        </w:rPr>
        <w:t>9.12）</w:t>
      </w:r>
      <w:r>
        <w:rPr>
          <w:rFonts w:ascii="微软雅黑" w:eastAsia="微软雅黑"/>
          <w:b/>
          <w:sz w:val="21"/>
        </w:rPr>
        <w:t>专科医生</w:t>
      </w:r>
      <w:r>
        <w:rPr>
          <w:sz w:val="21"/>
        </w:rPr>
        <w:t>（</w:t>
      </w:r>
      <w:r>
        <w:rPr>
          <w:spacing w:val="-21"/>
          <w:sz w:val="21"/>
        </w:rPr>
        <w:t>见 </w:t>
      </w:r>
      <w:r>
        <w:rPr>
          <w:sz w:val="21"/>
        </w:rPr>
        <w:t>9.13）确诊初次发生本合同约定的轻度疾病中的一种或多种，</w:t>
      </w:r>
      <w:r>
        <w:rPr>
          <w:rFonts w:ascii="微软雅黑" w:eastAsia="微软雅黑"/>
          <w:b/>
          <w:sz w:val="21"/>
        </w:rPr>
        <w:t>本公司将按本合同的基本保险金额的 30%</w:t>
      </w:r>
      <w:r>
        <w:rPr>
          <w:rFonts w:ascii="微软雅黑" w:eastAsia="微软雅黑"/>
          <w:b/>
          <w:sz w:val="21"/>
        </w:rPr>
        <w:t>给付轻度疾病保险金</w:t>
      </w:r>
      <w:r>
        <w:rPr>
          <w:sz w:val="21"/>
        </w:rPr>
        <w:t>，本合同继续有效。</w:t>
      </w:r>
    </w:p>
    <w:p>
      <w:pPr>
        <w:pStyle w:val="BodyText"/>
        <w:spacing w:line="278" w:lineRule="auto" w:before="166"/>
        <w:ind w:left="2699" w:right="358" w:firstLine="420"/>
        <w:jc w:val="both"/>
      </w:pPr>
      <w:r>
        <w:rPr>
          <w:spacing w:val="-2"/>
        </w:rPr>
        <w:t>每种轻度疾病只给付一次轻度疾病保险金，给付后该种轻度疾病保险责任终</w:t>
      </w:r>
      <w:r>
        <w:rPr>
          <w:spacing w:val="-2"/>
        </w:rPr>
        <w:t>止，本合同的轻度疾病保险金累计给付以 </w:t>
      </w:r>
      <w:r>
        <w:rPr/>
        <w:t>3</w:t>
      </w:r>
      <w:r>
        <w:rPr>
          <w:spacing w:val="-5"/>
        </w:rPr>
        <w:t> 次为限。</w:t>
      </w:r>
    </w:p>
    <w:p>
      <w:pPr>
        <w:pStyle w:val="BodyText"/>
        <w:spacing w:line="278" w:lineRule="auto" w:before="156"/>
        <w:ind w:left="2699" w:right="358" w:firstLine="420"/>
        <w:jc w:val="both"/>
      </w:pPr>
      <w:r>
        <w:rPr>
          <w:spacing w:val="-2"/>
        </w:rPr>
        <w:t>若被保险人因同一原因或在同一事故中导致其发生本合同所指的两种或两种</w:t>
      </w:r>
      <w:r>
        <w:rPr>
          <w:spacing w:val="-2"/>
        </w:rPr>
        <w:t>以上的轻度疾病，本公司仅按一种轻度疾病给付轻度疾病保险金，不承担其他轻</w:t>
      </w:r>
      <w:r>
        <w:rPr>
          <w:spacing w:val="-2"/>
        </w:rPr>
        <w:t>度疾病保险金给付责任。</w:t>
      </w:r>
    </w:p>
    <w:p>
      <w:pPr>
        <w:pStyle w:val="BodyText"/>
        <w:spacing w:line="278" w:lineRule="auto" w:before="156"/>
        <w:ind w:left="2699" w:right="387" w:firstLine="420"/>
        <w:jc w:val="both"/>
      </w:pPr>
      <w:r>
        <w:rPr>
          <w:spacing w:val="-2"/>
        </w:rPr>
        <w:t>若被保险人申请理赔时所患疾病同时符合本合同所指的轻度疾病定义、中度</w:t>
      </w:r>
      <w:r>
        <w:rPr>
          <w:spacing w:val="-2"/>
        </w:rPr>
        <w:t>疾病定义、重度疾病定义中的多种疾病，本公司仅承担给付保险金额最高的保险</w:t>
      </w:r>
      <w:r>
        <w:rPr>
          <w:spacing w:val="-2"/>
        </w:rPr>
        <w:t>责任，不承担其他保险金给付责任。</w:t>
      </w:r>
    </w:p>
    <w:p>
      <w:pPr>
        <w:pStyle w:val="BodyText"/>
        <w:spacing w:before="155"/>
        <w:ind w:left="3120"/>
      </w:pPr>
      <w:r>
        <w:rPr>
          <w:spacing w:val="-3"/>
        </w:rPr>
        <w:t>若本公司已给付过重度疾病保险金，则不再承担给付轻度疾病保险金责任。</w:t>
      </w:r>
    </w:p>
    <w:p>
      <w:pPr>
        <w:spacing w:before="132"/>
        <w:ind w:left="2699" w:right="0" w:firstLine="0"/>
        <w:jc w:val="left"/>
        <w:rPr>
          <w:rFonts w:ascii="微软雅黑" w:eastAsia="微软雅黑"/>
          <w:b/>
          <w:sz w:val="21"/>
        </w:rPr>
      </w:pPr>
      <w:r>
        <w:rPr>
          <w:rFonts w:ascii="微软雅黑" w:eastAsia="微软雅黑"/>
          <w:b/>
          <w:spacing w:val="-2"/>
          <w:sz w:val="21"/>
        </w:rPr>
        <w:t>三、中度疾病保险金</w:t>
      </w:r>
    </w:p>
    <w:p>
      <w:pPr>
        <w:spacing w:line="206" w:lineRule="auto" w:before="178"/>
        <w:ind w:left="2699" w:right="358" w:firstLine="420"/>
        <w:jc w:val="both"/>
        <w:rPr>
          <w:sz w:val="21"/>
        </w:rPr>
      </w:pPr>
      <w:r>
        <w:rPr>
          <w:spacing w:val="-2"/>
          <w:sz w:val="21"/>
        </w:rPr>
        <w:t>若被保险人因意外伤害或在等待期后因意外伤害以外的原因经医院专科医生</w:t>
      </w:r>
      <w:r>
        <w:rPr>
          <w:spacing w:val="-2"/>
          <w:sz w:val="21"/>
        </w:rPr>
        <w:t>确诊初次发生本合同约定的中度疾病中的一种或多种，</w:t>
      </w:r>
      <w:r>
        <w:rPr>
          <w:rFonts w:ascii="微软雅黑" w:eastAsia="微软雅黑"/>
          <w:b/>
          <w:spacing w:val="-2"/>
          <w:sz w:val="21"/>
        </w:rPr>
        <w:t>本公司将按本合同的基本</w:t>
      </w:r>
      <w:r>
        <w:rPr>
          <w:rFonts w:ascii="微软雅黑" w:eastAsia="微软雅黑"/>
          <w:b/>
          <w:sz w:val="21"/>
        </w:rPr>
        <w:t>保险金额的 </w:t>
      </w:r>
      <w:r>
        <w:rPr>
          <w:rFonts w:ascii="微软雅黑" w:eastAsia="微软雅黑"/>
          <w:b/>
          <w:w w:val="95"/>
          <w:sz w:val="21"/>
        </w:rPr>
        <w:t>50%</w:t>
      </w:r>
      <w:r>
        <w:rPr>
          <w:rFonts w:ascii="微软雅黑" w:eastAsia="微软雅黑"/>
          <w:b/>
          <w:sz w:val="21"/>
        </w:rPr>
        <w:t>给付中度疾病保险金</w:t>
      </w:r>
      <w:r>
        <w:rPr>
          <w:sz w:val="21"/>
        </w:rPr>
        <w:t>，本合同继续有效。</w:t>
      </w:r>
    </w:p>
    <w:p>
      <w:pPr>
        <w:pStyle w:val="BodyText"/>
        <w:spacing w:line="278" w:lineRule="auto" w:before="166"/>
        <w:ind w:left="2699" w:right="358" w:firstLine="420"/>
        <w:jc w:val="both"/>
      </w:pPr>
      <w:r>
        <w:rPr>
          <w:spacing w:val="-2"/>
        </w:rPr>
        <w:t>每种中度疾病只给付一次中度疾病保险金，给付后该种中度疾病保险金责任</w:t>
      </w:r>
      <w:r>
        <w:rPr>
          <w:spacing w:val="-2"/>
        </w:rPr>
        <w:t>终止，本合同的中度疾病保险金累计给付以 </w:t>
      </w:r>
      <w:r>
        <w:rPr/>
        <w:t>2</w:t>
      </w:r>
      <w:r>
        <w:rPr>
          <w:spacing w:val="-6"/>
        </w:rPr>
        <w:t> 次为限。</w:t>
      </w:r>
    </w:p>
    <w:p>
      <w:pPr>
        <w:pStyle w:val="BodyText"/>
        <w:spacing w:line="278" w:lineRule="auto" w:before="155"/>
        <w:ind w:left="2699" w:right="358" w:firstLine="420"/>
        <w:jc w:val="both"/>
      </w:pPr>
      <w:r>
        <w:rPr>
          <w:spacing w:val="-2"/>
        </w:rPr>
        <w:t>若被保险人因同一原因或在同一事故中导致其发生本合同所指的两种或两种</w:t>
      </w:r>
      <w:r>
        <w:rPr>
          <w:spacing w:val="-2"/>
        </w:rPr>
        <w:t>以上的中度疾病，本公司仅按一种中度疾病给付中度疾病保险金，不承担其他中</w:t>
      </w:r>
      <w:r>
        <w:rPr>
          <w:spacing w:val="-2"/>
        </w:rPr>
        <w:t>度疾病保险金给付责任。</w:t>
      </w:r>
    </w:p>
    <w:p>
      <w:pPr>
        <w:pStyle w:val="BodyText"/>
        <w:spacing w:line="278" w:lineRule="auto" w:before="156"/>
        <w:ind w:left="2699" w:right="387" w:firstLine="420"/>
        <w:jc w:val="both"/>
      </w:pPr>
      <w:r>
        <w:rPr>
          <w:spacing w:val="-2"/>
        </w:rPr>
        <w:t>若被保险人申请理赔时所患疾病同时符合本合同所指的轻度疾病定义、中度</w:t>
      </w:r>
      <w:r>
        <w:rPr>
          <w:spacing w:val="-2"/>
        </w:rPr>
        <w:t>疾病定义、重度疾病定义中的多种疾病，本公司仅承担给付保险金额最高的保险</w:t>
      </w:r>
      <w:r>
        <w:rPr>
          <w:spacing w:val="-2"/>
        </w:rPr>
        <w:t>责任，不承担其他保险金给付责任。</w:t>
      </w:r>
    </w:p>
    <w:p>
      <w:pPr>
        <w:pStyle w:val="BodyText"/>
        <w:spacing w:before="156"/>
        <w:ind w:left="3120"/>
      </w:pPr>
      <w:r>
        <w:rPr>
          <w:spacing w:val="-3"/>
        </w:rPr>
        <w:t>若本公司已给付过重度疾病保险金，则不再承担中度疾病保险金给付责任。</w:t>
      </w:r>
    </w:p>
    <w:p>
      <w:pPr>
        <w:spacing w:before="132"/>
        <w:ind w:left="2699" w:right="0" w:firstLine="0"/>
        <w:jc w:val="left"/>
        <w:rPr>
          <w:rFonts w:ascii="微软雅黑" w:eastAsia="微软雅黑"/>
          <w:b/>
          <w:sz w:val="21"/>
        </w:rPr>
      </w:pPr>
      <w:r>
        <w:rPr>
          <w:rFonts w:ascii="微软雅黑" w:eastAsia="微软雅黑"/>
          <w:b/>
          <w:spacing w:val="-2"/>
          <w:sz w:val="21"/>
        </w:rPr>
        <w:t>四、重度疾病保险金</w:t>
      </w:r>
    </w:p>
    <w:p>
      <w:pPr>
        <w:pStyle w:val="BodyText"/>
        <w:spacing w:line="312" w:lineRule="exact" w:before="108"/>
        <w:ind w:left="2699" w:right="248" w:firstLine="423"/>
      </w:pPr>
      <w:r>
        <w:rPr>
          <w:spacing w:val="-3"/>
          <w:w w:val="100"/>
        </w:rPr>
        <w:t>本合同约定的重度疾病分为</w:t>
      </w:r>
      <w:r>
        <w:rPr>
          <w:spacing w:val="-62"/>
        </w:rPr>
        <w:t> </w:t>
      </w:r>
      <w:r>
        <w:rPr>
          <w:w w:val="100"/>
        </w:rPr>
        <w:t>4</w:t>
      </w:r>
      <w:r>
        <w:rPr>
          <w:spacing w:val="-60"/>
        </w:rPr>
        <w:t> </w:t>
      </w:r>
      <w:r>
        <w:rPr>
          <w:spacing w:val="-16"/>
          <w:w w:val="100"/>
        </w:rPr>
        <w:t>组，详细疾病分组见</w:t>
      </w:r>
      <w:r>
        <w:rPr>
          <w:rFonts w:ascii="微软雅黑" w:eastAsia="微软雅黑"/>
          <w:b/>
          <w:spacing w:val="-16"/>
          <w:w w:val="100"/>
        </w:rPr>
        <w:t>重度疾病分组表</w:t>
      </w:r>
      <w:r>
        <w:rPr>
          <w:spacing w:val="-3"/>
          <w:w w:val="100"/>
        </w:rPr>
        <w:t>（</w:t>
      </w:r>
      <w:r>
        <w:rPr>
          <w:w w:val="100"/>
        </w:rPr>
        <w:t>见</w:t>
      </w:r>
      <w:r>
        <w:rPr>
          <w:spacing w:val="-60"/>
        </w:rPr>
        <w:t> </w:t>
      </w:r>
      <w:r>
        <w:rPr>
          <w:w w:val="100"/>
        </w:rPr>
        <w:t>9</w:t>
      </w:r>
      <w:r>
        <w:rPr>
          <w:spacing w:val="-3"/>
          <w:w w:val="100"/>
        </w:rPr>
        <w:t>.1</w:t>
      </w:r>
      <w:r>
        <w:rPr>
          <w:w w:val="100"/>
        </w:rPr>
        <w:t>4</w:t>
      </w:r>
      <w:r>
        <w:rPr>
          <w:spacing w:val="-106"/>
          <w:w w:val="100"/>
        </w:rPr>
        <w:t>）。</w:t>
      </w:r>
      <w:r>
        <w:rPr>
          <w:spacing w:val="-3"/>
          <w:w w:val="100"/>
        </w:rPr>
        <w:t>每组重度疾病保险金的给付次数以一次为限，给付后该组重度疾病的保险责任终</w:t>
      </w:r>
      <w:r>
        <w:rPr>
          <w:spacing w:val="-8"/>
          <w:w w:val="100"/>
        </w:rPr>
        <w:t>止。本合同重度疾病保险金的累计给付次数以</w:t>
      </w:r>
      <w:r>
        <w:rPr>
          <w:spacing w:val="-53"/>
        </w:rPr>
        <w:t> </w:t>
      </w:r>
      <w:r>
        <w:rPr>
          <w:w w:val="100"/>
        </w:rPr>
        <w:t>4</w:t>
      </w:r>
      <w:r>
        <w:rPr>
          <w:spacing w:val="-53"/>
        </w:rPr>
        <w:t> </w:t>
      </w:r>
      <w:r>
        <w:rPr>
          <w:spacing w:val="-8"/>
          <w:w w:val="100"/>
        </w:rPr>
        <w:t>次为限，当累计给付达到</w:t>
      </w:r>
      <w:r>
        <w:rPr>
          <w:spacing w:val="-52"/>
        </w:rPr>
        <w:t> </w:t>
      </w:r>
      <w:r>
        <w:rPr>
          <w:w w:val="100"/>
        </w:rPr>
        <w:t>4</w:t>
      </w:r>
      <w:r>
        <w:rPr>
          <w:spacing w:val="-55"/>
        </w:rPr>
        <w:t> </w:t>
      </w:r>
      <w:r>
        <w:rPr>
          <w:w w:val="100"/>
        </w:rPr>
        <w:t>次时，</w:t>
      </w:r>
      <w:r>
        <w:rPr>
          <w:spacing w:val="-2"/>
          <w:w w:val="100"/>
        </w:rPr>
        <w:t>本合同终止。</w:t>
      </w:r>
    </w:p>
    <w:p>
      <w:pPr>
        <w:pStyle w:val="BodyText"/>
        <w:spacing w:before="4"/>
        <w:rPr>
          <w:sz w:val="15"/>
        </w:rPr>
      </w:pPr>
    </w:p>
    <w:p>
      <w:pPr>
        <w:pStyle w:val="ListParagraph"/>
        <w:numPr>
          <w:ilvl w:val="2"/>
          <w:numId w:val="7"/>
        </w:numPr>
        <w:tabs>
          <w:tab w:pos="3481" w:val="left" w:leader="none"/>
        </w:tabs>
        <w:spacing w:line="240" w:lineRule="auto" w:before="0" w:after="0"/>
        <w:ind w:left="3480" w:right="0" w:hanging="361"/>
        <w:jc w:val="left"/>
        <w:rPr>
          <w:sz w:val="21"/>
        </w:rPr>
      </w:pPr>
      <w:r>
        <w:rPr>
          <w:spacing w:val="-3"/>
          <w:sz w:val="21"/>
        </w:rPr>
        <w:t>第一次重度疾病保险金</w:t>
      </w:r>
    </w:p>
    <w:p>
      <w:pPr>
        <w:pStyle w:val="BodyText"/>
        <w:spacing w:before="6"/>
        <w:rPr>
          <w:sz w:val="15"/>
        </w:rPr>
      </w:pPr>
    </w:p>
    <w:p>
      <w:pPr>
        <w:pStyle w:val="BodyText"/>
        <w:spacing w:line="278" w:lineRule="auto" w:before="1"/>
        <w:ind w:left="3482" w:right="351" w:firstLine="420"/>
      </w:pPr>
      <w:r>
        <w:rPr>
          <w:spacing w:val="-2"/>
        </w:rPr>
        <w:t>若被保险人因意外伤害或在等待期后因意外伤害以外的原因经医院</w:t>
      </w:r>
      <w:r>
        <w:rPr>
          <w:spacing w:val="-1"/>
        </w:rPr>
        <w:t>专科医生确诊初次发生本合同约定的重度疾病中的一种或多种，本公司</w:t>
      </w:r>
    </w:p>
    <w:p>
      <w:pPr>
        <w:spacing w:after="0" w:line="278" w:lineRule="auto"/>
        <w:sectPr>
          <w:pgSz w:w="11910" w:h="16840"/>
          <w:pgMar w:header="0" w:footer="458" w:top="1260" w:bottom="640" w:left="800" w:right="660"/>
        </w:sectPr>
      </w:pPr>
    </w:p>
    <w:p>
      <w:pPr>
        <w:pStyle w:val="BodyText"/>
        <w:spacing w:line="278" w:lineRule="auto"/>
        <w:ind w:left="3482" w:right="351"/>
        <w:jc w:val="both"/>
      </w:pPr>
      <w:r>
        <w:rPr>
          <w:spacing w:val="-2"/>
        </w:rPr>
        <w:t>将按以下三项金额中的较大者给付第一次重度疾病保险金，给付后该重</w:t>
      </w:r>
      <w:r>
        <w:rPr>
          <w:spacing w:val="-2"/>
        </w:rPr>
        <w:t>度疾病所属组别的保险责任以及轻度疾病保险金、中度疾病保险金、身</w:t>
      </w:r>
      <w:r>
        <w:rPr>
          <w:spacing w:val="-2"/>
        </w:rPr>
        <w:t>故保险金、全残保险金、疾病终末期保险金的保险责任均终止：</w:t>
      </w:r>
    </w:p>
    <w:p>
      <w:pPr>
        <w:pStyle w:val="ListParagraph"/>
        <w:numPr>
          <w:ilvl w:val="3"/>
          <w:numId w:val="7"/>
        </w:numPr>
        <w:tabs>
          <w:tab w:pos="4203" w:val="left" w:leader="none"/>
        </w:tabs>
        <w:spacing w:line="240" w:lineRule="auto" w:before="156" w:after="0"/>
        <w:ind w:left="4202" w:right="0" w:hanging="721"/>
        <w:jc w:val="left"/>
        <w:rPr>
          <w:sz w:val="21"/>
        </w:rPr>
      </w:pPr>
      <w:r>
        <w:rPr>
          <w:spacing w:val="-3"/>
          <w:sz w:val="21"/>
        </w:rPr>
        <w:t>被保险人第一次重度疾病确诊之日本合同的基本保险金额；</w:t>
      </w:r>
    </w:p>
    <w:p>
      <w:pPr>
        <w:pStyle w:val="ListParagraph"/>
        <w:numPr>
          <w:ilvl w:val="3"/>
          <w:numId w:val="7"/>
        </w:numPr>
        <w:tabs>
          <w:tab w:pos="4203" w:val="left" w:leader="none"/>
        </w:tabs>
        <w:spacing w:line="240" w:lineRule="auto" w:before="42" w:after="0"/>
        <w:ind w:left="4202" w:right="0" w:hanging="721"/>
        <w:jc w:val="left"/>
        <w:rPr>
          <w:sz w:val="21"/>
        </w:rPr>
      </w:pPr>
      <w:r>
        <w:rPr>
          <w:spacing w:val="-3"/>
          <w:sz w:val="21"/>
        </w:rPr>
        <w:t>被保险人第一次重度疾病确诊之日本合同的现金价值；</w:t>
      </w:r>
    </w:p>
    <w:p>
      <w:pPr>
        <w:pStyle w:val="ListParagraph"/>
        <w:numPr>
          <w:ilvl w:val="3"/>
          <w:numId w:val="7"/>
        </w:numPr>
        <w:tabs>
          <w:tab w:pos="4203" w:val="left" w:leader="none"/>
        </w:tabs>
        <w:spacing w:line="240" w:lineRule="auto" w:before="43" w:after="0"/>
        <w:ind w:left="4202" w:right="0" w:hanging="721"/>
        <w:jc w:val="left"/>
        <w:rPr>
          <w:sz w:val="21"/>
        </w:rPr>
      </w:pPr>
      <w:r>
        <w:rPr>
          <w:spacing w:val="-3"/>
          <w:sz w:val="21"/>
        </w:rPr>
        <w:t>被保险人第一次重度疾病确诊之日本合同的累计已交保险费。</w:t>
      </w:r>
    </w:p>
    <w:p>
      <w:pPr>
        <w:pStyle w:val="BodyText"/>
        <w:spacing w:before="7"/>
        <w:rPr>
          <w:sz w:val="15"/>
        </w:rPr>
      </w:pPr>
    </w:p>
    <w:p>
      <w:pPr>
        <w:pStyle w:val="BodyText"/>
        <w:spacing w:line="278" w:lineRule="auto" w:before="0"/>
        <w:ind w:left="3480" w:right="360"/>
      </w:pPr>
      <w:r>
        <w:rPr>
          <w:spacing w:val="-2"/>
        </w:rPr>
        <w:t>同时，本合同自第一次重度疾病确诊之日起现金价值为零，本公司将继</w:t>
      </w:r>
      <w:r>
        <w:rPr>
          <w:spacing w:val="-2"/>
        </w:rPr>
        <w:t>续承担其他组别重度疾病保险金给付责任。</w:t>
      </w:r>
    </w:p>
    <w:p>
      <w:pPr>
        <w:pStyle w:val="ListParagraph"/>
        <w:numPr>
          <w:ilvl w:val="2"/>
          <w:numId w:val="7"/>
        </w:numPr>
        <w:tabs>
          <w:tab w:pos="3481" w:val="left" w:leader="none"/>
        </w:tabs>
        <w:spacing w:line="240" w:lineRule="auto" w:before="156" w:after="0"/>
        <w:ind w:left="3480" w:right="0" w:hanging="361"/>
        <w:jc w:val="left"/>
        <w:rPr>
          <w:sz w:val="21"/>
        </w:rPr>
      </w:pPr>
      <w:r>
        <w:rPr>
          <w:spacing w:val="-3"/>
          <w:sz w:val="21"/>
        </w:rPr>
        <w:t>第二次重度疾病保险金</w:t>
      </w:r>
    </w:p>
    <w:p>
      <w:pPr>
        <w:pStyle w:val="BodyText"/>
        <w:spacing w:before="7"/>
        <w:rPr>
          <w:sz w:val="15"/>
        </w:rPr>
      </w:pPr>
    </w:p>
    <w:p>
      <w:pPr>
        <w:pStyle w:val="BodyText"/>
        <w:spacing w:line="278" w:lineRule="auto" w:before="0"/>
        <w:ind w:left="3540" w:right="353" w:firstLine="420"/>
        <w:jc w:val="both"/>
      </w:pPr>
      <w:r>
        <w:rPr>
          <w:spacing w:val="-2"/>
        </w:rPr>
        <w:t>本公司给付第一次重度疾病保险金后，若被保险人于第一次重度疾</w:t>
      </w:r>
      <w:r>
        <w:rPr>
          <w:spacing w:val="-4"/>
        </w:rPr>
        <w:t>病确诊之日起180日（含）后，经医院专科医生确诊初次发生本合同约定</w:t>
      </w:r>
      <w:r>
        <w:rPr>
          <w:spacing w:val="-2"/>
        </w:rPr>
        <w:t>的重度疾病中除第一次重度疾病所属组别以外的其他组别中的重度疾病</w:t>
      </w:r>
      <w:r>
        <w:rPr>
          <w:spacing w:val="-2"/>
        </w:rPr>
        <w:t>中的一种或多种，本公司将按本合同的基本保险金额给付第二次重度疾</w:t>
      </w:r>
      <w:r>
        <w:rPr>
          <w:spacing w:val="-2"/>
        </w:rPr>
        <w:t>病保险金，给付后该重度疾病所属组别的保险责任终止。</w:t>
      </w:r>
    </w:p>
    <w:p>
      <w:pPr>
        <w:pStyle w:val="ListParagraph"/>
        <w:numPr>
          <w:ilvl w:val="2"/>
          <w:numId w:val="7"/>
        </w:numPr>
        <w:tabs>
          <w:tab w:pos="3481" w:val="left" w:leader="none"/>
        </w:tabs>
        <w:spacing w:line="240" w:lineRule="auto" w:before="156" w:after="0"/>
        <w:ind w:left="3480" w:right="0" w:hanging="361"/>
        <w:jc w:val="left"/>
        <w:rPr>
          <w:sz w:val="21"/>
        </w:rPr>
      </w:pPr>
      <w:r>
        <w:rPr>
          <w:spacing w:val="-3"/>
          <w:sz w:val="21"/>
        </w:rPr>
        <w:t>第三次重度疾病保险金</w:t>
      </w:r>
    </w:p>
    <w:p>
      <w:pPr>
        <w:pStyle w:val="BodyText"/>
        <w:spacing w:before="6"/>
        <w:rPr>
          <w:sz w:val="15"/>
        </w:rPr>
      </w:pPr>
    </w:p>
    <w:p>
      <w:pPr>
        <w:pStyle w:val="BodyText"/>
        <w:spacing w:line="278" w:lineRule="auto" w:before="0"/>
        <w:ind w:left="3540" w:right="353" w:firstLine="420"/>
        <w:jc w:val="both"/>
      </w:pPr>
      <w:r>
        <w:rPr>
          <w:spacing w:val="-2"/>
        </w:rPr>
        <w:t>本公司给付第二次重度疾病保险金后，若被保险人于第二次重度疾</w:t>
      </w:r>
      <w:r>
        <w:rPr>
          <w:spacing w:val="-4"/>
        </w:rPr>
        <w:t>病确诊之日起180日（含）后，经医院专科医生确诊初次发生本合同约定</w:t>
      </w:r>
      <w:r>
        <w:rPr>
          <w:spacing w:val="-2"/>
        </w:rPr>
        <w:t>的重度疾病中除第一次、第二次重度疾病所属组别以外的其他组别中的</w:t>
      </w:r>
      <w:r>
        <w:rPr>
          <w:spacing w:val="-2"/>
        </w:rPr>
        <w:t>重度疾病中的一种或多种，本公司将按本合同的基本保险金额给付第三</w:t>
      </w:r>
      <w:r>
        <w:rPr>
          <w:spacing w:val="-2"/>
        </w:rPr>
        <w:t>次重度疾病保险金，给付后该重度疾病所属组别的保险责任终止。</w:t>
      </w:r>
    </w:p>
    <w:p>
      <w:pPr>
        <w:pStyle w:val="ListParagraph"/>
        <w:numPr>
          <w:ilvl w:val="2"/>
          <w:numId w:val="7"/>
        </w:numPr>
        <w:tabs>
          <w:tab w:pos="3481" w:val="left" w:leader="none"/>
        </w:tabs>
        <w:spacing w:line="240" w:lineRule="auto" w:before="156" w:after="0"/>
        <w:ind w:left="3480" w:right="0" w:hanging="361"/>
        <w:jc w:val="both"/>
        <w:rPr>
          <w:sz w:val="21"/>
        </w:rPr>
      </w:pPr>
      <w:r>
        <w:rPr>
          <w:spacing w:val="-3"/>
          <w:sz w:val="21"/>
        </w:rPr>
        <w:t>第四次重度疾病保险金</w:t>
      </w:r>
    </w:p>
    <w:p>
      <w:pPr>
        <w:pStyle w:val="BodyText"/>
        <w:spacing w:before="7"/>
        <w:rPr>
          <w:sz w:val="15"/>
        </w:rPr>
      </w:pPr>
    </w:p>
    <w:p>
      <w:pPr>
        <w:pStyle w:val="BodyText"/>
        <w:spacing w:line="278" w:lineRule="auto" w:before="0"/>
        <w:ind w:left="3540" w:right="353" w:firstLine="420"/>
        <w:jc w:val="both"/>
      </w:pPr>
      <w:r>
        <w:rPr>
          <w:spacing w:val="-2"/>
        </w:rPr>
        <w:t>本公司给付第三次重度疾病保险金后，若被保险人于第三次重度疾</w:t>
      </w:r>
      <w:r>
        <w:rPr>
          <w:spacing w:val="-4"/>
        </w:rPr>
        <w:t>病确诊之日起180日（含）后，经医院专科医生确诊初次发生本合同约定</w:t>
      </w:r>
      <w:r>
        <w:rPr>
          <w:spacing w:val="-2"/>
        </w:rPr>
        <w:t>的重度疾病中除第一次、第二次、第三次重度疾病所属组别以外的其他</w:t>
      </w:r>
      <w:r>
        <w:rPr>
          <w:spacing w:val="-2"/>
        </w:rPr>
        <w:t>组别中的重度疾病中的一种或多种，本公司将按本合同的基本保险金额</w:t>
      </w:r>
      <w:r>
        <w:rPr>
          <w:spacing w:val="-2"/>
        </w:rPr>
        <w:t>给付第四次重度疾病保险金，本合同终止。</w:t>
      </w:r>
    </w:p>
    <w:p>
      <w:pPr>
        <w:pStyle w:val="BodyText"/>
        <w:spacing w:line="278" w:lineRule="auto" w:before="156"/>
        <w:ind w:left="2699" w:right="358" w:firstLine="420"/>
        <w:jc w:val="both"/>
      </w:pPr>
      <w:r>
        <w:rPr>
          <w:spacing w:val="-2"/>
        </w:rPr>
        <w:t>若被保险人因同一原因或在同一事故中导致其发生本合同所指的两种或两种</w:t>
      </w:r>
      <w:r>
        <w:rPr>
          <w:spacing w:val="-2"/>
        </w:rPr>
        <w:t>以上的重度疾病，本公司仅按一种重度疾病给付重度疾病保险金，不承担其他重</w:t>
      </w:r>
      <w:r>
        <w:rPr>
          <w:spacing w:val="-2"/>
        </w:rPr>
        <w:t>度疾病保险金给付责任。</w:t>
      </w:r>
    </w:p>
    <w:p>
      <w:pPr>
        <w:spacing w:before="88"/>
        <w:ind w:left="2699" w:right="0" w:firstLine="0"/>
        <w:jc w:val="left"/>
        <w:rPr>
          <w:rFonts w:ascii="微软雅黑" w:eastAsia="微软雅黑"/>
          <w:b/>
          <w:sz w:val="21"/>
        </w:rPr>
      </w:pPr>
      <w:r>
        <w:rPr>
          <w:rFonts w:ascii="微软雅黑" w:eastAsia="微软雅黑"/>
          <w:b/>
          <w:spacing w:val="-2"/>
          <w:sz w:val="21"/>
        </w:rPr>
        <w:t>五、身故保险金</w:t>
      </w:r>
    </w:p>
    <w:p>
      <w:pPr>
        <w:pStyle w:val="BodyText"/>
        <w:spacing w:line="278" w:lineRule="auto" w:before="148"/>
        <w:ind w:left="2699" w:right="358" w:firstLine="420"/>
      </w:pPr>
      <w:r>
        <w:rPr>
          <w:spacing w:val="-2"/>
        </w:rPr>
        <w:t>若被保险人因意外伤害或在等待期后因意外伤害以外的原因身故，本公司将</w:t>
      </w:r>
      <w:r>
        <w:rPr>
          <w:spacing w:val="-2"/>
        </w:rPr>
        <w:t>按以下约定给付身故保险金，本合同终止：</w:t>
      </w:r>
    </w:p>
    <w:p>
      <w:pPr>
        <w:pStyle w:val="ListParagraph"/>
        <w:numPr>
          <w:ilvl w:val="0"/>
          <w:numId w:val="8"/>
        </w:numPr>
        <w:tabs>
          <w:tab w:pos="3541" w:val="left" w:leader="none"/>
        </w:tabs>
        <w:spacing w:line="278" w:lineRule="auto" w:before="156" w:after="0"/>
        <w:ind w:left="3583" w:right="355" w:hanging="464"/>
        <w:jc w:val="left"/>
        <w:rPr>
          <w:sz w:val="21"/>
        </w:rPr>
      </w:pPr>
      <w:r>
        <w:rPr>
          <w:spacing w:val="-8"/>
          <w:sz w:val="21"/>
        </w:rPr>
        <w:t>若被保险人年龄达 </w:t>
      </w:r>
      <w:r>
        <w:rPr>
          <w:spacing w:val="-4"/>
          <w:sz w:val="21"/>
        </w:rPr>
        <w:t>18</w:t>
      </w:r>
      <w:r>
        <w:rPr>
          <w:spacing w:val="-10"/>
          <w:sz w:val="21"/>
        </w:rPr>
        <w:t> 周岁的保单周年日</w:t>
      </w:r>
      <w:r>
        <w:rPr>
          <w:spacing w:val="-4"/>
          <w:sz w:val="21"/>
        </w:rPr>
        <w:t>（不含）以前身故的，本公司将</w:t>
      </w:r>
      <w:r>
        <w:rPr>
          <w:spacing w:val="-2"/>
          <w:sz w:val="21"/>
        </w:rPr>
        <w:t>按被保险人身故时本合同的累计已交保险费的 </w:t>
      </w:r>
      <w:r>
        <w:rPr>
          <w:sz w:val="21"/>
        </w:rPr>
        <w:t>200%给付身故保险金。</w:t>
      </w:r>
    </w:p>
    <w:p>
      <w:pPr>
        <w:pStyle w:val="ListParagraph"/>
        <w:numPr>
          <w:ilvl w:val="0"/>
          <w:numId w:val="8"/>
        </w:numPr>
        <w:tabs>
          <w:tab w:pos="3541" w:val="left" w:leader="none"/>
        </w:tabs>
        <w:spacing w:line="278" w:lineRule="auto" w:before="156" w:after="0"/>
        <w:ind w:left="3583" w:right="355" w:hanging="464"/>
        <w:jc w:val="left"/>
        <w:rPr>
          <w:sz w:val="21"/>
        </w:rPr>
      </w:pPr>
      <w:r>
        <w:rPr>
          <w:spacing w:val="-8"/>
          <w:sz w:val="21"/>
        </w:rPr>
        <w:t>若被保险人年龄达 </w:t>
      </w:r>
      <w:r>
        <w:rPr>
          <w:spacing w:val="-4"/>
          <w:sz w:val="21"/>
        </w:rPr>
        <w:t>18</w:t>
      </w:r>
      <w:r>
        <w:rPr>
          <w:spacing w:val="-10"/>
          <w:sz w:val="21"/>
        </w:rPr>
        <w:t> 周岁的保单周年日</w:t>
      </w:r>
      <w:r>
        <w:rPr>
          <w:spacing w:val="-4"/>
          <w:sz w:val="21"/>
        </w:rPr>
        <w:t>（含）以后身故的，本公司将按</w:t>
      </w:r>
      <w:r>
        <w:rPr>
          <w:spacing w:val="-2"/>
          <w:sz w:val="21"/>
        </w:rPr>
        <w:t>以下三项金额中的较大者给付身故保险金：</w:t>
      </w:r>
    </w:p>
    <w:p>
      <w:pPr>
        <w:pStyle w:val="ListParagraph"/>
        <w:numPr>
          <w:ilvl w:val="1"/>
          <w:numId w:val="8"/>
        </w:numPr>
        <w:tabs>
          <w:tab w:pos="4306" w:val="left" w:leader="none"/>
        </w:tabs>
        <w:spacing w:line="240" w:lineRule="auto" w:before="156" w:after="0"/>
        <w:ind w:left="4305" w:right="0" w:hanging="721"/>
        <w:jc w:val="left"/>
        <w:rPr>
          <w:sz w:val="21"/>
        </w:rPr>
      </w:pPr>
      <w:r>
        <w:rPr>
          <w:spacing w:val="-3"/>
          <w:sz w:val="21"/>
        </w:rPr>
        <w:t>被保险人身故时本合同的基本保险金额；</w:t>
      </w:r>
    </w:p>
    <w:p>
      <w:pPr>
        <w:pStyle w:val="ListParagraph"/>
        <w:numPr>
          <w:ilvl w:val="1"/>
          <w:numId w:val="8"/>
        </w:numPr>
        <w:tabs>
          <w:tab w:pos="4306" w:val="left" w:leader="none"/>
        </w:tabs>
        <w:spacing w:line="240" w:lineRule="auto" w:before="43" w:after="0"/>
        <w:ind w:left="4305" w:right="0" w:hanging="721"/>
        <w:jc w:val="left"/>
        <w:rPr>
          <w:sz w:val="21"/>
        </w:rPr>
      </w:pPr>
      <w:r>
        <w:rPr>
          <w:spacing w:val="-3"/>
          <w:sz w:val="21"/>
        </w:rPr>
        <w:t>被保险人身故时本合同的现金价值；</w:t>
      </w:r>
    </w:p>
    <w:p>
      <w:pPr>
        <w:pStyle w:val="ListParagraph"/>
        <w:numPr>
          <w:ilvl w:val="1"/>
          <w:numId w:val="8"/>
        </w:numPr>
        <w:tabs>
          <w:tab w:pos="4304" w:val="left" w:leader="none"/>
        </w:tabs>
        <w:spacing w:line="240" w:lineRule="auto" w:before="43" w:after="0"/>
        <w:ind w:left="4303" w:right="0" w:hanging="721"/>
        <w:jc w:val="left"/>
        <w:rPr>
          <w:sz w:val="21"/>
        </w:rPr>
      </w:pPr>
      <w:r>
        <w:rPr>
          <w:spacing w:val="-3"/>
          <w:sz w:val="21"/>
        </w:rPr>
        <w:t>被保险人身故时本合同的累计已交保险费。</w:t>
      </w:r>
    </w:p>
    <w:p>
      <w:pPr>
        <w:spacing w:after="0" w:line="240" w:lineRule="auto"/>
        <w:jc w:val="left"/>
        <w:rPr>
          <w:sz w:val="21"/>
        </w:rPr>
        <w:sectPr>
          <w:pgSz w:w="11910" w:h="16840"/>
          <w:pgMar w:header="0" w:footer="458" w:top="1260" w:bottom="640" w:left="800" w:right="660"/>
        </w:sectPr>
      </w:pPr>
    </w:p>
    <w:p>
      <w:pPr>
        <w:pStyle w:val="BodyText"/>
        <w:spacing w:line="278" w:lineRule="auto"/>
        <w:ind w:left="2699" w:right="358" w:firstLine="420"/>
      </w:pPr>
      <w:r>
        <w:rPr>
          <w:spacing w:val="-2"/>
        </w:rPr>
        <w:t>若本公司已给付过重度疾病保险金，即使被保险人身故，本公司不承担给付</w:t>
      </w:r>
      <w:r>
        <w:rPr>
          <w:spacing w:val="-2"/>
        </w:rPr>
        <w:t>身故保险金责任，本合同终止。</w:t>
      </w:r>
    </w:p>
    <w:p>
      <w:pPr>
        <w:spacing w:before="89"/>
        <w:ind w:left="2699" w:right="0" w:firstLine="0"/>
        <w:jc w:val="left"/>
        <w:rPr>
          <w:rFonts w:ascii="微软雅黑" w:eastAsia="微软雅黑"/>
          <w:b/>
          <w:sz w:val="21"/>
        </w:rPr>
      </w:pPr>
      <w:r>
        <w:rPr>
          <w:rFonts w:ascii="微软雅黑" w:eastAsia="微软雅黑"/>
          <w:b/>
          <w:spacing w:val="-2"/>
          <w:sz w:val="21"/>
        </w:rPr>
        <w:t>六、全残保险金</w:t>
      </w:r>
    </w:p>
    <w:p>
      <w:pPr>
        <w:pStyle w:val="BodyText"/>
        <w:spacing w:line="278" w:lineRule="auto" w:before="148"/>
        <w:ind w:left="2699" w:right="358" w:firstLine="420"/>
      </w:pPr>
      <w:r>
        <w:rPr>
          <w:spacing w:val="-2"/>
        </w:rPr>
        <w:t>若被保险人因意外伤害或在等待期后因意外伤害以外的原因全残，本公司将</w:t>
      </w:r>
      <w:r>
        <w:rPr>
          <w:spacing w:val="-2"/>
        </w:rPr>
        <w:t>按以下约定给付全残保险金，本合同终止：</w:t>
      </w:r>
    </w:p>
    <w:p>
      <w:pPr>
        <w:pStyle w:val="ListParagraph"/>
        <w:numPr>
          <w:ilvl w:val="0"/>
          <w:numId w:val="9"/>
        </w:numPr>
        <w:tabs>
          <w:tab w:pos="3481" w:val="left" w:leader="none"/>
        </w:tabs>
        <w:spacing w:line="278" w:lineRule="auto" w:before="155" w:after="0"/>
        <w:ind w:left="3480" w:right="355" w:hanging="360"/>
        <w:jc w:val="left"/>
        <w:rPr>
          <w:sz w:val="21"/>
        </w:rPr>
      </w:pPr>
      <w:r>
        <w:rPr>
          <w:spacing w:val="-7"/>
          <w:sz w:val="21"/>
        </w:rPr>
        <w:t>若被保险人年龄达 </w:t>
      </w:r>
      <w:r>
        <w:rPr>
          <w:spacing w:val="-2"/>
          <w:sz w:val="21"/>
        </w:rPr>
        <w:t>18</w:t>
      </w:r>
      <w:r>
        <w:rPr>
          <w:spacing w:val="-8"/>
          <w:sz w:val="21"/>
        </w:rPr>
        <w:t> 周岁的保单周年日</w:t>
      </w:r>
      <w:r>
        <w:rPr>
          <w:spacing w:val="-2"/>
          <w:sz w:val="21"/>
        </w:rPr>
        <w:t>（不含）以前全残的，本公司将</w:t>
      </w:r>
      <w:r>
        <w:rPr>
          <w:spacing w:val="-2"/>
          <w:sz w:val="21"/>
        </w:rPr>
        <w:t>按被保险人全残时本合同的累计已交保险费的 </w:t>
      </w:r>
      <w:r>
        <w:rPr>
          <w:sz w:val="21"/>
        </w:rPr>
        <w:t>200%给付全残保险金。</w:t>
      </w:r>
    </w:p>
    <w:p>
      <w:pPr>
        <w:pStyle w:val="ListParagraph"/>
        <w:numPr>
          <w:ilvl w:val="0"/>
          <w:numId w:val="9"/>
        </w:numPr>
        <w:tabs>
          <w:tab w:pos="3541" w:val="left" w:leader="none"/>
        </w:tabs>
        <w:spacing w:line="278" w:lineRule="auto" w:before="156" w:after="0"/>
        <w:ind w:left="3583" w:right="356" w:hanging="464"/>
        <w:jc w:val="left"/>
        <w:rPr>
          <w:sz w:val="21"/>
        </w:rPr>
      </w:pPr>
      <w:r>
        <w:rPr>
          <w:spacing w:val="-9"/>
          <w:sz w:val="21"/>
        </w:rPr>
        <w:t>若被保险人年龄达 </w:t>
      </w:r>
      <w:r>
        <w:rPr>
          <w:spacing w:val="-4"/>
          <w:sz w:val="21"/>
        </w:rPr>
        <w:t>18</w:t>
      </w:r>
      <w:r>
        <w:rPr>
          <w:spacing w:val="-10"/>
          <w:sz w:val="21"/>
        </w:rPr>
        <w:t> 周岁的保单周年日</w:t>
      </w:r>
      <w:r>
        <w:rPr>
          <w:spacing w:val="-4"/>
          <w:sz w:val="21"/>
        </w:rPr>
        <w:t>（含）以后全残的，本公司将按</w:t>
      </w:r>
      <w:r>
        <w:rPr>
          <w:spacing w:val="-2"/>
          <w:sz w:val="21"/>
        </w:rPr>
        <w:t>以下三项金额中的较大者给付全残保险金：</w:t>
      </w:r>
    </w:p>
    <w:p>
      <w:pPr>
        <w:pStyle w:val="ListParagraph"/>
        <w:numPr>
          <w:ilvl w:val="1"/>
          <w:numId w:val="9"/>
        </w:numPr>
        <w:tabs>
          <w:tab w:pos="4174" w:val="left" w:leader="none"/>
        </w:tabs>
        <w:spacing w:line="240" w:lineRule="auto" w:before="156" w:after="0"/>
        <w:ind w:left="4173" w:right="0" w:hanging="526"/>
        <w:jc w:val="left"/>
        <w:rPr>
          <w:sz w:val="21"/>
        </w:rPr>
      </w:pPr>
      <w:r>
        <w:rPr>
          <w:spacing w:val="-3"/>
          <w:sz w:val="21"/>
        </w:rPr>
        <w:t>被保险人全残时本合同的基本保险金额；</w:t>
      </w:r>
    </w:p>
    <w:p>
      <w:pPr>
        <w:pStyle w:val="ListParagraph"/>
        <w:numPr>
          <w:ilvl w:val="1"/>
          <w:numId w:val="9"/>
        </w:numPr>
        <w:tabs>
          <w:tab w:pos="4174" w:val="left" w:leader="none"/>
        </w:tabs>
        <w:spacing w:line="240" w:lineRule="auto" w:before="43" w:after="0"/>
        <w:ind w:left="4173" w:right="0" w:hanging="526"/>
        <w:jc w:val="left"/>
        <w:rPr>
          <w:sz w:val="21"/>
        </w:rPr>
      </w:pPr>
      <w:r>
        <w:rPr>
          <w:spacing w:val="-3"/>
          <w:sz w:val="21"/>
        </w:rPr>
        <w:t>被保险人全残时本合同的现金价值；</w:t>
      </w:r>
    </w:p>
    <w:p>
      <w:pPr>
        <w:pStyle w:val="ListParagraph"/>
        <w:numPr>
          <w:ilvl w:val="1"/>
          <w:numId w:val="9"/>
        </w:numPr>
        <w:tabs>
          <w:tab w:pos="4172" w:val="left" w:leader="none"/>
        </w:tabs>
        <w:spacing w:line="240" w:lineRule="auto" w:before="43" w:after="0"/>
        <w:ind w:left="4171" w:right="0" w:hanging="527"/>
        <w:jc w:val="left"/>
        <w:rPr>
          <w:sz w:val="21"/>
        </w:rPr>
      </w:pPr>
      <w:r>
        <w:rPr>
          <w:spacing w:val="-3"/>
          <w:sz w:val="21"/>
        </w:rPr>
        <w:t>被保险人全残时本合同的累计已交保险费。</w:t>
      </w:r>
    </w:p>
    <w:p>
      <w:pPr>
        <w:pStyle w:val="BodyText"/>
        <w:spacing w:before="7"/>
        <w:rPr>
          <w:sz w:val="15"/>
        </w:rPr>
      </w:pPr>
    </w:p>
    <w:p>
      <w:pPr>
        <w:pStyle w:val="BodyText"/>
        <w:spacing w:line="278" w:lineRule="auto" w:before="0"/>
        <w:ind w:left="2699" w:right="358" w:firstLine="423"/>
      </w:pPr>
      <w:r>
        <w:rPr>
          <w:spacing w:val="-2"/>
        </w:rPr>
        <w:t>若本公司已给付过重度疾病保险金，即使被保险人全残，本公司不承担给付</w:t>
      </w:r>
      <w:r>
        <w:rPr>
          <w:spacing w:val="-2"/>
        </w:rPr>
        <w:t>全残保险金责任。</w:t>
      </w:r>
    </w:p>
    <w:p>
      <w:pPr>
        <w:spacing w:before="89"/>
        <w:ind w:left="2699" w:right="0" w:firstLine="0"/>
        <w:jc w:val="left"/>
        <w:rPr>
          <w:rFonts w:ascii="微软雅黑" w:eastAsia="微软雅黑"/>
          <w:b/>
          <w:sz w:val="21"/>
        </w:rPr>
      </w:pPr>
      <w:r>
        <w:rPr>
          <w:rFonts w:ascii="微软雅黑" w:eastAsia="微软雅黑"/>
          <w:b/>
          <w:spacing w:val="-3"/>
          <w:sz w:val="21"/>
        </w:rPr>
        <w:t>七、疾病终末期保险金</w:t>
      </w:r>
    </w:p>
    <w:p>
      <w:pPr>
        <w:pStyle w:val="BodyText"/>
        <w:spacing w:line="278" w:lineRule="auto" w:before="148"/>
        <w:ind w:left="2699" w:right="358" w:firstLine="420"/>
        <w:jc w:val="both"/>
      </w:pPr>
      <w:r>
        <w:rPr>
          <w:spacing w:val="-2"/>
        </w:rPr>
        <w:t>若被保险人因意外伤害或在等待期后因意外伤害以外的原因经医院专科医生</w:t>
      </w:r>
      <w:r>
        <w:rPr>
          <w:spacing w:val="-2"/>
        </w:rPr>
        <w:t>确诊初次达到疾病终末期时，本公司将按以下约定给付疾病终末期保险金，本合</w:t>
      </w:r>
      <w:r>
        <w:rPr>
          <w:spacing w:val="-4"/>
        </w:rPr>
        <w:t>同终止：</w:t>
      </w:r>
    </w:p>
    <w:p>
      <w:pPr>
        <w:pStyle w:val="ListParagraph"/>
        <w:numPr>
          <w:ilvl w:val="0"/>
          <w:numId w:val="10"/>
        </w:numPr>
        <w:tabs>
          <w:tab w:pos="3481" w:val="left" w:leader="none"/>
        </w:tabs>
        <w:spacing w:line="278" w:lineRule="auto" w:before="155" w:after="0"/>
        <w:ind w:left="3480" w:right="250" w:hanging="360"/>
        <w:jc w:val="left"/>
        <w:rPr>
          <w:sz w:val="21"/>
        </w:rPr>
      </w:pPr>
      <w:r>
        <w:rPr>
          <w:spacing w:val="-7"/>
          <w:sz w:val="21"/>
        </w:rPr>
        <w:t>若被保险人年龄达 </w:t>
      </w:r>
      <w:r>
        <w:rPr>
          <w:spacing w:val="-2"/>
          <w:sz w:val="21"/>
        </w:rPr>
        <w:t>18</w:t>
      </w:r>
      <w:r>
        <w:rPr>
          <w:spacing w:val="-8"/>
          <w:sz w:val="21"/>
        </w:rPr>
        <w:t> 周岁的保单周年日</w:t>
      </w:r>
      <w:r>
        <w:rPr>
          <w:spacing w:val="-2"/>
          <w:sz w:val="21"/>
        </w:rPr>
        <w:t>（不含)以前达到疾病终末期的，</w:t>
      </w:r>
      <w:r>
        <w:rPr>
          <w:sz w:val="21"/>
        </w:rPr>
        <w:t>本公司将按被保险人达到疾病终末期时本合同的累计已交保险费的 200%</w:t>
      </w:r>
      <w:r>
        <w:rPr>
          <w:spacing w:val="-2"/>
          <w:sz w:val="21"/>
        </w:rPr>
        <w:t>给付疾病终末期保险金。</w:t>
      </w:r>
    </w:p>
    <w:p>
      <w:pPr>
        <w:pStyle w:val="ListParagraph"/>
        <w:numPr>
          <w:ilvl w:val="0"/>
          <w:numId w:val="10"/>
        </w:numPr>
        <w:tabs>
          <w:tab w:pos="3481" w:val="left" w:leader="none"/>
        </w:tabs>
        <w:spacing w:line="278" w:lineRule="auto" w:before="157" w:after="0"/>
        <w:ind w:left="3480" w:right="356" w:hanging="360"/>
        <w:jc w:val="left"/>
        <w:rPr>
          <w:sz w:val="21"/>
        </w:rPr>
      </w:pPr>
      <w:r>
        <w:rPr>
          <w:spacing w:val="-3"/>
          <w:sz w:val="21"/>
        </w:rPr>
        <w:t>若被保险人年龄达 </w:t>
      </w:r>
      <w:r>
        <w:rPr>
          <w:sz w:val="21"/>
        </w:rPr>
        <w:t>18</w:t>
      </w:r>
      <w:r>
        <w:rPr>
          <w:spacing w:val="-5"/>
          <w:sz w:val="21"/>
        </w:rPr>
        <w:t> 周岁的保单周年日</w:t>
      </w:r>
      <w:r>
        <w:rPr>
          <w:sz w:val="21"/>
        </w:rPr>
        <w:t>（含)以后达到疾病终末期的，</w:t>
      </w:r>
      <w:r>
        <w:rPr>
          <w:spacing w:val="-2"/>
          <w:sz w:val="21"/>
        </w:rPr>
        <w:t>本公司将按以下三项金额中的较大者给付疾病终末期保险金：</w:t>
      </w:r>
    </w:p>
    <w:p>
      <w:pPr>
        <w:pStyle w:val="ListParagraph"/>
        <w:numPr>
          <w:ilvl w:val="1"/>
          <w:numId w:val="10"/>
        </w:numPr>
        <w:tabs>
          <w:tab w:pos="4306" w:val="left" w:leader="none"/>
        </w:tabs>
        <w:spacing w:line="240" w:lineRule="auto" w:before="155" w:after="0"/>
        <w:ind w:left="4305" w:right="0" w:hanging="721"/>
        <w:jc w:val="left"/>
        <w:rPr>
          <w:sz w:val="21"/>
        </w:rPr>
      </w:pPr>
      <w:r>
        <w:rPr>
          <w:spacing w:val="-3"/>
          <w:sz w:val="21"/>
        </w:rPr>
        <w:t>被保险人达到疾病终末期时本合同的基本保险金额；</w:t>
      </w:r>
    </w:p>
    <w:p>
      <w:pPr>
        <w:pStyle w:val="ListParagraph"/>
        <w:numPr>
          <w:ilvl w:val="1"/>
          <w:numId w:val="10"/>
        </w:numPr>
        <w:tabs>
          <w:tab w:pos="4306" w:val="left" w:leader="none"/>
        </w:tabs>
        <w:spacing w:line="240" w:lineRule="auto" w:before="43" w:after="0"/>
        <w:ind w:left="4305" w:right="0" w:hanging="721"/>
        <w:jc w:val="left"/>
        <w:rPr>
          <w:sz w:val="21"/>
        </w:rPr>
      </w:pPr>
      <w:r>
        <w:rPr>
          <w:spacing w:val="-3"/>
          <w:sz w:val="21"/>
        </w:rPr>
        <w:t>被保险人达到疾病终末期时本合同的现金价值；</w:t>
      </w:r>
    </w:p>
    <w:p>
      <w:pPr>
        <w:pStyle w:val="ListParagraph"/>
        <w:numPr>
          <w:ilvl w:val="1"/>
          <w:numId w:val="10"/>
        </w:numPr>
        <w:tabs>
          <w:tab w:pos="4304" w:val="left" w:leader="none"/>
        </w:tabs>
        <w:spacing w:line="240" w:lineRule="auto" w:before="43" w:after="0"/>
        <w:ind w:left="4303" w:right="0" w:hanging="721"/>
        <w:jc w:val="left"/>
        <w:rPr>
          <w:sz w:val="21"/>
        </w:rPr>
      </w:pPr>
      <w:r>
        <w:rPr>
          <w:spacing w:val="-3"/>
          <w:sz w:val="21"/>
        </w:rPr>
        <w:t>被保险人达到疾病终末期时本合同的累计已交保险费。</w:t>
      </w:r>
    </w:p>
    <w:p>
      <w:pPr>
        <w:pStyle w:val="BodyText"/>
        <w:spacing w:before="7"/>
        <w:rPr>
          <w:sz w:val="15"/>
        </w:rPr>
      </w:pPr>
    </w:p>
    <w:p>
      <w:pPr>
        <w:pStyle w:val="BodyText"/>
        <w:spacing w:line="278" w:lineRule="auto" w:before="0"/>
        <w:ind w:left="2699" w:right="358" w:firstLine="420"/>
      </w:pPr>
      <w:r>
        <w:rPr>
          <w:spacing w:val="-2"/>
        </w:rPr>
        <w:t>若本公司已给付过重度疾病保险金，即使被保险人达到疾病终末期，本公司</w:t>
      </w:r>
      <w:r>
        <w:rPr>
          <w:spacing w:val="-2"/>
        </w:rPr>
        <w:t>不承担给付疾病终末期保险金责任。</w:t>
      </w:r>
    </w:p>
    <w:p>
      <w:pPr>
        <w:pStyle w:val="BodyText"/>
        <w:spacing w:line="278" w:lineRule="auto" w:before="156"/>
        <w:ind w:left="2699" w:right="359" w:firstLine="423"/>
        <w:jc w:val="both"/>
      </w:pPr>
      <w:r>
        <w:rPr>
          <w:spacing w:val="-2"/>
        </w:rPr>
        <w:t>关于上述的重度疾病保险金、身故保险金、全残保险金和疾病终末期保险金</w:t>
      </w:r>
      <w:r>
        <w:rPr>
          <w:spacing w:val="-2"/>
        </w:rPr>
        <w:t>四种保险金，本公司给付了其中一种保险金，就不承担另外三种保险金的给付责</w:t>
      </w:r>
      <w:r>
        <w:rPr>
          <w:spacing w:val="-6"/>
        </w:rPr>
        <w:t>任。</w:t>
      </w:r>
    </w:p>
    <w:p>
      <w:pPr>
        <w:spacing w:before="89"/>
        <w:ind w:left="2699" w:right="0" w:firstLine="0"/>
        <w:jc w:val="left"/>
        <w:rPr>
          <w:rFonts w:ascii="微软雅黑" w:eastAsia="微软雅黑"/>
          <w:b/>
          <w:sz w:val="21"/>
        </w:rPr>
      </w:pPr>
      <w:r>
        <w:rPr>
          <w:rFonts w:ascii="微软雅黑" w:eastAsia="微软雅黑"/>
          <w:b/>
          <w:spacing w:val="-3"/>
          <w:sz w:val="21"/>
        </w:rPr>
        <w:t>八、被保险人中度疾病或重度疾病豁免保险费</w:t>
      </w:r>
    </w:p>
    <w:p>
      <w:pPr>
        <w:pStyle w:val="BodyText"/>
        <w:spacing w:line="278" w:lineRule="auto" w:before="148"/>
        <w:ind w:left="2699" w:right="358" w:firstLine="420"/>
        <w:jc w:val="both"/>
      </w:pPr>
      <w:r>
        <w:rPr>
          <w:spacing w:val="-2"/>
        </w:rPr>
        <w:t>若被保险人因意外伤害或在等待期后因意外伤害以外的原因经医院专科医生</w:t>
      </w:r>
      <w:r>
        <w:rPr>
          <w:spacing w:val="-2"/>
        </w:rPr>
        <w:t>确诊初次发生本合同约定的中度疾病或重度疾病，本公司将豁免本合同自中度疾</w:t>
      </w:r>
      <w:r>
        <w:rPr>
          <w:spacing w:val="-2"/>
        </w:rPr>
        <w:t>病或重度疾病确诊之日以后的各期保险费，被豁免的保险费视为已交付，本合同</w:t>
      </w:r>
      <w:r>
        <w:rPr>
          <w:spacing w:val="-2"/>
        </w:rPr>
        <w:t>继续有效。</w:t>
      </w:r>
    </w:p>
    <w:p>
      <w:pPr>
        <w:pStyle w:val="BodyText"/>
        <w:spacing w:before="155"/>
        <w:ind w:left="3120"/>
      </w:pPr>
      <w:r>
        <w:rPr>
          <w:spacing w:val="-3"/>
        </w:rPr>
        <w:t>上述豁免的保险费不包括以下款项：</w:t>
      </w:r>
    </w:p>
    <w:p>
      <w:pPr>
        <w:pStyle w:val="BodyText"/>
        <w:spacing w:before="7"/>
        <w:rPr>
          <w:sz w:val="15"/>
        </w:rPr>
      </w:pPr>
    </w:p>
    <w:p>
      <w:pPr>
        <w:pStyle w:val="ListParagraph"/>
        <w:numPr>
          <w:ilvl w:val="0"/>
          <w:numId w:val="11"/>
        </w:numPr>
        <w:tabs>
          <w:tab w:pos="3333" w:val="left" w:leader="none"/>
        </w:tabs>
        <w:spacing w:line="240" w:lineRule="auto" w:before="0" w:after="0"/>
        <w:ind w:left="3332" w:right="0" w:hanging="213"/>
        <w:jc w:val="left"/>
        <w:rPr>
          <w:sz w:val="21"/>
        </w:rPr>
      </w:pPr>
      <w:r>
        <w:rPr>
          <w:spacing w:val="-3"/>
          <w:sz w:val="21"/>
        </w:rPr>
        <w:t>被保险人于中度疾病、重度疾病确诊之日以前所欠交的保险费和利息；</w:t>
      </w:r>
    </w:p>
    <w:p>
      <w:pPr>
        <w:spacing w:after="0" w:line="240" w:lineRule="auto"/>
        <w:jc w:val="left"/>
        <w:rPr>
          <w:sz w:val="21"/>
        </w:rPr>
        <w:sectPr>
          <w:pgSz w:w="11910" w:h="16840"/>
          <w:pgMar w:header="0" w:footer="458" w:top="1260" w:bottom="640" w:left="800" w:right="660"/>
        </w:sectPr>
      </w:pPr>
    </w:p>
    <w:p>
      <w:pPr>
        <w:pStyle w:val="ListParagraph"/>
        <w:numPr>
          <w:ilvl w:val="0"/>
          <w:numId w:val="11"/>
        </w:numPr>
        <w:tabs>
          <w:tab w:pos="3333" w:val="left" w:leader="none"/>
        </w:tabs>
        <w:spacing w:line="240" w:lineRule="auto" w:before="43" w:after="0"/>
        <w:ind w:left="3332" w:right="0" w:hanging="213"/>
        <w:jc w:val="left"/>
        <w:rPr>
          <w:sz w:val="21"/>
        </w:rPr>
      </w:pPr>
      <w:r>
        <w:rPr>
          <w:spacing w:val="-3"/>
          <w:sz w:val="21"/>
        </w:rPr>
        <w:t>续期保险费交费宽限期内应交未交的保险费；</w:t>
      </w:r>
    </w:p>
    <w:p>
      <w:pPr>
        <w:pStyle w:val="ListParagraph"/>
        <w:numPr>
          <w:ilvl w:val="0"/>
          <w:numId w:val="11"/>
        </w:numPr>
        <w:tabs>
          <w:tab w:pos="3333" w:val="left" w:leader="none"/>
        </w:tabs>
        <w:spacing w:line="240" w:lineRule="auto" w:before="43" w:after="0"/>
        <w:ind w:left="3332" w:right="0" w:hanging="213"/>
        <w:jc w:val="left"/>
        <w:rPr>
          <w:sz w:val="21"/>
        </w:rPr>
      </w:pPr>
      <w:r>
        <w:rPr>
          <w:spacing w:val="-3"/>
          <w:sz w:val="21"/>
        </w:rPr>
        <w:t>保险单上载明的其他保险合同的保险费。</w:t>
      </w:r>
    </w:p>
    <w:p>
      <w:pPr>
        <w:spacing w:before="132"/>
        <w:ind w:left="2699" w:right="0" w:firstLine="0"/>
        <w:jc w:val="left"/>
        <w:rPr>
          <w:rFonts w:ascii="微软雅黑" w:eastAsia="微软雅黑"/>
          <w:b/>
          <w:sz w:val="21"/>
        </w:rPr>
      </w:pPr>
      <w:r>
        <w:rPr>
          <w:rFonts w:ascii="微软雅黑" w:eastAsia="微软雅黑"/>
          <w:b/>
          <w:spacing w:val="-3"/>
          <w:sz w:val="21"/>
        </w:rPr>
        <w:t>九、投保人中度疾病、重度疾病、身故、全残或疾病终末期豁免保险费</w:t>
      </w:r>
    </w:p>
    <w:p>
      <w:pPr>
        <w:pStyle w:val="BodyText"/>
        <w:spacing w:line="278" w:lineRule="auto" w:before="148"/>
        <w:ind w:left="2699" w:right="358" w:firstLine="420"/>
        <w:jc w:val="both"/>
      </w:pPr>
      <w:r>
        <w:rPr>
          <w:spacing w:val="-2"/>
        </w:rPr>
        <w:t>若投保人因意外伤害或在等待期后因意外伤害以外的原因经医院专科医生确</w:t>
      </w:r>
      <w:r>
        <w:rPr>
          <w:spacing w:val="-2"/>
        </w:rPr>
        <w:t>诊初次发生本合同约定的中度疾病、重度疾病、达到疾病终末期或身故、全残，</w:t>
      </w:r>
      <w:r>
        <w:rPr>
          <w:spacing w:val="-2"/>
        </w:rPr>
        <w:t>且投保人同时满足下列两个条件，本公司将豁免本合同自中度疾病、重度疾病、</w:t>
      </w:r>
      <w:r>
        <w:rPr>
          <w:spacing w:val="-2"/>
        </w:rPr>
        <w:t>疾病终末期确诊之日或身故、全残之日以后的各期保险费，被豁免的保险费视为</w:t>
      </w:r>
      <w:r>
        <w:rPr>
          <w:spacing w:val="-2"/>
        </w:rPr>
        <w:t>已交付，本合同继续有效。</w:t>
      </w:r>
    </w:p>
    <w:p>
      <w:pPr>
        <w:pStyle w:val="ListParagraph"/>
        <w:numPr>
          <w:ilvl w:val="0"/>
          <w:numId w:val="12"/>
        </w:numPr>
        <w:tabs>
          <w:tab w:pos="3333" w:val="left" w:leader="none"/>
        </w:tabs>
        <w:spacing w:line="240" w:lineRule="auto" w:before="155" w:after="0"/>
        <w:ind w:left="3332" w:right="0" w:hanging="213"/>
        <w:jc w:val="left"/>
        <w:rPr>
          <w:sz w:val="21"/>
        </w:rPr>
      </w:pPr>
      <w:r>
        <w:rPr>
          <w:spacing w:val="-3"/>
          <w:sz w:val="21"/>
        </w:rPr>
        <w:t>投保人与被保险人不为同一人；</w:t>
      </w:r>
    </w:p>
    <w:p>
      <w:pPr>
        <w:pStyle w:val="ListParagraph"/>
        <w:numPr>
          <w:ilvl w:val="0"/>
          <w:numId w:val="12"/>
        </w:numPr>
        <w:tabs>
          <w:tab w:pos="3333" w:val="left" w:leader="none"/>
        </w:tabs>
        <w:spacing w:line="278" w:lineRule="auto" w:before="43" w:after="0"/>
        <w:ind w:left="3120" w:right="358" w:firstLine="0"/>
        <w:jc w:val="left"/>
        <w:rPr>
          <w:sz w:val="21"/>
        </w:rPr>
      </w:pPr>
      <w:r>
        <w:rPr>
          <w:spacing w:val="-2"/>
          <w:sz w:val="21"/>
        </w:rPr>
        <w:t>投保人确诊初次发生本合同约定的中度疾病、重度疾病、达到疾病终末期</w:t>
      </w:r>
      <w:r>
        <w:rPr>
          <w:spacing w:val="-2"/>
          <w:sz w:val="21"/>
        </w:rPr>
        <w:t>时或身故、全残时未满 </w:t>
      </w:r>
      <w:r>
        <w:rPr>
          <w:sz w:val="21"/>
        </w:rPr>
        <w:t>60</w:t>
      </w:r>
      <w:r>
        <w:rPr>
          <w:spacing w:val="-7"/>
          <w:sz w:val="21"/>
        </w:rPr>
        <w:t> 周岁。</w:t>
      </w:r>
    </w:p>
    <w:p>
      <w:pPr>
        <w:pStyle w:val="BodyText"/>
        <w:spacing w:before="156"/>
        <w:ind w:left="3120"/>
      </w:pPr>
      <w:r>
        <w:rPr>
          <w:spacing w:val="-3"/>
        </w:rPr>
        <w:t>上述豁免的保险费不包括以下款项：</w:t>
      </w:r>
    </w:p>
    <w:p>
      <w:pPr>
        <w:pStyle w:val="BodyText"/>
        <w:spacing w:before="7"/>
        <w:rPr>
          <w:sz w:val="15"/>
        </w:rPr>
      </w:pPr>
    </w:p>
    <w:p>
      <w:pPr>
        <w:pStyle w:val="ListParagraph"/>
        <w:numPr>
          <w:ilvl w:val="0"/>
          <w:numId w:val="13"/>
        </w:numPr>
        <w:tabs>
          <w:tab w:pos="3333" w:val="left" w:leader="none"/>
        </w:tabs>
        <w:spacing w:line="278" w:lineRule="auto" w:before="0" w:after="0"/>
        <w:ind w:left="3367" w:right="358" w:hanging="248"/>
        <w:jc w:val="left"/>
        <w:rPr>
          <w:sz w:val="21"/>
        </w:rPr>
      </w:pPr>
      <w:r>
        <w:rPr>
          <w:spacing w:val="-2"/>
          <w:sz w:val="21"/>
        </w:rPr>
        <w:t>投保人于中度疾病、重度疾病、疾病终末期确诊之日或身故、全残之日之</w:t>
      </w:r>
      <w:r>
        <w:rPr>
          <w:spacing w:val="-2"/>
          <w:sz w:val="21"/>
        </w:rPr>
        <w:t>前所欠交的保险费和利息；</w:t>
      </w:r>
    </w:p>
    <w:p>
      <w:pPr>
        <w:pStyle w:val="ListParagraph"/>
        <w:numPr>
          <w:ilvl w:val="0"/>
          <w:numId w:val="13"/>
        </w:numPr>
        <w:tabs>
          <w:tab w:pos="3333" w:val="left" w:leader="none"/>
        </w:tabs>
        <w:spacing w:line="269" w:lineRule="exact" w:before="0" w:after="0"/>
        <w:ind w:left="3332" w:right="0" w:hanging="213"/>
        <w:jc w:val="left"/>
        <w:rPr>
          <w:sz w:val="21"/>
        </w:rPr>
      </w:pPr>
      <w:r>
        <w:rPr>
          <w:spacing w:val="-3"/>
          <w:sz w:val="21"/>
        </w:rPr>
        <w:t>续期保险费交费宽限期内应交未交的保险费；</w:t>
      </w:r>
    </w:p>
    <w:p>
      <w:pPr>
        <w:pStyle w:val="ListParagraph"/>
        <w:numPr>
          <w:ilvl w:val="0"/>
          <w:numId w:val="13"/>
        </w:numPr>
        <w:tabs>
          <w:tab w:pos="3333" w:val="left" w:leader="none"/>
        </w:tabs>
        <w:spacing w:line="240" w:lineRule="auto" w:before="43" w:after="0"/>
        <w:ind w:left="3332" w:right="0" w:hanging="213"/>
        <w:jc w:val="left"/>
        <w:rPr>
          <w:sz w:val="21"/>
        </w:rPr>
      </w:pPr>
      <w:r>
        <w:rPr>
          <w:spacing w:val="-3"/>
          <w:sz w:val="21"/>
        </w:rPr>
        <w:t>保险单上载明的其他保险合同的保险费。</w:t>
      </w:r>
    </w:p>
    <w:p>
      <w:pPr>
        <w:pStyle w:val="BodyText"/>
        <w:spacing w:before="7"/>
        <w:rPr>
          <w:sz w:val="15"/>
        </w:rPr>
      </w:pPr>
    </w:p>
    <w:p>
      <w:pPr>
        <w:pStyle w:val="BodyText"/>
        <w:spacing w:line="278" w:lineRule="auto" w:before="0"/>
        <w:ind w:left="3120" w:right="248"/>
      </w:pPr>
      <w:r>
        <w:rPr>
          <w:spacing w:val="-2"/>
        </w:rPr>
        <w:t>投保人在保险期间内变更的，变更后的投保人初次发生中度疾病、重度疾病、</w:t>
      </w:r>
      <w:r>
        <w:rPr>
          <w:spacing w:val="-2"/>
        </w:rPr>
        <w:t>达到疾病终末期或身故、全残，本公司不予豁免保险费。</w:t>
      </w:r>
    </w:p>
    <w:p>
      <w:pPr>
        <w:pStyle w:val="BodyText"/>
        <w:spacing w:before="5"/>
      </w:pPr>
    </w:p>
    <w:p>
      <w:pPr>
        <w:pStyle w:val="ListParagraph"/>
        <w:numPr>
          <w:ilvl w:val="1"/>
          <w:numId w:val="7"/>
        </w:numPr>
        <w:tabs>
          <w:tab w:pos="1072" w:val="left" w:leader="none"/>
          <w:tab w:pos="1073" w:val="left" w:leader="none"/>
          <w:tab w:pos="2699" w:val="left" w:leader="none"/>
        </w:tabs>
        <w:spacing w:line="213" w:lineRule="auto" w:before="0" w:after="0"/>
        <w:ind w:left="2699" w:right="250" w:hanging="2480"/>
        <w:jc w:val="left"/>
        <w:rPr>
          <w:sz w:val="21"/>
        </w:rPr>
      </w:pPr>
      <w:r>
        <w:rPr>
          <w:rFonts w:ascii="微软雅黑" w:eastAsia="微软雅黑"/>
          <w:b/>
          <w:spacing w:val="-4"/>
          <w:position w:val="-2"/>
          <w:sz w:val="21"/>
        </w:rPr>
        <w:t>责</w:t>
      </w:r>
      <w:r>
        <w:rPr>
          <w:rFonts w:ascii="微软雅黑" w:eastAsia="微软雅黑"/>
          <w:b/>
          <w:spacing w:val="-4"/>
          <w:position w:val="-2"/>
          <w:sz w:val="21"/>
        </w:rPr>
        <w:t>任</w:t>
      </w:r>
      <w:r>
        <w:rPr>
          <w:rFonts w:ascii="微软雅黑" w:eastAsia="微软雅黑"/>
          <w:b/>
          <w:spacing w:val="-4"/>
          <w:position w:val="-2"/>
          <w:sz w:val="21"/>
        </w:rPr>
        <w:t>免</w:t>
      </w:r>
      <w:r>
        <w:rPr>
          <w:rFonts w:ascii="微软雅黑" w:eastAsia="微软雅黑"/>
          <w:b/>
          <w:spacing w:val="-4"/>
          <w:position w:val="-2"/>
          <w:sz w:val="21"/>
        </w:rPr>
        <w:t>除</w:t>
      </w:r>
      <w:r>
        <w:rPr>
          <w:rFonts w:ascii="微软雅黑" w:eastAsia="微软雅黑"/>
          <w:b/>
          <w:position w:val="-2"/>
          <w:sz w:val="21"/>
        </w:rPr>
        <w:tab/>
      </w:r>
      <w:r>
        <w:rPr>
          <w:spacing w:val="-4"/>
          <w:sz w:val="21"/>
        </w:rPr>
        <w:t>因</w:t>
      </w:r>
      <w:r>
        <w:rPr>
          <w:spacing w:val="-4"/>
          <w:sz w:val="21"/>
        </w:rPr>
        <w:t>下</w:t>
      </w:r>
      <w:r>
        <w:rPr>
          <w:spacing w:val="-4"/>
          <w:sz w:val="21"/>
        </w:rPr>
        <w:t>列情形之一，发生</w:t>
      </w: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事</w:t>
      </w:r>
      <w:r>
        <w:rPr>
          <w:rFonts w:ascii="微软雅黑" w:eastAsia="微软雅黑"/>
          <w:b/>
          <w:spacing w:val="-4"/>
          <w:sz w:val="21"/>
        </w:rPr>
        <w:t>故</w:t>
      </w:r>
      <w:r>
        <w:rPr>
          <w:spacing w:val="-4"/>
          <w:sz w:val="21"/>
        </w:rPr>
        <w:t>（</w:t>
      </w:r>
      <w:r>
        <w:rPr>
          <w:spacing w:val="-4"/>
          <w:sz w:val="21"/>
        </w:rPr>
        <w:t>见</w:t>
      </w:r>
      <w:r>
        <w:rPr>
          <w:spacing w:val="-53"/>
          <w:sz w:val="21"/>
        </w:rPr>
        <w:t> </w:t>
      </w:r>
      <w:r>
        <w:rPr>
          <w:spacing w:val="-4"/>
          <w:sz w:val="21"/>
        </w:rPr>
        <w:t>9.15）造成被</w:t>
      </w:r>
      <w:r>
        <w:rPr>
          <w:spacing w:val="-4"/>
          <w:sz w:val="21"/>
        </w:rPr>
        <w:t>保</w:t>
      </w:r>
      <w:r>
        <w:rPr>
          <w:spacing w:val="-4"/>
          <w:sz w:val="21"/>
        </w:rPr>
        <w:t>险</w:t>
      </w:r>
      <w:r>
        <w:rPr>
          <w:spacing w:val="-4"/>
          <w:sz w:val="21"/>
        </w:rPr>
        <w:t>人或投保人发生轻度</w:t>
      </w:r>
      <w:r>
        <w:rPr>
          <w:spacing w:val="-4"/>
          <w:sz w:val="21"/>
        </w:rPr>
        <w:t>疾</w:t>
      </w:r>
      <w:r>
        <w:rPr>
          <w:spacing w:val="-4"/>
          <w:sz w:val="21"/>
        </w:rPr>
        <w:t>病</w:t>
      </w:r>
      <w:r>
        <w:rPr>
          <w:spacing w:val="-4"/>
          <w:sz w:val="21"/>
        </w:rPr>
        <w:t>、</w:t>
      </w:r>
      <w:r>
        <w:rPr>
          <w:spacing w:val="-2"/>
          <w:sz w:val="21"/>
        </w:rPr>
        <w:t>中</w:t>
      </w:r>
      <w:r>
        <w:rPr>
          <w:spacing w:val="-2"/>
          <w:sz w:val="21"/>
        </w:rPr>
        <w:t>度</w:t>
      </w:r>
      <w:r>
        <w:rPr>
          <w:spacing w:val="-2"/>
          <w:sz w:val="21"/>
        </w:rPr>
        <w:t>疾</w:t>
      </w:r>
      <w:r>
        <w:rPr>
          <w:spacing w:val="-2"/>
          <w:sz w:val="21"/>
        </w:rPr>
        <w:t>病</w:t>
      </w:r>
      <w:r>
        <w:rPr>
          <w:spacing w:val="-2"/>
          <w:sz w:val="21"/>
        </w:rPr>
        <w:t>、</w:t>
      </w:r>
      <w:r>
        <w:rPr>
          <w:spacing w:val="-2"/>
          <w:sz w:val="21"/>
        </w:rPr>
        <w:t>重</w:t>
      </w:r>
      <w:r>
        <w:rPr>
          <w:spacing w:val="-2"/>
          <w:sz w:val="21"/>
        </w:rPr>
        <w:t>度</w:t>
      </w:r>
      <w:r>
        <w:rPr>
          <w:spacing w:val="-2"/>
          <w:sz w:val="21"/>
        </w:rPr>
        <w:t>疾</w:t>
      </w:r>
      <w:r>
        <w:rPr>
          <w:spacing w:val="-2"/>
          <w:sz w:val="21"/>
        </w:rPr>
        <w:t>病</w:t>
      </w:r>
      <w:r>
        <w:rPr>
          <w:spacing w:val="-2"/>
          <w:sz w:val="21"/>
        </w:rPr>
        <w:t>或</w:t>
      </w:r>
      <w:r>
        <w:rPr>
          <w:spacing w:val="-2"/>
          <w:sz w:val="21"/>
        </w:rPr>
        <w:t>身</w:t>
      </w:r>
      <w:r>
        <w:rPr>
          <w:spacing w:val="-2"/>
          <w:sz w:val="21"/>
        </w:rPr>
        <w:t>故</w:t>
      </w:r>
      <w:r>
        <w:rPr>
          <w:spacing w:val="-2"/>
          <w:sz w:val="21"/>
        </w:rPr>
        <w:t>、</w:t>
      </w:r>
      <w:r>
        <w:rPr>
          <w:spacing w:val="-2"/>
          <w:sz w:val="21"/>
        </w:rPr>
        <w:t>全</w:t>
      </w:r>
      <w:r>
        <w:rPr>
          <w:spacing w:val="-2"/>
          <w:sz w:val="21"/>
        </w:rPr>
        <w:t>残</w:t>
      </w:r>
      <w:r>
        <w:rPr>
          <w:spacing w:val="-2"/>
          <w:sz w:val="21"/>
        </w:rPr>
        <w:t>、</w:t>
      </w:r>
      <w:r>
        <w:rPr>
          <w:spacing w:val="-2"/>
          <w:sz w:val="21"/>
        </w:rPr>
        <w:t>达</w:t>
      </w:r>
      <w:r>
        <w:rPr>
          <w:spacing w:val="-2"/>
          <w:sz w:val="21"/>
        </w:rPr>
        <w:t>到</w:t>
      </w:r>
      <w:r>
        <w:rPr>
          <w:spacing w:val="-2"/>
          <w:sz w:val="21"/>
        </w:rPr>
        <w:t>疾</w:t>
      </w:r>
      <w:r>
        <w:rPr>
          <w:spacing w:val="-2"/>
          <w:sz w:val="21"/>
        </w:rPr>
        <w:t>病</w:t>
      </w:r>
      <w:r>
        <w:rPr>
          <w:spacing w:val="-2"/>
          <w:sz w:val="21"/>
        </w:rPr>
        <w:t>终</w:t>
      </w:r>
      <w:r>
        <w:rPr>
          <w:spacing w:val="-2"/>
          <w:sz w:val="21"/>
        </w:rPr>
        <w:t>末</w:t>
      </w:r>
      <w:r>
        <w:rPr>
          <w:spacing w:val="-2"/>
          <w:sz w:val="21"/>
        </w:rPr>
        <w:t>期</w:t>
      </w:r>
      <w:r>
        <w:rPr>
          <w:spacing w:val="-2"/>
          <w:sz w:val="21"/>
        </w:rPr>
        <w:t>的</w:t>
      </w:r>
      <w:r>
        <w:rPr>
          <w:spacing w:val="-2"/>
          <w:sz w:val="21"/>
        </w:rPr>
        <w:t>，</w:t>
      </w:r>
      <w:r>
        <w:rPr>
          <w:spacing w:val="-2"/>
          <w:sz w:val="21"/>
        </w:rPr>
        <w:t>本</w:t>
      </w:r>
      <w:r>
        <w:rPr>
          <w:spacing w:val="-2"/>
          <w:sz w:val="21"/>
        </w:rPr>
        <w:t>公</w:t>
      </w:r>
      <w:r>
        <w:rPr>
          <w:spacing w:val="-2"/>
          <w:sz w:val="21"/>
        </w:rPr>
        <w:t>司</w:t>
      </w:r>
      <w:r>
        <w:rPr>
          <w:spacing w:val="-2"/>
          <w:sz w:val="21"/>
        </w:rPr>
        <w:t>不</w:t>
      </w:r>
      <w:r>
        <w:rPr>
          <w:spacing w:val="-2"/>
          <w:sz w:val="21"/>
        </w:rPr>
        <w:t>承</w:t>
      </w:r>
      <w:r>
        <w:rPr>
          <w:spacing w:val="-2"/>
          <w:sz w:val="21"/>
        </w:rPr>
        <w:t>担</w:t>
      </w:r>
      <w:r>
        <w:rPr>
          <w:spacing w:val="-2"/>
          <w:sz w:val="21"/>
        </w:rPr>
        <w:t>给</w:t>
      </w:r>
      <w:r>
        <w:rPr>
          <w:spacing w:val="-2"/>
          <w:sz w:val="21"/>
        </w:rPr>
        <w:t>付</w:t>
      </w:r>
      <w:r>
        <w:rPr>
          <w:spacing w:val="-2"/>
          <w:sz w:val="21"/>
        </w:rPr>
        <w:t>保</w:t>
      </w:r>
      <w:r>
        <w:rPr>
          <w:spacing w:val="-2"/>
          <w:sz w:val="21"/>
        </w:rPr>
        <w:t>险</w:t>
      </w:r>
    </w:p>
    <w:p>
      <w:pPr>
        <w:pStyle w:val="BodyText"/>
        <w:spacing w:before="50"/>
        <w:ind w:left="2699"/>
      </w:pPr>
      <w:r>
        <w:rPr>
          <w:spacing w:val="-3"/>
        </w:rPr>
        <w:t>金或豁免保险费的责任：</w:t>
      </w:r>
    </w:p>
    <w:p>
      <w:pPr>
        <w:pStyle w:val="ListParagraph"/>
        <w:numPr>
          <w:ilvl w:val="0"/>
          <w:numId w:val="14"/>
        </w:numPr>
        <w:tabs>
          <w:tab w:pos="3230" w:val="left" w:leader="none"/>
        </w:tabs>
        <w:spacing w:line="240" w:lineRule="auto" w:before="43" w:after="0"/>
        <w:ind w:left="3229" w:right="0" w:hanging="531"/>
        <w:jc w:val="left"/>
        <w:rPr>
          <w:sz w:val="21"/>
        </w:rPr>
      </w:pPr>
      <w:r>
        <w:rPr>
          <w:spacing w:val="-3"/>
          <w:sz w:val="21"/>
        </w:rPr>
        <w:t>投保人对被保险人的故意杀害、故意伤害；</w:t>
      </w:r>
    </w:p>
    <w:p>
      <w:pPr>
        <w:pStyle w:val="ListParagraph"/>
        <w:numPr>
          <w:ilvl w:val="0"/>
          <w:numId w:val="14"/>
        </w:numPr>
        <w:tabs>
          <w:tab w:pos="3230" w:val="left" w:leader="none"/>
        </w:tabs>
        <w:spacing w:line="240" w:lineRule="auto" w:before="43" w:after="0"/>
        <w:ind w:left="3229" w:right="0" w:hanging="531"/>
        <w:jc w:val="left"/>
        <w:rPr>
          <w:sz w:val="21"/>
        </w:rPr>
      </w:pPr>
      <w:r>
        <w:rPr>
          <w:spacing w:val="-3"/>
          <w:sz w:val="21"/>
        </w:rPr>
        <w:t>被保险人故意犯罪或者抗拒依法采取的刑事强制措施；</w:t>
      </w:r>
    </w:p>
    <w:p>
      <w:pPr>
        <w:pStyle w:val="ListParagraph"/>
        <w:numPr>
          <w:ilvl w:val="0"/>
          <w:numId w:val="14"/>
        </w:numPr>
        <w:tabs>
          <w:tab w:pos="3230" w:val="left" w:leader="none"/>
        </w:tabs>
        <w:spacing w:line="278" w:lineRule="auto" w:before="43" w:after="0"/>
        <w:ind w:left="3201" w:right="495" w:hanging="503"/>
        <w:jc w:val="left"/>
        <w:rPr>
          <w:sz w:val="21"/>
        </w:rPr>
      </w:pPr>
      <w:r>
        <w:rPr>
          <w:spacing w:val="-2"/>
          <w:sz w:val="21"/>
        </w:rPr>
        <w:t>被保险人故意自伤、或自本合同成立或者本合同效力恢复之日起 </w:t>
      </w:r>
      <w:r>
        <w:rPr>
          <w:sz w:val="21"/>
        </w:rPr>
        <w:t>2</w:t>
      </w:r>
      <w:r>
        <w:rPr>
          <w:spacing w:val="-15"/>
          <w:sz w:val="21"/>
        </w:rPr>
        <w:t> 年内自</w:t>
      </w:r>
      <w:r>
        <w:rPr>
          <w:spacing w:val="-2"/>
          <w:sz w:val="21"/>
        </w:rPr>
        <w:t>杀，但被保险人自杀时为无民事行为能力人的除外；</w:t>
      </w:r>
    </w:p>
    <w:p>
      <w:pPr>
        <w:pStyle w:val="ListParagraph"/>
        <w:numPr>
          <w:ilvl w:val="0"/>
          <w:numId w:val="14"/>
        </w:numPr>
        <w:tabs>
          <w:tab w:pos="3230" w:val="left" w:leader="none"/>
        </w:tabs>
        <w:spacing w:line="282" w:lineRule="exact" w:before="0" w:after="0"/>
        <w:ind w:left="3229" w:right="0" w:hanging="531"/>
        <w:jc w:val="left"/>
        <w:rPr>
          <w:sz w:val="21"/>
        </w:rPr>
      </w:pPr>
      <w:r>
        <w:rPr>
          <w:spacing w:val="-2"/>
          <w:sz w:val="21"/>
        </w:rPr>
        <w:t>被保险人服用、吸食或注射</w:t>
      </w:r>
      <w:r>
        <w:rPr>
          <w:rFonts w:ascii="微软雅黑" w:eastAsia="微软雅黑"/>
          <w:b/>
          <w:spacing w:val="-2"/>
          <w:sz w:val="21"/>
        </w:rPr>
        <w:t>毒品</w:t>
      </w:r>
      <w:r>
        <w:rPr>
          <w:spacing w:val="-2"/>
          <w:sz w:val="21"/>
        </w:rPr>
        <w:t>（</w:t>
      </w:r>
      <w:r>
        <w:rPr>
          <w:spacing w:val="-24"/>
          <w:sz w:val="21"/>
        </w:rPr>
        <w:t>见 </w:t>
      </w:r>
      <w:r>
        <w:rPr>
          <w:spacing w:val="16"/>
          <w:sz w:val="21"/>
        </w:rPr>
        <w:t>9</w:t>
      </w:r>
      <w:r>
        <w:rPr>
          <w:spacing w:val="13"/>
          <w:sz w:val="21"/>
        </w:rPr>
        <w:t>.</w:t>
      </w:r>
      <w:r>
        <w:rPr>
          <w:spacing w:val="15"/>
          <w:sz w:val="21"/>
        </w:rPr>
        <w:t>1</w:t>
      </w:r>
      <w:r>
        <w:rPr>
          <w:spacing w:val="16"/>
          <w:sz w:val="21"/>
        </w:rPr>
        <w:t>6</w:t>
      </w:r>
      <w:r>
        <w:rPr>
          <w:spacing w:val="-92"/>
          <w:sz w:val="21"/>
        </w:rPr>
        <w:t>）</w:t>
      </w:r>
      <w:r>
        <w:rPr>
          <w:spacing w:val="16"/>
          <w:sz w:val="21"/>
        </w:rPr>
        <w:t>；</w:t>
      </w:r>
    </w:p>
    <w:p>
      <w:pPr>
        <w:pStyle w:val="ListParagraph"/>
        <w:numPr>
          <w:ilvl w:val="0"/>
          <w:numId w:val="14"/>
        </w:numPr>
        <w:tabs>
          <w:tab w:pos="3234" w:val="left" w:leader="none"/>
        </w:tabs>
        <w:spacing w:line="194" w:lineRule="auto" w:before="15" w:after="0"/>
        <w:ind w:left="3206" w:right="372" w:hanging="503"/>
        <w:jc w:val="left"/>
        <w:rPr>
          <w:sz w:val="21"/>
        </w:rPr>
      </w:pPr>
      <w:r>
        <w:rPr>
          <w:spacing w:val="-6"/>
          <w:sz w:val="21"/>
        </w:rPr>
        <w:t>被保险人</w:t>
      </w:r>
      <w:r>
        <w:rPr>
          <w:rFonts w:ascii="微软雅黑" w:eastAsia="微软雅黑"/>
          <w:b/>
          <w:spacing w:val="-6"/>
          <w:sz w:val="21"/>
        </w:rPr>
        <w:t>酒后驾驶</w:t>
      </w:r>
      <w:r>
        <w:rPr>
          <w:spacing w:val="-6"/>
          <w:sz w:val="21"/>
        </w:rPr>
        <w:t>（</w:t>
      </w:r>
      <w:r>
        <w:rPr>
          <w:spacing w:val="-23"/>
          <w:sz w:val="21"/>
        </w:rPr>
        <w:t>见 </w:t>
      </w:r>
      <w:r>
        <w:rPr>
          <w:spacing w:val="15"/>
          <w:sz w:val="21"/>
        </w:rPr>
        <w:t>9.</w:t>
      </w:r>
      <w:r>
        <w:rPr>
          <w:spacing w:val="12"/>
          <w:sz w:val="21"/>
        </w:rPr>
        <w:t>1</w:t>
      </w:r>
      <w:r>
        <w:rPr>
          <w:spacing w:val="15"/>
          <w:sz w:val="21"/>
        </w:rPr>
        <w:t>7</w:t>
      </w:r>
      <w:r>
        <w:rPr>
          <w:spacing w:val="-91"/>
          <w:sz w:val="21"/>
        </w:rPr>
        <w:t>）</w:t>
      </w:r>
      <w:r>
        <w:rPr>
          <w:spacing w:val="-6"/>
          <w:sz w:val="21"/>
        </w:rPr>
        <w:t>、</w:t>
      </w:r>
      <w:r>
        <w:rPr>
          <w:rFonts w:ascii="微软雅黑" w:eastAsia="微软雅黑"/>
          <w:b/>
          <w:spacing w:val="-6"/>
          <w:sz w:val="21"/>
        </w:rPr>
        <w:t>无合法有效驾驶证驾驶</w:t>
      </w:r>
      <w:r>
        <w:rPr>
          <w:spacing w:val="-6"/>
          <w:sz w:val="21"/>
        </w:rPr>
        <w:t>（</w:t>
      </w:r>
      <w:r>
        <w:rPr>
          <w:spacing w:val="-23"/>
          <w:sz w:val="21"/>
        </w:rPr>
        <w:t>见 </w:t>
      </w:r>
      <w:r>
        <w:rPr>
          <w:spacing w:val="12"/>
          <w:sz w:val="21"/>
        </w:rPr>
        <w:t>9.</w:t>
      </w:r>
      <w:r>
        <w:rPr>
          <w:spacing w:val="9"/>
          <w:sz w:val="21"/>
        </w:rPr>
        <w:t>1</w:t>
      </w:r>
      <w:r>
        <w:rPr>
          <w:spacing w:val="12"/>
          <w:sz w:val="21"/>
        </w:rPr>
        <w:t>8</w:t>
      </w:r>
      <w:r>
        <w:rPr>
          <w:spacing w:val="-94"/>
          <w:sz w:val="21"/>
        </w:rPr>
        <w:t>）</w:t>
      </w:r>
      <w:r>
        <w:rPr>
          <w:spacing w:val="-3"/>
          <w:sz w:val="21"/>
        </w:rPr>
        <w:t>，或驾驶</w:t>
      </w:r>
      <w:r>
        <w:rPr>
          <w:rFonts w:ascii="微软雅黑" w:eastAsia="微软雅黑"/>
          <w:b/>
          <w:sz w:val="21"/>
        </w:rPr>
        <w:t>无有效行驶证</w:t>
      </w:r>
      <w:r>
        <w:rPr>
          <w:sz w:val="21"/>
        </w:rPr>
        <w:t>（</w:t>
      </w:r>
      <w:r>
        <w:rPr>
          <w:spacing w:val="-11"/>
          <w:sz w:val="21"/>
        </w:rPr>
        <w:t>见 </w:t>
      </w:r>
      <w:r>
        <w:rPr>
          <w:sz w:val="21"/>
        </w:rPr>
        <w:t>9.19）的</w:t>
      </w:r>
      <w:r>
        <w:rPr>
          <w:rFonts w:ascii="微软雅黑" w:eastAsia="微软雅黑"/>
          <w:b/>
          <w:sz w:val="21"/>
        </w:rPr>
        <w:t>机动车</w:t>
      </w:r>
      <w:r>
        <w:rPr>
          <w:sz w:val="21"/>
        </w:rPr>
        <w:t>（</w:t>
      </w:r>
      <w:r>
        <w:rPr>
          <w:spacing w:val="-11"/>
          <w:sz w:val="21"/>
        </w:rPr>
        <w:t>见 </w:t>
      </w:r>
      <w:r>
        <w:rPr>
          <w:spacing w:val="15"/>
          <w:sz w:val="21"/>
        </w:rPr>
        <w:t>9</w:t>
      </w:r>
      <w:r>
        <w:rPr>
          <w:spacing w:val="18"/>
          <w:sz w:val="21"/>
        </w:rPr>
        <w:t>.20</w:t>
      </w:r>
      <w:r>
        <w:rPr>
          <w:spacing w:val="-90"/>
          <w:sz w:val="21"/>
        </w:rPr>
        <w:t>）</w:t>
      </w:r>
      <w:r>
        <w:rPr>
          <w:spacing w:val="18"/>
          <w:sz w:val="21"/>
        </w:rPr>
        <w:t>；</w:t>
      </w:r>
    </w:p>
    <w:p>
      <w:pPr>
        <w:pStyle w:val="ListParagraph"/>
        <w:numPr>
          <w:ilvl w:val="0"/>
          <w:numId w:val="14"/>
        </w:numPr>
        <w:tabs>
          <w:tab w:pos="3230" w:val="left" w:leader="none"/>
        </w:tabs>
        <w:spacing w:line="327" w:lineRule="exact" w:before="0" w:after="0"/>
        <w:ind w:left="3229" w:right="0" w:hanging="531"/>
        <w:jc w:val="left"/>
        <w:rPr>
          <w:sz w:val="21"/>
        </w:rPr>
      </w:pPr>
      <w:r>
        <w:rPr>
          <w:spacing w:val="-6"/>
          <w:sz w:val="21"/>
        </w:rPr>
        <w:t>被保险人</w:t>
      </w:r>
      <w:r>
        <w:rPr>
          <w:rFonts w:ascii="微软雅黑" w:eastAsia="微软雅黑"/>
          <w:b/>
          <w:spacing w:val="-6"/>
          <w:sz w:val="21"/>
        </w:rPr>
        <w:t>感染艾滋病病毒或患艾滋病</w:t>
      </w:r>
      <w:r>
        <w:rPr>
          <w:spacing w:val="-6"/>
          <w:sz w:val="21"/>
        </w:rPr>
        <w:t>（</w:t>
      </w:r>
      <w:r>
        <w:rPr>
          <w:spacing w:val="-20"/>
          <w:sz w:val="21"/>
        </w:rPr>
        <w:t>见 </w:t>
      </w:r>
      <w:r>
        <w:rPr>
          <w:spacing w:val="11"/>
          <w:sz w:val="21"/>
        </w:rPr>
        <w:t>9</w:t>
      </w:r>
      <w:r>
        <w:rPr>
          <w:spacing w:val="14"/>
          <w:sz w:val="21"/>
        </w:rPr>
        <w:t>.2</w:t>
      </w:r>
      <w:r>
        <w:rPr>
          <w:spacing w:val="11"/>
          <w:sz w:val="21"/>
        </w:rPr>
        <w:t>1</w:t>
      </w:r>
      <w:r>
        <w:rPr>
          <w:spacing w:val="-102"/>
          <w:sz w:val="21"/>
        </w:rPr>
        <w:t>）</w:t>
      </w:r>
      <w:r>
        <w:rPr>
          <w:spacing w:val="14"/>
          <w:sz w:val="21"/>
        </w:rPr>
        <w:t>（</w:t>
      </w:r>
      <w:r>
        <w:rPr>
          <w:spacing w:val="-11"/>
          <w:sz w:val="21"/>
        </w:rPr>
        <w:t>本保险条款 </w:t>
      </w:r>
      <w:r>
        <w:rPr>
          <w:spacing w:val="-6"/>
          <w:sz w:val="21"/>
        </w:rPr>
        <w:t>9.8</w:t>
      </w:r>
      <w:r>
        <w:rPr>
          <w:spacing w:val="-14"/>
          <w:sz w:val="21"/>
        </w:rPr>
        <w:t> 中所列第</w:t>
      </w:r>
    </w:p>
    <w:p>
      <w:pPr>
        <w:pStyle w:val="BodyText"/>
        <w:spacing w:line="265" w:lineRule="exact" w:before="0"/>
        <w:ind w:left="1441" w:right="2543"/>
        <w:jc w:val="center"/>
      </w:pPr>
      <w:r>
        <w:rPr>
          <w:spacing w:val="-2"/>
        </w:rPr>
        <w:t>31、35、86</w:t>
      </w:r>
      <w:r>
        <w:rPr>
          <w:spacing w:val="-9"/>
        </w:rPr>
        <w:t> 种重度疾病除外</w:t>
      </w:r>
      <w:r>
        <w:rPr>
          <w:spacing w:val="-111"/>
        </w:rPr>
        <w:t>）</w:t>
      </w:r>
      <w:r>
        <w:rPr>
          <w:spacing w:val="-5"/>
        </w:rPr>
        <w:t>；</w:t>
      </w:r>
    </w:p>
    <w:p>
      <w:pPr>
        <w:pStyle w:val="ListParagraph"/>
        <w:numPr>
          <w:ilvl w:val="0"/>
          <w:numId w:val="14"/>
        </w:numPr>
        <w:tabs>
          <w:tab w:pos="3230" w:val="left" w:leader="none"/>
        </w:tabs>
        <w:spacing w:line="240" w:lineRule="auto" w:before="43" w:after="0"/>
        <w:ind w:left="3229" w:right="1155" w:hanging="3230"/>
        <w:jc w:val="left"/>
        <w:rPr>
          <w:sz w:val="21"/>
        </w:rPr>
      </w:pPr>
      <w:r>
        <w:rPr>
          <w:spacing w:val="-3"/>
          <w:sz w:val="21"/>
        </w:rPr>
        <w:t>战争、军事冲突、暴乱或武装叛乱；</w:t>
      </w:r>
    </w:p>
    <w:p>
      <w:pPr>
        <w:pStyle w:val="ListParagraph"/>
        <w:numPr>
          <w:ilvl w:val="0"/>
          <w:numId w:val="14"/>
        </w:numPr>
        <w:tabs>
          <w:tab w:pos="3230" w:val="left" w:leader="none"/>
        </w:tabs>
        <w:spacing w:line="257" w:lineRule="exact" w:before="43" w:after="0"/>
        <w:ind w:left="3229" w:right="1996" w:hanging="3230"/>
        <w:jc w:val="left"/>
        <w:rPr>
          <w:sz w:val="21"/>
        </w:rPr>
      </w:pPr>
      <w:r>
        <w:rPr>
          <w:spacing w:val="-3"/>
          <w:sz w:val="21"/>
        </w:rPr>
        <w:t>核爆炸、核辐射或核污染；</w:t>
      </w:r>
    </w:p>
    <w:p>
      <w:pPr>
        <w:pStyle w:val="ListParagraph"/>
        <w:numPr>
          <w:ilvl w:val="0"/>
          <w:numId w:val="14"/>
        </w:numPr>
        <w:tabs>
          <w:tab w:pos="3230" w:val="left" w:leader="none"/>
        </w:tabs>
        <w:spacing w:line="375" w:lineRule="exact" w:before="0" w:after="0"/>
        <w:ind w:left="3229" w:right="0" w:hanging="531"/>
        <w:jc w:val="both"/>
        <w:rPr>
          <w:sz w:val="21"/>
        </w:rPr>
      </w:pPr>
      <w:r>
        <w:rPr>
          <w:rFonts w:ascii="微软雅黑" w:eastAsia="微软雅黑"/>
          <w:b/>
          <w:spacing w:val="-8"/>
          <w:sz w:val="21"/>
        </w:rPr>
        <w:t>遗传性疾病</w:t>
      </w:r>
      <w:r>
        <w:rPr>
          <w:spacing w:val="-8"/>
          <w:sz w:val="21"/>
        </w:rPr>
        <w:t>（</w:t>
      </w:r>
      <w:r>
        <w:rPr>
          <w:spacing w:val="-21"/>
          <w:sz w:val="21"/>
        </w:rPr>
        <w:t>见 </w:t>
      </w:r>
      <w:r>
        <w:rPr>
          <w:spacing w:val="8"/>
          <w:sz w:val="21"/>
        </w:rPr>
        <w:t>9</w:t>
      </w:r>
      <w:r>
        <w:rPr>
          <w:spacing w:val="11"/>
          <w:sz w:val="21"/>
        </w:rPr>
        <w:t>.</w:t>
      </w:r>
      <w:r>
        <w:rPr>
          <w:spacing w:val="8"/>
          <w:sz w:val="21"/>
        </w:rPr>
        <w:t>2</w:t>
      </w:r>
      <w:r>
        <w:rPr>
          <w:spacing w:val="11"/>
          <w:sz w:val="21"/>
        </w:rPr>
        <w:t>2</w:t>
      </w:r>
      <w:r>
        <w:rPr>
          <w:spacing w:val="-95"/>
          <w:sz w:val="21"/>
        </w:rPr>
        <w:t>）</w:t>
      </w:r>
      <w:r>
        <w:rPr>
          <w:spacing w:val="9"/>
          <w:sz w:val="21"/>
        </w:rPr>
        <w:t>，</w:t>
      </w:r>
      <w:r>
        <w:rPr>
          <w:rFonts w:ascii="微软雅黑" w:eastAsia="微软雅黑"/>
          <w:b/>
          <w:spacing w:val="-8"/>
          <w:sz w:val="21"/>
        </w:rPr>
        <w:t>先天性畸形、变形或染色体异常</w:t>
      </w:r>
      <w:r>
        <w:rPr>
          <w:spacing w:val="-8"/>
          <w:sz w:val="21"/>
        </w:rPr>
        <w:t>（</w:t>
      </w:r>
      <w:r>
        <w:rPr>
          <w:spacing w:val="-21"/>
          <w:sz w:val="21"/>
        </w:rPr>
        <w:t>见 </w:t>
      </w:r>
      <w:r>
        <w:rPr>
          <w:spacing w:val="14"/>
          <w:sz w:val="21"/>
        </w:rPr>
        <w:t>9</w:t>
      </w:r>
      <w:r>
        <w:rPr>
          <w:spacing w:val="11"/>
          <w:sz w:val="21"/>
        </w:rPr>
        <w:t>.</w:t>
      </w:r>
      <w:r>
        <w:rPr>
          <w:spacing w:val="14"/>
          <w:sz w:val="21"/>
        </w:rPr>
        <w:t>23</w:t>
      </w:r>
      <w:r>
        <w:rPr>
          <w:spacing w:val="-94"/>
          <w:sz w:val="21"/>
        </w:rPr>
        <w:t>）</w:t>
      </w:r>
      <w:r>
        <w:rPr>
          <w:spacing w:val="-10"/>
          <w:sz w:val="21"/>
        </w:rPr>
        <w:t>。</w:t>
      </w:r>
    </w:p>
    <w:p>
      <w:pPr>
        <w:pStyle w:val="BodyText"/>
        <w:spacing w:line="312" w:lineRule="exact" w:before="109"/>
        <w:ind w:left="2699" w:right="332"/>
        <w:jc w:val="both"/>
      </w:pPr>
      <w:r>
        <w:rPr>
          <w:spacing w:val="-2"/>
        </w:rPr>
        <w:t>发生上述第（1）项情形导致被保险人发生保险事故的，本合同终止，若投保人选</w:t>
      </w:r>
      <w:r>
        <w:rPr>
          <w:spacing w:val="-2"/>
        </w:rPr>
        <w:t>择的是一次性交付的交费方式，本公司向除投保人以外的</w:t>
      </w:r>
      <w:r>
        <w:rPr>
          <w:rFonts w:ascii="微软雅黑" w:eastAsia="微软雅黑"/>
          <w:b/>
          <w:spacing w:val="-2"/>
        </w:rPr>
        <w:t>其他权利人</w:t>
      </w:r>
      <w:r>
        <w:rPr>
          <w:spacing w:val="-2"/>
        </w:rPr>
        <w:t>（</w:t>
      </w:r>
      <w:r>
        <w:rPr>
          <w:spacing w:val="-3"/>
        </w:rPr>
        <w:t>见 </w:t>
      </w:r>
      <w:r>
        <w:rPr>
          <w:spacing w:val="-2"/>
        </w:rPr>
        <w:t>9.24）</w:t>
      </w:r>
      <w:r>
        <w:rPr>
          <w:spacing w:val="-2"/>
        </w:rPr>
        <w:t>退还本合同的现金价值。若投保人选择的是分期交付的交费方式，且投保人已交</w:t>
      </w:r>
      <w:r>
        <w:rPr>
          <w:spacing w:val="-2"/>
        </w:rPr>
        <w:t>足两年以上保险费的，本公司向除投保人以外的其他权利人退还本合同的现金价</w:t>
      </w:r>
      <w:r>
        <w:rPr>
          <w:spacing w:val="-6"/>
        </w:rPr>
        <w:t>值。</w:t>
      </w:r>
    </w:p>
    <w:p>
      <w:pPr>
        <w:pStyle w:val="BodyText"/>
        <w:spacing w:before="3"/>
        <w:rPr>
          <w:sz w:val="15"/>
        </w:rPr>
      </w:pPr>
    </w:p>
    <w:p>
      <w:pPr>
        <w:pStyle w:val="BodyText"/>
        <w:spacing w:line="278" w:lineRule="auto" w:before="1"/>
        <w:ind w:left="2699" w:right="358"/>
      </w:pPr>
      <w:r>
        <w:rPr>
          <w:spacing w:val="-2"/>
        </w:rPr>
        <w:t>发生上述第（2）项至第（9）项情形之一导致被保险人发生保险事故的，本合同</w:t>
      </w:r>
      <w:r>
        <w:rPr>
          <w:spacing w:val="-2"/>
        </w:rPr>
        <w:t>终止，本公司向投保人退还本合同的现金价值。</w:t>
      </w:r>
    </w:p>
    <w:p>
      <w:pPr>
        <w:pStyle w:val="BodyText"/>
        <w:spacing w:before="155"/>
        <w:ind w:left="2699"/>
      </w:pPr>
      <w:r>
        <w:rPr>
          <w:spacing w:val="-2"/>
        </w:rPr>
        <w:t>发生上述第（2）项至第（9）</w:t>
      </w:r>
      <w:r>
        <w:rPr>
          <w:spacing w:val="-3"/>
        </w:rPr>
        <w:t>项情形之一导致投保人发生保险事故的，以及投保</w:t>
      </w:r>
    </w:p>
    <w:p>
      <w:pPr>
        <w:spacing w:after="0"/>
        <w:sectPr>
          <w:pgSz w:w="11910" w:h="16840"/>
          <w:pgMar w:header="0" w:footer="458" w:top="1260" w:bottom="640" w:left="800" w:right="660"/>
        </w:sectPr>
      </w:pPr>
    </w:p>
    <w:p>
      <w:pPr>
        <w:pStyle w:val="BodyText"/>
        <w:ind w:left="2699"/>
      </w:pPr>
      <w:r>
        <w:rPr>
          <w:spacing w:val="-3"/>
        </w:rPr>
        <w:t>人因被保险人的故意行为导致投保人发生保险事故的，本公司不予豁免保险费。</w:t>
      </w:r>
    </w:p>
    <w:p>
      <w:pPr>
        <w:pStyle w:val="ListParagraph"/>
        <w:numPr>
          <w:ilvl w:val="1"/>
          <w:numId w:val="7"/>
        </w:numPr>
        <w:tabs>
          <w:tab w:pos="1073" w:val="left" w:leader="none"/>
        </w:tabs>
        <w:spacing w:line="256" w:lineRule="auto" w:before="117" w:after="0"/>
        <w:ind w:left="2699" w:right="358" w:hanging="2480"/>
        <w:jc w:val="both"/>
        <w:rPr>
          <w:sz w:val="21"/>
        </w:rPr>
      </w:pPr>
      <w:r>
        <w:rPr>
          <w:rFonts w:ascii="微软雅黑" w:eastAsia="微软雅黑"/>
          <w:b/>
          <w:spacing w:val="42"/>
          <w:sz w:val="21"/>
        </w:rPr>
        <w:t>基本保险金额 </w:t>
      </w:r>
      <w:r>
        <w:rPr>
          <w:sz w:val="21"/>
        </w:rPr>
        <w:t>基本保险金额指投保人与本公司约定的用以计算保险金数额的基数。本合同的基</w:t>
      </w:r>
      <w:r>
        <w:rPr>
          <w:spacing w:val="-2"/>
          <w:sz w:val="21"/>
        </w:rPr>
        <w:t>本保险金额由投保人在投保时与本公司约定，并在保险单上载明。若该金额发生</w:t>
      </w:r>
      <w:r>
        <w:rPr>
          <w:spacing w:val="-2"/>
          <w:sz w:val="21"/>
        </w:rPr>
        <w:t>变更，则以变更后的金额为准。</w:t>
      </w:r>
    </w:p>
    <w:p>
      <w:pPr>
        <w:spacing w:after="0" w:line="256" w:lineRule="auto"/>
        <w:jc w:val="both"/>
        <w:rPr>
          <w:sz w:val="21"/>
        </w:rPr>
        <w:sectPr>
          <w:pgSz w:w="11910" w:h="16840"/>
          <w:pgMar w:header="0" w:footer="458" w:top="1260" w:bottom="640" w:left="800" w:right="660"/>
        </w:sectPr>
      </w:pPr>
    </w:p>
    <w:p>
      <w:pPr>
        <w:pStyle w:val="ListParagraph"/>
        <w:numPr>
          <w:ilvl w:val="1"/>
          <w:numId w:val="7"/>
        </w:numPr>
        <w:tabs>
          <w:tab w:pos="1072" w:val="left" w:leader="none"/>
          <w:tab w:pos="1073" w:val="left" w:leader="none"/>
        </w:tabs>
        <w:spacing w:line="194" w:lineRule="auto" w:before="88" w:after="0"/>
        <w:ind w:left="1072" w:right="38" w:hanging="853"/>
        <w:jc w:val="left"/>
        <w:rPr>
          <w:rFonts w:ascii="微软雅黑" w:eastAsia="微软雅黑"/>
          <w:b/>
          <w:sz w:val="21"/>
        </w:rPr>
      </w:pPr>
      <w:r>
        <w:rPr>
          <w:rFonts w:ascii="微软雅黑" w:eastAsia="微软雅黑"/>
          <w:b/>
          <w:spacing w:val="-2"/>
          <w:sz w:val="21"/>
        </w:rPr>
        <w:t>未成年人身故</w:t>
      </w:r>
      <w:r>
        <w:rPr>
          <w:rFonts w:ascii="微软雅黑" w:eastAsia="微软雅黑"/>
          <w:b/>
          <w:spacing w:val="-2"/>
          <w:sz w:val="21"/>
        </w:rPr>
        <w:t>利益给付限制</w:t>
      </w:r>
    </w:p>
    <w:p>
      <w:pPr>
        <w:pStyle w:val="BodyText"/>
        <w:spacing w:line="278" w:lineRule="auto" w:before="102"/>
        <w:ind w:left="220" w:right="359"/>
      </w:pPr>
      <w:r>
        <w:rPr/>
        <w:br w:type="column"/>
      </w:r>
      <w:r>
        <w:rPr>
          <w:spacing w:val="-2"/>
        </w:rPr>
        <w:t>若被保险人为未成年人，因被保险人身故给付的保险金总和不得超过国务院保险</w:t>
      </w:r>
      <w:r>
        <w:rPr>
          <w:spacing w:val="-3"/>
        </w:rPr>
        <w:t>监督管理机构规定的限额，身故给付的保险金额总和约定也不得超过前述限额。</w:t>
      </w:r>
    </w:p>
    <w:p>
      <w:pPr>
        <w:spacing w:after="0" w:line="278" w:lineRule="auto"/>
        <w:sectPr>
          <w:type w:val="continuous"/>
          <w:pgSz w:w="11910" w:h="16840"/>
          <w:pgMar w:header="0" w:footer="458" w:top="620" w:bottom="280" w:left="800" w:right="660"/>
          <w:cols w:num="2" w:equalWidth="0">
            <w:col w:w="2380" w:space="99"/>
            <w:col w:w="7971"/>
          </w:cols>
        </w:sectPr>
      </w:pPr>
    </w:p>
    <w:p>
      <w:pPr>
        <w:pStyle w:val="ListParagraph"/>
        <w:numPr>
          <w:ilvl w:val="1"/>
          <w:numId w:val="7"/>
        </w:numPr>
        <w:tabs>
          <w:tab w:pos="1073" w:val="left" w:leader="none"/>
          <w:tab w:pos="2699" w:val="left" w:leader="none"/>
        </w:tabs>
        <w:spacing w:line="235" w:lineRule="auto" w:before="30" w:after="0"/>
        <w:ind w:left="2699" w:right="358" w:hanging="2480"/>
        <w:jc w:val="both"/>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期</w:t>
      </w:r>
      <w:r>
        <w:rPr>
          <w:rFonts w:ascii="微软雅黑" w:eastAsia="微软雅黑"/>
          <w:b/>
          <w:spacing w:val="-4"/>
          <w:sz w:val="21"/>
        </w:rPr>
        <w:t>间</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终</w:t>
      </w:r>
      <w:r>
        <w:rPr>
          <w:spacing w:val="-2"/>
          <w:sz w:val="21"/>
        </w:rPr>
        <w:t>身，</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起</w:t>
      </w:r>
      <w:r>
        <w:rPr>
          <w:spacing w:val="-2"/>
          <w:sz w:val="21"/>
        </w:rPr>
        <w:t>至</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时</w:t>
      </w:r>
      <w:r>
        <w:rPr>
          <w:spacing w:val="-2"/>
          <w:sz w:val="21"/>
        </w:rPr>
        <w:t>止</w:t>
      </w:r>
      <w:r>
        <w:rPr>
          <w:spacing w:val="-2"/>
          <w:sz w:val="21"/>
        </w:rPr>
        <w:t>，</w:t>
      </w:r>
      <w:r>
        <w:rPr>
          <w:spacing w:val="-2"/>
          <w:sz w:val="21"/>
        </w:rPr>
        <w:t>并</w:t>
      </w:r>
      <w:r>
        <w:rPr>
          <w:spacing w:val="-2"/>
          <w:sz w:val="21"/>
        </w:rPr>
        <w:t>在</w:t>
      </w:r>
      <w:r>
        <w:rPr>
          <w:spacing w:val="-2"/>
          <w:sz w:val="21"/>
        </w:rPr>
        <w:t>保险</w:t>
      </w:r>
      <w:r>
        <w:rPr>
          <w:spacing w:val="-2"/>
          <w:sz w:val="21"/>
        </w:rPr>
        <w:t>单</w:t>
      </w:r>
      <w:r>
        <w:rPr>
          <w:spacing w:val="-4"/>
          <w:sz w:val="21"/>
        </w:rPr>
        <w:t>上</w:t>
      </w:r>
      <w:r>
        <w:rPr>
          <w:spacing w:val="-4"/>
          <w:sz w:val="21"/>
        </w:rPr>
        <w:t>载</w:t>
      </w:r>
      <w:r>
        <w:rPr>
          <w:spacing w:val="-4"/>
          <w:sz w:val="21"/>
        </w:rPr>
        <w:t>明。</w:t>
      </w:r>
    </w:p>
    <w:p>
      <w:pPr>
        <w:pStyle w:val="Heading1"/>
        <w:numPr>
          <w:ilvl w:val="0"/>
          <w:numId w:val="5"/>
        </w:numPr>
        <w:tabs>
          <w:tab w:pos="1072" w:val="left" w:leader="none"/>
          <w:tab w:pos="1073" w:val="left" w:leader="none"/>
        </w:tabs>
        <w:spacing w:line="240" w:lineRule="auto" w:before="179" w:after="0"/>
        <w:ind w:left="1072" w:right="0" w:hanging="745"/>
        <w:jc w:val="left"/>
      </w:pPr>
      <w:r>
        <w:rPr/>
        <w:drawing>
          <wp:anchor distT="0" distB="0" distL="0" distR="0" allowOverlap="1" layoutInCell="1" locked="0" behindDoc="0" simplePos="0" relativeHeight="5">
            <wp:simplePos x="0" y="0"/>
            <wp:positionH relativeFrom="page">
              <wp:posOffset>579119</wp:posOffset>
            </wp:positionH>
            <wp:positionV relativeFrom="paragraph">
              <wp:posOffset>507583</wp:posOffset>
            </wp:positionV>
            <wp:extent cx="6401942" cy="6096"/>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6401942" cy="6096"/>
                    </a:xfrm>
                    <a:prstGeom prst="rect">
                      <a:avLst/>
                    </a:prstGeom>
                  </pic:spPr>
                </pic:pic>
              </a:graphicData>
            </a:graphic>
          </wp:anchor>
        </w:drawing>
      </w:r>
      <w:r>
        <w:rPr>
          <w:spacing w:val="-2"/>
        </w:rPr>
        <w:t>如何申请领取保险金</w:t>
      </w:r>
    </w:p>
    <w:p>
      <w:pPr>
        <w:pStyle w:val="ListParagraph"/>
        <w:numPr>
          <w:ilvl w:val="1"/>
          <w:numId w:val="15"/>
        </w:numPr>
        <w:tabs>
          <w:tab w:pos="1073" w:val="left" w:leader="none"/>
          <w:tab w:pos="2699" w:val="left" w:leader="none"/>
        </w:tabs>
        <w:spacing w:line="256" w:lineRule="auto" w:before="104" w:after="0"/>
        <w:ind w:left="2699" w:right="250" w:hanging="2480"/>
        <w:jc w:val="both"/>
        <w:rPr>
          <w:sz w:val="21"/>
        </w:rPr>
      </w:pPr>
      <w:r>
        <w:rPr>
          <w:rFonts w:ascii="微软雅黑" w:eastAsia="微软雅黑"/>
          <w:b/>
          <w:w w:val="100"/>
          <w:sz w:val="21"/>
        </w:rPr>
        <w:t>受益人</w:t>
      </w:r>
      <w:r>
        <w:rPr>
          <w:rFonts w:ascii="微软雅黑" w:eastAsia="微软雅黑"/>
          <w:b/>
          <w:sz w:val="21"/>
        </w:rPr>
        <w:tab/>
      </w:r>
      <w:r>
        <w:rPr>
          <w:w w:val="100"/>
          <w:sz w:val="21"/>
        </w:rPr>
        <w:t>投保人或者被保险人可</w:t>
      </w:r>
      <w:r>
        <w:rPr>
          <w:spacing w:val="-3"/>
          <w:w w:val="100"/>
          <w:sz w:val="21"/>
        </w:rPr>
        <w:t>以</w:t>
      </w:r>
      <w:r>
        <w:rPr>
          <w:w w:val="100"/>
          <w:sz w:val="21"/>
        </w:rPr>
        <w:t>指定一人或多人为身故</w:t>
      </w:r>
      <w:r>
        <w:rPr>
          <w:spacing w:val="-3"/>
          <w:w w:val="100"/>
          <w:sz w:val="21"/>
        </w:rPr>
        <w:t>保</w:t>
      </w:r>
      <w:r>
        <w:rPr>
          <w:w w:val="100"/>
          <w:sz w:val="21"/>
        </w:rPr>
        <w:t>险金受益人，身故保险</w:t>
      </w:r>
      <w:r>
        <w:rPr>
          <w:spacing w:val="-3"/>
          <w:w w:val="100"/>
          <w:sz w:val="21"/>
        </w:rPr>
        <w:t>金</w:t>
      </w:r>
      <w:r>
        <w:rPr>
          <w:w w:val="100"/>
          <w:sz w:val="21"/>
        </w:rPr>
        <w:t>受益人为多人时，可以确定</w:t>
      </w:r>
      <w:r>
        <w:rPr>
          <w:spacing w:val="-3"/>
          <w:w w:val="100"/>
          <w:sz w:val="21"/>
        </w:rPr>
        <w:t>受</w:t>
      </w:r>
      <w:r>
        <w:rPr>
          <w:w w:val="100"/>
          <w:sz w:val="21"/>
        </w:rPr>
        <w:t>益顺序和受益份额，若</w:t>
      </w:r>
      <w:r>
        <w:rPr>
          <w:spacing w:val="-3"/>
          <w:w w:val="100"/>
          <w:sz w:val="21"/>
        </w:rPr>
        <w:t>没</w:t>
      </w:r>
      <w:r>
        <w:rPr>
          <w:w w:val="100"/>
          <w:sz w:val="21"/>
        </w:rPr>
        <w:t>有确定受益顺序，各受</w:t>
      </w:r>
      <w:r>
        <w:rPr>
          <w:spacing w:val="-3"/>
          <w:w w:val="100"/>
          <w:sz w:val="21"/>
        </w:rPr>
        <w:t>益</w:t>
      </w:r>
      <w:r>
        <w:rPr>
          <w:w w:val="100"/>
          <w:sz w:val="21"/>
        </w:rPr>
        <w:t>人按同一</w:t>
      </w:r>
      <w:r>
        <w:rPr>
          <w:spacing w:val="-3"/>
          <w:w w:val="100"/>
          <w:sz w:val="21"/>
        </w:rPr>
        <w:t>顺</w:t>
      </w:r>
      <w:r>
        <w:rPr>
          <w:w w:val="100"/>
          <w:sz w:val="21"/>
        </w:rPr>
        <w:t>序</w:t>
      </w:r>
      <w:r>
        <w:rPr>
          <w:spacing w:val="-3"/>
          <w:w w:val="100"/>
          <w:sz w:val="21"/>
        </w:rPr>
        <w:t>享</w:t>
      </w:r>
      <w:r>
        <w:rPr>
          <w:w w:val="100"/>
          <w:sz w:val="21"/>
        </w:rPr>
        <w:t>有</w:t>
      </w:r>
      <w:r>
        <w:rPr>
          <w:spacing w:val="-3"/>
          <w:w w:val="100"/>
          <w:sz w:val="21"/>
        </w:rPr>
        <w:t>受</w:t>
      </w:r>
      <w:r>
        <w:rPr>
          <w:w w:val="100"/>
          <w:sz w:val="21"/>
        </w:rPr>
        <w:t>益</w:t>
      </w:r>
      <w:r>
        <w:rPr>
          <w:spacing w:val="-3"/>
          <w:w w:val="100"/>
          <w:sz w:val="21"/>
        </w:rPr>
        <w:t>权</w:t>
      </w:r>
      <w:r>
        <w:rPr>
          <w:spacing w:val="-36"/>
          <w:w w:val="100"/>
          <w:sz w:val="21"/>
        </w:rPr>
        <w:t>；</w:t>
      </w:r>
      <w:r>
        <w:rPr>
          <w:spacing w:val="-3"/>
          <w:w w:val="100"/>
          <w:sz w:val="21"/>
        </w:rPr>
        <w:t>若</w:t>
      </w:r>
      <w:r>
        <w:rPr>
          <w:w w:val="100"/>
          <w:sz w:val="21"/>
        </w:rPr>
        <w:t>没有</w:t>
      </w:r>
      <w:r>
        <w:rPr>
          <w:spacing w:val="-3"/>
          <w:w w:val="100"/>
          <w:sz w:val="21"/>
        </w:rPr>
        <w:t>确</w:t>
      </w:r>
      <w:r>
        <w:rPr>
          <w:w w:val="100"/>
          <w:sz w:val="21"/>
        </w:rPr>
        <w:t>定</w:t>
      </w:r>
      <w:r>
        <w:rPr>
          <w:spacing w:val="-3"/>
          <w:w w:val="100"/>
          <w:sz w:val="21"/>
        </w:rPr>
        <w:t>受</w:t>
      </w:r>
      <w:r>
        <w:rPr>
          <w:w w:val="100"/>
          <w:sz w:val="21"/>
        </w:rPr>
        <w:t>益</w:t>
      </w:r>
      <w:r>
        <w:rPr>
          <w:spacing w:val="-3"/>
          <w:w w:val="100"/>
          <w:sz w:val="21"/>
        </w:rPr>
        <w:t>份</w:t>
      </w:r>
      <w:r>
        <w:rPr>
          <w:w w:val="100"/>
          <w:sz w:val="21"/>
        </w:rPr>
        <w:t>额</w:t>
      </w:r>
      <w:r>
        <w:rPr>
          <w:spacing w:val="-39"/>
          <w:w w:val="100"/>
          <w:sz w:val="21"/>
        </w:rPr>
        <w:t>，</w:t>
      </w:r>
      <w:r>
        <w:rPr>
          <w:w w:val="100"/>
          <w:sz w:val="21"/>
        </w:rPr>
        <w:t>各</w:t>
      </w:r>
      <w:r>
        <w:rPr>
          <w:spacing w:val="-3"/>
          <w:w w:val="100"/>
          <w:sz w:val="21"/>
        </w:rPr>
        <w:t>受</w:t>
      </w:r>
      <w:r>
        <w:rPr>
          <w:w w:val="100"/>
          <w:sz w:val="21"/>
        </w:rPr>
        <w:t>益人</w:t>
      </w:r>
      <w:r>
        <w:rPr>
          <w:spacing w:val="-3"/>
          <w:w w:val="100"/>
          <w:sz w:val="21"/>
        </w:rPr>
        <w:t>按</w:t>
      </w:r>
      <w:r>
        <w:rPr>
          <w:w w:val="100"/>
          <w:sz w:val="21"/>
        </w:rPr>
        <w:t>照</w:t>
      </w:r>
      <w:r>
        <w:rPr>
          <w:spacing w:val="-3"/>
          <w:w w:val="100"/>
          <w:sz w:val="21"/>
        </w:rPr>
        <w:t>相</w:t>
      </w:r>
      <w:r>
        <w:rPr>
          <w:w w:val="100"/>
          <w:sz w:val="21"/>
        </w:rPr>
        <w:t>等</w:t>
      </w:r>
      <w:r>
        <w:rPr>
          <w:spacing w:val="-3"/>
          <w:w w:val="100"/>
          <w:sz w:val="21"/>
        </w:rPr>
        <w:t>份</w:t>
      </w:r>
      <w:r>
        <w:rPr>
          <w:w w:val="100"/>
          <w:sz w:val="21"/>
        </w:rPr>
        <w:t>额</w:t>
      </w:r>
      <w:r>
        <w:rPr>
          <w:spacing w:val="-3"/>
          <w:w w:val="100"/>
          <w:sz w:val="21"/>
        </w:rPr>
        <w:t>享</w:t>
      </w:r>
      <w:r>
        <w:rPr>
          <w:w w:val="100"/>
          <w:sz w:val="21"/>
        </w:rPr>
        <w:t>有</w:t>
      </w:r>
      <w:r>
        <w:rPr>
          <w:spacing w:val="-3"/>
          <w:w w:val="100"/>
          <w:sz w:val="21"/>
        </w:rPr>
        <w:t>受</w:t>
      </w:r>
      <w:r>
        <w:rPr>
          <w:w w:val="100"/>
          <w:sz w:val="21"/>
        </w:rPr>
        <w:t>益</w:t>
      </w:r>
      <w:r>
        <w:rPr>
          <w:spacing w:val="-3"/>
          <w:w w:val="100"/>
          <w:sz w:val="21"/>
        </w:rPr>
        <w:t>权</w:t>
      </w:r>
      <w:r>
        <w:rPr>
          <w:w w:val="100"/>
          <w:sz w:val="21"/>
        </w:rPr>
        <w:t>。</w:t>
      </w:r>
    </w:p>
    <w:p>
      <w:pPr>
        <w:pStyle w:val="BodyText"/>
        <w:spacing w:line="278" w:lineRule="auto" w:before="170"/>
        <w:ind w:left="2699" w:right="359"/>
      </w:pPr>
      <w:r>
        <w:rPr>
          <w:spacing w:val="-2"/>
        </w:rPr>
        <w:t>被保险人为无民事行为能力人或限制民事行为能力人的，应当由其监护人指定受</w:t>
      </w:r>
      <w:r>
        <w:rPr>
          <w:spacing w:val="-4"/>
        </w:rPr>
        <w:t>益人。</w:t>
      </w:r>
    </w:p>
    <w:p>
      <w:pPr>
        <w:pStyle w:val="BodyText"/>
        <w:spacing w:line="278" w:lineRule="auto" w:before="156"/>
        <w:ind w:left="2699" w:right="358"/>
        <w:jc w:val="both"/>
      </w:pPr>
      <w:r>
        <w:rPr>
          <w:spacing w:val="-2"/>
        </w:rPr>
        <w:t>投保人或者被保险人可以变更受益人并书面通知本公司。本公司收到变更受益人</w:t>
      </w:r>
      <w:r>
        <w:rPr>
          <w:spacing w:val="-2"/>
        </w:rPr>
        <w:t>的书面通知并审核通过后，在保险单或其他保险凭证上批注或者附贴批单；变更</w:t>
      </w:r>
      <w:r>
        <w:rPr>
          <w:spacing w:val="-2"/>
        </w:rPr>
        <w:t>自本公司在保险单或其他保险凭证上批注或附贴批单之日起产生效力。</w:t>
      </w:r>
    </w:p>
    <w:p>
      <w:pPr>
        <w:pStyle w:val="BodyText"/>
        <w:spacing w:before="155"/>
        <w:ind w:left="2699"/>
      </w:pPr>
      <w:r>
        <w:rPr>
          <w:spacing w:val="-3"/>
        </w:rPr>
        <w:t>投保人在指定和变更身故保险金受益人时，必须经过被保险人书面同意。</w:t>
      </w:r>
    </w:p>
    <w:p>
      <w:pPr>
        <w:pStyle w:val="BodyText"/>
        <w:spacing w:before="7"/>
        <w:rPr>
          <w:sz w:val="15"/>
        </w:rPr>
      </w:pPr>
    </w:p>
    <w:p>
      <w:pPr>
        <w:pStyle w:val="BodyText"/>
        <w:spacing w:line="278" w:lineRule="auto" w:before="0"/>
        <w:ind w:left="2699" w:right="359"/>
      </w:pPr>
      <w:r>
        <w:rPr>
          <w:spacing w:val="-2"/>
        </w:rPr>
        <w:t>被保险人身故后，有下列情形之一的，身故保险金作为被保险人的遗产，由本公</w:t>
      </w:r>
      <w:r>
        <w:rPr>
          <w:spacing w:val="-2"/>
        </w:rPr>
        <w:t>司依照《中华人民共和国继承法》的规定履行给付保险金的义务：</w:t>
      </w:r>
    </w:p>
    <w:p>
      <w:pPr>
        <w:pStyle w:val="ListParagraph"/>
        <w:numPr>
          <w:ilvl w:val="2"/>
          <w:numId w:val="15"/>
        </w:numPr>
        <w:tabs>
          <w:tab w:pos="3332" w:val="left" w:leader="none"/>
        </w:tabs>
        <w:spacing w:line="240" w:lineRule="auto" w:before="0" w:after="0"/>
        <w:ind w:left="3331" w:right="0" w:hanging="633"/>
        <w:jc w:val="left"/>
        <w:rPr>
          <w:sz w:val="21"/>
        </w:rPr>
      </w:pPr>
      <w:r>
        <w:rPr>
          <w:spacing w:val="-3"/>
          <w:sz w:val="21"/>
        </w:rPr>
        <w:t>没有指定受益人，或者受益人指定不明无法确定的；</w:t>
      </w:r>
    </w:p>
    <w:p>
      <w:pPr>
        <w:pStyle w:val="ListParagraph"/>
        <w:numPr>
          <w:ilvl w:val="2"/>
          <w:numId w:val="15"/>
        </w:numPr>
        <w:tabs>
          <w:tab w:pos="3332" w:val="left" w:leader="none"/>
        </w:tabs>
        <w:spacing w:line="240" w:lineRule="auto" w:before="43" w:after="0"/>
        <w:ind w:left="3331" w:right="0" w:hanging="633"/>
        <w:jc w:val="left"/>
        <w:rPr>
          <w:sz w:val="21"/>
        </w:rPr>
      </w:pPr>
      <w:r>
        <w:rPr>
          <w:spacing w:val="-3"/>
          <w:sz w:val="21"/>
        </w:rPr>
        <w:t>受益人先于被保险人身故，没有其他受益人的；</w:t>
      </w:r>
    </w:p>
    <w:p>
      <w:pPr>
        <w:pStyle w:val="ListParagraph"/>
        <w:numPr>
          <w:ilvl w:val="2"/>
          <w:numId w:val="15"/>
        </w:numPr>
        <w:tabs>
          <w:tab w:pos="3332" w:val="left" w:leader="none"/>
        </w:tabs>
        <w:spacing w:line="240" w:lineRule="auto" w:before="43" w:after="0"/>
        <w:ind w:left="3331" w:right="0" w:hanging="633"/>
        <w:jc w:val="left"/>
        <w:rPr>
          <w:sz w:val="21"/>
        </w:rPr>
      </w:pPr>
      <w:r>
        <w:rPr>
          <w:spacing w:val="-3"/>
          <w:sz w:val="21"/>
        </w:rPr>
        <w:t>受益人依法丧失受益权或者放弃受益权，没有其他受益人的。</w:t>
      </w:r>
    </w:p>
    <w:p>
      <w:pPr>
        <w:pStyle w:val="BodyText"/>
        <w:spacing w:before="7"/>
        <w:rPr>
          <w:sz w:val="15"/>
        </w:rPr>
      </w:pPr>
    </w:p>
    <w:p>
      <w:pPr>
        <w:pStyle w:val="BodyText"/>
        <w:spacing w:line="278" w:lineRule="auto" w:before="0"/>
        <w:ind w:left="2699" w:right="358"/>
      </w:pPr>
      <w:r>
        <w:rPr>
          <w:spacing w:val="-2"/>
        </w:rPr>
        <w:t>受益人与被保险人在同一事件中身故，且不能确定身故先后顺序的，推定受益人</w:t>
      </w:r>
      <w:r>
        <w:rPr>
          <w:spacing w:val="-2"/>
        </w:rPr>
        <w:t>身故在先。</w:t>
      </w:r>
    </w:p>
    <w:p>
      <w:pPr>
        <w:pStyle w:val="BodyText"/>
        <w:spacing w:line="278" w:lineRule="auto" w:before="156"/>
        <w:ind w:left="2699" w:right="359"/>
      </w:pPr>
      <w:r>
        <w:rPr>
          <w:spacing w:val="-2"/>
        </w:rPr>
        <w:t>受益人故意造成被保险人死亡、伤残、疾病的，或者故意杀害被保险人未遂的，</w:t>
      </w:r>
      <w:r>
        <w:rPr>
          <w:spacing w:val="-2"/>
        </w:rPr>
        <w:t>该受益人丧失受益权。</w:t>
      </w:r>
    </w:p>
    <w:p>
      <w:pPr>
        <w:pStyle w:val="BodyText"/>
        <w:spacing w:line="278" w:lineRule="auto" w:before="155"/>
        <w:ind w:left="2699" w:right="358"/>
      </w:pPr>
      <w:r>
        <w:rPr>
          <w:spacing w:val="-2"/>
        </w:rPr>
        <w:t>除另有约定外，轻度疾病保险金、中度疾病保险金、重度疾病保险金、全残保险</w:t>
      </w:r>
      <w:r>
        <w:rPr>
          <w:spacing w:val="-2"/>
        </w:rPr>
        <w:t>金和疾病终末期保险金的受益人均为被保险人本人。</w:t>
      </w:r>
    </w:p>
    <w:p>
      <w:pPr>
        <w:pStyle w:val="ListParagraph"/>
        <w:numPr>
          <w:ilvl w:val="1"/>
          <w:numId w:val="15"/>
        </w:numPr>
        <w:tabs>
          <w:tab w:pos="1073" w:val="left" w:leader="none"/>
        </w:tabs>
        <w:spacing w:line="230" w:lineRule="auto" w:before="105" w:after="0"/>
        <w:ind w:left="2699" w:right="356" w:hanging="2480"/>
        <w:jc w:val="both"/>
        <w:rPr>
          <w:sz w:val="21"/>
        </w:rPr>
      </w:pPr>
      <w:r>
        <w:rPr>
          <w:rFonts w:ascii="微软雅黑" w:eastAsia="微软雅黑"/>
          <w:b/>
          <w:spacing w:val="31"/>
          <w:sz w:val="21"/>
        </w:rPr>
        <w:t>保险事故通知 </w:t>
      </w:r>
      <w:r>
        <w:rPr>
          <w:spacing w:val="-10"/>
          <w:sz w:val="21"/>
        </w:rPr>
        <w:t>投保人、被保险人或受益人应于自其知道或应当知道保险事故发生之日起 </w:t>
      </w:r>
      <w:r>
        <w:rPr>
          <w:sz w:val="21"/>
        </w:rPr>
        <w:t>10</w:t>
      </w:r>
      <w:r>
        <w:rPr>
          <w:spacing w:val="-9"/>
          <w:sz w:val="21"/>
        </w:rPr>
        <w:t> 日内</w:t>
      </w:r>
      <w:r>
        <w:rPr>
          <w:spacing w:val="-2"/>
          <w:sz w:val="21"/>
        </w:rPr>
        <w:t>通知本公司。否则投保人、被保险人或受益人应承担由于通知迟延致使本公司增</w:t>
      </w:r>
      <w:r>
        <w:rPr>
          <w:spacing w:val="-2"/>
          <w:sz w:val="21"/>
        </w:rPr>
        <w:t>加的勘查、检验等各项费用，但因</w:t>
      </w:r>
      <w:r>
        <w:rPr>
          <w:rFonts w:ascii="微软雅黑" w:eastAsia="微软雅黑"/>
          <w:b/>
          <w:spacing w:val="-2"/>
          <w:sz w:val="21"/>
        </w:rPr>
        <w:t>不可抗力</w:t>
      </w:r>
      <w:r>
        <w:rPr>
          <w:spacing w:val="-2"/>
          <w:sz w:val="21"/>
        </w:rPr>
        <w:t>（</w:t>
      </w:r>
      <w:r>
        <w:rPr>
          <w:spacing w:val="-14"/>
          <w:sz w:val="21"/>
        </w:rPr>
        <w:t>见 </w:t>
      </w:r>
      <w:r>
        <w:rPr>
          <w:spacing w:val="-2"/>
          <w:sz w:val="21"/>
        </w:rPr>
        <w:t>9.25）导致的迟延除外。通知内</w:t>
      </w:r>
      <w:r>
        <w:rPr>
          <w:spacing w:val="-2"/>
          <w:sz w:val="21"/>
        </w:rPr>
        <w:t>容包括：事故情况、原因、伤亡情况以及本公司需要了解的其他情况。</w:t>
      </w:r>
    </w:p>
    <w:p>
      <w:pPr>
        <w:pStyle w:val="BodyText"/>
        <w:spacing w:before="8"/>
        <w:rPr>
          <w:sz w:val="15"/>
        </w:rPr>
      </w:pPr>
    </w:p>
    <w:p>
      <w:pPr>
        <w:pStyle w:val="BodyText"/>
        <w:spacing w:line="278" w:lineRule="auto" w:before="1"/>
        <w:ind w:left="2699" w:right="248"/>
      </w:pPr>
      <w:r>
        <w:rPr>
          <w:spacing w:val="-9"/>
          <w:w w:val="100"/>
        </w:rPr>
        <w:t>投保人、被保险人或受益人故意或因重大过失未及时通知，致使保险事故的性质、原因等难以确定的，本公司对无法确定的部分，不承担给付保险金或豁免保险费的责任，但本公司通过其他途径已经及时知道或应当及时知道保险事故发生的除外。</w:t>
      </w:r>
    </w:p>
    <w:p>
      <w:pPr>
        <w:spacing w:after="0" w:line="278" w:lineRule="auto"/>
        <w:sectPr>
          <w:type w:val="continuous"/>
          <w:pgSz w:w="11910" w:h="16840"/>
          <w:pgMar w:header="0" w:footer="458" w:top="620" w:bottom="280" w:left="800" w:right="660"/>
        </w:sectPr>
      </w:pPr>
    </w:p>
    <w:p>
      <w:pPr>
        <w:pStyle w:val="ListParagraph"/>
        <w:numPr>
          <w:ilvl w:val="1"/>
          <w:numId w:val="15"/>
        </w:numPr>
        <w:tabs>
          <w:tab w:pos="1072" w:val="left" w:leader="none"/>
          <w:tab w:pos="1073" w:val="left" w:leader="none"/>
          <w:tab w:pos="2699" w:val="left" w:leader="none"/>
        </w:tabs>
        <w:spacing w:line="363" w:lineRule="exact" w:before="0" w:after="0"/>
        <w:ind w:left="1072" w:right="0" w:hanging="853"/>
        <w:jc w:val="left"/>
        <w:rPr>
          <w:sz w:val="21"/>
        </w:rPr>
      </w:pPr>
      <w:r>
        <w:rPr>
          <w:rFonts w:ascii="微软雅黑" w:eastAsia="微软雅黑"/>
          <w:b/>
          <w:sz w:val="21"/>
        </w:rPr>
        <w:t>保险金申</w:t>
      </w:r>
      <w:r>
        <w:rPr>
          <w:rFonts w:ascii="微软雅黑" w:eastAsia="微软雅黑"/>
          <w:b/>
          <w:spacing w:val="-10"/>
          <w:sz w:val="21"/>
        </w:rPr>
        <w:t>请</w:t>
      </w:r>
      <w:r>
        <w:rPr>
          <w:rFonts w:ascii="微软雅黑" w:eastAsia="微软雅黑"/>
          <w:b/>
          <w:sz w:val="21"/>
        </w:rPr>
        <w:tab/>
      </w:r>
      <w:r>
        <w:rPr>
          <w:spacing w:val="-2"/>
          <w:sz w:val="21"/>
        </w:rPr>
        <w:t>在</w:t>
      </w:r>
      <w:r>
        <w:rPr>
          <w:spacing w:val="-2"/>
          <w:sz w:val="21"/>
        </w:rPr>
        <w:t>申</w:t>
      </w:r>
      <w:r>
        <w:rPr>
          <w:spacing w:val="-2"/>
          <w:sz w:val="21"/>
        </w:rPr>
        <w:t>请保险金时，请按照</w:t>
      </w:r>
      <w:r>
        <w:rPr>
          <w:spacing w:val="-2"/>
          <w:sz w:val="21"/>
        </w:rPr>
        <w:t>下</w:t>
      </w:r>
      <w:r>
        <w:rPr>
          <w:spacing w:val="-2"/>
          <w:sz w:val="21"/>
        </w:rPr>
        <w:t>列</w:t>
      </w:r>
      <w:r>
        <w:rPr>
          <w:spacing w:val="-2"/>
          <w:sz w:val="21"/>
        </w:rPr>
        <w:t>方式办</w:t>
      </w:r>
      <w:r>
        <w:rPr>
          <w:spacing w:val="-2"/>
          <w:sz w:val="21"/>
        </w:rPr>
        <w:t>理</w:t>
      </w:r>
      <w:r>
        <w:rPr>
          <w:spacing w:val="-10"/>
          <w:sz w:val="21"/>
        </w:rPr>
        <w:t>：</w:t>
      </w:r>
    </w:p>
    <w:p>
      <w:pPr>
        <w:spacing w:after="0" w:line="363" w:lineRule="exact"/>
        <w:jc w:val="left"/>
        <w:rPr>
          <w:sz w:val="21"/>
        </w:rPr>
        <w:sectPr>
          <w:pgSz w:w="11910" w:h="16840"/>
          <w:pgMar w:header="0" w:footer="458" w:top="1260" w:bottom="640" w:left="800" w:right="660"/>
        </w:sectPr>
      </w:pPr>
    </w:p>
    <w:p>
      <w:pPr>
        <w:spacing w:line="194" w:lineRule="auto" w:before="134"/>
        <w:ind w:left="1072" w:right="0" w:firstLine="0"/>
        <w:jc w:val="left"/>
        <w:rPr>
          <w:rFonts w:ascii="微软雅黑" w:eastAsia="微软雅黑"/>
          <w:b/>
          <w:sz w:val="21"/>
        </w:rPr>
      </w:pPr>
      <w:r>
        <w:rPr>
          <w:rFonts w:ascii="微软雅黑" w:eastAsia="微软雅黑"/>
          <w:b/>
          <w:spacing w:val="-2"/>
          <w:sz w:val="21"/>
        </w:rPr>
        <w:t>轻度疾病保险</w:t>
      </w:r>
      <w:r>
        <w:rPr>
          <w:rFonts w:ascii="微软雅黑" w:eastAsia="微软雅黑"/>
          <w:b/>
          <w:spacing w:val="-13"/>
          <w:sz w:val="21"/>
        </w:rPr>
        <w:t>金、中度疾病保</w:t>
      </w:r>
      <w:r>
        <w:rPr>
          <w:rFonts w:ascii="微软雅黑" w:eastAsia="微软雅黑"/>
          <w:b/>
          <w:spacing w:val="-13"/>
          <w:sz w:val="21"/>
        </w:rPr>
        <w:t>险金、重度疾病</w:t>
      </w:r>
      <w:r>
        <w:rPr>
          <w:rFonts w:ascii="微软雅黑" w:eastAsia="微软雅黑"/>
          <w:b/>
          <w:spacing w:val="-12"/>
          <w:sz w:val="21"/>
        </w:rPr>
        <w:t>保险金、疾病终</w:t>
      </w:r>
      <w:r>
        <w:rPr>
          <w:rFonts w:ascii="微软雅黑" w:eastAsia="微软雅黑"/>
          <w:b/>
          <w:spacing w:val="-2"/>
          <w:sz w:val="21"/>
        </w:rPr>
        <w:t>末期保险金申</w:t>
      </w:r>
      <w:r>
        <w:rPr>
          <w:rFonts w:ascii="微软雅黑" w:eastAsia="微软雅黑"/>
          <w:b/>
          <w:spacing w:val="-10"/>
          <w:sz w:val="21"/>
        </w:rPr>
        <w:t>请</w:t>
      </w:r>
    </w:p>
    <w:p>
      <w:pPr>
        <w:pStyle w:val="BodyText"/>
        <w:spacing w:before="148"/>
        <w:ind w:left="173"/>
      </w:pPr>
      <w:r>
        <w:rPr/>
        <w:br w:type="column"/>
      </w:r>
      <w:r>
        <w:rPr>
          <w:spacing w:val="-3"/>
        </w:rPr>
        <w:t>由相应受益人作为申请人书面提出保险金给付申请，并提供下列证明和资料：</w:t>
      </w:r>
    </w:p>
    <w:p>
      <w:pPr>
        <w:pStyle w:val="ListParagraph"/>
        <w:numPr>
          <w:ilvl w:val="0"/>
          <w:numId w:val="16"/>
        </w:numPr>
        <w:tabs>
          <w:tab w:pos="895" w:val="left" w:leader="none"/>
        </w:tabs>
        <w:spacing w:line="257" w:lineRule="exact" w:before="43" w:after="0"/>
        <w:ind w:left="894" w:right="0" w:hanging="722"/>
        <w:jc w:val="left"/>
        <w:rPr>
          <w:sz w:val="21"/>
        </w:rPr>
      </w:pPr>
      <w:r>
        <w:rPr>
          <w:spacing w:val="-4"/>
          <w:sz w:val="21"/>
        </w:rPr>
        <w:t>保险合同；</w:t>
      </w:r>
    </w:p>
    <w:p>
      <w:pPr>
        <w:pStyle w:val="ListParagraph"/>
        <w:numPr>
          <w:ilvl w:val="0"/>
          <w:numId w:val="16"/>
        </w:numPr>
        <w:tabs>
          <w:tab w:pos="895" w:val="left" w:leader="none"/>
        </w:tabs>
        <w:spacing w:line="371" w:lineRule="exact" w:before="0" w:after="0"/>
        <w:ind w:left="894" w:right="0" w:hanging="722"/>
        <w:jc w:val="left"/>
        <w:rPr>
          <w:sz w:val="21"/>
        </w:rPr>
      </w:pPr>
      <w:r>
        <w:rPr>
          <w:spacing w:val="-2"/>
          <w:sz w:val="21"/>
        </w:rPr>
        <w:t>受益人的有效</w:t>
      </w:r>
      <w:r>
        <w:rPr>
          <w:rFonts w:ascii="微软雅黑" w:eastAsia="微软雅黑"/>
          <w:b/>
          <w:spacing w:val="-2"/>
          <w:sz w:val="21"/>
        </w:rPr>
        <w:t>法定身份证明</w:t>
      </w:r>
      <w:r>
        <w:rPr>
          <w:spacing w:val="-2"/>
          <w:sz w:val="21"/>
        </w:rPr>
        <w:t>（</w:t>
      </w:r>
      <w:r>
        <w:rPr>
          <w:spacing w:val="-22"/>
          <w:sz w:val="21"/>
        </w:rPr>
        <w:t>见 </w:t>
      </w:r>
      <w:r>
        <w:rPr>
          <w:spacing w:val="-2"/>
          <w:sz w:val="21"/>
        </w:rPr>
        <w:t>9.26）；</w:t>
      </w:r>
    </w:p>
    <w:p>
      <w:pPr>
        <w:pStyle w:val="ListParagraph"/>
        <w:numPr>
          <w:ilvl w:val="0"/>
          <w:numId w:val="16"/>
        </w:numPr>
        <w:tabs>
          <w:tab w:pos="895" w:val="left" w:leader="none"/>
        </w:tabs>
        <w:spacing w:line="278" w:lineRule="auto" w:before="0" w:after="0"/>
        <w:ind w:left="894" w:right="495" w:hanging="721"/>
        <w:jc w:val="left"/>
        <w:rPr>
          <w:sz w:val="21"/>
        </w:rPr>
      </w:pPr>
      <w:r>
        <w:rPr>
          <w:spacing w:val="-2"/>
          <w:sz w:val="21"/>
        </w:rPr>
        <w:t>由医院出具的附有病历、必要病理检验、血液检验及其他科学方法检验</w:t>
      </w:r>
      <w:r>
        <w:rPr>
          <w:spacing w:val="-2"/>
          <w:sz w:val="21"/>
        </w:rPr>
        <w:t>报告的疾病诊断书；</w:t>
      </w:r>
    </w:p>
    <w:p>
      <w:pPr>
        <w:pStyle w:val="ListParagraph"/>
        <w:numPr>
          <w:ilvl w:val="0"/>
          <w:numId w:val="16"/>
        </w:numPr>
        <w:tabs>
          <w:tab w:pos="895" w:val="left" w:leader="none"/>
        </w:tabs>
        <w:spacing w:line="278" w:lineRule="auto" w:before="0" w:after="0"/>
        <w:ind w:left="894" w:right="495" w:hanging="721"/>
        <w:jc w:val="left"/>
        <w:rPr>
          <w:sz w:val="21"/>
        </w:rPr>
      </w:pPr>
      <w:r>
        <w:rPr>
          <w:spacing w:val="-2"/>
          <w:sz w:val="21"/>
        </w:rPr>
        <w:t>所能提供的与确认保险事故的性质、原因、经过等有关的其他证明和资</w:t>
      </w:r>
      <w:r>
        <w:rPr>
          <w:spacing w:val="-6"/>
          <w:sz w:val="21"/>
        </w:rPr>
        <w:t>料。</w:t>
      </w:r>
    </w:p>
    <w:p>
      <w:pPr>
        <w:spacing w:after="0" w:line="278" w:lineRule="auto"/>
        <w:jc w:val="left"/>
        <w:rPr>
          <w:sz w:val="21"/>
        </w:rPr>
        <w:sectPr>
          <w:type w:val="continuous"/>
          <w:pgSz w:w="11910" w:h="16840"/>
          <w:pgMar w:header="0" w:footer="458" w:top="620" w:bottom="280" w:left="800" w:right="660"/>
          <w:cols w:num="2" w:equalWidth="0">
            <w:col w:w="2487" w:space="40"/>
            <w:col w:w="7923"/>
          </w:cols>
        </w:sectPr>
      </w:pPr>
    </w:p>
    <w:p>
      <w:pPr>
        <w:spacing w:line="194" w:lineRule="auto" w:before="137"/>
        <w:ind w:left="1072" w:right="0" w:firstLine="0"/>
        <w:jc w:val="left"/>
        <w:rPr>
          <w:rFonts w:ascii="微软雅黑" w:eastAsia="微软雅黑"/>
          <w:b/>
          <w:sz w:val="21"/>
        </w:rPr>
      </w:pPr>
      <w:r>
        <w:rPr>
          <w:rFonts w:ascii="微软雅黑" w:eastAsia="微软雅黑"/>
          <w:b/>
          <w:spacing w:val="-2"/>
          <w:sz w:val="21"/>
        </w:rPr>
        <w:t>身故保险金申</w:t>
      </w:r>
      <w:r>
        <w:rPr>
          <w:rFonts w:ascii="微软雅黑" w:eastAsia="微软雅黑"/>
          <w:b/>
          <w:spacing w:val="-10"/>
          <w:sz w:val="21"/>
        </w:rPr>
        <w:t>请</w:t>
      </w:r>
    </w:p>
    <w:p>
      <w:pPr>
        <w:pStyle w:val="BodyText"/>
        <w:spacing w:line="278" w:lineRule="auto" w:before="152"/>
        <w:ind w:left="319" w:right="495"/>
      </w:pPr>
      <w:r>
        <w:rPr/>
        <w:br w:type="column"/>
      </w:r>
      <w:r>
        <w:rPr>
          <w:spacing w:val="-7"/>
        </w:rPr>
        <w:t>由身故保险金受益人作为申请人填写保险金给付申请书，并须提供下列证明和资</w:t>
      </w:r>
      <w:r>
        <w:rPr>
          <w:spacing w:val="-6"/>
        </w:rPr>
        <w:t>料：</w:t>
      </w:r>
    </w:p>
    <w:p>
      <w:pPr>
        <w:pStyle w:val="ListParagraph"/>
        <w:numPr>
          <w:ilvl w:val="1"/>
          <w:numId w:val="16"/>
        </w:numPr>
        <w:tabs>
          <w:tab w:pos="1041" w:val="left" w:leader="none"/>
        </w:tabs>
        <w:spacing w:line="269" w:lineRule="exact" w:before="0" w:after="0"/>
        <w:ind w:left="1040" w:right="0" w:hanging="722"/>
        <w:jc w:val="left"/>
        <w:rPr>
          <w:sz w:val="21"/>
        </w:rPr>
      </w:pPr>
      <w:r>
        <w:rPr>
          <w:spacing w:val="-4"/>
          <w:sz w:val="21"/>
        </w:rPr>
        <w:t>保险合同；</w:t>
      </w:r>
    </w:p>
    <w:p>
      <w:pPr>
        <w:pStyle w:val="ListParagraph"/>
        <w:numPr>
          <w:ilvl w:val="1"/>
          <w:numId w:val="16"/>
        </w:numPr>
        <w:tabs>
          <w:tab w:pos="1041" w:val="left" w:leader="none"/>
        </w:tabs>
        <w:spacing w:line="240" w:lineRule="auto" w:before="43" w:after="0"/>
        <w:ind w:left="1040" w:right="0" w:hanging="722"/>
        <w:jc w:val="left"/>
        <w:rPr>
          <w:sz w:val="21"/>
        </w:rPr>
      </w:pPr>
      <w:r>
        <w:rPr>
          <w:spacing w:val="-3"/>
          <w:sz w:val="21"/>
        </w:rPr>
        <w:t>受益人的有效法定身份证明；</w:t>
      </w:r>
    </w:p>
    <w:p>
      <w:pPr>
        <w:pStyle w:val="ListParagraph"/>
        <w:numPr>
          <w:ilvl w:val="1"/>
          <w:numId w:val="16"/>
        </w:numPr>
        <w:tabs>
          <w:tab w:pos="1041" w:val="left" w:leader="none"/>
        </w:tabs>
        <w:spacing w:line="278" w:lineRule="auto" w:before="43" w:after="0"/>
        <w:ind w:left="1040" w:right="495" w:hanging="721"/>
        <w:jc w:val="left"/>
        <w:rPr>
          <w:sz w:val="21"/>
        </w:rPr>
      </w:pPr>
      <w:r>
        <w:rPr>
          <w:spacing w:val="-2"/>
          <w:sz w:val="21"/>
        </w:rPr>
        <w:t>国务院卫生行政部门规定的医疗机构、公安部门或其他有权机构出具的</w:t>
      </w:r>
      <w:r>
        <w:rPr>
          <w:spacing w:val="-2"/>
          <w:sz w:val="21"/>
        </w:rPr>
        <w:t>被保险人死亡证明书；</w:t>
      </w:r>
    </w:p>
    <w:p>
      <w:pPr>
        <w:pStyle w:val="ListParagraph"/>
        <w:numPr>
          <w:ilvl w:val="1"/>
          <w:numId w:val="16"/>
        </w:numPr>
        <w:tabs>
          <w:tab w:pos="1041" w:val="left" w:leader="none"/>
        </w:tabs>
        <w:spacing w:line="269" w:lineRule="exact" w:before="0" w:after="0"/>
        <w:ind w:left="1040" w:right="0" w:hanging="722"/>
        <w:jc w:val="left"/>
        <w:rPr>
          <w:sz w:val="21"/>
        </w:rPr>
      </w:pPr>
      <w:r>
        <w:rPr>
          <w:spacing w:val="-10"/>
          <w:sz w:val="21"/>
        </w:rPr>
        <w:t>若被保险人为宣告死亡，受益人须提供人民法院出具的宣告死亡判决书；</w:t>
      </w:r>
    </w:p>
    <w:p>
      <w:pPr>
        <w:pStyle w:val="ListParagraph"/>
        <w:numPr>
          <w:ilvl w:val="1"/>
          <w:numId w:val="16"/>
        </w:numPr>
        <w:tabs>
          <w:tab w:pos="1041" w:val="left" w:leader="none"/>
        </w:tabs>
        <w:spacing w:line="278" w:lineRule="auto" w:before="43" w:after="0"/>
        <w:ind w:left="1040" w:right="495" w:hanging="721"/>
        <w:jc w:val="left"/>
        <w:rPr>
          <w:sz w:val="21"/>
        </w:rPr>
      </w:pPr>
      <w:r>
        <w:rPr>
          <w:spacing w:val="-2"/>
          <w:sz w:val="21"/>
        </w:rPr>
        <w:t>所能提供的与确认保险事故的性质、原因、经过等有关的其他证明和资</w:t>
      </w:r>
      <w:r>
        <w:rPr>
          <w:spacing w:val="-6"/>
          <w:sz w:val="21"/>
        </w:rPr>
        <w:t>料。</w:t>
      </w:r>
    </w:p>
    <w:p>
      <w:pPr>
        <w:pStyle w:val="BodyText"/>
        <w:spacing w:line="278" w:lineRule="auto" w:before="156"/>
        <w:ind w:left="319" w:right="495"/>
      </w:pPr>
      <w:r>
        <w:rPr>
          <w:spacing w:val="-9"/>
        </w:rPr>
        <w:t>保险金作为被保险人遗产时，除上述证明和资料外，被保险人的继承人还必须提</w:t>
      </w:r>
      <w:r>
        <w:rPr>
          <w:spacing w:val="-2"/>
        </w:rPr>
        <w:t>供可证明合法继承权的相关权利文件。</w:t>
      </w:r>
    </w:p>
    <w:p>
      <w:pPr>
        <w:spacing w:after="0" w:line="278" w:lineRule="auto"/>
        <w:sectPr>
          <w:type w:val="continuous"/>
          <w:pgSz w:w="11910" w:h="16840"/>
          <w:pgMar w:header="0" w:footer="458" w:top="620" w:bottom="280" w:left="800" w:right="660"/>
          <w:cols w:num="2" w:equalWidth="0">
            <w:col w:w="2340" w:space="40"/>
            <w:col w:w="8070"/>
          </w:cols>
        </w:sectPr>
      </w:pPr>
    </w:p>
    <w:p>
      <w:pPr>
        <w:spacing w:line="194" w:lineRule="auto" w:before="141"/>
        <w:ind w:left="1072" w:right="0" w:firstLine="0"/>
        <w:jc w:val="left"/>
        <w:rPr>
          <w:rFonts w:ascii="微软雅黑" w:eastAsia="微软雅黑"/>
          <w:b/>
          <w:sz w:val="21"/>
        </w:rPr>
      </w:pPr>
      <w:r>
        <w:rPr>
          <w:rFonts w:ascii="微软雅黑" w:eastAsia="微软雅黑"/>
          <w:b/>
          <w:spacing w:val="-2"/>
          <w:sz w:val="21"/>
        </w:rPr>
        <w:t>全残保险金申</w:t>
      </w:r>
      <w:r>
        <w:rPr>
          <w:rFonts w:ascii="微软雅黑" w:eastAsia="微软雅黑"/>
          <w:b/>
          <w:spacing w:val="-10"/>
          <w:sz w:val="21"/>
        </w:rPr>
        <w:t>请</w:t>
      </w:r>
    </w:p>
    <w:p>
      <w:pPr>
        <w:pStyle w:val="BodyText"/>
        <w:spacing w:line="278" w:lineRule="auto" w:before="156"/>
        <w:ind w:left="319" w:right="495"/>
      </w:pPr>
      <w:r>
        <w:rPr/>
        <w:br w:type="column"/>
      </w:r>
      <w:r>
        <w:rPr>
          <w:spacing w:val="-7"/>
        </w:rPr>
        <w:t>由全残保险金受益人作为申请人填写保险金给付申请书，并须提供下列证明和资</w:t>
      </w:r>
      <w:r>
        <w:rPr>
          <w:spacing w:val="-6"/>
        </w:rPr>
        <w:t>料：</w:t>
      </w:r>
    </w:p>
    <w:p>
      <w:pPr>
        <w:pStyle w:val="ListParagraph"/>
        <w:numPr>
          <w:ilvl w:val="0"/>
          <w:numId w:val="17"/>
        </w:numPr>
        <w:tabs>
          <w:tab w:pos="1041" w:val="left" w:leader="none"/>
        </w:tabs>
        <w:spacing w:line="269" w:lineRule="exact" w:before="0" w:after="0"/>
        <w:ind w:left="1040" w:right="0" w:hanging="722"/>
        <w:jc w:val="left"/>
        <w:rPr>
          <w:sz w:val="21"/>
        </w:rPr>
      </w:pPr>
      <w:r>
        <w:rPr>
          <w:spacing w:val="-4"/>
          <w:sz w:val="21"/>
        </w:rPr>
        <w:t>保险合同；</w:t>
      </w:r>
    </w:p>
    <w:p>
      <w:pPr>
        <w:pStyle w:val="ListParagraph"/>
        <w:numPr>
          <w:ilvl w:val="0"/>
          <w:numId w:val="17"/>
        </w:numPr>
        <w:tabs>
          <w:tab w:pos="1041" w:val="left" w:leader="none"/>
        </w:tabs>
        <w:spacing w:line="240" w:lineRule="auto" w:before="43" w:after="0"/>
        <w:ind w:left="1040" w:right="0" w:hanging="722"/>
        <w:jc w:val="left"/>
        <w:rPr>
          <w:sz w:val="21"/>
        </w:rPr>
      </w:pPr>
      <w:r>
        <w:rPr>
          <w:spacing w:val="-3"/>
          <w:sz w:val="21"/>
        </w:rPr>
        <w:t>受益人的有效法定身份证明；</w:t>
      </w:r>
    </w:p>
    <w:p>
      <w:pPr>
        <w:pStyle w:val="ListParagraph"/>
        <w:numPr>
          <w:ilvl w:val="0"/>
          <w:numId w:val="17"/>
        </w:numPr>
        <w:tabs>
          <w:tab w:pos="1041" w:val="left" w:leader="none"/>
        </w:tabs>
        <w:spacing w:line="278" w:lineRule="auto" w:before="43" w:after="0"/>
        <w:ind w:left="1040" w:right="495" w:hanging="721"/>
        <w:jc w:val="left"/>
        <w:rPr>
          <w:sz w:val="21"/>
        </w:rPr>
      </w:pPr>
      <w:r>
        <w:rPr>
          <w:spacing w:val="-2"/>
          <w:sz w:val="21"/>
        </w:rPr>
        <w:t>国家有关机构认可或具有合法资质的伤残鉴定机构出具的被保险人全残</w:t>
      </w:r>
      <w:r>
        <w:rPr>
          <w:spacing w:val="-4"/>
          <w:sz w:val="21"/>
        </w:rPr>
        <w:t>鉴定书；</w:t>
      </w:r>
    </w:p>
    <w:p>
      <w:pPr>
        <w:pStyle w:val="ListParagraph"/>
        <w:numPr>
          <w:ilvl w:val="0"/>
          <w:numId w:val="17"/>
        </w:numPr>
        <w:tabs>
          <w:tab w:pos="1041" w:val="left" w:leader="none"/>
        </w:tabs>
        <w:spacing w:line="278" w:lineRule="auto" w:before="0" w:after="0"/>
        <w:ind w:left="1040" w:right="495" w:hanging="721"/>
        <w:jc w:val="left"/>
        <w:rPr>
          <w:sz w:val="21"/>
        </w:rPr>
      </w:pPr>
      <w:r>
        <w:rPr>
          <w:spacing w:val="-2"/>
          <w:sz w:val="21"/>
        </w:rPr>
        <w:t>所能提供的与确认保险事故的性质、原因、经过等有关的其他证明和资</w:t>
      </w:r>
      <w:r>
        <w:rPr>
          <w:spacing w:val="-6"/>
          <w:sz w:val="21"/>
        </w:rPr>
        <w:t>料。</w:t>
      </w:r>
    </w:p>
    <w:p>
      <w:pPr>
        <w:spacing w:after="0" w:line="278" w:lineRule="auto"/>
        <w:jc w:val="left"/>
        <w:rPr>
          <w:sz w:val="21"/>
        </w:rPr>
        <w:sectPr>
          <w:type w:val="continuous"/>
          <w:pgSz w:w="11910" w:h="16840"/>
          <w:pgMar w:header="0" w:footer="458" w:top="620" w:bottom="280" w:left="800" w:right="660"/>
          <w:cols w:num="2" w:equalWidth="0">
            <w:col w:w="2340" w:space="40"/>
            <w:col w:w="8070"/>
          </w:cols>
        </w:sectPr>
      </w:pPr>
    </w:p>
    <w:p>
      <w:pPr>
        <w:spacing w:line="194" w:lineRule="auto" w:before="141"/>
        <w:ind w:left="1072" w:right="0" w:firstLine="0"/>
        <w:jc w:val="both"/>
        <w:rPr>
          <w:rFonts w:ascii="微软雅黑" w:eastAsia="微软雅黑"/>
          <w:b/>
          <w:sz w:val="21"/>
        </w:rPr>
      </w:pPr>
      <w:r>
        <w:rPr>
          <w:rFonts w:ascii="微软雅黑" w:eastAsia="微软雅黑"/>
          <w:b/>
          <w:spacing w:val="-2"/>
          <w:sz w:val="21"/>
        </w:rPr>
        <w:t>被保险人中度</w:t>
      </w:r>
      <w:r>
        <w:rPr>
          <w:rFonts w:ascii="微软雅黑" w:eastAsia="微软雅黑"/>
          <w:b/>
          <w:spacing w:val="-2"/>
          <w:sz w:val="21"/>
        </w:rPr>
        <w:t>疾病或重度疾</w:t>
      </w:r>
      <w:r>
        <w:rPr>
          <w:rFonts w:ascii="微软雅黑" w:eastAsia="微软雅黑"/>
          <w:b/>
          <w:spacing w:val="-2"/>
          <w:sz w:val="21"/>
        </w:rPr>
        <w:t>病豁免保险费</w:t>
      </w:r>
      <w:r>
        <w:rPr>
          <w:rFonts w:ascii="微软雅黑" w:eastAsia="微软雅黑"/>
          <w:b/>
          <w:spacing w:val="-4"/>
          <w:sz w:val="21"/>
        </w:rPr>
        <w:t>的申请</w:t>
      </w:r>
    </w:p>
    <w:p>
      <w:pPr>
        <w:pStyle w:val="BodyText"/>
        <w:spacing w:before="155"/>
        <w:ind w:left="319"/>
      </w:pPr>
      <w:r>
        <w:rPr/>
        <w:br w:type="column"/>
      </w:r>
      <w:r>
        <w:rPr>
          <w:spacing w:val="-3"/>
        </w:rPr>
        <w:t>由相应受益人作为申请人书面提出豁免保险费申请，并提供下列证明和资料：</w:t>
      </w:r>
    </w:p>
    <w:p>
      <w:pPr>
        <w:pStyle w:val="ListParagraph"/>
        <w:numPr>
          <w:ilvl w:val="0"/>
          <w:numId w:val="18"/>
        </w:numPr>
        <w:tabs>
          <w:tab w:pos="1041" w:val="left" w:leader="none"/>
        </w:tabs>
        <w:spacing w:line="240" w:lineRule="auto" w:before="43" w:after="0"/>
        <w:ind w:left="1040" w:right="0" w:hanging="722"/>
        <w:jc w:val="left"/>
        <w:rPr>
          <w:sz w:val="21"/>
        </w:rPr>
      </w:pPr>
      <w:r>
        <w:rPr>
          <w:spacing w:val="-4"/>
          <w:sz w:val="21"/>
        </w:rPr>
        <w:t>保险合同；</w:t>
      </w:r>
    </w:p>
    <w:p>
      <w:pPr>
        <w:pStyle w:val="ListParagraph"/>
        <w:numPr>
          <w:ilvl w:val="0"/>
          <w:numId w:val="18"/>
        </w:numPr>
        <w:tabs>
          <w:tab w:pos="1041" w:val="left" w:leader="none"/>
        </w:tabs>
        <w:spacing w:line="240" w:lineRule="auto" w:before="43" w:after="0"/>
        <w:ind w:left="1040" w:right="0" w:hanging="722"/>
        <w:jc w:val="left"/>
        <w:rPr>
          <w:sz w:val="21"/>
        </w:rPr>
      </w:pPr>
      <w:r>
        <w:rPr>
          <w:spacing w:val="-3"/>
          <w:sz w:val="21"/>
        </w:rPr>
        <w:t>受益人的有效法定身份证明；</w:t>
      </w:r>
    </w:p>
    <w:p>
      <w:pPr>
        <w:pStyle w:val="ListParagraph"/>
        <w:numPr>
          <w:ilvl w:val="0"/>
          <w:numId w:val="18"/>
        </w:numPr>
        <w:tabs>
          <w:tab w:pos="1041" w:val="left" w:leader="none"/>
        </w:tabs>
        <w:spacing w:line="278" w:lineRule="auto" w:before="43" w:after="0"/>
        <w:ind w:left="1040" w:right="495" w:hanging="721"/>
        <w:jc w:val="left"/>
        <w:rPr>
          <w:sz w:val="21"/>
        </w:rPr>
      </w:pPr>
      <w:r>
        <w:rPr>
          <w:spacing w:val="-2"/>
          <w:sz w:val="21"/>
        </w:rPr>
        <w:t>由医院出具的附有病历、必要病理检验、血液检验及其他科学方法检验</w:t>
      </w:r>
      <w:r>
        <w:rPr>
          <w:spacing w:val="-2"/>
          <w:sz w:val="21"/>
        </w:rPr>
        <w:t>报告的疾病诊断书；</w:t>
      </w:r>
    </w:p>
    <w:p>
      <w:pPr>
        <w:pStyle w:val="ListParagraph"/>
        <w:numPr>
          <w:ilvl w:val="0"/>
          <w:numId w:val="18"/>
        </w:numPr>
        <w:tabs>
          <w:tab w:pos="1041" w:val="left" w:leader="none"/>
        </w:tabs>
        <w:spacing w:line="278" w:lineRule="auto" w:before="0" w:after="0"/>
        <w:ind w:left="1040" w:right="495" w:hanging="721"/>
        <w:jc w:val="left"/>
        <w:rPr>
          <w:sz w:val="21"/>
        </w:rPr>
      </w:pPr>
      <w:r>
        <w:rPr>
          <w:spacing w:val="-2"/>
          <w:sz w:val="21"/>
        </w:rPr>
        <w:t>所能提供的与确认保险事故的性质、原因、经过等有关的其他证明和资</w:t>
      </w:r>
      <w:r>
        <w:rPr>
          <w:spacing w:val="-6"/>
          <w:sz w:val="21"/>
        </w:rPr>
        <w:t>料。</w:t>
      </w:r>
    </w:p>
    <w:p>
      <w:pPr>
        <w:spacing w:after="0" w:line="278" w:lineRule="auto"/>
        <w:jc w:val="left"/>
        <w:rPr>
          <w:sz w:val="21"/>
        </w:rPr>
        <w:sectPr>
          <w:type w:val="continuous"/>
          <w:pgSz w:w="11910" w:h="16840"/>
          <w:pgMar w:header="0" w:footer="458" w:top="620" w:bottom="280" w:left="800" w:right="660"/>
          <w:cols w:num="2" w:equalWidth="0">
            <w:col w:w="2340" w:space="40"/>
            <w:col w:w="8070"/>
          </w:cols>
        </w:sectPr>
      </w:pPr>
    </w:p>
    <w:p>
      <w:pPr>
        <w:spacing w:line="194" w:lineRule="auto" w:before="142"/>
        <w:ind w:left="1072" w:right="0" w:firstLine="0"/>
        <w:jc w:val="left"/>
        <w:rPr>
          <w:rFonts w:ascii="微软雅黑" w:eastAsia="微软雅黑"/>
          <w:b/>
          <w:sz w:val="21"/>
        </w:rPr>
      </w:pPr>
      <w:r>
        <w:rPr>
          <w:rFonts w:ascii="微软雅黑" w:eastAsia="微软雅黑"/>
          <w:b/>
          <w:spacing w:val="-2"/>
          <w:sz w:val="21"/>
        </w:rPr>
        <w:t>投保人中度疾</w:t>
      </w:r>
      <w:r>
        <w:rPr>
          <w:rFonts w:ascii="微软雅黑" w:eastAsia="微软雅黑"/>
          <w:b/>
          <w:spacing w:val="-13"/>
          <w:sz w:val="21"/>
        </w:rPr>
        <w:t>病、重度疾病或</w:t>
      </w:r>
      <w:r>
        <w:rPr>
          <w:rFonts w:ascii="微软雅黑" w:eastAsia="微软雅黑"/>
          <w:b/>
          <w:spacing w:val="-2"/>
          <w:sz w:val="21"/>
        </w:rPr>
        <w:t>疾病终末期豁</w:t>
      </w:r>
      <w:r>
        <w:rPr>
          <w:rFonts w:ascii="微软雅黑" w:eastAsia="微软雅黑"/>
          <w:b/>
          <w:spacing w:val="-2"/>
          <w:sz w:val="21"/>
        </w:rPr>
        <w:t>免保险费的申</w:t>
      </w:r>
      <w:r>
        <w:rPr>
          <w:rFonts w:ascii="微软雅黑" w:eastAsia="微软雅黑"/>
          <w:b/>
          <w:spacing w:val="-10"/>
          <w:sz w:val="21"/>
        </w:rPr>
        <w:t>请</w:t>
      </w:r>
    </w:p>
    <w:p>
      <w:pPr>
        <w:pStyle w:val="BodyText"/>
        <w:spacing w:before="156"/>
        <w:ind w:left="173"/>
      </w:pPr>
      <w:r>
        <w:rPr/>
        <w:br w:type="column"/>
      </w:r>
      <w:r>
        <w:rPr>
          <w:spacing w:val="-3"/>
        </w:rPr>
        <w:t>由相应受益人作为申请人书面提出豁免保险费申请，并提供下列证明和资料：</w:t>
      </w:r>
    </w:p>
    <w:p>
      <w:pPr>
        <w:pStyle w:val="ListParagraph"/>
        <w:numPr>
          <w:ilvl w:val="0"/>
          <w:numId w:val="19"/>
        </w:numPr>
        <w:tabs>
          <w:tab w:pos="895" w:val="left" w:leader="none"/>
        </w:tabs>
        <w:spacing w:line="240" w:lineRule="auto" w:before="43" w:after="0"/>
        <w:ind w:left="894" w:right="0" w:hanging="722"/>
        <w:jc w:val="left"/>
        <w:rPr>
          <w:sz w:val="21"/>
        </w:rPr>
      </w:pPr>
      <w:r>
        <w:rPr>
          <w:spacing w:val="-4"/>
          <w:sz w:val="21"/>
        </w:rPr>
        <w:t>保险合同；</w:t>
      </w:r>
    </w:p>
    <w:p>
      <w:pPr>
        <w:pStyle w:val="ListParagraph"/>
        <w:numPr>
          <w:ilvl w:val="0"/>
          <w:numId w:val="19"/>
        </w:numPr>
        <w:tabs>
          <w:tab w:pos="895" w:val="left" w:leader="none"/>
        </w:tabs>
        <w:spacing w:line="240" w:lineRule="auto" w:before="43" w:after="0"/>
        <w:ind w:left="894" w:right="0" w:hanging="722"/>
        <w:jc w:val="left"/>
        <w:rPr>
          <w:sz w:val="21"/>
        </w:rPr>
      </w:pPr>
      <w:r>
        <w:rPr>
          <w:spacing w:val="-3"/>
          <w:sz w:val="21"/>
        </w:rPr>
        <w:t>受益人的有效法定身份证明；</w:t>
      </w:r>
    </w:p>
    <w:p>
      <w:pPr>
        <w:pStyle w:val="ListParagraph"/>
        <w:numPr>
          <w:ilvl w:val="0"/>
          <w:numId w:val="19"/>
        </w:numPr>
        <w:tabs>
          <w:tab w:pos="895" w:val="left" w:leader="none"/>
        </w:tabs>
        <w:spacing w:line="278" w:lineRule="auto" w:before="43" w:after="0"/>
        <w:ind w:left="894" w:right="495" w:hanging="721"/>
        <w:jc w:val="left"/>
        <w:rPr>
          <w:sz w:val="21"/>
        </w:rPr>
      </w:pPr>
      <w:r>
        <w:rPr>
          <w:spacing w:val="-2"/>
          <w:sz w:val="21"/>
        </w:rPr>
        <w:t>由医院出具的附有病历、必要病理检验、血液检验及其他科学方法检验</w:t>
      </w:r>
      <w:r>
        <w:rPr>
          <w:spacing w:val="-2"/>
          <w:sz w:val="21"/>
        </w:rPr>
        <w:t>报告的疾病诊断书；</w:t>
      </w:r>
    </w:p>
    <w:p>
      <w:pPr>
        <w:pStyle w:val="ListParagraph"/>
        <w:numPr>
          <w:ilvl w:val="0"/>
          <w:numId w:val="19"/>
        </w:numPr>
        <w:tabs>
          <w:tab w:pos="895" w:val="left" w:leader="none"/>
        </w:tabs>
        <w:spacing w:line="278" w:lineRule="auto" w:before="0" w:after="0"/>
        <w:ind w:left="894" w:right="495" w:hanging="721"/>
        <w:jc w:val="left"/>
        <w:rPr>
          <w:sz w:val="21"/>
        </w:rPr>
      </w:pPr>
      <w:r>
        <w:rPr>
          <w:spacing w:val="-2"/>
          <w:sz w:val="21"/>
        </w:rPr>
        <w:t>所能提供的与确认保险事故的性质、原因、经过等有关的其他证明和资</w:t>
      </w:r>
      <w:r>
        <w:rPr>
          <w:spacing w:val="-6"/>
          <w:sz w:val="21"/>
        </w:rPr>
        <w:t>料。</w:t>
      </w:r>
    </w:p>
    <w:p>
      <w:pPr>
        <w:spacing w:after="0" w:line="278" w:lineRule="auto"/>
        <w:jc w:val="left"/>
        <w:rPr>
          <w:sz w:val="21"/>
        </w:rPr>
        <w:sectPr>
          <w:type w:val="continuous"/>
          <w:pgSz w:w="11910" w:h="16840"/>
          <w:pgMar w:header="0" w:footer="458" w:top="620" w:bottom="280" w:left="800" w:right="660"/>
          <w:cols w:num="2" w:equalWidth="0">
            <w:col w:w="2487" w:space="40"/>
            <w:col w:w="7923"/>
          </w:cols>
        </w:sectPr>
      </w:pPr>
    </w:p>
    <w:p>
      <w:pPr>
        <w:spacing w:line="194" w:lineRule="auto" w:before="28"/>
        <w:ind w:left="1072" w:right="0" w:firstLine="0"/>
        <w:jc w:val="both"/>
        <w:rPr>
          <w:rFonts w:ascii="微软雅黑" w:eastAsia="微软雅黑"/>
          <w:b/>
          <w:sz w:val="21"/>
        </w:rPr>
      </w:pPr>
      <w:r>
        <w:rPr>
          <w:rFonts w:ascii="微软雅黑" w:eastAsia="微软雅黑"/>
          <w:b/>
          <w:spacing w:val="-2"/>
          <w:sz w:val="21"/>
        </w:rPr>
        <w:t>投保人身故豁</w:t>
      </w:r>
      <w:r>
        <w:rPr>
          <w:rFonts w:ascii="微软雅黑" w:eastAsia="微软雅黑"/>
          <w:b/>
          <w:spacing w:val="-2"/>
          <w:sz w:val="21"/>
        </w:rPr>
        <w:t>免保险费的申</w:t>
      </w:r>
      <w:r>
        <w:rPr>
          <w:rFonts w:ascii="微软雅黑" w:eastAsia="微软雅黑"/>
          <w:b/>
          <w:spacing w:val="-10"/>
          <w:sz w:val="21"/>
        </w:rPr>
        <w:t>请</w:t>
      </w:r>
    </w:p>
    <w:p>
      <w:pPr>
        <w:pStyle w:val="BodyText"/>
        <w:ind w:left="319"/>
      </w:pPr>
      <w:r>
        <w:rPr/>
        <w:br w:type="column"/>
      </w:r>
      <w:r>
        <w:rPr>
          <w:spacing w:val="-3"/>
        </w:rPr>
        <w:t>由相应受益人作为申请人书面提出豁免保险费申请，并提供下列证明和资料：</w:t>
      </w:r>
    </w:p>
    <w:p>
      <w:pPr>
        <w:pStyle w:val="ListParagraph"/>
        <w:numPr>
          <w:ilvl w:val="1"/>
          <w:numId w:val="19"/>
        </w:numPr>
        <w:tabs>
          <w:tab w:pos="1041" w:val="left" w:leader="none"/>
        </w:tabs>
        <w:spacing w:line="240" w:lineRule="auto" w:before="43" w:after="0"/>
        <w:ind w:left="1040" w:right="0" w:hanging="722"/>
        <w:jc w:val="left"/>
        <w:rPr>
          <w:sz w:val="21"/>
        </w:rPr>
      </w:pPr>
      <w:r>
        <w:rPr>
          <w:spacing w:val="-4"/>
          <w:sz w:val="21"/>
        </w:rPr>
        <w:t>保险合同；</w:t>
      </w:r>
    </w:p>
    <w:p>
      <w:pPr>
        <w:pStyle w:val="ListParagraph"/>
        <w:numPr>
          <w:ilvl w:val="1"/>
          <w:numId w:val="19"/>
        </w:numPr>
        <w:tabs>
          <w:tab w:pos="1041" w:val="left" w:leader="none"/>
        </w:tabs>
        <w:spacing w:line="240" w:lineRule="auto" w:before="43" w:after="0"/>
        <w:ind w:left="1040" w:right="0" w:hanging="722"/>
        <w:jc w:val="left"/>
        <w:rPr>
          <w:sz w:val="21"/>
        </w:rPr>
      </w:pPr>
      <w:r>
        <w:rPr>
          <w:spacing w:val="-3"/>
          <w:sz w:val="21"/>
        </w:rPr>
        <w:t>受益人的有效法定身份证明；</w:t>
      </w:r>
    </w:p>
    <w:p>
      <w:pPr>
        <w:pStyle w:val="ListParagraph"/>
        <w:numPr>
          <w:ilvl w:val="1"/>
          <w:numId w:val="19"/>
        </w:numPr>
        <w:tabs>
          <w:tab w:pos="1041" w:val="left" w:leader="none"/>
        </w:tabs>
        <w:spacing w:line="278" w:lineRule="auto" w:before="43" w:after="0"/>
        <w:ind w:left="1040" w:right="495" w:hanging="721"/>
        <w:jc w:val="left"/>
        <w:rPr>
          <w:sz w:val="21"/>
        </w:rPr>
      </w:pPr>
      <w:r>
        <w:rPr>
          <w:spacing w:val="-2"/>
          <w:sz w:val="21"/>
        </w:rPr>
        <w:t>国务院卫生行政部门规定的医疗机构或其他有权机构出具的投保人死亡</w:t>
      </w:r>
      <w:r>
        <w:rPr>
          <w:spacing w:val="-4"/>
          <w:sz w:val="21"/>
        </w:rPr>
        <w:t>证明书；</w:t>
      </w:r>
    </w:p>
    <w:p>
      <w:pPr>
        <w:pStyle w:val="ListParagraph"/>
        <w:numPr>
          <w:ilvl w:val="1"/>
          <w:numId w:val="19"/>
        </w:numPr>
        <w:tabs>
          <w:tab w:pos="1041" w:val="left" w:leader="none"/>
        </w:tabs>
        <w:spacing w:line="269" w:lineRule="exact" w:before="0" w:after="0"/>
        <w:ind w:left="1040" w:right="0" w:hanging="722"/>
        <w:jc w:val="left"/>
        <w:rPr>
          <w:sz w:val="21"/>
        </w:rPr>
      </w:pPr>
      <w:r>
        <w:rPr>
          <w:spacing w:val="-11"/>
          <w:sz w:val="21"/>
        </w:rPr>
        <w:t>若投保人为宣告死亡，被保险人须提供人民法院出具的宣告死亡判决书；</w:t>
      </w:r>
    </w:p>
    <w:p>
      <w:pPr>
        <w:pStyle w:val="ListParagraph"/>
        <w:numPr>
          <w:ilvl w:val="1"/>
          <w:numId w:val="19"/>
        </w:numPr>
        <w:tabs>
          <w:tab w:pos="1041" w:val="left" w:leader="none"/>
        </w:tabs>
        <w:spacing w:line="278" w:lineRule="auto" w:before="43" w:after="0"/>
        <w:ind w:left="1040" w:right="495" w:hanging="721"/>
        <w:jc w:val="left"/>
        <w:rPr>
          <w:sz w:val="21"/>
        </w:rPr>
      </w:pPr>
      <w:r>
        <w:rPr>
          <w:spacing w:val="-2"/>
          <w:sz w:val="21"/>
        </w:rPr>
        <w:t>所能提供的与确认保险事故的性质、原因、经过等有关的其他证明和资</w:t>
      </w:r>
      <w:r>
        <w:rPr>
          <w:spacing w:val="-6"/>
          <w:sz w:val="21"/>
        </w:rPr>
        <w:t>料。</w:t>
      </w:r>
    </w:p>
    <w:p>
      <w:pPr>
        <w:spacing w:after="0" w:line="278" w:lineRule="auto"/>
        <w:jc w:val="left"/>
        <w:rPr>
          <w:sz w:val="21"/>
        </w:rPr>
        <w:sectPr>
          <w:pgSz w:w="11910" w:h="16840"/>
          <w:pgMar w:header="0" w:footer="458" w:top="1260" w:bottom="640" w:left="800" w:right="660"/>
          <w:cols w:num="2" w:equalWidth="0">
            <w:col w:w="2340" w:space="40"/>
            <w:col w:w="8070"/>
          </w:cols>
        </w:sectPr>
      </w:pPr>
    </w:p>
    <w:p>
      <w:pPr>
        <w:spacing w:line="194" w:lineRule="auto" w:before="141"/>
        <w:ind w:left="1072" w:right="0" w:firstLine="0"/>
        <w:jc w:val="both"/>
        <w:rPr>
          <w:rFonts w:ascii="微软雅黑" w:eastAsia="微软雅黑"/>
          <w:b/>
          <w:sz w:val="21"/>
        </w:rPr>
      </w:pPr>
      <w:r>
        <w:rPr>
          <w:rFonts w:ascii="微软雅黑" w:eastAsia="微软雅黑"/>
          <w:b/>
          <w:spacing w:val="-2"/>
          <w:sz w:val="21"/>
        </w:rPr>
        <w:t>投保人全残豁</w:t>
      </w:r>
      <w:r>
        <w:rPr>
          <w:rFonts w:ascii="微软雅黑" w:eastAsia="微软雅黑"/>
          <w:b/>
          <w:spacing w:val="-2"/>
          <w:sz w:val="21"/>
        </w:rPr>
        <w:t>免保险费的申</w:t>
      </w:r>
      <w:r>
        <w:rPr>
          <w:rFonts w:ascii="微软雅黑" w:eastAsia="微软雅黑"/>
          <w:b/>
          <w:spacing w:val="-10"/>
          <w:sz w:val="21"/>
        </w:rPr>
        <w:t>请</w:t>
      </w:r>
    </w:p>
    <w:p>
      <w:pPr>
        <w:pStyle w:val="BodyText"/>
        <w:spacing w:before="155"/>
        <w:ind w:left="319"/>
      </w:pPr>
      <w:r>
        <w:rPr/>
        <w:br w:type="column"/>
      </w:r>
      <w:r>
        <w:rPr>
          <w:spacing w:val="-3"/>
        </w:rPr>
        <w:t>由相应受益人作为申请人书面提出豁免保险费申请，并提供下列证明和资料：</w:t>
      </w:r>
    </w:p>
    <w:p>
      <w:pPr>
        <w:pStyle w:val="ListParagraph"/>
        <w:numPr>
          <w:ilvl w:val="0"/>
          <w:numId w:val="20"/>
        </w:numPr>
        <w:tabs>
          <w:tab w:pos="1041" w:val="left" w:leader="none"/>
        </w:tabs>
        <w:spacing w:line="240" w:lineRule="auto" w:before="43" w:after="0"/>
        <w:ind w:left="1040" w:right="0" w:hanging="722"/>
        <w:jc w:val="left"/>
        <w:rPr>
          <w:sz w:val="21"/>
        </w:rPr>
      </w:pPr>
      <w:r>
        <w:rPr>
          <w:spacing w:val="-4"/>
          <w:sz w:val="21"/>
        </w:rPr>
        <w:t>保险合同；</w:t>
      </w:r>
    </w:p>
    <w:p>
      <w:pPr>
        <w:pStyle w:val="ListParagraph"/>
        <w:numPr>
          <w:ilvl w:val="0"/>
          <w:numId w:val="20"/>
        </w:numPr>
        <w:tabs>
          <w:tab w:pos="1041" w:val="left" w:leader="none"/>
        </w:tabs>
        <w:spacing w:line="240" w:lineRule="auto" w:before="43" w:after="0"/>
        <w:ind w:left="1040" w:right="0" w:hanging="722"/>
        <w:jc w:val="left"/>
        <w:rPr>
          <w:sz w:val="21"/>
        </w:rPr>
      </w:pPr>
      <w:r>
        <w:rPr>
          <w:spacing w:val="-3"/>
          <w:sz w:val="21"/>
        </w:rPr>
        <w:t>受益人的有效法定身份证明；</w:t>
      </w:r>
    </w:p>
    <w:p>
      <w:pPr>
        <w:pStyle w:val="ListParagraph"/>
        <w:numPr>
          <w:ilvl w:val="0"/>
          <w:numId w:val="20"/>
        </w:numPr>
        <w:tabs>
          <w:tab w:pos="1041" w:val="left" w:leader="none"/>
        </w:tabs>
        <w:spacing w:line="278" w:lineRule="auto" w:before="43" w:after="0"/>
        <w:ind w:left="1040" w:right="495" w:hanging="721"/>
        <w:jc w:val="left"/>
        <w:rPr>
          <w:sz w:val="21"/>
        </w:rPr>
      </w:pPr>
      <w:r>
        <w:rPr>
          <w:spacing w:val="-2"/>
          <w:sz w:val="21"/>
        </w:rPr>
        <w:t>国家有关机构认可或具有合法资质的伤残鉴定机构出具的投保人全残鉴</w:t>
      </w:r>
      <w:r>
        <w:rPr>
          <w:spacing w:val="-4"/>
          <w:sz w:val="21"/>
        </w:rPr>
        <w:t>定书；</w:t>
      </w:r>
    </w:p>
    <w:p>
      <w:pPr>
        <w:pStyle w:val="ListParagraph"/>
        <w:numPr>
          <w:ilvl w:val="0"/>
          <w:numId w:val="20"/>
        </w:numPr>
        <w:tabs>
          <w:tab w:pos="1041" w:val="left" w:leader="none"/>
        </w:tabs>
        <w:spacing w:line="278" w:lineRule="auto" w:before="1" w:after="0"/>
        <w:ind w:left="1040" w:right="495" w:hanging="721"/>
        <w:jc w:val="left"/>
        <w:rPr>
          <w:sz w:val="21"/>
        </w:rPr>
      </w:pPr>
      <w:r>
        <w:rPr>
          <w:spacing w:val="-2"/>
          <w:sz w:val="21"/>
        </w:rPr>
        <w:t>所能提供的与确认保险事故的性质、原因、经过等有关的其他证明和资</w:t>
      </w:r>
      <w:r>
        <w:rPr>
          <w:spacing w:val="-6"/>
          <w:sz w:val="21"/>
        </w:rPr>
        <w:t>料。</w:t>
      </w:r>
    </w:p>
    <w:p>
      <w:pPr>
        <w:spacing w:after="0" w:line="278" w:lineRule="auto"/>
        <w:jc w:val="left"/>
        <w:rPr>
          <w:sz w:val="21"/>
        </w:rPr>
        <w:sectPr>
          <w:type w:val="continuous"/>
          <w:pgSz w:w="11910" w:h="16840"/>
          <w:pgMar w:header="0" w:footer="458" w:top="620" w:bottom="280" w:left="800" w:right="660"/>
          <w:cols w:num="2" w:equalWidth="0">
            <w:col w:w="2340" w:space="40"/>
            <w:col w:w="8070"/>
          </w:cols>
        </w:sectPr>
      </w:pPr>
    </w:p>
    <w:p>
      <w:pPr>
        <w:spacing w:line="194" w:lineRule="auto" w:before="141"/>
        <w:ind w:left="1072" w:right="0" w:firstLine="0"/>
        <w:jc w:val="left"/>
        <w:rPr>
          <w:rFonts w:ascii="微软雅黑" w:eastAsia="微软雅黑"/>
          <w:b/>
          <w:sz w:val="21"/>
        </w:rPr>
      </w:pPr>
      <w:r>
        <w:rPr>
          <w:rFonts w:ascii="微软雅黑" w:eastAsia="微软雅黑"/>
          <w:b/>
          <w:spacing w:val="-2"/>
          <w:sz w:val="21"/>
        </w:rPr>
        <w:t>委托他人代为</w:t>
      </w:r>
      <w:r>
        <w:rPr>
          <w:rFonts w:ascii="微软雅黑" w:eastAsia="微软雅黑"/>
          <w:b/>
          <w:spacing w:val="-2"/>
          <w:sz w:val="21"/>
        </w:rPr>
        <w:t>申请保险金</w:t>
      </w:r>
    </w:p>
    <w:p>
      <w:pPr>
        <w:pStyle w:val="BodyText"/>
        <w:spacing w:line="278" w:lineRule="auto" w:before="155"/>
        <w:ind w:left="319" w:right="358"/>
        <w:jc w:val="both"/>
      </w:pPr>
      <w:r>
        <w:rPr/>
        <w:br w:type="column"/>
      </w:r>
      <w:r>
        <w:rPr>
          <w:spacing w:val="-2"/>
        </w:rPr>
        <w:t>若委托他人代为申请，除上述证明和资料外，还须提供相关保险金受益人的授权</w:t>
      </w:r>
      <w:r>
        <w:rPr>
          <w:spacing w:val="-2"/>
        </w:rPr>
        <w:t>委托书、受托人有效身份证件等相关证明文件。受益人或继承人为限制民事行为</w:t>
      </w:r>
      <w:r>
        <w:rPr>
          <w:spacing w:val="-2"/>
        </w:rPr>
        <w:t>能力人或无民事行为能力人时，由其合法监护人代其申请领取保险金，其合法监</w:t>
      </w:r>
      <w:r>
        <w:rPr>
          <w:spacing w:val="-2"/>
        </w:rPr>
        <w:t>护人还必须提供受益人或继承人为限制民事行为能力人或无民事行为能力人的证</w:t>
      </w:r>
      <w:r>
        <w:rPr>
          <w:spacing w:val="-2"/>
        </w:rPr>
        <w:t>明和监护人具有合法监护权的证明。</w:t>
      </w:r>
    </w:p>
    <w:p>
      <w:pPr>
        <w:spacing w:after="0" w:line="278" w:lineRule="auto"/>
        <w:jc w:val="both"/>
        <w:sectPr>
          <w:type w:val="continuous"/>
          <w:pgSz w:w="11910" w:h="16840"/>
          <w:pgMar w:header="0" w:footer="458" w:top="620" w:bottom="280" w:left="800" w:right="660"/>
          <w:cols w:num="2" w:equalWidth="0">
            <w:col w:w="2340" w:space="40"/>
            <w:col w:w="8070"/>
          </w:cols>
        </w:sectPr>
      </w:pPr>
    </w:p>
    <w:p>
      <w:pPr>
        <w:pStyle w:val="BodyText"/>
        <w:tabs>
          <w:tab w:pos="2699" w:val="left" w:leader="none"/>
        </w:tabs>
        <w:spacing w:line="235" w:lineRule="auto" w:before="109"/>
        <w:ind w:left="2699" w:right="358" w:hanging="1628"/>
      </w:pPr>
      <w:r>
        <w:rPr>
          <w:rFonts w:ascii="微软雅黑" w:eastAsia="微软雅黑"/>
          <w:b/>
          <w:spacing w:val="-4"/>
        </w:rPr>
        <w:t>补</w:t>
      </w:r>
      <w:r>
        <w:rPr>
          <w:rFonts w:ascii="微软雅黑" w:eastAsia="微软雅黑"/>
          <w:b/>
          <w:spacing w:val="-4"/>
        </w:rPr>
        <w:t>充</w:t>
      </w:r>
      <w:r>
        <w:rPr>
          <w:rFonts w:ascii="微软雅黑" w:eastAsia="微软雅黑"/>
          <w:b/>
          <w:spacing w:val="-4"/>
        </w:rPr>
        <w:t>通</w:t>
      </w:r>
      <w:r>
        <w:rPr>
          <w:rFonts w:ascii="微软雅黑" w:eastAsia="微软雅黑"/>
          <w:b/>
          <w:spacing w:val="-4"/>
        </w:rPr>
        <w:t>知</w:t>
      </w:r>
      <w:r>
        <w:rPr>
          <w:rFonts w:ascii="微软雅黑" w:eastAsia="微软雅黑"/>
          <w:b/>
        </w:rPr>
        <w:tab/>
      </w:r>
      <w:r>
        <w:rPr>
          <w:spacing w:val="-2"/>
        </w:rPr>
        <w:t>以</w:t>
      </w:r>
      <w:r>
        <w:rPr>
          <w:spacing w:val="-2"/>
        </w:rPr>
        <w:t>上</w:t>
      </w:r>
      <w:r>
        <w:rPr>
          <w:spacing w:val="-2"/>
        </w:rPr>
        <w:t>证</w:t>
      </w:r>
      <w:r>
        <w:rPr>
          <w:spacing w:val="-2"/>
        </w:rPr>
        <w:t>明</w:t>
      </w:r>
      <w:r>
        <w:rPr>
          <w:spacing w:val="-2"/>
        </w:rPr>
        <w:t>和</w:t>
      </w:r>
      <w:r>
        <w:rPr>
          <w:spacing w:val="-2"/>
        </w:rPr>
        <w:t>资</w:t>
      </w:r>
      <w:r>
        <w:rPr>
          <w:spacing w:val="-2"/>
        </w:rPr>
        <w:t>料</w:t>
      </w:r>
      <w:r>
        <w:rPr>
          <w:spacing w:val="-2"/>
        </w:rPr>
        <w:t>不</w:t>
      </w:r>
      <w:r>
        <w:rPr>
          <w:spacing w:val="-2"/>
        </w:rPr>
        <w:t>完</w:t>
      </w:r>
      <w:r>
        <w:rPr>
          <w:spacing w:val="-2"/>
        </w:rPr>
        <w:t>整</w:t>
      </w:r>
      <w:r>
        <w:rPr>
          <w:spacing w:val="-2"/>
        </w:rPr>
        <w:t>的，</w:t>
      </w:r>
      <w:r>
        <w:rPr>
          <w:spacing w:val="-2"/>
        </w:rPr>
        <w:t>本</w:t>
      </w:r>
      <w:r>
        <w:rPr>
          <w:spacing w:val="-2"/>
        </w:rPr>
        <w:t>公</w:t>
      </w:r>
      <w:r>
        <w:rPr>
          <w:spacing w:val="-2"/>
        </w:rPr>
        <w:t>司</w:t>
      </w:r>
      <w:r>
        <w:rPr>
          <w:spacing w:val="-2"/>
        </w:rPr>
        <w:t>将</w:t>
      </w:r>
      <w:r>
        <w:rPr>
          <w:spacing w:val="-2"/>
        </w:rPr>
        <w:t>及</w:t>
      </w:r>
      <w:r>
        <w:rPr>
          <w:spacing w:val="-2"/>
        </w:rPr>
        <w:t>时</w:t>
      </w:r>
      <w:r>
        <w:rPr>
          <w:spacing w:val="-2"/>
        </w:rPr>
        <w:t>一</w:t>
      </w:r>
      <w:r>
        <w:rPr>
          <w:spacing w:val="-2"/>
        </w:rPr>
        <w:t>次</w:t>
      </w:r>
      <w:r>
        <w:rPr>
          <w:spacing w:val="-2"/>
        </w:rPr>
        <w:t>性</w:t>
      </w:r>
      <w:r>
        <w:rPr>
          <w:spacing w:val="-2"/>
        </w:rPr>
        <w:t>通</w:t>
      </w:r>
      <w:r>
        <w:rPr>
          <w:spacing w:val="-2"/>
        </w:rPr>
        <w:t>知</w:t>
      </w:r>
      <w:r>
        <w:rPr>
          <w:spacing w:val="-2"/>
        </w:rPr>
        <w:t>申</w:t>
      </w:r>
      <w:r>
        <w:rPr>
          <w:spacing w:val="-2"/>
        </w:rPr>
        <w:t>请</w:t>
      </w:r>
      <w:r>
        <w:rPr>
          <w:spacing w:val="-2"/>
        </w:rPr>
        <w:t>人</w:t>
      </w:r>
      <w:r>
        <w:rPr>
          <w:spacing w:val="-2"/>
        </w:rPr>
        <w:t>补</w:t>
      </w:r>
      <w:r>
        <w:rPr>
          <w:spacing w:val="-2"/>
        </w:rPr>
        <w:t>充</w:t>
      </w:r>
      <w:r>
        <w:rPr>
          <w:spacing w:val="-2"/>
        </w:rPr>
        <w:t>提</w:t>
      </w:r>
      <w:r>
        <w:rPr>
          <w:spacing w:val="-2"/>
        </w:rPr>
        <w:t>供</w:t>
      </w:r>
      <w:r>
        <w:rPr>
          <w:spacing w:val="-2"/>
        </w:rPr>
        <w:t>有</w:t>
      </w:r>
      <w:r>
        <w:rPr>
          <w:spacing w:val="-2"/>
        </w:rPr>
        <w:t>关</w:t>
      </w:r>
      <w:r>
        <w:rPr>
          <w:spacing w:val="-2"/>
        </w:rPr>
        <w:t>的证</w:t>
      </w:r>
      <w:r>
        <w:rPr>
          <w:spacing w:val="-2"/>
        </w:rPr>
        <w:t>明</w:t>
      </w:r>
      <w:r>
        <w:rPr>
          <w:spacing w:val="-4"/>
        </w:rPr>
        <w:t>和</w:t>
      </w:r>
      <w:r>
        <w:rPr>
          <w:spacing w:val="-4"/>
        </w:rPr>
        <w:t>资</w:t>
      </w:r>
      <w:r>
        <w:rPr>
          <w:spacing w:val="-4"/>
        </w:rPr>
        <w:t>料。</w:t>
      </w:r>
    </w:p>
    <w:p>
      <w:pPr>
        <w:pStyle w:val="BodyText"/>
        <w:spacing w:before="0"/>
        <w:rPr>
          <w:sz w:val="14"/>
        </w:rPr>
      </w:pPr>
    </w:p>
    <w:p>
      <w:pPr>
        <w:pStyle w:val="ListParagraph"/>
        <w:numPr>
          <w:ilvl w:val="1"/>
          <w:numId w:val="15"/>
        </w:numPr>
        <w:tabs>
          <w:tab w:pos="1073" w:val="left" w:leader="none"/>
        </w:tabs>
        <w:spacing w:line="235" w:lineRule="auto" w:before="0" w:after="0"/>
        <w:ind w:left="2699" w:right="353" w:hanging="2480"/>
        <w:jc w:val="both"/>
        <w:rPr>
          <w:sz w:val="21"/>
        </w:rPr>
      </w:pPr>
      <w:r>
        <w:rPr>
          <w:rFonts w:ascii="微软雅黑" w:eastAsia="微软雅黑"/>
          <w:b/>
          <w:spacing w:val="78"/>
          <w:sz w:val="21"/>
        </w:rPr>
        <w:t>保险金给付 </w:t>
      </w:r>
      <w:r>
        <w:rPr>
          <w:spacing w:val="-1"/>
          <w:sz w:val="21"/>
        </w:rPr>
        <w:t>本公司在收到保险金给付申请书及上述完整齐全的有关证明和资料后，将在 </w:t>
      </w:r>
      <w:r>
        <w:rPr>
          <w:sz w:val="21"/>
        </w:rPr>
        <w:t>5</w:t>
      </w:r>
      <w:r>
        <w:rPr>
          <w:spacing w:val="-13"/>
          <w:sz w:val="21"/>
        </w:rPr>
        <w:t> 日</w:t>
      </w:r>
      <w:r>
        <w:rPr>
          <w:spacing w:val="-6"/>
          <w:sz w:val="21"/>
        </w:rPr>
        <w:t>内作出核定；情形复杂的，在 </w:t>
      </w:r>
      <w:r>
        <w:rPr>
          <w:spacing w:val="-2"/>
          <w:sz w:val="21"/>
        </w:rPr>
        <w:t>30</w:t>
      </w:r>
      <w:r>
        <w:rPr>
          <w:spacing w:val="-10"/>
          <w:sz w:val="21"/>
        </w:rPr>
        <w:t> 日内作出核定。对属于保险责任的，本公司在与</w:t>
      </w:r>
    </w:p>
    <w:p>
      <w:pPr>
        <w:pStyle w:val="BodyText"/>
        <w:spacing w:line="278" w:lineRule="auto"/>
        <w:ind w:left="2699" w:right="353"/>
        <w:jc w:val="both"/>
      </w:pPr>
      <w:r>
        <w:rPr>
          <w:spacing w:val="-6"/>
        </w:rPr>
        <w:t>受益人达成给付保险金的协议后 </w:t>
      </w:r>
      <w:r>
        <w:rPr>
          <w:spacing w:val="-4"/>
        </w:rPr>
        <w:t>10</w:t>
      </w:r>
      <w:r>
        <w:rPr>
          <w:spacing w:val="-8"/>
        </w:rPr>
        <w:t> 日内，履行给付保险金义务。本公司未及时履</w:t>
      </w:r>
      <w:r>
        <w:rPr>
          <w:spacing w:val="-2"/>
        </w:rPr>
        <w:t>行前款规定义务的，除支付保险金外，应当赔偿受益人因此受到的损失。对不属</w:t>
      </w:r>
      <w:r>
        <w:rPr>
          <w:spacing w:val="-3"/>
        </w:rPr>
        <w:t>于保险责任的，本公司自作出核定之日起 </w:t>
      </w:r>
      <w:r>
        <w:rPr>
          <w:spacing w:val="-2"/>
        </w:rPr>
        <w:t>3</w:t>
      </w:r>
      <w:r>
        <w:rPr>
          <w:spacing w:val="-5"/>
        </w:rPr>
        <w:t> 日内向受益人发出拒绝给付保险金通</w:t>
      </w:r>
      <w:r>
        <w:rPr>
          <w:spacing w:val="-2"/>
        </w:rPr>
        <w:t>知书并说明理由。</w:t>
      </w:r>
    </w:p>
    <w:p>
      <w:pPr>
        <w:pStyle w:val="BodyText"/>
        <w:spacing w:line="278" w:lineRule="auto" w:before="156"/>
        <w:ind w:left="2699" w:right="358"/>
        <w:jc w:val="both"/>
      </w:pPr>
      <w:r>
        <w:rPr/>
        <w:t>本公司在收到保险金给付申请书及上述完整齐全的有关证明和资料之日起 60 日</w:t>
      </w:r>
      <w:r>
        <w:rPr>
          <w:spacing w:val="-2"/>
        </w:rPr>
        <w:t>内，对给付保险金的数额不能确定的，根据已有证明和资料，可以确定的数额先</w:t>
      </w:r>
      <w:r>
        <w:rPr>
          <w:spacing w:val="-2"/>
        </w:rPr>
        <w:t>予支付；本公司最终确定给付保险金的数额后，将支付相应的差额。</w:t>
      </w:r>
    </w:p>
    <w:p>
      <w:pPr>
        <w:spacing w:after="0" w:line="278" w:lineRule="auto"/>
        <w:jc w:val="both"/>
        <w:sectPr>
          <w:type w:val="continuous"/>
          <w:pgSz w:w="11910" w:h="16840"/>
          <w:pgMar w:header="0" w:footer="458" w:top="620" w:bottom="280" w:left="800" w:right="660"/>
        </w:sectPr>
      </w:pPr>
    </w:p>
    <w:p>
      <w:pPr>
        <w:pStyle w:val="ListParagraph"/>
        <w:numPr>
          <w:ilvl w:val="1"/>
          <w:numId w:val="15"/>
        </w:numPr>
        <w:tabs>
          <w:tab w:pos="1072" w:val="left" w:leader="none"/>
          <w:tab w:pos="1073" w:val="left" w:leader="none"/>
        </w:tabs>
        <w:spacing w:line="194" w:lineRule="auto" w:before="146" w:after="0"/>
        <w:ind w:left="1072" w:right="38" w:hanging="853"/>
        <w:jc w:val="left"/>
        <w:rPr>
          <w:rFonts w:ascii="微软雅黑" w:eastAsia="微软雅黑"/>
          <w:b/>
          <w:sz w:val="21"/>
        </w:rPr>
      </w:pPr>
      <w:r>
        <w:rPr>
          <w:rFonts w:ascii="微软雅黑" w:eastAsia="微软雅黑"/>
          <w:b/>
          <w:spacing w:val="-2"/>
          <w:sz w:val="21"/>
        </w:rPr>
        <w:t>保险金诉讼时</w:t>
      </w:r>
      <w:r>
        <w:rPr>
          <w:rFonts w:ascii="微软雅黑" w:eastAsia="微软雅黑"/>
          <w:b/>
          <w:spacing w:val="-10"/>
          <w:sz w:val="21"/>
        </w:rPr>
        <w:t>效</w:t>
      </w:r>
    </w:p>
    <w:p>
      <w:pPr>
        <w:pStyle w:val="BodyText"/>
        <w:spacing w:line="278" w:lineRule="auto" w:before="160"/>
        <w:ind w:left="220" w:right="359"/>
      </w:pPr>
      <w:r>
        <w:rPr/>
        <w:br w:type="column"/>
      </w:r>
      <w:r>
        <w:rPr>
          <w:spacing w:val="-2"/>
        </w:rPr>
        <w:t>人寿保险以外的其他保险的被保险人或者受益人，向保险人请求赔偿或者给付保</w:t>
      </w:r>
      <w:r>
        <w:rPr>
          <w:spacing w:val="-3"/>
        </w:rPr>
        <w:t>险金的诉讼时效期间为二年，自其知道或者应当知道保险事故发生之日起计算。</w:t>
      </w:r>
    </w:p>
    <w:p>
      <w:pPr>
        <w:pStyle w:val="BodyText"/>
        <w:spacing w:line="278" w:lineRule="auto" w:before="157"/>
        <w:ind w:left="220" w:right="368"/>
      </w:pPr>
      <w:r>
        <w:rPr>
          <w:spacing w:val="3"/>
          <w:w w:val="100"/>
        </w:rPr>
        <w:t>人寿保险的被保险人或者受益人向保险人请求给付保险金的诉讼时效期间为五</w:t>
      </w:r>
      <w:r>
        <w:rPr>
          <w:spacing w:val="-3"/>
          <w:w w:val="100"/>
        </w:rPr>
        <w:t>年，自其知道或者应当知道保险事故发生之日起计算。</w:t>
      </w:r>
    </w:p>
    <w:p>
      <w:pPr>
        <w:spacing w:after="0" w:line="278" w:lineRule="auto"/>
        <w:sectPr>
          <w:type w:val="continuous"/>
          <w:pgSz w:w="11910" w:h="16840"/>
          <w:pgMar w:header="0" w:footer="458" w:top="620" w:bottom="280" w:left="800" w:right="660"/>
          <w:cols w:num="2" w:equalWidth="0">
            <w:col w:w="2380" w:space="99"/>
            <w:col w:w="7971"/>
          </w:cols>
        </w:sectPr>
      </w:pPr>
    </w:p>
    <w:p>
      <w:pPr>
        <w:pStyle w:val="ListParagraph"/>
        <w:numPr>
          <w:ilvl w:val="1"/>
          <w:numId w:val="15"/>
        </w:numPr>
        <w:tabs>
          <w:tab w:pos="1072" w:val="left" w:leader="none"/>
          <w:tab w:pos="1073" w:val="left" w:leader="none"/>
          <w:tab w:pos="2699" w:val="left" w:leader="none"/>
        </w:tabs>
        <w:spacing w:line="235" w:lineRule="auto" w:before="101" w:after="0"/>
        <w:ind w:left="2699" w:right="387" w:hanging="2480"/>
        <w:jc w:val="left"/>
        <w:rPr>
          <w:sz w:val="21"/>
        </w:rPr>
      </w:pPr>
      <w:r>
        <w:rPr>
          <w:rFonts w:ascii="微软雅黑" w:eastAsia="微软雅黑"/>
          <w:b/>
          <w:spacing w:val="-2"/>
          <w:sz w:val="21"/>
        </w:rPr>
        <w:t>宣</w:t>
      </w:r>
      <w:r>
        <w:rPr>
          <w:rFonts w:ascii="微软雅黑" w:eastAsia="微软雅黑"/>
          <w:b/>
          <w:spacing w:val="-2"/>
          <w:sz w:val="21"/>
        </w:rPr>
        <w:t>告</w:t>
      </w:r>
      <w:r>
        <w:rPr>
          <w:rFonts w:ascii="微软雅黑" w:eastAsia="微软雅黑"/>
          <w:b/>
          <w:spacing w:val="-2"/>
          <w:sz w:val="21"/>
        </w:rPr>
        <w:t>死</w:t>
      </w:r>
      <w:r>
        <w:rPr>
          <w:rFonts w:ascii="微软雅黑" w:eastAsia="微软雅黑"/>
          <w:b/>
          <w:spacing w:val="-2"/>
          <w:sz w:val="21"/>
        </w:rPr>
        <w:t>亡</w:t>
      </w:r>
      <w:r>
        <w:rPr>
          <w:rFonts w:ascii="微软雅黑" w:eastAsia="微软雅黑"/>
          <w:b/>
          <w:spacing w:val="-2"/>
          <w:sz w:val="21"/>
        </w:rPr>
        <w:t>处</w:t>
      </w:r>
      <w:r>
        <w:rPr>
          <w:rFonts w:ascii="微软雅黑" w:eastAsia="微软雅黑"/>
          <w:b/>
          <w:spacing w:val="-2"/>
          <w:sz w:val="21"/>
        </w:rPr>
        <w:t>理</w:t>
      </w:r>
      <w:r>
        <w:rPr>
          <w:rFonts w:ascii="微软雅黑" w:eastAsia="微软雅黑"/>
          <w:b/>
          <w:sz w:val="21"/>
        </w:rPr>
        <w:tab/>
      </w:r>
      <w:r>
        <w:rPr>
          <w:spacing w:val="-2"/>
          <w:sz w:val="21"/>
        </w:rPr>
        <w:t>若</w:t>
      </w:r>
      <w:r>
        <w:rPr>
          <w:spacing w:val="-2"/>
          <w:sz w:val="21"/>
        </w:rPr>
        <w:t>被</w:t>
      </w:r>
      <w:r>
        <w:rPr>
          <w:spacing w:val="-2"/>
          <w:sz w:val="21"/>
        </w:rPr>
        <w:t>保险人在本合同有效</w:t>
      </w:r>
      <w:r>
        <w:rPr>
          <w:spacing w:val="-2"/>
          <w:sz w:val="21"/>
        </w:rPr>
        <w:t>期</w:t>
      </w:r>
      <w:r>
        <w:rPr>
          <w:spacing w:val="-2"/>
          <w:sz w:val="21"/>
        </w:rPr>
        <w:t>内</w:t>
      </w:r>
      <w:r>
        <w:rPr>
          <w:spacing w:val="-2"/>
          <w:sz w:val="21"/>
        </w:rPr>
        <w:t>下落不明，后经人民</w:t>
      </w:r>
      <w:r>
        <w:rPr>
          <w:spacing w:val="-2"/>
          <w:sz w:val="21"/>
        </w:rPr>
        <w:t>法</w:t>
      </w:r>
      <w:r>
        <w:rPr>
          <w:spacing w:val="-2"/>
          <w:sz w:val="21"/>
        </w:rPr>
        <w:t>院</w:t>
      </w:r>
      <w:r>
        <w:rPr>
          <w:spacing w:val="-2"/>
          <w:sz w:val="21"/>
        </w:rPr>
        <w:t>宣告死亡的，本公司</w:t>
      </w:r>
      <w:r>
        <w:rPr>
          <w:spacing w:val="-2"/>
          <w:sz w:val="21"/>
        </w:rPr>
        <w:t>以</w:t>
      </w:r>
      <w:r>
        <w:rPr>
          <w:spacing w:val="-2"/>
          <w:sz w:val="21"/>
        </w:rPr>
        <w:t>判</w:t>
      </w:r>
      <w:r>
        <w:rPr>
          <w:spacing w:val="-2"/>
          <w:sz w:val="21"/>
        </w:rPr>
        <w:t>决</w:t>
      </w:r>
      <w:r>
        <w:rPr>
          <w:spacing w:val="-2"/>
          <w:sz w:val="21"/>
        </w:rPr>
        <w:t>书</w:t>
      </w:r>
      <w:r>
        <w:rPr>
          <w:spacing w:val="-2"/>
          <w:sz w:val="21"/>
        </w:rPr>
        <w:t>作出之日为准视为被</w:t>
      </w:r>
      <w:r>
        <w:rPr>
          <w:spacing w:val="-2"/>
          <w:sz w:val="21"/>
        </w:rPr>
        <w:t>保</w:t>
      </w:r>
      <w:r>
        <w:rPr>
          <w:spacing w:val="-2"/>
          <w:sz w:val="21"/>
        </w:rPr>
        <w:t>险</w:t>
      </w:r>
      <w:r>
        <w:rPr>
          <w:spacing w:val="-2"/>
          <w:sz w:val="21"/>
        </w:rPr>
        <w:t>人的死亡日期，按本</w:t>
      </w:r>
      <w:r>
        <w:rPr>
          <w:spacing w:val="-2"/>
          <w:sz w:val="21"/>
        </w:rPr>
        <w:t>合</w:t>
      </w:r>
      <w:r>
        <w:rPr>
          <w:spacing w:val="-2"/>
          <w:sz w:val="21"/>
        </w:rPr>
        <w:t>同</w:t>
      </w:r>
      <w:r>
        <w:rPr>
          <w:spacing w:val="-2"/>
          <w:sz w:val="21"/>
        </w:rPr>
        <w:t>的约定给付身故保险</w:t>
      </w:r>
      <w:r>
        <w:rPr>
          <w:spacing w:val="-2"/>
          <w:sz w:val="21"/>
        </w:rPr>
        <w:t>金</w:t>
      </w:r>
      <w:r>
        <w:rPr>
          <w:spacing w:val="-2"/>
          <w:sz w:val="21"/>
        </w:rPr>
        <w:t>。</w:t>
      </w:r>
    </w:p>
    <w:p>
      <w:pPr>
        <w:pStyle w:val="BodyText"/>
        <w:spacing w:before="6"/>
        <w:rPr>
          <w:sz w:val="15"/>
        </w:rPr>
      </w:pPr>
    </w:p>
    <w:p>
      <w:pPr>
        <w:pStyle w:val="BodyText"/>
        <w:spacing w:line="278" w:lineRule="auto" w:before="1"/>
        <w:ind w:left="2699" w:right="356"/>
        <w:jc w:val="both"/>
      </w:pPr>
      <w:r>
        <w:rPr>
          <w:spacing w:val="-2"/>
        </w:rPr>
        <w:t>若被保险人在宣告死亡后生还，身故保险金受益人应于知道或应当知道被保险人</w:t>
      </w:r>
      <w:r>
        <w:rPr>
          <w:spacing w:val="-9"/>
        </w:rPr>
        <w:t>生还后 </w:t>
      </w:r>
      <w:r>
        <w:rPr>
          <w:spacing w:val="-4"/>
        </w:rPr>
        <w:t>30</w:t>
      </w:r>
      <w:r>
        <w:rPr>
          <w:spacing w:val="-8"/>
        </w:rPr>
        <w:t> 日内向本公司退还已给付的保险金。退还保险金后，本合同的效力由投</w:t>
      </w:r>
      <w:r>
        <w:rPr>
          <w:spacing w:val="-2"/>
        </w:rPr>
        <w:t>保人与本公司协商处理。</w:t>
      </w:r>
    </w:p>
    <w:p>
      <w:pPr>
        <w:spacing w:after="0" w:line="278" w:lineRule="auto"/>
        <w:jc w:val="both"/>
        <w:sectPr>
          <w:type w:val="continuous"/>
          <w:pgSz w:w="11910" w:h="16840"/>
          <w:pgMar w:header="0" w:footer="458" w:top="620" w:bottom="280" w:left="800" w:right="660"/>
        </w:sectPr>
      </w:pPr>
    </w:p>
    <w:p>
      <w:pPr>
        <w:pStyle w:val="Heading1"/>
        <w:numPr>
          <w:ilvl w:val="0"/>
          <w:numId w:val="5"/>
        </w:numPr>
        <w:tabs>
          <w:tab w:pos="1072" w:val="left" w:leader="none"/>
          <w:tab w:pos="1073" w:val="left" w:leader="none"/>
        </w:tabs>
        <w:spacing w:line="513" w:lineRule="exact" w:before="0" w:after="0"/>
        <w:ind w:left="1072" w:right="0" w:hanging="745"/>
        <w:jc w:val="left"/>
      </w:pPr>
      <w:r>
        <w:rPr/>
        <w:drawing>
          <wp:anchor distT="0" distB="0" distL="0" distR="0" allowOverlap="1" layoutInCell="1" locked="0" behindDoc="0" simplePos="0" relativeHeight="6">
            <wp:simplePos x="0" y="0"/>
            <wp:positionH relativeFrom="page">
              <wp:posOffset>579119</wp:posOffset>
            </wp:positionH>
            <wp:positionV relativeFrom="paragraph">
              <wp:posOffset>345693</wp:posOffset>
            </wp:positionV>
            <wp:extent cx="6401942" cy="6096"/>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401942" cy="6096"/>
                    </a:xfrm>
                    <a:prstGeom prst="rect">
                      <a:avLst/>
                    </a:prstGeom>
                  </pic:spPr>
                </pic:pic>
              </a:graphicData>
            </a:graphic>
          </wp:anchor>
        </w:drawing>
      </w:r>
      <w:r>
        <w:rPr>
          <w:spacing w:val="-2"/>
        </w:rPr>
        <w:t>如何交付保险费</w:t>
      </w:r>
    </w:p>
    <w:p>
      <w:pPr>
        <w:pStyle w:val="ListParagraph"/>
        <w:numPr>
          <w:ilvl w:val="1"/>
          <w:numId w:val="21"/>
        </w:numPr>
        <w:tabs>
          <w:tab w:pos="1073" w:val="left" w:leader="none"/>
        </w:tabs>
        <w:spacing w:line="312" w:lineRule="exact" w:before="132" w:after="0"/>
        <w:ind w:left="2699" w:right="353" w:hanging="2480"/>
        <w:jc w:val="both"/>
        <w:rPr>
          <w:sz w:val="21"/>
        </w:rPr>
      </w:pPr>
      <w:r>
        <w:rPr>
          <w:rFonts w:ascii="微软雅黑" w:eastAsia="微软雅黑"/>
          <w:b/>
          <w:spacing w:val="42"/>
          <w:position w:val="-2"/>
          <w:sz w:val="21"/>
        </w:rPr>
        <w:t>保险费的交付 </w:t>
      </w:r>
      <w:r>
        <w:rPr>
          <w:sz w:val="21"/>
        </w:rPr>
        <w:t>本合同的保险费采取一次性交付、分期交付两种方式，可选择的分期交付期限为 </w:t>
      </w:r>
      <w:r>
        <w:rPr>
          <w:spacing w:val="-2"/>
          <w:sz w:val="21"/>
        </w:rPr>
        <w:t>5</w:t>
      </w:r>
      <w:r>
        <w:rPr>
          <w:spacing w:val="-10"/>
          <w:sz w:val="21"/>
        </w:rPr>
        <w:t> 年、</w:t>
      </w:r>
      <w:r>
        <w:rPr>
          <w:spacing w:val="-2"/>
          <w:sz w:val="21"/>
        </w:rPr>
        <w:t>10</w:t>
      </w:r>
      <w:r>
        <w:rPr>
          <w:spacing w:val="-10"/>
          <w:sz w:val="21"/>
        </w:rPr>
        <w:t> 年、</w:t>
      </w:r>
      <w:r>
        <w:rPr>
          <w:spacing w:val="-2"/>
          <w:sz w:val="21"/>
        </w:rPr>
        <w:t>15</w:t>
      </w:r>
      <w:r>
        <w:rPr>
          <w:spacing w:val="-14"/>
          <w:sz w:val="21"/>
        </w:rPr>
        <w:t> 年和 </w:t>
      </w:r>
      <w:r>
        <w:rPr>
          <w:spacing w:val="-2"/>
          <w:sz w:val="21"/>
        </w:rPr>
        <w:t>20</w:t>
      </w:r>
      <w:r>
        <w:rPr>
          <w:spacing w:val="-7"/>
          <w:sz w:val="21"/>
        </w:rPr>
        <w:t> 年，按照本公司的相关规定，由投保人和本公司约定并</w:t>
      </w:r>
      <w:r>
        <w:rPr>
          <w:spacing w:val="-2"/>
          <w:sz w:val="21"/>
        </w:rPr>
        <w:t>在保险单上载明。</w:t>
      </w:r>
    </w:p>
    <w:p>
      <w:pPr>
        <w:pStyle w:val="BodyText"/>
        <w:spacing w:before="5"/>
        <w:rPr>
          <w:sz w:val="16"/>
        </w:rPr>
      </w:pPr>
    </w:p>
    <w:p>
      <w:pPr>
        <w:pStyle w:val="BodyText"/>
        <w:spacing w:line="307" w:lineRule="auto" w:before="0"/>
        <w:ind w:left="2699" w:right="358"/>
      </w:pPr>
      <w:r>
        <w:rPr>
          <w:spacing w:val="-2"/>
        </w:rPr>
        <w:t>分期交付保险费的，在交付首期保险费后，投保人应当在每个保险费应交日交付</w:t>
      </w:r>
      <w:r>
        <w:rPr>
          <w:spacing w:val="-2"/>
        </w:rPr>
        <w:t>其余各期的保险费。</w:t>
      </w:r>
    </w:p>
    <w:p>
      <w:pPr>
        <w:pStyle w:val="ListParagraph"/>
        <w:numPr>
          <w:ilvl w:val="1"/>
          <w:numId w:val="21"/>
        </w:numPr>
        <w:tabs>
          <w:tab w:pos="1073" w:val="left" w:leader="none"/>
          <w:tab w:pos="2699" w:val="left" w:leader="none"/>
        </w:tabs>
        <w:spacing w:line="312" w:lineRule="exact" w:before="104" w:after="0"/>
        <w:ind w:left="2699" w:right="356" w:hanging="2480"/>
        <w:jc w:val="both"/>
        <w:rPr>
          <w:sz w:val="21"/>
        </w:rPr>
      </w:pPr>
      <w:r>
        <w:rPr>
          <w:rFonts w:ascii="微软雅黑" w:eastAsia="微软雅黑"/>
          <w:b/>
          <w:spacing w:val="-4"/>
          <w:position w:val="-2"/>
          <w:sz w:val="21"/>
        </w:rPr>
        <w:t>宽</w:t>
      </w:r>
      <w:r>
        <w:rPr>
          <w:rFonts w:ascii="微软雅黑" w:eastAsia="微软雅黑"/>
          <w:b/>
          <w:spacing w:val="-4"/>
          <w:position w:val="-2"/>
          <w:sz w:val="21"/>
        </w:rPr>
        <w:t>限</w:t>
      </w:r>
      <w:r>
        <w:rPr>
          <w:rFonts w:ascii="微软雅黑" w:eastAsia="微软雅黑"/>
          <w:b/>
          <w:spacing w:val="-4"/>
          <w:position w:val="-2"/>
          <w:sz w:val="21"/>
        </w:rPr>
        <w:t>期</w:t>
      </w:r>
      <w:r>
        <w:rPr>
          <w:rFonts w:ascii="微软雅黑" w:eastAsia="微软雅黑"/>
          <w:b/>
          <w:position w:val="-2"/>
          <w:sz w:val="21"/>
        </w:rPr>
        <w:tab/>
      </w:r>
      <w:r>
        <w:rPr>
          <w:spacing w:val="-2"/>
          <w:sz w:val="21"/>
        </w:rPr>
        <w:t>分</w:t>
      </w:r>
      <w:r>
        <w:rPr>
          <w:spacing w:val="-2"/>
          <w:sz w:val="21"/>
        </w:rPr>
        <w:t>期</w:t>
      </w:r>
      <w:r>
        <w:rPr>
          <w:spacing w:val="-2"/>
          <w:sz w:val="21"/>
        </w:rPr>
        <w:t>交付保险费的，投保人交付首期保险费后，若</w:t>
      </w:r>
      <w:r>
        <w:rPr>
          <w:spacing w:val="-2"/>
          <w:sz w:val="21"/>
        </w:rPr>
        <w:t>投</w:t>
      </w:r>
      <w:r>
        <w:rPr>
          <w:spacing w:val="-2"/>
          <w:sz w:val="21"/>
        </w:rPr>
        <w:t>保</w:t>
      </w:r>
      <w:r>
        <w:rPr>
          <w:spacing w:val="-2"/>
          <w:sz w:val="21"/>
        </w:rPr>
        <w:t>人到期未交付保险费，</w:t>
      </w:r>
      <w:r>
        <w:rPr>
          <w:spacing w:val="-2"/>
          <w:sz w:val="21"/>
        </w:rPr>
        <w:t>自</w:t>
      </w:r>
      <w:r>
        <w:rPr>
          <w:spacing w:val="-4"/>
          <w:sz w:val="21"/>
        </w:rPr>
        <w:t>保</w:t>
      </w:r>
      <w:r>
        <w:rPr>
          <w:spacing w:val="-4"/>
          <w:sz w:val="21"/>
        </w:rPr>
        <w:t>险</w:t>
      </w:r>
      <w:r>
        <w:rPr>
          <w:spacing w:val="-4"/>
          <w:sz w:val="21"/>
        </w:rPr>
        <w:t>费应交日的次日起</w:t>
      </w:r>
      <w:r>
        <w:rPr>
          <w:spacing w:val="-23"/>
          <w:sz w:val="21"/>
        </w:rPr>
        <w:t> </w:t>
      </w:r>
      <w:r>
        <w:rPr>
          <w:spacing w:val="-4"/>
          <w:sz w:val="21"/>
        </w:rPr>
        <w:t>60</w:t>
      </w:r>
      <w:r>
        <w:rPr>
          <w:spacing w:val="-22"/>
          <w:sz w:val="21"/>
        </w:rPr>
        <w:t> </w:t>
      </w:r>
      <w:r>
        <w:rPr>
          <w:spacing w:val="-4"/>
          <w:sz w:val="21"/>
        </w:rPr>
        <w:t>日</w:t>
      </w:r>
      <w:r>
        <w:rPr>
          <w:spacing w:val="-4"/>
          <w:sz w:val="21"/>
        </w:rPr>
        <w:t>为</w:t>
      </w:r>
      <w:r>
        <w:rPr>
          <w:spacing w:val="-4"/>
          <w:sz w:val="21"/>
        </w:rPr>
        <w:t>宽限期。宽限期内发</w:t>
      </w:r>
      <w:r>
        <w:rPr>
          <w:spacing w:val="-4"/>
          <w:sz w:val="21"/>
        </w:rPr>
        <w:t>生</w:t>
      </w:r>
      <w:r>
        <w:rPr>
          <w:spacing w:val="-4"/>
          <w:sz w:val="21"/>
        </w:rPr>
        <w:t>的</w:t>
      </w:r>
      <w:r>
        <w:rPr>
          <w:spacing w:val="-4"/>
          <w:sz w:val="21"/>
        </w:rPr>
        <w:t>保险事故，本公司仍</w:t>
      </w:r>
      <w:r>
        <w:rPr>
          <w:spacing w:val="-4"/>
          <w:sz w:val="21"/>
        </w:rPr>
        <w:t>会</w:t>
      </w:r>
      <w:r>
        <w:rPr>
          <w:spacing w:val="-4"/>
          <w:sz w:val="21"/>
        </w:rPr>
        <w:t>承</w:t>
      </w:r>
      <w:r>
        <w:rPr>
          <w:spacing w:val="-2"/>
          <w:sz w:val="21"/>
        </w:rPr>
        <w:t>担</w:t>
      </w:r>
      <w:r>
        <w:rPr>
          <w:spacing w:val="-2"/>
          <w:sz w:val="21"/>
        </w:rPr>
        <w:t>保</w:t>
      </w:r>
      <w:r>
        <w:rPr>
          <w:spacing w:val="-2"/>
          <w:sz w:val="21"/>
        </w:rPr>
        <w:t>险责任，但在给付保</w:t>
      </w:r>
      <w:r>
        <w:rPr>
          <w:spacing w:val="-2"/>
          <w:sz w:val="21"/>
        </w:rPr>
        <w:t>险</w:t>
      </w:r>
      <w:r>
        <w:rPr>
          <w:spacing w:val="-2"/>
          <w:sz w:val="21"/>
        </w:rPr>
        <w:t>金</w:t>
      </w:r>
      <w:r>
        <w:rPr>
          <w:spacing w:val="-2"/>
          <w:sz w:val="21"/>
        </w:rPr>
        <w:t>时会扣除投保人欠交</w:t>
      </w:r>
      <w:r>
        <w:rPr>
          <w:spacing w:val="-2"/>
          <w:sz w:val="21"/>
        </w:rPr>
        <w:t>的</w:t>
      </w:r>
      <w:r>
        <w:rPr>
          <w:spacing w:val="-2"/>
          <w:sz w:val="21"/>
        </w:rPr>
        <w:t>保</w:t>
      </w:r>
      <w:r>
        <w:rPr>
          <w:spacing w:val="-2"/>
          <w:sz w:val="21"/>
        </w:rPr>
        <w:t>险</w:t>
      </w:r>
      <w:r>
        <w:rPr>
          <w:spacing w:val="-2"/>
          <w:sz w:val="21"/>
        </w:rPr>
        <w:t>费</w:t>
      </w:r>
      <w:r>
        <w:rPr>
          <w:spacing w:val="-2"/>
          <w:sz w:val="21"/>
        </w:rPr>
        <w:t>。</w:t>
      </w:r>
    </w:p>
    <w:p>
      <w:pPr>
        <w:pStyle w:val="BodyText"/>
        <w:spacing w:before="3"/>
        <w:rPr>
          <w:sz w:val="15"/>
        </w:rPr>
      </w:pPr>
    </w:p>
    <w:p>
      <w:pPr>
        <w:pStyle w:val="BodyText"/>
        <w:spacing w:line="278" w:lineRule="auto" w:before="1"/>
        <w:ind w:left="2699" w:right="358"/>
      </w:pPr>
      <w:r>
        <w:rPr>
          <w:spacing w:val="-2"/>
        </w:rPr>
        <w:t>若宽限期结束之后投保人仍未交付保险费，则本合同自宽限期满的次日零时起中</w:t>
      </w:r>
      <w:r>
        <w:rPr>
          <w:spacing w:val="-6"/>
        </w:rPr>
        <w:t>止。</w:t>
      </w:r>
    </w:p>
    <w:p>
      <w:pPr>
        <w:pStyle w:val="Heading1"/>
        <w:numPr>
          <w:ilvl w:val="0"/>
          <w:numId w:val="5"/>
        </w:numPr>
        <w:tabs>
          <w:tab w:pos="1072" w:val="left" w:leader="none"/>
          <w:tab w:pos="1073" w:val="left" w:leader="none"/>
        </w:tabs>
        <w:spacing w:line="240" w:lineRule="auto" w:before="139" w:after="0"/>
        <w:ind w:left="1072" w:right="0" w:hanging="745"/>
        <w:jc w:val="left"/>
      </w:pPr>
      <w:r>
        <w:rPr/>
        <w:drawing>
          <wp:anchor distT="0" distB="0" distL="0" distR="0" allowOverlap="1" layoutInCell="1" locked="0" behindDoc="0" simplePos="0" relativeHeight="7">
            <wp:simplePos x="0" y="0"/>
            <wp:positionH relativeFrom="page">
              <wp:posOffset>579119</wp:posOffset>
            </wp:positionH>
            <wp:positionV relativeFrom="paragraph">
              <wp:posOffset>480658</wp:posOffset>
            </wp:positionV>
            <wp:extent cx="6401809" cy="6096"/>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401809" cy="6096"/>
                    </a:xfrm>
                    <a:prstGeom prst="rect">
                      <a:avLst/>
                    </a:prstGeom>
                  </pic:spPr>
                </pic:pic>
              </a:graphicData>
            </a:graphic>
          </wp:anchor>
        </w:drawing>
      </w:r>
      <w:r>
        <w:rPr>
          <w:spacing w:val="-2"/>
        </w:rPr>
        <w:t>现金价值权益</w:t>
      </w:r>
    </w:p>
    <w:p>
      <w:pPr>
        <w:pStyle w:val="ListParagraph"/>
        <w:numPr>
          <w:ilvl w:val="1"/>
          <w:numId w:val="22"/>
        </w:numPr>
        <w:tabs>
          <w:tab w:pos="1073" w:val="left" w:leader="none"/>
          <w:tab w:pos="2699" w:val="left" w:leader="none"/>
        </w:tabs>
        <w:spacing w:line="312" w:lineRule="exact" w:before="134" w:after="0"/>
        <w:ind w:left="2699" w:right="359" w:hanging="2480"/>
        <w:jc w:val="both"/>
        <w:rPr>
          <w:sz w:val="21"/>
        </w:rPr>
      </w:pPr>
      <w:r>
        <w:rPr>
          <w:rFonts w:ascii="微软雅黑" w:eastAsia="微软雅黑"/>
          <w:b/>
          <w:spacing w:val="-4"/>
          <w:sz w:val="21"/>
        </w:rPr>
        <w:t>现</w:t>
      </w:r>
      <w:r>
        <w:rPr>
          <w:rFonts w:ascii="微软雅黑" w:eastAsia="微软雅黑"/>
          <w:b/>
          <w:spacing w:val="-4"/>
          <w:sz w:val="21"/>
        </w:rPr>
        <w:t>金</w:t>
      </w:r>
      <w:r>
        <w:rPr>
          <w:rFonts w:ascii="微软雅黑" w:eastAsia="微软雅黑"/>
          <w:b/>
          <w:spacing w:val="-4"/>
          <w:sz w:val="21"/>
        </w:rPr>
        <w:t>价</w:t>
      </w:r>
      <w:r>
        <w:rPr>
          <w:rFonts w:ascii="微软雅黑" w:eastAsia="微软雅黑"/>
          <w:b/>
          <w:spacing w:val="-4"/>
          <w:sz w:val="21"/>
        </w:rPr>
        <w:t>值</w:t>
      </w:r>
      <w:r>
        <w:rPr>
          <w:rFonts w:ascii="微软雅黑" w:eastAsia="微软雅黑"/>
          <w:b/>
          <w:sz w:val="21"/>
        </w:rPr>
        <w:tab/>
      </w:r>
      <w:r>
        <w:rPr>
          <w:spacing w:val="-2"/>
          <w:sz w:val="21"/>
        </w:rPr>
        <w:t>指</w:t>
      </w:r>
      <w:r>
        <w:rPr>
          <w:spacing w:val="-2"/>
          <w:sz w:val="21"/>
        </w:rPr>
        <w:t>保</w:t>
      </w:r>
      <w:r>
        <w:rPr>
          <w:spacing w:val="-2"/>
          <w:sz w:val="21"/>
        </w:rPr>
        <w:t>险</w:t>
      </w:r>
      <w:r>
        <w:rPr>
          <w:spacing w:val="-2"/>
          <w:sz w:val="21"/>
        </w:rPr>
        <w:t>单</w:t>
      </w:r>
      <w:r>
        <w:rPr>
          <w:spacing w:val="-2"/>
          <w:sz w:val="21"/>
        </w:rPr>
        <w:t>所</w:t>
      </w:r>
      <w:r>
        <w:rPr>
          <w:spacing w:val="-2"/>
          <w:sz w:val="21"/>
        </w:rPr>
        <w:t>具</w:t>
      </w:r>
      <w:r>
        <w:rPr>
          <w:spacing w:val="-2"/>
          <w:sz w:val="21"/>
        </w:rPr>
        <w:t>有</w:t>
      </w:r>
      <w:r>
        <w:rPr>
          <w:spacing w:val="-2"/>
          <w:sz w:val="21"/>
        </w:rPr>
        <w:t>的</w:t>
      </w:r>
      <w:r>
        <w:rPr>
          <w:spacing w:val="-2"/>
          <w:sz w:val="21"/>
        </w:rPr>
        <w:t>价</w:t>
      </w:r>
      <w:r>
        <w:rPr>
          <w:spacing w:val="-2"/>
          <w:sz w:val="21"/>
        </w:rPr>
        <w:t>值</w:t>
      </w:r>
      <w:r>
        <w:rPr>
          <w:spacing w:val="-2"/>
          <w:sz w:val="21"/>
        </w:rPr>
        <w:t>，</w:t>
      </w:r>
      <w:r>
        <w:rPr>
          <w:spacing w:val="-2"/>
          <w:sz w:val="21"/>
        </w:rPr>
        <w:t>通</w:t>
      </w:r>
      <w:r>
        <w:rPr>
          <w:spacing w:val="-2"/>
          <w:sz w:val="21"/>
        </w:rPr>
        <w:t>常</w:t>
      </w:r>
      <w:r>
        <w:rPr>
          <w:spacing w:val="-2"/>
          <w:sz w:val="21"/>
        </w:rPr>
        <w:t>体</w:t>
      </w:r>
      <w:r>
        <w:rPr>
          <w:spacing w:val="-2"/>
          <w:sz w:val="21"/>
        </w:rPr>
        <w:t>现</w:t>
      </w:r>
      <w:r>
        <w:rPr>
          <w:spacing w:val="-2"/>
          <w:sz w:val="21"/>
        </w:rPr>
        <w:t>为</w:t>
      </w:r>
      <w:r>
        <w:rPr>
          <w:spacing w:val="-2"/>
          <w:sz w:val="21"/>
        </w:rPr>
        <w:t>解</w:t>
      </w:r>
      <w:r>
        <w:rPr>
          <w:spacing w:val="-2"/>
          <w:sz w:val="21"/>
        </w:rPr>
        <w:t>除</w:t>
      </w:r>
      <w:r>
        <w:rPr>
          <w:spacing w:val="-2"/>
          <w:sz w:val="21"/>
        </w:rPr>
        <w:t>保</w:t>
      </w:r>
      <w:r>
        <w:rPr>
          <w:spacing w:val="-2"/>
          <w:sz w:val="21"/>
        </w:rPr>
        <w:t>险</w:t>
      </w:r>
      <w:r>
        <w:rPr>
          <w:spacing w:val="-2"/>
          <w:sz w:val="21"/>
        </w:rPr>
        <w:t>合</w:t>
      </w:r>
      <w:r>
        <w:rPr>
          <w:spacing w:val="-2"/>
          <w:sz w:val="21"/>
        </w:rPr>
        <w:t>同</w:t>
      </w:r>
      <w:r>
        <w:rPr>
          <w:spacing w:val="-2"/>
          <w:sz w:val="21"/>
        </w:rPr>
        <w:t>时</w:t>
      </w:r>
      <w:r>
        <w:rPr>
          <w:spacing w:val="-2"/>
          <w:sz w:val="21"/>
        </w:rPr>
        <w:t>，</w:t>
      </w:r>
      <w:r>
        <w:rPr>
          <w:spacing w:val="-2"/>
          <w:sz w:val="21"/>
        </w:rPr>
        <w:t>根</w:t>
      </w:r>
      <w:r>
        <w:rPr>
          <w:spacing w:val="-2"/>
          <w:sz w:val="21"/>
        </w:rPr>
        <w:t>据</w:t>
      </w:r>
      <w:r>
        <w:rPr>
          <w:spacing w:val="-2"/>
          <w:sz w:val="21"/>
        </w:rPr>
        <w:t>精</w:t>
      </w:r>
      <w:r>
        <w:rPr>
          <w:spacing w:val="-2"/>
          <w:sz w:val="21"/>
        </w:rPr>
        <w:t>算</w:t>
      </w:r>
      <w:r>
        <w:rPr>
          <w:spacing w:val="-2"/>
          <w:sz w:val="21"/>
        </w:rPr>
        <w:t>原</w:t>
      </w:r>
      <w:r>
        <w:rPr>
          <w:spacing w:val="-2"/>
          <w:sz w:val="21"/>
        </w:rPr>
        <w:t>理</w:t>
      </w:r>
      <w:r>
        <w:rPr>
          <w:spacing w:val="-2"/>
          <w:sz w:val="21"/>
        </w:rPr>
        <w:t>计</w:t>
      </w:r>
      <w:r>
        <w:rPr>
          <w:spacing w:val="-2"/>
          <w:sz w:val="21"/>
        </w:rPr>
        <w:t>算</w:t>
      </w:r>
      <w:r>
        <w:rPr>
          <w:spacing w:val="-2"/>
          <w:sz w:val="21"/>
        </w:rPr>
        <w:t>的，</w:t>
      </w:r>
      <w:r>
        <w:rPr>
          <w:spacing w:val="-2"/>
          <w:sz w:val="21"/>
        </w:rPr>
        <w:t>由</w:t>
      </w:r>
      <w:r>
        <w:rPr>
          <w:spacing w:val="-2"/>
          <w:sz w:val="21"/>
        </w:rPr>
        <w:t>本</w:t>
      </w:r>
      <w:r>
        <w:rPr>
          <w:spacing w:val="-2"/>
          <w:sz w:val="21"/>
        </w:rPr>
        <w:t>公</w:t>
      </w:r>
      <w:r>
        <w:rPr>
          <w:spacing w:val="-2"/>
          <w:sz w:val="21"/>
        </w:rPr>
        <w:t>司</w:t>
      </w:r>
      <w:r>
        <w:rPr>
          <w:spacing w:val="-2"/>
          <w:sz w:val="21"/>
        </w:rPr>
        <w:t>向</w:t>
      </w:r>
      <w:r>
        <w:rPr>
          <w:spacing w:val="-2"/>
          <w:sz w:val="21"/>
        </w:rPr>
        <w:t>投</w:t>
      </w:r>
      <w:r>
        <w:rPr>
          <w:spacing w:val="-2"/>
          <w:sz w:val="21"/>
        </w:rPr>
        <w:t>保</w:t>
      </w:r>
      <w:r>
        <w:rPr>
          <w:spacing w:val="-2"/>
          <w:sz w:val="21"/>
        </w:rPr>
        <w:t>人</w:t>
      </w:r>
      <w:r>
        <w:rPr>
          <w:spacing w:val="-2"/>
          <w:sz w:val="21"/>
        </w:rPr>
        <w:t>退</w:t>
      </w:r>
      <w:r>
        <w:rPr>
          <w:spacing w:val="-2"/>
          <w:sz w:val="21"/>
        </w:rPr>
        <w:t>还</w:t>
      </w:r>
      <w:r>
        <w:rPr>
          <w:spacing w:val="-2"/>
          <w:sz w:val="21"/>
        </w:rPr>
        <w:t>的</w:t>
      </w:r>
      <w:r>
        <w:rPr>
          <w:spacing w:val="-2"/>
          <w:sz w:val="21"/>
        </w:rPr>
        <w:t>那</w:t>
      </w:r>
      <w:r>
        <w:rPr>
          <w:spacing w:val="-2"/>
          <w:sz w:val="21"/>
        </w:rPr>
        <w:t>部</w:t>
      </w:r>
      <w:r>
        <w:rPr>
          <w:spacing w:val="-2"/>
          <w:sz w:val="21"/>
        </w:rPr>
        <w:t>分</w:t>
      </w:r>
      <w:r>
        <w:rPr>
          <w:spacing w:val="-2"/>
          <w:sz w:val="21"/>
        </w:rPr>
        <w:t>金</w:t>
      </w:r>
      <w:r>
        <w:rPr>
          <w:spacing w:val="-2"/>
          <w:sz w:val="21"/>
        </w:rPr>
        <w:t>额</w:t>
      </w:r>
      <w:r>
        <w:rPr>
          <w:spacing w:val="-2"/>
          <w:sz w:val="21"/>
        </w:rPr>
        <w:t>。</w:t>
      </w:r>
      <w:r>
        <w:rPr>
          <w:spacing w:val="-2"/>
          <w:sz w:val="21"/>
        </w:rPr>
        <w:t>本</w:t>
      </w:r>
      <w:r>
        <w:rPr>
          <w:spacing w:val="-2"/>
          <w:sz w:val="21"/>
        </w:rPr>
        <w:t>合</w:t>
      </w:r>
      <w:r>
        <w:rPr>
          <w:spacing w:val="-2"/>
          <w:sz w:val="21"/>
        </w:rPr>
        <w:t>同</w:t>
      </w:r>
      <w:r>
        <w:rPr>
          <w:spacing w:val="-2"/>
          <w:sz w:val="21"/>
        </w:rPr>
        <w:t>保</w:t>
      </w:r>
      <w:r>
        <w:rPr>
          <w:spacing w:val="-2"/>
          <w:sz w:val="21"/>
        </w:rPr>
        <w:t>单</w:t>
      </w:r>
      <w:r>
        <w:rPr>
          <w:spacing w:val="-2"/>
          <w:sz w:val="21"/>
        </w:rPr>
        <w:t>年</w:t>
      </w:r>
      <w:r>
        <w:rPr>
          <w:spacing w:val="-2"/>
          <w:sz w:val="21"/>
        </w:rPr>
        <w:t>度</w:t>
      </w:r>
      <w:r>
        <w:rPr>
          <w:spacing w:val="-2"/>
          <w:sz w:val="21"/>
        </w:rPr>
        <w:t>末</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对</w:t>
      </w:r>
      <w:r>
        <w:rPr>
          <w:spacing w:val="-2"/>
          <w:sz w:val="21"/>
        </w:rPr>
        <w:t>应</w:t>
      </w:r>
      <w:r>
        <w:rPr>
          <w:spacing w:val="-2"/>
          <w:sz w:val="21"/>
        </w:rPr>
        <w:t>的现</w:t>
      </w:r>
      <w:r>
        <w:rPr>
          <w:spacing w:val="-2"/>
          <w:sz w:val="21"/>
        </w:rPr>
        <w:t>金</w:t>
      </w:r>
      <w:r>
        <w:rPr>
          <w:spacing w:val="-2"/>
          <w:sz w:val="21"/>
        </w:rPr>
        <w:t>价</w:t>
      </w:r>
      <w:r>
        <w:rPr>
          <w:spacing w:val="-2"/>
          <w:sz w:val="21"/>
        </w:rPr>
        <w:t>值</w:t>
      </w:r>
      <w:r>
        <w:rPr>
          <w:spacing w:val="-2"/>
          <w:sz w:val="21"/>
        </w:rPr>
        <w:t>会</w:t>
      </w:r>
      <w:r>
        <w:rPr>
          <w:spacing w:val="-2"/>
          <w:sz w:val="21"/>
        </w:rPr>
        <w:t>在</w:t>
      </w:r>
      <w:r>
        <w:rPr>
          <w:spacing w:val="-2"/>
          <w:sz w:val="21"/>
        </w:rPr>
        <w:t>保</w:t>
      </w:r>
      <w:r>
        <w:rPr>
          <w:spacing w:val="-2"/>
          <w:sz w:val="21"/>
        </w:rPr>
        <w:t>险</w:t>
      </w:r>
      <w:r>
        <w:rPr>
          <w:spacing w:val="-2"/>
          <w:sz w:val="21"/>
        </w:rPr>
        <w:t>单</w:t>
      </w:r>
      <w:r>
        <w:rPr>
          <w:spacing w:val="-2"/>
          <w:sz w:val="21"/>
        </w:rPr>
        <w:t>或</w:t>
      </w:r>
      <w:r>
        <w:rPr>
          <w:spacing w:val="-2"/>
          <w:sz w:val="21"/>
        </w:rPr>
        <w:t>批</w:t>
      </w:r>
      <w:r>
        <w:rPr>
          <w:spacing w:val="-2"/>
          <w:sz w:val="21"/>
        </w:rPr>
        <w:t>注</w:t>
      </w:r>
      <w:r>
        <w:rPr>
          <w:spacing w:val="-2"/>
          <w:sz w:val="21"/>
        </w:rPr>
        <w:t>上</w:t>
      </w:r>
      <w:r>
        <w:rPr>
          <w:spacing w:val="-2"/>
          <w:sz w:val="21"/>
        </w:rPr>
        <w:t>载</w:t>
      </w:r>
      <w:r>
        <w:rPr>
          <w:spacing w:val="-2"/>
          <w:sz w:val="21"/>
        </w:rPr>
        <w:t>明</w:t>
      </w:r>
      <w:r>
        <w:rPr>
          <w:spacing w:val="-2"/>
          <w:sz w:val="21"/>
        </w:rPr>
        <w:t>。</w:t>
      </w:r>
      <w:r>
        <w:rPr>
          <w:spacing w:val="-2"/>
          <w:sz w:val="21"/>
        </w:rPr>
        <w:t>保</w:t>
      </w:r>
      <w:r>
        <w:rPr>
          <w:spacing w:val="-2"/>
          <w:sz w:val="21"/>
        </w:rPr>
        <w:t>单</w:t>
      </w:r>
      <w:r>
        <w:rPr>
          <w:spacing w:val="-2"/>
          <w:sz w:val="21"/>
        </w:rPr>
        <w:t>年</w:t>
      </w:r>
      <w:r>
        <w:rPr>
          <w:spacing w:val="-2"/>
          <w:sz w:val="21"/>
        </w:rPr>
        <w:t>度</w:t>
      </w:r>
      <w:r>
        <w:rPr>
          <w:spacing w:val="-2"/>
          <w:sz w:val="21"/>
        </w:rPr>
        <w:t>中</w:t>
      </w:r>
      <w:r>
        <w:rPr>
          <w:spacing w:val="-2"/>
          <w:sz w:val="21"/>
        </w:rPr>
        <w:t>现</w:t>
      </w:r>
      <w:r>
        <w:rPr>
          <w:spacing w:val="-2"/>
          <w:sz w:val="21"/>
        </w:rPr>
        <w:t>金</w:t>
      </w:r>
      <w:r>
        <w:rPr>
          <w:spacing w:val="-2"/>
          <w:sz w:val="21"/>
        </w:rPr>
        <w:t>价</w:t>
      </w:r>
      <w:r>
        <w:rPr>
          <w:spacing w:val="-2"/>
          <w:sz w:val="21"/>
        </w:rPr>
        <w:t>值</w:t>
      </w:r>
      <w:r>
        <w:rPr>
          <w:spacing w:val="-2"/>
          <w:sz w:val="21"/>
        </w:rPr>
        <w:t>的</w:t>
      </w:r>
      <w:r>
        <w:rPr>
          <w:spacing w:val="-2"/>
          <w:sz w:val="21"/>
        </w:rPr>
        <w:t>金</w:t>
      </w:r>
      <w:r>
        <w:rPr>
          <w:spacing w:val="-2"/>
          <w:sz w:val="21"/>
        </w:rPr>
        <w:t>额</w:t>
      </w:r>
      <w:r>
        <w:rPr>
          <w:spacing w:val="-2"/>
          <w:sz w:val="21"/>
        </w:rPr>
        <w:t>基</w:t>
      </w:r>
      <w:r>
        <w:rPr>
          <w:spacing w:val="-2"/>
          <w:sz w:val="21"/>
        </w:rPr>
        <w:t>于</w:t>
      </w:r>
      <w:r>
        <w:rPr>
          <w:spacing w:val="-2"/>
          <w:sz w:val="21"/>
        </w:rPr>
        <w:t>保</w:t>
      </w:r>
      <w:r>
        <w:rPr>
          <w:spacing w:val="-2"/>
          <w:sz w:val="21"/>
        </w:rPr>
        <w:t>单</w:t>
      </w:r>
      <w:r>
        <w:rPr>
          <w:spacing w:val="-2"/>
          <w:sz w:val="21"/>
        </w:rPr>
        <w:t>年</w:t>
      </w:r>
      <w:r>
        <w:rPr>
          <w:spacing w:val="-2"/>
          <w:sz w:val="21"/>
        </w:rPr>
        <w:t>度</w:t>
      </w:r>
      <w:r>
        <w:rPr>
          <w:spacing w:val="-2"/>
          <w:sz w:val="21"/>
        </w:rPr>
        <w:t>末现</w:t>
      </w:r>
      <w:r>
        <w:rPr>
          <w:spacing w:val="-2"/>
          <w:sz w:val="21"/>
        </w:rPr>
        <w:t>金</w:t>
      </w:r>
      <w:r>
        <w:rPr>
          <w:spacing w:val="-2"/>
          <w:sz w:val="21"/>
        </w:rPr>
        <w:t>价</w:t>
      </w:r>
      <w:r>
        <w:rPr>
          <w:spacing w:val="-2"/>
          <w:sz w:val="21"/>
        </w:rPr>
        <w:t>值</w:t>
      </w:r>
      <w:r>
        <w:rPr>
          <w:spacing w:val="-2"/>
          <w:sz w:val="21"/>
        </w:rPr>
        <w:t>的金额根据合理的方</w:t>
      </w:r>
      <w:r>
        <w:rPr>
          <w:spacing w:val="-2"/>
          <w:sz w:val="21"/>
        </w:rPr>
        <w:t>法</w:t>
      </w:r>
      <w:r>
        <w:rPr>
          <w:spacing w:val="-2"/>
          <w:sz w:val="21"/>
        </w:rPr>
        <w:t>计</w:t>
      </w:r>
      <w:r>
        <w:rPr>
          <w:spacing w:val="-2"/>
          <w:sz w:val="21"/>
        </w:rPr>
        <w:t>算而得，投保人可以</w:t>
      </w:r>
      <w:r>
        <w:rPr>
          <w:spacing w:val="-2"/>
          <w:sz w:val="21"/>
        </w:rPr>
        <w:t>向</w:t>
      </w:r>
      <w:r>
        <w:rPr>
          <w:spacing w:val="-2"/>
          <w:sz w:val="21"/>
        </w:rPr>
        <w:t>本</w:t>
      </w:r>
      <w:r>
        <w:rPr>
          <w:spacing w:val="-2"/>
          <w:sz w:val="21"/>
        </w:rPr>
        <w:t>公司咨</w:t>
      </w:r>
      <w:r>
        <w:rPr>
          <w:spacing w:val="-2"/>
          <w:sz w:val="21"/>
        </w:rPr>
        <w:t>询</w:t>
      </w:r>
      <w:r>
        <w:rPr>
          <w:spacing w:val="-2"/>
          <w:sz w:val="21"/>
        </w:rPr>
        <w:t>。</w:t>
      </w:r>
    </w:p>
    <w:p>
      <w:pPr>
        <w:pStyle w:val="ListParagraph"/>
        <w:numPr>
          <w:ilvl w:val="1"/>
          <w:numId w:val="22"/>
        </w:numPr>
        <w:tabs>
          <w:tab w:pos="1073" w:val="left" w:leader="none"/>
          <w:tab w:pos="2699" w:val="left" w:leader="none"/>
        </w:tabs>
        <w:spacing w:line="256" w:lineRule="auto" w:before="155" w:after="0"/>
        <w:ind w:left="2699" w:right="358" w:hanging="2480"/>
        <w:jc w:val="both"/>
        <w:rPr>
          <w:sz w:val="21"/>
        </w:rPr>
      </w:pPr>
      <w:r>
        <w:rPr>
          <w:rFonts w:ascii="微软雅黑" w:eastAsia="微软雅黑"/>
          <w:b/>
          <w:spacing w:val="-4"/>
          <w:sz w:val="21"/>
        </w:rPr>
        <w:t>保</w:t>
      </w:r>
      <w:r>
        <w:rPr>
          <w:rFonts w:ascii="微软雅黑" w:eastAsia="微软雅黑"/>
          <w:b/>
          <w:spacing w:val="-4"/>
          <w:sz w:val="21"/>
        </w:rPr>
        <w:t>单</w:t>
      </w:r>
      <w:r>
        <w:rPr>
          <w:rFonts w:ascii="微软雅黑" w:eastAsia="微软雅黑"/>
          <w:b/>
          <w:spacing w:val="-4"/>
          <w:sz w:val="21"/>
        </w:rPr>
        <w:t>贷</w:t>
      </w:r>
      <w:r>
        <w:rPr>
          <w:rFonts w:ascii="微软雅黑" w:eastAsia="微软雅黑"/>
          <w:b/>
          <w:spacing w:val="-4"/>
          <w:sz w:val="21"/>
        </w:rPr>
        <w:t>款</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且</w:t>
      </w:r>
      <w:r>
        <w:rPr>
          <w:spacing w:val="-2"/>
          <w:sz w:val="21"/>
        </w:rPr>
        <w:t>在</w:t>
      </w:r>
      <w:r>
        <w:rPr>
          <w:spacing w:val="-2"/>
          <w:sz w:val="21"/>
        </w:rPr>
        <w:t>犹</w:t>
      </w:r>
      <w:r>
        <w:rPr>
          <w:spacing w:val="-2"/>
          <w:sz w:val="21"/>
        </w:rPr>
        <w:t>豫</w:t>
      </w:r>
      <w:r>
        <w:rPr>
          <w:spacing w:val="-2"/>
          <w:sz w:val="21"/>
        </w:rPr>
        <w:t>期</w:t>
      </w:r>
      <w:r>
        <w:rPr>
          <w:spacing w:val="-2"/>
          <w:sz w:val="21"/>
        </w:rPr>
        <w:t>之</w:t>
      </w:r>
      <w:r>
        <w:rPr>
          <w:spacing w:val="-2"/>
          <w:sz w:val="21"/>
        </w:rPr>
        <w:t>后</w:t>
      </w:r>
      <w:r>
        <w:rPr>
          <w:spacing w:val="-2"/>
          <w:sz w:val="21"/>
        </w:rPr>
        <w:t>，</w:t>
      </w:r>
      <w:r>
        <w:rPr>
          <w:spacing w:val="-2"/>
          <w:sz w:val="21"/>
        </w:rPr>
        <w:t>若</w:t>
      </w:r>
      <w:r>
        <w:rPr>
          <w:spacing w:val="-2"/>
          <w:sz w:val="21"/>
        </w:rPr>
        <w:t>本</w:t>
      </w:r>
      <w:r>
        <w:rPr>
          <w:spacing w:val="-2"/>
          <w:sz w:val="21"/>
        </w:rPr>
        <w:t>合</w:t>
      </w:r>
      <w:r>
        <w:rPr>
          <w:spacing w:val="-2"/>
          <w:sz w:val="21"/>
        </w:rPr>
        <w:t>同</w:t>
      </w:r>
      <w:r>
        <w:rPr>
          <w:spacing w:val="-2"/>
          <w:sz w:val="21"/>
        </w:rPr>
        <w:t>具</w:t>
      </w:r>
      <w:r>
        <w:rPr>
          <w:spacing w:val="-2"/>
          <w:sz w:val="21"/>
        </w:rPr>
        <w:t>有</w:t>
      </w:r>
      <w:r>
        <w:rPr>
          <w:spacing w:val="-2"/>
          <w:sz w:val="21"/>
        </w:rPr>
        <w:t>现</w:t>
      </w:r>
      <w:r>
        <w:rPr>
          <w:spacing w:val="-2"/>
          <w:sz w:val="21"/>
        </w:rPr>
        <w:t>金</w:t>
      </w:r>
      <w:r>
        <w:rPr>
          <w:spacing w:val="-2"/>
          <w:sz w:val="21"/>
        </w:rPr>
        <w:t>价值，</w:t>
      </w:r>
      <w:r>
        <w:rPr>
          <w:spacing w:val="-2"/>
          <w:sz w:val="21"/>
        </w:rPr>
        <w:t>经</w:t>
      </w:r>
      <w:r>
        <w:rPr>
          <w:spacing w:val="-2"/>
          <w:sz w:val="21"/>
        </w:rPr>
        <w:t>被</w:t>
      </w:r>
      <w:r>
        <w:rPr>
          <w:spacing w:val="-2"/>
          <w:sz w:val="21"/>
        </w:rPr>
        <w:t>保</w:t>
      </w:r>
      <w:r>
        <w:rPr>
          <w:spacing w:val="-2"/>
          <w:sz w:val="21"/>
        </w:rPr>
        <w:t>险</w:t>
      </w:r>
      <w:r>
        <w:rPr>
          <w:spacing w:val="-2"/>
          <w:sz w:val="21"/>
        </w:rPr>
        <w:t>人</w:t>
      </w:r>
      <w:r>
        <w:rPr>
          <w:spacing w:val="-2"/>
          <w:sz w:val="21"/>
        </w:rPr>
        <w:t>书</w:t>
      </w:r>
      <w:r>
        <w:rPr>
          <w:spacing w:val="-2"/>
          <w:sz w:val="21"/>
        </w:rPr>
        <w:t>面</w:t>
      </w:r>
      <w:r>
        <w:rPr>
          <w:spacing w:val="-2"/>
          <w:sz w:val="21"/>
        </w:rPr>
        <w:t>同</w:t>
      </w:r>
      <w:r>
        <w:rPr>
          <w:spacing w:val="-2"/>
          <w:sz w:val="21"/>
        </w:rPr>
        <w:t>意，</w:t>
      </w:r>
      <w:r>
        <w:rPr>
          <w:spacing w:val="-2"/>
          <w:sz w:val="21"/>
        </w:rPr>
        <w:t>投</w:t>
      </w:r>
      <w:r>
        <w:rPr>
          <w:spacing w:val="-2"/>
          <w:sz w:val="21"/>
        </w:rPr>
        <w:t>保</w:t>
      </w:r>
      <w:r>
        <w:rPr>
          <w:spacing w:val="-2"/>
          <w:sz w:val="21"/>
        </w:rPr>
        <w:t>人</w:t>
      </w:r>
      <w:r>
        <w:rPr>
          <w:spacing w:val="-2"/>
          <w:sz w:val="21"/>
        </w:rPr>
        <w:t>可</w:t>
      </w:r>
      <w:r>
        <w:rPr>
          <w:spacing w:val="-2"/>
          <w:sz w:val="21"/>
        </w:rPr>
        <w:t>以</w:t>
      </w:r>
      <w:r>
        <w:rPr>
          <w:spacing w:val="-2"/>
          <w:sz w:val="21"/>
        </w:rPr>
        <w:t>向</w:t>
      </w:r>
      <w:r>
        <w:rPr>
          <w:spacing w:val="-2"/>
          <w:sz w:val="21"/>
        </w:rPr>
        <w:t>本</w:t>
      </w:r>
      <w:r>
        <w:rPr>
          <w:spacing w:val="-2"/>
          <w:sz w:val="21"/>
        </w:rPr>
        <w:t>公</w:t>
      </w:r>
      <w:r>
        <w:rPr>
          <w:spacing w:val="-2"/>
          <w:sz w:val="21"/>
        </w:rPr>
        <w:t>司</w:t>
      </w:r>
      <w:r>
        <w:rPr>
          <w:spacing w:val="-2"/>
          <w:sz w:val="21"/>
        </w:rPr>
        <w:t>申</w:t>
      </w:r>
      <w:r>
        <w:rPr>
          <w:spacing w:val="-2"/>
          <w:sz w:val="21"/>
        </w:rPr>
        <w:t>请</w:t>
      </w:r>
      <w:r>
        <w:rPr>
          <w:spacing w:val="-2"/>
          <w:sz w:val="21"/>
        </w:rPr>
        <w:t>保</w:t>
      </w:r>
      <w:r>
        <w:rPr>
          <w:spacing w:val="-2"/>
          <w:sz w:val="21"/>
        </w:rPr>
        <w:t>单</w:t>
      </w:r>
      <w:r>
        <w:rPr>
          <w:spacing w:val="-2"/>
          <w:sz w:val="21"/>
        </w:rPr>
        <w:t>贷</w:t>
      </w:r>
      <w:r>
        <w:rPr>
          <w:spacing w:val="-2"/>
          <w:sz w:val="21"/>
        </w:rPr>
        <w:t>款</w:t>
      </w:r>
      <w:r>
        <w:rPr>
          <w:spacing w:val="-2"/>
          <w:sz w:val="21"/>
        </w:rPr>
        <w:t>，</w:t>
      </w:r>
      <w:r>
        <w:rPr>
          <w:spacing w:val="-2"/>
          <w:sz w:val="21"/>
        </w:rPr>
        <w:t>经</w:t>
      </w:r>
      <w:r>
        <w:rPr>
          <w:spacing w:val="-2"/>
          <w:sz w:val="21"/>
        </w:rPr>
        <w:t>本</w:t>
      </w:r>
      <w:r>
        <w:rPr>
          <w:spacing w:val="-2"/>
          <w:sz w:val="21"/>
        </w:rPr>
        <w:t>公</w:t>
      </w:r>
      <w:r>
        <w:rPr>
          <w:spacing w:val="-2"/>
          <w:sz w:val="21"/>
        </w:rPr>
        <w:t>司</w:t>
      </w:r>
      <w:r>
        <w:rPr>
          <w:spacing w:val="-2"/>
          <w:sz w:val="21"/>
        </w:rPr>
        <w:t>同</w:t>
      </w:r>
      <w:r>
        <w:rPr>
          <w:spacing w:val="-2"/>
          <w:sz w:val="21"/>
        </w:rPr>
        <w:t>意</w:t>
      </w:r>
      <w:r>
        <w:rPr>
          <w:spacing w:val="-2"/>
          <w:sz w:val="21"/>
        </w:rPr>
        <w:t>后</w:t>
      </w:r>
      <w:r>
        <w:rPr>
          <w:spacing w:val="-2"/>
          <w:sz w:val="21"/>
        </w:rPr>
        <w:t>投</w:t>
      </w:r>
      <w:r>
        <w:rPr>
          <w:spacing w:val="-2"/>
          <w:sz w:val="21"/>
        </w:rPr>
        <w:t>保</w:t>
      </w:r>
      <w:r>
        <w:rPr>
          <w:spacing w:val="-2"/>
          <w:sz w:val="21"/>
        </w:rPr>
        <w:t>人</w:t>
      </w:r>
      <w:r>
        <w:rPr>
          <w:spacing w:val="-2"/>
          <w:sz w:val="21"/>
        </w:rPr>
        <w:t>可</w:t>
      </w:r>
      <w:r>
        <w:rPr>
          <w:spacing w:val="-2"/>
          <w:sz w:val="21"/>
        </w:rPr>
        <w:t>办</w:t>
      </w:r>
      <w:r>
        <w:rPr>
          <w:spacing w:val="-2"/>
          <w:sz w:val="21"/>
        </w:rPr>
        <w:t>理</w:t>
      </w:r>
      <w:r>
        <w:rPr>
          <w:spacing w:val="-2"/>
          <w:sz w:val="21"/>
        </w:rPr>
        <w:t>保</w:t>
      </w:r>
      <w:r>
        <w:rPr>
          <w:spacing w:val="-2"/>
          <w:sz w:val="21"/>
        </w:rPr>
        <w:t>单</w:t>
      </w:r>
      <w:r>
        <w:rPr>
          <w:spacing w:val="-2"/>
          <w:sz w:val="21"/>
        </w:rPr>
        <w:t>贷</w:t>
      </w:r>
      <w:r>
        <w:rPr>
          <w:spacing w:val="-2"/>
          <w:sz w:val="21"/>
        </w:rPr>
        <w:t>款</w:t>
      </w:r>
      <w:r>
        <w:rPr>
          <w:spacing w:val="-2"/>
          <w:sz w:val="21"/>
        </w:rPr>
        <w:t>。保</w:t>
      </w:r>
      <w:r>
        <w:rPr>
          <w:spacing w:val="-2"/>
          <w:sz w:val="21"/>
        </w:rPr>
        <w:t>单</w:t>
      </w:r>
      <w:r>
        <w:rPr>
          <w:sz w:val="21"/>
        </w:rPr>
        <w:t>贷款的最高金额不超过本</w:t>
      </w:r>
      <w:r>
        <w:rPr>
          <w:sz w:val="21"/>
        </w:rPr>
        <w:t>合同当时所具有的现金价值的 80%，具体的贷款金额以</w:t>
      </w:r>
    </w:p>
    <w:p>
      <w:pPr>
        <w:pStyle w:val="BodyText"/>
        <w:spacing w:line="223" w:lineRule="auto" w:before="28"/>
        <w:ind w:left="2699" w:right="353"/>
        <w:jc w:val="both"/>
      </w:pPr>
      <w:r>
        <w:rPr>
          <w:spacing w:val="-3"/>
        </w:rPr>
        <w:t>投保人与本公司约定为准。每次贷款期限最长不超过 </w:t>
      </w:r>
      <w:r>
        <w:rPr>
          <w:spacing w:val="-2"/>
        </w:rPr>
        <w:t>6</w:t>
      </w:r>
      <w:r>
        <w:rPr>
          <w:spacing w:val="-5"/>
        </w:rPr>
        <w:t> 个月，贷款利率按投保人</w:t>
      </w:r>
      <w:r>
        <w:rPr/>
        <w:t>申请贷款当时本公司确定的</w:t>
      </w:r>
      <w:r>
        <w:rPr>
          <w:rFonts w:ascii="微软雅黑" w:eastAsia="微软雅黑"/>
          <w:b/>
        </w:rPr>
        <w:t>约定利率</w:t>
      </w:r>
      <w:r>
        <w:rPr/>
        <w:t>（</w:t>
      </w:r>
      <w:r>
        <w:rPr>
          <w:spacing w:val="-21"/>
        </w:rPr>
        <w:t>见 </w:t>
      </w:r>
      <w:r>
        <w:rPr/>
        <w:t>9.27）执行。</w:t>
      </w:r>
    </w:p>
    <w:p>
      <w:pPr>
        <w:pStyle w:val="BodyText"/>
        <w:spacing w:line="211" w:lineRule="auto" w:before="121"/>
        <w:ind w:left="2699" w:right="353"/>
        <w:jc w:val="both"/>
      </w:pPr>
      <w:r>
        <w:rPr>
          <w:spacing w:val="-2"/>
        </w:rPr>
        <w:t>保单贷款期满时，若投保人未能全部偿还贷款本金及利息，且本合同的</w:t>
      </w:r>
      <w:r>
        <w:rPr>
          <w:rFonts w:ascii="微软雅黑" w:eastAsia="微软雅黑"/>
          <w:b/>
          <w:spacing w:val="-2"/>
        </w:rPr>
        <w:t>现金价值</w:t>
      </w:r>
      <w:r>
        <w:rPr>
          <w:rFonts w:ascii="微软雅黑" w:eastAsia="微软雅黑"/>
          <w:b/>
          <w:spacing w:val="-2"/>
        </w:rPr>
        <w:t>净额</w:t>
      </w:r>
      <w:r>
        <w:rPr>
          <w:spacing w:val="-2"/>
        </w:rPr>
        <w:t>（</w:t>
      </w:r>
      <w:r>
        <w:rPr>
          <w:spacing w:val="-13"/>
        </w:rPr>
        <w:t>见 </w:t>
      </w:r>
      <w:r>
        <w:rPr>
          <w:spacing w:val="-2"/>
        </w:rPr>
        <w:t>9.28）大于零，未偿还的贷款本金及利息将构成新一期的保单贷款，贷</w:t>
      </w:r>
      <w:r>
        <w:rPr>
          <w:spacing w:val="-4"/>
        </w:rPr>
        <w:t>款期限为 </w:t>
      </w:r>
      <w:r>
        <w:rPr/>
        <w:t>6</w:t>
      </w:r>
      <w:r>
        <w:rPr>
          <w:spacing w:val="-5"/>
        </w:rPr>
        <w:t> 个月，并按本公司最近一次确定的约定利率计息。</w:t>
      </w:r>
    </w:p>
    <w:p>
      <w:pPr>
        <w:pStyle w:val="BodyText"/>
        <w:spacing w:before="3"/>
        <w:rPr>
          <w:sz w:val="16"/>
        </w:rPr>
      </w:pPr>
    </w:p>
    <w:p>
      <w:pPr>
        <w:pStyle w:val="BodyText"/>
        <w:spacing w:before="0"/>
        <w:ind w:left="2699"/>
      </w:pPr>
      <w:r>
        <w:rPr>
          <w:spacing w:val="-3"/>
        </w:rPr>
        <w:t>当本合同的现金价值净额小于或等于零时，本合同的效力中止。</w:t>
      </w:r>
    </w:p>
    <w:p>
      <w:pPr>
        <w:pStyle w:val="BodyText"/>
        <w:spacing w:before="7"/>
        <w:rPr>
          <w:sz w:val="15"/>
        </w:rPr>
      </w:pPr>
    </w:p>
    <w:p>
      <w:pPr>
        <w:pStyle w:val="BodyText"/>
        <w:spacing w:line="278" w:lineRule="auto" w:before="0"/>
        <w:ind w:left="2699" w:right="359"/>
      </w:pPr>
      <w:r>
        <w:rPr>
          <w:spacing w:val="-2"/>
        </w:rPr>
        <w:t>保单贷款须填写保单贷款申请书及其他相关文件，并凭保险合同、交费凭证及投</w:t>
      </w:r>
      <w:r>
        <w:rPr>
          <w:spacing w:val="-2"/>
        </w:rPr>
        <w:t>保人的有效法定身份证明办理。</w:t>
      </w:r>
    </w:p>
    <w:p>
      <w:pPr>
        <w:pStyle w:val="Heading1"/>
        <w:numPr>
          <w:ilvl w:val="0"/>
          <w:numId w:val="5"/>
        </w:numPr>
        <w:tabs>
          <w:tab w:pos="1072" w:val="left" w:leader="none"/>
          <w:tab w:pos="1073" w:val="left" w:leader="none"/>
        </w:tabs>
        <w:spacing w:line="240" w:lineRule="auto" w:before="137" w:after="0"/>
        <w:ind w:left="1072" w:right="0" w:hanging="745"/>
        <w:jc w:val="left"/>
      </w:pPr>
      <w:r>
        <w:rPr/>
        <w:drawing>
          <wp:anchor distT="0" distB="0" distL="0" distR="0" allowOverlap="1" layoutInCell="1" locked="0" behindDoc="0" simplePos="0" relativeHeight="8">
            <wp:simplePos x="0" y="0"/>
            <wp:positionH relativeFrom="page">
              <wp:posOffset>579119</wp:posOffset>
            </wp:positionH>
            <wp:positionV relativeFrom="paragraph">
              <wp:posOffset>480913</wp:posOffset>
            </wp:positionV>
            <wp:extent cx="6402209" cy="6095"/>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8" cstate="print"/>
                    <a:stretch>
                      <a:fillRect/>
                    </a:stretch>
                  </pic:blipFill>
                  <pic:spPr>
                    <a:xfrm>
                      <a:off x="0" y="0"/>
                      <a:ext cx="6402209" cy="6095"/>
                    </a:xfrm>
                    <a:prstGeom prst="rect">
                      <a:avLst/>
                    </a:prstGeom>
                  </pic:spPr>
                </pic:pic>
              </a:graphicData>
            </a:graphic>
          </wp:anchor>
        </w:drawing>
      </w:r>
      <w:r>
        <w:rPr>
          <w:spacing w:val="-1"/>
        </w:rPr>
        <w:t>合同效力的中止及恢复</w:t>
      </w:r>
    </w:p>
    <w:p>
      <w:pPr>
        <w:pStyle w:val="ListParagraph"/>
        <w:numPr>
          <w:ilvl w:val="1"/>
          <w:numId w:val="23"/>
        </w:numPr>
        <w:tabs>
          <w:tab w:pos="1073" w:val="left" w:leader="none"/>
          <w:tab w:pos="2699" w:val="left" w:leader="none"/>
        </w:tabs>
        <w:spacing w:line="240" w:lineRule="auto" w:before="105" w:after="0"/>
        <w:ind w:left="1072" w:right="0" w:hanging="853"/>
        <w:jc w:val="both"/>
        <w:rPr>
          <w:sz w:val="21"/>
        </w:rPr>
      </w:pPr>
      <w:r>
        <w:rPr>
          <w:rFonts w:ascii="微软雅黑" w:eastAsia="微软雅黑"/>
          <w:b/>
          <w:sz w:val="21"/>
        </w:rPr>
        <w:t>效力中</w:t>
      </w:r>
      <w:r>
        <w:rPr>
          <w:rFonts w:ascii="微软雅黑" w:eastAsia="微软雅黑"/>
          <w:b/>
          <w:spacing w:val="-10"/>
          <w:sz w:val="21"/>
        </w:rPr>
        <w:t>止</w:t>
      </w:r>
      <w:r>
        <w:rPr>
          <w:rFonts w:ascii="微软雅黑" w:eastAsia="微软雅黑"/>
          <w:b/>
          <w:sz w:val="21"/>
        </w:rPr>
        <w:tab/>
      </w:r>
      <w:r>
        <w:rPr>
          <w:spacing w:val="-2"/>
          <w:sz w:val="21"/>
        </w:rPr>
        <w:t>在</w:t>
      </w:r>
      <w:r>
        <w:rPr>
          <w:spacing w:val="-2"/>
          <w:sz w:val="21"/>
        </w:rPr>
        <w:t>本</w:t>
      </w:r>
      <w:r>
        <w:rPr>
          <w:spacing w:val="-2"/>
          <w:sz w:val="21"/>
        </w:rPr>
        <w:t>合同效力中止期间，</w:t>
      </w:r>
      <w:r>
        <w:rPr>
          <w:spacing w:val="-2"/>
          <w:sz w:val="21"/>
        </w:rPr>
        <w:t>本</w:t>
      </w:r>
      <w:r>
        <w:rPr>
          <w:spacing w:val="-2"/>
          <w:sz w:val="21"/>
        </w:rPr>
        <w:t>公</w:t>
      </w:r>
      <w:r>
        <w:rPr>
          <w:spacing w:val="-2"/>
          <w:sz w:val="21"/>
        </w:rPr>
        <w:t>司不承担保险责</w:t>
      </w:r>
      <w:r>
        <w:rPr>
          <w:spacing w:val="-2"/>
          <w:sz w:val="21"/>
        </w:rPr>
        <w:t>任</w:t>
      </w:r>
      <w:r>
        <w:rPr>
          <w:spacing w:val="-10"/>
          <w:sz w:val="21"/>
        </w:rPr>
        <w:t>。</w:t>
      </w:r>
    </w:p>
    <w:p>
      <w:pPr>
        <w:pStyle w:val="ListParagraph"/>
        <w:numPr>
          <w:ilvl w:val="1"/>
          <w:numId w:val="23"/>
        </w:numPr>
        <w:tabs>
          <w:tab w:pos="1073" w:val="left" w:leader="none"/>
          <w:tab w:pos="2699" w:val="left" w:leader="none"/>
        </w:tabs>
        <w:spacing w:line="240" w:lineRule="auto" w:before="85" w:after="0"/>
        <w:ind w:left="1072" w:right="0" w:hanging="853"/>
        <w:jc w:val="both"/>
        <w:rPr>
          <w:sz w:val="21"/>
        </w:rPr>
      </w:pPr>
      <w:r>
        <w:rPr>
          <w:rFonts w:ascii="微软雅黑" w:eastAsia="微软雅黑"/>
          <w:b/>
          <w:sz w:val="21"/>
        </w:rPr>
        <w:t>效力恢</w:t>
      </w:r>
      <w:r>
        <w:rPr>
          <w:rFonts w:ascii="微软雅黑" w:eastAsia="微软雅黑"/>
          <w:b/>
          <w:spacing w:val="-10"/>
          <w:sz w:val="21"/>
        </w:rPr>
        <w:t>复</w:t>
      </w:r>
      <w:r>
        <w:rPr>
          <w:rFonts w:ascii="微软雅黑" w:eastAsia="微软雅黑"/>
          <w:b/>
          <w:sz w:val="21"/>
        </w:rPr>
        <w:tab/>
      </w:r>
      <w:r>
        <w:rPr>
          <w:spacing w:val="-2"/>
          <w:sz w:val="21"/>
        </w:rPr>
        <w:t>本</w:t>
      </w:r>
      <w:r>
        <w:rPr>
          <w:spacing w:val="-2"/>
          <w:sz w:val="21"/>
        </w:rPr>
        <w:t>合</w:t>
      </w:r>
      <w:r>
        <w:rPr>
          <w:spacing w:val="-2"/>
          <w:sz w:val="21"/>
        </w:rPr>
        <w:t>同效力中止后</w:t>
      </w:r>
      <w:r>
        <w:rPr>
          <w:spacing w:val="-43"/>
          <w:sz w:val="21"/>
        </w:rPr>
        <w:t> </w:t>
      </w:r>
      <w:r>
        <w:rPr>
          <w:spacing w:val="-2"/>
          <w:sz w:val="21"/>
        </w:rPr>
        <w:t>2</w:t>
      </w:r>
      <w:r>
        <w:rPr>
          <w:spacing w:val="-44"/>
          <w:sz w:val="21"/>
        </w:rPr>
        <w:t> </w:t>
      </w:r>
      <w:r>
        <w:rPr>
          <w:spacing w:val="-2"/>
          <w:sz w:val="21"/>
        </w:rPr>
        <w:t>年内，</w:t>
      </w:r>
      <w:r>
        <w:rPr>
          <w:spacing w:val="-2"/>
          <w:sz w:val="21"/>
        </w:rPr>
        <w:t>投</w:t>
      </w:r>
      <w:r>
        <w:rPr>
          <w:spacing w:val="-2"/>
          <w:sz w:val="21"/>
        </w:rPr>
        <w:t>保人可以申请恢复合</w:t>
      </w:r>
      <w:r>
        <w:rPr>
          <w:spacing w:val="-2"/>
          <w:sz w:val="21"/>
        </w:rPr>
        <w:t>同</w:t>
      </w:r>
      <w:r>
        <w:rPr>
          <w:spacing w:val="-2"/>
          <w:sz w:val="21"/>
        </w:rPr>
        <w:t>效</w:t>
      </w:r>
      <w:r>
        <w:rPr>
          <w:spacing w:val="-2"/>
          <w:sz w:val="21"/>
        </w:rPr>
        <w:t>力</w:t>
      </w:r>
      <w:r>
        <w:rPr>
          <w:spacing w:val="-10"/>
          <w:sz w:val="21"/>
        </w:rPr>
        <w:t>。</w:t>
      </w:r>
    </w:p>
    <w:p>
      <w:pPr>
        <w:pStyle w:val="BodyText"/>
        <w:spacing w:line="278" w:lineRule="auto" w:before="149"/>
        <w:ind w:left="2699" w:right="492"/>
        <w:jc w:val="both"/>
      </w:pPr>
      <w:r>
        <w:rPr>
          <w:spacing w:val="-7"/>
        </w:rPr>
        <w:t>因欠交保险费导致本合同效力中止的，经本公司与投保人协商并达成协议，在投</w:t>
      </w:r>
      <w:r>
        <w:rPr>
          <w:spacing w:val="-7"/>
        </w:rPr>
        <w:t>保人补交保险费及累积利息次日零时起，本合同效力恢复。累积利息按本合同约</w:t>
      </w:r>
      <w:r>
        <w:rPr>
          <w:spacing w:val="-2"/>
        </w:rPr>
        <w:t>定利率计算，但本合同另有约定的除外。</w:t>
      </w:r>
    </w:p>
    <w:p>
      <w:pPr>
        <w:pStyle w:val="BodyText"/>
        <w:spacing w:line="278" w:lineRule="auto" w:before="155"/>
        <w:ind w:left="2699" w:right="389"/>
      </w:pPr>
      <w:r>
        <w:rPr>
          <w:spacing w:val="-8"/>
        </w:rPr>
        <w:t>因保单贷款导致本合同效力中止的，经本公司与投保人双方协商并达成协议，自</w:t>
      </w:r>
      <w:r>
        <w:rPr>
          <w:spacing w:val="-16"/>
        </w:rPr>
        <w:t>投保人偿还保单贷款、累积利息及其他未还款项的次日零时起，本合同效力恢复。</w:t>
      </w:r>
    </w:p>
    <w:p>
      <w:pPr>
        <w:spacing w:after="0" w:line="278" w:lineRule="auto"/>
        <w:sectPr>
          <w:pgSz w:w="11910" w:h="16840"/>
          <w:pgMar w:header="0" w:footer="458" w:top="1360" w:bottom="640" w:left="800" w:right="660"/>
        </w:sectPr>
      </w:pPr>
    </w:p>
    <w:p>
      <w:pPr>
        <w:pStyle w:val="BodyText"/>
        <w:ind w:left="2699"/>
      </w:pPr>
      <w:r>
        <w:rPr>
          <w:spacing w:val="-3"/>
        </w:rPr>
        <w:t>累积利息按本合同约定利率计算，但本合同另有约定的除外。</w:t>
      </w:r>
    </w:p>
    <w:p>
      <w:pPr>
        <w:pStyle w:val="BodyText"/>
        <w:spacing w:before="6"/>
        <w:rPr>
          <w:sz w:val="15"/>
        </w:rPr>
      </w:pPr>
    </w:p>
    <w:p>
      <w:pPr>
        <w:pStyle w:val="BodyText"/>
        <w:spacing w:line="278" w:lineRule="auto" w:before="1"/>
        <w:ind w:left="2699" w:right="495"/>
      </w:pPr>
      <w:r>
        <w:rPr>
          <w:spacing w:val="-5"/>
        </w:rPr>
        <w:t>自本合同效力中止之日起满 </w:t>
      </w:r>
      <w:r>
        <w:rPr/>
        <w:t>2</w:t>
      </w:r>
      <w:r>
        <w:rPr>
          <w:spacing w:val="-15"/>
        </w:rPr>
        <w:t> 年双方未达成协议的，本公司有权解除本合同，并</w:t>
      </w:r>
      <w:r>
        <w:rPr>
          <w:spacing w:val="-2"/>
        </w:rPr>
        <w:t>向投保人退还本合同宽限期开始前一日的现金价值。</w:t>
      </w:r>
    </w:p>
    <w:p>
      <w:pPr>
        <w:pStyle w:val="Heading1"/>
        <w:numPr>
          <w:ilvl w:val="0"/>
          <w:numId w:val="5"/>
        </w:numPr>
        <w:tabs>
          <w:tab w:pos="1072" w:val="left" w:leader="none"/>
          <w:tab w:pos="1073" w:val="left" w:leader="none"/>
        </w:tabs>
        <w:spacing w:line="240" w:lineRule="auto" w:before="134" w:after="0"/>
        <w:ind w:left="1072" w:right="0" w:hanging="745"/>
        <w:jc w:val="left"/>
      </w:pPr>
      <w:r>
        <w:rPr/>
        <w:drawing>
          <wp:anchor distT="0" distB="0" distL="0" distR="0" allowOverlap="1" layoutInCell="1" locked="0" behindDoc="0" simplePos="0" relativeHeight="9">
            <wp:simplePos x="0" y="0"/>
            <wp:positionH relativeFrom="page">
              <wp:posOffset>579119</wp:posOffset>
            </wp:positionH>
            <wp:positionV relativeFrom="paragraph">
              <wp:posOffset>477484</wp:posOffset>
            </wp:positionV>
            <wp:extent cx="6401942" cy="6096"/>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401942" cy="6096"/>
                    </a:xfrm>
                    <a:prstGeom prst="rect">
                      <a:avLst/>
                    </a:prstGeom>
                  </pic:spPr>
                </pic:pic>
              </a:graphicData>
            </a:graphic>
          </wp:anchor>
        </w:drawing>
      </w:r>
      <w:r>
        <w:rPr>
          <w:spacing w:val="-2"/>
        </w:rPr>
        <w:t>如何解除保险合同</w:t>
      </w:r>
    </w:p>
    <w:p>
      <w:pPr>
        <w:pStyle w:val="ListParagraph"/>
        <w:numPr>
          <w:ilvl w:val="1"/>
          <w:numId w:val="24"/>
        </w:numPr>
        <w:tabs>
          <w:tab w:pos="1072" w:val="left" w:leader="none"/>
          <w:tab w:pos="1073" w:val="left" w:leader="none"/>
          <w:tab w:pos="2699" w:val="left" w:leader="none"/>
        </w:tabs>
        <w:spacing w:line="235" w:lineRule="auto" w:before="112" w:after="0"/>
        <w:ind w:left="2699" w:right="493" w:hanging="2480"/>
        <w:jc w:val="left"/>
        <w:rPr>
          <w:sz w:val="21"/>
        </w:rPr>
      </w:pPr>
      <w:r>
        <w:rPr>
          <w:rFonts w:ascii="微软雅黑" w:eastAsia="微软雅黑"/>
          <w:b/>
          <w:spacing w:val="-4"/>
          <w:sz w:val="21"/>
        </w:rPr>
        <w:t>合</w:t>
      </w:r>
      <w:r>
        <w:rPr>
          <w:rFonts w:ascii="微软雅黑" w:eastAsia="微软雅黑"/>
          <w:b/>
          <w:spacing w:val="-4"/>
          <w:sz w:val="21"/>
        </w:rPr>
        <w:t>同</w:t>
      </w:r>
      <w:r>
        <w:rPr>
          <w:rFonts w:ascii="微软雅黑" w:eastAsia="微软雅黑"/>
          <w:b/>
          <w:spacing w:val="-4"/>
          <w:sz w:val="21"/>
        </w:rPr>
        <w:t>解</w:t>
      </w:r>
      <w:r>
        <w:rPr>
          <w:rFonts w:ascii="微软雅黑" w:eastAsia="微软雅黑"/>
          <w:b/>
          <w:spacing w:val="-4"/>
          <w:sz w:val="21"/>
        </w:rPr>
        <w:t>除</w:t>
      </w:r>
      <w:r>
        <w:rPr>
          <w:rFonts w:ascii="微软雅黑" w:eastAsia="微软雅黑"/>
          <w:b/>
          <w:sz w:val="21"/>
        </w:rPr>
        <w:tab/>
      </w:r>
      <w:r>
        <w:rPr>
          <w:spacing w:val="-2"/>
          <w:sz w:val="21"/>
        </w:rPr>
        <w:t>投</w:t>
      </w:r>
      <w:r>
        <w:rPr>
          <w:spacing w:val="-2"/>
          <w:sz w:val="21"/>
        </w:rPr>
        <w:t>保</w:t>
      </w:r>
      <w:r>
        <w:rPr>
          <w:spacing w:val="-2"/>
          <w:sz w:val="21"/>
        </w:rPr>
        <w:t>人在犹豫期后</w:t>
      </w:r>
      <w:r>
        <w:rPr>
          <w:spacing w:val="-56"/>
          <w:sz w:val="21"/>
        </w:rPr>
        <w:t>，</w:t>
      </w:r>
      <w:r>
        <w:rPr>
          <w:spacing w:val="-2"/>
          <w:sz w:val="21"/>
        </w:rPr>
        <w:t>可以</w:t>
      </w:r>
      <w:r>
        <w:rPr>
          <w:spacing w:val="-2"/>
          <w:sz w:val="21"/>
        </w:rPr>
        <w:t>书</w:t>
      </w:r>
      <w:r>
        <w:rPr>
          <w:spacing w:val="-2"/>
          <w:sz w:val="21"/>
        </w:rPr>
        <w:t>面</w:t>
      </w:r>
      <w:r>
        <w:rPr>
          <w:spacing w:val="-2"/>
          <w:sz w:val="21"/>
        </w:rPr>
        <w:t>通知要求解除本合同</w:t>
      </w:r>
      <w:r>
        <w:rPr>
          <w:spacing w:val="-53"/>
          <w:sz w:val="21"/>
        </w:rPr>
        <w:t>，</w:t>
      </w:r>
      <w:r>
        <w:rPr>
          <w:spacing w:val="-2"/>
          <w:sz w:val="21"/>
        </w:rPr>
        <w:t>并向本公司提供下列证</w:t>
      </w:r>
      <w:r>
        <w:rPr>
          <w:spacing w:val="-2"/>
          <w:sz w:val="21"/>
        </w:rPr>
        <w:t>明</w:t>
      </w:r>
      <w:r>
        <w:rPr>
          <w:spacing w:val="-2"/>
          <w:sz w:val="21"/>
        </w:rPr>
        <w:t>和</w:t>
      </w:r>
      <w:r>
        <w:rPr>
          <w:spacing w:val="-4"/>
          <w:sz w:val="21"/>
        </w:rPr>
        <w:t>资</w:t>
      </w:r>
      <w:r>
        <w:rPr>
          <w:spacing w:val="-4"/>
          <w:sz w:val="21"/>
        </w:rPr>
        <w:t>料</w:t>
      </w:r>
      <w:r>
        <w:rPr>
          <w:spacing w:val="-4"/>
          <w:sz w:val="21"/>
        </w:rPr>
        <w:t>：</w:t>
      </w:r>
    </w:p>
    <w:p>
      <w:pPr>
        <w:pStyle w:val="ListParagraph"/>
        <w:numPr>
          <w:ilvl w:val="2"/>
          <w:numId w:val="24"/>
        </w:numPr>
        <w:tabs>
          <w:tab w:pos="3277" w:val="left" w:leader="none"/>
        </w:tabs>
        <w:spacing w:line="240" w:lineRule="auto" w:before="43" w:after="0"/>
        <w:ind w:left="3276" w:right="0" w:hanging="578"/>
        <w:jc w:val="left"/>
        <w:rPr>
          <w:sz w:val="21"/>
        </w:rPr>
      </w:pPr>
      <w:r>
        <w:rPr>
          <w:spacing w:val="-4"/>
          <w:sz w:val="21"/>
        </w:rPr>
        <w:t>保险合同；</w:t>
      </w:r>
    </w:p>
    <w:p>
      <w:pPr>
        <w:pStyle w:val="ListParagraph"/>
        <w:numPr>
          <w:ilvl w:val="2"/>
          <w:numId w:val="24"/>
        </w:numPr>
        <w:tabs>
          <w:tab w:pos="3277" w:val="left" w:leader="none"/>
        </w:tabs>
        <w:spacing w:line="240" w:lineRule="auto" w:before="43" w:after="0"/>
        <w:ind w:left="3276" w:right="0" w:hanging="578"/>
        <w:jc w:val="left"/>
        <w:rPr>
          <w:sz w:val="21"/>
        </w:rPr>
      </w:pPr>
      <w:r>
        <w:rPr>
          <w:spacing w:val="-4"/>
          <w:sz w:val="21"/>
        </w:rPr>
        <w:t>解除合同申请书；</w:t>
      </w:r>
    </w:p>
    <w:p>
      <w:pPr>
        <w:pStyle w:val="ListParagraph"/>
        <w:numPr>
          <w:ilvl w:val="2"/>
          <w:numId w:val="24"/>
        </w:numPr>
        <w:tabs>
          <w:tab w:pos="3277" w:val="left" w:leader="none"/>
        </w:tabs>
        <w:spacing w:line="240" w:lineRule="auto" w:before="43" w:after="0"/>
        <w:ind w:left="3276" w:right="0" w:hanging="578"/>
        <w:jc w:val="left"/>
        <w:rPr>
          <w:sz w:val="21"/>
        </w:rPr>
      </w:pPr>
      <w:r>
        <w:rPr>
          <w:spacing w:val="-3"/>
          <w:sz w:val="21"/>
        </w:rPr>
        <w:t>投保人的有效法定身份证明；</w:t>
      </w:r>
    </w:p>
    <w:p>
      <w:pPr>
        <w:pStyle w:val="ListParagraph"/>
        <w:numPr>
          <w:ilvl w:val="2"/>
          <w:numId w:val="24"/>
        </w:numPr>
        <w:tabs>
          <w:tab w:pos="3277" w:val="left" w:leader="none"/>
        </w:tabs>
        <w:spacing w:line="240" w:lineRule="auto" w:before="42" w:after="0"/>
        <w:ind w:left="3276" w:right="0" w:hanging="578"/>
        <w:jc w:val="left"/>
        <w:rPr>
          <w:sz w:val="21"/>
        </w:rPr>
      </w:pPr>
      <w:r>
        <w:rPr>
          <w:spacing w:val="-3"/>
          <w:sz w:val="21"/>
        </w:rPr>
        <w:t>所能提供的本公司要求的其他证明和资料。</w:t>
      </w:r>
    </w:p>
    <w:p>
      <w:pPr>
        <w:pStyle w:val="BodyText"/>
        <w:spacing w:before="8"/>
        <w:rPr>
          <w:sz w:val="15"/>
        </w:rPr>
      </w:pPr>
    </w:p>
    <w:p>
      <w:pPr>
        <w:pStyle w:val="BodyText"/>
        <w:spacing w:line="278" w:lineRule="auto" w:before="0"/>
        <w:ind w:left="2699" w:right="495"/>
      </w:pPr>
      <w:r>
        <w:rPr>
          <w:spacing w:val="-8"/>
        </w:rPr>
        <w:t>自本公司收到解除合同申请书之日起，本合同终止。本公司在收到上述证明和资</w:t>
      </w:r>
      <w:r>
        <w:rPr>
          <w:spacing w:val="-4"/>
        </w:rPr>
        <w:t>料之日起 </w:t>
      </w:r>
      <w:r>
        <w:rPr/>
        <w:t>30</w:t>
      </w:r>
      <w:r>
        <w:rPr>
          <w:spacing w:val="-5"/>
        </w:rPr>
        <w:t> 日内退还本合同的现金价值。</w:t>
      </w:r>
    </w:p>
    <w:p>
      <w:pPr>
        <w:pStyle w:val="BodyText"/>
        <w:spacing w:before="156"/>
        <w:ind w:left="2699"/>
      </w:pPr>
      <w:r>
        <w:rPr>
          <w:spacing w:val="-3"/>
        </w:rPr>
        <w:t>投保人在犹豫期后解除合同会遭受一定的损失。</w:t>
      </w:r>
    </w:p>
    <w:p>
      <w:pPr>
        <w:pStyle w:val="Heading1"/>
        <w:numPr>
          <w:ilvl w:val="0"/>
          <w:numId w:val="5"/>
        </w:numPr>
        <w:tabs>
          <w:tab w:pos="1072" w:val="left" w:leader="none"/>
          <w:tab w:pos="1073" w:val="left" w:leader="none"/>
        </w:tabs>
        <w:spacing w:line="240" w:lineRule="auto" w:before="127" w:after="0"/>
        <w:ind w:left="1072" w:right="0" w:hanging="745"/>
        <w:jc w:val="left"/>
      </w:pPr>
      <w:r>
        <w:rPr/>
        <w:drawing>
          <wp:anchor distT="0" distB="0" distL="0" distR="0" allowOverlap="1" layoutInCell="1" locked="0" behindDoc="0" simplePos="0" relativeHeight="10">
            <wp:simplePos x="0" y="0"/>
            <wp:positionH relativeFrom="page">
              <wp:posOffset>579119</wp:posOffset>
            </wp:positionH>
            <wp:positionV relativeFrom="paragraph">
              <wp:posOffset>471515</wp:posOffset>
            </wp:positionV>
            <wp:extent cx="6401809" cy="6096"/>
            <wp:effectExtent l="0" t="0" r="0" b="0"/>
            <wp:wrapTopAndBottom/>
            <wp:docPr id="19" name="image3.png"/>
            <wp:cNvGraphicFramePr>
              <a:graphicFrameLocks noChangeAspect="1"/>
            </wp:cNvGraphicFramePr>
            <a:graphic>
              <a:graphicData uri="http://schemas.openxmlformats.org/drawingml/2006/picture">
                <pic:pic>
                  <pic:nvPicPr>
                    <pic:cNvPr id="20" name="image3.png"/>
                    <pic:cNvPicPr/>
                  </pic:nvPicPr>
                  <pic:blipFill>
                    <a:blip r:embed="rId8" cstate="print"/>
                    <a:stretch>
                      <a:fillRect/>
                    </a:stretch>
                  </pic:blipFill>
                  <pic:spPr>
                    <a:xfrm>
                      <a:off x="0" y="0"/>
                      <a:ext cx="6401809" cy="6096"/>
                    </a:xfrm>
                    <a:prstGeom prst="rect">
                      <a:avLst/>
                    </a:prstGeom>
                  </pic:spPr>
                </pic:pic>
              </a:graphicData>
            </a:graphic>
          </wp:anchor>
        </w:drawing>
      </w:r>
      <w:r>
        <w:rPr>
          <w:spacing w:val="-2"/>
        </w:rPr>
        <w:t>其他需要关注的事项</w:t>
      </w:r>
    </w:p>
    <w:p>
      <w:pPr>
        <w:pStyle w:val="BodyText"/>
        <w:spacing w:before="10"/>
        <w:rPr>
          <w:rFonts w:ascii="微软雅黑"/>
          <w:b/>
          <w:sz w:val="5"/>
        </w:rPr>
      </w:pPr>
    </w:p>
    <w:p>
      <w:pPr>
        <w:spacing w:after="0"/>
        <w:rPr>
          <w:rFonts w:ascii="微软雅黑"/>
          <w:sz w:val="5"/>
        </w:rPr>
        <w:sectPr>
          <w:pgSz w:w="11910" w:h="16840"/>
          <w:pgMar w:header="0" w:footer="458" w:top="1260" w:bottom="640" w:left="800" w:right="660"/>
        </w:sectPr>
      </w:pPr>
    </w:p>
    <w:p>
      <w:pPr>
        <w:pStyle w:val="ListParagraph"/>
        <w:numPr>
          <w:ilvl w:val="1"/>
          <w:numId w:val="5"/>
        </w:numPr>
        <w:tabs>
          <w:tab w:pos="1072" w:val="left" w:leader="none"/>
          <w:tab w:pos="1073" w:val="left" w:leader="none"/>
        </w:tabs>
        <w:spacing w:line="194" w:lineRule="auto" w:before="57" w:after="0"/>
        <w:ind w:left="1072" w:right="38" w:hanging="853"/>
        <w:jc w:val="left"/>
        <w:rPr>
          <w:rFonts w:ascii="微软雅黑" w:eastAsia="微软雅黑"/>
          <w:b/>
          <w:sz w:val="21"/>
        </w:rPr>
      </w:pPr>
      <w:r>
        <w:rPr>
          <w:rFonts w:ascii="微软雅黑" w:eastAsia="微软雅黑"/>
          <w:b/>
          <w:spacing w:val="-2"/>
          <w:sz w:val="21"/>
        </w:rPr>
        <w:t>明确说明与如</w:t>
      </w:r>
      <w:r>
        <w:rPr>
          <w:rFonts w:ascii="微软雅黑" w:eastAsia="微软雅黑"/>
          <w:b/>
          <w:spacing w:val="-4"/>
          <w:sz w:val="21"/>
        </w:rPr>
        <w:t>实告知</w:t>
      </w:r>
    </w:p>
    <w:p>
      <w:pPr>
        <w:pStyle w:val="BodyText"/>
        <w:spacing w:line="278" w:lineRule="auto" w:before="72"/>
        <w:ind w:left="220" w:right="386"/>
        <w:jc w:val="both"/>
      </w:pPr>
      <w:r>
        <w:rPr/>
        <w:br w:type="column"/>
      </w:r>
      <w:r>
        <w:rPr>
          <w:spacing w:val="-2"/>
        </w:rPr>
        <w:t>订立本合同时，本公司会向投保人明确说明本合同的内容。对本合同中免除本公</w:t>
      </w:r>
      <w:r>
        <w:rPr>
          <w:spacing w:val="-2"/>
        </w:rPr>
        <w:t>司责任的条款，本公司在订立合同时会在投保单、保险单或者其他保险凭证上作</w:t>
      </w:r>
      <w:r>
        <w:rPr>
          <w:spacing w:val="-2"/>
        </w:rPr>
        <w:t>出足以引起投保人注意的提示，并对该条款的内容以书面或者口头形式向投保人</w:t>
      </w:r>
      <w:r>
        <w:rPr>
          <w:spacing w:val="-2"/>
        </w:rPr>
        <w:t>作出明确说明，未作提示或明确说明的，该条款不产生效力。</w:t>
      </w:r>
    </w:p>
    <w:p>
      <w:pPr>
        <w:pStyle w:val="BodyText"/>
        <w:spacing w:before="155"/>
        <w:ind w:left="220"/>
      </w:pPr>
      <w:r>
        <w:rPr>
          <w:spacing w:val="-3"/>
        </w:rPr>
        <w:t>本公司就投保人和被保险人的有关情况提出询问，投保人应当如实告知。</w:t>
      </w:r>
    </w:p>
    <w:p>
      <w:pPr>
        <w:pStyle w:val="BodyText"/>
        <w:spacing w:before="7"/>
        <w:rPr>
          <w:sz w:val="15"/>
        </w:rPr>
      </w:pPr>
    </w:p>
    <w:p>
      <w:pPr>
        <w:pStyle w:val="BodyText"/>
        <w:spacing w:line="278" w:lineRule="auto" w:before="0"/>
        <w:ind w:left="220" w:right="387"/>
      </w:pPr>
      <w:r>
        <w:rPr>
          <w:spacing w:val="-2"/>
        </w:rPr>
        <w:t>投保人故意或者因重大过失未履行前款规定的如实告知义务，足以影响本公司决</w:t>
      </w:r>
      <w:r>
        <w:rPr>
          <w:spacing w:val="-2"/>
        </w:rPr>
        <w:t>定是否同意承保或者提高保险费率的，本公司有权解除本合同。</w:t>
      </w:r>
    </w:p>
    <w:p>
      <w:pPr>
        <w:pStyle w:val="BodyText"/>
        <w:spacing w:before="156"/>
        <w:ind w:left="220"/>
      </w:pPr>
      <w:r>
        <w:rPr>
          <w:spacing w:val="-6"/>
        </w:rPr>
        <w:t>前条规定的合同解除权，自本公司知道有解除事由之日起，超过 </w:t>
      </w:r>
      <w:r>
        <w:rPr>
          <w:spacing w:val="-4"/>
        </w:rPr>
        <w:t>30</w:t>
      </w:r>
      <w:r>
        <w:rPr>
          <w:spacing w:val="-11"/>
        </w:rPr>
        <w:t> 日不行使而消</w:t>
      </w:r>
    </w:p>
    <w:p>
      <w:pPr>
        <w:pStyle w:val="BodyText"/>
        <w:spacing w:line="278" w:lineRule="auto"/>
        <w:ind w:left="220" w:right="248"/>
      </w:pPr>
      <w:r>
        <w:rPr>
          <w:spacing w:val="-6"/>
        </w:rPr>
        <w:t>灭。自本合同成立之日起超过 </w:t>
      </w:r>
      <w:r>
        <w:rPr>
          <w:spacing w:val="-2"/>
        </w:rPr>
        <w:t>2</w:t>
      </w:r>
      <w:r>
        <w:rPr>
          <w:spacing w:val="-10"/>
        </w:rPr>
        <w:t> 年的，本公司不得解除本合同；发生保险事故的，</w:t>
      </w:r>
      <w:r>
        <w:rPr>
          <w:spacing w:val="-2"/>
        </w:rPr>
        <w:t>本公司承担给付保险金的责任。</w:t>
      </w:r>
    </w:p>
    <w:p>
      <w:pPr>
        <w:pStyle w:val="BodyText"/>
        <w:spacing w:line="278" w:lineRule="auto" w:before="156"/>
        <w:ind w:left="220" w:right="387"/>
      </w:pPr>
      <w:r>
        <w:rPr>
          <w:spacing w:val="-2"/>
        </w:rPr>
        <w:t>投保人故意不履行如实告知义务的，本公司对于合同解除前发生的保险事故，不</w:t>
      </w:r>
      <w:r>
        <w:rPr>
          <w:spacing w:val="-2"/>
        </w:rPr>
        <w:t>承担给付保险金的责任，并不退还保险费。</w:t>
      </w:r>
    </w:p>
    <w:p>
      <w:pPr>
        <w:pStyle w:val="BodyText"/>
        <w:spacing w:line="278" w:lineRule="auto" w:before="155"/>
        <w:ind w:left="220" w:right="387"/>
      </w:pPr>
      <w:r>
        <w:rPr>
          <w:spacing w:val="-2"/>
        </w:rPr>
        <w:t>投保人因重大过失未履行如实告知义务，对保险事故的发生有严重影响的，本公</w:t>
      </w:r>
      <w:r>
        <w:rPr>
          <w:spacing w:val="-3"/>
        </w:rPr>
        <w:t>司对于合同解除前发生的保险事故，不承担给付保险金的责任，但退还保险费。</w:t>
      </w:r>
    </w:p>
    <w:p>
      <w:pPr>
        <w:pStyle w:val="BodyText"/>
        <w:spacing w:line="278" w:lineRule="auto" w:before="156"/>
        <w:ind w:left="220" w:right="387"/>
      </w:pPr>
      <w:r>
        <w:rPr>
          <w:spacing w:val="-2"/>
        </w:rPr>
        <w:t>本公司在本合同订立时已经知道投保人未如实告知的情况的，本公司不得解除本</w:t>
      </w:r>
      <w:r>
        <w:rPr>
          <w:spacing w:val="-2"/>
        </w:rPr>
        <w:t>合同；发生保险事故的，本公司承担给付保险金的责任。</w:t>
      </w:r>
    </w:p>
    <w:p>
      <w:pPr>
        <w:spacing w:after="0" w:line="278" w:lineRule="auto"/>
        <w:sectPr>
          <w:type w:val="continuous"/>
          <w:pgSz w:w="11910" w:h="16840"/>
          <w:pgMar w:header="0" w:footer="458" w:top="620" w:bottom="280" w:left="800" w:right="660"/>
          <w:cols w:num="2" w:equalWidth="0">
            <w:col w:w="2380" w:space="99"/>
            <w:col w:w="7971"/>
          </w:cols>
        </w:sectPr>
      </w:pPr>
    </w:p>
    <w:p>
      <w:pPr>
        <w:pStyle w:val="ListParagraph"/>
        <w:numPr>
          <w:ilvl w:val="1"/>
          <w:numId w:val="5"/>
        </w:numPr>
        <w:tabs>
          <w:tab w:pos="1072" w:val="left" w:leader="none"/>
          <w:tab w:pos="1073" w:val="left" w:leader="none"/>
        </w:tabs>
        <w:spacing w:line="194" w:lineRule="auto" w:before="147" w:after="0"/>
        <w:ind w:left="1072" w:right="38" w:hanging="853"/>
        <w:jc w:val="left"/>
        <w:rPr>
          <w:rFonts w:ascii="微软雅黑" w:eastAsia="微软雅黑"/>
          <w:b/>
          <w:sz w:val="21"/>
        </w:rPr>
      </w:pPr>
      <w:r>
        <w:rPr>
          <w:rFonts w:ascii="微软雅黑" w:eastAsia="微软雅黑"/>
          <w:b/>
          <w:spacing w:val="-2"/>
          <w:sz w:val="21"/>
        </w:rPr>
        <w:t>年龄确定与错</w:t>
      </w:r>
      <w:r>
        <w:rPr>
          <w:rFonts w:ascii="微软雅黑" w:eastAsia="微软雅黑"/>
          <w:b/>
          <w:spacing w:val="-4"/>
          <w:sz w:val="21"/>
        </w:rPr>
        <w:t>误处理</w:t>
      </w:r>
    </w:p>
    <w:p>
      <w:pPr>
        <w:pStyle w:val="BodyText"/>
        <w:spacing w:line="278" w:lineRule="auto" w:before="161"/>
        <w:ind w:left="220" w:right="358"/>
      </w:pPr>
      <w:r>
        <w:rPr/>
        <w:br w:type="column"/>
      </w:r>
      <w:r>
        <w:rPr>
          <w:spacing w:val="-2"/>
        </w:rPr>
        <w:t>被保险人的投保年龄按周岁计算。投保人应在投保本保险时将被保险人的真实年</w:t>
      </w:r>
      <w:r>
        <w:rPr>
          <w:spacing w:val="-2"/>
        </w:rPr>
        <w:t>龄在投保单上填明，若发生错误，本公司按照下列规定办理：</w:t>
      </w:r>
    </w:p>
    <w:p>
      <w:pPr>
        <w:pStyle w:val="ListParagraph"/>
        <w:numPr>
          <w:ilvl w:val="0"/>
          <w:numId w:val="25"/>
        </w:numPr>
        <w:tabs>
          <w:tab w:pos="845" w:val="left" w:leader="none"/>
        </w:tabs>
        <w:spacing w:line="278" w:lineRule="auto" w:before="0" w:after="0"/>
        <w:ind w:left="844" w:right="357" w:hanging="625"/>
        <w:jc w:val="left"/>
        <w:rPr>
          <w:sz w:val="21"/>
        </w:rPr>
      </w:pPr>
      <w:r>
        <w:rPr>
          <w:spacing w:val="-2"/>
          <w:sz w:val="21"/>
        </w:rPr>
        <w:t>投保人申报的被保险人年龄不真实，并且其真实年龄不符合本合同约定的</w:t>
      </w:r>
      <w:r>
        <w:rPr>
          <w:spacing w:val="-5"/>
          <w:sz w:val="21"/>
        </w:rPr>
        <w:t>年龄限制的，本公司有权在知道有解除事由之日起 </w:t>
      </w:r>
      <w:r>
        <w:rPr>
          <w:spacing w:val="-2"/>
          <w:sz w:val="21"/>
        </w:rPr>
        <w:t>30</w:t>
      </w:r>
      <w:r>
        <w:rPr>
          <w:spacing w:val="-10"/>
          <w:sz w:val="21"/>
        </w:rPr>
        <w:t> 日内解除本合同，并</w:t>
      </w:r>
    </w:p>
    <w:p>
      <w:pPr>
        <w:pStyle w:val="BodyText"/>
        <w:spacing w:line="278" w:lineRule="auto" w:before="0"/>
        <w:ind w:left="844" w:right="353"/>
      </w:pPr>
      <w:r>
        <w:rPr>
          <w:spacing w:val="-2"/>
        </w:rPr>
        <w:t>向投保人退还本合同终止时的现金价值，但自本合同成立之日起超过 </w:t>
      </w:r>
      <w:r>
        <w:rPr/>
        <w:t>2</w:t>
      </w:r>
      <w:r>
        <w:rPr>
          <w:spacing w:val="-17"/>
        </w:rPr>
        <w:t> 年</w:t>
      </w:r>
      <w:r>
        <w:rPr>
          <w:spacing w:val="-4"/>
        </w:rPr>
        <w:t>的除外。</w:t>
      </w:r>
    </w:p>
    <w:p>
      <w:pPr>
        <w:pStyle w:val="ListParagraph"/>
        <w:numPr>
          <w:ilvl w:val="0"/>
          <w:numId w:val="25"/>
        </w:numPr>
        <w:tabs>
          <w:tab w:pos="845" w:val="left" w:leader="none"/>
        </w:tabs>
        <w:spacing w:line="269" w:lineRule="exact" w:before="0" w:after="0"/>
        <w:ind w:left="844" w:right="0" w:hanging="625"/>
        <w:jc w:val="left"/>
        <w:rPr>
          <w:sz w:val="21"/>
        </w:rPr>
      </w:pPr>
      <w:r>
        <w:rPr>
          <w:spacing w:val="-1"/>
          <w:sz w:val="21"/>
        </w:rPr>
        <w:t>投保人申报的被保险人年龄不真实，致使投保人支付的保险费少于应付保</w:t>
      </w:r>
    </w:p>
    <w:p>
      <w:pPr>
        <w:spacing w:after="0" w:line="269" w:lineRule="exact"/>
        <w:jc w:val="left"/>
        <w:rPr>
          <w:sz w:val="21"/>
        </w:rPr>
        <w:sectPr>
          <w:type w:val="continuous"/>
          <w:pgSz w:w="11910" w:h="16840"/>
          <w:pgMar w:header="0" w:footer="458" w:top="620" w:bottom="280" w:left="800" w:right="660"/>
          <w:cols w:num="2" w:equalWidth="0">
            <w:col w:w="2380" w:space="99"/>
            <w:col w:w="7971"/>
          </w:cols>
        </w:sectPr>
      </w:pPr>
    </w:p>
    <w:p>
      <w:pPr>
        <w:pStyle w:val="BodyText"/>
        <w:spacing w:line="278" w:lineRule="auto"/>
        <w:ind w:left="3324" w:right="357"/>
      </w:pPr>
      <w:r>
        <w:rPr>
          <w:spacing w:val="-2"/>
        </w:rPr>
        <w:t>险费的，本公司有权更正并要求投保人补交保险费，或在给付保险金时按</w:t>
      </w:r>
      <w:r>
        <w:rPr>
          <w:spacing w:val="-2"/>
        </w:rPr>
        <w:t>照实付保险费与应付保险费的比例支付。</w:t>
      </w:r>
    </w:p>
    <w:p>
      <w:pPr>
        <w:pStyle w:val="ListParagraph"/>
        <w:numPr>
          <w:ilvl w:val="0"/>
          <w:numId w:val="25"/>
        </w:numPr>
        <w:tabs>
          <w:tab w:pos="3325" w:val="left" w:leader="none"/>
        </w:tabs>
        <w:spacing w:line="278" w:lineRule="auto" w:before="0" w:after="0"/>
        <w:ind w:left="3324" w:right="357" w:hanging="625"/>
        <w:jc w:val="left"/>
        <w:rPr>
          <w:sz w:val="21"/>
        </w:rPr>
      </w:pPr>
      <w:r>
        <w:rPr>
          <w:spacing w:val="-2"/>
          <w:sz w:val="21"/>
        </w:rPr>
        <w:t>投保人申报的被保险人年龄不真实，致使投保人支付的保险费多于应付保</w:t>
      </w:r>
      <w:r>
        <w:rPr>
          <w:spacing w:val="-2"/>
          <w:sz w:val="21"/>
        </w:rPr>
        <w:t>险费的，本公司应将多收的保险费无息退还投保人。</w:t>
      </w:r>
    </w:p>
    <w:p>
      <w:pPr>
        <w:pStyle w:val="ListParagraph"/>
        <w:numPr>
          <w:ilvl w:val="1"/>
          <w:numId w:val="5"/>
        </w:numPr>
        <w:tabs>
          <w:tab w:pos="1073" w:val="left" w:leader="none"/>
          <w:tab w:pos="2699" w:val="left" w:leader="none"/>
        </w:tabs>
        <w:spacing w:line="256" w:lineRule="auto" w:before="91" w:after="0"/>
        <w:ind w:left="2699" w:right="358" w:hanging="2480"/>
        <w:jc w:val="both"/>
        <w:rPr>
          <w:sz w:val="21"/>
        </w:rPr>
      </w:pPr>
      <w:r>
        <w:rPr>
          <w:rFonts w:ascii="微软雅黑" w:eastAsia="微软雅黑"/>
          <w:b/>
          <w:spacing w:val="-4"/>
          <w:sz w:val="21"/>
        </w:rPr>
        <w:t>未</w:t>
      </w:r>
      <w:r>
        <w:rPr>
          <w:rFonts w:ascii="微软雅黑" w:eastAsia="微软雅黑"/>
          <w:b/>
          <w:spacing w:val="-4"/>
          <w:sz w:val="21"/>
        </w:rPr>
        <w:t>还</w:t>
      </w:r>
      <w:r>
        <w:rPr>
          <w:rFonts w:ascii="微软雅黑" w:eastAsia="微软雅黑"/>
          <w:b/>
          <w:spacing w:val="-4"/>
          <w:sz w:val="21"/>
        </w:rPr>
        <w:t>款</w:t>
      </w:r>
      <w:r>
        <w:rPr>
          <w:rFonts w:ascii="微软雅黑" w:eastAsia="微软雅黑"/>
          <w:b/>
          <w:spacing w:val="-4"/>
          <w:sz w:val="21"/>
        </w:rPr>
        <w:t>项</w:t>
      </w:r>
      <w:r>
        <w:rPr>
          <w:rFonts w:ascii="微软雅黑" w:eastAsia="微软雅黑"/>
          <w:b/>
          <w:sz w:val="21"/>
        </w:rPr>
        <w:tab/>
      </w:r>
      <w:r>
        <w:rPr>
          <w:spacing w:val="-2"/>
          <w:sz w:val="21"/>
        </w:rPr>
        <w:t>本</w:t>
      </w:r>
      <w:r>
        <w:rPr>
          <w:spacing w:val="-2"/>
          <w:sz w:val="21"/>
        </w:rPr>
        <w:t>公</w:t>
      </w:r>
      <w:r>
        <w:rPr>
          <w:spacing w:val="-2"/>
          <w:sz w:val="21"/>
        </w:rPr>
        <w:t>司</w:t>
      </w:r>
      <w:r>
        <w:rPr>
          <w:spacing w:val="-2"/>
          <w:sz w:val="21"/>
        </w:rPr>
        <w:t>在</w:t>
      </w:r>
      <w:r>
        <w:rPr>
          <w:spacing w:val="-2"/>
          <w:sz w:val="21"/>
        </w:rPr>
        <w:t>给</w:t>
      </w:r>
      <w:r>
        <w:rPr>
          <w:spacing w:val="-2"/>
          <w:sz w:val="21"/>
        </w:rPr>
        <w:t>付</w:t>
      </w:r>
      <w:r>
        <w:rPr>
          <w:spacing w:val="-2"/>
          <w:sz w:val="21"/>
        </w:rPr>
        <w:t>各</w:t>
      </w:r>
      <w:r>
        <w:rPr>
          <w:spacing w:val="-2"/>
          <w:sz w:val="21"/>
        </w:rPr>
        <w:t>项</w:t>
      </w:r>
      <w:r>
        <w:rPr>
          <w:spacing w:val="-2"/>
          <w:sz w:val="21"/>
        </w:rPr>
        <w:t>保</w:t>
      </w:r>
      <w:r>
        <w:rPr>
          <w:spacing w:val="-2"/>
          <w:sz w:val="21"/>
        </w:rPr>
        <w:t>险</w:t>
      </w:r>
      <w:r>
        <w:rPr>
          <w:spacing w:val="-2"/>
          <w:sz w:val="21"/>
        </w:rPr>
        <w:t>金、</w:t>
      </w:r>
      <w:r>
        <w:rPr>
          <w:spacing w:val="-2"/>
          <w:sz w:val="21"/>
        </w:rPr>
        <w:t>退</w:t>
      </w:r>
      <w:r>
        <w:rPr>
          <w:spacing w:val="-2"/>
          <w:sz w:val="21"/>
        </w:rPr>
        <w:t>还</w:t>
      </w:r>
      <w:r>
        <w:rPr>
          <w:spacing w:val="-2"/>
          <w:sz w:val="21"/>
        </w:rPr>
        <w:t>现</w:t>
      </w:r>
      <w:r>
        <w:rPr>
          <w:spacing w:val="-2"/>
          <w:sz w:val="21"/>
        </w:rPr>
        <w:t>金</w:t>
      </w:r>
      <w:r>
        <w:rPr>
          <w:spacing w:val="-2"/>
          <w:sz w:val="21"/>
        </w:rPr>
        <w:t>价</w:t>
      </w:r>
      <w:r>
        <w:rPr>
          <w:spacing w:val="-2"/>
          <w:sz w:val="21"/>
        </w:rPr>
        <w:t>值</w:t>
      </w:r>
      <w:r>
        <w:rPr>
          <w:spacing w:val="-2"/>
          <w:sz w:val="21"/>
        </w:rPr>
        <w:t>或</w:t>
      </w:r>
      <w:r>
        <w:rPr>
          <w:spacing w:val="-2"/>
          <w:sz w:val="21"/>
        </w:rPr>
        <w:t>返</w:t>
      </w:r>
      <w:r>
        <w:rPr>
          <w:spacing w:val="-2"/>
          <w:sz w:val="21"/>
        </w:rPr>
        <w:t>还</w:t>
      </w:r>
      <w:r>
        <w:rPr>
          <w:spacing w:val="-2"/>
          <w:sz w:val="21"/>
        </w:rPr>
        <w:t>保险费</w:t>
      </w:r>
      <w:r>
        <w:rPr>
          <w:spacing w:val="-2"/>
          <w:sz w:val="21"/>
        </w:rPr>
        <w:t>时</w:t>
      </w:r>
      <w:r>
        <w:rPr>
          <w:spacing w:val="-2"/>
          <w:sz w:val="21"/>
        </w:rPr>
        <w:t>，</w:t>
      </w:r>
      <w:r>
        <w:rPr>
          <w:spacing w:val="-2"/>
          <w:sz w:val="21"/>
        </w:rPr>
        <w:t>若</w:t>
      </w:r>
      <w:r>
        <w:rPr>
          <w:spacing w:val="-2"/>
          <w:sz w:val="21"/>
        </w:rPr>
        <w:t>投</w:t>
      </w:r>
      <w:r>
        <w:rPr>
          <w:spacing w:val="-2"/>
          <w:sz w:val="21"/>
        </w:rPr>
        <w:t>保</w:t>
      </w:r>
      <w:r>
        <w:rPr>
          <w:spacing w:val="-2"/>
          <w:sz w:val="21"/>
        </w:rPr>
        <w:t>人</w:t>
      </w:r>
      <w:r>
        <w:rPr>
          <w:spacing w:val="-2"/>
          <w:sz w:val="21"/>
        </w:rPr>
        <w:t>有</w:t>
      </w:r>
      <w:r>
        <w:rPr>
          <w:spacing w:val="-2"/>
          <w:sz w:val="21"/>
        </w:rPr>
        <w:t>欠</w:t>
      </w:r>
      <w:r>
        <w:rPr>
          <w:spacing w:val="-2"/>
          <w:sz w:val="21"/>
        </w:rPr>
        <w:t>交的</w:t>
      </w:r>
      <w:r>
        <w:rPr>
          <w:spacing w:val="-2"/>
          <w:sz w:val="21"/>
        </w:rPr>
        <w:t>保</w:t>
      </w:r>
      <w:r>
        <w:rPr>
          <w:spacing w:val="-2"/>
          <w:sz w:val="21"/>
        </w:rPr>
        <w:t>险</w:t>
      </w:r>
      <w:r>
        <w:rPr>
          <w:spacing w:val="-2"/>
          <w:sz w:val="21"/>
        </w:rPr>
        <w:t>费</w:t>
      </w:r>
      <w:r>
        <w:rPr>
          <w:spacing w:val="-2"/>
          <w:sz w:val="21"/>
        </w:rPr>
        <w:t>或</w:t>
      </w:r>
      <w:r>
        <w:rPr>
          <w:spacing w:val="-2"/>
          <w:sz w:val="21"/>
        </w:rPr>
        <w:t>其</w:t>
      </w:r>
      <w:r>
        <w:rPr>
          <w:spacing w:val="-2"/>
          <w:sz w:val="21"/>
        </w:rPr>
        <w:t>他</w:t>
      </w:r>
      <w:r>
        <w:rPr>
          <w:spacing w:val="-2"/>
          <w:sz w:val="21"/>
        </w:rPr>
        <w:t>未</w:t>
      </w:r>
      <w:r>
        <w:rPr>
          <w:spacing w:val="-2"/>
          <w:sz w:val="21"/>
        </w:rPr>
        <w:t>还</w:t>
      </w:r>
      <w:r>
        <w:rPr>
          <w:spacing w:val="-2"/>
          <w:sz w:val="21"/>
        </w:rPr>
        <w:t>清</w:t>
      </w:r>
      <w:r>
        <w:rPr>
          <w:spacing w:val="-2"/>
          <w:sz w:val="21"/>
        </w:rPr>
        <w:t>款</w:t>
      </w:r>
      <w:r>
        <w:rPr>
          <w:spacing w:val="-2"/>
          <w:sz w:val="21"/>
        </w:rPr>
        <w:t>项</w:t>
      </w:r>
      <w:r>
        <w:rPr>
          <w:spacing w:val="-2"/>
          <w:sz w:val="21"/>
        </w:rPr>
        <w:t>，</w:t>
      </w:r>
      <w:r>
        <w:rPr>
          <w:spacing w:val="-2"/>
          <w:sz w:val="21"/>
        </w:rPr>
        <w:t>本</w:t>
      </w:r>
      <w:r>
        <w:rPr>
          <w:spacing w:val="-2"/>
          <w:sz w:val="21"/>
        </w:rPr>
        <w:t>公</w:t>
      </w:r>
      <w:r>
        <w:rPr>
          <w:spacing w:val="-2"/>
          <w:sz w:val="21"/>
        </w:rPr>
        <w:t>司</w:t>
      </w:r>
      <w:r>
        <w:rPr>
          <w:spacing w:val="-2"/>
          <w:sz w:val="21"/>
        </w:rPr>
        <w:t>会</w:t>
      </w:r>
      <w:r>
        <w:rPr>
          <w:spacing w:val="-2"/>
          <w:sz w:val="21"/>
        </w:rPr>
        <w:t>在</w:t>
      </w:r>
      <w:r>
        <w:rPr>
          <w:spacing w:val="-2"/>
          <w:sz w:val="21"/>
        </w:rPr>
        <w:t>扣</w:t>
      </w:r>
      <w:r>
        <w:rPr>
          <w:spacing w:val="-2"/>
          <w:sz w:val="21"/>
        </w:rPr>
        <w:t>除</w:t>
      </w:r>
      <w:r>
        <w:rPr>
          <w:spacing w:val="-2"/>
          <w:sz w:val="21"/>
        </w:rPr>
        <w:t>上</w:t>
      </w:r>
      <w:r>
        <w:rPr>
          <w:spacing w:val="-2"/>
          <w:sz w:val="21"/>
        </w:rPr>
        <w:t>述</w:t>
      </w:r>
      <w:r>
        <w:rPr>
          <w:spacing w:val="-2"/>
          <w:sz w:val="21"/>
        </w:rPr>
        <w:t>欠</w:t>
      </w:r>
      <w:r>
        <w:rPr>
          <w:spacing w:val="-2"/>
          <w:sz w:val="21"/>
        </w:rPr>
        <w:t>款</w:t>
      </w:r>
      <w:r>
        <w:rPr>
          <w:spacing w:val="-2"/>
          <w:sz w:val="21"/>
        </w:rPr>
        <w:t>及</w:t>
      </w:r>
      <w:r>
        <w:rPr>
          <w:spacing w:val="-2"/>
          <w:sz w:val="21"/>
        </w:rPr>
        <w:t>应</w:t>
      </w:r>
      <w:r>
        <w:rPr>
          <w:spacing w:val="-2"/>
          <w:sz w:val="21"/>
        </w:rPr>
        <w:t>付</w:t>
      </w:r>
      <w:r>
        <w:rPr>
          <w:spacing w:val="-2"/>
          <w:sz w:val="21"/>
        </w:rPr>
        <w:t>利</w:t>
      </w:r>
      <w:r>
        <w:rPr>
          <w:spacing w:val="-2"/>
          <w:sz w:val="21"/>
        </w:rPr>
        <w:t>息</w:t>
      </w:r>
      <w:r>
        <w:rPr>
          <w:spacing w:val="-2"/>
          <w:sz w:val="21"/>
        </w:rPr>
        <w:t>后</w:t>
      </w:r>
      <w:r>
        <w:rPr>
          <w:spacing w:val="-2"/>
          <w:sz w:val="21"/>
        </w:rPr>
        <w:t>给</w:t>
      </w:r>
      <w:r>
        <w:rPr>
          <w:spacing w:val="-2"/>
          <w:sz w:val="21"/>
        </w:rPr>
        <w:t>付</w:t>
      </w:r>
      <w:r>
        <w:rPr>
          <w:spacing w:val="-2"/>
          <w:sz w:val="21"/>
        </w:rPr>
        <w:t>。应付利</w:t>
      </w:r>
      <w:r>
        <w:rPr>
          <w:spacing w:val="-2"/>
          <w:sz w:val="21"/>
        </w:rPr>
        <w:t>息</w:t>
      </w:r>
      <w:r>
        <w:rPr>
          <w:spacing w:val="-2"/>
          <w:sz w:val="21"/>
        </w:rPr>
        <w:t>按</w:t>
      </w:r>
      <w:r>
        <w:rPr>
          <w:spacing w:val="-2"/>
          <w:sz w:val="21"/>
        </w:rPr>
        <w:t>本</w:t>
      </w:r>
      <w:r>
        <w:rPr>
          <w:spacing w:val="-2"/>
          <w:sz w:val="21"/>
        </w:rPr>
        <w:t>条款约定利率计算，</w:t>
      </w:r>
      <w:r>
        <w:rPr>
          <w:spacing w:val="-2"/>
          <w:sz w:val="21"/>
        </w:rPr>
        <w:t>但</w:t>
      </w:r>
      <w:r>
        <w:rPr>
          <w:spacing w:val="-2"/>
          <w:sz w:val="21"/>
        </w:rPr>
        <w:t>本</w:t>
      </w:r>
      <w:r>
        <w:rPr>
          <w:spacing w:val="-2"/>
          <w:sz w:val="21"/>
        </w:rPr>
        <w:t>合同另有约定的除外。</w:t>
      </w:r>
    </w:p>
    <w:p>
      <w:pPr>
        <w:pStyle w:val="ListParagraph"/>
        <w:numPr>
          <w:ilvl w:val="1"/>
          <w:numId w:val="5"/>
        </w:numPr>
        <w:tabs>
          <w:tab w:pos="1073" w:val="left" w:leader="none"/>
        </w:tabs>
        <w:spacing w:line="256" w:lineRule="auto" w:before="107" w:after="0"/>
        <w:ind w:left="2699" w:right="359" w:hanging="2480"/>
        <w:jc w:val="both"/>
        <w:rPr>
          <w:sz w:val="21"/>
        </w:rPr>
      </w:pPr>
      <w:r>
        <w:rPr>
          <w:rFonts w:ascii="微软雅黑" w:eastAsia="微软雅黑"/>
          <w:b/>
          <w:spacing w:val="42"/>
          <w:sz w:val="21"/>
        </w:rPr>
        <w:t>合同内容变更 </w:t>
      </w:r>
      <w:r>
        <w:rPr>
          <w:sz w:val="21"/>
        </w:rPr>
        <w:t>投保人和本公司可以协商变更本合同的内容。变更本合同的，应当由本公司在保</w:t>
      </w:r>
      <w:r>
        <w:rPr>
          <w:spacing w:val="-2"/>
          <w:sz w:val="21"/>
        </w:rPr>
        <w:t>险单或者其他保险凭证上批注或者附贴批单，或者由投保人与本公司订立书面的</w:t>
      </w:r>
      <w:r>
        <w:rPr>
          <w:spacing w:val="-2"/>
          <w:sz w:val="21"/>
        </w:rPr>
        <w:t>变更协议。</w:t>
      </w:r>
    </w:p>
    <w:p>
      <w:pPr>
        <w:pStyle w:val="BodyText"/>
        <w:spacing w:before="169"/>
        <w:ind w:left="2699"/>
      </w:pPr>
      <w:r>
        <w:rPr>
          <w:spacing w:val="-3"/>
        </w:rPr>
        <w:t>若被保险人身故，则本公司不接受本合同内容的任何变更申请。</w:t>
      </w:r>
    </w:p>
    <w:p>
      <w:pPr>
        <w:pStyle w:val="ListParagraph"/>
        <w:numPr>
          <w:ilvl w:val="1"/>
          <w:numId w:val="5"/>
        </w:numPr>
        <w:tabs>
          <w:tab w:pos="1073" w:val="left" w:leader="none"/>
        </w:tabs>
        <w:spacing w:line="312" w:lineRule="exact" w:before="164" w:after="0"/>
        <w:ind w:left="2699" w:right="359" w:hanging="2480"/>
        <w:jc w:val="both"/>
        <w:rPr>
          <w:sz w:val="21"/>
        </w:rPr>
      </w:pPr>
      <w:r>
        <w:rPr>
          <w:rFonts w:ascii="微软雅黑" w:eastAsia="微软雅黑"/>
          <w:b/>
          <w:spacing w:val="42"/>
          <w:sz w:val="21"/>
        </w:rPr>
        <w:t>联系方式变更 </w:t>
      </w:r>
      <w:r>
        <w:rPr>
          <w:sz w:val="21"/>
        </w:rPr>
        <w:t>投保人住所、通讯地址或电话等联系方式变更时，应及时以书面形式或双方认可</w:t>
      </w:r>
      <w:r>
        <w:rPr>
          <w:spacing w:val="-2"/>
          <w:sz w:val="21"/>
        </w:rPr>
        <w:t>的其他形式通知本公司。投保人未以书面形式或双方认可的其他形式通知的，本</w:t>
      </w:r>
      <w:r>
        <w:rPr>
          <w:spacing w:val="-2"/>
          <w:sz w:val="21"/>
        </w:rPr>
        <w:t>公司将按本合同载明的最后住所或通讯地址等联系方式发送有关通知，并视为已</w:t>
      </w:r>
      <w:r>
        <w:rPr>
          <w:spacing w:val="-2"/>
          <w:sz w:val="21"/>
        </w:rPr>
        <w:t>送达给投保人。</w:t>
      </w:r>
    </w:p>
    <w:p>
      <w:pPr>
        <w:pStyle w:val="ListParagraph"/>
        <w:numPr>
          <w:ilvl w:val="1"/>
          <w:numId w:val="5"/>
        </w:numPr>
        <w:tabs>
          <w:tab w:pos="1073" w:val="left" w:leader="none"/>
          <w:tab w:pos="2699" w:val="left" w:leader="none"/>
        </w:tabs>
        <w:spacing w:line="383" w:lineRule="exact" w:before="131" w:after="0"/>
        <w:ind w:left="1072" w:right="0" w:hanging="853"/>
        <w:jc w:val="both"/>
        <w:rPr>
          <w:sz w:val="21"/>
        </w:rPr>
      </w:pPr>
      <w:r>
        <w:rPr>
          <w:rFonts w:ascii="微软雅黑" w:eastAsia="微软雅黑"/>
          <w:b/>
          <w:sz w:val="21"/>
        </w:rPr>
        <w:t>争议处</w:t>
      </w:r>
      <w:r>
        <w:rPr>
          <w:rFonts w:ascii="微软雅黑" w:eastAsia="微软雅黑"/>
          <w:b/>
          <w:spacing w:val="-10"/>
          <w:sz w:val="21"/>
        </w:rPr>
        <w:t>理</w:t>
      </w:r>
      <w:r>
        <w:rPr>
          <w:rFonts w:ascii="微软雅黑" w:eastAsia="微软雅黑"/>
          <w:b/>
          <w:sz w:val="21"/>
        </w:rPr>
        <w:tab/>
      </w:r>
      <w:r>
        <w:rPr>
          <w:spacing w:val="-2"/>
          <w:sz w:val="21"/>
        </w:rPr>
        <w:t>本</w:t>
      </w:r>
      <w:r>
        <w:rPr>
          <w:spacing w:val="-2"/>
          <w:sz w:val="21"/>
        </w:rPr>
        <w:t>合</w:t>
      </w:r>
      <w:r>
        <w:rPr>
          <w:spacing w:val="-2"/>
          <w:sz w:val="21"/>
        </w:rPr>
        <w:t>同争议的解决方式，</w:t>
      </w:r>
      <w:r>
        <w:rPr>
          <w:spacing w:val="-2"/>
          <w:sz w:val="21"/>
        </w:rPr>
        <w:t>由</w:t>
      </w:r>
      <w:r>
        <w:rPr>
          <w:spacing w:val="-2"/>
          <w:sz w:val="21"/>
        </w:rPr>
        <w:t>当</w:t>
      </w:r>
      <w:r>
        <w:rPr>
          <w:spacing w:val="-2"/>
          <w:sz w:val="21"/>
        </w:rPr>
        <w:t>事人在合同中约定从</w:t>
      </w:r>
      <w:r>
        <w:rPr>
          <w:spacing w:val="-2"/>
          <w:sz w:val="21"/>
        </w:rPr>
        <w:t>下</w:t>
      </w:r>
      <w:r>
        <w:rPr>
          <w:spacing w:val="-2"/>
          <w:sz w:val="21"/>
        </w:rPr>
        <w:t>列</w:t>
      </w:r>
      <w:r>
        <w:rPr>
          <w:spacing w:val="-2"/>
          <w:sz w:val="21"/>
        </w:rPr>
        <w:t>两种方式中选择一种</w:t>
      </w:r>
      <w:r>
        <w:rPr>
          <w:spacing w:val="-10"/>
          <w:sz w:val="21"/>
        </w:rPr>
        <w:t>：</w:t>
      </w:r>
    </w:p>
    <w:p>
      <w:pPr>
        <w:pStyle w:val="ListParagraph"/>
        <w:numPr>
          <w:ilvl w:val="2"/>
          <w:numId w:val="5"/>
        </w:numPr>
        <w:tabs>
          <w:tab w:pos="3421" w:val="left" w:leader="none"/>
        </w:tabs>
        <w:spacing w:line="278" w:lineRule="auto" w:before="0" w:after="0"/>
        <w:ind w:left="3420" w:right="355" w:hanging="721"/>
        <w:jc w:val="both"/>
        <w:rPr>
          <w:sz w:val="21"/>
        </w:rPr>
      </w:pPr>
      <w:r>
        <w:rPr>
          <w:spacing w:val="-2"/>
          <w:sz w:val="21"/>
        </w:rPr>
        <w:t>因履行本合同发生的争议，由当事人协商解决，协商不成的，提交双方共</w:t>
      </w:r>
      <w:r>
        <w:rPr>
          <w:spacing w:val="-2"/>
          <w:sz w:val="21"/>
        </w:rPr>
        <w:t>同选定的仲裁委员会，按其当时有效的仲裁规则仲裁解决；</w:t>
      </w:r>
    </w:p>
    <w:p>
      <w:pPr>
        <w:pStyle w:val="ListParagraph"/>
        <w:numPr>
          <w:ilvl w:val="2"/>
          <w:numId w:val="5"/>
        </w:numPr>
        <w:tabs>
          <w:tab w:pos="3421" w:val="left" w:leader="none"/>
        </w:tabs>
        <w:spacing w:line="278" w:lineRule="auto" w:before="0" w:after="0"/>
        <w:ind w:left="3420" w:right="358" w:hanging="721"/>
        <w:jc w:val="both"/>
        <w:rPr>
          <w:sz w:val="21"/>
        </w:rPr>
      </w:pPr>
      <w:r>
        <w:rPr>
          <w:spacing w:val="-2"/>
          <w:sz w:val="21"/>
        </w:rPr>
        <w:t>因履行本合同发生的争议，由当事人协商解决，协商不成的，依法向有管</w:t>
      </w:r>
      <w:r>
        <w:rPr>
          <w:spacing w:val="-2"/>
          <w:sz w:val="21"/>
        </w:rPr>
        <w:t>辖权的人民法院提起诉讼。</w:t>
      </w:r>
    </w:p>
    <w:p>
      <w:pPr>
        <w:pStyle w:val="Heading1"/>
        <w:numPr>
          <w:ilvl w:val="0"/>
          <w:numId w:val="5"/>
        </w:numPr>
        <w:tabs>
          <w:tab w:pos="1072" w:val="left" w:leader="none"/>
          <w:tab w:pos="1073" w:val="left" w:leader="none"/>
        </w:tabs>
        <w:spacing w:line="240" w:lineRule="auto" w:before="133" w:after="4"/>
        <w:ind w:left="1072" w:right="0" w:hanging="745"/>
        <w:jc w:val="left"/>
      </w:pPr>
      <w:r>
        <w:rPr>
          <w:spacing w:val="-5"/>
        </w:rPr>
        <w:t>释义</w:t>
      </w:r>
    </w:p>
    <w:p>
      <w:pPr>
        <w:pStyle w:val="BodyText"/>
        <w:spacing w:line="20" w:lineRule="exact" w:before="0"/>
        <w:ind w:left="112"/>
        <w:rPr>
          <w:rFonts w:ascii="微软雅黑"/>
          <w:sz w:val="2"/>
        </w:rPr>
      </w:pPr>
      <w:r>
        <w:rPr>
          <w:rFonts w:ascii="微软雅黑"/>
          <w:sz w:val="2"/>
        </w:rPr>
        <w:drawing>
          <wp:inline distT="0" distB="0" distL="0" distR="0">
            <wp:extent cx="6402209" cy="6096"/>
            <wp:effectExtent l="0" t="0" r="0" b="0"/>
            <wp:docPr id="21" name="image3.png"/>
            <wp:cNvGraphicFramePr>
              <a:graphicFrameLocks noChangeAspect="1"/>
            </wp:cNvGraphicFramePr>
            <a:graphic>
              <a:graphicData uri="http://schemas.openxmlformats.org/drawingml/2006/picture">
                <pic:pic>
                  <pic:nvPicPr>
                    <pic:cNvPr id="22" name="image3.png"/>
                    <pic:cNvPicPr/>
                  </pic:nvPicPr>
                  <pic:blipFill>
                    <a:blip r:embed="rId8" cstate="print"/>
                    <a:stretch>
                      <a:fillRect/>
                    </a:stretch>
                  </pic:blipFill>
                  <pic:spPr>
                    <a:xfrm>
                      <a:off x="0" y="0"/>
                      <a:ext cx="6402209" cy="6096"/>
                    </a:xfrm>
                    <a:prstGeom prst="rect">
                      <a:avLst/>
                    </a:prstGeom>
                  </pic:spPr>
                </pic:pic>
              </a:graphicData>
            </a:graphic>
          </wp:inline>
        </w:drawing>
      </w:r>
      <w:r>
        <w:rPr>
          <w:rFonts w:ascii="微软雅黑"/>
          <w:sz w:val="2"/>
        </w:rPr>
      </w:r>
    </w:p>
    <w:p>
      <w:pPr>
        <w:pStyle w:val="ListParagraph"/>
        <w:numPr>
          <w:ilvl w:val="1"/>
          <w:numId w:val="5"/>
        </w:numPr>
        <w:tabs>
          <w:tab w:pos="1072" w:val="left" w:leader="none"/>
          <w:tab w:pos="1073" w:val="left" w:leader="none"/>
          <w:tab w:pos="2699" w:val="left" w:leader="none"/>
        </w:tabs>
        <w:spacing w:line="240" w:lineRule="auto" w:before="97" w:after="0"/>
        <w:ind w:left="1072" w:right="0" w:hanging="853"/>
        <w:jc w:val="left"/>
        <w:rPr>
          <w:sz w:val="21"/>
        </w:rPr>
      </w:pPr>
      <w:r>
        <w:rPr>
          <w:rFonts w:ascii="微软雅黑" w:eastAsia="微软雅黑"/>
          <w:b/>
          <w:sz w:val="21"/>
        </w:rPr>
        <w:t>本公</w:t>
      </w:r>
      <w:r>
        <w:rPr>
          <w:rFonts w:ascii="微软雅黑" w:eastAsia="微软雅黑"/>
          <w:b/>
          <w:spacing w:val="-10"/>
          <w:sz w:val="21"/>
        </w:rPr>
        <w:t>司</w:t>
      </w:r>
      <w:r>
        <w:rPr>
          <w:rFonts w:ascii="微软雅黑" w:eastAsia="微软雅黑"/>
          <w:b/>
          <w:sz w:val="21"/>
        </w:rPr>
        <w:tab/>
      </w:r>
      <w:r>
        <w:rPr>
          <w:spacing w:val="-2"/>
          <w:sz w:val="21"/>
        </w:rPr>
        <w:t>君</w:t>
      </w:r>
      <w:r>
        <w:rPr>
          <w:spacing w:val="-2"/>
          <w:sz w:val="21"/>
        </w:rPr>
        <w:t>康</w:t>
      </w:r>
      <w:r>
        <w:rPr>
          <w:spacing w:val="-2"/>
          <w:sz w:val="21"/>
        </w:rPr>
        <w:t>人寿保险股份有限公</w:t>
      </w:r>
      <w:r>
        <w:rPr>
          <w:spacing w:val="-2"/>
          <w:sz w:val="21"/>
        </w:rPr>
        <w:t>司</w:t>
      </w:r>
      <w:r>
        <w:rPr>
          <w:spacing w:val="-10"/>
          <w:sz w:val="21"/>
        </w:rPr>
        <w:t>。</w:t>
      </w:r>
    </w:p>
    <w:p>
      <w:pPr>
        <w:pStyle w:val="ListParagraph"/>
        <w:numPr>
          <w:ilvl w:val="1"/>
          <w:numId w:val="5"/>
        </w:numPr>
        <w:tabs>
          <w:tab w:pos="1072" w:val="left" w:leader="none"/>
          <w:tab w:pos="1073" w:val="left" w:leader="none"/>
          <w:tab w:pos="2699" w:val="left" w:leader="none"/>
        </w:tabs>
        <w:spacing w:line="235" w:lineRule="auto" w:before="91" w:after="0"/>
        <w:ind w:left="2699" w:right="359" w:hanging="2480"/>
        <w:jc w:val="left"/>
        <w:rPr>
          <w:sz w:val="21"/>
        </w:rPr>
      </w:pPr>
      <w:r>
        <w:rPr>
          <w:rFonts w:ascii="微软雅黑" w:eastAsia="微软雅黑"/>
          <w:b/>
          <w:spacing w:val="-4"/>
          <w:sz w:val="21"/>
        </w:rPr>
        <w:t>保</w:t>
      </w:r>
      <w:r>
        <w:rPr>
          <w:rFonts w:ascii="微软雅黑" w:eastAsia="微软雅黑"/>
          <w:b/>
          <w:spacing w:val="-4"/>
          <w:sz w:val="21"/>
        </w:rPr>
        <w:t>单</w:t>
      </w:r>
      <w:r>
        <w:rPr>
          <w:rFonts w:ascii="微软雅黑" w:eastAsia="微软雅黑"/>
          <w:b/>
          <w:spacing w:val="-4"/>
          <w:sz w:val="21"/>
        </w:rPr>
        <w:t>年</w:t>
      </w:r>
      <w:r>
        <w:rPr>
          <w:rFonts w:ascii="微软雅黑" w:eastAsia="微软雅黑"/>
          <w:b/>
          <w:spacing w:val="-4"/>
          <w:sz w:val="21"/>
        </w:rPr>
        <w:t>度</w:t>
      </w:r>
      <w:r>
        <w:rPr>
          <w:rFonts w:ascii="微软雅黑" w:eastAsia="微软雅黑"/>
          <w:b/>
          <w:sz w:val="21"/>
        </w:rPr>
        <w:tab/>
      </w:r>
      <w:r>
        <w:rPr>
          <w:spacing w:val="-2"/>
          <w:sz w:val="21"/>
        </w:rPr>
        <w:t>从</w:t>
      </w:r>
      <w:r>
        <w:rPr>
          <w:spacing w:val="-2"/>
          <w:sz w:val="21"/>
        </w:rPr>
        <w:t>保</w:t>
      </w:r>
      <w:r>
        <w:rPr>
          <w:spacing w:val="-2"/>
          <w:sz w:val="21"/>
        </w:rPr>
        <w:t>险</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或</w:t>
      </w:r>
      <w:r>
        <w:rPr>
          <w:spacing w:val="-2"/>
          <w:sz w:val="21"/>
        </w:rPr>
        <w:t>生</w:t>
      </w:r>
      <w:r>
        <w:rPr>
          <w:spacing w:val="-2"/>
          <w:sz w:val="21"/>
        </w:rPr>
        <w:t>效</w:t>
      </w:r>
      <w:r>
        <w:rPr>
          <w:spacing w:val="-2"/>
          <w:sz w:val="21"/>
        </w:rPr>
        <w:t>对</w:t>
      </w:r>
      <w:r>
        <w:rPr>
          <w:spacing w:val="-2"/>
          <w:sz w:val="21"/>
        </w:rPr>
        <w:t>应</w:t>
      </w:r>
      <w:r>
        <w:rPr>
          <w:spacing w:val="-2"/>
          <w:sz w:val="21"/>
        </w:rPr>
        <w:t>日</w:t>
      </w:r>
      <w:r>
        <w:rPr>
          <w:spacing w:val="-2"/>
          <w:sz w:val="21"/>
        </w:rPr>
        <w:t>的</w:t>
      </w:r>
      <w:r>
        <w:rPr>
          <w:spacing w:val="-2"/>
          <w:sz w:val="21"/>
        </w:rPr>
        <w:t>零</w:t>
      </w:r>
      <w:r>
        <w:rPr>
          <w:spacing w:val="-2"/>
          <w:sz w:val="21"/>
        </w:rPr>
        <w:t>时</w:t>
      </w:r>
      <w:r>
        <w:rPr>
          <w:spacing w:val="-2"/>
          <w:sz w:val="21"/>
        </w:rPr>
        <w:t>起</w:t>
      </w:r>
      <w:r>
        <w:rPr>
          <w:spacing w:val="-2"/>
          <w:sz w:val="21"/>
        </w:rPr>
        <w:t>至</w:t>
      </w:r>
      <w:r>
        <w:rPr>
          <w:spacing w:val="-2"/>
          <w:sz w:val="21"/>
        </w:rPr>
        <w:t>下</w:t>
      </w:r>
      <w:r>
        <w:rPr>
          <w:spacing w:val="-2"/>
          <w:sz w:val="21"/>
        </w:rPr>
        <w:t>一</w:t>
      </w:r>
      <w:r>
        <w:rPr>
          <w:spacing w:val="-2"/>
          <w:sz w:val="21"/>
        </w:rPr>
        <w:t>年</w:t>
      </w:r>
      <w:r>
        <w:rPr>
          <w:spacing w:val="-2"/>
          <w:sz w:val="21"/>
        </w:rPr>
        <w:t>度</w:t>
      </w:r>
      <w:r>
        <w:rPr>
          <w:spacing w:val="-2"/>
          <w:sz w:val="21"/>
        </w:rPr>
        <w:t>保</w:t>
      </w:r>
      <w:r>
        <w:rPr>
          <w:spacing w:val="-2"/>
          <w:sz w:val="21"/>
        </w:rPr>
        <w:t>险</w:t>
      </w:r>
      <w:r>
        <w:rPr>
          <w:spacing w:val="-2"/>
          <w:sz w:val="21"/>
        </w:rPr>
        <w:t>合</w:t>
      </w:r>
      <w:r>
        <w:rPr>
          <w:spacing w:val="-2"/>
          <w:sz w:val="21"/>
        </w:rPr>
        <w:t>同</w:t>
      </w:r>
      <w:r>
        <w:rPr>
          <w:spacing w:val="-2"/>
          <w:sz w:val="21"/>
        </w:rPr>
        <w:t>生</w:t>
      </w:r>
      <w:r>
        <w:rPr>
          <w:spacing w:val="-2"/>
          <w:sz w:val="21"/>
        </w:rPr>
        <w:t>效</w:t>
      </w:r>
      <w:r>
        <w:rPr>
          <w:spacing w:val="-2"/>
          <w:sz w:val="21"/>
        </w:rPr>
        <w:t>对</w:t>
      </w:r>
      <w:r>
        <w:rPr>
          <w:spacing w:val="-2"/>
          <w:sz w:val="21"/>
        </w:rPr>
        <w:t>应</w:t>
      </w:r>
      <w:r>
        <w:rPr>
          <w:spacing w:val="-2"/>
          <w:sz w:val="21"/>
        </w:rPr>
        <w:t>日</w:t>
      </w:r>
      <w:r>
        <w:rPr>
          <w:spacing w:val="-2"/>
          <w:sz w:val="21"/>
        </w:rPr>
        <w:t>的前</w:t>
      </w:r>
      <w:r>
        <w:rPr>
          <w:spacing w:val="-2"/>
          <w:sz w:val="21"/>
        </w:rPr>
        <w:t>一</w:t>
      </w:r>
      <w:r>
        <w:rPr>
          <w:sz w:val="21"/>
        </w:rPr>
        <w:t>日</w:t>
      </w:r>
      <w:r>
        <w:rPr>
          <w:spacing w:val="-20"/>
          <w:sz w:val="21"/>
        </w:rPr>
        <w:t> </w:t>
      </w:r>
      <w:r>
        <w:rPr>
          <w:sz w:val="21"/>
        </w:rPr>
        <w:t>24</w:t>
      </w:r>
      <w:r>
        <w:rPr>
          <w:spacing w:val="-25"/>
          <w:sz w:val="21"/>
        </w:rPr>
        <w:t> </w:t>
      </w:r>
      <w:r>
        <w:rPr>
          <w:sz w:val="21"/>
        </w:rPr>
        <w:t>时止为一个保单年度。</w:t>
      </w:r>
    </w:p>
    <w:p>
      <w:pPr>
        <w:pStyle w:val="ListParagraph"/>
        <w:numPr>
          <w:ilvl w:val="1"/>
          <w:numId w:val="5"/>
        </w:numPr>
        <w:tabs>
          <w:tab w:pos="1072" w:val="left" w:leader="none"/>
          <w:tab w:pos="1073" w:val="left" w:leader="none"/>
          <w:tab w:pos="2699" w:val="left" w:leader="none"/>
        </w:tabs>
        <w:spacing w:line="235" w:lineRule="auto" w:before="139" w:after="0"/>
        <w:ind w:left="2699" w:right="358" w:hanging="2480"/>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应</w:t>
      </w:r>
      <w:r>
        <w:rPr>
          <w:rFonts w:ascii="微软雅黑" w:eastAsia="微软雅黑"/>
          <w:b/>
          <w:spacing w:val="-2"/>
          <w:sz w:val="21"/>
        </w:rPr>
        <w:t>交</w:t>
      </w:r>
      <w:r>
        <w:rPr>
          <w:rFonts w:ascii="微软雅黑" w:eastAsia="微软雅黑"/>
          <w:b/>
          <w:spacing w:val="-2"/>
          <w:sz w:val="21"/>
        </w:rPr>
        <w:t>日</w:t>
      </w:r>
      <w:r>
        <w:rPr>
          <w:rFonts w:ascii="微软雅黑" w:eastAsia="微软雅黑"/>
          <w:b/>
          <w:sz w:val="21"/>
        </w:rPr>
        <w:tab/>
      </w:r>
      <w:r>
        <w:rPr>
          <w:spacing w:val="-2"/>
          <w:sz w:val="21"/>
        </w:rPr>
        <w:t>保</w:t>
      </w:r>
      <w:r>
        <w:rPr>
          <w:spacing w:val="-2"/>
          <w:sz w:val="21"/>
        </w:rPr>
        <w:t>险</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在</w:t>
      </w:r>
      <w:r>
        <w:rPr>
          <w:spacing w:val="-2"/>
          <w:sz w:val="21"/>
        </w:rPr>
        <w:t>每</w:t>
      </w:r>
      <w:r>
        <w:rPr>
          <w:spacing w:val="-2"/>
          <w:sz w:val="21"/>
        </w:rPr>
        <w:t>年</w:t>
      </w:r>
      <w:r>
        <w:rPr>
          <w:spacing w:val="-2"/>
          <w:sz w:val="21"/>
        </w:rPr>
        <w:t>的</w:t>
      </w:r>
      <w:r>
        <w:rPr>
          <w:spacing w:val="-2"/>
          <w:sz w:val="21"/>
        </w:rPr>
        <w:t>对</w:t>
      </w:r>
      <w:r>
        <w:rPr>
          <w:spacing w:val="-2"/>
          <w:sz w:val="21"/>
        </w:rPr>
        <w:t>应</w:t>
      </w:r>
      <w:r>
        <w:rPr>
          <w:spacing w:val="-2"/>
          <w:sz w:val="21"/>
        </w:rPr>
        <w:t>日</w:t>
      </w:r>
      <w:r>
        <w:rPr>
          <w:spacing w:val="-2"/>
          <w:sz w:val="21"/>
        </w:rPr>
        <w:t>的</w:t>
      </w:r>
      <w:r>
        <w:rPr>
          <w:spacing w:val="-2"/>
          <w:sz w:val="21"/>
        </w:rPr>
        <w:t>前</w:t>
      </w:r>
      <w:r>
        <w:rPr>
          <w:spacing w:val="-2"/>
          <w:sz w:val="21"/>
        </w:rPr>
        <w:t>一</w:t>
      </w:r>
      <w:r>
        <w:rPr>
          <w:spacing w:val="-2"/>
          <w:sz w:val="21"/>
        </w:rPr>
        <w:t>日</w:t>
      </w:r>
      <w:r>
        <w:rPr>
          <w:spacing w:val="-2"/>
          <w:sz w:val="21"/>
        </w:rPr>
        <w:t>。</w:t>
      </w:r>
      <w:r>
        <w:rPr>
          <w:spacing w:val="-2"/>
          <w:sz w:val="21"/>
        </w:rPr>
        <w:t>若</w:t>
      </w:r>
      <w:r>
        <w:rPr>
          <w:spacing w:val="-2"/>
          <w:sz w:val="21"/>
        </w:rPr>
        <w:t>当</w:t>
      </w:r>
      <w:r>
        <w:rPr>
          <w:spacing w:val="-2"/>
          <w:sz w:val="21"/>
        </w:rPr>
        <w:t>月</w:t>
      </w:r>
      <w:r>
        <w:rPr>
          <w:spacing w:val="-2"/>
          <w:sz w:val="21"/>
        </w:rPr>
        <w:t>无</w:t>
      </w:r>
      <w:r>
        <w:rPr>
          <w:spacing w:val="-2"/>
          <w:sz w:val="21"/>
        </w:rPr>
        <w:t>对</w:t>
      </w:r>
      <w:r>
        <w:rPr>
          <w:spacing w:val="-2"/>
          <w:sz w:val="21"/>
        </w:rPr>
        <w:t>应</w:t>
      </w:r>
      <w:r>
        <w:rPr>
          <w:spacing w:val="-2"/>
          <w:sz w:val="21"/>
        </w:rPr>
        <w:t>的</w:t>
      </w:r>
      <w:r>
        <w:rPr>
          <w:spacing w:val="-2"/>
          <w:sz w:val="21"/>
        </w:rPr>
        <w:t>同</w:t>
      </w:r>
      <w:r>
        <w:rPr>
          <w:spacing w:val="-2"/>
          <w:sz w:val="21"/>
        </w:rPr>
        <w:t>一</w:t>
      </w:r>
      <w:r>
        <w:rPr>
          <w:spacing w:val="-2"/>
          <w:sz w:val="21"/>
        </w:rPr>
        <w:t>日</w:t>
      </w:r>
      <w:r>
        <w:rPr>
          <w:spacing w:val="-2"/>
          <w:sz w:val="21"/>
        </w:rPr>
        <w:t>，</w:t>
      </w:r>
      <w:r>
        <w:rPr>
          <w:spacing w:val="-2"/>
          <w:sz w:val="21"/>
        </w:rPr>
        <w:t>以</w:t>
      </w:r>
      <w:r>
        <w:rPr>
          <w:spacing w:val="-2"/>
          <w:sz w:val="21"/>
        </w:rPr>
        <w:t>该</w:t>
      </w:r>
      <w:r>
        <w:rPr>
          <w:spacing w:val="-2"/>
          <w:sz w:val="21"/>
        </w:rPr>
        <w:t>月最</w:t>
      </w:r>
      <w:r>
        <w:rPr>
          <w:spacing w:val="-2"/>
          <w:sz w:val="21"/>
        </w:rPr>
        <w:t>后</w:t>
      </w:r>
      <w:r>
        <w:rPr>
          <w:spacing w:val="-2"/>
          <w:sz w:val="21"/>
        </w:rPr>
        <w:t>一</w:t>
      </w:r>
      <w:r>
        <w:rPr>
          <w:spacing w:val="-2"/>
          <w:sz w:val="21"/>
        </w:rPr>
        <w:t>日</w:t>
      </w:r>
      <w:r>
        <w:rPr>
          <w:spacing w:val="-2"/>
          <w:sz w:val="21"/>
        </w:rPr>
        <w:t>为对应</w:t>
      </w:r>
      <w:r>
        <w:rPr>
          <w:spacing w:val="-2"/>
          <w:sz w:val="21"/>
        </w:rPr>
        <w:t>日</w:t>
      </w:r>
      <w:r>
        <w:rPr>
          <w:spacing w:val="-2"/>
          <w:sz w:val="21"/>
        </w:rPr>
        <w:t>。</w:t>
      </w:r>
    </w:p>
    <w:p>
      <w:pPr>
        <w:pStyle w:val="BodyText"/>
        <w:spacing w:before="1"/>
        <w:rPr>
          <w:sz w:val="15"/>
        </w:rPr>
      </w:pPr>
    </w:p>
    <w:p>
      <w:pPr>
        <w:pStyle w:val="ListParagraph"/>
        <w:numPr>
          <w:ilvl w:val="1"/>
          <w:numId w:val="5"/>
        </w:numPr>
        <w:tabs>
          <w:tab w:pos="1072" w:val="left" w:leader="none"/>
          <w:tab w:pos="1073" w:val="left" w:leader="none"/>
          <w:tab w:pos="2699" w:val="left" w:leader="none"/>
        </w:tabs>
        <w:spacing w:line="213" w:lineRule="auto" w:before="0" w:after="0"/>
        <w:ind w:left="2699" w:right="359" w:hanging="2480"/>
        <w:jc w:val="left"/>
        <w:rPr>
          <w:sz w:val="21"/>
        </w:rPr>
      </w:pPr>
      <w:r>
        <w:rPr>
          <w:rFonts w:ascii="微软雅黑" w:eastAsia="微软雅黑"/>
          <w:b/>
          <w:spacing w:val="-6"/>
          <w:position w:val="-2"/>
          <w:sz w:val="21"/>
        </w:rPr>
        <w:t>周</w:t>
      </w:r>
      <w:r>
        <w:rPr>
          <w:rFonts w:ascii="微软雅黑" w:eastAsia="微软雅黑"/>
          <w:b/>
          <w:spacing w:val="-6"/>
          <w:position w:val="-2"/>
          <w:sz w:val="21"/>
        </w:rPr>
        <w:t>岁</w:t>
      </w:r>
      <w:r>
        <w:rPr>
          <w:rFonts w:ascii="微软雅黑" w:eastAsia="微软雅黑"/>
          <w:b/>
          <w:position w:val="-2"/>
          <w:sz w:val="21"/>
        </w:rPr>
        <w:tab/>
      </w:r>
      <w:r>
        <w:rPr>
          <w:spacing w:val="-2"/>
          <w:sz w:val="21"/>
        </w:rPr>
        <w:t>以</w:t>
      </w:r>
      <w:r>
        <w:rPr>
          <w:spacing w:val="-2"/>
          <w:sz w:val="21"/>
        </w:rPr>
        <w:t>法</w:t>
      </w:r>
      <w:r>
        <w:rPr>
          <w:spacing w:val="-2"/>
          <w:sz w:val="21"/>
        </w:rPr>
        <w:t>定</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中</w:t>
      </w:r>
      <w:r>
        <w:rPr>
          <w:spacing w:val="-2"/>
          <w:sz w:val="21"/>
        </w:rPr>
        <w:t>记</w:t>
      </w:r>
      <w:r>
        <w:rPr>
          <w:spacing w:val="-2"/>
          <w:sz w:val="21"/>
        </w:rPr>
        <w:t>载</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为</w:t>
      </w:r>
      <w:r>
        <w:rPr>
          <w:spacing w:val="-2"/>
          <w:sz w:val="21"/>
        </w:rPr>
        <w:t>计</w:t>
      </w:r>
      <w:r>
        <w:rPr>
          <w:spacing w:val="-2"/>
          <w:sz w:val="21"/>
        </w:rPr>
        <w:t>算</w:t>
      </w:r>
      <w:r>
        <w:rPr>
          <w:spacing w:val="-2"/>
          <w:sz w:val="21"/>
        </w:rPr>
        <w:t>基</w:t>
      </w:r>
      <w:r>
        <w:rPr>
          <w:spacing w:val="-2"/>
          <w:sz w:val="21"/>
        </w:rPr>
        <w:t>础，</w:t>
      </w:r>
      <w:r>
        <w:rPr>
          <w:spacing w:val="-2"/>
          <w:sz w:val="21"/>
        </w:rPr>
        <w:t>自</w:t>
      </w:r>
      <w:r>
        <w:rPr>
          <w:spacing w:val="-2"/>
          <w:sz w:val="21"/>
        </w:rPr>
        <w:t>出</w:t>
      </w:r>
      <w:r>
        <w:rPr>
          <w:spacing w:val="-2"/>
          <w:sz w:val="21"/>
        </w:rPr>
        <w:t>生</w:t>
      </w:r>
      <w:r>
        <w:rPr>
          <w:spacing w:val="-2"/>
          <w:sz w:val="21"/>
        </w:rPr>
        <w:t>之</w:t>
      </w:r>
      <w:r>
        <w:rPr>
          <w:spacing w:val="-2"/>
          <w:sz w:val="21"/>
        </w:rPr>
        <w:t>日</w:t>
      </w:r>
      <w:r>
        <w:rPr>
          <w:spacing w:val="-2"/>
          <w:sz w:val="21"/>
        </w:rPr>
        <w:t>起</w:t>
      </w:r>
      <w:r>
        <w:rPr>
          <w:spacing w:val="-2"/>
          <w:sz w:val="21"/>
        </w:rPr>
        <w:t>为</w:t>
      </w:r>
      <w:r>
        <w:rPr>
          <w:spacing w:val="-2"/>
          <w:sz w:val="21"/>
        </w:rPr>
        <w:t>零</w:t>
      </w:r>
      <w:r>
        <w:rPr>
          <w:spacing w:val="-2"/>
          <w:sz w:val="21"/>
        </w:rPr>
        <w:t>周</w:t>
      </w:r>
      <w:r>
        <w:rPr>
          <w:spacing w:val="-2"/>
          <w:sz w:val="21"/>
        </w:rPr>
        <w:t>岁，</w:t>
      </w:r>
      <w:r>
        <w:rPr>
          <w:spacing w:val="-2"/>
          <w:sz w:val="21"/>
        </w:rPr>
        <w:t>每</w:t>
      </w:r>
      <w:r>
        <w:rPr>
          <w:spacing w:val="-2"/>
          <w:sz w:val="21"/>
        </w:rPr>
        <w:t>经</w:t>
      </w:r>
      <w:r>
        <w:rPr>
          <w:spacing w:val="-2"/>
          <w:sz w:val="21"/>
        </w:rPr>
        <w:t>过</w:t>
      </w:r>
      <w:r>
        <w:rPr>
          <w:spacing w:val="-2"/>
          <w:sz w:val="21"/>
        </w:rPr>
        <w:t>一年增加一岁，不足</w:t>
      </w:r>
      <w:r>
        <w:rPr>
          <w:spacing w:val="-2"/>
          <w:sz w:val="21"/>
        </w:rPr>
        <w:t>一</w:t>
      </w:r>
      <w:r>
        <w:rPr>
          <w:spacing w:val="-2"/>
          <w:sz w:val="21"/>
        </w:rPr>
        <w:t>年</w:t>
      </w:r>
      <w:r>
        <w:rPr>
          <w:spacing w:val="-2"/>
          <w:sz w:val="21"/>
        </w:rPr>
        <w:t>的不计。</w:t>
      </w:r>
    </w:p>
    <w:p>
      <w:pPr>
        <w:pStyle w:val="BodyText"/>
        <w:spacing w:before="8"/>
        <w:rPr>
          <w:sz w:val="17"/>
        </w:rPr>
      </w:pPr>
    </w:p>
    <w:p>
      <w:pPr>
        <w:pStyle w:val="ListParagraph"/>
        <w:numPr>
          <w:ilvl w:val="1"/>
          <w:numId w:val="5"/>
        </w:numPr>
        <w:tabs>
          <w:tab w:pos="1072" w:val="left" w:leader="none"/>
          <w:tab w:pos="1073" w:val="left" w:leader="none"/>
          <w:tab w:pos="2699" w:val="left" w:leader="none"/>
        </w:tabs>
        <w:spacing w:line="235" w:lineRule="auto" w:before="1" w:after="0"/>
        <w:ind w:left="2699" w:right="358" w:hanging="2480"/>
        <w:jc w:val="left"/>
        <w:rPr>
          <w:sz w:val="21"/>
        </w:rPr>
      </w:pPr>
      <w:r>
        <w:rPr>
          <w:rFonts w:ascii="微软雅黑" w:eastAsia="微软雅黑"/>
          <w:b/>
          <w:spacing w:val="-4"/>
          <w:sz w:val="21"/>
        </w:rPr>
        <w:t>意</w:t>
      </w:r>
      <w:r>
        <w:rPr>
          <w:rFonts w:ascii="微软雅黑" w:eastAsia="微软雅黑"/>
          <w:b/>
          <w:spacing w:val="-4"/>
          <w:sz w:val="21"/>
        </w:rPr>
        <w:t>外</w:t>
      </w:r>
      <w:r>
        <w:rPr>
          <w:rFonts w:ascii="微软雅黑" w:eastAsia="微软雅黑"/>
          <w:b/>
          <w:spacing w:val="-4"/>
          <w:sz w:val="21"/>
        </w:rPr>
        <w:t>伤</w:t>
      </w:r>
      <w:r>
        <w:rPr>
          <w:rFonts w:ascii="微软雅黑" w:eastAsia="微软雅黑"/>
          <w:b/>
          <w:spacing w:val="-4"/>
          <w:sz w:val="21"/>
        </w:rPr>
        <w:t>害</w:t>
      </w:r>
      <w:r>
        <w:rPr>
          <w:rFonts w:ascii="微软雅黑" w:eastAsia="微软雅黑"/>
          <w:b/>
          <w:sz w:val="21"/>
        </w:rPr>
        <w:tab/>
      </w:r>
      <w:r>
        <w:rPr>
          <w:spacing w:val="-2"/>
          <w:sz w:val="21"/>
        </w:rPr>
        <w:t>指</w:t>
      </w:r>
      <w:r>
        <w:rPr>
          <w:spacing w:val="-2"/>
          <w:sz w:val="21"/>
        </w:rPr>
        <w:t>以</w:t>
      </w:r>
      <w:r>
        <w:rPr>
          <w:spacing w:val="-2"/>
          <w:sz w:val="21"/>
        </w:rPr>
        <w:t>外</w:t>
      </w:r>
      <w:r>
        <w:rPr>
          <w:spacing w:val="-2"/>
          <w:sz w:val="21"/>
        </w:rPr>
        <w:t>来</w:t>
      </w:r>
      <w:r>
        <w:rPr>
          <w:spacing w:val="-2"/>
          <w:sz w:val="21"/>
        </w:rPr>
        <w:t>的</w:t>
      </w:r>
      <w:r>
        <w:rPr>
          <w:spacing w:val="-2"/>
          <w:sz w:val="21"/>
        </w:rPr>
        <w:t>、</w:t>
      </w:r>
      <w:r>
        <w:rPr>
          <w:spacing w:val="-2"/>
          <w:sz w:val="21"/>
        </w:rPr>
        <w:t>突</w:t>
      </w:r>
      <w:r>
        <w:rPr>
          <w:spacing w:val="-2"/>
          <w:sz w:val="21"/>
        </w:rPr>
        <w:t>发</w:t>
      </w:r>
      <w:r>
        <w:rPr>
          <w:spacing w:val="-2"/>
          <w:sz w:val="21"/>
        </w:rPr>
        <w:t>的</w:t>
      </w:r>
      <w:r>
        <w:rPr>
          <w:spacing w:val="-2"/>
          <w:sz w:val="21"/>
        </w:rPr>
        <w:t>、</w:t>
      </w:r>
      <w:r>
        <w:rPr>
          <w:spacing w:val="-2"/>
          <w:sz w:val="21"/>
        </w:rPr>
        <w:t>非</w:t>
      </w:r>
      <w:r>
        <w:rPr>
          <w:spacing w:val="-2"/>
          <w:sz w:val="21"/>
        </w:rPr>
        <w:t>本</w:t>
      </w:r>
      <w:r>
        <w:rPr>
          <w:spacing w:val="-2"/>
          <w:sz w:val="21"/>
        </w:rPr>
        <w:t>意</w:t>
      </w:r>
      <w:r>
        <w:rPr>
          <w:spacing w:val="-2"/>
          <w:sz w:val="21"/>
        </w:rPr>
        <w:t>的</w:t>
      </w:r>
      <w:r>
        <w:rPr>
          <w:spacing w:val="-2"/>
          <w:sz w:val="21"/>
        </w:rPr>
        <w:t>、</w:t>
      </w:r>
      <w:r>
        <w:rPr>
          <w:spacing w:val="-2"/>
          <w:sz w:val="21"/>
        </w:rPr>
        <w:t>非</w:t>
      </w:r>
      <w:r>
        <w:rPr>
          <w:spacing w:val="-2"/>
          <w:sz w:val="21"/>
        </w:rPr>
        <w:t>疾</w:t>
      </w:r>
      <w:r>
        <w:rPr>
          <w:spacing w:val="-2"/>
          <w:sz w:val="21"/>
        </w:rPr>
        <w:t>病</w:t>
      </w:r>
      <w:r>
        <w:rPr>
          <w:spacing w:val="-2"/>
          <w:sz w:val="21"/>
        </w:rPr>
        <w:t>的</w:t>
      </w:r>
      <w:r>
        <w:rPr>
          <w:spacing w:val="-2"/>
          <w:sz w:val="21"/>
        </w:rPr>
        <w:t>客</w:t>
      </w:r>
      <w:r>
        <w:rPr>
          <w:spacing w:val="-2"/>
          <w:sz w:val="21"/>
        </w:rPr>
        <w:t>观</w:t>
      </w:r>
      <w:r>
        <w:rPr>
          <w:spacing w:val="-2"/>
          <w:sz w:val="21"/>
        </w:rPr>
        <w:t>事</w:t>
      </w:r>
      <w:r>
        <w:rPr>
          <w:spacing w:val="-2"/>
          <w:sz w:val="21"/>
        </w:rPr>
        <w:t>件</w:t>
      </w:r>
      <w:r>
        <w:rPr>
          <w:spacing w:val="-2"/>
          <w:sz w:val="21"/>
        </w:rPr>
        <w:t>为</w:t>
      </w:r>
      <w:r>
        <w:rPr>
          <w:spacing w:val="-2"/>
          <w:sz w:val="21"/>
        </w:rPr>
        <w:t>直</w:t>
      </w:r>
      <w:r>
        <w:rPr>
          <w:spacing w:val="-2"/>
          <w:sz w:val="21"/>
        </w:rPr>
        <w:t>接</w:t>
      </w:r>
      <w:r>
        <w:rPr>
          <w:spacing w:val="-2"/>
          <w:sz w:val="21"/>
        </w:rPr>
        <w:t>且</w:t>
      </w:r>
      <w:r>
        <w:rPr>
          <w:spacing w:val="-2"/>
          <w:sz w:val="21"/>
        </w:rPr>
        <w:t>主</w:t>
      </w:r>
      <w:r>
        <w:rPr>
          <w:spacing w:val="-2"/>
          <w:sz w:val="21"/>
        </w:rPr>
        <w:t>要</w:t>
      </w:r>
      <w:r>
        <w:rPr>
          <w:spacing w:val="-2"/>
          <w:sz w:val="21"/>
        </w:rPr>
        <w:t>原</w:t>
      </w:r>
      <w:r>
        <w:rPr>
          <w:spacing w:val="-2"/>
          <w:sz w:val="21"/>
        </w:rPr>
        <w:t>因</w:t>
      </w:r>
      <w:r>
        <w:rPr>
          <w:spacing w:val="-2"/>
          <w:sz w:val="21"/>
        </w:rPr>
        <w:t>导</w:t>
      </w:r>
      <w:r>
        <w:rPr>
          <w:spacing w:val="-2"/>
          <w:sz w:val="21"/>
        </w:rPr>
        <w:t>致的</w:t>
      </w:r>
      <w:r>
        <w:rPr>
          <w:spacing w:val="-2"/>
          <w:sz w:val="21"/>
        </w:rPr>
        <w:t>身</w:t>
      </w:r>
      <w:r>
        <w:rPr>
          <w:spacing w:val="-2"/>
          <w:sz w:val="21"/>
        </w:rPr>
        <w:t>体</w:t>
      </w:r>
      <w:r>
        <w:rPr>
          <w:spacing w:val="-2"/>
          <w:sz w:val="21"/>
        </w:rPr>
        <w:t>伤</w:t>
      </w:r>
      <w:r>
        <w:rPr>
          <w:spacing w:val="-2"/>
          <w:sz w:val="21"/>
        </w:rPr>
        <w:t>害。猝死、自杀以及</w:t>
      </w:r>
      <w:r>
        <w:rPr>
          <w:spacing w:val="-2"/>
          <w:sz w:val="21"/>
        </w:rPr>
        <w:t>自</w:t>
      </w:r>
      <w:r>
        <w:rPr>
          <w:spacing w:val="-2"/>
          <w:sz w:val="21"/>
        </w:rPr>
        <w:t>伤</w:t>
      </w:r>
      <w:r>
        <w:rPr>
          <w:spacing w:val="-2"/>
          <w:sz w:val="21"/>
        </w:rPr>
        <w:t>均不属于意外伤</w:t>
      </w:r>
      <w:r>
        <w:rPr>
          <w:spacing w:val="-2"/>
          <w:sz w:val="21"/>
        </w:rPr>
        <w:t>害</w:t>
      </w:r>
      <w:r>
        <w:rPr>
          <w:spacing w:val="-2"/>
          <w:sz w:val="21"/>
        </w:rPr>
        <w:t>。</w:t>
      </w:r>
    </w:p>
    <w:p>
      <w:pPr>
        <w:pStyle w:val="BodyText"/>
        <w:spacing w:before="2"/>
        <w:rPr>
          <w:sz w:val="19"/>
        </w:rPr>
      </w:pPr>
    </w:p>
    <w:p>
      <w:pPr>
        <w:pStyle w:val="ListParagraph"/>
        <w:numPr>
          <w:ilvl w:val="1"/>
          <w:numId w:val="5"/>
        </w:numPr>
        <w:tabs>
          <w:tab w:pos="1073" w:val="left" w:leader="none"/>
          <w:tab w:pos="2699" w:val="left" w:leader="none"/>
        </w:tabs>
        <w:spacing w:line="312" w:lineRule="exact" w:before="0" w:after="0"/>
        <w:ind w:left="2699" w:right="353" w:hanging="2480"/>
        <w:jc w:val="both"/>
        <w:rPr>
          <w:sz w:val="21"/>
        </w:rPr>
      </w:pPr>
      <w:r>
        <w:rPr>
          <w:rFonts w:ascii="微软雅黑" w:eastAsia="微软雅黑"/>
          <w:b/>
          <w:spacing w:val="-4"/>
          <w:sz w:val="21"/>
        </w:rPr>
        <w:t>轻</w:t>
      </w:r>
      <w:r>
        <w:rPr>
          <w:rFonts w:ascii="微软雅黑" w:eastAsia="微软雅黑"/>
          <w:b/>
          <w:spacing w:val="-4"/>
          <w:sz w:val="21"/>
        </w:rPr>
        <w:t>度</w:t>
      </w:r>
      <w:r>
        <w:rPr>
          <w:rFonts w:ascii="微软雅黑" w:eastAsia="微软雅黑"/>
          <w:b/>
          <w:spacing w:val="-4"/>
          <w:sz w:val="21"/>
        </w:rPr>
        <w:t>疾</w:t>
      </w:r>
      <w:r>
        <w:rPr>
          <w:rFonts w:ascii="微软雅黑" w:eastAsia="微软雅黑"/>
          <w:b/>
          <w:spacing w:val="-4"/>
          <w:sz w:val="21"/>
        </w:rPr>
        <w:t>病</w:t>
      </w:r>
      <w:r>
        <w:rPr>
          <w:rFonts w:ascii="微软雅黑" w:eastAsia="微软雅黑"/>
          <w:b/>
          <w:sz w:val="21"/>
        </w:rPr>
        <w:tab/>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符</w:t>
      </w:r>
      <w:r>
        <w:rPr>
          <w:spacing w:val="-2"/>
          <w:sz w:val="21"/>
        </w:rPr>
        <w:t>合</w:t>
      </w:r>
      <w:r>
        <w:rPr>
          <w:spacing w:val="-2"/>
          <w:sz w:val="21"/>
        </w:rPr>
        <w:t>以</w:t>
      </w:r>
      <w:r>
        <w:rPr>
          <w:spacing w:val="-2"/>
          <w:sz w:val="21"/>
        </w:rPr>
        <w:t>下</w:t>
      </w:r>
      <w:r>
        <w:rPr>
          <w:spacing w:val="-2"/>
          <w:sz w:val="21"/>
        </w:rPr>
        <w:t>疾</w:t>
      </w:r>
      <w:r>
        <w:rPr>
          <w:spacing w:val="-2"/>
          <w:sz w:val="21"/>
        </w:rPr>
        <w:t>病</w:t>
      </w:r>
      <w:r>
        <w:rPr>
          <w:spacing w:val="-2"/>
          <w:sz w:val="21"/>
        </w:rPr>
        <w:t>定</w:t>
      </w:r>
      <w:r>
        <w:rPr>
          <w:spacing w:val="-2"/>
          <w:sz w:val="21"/>
        </w:rPr>
        <w:t>义</w:t>
      </w:r>
      <w:r>
        <w:rPr>
          <w:spacing w:val="-2"/>
          <w:sz w:val="21"/>
        </w:rPr>
        <w:t>所</w:t>
      </w:r>
      <w:r>
        <w:rPr>
          <w:spacing w:val="-2"/>
          <w:sz w:val="21"/>
        </w:rPr>
        <w:t>述</w:t>
      </w:r>
      <w:r>
        <w:rPr>
          <w:spacing w:val="-2"/>
          <w:sz w:val="21"/>
        </w:rPr>
        <w:t>条</w:t>
      </w:r>
      <w:r>
        <w:rPr>
          <w:spacing w:val="-2"/>
          <w:sz w:val="21"/>
        </w:rPr>
        <w:t>件</w:t>
      </w:r>
      <w:r>
        <w:rPr>
          <w:spacing w:val="-2"/>
          <w:sz w:val="21"/>
        </w:rPr>
        <w:t>的</w:t>
      </w:r>
      <w:r>
        <w:rPr>
          <w:spacing w:val="-2"/>
          <w:sz w:val="21"/>
        </w:rPr>
        <w:t>疾</w:t>
      </w:r>
      <w:r>
        <w:rPr>
          <w:spacing w:val="-2"/>
          <w:sz w:val="21"/>
        </w:rPr>
        <w:t>病</w:t>
      </w:r>
      <w:r>
        <w:rPr>
          <w:spacing w:val="-2"/>
          <w:sz w:val="21"/>
        </w:rPr>
        <w:t>，</w:t>
      </w:r>
      <w:r>
        <w:rPr>
          <w:spacing w:val="-2"/>
          <w:sz w:val="21"/>
        </w:rPr>
        <w:t>应</w:t>
      </w:r>
      <w:r>
        <w:rPr>
          <w:spacing w:val="-2"/>
          <w:sz w:val="21"/>
        </w:rPr>
        <w:t>当</w:t>
      </w:r>
      <w:r>
        <w:rPr>
          <w:spacing w:val="-2"/>
          <w:sz w:val="21"/>
        </w:rPr>
        <w:t>由</w:t>
      </w:r>
      <w:r>
        <w:rPr>
          <w:rFonts w:ascii="微软雅黑" w:eastAsia="微软雅黑"/>
          <w:b/>
          <w:spacing w:val="-2"/>
          <w:sz w:val="21"/>
        </w:rPr>
        <w:t>专</w:t>
      </w:r>
      <w:r>
        <w:rPr>
          <w:rFonts w:ascii="微软雅黑" w:eastAsia="微软雅黑"/>
          <w:b/>
          <w:spacing w:val="-2"/>
          <w:sz w:val="21"/>
        </w:rPr>
        <w:t>科</w:t>
      </w:r>
      <w:r>
        <w:rPr>
          <w:rFonts w:ascii="微软雅黑" w:eastAsia="微软雅黑"/>
          <w:b/>
          <w:spacing w:val="-2"/>
          <w:sz w:val="21"/>
        </w:rPr>
        <w:t>医生</w:t>
      </w:r>
      <w:r>
        <w:rPr>
          <w:spacing w:val="-2"/>
          <w:sz w:val="21"/>
        </w:rPr>
        <w:t>明</w:t>
      </w:r>
      <w:r>
        <w:rPr>
          <w:spacing w:val="-2"/>
          <w:sz w:val="21"/>
        </w:rPr>
        <w:t>确</w:t>
      </w:r>
      <w:r>
        <w:rPr>
          <w:spacing w:val="-2"/>
          <w:sz w:val="21"/>
        </w:rPr>
        <w:t>诊</w:t>
      </w:r>
      <w:r>
        <w:rPr>
          <w:spacing w:val="-2"/>
          <w:sz w:val="21"/>
        </w:rPr>
        <w:t>断。</w:t>
      </w:r>
      <w:r>
        <w:rPr>
          <w:spacing w:val="-2"/>
          <w:sz w:val="21"/>
        </w:rPr>
        <w:t>其</w:t>
      </w:r>
      <w:r>
        <w:rPr>
          <w:sz w:val="21"/>
        </w:rPr>
        <w:t>中，第</w:t>
      </w:r>
      <w:r>
        <w:rPr>
          <w:spacing w:val="-27"/>
          <w:sz w:val="21"/>
        </w:rPr>
        <w:t> </w:t>
      </w:r>
      <w:r>
        <w:rPr>
          <w:rFonts w:ascii="Times New Roman" w:eastAsia="Times New Roman"/>
          <w:sz w:val="21"/>
        </w:rPr>
        <w:t>1-3</w:t>
      </w:r>
      <w:r>
        <w:rPr>
          <w:rFonts w:ascii="Times New Roman" w:eastAsia="Times New Roman"/>
          <w:spacing w:val="17"/>
          <w:sz w:val="21"/>
        </w:rPr>
        <w:t> </w:t>
      </w:r>
      <w:r>
        <w:rPr>
          <w:sz w:val="21"/>
        </w:rPr>
        <w:t>种轻度疾病定</w:t>
      </w:r>
      <w:r>
        <w:rPr>
          <w:sz w:val="21"/>
        </w:rPr>
        <w:t>义完全采用了中国保险行</w:t>
      </w:r>
      <w:r>
        <w:rPr>
          <w:sz w:val="21"/>
        </w:rPr>
        <w:t>业协会制定的《重大疾病</w:t>
      </w:r>
      <w:r>
        <w:rPr>
          <w:sz w:val="21"/>
        </w:rPr>
        <w:t>保险的疾病定义使用规范（</w:t>
      </w:r>
      <w:r>
        <w:rPr>
          <w:rFonts w:ascii="Times New Roman" w:eastAsia="Times New Roman"/>
          <w:sz w:val="21"/>
        </w:rPr>
        <w:t>2020 </w:t>
      </w:r>
      <w:r>
        <w:rPr>
          <w:sz w:val="21"/>
        </w:rPr>
        <w:t>年修订版</w:t>
      </w:r>
      <w:r>
        <w:rPr>
          <w:spacing w:val="-104"/>
          <w:sz w:val="21"/>
        </w:rPr>
        <w:t>）</w:t>
      </w:r>
      <w:r>
        <w:rPr>
          <w:sz w:val="21"/>
        </w:rPr>
        <w:t>》中的轻度疾</w:t>
      </w:r>
      <w:r>
        <w:rPr>
          <w:sz w:val="21"/>
        </w:rPr>
        <w:t>病定义，其他为本公司增加</w:t>
      </w:r>
      <w:r>
        <w:rPr>
          <w:spacing w:val="-2"/>
          <w:sz w:val="21"/>
        </w:rPr>
        <w:t>的</w:t>
      </w:r>
      <w:r>
        <w:rPr>
          <w:spacing w:val="-2"/>
          <w:sz w:val="21"/>
        </w:rPr>
        <w:t>轻</w:t>
      </w:r>
      <w:r>
        <w:rPr>
          <w:spacing w:val="-2"/>
          <w:sz w:val="21"/>
        </w:rPr>
        <w:t>度</w:t>
      </w:r>
      <w:r>
        <w:rPr>
          <w:spacing w:val="-2"/>
          <w:sz w:val="21"/>
        </w:rPr>
        <w:t>疾</w:t>
      </w:r>
      <w:r>
        <w:rPr>
          <w:spacing w:val="-2"/>
          <w:sz w:val="21"/>
        </w:rPr>
        <w:t>病</w:t>
      </w:r>
      <w:r>
        <w:rPr>
          <w:spacing w:val="-2"/>
          <w:sz w:val="21"/>
        </w:rPr>
        <w:t>定</w:t>
      </w:r>
      <w:r>
        <w:rPr>
          <w:spacing w:val="-2"/>
          <w:sz w:val="21"/>
        </w:rPr>
        <w:t>义</w:t>
      </w:r>
      <w:r>
        <w:rPr>
          <w:spacing w:val="-2"/>
          <w:sz w:val="21"/>
        </w:rPr>
        <w:t>。</w:t>
      </w:r>
      <w:r>
        <w:rPr>
          <w:spacing w:val="-2"/>
          <w:sz w:val="21"/>
        </w:rPr>
        <w:t>以</w:t>
      </w:r>
      <w:r>
        <w:rPr>
          <w:spacing w:val="-2"/>
          <w:sz w:val="21"/>
        </w:rPr>
        <w:t>下</w:t>
      </w:r>
      <w:r>
        <w:rPr>
          <w:spacing w:val="-2"/>
          <w:sz w:val="21"/>
        </w:rPr>
        <w:t>疾</w:t>
      </w:r>
      <w:r>
        <w:rPr>
          <w:spacing w:val="-2"/>
          <w:sz w:val="21"/>
        </w:rPr>
        <w:t>病</w:t>
      </w:r>
      <w:r>
        <w:rPr>
          <w:spacing w:val="-2"/>
          <w:sz w:val="21"/>
        </w:rPr>
        <w:t>名</w:t>
      </w:r>
      <w:r>
        <w:rPr>
          <w:spacing w:val="-2"/>
          <w:sz w:val="21"/>
        </w:rPr>
        <w:t>称</w:t>
      </w:r>
      <w:r>
        <w:rPr>
          <w:spacing w:val="-2"/>
          <w:sz w:val="21"/>
        </w:rPr>
        <w:t>仅</w:t>
      </w:r>
      <w:r>
        <w:rPr>
          <w:spacing w:val="-2"/>
          <w:sz w:val="21"/>
        </w:rPr>
        <w:t>供</w:t>
      </w:r>
      <w:r>
        <w:rPr>
          <w:spacing w:val="-2"/>
          <w:sz w:val="21"/>
        </w:rPr>
        <w:t>理</w:t>
      </w:r>
      <w:r>
        <w:rPr>
          <w:spacing w:val="-2"/>
          <w:sz w:val="21"/>
        </w:rPr>
        <w:t>解</w:t>
      </w:r>
      <w:r>
        <w:rPr>
          <w:spacing w:val="-2"/>
          <w:sz w:val="21"/>
        </w:rPr>
        <w:t>使</w:t>
      </w:r>
      <w:r>
        <w:rPr>
          <w:spacing w:val="-2"/>
          <w:sz w:val="21"/>
        </w:rPr>
        <w:t>用</w:t>
      </w:r>
      <w:r>
        <w:rPr>
          <w:spacing w:val="-2"/>
          <w:sz w:val="21"/>
        </w:rPr>
        <w:t>，具</w:t>
      </w:r>
      <w:r>
        <w:rPr>
          <w:spacing w:val="-2"/>
          <w:sz w:val="21"/>
        </w:rPr>
        <w:t>体</w:t>
      </w:r>
      <w:r>
        <w:rPr>
          <w:spacing w:val="-2"/>
          <w:sz w:val="21"/>
        </w:rPr>
        <w:t>保</w:t>
      </w:r>
      <w:r>
        <w:rPr>
          <w:spacing w:val="-2"/>
          <w:sz w:val="21"/>
        </w:rPr>
        <w:t>障</w:t>
      </w:r>
      <w:r>
        <w:rPr>
          <w:spacing w:val="-2"/>
          <w:sz w:val="21"/>
        </w:rPr>
        <w:t>范</w:t>
      </w:r>
      <w:r>
        <w:rPr>
          <w:spacing w:val="-2"/>
          <w:sz w:val="21"/>
        </w:rPr>
        <w:t>围</w:t>
      </w:r>
      <w:r>
        <w:rPr>
          <w:spacing w:val="-2"/>
          <w:sz w:val="21"/>
        </w:rPr>
        <w:t>以</w:t>
      </w:r>
      <w:r>
        <w:rPr>
          <w:spacing w:val="-2"/>
          <w:sz w:val="21"/>
        </w:rPr>
        <w:t>每</w:t>
      </w:r>
      <w:r>
        <w:rPr>
          <w:spacing w:val="-2"/>
          <w:sz w:val="21"/>
        </w:rPr>
        <w:t>项</w:t>
      </w:r>
      <w:r>
        <w:rPr>
          <w:spacing w:val="-2"/>
          <w:sz w:val="21"/>
        </w:rPr>
        <w:t>疾</w:t>
      </w:r>
      <w:r>
        <w:rPr>
          <w:spacing w:val="-2"/>
          <w:sz w:val="21"/>
        </w:rPr>
        <w:t>病</w:t>
      </w:r>
      <w:r>
        <w:rPr>
          <w:spacing w:val="-2"/>
          <w:sz w:val="21"/>
        </w:rPr>
        <w:t>具</w:t>
      </w:r>
      <w:r>
        <w:rPr>
          <w:spacing w:val="-2"/>
          <w:sz w:val="21"/>
        </w:rPr>
        <w:t>体</w:t>
      </w:r>
      <w:r>
        <w:rPr>
          <w:spacing w:val="-2"/>
          <w:sz w:val="21"/>
        </w:rPr>
        <w:t>定</w:t>
      </w:r>
      <w:r>
        <w:rPr>
          <w:spacing w:val="-4"/>
          <w:sz w:val="21"/>
        </w:rPr>
        <w:t>义</w:t>
      </w:r>
      <w:r>
        <w:rPr>
          <w:spacing w:val="-4"/>
          <w:sz w:val="21"/>
        </w:rPr>
        <w:t>为</w:t>
      </w:r>
      <w:r>
        <w:rPr>
          <w:spacing w:val="-4"/>
          <w:sz w:val="21"/>
        </w:rPr>
        <w:t>准。</w:t>
      </w:r>
    </w:p>
    <w:p>
      <w:pPr>
        <w:pStyle w:val="BodyText"/>
        <w:spacing w:before="9"/>
        <w:rPr>
          <w:sz w:val="9"/>
        </w:rPr>
      </w:pPr>
    </w:p>
    <w:p>
      <w:pPr>
        <w:spacing w:after="0"/>
        <w:rPr>
          <w:sz w:val="9"/>
        </w:rPr>
        <w:sectPr>
          <w:pgSz w:w="11910" w:h="16840"/>
          <w:pgMar w:header="0" w:footer="458" w:top="1260" w:bottom="640" w:left="800" w:right="660"/>
        </w:sectPr>
      </w:pPr>
    </w:p>
    <w:p>
      <w:pPr>
        <w:pStyle w:val="ListParagraph"/>
        <w:numPr>
          <w:ilvl w:val="0"/>
          <w:numId w:val="26"/>
        </w:numPr>
        <w:tabs>
          <w:tab w:pos="1399" w:val="left" w:leader="none"/>
        </w:tabs>
        <w:spacing w:line="350" w:lineRule="exact" w:before="4" w:after="0"/>
        <w:ind w:left="1398" w:right="0" w:hanging="327"/>
        <w:jc w:val="left"/>
        <w:rPr>
          <w:rFonts w:ascii="微软雅黑" w:hAnsi="微软雅黑" w:eastAsia="微软雅黑"/>
          <w:b/>
          <w:sz w:val="21"/>
        </w:rPr>
      </w:pPr>
      <w:r>
        <w:rPr>
          <w:rFonts w:ascii="微软雅黑" w:hAnsi="微软雅黑" w:eastAsia="微软雅黑"/>
          <w:b/>
          <w:spacing w:val="-4"/>
          <w:sz w:val="21"/>
        </w:rPr>
        <w:t>恶性肿瘤—</w:t>
      </w:r>
    </w:p>
    <w:p>
      <w:pPr>
        <w:spacing w:line="350" w:lineRule="exact" w:before="0"/>
        <w:ind w:left="1072" w:right="0" w:firstLine="0"/>
        <w:jc w:val="left"/>
        <w:rPr>
          <w:rFonts w:ascii="微软雅黑" w:hAnsi="微软雅黑" w:eastAsia="微软雅黑"/>
          <w:b/>
          <w:sz w:val="21"/>
        </w:rPr>
      </w:pPr>
      <w:r>
        <w:rPr>
          <w:rFonts w:ascii="微软雅黑" w:hAnsi="微软雅黑" w:eastAsia="微软雅黑"/>
          <w:b/>
          <w:w w:val="95"/>
          <w:sz w:val="21"/>
        </w:rPr>
        <w:t>—</w:t>
      </w:r>
      <w:r>
        <w:rPr>
          <w:rFonts w:ascii="微软雅黑" w:hAnsi="微软雅黑" w:eastAsia="微软雅黑"/>
          <w:b/>
          <w:w w:val="95"/>
          <w:sz w:val="21"/>
        </w:rPr>
        <w:t>轻</w:t>
      </w:r>
      <w:r>
        <w:rPr>
          <w:rFonts w:ascii="微软雅黑" w:hAnsi="微软雅黑" w:eastAsia="微软雅黑"/>
          <w:b/>
          <w:spacing w:val="-10"/>
          <w:w w:val="95"/>
          <w:sz w:val="21"/>
        </w:rPr>
        <w:t>度</w:t>
      </w:r>
    </w:p>
    <w:p>
      <w:pPr>
        <w:pStyle w:val="BodyText"/>
        <w:spacing w:line="228" w:lineRule="auto" w:before="82"/>
        <w:ind w:left="173" w:right="358"/>
        <w:jc w:val="both"/>
        <w:rPr>
          <w:rFonts w:ascii="Times New Roman" w:eastAsia="Times New Roman"/>
        </w:rPr>
      </w:pPr>
      <w:r>
        <w:rPr/>
        <w:br w:type="column"/>
      </w:r>
      <w:r>
        <w:rPr>
          <w:spacing w:val="-2"/>
        </w:rPr>
        <w:t>指恶性细胞不受控制的进行性增长和扩散，浸润和破坏周围正常组织，可以经血</w:t>
      </w:r>
      <w:r>
        <w:rPr>
          <w:spacing w:val="-2"/>
        </w:rPr>
        <w:t>管、淋巴管和体腔扩散转移到身体其他部位，病灶经</w:t>
      </w:r>
      <w:r>
        <w:rPr>
          <w:rFonts w:ascii="微软雅黑" w:eastAsia="微软雅黑"/>
          <w:b/>
          <w:spacing w:val="-2"/>
        </w:rPr>
        <w:t>组织病理学检查</w:t>
      </w:r>
      <w:r>
        <w:rPr>
          <w:spacing w:val="-2"/>
        </w:rPr>
        <w:t>（涵盖骨髓</w:t>
      </w:r>
      <w:r>
        <w:rPr>
          <w:spacing w:val="-2"/>
        </w:rPr>
        <w:t>病理学检查）结果明确诊断，临床诊断属于世界卫生组织（</w:t>
      </w:r>
      <w:r>
        <w:rPr>
          <w:rFonts w:ascii="Times New Roman" w:eastAsia="Times New Roman"/>
          <w:spacing w:val="-2"/>
        </w:rPr>
        <w:t>WHO</w:t>
      </w:r>
      <w:r>
        <w:rPr>
          <w:spacing w:val="-9"/>
        </w:rPr>
        <w:t>， </w:t>
      </w:r>
      <w:r>
        <w:rPr>
          <w:rFonts w:ascii="Times New Roman" w:eastAsia="Times New Roman"/>
          <w:spacing w:val="-2"/>
        </w:rPr>
        <w:t>World</w:t>
      </w:r>
      <w:r>
        <w:rPr>
          <w:rFonts w:ascii="Times New Roman" w:eastAsia="Times New Roman"/>
          <w:spacing w:val="-6"/>
        </w:rPr>
        <w:t> </w:t>
      </w:r>
      <w:r>
        <w:rPr>
          <w:rFonts w:ascii="Times New Roman" w:eastAsia="Times New Roman"/>
          <w:spacing w:val="-2"/>
        </w:rPr>
        <w:t>Health</w:t>
      </w:r>
    </w:p>
    <w:p>
      <w:pPr>
        <w:spacing w:after="0" w:line="228" w:lineRule="auto"/>
        <w:jc w:val="both"/>
        <w:rPr>
          <w:rFonts w:ascii="Times New Roman" w:eastAsia="Times New Roman"/>
        </w:rPr>
        <w:sectPr>
          <w:type w:val="continuous"/>
          <w:pgSz w:w="11910" w:h="16840"/>
          <w:pgMar w:header="0" w:footer="458" w:top="620" w:bottom="280" w:left="800" w:right="660"/>
          <w:cols w:num="2" w:equalWidth="0">
            <w:col w:w="2487" w:space="40"/>
            <w:col w:w="7923"/>
          </w:cols>
        </w:sectPr>
      </w:pPr>
    </w:p>
    <w:p>
      <w:pPr>
        <w:pStyle w:val="BodyText"/>
        <w:spacing w:line="278" w:lineRule="auto" w:before="63"/>
        <w:ind w:left="2699" w:right="354"/>
        <w:jc w:val="both"/>
      </w:pPr>
      <w:r>
        <w:rPr>
          <w:rFonts w:ascii="Times New Roman" w:hAnsi="Times New Roman" w:eastAsia="Times New Roman"/>
          <w:spacing w:val="6"/>
        </w:rPr>
        <w:t>O</w:t>
      </w:r>
      <w:r>
        <w:rPr>
          <w:rFonts w:ascii="Times New Roman" w:hAnsi="Times New Roman" w:eastAsia="Times New Roman"/>
        </w:rPr>
        <w:t>r</w:t>
      </w:r>
      <w:r>
        <w:rPr>
          <w:rFonts w:ascii="Times New Roman" w:hAnsi="Times New Roman" w:eastAsia="Times New Roman"/>
          <w:spacing w:val="6"/>
        </w:rPr>
        <w:t>gan</w:t>
      </w:r>
      <w:r>
        <w:rPr>
          <w:rFonts w:ascii="Times New Roman" w:hAnsi="Times New Roman" w:eastAsia="Times New Roman"/>
          <w:spacing w:val="4"/>
        </w:rPr>
        <w:t>i</w:t>
      </w:r>
      <w:r>
        <w:rPr>
          <w:rFonts w:ascii="Times New Roman" w:hAnsi="Times New Roman" w:eastAsia="Times New Roman"/>
          <w:spacing w:val="6"/>
        </w:rPr>
        <w:t>za</w:t>
      </w:r>
      <w:r>
        <w:rPr>
          <w:rFonts w:ascii="Times New Roman" w:hAnsi="Times New Roman" w:eastAsia="Times New Roman"/>
          <w:spacing w:val="4"/>
        </w:rPr>
        <w:t>ti</w:t>
      </w:r>
      <w:r>
        <w:rPr>
          <w:rFonts w:ascii="Times New Roman" w:hAnsi="Times New Roman" w:eastAsia="Times New Roman"/>
          <w:spacing w:val="6"/>
        </w:rPr>
        <w:t>o</w:t>
      </w:r>
      <w:r>
        <w:rPr>
          <w:rFonts w:ascii="Times New Roman" w:hAnsi="Times New Roman" w:eastAsia="Times New Roman"/>
          <w:spacing w:val="9"/>
        </w:rPr>
        <w:t>n</w:t>
      </w:r>
      <w:r>
        <w:rPr>
          <w:spacing w:val="-100"/>
        </w:rPr>
        <w:t>）</w:t>
      </w:r>
      <w:r>
        <w:rPr>
          <w:spacing w:val="-2"/>
        </w:rPr>
        <w:t>《疾病和有关健康问题的国际统计分类》第十次修订版（</w:t>
      </w:r>
      <w:r>
        <w:rPr>
          <w:rFonts w:ascii="Times New Roman" w:hAnsi="Times New Roman" w:eastAsia="Times New Roman"/>
          <w:b/>
          <w:spacing w:val="-2"/>
        </w:rPr>
        <w:t>ICD-10</w:t>
      </w:r>
      <w:r>
        <w:rPr>
          <w:spacing w:val="-2"/>
        </w:rPr>
        <w:t>）</w:t>
      </w:r>
      <w:r>
        <w:rPr>
          <w:spacing w:val="-2"/>
        </w:rPr>
        <w:t>的恶性肿瘤类别及《国际疾病分类肿瘤学专辑》第三版（</w:t>
      </w:r>
      <w:r>
        <w:rPr>
          <w:rFonts w:ascii="Times New Roman" w:hAnsi="Times New Roman" w:eastAsia="Times New Roman"/>
          <w:b/>
          <w:spacing w:val="-2"/>
        </w:rPr>
        <w:t>ICD-O-3</w:t>
      </w:r>
      <w:r>
        <w:rPr>
          <w:spacing w:val="-2"/>
        </w:rPr>
        <w:t>）的肿瘤形态</w:t>
      </w:r>
      <w:r>
        <w:rPr/>
        <w:t>学编码属于 </w:t>
      </w:r>
      <w:r>
        <w:rPr>
          <w:rFonts w:ascii="Times New Roman" w:hAnsi="Times New Roman" w:eastAsia="Times New Roman"/>
        </w:rPr>
        <w:t>3</w:t>
      </w:r>
      <w:r>
        <w:rPr/>
        <w:t>、</w:t>
      </w:r>
      <w:r>
        <w:rPr>
          <w:rFonts w:ascii="Times New Roman" w:hAnsi="Times New Roman" w:eastAsia="Times New Roman"/>
        </w:rPr>
        <w:t>6</w:t>
      </w:r>
      <w:r>
        <w:rPr/>
        <w:t>、</w:t>
      </w:r>
      <w:r>
        <w:rPr>
          <w:rFonts w:ascii="Times New Roman" w:hAnsi="Times New Roman" w:eastAsia="Times New Roman"/>
        </w:rPr>
        <w:t>9</w:t>
      </w:r>
      <w:r>
        <w:rPr/>
        <w:t>（恶性肿瘤）范畴，但不在“恶性肿瘤——重度”保障范围</w:t>
      </w:r>
      <w:r>
        <w:rPr>
          <w:spacing w:val="-2"/>
        </w:rPr>
        <w:t>的疾病。且特指下列六项之一：</w:t>
      </w:r>
    </w:p>
    <w:p>
      <w:pPr>
        <w:pStyle w:val="ListParagraph"/>
        <w:numPr>
          <w:ilvl w:val="1"/>
          <w:numId w:val="26"/>
        </w:numPr>
        <w:tabs>
          <w:tab w:pos="3230" w:val="left" w:leader="none"/>
        </w:tabs>
        <w:spacing w:line="316" w:lineRule="exact" w:before="0" w:after="0"/>
        <w:ind w:left="3229" w:right="0" w:hanging="531"/>
        <w:jc w:val="both"/>
        <w:rPr>
          <w:sz w:val="21"/>
        </w:rPr>
      </w:pPr>
      <w:r>
        <w:rPr>
          <w:rFonts w:ascii="Times New Roman" w:hAnsi="Times New Roman" w:eastAsia="Times New Roman"/>
          <w:b/>
          <w:sz w:val="21"/>
        </w:rPr>
        <w:t>TNM</w:t>
      </w:r>
      <w:r>
        <w:rPr>
          <w:rFonts w:ascii="Times New Roman" w:hAnsi="Times New Roman" w:eastAsia="Times New Roman"/>
          <w:b/>
          <w:spacing w:val="-15"/>
          <w:sz w:val="21"/>
        </w:rPr>
        <w:t> </w:t>
      </w:r>
      <w:r>
        <w:rPr>
          <w:rFonts w:ascii="微软雅黑" w:hAnsi="微软雅黑" w:eastAsia="微软雅黑"/>
          <w:b/>
          <w:sz w:val="21"/>
        </w:rPr>
        <w:t>分期</w:t>
      </w:r>
      <w:r>
        <w:rPr>
          <w:spacing w:val="-2"/>
          <w:sz w:val="21"/>
        </w:rPr>
        <w:t>为Ⅰ期的甲状腺癌；</w:t>
      </w:r>
    </w:p>
    <w:p>
      <w:pPr>
        <w:pStyle w:val="ListParagraph"/>
        <w:numPr>
          <w:ilvl w:val="1"/>
          <w:numId w:val="26"/>
        </w:numPr>
        <w:tabs>
          <w:tab w:pos="3230" w:val="left" w:leader="none"/>
        </w:tabs>
        <w:spacing w:line="265" w:lineRule="exact" w:before="0" w:after="0"/>
        <w:ind w:left="3229" w:right="0" w:hanging="531"/>
        <w:jc w:val="both"/>
        <w:rPr>
          <w:sz w:val="21"/>
        </w:rPr>
      </w:pPr>
      <w:r>
        <w:rPr>
          <w:rFonts w:ascii="Times New Roman" w:eastAsia="Times New Roman"/>
          <w:position w:val="2"/>
          <w:sz w:val="21"/>
        </w:rPr>
        <w:t>TNM</w:t>
      </w:r>
      <w:r>
        <w:rPr>
          <w:rFonts w:ascii="Times New Roman" w:eastAsia="Times New Roman"/>
          <w:spacing w:val="-14"/>
          <w:position w:val="2"/>
          <w:sz w:val="21"/>
        </w:rPr>
        <w:t> </w:t>
      </w:r>
      <w:r>
        <w:rPr>
          <w:spacing w:val="-14"/>
          <w:position w:val="2"/>
          <w:sz w:val="21"/>
        </w:rPr>
        <w:t>分期为 </w:t>
      </w:r>
      <w:r>
        <w:rPr>
          <w:rFonts w:ascii="Times New Roman" w:eastAsia="Times New Roman"/>
          <w:position w:val="2"/>
          <w:sz w:val="21"/>
        </w:rPr>
        <w:t>T</w:t>
      </w:r>
      <w:r>
        <w:rPr>
          <w:rFonts w:ascii="Times New Roman" w:eastAsia="Times New Roman"/>
          <w:sz w:val="14"/>
        </w:rPr>
        <w:t>1</w:t>
      </w:r>
      <w:r>
        <w:rPr>
          <w:rFonts w:ascii="Times New Roman" w:eastAsia="Times New Roman"/>
          <w:position w:val="2"/>
          <w:sz w:val="21"/>
        </w:rPr>
        <w:t>N</w:t>
      </w:r>
      <w:r>
        <w:rPr>
          <w:rFonts w:ascii="Times New Roman" w:eastAsia="Times New Roman"/>
          <w:sz w:val="14"/>
        </w:rPr>
        <w:t>0</w:t>
      </w:r>
      <w:r>
        <w:rPr>
          <w:rFonts w:ascii="Times New Roman" w:eastAsia="Times New Roman"/>
          <w:position w:val="2"/>
          <w:sz w:val="21"/>
        </w:rPr>
        <w:t>M</w:t>
      </w:r>
      <w:r>
        <w:rPr>
          <w:rFonts w:ascii="Times New Roman" w:eastAsia="Times New Roman"/>
          <w:sz w:val="14"/>
        </w:rPr>
        <w:t>0</w:t>
      </w:r>
      <w:r>
        <w:rPr>
          <w:rFonts w:ascii="Times New Roman" w:eastAsia="Times New Roman"/>
          <w:spacing w:val="-8"/>
          <w:sz w:val="14"/>
        </w:rPr>
        <w:t> </w:t>
      </w:r>
      <w:r>
        <w:rPr>
          <w:spacing w:val="-2"/>
          <w:position w:val="2"/>
          <w:sz w:val="21"/>
        </w:rPr>
        <w:t>期的前列腺癌；</w:t>
      </w:r>
    </w:p>
    <w:p>
      <w:pPr>
        <w:pStyle w:val="ListParagraph"/>
        <w:numPr>
          <w:ilvl w:val="1"/>
          <w:numId w:val="26"/>
        </w:numPr>
        <w:tabs>
          <w:tab w:pos="3230" w:val="left" w:leader="none"/>
        </w:tabs>
        <w:spacing w:line="240" w:lineRule="auto" w:before="43" w:after="0"/>
        <w:ind w:left="3229" w:right="0" w:hanging="531"/>
        <w:jc w:val="left"/>
        <w:rPr>
          <w:sz w:val="21"/>
        </w:rPr>
      </w:pPr>
      <w:r>
        <w:rPr>
          <w:spacing w:val="-3"/>
          <w:sz w:val="21"/>
        </w:rPr>
        <w:t>黑色素瘤以外的未发生淋巴结和远处转移的皮肤恶性肿瘤；</w:t>
      </w:r>
    </w:p>
    <w:p>
      <w:pPr>
        <w:pStyle w:val="ListParagraph"/>
        <w:numPr>
          <w:ilvl w:val="1"/>
          <w:numId w:val="26"/>
        </w:numPr>
        <w:tabs>
          <w:tab w:pos="3230" w:val="left" w:leader="none"/>
        </w:tabs>
        <w:spacing w:line="240" w:lineRule="auto" w:before="43" w:after="0"/>
        <w:ind w:left="3229" w:right="0" w:hanging="531"/>
        <w:jc w:val="left"/>
        <w:rPr>
          <w:sz w:val="21"/>
        </w:rPr>
      </w:pPr>
      <w:r>
        <w:rPr>
          <w:spacing w:val="-14"/>
          <w:sz w:val="21"/>
        </w:rPr>
        <w:t>相当于 </w:t>
      </w:r>
      <w:r>
        <w:rPr>
          <w:rFonts w:ascii="Times New Roman" w:eastAsia="Times New Roman"/>
          <w:sz w:val="21"/>
        </w:rPr>
        <w:t>Binet</w:t>
      </w:r>
      <w:r>
        <w:rPr>
          <w:rFonts w:ascii="Times New Roman" w:eastAsia="Times New Roman"/>
          <w:spacing w:val="-14"/>
          <w:sz w:val="21"/>
        </w:rPr>
        <w:t> </w:t>
      </w:r>
      <w:r>
        <w:rPr>
          <w:spacing w:val="11"/>
          <w:sz w:val="21"/>
        </w:rPr>
        <w:t>分期方案</w:t>
      </w:r>
      <w:r>
        <w:rPr>
          <w:rFonts w:ascii="Times New Roman" w:eastAsia="Times New Roman"/>
          <w:sz w:val="21"/>
        </w:rPr>
        <w:t>A</w:t>
      </w:r>
      <w:r>
        <w:rPr>
          <w:rFonts w:ascii="Times New Roman" w:eastAsia="Times New Roman"/>
          <w:spacing w:val="-12"/>
          <w:sz w:val="21"/>
        </w:rPr>
        <w:t> </w:t>
      </w:r>
      <w:r>
        <w:rPr>
          <w:spacing w:val="-1"/>
          <w:sz w:val="21"/>
        </w:rPr>
        <w:t>期程度的慢性淋巴细胞白血病；</w:t>
      </w:r>
    </w:p>
    <w:p>
      <w:pPr>
        <w:pStyle w:val="ListParagraph"/>
        <w:numPr>
          <w:ilvl w:val="1"/>
          <w:numId w:val="26"/>
        </w:numPr>
        <w:tabs>
          <w:tab w:pos="3230" w:val="left" w:leader="none"/>
        </w:tabs>
        <w:spacing w:line="240" w:lineRule="auto" w:before="43" w:after="0"/>
        <w:ind w:left="3229" w:right="0" w:hanging="531"/>
        <w:jc w:val="left"/>
        <w:rPr>
          <w:sz w:val="21"/>
        </w:rPr>
      </w:pPr>
      <w:r>
        <w:rPr>
          <w:spacing w:val="12"/>
          <w:sz w:val="21"/>
        </w:rPr>
        <w:t>相当于</w:t>
      </w:r>
      <w:r>
        <w:rPr>
          <w:rFonts w:ascii="Times New Roman" w:hAnsi="Times New Roman" w:eastAsia="Times New Roman"/>
          <w:sz w:val="21"/>
        </w:rPr>
        <w:t>Ann</w:t>
      </w:r>
      <w:r>
        <w:rPr>
          <w:rFonts w:ascii="Times New Roman" w:hAnsi="Times New Roman" w:eastAsia="Times New Roman"/>
          <w:spacing w:val="-17"/>
          <w:sz w:val="21"/>
        </w:rPr>
        <w:t> </w:t>
      </w:r>
      <w:r>
        <w:rPr>
          <w:rFonts w:ascii="Times New Roman" w:hAnsi="Times New Roman" w:eastAsia="Times New Roman"/>
          <w:sz w:val="21"/>
        </w:rPr>
        <w:t>Arbor</w:t>
      </w:r>
      <w:r>
        <w:rPr>
          <w:rFonts w:ascii="Times New Roman" w:hAnsi="Times New Roman" w:eastAsia="Times New Roman"/>
          <w:spacing w:val="-13"/>
          <w:sz w:val="21"/>
        </w:rPr>
        <w:t> </w:t>
      </w:r>
      <w:r>
        <w:rPr>
          <w:spacing w:val="-1"/>
          <w:sz w:val="21"/>
        </w:rPr>
        <w:t>分期方案Ⅰ期程度的何杰金氏病；</w:t>
      </w:r>
    </w:p>
    <w:p>
      <w:pPr>
        <w:pStyle w:val="ListParagraph"/>
        <w:numPr>
          <w:ilvl w:val="1"/>
          <w:numId w:val="26"/>
        </w:numPr>
        <w:tabs>
          <w:tab w:pos="3230" w:val="left" w:leader="none"/>
        </w:tabs>
        <w:spacing w:line="240" w:lineRule="auto" w:before="43" w:after="0"/>
        <w:ind w:left="3229" w:right="0" w:hanging="531"/>
        <w:jc w:val="left"/>
        <w:rPr>
          <w:rFonts w:ascii="Times New Roman" w:eastAsia="Times New Roman"/>
          <w:sz w:val="21"/>
        </w:rPr>
      </w:pPr>
      <w:r>
        <w:rPr>
          <w:spacing w:val="-3"/>
          <w:sz w:val="21"/>
        </w:rPr>
        <w:t>未发生淋巴结和远处转移且 </w:t>
      </w:r>
      <w:r>
        <w:rPr>
          <w:rFonts w:ascii="Times New Roman" w:eastAsia="Times New Roman"/>
          <w:sz w:val="21"/>
        </w:rPr>
        <w:t>WHO</w:t>
      </w:r>
      <w:r>
        <w:rPr>
          <w:rFonts w:ascii="Times New Roman" w:eastAsia="Times New Roman"/>
          <w:spacing w:val="2"/>
          <w:sz w:val="21"/>
        </w:rPr>
        <w:t> </w:t>
      </w:r>
      <w:r>
        <w:rPr>
          <w:spacing w:val="-8"/>
          <w:sz w:val="21"/>
        </w:rPr>
        <w:t>分级为 </w:t>
      </w:r>
      <w:r>
        <w:rPr>
          <w:rFonts w:ascii="Times New Roman" w:eastAsia="Times New Roman"/>
          <w:sz w:val="21"/>
        </w:rPr>
        <w:t>G1</w:t>
      </w:r>
      <w:r>
        <w:rPr>
          <w:rFonts w:ascii="Times New Roman" w:eastAsia="Times New Roman"/>
          <w:spacing w:val="13"/>
          <w:sz w:val="21"/>
        </w:rPr>
        <w:t> </w:t>
      </w:r>
      <w:r>
        <w:rPr>
          <w:sz w:val="21"/>
        </w:rPr>
        <w:t>级别（核分裂像＜</w:t>
      </w:r>
      <w:r>
        <w:rPr>
          <w:rFonts w:ascii="Times New Roman" w:eastAsia="Times New Roman"/>
          <w:sz w:val="21"/>
        </w:rPr>
        <w:t>10/50</w:t>
      </w:r>
      <w:r>
        <w:rPr>
          <w:rFonts w:ascii="Times New Roman" w:eastAsia="Times New Roman"/>
          <w:spacing w:val="41"/>
          <w:sz w:val="21"/>
        </w:rPr>
        <w:t> </w:t>
      </w:r>
      <w:r>
        <w:rPr>
          <w:rFonts w:ascii="Times New Roman" w:eastAsia="Times New Roman"/>
          <w:spacing w:val="-5"/>
          <w:sz w:val="21"/>
        </w:rPr>
        <w:t>HPF</w:t>
      </w:r>
    </w:p>
    <w:p>
      <w:pPr>
        <w:pStyle w:val="BodyText"/>
        <w:spacing w:line="257" w:lineRule="exact"/>
        <w:ind w:left="2699"/>
      </w:pPr>
      <w:r>
        <w:rPr>
          <w:spacing w:val="-21"/>
        </w:rPr>
        <w:t>和 </w:t>
      </w:r>
      <w:r>
        <w:rPr>
          <w:rFonts w:ascii="Times New Roman" w:hAnsi="Times New Roman" w:eastAsia="Times New Roman"/>
          <w:spacing w:val="-2"/>
        </w:rPr>
        <w:t>ki-67</w:t>
      </w:r>
      <w:r>
        <w:rPr>
          <w:spacing w:val="-2"/>
        </w:rPr>
        <w:t>≤</w:t>
      </w:r>
      <w:r>
        <w:rPr>
          <w:rFonts w:ascii="Times New Roman" w:hAnsi="Times New Roman" w:eastAsia="Times New Roman"/>
          <w:spacing w:val="-2"/>
        </w:rPr>
        <w:t>2%</w:t>
      </w:r>
      <w:r>
        <w:rPr>
          <w:spacing w:val="-2"/>
        </w:rPr>
        <w:t>）</w:t>
      </w:r>
      <w:r>
        <w:rPr>
          <w:spacing w:val="-3"/>
        </w:rPr>
        <w:t>的神经内分泌肿瘤。</w:t>
      </w:r>
    </w:p>
    <w:p>
      <w:pPr>
        <w:spacing w:line="337" w:lineRule="exact" w:before="0"/>
        <w:ind w:left="2699" w:right="0" w:firstLine="0"/>
        <w:jc w:val="left"/>
        <w:rPr>
          <w:rFonts w:ascii="微软雅黑" w:hAnsi="微软雅黑" w:eastAsia="微软雅黑"/>
          <w:b/>
          <w:sz w:val="21"/>
        </w:rPr>
      </w:pPr>
      <w:r>
        <w:rPr>
          <w:rFonts w:ascii="微软雅黑" w:hAnsi="微软雅黑" w:eastAsia="微软雅黑"/>
          <w:b/>
          <w:w w:val="95"/>
          <w:sz w:val="21"/>
        </w:rPr>
        <w:t>下</w:t>
      </w:r>
      <w:r>
        <w:rPr>
          <w:rFonts w:ascii="微软雅黑" w:hAnsi="微软雅黑" w:eastAsia="微软雅黑"/>
          <w:b/>
          <w:w w:val="95"/>
          <w:sz w:val="21"/>
        </w:rPr>
        <w:t>列</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不</w:t>
      </w:r>
      <w:r>
        <w:rPr>
          <w:rFonts w:ascii="微软雅黑" w:hAnsi="微软雅黑" w:eastAsia="微软雅黑"/>
          <w:b/>
          <w:w w:val="95"/>
          <w:sz w:val="21"/>
        </w:rPr>
        <w:t>属</w:t>
      </w:r>
      <w:r>
        <w:rPr>
          <w:rFonts w:ascii="微软雅黑" w:hAnsi="微软雅黑" w:eastAsia="微软雅黑"/>
          <w:b/>
          <w:w w:val="95"/>
          <w:sz w:val="21"/>
        </w:rPr>
        <w:t>于</w:t>
      </w:r>
      <w:r>
        <w:rPr>
          <w:rFonts w:ascii="微软雅黑" w:hAnsi="微软雅黑" w:eastAsia="微软雅黑"/>
          <w:b/>
          <w:w w:val="95"/>
          <w:sz w:val="21"/>
        </w:rPr>
        <w:t>“恶性肿瘤——</w:t>
      </w:r>
      <w:r>
        <w:rPr>
          <w:rFonts w:ascii="微软雅黑" w:hAnsi="微软雅黑" w:eastAsia="微软雅黑"/>
          <w:b/>
          <w:w w:val="95"/>
          <w:sz w:val="21"/>
        </w:rPr>
        <w:t>轻</w:t>
      </w:r>
      <w:r>
        <w:rPr>
          <w:rFonts w:ascii="微软雅黑" w:hAnsi="微软雅黑" w:eastAsia="微软雅黑"/>
          <w:b/>
          <w:w w:val="95"/>
          <w:sz w:val="21"/>
        </w:rPr>
        <w:t>度</w:t>
      </w:r>
      <w:r>
        <w:rPr>
          <w:rFonts w:ascii="微软雅黑" w:hAnsi="微软雅黑" w:eastAsia="微软雅黑"/>
          <w:b/>
          <w:spacing w:val="-53"/>
          <w:w w:val="95"/>
          <w:sz w:val="21"/>
        </w:rPr>
        <w:t>”，</w:t>
      </w:r>
      <w:r>
        <w:rPr>
          <w:rFonts w:ascii="微软雅黑" w:hAnsi="微软雅黑" w:eastAsia="微软雅黑"/>
          <w:b/>
          <w:w w:val="95"/>
          <w:sz w:val="21"/>
        </w:rPr>
        <w:t>不</w:t>
      </w:r>
      <w:r>
        <w:rPr>
          <w:rFonts w:ascii="微软雅黑" w:hAnsi="微软雅黑" w:eastAsia="微软雅黑"/>
          <w:b/>
          <w:w w:val="95"/>
          <w:sz w:val="21"/>
        </w:rPr>
        <w:t>在</w:t>
      </w:r>
      <w:r>
        <w:rPr>
          <w:rFonts w:ascii="微软雅黑" w:hAnsi="微软雅黑" w:eastAsia="微软雅黑"/>
          <w:b/>
          <w:w w:val="95"/>
          <w:sz w:val="21"/>
        </w:rPr>
        <w:t>保障范</w:t>
      </w:r>
      <w:r>
        <w:rPr>
          <w:rFonts w:ascii="微软雅黑" w:hAnsi="微软雅黑" w:eastAsia="微软雅黑"/>
          <w:b/>
          <w:w w:val="95"/>
          <w:sz w:val="21"/>
        </w:rPr>
        <w:t>围</w:t>
      </w:r>
      <w:r>
        <w:rPr>
          <w:rFonts w:ascii="微软雅黑" w:hAnsi="微软雅黑" w:eastAsia="微软雅黑"/>
          <w:b/>
          <w:w w:val="95"/>
          <w:sz w:val="21"/>
        </w:rPr>
        <w:t>内</w:t>
      </w:r>
      <w:r>
        <w:rPr>
          <w:rFonts w:ascii="微软雅黑" w:hAnsi="微软雅黑" w:eastAsia="微软雅黑"/>
          <w:b/>
          <w:spacing w:val="-10"/>
          <w:w w:val="95"/>
          <w:sz w:val="21"/>
        </w:rPr>
        <w:t>：</w:t>
      </w:r>
    </w:p>
    <w:p>
      <w:pPr>
        <w:spacing w:line="194" w:lineRule="auto" w:before="15"/>
        <w:ind w:left="2699" w:right="355" w:firstLine="0"/>
        <w:jc w:val="left"/>
        <w:rPr>
          <w:rFonts w:ascii="微软雅黑" w:eastAsia="微软雅黑"/>
          <w:b/>
          <w:sz w:val="21"/>
        </w:rPr>
      </w:pPr>
      <w:r>
        <w:rPr>
          <w:rFonts w:ascii="微软雅黑" w:eastAsia="微软雅黑"/>
          <w:b/>
          <w:w w:val="95"/>
          <w:sz w:val="21"/>
        </w:rPr>
        <w:t>ICD-O-3 </w:t>
      </w:r>
      <w:r>
        <w:rPr>
          <w:rFonts w:ascii="微软雅黑" w:eastAsia="微软雅黑"/>
          <w:b/>
          <w:w w:val="95"/>
          <w:sz w:val="21"/>
        </w:rPr>
        <w:t>肿</w:t>
      </w:r>
      <w:r>
        <w:rPr>
          <w:rFonts w:ascii="微软雅黑" w:eastAsia="微软雅黑"/>
          <w:b/>
          <w:w w:val="95"/>
          <w:sz w:val="21"/>
        </w:rPr>
        <w:t>瘤</w:t>
      </w:r>
      <w:r>
        <w:rPr>
          <w:rFonts w:ascii="微软雅黑" w:eastAsia="微软雅黑"/>
          <w:b/>
          <w:w w:val="95"/>
          <w:sz w:val="21"/>
        </w:rPr>
        <w:t>形</w:t>
      </w:r>
      <w:r>
        <w:rPr>
          <w:rFonts w:ascii="微软雅黑" w:eastAsia="微软雅黑"/>
          <w:b/>
          <w:w w:val="95"/>
          <w:sz w:val="21"/>
        </w:rPr>
        <w:t>态</w:t>
      </w:r>
      <w:r>
        <w:rPr>
          <w:rFonts w:ascii="微软雅黑" w:eastAsia="微软雅黑"/>
          <w:b/>
          <w:w w:val="95"/>
          <w:sz w:val="21"/>
        </w:rPr>
        <w:t>学</w:t>
      </w:r>
      <w:r>
        <w:rPr>
          <w:rFonts w:ascii="微软雅黑" w:eastAsia="微软雅黑"/>
          <w:b/>
          <w:w w:val="95"/>
          <w:sz w:val="21"/>
        </w:rPr>
        <w:t>编</w:t>
      </w:r>
      <w:r>
        <w:rPr>
          <w:rFonts w:ascii="微软雅黑" w:eastAsia="微软雅黑"/>
          <w:b/>
          <w:w w:val="95"/>
          <w:sz w:val="21"/>
        </w:rPr>
        <w:t>码</w:t>
      </w:r>
      <w:r>
        <w:rPr>
          <w:rFonts w:ascii="微软雅黑" w:eastAsia="微软雅黑"/>
          <w:b/>
          <w:w w:val="95"/>
          <w:sz w:val="21"/>
        </w:rPr>
        <w:t>属</w:t>
      </w:r>
      <w:r>
        <w:rPr>
          <w:rFonts w:ascii="微软雅黑" w:eastAsia="微软雅黑"/>
          <w:b/>
          <w:w w:val="95"/>
          <w:sz w:val="21"/>
        </w:rPr>
        <w:t>于</w:t>
      </w:r>
      <w:r>
        <w:rPr>
          <w:rFonts w:ascii="微软雅黑" w:eastAsia="微软雅黑"/>
          <w:b/>
          <w:w w:val="95"/>
          <w:sz w:val="21"/>
        </w:rPr>
        <w:t> 0（</w:t>
      </w:r>
      <w:r>
        <w:rPr>
          <w:rFonts w:ascii="微软雅黑" w:eastAsia="微软雅黑"/>
          <w:b/>
          <w:w w:val="95"/>
          <w:sz w:val="21"/>
        </w:rPr>
        <w:t>良</w:t>
      </w:r>
      <w:r>
        <w:rPr>
          <w:rFonts w:ascii="微软雅黑" w:eastAsia="微软雅黑"/>
          <w:b/>
          <w:w w:val="95"/>
          <w:sz w:val="21"/>
        </w:rPr>
        <w:t>性</w:t>
      </w:r>
      <w:r>
        <w:rPr>
          <w:rFonts w:ascii="微软雅黑" w:eastAsia="微软雅黑"/>
          <w:b/>
          <w:w w:val="95"/>
          <w:sz w:val="21"/>
        </w:rPr>
        <w:t>肿</w:t>
      </w:r>
      <w:r>
        <w:rPr>
          <w:rFonts w:ascii="微软雅黑" w:eastAsia="微软雅黑"/>
          <w:b/>
          <w:w w:val="95"/>
          <w:sz w:val="21"/>
        </w:rPr>
        <w:t>瘤</w:t>
      </w:r>
      <w:r>
        <w:rPr>
          <w:rFonts w:ascii="微软雅黑" w:eastAsia="微软雅黑"/>
          <w:b/>
          <w:spacing w:val="-106"/>
          <w:w w:val="95"/>
          <w:sz w:val="21"/>
        </w:rPr>
        <w:t>）</w:t>
      </w:r>
      <w:r>
        <w:rPr>
          <w:rFonts w:ascii="微软雅黑" w:eastAsia="微软雅黑"/>
          <w:b/>
          <w:w w:val="95"/>
          <w:sz w:val="21"/>
        </w:rPr>
        <w:t>、1（</w:t>
      </w:r>
      <w:r>
        <w:rPr>
          <w:rFonts w:ascii="微软雅黑" w:eastAsia="微软雅黑"/>
          <w:b/>
          <w:w w:val="95"/>
          <w:sz w:val="21"/>
        </w:rPr>
        <w:t>动</w:t>
      </w:r>
      <w:r>
        <w:rPr>
          <w:rFonts w:ascii="微软雅黑" w:eastAsia="微软雅黑"/>
          <w:b/>
          <w:w w:val="95"/>
          <w:sz w:val="21"/>
        </w:rPr>
        <w:t>态</w:t>
      </w:r>
      <w:r>
        <w:rPr>
          <w:rFonts w:ascii="微软雅黑" w:eastAsia="微软雅黑"/>
          <w:b/>
          <w:w w:val="95"/>
          <w:sz w:val="21"/>
        </w:rPr>
        <w:t>未</w:t>
      </w:r>
      <w:r>
        <w:rPr>
          <w:rFonts w:ascii="微软雅黑" w:eastAsia="微软雅黑"/>
          <w:b/>
          <w:w w:val="95"/>
          <w:sz w:val="21"/>
        </w:rPr>
        <w:t>定</w:t>
      </w:r>
      <w:r>
        <w:rPr>
          <w:rFonts w:ascii="微软雅黑" w:eastAsia="微软雅黑"/>
          <w:b/>
          <w:w w:val="95"/>
          <w:sz w:val="21"/>
        </w:rPr>
        <w:t>性</w:t>
      </w:r>
      <w:r>
        <w:rPr>
          <w:rFonts w:ascii="微软雅黑" w:eastAsia="微软雅黑"/>
          <w:b/>
          <w:w w:val="95"/>
          <w:sz w:val="21"/>
        </w:rPr>
        <w:t>肿</w:t>
      </w:r>
      <w:r>
        <w:rPr>
          <w:rFonts w:ascii="微软雅黑" w:eastAsia="微软雅黑"/>
          <w:b/>
          <w:w w:val="95"/>
          <w:sz w:val="21"/>
        </w:rPr>
        <w:t>瘤</w:t>
      </w:r>
      <w:r>
        <w:rPr>
          <w:rFonts w:ascii="微软雅黑" w:eastAsia="微软雅黑"/>
          <w:b/>
          <w:spacing w:val="-106"/>
          <w:w w:val="95"/>
          <w:sz w:val="21"/>
        </w:rPr>
        <w:t>）</w:t>
      </w:r>
      <w:r>
        <w:rPr>
          <w:rFonts w:ascii="微软雅黑" w:eastAsia="微软雅黑"/>
          <w:b/>
          <w:w w:val="95"/>
          <w:sz w:val="21"/>
        </w:rPr>
        <w:t>、2（</w:t>
      </w:r>
      <w:r>
        <w:rPr>
          <w:rFonts w:ascii="微软雅黑" w:eastAsia="微软雅黑"/>
          <w:b/>
          <w:w w:val="95"/>
          <w:sz w:val="21"/>
        </w:rPr>
        <w:t>原</w:t>
      </w:r>
      <w:r>
        <w:rPr>
          <w:rFonts w:ascii="微软雅黑" w:eastAsia="微软雅黑"/>
          <w:b/>
          <w:w w:val="95"/>
          <w:sz w:val="21"/>
        </w:rPr>
        <w:t>位癌和</w:t>
      </w:r>
      <w:r>
        <w:rPr>
          <w:rFonts w:ascii="微软雅黑" w:eastAsia="微软雅黑"/>
          <w:b/>
          <w:spacing w:val="-2"/>
          <w:sz w:val="21"/>
        </w:rPr>
        <w:t>非侵袭性癌）范畴的疾病，如：</w:t>
      </w:r>
    </w:p>
    <w:p>
      <w:pPr>
        <w:pStyle w:val="ListParagraph"/>
        <w:numPr>
          <w:ilvl w:val="0"/>
          <w:numId w:val="27"/>
        </w:numPr>
        <w:tabs>
          <w:tab w:pos="2912" w:val="left" w:leader="none"/>
        </w:tabs>
        <w:spacing w:line="194" w:lineRule="auto" w:before="0" w:after="0"/>
        <w:ind w:left="2699" w:right="359" w:firstLine="0"/>
        <w:jc w:val="left"/>
        <w:rPr>
          <w:rFonts w:ascii="微软雅黑" w:eastAsia="微软雅黑"/>
          <w:b/>
          <w:sz w:val="21"/>
        </w:rPr>
      </w:pPr>
      <w:r>
        <w:rPr>
          <w:rFonts w:ascii="微软雅黑" w:eastAsia="微软雅黑"/>
          <w:b/>
          <w:spacing w:val="-2"/>
          <w:sz w:val="21"/>
        </w:rPr>
        <w:t>原位癌，癌前病变，非浸润性癌，非侵袭性癌，肿瘤细胞未侵犯基底层，上皮</w:t>
      </w:r>
      <w:r>
        <w:rPr>
          <w:rFonts w:ascii="微软雅黑" w:eastAsia="微软雅黑"/>
          <w:b/>
          <w:spacing w:val="-2"/>
          <w:sz w:val="21"/>
        </w:rPr>
        <w:t>内瘤变，细胞不典型性增生等；</w:t>
      </w:r>
    </w:p>
    <w:p>
      <w:pPr>
        <w:pStyle w:val="ListParagraph"/>
        <w:numPr>
          <w:ilvl w:val="0"/>
          <w:numId w:val="27"/>
        </w:numPr>
        <w:tabs>
          <w:tab w:pos="2912" w:val="left" w:leader="none"/>
        </w:tabs>
        <w:spacing w:line="331" w:lineRule="exact" w:before="0" w:after="0"/>
        <w:ind w:left="2911" w:right="0" w:hanging="213"/>
        <w:jc w:val="left"/>
        <w:rPr>
          <w:rFonts w:ascii="微软雅黑" w:eastAsia="微软雅黑"/>
          <w:b/>
          <w:sz w:val="21"/>
        </w:rPr>
      </w:pPr>
      <w:r>
        <w:rPr>
          <w:rFonts w:ascii="微软雅黑" w:eastAsia="微软雅黑"/>
          <w:b/>
          <w:spacing w:val="-3"/>
          <w:sz w:val="21"/>
        </w:rPr>
        <w:t>交界性肿瘤，交界恶性肿瘤，肿瘤低度恶性潜能，潜在低度恶性肿瘤等。</w:t>
      </w:r>
    </w:p>
    <w:p>
      <w:pPr>
        <w:pStyle w:val="BodyText"/>
        <w:spacing w:before="9"/>
        <w:rPr>
          <w:rFonts w:ascii="微软雅黑"/>
          <w:b/>
          <w:sz w:val="12"/>
        </w:rPr>
      </w:pPr>
    </w:p>
    <w:p>
      <w:pPr>
        <w:spacing w:after="0"/>
        <w:rPr>
          <w:rFonts w:ascii="微软雅黑"/>
          <w:sz w:val="12"/>
        </w:rPr>
        <w:sectPr>
          <w:pgSz w:w="11910" w:h="16840"/>
          <w:pgMar w:header="0" w:footer="458" w:top="1240" w:bottom="640" w:left="800" w:right="660"/>
        </w:sectPr>
      </w:pPr>
    </w:p>
    <w:p>
      <w:pPr>
        <w:pStyle w:val="ListParagraph"/>
        <w:numPr>
          <w:ilvl w:val="0"/>
          <w:numId w:val="26"/>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较轻急性心</w:t>
      </w:r>
      <w:r>
        <w:rPr>
          <w:rFonts w:ascii="微软雅黑" w:eastAsia="微软雅黑"/>
          <w:b/>
          <w:spacing w:val="-4"/>
          <w:sz w:val="21"/>
        </w:rPr>
        <w:t>肌梗死</w:t>
      </w:r>
    </w:p>
    <w:p>
      <w:pPr>
        <w:pStyle w:val="BodyText"/>
        <w:spacing w:line="278" w:lineRule="auto" w:before="72"/>
        <w:ind w:left="174" w:right="355"/>
        <w:jc w:val="both"/>
      </w:pPr>
      <w:r>
        <w:rPr/>
        <w:br w:type="column"/>
      </w:r>
      <w:r>
        <w:rPr>
          <w:spacing w:val="-2"/>
        </w:rPr>
        <w:t>急性心肌梗死指由于冠状动脉闭塞或梗阻引起部分心肌严重的持久性缺血造成急</w:t>
      </w:r>
      <w:r>
        <w:rPr>
          <w:spacing w:val="-2"/>
        </w:rPr>
        <w:t>性心肌坏死。急性心肌梗死的诊断必须依据国际国内诊断标准，符合（1）检测到</w:t>
      </w:r>
      <w:r>
        <w:rPr>
          <w:spacing w:val="-2"/>
        </w:rPr>
        <w:t>肌酸激酶同工酶（CK-MB）或肌钙蛋白（cTn）升高和/或降低的动态变化，至少一</w:t>
      </w:r>
      <w:r>
        <w:rPr>
          <w:spacing w:val="-7"/>
        </w:rPr>
        <w:t>次达到或超过心肌梗死的临床诊断标准；</w:t>
      </w:r>
      <w:r>
        <w:rPr>
          <w:spacing w:val="25"/>
        </w:rPr>
        <w:t>（2</w:t>
      </w:r>
      <w:r>
        <w:rPr>
          <w:spacing w:val="22"/>
        </w:rPr>
        <w:t>）</w:t>
      </w:r>
      <w:r>
        <w:rPr>
          <w:spacing w:val="-2"/>
        </w:rPr>
        <w:t>同时存在下列之一的证据，包括：</w:t>
      </w:r>
      <w:r>
        <w:rPr>
          <w:spacing w:val="-3"/>
        </w:rPr>
        <w:t>缺血性胸痛症状、新发生的缺血性心电图改变、新生成的病理性 </w:t>
      </w:r>
      <w:r>
        <w:rPr>
          <w:spacing w:val="-2"/>
        </w:rPr>
        <w:t>Q</w:t>
      </w:r>
      <w:r>
        <w:rPr>
          <w:spacing w:val="-6"/>
        </w:rPr>
        <w:t> 波、影像学证</w:t>
      </w:r>
      <w:r>
        <w:rPr>
          <w:spacing w:val="-2"/>
        </w:rPr>
        <w:t>据显示有新出现的心肌活性丧失或新出现局部室壁运动异常、冠脉造影证实存在</w:t>
      </w:r>
      <w:r>
        <w:rPr>
          <w:spacing w:val="-2"/>
        </w:rPr>
        <w:t>冠状动脉血栓。</w:t>
      </w:r>
    </w:p>
    <w:p>
      <w:pPr>
        <w:pStyle w:val="BodyText"/>
        <w:spacing w:line="278" w:lineRule="auto" w:before="0"/>
        <w:ind w:left="174" w:right="387"/>
      </w:pPr>
      <w:r>
        <w:rPr>
          <w:spacing w:val="-2"/>
        </w:rPr>
        <w:t>较轻急性心肌梗死指依照上述标准被明确诊断为急性心肌梗死，但未达到“较重</w:t>
      </w:r>
      <w:r>
        <w:rPr>
          <w:spacing w:val="-2"/>
        </w:rPr>
        <w:t>急性心肌梗死”的给付标准。</w:t>
      </w:r>
    </w:p>
    <w:p>
      <w:pPr>
        <w:spacing w:line="282" w:lineRule="exact" w:before="0"/>
        <w:ind w:left="174" w:right="0" w:firstLine="0"/>
        <w:jc w:val="left"/>
        <w:rPr>
          <w:rFonts w:ascii="微软雅黑" w:eastAsia="微软雅黑"/>
          <w:b/>
          <w:sz w:val="21"/>
        </w:rPr>
      </w:pPr>
      <w:r>
        <w:rPr>
          <w:rFonts w:ascii="微软雅黑" w:eastAsia="微软雅黑"/>
          <w:b/>
          <w:w w:val="95"/>
          <w:sz w:val="21"/>
        </w:rPr>
        <w:t>其</w:t>
      </w:r>
      <w:r>
        <w:rPr>
          <w:rFonts w:ascii="微软雅黑" w:eastAsia="微软雅黑"/>
          <w:b/>
          <w:w w:val="95"/>
          <w:sz w:val="21"/>
        </w:rPr>
        <w:t>他</w:t>
      </w:r>
      <w:r>
        <w:rPr>
          <w:rFonts w:ascii="微软雅黑" w:eastAsia="微软雅黑"/>
          <w:b/>
          <w:w w:val="95"/>
          <w:sz w:val="21"/>
        </w:rPr>
        <w:t>非</w:t>
      </w:r>
      <w:r>
        <w:rPr>
          <w:rFonts w:ascii="微软雅黑" w:eastAsia="微软雅黑"/>
          <w:b/>
          <w:w w:val="95"/>
          <w:sz w:val="21"/>
        </w:rPr>
        <w:t>冠</w:t>
      </w:r>
      <w:r>
        <w:rPr>
          <w:rFonts w:ascii="微软雅黑" w:eastAsia="微软雅黑"/>
          <w:b/>
          <w:w w:val="95"/>
          <w:sz w:val="21"/>
        </w:rPr>
        <w:t>状</w:t>
      </w:r>
      <w:r>
        <w:rPr>
          <w:rFonts w:ascii="微软雅黑" w:eastAsia="微软雅黑"/>
          <w:b/>
          <w:w w:val="95"/>
          <w:sz w:val="21"/>
        </w:rPr>
        <w:t>动</w:t>
      </w:r>
      <w:r>
        <w:rPr>
          <w:rFonts w:ascii="微软雅黑" w:eastAsia="微软雅黑"/>
          <w:b/>
          <w:w w:val="95"/>
          <w:sz w:val="21"/>
        </w:rPr>
        <w:t>脉</w:t>
      </w:r>
      <w:r>
        <w:rPr>
          <w:rFonts w:ascii="微软雅黑" w:eastAsia="微软雅黑"/>
          <w:b/>
          <w:w w:val="95"/>
          <w:sz w:val="21"/>
        </w:rPr>
        <w:t>阻</w:t>
      </w:r>
      <w:r>
        <w:rPr>
          <w:rFonts w:ascii="微软雅黑" w:eastAsia="微软雅黑"/>
          <w:b/>
          <w:w w:val="95"/>
          <w:sz w:val="21"/>
        </w:rPr>
        <w:t>塞性疾</w:t>
      </w:r>
      <w:r>
        <w:rPr>
          <w:rFonts w:ascii="微软雅黑" w:eastAsia="微软雅黑"/>
          <w:b/>
          <w:w w:val="95"/>
          <w:sz w:val="21"/>
        </w:rPr>
        <w:t>病</w:t>
      </w:r>
      <w:r>
        <w:rPr>
          <w:rFonts w:ascii="微软雅黑" w:eastAsia="微软雅黑"/>
          <w:b/>
          <w:w w:val="95"/>
          <w:sz w:val="21"/>
        </w:rPr>
        <w:t>引</w:t>
      </w:r>
      <w:r>
        <w:rPr>
          <w:rFonts w:ascii="微软雅黑" w:eastAsia="微软雅黑"/>
          <w:b/>
          <w:w w:val="95"/>
          <w:sz w:val="21"/>
        </w:rPr>
        <w:t>起</w:t>
      </w:r>
      <w:r>
        <w:rPr>
          <w:rFonts w:ascii="微软雅黑" w:eastAsia="微软雅黑"/>
          <w:b/>
          <w:w w:val="95"/>
          <w:sz w:val="21"/>
        </w:rPr>
        <w:t>的</w:t>
      </w:r>
      <w:r>
        <w:rPr>
          <w:rFonts w:ascii="微软雅黑" w:eastAsia="微软雅黑"/>
          <w:b/>
          <w:w w:val="95"/>
          <w:sz w:val="21"/>
        </w:rPr>
        <w:t>肌</w:t>
      </w:r>
      <w:r>
        <w:rPr>
          <w:rFonts w:ascii="微软雅黑" w:eastAsia="微软雅黑"/>
          <w:b/>
          <w:w w:val="95"/>
          <w:sz w:val="21"/>
        </w:rPr>
        <w:t>钙</w:t>
      </w:r>
      <w:r>
        <w:rPr>
          <w:rFonts w:ascii="微软雅黑" w:eastAsia="微软雅黑"/>
          <w:b/>
          <w:w w:val="95"/>
          <w:sz w:val="21"/>
        </w:rPr>
        <w:t>蛋</w:t>
      </w:r>
      <w:r>
        <w:rPr>
          <w:rFonts w:ascii="微软雅黑" w:eastAsia="微软雅黑"/>
          <w:b/>
          <w:w w:val="95"/>
          <w:sz w:val="21"/>
        </w:rPr>
        <w:t>白</w:t>
      </w:r>
      <w:r>
        <w:rPr>
          <w:rFonts w:ascii="微软雅黑" w:eastAsia="微软雅黑"/>
          <w:b/>
          <w:w w:val="95"/>
          <w:sz w:val="21"/>
        </w:rPr>
        <w:t>（cTn）</w:t>
      </w:r>
      <w:r>
        <w:rPr>
          <w:rFonts w:ascii="微软雅黑" w:eastAsia="微软雅黑"/>
          <w:b/>
          <w:w w:val="95"/>
          <w:sz w:val="21"/>
        </w:rPr>
        <w:t>升</w:t>
      </w:r>
      <w:r>
        <w:rPr>
          <w:rFonts w:ascii="微软雅黑" w:eastAsia="微软雅黑"/>
          <w:b/>
          <w:w w:val="95"/>
          <w:sz w:val="21"/>
        </w:rPr>
        <w:t>高</w:t>
      </w:r>
      <w:r>
        <w:rPr>
          <w:rFonts w:ascii="微软雅黑" w:eastAsia="微软雅黑"/>
          <w:b/>
          <w:w w:val="95"/>
          <w:sz w:val="21"/>
        </w:rPr>
        <w:t>不</w:t>
      </w:r>
      <w:r>
        <w:rPr>
          <w:rFonts w:ascii="微软雅黑" w:eastAsia="微软雅黑"/>
          <w:b/>
          <w:w w:val="95"/>
          <w:sz w:val="21"/>
        </w:rPr>
        <w:t>在</w:t>
      </w:r>
      <w:r>
        <w:rPr>
          <w:rFonts w:ascii="微软雅黑" w:eastAsia="微软雅黑"/>
          <w:b/>
          <w:w w:val="95"/>
          <w:sz w:val="21"/>
        </w:rPr>
        <w:t>保</w:t>
      </w:r>
      <w:r>
        <w:rPr>
          <w:rFonts w:ascii="微软雅黑" w:eastAsia="微软雅黑"/>
          <w:b/>
          <w:w w:val="95"/>
          <w:sz w:val="21"/>
        </w:rPr>
        <w:t>障</w:t>
      </w:r>
      <w:r>
        <w:rPr>
          <w:rFonts w:ascii="微软雅黑" w:eastAsia="微软雅黑"/>
          <w:b/>
          <w:w w:val="95"/>
          <w:sz w:val="21"/>
        </w:rPr>
        <w:t>范</w:t>
      </w:r>
      <w:r>
        <w:rPr>
          <w:rFonts w:ascii="微软雅黑" w:eastAsia="微软雅黑"/>
          <w:b/>
          <w:w w:val="95"/>
          <w:sz w:val="21"/>
        </w:rPr>
        <w:t>围</w:t>
      </w:r>
      <w:r>
        <w:rPr>
          <w:rFonts w:ascii="微软雅黑" w:eastAsia="微软雅黑"/>
          <w:b/>
          <w:spacing w:val="-5"/>
          <w:w w:val="95"/>
          <w:sz w:val="21"/>
        </w:rPr>
        <w:t>内。</w:t>
      </w:r>
    </w:p>
    <w:p>
      <w:pPr>
        <w:spacing w:line="194" w:lineRule="auto" w:before="14"/>
        <w:ind w:left="174" w:right="365" w:firstLine="0"/>
        <w:jc w:val="both"/>
        <w:rPr>
          <w:rFonts w:ascii="微软雅黑" w:hAnsi="微软雅黑" w:eastAsia="微软雅黑"/>
          <w:b/>
          <w:sz w:val="21"/>
        </w:rPr>
      </w:pPr>
      <w:r>
        <w:rPr>
          <w:rFonts w:ascii="微软雅黑" w:hAnsi="微软雅黑" w:eastAsia="微软雅黑"/>
          <w:b/>
          <w:spacing w:val="-2"/>
          <w:sz w:val="21"/>
        </w:rPr>
        <w:t>若被保险人同时或先后达到“较轻急性心肌梗死”、“激光心肌血运重建术”和 “微创冠状动脉介入手术（非开胸手术）”的赔付标准，本公司仅赔付其中一项</w:t>
      </w:r>
      <w:r>
        <w:rPr>
          <w:rFonts w:ascii="微软雅黑" w:hAnsi="微软雅黑" w:eastAsia="微软雅黑"/>
          <w:b/>
          <w:spacing w:val="-2"/>
          <w:sz w:val="21"/>
        </w:rPr>
        <w:t>轻度疾病保险金；赔付后另外两个病种轻度疾病责任终止。</w:t>
      </w:r>
    </w:p>
    <w:p>
      <w:pPr>
        <w:spacing w:after="0" w:line="194" w:lineRule="auto"/>
        <w:jc w:val="both"/>
        <w:rPr>
          <w:rFonts w:ascii="微软雅黑" w:hAns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9"/>
        <w:rPr>
          <w:rFonts w:ascii="微软雅黑"/>
          <w:b/>
          <w:sz w:val="16"/>
        </w:rPr>
      </w:pPr>
    </w:p>
    <w:p>
      <w:pPr>
        <w:spacing w:after="0"/>
        <w:rPr>
          <w:rFonts w:ascii="微软雅黑"/>
          <w:sz w:val="16"/>
        </w:rPr>
        <w:sectPr>
          <w:type w:val="continuous"/>
          <w:pgSz w:w="11910" w:h="16840"/>
          <w:pgMar w:header="0" w:footer="458" w:top="620" w:bottom="280" w:left="800" w:right="660"/>
        </w:sectPr>
      </w:pPr>
    </w:p>
    <w:p>
      <w:pPr>
        <w:pStyle w:val="ListParagraph"/>
        <w:numPr>
          <w:ilvl w:val="0"/>
          <w:numId w:val="26"/>
        </w:numPr>
        <w:tabs>
          <w:tab w:pos="1399" w:val="left" w:leader="none"/>
        </w:tabs>
        <w:spacing w:line="194" w:lineRule="auto" w:before="64" w:after="0"/>
        <w:ind w:left="1072" w:right="0" w:firstLine="0"/>
        <w:jc w:val="left"/>
        <w:rPr>
          <w:rFonts w:ascii="微软雅黑" w:eastAsia="微软雅黑"/>
          <w:b/>
          <w:sz w:val="21"/>
        </w:rPr>
      </w:pPr>
      <w:r>
        <w:rPr>
          <w:rFonts w:ascii="微软雅黑" w:eastAsia="微软雅黑"/>
          <w:b/>
          <w:spacing w:val="-2"/>
          <w:sz w:val="21"/>
        </w:rPr>
        <w:t>轻度脑中风</w:t>
      </w:r>
      <w:r>
        <w:rPr>
          <w:rFonts w:ascii="微软雅黑" w:eastAsia="微软雅黑"/>
          <w:b/>
          <w:spacing w:val="-4"/>
          <w:sz w:val="21"/>
        </w:rPr>
        <w:t>后遗症</w:t>
      </w:r>
    </w:p>
    <w:p>
      <w:pPr>
        <w:pStyle w:val="BodyText"/>
        <w:spacing w:line="278" w:lineRule="auto" w:before="78"/>
        <w:ind w:left="174" w:right="356"/>
        <w:jc w:val="both"/>
      </w:pPr>
      <w:r>
        <w:rPr/>
        <w:br w:type="column"/>
      </w:r>
      <w:r>
        <w:rPr>
          <w:spacing w:val="-4"/>
        </w:rPr>
        <w:t>指因脑血管的突发病变引起脑血管出血、栓塞或梗塞，须由头颅断层扫描</w:t>
      </w:r>
      <w:r>
        <w:rPr>
          <w:spacing w:val="20"/>
        </w:rPr>
        <w:t>（</w:t>
      </w:r>
      <w:r>
        <w:rPr>
          <w:rFonts w:ascii="Times New Roman" w:hAnsi="Times New Roman" w:eastAsia="Times New Roman"/>
          <w:spacing w:val="21"/>
        </w:rPr>
        <w:t>C</w:t>
      </w:r>
      <w:r>
        <w:rPr>
          <w:rFonts w:ascii="Times New Roman" w:hAnsi="Times New Roman" w:eastAsia="Times New Roman"/>
          <w:spacing w:val="23"/>
        </w:rPr>
        <w:t>T</w:t>
      </w:r>
      <w:r>
        <w:rPr>
          <w:spacing w:val="-83"/>
        </w:rPr>
        <w:t>）</w:t>
      </w:r>
      <w:r>
        <w:rPr>
          <w:spacing w:val="-106"/>
        </w:rPr>
        <w:t>、</w:t>
      </w:r>
      <w:r>
        <w:rPr>
          <w:spacing w:val="-2"/>
        </w:rPr>
        <w:t>核磁共振检查（</w:t>
      </w:r>
      <w:r>
        <w:rPr>
          <w:rFonts w:ascii="Times New Roman" w:hAnsi="Times New Roman" w:eastAsia="Times New Roman"/>
          <w:spacing w:val="-2"/>
        </w:rPr>
        <w:t>MRI</w:t>
      </w:r>
      <w:r>
        <w:rPr>
          <w:spacing w:val="-2"/>
        </w:rPr>
        <w:t>）等影像学检查证实，并导致神经系统永久性的功能障碍，</w:t>
      </w:r>
      <w:r>
        <w:rPr>
          <w:spacing w:val="-2"/>
        </w:rPr>
        <w:t>但未达到“严重脑中风后遗症”的给付标准，在疾病确诊 </w:t>
      </w:r>
      <w:r>
        <w:rPr>
          <w:rFonts w:ascii="Times New Roman" w:hAnsi="Times New Roman" w:eastAsia="Times New Roman"/>
        </w:rPr>
        <w:t>180</w:t>
      </w:r>
      <w:r>
        <w:rPr>
          <w:rFonts w:ascii="Times New Roman" w:hAnsi="Times New Roman" w:eastAsia="Times New Roman"/>
          <w:spacing w:val="-13"/>
        </w:rPr>
        <w:t> </w:t>
      </w:r>
      <w:r>
        <w:rPr/>
        <w:t>天后，仍遗留下列</w:t>
      </w:r>
      <w:r>
        <w:rPr>
          <w:spacing w:val="-2"/>
        </w:rPr>
        <w:t>至少一种障碍：</w:t>
      </w:r>
    </w:p>
    <w:p>
      <w:pPr>
        <w:pStyle w:val="ListParagraph"/>
        <w:numPr>
          <w:ilvl w:val="0"/>
          <w:numId w:val="28"/>
        </w:numPr>
        <w:tabs>
          <w:tab w:pos="704" w:val="left" w:leader="none"/>
        </w:tabs>
        <w:spacing w:line="282" w:lineRule="exact" w:before="0" w:after="0"/>
        <w:ind w:left="703" w:right="0" w:hanging="530"/>
        <w:jc w:val="left"/>
        <w:rPr>
          <w:sz w:val="21"/>
        </w:rPr>
      </w:pPr>
      <w:r>
        <w:rPr>
          <w:spacing w:val="-2"/>
          <w:sz w:val="21"/>
        </w:rPr>
        <w:t>一肢（含）以上</w:t>
      </w:r>
      <w:r>
        <w:rPr>
          <w:rFonts w:ascii="微软雅黑" w:eastAsia="微软雅黑"/>
          <w:b/>
          <w:spacing w:val="-2"/>
          <w:sz w:val="21"/>
        </w:rPr>
        <w:t>肢体肌力</w:t>
      </w:r>
      <w:r>
        <w:rPr>
          <w:spacing w:val="-25"/>
          <w:sz w:val="21"/>
        </w:rPr>
        <w:t>为 </w:t>
      </w:r>
      <w:r>
        <w:rPr>
          <w:rFonts w:ascii="Times New Roman" w:eastAsia="Times New Roman"/>
          <w:spacing w:val="-2"/>
          <w:sz w:val="21"/>
        </w:rPr>
        <w:t>3</w:t>
      </w:r>
      <w:r>
        <w:rPr>
          <w:rFonts w:ascii="Times New Roman" w:eastAsia="Times New Roman"/>
          <w:spacing w:val="5"/>
          <w:sz w:val="21"/>
        </w:rPr>
        <w:t> </w:t>
      </w:r>
      <w:r>
        <w:rPr>
          <w:spacing w:val="-6"/>
          <w:sz w:val="21"/>
        </w:rPr>
        <w:t>级；</w:t>
      </w:r>
    </w:p>
    <w:p>
      <w:pPr>
        <w:pStyle w:val="ListParagraph"/>
        <w:numPr>
          <w:ilvl w:val="0"/>
          <w:numId w:val="28"/>
        </w:numPr>
        <w:tabs>
          <w:tab w:pos="704" w:val="left" w:leader="none"/>
        </w:tabs>
        <w:spacing w:line="350" w:lineRule="exact" w:before="0" w:after="0"/>
        <w:ind w:left="703" w:right="0" w:hanging="530"/>
        <w:jc w:val="left"/>
        <w:rPr>
          <w:sz w:val="21"/>
        </w:rPr>
      </w:pPr>
      <w:r>
        <w:rPr>
          <w:spacing w:val="-2"/>
          <w:sz w:val="21"/>
        </w:rPr>
        <w:t>自主生活能力部分丧失，无法独立完成</w:t>
      </w:r>
      <w:r>
        <w:rPr>
          <w:rFonts w:ascii="微软雅黑" w:eastAsia="微软雅黑"/>
          <w:b/>
          <w:spacing w:val="-2"/>
          <w:sz w:val="21"/>
        </w:rPr>
        <w:t>六项基本日常生活活动</w:t>
      </w:r>
      <w:r>
        <w:rPr>
          <w:spacing w:val="-4"/>
          <w:sz w:val="21"/>
        </w:rPr>
        <w:t>中的两项。</w:t>
      </w:r>
    </w:p>
    <w:p>
      <w:pPr>
        <w:spacing w:after="0" w:line="350" w:lineRule="exact"/>
        <w:jc w:val="left"/>
        <w:rPr>
          <w:sz w:val="21"/>
        </w:rPr>
        <w:sectPr>
          <w:type w:val="continuous"/>
          <w:pgSz w:w="11910" w:h="16840"/>
          <w:pgMar w:header="0" w:footer="458" w:top="620" w:bottom="280" w:left="800" w:right="660"/>
          <w:cols w:num="2" w:equalWidth="0">
            <w:col w:w="2486" w:space="40"/>
            <w:col w:w="7924"/>
          </w:cols>
        </w:sectPr>
      </w:pPr>
    </w:p>
    <w:p>
      <w:pPr>
        <w:pStyle w:val="BodyText"/>
        <w:spacing w:before="2"/>
        <w:rPr>
          <w:sz w:val="18"/>
        </w:rPr>
      </w:pPr>
    </w:p>
    <w:p>
      <w:pPr>
        <w:spacing w:after="0"/>
        <w:rPr>
          <w:sz w:val="18"/>
        </w:rPr>
        <w:sectPr>
          <w:type w:val="continuous"/>
          <w:pgSz w:w="11910" w:h="16840"/>
          <w:pgMar w:header="0" w:footer="458" w:top="620" w:bottom="280" w:left="800" w:right="660"/>
        </w:sectPr>
      </w:pPr>
    </w:p>
    <w:p>
      <w:pPr>
        <w:pStyle w:val="ListParagraph"/>
        <w:numPr>
          <w:ilvl w:val="0"/>
          <w:numId w:val="26"/>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激光心肌血</w:t>
      </w:r>
      <w:r>
        <w:rPr>
          <w:rFonts w:ascii="微软雅黑" w:eastAsia="微软雅黑"/>
          <w:b/>
          <w:spacing w:val="-4"/>
          <w:sz w:val="21"/>
        </w:rPr>
        <w:t>运重建术</w:t>
      </w:r>
    </w:p>
    <w:p>
      <w:pPr>
        <w:pStyle w:val="BodyText"/>
        <w:spacing w:line="278" w:lineRule="auto" w:before="72"/>
        <w:ind w:left="174" w:right="387"/>
        <w:jc w:val="both"/>
      </w:pPr>
      <w:r>
        <w:rPr/>
        <w:br w:type="column"/>
      </w:r>
      <w:r>
        <w:rPr>
          <w:spacing w:val="-2"/>
        </w:rPr>
        <w:t>指患有顽固性心绞痛，经持续药物治疗后无改善，冠状动脉搭桥手术及经皮血管</w:t>
      </w:r>
      <w:r>
        <w:rPr>
          <w:spacing w:val="-2"/>
        </w:rPr>
        <w:t>成形手术已失败或者被认为不适合。在本公司认可医院内实际进行了开胸手术下</w:t>
      </w:r>
      <w:r>
        <w:rPr>
          <w:spacing w:val="-2"/>
        </w:rPr>
        <w:t>或者胸腔镜下的激光心肌血运重建术。</w:t>
      </w:r>
    </w:p>
    <w:p>
      <w:pPr>
        <w:spacing w:line="282" w:lineRule="exact" w:before="0"/>
        <w:ind w:left="174" w:right="0" w:firstLine="0"/>
        <w:jc w:val="left"/>
        <w:rPr>
          <w:rFonts w:ascii="微软雅黑" w:hAnsi="微软雅黑" w:eastAsia="微软雅黑"/>
          <w:b/>
          <w:sz w:val="21"/>
        </w:rPr>
      </w:pPr>
      <w:r>
        <w:rPr>
          <w:rFonts w:ascii="微软雅黑" w:hAnsi="微软雅黑" w:eastAsia="微软雅黑"/>
          <w:b/>
          <w:spacing w:val="-3"/>
          <w:sz w:val="21"/>
        </w:rPr>
        <w:t>若被保险人同时或先后达到“较轻急性心肌梗死”、“激光心肌血运重建术”和</w:t>
      </w:r>
    </w:p>
    <w:p>
      <w:pPr>
        <w:spacing w:line="194" w:lineRule="auto" w:before="15"/>
        <w:ind w:left="174" w:right="365" w:firstLine="0"/>
        <w:jc w:val="left"/>
        <w:rPr>
          <w:rFonts w:ascii="微软雅黑" w:hAnsi="微软雅黑" w:eastAsia="微软雅黑"/>
          <w:b/>
          <w:sz w:val="21"/>
        </w:rPr>
      </w:pPr>
      <w:r>
        <w:rPr>
          <w:rFonts w:ascii="微软雅黑" w:hAnsi="微软雅黑" w:eastAsia="微软雅黑"/>
          <w:b/>
          <w:spacing w:val="-2"/>
          <w:sz w:val="21"/>
        </w:rPr>
        <w:t>“微创冠状动脉介入手术（非开胸手术）”的赔付标准，本公司仅赔付其中一项</w:t>
      </w:r>
      <w:r>
        <w:rPr>
          <w:rFonts w:ascii="微软雅黑" w:hAnsi="微软雅黑" w:eastAsia="微软雅黑"/>
          <w:b/>
          <w:spacing w:val="-2"/>
          <w:sz w:val="21"/>
        </w:rPr>
        <w:t>轻度疾病保险金；赔付后另外两个病种轻度疾病责任终止。</w:t>
      </w:r>
    </w:p>
    <w:p>
      <w:pPr>
        <w:spacing w:after="0" w:line="194" w:lineRule="auto"/>
        <w:jc w:val="left"/>
        <w:rPr>
          <w:rFonts w:ascii="微软雅黑" w:hAnsi="微软雅黑" w:eastAsia="微软雅黑"/>
          <w:sz w:val="21"/>
        </w:rPr>
        <w:sectPr>
          <w:type w:val="continuous"/>
          <w:pgSz w:w="11910" w:h="16840"/>
          <w:pgMar w:header="0" w:footer="458" w:top="620" w:bottom="280" w:left="800" w:right="660"/>
          <w:cols w:num="2" w:equalWidth="0">
            <w:col w:w="2486" w:space="40"/>
            <w:col w:w="7924"/>
          </w:cols>
        </w:sectPr>
      </w:pPr>
    </w:p>
    <w:p>
      <w:pPr>
        <w:pStyle w:val="ListParagraph"/>
        <w:numPr>
          <w:ilvl w:val="0"/>
          <w:numId w:val="26"/>
        </w:numPr>
        <w:tabs>
          <w:tab w:pos="1313" w:val="left" w:leader="none"/>
        </w:tabs>
        <w:spacing w:line="194" w:lineRule="auto" w:before="28" w:after="0"/>
        <w:ind w:left="1072" w:right="0" w:firstLine="0"/>
        <w:jc w:val="both"/>
        <w:rPr>
          <w:rFonts w:ascii="微软雅黑" w:eastAsia="微软雅黑"/>
          <w:b/>
          <w:sz w:val="21"/>
        </w:rPr>
      </w:pPr>
      <w:r>
        <w:rPr>
          <w:rFonts w:ascii="微软雅黑" w:eastAsia="微软雅黑"/>
          <w:b/>
          <w:spacing w:val="20"/>
          <w:sz w:val="21"/>
        </w:rPr>
        <w:t>微创冠状动</w:t>
      </w:r>
      <w:r>
        <w:rPr>
          <w:rFonts w:ascii="微软雅黑" w:eastAsia="微软雅黑"/>
          <w:b/>
          <w:spacing w:val="-15"/>
          <w:sz w:val="21"/>
        </w:rPr>
        <w:t>脉介入手术</w:t>
      </w:r>
      <w:r>
        <w:rPr>
          <w:rFonts w:ascii="微软雅黑" w:eastAsia="微软雅黑"/>
          <w:b/>
          <w:spacing w:val="-2"/>
          <w:sz w:val="21"/>
        </w:rPr>
        <w:t>（非</w:t>
      </w:r>
      <w:r>
        <w:rPr>
          <w:rFonts w:ascii="微软雅黑" w:eastAsia="微软雅黑"/>
          <w:b/>
          <w:spacing w:val="-2"/>
          <w:sz w:val="21"/>
        </w:rPr>
        <w:t>开胸手术）</w:t>
      </w:r>
    </w:p>
    <w:p>
      <w:pPr>
        <w:pStyle w:val="BodyText"/>
        <w:spacing w:line="278" w:lineRule="auto"/>
        <w:ind w:left="173" w:right="387"/>
      </w:pPr>
      <w:r>
        <w:rPr/>
        <w:br w:type="column"/>
      </w:r>
      <w:r>
        <w:rPr>
          <w:spacing w:val="-2"/>
        </w:rPr>
        <w:t>为了治疗明显的冠状动脉狭窄性疾病，第一次实际实施了冠状动脉球囊扩张成形</w:t>
      </w:r>
      <w:r>
        <w:rPr>
          <w:spacing w:val="-2"/>
        </w:rPr>
        <w:t>术、冠状动脉支架植入术、冠状动脉粥样斑块切除术或激光冠状动脉成形术。</w:t>
      </w:r>
    </w:p>
    <w:p>
      <w:pPr>
        <w:spacing w:line="283" w:lineRule="exact" w:before="0"/>
        <w:ind w:left="173" w:right="0" w:firstLine="0"/>
        <w:jc w:val="left"/>
        <w:rPr>
          <w:rFonts w:ascii="微软雅黑" w:hAnsi="微软雅黑" w:eastAsia="微软雅黑"/>
          <w:b/>
          <w:sz w:val="21"/>
        </w:rPr>
      </w:pPr>
      <w:r>
        <w:rPr>
          <w:rFonts w:ascii="微软雅黑" w:hAnsi="微软雅黑" w:eastAsia="微软雅黑"/>
          <w:b/>
          <w:spacing w:val="-3"/>
          <w:sz w:val="21"/>
        </w:rPr>
        <w:t>若被保险人同时或先后达到“较轻急性心肌梗死”、“激光心肌血运重建术”和</w:t>
      </w:r>
    </w:p>
    <w:p>
      <w:pPr>
        <w:spacing w:line="194" w:lineRule="auto" w:before="15"/>
        <w:ind w:left="173" w:right="365" w:firstLine="0"/>
        <w:jc w:val="left"/>
        <w:rPr>
          <w:rFonts w:ascii="微软雅黑" w:hAnsi="微软雅黑" w:eastAsia="微软雅黑"/>
          <w:b/>
          <w:sz w:val="21"/>
        </w:rPr>
      </w:pPr>
      <w:r>
        <w:rPr>
          <w:rFonts w:ascii="微软雅黑" w:hAnsi="微软雅黑" w:eastAsia="微软雅黑"/>
          <w:b/>
          <w:spacing w:val="-2"/>
          <w:sz w:val="21"/>
        </w:rPr>
        <w:t>“微创冠状动脉介入手术（非开胸手术）”的赔付标准，本公司仅赔付其中一项</w:t>
      </w:r>
      <w:r>
        <w:rPr>
          <w:rFonts w:ascii="微软雅黑" w:hAnsi="微软雅黑" w:eastAsia="微软雅黑"/>
          <w:b/>
          <w:spacing w:val="-2"/>
          <w:sz w:val="21"/>
        </w:rPr>
        <w:t>轻度疾病保险金；赔付后另外两个病种轻度疾病责任终止。</w:t>
      </w:r>
    </w:p>
    <w:p>
      <w:pPr>
        <w:spacing w:after="0" w:line="194" w:lineRule="auto"/>
        <w:jc w:val="left"/>
        <w:rPr>
          <w:rFonts w:ascii="微软雅黑" w:hAnsi="微软雅黑" w:eastAsia="微软雅黑"/>
          <w:sz w:val="21"/>
        </w:rPr>
        <w:sectPr>
          <w:pgSz w:w="11910" w:h="16840"/>
          <w:pgMar w:header="0" w:footer="458" w:top="1260" w:bottom="640" w:left="800" w:right="660"/>
          <w:cols w:num="2" w:equalWidth="0">
            <w:col w:w="2487" w:space="40"/>
            <w:col w:w="7923"/>
          </w:cols>
        </w:sectPr>
      </w:pPr>
    </w:p>
    <w:p>
      <w:pPr>
        <w:pStyle w:val="BodyText"/>
        <w:spacing w:before="16"/>
        <w:rPr>
          <w:rFonts w:ascii="微软雅黑"/>
          <w:b/>
          <w:sz w:val="16"/>
        </w:rPr>
      </w:pPr>
    </w:p>
    <w:p>
      <w:pPr>
        <w:spacing w:after="0"/>
        <w:rPr>
          <w:rFonts w:ascii="微软雅黑"/>
          <w:sz w:val="16"/>
        </w:rPr>
        <w:sectPr>
          <w:type w:val="continuous"/>
          <w:pgSz w:w="11910" w:h="16840"/>
          <w:pgMar w:header="0" w:footer="458" w:top="620" w:bottom="280" w:left="800" w:right="660"/>
        </w:sectPr>
      </w:pPr>
    </w:p>
    <w:p>
      <w:pPr>
        <w:pStyle w:val="ListParagraph"/>
        <w:numPr>
          <w:ilvl w:val="0"/>
          <w:numId w:val="26"/>
        </w:numPr>
        <w:tabs>
          <w:tab w:pos="1313" w:val="left" w:leader="none"/>
        </w:tabs>
        <w:spacing w:line="194" w:lineRule="auto" w:before="58" w:after="0"/>
        <w:ind w:left="1072" w:right="0" w:firstLine="0"/>
        <w:jc w:val="left"/>
        <w:rPr>
          <w:rFonts w:ascii="微软雅黑" w:eastAsia="微软雅黑"/>
          <w:b/>
          <w:sz w:val="21"/>
        </w:rPr>
      </w:pPr>
      <w:r>
        <w:rPr>
          <w:rFonts w:ascii="微软雅黑" w:eastAsia="微软雅黑"/>
          <w:b/>
          <w:spacing w:val="20"/>
          <w:sz w:val="21"/>
        </w:rPr>
        <w:t>心脏瓣膜介</w:t>
      </w:r>
      <w:r>
        <w:rPr>
          <w:rFonts w:ascii="微软雅黑" w:eastAsia="微软雅黑"/>
          <w:b/>
          <w:spacing w:val="-4"/>
          <w:sz w:val="21"/>
        </w:rPr>
        <w:t>入手术</w:t>
      </w:r>
    </w:p>
    <w:p>
      <w:pPr>
        <w:pStyle w:val="BodyText"/>
        <w:spacing w:line="278" w:lineRule="auto" w:before="72"/>
        <w:ind w:left="174" w:right="387"/>
      </w:pPr>
      <w:r>
        <w:rPr/>
        <w:br w:type="column"/>
      </w:r>
      <w:r>
        <w:rPr>
          <w:spacing w:val="-2"/>
        </w:rPr>
        <w:t>为了治疗心脏瓣膜疾病，实际实施了未切开心脏的经胸壁打孔内镜手术或经皮经</w:t>
      </w:r>
      <w:r>
        <w:rPr>
          <w:spacing w:val="-2"/>
        </w:rPr>
        <w:t>导管介入手术进行的心脏瓣膜置换或修复手术。</w:t>
      </w:r>
    </w:p>
    <w:p>
      <w:pPr>
        <w:spacing w:after="0" w:line="278" w:lineRule="auto"/>
        <w:sectPr>
          <w:type w:val="continuous"/>
          <w:pgSz w:w="11910" w:h="16840"/>
          <w:pgMar w:header="0" w:footer="458" w:top="620" w:bottom="280" w:left="800" w:right="660"/>
          <w:cols w:num="2" w:equalWidth="0">
            <w:col w:w="2485" w:space="40"/>
            <w:col w:w="7925"/>
          </w:cols>
        </w:sectPr>
      </w:pPr>
    </w:p>
    <w:p>
      <w:pPr>
        <w:pStyle w:val="BodyText"/>
        <w:spacing w:before="10"/>
        <w:rPr>
          <w:sz w:val="18"/>
        </w:rPr>
      </w:pPr>
    </w:p>
    <w:p>
      <w:pPr>
        <w:spacing w:after="0"/>
        <w:rPr>
          <w:sz w:val="18"/>
        </w:rPr>
        <w:sectPr>
          <w:type w:val="continuous"/>
          <w:pgSz w:w="11910" w:h="16840"/>
          <w:pgMar w:header="0" w:footer="458" w:top="620" w:bottom="280" w:left="800" w:right="660"/>
        </w:sectPr>
      </w:pPr>
    </w:p>
    <w:p>
      <w:pPr>
        <w:pStyle w:val="ListParagraph"/>
        <w:numPr>
          <w:ilvl w:val="0"/>
          <w:numId w:val="26"/>
        </w:numPr>
        <w:tabs>
          <w:tab w:pos="1313" w:val="left" w:leader="none"/>
        </w:tabs>
        <w:spacing w:line="194" w:lineRule="auto" w:before="57" w:after="0"/>
        <w:ind w:left="1072" w:right="0" w:firstLine="0"/>
        <w:jc w:val="left"/>
        <w:rPr>
          <w:rFonts w:ascii="微软雅黑" w:eastAsia="微软雅黑"/>
          <w:b/>
          <w:sz w:val="21"/>
        </w:rPr>
      </w:pPr>
      <w:r>
        <w:rPr>
          <w:rFonts w:ascii="微软雅黑" w:eastAsia="微软雅黑"/>
          <w:b/>
          <w:spacing w:val="20"/>
          <w:sz w:val="21"/>
        </w:rPr>
        <w:t>主动脉内手</w:t>
      </w:r>
      <w:r>
        <w:rPr>
          <w:rFonts w:ascii="微软雅黑" w:eastAsia="微软雅黑"/>
          <w:b/>
          <w:spacing w:val="-10"/>
          <w:sz w:val="21"/>
        </w:rPr>
        <w:t>术</w:t>
      </w:r>
    </w:p>
    <w:p>
      <w:pPr>
        <w:pStyle w:val="BodyText"/>
        <w:spacing w:line="278" w:lineRule="auto" w:before="71"/>
        <w:ind w:left="174" w:right="387"/>
      </w:pPr>
      <w:r>
        <w:rPr/>
        <w:br w:type="column"/>
      </w:r>
      <w:r>
        <w:rPr>
          <w:spacing w:val="-2"/>
        </w:rPr>
        <w:t>为了治疗主动脉疾病实际实施了经皮经导管进行的动脉内手术。主动脉指胸主动</w:t>
      </w:r>
      <w:r>
        <w:rPr>
          <w:spacing w:val="-2"/>
        </w:rPr>
        <w:t>脉和腹主动脉，不包括胸主动脉和腹主动脉的分支血管。</w:t>
      </w:r>
    </w:p>
    <w:p>
      <w:pPr>
        <w:spacing w:after="0" w:line="278" w:lineRule="auto"/>
        <w:sectPr>
          <w:type w:val="continuous"/>
          <w:pgSz w:w="11910" w:h="16840"/>
          <w:pgMar w:header="0" w:footer="458" w:top="620" w:bottom="280" w:left="800" w:right="660"/>
          <w:cols w:num="2" w:equalWidth="0">
            <w:col w:w="2485" w:space="40"/>
            <w:col w:w="7925"/>
          </w:cols>
        </w:sectPr>
      </w:pPr>
    </w:p>
    <w:p>
      <w:pPr>
        <w:pStyle w:val="BodyText"/>
        <w:spacing w:before="10"/>
        <w:rPr>
          <w:sz w:val="18"/>
        </w:rPr>
      </w:pPr>
    </w:p>
    <w:p>
      <w:pPr>
        <w:spacing w:after="0"/>
        <w:rPr>
          <w:sz w:val="18"/>
        </w:rPr>
        <w:sectPr>
          <w:type w:val="continuous"/>
          <w:pgSz w:w="11910" w:h="16840"/>
          <w:pgMar w:header="0" w:footer="458" w:top="620" w:bottom="280" w:left="800" w:right="660"/>
        </w:sectPr>
      </w:pPr>
    </w:p>
    <w:p>
      <w:pPr>
        <w:pStyle w:val="ListParagraph"/>
        <w:numPr>
          <w:ilvl w:val="0"/>
          <w:numId w:val="26"/>
        </w:numPr>
        <w:tabs>
          <w:tab w:pos="1285" w:val="left" w:leader="none"/>
        </w:tabs>
        <w:spacing w:line="194" w:lineRule="auto" w:before="57" w:after="0"/>
        <w:ind w:left="1072" w:right="0" w:firstLine="0"/>
        <w:jc w:val="both"/>
        <w:rPr>
          <w:rFonts w:ascii="微软雅黑" w:eastAsia="微软雅黑"/>
          <w:b/>
          <w:sz w:val="21"/>
        </w:rPr>
      </w:pPr>
      <w:r>
        <w:rPr>
          <w:rFonts w:ascii="微软雅黑" w:eastAsia="微软雅黑"/>
          <w:b/>
          <w:spacing w:val="-13"/>
          <w:sz w:val="21"/>
        </w:rPr>
        <w:t>脑垂体瘤、脑</w:t>
      </w:r>
      <w:r>
        <w:rPr>
          <w:rFonts w:ascii="微软雅黑" w:eastAsia="微软雅黑"/>
          <w:b/>
          <w:spacing w:val="-13"/>
          <w:sz w:val="21"/>
        </w:rPr>
        <w:t>囊肿、脑动脉瘤</w:t>
      </w:r>
      <w:r>
        <w:rPr>
          <w:rFonts w:ascii="微软雅黑" w:eastAsia="微软雅黑"/>
          <w:b/>
          <w:spacing w:val="-2"/>
          <w:sz w:val="21"/>
        </w:rPr>
        <w:t>及脑血管瘤</w:t>
      </w:r>
    </w:p>
    <w:p>
      <w:pPr>
        <w:pStyle w:val="BodyText"/>
        <w:spacing w:line="278" w:lineRule="auto" w:before="71"/>
        <w:ind w:left="173" w:right="248"/>
      </w:pPr>
      <w:r>
        <w:rPr/>
        <w:br w:type="column"/>
      </w:r>
      <w:r>
        <w:rPr>
          <w:spacing w:val="-6"/>
        </w:rPr>
        <w:t>指经头颅断层扫描</w:t>
      </w:r>
      <w:r>
        <w:rPr>
          <w:spacing w:val="21"/>
        </w:rPr>
        <w:t>（C</w:t>
      </w:r>
      <w:r>
        <w:rPr>
          <w:spacing w:val="18"/>
        </w:rPr>
        <w:t>T</w:t>
      </w:r>
      <w:r>
        <w:rPr>
          <w:spacing w:val="-85"/>
        </w:rPr>
        <w:t>）</w:t>
      </w:r>
      <w:r>
        <w:rPr>
          <w:spacing w:val="-6"/>
        </w:rPr>
        <w:t>、核磁共振（MRI）或其他影像学检查被确诊为下列病变，</w:t>
      </w:r>
      <w:r>
        <w:rPr>
          <w:spacing w:val="-2"/>
        </w:rPr>
        <w:t>并实际接受了手术或放射治疗。</w:t>
      </w:r>
    </w:p>
    <w:p>
      <w:pPr>
        <w:pStyle w:val="ListParagraph"/>
        <w:numPr>
          <w:ilvl w:val="0"/>
          <w:numId w:val="29"/>
        </w:numPr>
        <w:tabs>
          <w:tab w:pos="704" w:val="left" w:leader="none"/>
        </w:tabs>
        <w:spacing w:line="240" w:lineRule="auto" w:before="1" w:after="0"/>
        <w:ind w:left="703" w:right="0" w:hanging="531"/>
        <w:jc w:val="left"/>
        <w:rPr>
          <w:sz w:val="21"/>
        </w:rPr>
      </w:pPr>
      <w:r>
        <w:rPr>
          <w:spacing w:val="-4"/>
          <w:sz w:val="21"/>
        </w:rPr>
        <w:t>脑垂体瘤；</w:t>
      </w:r>
    </w:p>
    <w:p>
      <w:pPr>
        <w:pStyle w:val="ListParagraph"/>
        <w:numPr>
          <w:ilvl w:val="0"/>
          <w:numId w:val="29"/>
        </w:numPr>
        <w:tabs>
          <w:tab w:pos="704" w:val="left" w:leader="none"/>
        </w:tabs>
        <w:spacing w:line="240" w:lineRule="auto" w:before="43" w:after="0"/>
        <w:ind w:left="703" w:right="0" w:hanging="531"/>
        <w:jc w:val="left"/>
        <w:rPr>
          <w:sz w:val="21"/>
        </w:rPr>
      </w:pPr>
      <w:r>
        <w:rPr>
          <w:spacing w:val="-4"/>
          <w:sz w:val="21"/>
        </w:rPr>
        <w:t>脑囊肿；</w:t>
      </w:r>
    </w:p>
    <w:p>
      <w:pPr>
        <w:pStyle w:val="ListParagraph"/>
        <w:numPr>
          <w:ilvl w:val="0"/>
          <w:numId w:val="29"/>
        </w:numPr>
        <w:tabs>
          <w:tab w:pos="704" w:val="left" w:leader="none"/>
        </w:tabs>
        <w:spacing w:line="257" w:lineRule="exact" w:before="43" w:after="0"/>
        <w:ind w:left="703" w:right="0" w:hanging="531"/>
        <w:jc w:val="left"/>
        <w:rPr>
          <w:sz w:val="21"/>
        </w:rPr>
      </w:pPr>
      <w:r>
        <w:rPr>
          <w:spacing w:val="-3"/>
          <w:sz w:val="21"/>
        </w:rPr>
        <w:t>脑动脉瘤、脑血管瘤。</w:t>
      </w:r>
    </w:p>
    <w:p>
      <w:pPr>
        <w:spacing w:line="194" w:lineRule="auto" w:before="40"/>
        <w:ind w:left="173" w:right="366" w:firstLine="0"/>
        <w:jc w:val="both"/>
        <w:rPr>
          <w:rFonts w:ascii="微软雅黑" w:hAnsi="微软雅黑" w:eastAsia="微软雅黑"/>
          <w:b/>
          <w:sz w:val="21"/>
        </w:rPr>
      </w:pPr>
      <w:r>
        <w:rPr>
          <w:rFonts w:ascii="微软雅黑" w:hAnsi="微软雅黑" w:eastAsia="微软雅黑"/>
          <w:b/>
          <w:spacing w:val="-2"/>
          <w:sz w:val="21"/>
        </w:rPr>
        <w:t>若被保险人同时或先后达到“脑垂体瘤、脑囊肿、脑动脉瘤及脑血管瘤”和“微</w:t>
      </w:r>
      <w:r>
        <w:rPr>
          <w:rFonts w:ascii="微软雅黑" w:hAnsi="微软雅黑" w:eastAsia="微软雅黑"/>
          <w:b/>
          <w:spacing w:val="-2"/>
          <w:sz w:val="21"/>
        </w:rPr>
        <w:t>创颅脑手术”的赔付标准，本公司仅赔付其中一项轻度疾病保险金，赔付后另外</w:t>
      </w:r>
      <w:r>
        <w:rPr>
          <w:rFonts w:ascii="微软雅黑" w:hAnsi="微软雅黑" w:eastAsia="微软雅黑"/>
          <w:b/>
          <w:spacing w:val="-2"/>
          <w:sz w:val="21"/>
        </w:rPr>
        <w:t>一个病种轻度疾病责任终止。</w:t>
      </w:r>
    </w:p>
    <w:p>
      <w:pPr>
        <w:spacing w:after="0" w:line="194" w:lineRule="auto"/>
        <w:jc w:val="both"/>
        <w:rPr>
          <w:rFonts w:ascii="微软雅黑" w:hAnsi="微软雅黑" w:eastAsia="微软雅黑"/>
          <w:sz w:val="21"/>
        </w:rPr>
        <w:sectPr>
          <w:type w:val="continuous"/>
          <w:pgSz w:w="11910" w:h="16840"/>
          <w:pgMar w:header="0" w:footer="458" w:top="620" w:bottom="280" w:left="800" w:right="660"/>
          <w:cols w:num="2" w:equalWidth="0">
            <w:col w:w="2487" w:space="40"/>
            <w:col w:w="7923"/>
          </w:cols>
        </w:sectPr>
      </w:pPr>
    </w:p>
    <w:p>
      <w:pPr>
        <w:pStyle w:val="BodyText"/>
        <w:spacing w:before="11"/>
        <w:rPr>
          <w:rFonts w:ascii="微软雅黑"/>
          <w:b/>
          <w:sz w:val="13"/>
        </w:rPr>
      </w:pPr>
    </w:p>
    <w:p>
      <w:pPr>
        <w:spacing w:after="0"/>
        <w:rPr>
          <w:rFonts w:ascii="微软雅黑"/>
          <w:sz w:val="13"/>
        </w:rPr>
        <w:sectPr>
          <w:type w:val="continuous"/>
          <w:pgSz w:w="11910" w:h="16840"/>
          <w:pgMar w:header="0" w:footer="458" w:top="620" w:bottom="280" w:left="800" w:right="660"/>
        </w:sectPr>
      </w:pPr>
    </w:p>
    <w:p>
      <w:pPr>
        <w:pStyle w:val="ListParagraph"/>
        <w:numPr>
          <w:ilvl w:val="0"/>
          <w:numId w:val="26"/>
        </w:numPr>
        <w:tabs>
          <w:tab w:pos="1313" w:val="left" w:leader="none"/>
        </w:tabs>
        <w:spacing w:line="194" w:lineRule="auto" w:before="57" w:after="0"/>
        <w:ind w:left="1072" w:right="0" w:firstLine="0"/>
        <w:jc w:val="left"/>
        <w:rPr>
          <w:rFonts w:ascii="微软雅黑" w:eastAsia="微软雅黑"/>
          <w:b/>
          <w:sz w:val="21"/>
        </w:rPr>
      </w:pPr>
      <w:r>
        <w:rPr>
          <w:rFonts w:ascii="微软雅黑" w:eastAsia="微软雅黑"/>
          <w:b/>
          <w:spacing w:val="20"/>
          <w:sz w:val="21"/>
        </w:rPr>
        <w:t>微创颅脑手</w:t>
      </w:r>
      <w:r>
        <w:rPr>
          <w:rFonts w:ascii="微软雅黑" w:eastAsia="微软雅黑"/>
          <w:b/>
          <w:spacing w:val="-10"/>
          <w:sz w:val="21"/>
        </w:rPr>
        <w:t>术</w:t>
      </w:r>
    </w:p>
    <w:p>
      <w:pPr>
        <w:pStyle w:val="BodyText"/>
        <w:spacing w:line="278" w:lineRule="auto" w:before="71"/>
        <w:ind w:left="174" w:right="359"/>
      </w:pPr>
      <w:r>
        <w:rPr/>
        <w:br w:type="column"/>
      </w:r>
      <w:r>
        <w:rPr>
          <w:spacing w:val="-2"/>
        </w:rPr>
        <w:t>因疾病被保险人确已实施全麻下的颅骨钻孔手术或者经鼻蝶窦入颅手术。因外伤</w:t>
      </w:r>
      <w:r>
        <w:rPr>
          <w:spacing w:val="-2"/>
        </w:rPr>
        <w:t>而实施的脑外科手术不在本保障范围内。</w:t>
      </w:r>
    </w:p>
    <w:p>
      <w:pPr>
        <w:spacing w:line="282" w:lineRule="exact" w:before="0"/>
        <w:ind w:left="174" w:right="0" w:firstLine="0"/>
        <w:jc w:val="left"/>
        <w:rPr>
          <w:rFonts w:ascii="微软雅黑" w:hAnsi="微软雅黑" w:eastAsia="微软雅黑"/>
          <w:b/>
          <w:sz w:val="21"/>
        </w:rPr>
      </w:pPr>
      <w:r>
        <w:rPr>
          <w:rFonts w:ascii="微软雅黑" w:hAnsi="微软雅黑" w:eastAsia="微软雅黑"/>
          <w:b/>
          <w:spacing w:val="-3"/>
          <w:sz w:val="21"/>
        </w:rPr>
        <w:t>若被保险人同时或先后达到“脑垂体瘤、脑囊肿、脑动脉瘤及脑血管瘤”和“微</w:t>
      </w:r>
    </w:p>
    <w:p>
      <w:pPr>
        <w:spacing w:line="194" w:lineRule="auto" w:before="16"/>
        <w:ind w:left="174" w:right="358" w:firstLine="0"/>
        <w:jc w:val="left"/>
        <w:rPr>
          <w:rFonts w:ascii="微软雅黑" w:hAnsi="微软雅黑" w:eastAsia="微软雅黑"/>
          <w:b/>
          <w:sz w:val="21"/>
        </w:rPr>
      </w:pPr>
      <w:r>
        <w:rPr>
          <w:rFonts w:ascii="微软雅黑" w:hAnsi="微软雅黑" w:eastAsia="微软雅黑"/>
          <w:b/>
          <w:spacing w:val="-2"/>
          <w:sz w:val="21"/>
        </w:rPr>
        <w:t>创颅脑手术”的赔付标准，本公司仅赔付其中一项轻度疾病保险金，赔付后另外</w:t>
      </w:r>
      <w:r>
        <w:rPr>
          <w:rFonts w:ascii="微软雅黑" w:hAnsi="微软雅黑" w:eastAsia="微软雅黑"/>
          <w:b/>
          <w:spacing w:val="-2"/>
          <w:sz w:val="21"/>
        </w:rPr>
        <w:t>一个病种轻度疾病责任终止。</w:t>
      </w:r>
    </w:p>
    <w:p>
      <w:pPr>
        <w:spacing w:after="0" w:line="194" w:lineRule="auto"/>
        <w:jc w:val="left"/>
        <w:rPr>
          <w:rFonts w:ascii="微软雅黑" w:hAnsi="微软雅黑" w:eastAsia="微软雅黑"/>
          <w:sz w:val="21"/>
        </w:rPr>
        <w:sectPr>
          <w:type w:val="continuous"/>
          <w:pgSz w:w="11910" w:h="16840"/>
          <w:pgMar w:header="0" w:footer="458" w:top="620" w:bottom="280" w:left="800" w:right="660"/>
          <w:cols w:num="2" w:equalWidth="0">
            <w:col w:w="2485" w:space="40"/>
            <w:col w:w="7925"/>
          </w:cols>
        </w:sectPr>
      </w:pPr>
    </w:p>
    <w:p>
      <w:pPr>
        <w:pStyle w:val="BodyText"/>
        <w:spacing w:before="12"/>
        <w:rPr>
          <w:rFonts w:ascii="微软雅黑"/>
          <w:b/>
          <w:sz w:val="13"/>
        </w:rPr>
      </w:pPr>
    </w:p>
    <w:p>
      <w:pPr>
        <w:spacing w:after="0"/>
        <w:rPr>
          <w:rFonts w:ascii="微软雅黑"/>
          <w:sz w:val="13"/>
        </w:rPr>
        <w:sectPr>
          <w:type w:val="continuous"/>
          <w:pgSz w:w="11910" w:h="16840"/>
          <w:pgMar w:header="0" w:footer="458" w:top="620" w:bottom="280" w:left="800" w:right="660"/>
        </w:sectPr>
      </w:pPr>
    </w:p>
    <w:p>
      <w:pPr>
        <w:pStyle w:val="ListParagraph"/>
        <w:numPr>
          <w:ilvl w:val="0"/>
          <w:numId w:val="26"/>
        </w:numPr>
        <w:tabs>
          <w:tab w:pos="1399" w:val="left" w:leader="none"/>
        </w:tabs>
        <w:spacing w:line="194" w:lineRule="auto" w:before="57" w:after="0"/>
        <w:ind w:left="1072" w:right="0" w:firstLine="0"/>
        <w:jc w:val="both"/>
        <w:rPr>
          <w:rFonts w:ascii="微软雅黑" w:eastAsia="微软雅黑"/>
          <w:b/>
          <w:sz w:val="21"/>
        </w:rPr>
      </w:pPr>
      <w:r>
        <w:rPr>
          <w:rFonts w:ascii="微软雅黑" w:eastAsia="微软雅黑"/>
          <w:b/>
          <w:spacing w:val="-2"/>
          <w:sz w:val="21"/>
        </w:rPr>
        <w:t>慢性肝功能</w:t>
      </w:r>
      <w:r>
        <w:rPr>
          <w:rFonts w:ascii="微软雅黑" w:eastAsia="微软雅黑"/>
          <w:b/>
          <w:spacing w:val="20"/>
          <w:sz w:val="21"/>
        </w:rPr>
        <w:t>衰竭失代偿早</w:t>
      </w:r>
      <w:r>
        <w:rPr>
          <w:rFonts w:ascii="微软雅黑" w:eastAsia="微软雅黑"/>
          <w:b/>
          <w:spacing w:val="-10"/>
          <w:sz w:val="21"/>
        </w:rPr>
        <w:t>期</w:t>
      </w:r>
    </w:p>
    <w:p>
      <w:pPr>
        <w:pStyle w:val="BodyText"/>
        <w:spacing w:before="72"/>
        <w:ind w:left="174"/>
      </w:pPr>
      <w:r>
        <w:rPr/>
        <w:br w:type="column"/>
      </w:r>
      <w:r>
        <w:rPr>
          <w:spacing w:val="-2"/>
        </w:rPr>
        <w:t>指因慢性肝脏疾病导致持续180</w:t>
      </w:r>
      <w:r>
        <w:rPr>
          <w:spacing w:val="-3"/>
        </w:rPr>
        <w:t>天肝功能衰竭，须满足下列全部条件：</w:t>
      </w:r>
    </w:p>
    <w:p>
      <w:pPr>
        <w:pStyle w:val="ListParagraph"/>
        <w:numPr>
          <w:ilvl w:val="0"/>
          <w:numId w:val="30"/>
        </w:numPr>
        <w:tabs>
          <w:tab w:pos="705" w:val="left" w:leader="none"/>
        </w:tabs>
        <w:spacing w:line="240" w:lineRule="auto" w:before="43" w:after="0"/>
        <w:ind w:left="704" w:right="0" w:hanging="531"/>
        <w:jc w:val="left"/>
        <w:rPr>
          <w:sz w:val="21"/>
        </w:rPr>
      </w:pPr>
      <w:r>
        <w:rPr>
          <w:spacing w:val="-2"/>
          <w:sz w:val="21"/>
        </w:rPr>
        <w:t>持续性黄疸，血清总胆红素＞2mg/dL；</w:t>
      </w:r>
    </w:p>
    <w:p>
      <w:pPr>
        <w:pStyle w:val="ListParagraph"/>
        <w:numPr>
          <w:ilvl w:val="0"/>
          <w:numId w:val="30"/>
        </w:numPr>
        <w:tabs>
          <w:tab w:pos="705" w:val="left" w:leader="none"/>
        </w:tabs>
        <w:spacing w:line="240" w:lineRule="auto" w:before="43" w:after="0"/>
        <w:ind w:left="704" w:right="0" w:hanging="531"/>
        <w:jc w:val="left"/>
        <w:rPr>
          <w:sz w:val="21"/>
        </w:rPr>
      </w:pPr>
      <w:r>
        <w:rPr>
          <w:sz w:val="21"/>
        </w:rPr>
        <w:t>白蛋白＜3</w:t>
      </w:r>
      <w:r>
        <w:rPr>
          <w:spacing w:val="-6"/>
          <w:sz w:val="21"/>
        </w:rPr>
        <w:t> </w:t>
      </w:r>
      <w:r>
        <w:rPr>
          <w:spacing w:val="-2"/>
          <w:sz w:val="21"/>
        </w:rPr>
        <w:t>mg/dL；</w:t>
      </w:r>
    </w:p>
    <w:p>
      <w:pPr>
        <w:pStyle w:val="ListParagraph"/>
        <w:numPr>
          <w:ilvl w:val="0"/>
          <w:numId w:val="30"/>
        </w:numPr>
        <w:tabs>
          <w:tab w:pos="705" w:val="left" w:leader="none"/>
        </w:tabs>
        <w:spacing w:line="257" w:lineRule="exact" w:before="43" w:after="0"/>
        <w:ind w:left="704" w:right="0" w:hanging="531"/>
        <w:jc w:val="left"/>
        <w:rPr>
          <w:sz w:val="21"/>
        </w:rPr>
      </w:pPr>
      <w:r>
        <w:rPr>
          <w:spacing w:val="-2"/>
          <w:sz w:val="21"/>
        </w:rPr>
        <w:t>凝血酶原时间超正常值＞4</w:t>
      </w:r>
      <w:r>
        <w:rPr>
          <w:spacing w:val="-6"/>
          <w:sz w:val="21"/>
        </w:rPr>
        <w:t>秒；</w:t>
      </w:r>
    </w:p>
    <w:p>
      <w:pPr>
        <w:spacing w:line="375" w:lineRule="exact" w:before="0"/>
        <w:ind w:left="174" w:right="0" w:firstLine="0"/>
        <w:jc w:val="left"/>
        <w:rPr>
          <w:rFonts w:ascii="微软雅黑" w:eastAsia="微软雅黑"/>
          <w:b/>
          <w:sz w:val="21"/>
        </w:rPr>
      </w:pPr>
      <w:r>
        <w:rPr>
          <w:rFonts w:ascii="微软雅黑" w:eastAsia="微软雅黑"/>
          <w:b/>
          <w:spacing w:val="-3"/>
          <w:sz w:val="21"/>
        </w:rPr>
        <w:t>因酗酒或药物滥用导致的肝功能衰竭不在本保障范围内。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26"/>
        </w:numPr>
        <w:tabs>
          <w:tab w:pos="1391"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急性坏死性</w:t>
      </w:r>
      <w:r>
        <w:rPr>
          <w:rFonts w:ascii="微软雅黑" w:eastAsia="微软雅黑"/>
          <w:b/>
          <w:spacing w:val="-2"/>
          <w:sz w:val="21"/>
        </w:rPr>
        <w:t>胰腺炎腹腔镜</w:t>
      </w:r>
      <w:r>
        <w:rPr>
          <w:rFonts w:ascii="微软雅黑" w:eastAsia="微软雅黑"/>
          <w:b/>
          <w:spacing w:val="-6"/>
          <w:sz w:val="21"/>
        </w:rPr>
        <w:t>手术</w:t>
      </w:r>
    </w:p>
    <w:p>
      <w:pPr>
        <w:pStyle w:val="BodyText"/>
        <w:spacing w:line="278" w:lineRule="auto" w:before="71"/>
        <w:ind w:left="214" w:right="387"/>
      </w:pPr>
      <w:r>
        <w:rPr/>
        <w:br w:type="column"/>
      </w:r>
      <w:r>
        <w:rPr>
          <w:spacing w:val="-2"/>
        </w:rPr>
        <w:t>指被保险人被确诊为急性坏死性胰腺炎，并实际接受了腹腔镜手术治疗，以进行</w:t>
      </w:r>
      <w:r>
        <w:rPr>
          <w:spacing w:val="-2"/>
        </w:rPr>
        <w:t>坏死组织清除、坏死病灶切除或胰腺切除。</w:t>
      </w:r>
    </w:p>
    <w:p>
      <w:pPr>
        <w:spacing w:line="320" w:lineRule="exact" w:before="0"/>
        <w:ind w:left="214" w:right="0" w:firstLine="0"/>
        <w:jc w:val="left"/>
        <w:rPr>
          <w:rFonts w:ascii="微软雅黑" w:eastAsia="微软雅黑"/>
          <w:b/>
          <w:sz w:val="21"/>
        </w:rPr>
      </w:pPr>
      <w:r>
        <w:rPr>
          <w:rFonts w:ascii="微软雅黑" w:eastAsia="微软雅黑"/>
          <w:b/>
          <w:spacing w:val="-3"/>
          <w:sz w:val="21"/>
        </w:rPr>
        <w:t>因酗酒或饮酒过量所致的急性坏死性胰腺炎不在本保障范围内。</w:t>
      </w:r>
    </w:p>
    <w:p>
      <w:pPr>
        <w:spacing w:after="0" w:line="320" w:lineRule="exact"/>
        <w:jc w:val="left"/>
        <w:rPr>
          <w:rFonts w:ascii="微软雅黑" w:eastAsia="微软雅黑"/>
          <w:sz w:val="21"/>
        </w:rPr>
        <w:sectPr>
          <w:type w:val="continuous"/>
          <w:pgSz w:w="11910" w:h="16840"/>
          <w:pgMar w:header="0" w:footer="458" w:top="620" w:bottom="280" w:left="800" w:right="660"/>
          <w:cols w:num="2" w:equalWidth="0">
            <w:col w:w="2446" w:space="40"/>
            <w:col w:w="7964"/>
          </w:cols>
        </w:sectPr>
      </w:pPr>
    </w:p>
    <w:p>
      <w:pPr>
        <w:pStyle w:val="BodyText"/>
        <w:spacing w:before="12"/>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26"/>
        </w:numPr>
        <w:tabs>
          <w:tab w:pos="1391" w:val="left" w:leader="none"/>
        </w:tabs>
        <w:spacing w:line="194" w:lineRule="auto" w:before="57" w:after="0"/>
        <w:ind w:left="1072" w:right="0" w:firstLine="0"/>
        <w:jc w:val="both"/>
        <w:rPr>
          <w:rFonts w:ascii="微软雅黑" w:eastAsia="微软雅黑"/>
          <w:b/>
          <w:sz w:val="21"/>
        </w:rPr>
      </w:pPr>
      <w:r>
        <w:rPr>
          <w:rFonts w:ascii="微软雅黑" w:eastAsia="微软雅黑"/>
          <w:b/>
          <w:spacing w:val="-2"/>
          <w:sz w:val="21"/>
        </w:rPr>
        <w:t>慢性肾功能</w:t>
      </w:r>
      <w:r>
        <w:rPr>
          <w:rFonts w:ascii="微软雅黑" w:eastAsia="微软雅黑"/>
          <w:b/>
          <w:spacing w:val="-2"/>
          <w:sz w:val="21"/>
        </w:rPr>
        <w:t>损害-</w:t>
      </w:r>
      <w:r>
        <w:rPr>
          <w:rFonts w:ascii="微软雅黑" w:eastAsia="微软雅黑"/>
          <w:b/>
          <w:spacing w:val="-2"/>
          <w:sz w:val="21"/>
        </w:rPr>
        <w:t>肾功能衰</w:t>
      </w:r>
      <w:r>
        <w:rPr>
          <w:rFonts w:ascii="微软雅黑" w:eastAsia="微软雅黑"/>
          <w:b/>
          <w:spacing w:val="-6"/>
          <w:sz w:val="21"/>
        </w:rPr>
        <w:t>竭期</w:t>
      </w:r>
    </w:p>
    <w:p>
      <w:pPr>
        <w:pStyle w:val="BodyText"/>
        <w:spacing w:line="278" w:lineRule="auto" w:before="72"/>
        <w:ind w:left="214" w:right="389"/>
      </w:pPr>
      <w:r>
        <w:rPr/>
        <w:br w:type="column"/>
      </w:r>
      <w:r>
        <w:rPr>
          <w:spacing w:val="-3"/>
        </w:rPr>
        <w:t>指被保险人因双肾功能慢性不可逆性损害，持续 </w:t>
      </w:r>
      <w:r>
        <w:rPr/>
        <w:t>180</w:t>
      </w:r>
      <w:r>
        <w:rPr>
          <w:spacing w:val="-8"/>
        </w:rPr>
        <w:t> 天达到肾功能衰竭期，诊断</w:t>
      </w:r>
      <w:r>
        <w:rPr>
          <w:spacing w:val="-2"/>
        </w:rPr>
        <w:t>必须满足所有以下标准：</w:t>
      </w:r>
    </w:p>
    <w:p>
      <w:pPr>
        <w:pStyle w:val="ListParagraph"/>
        <w:numPr>
          <w:ilvl w:val="0"/>
          <w:numId w:val="31"/>
        </w:numPr>
        <w:tabs>
          <w:tab w:pos="744" w:val="left" w:leader="none"/>
        </w:tabs>
        <w:spacing w:line="269" w:lineRule="exact" w:before="0" w:after="0"/>
        <w:ind w:left="744" w:right="0" w:hanging="530"/>
        <w:jc w:val="left"/>
        <w:rPr>
          <w:sz w:val="21"/>
        </w:rPr>
      </w:pPr>
      <w:r>
        <w:rPr>
          <w:spacing w:val="-2"/>
          <w:sz w:val="21"/>
        </w:rPr>
        <w:t>肾小球滤过率（GFR）＜25mL/min</w:t>
      </w:r>
      <w:r>
        <w:rPr>
          <w:spacing w:val="-8"/>
          <w:sz w:val="21"/>
        </w:rPr>
        <w:t> 或肌酐清除率</w:t>
      </w:r>
      <w:r>
        <w:rPr>
          <w:spacing w:val="-2"/>
          <w:sz w:val="21"/>
        </w:rPr>
        <w:t>（Ccr）＜25mL/min；</w:t>
      </w:r>
    </w:p>
    <w:p>
      <w:pPr>
        <w:pStyle w:val="ListParagraph"/>
        <w:numPr>
          <w:ilvl w:val="0"/>
          <w:numId w:val="31"/>
        </w:numPr>
        <w:tabs>
          <w:tab w:pos="744" w:val="left" w:leader="none"/>
        </w:tabs>
        <w:spacing w:line="257" w:lineRule="exact" w:before="43" w:after="0"/>
        <w:ind w:left="744" w:right="0" w:hanging="530"/>
        <w:jc w:val="left"/>
        <w:rPr>
          <w:sz w:val="21"/>
        </w:rPr>
      </w:pPr>
      <w:r>
        <w:rPr>
          <w:spacing w:val="-2"/>
          <w:sz w:val="21"/>
        </w:rPr>
        <w:t>血肌酐（Scr）＞5mg/dL</w:t>
      </w:r>
      <w:r>
        <w:rPr>
          <w:spacing w:val="-18"/>
          <w:sz w:val="21"/>
        </w:rPr>
        <w:t> 或</w:t>
      </w:r>
      <w:r>
        <w:rPr>
          <w:spacing w:val="-2"/>
          <w:sz w:val="21"/>
        </w:rPr>
        <w:t>＞442μmol/L</w:t>
      </w:r>
      <w:r>
        <w:rPr>
          <w:spacing w:val="-10"/>
          <w:sz w:val="21"/>
        </w:rPr>
        <w:t>。</w:t>
      </w:r>
    </w:p>
    <w:p>
      <w:pPr>
        <w:spacing w:line="375" w:lineRule="exact" w:before="0"/>
        <w:ind w:left="214" w:right="0" w:firstLine="0"/>
        <w:jc w:val="left"/>
        <w:rPr>
          <w:rFonts w:ascii="微软雅黑" w:eastAsia="微软雅黑"/>
          <w:b/>
          <w:sz w:val="21"/>
        </w:rPr>
      </w:pPr>
      <w:r>
        <w:rPr>
          <w:rFonts w:ascii="微软雅黑" w:eastAsia="微软雅黑"/>
          <w:b/>
          <w:spacing w:val="-2"/>
          <w:sz w:val="21"/>
        </w:rPr>
        <w:t>因系统性红斑狼疮所致慢性肾功能损害-</w:t>
      </w:r>
      <w:r>
        <w:rPr>
          <w:rFonts w:ascii="微软雅黑" w:eastAsia="微软雅黑"/>
          <w:b/>
          <w:spacing w:val="-3"/>
          <w:sz w:val="21"/>
        </w:rPr>
        <w:t>肾功能衰竭期不在本保障范围之内。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46" w:space="40"/>
            <w:col w:w="796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26"/>
        </w:numPr>
        <w:tabs>
          <w:tab w:pos="1391"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严重的骨质</w:t>
      </w:r>
      <w:r>
        <w:rPr>
          <w:rFonts w:ascii="微软雅黑" w:eastAsia="微软雅黑"/>
          <w:b/>
          <w:spacing w:val="-6"/>
          <w:sz w:val="21"/>
        </w:rPr>
        <w:t>疏松</w:t>
      </w:r>
    </w:p>
    <w:p>
      <w:pPr>
        <w:pStyle w:val="BodyText"/>
        <w:spacing w:line="278" w:lineRule="auto" w:before="72"/>
        <w:ind w:left="214" w:right="387"/>
        <w:jc w:val="both"/>
      </w:pPr>
      <w:r>
        <w:rPr/>
        <w:br w:type="column"/>
      </w:r>
      <w:r>
        <w:rPr>
          <w:spacing w:val="-2"/>
        </w:rPr>
        <w:t>严重的骨质疏松，并因此而直接导致脊椎、骨盆、桡骨、尺骨、肱骨、胫骨、股</w:t>
      </w:r>
      <w:r>
        <w:rPr>
          <w:spacing w:val="-2"/>
        </w:rPr>
        <w:t>骨骨折。骨质疏松的诊断必须由本公司认可医院合格的专科医生做出，并符合世</w:t>
      </w:r>
      <w:r>
        <w:rPr/>
        <w:t>界卫生组织关于骨质疏松的诊断标准：骨密度检测，T</w:t>
      </w:r>
      <w:r>
        <w:rPr>
          <w:spacing w:val="-10"/>
        </w:rPr>
        <w:t> 值小于-</w:t>
      </w:r>
      <w:r>
        <w:rPr/>
        <w:t>2.5。</w:t>
      </w:r>
    </w:p>
    <w:p>
      <w:pPr>
        <w:spacing w:after="0" w:line="278" w:lineRule="auto"/>
        <w:jc w:val="both"/>
        <w:sectPr>
          <w:type w:val="continuous"/>
          <w:pgSz w:w="11910" w:h="16840"/>
          <w:pgMar w:header="0" w:footer="458" w:top="620" w:bottom="280" w:left="800" w:right="660"/>
          <w:cols w:num="2" w:equalWidth="0">
            <w:col w:w="2446" w:space="40"/>
            <w:col w:w="7964"/>
          </w:cols>
        </w:sectPr>
      </w:pPr>
    </w:p>
    <w:p>
      <w:pPr>
        <w:pStyle w:val="ListParagraph"/>
        <w:numPr>
          <w:ilvl w:val="0"/>
          <w:numId w:val="26"/>
        </w:numPr>
        <w:tabs>
          <w:tab w:pos="1391" w:val="left" w:leader="none"/>
        </w:tabs>
        <w:spacing w:line="194" w:lineRule="auto" w:before="40" w:after="0"/>
        <w:ind w:left="1072" w:right="0" w:firstLine="0"/>
        <w:jc w:val="left"/>
        <w:rPr>
          <w:rFonts w:ascii="微软雅黑" w:eastAsia="微软雅黑"/>
          <w:b/>
          <w:sz w:val="21"/>
        </w:rPr>
      </w:pPr>
      <w:r>
        <w:rPr>
          <w:rFonts w:ascii="微软雅黑" w:eastAsia="微软雅黑"/>
          <w:b/>
          <w:spacing w:val="-2"/>
          <w:sz w:val="21"/>
        </w:rPr>
        <w:t>轻度特发性</w:t>
      </w:r>
      <w:r>
        <w:rPr>
          <w:rFonts w:ascii="微软雅黑" w:eastAsia="微软雅黑"/>
          <w:b/>
          <w:spacing w:val="-2"/>
          <w:sz w:val="21"/>
        </w:rPr>
        <w:t>肺动脉高压</w:t>
      </w:r>
    </w:p>
    <w:p>
      <w:pPr>
        <w:spacing w:line="211" w:lineRule="auto" w:before="21"/>
        <w:ind w:left="214" w:right="374" w:firstLine="0"/>
        <w:jc w:val="both"/>
        <w:rPr>
          <w:sz w:val="21"/>
        </w:rPr>
      </w:pPr>
      <w:r>
        <w:rPr/>
        <w:br w:type="column"/>
      </w:r>
      <w:r>
        <w:rPr>
          <w:spacing w:val="-2"/>
          <w:sz w:val="21"/>
        </w:rPr>
        <w:t>指不明原因的肺动脉高压进行性发展而导致右心室肥厚，已经造成</w:t>
      </w:r>
      <w:r>
        <w:rPr>
          <w:rFonts w:ascii="微软雅黑" w:hAnsi="微软雅黑" w:eastAsia="微软雅黑"/>
          <w:b/>
          <w:spacing w:val="-2"/>
          <w:sz w:val="21"/>
        </w:rPr>
        <w:t>永久不可逆</w:t>
      </w:r>
      <w:r>
        <w:rPr>
          <w:spacing w:val="-2"/>
          <w:sz w:val="21"/>
        </w:rPr>
        <w:t>性</w:t>
      </w:r>
      <w:r>
        <w:rPr>
          <w:spacing w:val="-2"/>
          <w:sz w:val="21"/>
        </w:rPr>
        <w:t>的体力活动能力受限，达到</w:t>
      </w:r>
      <w:r>
        <w:rPr>
          <w:rFonts w:ascii="微软雅黑" w:hAnsi="微软雅黑" w:eastAsia="微软雅黑"/>
          <w:b/>
          <w:spacing w:val="-2"/>
          <w:sz w:val="21"/>
        </w:rPr>
        <w:t>美国纽约心脏病学会心功能状态分级</w:t>
      </w:r>
      <w:r>
        <w:rPr>
          <w:spacing w:val="-2"/>
          <w:sz w:val="21"/>
        </w:rPr>
        <w:t>Ⅲ级，且静息状</w:t>
      </w:r>
      <w:r>
        <w:rPr>
          <w:spacing w:val="-2"/>
          <w:sz w:val="21"/>
        </w:rPr>
        <w:t>态下肺动脉平均压超过 </w:t>
      </w:r>
      <w:r>
        <w:rPr>
          <w:sz w:val="21"/>
        </w:rPr>
        <w:t>25mmHg</w:t>
      </w:r>
      <w:r>
        <w:rPr>
          <w:spacing w:val="-5"/>
          <w:sz w:val="21"/>
        </w:rPr>
        <w:t>、不超过 </w:t>
      </w:r>
      <w:r>
        <w:rPr>
          <w:sz w:val="21"/>
        </w:rPr>
        <w:t>36mmHg。</w:t>
      </w:r>
    </w:p>
    <w:p>
      <w:pPr>
        <w:spacing w:after="0" w:line="211" w:lineRule="auto"/>
        <w:jc w:val="both"/>
        <w:rPr>
          <w:sz w:val="21"/>
        </w:rPr>
        <w:sectPr>
          <w:pgSz w:w="11910" w:h="16840"/>
          <w:pgMar w:header="0" w:footer="458" w:top="1560" w:bottom="640" w:left="800" w:right="660"/>
          <w:cols w:num="2" w:equalWidth="0">
            <w:col w:w="2446" w:space="40"/>
            <w:col w:w="7964"/>
          </w:cols>
        </w:sectPr>
      </w:pPr>
    </w:p>
    <w:p>
      <w:pPr>
        <w:pStyle w:val="BodyText"/>
        <w:spacing w:before="10"/>
        <w:rPr>
          <w:sz w:val="22"/>
        </w:rPr>
      </w:pPr>
    </w:p>
    <w:p>
      <w:pPr>
        <w:spacing w:after="0"/>
        <w:rPr>
          <w:sz w:val="22"/>
        </w:rPr>
        <w:sectPr>
          <w:type w:val="continuous"/>
          <w:pgSz w:w="11910" w:h="16840"/>
          <w:pgMar w:header="0" w:footer="458" w:top="620" w:bottom="280" w:left="800" w:right="660"/>
        </w:sectPr>
      </w:pPr>
    </w:p>
    <w:p>
      <w:pPr>
        <w:pStyle w:val="ListParagraph"/>
        <w:numPr>
          <w:ilvl w:val="0"/>
          <w:numId w:val="26"/>
        </w:numPr>
        <w:tabs>
          <w:tab w:pos="1391"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轻度视力受</w:t>
      </w:r>
      <w:r>
        <w:rPr>
          <w:rFonts w:ascii="微软雅黑" w:eastAsia="微软雅黑"/>
          <w:b/>
          <w:spacing w:val="-10"/>
          <w:sz w:val="21"/>
        </w:rPr>
        <w:t>损</w:t>
      </w:r>
    </w:p>
    <w:p>
      <w:pPr>
        <w:pStyle w:val="BodyText"/>
        <w:spacing w:line="278" w:lineRule="auto" w:before="72"/>
        <w:ind w:left="214" w:right="387"/>
      </w:pPr>
      <w:r>
        <w:rPr/>
        <w:br w:type="column"/>
      </w:r>
      <w:r>
        <w:rPr>
          <w:spacing w:val="-2"/>
        </w:rPr>
        <w:t>指因疾病或意外伤害导致双目视力永久不可逆性丧失，虽然未达到重度疾病“双</w:t>
      </w:r>
      <w:r>
        <w:rPr>
          <w:spacing w:val="-2"/>
        </w:rPr>
        <w:t>目失明”的给付标准，但满足下列全部条件：</w:t>
      </w:r>
    </w:p>
    <w:p>
      <w:pPr>
        <w:pStyle w:val="ListParagraph"/>
        <w:numPr>
          <w:ilvl w:val="0"/>
          <w:numId w:val="32"/>
        </w:numPr>
        <w:tabs>
          <w:tab w:pos="744" w:val="left" w:leader="none"/>
        </w:tabs>
        <w:spacing w:line="278" w:lineRule="auto" w:before="0" w:after="0"/>
        <w:ind w:left="214" w:right="355" w:firstLine="0"/>
        <w:jc w:val="left"/>
        <w:rPr>
          <w:sz w:val="21"/>
        </w:rPr>
      </w:pPr>
      <w:r>
        <w:rPr>
          <w:spacing w:val="-6"/>
          <w:sz w:val="21"/>
        </w:rPr>
        <w:t>双眼中较好眼矫正视力低于 </w:t>
      </w:r>
      <w:r>
        <w:rPr>
          <w:spacing w:val="-2"/>
          <w:sz w:val="21"/>
        </w:rPr>
        <w:t>0.1（采用国际标准视力表，若使用其他视力表</w:t>
      </w:r>
      <w:r>
        <w:rPr>
          <w:spacing w:val="-2"/>
          <w:sz w:val="21"/>
        </w:rPr>
        <w:t>应进行换算</w:t>
      </w:r>
      <w:r>
        <w:rPr>
          <w:spacing w:val="-106"/>
          <w:sz w:val="21"/>
        </w:rPr>
        <w:t>）</w:t>
      </w:r>
      <w:r>
        <w:rPr>
          <w:sz w:val="21"/>
        </w:rPr>
        <w:t>；</w:t>
      </w:r>
    </w:p>
    <w:p>
      <w:pPr>
        <w:pStyle w:val="ListParagraph"/>
        <w:numPr>
          <w:ilvl w:val="0"/>
          <w:numId w:val="32"/>
        </w:numPr>
        <w:tabs>
          <w:tab w:pos="744" w:val="left" w:leader="none"/>
        </w:tabs>
        <w:spacing w:line="257" w:lineRule="exact" w:before="0" w:after="0"/>
        <w:ind w:left="744" w:right="0" w:hanging="530"/>
        <w:jc w:val="left"/>
        <w:rPr>
          <w:sz w:val="21"/>
        </w:rPr>
      </w:pPr>
      <w:r>
        <w:rPr>
          <w:spacing w:val="-9"/>
          <w:sz w:val="21"/>
        </w:rPr>
        <w:t>视野半径小于 </w:t>
      </w:r>
      <w:r>
        <w:rPr>
          <w:spacing w:val="-2"/>
          <w:sz w:val="21"/>
        </w:rPr>
        <w:t>20</w:t>
      </w:r>
      <w:r>
        <w:rPr>
          <w:spacing w:val="-20"/>
          <w:sz w:val="21"/>
        </w:rPr>
        <w:t> 度。</w:t>
      </w:r>
    </w:p>
    <w:p>
      <w:pPr>
        <w:spacing w:line="337" w:lineRule="exact" w:before="0"/>
        <w:ind w:left="214" w:right="0" w:firstLine="0"/>
        <w:jc w:val="both"/>
        <w:rPr>
          <w:rFonts w:ascii="微软雅黑" w:eastAsia="微软雅黑"/>
          <w:b/>
          <w:sz w:val="21"/>
        </w:rPr>
      </w:pPr>
      <w:r>
        <w:rPr>
          <w:rFonts w:ascii="微软雅黑" w:eastAsia="微软雅黑"/>
          <w:b/>
          <w:w w:val="95"/>
          <w:sz w:val="21"/>
        </w:rPr>
        <w:t>在</w:t>
      </w:r>
      <w:r>
        <w:rPr>
          <w:rFonts w:ascii="微软雅黑" w:eastAsia="微软雅黑"/>
          <w:b/>
          <w:spacing w:val="46"/>
          <w:sz w:val="21"/>
        </w:rPr>
        <w:t> </w:t>
      </w:r>
      <w:r>
        <w:rPr>
          <w:rFonts w:ascii="微软雅黑" w:eastAsia="微软雅黑"/>
          <w:b/>
          <w:w w:val="95"/>
          <w:sz w:val="21"/>
        </w:rPr>
        <w:t>0</w:t>
      </w:r>
      <w:r>
        <w:rPr>
          <w:rFonts w:ascii="微软雅黑" w:eastAsia="微软雅黑"/>
          <w:b/>
          <w:spacing w:val="47"/>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至</w:t>
      </w:r>
      <w:r>
        <w:rPr>
          <w:rFonts w:ascii="微软雅黑" w:eastAsia="微软雅黑"/>
          <w:b/>
          <w:spacing w:val="47"/>
          <w:sz w:val="21"/>
        </w:rPr>
        <w:t> </w:t>
      </w:r>
      <w:r>
        <w:rPr>
          <w:rFonts w:ascii="微软雅黑" w:eastAsia="微软雅黑"/>
          <w:b/>
          <w:w w:val="95"/>
          <w:sz w:val="21"/>
        </w:rPr>
        <w:t>3</w:t>
      </w:r>
      <w:r>
        <w:rPr>
          <w:rFonts w:ascii="微软雅黑" w:eastAsia="微软雅黑"/>
          <w:b/>
          <w:spacing w:val="47"/>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期</w:t>
      </w:r>
      <w:r>
        <w:rPr>
          <w:rFonts w:ascii="微软雅黑" w:eastAsia="微软雅黑"/>
          <w:b/>
          <w:w w:val="95"/>
          <w:sz w:val="21"/>
        </w:rPr>
        <w:t>间</w:t>
      </w:r>
      <w:r>
        <w:rPr>
          <w:rFonts w:ascii="微软雅黑" w:eastAsia="微软雅黑"/>
          <w:b/>
          <w:w w:val="95"/>
          <w:sz w:val="21"/>
        </w:rPr>
        <w:t>，</w:t>
      </w:r>
      <w:r>
        <w:rPr>
          <w:rFonts w:ascii="微软雅黑" w:eastAsia="微软雅黑"/>
          <w:b/>
          <w:w w:val="95"/>
          <w:sz w:val="21"/>
        </w:rPr>
        <w:t>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人</w:t>
      </w:r>
      <w:r>
        <w:rPr>
          <w:rFonts w:ascii="微软雅黑" w:eastAsia="微软雅黑"/>
          <w:b/>
          <w:w w:val="95"/>
          <w:sz w:val="21"/>
        </w:rPr>
        <w:t>第</w:t>
      </w:r>
      <w:r>
        <w:rPr>
          <w:rFonts w:ascii="微软雅黑" w:eastAsia="微软雅黑"/>
          <w:b/>
          <w:w w:val="95"/>
          <w:sz w:val="21"/>
        </w:rPr>
        <w:t>一</w:t>
      </w:r>
      <w:r>
        <w:rPr>
          <w:rFonts w:ascii="微软雅黑" w:eastAsia="微软雅黑"/>
          <w:b/>
          <w:w w:val="95"/>
          <w:sz w:val="21"/>
        </w:rPr>
        <w:t>次</w:t>
      </w:r>
      <w:r>
        <w:rPr>
          <w:rFonts w:ascii="微软雅黑" w:eastAsia="微软雅黑"/>
          <w:b/>
          <w:w w:val="95"/>
          <w:sz w:val="21"/>
        </w:rPr>
        <w:t>患</w:t>
      </w:r>
      <w:r>
        <w:rPr>
          <w:rFonts w:ascii="微软雅黑" w:eastAsia="微软雅黑"/>
          <w:b/>
          <w:w w:val="95"/>
          <w:sz w:val="21"/>
        </w:rPr>
        <w:t>有轻度</w:t>
      </w:r>
      <w:r>
        <w:rPr>
          <w:rFonts w:ascii="微软雅黑" w:eastAsia="微软雅黑"/>
          <w:b/>
          <w:w w:val="95"/>
          <w:sz w:val="21"/>
        </w:rPr>
        <w:t>视</w:t>
      </w:r>
      <w:r>
        <w:rPr>
          <w:rFonts w:ascii="微软雅黑" w:eastAsia="微软雅黑"/>
          <w:b/>
          <w:w w:val="95"/>
          <w:sz w:val="21"/>
        </w:rPr>
        <w:t>力</w:t>
      </w:r>
      <w:r>
        <w:rPr>
          <w:rFonts w:ascii="微软雅黑" w:eastAsia="微软雅黑"/>
          <w:b/>
          <w:w w:val="95"/>
          <w:sz w:val="21"/>
        </w:rPr>
        <w:t>受</w:t>
      </w:r>
      <w:r>
        <w:rPr>
          <w:rFonts w:ascii="微软雅黑" w:eastAsia="微软雅黑"/>
          <w:b/>
          <w:w w:val="95"/>
          <w:sz w:val="21"/>
        </w:rPr>
        <w:t>损</w:t>
      </w:r>
      <w:r>
        <w:rPr>
          <w:rFonts w:ascii="微软雅黑" w:eastAsia="微软雅黑"/>
          <w:b/>
          <w:w w:val="95"/>
          <w:sz w:val="21"/>
        </w:rPr>
        <w:t>除</w:t>
      </w:r>
      <w:r>
        <w:rPr>
          <w:rFonts w:ascii="微软雅黑" w:eastAsia="微软雅黑"/>
          <w:b/>
          <w:w w:val="95"/>
          <w:sz w:val="21"/>
        </w:rPr>
        <w:t>外</w:t>
      </w:r>
      <w:r>
        <w:rPr>
          <w:rFonts w:ascii="微软雅黑" w:eastAsia="微软雅黑"/>
          <w:b/>
          <w:spacing w:val="-10"/>
          <w:w w:val="95"/>
          <w:sz w:val="21"/>
        </w:rPr>
        <w:t>。</w:t>
      </w:r>
    </w:p>
    <w:p>
      <w:pPr>
        <w:spacing w:line="194" w:lineRule="auto" w:before="15"/>
        <w:ind w:left="214" w:right="365" w:firstLine="0"/>
        <w:jc w:val="both"/>
        <w:rPr>
          <w:rFonts w:ascii="微软雅黑" w:hAnsi="微软雅黑" w:eastAsia="微软雅黑"/>
          <w:b/>
          <w:sz w:val="21"/>
        </w:rPr>
      </w:pPr>
      <w:r>
        <w:rPr>
          <w:rFonts w:ascii="微软雅黑" w:hAnsi="微软雅黑" w:eastAsia="微软雅黑"/>
          <w:b/>
          <w:spacing w:val="-2"/>
          <w:sz w:val="21"/>
        </w:rPr>
        <w:t>若被保险人同时或先后达到“轻度视力受损”、“单眼失明”和“角膜移植”的</w:t>
      </w:r>
      <w:r>
        <w:rPr>
          <w:rFonts w:ascii="微软雅黑" w:hAnsi="微软雅黑" w:eastAsia="微软雅黑"/>
          <w:b/>
          <w:spacing w:val="-2"/>
          <w:sz w:val="21"/>
        </w:rPr>
        <w:t>赔付标准，本公司仅赔付其中一项轻度疾病保险金，赔付后另外两个病种轻度疾</w:t>
      </w:r>
      <w:r>
        <w:rPr>
          <w:rFonts w:ascii="微软雅黑" w:hAnsi="微软雅黑" w:eastAsia="微软雅黑"/>
          <w:b/>
          <w:spacing w:val="-2"/>
          <w:sz w:val="21"/>
        </w:rPr>
        <w:t>病责任终止。</w:t>
      </w:r>
    </w:p>
    <w:p>
      <w:pPr>
        <w:spacing w:after="0" w:line="194" w:lineRule="auto"/>
        <w:jc w:val="both"/>
        <w:rPr>
          <w:rFonts w:ascii="微软雅黑" w:hAnsi="微软雅黑" w:eastAsia="微软雅黑"/>
          <w:sz w:val="21"/>
        </w:rPr>
        <w:sectPr>
          <w:type w:val="continuous"/>
          <w:pgSz w:w="11910" w:h="16840"/>
          <w:pgMar w:header="0" w:footer="458" w:top="620" w:bottom="280" w:left="800" w:right="660"/>
          <w:cols w:num="2" w:equalWidth="0">
            <w:col w:w="2446" w:space="40"/>
            <w:col w:w="7964"/>
          </w:cols>
        </w:sectPr>
      </w:pPr>
    </w:p>
    <w:p>
      <w:pPr>
        <w:pStyle w:val="BodyText"/>
        <w:spacing w:before="11"/>
        <w:rPr>
          <w:rFonts w:ascii="微软雅黑"/>
          <w:b/>
          <w:sz w:val="13"/>
        </w:rPr>
      </w:pPr>
    </w:p>
    <w:p>
      <w:pPr>
        <w:pStyle w:val="ListParagraph"/>
        <w:numPr>
          <w:ilvl w:val="0"/>
          <w:numId w:val="26"/>
        </w:numPr>
        <w:tabs>
          <w:tab w:pos="1395" w:val="left" w:leader="none"/>
          <w:tab w:pos="2699" w:val="left" w:leader="none"/>
        </w:tabs>
        <w:spacing w:line="383" w:lineRule="exact" w:before="5" w:after="0"/>
        <w:ind w:left="1395" w:right="0" w:hanging="323"/>
        <w:jc w:val="left"/>
        <w:rPr>
          <w:sz w:val="21"/>
        </w:rPr>
      </w:pPr>
      <w:r>
        <w:rPr>
          <w:rFonts w:ascii="微软雅黑" w:eastAsia="微软雅黑"/>
          <w:b/>
          <w:sz w:val="21"/>
        </w:rPr>
        <w:t>单眼</w:t>
      </w:r>
      <w:r>
        <w:rPr>
          <w:rFonts w:ascii="微软雅黑" w:eastAsia="微软雅黑"/>
          <w:b/>
          <w:sz w:val="21"/>
        </w:rPr>
        <w:t>失</w:t>
      </w:r>
      <w:r>
        <w:rPr>
          <w:rFonts w:ascii="微软雅黑" w:eastAsia="微软雅黑"/>
          <w:b/>
          <w:spacing w:val="-10"/>
          <w:sz w:val="21"/>
        </w:rPr>
        <w:t>明</w:t>
      </w:r>
      <w:r>
        <w:rPr>
          <w:rFonts w:ascii="微软雅黑" w:eastAsia="微软雅黑"/>
          <w:b/>
          <w:sz w:val="21"/>
        </w:rPr>
        <w:tab/>
      </w:r>
      <w:r>
        <w:rPr>
          <w:spacing w:val="-2"/>
          <w:sz w:val="21"/>
        </w:rPr>
        <w:t>指</w:t>
      </w:r>
      <w:r>
        <w:rPr>
          <w:spacing w:val="-2"/>
          <w:sz w:val="21"/>
        </w:rPr>
        <w:t>因</w:t>
      </w:r>
      <w:r>
        <w:rPr>
          <w:spacing w:val="-2"/>
          <w:sz w:val="21"/>
        </w:rPr>
        <w:t>疾病或意外伤害导致</w:t>
      </w:r>
      <w:r>
        <w:rPr>
          <w:spacing w:val="-2"/>
          <w:sz w:val="21"/>
        </w:rPr>
        <w:t>单</w:t>
      </w:r>
      <w:r>
        <w:rPr>
          <w:spacing w:val="-2"/>
          <w:sz w:val="21"/>
        </w:rPr>
        <w:t>眼</w:t>
      </w:r>
      <w:r>
        <w:rPr>
          <w:spacing w:val="-2"/>
          <w:sz w:val="21"/>
        </w:rPr>
        <w:t>视力永久不可逆性丧失</w:t>
      </w:r>
      <w:r>
        <w:rPr>
          <w:spacing w:val="-73"/>
          <w:sz w:val="21"/>
        </w:rPr>
        <w:t>，</w:t>
      </w:r>
      <w:r>
        <w:rPr>
          <w:spacing w:val="-2"/>
          <w:sz w:val="21"/>
        </w:rPr>
        <w:t>须满足下列至少一项条</w:t>
      </w:r>
      <w:r>
        <w:rPr>
          <w:spacing w:val="-2"/>
          <w:sz w:val="21"/>
        </w:rPr>
        <w:t>件</w:t>
      </w:r>
      <w:r>
        <w:rPr>
          <w:spacing w:val="-10"/>
          <w:sz w:val="21"/>
        </w:rPr>
        <w:t>：</w:t>
      </w:r>
    </w:p>
    <w:p>
      <w:pPr>
        <w:pStyle w:val="ListParagraph"/>
        <w:numPr>
          <w:ilvl w:val="0"/>
          <w:numId w:val="33"/>
        </w:numPr>
        <w:tabs>
          <w:tab w:pos="3230" w:val="left" w:leader="none"/>
        </w:tabs>
        <w:spacing w:line="265" w:lineRule="exact" w:before="0" w:after="0"/>
        <w:ind w:left="3229" w:right="0" w:hanging="531"/>
        <w:jc w:val="left"/>
        <w:rPr>
          <w:sz w:val="21"/>
        </w:rPr>
      </w:pPr>
      <w:r>
        <w:rPr>
          <w:spacing w:val="-4"/>
          <w:sz w:val="21"/>
        </w:rPr>
        <w:t>眼球缺失或摘除；</w:t>
      </w:r>
    </w:p>
    <w:p>
      <w:pPr>
        <w:pStyle w:val="ListParagraph"/>
        <w:numPr>
          <w:ilvl w:val="0"/>
          <w:numId w:val="33"/>
        </w:numPr>
        <w:tabs>
          <w:tab w:pos="3230" w:val="left" w:leader="none"/>
        </w:tabs>
        <w:spacing w:line="240" w:lineRule="auto" w:before="43" w:after="0"/>
        <w:ind w:left="3229" w:right="0" w:hanging="531"/>
        <w:jc w:val="left"/>
        <w:rPr>
          <w:sz w:val="21"/>
        </w:rPr>
      </w:pPr>
      <w:r>
        <w:rPr>
          <w:spacing w:val="-4"/>
          <w:sz w:val="21"/>
        </w:rPr>
        <w:t>矫正视力低于0.02（采用国际标准视力表，若使用其他视力表应进行换算</w:t>
      </w:r>
      <w:r>
        <w:rPr>
          <w:spacing w:val="-111"/>
          <w:sz w:val="21"/>
        </w:rPr>
        <w:t>）</w:t>
      </w:r>
      <w:r>
        <w:rPr>
          <w:spacing w:val="-5"/>
          <w:sz w:val="21"/>
        </w:rPr>
        <w:t>；</w:t>
      </w:r>
    </w:p>
    <w:p>
      <w:pPr>
        <w:pStyle w:val="ListParagraph"/>
        <w:numPr>
          <w:ilvl w:val="0"/>
          <w:numId w:val="33"/>
        </w:numPr>
        <w:tabs>
          <w:tab w:pos="3230" w:val="left" w:leader="none"/>
        </w:tabs>
        <w:spacing w:line="257" w:lineRule="exact" w:before="42" w:after="0"/>
        <w:ind w:left="3229" w:right="0" w:hanging="531"/>
        <w:jc w:val="left"/>
        <w:rPr>
          <w:sz w:val="21"/>
        </w:rPr>
      </w:pPr>
      <w:r>
        <w:rPr>
          <w:spacing w:val="-2"/>
          <w:sz w:val="21"/>
        </w:rPr>
        <w:t>视野半径小于5</w:t>
      </w:r>
      <w:r>
        <w:rPr>
          <w:spacing w:val="-6"/>
          <w:sz w:val="21"/>
        </w:rPr>
        <w:t>度。</w:t>
      </w:r>
    </w:p>
    <w:p>
      <w:pPr>
        <w:spacing w:line="337" w:lineRule="exact" w:before="0"/>
        <w:ind w:left="2699" w:right="0" w:firstLine="0"/>
        <w:jc w:val="left"/>
        <w:rPr>
          <w:rFonts w:ascii="微软雅黑" w:eastAsia="微软雅黑"/>
          <w:b/>
          <w:sz w:val="21"/>
        </w:rPr>
      </w:pPr>
      <w:r>
        <w:rPr>
          <w:rFonts w:ascii="微软雅黑" w:eastAsia="微软雅黑"/>
          <w:b/>
          <w:w w:val="95"/>
          <w:sz w:val="21"/>
        </w:rPr>
        <w:t>在0</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至</w:t>
      </w:r>
      <w:r>
        <w:rPr>
          <w:rFonts w:ascii="微软雅黑" w:eastAsia="微软雅黑"/>
          <w:b/>
          <w:w w:val="95"/>
          <w:sz w:val="21"/>
        </w:rPr>
        <w:t>3</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期</w:t>
      </w:r>
      <w:r>
        <w:rPr>
          <w:rFonts w:ascii="微软雅黑" w:eastAsia="微软雅黑"/>
          <w:b/>
          <w:w w:val="95"/>
          <w:sz w:val="21"/>
        </w:rPr>
        <w:t>间</w:t>
      </w:r>
      <w:r>
        <w:rPr>
          <w:rFonts w:ascii="微软雅黑" w:eastAsia="微软雅黑"/>
          <w:b/>
          <w:w w:val="95"/>
          <w:sz w:val="21"/>
        </w:rPr>
        <w:t>，被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人</w:t>
      </w:r>
      <w:r>
        <w:rPr>
          <w:rFonts w:ascii="微软雅黑" w:eastAsia="微软雅黑"/>
          <w:b/>
          <w:w w:val="95"/>
          <w:sz w:val="21"/>
        </w:rPr>
        <w:t>第</w:t>
      </w:r>
      <w:r>
        <w:rPr>
          <w:rFonts w:ascii="微软雅黑" w:eastAsia="微软雅黑"/>
          <w:b/>
          <w:w w:val="95"/>
          <w:sz w:val="21"/>
        </w:rPr>
        <w:t>一</w:t>
      </w:r>
      <w:r>
        <w:rPr>
          <w:rFonts w:ascii="微软雅黑" w:eastAsia="微软雅黑"/>
          <w:b/>
          <w:w w:val="95"/>
          <w:sz w:val="21"/>
        </w:rPr>
        <w:t>次</w:t>
      </w:r>
      <w:r>
        <w:rPr>
          <w:rFonts w:ascii="微软雅黑" w:eastAsia="微软雅黑"/>
          <w:b/>
          <w:w w:val="95"/>
          <w:sz w:val="21"/>
        </w:rPr>
        <w:t>患</w:t>
      </w:r>
      <w:r>
        <w:rPr>
          <w:rFonts w:ascii="微软雅黑" w:eastAsia="微软雅黑"/>
          <w:b/>
          <w:w w:val="95"/>
          <w:sz w:val="21"/>
        </w:rPr>
        <w:t>有</w:t>
      </w:r>
      <w:r>
        <w:rPr>
          <w:rFonts w:ascii="微软雅黑" w:eastAsia="微软雅黑"/>
          <w:b/>
          <w:w w:val="95"/>
          <w:sz w:val="21"/>
        </w:rPr>
        <w:t>单眼失</w:t>
      </w:r>
      <w:r>
        <w:rPr>
          <w:rFonts w:ascii="微软雅黑" w:eastAsia="微软雅黑"/>
          <w:b/>
          <w:w w:val="95"/>
          <w:sz w:val="21"/>
        </w:rPr>
        <w:t>明</w:t>
      </w:r>
      <w:r>
        <w:rPr>
          <w:rFonts w:ascii="微软雅黑" w:eastAsia="微软雅黑"/>
          <w:b/>
          <w:w w:val="95"/>
          <w:sz w:val="21"/>
        </w:rPr>
        <w:t>除</w:t>
      </w:r>
      <w:r>
        <w:rPr>
          <w:rFonts w:ascii="微软雅黑" w:eastAsia="微软雅黑"/>
          <w:b/>
          <w:w w:val="95"/>
          <w:sz w:val="21"/>
        </w:rPr>
        <w:t>外</w:t>
      </w:r>
      <w:r>
        <w:rPr>
          <w:rFonts w:ascii="微软雅黑" w:eastAsia="微软雅黑"/>
          <w:b/>
          <w:spacing w:val="-10"/>
          <w:w w:val="95"/>
          <w:sz w:val="21"/>
        </w:rPr>
        <w:t>。</w:t>
      </w:r>
    </w:p>
    <w:p>
      <w:pPr>
        <w:spacing w:line="194" w:lineRule="auto" w:before="16"/>
        <w:ind w:left="2699" w:right="365" w:firstLine="0"/>
        <w:jc w:val="both"/>
        <w:rPr>
          <w:rFonts w:ascii="微软雅黑" w:hAnsi="微软雅黑" w:eastAsia="微软雅黑"/>
          <w:b/>
          <w:sz w:val="21"/>
        </w:rPr>
      </w:pPr>
      <w:r>
        <w:rPr>
          <w:rFonts w:ascii="微软雅黑" w:hAnsi="微软雅黑" w:eastAsia="微软雅黑"/>
          <w:b/>
          <w:spacing w:val="-2"/>
          <w:sz w:val="21"/>
        </w:rPr>
        <w:t>若被保险人同时或先后达到“轻度视力受损”、“单眼失明”和“角膜移植”的</w:t>
      </w:r>
      <w:r>
        <w:rPr>
          <w:rFonts w:ascii="微软雅黑" w:hAnsi="微软雅黑" w:eastAsia="微软雅黑"/>
          <w:b/>
          <w:spacing w:val="-2"/>
          <w:sz w:val="21"/>
        </w:rPr>
        <w:t>赔付标准，本公司仅赔付其中一项轻度疾病保险金，赔付后另外两个病种轻度疾</w:t>
      </w:r>
      <w:r>
        <w:rPr>
          <w:rFonts w:ascii="微软雅黑" w:hAnsi="微软雅黑" w:eastAsia="微软雅黑"/>
          <w:b/>
          <w:spacing w:val="-2"/>
          <w:sz w:val="21"/>
        </w:rPr>
        <w:t>病责任终止。</w:t>
      </w:r>
    </w:p>
    <w:p>
      <w:pPr>
        <w:pStyle w:val="BodyText"/>
        <w:spacing w:before="2"/>
        <w:rPr>
          <w:rFonts w:ascii="微软雅黑"/>
          <w:b/>
          <w:sz w:val="14"/>
        </w:rPr>
      </w:pPr>
    </w:p>
    <w:p>
      <w:pPr>
        <w:pStyle w:val="ListParagraph"/>
        <w:numPr>
          <w:ilvl w:val="0"/>
          <w:numId w:val="26"/>
        </w:numPr>
        <w:tabs>
          <w:tab w:pos="1391" w:val="left" w:leader="none"/>
          <w:tab w:pos="2699" w:val="left" w:leader="none"/>
        </w:tabs>
        <w:spacing w:line="235" w:lineRule="auto" w:before="0" w:after="0"/>
        <w:ind w:left="2699" w:right="359" w:hanging="1628"/>
        <w:jc w:val="left"/>
        <w:rPr>
          <w:sz w:val="21"/>
        </w:rPr>
      </w:pPr>
      <w:r>
        <w:rPr>
          <w:rFonts w:ascii="微软雅黑" w:eastAsia="微软雅黑"/>
          <w:b/>
          <w:spacing w:val="-4"/>
          <w:sz w:val="21"/>
        </w:rPr>
        <w:t>角</w:t>
      </w:r>
      <w:r>
        <w:rPr>
          <w:rFonts w:ascii="微软雅黑" w:eastAsia="微软雅黑"/>
          <w:b/>
          <w:spacing w:val="-4"/>
          <w:sz w:val="21"/>
        </w:rPr>
        <w:t>膜</w:t>
      </w:r>
      <w:r>
        <w:rPr>
          <w:rFonts w:ascii="微软雅黑" w:eastAsia="微软雅黑"/>
          <w:b/>
          <w:spacing w:val="-4"/>
          <w:sz w:val="21"/>
        </w:rPr>
        <w:t>移</w:t>
      </w:r>
      <w:r>
        <w:rPr>
          <w:rFonts w:ascii="微软雅黑" w:eastAsia="微软雅黑"/>
          <w:b/>
          <w:spacing w:val="-4"/>
          <w:sz w:val="21"/>
        </w:rPr>
        <w:t>植</w:t>
      </w:r>
      <w:r>
        <w:rPr>
          <w:rFonts w:ascii="微软雅黑" w:eastAsia="微软雅黑"/>
          <w:b/>
          <w:sz w:val="21"/>
        </w:rPr>
        <w:tab/>
      </w:r>
      <w:r>
        <w:rPr>
          <w:spacing w:val="-2"/>
          <w:sz w:val="21"/>
        </w:rPr>
        <w:t>指</w:t>
      </w:r>
      <w:r>
        <w:rPr>
          <w:spacing w:val="-2"/>
          <w:sz w:val="21"/>
        </w:rPr>
        <w:t>为</w:t>
      </w:r>
      <w:r>
        <w:rPr>
          <w:spacing w:val="-2"/>
          <w:sz w:val="21"/>
        </w:rPr>
        <w:t>增</w:t>
      </w:r>
      <w:r>
        <w:rPr>
          <w:spacing w:val="-2"/>
          <w:sz w:val="21"/>
        </w:rPr>
        <w:t>进</w:t>
      </w:r>
      <w:r>
        <w:rPr>
          <w:spacing w:val="-2"/>
          <w:sz w:val="21"/>
        </w:rPr>
        <w:t>视</w:t>
      </w:r>
      <w:r>
        <w:rPr>
          <w:spacing w:val="-2"/>
          <w:sz w:val="21"/>
        </w:rPr>
        <w:t>力</w:t>
      </w:r>
      <w:r>
        <w:rPr>
          <w:spacing w:val="-2"/>
          <w:sz w:val="21"/>
        </w:rPr>
        <w:t>或</w:t>
      </w:r>
      <w:r>
        <w:rPr>
          <w:spacing w:val="-2"/>
          <w:sz w:val="21"/>
        </w:rPr>
        <w:t>治</w:t>
      </w:r>
      <w:r>
        <w:rPr>
          <w:spacing w:val="-2"/>
          <w:sz w:val="21"/>
        </w:rPr>
        <w:t>疗</w:t>
      </w:r>
      <w:r>
        <w:rPr>
          <w:spacing w:val="-2"/>
          <w:sz w:val="21"/>
        </w:rPr>
        <w:t>某</w:t>
      </w:r>
      <w:r>
        <w:rPr>
          <w:spacing w:val="-2"/>
          <w:sz w:val="21"/>
        </w:rPr>
        <w:t>些</w:t>
      </w:r>
      <w:r>
        <w:rPr>
          <w:spacing w:val="-2"/>
          <w:sz w:val="21"/>
        </w:rPr>
        <w:t>角</w:t>
      </w:r>
      <w:r>
        <w:rPr>
          <w:spacing w:val="-2"/>
          <w:sz w:val="21"/>
        </w:rPr>
        <w:t>膜</w:t>
      </w:r>
      <w:r>
        <w:rPr>
          <w:spacing w:val="-2"/>
          <w:sz w:val="21"/>
        </w:rPr>
        <w:t>疾</w:t>
      </w:r>
      <w:r>
        <w:rPr>
          <w:spacing w:val="-2"/>
          <w:sz w:val="21"/>
        </w:rPr>
        <w:t>患</w:t>
      </w:r>
      <w:r>
        <w:rPr>
          <w:spacing w:val="-2"/>
          <w:sz w:val="21"/>
        </w:rPr>
        <w:t>，</w:t>
      </w:r>
      <w:r>
        <w:rPr>
          <w:spacing w:val="-2"/>
          <w:sz w:val="21"/>
        </w:rPr>
        <w:t>已</w:t>
      </w:r>
      <w:r>
        <w:rPr>
          <w:spacing w:val="-2"/>
          <w:sz w:val="21"/>
        </w:rPr>
        <w:t>经</w:t>
      </w:r>
      <w:r>
        <w:rPr>
          <w:spacing w:val="-2"/>
          <w:sz w:val="21"/>
        </w:rPr>
        <w:t>实</w:t>
      </w:r>
      <w:r>
        <w:rPr>
          <w:spacing w:val="-2"/>
          <w:sz w:val="21"/>
        </w:rPr>
        <w:t>施</w:t>
      </w:r>
      <w:r>
        <w:rPr>
          <w:spacing w:val="-2"/>
          <w:sz w:val="21"/>
        </w:rPr>
        <w:t>了</w:t>
      </w:r>
      <w:r>
        <w:rPr>
          <w:spacing w:val="-2"/>
          <w:sz w:val="21"/>
        </w:rPr>
        <w:t>异</w:t>
      </w:r>
      <w:r>
        <w:rPr>
          <w:spacing w:val="-2"/>
          <w:sz w:val="21"/>
        </w:rPr>
        <w:t>体</w:t>
      </w:r>
      <w:r>
        <w:rPr>
          <w:spacing w:val="-2"/>
          <w:sz w:val="21"/>
        </w:rPr>
        <w:t>的</w:t>
      </w:r>
      <w:r>
        <w:rPr>
          <w:spacing w:val="-2"/>
          <w:sz w:val="21"/>
        </w:rPr>
        <w:t>角</w:t>
      </w:r>
      <w:r>
        <w:rPr>
          <w:spacing w:val="-2"/>
          <w:sz w:val="21"/>
        </w:rPr>
        <w:t>膜</w:t>
      </w:r>
      <w:r>
        <w:rPr>
          <w:spacing w:val="-2"/>
          <w:sz w:val="21"/>
        </w:rPr>
        <w:t>移</w:t>
      </w:r>
      <w:r>
        <w:rPr>
          <w:spacing w:val="-2"/>
          <w:sz w:val="21"/>
        </w:rPr>
        <w:t>植</w:t>
      </w:r>
      <w:r>
        <w:rPr>
          <w:spacing w:val="-2"/>
          <w:sz w:val="21"/>
        </w:rPr>
        <w:t>手</w:t>
      </w:r>
      <w:r>
        <w:rPr>
          <w:spacing w:val="-2"/>
          <w:sz w:val="21"/>
        </w:rPr>
        <w:t>术</w:t>
      </w:r>
      <w:r>
        <w:rPr>
          <w:spacing w:val="-2"/>
          <w:sz w:val="21"/>
        </w:rPr>
        <w:t>。</w:t>
      </w:r>
      <w:r>
        <w:rPr>
          <w:spacing w:val="-2"/>
          <w:sz w:val="21"/>
        </w:rPr>
        <w:t>此</w:t>
      </w:r>
      <w:r>
        <w:rPr>
          <w:spacing w:val="-2"/>
          <w:sz w:val="21"/>
        </w:rPr>
        <w:t>手术</w:t>
      </w:r>
      <w:r>
        <w:rPr>
          <w:spacing w:val="-2"/>
          <w:sz w:val="21"/>
        </w:rPr>
        <w:t>必</w:t>
      </w:r>
      <w:r>
        <w:rPr>
          <w:spacing w:val="-2"/>
          <w:sz w:val="21"/>
        </w:rPr>
        <w:t>须</w:t>
      </w:r>
      <w:r>
        <w:rPr>
          <w:spacing w:val="-2"/>
          <w:sz w:val="21"/>
        </w:rPr>
        <w:t>由</w:t>
      </w:r>
      <w:r>
        <w:rPr>
          <w:spacing w:val="-2"/>
          <w:sz w:val="21"/>
        </w:rPr>
        <w:t>专科医生认为是医学</w:t>
      </w:r>
      <w:r>
        <w:rPr>
          <w:spacing w:val="-2"/>
          <w:sz w:val="21"/>
        </w:rPr>
        <w:t>上</w:t>
      </w:r>
      <w:r>
        <w:rPr>
          <w:spacing w:val="-2"/>
          <w:sz w:val="21"/>
        </w:rPr>
        <w:t>必</w:t>
      </w:r>
      <w:r>
        <w:rPr>
          <w:spacing w:val="-2"/>
          <w:sz w:val="21"/>
        </w:rPr>
        <w:t>需的情况下进行。</w:t>
      </w:r>
    </w:p>
    <w:p>
      <w:pPr>
        <w:spacing w:line="194" w:lineRule="auto" w:before="28"/>
        <w:ind w:left="2699" w:right="365" w:firstLine="0"/>
        <w:jc w:val="both"/>
        <w:rPr>
          <w:rFonts w:ascii="微软雅黑" w:hAnsi="微软雅黑" w:eastAsia="微软雅黑"/>
          <w:b/>
          <w:sz w:val="21"/>
        </w:rPr>
      </w:pPr>
      <w:r>
        <w:rPr>
          <w:rFonts w:ascii="微软雅黑" w:hAnsi="微软雅黑" w:eastAsia="微软雅黑"/>
          <w:b/>
          <w:spacing w:val="-2"/>
          <w:sz w:val="21"/>
        </w:rPr>
        <w:t>若被保险人同时或先后达到“轻度视力受损”、“单眼失明”和“角膜移植”的</w:t>
      </w:r>
      <w:r>
        <w:rPr>
          <w:rFonts w:ascii="微软雅黑" w:hAnsi="微软雅黑" w:eastAsia="微软雅黑"/>
          <w:b/>
          <w:spacing w:val="-2"/>
          <w:sz w:val="21"/>
        </w:rPr>
        <w:t>赔付标准，本公司仅赔付其中一项轻度疾病保险金，赔付后另外两个病种轻度疾</w:t>
      </w:r>
      <w:r>
        <w:rPr>
          <w:rFonts w:ascii="微软雅黑" w:hAnsi="微软雅黑" w:eastAsia="微软雅黑"/>
          <w:b/>
          <w:spacing w:val="-2"/>
          <w:sz w:val="21"/>
        </w:rPr>
        <w:t>病责任终止。</w:t>
      </w:r>
    </w:p>
    <w:p>
      <w:pPr>
        <w:pStyle w:val="BodyText"/>
        <w:spacing w:before="11"/>
        <w:rPr>
          <w:rFonts w:ascii="微软雅黑"/>
          <w:b/>
          <w:sz w:val="13"/>
        </w:rPr>
      </w:pPr>
    </w:p>
    <w:p>
      <w:pPr>
        <w:spacing w:after="0"/>
        <w:rPr>
          <w:rFonts w:ascii="微软雅黑"/>
          <w:sz w:val="13"/>
        </w:rPr>
        <w:sectPr>
          <w:type w:val="continuous"/>
          <w:pgSz w:w="11910" w:h="16840"/>
          <w:pgMar w:header="0" w:footer="458" w:top="620" w:bottom="280" w:left="800" w:right="660"/>
        </w:sectPr>
      </w:pPr>
    </w:p>
    <w:p>
      <w:pPr>
        <w:pStyle w:val="ListParagraph"/>
        <w:numPr>
          <w:ilvl w:val="0"/>
          <w:numId w:val="26"/>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轻度听力受</w:t>
      </w:r>
      <w:r>
        <w:rPr>
          <w:rFonts w:ascii="微软雅黑" w:eastAsia="微软雅黑"/>
          <w:b/>
          <w:spacing w:val="-10"/>
          <w:sz w:val="21"/>
        </w:rPr>
        <w:t>损</w:t>
      </w:r>
    </w:p>
    <w:p>
      <w:pPr>
        <w:pStyle w:val="BodyText"/>
        <w:spacing w:line="278" w:lineRule="auto" w:before="72"/>
        <w:ind w:left="174" w:right="353"/>
        <w:jc w:val="both"/>
      </w:pPr>
      <w:r>
        <w:rPr/>
        <w:br w:type="column"/>
      </w:r>
      <w:r>
        <w:rPr>
          <w:w w:val="95"/>
        </w:rPr>
        <w:t>指</w:t>
      </w:r>
      <w:r>
        <w:rPr>
          <w:w w:val="95"/>
        </w:rPr>
        <w:t>因</w:t>
      </w:r>
      <w:r>
        <w:rPr>
          <w:w w:val="95"/>
        </w:rPr>
        <w:t>疾病或者意外伤害导</w:t>
      </w:r>
      <w:r>
        <w:rPr>
          <w:w w:val="95"/>
        </w:rPr>
        <w:t>致</w:t>
      </w:r>
      <w:r>
        <w:rPr>
          <w:w w:val="95"/>
        </w:rPr>
        <w:t>双</w:t>
      </w:r>
      <w:r>
        <w:rPr>
          <w:w w:val="95"/>
        </w:rPr>
        <w:t>耳听力永久不可逆性</w:t>
      </w:r>
      <w:r>
        <w:rPr>
          <w:w w:val="95"/>
        </w:rPr>
        <w:t>丧</w:t>
      </w:r>
      <w:r>
        <w:rPr>
          <w:w w:val="95"/>
        </w:rPr>
        <w:t>失</w:t>
      </w:r>
      <w:r>
        <w:rPr>
          <w:w w:val="95"/>
        </w:rPr>
        <w:t>，在</w:t>
      </w:r>
      <w:r>
        <w:rPr>
          <w:spacing w:val="40"/>
        </w:rPr>
        <w:t> </w:t>
      </w:r>
      <w:r>
        <w:rPr>
          <w:w w:val="95"/>
        </w:rPr>
        <w:t>500</w:t>
      </w:r>
      <w:r>
        <w:rPr>
          <w:spacing w:val="40"/>
        </w:rPr>
        <w:t> </w:t>
      </w:r>
      <w:r>
        <w:rPr>
          <w:w w:val="95"/>
        </w:rPr>
        <w:t>赫兹、1000</w:t>
      </w:r>
      <w:r>
        <w:rPr/>
        <w:t> </w:t>
      </w:r>
      <w:r>
        <w:rPr>
          <w:w w:val="95"/>
        </w:rPr>
        <w:t>赫</w:t>
      </w:r>
      <w:r>
        <w:rPr>
          <w:w w:val="95"/>
        </w:rPr>
        <w:t>兹</w:t>
      </w:r>
      <w:r>
        <w:rPr>
          <w:w w:val="95"/>
        </w:rPr>
        <w:t>和</w:t>
      </w:r>
      <w:r>
        <w:rPr/>
        <w:t> </w:t>
      </w:r>
      <w:r>
        <w:rPr>
          <w:w w:val="95"/>
        </w:rPr>
        <w:t>2000</w:t>
      </w:r>
      <w:r>
        <w:rPr/>
        <w:t> </w:t>
      </w:r>
      <w:r>
        <w:rPr>
          <w:w w:val="95"/>
        </w:rPr>
        <w:t>赫兹语音频率</w:t>
      </w:r>
      <w:r>
        <w:rPr>
          <w:w w:val="95"/>
        </w:rPr>
        <w:t>下</w:t>
      </w:r>
      <w:r>
        <w:rPr>
          <w:w w:val="95"/>
        </w:rPr>
        <w:t>，</w:t>
      </w:r>
      <w:r>
        <w:rPr>
          <w:w w:val="95"/>
        </w:rPr>
        <w:t>平</w:t>
      </w:r>
      <w:r>
        <w:rPr>
          <w:w w:val="95"/>
        </w:rPr>
        <w:t>均</w:t>
      </w:r>
      <w:r>
        <w:rPr>
          <w:w w:val="95"/>
        </w:rPr>
        <w:t>听阈大于</w:t>
      </w:r>
      <w:r>
        <w:rPr/>
        <w:t> </w:t>
      </w:r>
      <w:r>
        <w:rPr>
          <w:w w:val="95"/>
        </w:rPr>
        <w:t>70</w:t>
      </w:r>
      <w:r>
        <w:rPr/>
        <w:t> </w:t>
      </w:r>
      <w:r>
        <w:rPr>
          <w:w w:val="95"/>
        </w:rPr>
        <w:t>分贝，</w:t>
      </w:r>
      <w:r>
        <w:rPr>
          <w:w w:val="95"/>
        </w:rPr>
        <w:t>且</w:t>
      </w:r>
      <w:r>
        <w:rPr>
          <w:w w:val="95"/>
        </w:rPr>
        <w:t>经</w:t>
      </w:r>
      <w:r>
        <w:rPr>
          <w:w w:val="95"/>
        </w:rPr>
        <w:t>纯</w:t>
      </w:r>
      <w:r>
        <w:rPr>
          <w:w w:val="95"/>
        </w:rPr>
        <w:t>音听力测试、声导抗</w:t>
      </w:r>
      <w:r>
        <w:rPr>
          <w:w w:val="95"/>
        </w:rPr>
        <w:t>检</w:t>
      </w:r>
      <w:r>
        <w:rPr>
          <w:spacing w:val="-2"/>
        </w:rPr>
        <w:t>测或者听觉诱发电位检测等证实。</w:t>
      </w:r>
    </w:p>
    <w:p>
      <w:pPr>
        <w:spacing w:line="282" w:lineRule="exact" w:before="0"/>
        <w:ind w:left="174" w:right="0" w:firstLine="0"/>
        <w:jc w:val="both"/>
        <w:rPr>
          <w:rFonts w:ascii="微软雅黑" w:eastAsia="微软雅黑"/>
          <w:b/>
          <w:sz w:val="21"/>
        </w:rPr>
      </w:pPr>
      <w:r>
        <w:rPr>
          <w:rFonts w:ascii="微软雅黑" w:eastAsia="微软雅黑"/>
          <w:b/>
          <w:w w:val="95"/>
          <w:sz w:val="21"/>
        </w:rPr>
        <w:t>在</w:t>
      </w:r>
      <w:r>
        <w:rPr>
          <w:rFonts w:ascii="微软雅黑" w:eastAsia="微软雅黑"/>
          <w:b/>
          <w:spacing w:val="46"/>
          <w:sz w:val="21"/>
        </w:rPr>
        <w:t> </w:t>
      </w:r>
      <w:r>
        <w:rPr>
          <w:rFonts w:ascii="微软雅黑" w:eastAsia="微软雅黑"/>
          <w:b/>
          <w:w w:val="95"/>
          <w:sz w:val="21"/>
        </w:rPr>
        <w:t>0</w:t>
      </w:r>
      <w:r>
        <w:rPr>
          <w:rFonts w:ascii="微软雅黑" w:eastAsia="微软雅黑"/>
          <w:b/>
          <w:spacing w:val="47"/>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至</w:t>
      </w:r>
      <w:r>
        <w:rPr>
          <w:rFonts w:ascii="微软雅黑" w:eastAsia="微软雅黑"/>
          <w:b/>
          <w:spacing w:val="47"/>
          <w:sz w:val="21"/>
        </w:rPr>
        <w:t> </w:t>
      </w:r>
      <w:r>
        <w:rPr>
          <w:rFonts w:ascii="微软雅黑" w:eastAsia="微软雅黑"/>
          <w:b/>
          <w:w w:val="95"/>
          <w:sz w:val="21"/>
        </w:rPr>
        <w:t>3</w:t>
      </w:r>
      <w:r>
        <w:rPr>
          <w:rFonts w:ascii="微软雅黑" w:eastAsia="微软雅黑"/>
          <w:b/>
          <w:spacing w:val="47"/>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期</w:t>
      </w:r>
      <w:r>
        <w:rPr>
          <w:rFonts w:ascii="微软雅黑" w:eastAsia="微软雅黑"/>
          <w:b/>
          <w:w w:val="95"/>
          <w:sz w:val="21"/>
        </w:rPr>
        <w:t>间</w:t>
      </w:r>
      <w:r>
        <w:rPr>
          <w:rFonts w:ascii="微软雅黑" w:eastAsia="微软雅黑"/>
          <w:b/>
          <w:w w:val="95"/>
          <w:sz w:val="21"/>
        </w:rPr>
        <w:t>，</w:t>
      </w:r>
      <w:r>
        <w:rPr>
          <w:rFonts w:ascii="微软雅黑" w:eastAsia="微软雅黑"/>
          <w:b/>
          <w:w w:val="95"/>
          <w:sz w:val="21"/>
        </w:rPr>
        <w:t>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人</w:t>
      </w:r>
      <w:r>
        <w:rPr>
          <w:rFonts w:ascii="微软雅黑" w:eastAsia="微软雅黑"/>
          <w:b/>
          <w:w w:val="95"/>
          <w:sz w:val="21"/>
        </w:rPr>
        <w:t>第</w:t>
      </w:r>
      <w:r>
        <w:rPr>
          <w:rFonts w:ascii="微软雅黑" w:eastAsia="微软雅黑"/>
          <w:b/>
          <w:w w:val="95"/>
          <w:sz w:val="21"/>
        </w:rPr>
        <w:t>一</w:t>
      </w:r>
      <w:r>
        <w:rPr>
          <w:rFonts w:ascii="微软雅黑" w:eastAsia="微软雅黑"/>
          <w:b/>
          <w:w w:val="95"/>
          <w:sz w:val="21"/>
        </w:rPr>
        <w:t>次</w:t>
      </w:r>
      <w:r>
        <w:rPr>
          <w:rFonts w:ascii="微软雅黑" w:eastAsia="微软雅黑"/>
          <w:b/>
          <w:w w:val="95"/>
          <w:sz w:val="21"/>
        </w:rPr>
        <w:t>患</w:t>
      </w:r>
      <w:r>
        <w:rPr>
          <w:rFonts w:ascii="微软雅黑" w:eastAsia="微软雅黑"/>
          <w:b/>
          <w:w w:val="95"/>
          <w:sz w:val="21"/>
        </w:rPr>
        <w:t>有轻度</w:t>
      </w:r>
      <w:r>
        <w:rPr>
          <w:rFonts w:ascii="微软雅黑" w:eastAsia="微软雅黑"/>
          <w:b/>
          <w:w w:val="95"/>
          <w:sz w:val="21"/>
        </w:rPr>
        <w:t>听</w:t>
      </w:r>
      <w:r>
        <w:rPr>
          <w:rFonts w:ascii="微软雅黑" w:eastAsia="微软雅黑"/>
          <w:b/>
          <w:w w:val="95"/>
          <w:sz w:val="21"/>
        </w:rPr>
        <w:t>力</w:t>
      </w:r>
      <w:r>
        <w:rPr>
          <w:rFonts w:ascii="微软雅黑" w:eastAsia="微软雅黑"/>
          <w:b/>
          <w:w w:val="95"/>
          <w:sz w:val="21"/>
        </w:rPr>
        <w:t>受</w:t>
      </w:r>
      <w:r>
        <w:rPr>
          <w:rFonts w:ascii="微软雅黑" w:eastAsia="微软雅黑"/>
          <w:b/>
          <w:w w:val="95"/>
          <w:sz w:val="21"/>
        </w:rPr>
        <w:t>损</w:t>
      </w:r>
      <w:r>
        <w:rPr>
          <w:rFonts w:ascii="微软雅黑" w:eastAsia="微软雅黑"/>
          <w:b/>
          <w:w w:val="95"/>
          <w:sz w:val="21"/>
        </w:rPr>
        <w:t>除</w:t>
      </w:r>
      <w:r>
        <w:rPr>
          <w:rFonts w:ascii="微软雅黑" w:eastAsia="微软雅黑"/>
          <w:b/>
          <w:w w:val="95"/>
          <w:sz w:val="21"/>
        </w:rPr>
        <w:t>外</w:t>
      </w:r>
      <w:r>
        <w:rPr>
          <w:rFonts w:ascii="微软雅黑" w:eastAsia="微软雅黑"/>
          <w:b/>
          <w:spacing w:val="-10"/>
          <w:w w:val="95"/>
          <w:sz w:val="21"/>
        </w:rPr>
        <w:t>。</w:t>
      </w:r>
    </w:p>
    <w:p>
      <w:pPr>
        <w:spacing w:line="194" w:lineRule="auto" w:before="15"/>
        <w:ind w:left="174" w:right="358" w:firstLine="0"/>
        <w:jc w:val="both"/>
        <w:rPr>
          <w:rFonts w:ascii="微软雅黑" w:hAnsi="微软雅黑" w:eastAsia="微软雅黑"/>
          <w:b/>
          <w:sz w:val="21"/>
        </w:rPr>
      </w:pPr>
      <w:r>
        <w:rPr>
          <w:rFonts w:ascii="微软雅黑" w:hAnsi="微软雅黑" w:eastAsia="微软雅黑"/>
          <w:b/>
          <w:spacing w:val="-2"/>
          <w:sz w:val="21"/>
        </w:rPr>
        <w:t>若被保险人同时或先后达到“轻度听力受损”、“单耳失聪”和“人工耳蜗植入</w:t>
      </w:r>
      <w:r>
        <w:rPr>
          <w:rFonts w:ascii="微软雅黑" w:hAnsi="微软雅黑" w:eastAsia="微软雅黑"/>
          <w:b/>
          <w:spacing w:val="-2"/>
          <w:sz w:val="21"/>
        </w:rPr>
        <w:t>术”的赔付标准，本公司仅赔付其中一项轻度疾病保险金，赔付后另外两个病种</w:t>
      </w:r>
      <w:r>
        <w:rPr>
          <w:rFonts w:ascii="微软雅黑" w:hAnsi="微软雅黑" w:eastAsia="微软雅黑"/>
          <w:b/>
          <w:spacing w:val="-2"/>
          <w:sz w:val="21"/>
        </w:rPr>
        <w:t>轻度疾病责任终止。</w:t>
      </w:r>
    </w:p>
    <w:p>
      <w:pPr>
        <w:spacing w:after="0" w:line="194" w:lineRule="auto"/>
        <w:jc w:val="both"/>
        <w:rPr>
          <w:rFonts w:ascii="微软雅黑" w:hAns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3"/>
        </w:rPr>
      </w:pPr>
    </w:p>
    <w:p>
      <w:pPr>
        <w:pStyle w:val="ListParagraph"/>
        <w:numPr>
          <w:ilvl w:val="0"/>
          <w:numId w:val="26"/>
        </w:numPr>
        <w:tabs>
          <w:tab w:pos="1391" w:val="left" w:leader="none"/>
        </w:tabs>
        <w:spacing w:line="256" w:lineRule="auto" w:before="4" w:after="0"/>
        <w:ind w:left="2699" w:right="353" w:hanging="1628"/>
        <w:jc w:val="both"/>
        <w:rPr>
          <w:sz w:val="21"/>
        </w:rPr>
      </w:pPr>
      <w:r>
        <w:rPr>
          <w:rFonts w:ascii="微软雅黑" w:eastAsia="微软雅黑"/>
          <w:b/>
          <w:spacing w:val="56"/>
          <w:sz w:val="21"/>
        </w:rPr>
        <w:t>单耳失聪 </w:t>
      </w:r>
      <w:r>
        <w:rPr>
          <w:spacing w:val="-1"/>
          <w:sz w:val="21"/>
        </w:rPr>
        <w:t>指因疾病或者意外伤害导致单耳听力永久不可逆性丧失，在 </w:t>
      </w:r>
      <w:r>
        <w:rPr>
          <w:sz w:val="21"/>
        </w:rPr>
        <w:t>500</w:t>
      </w:r>
      <w:r>
        <w:rPr>
          <w:spacing w:val="-7"/>
          <w:sz w:val="21"/>
        </w:rPr>
        <w:t> 赫兹、</w:t>
      </w:r>
      <w:r>
        <w:rPr>
          <w:sz w:val="21"/>
        </w:rPr>
        <w:t>1000</w:t>
      </w:r>
      <w:r>
        <w:rPr>
          <w:spacing w:val="-9"/>
          <w:sz w:val="21"/>
        </w:rPr>
        <w:t> 赫兹</w:t>
      </w:r>
      <w:r>
        <w:rPr>
          <w:w w:val="95"/>
          <w:sz w:val="21"/>
        </w:rPr>
        <w:t>和</w:t>
      </w:r>
      <w:r>
        <w:rPr>
          <w:sz w:val="21"/>
        </w:rPr>
        <w:t> </w:t>
      </w:r>
      <w:r>
        <w:rPr>
          <w:w w:val="95"/>
          <w:sz w:val="21"/>
        </w:rPr>
        <w:t>2000</w:t>
      </w:r>
      <w:r>
        <w:rPr>
          <w:sz w:val="21"/>
        </w:rPr>
        <w:t> </w:t>
      </w:r>
      <w:r>
        <w:rPr>
          <w:w w:val="95"/>
          <w:sz w:val="21"/>
        </w:rPr>
        <w:t>赫兹语音频率下，</w:t>
      </w:r>
      <w:r>
        <w:rPr>
          <w:w w:val="95"/>
          <w:sz w:val="21"/>
        </w:rPr>
        <w:t>平</w:t>
      </w:r>
      <w:r>
        <w:rPr>
          <w:w w:val="95"/>
          <w:sz w:val="21"/>
        </w:rPr>
        <w:t>均</w:t>
      </w:r>
      <w:r>
        <w:rPr>
          <w:w w:val="95"/>
          <w:sz w:val="21"/>
        </w:rPr>
        <w:t>听阈大于等于</w:t>
      </w:r>
      <w:r>
        <w:rPr>
          <w:sz w:val="21"/>
        </w:rPr>
        <w:t> </w:t>
      </w:r>
      <w:r>
        <w:rPr>
          <w:w w:val="95"/>
          <w:sz w:val="21"/>
        </w:rPr>
        <w:t>91</w:t>
      </w:r>
      <w:r>
        <w:rPr>
          <w:sz w:val="21"/>
        </w:rPr>
        <w:t> </w:t>
      </w:r>
      <w:r>
        <w:rPr>
          <w:w w:val="95"/>
          <w:sz w:val="21"/>
        </w:rPr>
        <w:t>分贝，</w:t>
      </w:r>
      <w:r>
        <w:rPr>
          <w:w w:val="95"/>
          <w:sz w:val="21"/>
        </w:rPr>
        <w:t>且</w:t>
      </w:r>
      <w:r>
        <w:rPr>
          <w:w w:val="95"/>
          <w:sz w:val="21"/>
        </w:rPr>
        <w:t>经纯音听力测试、声导</w:t>
      </w:r>
      <w:r>
        <w:rPr>
          <w:spacing w:val="-2"/>
          <w:sz w:val="21"/>
        </w:rPr>
        <w:t>抗检测或者听觉诱发电位检测等证实。</w:t>
      </w:r>
    </w:p>
    <w:p>
      <w:pPr>
        <w:spacing w:line="296" w:lineRule="exact" w:before="0"/>
        <w:ind w:left="2699" w:right="0" w:firstLine="0"/>
        <w:jc w:val="both"/>
        <w:rPr>
          <w:rFonts w:ascii="微软雅黑" w:eastAsia="微软雅黑"/>
          <w:b/>
          <w:sz w:val="21"/>
        </w:rPr>
      </w:pPr>
      <w:r>
        <w:rPr>
          <w:rFonts w:ascii="微软雅黑" w:eastAsia="微软雅黑"/>
          <w:b/>
          <w:w w:val="95"/>
          <w:sz w:val="21"/>
        </w:rPr>
        <w:t>在</w:t>
      </w:r>
      <w:r>
        <w:rPr>
          <w:rFonts w:ascii="微软雅黑" w:eastAsia="微软雅黑"/>
          <w:b/>
          <w:spacing w:val="41"/>
          <w:sz w:val="21"/>
        </w:rPr>
        <w:t> </w:t>
      </w:r>
      <w:r>
        <w:rPr>
          <w:rFonts w:ascii="微软雅黑" w:eastAsia="微软雅黑"/>
          <w:b/>
          <w:w w:val="95"/>
          <w:sz w:val="21"/>
        </w:rPr>
        <w:t>0</w:t>
      </w:r>
      <w:r>
        <w:rPr>
          <w:rFonts w:ascii="微软雅黑" w:eastAsia="微软雅黑"/>
          <w:b/>
          <w:spacing w:val="42"/>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至</w:t>
      </w:r>
      <w:r>
        <w:rPr>
          <w:rFonts w:ascii="微软雅黑" w:eastAsia="微软雅黑"/>
          <w:b/>
          <w:spacing w:val="42"/>
          <w:sz w:val="21"/>
        </w:rPr>
        <w:t> </w:t>
      </w:r>
      <w:r>
        <w:rPr>
          <w:rFonts w:ascii="微软雅黑" w:eastAsia="微软雅黑"/>
          <w:b/>
          <w:w w:val="95"/>
          <w:sz w:val="21"/>
        </w:rPr>
        <w:t>3</w:t>
      </w:r>
      <w:r>
        <w:rPr>
          <w:rFonts w:ascii="微软雅黑" w:eastAsia="微软雅黑"/>
          <w:b/>
          <w:spacing w:val="41"/>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期</w:t>
      </w:r>
      <w:r>
        <w:rPr>
          <w:rFonts w:ascii="微软雅黑" w:eastAsia="微软雅黑"/>
          <w:b/>
          <w:w w:val="95"/>
          <w:sz w:val="21"/>
        </w:rPr>
        <w:t>间</w:t>
      </w:r>
      <w:r>
        <w:rPr>
          <w:rFonts w:ascii="微软雅黑" w:eastAsia="微软雅黑"/>
          <w:b/>
          <w:w w:val="95"/>
          <w:sz w:val="21"/>
        </w:rPr>
        <w:t>，</w:t>
      </w:r>
      <w:r>
        <w:rPr>
          <w:rFonts w:ascii="微软雅黑" w:eastAsia="微软雅黑"/>
          <w:b/>
          <w:w w:val="95"/>
          <w:sz w:val="21"/>
        </w:rPr>
        <w:t>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人</w:t>
      </w:r>
      <w:r>
        <w:rPr>
          <w:rFonts w:ascii="微软雅黑" w:eastAsia="微软雅黑"/>
          <w:b/>
          <w:w w:val="95"/>
          <w:sz w:val="21"/>
        </w:rPr>
        <w:t>第</w:t>
      </w:r>
      <w:r>
        <w:rPr>
          <w:rFonts w:ascii="微软雅黑" w:eastAsia="微软雅黑"/>
          <w:b/>
          <w:w w:val="95"/>
          <w:sz w:val="21"/>
        </w:rPr>
        <w:t>一</w:t>
      </w:r>
      <w:r>
        <w:rPr>
          <w:rFonts w:ascii="微软雅黑" w:eastAsia="微软雅黑"/>
          <w:b/>
          <w:w w:val="95"/>
          <w:sz w:val="21"/>
        </w:rPr>
        <w:t>次</w:t>
      </w:r>
      <w:r>
        <w:rPr>
          <w:rFonts w:ascii="微软雅黑" w:eastAsia="微软雅黑"/>
          <w:b/>
          <w:w w:val="95"/>
          <w:sz w:val="21"/>
        </w:rPr>
        <w:t>患</w:t>
      </w:r>
      <w:r>
        <w:rPr>
          <w:rFonts w:ascii="微软雅黑" w:eastAsia="微软雅黑"/>
          <w:b/>
          <w:w w:val="95"/>
          <w:sz w:val="21"/>
        </w:rPr>
        <w:t>有单耳</w:t>
      </w:r>
      <w:r>
        <w:rPr>
          <w:rFonts w:ascii="微软雅黑" w:eastAsia="微软雅黑"/>
          <w:b/>
          <w:w w:val="95"/>
          <w:sz w:val="21"/>
        </w:rPr>
        <w:t>失</w:t>
      </w:r>
      <w:r>
        <w:rPr>
          <w:rFonts w:ascii="微软雅黑" w:eastAsia="微软雅黑"/>
          <w:b/>
          <w:w w:val="95"/>
          <w:sz w:val="21"/>
        </w:rPr>
        <w:t>聪</w:t>
      </w:r>
      <w:r>
        <w:rPr>
          <w:rFonts w:ascii="微软雅黑" w:eastAsia="微软雅黑"/>
          <w:b/>
          <w:w w:val="95"/>
          <w:sz w:val="21"/>
        </w:rPr>
        <w:t>除</w:t>
      </w:r>
      <w:r>
        <w:rPr>
          <w:rFonts w:ascii="微软雅黑" w:eastAsia="微软雅黑"/>
          <w:b/>
          <w:w w:val="95"/>
          <w:sz w:val="21"/>
        </w:rPr>
        <w:t>外</w:t>
      </w:r>
      <w:r>
        <w:rPr>
          <w:rFonts w:ascii="微软雅黑" w:eastAsia="微软雅黑"/>
          <w:b/>
          <w:spacing w:val="-10"/>
          <w:w w:val="95"/>
          <w:sz w:val="21"/>
        </w:rPr>
        <w:t>。</w:t>
      </w:r>
    </w:p>
    <w:p>
      <w:pPr>
        <w:spacing w:line="194" w:lineRule="auto" w:before="15"/>
        <w:ind w:left="2699" w:right="358" w:firstLine="0"/>
        <w:jc w:val="both"/>
        <w:rPr>
          <w:rFonts w:ascii="微软雅黑" w:hAnsi="微软雅黑" w:eastAsia="微软雅黑"/>
          <w:b/>
          <w:sz w:val="21"/>
        </w:rPr>
      </w:pPr>
      <w:r>
        <w:rPr>
          <w:rFonts w:ascii="微软雅黑" w:hAnsi="微软雅黑" w:eastAsia="微软雅黑"/>
          <w:b/>
          <w:spacing w:val="-2"/>
          <w:sz w:val="21"/>
        </w:rPr>
        <w:t>若被保险人同时或先后达到“轻度听力受损”、“单耳失聪”和“人工耳蜗植入</w:t>
      </w:r>
      <w:r>
        <w:rPr>
          <w:rFonts w:ascii="微软雅黑" w:hAnsi="微软雅黑" w:eastAsia="微软雅黑"/>
          <w:b/>
          <w:spacing w:val="-2"/>
          <w:sz w:val="21"/>
        </w:rPr>
        <w:t>术”的赔付标准，本公司仅赔付其中一项轻度疾病保险金，赔付后另外两个病种</w:t>
      </w:r>
      <w:r>
        <w:rPr>
          <w:rFonts w:ascii="微软雅黑" w:hAnsi="微软雅黑" w:eastAsia="微软雅黑"/>
          <w:b/>
          <w:spacing w:val="-2"/>
          <w:sz w:val="21"/>
        </w:rPr>
        <w:t>轻度疾病责任终止。</w:t>
      </w:r>
    </w:p>
    <w:p>
      <w:pPr>
        <w:spacing w:after="0" w:line="194" w:lineRule="auto"/>
        <w:jc w:val="both"/>
        <w:rPr>
          <w:rFonts w:ascii="微软雅黑" w:hAnsi="微软雅黑" w:eastAsia="微软雅黑"/>
          <w:sz w:val="21"/>
        </w:rPr>
        <w:sectPr>
          <w:type w:val="continuous"/>
          <w:pgSz w:w="11910" w:h="16840"/>
          <w:pgMar w:header="0" w:footer="458" w:top="620" w:bottom="280" w:left="800" w:right="660"/>
        </w:sectPr>
      </w:pPr>
    </w:p>
    <w:p>
      <w:pPr>
        <w:pStyle w:val="ListParagraph"/>
        <w:numPr>
          <w:ilvl w:val="0"/>
          <w:numId w:val="26"/>
        </w:numPr>
        <w:tabs>
          <w:tab w:pos="1399" w:val="left" w:leader="none"/>
        </w:tabs>
        <w:spacing w:line="194" w:lineRule="auto" w:before="28" w:after="0"/>
        <w:ind w:left="1072" w:right="0" w:firstLine="0"/>
        <w:jc w:val="left"/>
        <w:rPr>
          <w:rFonts w:ascii="微软雅黑" w:eastAsia="微软雅黑"/>
          <w:b/>
          <w:sz w:val="21"/>
        </w:rPr>
      </w:pPr>
      <w:r>
        <w:rPr>
          <w:rFonts w:ascii="微软雅黑" w:eastAsia="微软雅黑"/>
          <w:b/>
          <w:spacing w:val="-2"/>
          <w:sz w:val="21"/>
        </w:rPr>
        <w:t>人工耳蜗植</w:t>
      </w:r>
      <w:r>
        <w:rPr>
          <w:rFonts w:ascii="微软雅黑" w:eastAsia="微软雅黑"/>
          <w:b/>
          <w:spacing w:val="-6"/>
          <w:sz w:val="21"/>
        </w:rPr>
        <w:t>入术</w:t>
      </w:r>
    </w:p>
    <w:p>
      <w:pPr>
        <w:pStyle w:val="BodyText"/>
        <w:spacing w:line="278" w:lineRule="auto"/>
        <w:ind w:left="174" w:right="387"/>
      </w:pPr>
      <w:r>
        <w:rPr/>
        <w:br w:type="column"/>
      </w:r>
      <w:r>
        <w:rPr>
          <w:spacing w:val="-2"/>
        </w:rPr>
        <w:t>指由于耳蜗的永久损害而实际实施了人工耳蜗植入手术。需经专科医师确认手术</w:t>
      </w:r>
      <w:r>
        <w:rPr>
          <w:spacing w:val="-2"/>
        </w:rPr>
        <w:t>在医学上是必要的，且在植入手术之前已经符合下列全部条件：</w:t>
      </w:r>
    </w:p>
    <w:p>
      <w:pPr>
        <w:pStyle w:val="ListParagraph"/>
        <w:numPr>
          <w:ilvl w:val="0"/>
          <w:numId w:val="34"/>
        </w:numPr>
        <w:tabs>
          <w:tab w:pos="705" w:val="left" w:leader="none"/>
        </w:tabs>
        <w:spacing w:line="240" w:lineRule="auto" w:before="0" w:after="0"/>
        <w:ind w:left="704" w:right="0" w:hanging="531"/>
        <w:jc w:val="left"/>
        <w:rPr>
          <w:sz w:val="21"/>
        </w:rPr>
      </w:pPr>
      <w:r>
        <w:rPr>
          <w:spacing w:val="-2"/>
          <w:sz w:val="21"/>
        </w:rPr>
        <w:t>双耳持续12</w:t>
      </w:r>
      <w:r>
        <w:rPr>
          <w:spacing w:val="-3"/>
          <w:sz w:val="21"/>
        </w:rPr>
        <w:t>个月以上重度感音神经性耳聋；</w:t>
      </w:r>
    </w:p>
    <w:p>
      <w:pPr>
        <w:pStyle w:val="ListParagraph"/>
        <w:numPr>
          <w:ilvl w:val="0"/>
          <w:numId w:val="34"/>
        </w:numPr>
        <w:tabs>
          <w:tab w:pos="705" w:val="left" w:leader="none"/>
        </w:tabs>
        <w:spacing w:line="257" w:lineRule="exact" w:before="43" w:after="0"/>
        <w:ind w:left="704" w:right="0" w:hanging="531"/>
        <w:jc w:val="left"/>
        <w:rPr>
          <w:sz w:val="21"/>
        </w:rPr>
      </w:pPr>
      <w:r>
        <w:rPr>
          <w:spacing w:val="-3"/>
          <w:sz w:val="21"/>
        </w:rPr>
        <w:t>使用相应的听力辅助设备效果不佳。</w:t>
      </w:r>
    </w:p>
    <w:p>
      <w:pPr>
        <w:spacing w:line="194" w:lineRule="auto" w:before="40"/>
        <w:ind w:left="174" w:right="365" w:firstLine="0"/>
        <w:jc w:val="both"/>
        <w:rPr>
          <w:rFonts w:ascii="微软雅黑" w:hAnsi="微软雅黑" w:eastAsia="微软雅黑"/>
          <w:b/>
          <w:sz w:val="21"/>
        </w:rPr>
      </w:pPr>
      <w:r>
        <w:rPr>
          <w:rFonts w:ascii="微软雅黑" w:hAnsi="微软雅黑" w:eastAsia="微软雅黑"/>
          <w:b/>
          <w:spacing w:val="-2"/>
          <w:sz w:val="21"/>
        </w:rPr>
        <w:t>若被保险人同时或先后达到“轻度听力受损”、“单耳失聪”和“人工耳蜗植入</w:t>
      </w:r>
      <w:r>
        <w:rPr>
          <w:rFonts w:ascii="微软雅黑" w:hAnsi="微软雅黑" w:eastAsia="微软雅黑"/>
          <w:b/>
          <w:spacing w:val="-2"/>
          <w:sz w:val="21"/>
        </w:rPr>
        <w:t>术”的赔付标准，本公司仅赔付其中一项轻度疾病保险金，赔付后另外两个病种</w:t>
      </w:r>
      <w:r>
        <w:rPr>
          <w:rFonts w:ascii="微软雅黑" w:hAnsi="微软雅黑" w:eastAsia="微软雅黑"/>
          <w:b/>
          <w:spacing w:val="-2"/>
          <w:sz w:val="21"/>
        </w:rPr>
        <w:t>轻度疾病责任终止。</w:t>
      </w:r>
    </w:p>
    <w:p>
      <w:pPr>
        <w:spacing w:after="0" w:line="194" w:lineRule="auto"/>
        <w:jc w:val="both"/>
        <w:rPr>
          <w:rFonts w:ascii="微软雅黑" w:hAnsi="微软雅黑" w:eastAsia="微软雅黑"/>
          <w:sz w:val="21"/>
        </w:rPr>
        <w:sectPr>
          <w:pgSz w:w="11910" w:h="16840"/>
          <w:pgMar w:header="0" w:footer="458" w:top="1260" w:bottom="640" w:left="800" w:right="660"/>
          <w:cols w:num="2" w:equalWidth="0">
            <w:col w:w="2486" w:space="40"/>
            <w:col w:w="7924"/>
          </w:cols>
        </w:sectPr>
      </w:pPr>
    </w:p>
    <w:p>
      <w:pPr>
        <w:pStyle w:val="BodyText"/>
        <w:spacing w:before="11"/>
        <w:rPr>
          <w:rFonts w:ascii="微软雅黑"/>
          <w:b/>
          <w:sz w:val="13"/>
        </w:rPr>
      </w:pPr>
    </w:p>
    <w:p>
      <w:pPr>
        <w:spacing w:after="0"/>
        <w:rPr>
          <w:rFonts w:ascii="微软雅黑"/>
          <w:sz w:val="13"/>
        </w:rPr>
        <w:sectPr>
          <w:type w:val="continuous"/>
          <w:pgSz w:w="11910" w:h="16840"/>
          <w:pgMar w:header="0" w:footer="458" w:top="620" w:bottom="280" w:left="800" w:right="660"/>
        </w:sectPr>
      </w:pPr>
    </w:p>
    <w:p>
      <w:pPr>
        <w:pStyle w:val="ListParagraph"/>
        <w:numPr>
          <w:ilvl w:val="0"/>
          <w:numId w:val="26"/>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硬脑膜下血</w:t>
      </w:r>
      <w:r>
        <w:rPr>
          <w:rFonts w:ascii="微软雅黑" w:eastAsia="微软雅黑"/>
          <w:b/>
          <w:spacing w:val="-4"/>
          <w:sz w:val="21"/>
        </w:rPr>
        <w:t>肿手术</w:t>
      </w:r>
    </w:p>
    <w:p>
      <w:pPr>
        <w:pStyle w:val="BodyText"/>
        <w:spacing w:before="71"/>
        <w:ind w:left="174"/>
      </w:pPr>
      <w:r>
        <w:rPr/>
        <w:br w:type="column"/>
      </w:r>
      <w:r>
        <w:rPr>
          <w:spacing w:val="-3"/>
        </w:rPr>
        <w:t>为清除或引流因意外伤害导致的血肿，需于头部进行开颅或钻孔手术。</w:t>
      </w:r>
    </w:p>
    <w:p>
      <w:pPr>
        <w:pStyle w:val="BodyText"/>
        <w:spacing w:line="278" w:lineRule="auto"/>
        <w:ind w:left="174" w:right="387"/>
      </w:pPr>
      <w:r>
        <w:rPr>
          <w:spacing w:val="-2"/>
        </w:rPr>
        <w:t>开颅或钻孔手术必须在本公司认可的医疗机构内由专科医生认为是医疗必须的情</w:t>
      </w:r>
      <w:r>
        <w:rPr>
          <w:spacing w:val="-2"/>
        </w:rPr>
        <w:t>况下进行。</w:t>
      </w:r>
    </w:p>
    <w:p>
      <w:pPr>
        <w:spacing w:after="0" w:line="278" w:lineRule="auto"/>
        <w:sectPr>
          <w:type w:val="continuous"/>
          <w:pgSz w:w="11910" w:h="16840"/>
          <w:pgMar w:header="0" w:footer="458" w:top="620" w:bottom="280" w:left="800" w:right="660"/>
          <w:cols w:num="2" w:equalWidth="0">
            <w:col w:w="2486" w:space="40"/>
            <w:col w:w="7924"/>
          </w:cols>
        </w:sectPr>
      </w:pPr>
    </w:p>
    <w:p>
      <w:pPr>
        <w:pStyle w:val="BodyText"/>
        <w:spacing w:before="10"/>
        <w:rPr>
          <w:sz w:val="18"/>
        </w:rPr>
      </w:pPr>
    </w:p>
    <w:p>
      <w:pPr>
        <w:spacing w:after="0"/>
        <w:rPr>
          <w:sz w:val="18"/>
        </w:rPr>
        <w:sectPr>
          <w:type w:val="continuous"/>
          <w:pgSz w:w="11910" w:h="16840"/>
          <w:pgMar w:header="0" w:footer="458" w:top="620" w:bottom="280" w:left="800" w:right="660"/>
        </w:sectPr>
      </w:pPr>
    </w:p>
    <w:p>
      <w:pPr>
        <w:pStyle w:val="ListParagraph"/>
        <w:numPr>
          <w:ilvl w:val="0"/>
          <w:numId w:val="26"/>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植入大脑内</w:t>
      </w:r>
      <w:r>
        <w:rPr>
          <w:rFonts w:ascii="微软雅黑" w:eastAsia="微软雅黑"/>
          <w:b/>
          <w:spacing w:val="-4"/>
          <w:sz w:val="21"/>
        </w:rPr>
        <w:t>分流器</w:t>
      </w:r>
    </w:p>
    <w:p>
      <w:pPr>
        <w:pStyle w:val="BodyText"/>
        <w:spacing w:before="72"/>
        <w:ind w:left="174"/>
      </w:pPr>
      <w:r>
        <w:rPr/>
        <w:br w:type="column"/>
      </w:r>
      <w:r>
        <w:rPr>
          <w:spacing w:val="-3"/>
        </w:rPr>
        <w:t>为缓解已升高的脑脊液压力而确实已在脑室进行分流器植入手术。</w:t>
      </w:r>
    </w:p>
    <w:p>
      <w:pPr>
        <w:pStyle w:val="BodyText"/>
        <w:spacing w:line="278" w:lineRule="auto"/>
        <w:ind w:left="174" w:right="387"/>
      </w:pPr>
      <w:r>
        <w:rPr>
          <w:spacing w:val="-2"/>
        </w:rPr>
        <w:t>诊断及治疗均须在本公司认可的医疗机构内由脑神经科专科医生认为是医疗必须</w:t>
      </w:r>
      <w:r>
        <w:rPr>
          <w:spacing w:val="-2"/>
        </w:rPr>
        <w:t>的情况下进行。</w:t>
      </w:r>
    </w:p>
    <w:p>
      <w:pPr>
        <w:spacing w:after="0" w:line="278" w:lineRule="auto"/>
        <w:sectPr>
          <w:type w:val="continuous"/>
          <w:pgSz w:w="11910" w:h="16840"/>
          <w:pgMar w:header="0" w:footer="458" w:top="620" w:bottom="280" w:left="800" w:right="660"/>
          <w:cols w:num="2" w:equalWidth="0">
            <w:col w:w="2486" w:space="40"/>
            <w:col w:w="7924"/>
          </w:cols>
        </w:sectPr>
      </w:pPr>
    </w:p>
    <w:p>
      <w:pPr>
        <w:pStyle w:val="BodyText"/>
        <w:spacing w:before="10"/>
        <w:rPr>
          <w:sz w:val="18"/>
        </w:rPr>
      </w:pPr>
    </w:p>
    <w:p>
      <w:pPr>
        <w:spacing w:after="0"/>
        <w:rPr>
          <w:sz w:val="18"/>
        </w:rPr>
        <w:sectPr>
          <w:type w:val="continuous"/>
          <w:pgSz w:w="11910" w:h="16840"/>
          <w:pgMar w:header="0" w:footer="458" w:top="620" w:bottom="280" w:left="800" w:right="660"/>
        </w:sectPr>
      </w:pPr>
    </w:p>
    <w:p>
      <w:pPr>
        <w:pStyle w:val="ListParagraph"/>
        <w:numPr>
          <w:ilvl w:val="0"/>
          <w:numId w:val="26"/>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w w:val="95"/>
          <w:sz w:val="21"/>
        </w:rPr>
        <w:t>深</w:t>
      </w:r>
      <w:r>
        <w:rPr>
          <w:rFonts w:ascii="微软雅黑" w:eastAsia="微软雅黑"/>
          <w:b/>
          <w:spacing w:val="-2"/>
          <w:w w:val="95"/>
          <w:sz w:val="21"/>
        </w:rPr>
        <w:t>度</w:t>
      </w:r>
      <w:r>
        <w:rPr>
          <w:rFonts w:ascii="微软雅黑" w:eastAsia="微软雅黑"/>
          <w:b/>
          <w:spacing w:val="-2"/>
          <w:w w:val="95"/>
          <w:sz w:val="21"/>
        </w:rPr>
        <w:t>昏</w:t>
      </w:r>
      <w:r>
        <w:rPr>
          <w:rFonts w:ascii="微软雅黑" w:eastAsia="微软雅黑"/>
          <w:b/>
          <w:spacing w:val="-2"/>
          <w:w w:val="95"/>
          <w:sz w:val="21"/>
        </w:rPr>
        <w:t>迷</w:t>
      </w:r>
      <w:r>
        <w:rPr>
          <w:rFonts w:ascii="微软雅黑" w:eastAsia="微软雅黑"/>
          <w:b/>
          <w:spacing w:val="-2"/>
          <w:w w:val="95"/>
          <w:sz w:val="21"/>
        </w:rPr>
        <w:t>48</w:t>
      </w:r>
      <w:r>
        <w:rPr>
          <w:rFonts w:ascii="微软雅黑" w:eastAsia="微软雅黑"/>
          <w:b/>
          <w:spacing w:val="-6"/>
          <w:sz w:val="21"/>
        </w:rPr>
        <w:t>小时</w:t>
      </w:r>
    </w:p>
    <w:p>
      <w:pPr>
        <w:pStyle w:val="BodyText"/>
        <w:spacing w:line="278" w:lineRule="auto" w:before="71"/>
        <w:ind w:left="175" w:right="386"/>
        <w:jc w:val="both"/>
      </w:pPr>
      <w:r>
        <w:rPr/>
        <w:br w:type="column"/>
      </w:r>
      <w:r>
        <w:rPr>
          <w:spacing w:val="-2"/>
        </w:rPr>
        <w:t>指因疾病或意外伤害导致意识丧失，对外界刺激和体内需求均无反应，昏迷程度</w:t>
      </w:r>
      <w:r>
        <w:rPr/>
        <w:t>按照格拉斯哥昏迷分级（Glasgow</w:t>
      </w:r>
      <w:r>
        <w:rPr>
          <w:spacing w:val="-14"/>
        </w:rPr>
        <w:t> </w:t>
      </w:r>
      <w:r>
        <w:rPr/>
        <w:t>coma</w:t>
      </w:r>
      <w:r>
        <w:rPr>
          <w:spacing w:val="-12"/>
        </w:rPr>
        <w:t> </w:t>
      </w:r>
      <w:r>
        <w:rPr/>
        <w:t>scale）结果为5分或5分以下，且已经持</w:t>
      </w:r>
      <w:r>
        <w:rPr>
          <w:spacing w:val="-2"/>
        </w:rPr>
        <w:t>续使用呼吸机及其他生命维持系统达到48小时，且未达到重度疾病“深度昏迷”</w:t>
      </w:r>
      <w:r>
        <w:rPr>
          <w:spacing w:val="-2"/>
        </w:rPr>
        <w:t>的赔付标准。</w:t>
      </w:r>
    </w:p>
    <w:p>
      <w:pPr>
        <w:spacing w:line="319" w:lineRule="exact" w:before="0"/>
        <w:ind w:left="175" w:right="0" w:firstLine="0"/>
        <w:jc w:val="left"/>
        <w:rPr>
          <w:rFonts w:ascii="微软雅黑" w:eastAsia="微软雅黑"/>
          <w:b/>
          <w:sz w:val="21"/>
        </w:rPr>
      </w:pPr>
      <w:r>
        <w:rPr>
          <w:rFonts w:ascii="微软雅黑" w:eastAsia="微软雅黑"/>
          <w:b/>
          <w:spacing w:val="-3"/>
          <w:sz w:val="21"/>
        </w:rPr>
        <w:t>因酗酒或药物滥用导致的深度昏迷不在本保障范围内。</w:t>
      </w:r>
    </w:p>
    <w:p>
      <w:pPr>
        <w:spacing w:after="0" w:line="319" w:lineRule="exact"/>
        <w:jc w:val="left"/>
        <w:rPr>
          <w:rFonts w:ascii="微软雅黑" w:eastAsia="微软雅黑"/>
          <w:sz w:val="21"/>
        </w:rPr>
        <w:sectPr>
          <w:type w:val="continuous"/>
          <w:pgSz w:w="11910" w:h="16840"/>
          <w:pgMar w:header="0" w:footer="458" w:top="620" w:bottom="280" w:left="800" w:right="660"/>
          <w:cols w:num="2" w:equalWidth="0">
            <w:col w:w="2484" w:space="40"/>
            <w:col w:w="7926"/>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26"/>
        </w:numPr>
        <w:tabs>
          <w:tab w:pos="1399" w:val="left" w:leader="none"/>
        </w:tabs>
        <w:spacing w:line="194" w:lineRule="auto" w:before="58" w:after="0"/>
        <w:ind w:left="1072" w:right="0" w:firstLine="0"/>
        <w:jc w:val="both"/>
        <w:rPr>
          <w:rFonts w:ascii="微软雅黑" w:eastAsia="微软雅黑"/>
          <w:b/>
          <w:sz w:val="21"/>
        </w:rPr>
      </w:pPr>
      <w:r>
        <w:rPr>
          <w:rFonts w:ascii="微软雅黑" w:eastAsia="微软雅黑"/>
          <w:b/>
          <w:spacing w:val="-2"/>
          <w:sz w:val="21"/>
        </w:rPr>
        <w:t>因肾上皮质</w:t>
      </w:r>
      <w:r>
        <w:rPr>
          <w:rFonts w:ascii="微软雅黑" w:eastAsia="微软雅黑"/>
          <w:b/>
          <w:spacing w:val="20"/>
          <w:sz w:val="21"/>
        </w:rPr>
        <w:t>腺瘤切除肾上</w:t>
      </w:r>
      <w:r>
        <w:rPr>
          <w:rFonts w:ascii="微软雅黑" w:eastAsia="微软雅黑"/>
          <w:b/>
          <w:spacing w:val="-10"/>
          <w:sz w:val="21"/>
        </w:rPr>
        <w:t>腺</w:t>
      </w:r>
    </w:p>
    <w:p>
      <w:pPr>
        <w:pStyle w:val="BodyText"/>
        <w:spacing w:line="278" w:lineRule="auto" w:before="72"/>
        <w:ind w:left="174" w:right="387"/>
      </w:pPr>
      <w:r>
        <w:rPr/>
        <w:br w:type="column"/>
      </w:r>
      <w:r>
        <w:rPr>
          <w:spacing w:val="-2"/>
        </w:rPr>
        <w:t>因肾上腺皮质腺瘤所导致的醛固酮分泌过多而产生的继发性恶性高血压而实际接</w:t>
      </w:r>
      <w:r>
        <w:rPr>
          <w:spacing w:val="-2"/>
        </w:rPr>
        <w:t>受了肾上腺切除术治疗。</w:t>
      </w:r>
    </w:p>
    <w:p>
      <w:pPr>
        <w:pStyle w:val="BodyText"/>
        <w:spacing w:line="278" w:lineRule="auto" w:before="0"/>
        <w:ind w:left="174" w:right="387"/>
      </w:pPr>
      <w:r>
        <w:rPr>
          <w:spacing w:val="-2"/>
        </w:rPr>
        <w:t>此诊断及治疗均须在本公司认可的医疗机构内由专科医生认为是医疗必须的情况</w:t>
      </w:r>
      <w:r>
        <w:rPr>
          <w:spacing w:val="-4"/>
        </w:rPr>
        <w:t>下进行。</w:t>
      </w:r>
    </w:p>
    <w:p>
      <w:pPr>
        <w:spacing w:after="0" w:line="278" w:lineRule="auto"/>
        <w:sectPr>
          <w:type w:val="continuous"/>
          <w:pgSz w:w="11910" w:h="16840"/>
          <w:pgMar w:header="0" w:footer="458" w:top="620" w:bottom="280" w:left="800" w:right="660"/>
          <w:cols w:num="2" w:equalWidth="0">
            <w:col w:w="2486" w:space="40"/>
            <w:col w:w="7924"/>
          </w:cols>
        </w:sectPr>
      </w:pPr>
    </w:p>
    <w:p>
      <w:pPr>
        <w:pStyle w:val="BodyText"/>
        <w:spacing w:before="10"/>
        <w:rPr>
          <w:sz w:val="18"/>
        </w:rPr>
      </w:pPr>
    </w:p>
    <w:p>
      <w:pPr>
        <w:spacing w:after="0"/>
        <w:rPr>
          <w:sz w:val="18"/>
        </w:rPr>
        <w:sectPr>
          <w:type w:val="continuous"/>
          <w:pgSz w:w="11910" w:h="16840"/>
          <w:pgMar w:header="0" w:footer="458" w:top="620" w:bottom="280" w:left="800" w:right="660"/>
        </w:sectPr>
      </w:pPr>
    </w:p>
    <w:p>
      <w:pPr>
        <w:pStyle w:val="ListParagraph"/>
        <w:numPr>
          <w:ilvl w:val="0"/>
          <w:numId w:val="26"/>
        </w:numPr>
        <w:tabs>
          <w:tab w:pos="1391"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心包膜切除</w:t>
      </w:r>
      <w:r>
        <w:rPr>
          <w:rFonts w:ascii="微软雅黑" w:eastAsia="微软雅黑"/>
          <w:b/>
          <w:spacing w:val="-10"/>
          <w:sz w:val="21"/>
        </w:rPr>
        <w:t>术</w:t>
      </w:r>
    </w:p>
    <w:p>
      <w:pPr>
        <w:pStyle w:val="BodyText"/>
        <w:spacing w:line="278" w:lineRule="auto" w:before="71"/>
        <w:ind w:left="214" w:right="598"/>
      </w:pPr>
      <w:r>
        <w:rPr/>
        <w:br w:type="column"/>
      </w:r>
      <w:r>
        <w:rPr>
          <w:spacing w:val="-2"/>
        </w:rPr>
        <w:t>因心包膜疾病导致已接受心包膜切除术或已进行任何需要心脏小切口技术的手</w:t>
      </w:r>
      <w:r>
        <w:rPr>
          <w:spacing w:val="-2"/>
        </w:rPr>
        <w:t>术。手术必须在心脏科医生认为是医学上必需的情况下进行。</w:t>
      </w:r>
    </w:p>
    <w:p>
      <w:pPr>
        <w:spacing w:after="0" w:line="278" w:lineRule="auto"/>
        <w:sectPr>
          <w:type w:val="continuous"/>
          <w:pgSz w:w="11910" w:h="16840"/>
          <w:pgMar w:header="0" w:footer="458" w:top="620" w:bottom="280" w:left="800" w:right="660"/>
          <w:cols w:num="2" w:equalWidth="0">
            <w:col w:w="2446" w:space="40"/>
            <w:col w:w="7964"/>
          </w:cols>
        </w:sectPr>
      </w:pPr>
    </w:p>
    <w:p>
      <w:pPr>
        <w:pStyle w:val="BodyText"/>
        <w:spacing w:before="10"/>
        <w:rPr>
          <w:sz w:val="18"/>
        </w:rPr>
      </w:pPr>
    </w:p>
    <w:p>
      <w:pPr>
        <w:spacing w:after="0"/>
        <w:rPr>
          <w:sz w:val="18"/>
        </w:rPr>
        <w:sectPr>
          <w:type w:val="continuous"/>
          <w:pgSz w:w="11910" w:h="16840"/>
          <w:pgMar w:header="0" w:footer="458" w:top="620" w:bottom="280" w:left="800" w:right="660"/>
        </w:sectPr>
      </w:pPr>
    </w:p>
    <w:p>
      <w:pPr>
        <w:pStyle w:val="ListParagraph"/>
        <w:numPr>
          <w:ilvl w:val="0"/>
          <w:numId w:val="26"/>
        </w:numPr>
        <w:tabs>
          <w:tab w:pos="1391"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于颈动脉进</w:t>
      </w:r>
      <w:r>
        <w:rPr>
          <w:rFonts w:ascii="微软雅黑" w:eastAsia="微软雅黑"/>
          <w:b/>
          <w:spacing w:val="-2"/>
          <w:sz w:val="21"/>
        </w:rPr>
        <w:t>行血管成形术</w:t>
      </w:r>
      <w:r>
        <w:rPr>
          <w:rFonts w:ascii="微软雅黑" w:eastAsia="微软雅黑"/>
          <w:b/>
          <w:spacing w:val="-2"/>
          <w:sz w:val="21"/>
        </w:rPr>
        <w:t>或内膜切除术</w:t>
      </w:r>
    </w:p>
    <w:p>
      <w:pPr>
        <w:pStyle w:val="BodyText"/>
        <w:spacing w:line="278" w:lineRule="auto" w:before="72"/>
        <w:ind w:left="214" w:right="356"/>
        <w:jc w:val="both"/>
      </w:pPr>
      <w:r>
        <w:rPr/>
        <w:br w:type="column"/>
      </w:r>
      <w:r>
        <w:rPr>
          <w:spacing w:val="-2"/>
        </w:rPr>
        <w:t>指根据颈动脉造影检查结果，确诊一条或以上颈动脉存在严重狭窄性病变（至少</w:t>
      </w:r>
      <w:r>
        <w:rPr>
          <w:spacing w:val="-5"/>
        </w:rPr>
        <w:t>一支血管管腔直径减少 </w:t>
      </w:r>
      <w:r>
        <w:rPr>
          <w:spacing w:val="-2"/>
        </w:rPr>
        <w:t>50%以上</w:t>
      </w:r>
      <w:r>
        <w:rPr>
          <w:spacing w:val="-108"/>
        </w:rPr>
        <w:t>）</w:t>
      </w:r>
      <w:r>
        <w:rPr>
          <w:spacing w:val="-2"/>
        </w:rPr>
        <w:t>。本病须经国家机关认可的有合法资质的专科医</w:t>
      </w:r>
      <w:r>
        <w:rPr>
          <w:spacing w:val="-2"/>
        </w:rPr>
        <w:t>生明确诊断，同时必须已经采取以下手术以减轻症状：</w:t>
      </w:r>
    </w:p>
    <w:p>
      <w:pPr>
        <w:pStyle w:val="ListParagraph"/>
        <w:numPr>
          <w:ilvl w:val="0"/>
          <w:numId w:val="35"/>
        </w:numPr>
        <w:tabs>
          <w:tab w:pos="744" w:val="left" w:leader="none"/>
        </w:tabs>
        <w:spacing w:line="269" w:lineRule="exact" w:before="0" w:after="0"/>
        <w:ind w:left="744" w:right="0" w:hanging="530"/>
        <w:jc w:val="left"/>
        <w:rPr>
          <w:sz w:val="21"/>
        </w:rPr>
      </w:pPr>
      <w:r>
        <w:rPr>
          <w:spacing w:val="-3"/>
          <w:sz w:val="21"/>
        </w:rPr>
        <w:t>确实进行动脉内膜切除术；</w:t>
      </w:r>
    </w:p>
    <w:p>
      <w:pPr>
        <w:pStyle w:val="ListParagraph"/>
        <w:numPr>
          <w:ilvl w:val="0"/>
          <w:numId w:val="35"/>
        </w:numPr>
        <w:tabs>
          <w:tab w:pos="744" w:val="left" w:leader="none"/>
        </w:tabs>
        <w:spacing w:line="278" w:lineRule="auto" w:before="42" w:after="0"/>
        <w:ind w:left="214" w:right="353" w:firstLine="0"/>
        <w:jc w:val="left"/>
        <w:rPr>
          <w:sz w:val="21"/>
        </w:rPr>
      </w:pPr>
      <w:r>
        <w:rPr>
          <w:spacing w:val="-6"/>
          <w:w w:val="100"/>
          <w:sz w:val="21"/>
        </w:rPr>
        <w:t>确实进行血管介入治疗，例如血管成形术及／或进行植入支架或动脉粥样</w:t>
      </w:r>
      <w:r>
        <w:rPr>
          <w:spacing w:val="-5"/>
          <w:w w:val="100"/>
          <w:sz w:val="21"/>
        </w:rPr>
        <w:t>瘤清除手术。</w:t>
      </w:r>
    </w:p>
    <w:p>
      <w:pPr>
        <w:spacing w:after="0" w:line="278" w:lineRule="auto"/>
        <w:jc w:val="left"/>
        <w:rPr>
          <w:sz w:val="21"/>
        </w:rPr>
        <w:sectPr>
          <w:type w:val="continuous"/>
          <w:pgSz w:w="11910" w:h="16840"/>
          <w:pgMar w:header="0" w:footer="458" w:top="620" w:bottom="280" w:left="800" w:right="660"/>
          <w:cols w:num="2" w:equalWidth="0">
            <w:col w:w="2446" w:space="40"/>
            <w:col w:w="7964"/>
          </w:cols>
        </w:sectPr>
      </w:pPr>
    </w:p>
    <w:p>
      <w:pPr>
        <w:pStyle w:val="BodyText"/>
        <w:spacing w:before="11"/>
        <w:rPr>
          <w:sz w:val="18"/>
        </w:rPr>
      </w:pPr>
    </w:p>
    <w:p>
      <w:pPr>
        <w:spacing w:after="0"/>
        <w:rPr>
          <w:sz w:val="18"/>
        </w:rPr>
        <w:sectPr>
          <w:type w:val="continuous"/>
          <w:pgSz w:w="11910" w:h="16840"/>
          <w:pgMar w:header="0" w:footer="458" w:top="620" w:bottom="280" w:left="800" w:right="660"/>
        </w:sectPr>
      </w:pPr>
    </w:p>
    <w:p>
      <w:pPr>
        <w:pStyle w:val="ListParagraph"/>
        <w:numPr>
          <w:ilvl w:val="0"/>
          <w:numId w:val="26"/>
        </w:numPr>
        <w:tabs>
          <w:tab w:pos="1391"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腔静脉过滤</w:t>
      </w:r>
      <w:r>
        <w:rPr>
          <w:rFonts w:ascii="微软雅黑" w:eastAsia="微软雅黑"/>
          <w:b/>
          <w:spacing w:val="-4"/>
          <w:sz w:val="21"/>
        </w:rPr>
        <w:t>器植入术</w:t>
      </w:r>
    </w:p>
    <w:p>
      <w:pPr>
        <w:pStyle w:val="BodyText"/>
        <w:spacing w:line="278" w:lineRule="auto" w:before="71"/>
        <w:ind w:left="214" w:right="387"/>
        <w:jc w:val="both"/>
      </w:pPr>
      <w:r>
        <w:rPr/>
        <w:br w:type="column"/>
      </w:r>
      <w:r>
        <w:rPr>
          <w:spacing w:val="-2"/>
        </w:rPr>
        <w:t>指经本公司认可医院的专科医生证明有反复肺栓塞发作及抗凝治疗无效而必须接</w:t>
      </w:r>
      <w:r>
        <w:rPr>
          <w:spacing w:val="-2"/>
        </w:rPr>
        <w:t>受手术植入腔静脉过滤器。理赔时需提供完整病历及手术记录以证明植入腔静脉</w:t>
      </w:r>
      <w:r>
        <w:rPr>
          <w:spacing w:val="-2"/>
        </w:rPr>
        <w:t>过滤器有必要性及已确实施行了手术。</w:t>
      </w:r>
    </w:p>
    <w:p>
      <w:pPr>
        <w:spacing w:after="0" w:line="278" w:lineRule="auto"/>
        <w:jc w:val="both"/>
        <w:sectPr>
          <w:type w:val="continuous"/>
          <w:pgSz w:w="11910" w:h="16840"/>
          <w:pgMar w:header="0" w:footer="458" w:top="620" w:bottom="280" w:left="800" w:right="660"/>
          <w:cols w:num="2" w:equalWidth="0">
            <w:col w:w="2446" w:space="40"/>
            <w:col w:w="7964"/>
          </w:cols>
        </w:sectPr>
      </w:pPr>
    </w:p>
    <w:p>
      <w:pPr>
        <w:pStyle w:val="BodyText"/>
        <w:spacing w:before="10"/>
        <w:rPr>
          <w:sz w:val="18"/>
        </w:rPr>
      </w:pPr>
    </w:p>
    <w:p>
      <w:pPr>
        <w:pStyle w:val="ListParagraph"/>
        <w:numPr>
          <w:ilvl w:val="0"/>
          <w:numId w:val="26"/>
        </w:numPr>
        <w:tabs>
          <w:tab w:pos="1391" w:val="left" w:leader="none"/>
          <w:tab w:pos="2699" w:val="left" w:leader="none"/>
        </w:tabs>
        <w:spacing w:line="235" w:lineRule="auto" w:before="10" w:after="0"/>
        <w:ind w:left="2699" w:right="358" w:hanging="1628"/>
        <w:jc w:val="left"/>
        <w:rPr>
          <w:sz w:val="21"/>
        </w:rPr>
      </w:pPr>
      <w:r>
        <w:rPr>
          <w:rFonts w:ascii="微软雅黑" w:eastAsia="微软雅黑"/>
          <w:b/>
          <w:spacing w:val="-2"/>
          <w:sz w:val="21"/>
        </w:rPr>
        <w:t>早</w:t>
      </w:r>
      <w:r>
        <w:rPr>
          <w:rFonts w:ascii="微软雅黑" w:eastAsia="微软雅黑"/>
          <w:b/>
          <w:spacing w:val="-2"/>
          <w:sz w:val="21"/>
        </w:rPr>
        <w:t>期</w:t>
      </w:r>
      <w:r>
        <w:rPr>
          <w:rFonts w:ascii="微软雅黑" w:eastAsia="微软雅黑"/>
          <w:b/>
          <w:spacing w:val="-2"/>
          <w:sz w:val="21"/>
        </w:rPr>
        <w:t>象</w:t>
      </w:r>
      <w:r>
        <w:rPr>
          <w:rFonts w:ascii="微软雅黑" w:eastAsia="微软雅黑"/>
          <w:b/>
          <w:spacing w:val="-2"/>
          <w:sz w:val="21"/>
        </w:rPr>
        <w:t>皮</w:t>
      </w:r>
      <w:r>
        <w:rPr>
          <w:rFonts w:ascii="微软雅黑" w:eastAsia="微软雅黑"/>
          <w:b/>
          <w:spacing w:val="-2"/>
          <w:sz w:val="21"/>
        </w:rPr>
        <w:t>病</w:t>
      </w:r>
      <w:r>
        <w:rPr>
          <w:rFonts w:ascii="微软雅黑" w:eastAsia="微软雅黑"/>
          <w:b/>
          <w:sz w:val="21"/>
        </w:rPr>
        <w:tab/>
      </w:r>
      <w:r>
        <w:rPr>
          <w:spacing w:val="-2"/>
          <w:sz w:val="21"/>
        </w:rPr>
        <w:t>指</w:t>
      </w:r>
      <w:r>
        <w:rPr>
          <w:spacing w:val="-2"/>
          <w:sz w:val="21"/>
        </w:rPr>
        <w:t>因</w:t>
      </w:r>
      <w:r>
        <w:rPr>
          <w:spacing w:val="-2"/>
          <w:sz w:val="21"/>
        </w:rPr>
        <w:t>丝</w:t>
      </w:r>
      <w:r>
        <w:rPr>
          <w:spacing w:val="-2"/>
          <w:sz w:val="21"/>
        </w:rPr>
        <w:t>虫</w:t>
      </w:r>
      <w:r>
        <w:rPr>
          <w:spacing w:val="-2"/>
          <w:sz w:val="21"/>
        </w:rPr>
        <w:t>感</w:t>
      </w:r>
      <w:r>
        <w:rPr>
          <w:spacing w:val="-2"/>
          <w:sz w:val="21"/>
        </w:rPr>
        <w:t>染</w:t>
      </w:r>
      <w:r>
        <w:rPr>
          <w:spacing w:val="-2"/>
          <w:sz w:val="21"/>
        </w:rPr>
        <w:t>导</w:t>
      </w:r>
      <w:r>
        <w:rPr>
          <w:spacing w:val="-2"/>
          <w:sz w:val="21"/>
        </w:rPr>
        <w:t>致</w:t>
      </w:r>
      <w:r>
        <w:rPr>
          <w:spacing w:val="-2"/>
          <w:sz w:val="21"/>
        </w:rPr>
        <w:t>淋</w:t>
      </w:r>
      <w:r>
        <w:rPr>
          <w:spacing w:val="-2"/>
          <w:sz w:val="21"/>
        </w:rPr>
        <w:t>巴</w:t>
      </w:r>
      <w:r>
        <w:rPr>
          <w:spacing w:val="-2"/>
          <w:sz w:val="21"/>
        </w:rPr>
        <w:t>管</w:t>
      </w:r>
      <w:r>
        <w:rPr>
          <w:spacing w:val="-2"/>
          <w:sz w:val="21"/>
        </w:rPr>
        <w:t>阻</w:t>
      </w:r>
      <w:r>
        <w:rPr>
          <w:spacing w:val="-2"/>
          <w:sz w:val="21"/>
        </w:rPr>
        <w:t>塞</w:t>
      </w:r>
      <w:r>
        <w:rPr>
          <w:spacing w:val="-2"/>
          <w:sz w:val="21"/>
        </w:rPr>
        <w:t>而</w:t>
      </w:r>
      <w:r>
        <w:rPr>
          <w:spacing w:val="-2"/>
          <w:sz w:val="21"/>
        </w:rPr>
        <w:t>造</w:t>
      </w:r>
      <w:r>
        <w:rPr>
          <w:spacing w:val="-2"/>
          <w:sz w:val="21"/>
        </w:rPr>
        <w:t>成</w:t>
      </w:r>
      <w:r>
        <w:rPr>
          <w:spacing w:val="-2"/>
          <w:sz w:val="21"/>
        </w:rPr>
        <w:t>身</w:t>
      </w:r>
      <w:r>
        <w:rPr>
          <w:spacing w:val="-2"/>
          <w:sz w:val="21"/>
        </w:rPr>
        <w:t>体</w:t>
      </w:r>
      <w:r>
        <w:rPr>
          <w:spacing w:val="-2"/>
          <w:sz w:val="21"/>
        </w:rPr>
        <w:t>组</w:t>
      </w:r>
      <w:r>
        <w:rPr>
          <w:spacing w:val="-2"/>
          <w:sz w:val="21"/>
        </w:rPr>
        <w:t>织</w:t>
      </w:r>
      <w:r>
        <w:rPr>
          <w:spacing w:val="-2"/>
          <w:sz w:val="21"/>
        </w:rPr>
        <w:t>出</w:t>
      </w:r>
      <w:r>
        <w:rPr>
          <w:spacing w:val="-2"/>
          <w:sz w:val="21"/>
        </w:rPr>
        <w:t>现</w:t>
      </w:r>
      <w:r>
        <w:rPr>
          <w:spacing w:val="-2"/>
          <w:sz w:val="21"/>
        </w:rPr>
        <w:t>严</w:t>
      </w:r>
      <w:r>
        <w:rPr>
          <w:spacing w:val="-2"/>
          <w:sz w:val="21"/>
        </w:rPr>
        <w:t>重</w:t>
      </w:r>
      <w:r>
        <w:rPr>
          <w:spacing w:val="-2"/>
          <w:sz w:val="21"/>
        </w:rPr>
        <w:t>淋</w:t>
      </w:r>
      <w:r>
        <w:rPr>
          <w:spacing w:val="-2"/>
          <w:sz w:val="21"/>
        </w:rPr>
        <w:t>巴</w:t>
      </w:r>
      <w:r>
        <w:rPr>
          <w:spacing w:val="-2"/>
          <w:sz w:val="21"/>
        </w:rPr>
        <w:t>水</w:t>
      </w:r>
      <w:r>
        <w:rPr>
          <w:spacing w:val="-2"/>
          <w:sz w:val="21"/>
        </w:rPr>
        <w:t>肿</w:t>
      </w:r>
      <w:r>
        <w:rPr>
          <w:spacing w:val="-2"/>
          <w:sz w:val="21"/>
        </w:rPr>
        <w:t>。</w:t>
      </w:r>
      <w:r>
        <w:rPr>
          <w:spacing w:val="-2"/>
          <w:sz w:val="21"/>
        </w:rPr>
        <w:t>此</w:t>
      </w:r>
      <w:r>
        <w:rPr>
          <w:spacing w:val="-2"/>
          <w:sz w:val="21"/>
        </w:rPr>
        <w:t>病</w:t>
      </w:r>
      <w:r>
        <w:rPr>
          <w:spacing w:val="-2"/>
          <w:sz w:val="21"/>
        </w:rPr>
        <w:t>症</w:t>
      </w:r>
      <w:r>
        <w:rPr>
          <w:spacing w:val="-2"/>
          <w:sz w:val="21"/>
        </w:rPr>
        <w:t>须经</w:t>
      </w:r>
      <w:r>
        <w:rPr>
          <w:spacing w:val="-2"/>
          <w:sz w:val="21"/>
        </w:rPr>
        <w:t>本</w:t>
      </w:r>
      <w:r>
        <w:rPr>
          <w:spacing w:val="-2"/>
          <w:sz w:val="21"/>
        </w:rPr>
        <w:t>公</w:t>
      </w:r>
      <w:r>
        <w:rPr>
          <w:spacing w:val="-2"/>
          <w:sz w:val="21"/>
        </w:rPr>
        <w:t>司</w:t>
      </w:r>
      <w:r>
        <w:rPr>
          <w:spacing w:val="-2"/>
          <w:sz w:val="21"/>
        </w:rPr>
        <w:t>认可医院的专科医生</w:t>
      </w:r>
      <w:r>
        <w:rPr>
          <w:spacing w:val="-2"/>
          <w:sz w:val="21"/>
        </w:rPr>
        <w:t>根</w:t>
      </w:r>
      <w:r>
        <w:rPr>
          <w:spacing w:val="-2"/>
          <w:sz w:val="21"/>
        </w:rPr>
        <w:t>据</w:t>
      </w:r>
      <w:r>
        <w:rPr>
          <w:spacing w:val="-2"/>
          <w:sz w:val="21"/>
        </w:rPr>
        <w:t>临床表现和微丝蚴的</w:t>
      </w:r>
      <w:r>
        <w:rPr>
          <w:spacing w:val="-2"/>
          <w:sz w:val="21"/>
        </w:rPr>
        <w:t>化</w:t>
      </w:r>
      <w:r>
        <w:rPr>
          <w:spacing w:val="-2"/>
          <w:sz w:val="21"/>
        </w:rPr>
        <w:t>验</w:t>
      </w:r>
      <w:r>
        <w:rPr>
          <w:spacing w:val="-2"/>
          <w:sz w:val="21"/>
        </w:rPr>
        <w:t>结果确</w:t>
      </w:r>
      <w:r>
        <w:rPr>
          <w:spacing w:val="-2"/>
          <w:sz w:val="21"/>
        </w:rPr>
        <w:t>诊</w:t>
      </w:r>
      <w:r>
        <w:rPr>
          <w:spacing w:val="-2"/>
          <w:sz w:val="21"/>
        </w:rPr>
        <w:t>。</w:t>
      </w:r>
    </w:p>
    <w:p>
      <w:pPr>
        <w:spacing w:line="341" w:lineRule="exact" w:before="0"/>
        <w:ind w:left="2699" w:right="0" w:firstLine="0"/>
        <w:jc w:val="left"/>
        <w:rPr>
          <w:rFonts w:ascii="微软雅黑" w:eastAsia="微软雅黑"/>
          <w:b/>
          <w:sz w:val="21"/>
        </w:rPr>
      </w:pPr>
      <w:r>
        <w:rPr>
          <w:rFonts w:ascii="微软雅黑" w:eastAsia="微软雅黑"/>
          <w:b/>
          <w:spacing w:val="-3"/>
          <w:sz w:val="21"/>
        </w:rPr>
        <w:t>急性淋巴管炎或其他原因引起的淋巴水肿并不在本保障范围內。</w:t>
      </w:r>
    </w:p>
    <w:p>
      <w:pPr>
        <w:pStyle w:val="BodyText"/>
        <w:spacing w:before="9"/>
        <w:rPr>
          <w:rFonts w:ascii="微软雅黑"/>
          <w:b/>
          <w:sz w:val="9"/>
        </w:rPr>
      </w:pPr>
    </w:p>
    <w:p>
      <w:pPr>
        <w:spacing w:after="0"/>
        <w:rPr>
          <w:rFonts w:ascii="微软雅黑"/>
          <w:sz w:val="9"/>
        </w:rPr>
        <w:sectPr>
          <w:type w:val="continuous"/>
          <w:pgSz w:w="11910" w:h="16840"/>
          <w:pgMar w:header="0" w:footer="458" w:top="620" w:bottom="280" w:left="800" w:right="660"/>
        </w:sectPr>
      </w:pPr>
    </w:p>
    <w:p>
      <w:pPr>
        <w:pStyle w:val="ListParagraph"/>
        <w:numPr>
          <w:ilvl w:val="0"/>
          <w:numId w:val="26"/>
        </w:numPr>
        <w:tabs>
          <w:tab w:pos="1531" w:val="left" w:leader="none"/>
        </w:tabs>
        <w:spacing w:line="194" w:lineRule="auto" w:before="57" w:after="0"/>
        <w:ind w:left="1072" w:right="0" w:firstLine="0"/>
        <w:jc w:val="left"/>
        <w:rPr>
          <w:rFonts w:ascii="微软雅黑" w:eastAsia="微软雅黑"/>
          <w:b/>
          <w:sz w:val="21"/>
        </w:rPr>
      </w:pPr>
      <w:r>
        <w:rPr>
          <w:rFonts w:ascii="微软雅黑" w:eastAsia="微软雅黑"/>
          <w:b/>
          <w:spacing w:val="24"/>
          <w:sz w:val="21"/>
        </w:rPr>
        <w:t>永久性心</w:t>
      </w:r>
      <w:r>
        <w:rPr>
          <w:rFonts w:ascii="微软雅黑" w:eastAsia="微软雅黑"/>
          <w:b/>
          <w:spacing w:val="20"/>
          <w:sz w:val="21"/>
        </w:rPr>
        <w:t>脏起搏器或永</w:t>
      </w:r>
    </w:p>
    <w:p>
      <w:pPr>
        <w:pStyle w:val="BodyText"/>
        <w:spacing w:line="278" w:lineRule="auto" w:before="71"/>
        <w:ind w:left="173" w:right="358"/>
      </w:pPr>
      <w:r>
        <w:rPr/>
        <w:br w:type="column"/>
      </w:r>
      <w:r>
        <w:rPr>
          <w:spacing w:val="-2"/>
        </w:rPr>
        <w:t>因严重心律失常而确实已行植入永久性心脏起搏器或永久性除颤器的手术。理赔</w:t>
      </w:r>
      <w:r>
        <w:rPr>
          <w:spacing w:val="-1"/>
        </w:rPr>
        <w:t>时须提供完整病历资料及手术记录以证实此严重心律失常并不能以其他方法治</w:t>
      </w:r>
    </w:p>
    <w:p>
      <w:pPr>
        <w:spacing w:after="0" w:line="278" w:lineRule="auto"/>
        <w:sectPr>
          <w:type w:val="continuous"/>
          <w:pgSz w:w="11910" w:h="16840"/>
          <w:pgMar w:header="0" w:footer="458" w:top="620" w:bottom="280" w:left="800" w:right="660"/>
          <w:cols w:num="2" w:equalWidth="0">
            <w:col w:w="2487" w:space="40"/>
            <w:col w:w="7923"/>
          </w:cols>
        </w:sectPr>
      </w:pPr>
    </w:p>
    <w:p>
      <w:pPr>
        <w:spacing w:line="194" w:lineRule="auto" w:before="28"/>
        <w:ind w:left="1072" w:right="0" w:firstLine="0"/>
        <w:jc w:val="left"/>
        <w:rPr>
          <w:rFonts w:ascii="微软雅黑" w:eastAsia="微软雅黑"/>
          <w:b/>
          <w:sz w:val="21"/>
        </w:rPr>
      </w:pPr>
      <w:r>
        <w:rPr>
          <w:rFonts w:ascii="微软雅黑" w:eastAsia="微软雅黑"/>
          <w:b/>
          <w:spacing w:val="20"/>
          <w:sz w:val="21"/>
        </w:rPr>
        <w:t>久性除颤器植</w:t>
      </w:r>
      <w:r>
        <w:rPr>
          <w:rFonts w:ascii="微软雅黑" w:eastAsia="微软雅黑"/>
          <w:b/>
          <w:spacing w:val="-10"/>
          <w:sz w:val="21"/>
        </w:rPr>
        <w:t>入</w:t>
      </w:r>
    </w:p>
    <w:p>
      <w:pPr>
        <w:spacing w:before="43"/>
        <w:ind w:left="174" w:right="0" w:firstLine="0"/>
        <w:jc w:val="left"/>
        <w:rPr>
          <w:sz w:val="21"/>
        </w:rPr>
      </w:pPr>
      <w:r>
        <w:rPr/>
        <w:br w:type="column"/>
      </w:r>
      <w:r>
        <w:rPr>
          <w:spacing w:val="-5"/>
          <w:sz w:val="21"/>
        </w:rPr>
        <w:t>疗。</w:t>
      </w:r>
    </w:p>
    <w:p>
      <w:pPr>
        <w:pStyle w:val="BodyText"/>
        <w:spacing w:line="278" w:lineRule="auto"/>
        <w:ind w:left="174" w:right="359"/>
      </w:pPr>
      <w:r>
        <w:rPr>
          <w:spacing w:val="-2"/>
        </w:rPr>
        <w:t>诊断及治疗均须在本公司认可的医疗机构内由专科医生认为是医疗必须的情况下</w:t>
      </w:r>
      <w:r>
        <w:rPr>
          <w:spacing w:val="-4"/>
        </w:rPr>
        <w:t>进行。</w:t>
      </w:r>
    </w:p>
    <w:p>
      <w:pPr>
        <w:spacing w:after="0" w:line="278" w:lineRule="auto"/>
        <w:sectPr>
          <w:pgSz w:w="11910" w:h="16840"/>
          <w:pgMar w:header="0" w:footer="458" w:top="1260" w:bottom="640" w:left="800" w:right="660"/>
          <w:cols w:num="2" w:equalWidth="0">
            <w:col w:w="2486" w:space="40"/>
            <w:col w:w="792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26"/>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早期原发性</w:t>
      </w:r>
      <w:r>
        <w:rPr>
          <w:rFonts w:ascii="微软雅黑" w:eastAsia="微软雅黑"/>
          <w:b/>
          <w:spacing w:val="-4"/>
          <w:sz w:val="21"/>
        </w:rPr>
        <w:t>心肌病</w:t>
      </w:r>
    </w:p>
    <w:p>
      <w:pPr>
        <w:pStyle w:val="BodyText"/>
        <w:spacing w:before="72"/>
        <w:ind w:left="174"/>
      </w:pPr>
      <w:r>
        <w:rPr/>
        <w:br w:type="column"/>
      </w:r>
      <w:r>
        <w:rPr>
          <w:spacing w:val="-3"/>
        </w:rPr>
        <w:t>被诊断为原发性心肌病，并符合下列所有条件：</w:t>
      </w:r>
    </w:p>
    <w:p>
      <w:pPr>
        <w:pStyle w:val="ListParagraph"/>
        <w:numPr>
          <w:ilvl w:val="0"/>
          <w:numId w:val="36"/>
        </w:numPr>
        <w:tabs>
          <w:tab w:pos="705" w:val="left" w:leader="none"/>
        </w:tabs>
        <w:spacing w:line="278" w:lineRule="auto" w:before="43" w:after="0"/>
        <w:ind w:left="174" w:right="353" w:firstLine="0"/>
        <w:jc w:val="both"/>
        <w:rPr>
          <w:sz w:val="21"/>
        </w:rPr>
      </w:pPr>
      <w:r>
        <w:rPr>
          <w:spacing w:val="-7"/>
          <w:w w:val="100"/>
          <w:sz w:val="21"/>
        </w:rPr>
        <w:t>导致心室功能受损，其受损程度达到美国纽约心脏病学会心脏功能分级的</w:t>
      </w:r>
      <w:r>
        <w:rPr>
          <w:spacing w:val="-6"/>
          <w:w w:val="100"/>
          <w:sz w:val="21"/>
        </w:rPr>
        <w:t>第 Ⅲ级，即：体力活动明显受限，休息时无症状，轻于日常的活动可引起充血</w:t>
      </w:r>
      <w:r>
        <w:rPr>
          <w:spacing w:val="-2"/>
          <w:w w:val="100"/>
          <w:sz w:val="21"/>
        </w:rPr>
        <w:t>性心力衰竭的症状；</w:t>
      </w:r>
    </w:p>
    <w:p>
      <w:pPr>
        <w:pStyle w:val="ListParagraph"/>
        <w:numPr>
          <w:ilvl w:val="0"/>
          <w:numId w:val="36"/>
        </w:numPr>
        <w:tabs>
          <w:tab w:pos="705" w:val="left" w:leader="none"/>
        </w:tabs>
        <w:spacing w:line="269" w:lineRule="exact" w:before="0" w:after="0"/>
        <w:ind w:left="704" w:right="0" w:hanging="531"/>
        <w:jc w:val="both"/>
        <w:rPr>
          <w:sz w:val="21"/>
        </w:rPr>
      </w:pPr>
      <w:r>
        <w:rPr>
          <w:spacing w:val="-9"/>
          <w:sz w:val="21"/>
        </w:rPr>
        <w:t>左室射血分数 </w:t>
      </w:r>
      <w:r>
        <w:rPr>
          <w:spacing w:val="-2"/>
          <w:sz w:val="21"/>
        </w:rPr>
        <w:t>LVEF＜35%；</w:t>
      </w:r>
    </w:p>
    <w:p>
      <w:pPr>
        <w:pStyle w:val="ListParagraph"/>
        <w:numPr>
          <w:ilvl w:val="0"/>
          <w:numId w:val="36"/>
        </w:numPr>
        <w:tabs>
          <w:tab w:pos="705" w:val="left" w:leader="none"/>
        </w:tabs>
        <w:spacing w:line="278" w:lineRule="auto" w:before="43" w:after="0"/>
        <w:ind w:left="174" w:right="353" w:firstLine="0"/>
        <w:jc w:val="left"/>
        <w:rPr>
          <w:sz w:val="21"/>
        </w:rPr>
      </w:pPr>
      <w:r>
        <w:rPr>
          <w:spacing w:val="-5"/>
          <w:w w:val="100"/>
          <w:sz w:val="21"/>
        </w:rPr>
        <w:t>原发性心肌病的诊断必须由本公司认可医院的心脏专科医生确认，并提供</w:t>
      </w:r>
      <w:r>
        <w:rPr>
          <w:spacing w:val="-4"/>
          <w:w w:val="100"/>
          <w:sz w:val="21"/>
        </w:rPr>
        <w:t>心脏超声检查结果报告。</w:t>
      </w:r>
    </w:p>
    <w:p>
      <w:pPr>
        <w:spacing w:line="282" w:lineRule="exact" w:before="0"/>
        <w:ind w:left="174" w:right="0" w:firstLine="0"/>
        <w:jc w:val="left"/>
        <w:rPr>
          <w:rFonts w:ascii="微软雅黑" w:eastAsia="微软雅黑"/>
          <w:b/>
          <w:sz w:val="21"/>
        </w:rPr>
      </w:pPr>
      <w:r>
        <w:rPr>
          <w:rFonts w:ascii="微软雅黑" w:eastAsia="微软雅黑"/>
          <w:b/>
          <w:spacing w:val="-3"/>
          <w:sz w:val="21"/>
        </w:rPr>
        <w:t>本保障范围内的心肌病包括扩张型心肌病、肥厚型心肌病及限制型心肌病，继发</w:t>
      </w:r>
    </w:p>
    <w:p>
      <w:pPr>
        <w:spacing w:line="350" w:lineRule="exact" w:before="0"/>
        <w:ind w:left="174" w:right="0" w:firstLine="0"/>
        <w:jc w:val="left"/>
        <w:rPr>
          <w:rFonts w:ascii="微软雅黑" w:eastAsia="微软雅黑"/>
          <w:b/>
          <w:sz w:val="21"/>
        </w:rPr>
      </w:pPr>
      <w:r>
        <w:rPr>
          <w:rFonts w:ascii="微软雅黑" w:eastAsia="微软雅黑"/>
          <w:b/>
          <w:spacing w:val="-3"/>
          <w:sz w:val="21"/>
        </w:rPr>
        <w:t>于酒精滥用性的心肌病不在此保障范围之内。</w:t>
      </w:r>
    </w:p>
    <w:p>
      <w:pPr>
        <w:spacing w:after="0" w:line="350"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2"/>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26"/>
        </w:numPr>
        <w:tabs>
          <w:tab w:pos="1399" w:val="left" w:leader="none"/>
        </w:tabs>
        <w:spacing w:line="194" w:lineRule="auto" w:before="57" w:after="0"/>
        <w:ind w:left="1072" w:right="0" w:firstLine="0"/>
        <w:jc w:val="left"/>
        <w:rPr>
          <w:rFonts w:ascii="微软雅黑" w:hAnsi="微软雅黑" w:eastAsia="微软雅黑"/>
          <w:b/>
          <w:sz w:val="21"/>
        </w:rPr>
      </w:pPr>
      <w:r>
        <w:rPr>
          <w:rFonts w:ascii="微软雅黑" w:hAnsi="微软雅黑" w:eastAsia="微软雅黑"/>
          <w:b/>
          <w:spacing w:val="-2"/>
          <w:sz w:val="21"/>
        </w:rPr>
        <w:t>较小面积Ⅲ</w:t>
      </w:r>
      <w:r>
        <w:rPr>
          <w:rFonts w:ascii="微软雅黑" w:hAnsi="微软雅黑" w:eastAsia="微软雅黑"/>
          <w:b/>
          <w:spacing w:val="-4"/>
          <w:sz w:val="21"/>
        </w:rPr>
        <w:t>度烧伤</w:t>
      </w:r>
    </w:p>
    <w:p>
      <w:pPr>
        <w:pStyle w:val="BodyText"/>
        <w:spacing w:line="278" w:lineRule="auto" w:before="71"/>
        <w:ind w:left="174" w:right="353"/>
      </w:pPr>
      <w:r>
        <w:rPr/>
        <w:br w:type="column"/>
      </w:r>
      <w:r>
        <w:rPr>
          <w:spacing w:val="-4"/>
        </w:rPr>
        <w:t>指烧伤程度为Ⅲ度，且Ⅲ度烧伤面积达到全身体表面积的 </w:t>
      </w:r>
      <w:r>
        <w:rPr>
          <w:spacing w:val="-2"/>
        </w:rPr>
        <w:t>10</w:t>
      </w:r>
      <w:r>
        <w:rPr>
          <w:spacing w:val="-19"/>
        </w:rPr>
        <w:t>%或 </w:t>
      </w:r>
      <w:r>
        <w:rPr>
          <w:spacing w:val="-2"/>
        </w:rPr>
        <w:t>10%以上，体表面</w:t>
      </w:r>
      <w:r>
        <w:rPr>
          <w:spacing w:val="-2"/>
        </w:rPr>
        <w:t>积根据《中国新九分法》计算。</w:t>
      </w:r>
    </w:p>
    <w:p>
      <w:pPr>
        <w:spacing w:after="0" w:line="278" w:lineRule="auto"/>
        <w:sectPr>
          <w:type w:val="continuous"/>
          <w:pgSz w:w="11910" w:h="16840"/>
          <w:pgMar w:header="0" w:footer="458" w:top="620" w:bottom="280" w:left="800" w:right="660"/>
          <w:cols w:num="2" w:equalWidth="0">
            <w:col w:w="2486" w:space="40"/>
            <w:col w:w="7924"/>
          </w:cols>
        </w:sectPr>
      </w:pPr>
    </w:p>
    <w:p>
      <w:pPr>
        <w:pStyle w:val="BodyText"/>
        <w:spacing w:before="10"/>
        <w:rPr>
          <w:sz w:val="18"/>
        </w:rPr>
      </w:pPr>
    </w:p>
    <w:p>
      <w:pPr>
        <w:pStyle w:val="ListParagraph"/>
        <w:numPr>
          <w:ilvl w:val="0"/>
          <w:numId w:val="26"/>
        </w:numPr>
        <w:tabs>
          <w:tab w:pos="1391" w:val="left" w:leader="none"/>
          <w:tab w:pos="2699" w:val="left" w:leader="none"/>
        </w:tabs>
        <w:spacing w:line="235" w:lineRule="auto" w:before="10" w:after="0"/>
        <w:ind w:left="2699" w:right="359" w:hanging="1628"/>
        <w:jc w:val="left"/>
        <w:rPr>
          <w:sz w:val="21"/>
        </w:rPr>
      </w:pPr>
      <w:r>
        <w:rPr>
          <w:rFonts w:ascii="微软雅黑" w:eastAsia="微软雅黑"/>
          <w:b/>
          <w:spacing w:val="-4"/>
          <w:sz w:val="21"/>
        </w:rPr>
        <w:t>肝</w:t>
      </w:r>
      <w:r>
        <w:rPr>
          <w:rFonts w:ascii="微软雅黑" w:eastAsia="微软雅黑"/>
          <w:b/>
          <w:spacing w:val="-4"/>
          <w:sz w:val="21"/>
        </w:rPr>
        <w:t>脏</w:t>
      </w:r>
      <w:r>
        <w:rPr>
          <w:rFonts w:ascii="微软雅黑" w:eastAsia="微软雅黑"/>
          <w:b/>
          <w:spacing w:val="-4"/>
          <w:sz w:val="21"/>
        </w:rPr>
        <w:t>切</w:t>
      </w:r>
      <w:r>
        <w:rPr>
          <w:rFonts w:ascii="微软雅黑" w:eastAsia="微软雅黑"/>
          <w:b/>
          <w:spacing w:val="-4"/>
          <w:sz w:val="21"/>
        </w:rPr>
        <w:t>除</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事</w:t>
      </w:r>
      <w:r>
        <w:rPr>
          <w:spacing w:val="-2"/>
          <w:sz w:val="21"/>
        </w:rPr>
        <w:t>故</w:t>
      </w:r>
      <w:r>
        <w:rPr>
          <w:spacing w:val="-2"/>
          <w:sz w:val="21"/>
        </w:rPr>
        <w:t>实</w:t>
      </w:r>
      <w:r>
        <w:rPr>
          <w:spacing w:val="-2"/>
          <w:sz w:val="21"/>
        </w:rPr>
        <w:t>际</w:t>
      </w:r>
      <w:r>
        <w:rPr>
          <w:spacing w:val="-2"/>
          <w:sz w:val="21"/>
        </w:rPr>
        <w:t>实</w:t>
      </w:r>
      <w:r>
        <w:rPr>
          <w:spacing w:val="-2"/>
          <w:sz w:val="21"/>
        </w:rPr>
        <w:t>施</w:t>
      </w:r>
      <w:r>
        <w:rPr>
          <w:spacing w:val="-2"/>
          <w:sz w:val="21"/>
        </w:rPr>
        <w:t>的</w:t>
      </w:r>
      <w:r>
        <w:rPr>
          <w:spacing w:val="-2"/>
          <w:sz w:val="21"/>
        </w:rPr>
        <w:t>肝</w:t>
      </w:r>
      <w:r>
        <w:rPr>
          <w:spacing w:val="-2"/>
          <w:sz w:val="21"/>
        </w:rPr>
        <w:t>脏</w:t>
      </w:r>
      <w:r>
        <w:rPr>
          <w:spacing w:val="-2"/>
          <w:sz w:val="21"/>
        </w:rPr>
        <w:t>部</w:t>
      </w:r>
      <w:r>
        <w:rPr>
          <w:spacing w:val="-2"/>
          <w:sz w:val="21"/>
        </w:rPr>
        <w:t>分</w:t>
      </w:r>
      <w:r>
        <w:rPr>
          <w:spacing w:val="-2"/>
          <w:sz w:val="21"/>
        </w:rPr>
        <w:t>切</w:t>
      </w:r>
      <w:r>
        <w:rPr>
          <w:spacing w:val="-2"/>
          <w:sz w:val="21"/>
        </w:rPr>
        <w:t>除</w:t>
      </w:r>
      <w:r>
        <w:rPr>
          <w:spacing w:val="-2"/>
          <w:sz w:val="21"/>
        </w:rPr>
        <w:t>术</w:t>
      </w:r>
      <w:r>
        <w:rPr>
          <w:spacing w:val="-2"/>
          <w:sz w:val="21"/>
        </w:rPr>
        <w:t>，</w:t>
      </w:r>
      <w:r>
        <w:rPr>
          <w:spacing w:val="-2"/>
          <w:sz w:val="21"/>
        </w:rPr>
        <w:t>手</w:t>
      </w:r>
      <w:r>
        <w:rPr>
          <w:spacing w:val="-2"/>
          <w:sz w:val="21"/>
        </w:rPr>
        <w:t>术</w:t>
      </w:r>
      <w:r>
        <w:rPr>
          <w:spacing w:val="-2"/>
          <w:sz w:val="21"/>
        </w:rPr>
        <w:t>须</w:t>
      </w:r>
      <w:r>
        <w:rPr>
          <w:spacing w:val="-2"/>
          <w:sz w:val="21"/>
        </w:rPr>
        <w:t>有</w:t>
      </w:r>
      <w:r>
        <w:rPr>
          <w:spacing w:val="-2"/>
          <w:sz w:val="21"/>
        </w:rPr>
        <w:t>至</w:t>
      </w:r>
      <w:r>
        <w:rPr>
          <w:spacing w:val="-2"/>
          <w:sz w:val="21"/>
        </w:rPr>
        <w:t>少</w:t>
      </w:r>
      <w:r>
        <w:rPr>
          <w:spacing w:val="-2"/>
          <w:sz w:val="21"/>
        </w:rPr>
        <w:t>一</w:t>
      </w:r>
      <w:r>
        <w:rPr>
          <w:spacing w:val="-2"/>
          <w:sz w:val="21"/>
        </w:rPr>
        <w:t>个</w:t>
      </w:r>
      <w:r>
        <w:rPr>
          <w:spacing w:val="-2"/>
          <w:sz w:val="21"/>
        </w:rPr>
        <w:t>完</w:t>
      </w:r>
      <w:r>
        <w:rPr>
          <w:spacing w:val="-2"/>
          <w:sz w:val="21"/>
        </w:rPr>
        <w:t>整</w:t>
      </w:r>
      <w:r>
        <w:rPr>
          <w:spacing w:val="-2"/>
          <w:sz w:val="21"/>
        </w:rPr>
        <w:t>的肝</w:t>
      </w:r>
      <w:r>
        <w:rPr>
          <w:spacing w:val="-2"/>
          <w:sz w:val="21"/>
        </w:rPr>
        <w:t>叶</w:t>
      </w:r>
      <w:r>
        <w:rPr>
          <w:spacing w:val="-4"/>
          <w:sz w:val="21"/>
        </w:rPr>
        <w:t>切</w:t>
      </w:r>
      <w:r>
        <w:rPr>
          <w:spacing w:val="-4"/>
          <w:sz w:val="21"/>
        </w:rPr>
        <w:t>除</w:t>
      </w:r>
      <w:r>
        <w:rPr>
          <w:spacing w:val="-4"/>
          <w:sz w:val="21"/>
        </w:rPr>
        <w:t>。</w:t>
      </w:r>
    </w:p>
    <w:p>
      <w:pPr>
        <w:spacing w:line="194" w:lineRule="auto" w:before="28"/>
        <w:ind w:left="2699" w:right="359" w:firstLine="0"/>
        <w:jc w:val="left"/>
        <w:rPr>
          <w:rFonts w:ascii="微软雅黑" w:eastAsia="微软雅黑"/>
          <w:b/>
          <w:sz w:val="21"/>
        </w:rPr>
      </w:pPr>
      <w:r>
        <w:rPr>
          <w:rFonts w:ascii="微软雅黑" w:eastAsia="微软雅黑"/>
          <w:b/>
          <w:spacing w:val="-2"/>
          <w:sz w:val="21"/>
        </w:rPr>
        <w:t>因药物滥用、酗酒导致的肝脏损伤不在本保障范围内。肝脏捐献引起的手术不在</w:t>
      </w:r>
      <w:r>
        <w:rPr>
          <w:rFonts w:ascii="微软雅黑" w:eastAsia="微软雅黑"/>
          <w:b/>
          <w:spacing w:val="-2"/>
          <w:sz w:val="21"/>
        </w:rPr>
        <w:t>本保障范围内。</w:t>
      </w:r>
    </w:p>
    <w:p>
      <w:pPr>
        <w:pStyle w:val="BodyText"/>
        <w:spacing w:before="12"/>
        <w:rPr>
          <w:rFonts w:ascii="微软雅黑"/>
          <w:b/>
          <w:sz w:val="13"/>
        </w:rPr>
      </w:pPr>
    </w:p>
    <w:p>
      <w:pPr>
        <w:spacing w:after="0"/>
        <w:rPr>
          <w:rFonts w:ascii="微软雅黑"/>
          <w:sz w:val="13"/>
        </w:rPr>
        <w:sectPr>
          <w:type w:val="continuous"/>
          <w:pgSz w:w="11910" w:h="16840"/>
          <w:pgMar w:header="0" w:footer="458" w:top="620" w:bottom="280" w:left="800" w:right="660"/>
        </w:sectPr>
      </w:pPr>
    </w:p>
    <w:p>
      <w:pPr>
        <w:pStyle w:val="ListParagraph"/>
        <w:numPr>
          <w:ilvl w:val="0"/>
          <w:numId w:val="26"/>
        </w:numPr>
        <w:tabs>
          <w:tab w:pos="1391"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单侧肾脏切</w:t>
      </w:r>
      <w:r>
        <w:rPr>
          <w:rFonts w:ascii="微软雅黑" w:eastAsia="微软雅黑"/>
          <w:b/>
          <w:spacing w:val="-10"/>
          <w:sz w:val="21"/>
        </w:rPr>
        <w:t>除</w:t>
      </w:r>
    </w:p>
    <w:p>
      <w:pPr>
        <w:pStyle w:val="BodyText"/>
        <w:spacing w:line="257" w:lineRule="exact" w:before="72"/>
        <w:ind w:left="214"/>
      </w:pPr>
      <w:r>
        <w:rPr/>
        <w:br w:type="column"/>
      </w:r>
      <w:r>
        <w:rPr>
          <w:spacing w:val="-3"/>
        </w:rPr>
        <w:t>指因疾病或意外事故实际实施的一侧肾脏切除术。</w:t>
      </w:r>
    </w:p>
    <w:p>
      <w:pPr>
        <w:spacing w:line="375" w:lineRule="exact" w:before="0"/>
        <w:ind w:left="214" w:right="0" w:firstLine="0"/>
        <w:jc w:val="left"/>
        <w:rPr>
          <w:rFonts w:ascii="微软雅黑" w:eastAsia="微软雅黑"/>
          <w:b/>
          <w:sz w:val="21"/>
        </w:rPr>
      </w:pPr>
      <w:r>
        <w:rPr>
          <w:rFonts w:ascii="微软雅黑" w:eastAsia="微软雅黑"/>
          <w:b/>
          <w:spacing w:val="-3"/>
          <w:sz w:val="21"/>
        </w:rPr>
        <w:t>肾脏部分切除手术和肾脏捐献引起的手术不在本保障范围内。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46" w:space="40"/>
            <w:col w:w="796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26"/>
        </w:numPr>
        <w:tabs>
          <w:tab w:pos="1391" w:val="left" w:leader="none"/>
        </w:tabs>
        <w:spacing w:line="194" w:lineRule="auto" w:before="58" w:after="0"/>
        <w:ind w:left="1072" w:right="0" w:firstLine="0"/>
        <w:jc w:val="left"/>
        <w:rPr>
          <w:rFonts w:ascii="微软雅黑" w:eastAsia="微软雅黑"/>
          <w:b/>
          <w:sz w:val="21"/>
        </w:rPr>
      </w:pPr>
      <w:r>
        <w:rPr>
          <w:rFonts w:ascii="微软雅黑" w:eastAsia="微软雅黑"/>
          <w:b/>
          <w:spacing w:val="-2"/>
          <w:sz w:val="21"/>
        </w:rPr>
        <w:t>双侧睾丸切</w:t>
      </w:r>
      <w:r>
        <w:rPr>
          <w:rFonts w:ascii="微软雅黑" w:eastAsia="微软雅黑"/>
          <w:b/>
          <w:spacing w:val="-6"/>
          <w:sz w:val="21"/>
        </w:rPr>
        <w:t>除术</w:t>
      </w:r>
    </w:p>
    <w:p>
      <w:pPr>
        <w:pStyle w:val="BodyText"/>
        <w:spacing w:line="257" w:lineRule="exact" w:before="72"/>
        <w:ind w:left="214"/>
      </w:pPr>
      <w:r>
        <w:rPr/>
        <w:br w:type="column"/>
      </w:r>
      <w:r>
        <w:rPr>
          <w:spacing w:val="-3"/>
        </w:rPr>
        <w:t>指为治疗疾病实际接受了经腹部切开或腹腔镜进行的双侧睾丸完全切除手术。</w:t>
      </w:r>
    </w:p>
    <w:p>
      <w:pPr>
        <w:spacing w:line="337" w:lineRule="exact" w:before="0"/>
        <w:ind w:left="214" w:right="0" w:firstLine="0"/>
        <w:jc w:val="left"/>
        <w:rPr>
          <w:rFonts w:ascii="微软雅黑" w:eastAsia="微软雅黑"/>
          <w:b/>
          <w:sz w:val="21"/>
        </w:rPr>
      </w:pPr>
      <w:r>
        <w:rPr>
          <w:rFonts w:ascii="微软雅黑" w:eastAsia="微软雅黑"/>
          <w:b/>
          <w:spacing w:val="-3"/>
          <w:sz w:val="21"/>
        </w:rPr>
        <w:t>下列情况不在保障范围内：</w:t>
      </w:r>
    </w:p>
    <w:p>
      <w:pPr>
        <w:pStyle w:val="ListParagraph"/>
        <w:numPr>
          <w:ilvl w:val="0"/>
          <w:numId w:val="37"/>
        </w:numPr>
        <w:tabs>
          <w:tab w:pos="744" w:val="left" w:leader="none"/>
        </w:tabs>
        <w:spacing w:line="312" w:lineRule="exact" w:before="0" w:after="0"/>
        <w:ind w:left="744" w:right="0" w:hanging="530"/>
        <w:jc w:val="left"/>
        <w:rPr>
          <w:rFonts w:ascii="微软雅黑" w:eastAsia="微软雅黑"/>
          <w:b/>
          <w:sz w:val="21"/>
        </w:rPr>
      </w:pPr>
      <w:r>
        <w:rPr>
          <w:rFonts w:ascii="微软雅黑" w:eastAsia="微软雅黑"/>
          <w:b/>
          <w:spacing w:val="-2"/>
          <w:sz w:val="21"/>
        </w:rPr>
        <w:t>部分睾丸切除；</w:t>
      </w:r>
    </w:p>
    <w:p>
      <w:pPr>
        <w:pStyle w:val="ListParagraph"/>
        <w:numPr>
          <w:ilvl w:val="0"/>
          <w:numId w:val="37"/>
        </w:numPr>
        <w:tabs>
          <w:tab w:pos="744" w:val="left" w:leader="none"/>
        </w:tabs>
        <w:spacing w:line="312" w:lineRule="exact" w:before="0" w:after="0"/>
        <w:ind w:left="744" w:right="0" w:hanging="530"/>
        <w:jc w:val="left"/>
        <w:rPr>
          <w:rFonts w:ascii="微软雅黑" w:eastAsia="微软雅黑"/>
          <w:b/>
          <w:sz w:val="21"/>
        </w:rPr>
      </w:pPr>
      <w:r>
        <w:rPr>
          <w:rFonts w:ascii="微软雅黑" w:eastAsia="微软雅黑"/>
          <w:b/>
          <w:spacing w:val="-3"/>
          <w:sz w:val="21"/>
        </w:rPr>
        <w:t>因恶性肿瘤进行的睾丸切除术；</w:t>
      </w:r>
    </w:p>
    <w:p>
      <w:pPr>
        <w:pStyle w:val="ListParagraph"/>
        <w:numPr>
          <w:ilvl w:val="0"/>
          <w:numId w:val="37"/>
        </w:numPr>
        <w:tabs>
          <w:tab w:pos="744" w:val="left" w:leader="none"/>
        </w:tabs>
        <w:spacing w:line="312" w:lineRule="exact" w:before="0" w:after="0"/>
        <w:ind w:left="744" w:right="0" w:hanging="530"/>
        <w:jc w:val="left"/>
        <w:rPr>
          <w:rFonts w:ascii="微软雅黑" w:eastAsia="微软雅黑"/>
          <w:b/>
          <w:sz w:val="21"/>
        </w:rPr>
      </w:pPr>
      <w:r>
        <w:rPr>
          <w:rFonts w:ascii="微软雅黑" w:eastAsia="微软雅黑"/>
          <w:b/>
          <w:spacing w:val="-2"/>
          <w:sz w:val="21"/>
        </w:rPr>
        <w:t>预防性睾丸切除。</w:t>
      </w:r>
    </w:p>
    <w:p>
      <w:pPr>
        <w:pStyle w:val="ListParagraph"/>
        <w:numPr>
          <w:ilvl w:val="0"/>
          <w:numId w:val="37"/>
        </w:numPr>
        <w:tabs>
          <w:tab w:pos="744" w:val="left" w:leader="none"/>
        </w:tabs>
        <w:spacing w:line="350" w:lineRule="exact" w:before="0" w:after="0"/>
        <w:ind w:left="744" w:right="0" w:hanging="530"/>
        <w:jc w:val="left"/>
        <w:rPr>
          <w:rFonts w:ascii="微软雅黑" w:eastAsia="微软雅黑"/>
          <w:b/>
          <w:sz w:val="21"/>
        </w:rPr>
      </w:pPr>
      <w:r>
        <w:rPr>
          <w:rFonts w:ascii="微软雅黑" w:eastAsia="微软雅黑"/>
          <w:b/>
          <w:spacing w:val="-3"/>
          <w:sz w:val="21"/>
        </w:rPr>
        <w:t>变性手术</w:t>
      </w:r>
    </w:p>
    <w:p>
      <w:pPr>
        <w:spacing w:after="0" w:line="350" w:lineRule="exact"/>
        <w:jc w:val="left"/>
        <w:rPr>
          <w:rFonts w:ascii="微软雅黑" w:eastAsia="微软雅黑"/>
          <w:sz w:val="21"/>
        </w:rPr>
        <w:sectPr>
          <w:type w:val="continuous"/>
          <w:pgSz w:w="11910" w:h="16840"/>
          <w:pgMar w:header="0" w:footer="458" w:top="620" w:bottom="280" w:left="800" w:right="660"/>
          <w:cols w:num="2" w:equalWidth="0">
            <w:col w:w="2446" w:space="40"/>
            <w:col w:w="796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26"/>
        </w:numPr>
        <w:tabs>
          <w:tab w:pos="1391"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双侧卵巢切</w:t>
      </w:r>
      <w:r>
        <w:rPr>
          <w:rFonts w:ascii="微软雅黑" w:eastAsia="微软雅黑"/>
          <w:b/>
          <w:spacing w:val="-6"/>
          <w:sz w:val="21"/>
        </w:rPr>
        <w:t>除术</w:t>
      </w:r>
    </w:p>
    <w:p>
      <w:pPr>
        <w:pStyle w:val="BodyText"/>
        <w:spacing w:line="257" w:lineRule="exact" w:before="72"/>
        <w:ind w:left="214"/>
      </w:pPr>
      <w:r>
        <w:rPr/>
        <w:br w:type="column"/>
      </w:r>
      <w:r>
        <w:rPr>
          <w:spacing w:val="-3"/>
        </w:rPr>
        <w:t>指为治疗疾病实际接受了经腹部切开或腹腔镜进行的双侧卵巢完全切除手术。</w:t>
      </w:r>
    </w:p>
    <w:p>
      <w:pPr>
        <w:spacing w:line="337" w:lineRule="exact" w:before="0"/>
        <w:ind w:left="214" w:right="0" w:firstLine="0"/>
        <w:jc w:val="left"/>
        <w:rPr>
          <w:rFonts w:ascii="微软雅黑" w:eastAsia="微软雅黑"/>
          <w:b/>
          <w:sz w:val="21"/>
        </w:rPr>
      </w:pPr>
      <w:r>
        <w:rPr>
          <w:rFonts w:ascii="微软雅黑" w:eastAsia="微软雅黑"/>
          <w:b/>
          <w:spacing w:val="-3"/>
          <w:sz w:val="21"/>
        </w:rPr>
        <w:t>下列情况不在保障范围内：</w:t>
      </w:r>
    </w:p>
    <w:p>
      <w:pPr>
        <w:pStyle w:val="ListParagraph"/>
        <w:numPr>
          <w:ilvl w:val="0"/>
          <w:numId w:val="38"/>
        </w:numPr>
        <w:tabs>
          <w:tab w:pos="744" w:val="left" w:leader="none"/>
        </w:tabs>
        <w:spacing w:line="312" w:lineRule="exact" w:before="0" w:after="0"/>
        <w:ind w:left="744" w:right="0" w:hanging="530"/>
        <w:jc w:val="left"/>
        <w:rPr>
          <w:rFonts w:ascii="微软雅黑" w:eastAsia="微软雅黑"/>
          <w:b/>
          <w:sz w:val="21"/>
        </w:rPr>
      </w:pPr>
      <w:r>
        <w:rPr>
          <w:rFonts w:ascii="微软雅黑" w:eastAsia="微软雅黑"/>
          <w:b/>
          <w:spacing w:val="-2"/>
          <w:sz w:val="21"/>
        </w:rPr>
        <w:t>部分卵巢切除；</w:t>
      </w:r>
    </w:p>
    <w:p>
      <w:pPr>
        <w:pStyle w:val="ListParagraph"/>
        <w:numPr>
          <w:ilvl w:val="0"/>
          <w:numId w:val="38"/>
        </w:numPr>
        <w:tabs>
          <w:tab w:pos="744" w:val="left" w:leader="none"/>
        </w:tabs>
        <w:spacing w:line="312" w:lineRule="exact" w:before="0" w:after="0"/>
        <w:ind w:left="744" w:right="0" w:hanging="530"/>
        <w:jc w:val="left"/>
        <w:rPr>
          <w:rFonts w:ascii="微软雅黑" w:eastAsia="微软雅黑"/>
          <w:b/>
          <w:sz w:val="21"/>
        </w:rPr>
      </w:pPr>
      <w:r>
        <w:rPr>
          <w:rFonts w:ascii="微软雅黑" w:eastAsia="微软雅黑"/>
          <w:b/>
          <w:spacing w:val="-3"/>
          <w:sz w:val="21"/>
        </w:rPr>
        <w:t>因恶性肿瘤进行的卵巢切除术；</w:t>
      </w:r>
    </w:p>
    <w:p>
      <w:pPr>
        <w:pStyle w:val="ListParagraph"/>
        <w:numPr>
          <w:ilvl w:val="0"/>
          <w:numId w:val="38"/>
        </w:numPr>
        <w:tabs>
          <w:tab w:pos="744" w:val="left" w:leader="none"/>
        </w:tabs>
        <w:spacing w:line="312" w:lineRule="exact" w:before="0" w:after="0"/>
        <w:ind w:left="744" w:right="0" w:hanging="530"/>
        <w:jc w:val="left"/>
        <w:rPr>
          <w:rFonts w:ascii="微软雅黑" w:eastAsia="微软雅黑"/>
          <w:b/>
          <w:sz w:val="21"/>
        </w:rPr>
      </w:pPr>
      <w:r>
        <w:rPr>
          <w:rFonts w:ascii="微软雅黑" w:eastAsia="微软雅黑"/>
          <w:b/>
          <w:spacing w:val="-2"/>
          <w:sz w:val="21"/>
        </w:rPr>
        <w:t>预防性卵巢切除。</w:t>
      </w:r>
    </w:p>
    <w:p>
      <w:pPr>
        <w:pStyle w:val="ListParagraph"/>
        <w:numPr>
          <w:ilvl w:val="0"/>
          <w:numId w:val="38"/>
        </w:numPr>
        <w:tabs>
          <w:tab w:pos="744" w:val="left" w:leader="none"/>
        </w:tabs>
        <w:spacing w:line="350" w:lineRule="exact" w:before="0" w:after="0"/>
        <w:ind w:left="744" w:right="0" w:hanging="530"/>
        <w:jc w:val="left"/>
        <w:rPr>
          <w:rFonts w:ascii="微软雅黑" w:eastAsia="微软雅黑"/>
          <w:b/>
          <w:sz w:val="21"/>
        </w:rPr>
      </w:pPr>
      <w:r>
        <w:rPr>
          <w:rFonts w:ascii="微软雅黑" w:eastAsia="微软雅黑"/>
          <w:b/>
          <w:spacing w:val="-3"/>
          <w:sz w:val="21"/>
        </w:rPr>
        <w:t>变性手术</w:t>
      </w:r>
    </w:p>
    <w:p>
      <w:pPr>
        <w:spacing w:after="0" w:line="350" w:lineRule="exact"/>
        <w:jc w:val="left"/>
        <w:rPr>
          <w:rFonts w:ascii="微软雅黑" w:eastAsia="微软雅黑"/>
          <w:sz w:val="21"/>
        </w:rPr>
        <w:sectPr>
          <w:type w:val="continuous"/>
          <w:pgSz w:w="11910" w:h="16840"/>
          <w:pgMar w:header="0" w:footer="458" w:top="620" w:bottom="280" w:left="800" w:right="660"/>
          <w:cols w:num="2" w:equalWidth="0">
            <w:col w:w="2446" w:space="40"/>
            <w:col w:w="796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26"/>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可逆性再生</w:t>
      </w:r>
      <w:r>
        <w:rPr>
          <w:rFonts w:ascii="微软雅黑" w:eastAsia="微软雅黑"/>
          <w:b/>
          <w:spacing w:val="-2"/>
          <w:sz w:val="21"/>
        </w:rPr>
        <w:t>障碍性贫血</w:t>
      </w:r>
    </w:p>
    <w:p>
      <w:pPr>
        <w:pStyle w:val="BodyText"/>
        <w:spacing w:line="278" w:lineRule="auto" w:before="72"/>
        <w:ind w:left="174" w:right="250"/>
      </w:pPr>
      <w:r>
        <w:rPr/>
        <w:br w:type="column"/>
      </w:r>
      <w:r>
        <w:rPr>
          <w:spacing w:val="-6"/>
        </w:rPr>
        <w:t>指因急性可逆性的骨髓造血功能衰竭而导致贫血、中性粒细胞减少和血小板减少，</w:t>
      </w:r>
      <w:r>
        <w:rPr>
          <w:spacing w:val="-2"/>
        </w:rPr>
        <w:t>必须由血液科医生的诊断，且病历资料显示接受了下列任一治疗：</w:t>
      </w:r>
    </w:p>
    <w:p>
      <w:pPr>
        <w:pStyle w:val="ListParagraph"/>
        <w:numPr>
          <w:ilvl w:val="0"/>
          <w:numId w:val="39"/>
        </w:numPr>
        <w:tabs>
          <w:tab w:pos="705" w:val="left" w:leader="none"/>
        </w:tabs>
        <w:spacing w:line="269" w:lineRule="exact" w:before="0" w:after="0"/>
        <w:ind w:left="704" w:right="0" w:hanging="531"/>
        <w:jc w:val="left"/>
        <w:rPr>
          <w:sz w:val="21"/>
        </w:rPr>
      </w:pPr>
      <w:r>
        <w:rPr>
          <w:spacing w:val="-8"/>
          <w:sz w:val="21"/>
        </w:rPr>
        <w:t>骨髓刺激疗法至少 </w:t>
      </w:r>
      <w:r>
        <w:rPr>
          <w:spacing w:val="-2"/>
          <w:sz w:val="21"/>
        </w:rPr>
        <w:t>1</w:t>
      </w:r>
      <w:r>
        <w:rPr>
          <w:spacing w:val="-16"/>
          <w:sz w:val="21"/>
        </w:rPr>
        <w:t> 个月；</w:t>
      </w:r>
    </w:p>
    <w:p>
      <w:pPr>
        <w:pStyle w:val="ListParagraph"/>
        <w:numPr>
          <w:ilvl w:val="0"/>
          <w:numId w:val="39"/>
        </w:numPr>
        <w:tabs>
          <w:tab w:pos="705" w:val="left" w:leader="none"/>
        </w:tabs>
        <w:spacing w:line="240" w:lineRule="auto" w:before="43" w:after="0"/>
        <w:ind w:left="704" w:right="0" w:hanging="531"/>
        <w:jc w:val="left"/>
        <w:rPr>
          <w:sz w:val="21"/>
        </w:rPr>
      </w:pPr>
      <w:r>
        <w:rPr>
          <w:spacing w:val="-7"/>
          <w:sz w:val="21"/>
        </w:rPr>
        <w:t>免疫抑制剂治疗至少 </w:t>
      </w:r>
      <w:r>
        <w:rPr>
          <w:spacing w:val="-2"/>
          <w:sz w:val="21"/>
        </w:rPr>
        <w:t>1</w:t>
      </w:r>
      <w:r>
        <w:rPr>
          <w:spacing w:val="-16"/>
          <w:sz w:val="21"/>
        </w:rPr>
        <w:t> 个月。</w:t>
      </w:r>
    </w:p>
    <w:p>
      <w:pPr>
        <w:spacing w:after="0" w:line="240" w:lineRule="auto"/>
        <w:jc w:val="left"/>
        <w:rPr>
          <w:sz w:val="21"/>
        </w:rPr>
        <w:sectPr>
          <w:type w:val="continuous"/>
          <w:pgSz w:w="11910" w:h="16840"/>
          <w:pgMar w:header="0" w:footer="458" w:top="620" w:bottom="280" w:left="800" w:right="660"/>
          <w:cols w:num="2" w:equalWidth="0">
            <w:col w:w="2486" w:space="40"/>
            <w:col w:w="7924"/>
          </w:cols>
        </w:sectPr>
      </w:pPr>
    </w:p>
    <w:p>
      <w:pPr>
        <w:pStyle w:val="ListParagraph"/>
        <w:numPr>
          <w:ilvl w:val="0"/>
          <w:numId w:val="26"/>
        </w:numPr>
        <w:tabs>
          <w:tab w:pos="1531" w:val="left" w:leader="none"/>
        </w:tabs>
        <w:spacing w:line="194" w:lineRule="auto" w:before="28" w:after="0"/>
        <w:ind w:left="1072" w:right="0" w:firstLine="0"/>
        <w:jc w:val="left"/>
        <w:rPr>
          <w:rFonts w:ascii="微软雅黑" w:eastAsia="微软雅黑"/>
          <w:b/>
          <w:sz w:val="21"/>
        </w:rPr>
      </w:pPr>
      <w:r>
        <w:rPr>
          <w:rFonts w:ascii="微软雅黑" w:eastAsia="微软雅黑"/>
          <w:b/>
          <w:spacing w:val="24"/>
          <w:sz w:val="21"/>
        </w:rPr>
        <w:t>早期系统</w:t>
      </w:r>
      <w:r>
        <w:rPr>
          <w:rFonts w:ascii="微软雅黑" w:eastAsia="微软雅黑"/>
          <w:b/>
          <w:spacing w:val="-4"/>
          <w:sz w:val="21"/>
        </w:rPr>
        <w:t>性硬皮病</w:t>
      </w:r>
    </w:p>
    <w:p>
      <w:pPr>
        <w:pStyle w:val="BodyText"/>
        <w:spacing w:line="278" w:lineRule="auto"/>
        <w:ind w:left="174" w:right="387"/>
        <w:jc w:val="both"/>
      </w:pPr>
      <w:r>
        <w:rPr/>
        <w:br w:type="column"/>
      </w:r>
      <w:r>
        <w:rPr>
          <w:spacing w:val="-2"/>
        </w:rPr>
        <w:t>指一种以局限性或弥漫性皮肤增厚和皮肤、血管、内脏器官异常纤维化为特征的</w:t>
      </w:r>
      <w:r>
        <w:rPr>
          <w:spacing w:val="-2"/>
        </w:rPr>
        <w:t>结缔组织病。本病须经专科医生明确诊断，并须满足下列所有条件，但未达到本</w:t>
      </w:r>
      <w:r>
        <w:rPr>
          <w:spacing w:val="-2"/>
        </w:rPr>
        <w:t>合同所指重度疾病“严重弥漫性系统性硬皮病”的标准：</w:t>
      </w:r>
    </w:p>
    <w:p>
      <w:pPr>
        <w:pStyle w:val="ListParagraph"/>
        <w:numPr>
          <w:ilvl w:val="0"/>
          <w:numId w:val="40"/>
        </w:numPr>
        <w:tabs>
          <w:tab w:pos="704" w:val="left" w:leader="none"/>
        </w:tabs>
        <w:spacing w:line="278" w:lineRule="auto" w:before="0" w:after="0"/>
        <w:ind w:left="174" w:right="391" w:firstLine="0"/>
        <w:jc w:val="both"/>
        <w:rPr>
          <w:sz w:val="21"/>
        </w:rPr>
      </w:pPr>
      <w:r>
        <w:rPr>
          <w:spacing w:val="-2"/>
          <w:sz w:val="21"/>
        </w:rPr>
        <w:t>必须是经由本公司认可医院的风湿学专科医生根据美国风湿病学会（ACR）</w:t>
      </w:r>
      <w:r>
        <w:rPr>
          <w:spacing w:val="-2"/>
          <w:sz w:val="21"/>
        </w:rPr>
        <w:t>及欧洲抗风湿病联盟(EULAR)</w:t>
      </w:r>
      <w:r>
        <w:rPr>
          <w:spacing w:val="-14"/>
          <w:sz w:val="21"/>
        </w:rPr>
        <w:t>在 </w:t>
      </w:r>
      <w:r>
        <w:rPr>
          <w:spacing w:val="-2"/>
          <w:sz w:val="21"/>
        </w:rPr>
        <w:t>2013</w:t>
      </w:r>
      <w:r>
        <w:rPr>
          <w:spacing w:val="-7"/>
          <w:sz w:val="21"/>
        </w:rPr>
        <w:t> 年发布的系统性硬皮病诊断标准确认达到确</w:t>
      </w:r>
      <w:r>
        <w:rPr>
          <w:sz w:val="21"/>
        </w:rPr>
        <w:t>诊标准（总分值由每一个分类中的最高比重（分值）相加而成，总分≥9</w:t>
      </w:r>
      <w:r>
        <w:rPr>
          <w:spacing w:val="-8"/>
          <w:sz w:val="21"/>
        </w:rPr>
        <w:t> 分的患</w:t>
      </w:r>
      <w:r>
        <w:rPr>
          <w:spacing w:val="-2"/>
          <w:sz w:val="21"/>
        </w:rPr>
        <w:t>者被分类为系统性硬皮病</w:t>
      </w:r>
      <w:r>
        <w:rPr>
          <w:spacing w:val="-108"/>
          <w:sz w:val="21"/>
        </w:rPr>
        <w:t>）</w:t>
      </w:r>
      <w:r>
        <w:rPr>
          <w:spacing w:val="-2"/>
          <w:sz w:val="21"/>
        </w:rPr>
        <w:t>。</w:t>
      </w:r>
    </w:p>
    <w:p>
      <w:pPr>
        <w:pStyle w:val="ListParagraph"/>
        <w:numPr>
          <w:ilvl w:val="0"/>
          <w:numId w:val="40"/>
        </w:numPr>
        <w:tabs>
          <w:tab w:pos="704" w:val="left" w:leader="none"/>
        </w:tabs>
        <w:spacing w:line="256" w:lineRule="exact" w:before="0" w:after="0"/>
        <w:ind w:left="703" w:right="0" w:hanging="530"/>
        <w:jc w:val="left"/>
        <w:rPr>
          <w:sz w:val="21"/>
        </w:rPr>
      </w:pPr>
      <w:r>
        <w:rPr>
          <w:spacing w:val="-3"/>
          <w:sz w:val="21"/>
        </w:rPr>
        <w:t>须提供明确的病理活检及自身抗体免疫血清学证据支持。</w:t>
      </w:r>
    </w:p>
    <w:p>
      <w:pPr>
        <w:spacing w:line="337" w:lineRule="exact" w:before="0"/>
        <w:ind w:left="174" w:right="0" w:firstLine="0"/>
        <w:jc w:val="left"/>
        <w:rPr>
          <w:rFonts w:ascii="微软雅黑" w:eastAsia="微软雅黑"/>
          <w:b/>
          <w:sz w:val="21"/>
        </w:rPr>
      </w:pPr>
      <w:r>
        <w:rPr>
          <w:rFonts w:ascii="微软雅黑" w:eastAsia="微软雅黑"/>
          <w:b/>
          <w:spacing w:val="-3"/>
          <w:sz w:val="21"/>
        </w:rPr>
        <w:t>以下情况不在保障范围内：</w:t>
      </w:r>
    </w:p>
    <w:p>
      <w:pPr>
        <w:pStyle w:val="ListParagraph"/>
        <w:numPr>
          <w:ilvl w:val="0"/>
          <w:numId w:val="41"/>
        </w:numPr>
        <w:tabs>
          <w:tab w:pos="704" w:val="left" w:leader="none"/>
        </w:tabs>
        <w:spacing w:line="312" w:lineRule="exact" w:before="0" w:after="0"/>
        <w:ind w:left="703" w:right="0" w:hanging="530"/>
        <w:jc w:val="left"/>
        <w:rPr>
          <w:rFonts w:ascii="微软雅黑" w:eastAsia="微软雅黑"/>
          <w:b/>
          <w:sz w:val="21"/>
        </w:rPr>
      </w:pPr>
      <w:r>
        <w:rPr>
          <w:rFonts w:ascii="微软雅黑" w:eastAsia="微软雅黑"/>
          <w:b/>
          <w:spacing w:val="-2"/>
          <w:sz w:val="21"/>
        </w:rPr>
        <w:t>局限性硬皮病（带状硬皮病或斑状损害</w:t>
      </w:r>
      <w:r>
        <w:rPr>
          <w:rFonts w:ascii="微软雅黑" w:eastAsia="微软雅黑"/>
          <w:b/>
          <w:spacing w:val="-10"/>
          <w:sz w:val="21"/>
        </w:rPr>
        <w:t>）</w:t>
      </w:r>
    </w:p>
    <w:p>
      <w:pPr>
        <w:pStyle w:val="ListParagraph"/>
        <w:numPr>
          <w:ilvl w:val="0"/>
          <w:numId w:val="41"/>
        </w:numPr>
        <w:tabs>
          <w:tab w:pos="704" w:val="left" w:leader="none"/>
        </w:tabs>
        <w:spacing w:line="312" w:lineRule="exact" w:before="0" w:after="0"/>
        <w:ind w:left="703" w:right="0" w:hanging="530"/>
        <w:jc w:val="left"/>
        <w:rPr>
          <w:rFonts w:ascii="微软雅黑" w:eastAsia="微软雅黑"/>
          <w:b/>
          <w:sz w:val="21"/>
        </w:rPr>
      </w:pPr>
      <w:r>
        <w:rPr>
          <w:rFonts w:ascii="微软雅黑" w:eastAsia="微软雅黑"/>
          <w:b/>
          <w:spacing w:val="-2"/>
          <w:sz w:val="21"/>
        </w:rPr>
        <w:t>嗜酸性筋膜炎</w:t>
      </w:r>
    </w:p>
    <w:p>
      <w:pPr>
        <w:pStyle w:val="ListParagraph"/>
        <w:numPr>
          <w:ilvl w:val="0"/>
          <w:numId w:val="41"/>
        </w:numPr>
        <w:tabs>
          <w:tab w:pos="704" w:val="left" w:leader="none"/>
        </w:tabs>
        <w:spacing w:line="350" w:lineRule="exact" w:before="0" w:after="0"/>
        <w:ind w:left="703" w:right="0" w:hanging="530"/>
        <w:jc w:val="left"/>
        <w:rPr>
          <w:rFonts w:ascii="微软雅黑" w:eastAsia="微软雅黑"/>
          <w:b/>
          <w:sz w:val="21"/>
        </w:rPr>
      </w:pPr>
      <w:r>
        <w:rPr>
          <w:rFonts w:ascii="微软雅黑" w:eastAsia="微软雅黑"/>
          <w:b/>
          <w:w w:val="90"/>
          <w:sz w:val="21"/>
        </w:rPr>
        <w:t>CREST</w:t>
      </w:r>
      <w:r>
        <w:rPr>
          <w:rFonts w:ascii="微软雅黑" w:eastAsia="微软雅黑"/>
          <w:b/>
          <w:spacing w:val="17"/>
          <w:w w:val="90"/>
          <w:sz w:val="21"/>
        </w:rPr>
        <w:t> </w:t>
      </w:r>
      <w:r>
        <w:rPr>
          <w:rFonts w:ascii="微软雅黑" w:eastAsia="微软雅黑"/>
          <w:b/>
          <w:w w:val="90"/>
          <w:sz w:val="21"/>
        </w:rPr>
        <w:t>综</w:t>
      </w:r>
      <w:r>
        <w:rPr>
          <w:rFonts w:ascii="微软雅黑" w:eastAsia="微软雅黑"/>
          <w:b/>
          <w:w w:val="90"/>
          <w:sz w:val="21"/>
        </w:rPr>
        <w:t>合</w:t>
      </w:r>
      <w:r>
        <w:rPr>
          <w:rFonts w:ascii="微软雅黑" w:eastAsia="微软雅黑"/>
          <w:b/>
          <w:spacing w:val="-10"/>
          <w:w w:val="90"/>
          <w:sz w:val="21"/>
        </w:rPr>
        <w:t>征</w:t>
      </w:r>
    </w:p>
    <w:p>
      <w:pPr>
        <w:spacing w:after="0" w:line="350" w:lineRule="exact"/>
        <w:jc w:val="left"/>
        <w:rPr>
          <w:rFonts w:ascii="微软雅黑" w:eastAsia="微软雅黑"/>
          <w:sz w:val="21"/>
        </w:rPr>
        <w:sectPr>
          <w:pgSz w:w="11910" w:h="16840"/>
          <w:pgMar w:header="0" w:footer="458" w:top="1260" w:bottom="640" w:left="800" w:right="660"/>
          <w:cols w:num="2" w:equalWidth="0">
            <w:col w:w="2486" w:space="40"/>
            <w:col w:w="7924"/>
          </w:cols>
        </w:sectPr>
      </w:pPr>
    </w:p>
    <w:p>
      <w:pPr>
        <w:pStyle w:val="BodyText"/>
        <w:spacing w:before="15"/>
        <w:rPr>
          <w:rFonts w:ascii="微软雅黑"/>
          <w:b/>
          <w:sz w:val="7"/>
        </w:rPr>
      </w:pPr>
    </w:p>
    <w:p>
      <w:pPr>
        <w:spacing w:after="0"/>
        <w:rPr>
          <w:rFonts w:ascii="微软雅黑"/>
          <w:sz w:val="7"/>
        </w:rPr>
        <w:sectPr>
          <w:type w:val="continuous"/>
          <w:pgSz w:w="11910" w:h="16840"/>
          <w:pgMar w:header="0" w:footer="458" w:top="620" w:bottom="280" w:left="800" w:right="660"/>
        </w:sectPr>
      </w:pPr>
    </w:p>
    <w:p>
      <w:pPr>
        <w:pStyle w:val="ListParagraph"/>
        <w:numPr>
          <w:ilvl w:val="0"/>
          <w:numId w:val="26"/>
        </w:numPr>
        <w:tabs>
          <w:tab w:pos="1531" w:val="left" w:leader="none"/>
        </w:tabs>
        <w:spacing w:line="194" w:lineRule="auto" w:before="57" w:after="0"/>
        <w:ind w:left="1072" w:right="0" w:firstLine="0"/>
        <w:jc w:val="both"/>
        <w:rPr>
          <w:rFonts w:ascii="微软雅黑" w:eastAsia="微软雅黑"/>
          <w:b/>
          <w:sz w:val="21"/>
        </w:rPr>
      </w:pPr>
      <w:r>
        <w:rPr>
          <w:rFonts w:ascii="微软雅黑" w:eastAsia="微软雅黑"/>
          <w:b/>
          <w:spacing w:val="24"/>
          <w:sz w:val="21"/>
        </w:rPr>
        <w:t>严重阻塞</w:t>
      </w:r>
      <w:r>
        <w:rPr>
          <w:rFonts w:ascii="微软雅黑" w:eastAsia="微软雅黑"/>
          <w:b/>
          <w:spacing w:val="20"/>
          <w:sz w:val="21"/>
        </w:rPr>
        <w:t>性睡眠呼吸暂</w:t>
      </w:r>
      <w:r>
        <w:rPr>
          <w:rFonts w:ascii="微软雅黑" w:eastAsia="微软雅黑"/>
          <w:b/>
          <w:spacing w:val="-4"/>
          <w:sz w:val="21"/>
        </w:rPr>
        <w:t>停综合征</w:t>
      </w:r>
    </w:p>
    <w:p>
      <w:pPr>
        <w:pStyle w:val="BodyText"/>
        <w:spacing w:line="278" w:lineRule="auto" w:before="71"/>
        <w:ind w:left="174" w:right="387"/>
      </w:pPr>
      <w:r>
        <w:rPr/>
        <w:br w:type="column"/>
      </w:r>
      <w:r>
        <w:rPr>
          <w:spacing w:val="-2"/>
        </w:rPr>
        <w:t>须由相关医学范畴的注册专科医生，经多导睡眠监测仪检查明确诊断为严重阻塞</w:t>
      </w:r>
      <w:r>
        <w:rPr>
          <w:spacing w:val="-2"/>
        </w:rPr>
        <w:t>性睡眠呼吸暂停综合征(OSA)，并必须符合以下两项条件：</w:t>
      </w:r>
    </w:p>
    <w:p>
      <w:pPr>
        <w:pStyle w:val="ListParagraph"/>
        <w:numPr>
          <w:ilvl w:val="0"/>
          <w:numId w:val="42"/>
        </w:numPr>
        <w:tabs>
          <w:tab w:pos="704" w:val="left" w:leader="none"/>
        </w:tabs>
        <w:spacing w:line="269" w:lineRule="exact" w:before="0" w:after="0"/>
        <w:ind w:left="703" w:right="0" w:hanging="530"/>
        <w:jc w:val="left"/>
        <w:rPr>
          <w:sz w:val="21"/>
        </w:rPr>
      </w:pPr>
      <w:r>
        <w:rPr>
          <w:spacing w:val="-2"/>
          <w:sz w:val="21"/>
        </w:rPr>
        <w:t>被保险人必须现正接受持续气道正压呼吸器(CPAP)</w:t>
      </w:r>
      <w:r>
        <w:rPr>
          <w:spacing w:val="-4"/>
          <w:sz w:val="21"/>
        </w:rPr>
        <w:t>之夜间治疗；</w:t>
      </w:r>
    </w:p>
    <w:p>
      <w:pPr>
        <w:pStyle w:val="ListParagraph"/>
        <w:numPr>
          <w:ilvl w:val="0"/>
          <w:numId w:val="42"/>
        </w:numPr>
        <w:tabs>
          <w:tab w:pos="704" w:val="left" w:leader="none"/>
        </w:tabs>
        <w:spacing w:line="278" w:lineRule="auto" w:before="43" w:after="0"/>
        <w:ind w:left="174" w:right="356" w:firstLine="0"/>
        <w:jc w:val="left"/>
        <w:rPr>
          <w:sz w:val="21"/>
        </w:rPr>
      </w:pPr>
      <w:r>
        <w:rPr>
          <w:spacing w:val="-2"/>
          <w:sz w:val="21"/>
        </w:rPr>
        <w:t>必须提供睡眠测试的文件证明，显示呼吸暂停低通气指数（AHI）＞30</w:t>
      </w:r>
      <w:r>
        <w:rPr>
          <w:spacing w:val="-17"/>
          <w:sz w:val="21"/>
        </w:rPr>
        <w:t> 及夜</w:t>
      </w:r>
      <w:r>
        <w:rPr>
          <w:spacing w:val="-2"/>
          <w:sz w:val="21"/>
        </w:rPr>
        <w:t>间血氧饱和度平均值持续＜85%。</w:t>
      </w:r>
    </w:p>
    <w:p>
      <w:pPr>
        <w:spacing w:after="0" w:line="278" w:lineRule="auto"/>
        <w:jc w:val="left"/>
        <w:rPr>
          <w:sz w:val="21"/>
        </w:rPr>
        <w:sectPr>
          <w:type w:val="continuous"/>
          <w:pgSz w:w="11910" w:h="16840"/>
          <w:pgMar w:header="0" w:footer="458" w:top="620" w:bottom="280" w:left="800" w:right="660"/>
          <w:cols w:num="2" w:equalWidth="0">
            <w:col w:w="2486" w:space="40"/>
            <w:col w:w="7924"/>
          </w:cols>
        </w:sectPr>
      </w:pPr>
    </w:p>
    <w:p>
      <w:pPr>
        <w:pStyle w:val="BodyText"/>
        <w:spacing w:before="4"/>
        <w:rPr>
          <w:sz w:val="16"/>
        </w:rPr>
      </w:pPr>
    </w:p>
    <w:p>
      <w:pPr>
        <w:spacing w:after="0"/>
        <w:rPr>
          <w:sz w:val="16"/>
        </w:rPr>
        <w:sectPr>
          <w:type w:val="continuous"/>
          <w:pgSz w:w="11910" w:h="16840"/>
          <w:pgMar w:header="0" w:footer="458" w:top="620" w:bottom="280" w:left="800" w:right="660"/>
        </w:sectPr>
      </w:pPr>
    </w:p>
    <w:p>
      <w:pPr>
        <w:pStyle w:val="ListParagraph"/>
        <w:numPr>
          <w:ilvl w:val="0"/>
          <w:numId w:val="26"/>
        </w:numPr>
        <w:tabs>
          <w:tab w:pos="1531" w:val="left" w:leader="none"/>
        </w:tabs>
        <w:spacing w:line="194" w:lineRule="auto" w:before="57" w:after="0"/>
        <w:ind w:left="1072" w:right="0" w:firstLine="0"/>
        <w:jc w:val="left"/>
        <w:rPr>
          <w:rFonts w:ascii="微软雅黑" w:eastAsia="微软雅黑"/>
          <w:b/>
          <w:sz w:val="21"/>
        </w:rPr>
      </w:pPr>
      <w:r>
        <w:rPr>
          <w:rFonts w:ascii="微软雅黑" w:eastAsia="微软雅黑"/>
          <w:b/>
          <w:spacing w:val="24"/>
          <w:sz w:val="21"/>
        </w:rPr>
        <w:t>胆道系统</w:t>
      </w:r>
      <w:r>
        <w:rPr>
          <w:rFonts w:ascii="微软雅黑" w:eastAsia="微软雅黑"/>
          <w:b/>
          <w:spacing w:val="-4"/>
          <w:sz w:val="21"/>
        </w:rPr>
        <w:t>重建手术</w:t>
      </w:r>
    </w:p>
    <w:p>
      <w:pPr>
        <w:pStyle w:val="BodyText"/>
        <w:spacing w:line="278" w:lineRule="auto" w:before="72"/>
        <w:ind w:left="174" w:right="387"/>
      </w:pPr>
      <w:r>
        <w:rPr/>
        <w:br w:type="column"/>
      </w:r>
      <w:r>
        <w:rPr>
          <w:spacing w:val="-2"/>
        </w:rPr>
        <w:t>因疾病或胆道创伤导致包含胆道肠道人工造管术的胆道重建手术。手术必须由专</w:t>
      </w:r>
      <w:r>
        <w:rPr>
          <w:spacing w:val="-2"/>
        </w:rPr>
        <w:t>科医生确认为医学上所必须的情况下进行。</w:t>
      </w:r>
    </w:p>
    <w:p>
      <w:pPr>
        <w:spacing w:line="320" w:lineRule="exact" w:before="0"/>
        <w:ind w:left="174" w:right="0" w:firstLine="0"/>
        <w:jc w:val="left"/>
        <w:rPr>
          <w:rFonts w:ascii="微软雅黑" w:eastAsia="微软雅黑"/>
          <w:b/>
          <w:sz w:val="21"/>
        </w:rPr>
      </w:pPr>
      <w:r>
        <w:rPr>
          <w:rFonts w:ascii="微软雅黑" w:eastAsia="微软雅黑"/>
          <w:b/>
          <w:spacing w:val="-3"/>
          <w:sz w:val="21"/>
        </w:rPr>
        <w:t>胆道闭锁不在本保障范围内。</w:t>
      </w:r>
    </w:p>
    <w:p>
      <w:pPr>
        <w:spacing w:after="0" w:line="320"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7"/>
        <w:rPr>
          <w:rFonts w:ascii="微软雅黑"/>
          <w:b/>
          <w:sz w:val="13"/>
        </w:rPr>
      </w:pPr>
    </w:p>
    <w:p>
      <w:pPr>
        <w:spacing w:after="0"/>
        <w:rPr>
          <w:rFonts w:ascii="微软雅黑"/>
          <w:sz w:val="13"/>
        </w:rPr>
        <w:sectPr>
          <w:type w:val="continuous"/>
          <w:pgSz w:w="11910" w:h="16840"/>
          <w:pgMar w:header="0" w:footer="458" w:top="620" w:bottom="280" w:left="800" w:right="660"/>
        </w:sectPr>
      </w:pPr>
    </w:p>
    <w:p>
      <w:pPr>
        <w:pStyle w:val="ListParagraph"/>
        <w:numPr>
          <w:ilvl w:val="0"/>
          <w:numId w:val="26"/>
        </w:numPr>
        <w:tabs>
          <w:tab w:pos="1531" w:val="left" w:leader="none"/>
        </w:tabs>
        <w:spacing w:line="194" w:lineRule="auto" w:before="57" w:after="0"/>
        <w:ind w:left="1072" w:right="0" w:firstLine="0"/>
        <w:jc w:val="both"/>
        <w:rPr>
          <w:rFonts w:ascii="微软雅黑" w:eastAsia="微软雅黑"/>
          <w:b/>
          <w:sz w:val="21"/>
        </w:rPr>
      </w:pPr>
      <w:r>
        <w:rPr>
          <w:rFonts w:ascii="微软雅黑" w:eastAsia="微软雅黑"/>
          <w:b/>
          <w:spacing w:val="24"/>
          <w:sz w:val="21"/>
        </w:rPr>
        <w:t>急性肾衰</w:t>
      </w:r>
      <w:r>
        <w:rPr>
          <w:rFonts w:ascii="微软雅黑" w:eastAsia="微软雅黑"/>
          <w:b/>
          <w:spacing w:val="20"/>
          <w:sz w:val="21"/>
        </w:rPr>
        <w:t>竭肾脏透析治</w:t>
      </w:r>
      <w:r>
        <w:rPr>
          <w:rFonts w:ascii="微软雅黑" w:eastAsia="微软雅黑"/>
          <w:b/>
          <w:spacing w:val="-10"/>
          <w:sz w:val="21"/>
        </w:rPr>
        <w:t>疗</w:t>
      </w:r>
    </w:p>
    <w:p>
      <w:pPr>
        <w:pStyle w:val="BodyText"/>
        <w:spacing w:line="278" w:lineRule="auto" w:before="71"/>
        <w:ind w:left="174" w:right="353"/>
        <w:jc w:val="both"/>
      </w:pPr>
      <w:r>
        <w:rPr/>
        <w:br w:type="column"/>
      </w:r>
      <w:r>
        <w:rPr>
          <w:spacing w:val="-2"/>
        </w:rPr>
        <w:t>急性肾衰竭（ARF）是指各种病因引起的肾功能在短期内（数小时或数周）急剧进</w:t>
      </w:r>
      <w:r>
        <w:rPr>
          <w:spacing w:val="-2"/>
        </w:rPr>
        <w:t>行性下降，导致体内氮质产物潴留而出现的临床综合征，国际上近年来改称为急</w:t>
      </w:r>
      <w:r>
        <w:rPr>
          <w:spacing w:val="-2"/>
        </w:rPr>
        <w:t>性肾损伤</w:t>
      </w:r>
      <w:r>
        <w:rPr>
          <w:spacing w:val="18"/>
        </w:rPr>
        <w:t>（</w:t>
      </w:r>
      <w:r>
        <w:rPr>
          <w:spacing w:val="20"/>
        </w:rPr>
        <w:t>AKI</w:t>
      </w:r>
      <w:r>
        <w:rPr>
          <w:spacing w:val="-88"/>
        </w:rPr>
        <w:t>）</w:t>
      </w:r>
      <w:r>
        <w:rPr>
          <w:spacing w:val="-2"/>
        </w:rPr>
        <w:t>。急性肾衰竭肾脏透析治疗指诊断为急性肾衰竭，且满足下列全</w:t>
      </w:r>
      <w:r>
        <w:rPr>
          <w:spacing w:val="-4"/>
        </w:rPr>
        <w:t>部条件：</w:t>
      </w:r>
    </w:p>
    <w:p>
      <w:pPr>
        <w:pStyle w:val="ListParagraph"/>
        <w:numPr>
          <w:ilvl w:val="0"/>
          <w:numId w:val="43"/>
        </w:numPr>
        <w:tabs>
          <w:tab w:pos="807" w:val="left" w:leader="none"/>
        </w:tabs>
        <w:spacing w:line="240" w:lineRule="auto" w:before="0" w:after="0"/>
        <w:ind w:left="806" w:right="0" w:hanging="633"/>
        <w:jc w:val="left"/>
        <w:rPr>
          <w:sz w:val="21"/>
        </w:rPr>
      </w:pPr>
      <w:r>
        <w:rPr>
          <w:spacing w:val="-10"/>
          <w:sz w:val="21"/>
        </w:rPr>
        <w:t>少尿或无尿 </w:t>
      </w:r>
      <w:r>
        <w:rPr>
          <w:sz w:val="21"/>
        </w:rPr>
        <w:t>2</w:t>
      </w:r>
      <w:r>
        <w:rPr>
          <w:spacing w:val="-6"/>
          <w:sz w:val="21"/>
        </w:rPr>
        <w:t> 天以上；</w:t>
      </w:r>
    </w:p>
    <w:p>
      <w:pPr>
        <w:pStyle w:val="ListParagraph"/>
        <w:numPr>
          <w:ilvl w:val="0"/>
          <w:numId w:val="43"/>
        </w:numPr>
        <w:tabs>
          <w:tab w:pos="807" w:val="left" w:leader="none"/>
        </w:tabs>
        <w:spacing w:line="240" w:lineRule="auto" w:before="43" w:after="0"/>
        <w:ind w:left="806" w:right="0" w:hanging="633"/>
        <w:jc w:val="left"/>
        <w:rPr>
          <w:sz w:val="21"/>
        </w:rPr>
      </w:pPr>
      <w:r>
        <w:rPr>
          <w:sz w:val="21"/>
        </w:rPr>
        <w:t>血肌酐（Scr）＞5mg/dl</w:t>
      </w:r>
      <w:r>
        <w:rPr>
          <w:spacing w:val="-7"/>
          <w:sz w:val="21"/>
        </w:rPr>
        <w:t> 或＞</w:t>
      </w:r>
      <w:r>
        <w:rPr>
          <w:spacing w:val="-2"/>
          <w:sz w:val="21"/>
        </w:rPr>
        <w:t>442umol/L；</w:t>
      </w:r>
    </w:p>
    <w:p>
      <w:pPr>
        <w:pStyle w:val="ListParagraph"/>
        <w:numPr>
          <w:ilvl w:val="0"/>
          <w:numId w:val="43"/>
        </w:numPr>
        <w:tabs>
          <w:tab w:pos="807" w:val="left" w:leader="none"/>
        </w:tabs>
        <w:spacing w:line="240" w:lineRule="auto" w:before="43" w:after="0"/>
        <w:ind w:left="806" w:right="0" w:hanging="633"/>
        <w:jc w:val="left"/>
        <w:rPr>
          <w:sz w:val="21"/>
        </w:rPr>
      </w:pPr>
      <w:r>
        <w:rPr>
          <w:spacing w:val="-2"/>
          <w:sz w:val="21"/>
        </w:rPr>
        <w:t>血钾＞6.5mmol/L；</w:t>
      </w:r>
    </w:p>
    <w:p>
      <w:pPr>
        <w:pStyle w:val="ListParagraph"/>
        <w:numPr>
          <w:ilvl w:val="0"/>
          <w:numId w:val="43"/>
        </w:numPr>
        <w:tabs>
          <w:tab w:pos="807" w:val="left" w:leader="none"/>
        </w:tabs>
        <w:spacing w:line="240" w:lineRule="auto" w:before="43" w:after="0"/>
        <w:ind w:left="806" w:right="0" w:hanging="633"/>
        <w:jc w:val="left"/>
        <w:rPr>
          <w:sz w:val="21"/>
        </w:rPr>
      </w:pPr>
      <w:r>
        <w:rPr>
          <w:spacing w:val="-3"/>
          <w:sz w:val="21"/>
        </w:rPr>
        <w:t>接受了血液透析治疗。</w:t>
      </w:r>
    </w:p>
    <w:p>
      <w:pPr>
        <w:spacing w:after="0" w:line="240" w:lineRule="auto"/>
        <w:jc w:val="left"/>
        <w:rPr>
          <w:sz w:val="21"/>
        </w:rPr>
        <w:sectPr>
          <w:type w:val="continuous"/>
          <w:pgSz w:w="11910" w:h="16840"/>
          <w:pgMar w:header="0" w:footer="458" w:top="620" w:bottom="280" w:left="800" w:right="660"/>
          <w:cols w:num="2" w:equalWidth="0">
            <w:col w:w="2486" w:space="40"/>
            <w:col w:w="7924"/>
          </w:cols>
        </w:sectPr>
      </w:pPr>
    </w:p>
    <w:p>
      <w:pPr>
        <w:pStyle w:val="BodyText"/>
        <w:spacing w:before="0"/>
        <w:rPr>
          <w:sz w:val="15"/>
        </w:rPr>
      </w:pPr>
    </w:p>
    <w:p>
      <w:pPr>
        <w:pStyle w:val="ListParagraph"/>
        <w:numPr>
          <w:ilvl w:val="1"/>
          <w:numId w:val="5"/>
        </w:numPr>
        <w:tabs>
          <w:tab w:pos="1072" w:val="left" w:leader="none"/>
          <w:tab w:pos="1073" w:val="left" w:leader="none"/>
        </w:tabs>
        <w:spacing w:line="240" w:lineRule="auto" w:before="5" w:after="0"/>
        <w:ind w:left="1072" w:right="0" w:hanging="853"/>
        <w:jc w:val="left"/>
        <w:rPr>
          <w:rFonts w:ascii="微软雅黑" w:eastAsia="微软雅黑"/>
          <w:b/>
          <w:sz w:val="21"/>
        </w:rPr>
      </w:pPr>
      <w:r>
        <w:rPr>
          <w:rFonts w:ascii="微软雅黑" w:eastAsia="微软雅黑"/>
          <w:b/>
          <w:spacing w:val="-4"/>
          <w:sz w:val="21"/>
        </w:rPr>
        <w:t>中度疾病</w:t>
      </w:r>
    </w:p>
    <w:p>
      <w:pPr>
        <w:spacing w:after="0" w:line="240" w:lineRule="auto"/>
        <w:jc w:val="left"/>
        <w:rPr>
          <w:rFonts w:ascii="微软雅黑" w:eastAsia="微软雅黑"/>
          <w:sz w:val="21"/>
        </w:rPr>
        <w:sectPr>
          <w:type w:val="continuous"/>
          <w:pgSz w:w="11910" w:h="16840"/>
          <w:pgMar w:header="0" w:footer="458" w:top="620" w:bottom="280" w:left="800" w:right="660"/>
        </w:sectPr>
      </w:pPr>
    </w:p>
    <w:p>
      <w:pPr>
        <w:pStyle w:val="ListParagraph"/>
        <w:numPr>
          <w:ilvl w:val="0"/>
          <w:numId w:val="44"/>
        </w:numPr>
        <w:tabs>
          <w:tab w:pos="1313" w:val="left" w:leader="none"/>
        </w:tabs>
        <w:spacing w:line="194" w:lineRule="auto" w:before="133" w:after="0"/>
        <w:ind w:left="1072" w:right="0" w:firstLine="0"/>
        <w:jc w:val="left"/>
        <w:rPr>
          <w:rFonts w:ascii="微软雅黑" w:eastAsia="微软雅黑"/>
          <w:b/>
          <w:sz w:val="21"/>
        </w:rPr>
      </w:pPr>
      <w:r>
        <w:rPr>
          <w:rFonts w:ascii="微软雅黑" w:eastAsia="微软雅黑"/>
          <w:b/>
          <w:spacing w:val="20"/>
          <w:sz w:val="21"/>
        </w:rPr>
        <w:t>中度类风湿</w:t>
      </w:r>
      <w:r>
        <w:rPr>
          <w:rFonts w:ascii="微软雅黑" w:eastAsia="微软雅黑"/>
          <w:b/>
          <w:spacing w:val="-4"/>
          <w:sz w:val="21"/>
        </w:rPr>
        <w:t>性关节炎</w:t>
      </w:r>
    </w:p>
    <w:p>
      <w:pPr>
        <w:pStyle w:val="BodyText"/>
        <w:spacing w:line="278" w:lineRule="auto" w:before="148"/>
        <w:ind w:left="174" w:right="353"/>
        <w:jc w:val="both"/>
      </w:pPr>
      <w:r>
        <w:rPr/>
        <w:br w:type="column"/>
      </w:r>
      <w:r>
        <w:rPr>
          <w:spacing w:val="-2"/>
        </w:rPr>
        <w:t>类风湿性关节炎为广泛分布的慢性进行性多关节病变，表现为关节严重变形，侵</w:t>
      </w:r>
      <w:r>
        <w:rPr>
          <w:spacing w:val="-2"/>
        </w:rPr>
        <w:t>犯两个主要关节或关节组（如：双手（多手指）关节、双足（多足趾）关节、双</w:t>
      </w:r>
      <w:r>
        <w:rPr>
          <w:spacing w:val="-4"/>
        </w:rPr>
        <w:t>腕关节、双膝关节和双髋关节</w:t>
      </w:r>
      <w:r>
        <w:rPr>
          <w:spacing w:val="-108"/>
        </w:rPr>
        <w:t>）</w:t>
      </w:r>
      <w:r>
        <w:rPr>
          <w:spacing w:val="-6"/>
        </w:rPr>
        <w:t>。且被保险人满足至少 </w:t>
      </w:r>
      <w:r>
        <w:rPr>
          <w:rFonts w:ascii="Times New Roman" w:eastAsia="Times New Roman"/>
          <w:spacing w:val="-4"/>
        </w:rPr>
        <w:t>180</w:t>
      </w:r>
      <w:r>
        <w:rPr>
          <w:rFonts w:ascii="Times New Roman" w:eastAsia="Times New Roman"/>
          <w:spacing w:val="20"/>
        </w:rPr>
        <w:t> </w:t>
      </w:r>
      <w:r>
        <w:rPr>
          <w:spacing w:val="-4"/>
        </w:rPr>
        <w:t>天无法独立完成六项基</w:t>
      </w:r>
      <w:r>
        <w:rPr>
          <w:spacing w:val="-2"/>
        </w:rPr>
        <w:t>本日常生活活动。</w:t>
      </w:r>
    </w:p>
    <w:p>
      <w:pPr>
        <w:spacing w:after="0" w:line="278" w:lineRule="auto"/>
        <w:jc w:val="both"/>
        <w:sectPr>
          <w:type w:val="continuous"/>
          <w:pgSz w:w="11910" w:h="16840"/>
          <w:pgMar w:header="0" w:footer="458" w:top="620" w:bottom="280" w:left="800" w:right="660"/>
          <w:cols w:num="2" w:equalWidth="0">
            <w:col w:w="2485" w:space="40"/>
            <w:col w:w="7925"/>
          </w:cols>
        </w:sectPr>
      </w:pPr>
    </w:p>
    <w:p>
      <w:pPr>
        <w:pStyle w:val="BodyText"/>
        <w:spacing w:before="9"/>
        <w:rPr>
          <w:sz w:val="18"/>
        </w:rPr>
      </w:pPr>
    </w:p>
    <w:p>
      <w:pPr>
        <w:pStyle w:val="ListParagraph"/>
        <w:numPr>
          <w:ilvl w:val="0"/>
          <w:numId w:val="44"/>
        </w:numPr>
        <w:tabs>
          <w:tab w:pos="1285" w:val="left" w:leader="none"/>
          <w:tab w:pos="2699" w:val="left" w:leader="none"/>
        </w:tabs>
        <w:spacing w:line="256" w:lineRule="auto" w:before="5" w:after="0"/>
        <w:ind w:left="2699" w:right="252" w:hanging="1628"/>
        <w:jc w:val="left"/>
        <w:rPr>
          <w:sz w:val="21"/>
        </w:rPr>
      </w:pPr>
      <w:r>
        <w:rPr>
          <w:rFonts w:ascii="微软雅黑" w:eastAsia="微软雅黑"/>
          <w:b/>
          <w:w w:val="100"/>
          <w:sz w:val="21"/>
        </w:rPr>
        <w:t>中度脑损伤</w:t>
      </w:r>
      <w:r>
        <w:rPr>
          <w:rFonts w:ascii="微软雅黑" w:eastAsia="微软雅黑"/>
          <w:b/>
          <w:sz w:val="21"/>
        </w:rPr>
        <w:tab/>
      </w:r>
      <w:r>
        <w:rPr>
          <w:w w:val="100"/>
          <w:sz w:val="21"/>
        </w:rPr>
        <w:t>指因</w:t>
      </w:r>
      <w:r>
        <w:rPr>
          <w:spacing w:val="-3"/>
          <w:w w:val="100"/>
          <w:sz w:val="21"/>
        </w:rPr>
        <w:t>头</w:t>
      </w:r>
      <w:r>
        <w:rPr>
          <w:w w:val="100"/>
          <w:sz w:val="21"/>
        </w:rPr>
        <w:t>部</w:t>
      </w:r>
      <w:r>
        <w:rPr>
          <w:spacing w:val="-3"/>
          <w:w w:val="100"/>
          <w:sz w:val="21"/>
        </w:rPr>
        <w:t>遭</w:t>
      </w:r>
      <w:r>
        <w:rPr>
          <w:w w:val="100"/>
          <w:sz w:val="21"/>
        </w:rPr>
        <w:t>受</w:t>
      </w:r>
      <w:r>
        <w:rPr>
          <w:spacing w:val="-3"/>
          <w:w w:val="100"/>
          <w:sz w:val="21"/>
        </w:rPr>
        <w:t>机</w:t>
      </w:r>
      <w:r>
        <w:rPr>
          <w:w w:val="100"/>
          <w:sz w:val="21"/>
        </w:rPr>
        <w:t>械</w:t>
      </w:r>
      <w:r>
        <w:rPr>
          <w:spacing w:val="-3"/>
          <w:w w:val="100"/>
          <w:sz w:val="21"/>
        </w:rPr>
        <w:t>性</w:t>
      </w:r>
      <w:r>
        <w:rPr>
          <w:w w:val="100"/>
          <w:sz w:val="21"/>
        </w:rPr>
        <w:t>外</w:t>
      </w:r>
      <w:r>
        <w:rPr>
          <w:spacing w:val="-3"/>
          <w:w w:val="100"/>
          <w:sz w:val="21"/>
        </w:rPr>
        <w:t>力</w:t>
      </w:r>
      <w:r>
        <w:rPr>
          <w:w w:val="100"/>
          <w:sz w:val="21"/>
        </w:rPr>
        <w:t>，引</w:t>
      </w:r>
      <w:r>
        <w:rPr>
          <w:spacing w:val="-3"/>
          <w:w w:val="100"/>
          <w:sz w:val="21"/>
        </w:rPr>
        <w:t>起</w:t>
      </w:r>
      <w:r>
        <w:rPr>
          <w:w w:val="100"/>
          <w:sz w:val="21"/>
        </w:rPr>
        <w:t>脑</w:t>
      </w:r>
      <w:r>
        <w:rPr>
          <w:spacing w:val="-3"/>
          <w:w w:val="100"/>
          <w:sz w:val="21"/>
        </w:rPr>
        <w:t>重</w:t>
      </w:r>
      <w:r>
        <w:rPr>
          <w:w w:val="100"/>
          <w:sz w:val="21"/>
        </w:rPr>
        <w:t>要</w:t>
      </w:r>
      <w:r>
        <w:rPr>
          <w:spacing w:val="-3"/>
          <w:w w:val="100"/>
          <w:sz w:val="21"/>
        </w:rPr>
        <w:t>部</w:t>
      </w:r>
      <w:r>
        <w:rPr>
          <w:w w:val="100"/>
          <w:sz w:val="21"/>
        </w:rPr>
        <w:t>位</w:t>
      </w:r>
      <w:r>
        <w:rPr>
          <w:spacing w:val="-3"/>
          <w:w w:val="100"/>
          <w:sz w:val="21"/>
        </w:rPr>
        <w:t>损</w:t>
      </w:r>
      <w:r>
        <w:rPr>
          <w:w w:val="100"/>
          <w:sz w:val="21"/>
        </w:rPr>
        <w:t>伤</w:t>
      </w:r>
      <w:r>
        <w:rPr>
          <w:spacing w:val="-3"/>
          <w:w w:val="100"/>
          <w:sz w:val="21"/>
        </w:rPr>
        <w:t>，</w:t>
      </w:r>
      <w:r>
        <w:rPr>
          <w:w w:val="100"/>
          <w:sz w:val="21"/>
        </w:rPr>
        <w:t>导致</w:t>
      </w:r>
      <w:r>
        <w:rPr>
          <w:spacing w:val="-3"/>
          <w:w w:val="100"/>
          <w:sz w:val="21"/>
        </w:rPr>
        <w:t>神</w:t>
      </w:r>
      <w:r>
        <w:rPr>
          <w:w w:val="100"/>
          <w:sz w:val="21"/>
        </w:rPr>
        <w:t>经</w:t>
      </w:r>
      <w:r>
        <w:rPr>
          <w:spacing w:val="-3"/>
          <w:w w:val="100"/>
          <w:sz w:val="21"/>
        </w:rPr>
        <w:t>系</w:t>
      </w:r>
      <w:r>
        <w:rPr>
          <w:w w:val="100"/>
          <w:sz w:val="21"/>
        </w:rPr>
        <w:t>统</w:t>
      </w:r>
      <w:r>
        <w:rPr>
          <w:spacing w:val="-3"/>
          <w:w w:val="100"/>
          <w:sz w:val="21"/>
        </w:rPr>
        <w:t>永</w:t>
      </w:r>
      <w:r>
        <w:rPr>
          <w:w w:val="100"/>
          <w:sz w:val="21"/>
        </w:rPr>
        <w:t>久</w:t>
      </w:r>
      <w:r>
        <w:rPr>
          <w:spacing w:val="-3"/>
          <w:w w:val="100"/>
          <w:sz w:val="21"/>
        </w:rPr>
        <w:t>性</w:t>
      </w:r>
      <w:r>
        <w:rPr>
          <w:w w:val="100"/>
          <w:sz w:val="21"/>
        </w:rPr>
        <w:t>的</w:t>
      </w:r>
      <w:r>
        <w:rPr>
          <w:spacing w:val="-3"/>
          <w:w w:val="100"/>
          <w:sz w:val="21"/>
        </w:rPr>
        <w:t>功</w:t>
      </w:r>
      <w:r>
        <w:rPr>
          <w:w w:val="100"/>
          <w:sz w:val="21"/>
        </w:rPr>
        <w:t>能障碍</w:t>
      </w:r>
      <w:r>
        <w:rPr>
          <w:spacing w:val="-63"/>
          <w:w w:val="100"/>
          <w:sz w:val="21"/>
        </w:rPr>
        <w:t>。</w:t>
      </w:r>
      <w:r>
        <w:rPr>
          <w:spacing w:val="-3"/>
          <w:w w:val="100"/>
          <w:sz w:val="21"/>
        </w:rPr>
        <w:t>须</w:t>
      </w:r>
      <w:r>
        <w:rPr>
          <w:w w:val="100"/>
          <w:sz w:val="21"/>
        </w:rPr>
        <w:t>由</w:t>
      </w:r>
      <w:r>
        <w:rPr>
          <w:spacing w:val="-3"/>
          <w:w w:val="100"/>
          <w:sz w:val="21"/>
        </w:rPr>
        <w:t>头</w:t>
      </w:r>
      <w:r>
        <w:rPr>
          <w:w w:val="100"/>
          <w:sz w:val="21"/>
        </w:rPr>
        <w:t>颅</w:t>
      </w:r>
      <w:r>
        <w:rPr>
          <w:spacing w:val="-3"/>
          <w:w w:val="100"/>
          <w:sz w:val="21"/>
        </w:rPr>
        <w:t>断</w:t>
      </w:r>
      <w:r>
        <w:rPr>
          <w:w w:val="100"/>
          <w:sz w:val="21"/>
        </w:rPr>
        <w:t>层</w:t>
      </w:r>
      <w:r>
        <w:rPr>
          <w:spacing w:val="-3"/>
          <w:w w:val="100"/>
          <w:sz w:val="21"/>
        </w:rPr>
        <w:t>扫</w:t>
      </w:r>
      <w:r>
        <w:rPr>
          <w:spacing w:val="-63"/>
          <w:w w:val="100"/>
          <w:sz w:val="21"/>
        </w:rPr>
        <w:t>描</w:t>
      </w:r>
      <w:r>
        <w:rPr>
          <w:spacing w:val="-3"/>
          <w:w w:val="100"/>
          <w:sz w:val="21"/>
        </w:rPr>
        <w:t>（</w:t>
      </w:r>
      <w:r>
        <w:rPr>
          <w:rFonts w:ascii="Times New Roman" w:eastAsia="Times New Roman"/>
          <w:spacing w:val="-2"/>
          <w:w w:val="100"/>
          <w:sz w:val="21"/>
        </w:rPr>
        <w:t>CT</w:t>
      </w:r>
      <w:r>
        <w:rPr>
          <w:spacing w:val="-106"/>
          <w:w w:val="100"/>
          <w:sz w:val="21"/>
        </w:rPr>
        <w:t>）</w:t>
      </w:r>
      <w:r>
        <w:rPr>
          <w:spacing w:val="-63"/>
          <w:w w:val="100"/>
          <w:sz w:val="21"/>
        </w:rPr>
        <w:t>、</w:t>
      </w:r>
      <w:r>
        <w:rPr>
          <w:spacing w:val="-3"/>
          <w:w w:val="100"/>
          <w:sz w:val="21"/>
        </w:rPr>
        <w:t>核</w:t>
      </w:r>
      <w:r>
        <w:rPr>
          <w:w w:val="100"/>
          <w:sz w:val="21"/>
        </w:rPr>
        <w:t>磁</w:t>
      </w:r>
      <w:r>
        <w:rPr>
          <w:spacing w:val="-3"/>
          <w:w w:val="100"/>
          <w:sz w:val="21"/>
        </w:rPr>
        <w:t>共</w:t>
      </w:r>
      <w:r>
        <w:rPr>
          <w:w w:val="100"/>
          <w:sz w:val="21"/>
        </w:rPr>
        <w:t>振</w:t>
      </w:r>
      <w:r>
        <w:rPr>
          <w:spacing w:val="-3"/>
          <w:w w:val="100"/>
          <w:sz w:val="21"/>
        </w:rPr>
        <w:t>检</w:t>
      </w:r>
      <w:r>
        <w:rPr>
          <w:spacing w:val="-63"/>
          <w:w w:val="100"/>
          <w:sz w:val="21"/>
        </w:rPr>
        <w:t>查</w:t>
      </w:r>
      <w:r>
        <w:rPr>
          <w:spacing w:val="-1"/>
          <w:w w:val="100"/>
          <w:sz w:val="21"/>
        </w:rPr>
        <w:t>（</w:t>
      </w:r>
      <w:r>
        <w:rPr>
          <w:rFonts w:ascii="Times New Roman" w:eastAsia="Times New Roman"/>
          <w:spacing w:val="-3"/>
          <w:w w:val="100"/>
          <w:sz w:val="21"/>
        </w:rPr>
        <w:t>M</w:t>
      </w:r>
      <w:r>
        <w:rPr>
          <w:rFonts w:ascii="Times New Roman" w:eastAsia="Times New Roman"/>
          <w:w w:val="100"/>
          <w:sz w:val="21"/>
        </w:rPr>
        <w:t>R</w:t>
      </w:r>
      <w:r>
        <w:rPr>
          <w:rFonts w:ascii="Times New Roman" w:eastAsia="Times New Roman"/>
          <w:spacing w:val="-3"/>
          <w:w w:val="100"/>
          <w:sz w:val="21"/>
        </w:rPr>
        <w:t>I</w:t>
      </w:r>
      <w:r>
        <w:rPr>
          <w:spacing w:val="-63"/>
          <w:w w:val="100"/>
          <w:sz w:val="21"/>
        </w:rPr>
        <w:t>）</w:t>
      </w:r>
      <w:r>
        <w:rPr>
          <w:spacing w:val="-3"/>
          <w:w w:val="100"/>
          <w:sz w:val="21"/>
        </w:rPr>
        <w:t>或</w:t>
      </w:r>
      <w:r>
        <w:rPr>
          <w:w w:val="100"/>
          <w:sz w:val="21"/>
        </w:rPr>
        <w:t>正电</w:t>
      </w:r>
      <w:r>
        <w:rPr>
          <w:spacing w:val="-3"/>
          <w:w w:val="100"/>
          <w:sz w:val="21"/>
        </w:rPr>
        <w:t>子</w:t>
      </w:r>
      <w:r>
        <w:rPr>
          <w:w w:val="100"/>
          <w:sz w:val="21"/>
        </w:rPr>
        <w:t>发</w:t>
      </w:r>
      <w:r>
        <w:rPr>
          <w:spacing w:val="-3"/>
          <w:w w:val="100"/>
          <w:sz w:val="21"/>
        </w:rPr>
        <w:t>射</w:t>
      </w:r>
      <w:r>
        <w:rPr>
          <w:w w:val="100"/>
          <w:sz w:val="21"/>
        </w:rPr>
        <w:t>断</w:t>
      </w:r>
      <w:r>
        <w:rPr>
          <w:spacing w:val="-3"/>
          <w:w w:val="100"/>
          <w:sz w:val="21"/>
        </w:rPr>
        <w:t>层</w:t>
      </w:r>
      <w:r>
        <w:rPr>
          <w:w w:val="100"/>
          <w:sz w:val="21"/>
        </w:rPr>
        <w:t>扫</w:t>
      </w:r>
      <w:r>
        <w:rPr>
          <w:spacing w:val="-65"/>
          <w:w w:val="100"/>
          <w:sz w:val="21"/>
        </w:rPr>
        <w:t>描</w:t>
      </w:r>
      <w:r>
        <w:rPr>
          <w:spacing w:val="-3"/>
          <w:w w:val="100"/>
          <w:sz w:val="21"/>
        </w:rPr>
        <w:t>（</w:t>
      </w:r>
      <w:r>
        <w:rPr>
          <w:rFonts w:ascii="Times New Roman" w:eastAsia="Times New Roman"/>
          <w:w w:val="100"/>
          <w:sz w:val="21"/>
        </w:rPr>
        <w:t>PE</w:t>
      </w:r>
      <w:r>
        <w:rPr>
          <w:rFonts w:ascii="Times New Roman" w:eastAsia="Times New Roman"/>
          <w:spacing w:val="-2"/>
          <w:w w:val="100"/>
          <w:sz w:val="21"/>
        </w:rPr>
        <w:t>T</w:t>
      </w:r>
      <w:r>
        <w:rPr>
          <w:w w:val="100"/>
          <w:sz w:val="21"/>
        </w:rPr>
        <w:t>）等影</w:t>
      </w:r>
      <w:r>
        <w:rPr>
          <w:spacing w:val="-3"/>
          <w:w w:val="100"/>
          <w:sz w:val="21"/>
        </w:rPr>
        <w:t>像</w:t>
      </w:r>
      <w:r>
        <w:rPr>
          <w:w w:val="100"/>
          <w:sz w:val="21"/>
        </w:rPr>
        <w:t>学</w:t>
      </w:r>
      <w:r>
        <w:rPr>
          <w:spacing w:val="-3"/>
          <w:w w:val="100"/>
          <w:sz w:val="21"/>
        </w:rPr>
        <w:t>检</w:t>
      </w:r>
      <w:r>
        <w:rPr>
          <w:w w:val="100"/>
          <w:sz w:val="21"/>
        </w:rPr>
        <w:t>查</w:t>
      </w:r>
      <w:r>
        <w:rPr>
          <w:spacing w:val="-3"/>
          <w:w w:val="100"/>
          <w:sz w:val="21"/>
        </w:rPr>
        <w:t>证</w:t>
      </w:r>
      <w:r>
        <w:rPr>
          <w:w w:val="100"/>
          <w:sz w:val="21"/>
        </w:rPr>
        <w:t>实。</w:t>
      </w:r>
    </w:p>
    <w:p>
      <w:pPr>
        <w:pStyle w:val="BodyText"/>
        <w:spacing w:line="278" w:lineRule="auto" w:before="13"/>
        <w:ind w:left="2699" w:right="387"/>
      </w:pPr>
      <w:r>
        <w:rPr>
          <w:spacing w:val="-3"/>
        </w:rPr>
        <w:t>神经系统永久性的功能障碍，指脑损伤 </w:t>
      </w:r>
      <w:r>
        <w:rPr>
          <w:rFonts w:ascii="Times New Roman" w:eastAsia="Times New Roman"/>
        </w:rPr>
        <w:t>180</w:t>
      </w:r>
      <w:r>
        <w:rPr>
          <w:rFonts w:ascii="Times New Roman" w:eastAsia="Times New Roman"/>
          <w:spacing w:val="-14"/>
        </w:rPr>
        <w:t> </w:t>
      </w:r>
      <w:r>
        <w:rPr/>
        <w:t>天后，仍部分丧失自主生活能力，无</w:t>
      </w:r>
      <w:r>
        <w:rPr>
          <w:spacing w:val="-2"/>
        </w:rPr>
        <w:t>法独立完成六项基本日常生活活动中的二项或以上。</w:t>
      </w:r>
    </w:p>
    <w:p>
      <w:pPr>
        <w:pStyle w:val="BodyText"/>
        <w:spacing w:before="10"/>
        <w:rPr>
          <w:sz w:val="18"/>
        </w:rPr>
      </w:pPr>
    </w:p>
    <w:p>
      <w:pPr>
        <w:spacing w:after="0"/>
        <w:rPr>
          <w:sz w:val="18"/>
        </w:rPr>
        <w:sectPr>
          <w:type w:val="continuous"/>
          <w:pgSz w:w="11910" w:h="16840"/>
          <w:pgMar w:header="0" w:footer="458" w:top="620" w:bottom="280" w:left="800" w:right="660"/>
        </w:sectPr>
      </w:pPr>
    </w:p>
    <w:p>
      <w:pPr>
        <w:pStyle w:val="ListParagraph"/>
        <w:numPr>
          <w:ilvl w:val="0"/>
          <w:numId w:val="44"/>
        </w:numPr>
        <w:tabs>
          <w:tab w:pos="1313" w:val="left" w:leader="none"/>
        </w:tabs>
        <w:spacing w:line="194" w:lineRule="auto" w:before="57" w:after="0"/>
        <w:ind w:left="1072" w:right="0" w:firstLine="0"/>
        <w:jc w:val="left"/>
        <w:rPr>
          <w:rFonts w:ascii="微软雅黑" w:hAnsi="微软雅黑" w:eastAsia="微软雅黑"/>
          <w:b/>
          <w:sz w:val="21"/>
        </w:rPr>
      </w:pPr>
      <w:r>
        <w:rPr>
          <w:rFonts w:ascii="微软雅黑" w:hAnsi="微软雅黑" w:eastAsia="微软雅黑"/>
          <w:b/>
          <w:spacing w:val="20"/>
          <w:sz w:val="21"/>
        </w:rPr>
        <w:t>中度面积Ⅲ</w:t>
      </w:r>
      <w:r>
        <w:rPr>
          <w:rFonts w:ascii="微软雅黑" w:hAnsi="微软雅黑" w:eastAsia="微软雅黑"/>
          <w:b/>
          <w:spacing w:val="-4"/>
          <w:sz w:val="21"/>
        </w:rPr>
        <w:t>度烧伤</w:t>
      </w:r>
    </w:p>
    <w:p>
      <w:pPr>
        <w:pStyle w:val="BodyText"/>
        <w:spacing w:line="278" w:lineRule="auto" w:before="71"/>
        <w:ind w:left="174" w:right="387"/>
      </w:pPr>
      <w:r>
        <w:rPr/>
        <w:br w:type="column"/>
      </w:r>
      <w:r>
        <w:rPr>
          <w:spacing w:val="-2"/>
        </w:rPr>
        <w:t>指烧伤程度为Ⅲ度，即全层皮肤烧伤，包括表皮、真皮和皮下组织，且Ⅲ度烧伤</w:t>
      </w:r>
      <w:r>
        <w:rPr>
          <w:spacing w:val="-2"/>
        </w:rPr>
        <w:t>的面积达到全身体表面积的 </w:t>
      </w:r>
      <w:r>
        <w:rPr>
          <w:rFonts w:ascii="Times New Roman" w:hAnsi="Times New Roman" w:eastAsia="Times New Roman"/>
        </w:rPr>
        <w:t>15%</w:t>
      </w:r>
      <w:r>
        <w:rPr>
          <w:spacing w:val="-11"/>
        </w:rPr>
        <w:t>或 </w:t>
      </w:r>
      <w:r>
        <w:rPr>
          <w:rFonts w:ascii="Times New Roman" w:hAnsi="Times New Roman" w:eastAsia="Times New Roman"/>
        </w:rPr>
        <w:t>15%</w:t>
      </w:r>
      <w:r>
        <w:rPr/>
        <w:t>以上。</w:t>
      </w:r>
    </w:p>
    <w:p>
      <w:pPr>
        <w:spacing w:after="0" w:line="278" w:lineRule="auto"/>
        <w:sectPr>
          <w:type w:val="continuous"/>
          <w:pgSz w:w="11910" w:h="16840"/>
          <w:pgMar w:header="0" w:footer="458" w:top="620" w:bottom="280" w:left="800" w:right="660"/>
          <w:cols w:num="2" w:equalWidth="0">
            <w:col w:w="2485" w:space="40"/>
            <w:col w:w="7925"/>
          </w:cols>
        </w:sectPr>
      </w:pPr>
    </w:p>
    <w:p>
      <w:pPr>
        <w:spacing w:line="194" w:lineRule="auto" w:before="28"/>
        <w:ind w:left="2699" w:right="255" w:firstLine="0"/>
        <w:jc w:val="left"/>
        <w:rPr>
          <w:rFonts w:ascii="微软雅黑" w:hAnsi="微软雅黑" w:eastAsia="微软雅黑"/>
          <w:b/>
          <w:sz w:val="21"/>
        </w:rPr>
      </w:pPr>
      <w:r>
        <w:rPr>
          <w:rFonts w:ascii="微软雅黑" w:hAnsi="微软雅黑" w:eastAsia="微软雅黑"/>
          <w:b/>
          <w:spacing w:val="-15"/>
          <w:sz w:val="21"/>
        </w:rPr>
        <w:t>因同一次意外事故原因所致的“中度面积Ⅲ度烧伤”</w:t>
      </w:r>
      <w:r>
        <w:rPr>
          <w:rFonts w:ascii="微软雅黑" w:hAnsi="微软雅黑" w:eastAsia="微软雅黑"/>
          <w:b/>
          <w:spacing w:val="-27"/>
          <w:sz w:val="21"/>
        </w:rPr>
        <w:t>、“意外导致的中度面部烧伤”，</w:t>
      </w:r>
      <w:r>
        <w:rPr>
          <w:rFonts w:ascii="微软雅黑" w:hAnsi="微软雅黑" w:eastAsia="微软雅黑"/>
          <w:b/>
          <w:spacing w:val="-9"/>
          <w:sz w:val="21"/>
        </w:rPr>
        <w:t>本公司仅赔付其中一项中度疾病保险金，赔付后另外一个病种中度疾病责任终止。</w:t>
      </w:r>
    </w:p>
    <w:p>
      <w:pPr>
        <w:pStyle w:val="BodyText"/>
        <w:spacing w:before="6"/>
        <w:rPr>
          <w:rFonts w:ascii="微软雅黑"/>
          <w:b/>
          <w:sz w:val="13"/>
        </w:rPr>
      </w:pPr>
    </w:p>
    <w:p>
      <w:pPr>
        <w:spacing w:after="0"/>
        <w:rPr>
          <w:rFonts w:ascii="微软雅黑"/>
          <w:sz w:val="13"/>
        </w:rPr>
        <w:sectPr>
          <w:pgSz w:w="11910" w:h="16840"/>
          <w:pgMar w:header="0" w:footer="458" w:top="1260" w:bottom="640" w:left="800" w:right="660"/>
        </w:sectPr>
      </w:pPr>
    </w:p>
    <w:p>
      <w:pPr>
        <w:pStyle w:val="ListParagraph"/>
        <w:numPr>
          <w:ilvl w:val="0"/>
          <w:numId w:val="44"/>
        </w:numPr>
        <w:tabs>
          <w:tab w:pos="1313" w:val="left" w:leader="none"/>
        </w:tabs>
        <w:spacing w:line="194" w:lineRule="auto" w:before="64" w:after="0"/>
        <w:ind w:left="1072" w:right="0" w:firstLine="0"/>
        <w:jc w:val="left"/>
        <w:rPr>
          <w:rFonts w:ascii="微软雅黑" w:eastAsia="微软雅黑"/>
          <w:b/>
          <w:sz w:val="21"/>
        </w:rPr>
      </w:pPr>
      <w:r>
        <w:rPr>
          <w:rFonts w:ascii="微软雅黑" w:eastAsia="微软雅黑"/>
          <w:b/>
          <w:spacing w:val="20"/>
          <w:sz w:val="21"/>
        </w:rPr>
        <w:t>意外导致的</w:t>
      </w:r>
      <w:r>
        <w:rPr>
          <w:rFonts w:ascii="微软雅黑" w:eastAsia="微软雅黑"/>
          <w:b/>
          <w:spacing w:val="-2"/>
          <w:sz w:val="21"/>
        </w:rPr>
        <w:t>中度面部烧伤</w:t>
      </w:r>
    </w:p>
    <w:p>
      <w:pPr>
        <w:pStyle w:val="BodyText"/>
        <w:spacing w:before="78"/>
        <w:ind w:left="174"/>
      </w:pPr>
      <w:r>
        <w:rPr/>
        <w:br w:type="column"/>
      </w:r>
      <w:r>
        <w:rPr>
          <w:spacing w:val="-4"/>
        </w:rPr>
        <w:t>指面部Ⅲ度烧伤且烧伤面积达到面部表面积的 </w:t>
      </w:r>
      <w:r>
        <w:rPr>
          <w:rFonts w:ascii="Times New Roman" w:hAnsi="Times New Roman" w:eastAsia="Times New Roman"/>
          <w:spacing w:val="-2"/>
        </w:rPr>
        <w:t>3/5</w:t>
      </w:r>
      <w:r>
        <w:rPr>
          <w:rFonts w:ascii="Times New Roman" w:hAnsi="Times New Roman" w:eastAsia="Times New Roman"/>
          <w:spacing w:val="7"/>
        </w:rPr>
        <w:t> </w:t>
      </w:r>
      <w:r>
        <w:rPr>
          <w:spacing w:val="-7"/>
        </w:rPr>
        <w:t>或全身体表面积的 </w:t>
      </w:r>
      <w:r>
        <w:rPr>
          <w:rFonts w:ascii="Times New Roman" w:hAnsi="Times New Roman" w:eastAsia="Times New Roman"/>
          <w:spacing w:val="-2"/>
        </w:rPr>
        <w:t>1.8%</w:t>
      </w:r>
      <w:r>
        <w:rPr>
          <w:spacing w:val="-10"/>
        </w:rPr>
        <w:t>。</w:t>
      </w:r>
    </w:p>
    <w:p>
      <w:pPr>
        <w:pStyle w:val="BodyText"/>
        <w:spacing w:line="278" w:lineRule="auto"/>
        <w:ind w:left="174" w:right="358"/>
      </w:pPr>
      <w:r>
        <w:rPr>
          <w:spacing w:val="-6"/>
        </w:rPr>
        <w:t>体表面积根据《中国新九分法》计算，面部总面积为全身体表面积的 </w:t>
      </w:r>
      <w:r>
        <w:rPr>
          <w:rFonts w:ascii="Times New Roman" w:eastAsia="Times New Roman"/>
          <w:spacing w:val="-4"/>
        </w:rPr>
        <w:t>3%</w:t>
      </w:r>
      <w:r>
        <w:rPr>
          <w:spacing w:val="-4"/>
        </w:rPr>
        <w:t>。面部面</w:t>
      </w:r>
      <w:r>
        <w:rPr>
          <w:spacing w:val="-2"/>
        </w:rPr>
        <w:t>积不包括发部和颈部。</w:t>
      </w:r>
    </w:p>
    <w:p>
      <w:pPr>
        <w:spacing w:line="282" w:lineRule="exact" w:before="0"/>
        <w:ind w:left="174" w:right="0" w:firstLine="0"/>
        <w:jc w:val="left"/>
        <w:rPr>
          <w:rFonts w:ascii="微软雅黑" w:hAnsi="微软雅黑" w:eastAsia="微软雅黑"/>
          <w:b/>
          <w:sz w:val="21"/>
        </w:rPr>
      </w:pPr>
      <w:r>
        <w:rPr>
          <w:rFonts w:ascii="微软雅黑" w:hAnsi="微软雅黑" w:eastAsia="微软雅黑"/>
          <w:b/>
          <w:spacing w:val="-15"/>
          <w:sz w:val="21"/>
        </w:rPr>
        <w:t>因同一次意外事故原因所致的“中度面积Ⅲ度烧伤”</w:t>
      </w:r>
      <w:r>
        <w:rPr>
          <w:rFonts w:ascii="微软雅黑" w:hAnsi="微软雅黑" w:eastAsia="微软雅黑"/>
          <w:b/>
          <w:spacing w:val="-27"/>
          <w:sz w:val="21"/>
        </w:rPr>
        <w:t>、“意外导致的中度面部烧伤”，</w:t>
      </w:r>
    </w:p>
    <w:p>
      <w:pPr>
        <w:spacing w:line="350" w:lineRule="exact" w:before="0"/>
        <w:ind w:left="174" w:right="0" w:firstLine="0"/>
        <w:jc w:val="left"/>
        <w:rPr>
          <w:rFonts w:ascii="微软雅黑" w:eastAsia="微软雅黑"/>
          <w:b/>
          <w:sz w:val="21"/>
        </w:rPr>
      </w:pPr>
      <w:r>
        <w:rPr>
          <w:rFonts w:ascii="微软雅黑" w:eastAsia="微软雅黑"/>
          <w:b/>
          <w:spacing w:val="-9"/>
          <w:sz w:val="21"/>
        </w:rPr>
        <w:t>本公司仅赔付其中一项中度疾病保险金，赔付后另外一个病种中度疾病责任终止。</w:t>
      </w:r>
    </w:p>
    <w:p>
      <w:pPr>
        <w:spacing w:after="0" w:line="350" w:lineRule="exact"/>
        <w:jc w:val="left"/>
        <w:rPr>
          <w:rFonts w:ascii="微软雅黑" w:eastAsia="微软雅黑"/>
          <w:sz w:val="21"/>
        </w:rPr>
        <w:sectPr>
          <w:type w:val="continuous"/>
          <w:pgSz w:w="11910" w:h="16840"/>
          <w:pgMar w:header="0" w:footer="458" w:top="620" w:bottom="280" w:left="800" w:right="660"/>
          <w:cols w:num="2" w:equalWidth="0">
            <w:col w:w="2485" w:space="40"/>
            <w:col w:w="7925"/>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44"/>
        </w:numPr>
        <w:tabs>
          <w:tab w:pos="1313" w:val="left" w:leader="none"/>
        </w:tabs>
        <w:spacing w:line="194" w:lineRule="auto" w:before="58" w:after="0"/>
        <w:ind w:left="1072" w:right="0" w:firstLine="0"/>
        <w:jc w:val="left"/>
        <w:rPr>
          <w:rFonts w:ascii="微软雅黑" w:eastAsia="微软雅黑"/>
          <w:b/>
          <w:sz w:val="21"/>
        </w:rPr>
      </w:pPr>
      <w:r>
        <w:rPr>
          <w:rFonts w:ascii="微软雅黑" w:eastAsia="微软雅黑"/>
          <w:b/>
          <w:spacing w:val="20"/>
          <w:sz w:val="21"/>
        </w:rPr>
        <w:t>单个肢体缺</w:t>
      </w:r>
      <w:r>
        <w:rPr>
          <w:rFonts w:ascii="微软雅黑" w:eastAsia="微软雅黑"/>
          <w:b/>
          <w:spacing w:val="-10"/>
          <w:sz w:val="21"/>
        </w:rPr>
        <w:t>失</w:t>
      </w:r>
    </w:p>
    <w:p>
      <w:pPr>
        <w:pStyle w:val="BodyText"/>
        <w:spacing w:line="278" w:lineRule="auto" w:before="72"/>
        <w:ind w:left="174" w:right="387"/>
      </w:pPr>
      <w:r>
        <w:rPr/>
        <w:br w:type="column"/>
      </w:r>
      <w:r>
        <w:rPr>
          <w:spacing w:val="-2"/>
        </w:rPr>
        <w:t>指因疾病或意外伤害导致一个肢体自腕关节或踝关节近端（靠近躯干端）以上完</w:t>
      </w:r>
      <w:r>
        <w:rPr>
          <w:spacing w:val="-2"/>
        </w:rPr>
        <w:t>全性断离。</w:t>
      </w:r>
    </w:p>
    <w:p>
      <w:pPr>
        <w:spacing w:line="320" w:lineRule="exact" w:before="0"/>
        <w:ind w:left="174" w:right="0" w:firstLine="0"/>
        <w:jc w:val="left"/>
        <w:rPr>
          <w:rFonts w:ascii="微软雅黑" w:eastAsia="微软雅黑"/>
          <w:b/>
          <w:sz w:val="21"/>
        </w:rPr>
      </w:pPr>
      <w:r>
        <w:rPr>
          <w:rFonts w:ascii="微软雅黑" w:eastAsia="微软雅黑"/>
          <w:b/>
          <w:spacing w:val="-3"/>
          <w:sz w:val="21"/>
        </w:rPr>
        <w:t>因糖尿病并发症引致的单个肢体缺失不在本保障范围内。</w:t>
      </w:r>
    </w:p>
    <w:p>
      <w:pPr>
        <w:spacing w:after="0" w:line="320" w:lineRule="exact"/>
        <w:jc w:val="left"/>
        <w:rPr>
          <w:rFonts w:ascii="微软雅黑" w:eastAsia="微软雅黑"/>
          <w:sz w:val="21"/>
        </w:rPr>
        <w:sectPr>
          <w:type w:val="continuous"/>
          <w:pgSz w:w="11910" w:h="16840"/>
          <w:pgMar w:header="0" w:footer="458" w:top="620" w:bottom="280" w:left="800" w:right="660"/>
          <w:cols w:num="2" w:equalWidth="0">
            <w:col w:w="2485" w:space="40"/>
            <w:col w:w="7925"/>
          </w:cols>
        </w:sectPr>
      </w:pPr>
    </w:p>
    <w:p>
      <w:pPr>
        <w:pStyle w:val="BodyText"/>
        <w:spacing w:before="12"/>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44"/>
        </w:numPr>
        <w:tabs>
          <w:tab w:pos="1313" w:val="left" w:leader="none"/>
        </w:tabs>
        <w:spacing w:line="194" w:lineRule="auto" w:before="57" w:after="0"/>
        <w:ind w:left="1072" w:right="0" w:firstLine="0"/>
        <w:jc w:val="left"/>
        <w:rPr>
          <w:rFonts w:ascii="微软雅黑" w:eastAsia="微软雅黑"/>
          <w:b/>
          <w:sz w:val="21"/>
        </w:rPr>
      </w:pPr>
      <w:r>
        <w:rPr>
          <w:rFonts w:ascii="微软雅黑" w:eastAsia="微软雅黑"/>
          <w:b/>
          <w:spacing w:val="20"/>
          <w:sz w:val="21"/>
        </w:rPr>
        <w:t>中度系统性</w:t>
      </w:r>
      <w:r>
        <w:rPr>
          <w:rFonts w:ascii="微软雅黑" w:eastAsia="微软雅黑"/>
          <w:b/>
          <w:spacing w:val="-4"/>
          <w:sz w:val="21"/>
        </w:rPr>
        <w:t>红斑狼疮</w:t>
      </w:r>
    </w:p>
    <w:p>
      <w:pPr>
        <w:pStyle w:val="BodyText"/>
        <w:spacing w:line="278" w:lineRule="auto" w:before="72"/>
        <w:ind w:left="174" w:right="598"/>
      </w:pPr>
      <w:r>
        <w:rPr/>
        <w:br w:type="column"/>
      </w:r>
      <w:r>
        <w:rPr>
          <w:spacing w:val="-2"/>
        </w:rPr>
        <w:t>本项保障所指的系统性红斑狼疮必须符合下列所有理赔条件且未达到重度疾病 “系统性红斑狼疮性肾炎尿毒症”的给付标准：</w:t>
      </w:r>
    </w:p>
    <w:p>
      <w:pPr>
        <w:pStyle w:val="ListParagraph"/>
        <w:numPr>
          <w:ilvl w:val="0"/>
          <w:numId w:val="45"/>
        </w:numPr>
        <w:tabs>
          <w:tab w:pos="705" w:val="left" w:leader="none"/>
        </w:tabs>
        <w:spacing w:line="269" w:lineRule="exact" w:before="0" w:after="0"/>
        <w:ind w:left="704" w:right="0" w:hanging="531"/>
        <w:jc w:val="left"/>
        <w:rPr>
          <w:sz w:val="21"/>
        </w:rPr>
      </w:pPr>
      <w:r>
        <w:rPr>
          <w:spacing w:val="-14"/>
          <w:sz w:val="21"/>
        </w:rPr>
        <w:t>在下列 </w:t>
      </w:r>
      <w:r>
        <w:rPr>
          <w:rFonts w:ascii="Times New Roman" w:eastAsia="Times New Roman"/>
          <w:sz w:val="21"/>
        </w:rPr>
        <w:t>5</w:t>
      </w:r>
      <w:r>
        <w:rPr>
          <w:rFonts w:ascii="Times New Roman" w:eastAsia="Times New Roman"/>
          <w:spacing w:val="-14"/>
          <w:sz w:val="21"/>
        </w:rPr>
        <w:t> </w:t>
      </w:r>
      <w:r>
        <w:rPr>
          <w:spacing w:val="-6"/>
          <w:sz w:val="21"/>
        </w:rPr>
        <w:t>项情况中出现最少 </w:t>
      </w:r>
      <w:r>
        <w:rPr>
          <w:rFonts w:ascii="Times New Roman" w:eastAsia="Times New Roman"/>
          <w:sz w:val="21"/>
        </w:rPr>
        <w:t>3</w:t>
      </w:r>
      <w:r>
        <w:rPr>
          <w:rFonts w:ascii="Times New Roman" w:eastAsia="Times New Roman"/>
          <w:spacing w:val="-7"/>
          <w:sz w:val="21"/>
        </w:rPr>
        <w:t> </w:t>
      </w:r>
      <w:r>
        <w:rPr>
          <w:spacing w:val="-5"/>
          <w:sz w:val="21"/>
        </w:rPr>
        <w:t>项：</w:t>
      </w:r>
    </w:p>
    <w:p>
      <w:pPr>
        <w:pStyle w:val="BodyText"/>
        <w:spacing w:before="42"/>
        <w:ind w:left="595"/>
      </w:pPr>
      <w:r>
        <w:rPr>
          <w:spacing w:val="-6"/>
        </w:rPr>
        <w:t>① 非畸形性关节炎或多关节痛；</w:t>
      </w:r>
    </w:p>
    <w:p>
      <w:pPr>
        <w:pStyle w:val="BodyText"/>
        <w:ind w:left="595"/>
      </w:pPr>
      <w:r>
        <w:rPr>
          <w:spacing w:val="-5"/>
        </w:rPr>
        <w:t>② 胸膜炎或心包炎；</w:t>
      </w:r>
    </w:p>
    <w:p>
      <w:pPr>
        <w:pStyle w:val="BodyText"/>
        <w:ind w:left="595"/>
      </w:pPr>
      <w:r>
        <w:rPr>
          <w:spacing w:val="-4"/>
        </w:rPr>
        <w:t>③ 肾病：</w:t>
      </w:r>
      <w:r>
        <w:rPr>
          <w:rFonts w:ascii="Times New Roman" w:hAnsi="Times New Roman" w:eastAsia="Times New Roman"/>
        </w:rPr>
        <w:t>24</w:t>
      </w:r>
      <w:r>
        <w:rPr>
          <w:rFonts w:ascii="Times New Roman" w:hAnsi="Times New Roman" w:eastAsia="Times New Roman"/>
          <w:spacing w:val="-5"/>
        </w:rPr>
        <w:t> </w:t>
      </w:r>
      <w:r>
        <w:rPr>
          <w:spacing w:val="-6"/>
        </w:rPr>
        <w:t>小时尿蛋白定量达到 </w:t>
      </w:r>
      <w:r>
        <w:rPr>
          <w:rFonts w:ascii="Times New Roman" w:hAnsi="Times New Roman" w:eastAsia="Times New Roman"/>
        </w:rPr>
        <w:t>0.5</w:t>
      </w:r>
      <w:r>
        <w:rPr>
          <w:rFonts w:ascii="Times New Roman" w:hAnsi="Times New Roman" w:eastAsia="Times New Roman"/>
          <w:spacing w:val="-5"/>
        </w:rPr>
        <w:t> </w:t>
      </w:r>
      <w:r>
        <w:rPr>
          <w:spacing w:val="-5"/>
        </w:rPr>
        <w:t>克；</w:t>
      </w:r>
    </w:p>
    <w:p>
      <w:pPr>
        <w:pStyle w:val="BodyText"/>
        <w:ind w:left="595"/>
      </w:pPr>
      <w:r>
        <w:rPr>
          <w:spacing w:val="-16"/>
        </w:rPr>
        <w:t>④ 血象异常</w:t>
      </w:r>
      <w:r>
        <w:rPr>
          <w:spacing w:val="-2"/>
        </w:rPr>
        <w:t>（</w:t>
      </w:r>
      <w:r>
        <w:rPr>
          <w:spacing w:val="-12"/>
        </w:rPr>
        <w:t>白细胞小于 </w:t>
      </w:r>
      <w:r>
        <w:rPr>
          <w:rFonts w:ascii="Times New Roman" w:hAnsi="Times New Roman" w:eastAsia="Times New Roman"/>
          <w:spacing w:val="-2"/>
        </w:rPr>
        <w:t>4</w:t>
      </w:r>
      <w:r>
        <w:rPr>
          <w:spacing w:val="-2"/>
        </w:rPr>
        <w:t>×</w:t>
      </w:r>
      <w:r>
        <w:rPr>
          <w:rFonts w:ascii="Times New Roman" w:hAnsi="Times New Roman" w:eastAsia="Times New Roman"/>
          <w:spacing w:val="-2"/>
        </w:rPr>
        <w:t>10</w:t>
      </w:r>
      <w:r>
        <w:rPr>
          <w:rFonts w:ascii="Times New Roman" w:hAnsi="Times New Roman" w:eastAsia="Times New Roman"/>
          <w:spacing w:val="-2"/>
          <w:position w:val="7"/>
          <w:sz w:val="14"/>
        </w:rPr>
        <w:t>9</w:t>
      </w:r>
      <w:r>
        <w:rPr>
          <w:rFonts w:ascii="Times New Roman" w:hAnsi="Times New Roman" w:eastAsia="Times New Roman"/>
          <w:spacing w:val="-2"/>
        </w:rPr>
        <w:t>/L</w:t>
      </w:r>
      <w:r>
        <w:rPr>
          <w:rFonts w:ascii="Times New Roman" w:hAnsi="Times New Roman" w:eastAsia="Times New Roman"/>
          <w:spacing w:val="-13"/>
        </w:rPr>
        <w:t> </w:t>
      </w:r>
      <w:r>
        <w:rPr>
          <w:spacing w:val="-11"/>
        </w:rPr>
        <w:t>或血小板小于 </w:t>
      </w:r>
      <w:r>
        <w:rPr>
          <w:rFonts w:ascii="Times New Roman" w:hAnsi="Times New Roman" w:eastAsia="Times New Roman"/>
          <w:spacing w:val="-2"/>
        </w:rPr>
        <w:t>100</w:t>
      </w:r>
      <w:r>
        <w:rPr>
          <w:spacing w:val="-2"/>
        </w:rPr>
        <w:t>×</w:t>
      </w:r>
      <w:r>
        <w:rPr>
          <w:rFonts w:ascii="Times New Roman" w:hAnsi="Times New Roman" w:eastAsia="Times New Roman"/>
          <w:spacing w:val="-2"/>
        </w:rPr>
        <w:t>10⁹/L</w:t>
      </w:r>
      <w:r>
        <w:rPr>
          <w:rFonts w:ascii="Times New Roman" w:hAnsi="Times New Roman" w:eastAsia="Times New Roman"/>
          <w:spacing w:val="-12"/>
        </w:rPr>
        <w:t> </w:t>
      </w:r>
      <w:r>
        <w:rPr>
          <w:spacing w:val="-2"/>
        </w:rPr>
        <w:t>或溶血性贫血</w:t>
      </w:r>
      <w:r>
        <w:rPr>
          <w:spacing w:val="-111"/>
        </w:rPr>
        <w:t>）</w:t>
      </w:r>
      <w:r>
        <w:rPr>
          <w:spacing w:val="-5"/>
        </w:rPr>
        <w:t>；</w:t>
      </w:r>
    </w:p>
    <w:p>
      <w:pPr>
        <w:pStyle w:val="BodyText"/>
        <w:ind w:left="595"/>
      </w:pPr>
      <w:r>
        <w:rPr>
          <w:spacing w:val="10"/>
        </w:rPr>
        <w:t>⑤ 抗</w:t>
      </w:r>
      <w:r>
        <w:rPr>
          <w:rFonts w:ascii="Times New Roman" w:hAnsi="Times New Roman" w:eastAsia="Times New Roman"/>
        </w:rPr>
        <w:t>dsDNA</w:t>
      </w:r>
      <w:r>
        <w:rPr>
          <w:rFonts w:ascii="Times New Roman" w:hAnsi="Times New Roman" w:eastAsia="Times New Roman"/>
          <w:spacing w:val="-8"/>
        </w:rPr>
        <w:t> </w:t>
      </w:r>
      <w:r>
        <w:rPr>
          <w:spacing w:val="-7"/>
        </w:rPr>
        <w:t>抗体阳性，或抗 </w:t>
      </w:r>
      <w:r>
        <w:rPr>
          <w:rFonts w:ascii="Times New Roman" w:hAnsi="Times New Roman" w:eastAsia="Times New Roman"/>
        </w:rPr>
        <w:t>Sm</w:t>
      </w:r>
      <w:r>
        <w:rPr>
          <w:rFonts w:ascii="Times New Roman" w:hAnsi="Times New Roman" w:eastAsia="Times New Roman"/>
          <w:spacing w:val="-9"/>
        </w:rPr>
        <w:t> </w:t>
      </w:r>
      <w:r>
        <w:rPr>
          <w:spacing w:val="-1"/>
        </w:rPr>
        <w:t>抗体阳性，或抗核抗体阳性。</w:t>
      </w:r>
    </w:p>
    <w:p>
      <w:pPr>
        <w:pStyle w:val="ListParagraph"/>
        <w:numPr>
          <w:ilvl w:val="0"/>
          <w:numId w:val="45"/>
        </w:numPr>
        <w:tabs>
          <w:tab w:pos="705" w:val="left" w:leader="none"/>
        </w:tabs>
        <w:spacing w:line="240" w:lineRule="auto" w:before="43" w:after="0"/>
        <w:ind w:left="704" w:right="0" w:hanging="531"/>
        <w:jc w:val="left"/>
        <w:rPr>
          <w:sz w:val="21"/>
        </w:rPr>
      </w:pPr>
      <w:r>
        <w:rPr>
          <w:spacing w:val="-3"/>
          <w:sz w:val="21"/>
        </w:rPr>
        <w:t>系统性红斑狼疮的诊断必须经专科医生确诊。</w:t>
      </w:r>
    </w:p>
    <w:p>
      <w:pPr>
        <w:spacing w:after="0" w:line="240" w:lineRule="auto"/>
        <w:jc w:val="left"/>
        <w:rPr>
          <w:sz w:val="21"/>
        </w:rPr>
        <w:sectPr>
          <w:type w:val="continuous"/>
          <w:pgSz w:w="11910" w:h="16840"/>
          <w:pgMar w:header="0" w:footer="458" w:top="620" w:bottom="280" w:left="800" w:right="660"/>
          <w:cols w:num="2" w:equalWidth="0">
            <w:col w:w="2485" w:space="40"/>
            <w:col w:w="7925"/>
          </w:cols>
        </w:sectPr>
      </w:pPr>
    </w:p>
    <w:p>
      <w:pPr>
        <w:pStyle w:val="BodyText"/>
        <w:spacing w:before="8"/>
      </w:pPr>
    </w:p>
    <w:p>
      <w:pPr>
        <w:spacing w:after="0"/>
        <w:sectPr>
          <w:type w:val="continuous"/>
          <w:pgSz w:w="11910" w:h="16840"/>
          <w:pgMar w:header="0" w:footer="458" w:top="620" w:bottom="280" w:left="800" w:right="660"/>
        </w:sectPr>
      </w:pPr>
    </w:p>
    <w:p>
      <w:pPr>
        <w:pStyle w:val="ListParagraph"/>
        <w:numPr>
          <w:ilvl w:val="0"/>
          <w:numId w:val="44"/>
        </w:numPr>
        <w:tabs>
          <w:tab w:pos="1313" w:val="left" w:leader="none"/>
        </w:tabs>
        <w:spacing w:line="194" w:lineRule="auto" w:before="64" w:after="0"/>
        <w:ind w:left="1072" w:right="0" w:firstLine="0"/>
        <w:jc w:val="left"/>
        <w:rPr>
          <w:rFonts w:ascii="微软雅黑" w:eastAsia="微软雅黑"/>
          <w:b/>
          <w:sz w:val="21"/>
        </w:rPr>
      </w:pPr>
      <w:r>
        <w:rPr>
          <w:rFonts w:ascii="微软雅黑" w:eastAsia="微软雅黑"/>
          <w:b/>
          <w:spacing w:val="20"/>
          <w:sz w:val="21"/>
        </w:rPr>
        <w:t>中度脑炎或</w:t>
      </w:r>
      <w:r>
        <w:rPr>
          <w:rFonts w:ascii="微软雅黑" w:eastAsia="微软雅黑"/>
          <w:b/>
          <w:spacing w:val="-2"/>
          <w:sz w:val="21"/>
        </w:rPr>
        <w:t>脑膜炎后遗症</w:t>
      </w:r>
    </w:p>
    <w:p>
      <w:pPr>
        <w:pStyle w:val="BodyText"/>
        <w:spacing w:line="278" w:lineRule="auto" w:before="78"/>
        <w:ind w:left="174" w:right="353"/>
      </w:pPr>
      <w:r>
        <w:rPr/>
        <w:br w:type="column"/>
      </w:r>
      <w:r>
        <w:rPr>
          <w:spacing w:val="-2"/>
        </w:rPr>
        <w:t>指因患脑炎或者脑膜炎导致的神经系统的功能障碍。疾病确诊 </w:t>
      </w:r>
      <w:r>
        <w:rPr>
          <w:rFonts w:ascii="Times New Roman" w:eastAsia="Times New Roman"/>
        </w:rPr>
        <w:t>180</w:t>
      </w:r>
      <w:r>
        <w:rPr>
          <w:rFonts w:ascii="Times New Roman" w:eastAsia="Times New Roman"/>
          <w:spacing w:val="-10"/>
        </w:rPr>
        <w:t> </w:t>
      </w:r>
      <w:r>
        <w:rPr/>
        <w:t>天后，仍存在</w:t>
      </w:r>
      <w:r>
        <w:rPr>
          <w:spacing w:val="-2"/>
        </w:rPr>
        <w:t>自主生活能力完全丧失，无法独立完成六项基本日常生活活动中的两项。</w:t>
      </w:r>
    </w:p>
    <w:p>
      <w:pPr>
        <w:spacing w:after="0" w:line="278" w:lineRule="auto"/>
        <w:sectPr>
          <w:type w:val="continuous"/>
          <w:pgSz w:w="11910" w:h="16840"/>
          <w:pgMar w:header="0" w:footer="458" w:top="620" w:bottom="280" w:left="800" w:right="660"/>
          <w:cols w:num="2" w:equalWidth="0">
            <w:col w:w="2485" w:space="40"/>
            <w:col w:w="7925"/>
          </w:cols>
        </w:sectPr>
      </w:pPr>
    </w:p>
    <w:p>
      <w:pPr>
        <w:pStyle w:val="BodyText"/>
        <w:spacing w:before="10"/>
        <w:rPr>
          <w:sz w:val="18"/>
        </w:rPr>
      </w:pPr>
    </w:p>
    <w:p>
      <w:pPr>
        <w:spacing w:after="0"/>
        <w:rPr>
          <w:sz w:val="18"/>
        </w:rPr>
        <w:sectPr>
          <w:type w:val="continuous"/>
          <w:pgSz w:w="11910" w:h="16840"/>
          <w:pgMar w:header="0" w:footer="458" w:top="620" w:bottom="280" w:left="800" w:right="660"/>
        </w:sectPr>
      </w:pPr>
    </w:p>
    <w:p>
      <w:pPr>
        <w:pStyle w:val="ListParagraph"/>
        <w:numPr>
          <w:ilvl w:val="0"/>
          <w:numId w:val="44"/>
        </w:numPr>
        <w:tabs>
          <w:tab w:pos="1313" w:val="left" w:leader="none"/>
        </w:tabs>
        <w:spacing w:line="194" w:lineRule="auto" w:before="57" w:after="0"/>
        <w:ind w:left="1072" w:right="0" w:firstLine="0"/>
        <w:jc w:val="left"/>
        <w:rPr>
          <w:rFonts w:ascii="微软雅黑" w:eastAsia="微软雅黑"/>
          <w:b/>
          <w:sz w:val="21"/>
        </w:rPr>
      </w:pPr>
      <w:r>
        <w:rPr>
          <w:rFonts w:ascii="微软雅黑" w:eastAsia="微软雅黑"/>
          <w:b/>
          <w:spacing w:val="20"/>
          <w:sz w:val="21"/>
        </w:rPr>
        <w:t>中度运动神</w:t>
      </w:r>
      <w:r>
        <w:rPr>
          <w:rFonts w:ascii="微软雅黑" w:eastAsia="微软雅黑"/>
          <w:b/>
          <w:spacing w:val="-4"/>
          <w:sz w:val="21"/>
        </w:rPr>
        <w:t>经元病</w:t>
      </w:r>
    </w:p>
    <w:p>
      <w:pPr>
        <w:pStyle w:val="BodyText"/>
        <w:spacing w:line="278" w:lineRule="auto" w:before="72"/>
        <w:ind w:left="174" w:right="387"/>
        <w:jc w:val="both"/>
      </w:pPr>
      <w:r>
        <w:rPr/>
        <w:br w:type="column"/>
      </w:r>
      <w:r>
        <w:rPr>
          <w:spacing w:val="-2"/>
        </w:rPr>
        <w:t>是一组中枢神经系统运动神经元的进行性变性疾病，进行性脊肌萎缩症、进行性</w:t>
      </w:r>
      <w:r>
        <w:rPr>
          <w:spacing w:val="-2"/>
        </w:rPr>
        <w:t>延髓麻痹症、原发性侧索硬化症、肌萎缩性侧索硬化症。须满足自主生活能力部</w:t>
      </w:r>
      <w:r>
        <w:rPr>
          <w:spacing w:val="-2"/>
        </w:rPr>
        <w:t>分丧失，无法独立完成六项基本日常生活活动中的两项。</w:t>
      </w:r>
    </w:p>
    <w:p>
      <w:pPr>
        <w:spacing w:after="0" w:line="278" w:lineRule="auto"/>
        <w:jc w:val="both"/>
        <w:sectPr>
          <w:type w:val="continuous"/>
          <w:pgSz w:w="11910" w:h="16840"/>
          <w:pgMar w:header="0" w:footer="458" w:top="620" w:bottom="280" w:left="800" w:right="660"/>
          <w:cols w:num="2" w:equalWidth="0">
            <w:col w:w="2485" w:space="40"/>
            <w:col w:w="7925"/>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44"/>
        </w:numPr>
        <w:tabs>
          <w:tab w:pos="1313" w:val="left" w:leader="none"/>
        </w:tabs>
        <w:spacing w:line="194" w:lineRule="auto" w:before="57" w:after="0"/>
        <w:ind w:left="1072" w:right="0" w:firstLine="0"/>
        <w:jc w:val="left"/>
        <w:rPr>
          <w:rFonts w:ascii="微软雅黑" w:eastAsia="微软雅黑"/>
          <w:b/>
          <w:sz w:val="21"/>
        </w:rPr>
      </w:pPr>
      <w:r>
        <w:rPr>
          <w:rFonts w:ascii="微软雅黑" w:eastAsia="微软雅黑"/>
          <w:b/>
          <w:spacing w:val="20"/>
          <w:sz w:val="21"/>
        </w:rPr>
        <w:t>中度原发性</w:t>
      </w:r>
      <w:r>
        <w:rPr>
          <w:rFonts w:ascii="微软雅黑" w:eastAsia="微软雅黑"/>
          <w:b/>
          <w:spacing w:val="-4"/>
          <w:sz w:val="21"/>
        </w:rPr>
        <w:t>帕金森病</w:t>
      </w:r>
    </w:p>
    <w:p>
      <w:pPr>
        <w:pStyle w:val="BodyText"/>
        <w:spacing w:line="278" w:lineRule="auto" w:before="72"/>
        <w:ind w:left="174" w:right="387"/>
      </w:pPr>
      <w:r>
        <w:rPr/>
        <w:br w:type="column"/>
      </w:r>
      <w:r>
        <w:rPr>
          <w:spacing w:val="-2"/>
        </w:rPr>
        <w:t>是一种中枢神经系统的退行性疾病，临床表现为震颤麻痹、共济失调等。须满足</w:t>
      </w:r>
      <w:r>
        <w:rPr>
          <w:spacing w:val="-2"/>
        </w:rPr>
        <w:t>下列全部条件：</w:t>
      </w:r>
    </w:p>
    <w:p>
      <w:pPr>
        <w:pStyle w:val="ListParagraph"/>
        <w:numPr>
          <w:ilvl w:val="0"/>
          <w:numId w:val="46"/>
        </w:numPr>
        <w:tabs>
          <w:tab w:pos="704" w:val="left" w:leader="none"/>
        </w:tabs>
        <w:spacing w:line="269" w:lineRule="exact" w:before="0" w:after="0"/>
        <w:ind w:left="703" w:right="0" w:hanging="530"/>
        <w:jc w:val="left"/>
        <w:rPr>
          <w:sz w:val="21"/>
        </w:rPr>
      </w:pPr>
      <w:r>
        <w:rPr>
          <w:spacing w:val="-3"/>
          <w:sz w:val="21"/>
        </w:rPr>
        <w:t>药物治疗无法控制病情；</w:t>
      </w:r>
    </w:p>
    <w:p>
      <w:pPr>
        <w:pStyle w:val="ListParagraph"/>
        <w:numPr>
          <w:ilvl w:val="0"/>
          <w:numId w:val="46"/>
        </w:numPr>
        <w:tabs>
          <w:tab w:pos="704" w:val="left" w:leader="none"/>
        </w:tabs>
        <w:spacing w:line="257" w:lineRule="exact" w:before="43" w:after="0"/>
        <w:ind w:left="703" w:right="0" w:hanging="530"/>
        <w:jc w:val="left"/>
        <w:rPr>
          <w:sz w:val="21"/>
        </w:rPr>
      </w:pPr>
      <w:r>
        <w:rPr>
          <w:spacing w:val="-3"/>
          <w:sz w:val="21"/>
        </w:rPr>
        <w:t>自主生活能力完全丧失，无法独立完成六项基本日常生活活动中的两项。</w:t>
      </w:r>
    </w:p>
    <w:p>
      <w:pPr>
        <w:spacing w:line="375" w:lineRule="exact" w:before="0"/>
        <w:ind w:left="174" w:right="0" w:firstLine="0"/>
        <w:jc w:val="left"/>
        <w:rPr>
          <w:rFonts w:ascii="微软雅黑" w:eastAsia="微软雅黑"/>
          <w:b/>
          <w:sz w:val="21"/>
        </w:rPr>
      </w:pPr>
      <w:r>
        <w:rPr>
          <w:rFonts w:ascii="微软雅黑" w:eastAsia="微软雅黑"/>
          <w:b/>
          <w:spacing w:val="-3"/>
          <w:sz w:val="21"/>
        </w:rPr>
        <w:t>继发性帕金森综合征、帕金森叠加综合征不在本保障范围内。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44"/>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结核性脊髓</w:t>
      </w:r>
      <w:r>
        <w:rPr>
          <w:rFonts w:ascii="微软雅黑" w:eastAsia="微软雅黑"/>
          <w:b/>
          <w:spacing w:val="-10"/>
          <w:sz w:val="21"/>
        </w:rPr>
        <w:t>炎</w:t>
      </w:r>
    </w:p>
    <w:p>
      <w:pPr>
        <w:pStyle w:val="BodyText"/>
        <w:spacing w:line="278" w:lineRule="auto" w:before="71"/>
        <w:ind w:left="174" w:right="387"/>
      </w:pPr>
      <w:r>
        <w:rPr/>
        <w:br w:type="column"/>
      </w:r>
      <w:r>
        <w:rPr>
          <w:spacing w:val="-2"/>
        </w:rPr>
        <w:t>指因结核杆菌引起的脊髓炎，导致永久性神经系统功能中度障碍，即：疾病第一</w:t>
      </w:r>
      <w:r>
        <w:rPr>
          <w:spacing w:val="-5"/>
        </w:rPr>
        <w:t>次确诊 </w:t>
      </w:r>
      <w:r>
        <w:rPr>
          <w:rFonts w:ascii="Times New Roman" w:eastAsia="Times New Roman"/>
        </w:rPr>
        <w:t>180 </w:t>
      </w:r>
      <w:r>
        <w:rPr/>
        <w:t>天后，仍遗留下列障碍：</w:t>
      </w:r>
    </w:p>
    <w:p>
      <w:pPr>
        <w:pStyle w:val="BodyText"/>
        <w:spacing w:line="278" w:lineRule="auto" w:before="1"/>
        <w:ind w:left="174" w:right="387"/>
      </w:pPr>
      <w:r>
        <w:rPr>
          <w:spacing w:val="-2"/>
        </w:rPr>
        <w:t>自主生活能力部分丧失，无法独立完成六项基本日常生活活动中的二项或二项以</w:t>
      </w:r>
      <w:r>
        <w:rPr>
          <w:spacing w:val="-6"/>
        </w:rPr>
        <w:t>上。</w:t>
      </w:r>
    </w:p>
    <w:p>
      <w:pPr>
        <w:pStyle w:val="BodyText"/>
        <w:spacing w:line="278" w:lineRule="auto" w:before="0"/>
        <w:ind w:left="174" w:right="387"/>
      </w:pPr>
      <w:r>
        <w:rPr>
          <w:spacing w:val="-2"/>
        </w:rPr>
        <w:t>该诊断必须由本公司认可的医疗机构内的神经专科医生证实，并必须由适当的检</w:t>
      </w:r>
      <w:r>
        <w:rPr>
          <w:spacing w:val="-2"/>
        </w:rPr>
        <w:t>查证明为结核性脊髓炎。</w:t>
      </w:r>
    </w:p>
    <w:p>
      <w:pPr>
        <w:spacing w:after="0" w:line="278" w:lineRule="auto"/>
        <w:sectPr>
          <w:type w:val="continuous"/>
          <w:pgSz w:w="11910" w:h="16840"/>
          <w:pgMar w:header="0" w:footer="458" w:top="620" w:bottom="280" w:left="800" w:right="660"/>
          <w:cols w:num="2" w:equalWidth="0">
            <w:col w:w="2486" w:space="40"/>
            <w:col w:w="7924"/>
          </w:cols>
        </w:sectPr>
      </w:pPr>
    </w:p>
    <w:p>
      <w:pPr>
        <w:pStyle w:val="ListParagraph"/>
        <w:numPr>
          <w:ilvl w:val="0"/>
          <w:numId w:val="44"/>
        </w:numPr>
        <w:tabs>
          <w:tab w:pos="1399" w:val="left" w:leader="none"/>
        </w:tabs>
        <w:spacing w:line="194" w:lineRule="auto" w:before="28" w:after="0"/>
        <w:ind w:left="1072" w:right="0" w:firstLine="0"/>
        <w:jc w:val="left"/>
        <w:rPr>
          <w:rFonts w:ascii="微软雅黑" w:eastAsia="微软雅黑"/>
          <w:b/>
          <w:sz w:val="21"/>
        </w:rPr>
      </w:pPr>
      <w:r>
        <w:rPr>
          <w:rFonts w:ascii="微软雅黑" w:eastAsia="微软雅黑"/>
          <w:b/>
          <w:spacing w:val="-2"/>
          <w:sz w:val="21"/>
        </w:rPr>
        <w:t>中度脊髓灰</w:t>
      </w:r>
      <w:r>
        <w:rPr>
          <w:rFonts w:ascii="微软雅黑" w:eastAsia="微软雅黑"/>
          <w:b/>
          <w:spacing w:val="-6"/>
          <w:sz w:val="21"/>
        </w:rPr>
        <w:t>质炎</w:t>
      </w:r>
    </w:p>
    <w:p>
      <w:pPr>
        <w:pStyle w:val="BodyText"/>
        <w:spacing w:line="278" w:lineRule="auto"/>
        <w:ind w:left="174" w:right="387"/>
        <w:jc w:val="both"/>
      </w:pPr>
      <w:r>
        <w:rPr/>
        <w:br w:type="column"/>
      </w:r>
      <w:r>
        <w:rPr>
          <w:spacing w:val="-2"/>
        </w:rPr>
        <w:t>脊髓灰质炎是由于脊髓灰质炎病毒感染所致的瘫痪性疾病，临床表现为运动功能</w:t>
      </w:r>
      <w:r>
        <w:rPr>
          <w:spacing w:val="-2"/>
        </w:rPr>
        <w:t>损害或呼吸无力。脊髓灰质炎必须明确诊断。本保险合同仅对脊髓灰质炎造成的</w:t>
      </w:r>
      <w:r>
        <w:rPr>
          <w:spacing w:val="-2"/>
        </w:rPr>
        <w:t>神经系统功能损害导致被保险人一肢肢体机能永久完全丧失的情况予以理赔。肢</w:t>
      </w:r>
      <w:r>
        <w:rPr>
          <w:spacing w:val="-4"/>
        </w:rPr>
        <w:t>体机能永久完全丧失，指疾病确诊 </w:t>
      </w:r>
      <w:r>
        <w:rPr>
          <w:rFonts w:ascii="Times New Roman" w:eastAsia="Times New Roman"/>
          <w:spacing w:val="-2"/>
        </w:rPr>
        <w:t>180</w:t>
      </w:r>
      <w:r>
        <w:rPr>
          <w:rFonts w:ascii="Times New Roman" w:eastAsia="Times New Roman"/>
          <w:spacing w:val="17"/>
        </w:rPr>
        <w:t> </w:t>
      </w:r>
      <w:r>
        <w:rPr>
          <w:spacing w:val="-2"/>
        </w:rPr>
        <w:t>天后，该肢三大关节中的至少一个大关节</w:t>
      </w:r>
      <w:r>
        <w:rPr>
          <w:spacing w:val="-2"/>
        </w:rPr>
        <w:t>仍然完全僵硬，或不能随意识活动。</w:t>
      </w:r>
    </w:p>
    <w:p>
      <w:pPr>
        <w:spacing w:after="0" w:line="278" w:lineRule="auto"/>
        <w:jc w:val="both"/>
        <w:sectPr>
          <w:pgSz w:w="11910" w:h="16840"/>
          <w:pgMar w:header="0" w:footer="458" w:top="1260" w:bottom="640" w:left="800" w:right="660"/>
          <w:cols w:num="2" w:equalWidth="0">
            <w:col w:w="2486" w:space="40"/>
            <w:col w:w="792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44"/>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中度肠道疾</w:t>
      </w:r>
      <w:r>
        <w:rPr>
          <w:rFonts w:ascii="微软雅黑" w:eastAsia="微软雅黑"/>
          <w:b/>
          <w:spacing w:val="-4"/>
          <w:sz w:val="21"/>
        </w:rPr>
        <w:t>病并发症</w:t>
      </w:r>
    </w:p>
    <w:p>
      <w:pPr>
        <w:pStyle w:val="BodyText"/>
        <w:spacing w:before="72"/>
        <w:ind w:left="174"/>
      </w:pPr>
      <w:r>
        <w:rPr/>
        <w:br w:type="column"/>
      </w:r>
      <w:r>
        <w:rPr>
          <w:spacing w:val="-3"/>
        </w:rPr>
        <w:t>严重肠道疾病或外伤导致小肠损害并发症，本疾病须满足以下所有条件：</w:t>
      </w:r>
    </w:p>
    <w:p>
      <w:pPr>
        <w:pStyle w:val="ListParagraph"/>
        <w:numPr>
          <w:ilvl w:val="0"/>
          <w:numId w:val="47"/>
        </w:numPr>
        <w:tabs>
          <w:tab w:pos="705" w:val="left" w:leader="none"/>
        </w:tabs>
        <w:spacing w:line="240" w:lineRule="auto" w:before="43" w:after="0"/>
        <w:ind w:left="704" w:right="0" w:hanging="531"/>
        <w:jc w:val="left"/>
        <w:rPr>
          <w:sz w:val="21"/>
        </w:rPr>
      </w:pPr>
      <w:r>
        <w:rPr>
          <w:spacing w:val="-3"/>
          <w:sz w:val="21"/>
        </w:rPr>
        <w:t>至少切除了二分之一小肠；</w:t>
      </w:r>
    </w:p>
    <w:p>
      <w:pPr>
        <w:pStyle w:val="ListParagraph"/>
        <w:numPr>
          <w:ilvl w:val="0"/>
          <w:numId w:val="47"/>
        </w:numPr>
        <w:tabs>
          <w:tab w:pos="705" w:val="left" w:leader="none"/>
        </w:tabs>
        <w:spacing w:line="257" w:lineRule="exact" w:before="43" w:after="0"/>
        <w:ind w:left="704" w:right="0" w:hanging="531"/>
        <w:jc w:val="left"/>
        <w:rPr>
          <w:sz w:val="21"/>
        </w:rPr>
      </w:pPr>
      <w:r>
        <w:rPr>
          <w:spacing w:val="-3"/>
          <w:sz w:val="21"/>
        </w:rPr>
        <w:t>完全肠外营养支持二个月以上。</w:t>
      </w:r>
    </w:p>
    <w:p>
      <w:pPr>
        <w:spacing w:line="375" w:lineRule="exact" w:before="0"/>
        <w:ind w:left="174" w:right="0" w:firstLine="0"/>
        <w:jc w:val="left"/>
        <w:rPr>
          <w:rFonts w:ascii="微软雅黑" w:hAnsi="微软雅黑" w:eastAsia="微软雅黑"/>
          <w:b/>
          <w:sz w:val="21"/>
        </w:rPr>
      </w:pPr>
      <w:r>
        <w:rPr>
          <w:rFonts w:ascii="微软雅黑" w:hAnsi="微软雅黑" w:eastAsia="微软雅黑"/>
          <w:b/>
          <w:spacing w:val="-3"/>
          <w:sz w:val="21"/>
        </w:rPr>
        <w:t>因克罗恩病所致“中度肠道疾病并发症”不在本保障范围内。</w:t>
      </w:r>
    </w:p>
    <w:p>
      <w:pPr>
        <w:spacing w:after="0" w:line="375" w:lineRule="exact"/>
        <w:jc w:val="left"/>
        <w:rPr>
          <w:rFonts w:ascii="微软雅黑" w:hAns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44"/>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单侧肺脏切</w:t>
      </w:r>
      <w:r>
        <w:rPr>
          <w:rFonts w:ascii="微软雅黑" w:eastAsia="微软雅黑"/>
          <w:b/>
          <w:spacing w:val="-10"/>
          <w:sz w:val="21"/>
        </w:rPr>
        <w:t>除</w:t>
      </w:r>
    </w:p>
    <w:p>
      <w:pPr>
        <w:pStyle w:val="BodyText"/>
        <w:spacing w:line="257" w:lineRule="exact" w:before="71"/>
        <w:ind w:left="174"/>
      </w:pPr>
      <w:r>
        <w:rPr/>
        <w:br w:type="column"/>
      </w:r>
      <w:r>
        <w:rPr>
          <w:spacing w:val="-3"/>
        </w:rPr>
        <w:t>指因疾病或意外事故实际实施的一侧肺脏切除术。</w:t>
      </w:r>
    </w:p>
    <w:p>
      <w:pPr>
        <w:spacing w:line="375" w:lineRule="exact" w:before="0"/>
        <w:ind w:left="174" w:right="0" w:firstLine="0"/>
        <w:jc w:val="left"/>
        <w:rPr>
          <w:rFonts w:ascii="微软雅黑" w:eastAsia="微软雅黑"/>
          <w:b/>
          <w:sz w:val="21"/>
        </w:rPr>
      </w:pPr>
      <w:r>
        <w:rPr>
          <w:rFonts w:ascii="微软雅黑" w:eastAsia="微软雅黑"/>
          <w:b/>
          <w:spacing w:val="-5"/>
          <w:sz w:val="21"/>
        </w:rPr>
        <w:t>因药物滥用、酗酒、肺脏部分切除手术、肺脏捐献引起的手术不在本保障范围内。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2"/>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44"/>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中度溃疡性</w:t>
      </w:r>
      <w:r>
        <w:rPr>
          <w:rFonts w:ascii="微软雅黑" w:eastAsia="微软雅黑"/>
          <w:b/>
          <w:spacing w:val="-4"/>
          <w:sz w:val="21"/>
        </w:rPr>
        <w:t>结肠炎</w:t>
      </w:r>
    </w:p>
    <w:p>
      <w:pPr>
        <w:pStyle w:val="BodyText"/>
        <w:spacing w:line="278" w:lineRule="auto" w:before="72"/>
        <w:ind w:left="174" w:right="387"/>
      </w:pPr>
      <w:r>
        <w:rPr/>
        <w:br w:type="column"/>
      </w:r>
      <w:r>
        <w:rPr>
          <w:spacing w:val="-2"/>
        </w:rPr>
        <w:t>指伴有致命性电解质紊乱的急性暴发性溃疡性结肠炎，病变已经累及全结肠。须</w:t>
      </w:r>
      <w:r>
        <w:rPr>
          <w:spacing w:val="-2"/>
        </w:rPr>
        <w:t>满足下列所有条件：</w:t>
      </w:r>
    </w:p>
    <w:p>
      <w:pPr>
        <w:pStyle w:val="ListParagraph"/>
        <w:numPr>
          <w:ilvl w:val="0"/>
          <w:numId w:val="48"/>
        </w:numPr>
        <w:tabs>
          <w:tab w:pos="705" w:val="left" w:leader="none"/>
        </w:tabs>
        <w:spacing w:line="278" w:lineRule="auto" w:before="0" w:after="0"/>
        <w:ind w:left="174" w:right="353" w:firstLine="0"/>
        <w:jc w:val="left"/>
        <w:rPr>
          <w:sz w:val="21"/>
        </w:rPr>
      </w:pPr>
      <w:r>
        <w:rPr>
          <w:spacing w:val="-5"/>
          <w:w w:val="100"/>
          <w:sz w:val="21"/>
        </w:rPr>
        <w:t>须经由内窥镜检查证实该疾病侵犯全部结肠及直肠，并经病理学组织切片</w:t>
      </w:r>
      <w:r>
        <w:rPr>
          <w:spacing w:val="-4"/>
          <w:w w:val="100"/>
          <w:sz w:val="21"/>
        </w:rPr>
        <w:t>检查证实为溃疡性结肠炎；</w:t>
      </w:r>
    </w:p>
    <w:p>
      <w:pPr>
        <w:pStyle w:val="ListParagraph"/>
        <w:numPr>
          <w:ilvl w:val="0"/>
          <w:numId w:val="48"/>
        </w:numPr>
        <w:tabs>
          <w:tab w:pos="705" w:val="left" w:leader="none"/>
        </w:tabs>
        <w:spacing w:line="269" w:lineRule="exact" w:before="0" w:after="0"/>
        <w:ind w:left="704" w:right="0" w:hanging="531"/>
        <w:jc w:val="left"/>
        <w:rPr>
          <w:sz w:val="21"/>
        </w:rPr>
      </w:pPr>
      <w:r>
        <w:rPr>
          <w:spacing w:val="-5"/>
          <w:sz w:val="21"/>
        </w:rPr>
        <w:t>经专科医生以类固醇或免疫抑制剂连续治疗 </w:t>
      </w:r>
      <w:r>
        <w:rPr>
          <w:rFonts w:ascii="Times New Roman" w:eastAsia="Times New Roman"/>
          <w:spacing w:val="-2"/>
          <w:sz w:val="21"/>
        </w:rPr>
        <w:t>6</w:t>
      </w:r>
      <w:r>
        <w:rPr>
          <w:rFonts w:ascii="Times New Roman" w:eastAsia="Times New Roman"/>
          <w:spacing w:val="6"/>
          <w:sz w:val="21"/>
        </w:rPr>
        <w:t> </w:t>
      </w:r>
      <w:r>
        <w:rPr>
          <w:spacing w:val="-5"/>
          <w:sz w:val="21"/>
        </w:rPr>
        <w:t>个月。</w:t>
      </w:r>
    </w:p>
    <w:p>
      <w:pPr>
        <w:pStyle w:val="BodyText"/>
        <w:spacing w:line="278" w:lineRule="auto"/>
        <w:ind w:left="174" w:right="387"/>
      </w:pPr>
      <w:r>
        <w:rPr>
          <w:spacing w:val="-2"/>
        </w:rPr>
        <w:t>诊断及治疗均须在本公司认可的医疗机构内由专科医生认为是医疗必须的情况下</w:t>
      </w:r>
      <w:r>
        <w:rPr>
          <w:spacing w:val="-4"/>
        </w:rPr>
        <w:t>进行。</w:t>
      </w:r>
    </w:p>
    <w:p>
      <w:pPr>
        <w:spacing w:after="0" w:line="278" w:lineRule="auto"/>
        <w:sectPr>
          <w:type w:val="continuous"/>
          <w:pgSz w:w="11910" w:h="16840"/>
          <w:pgMar w:header="0" w:footer="458" w:top="620" w:bottom="280" w:left="800" w:right="660"/>
          <w:cols w:num="2" w:equalWidth="0">
            <w:col w:w="2486" w:space="40"/>
            <w:col w:w="792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44"/>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中度进行性</w:t>
      </w:r>
      <w:r>
        <w:rPr>
          <w:rFonts w:ascii="微软雅黑" w:eastAsia="微软雅黑"/>
          <w:b/>
          <w:spacing w:val="-2"/>
          <w:sz w:val="21"/>
        </w:rPr>
        <w:t>核上性麻痹</w:t>
      </w:r>
    </w:p>
    <w:p>
      <w:pPr>
        <w:pStyle w:val="BodyText"/>
        <w:spacing w:line="278" w:lineRule="auto" w:before="72"/>
        <w:ind w:left="174" w:right="359"/>
      </w:pPr>
      <w:r>
        <w:rPr/>
        <w:br w:type="column"/>
      </w:r>
      <w:r>
        <w:rPr>
          <w:spacing w:val="-2"/>
        </w:rPr>
        <w:t>指一种少见的神经系统变性疾病，以假球麻痹、垂直性核上性眼肌麻痹、锥体外</w:t>
      </w:r>
      <w:r>
        <w:rPr>
          <w:spacing w:val="-2"/>
        </w:rPr>
        <w:t>系肌僵直、步态共济失调和轻度痴呆为主要临床特征。</w:t>
      </w:r>
    </w:p>
    <w:p>
      <w:pPr>
        <w:pStyle w:val="BodyText"/>
        <w:spacing w:line="278" w:lineRule="auto" w:before="0"/>
        <w:ind w:left="174" w:right="359"/>
      </w:pPr>
      <w:r>
        <w:rPr>
          <w:spacing w:val="-2"/>
        </w:rPr>
        <w:t>须由本公司认可的医疗机构的专科医生确诊，且满足自主生活能力完全丧失，无</w:t>
      </w:r>
      <w:r>
        <w:rPr>
          <w:spacing w:val="-2"/>
        </w:rPr>
        <w:t>法独立完成六项基本日常生活活动中的两项。</w:t>
      </w:r>
    </w:p>
    <w:p>
      <w:pPr>
        <w:spacing w:after="0" w:line="278" w:lineRule="auto"/>
        <w:sectPr>
          <w:type w:val="continuous"/>
          <w:pgSz w:w="11910" w:h="16840"/>
          <w:pgMar w:header="0" w:footer="458" w:top="620" w:bottom="280" w:left="800" w:right="660"/>
          <w:cols w:num="2" w:equalWidth="0">
            <w:col w:w="2486" w:space="40"/>
            <w:col w:w="792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44"/>
        </w:numPr>
        <w:tabs>
          <w:tab w:pos="1399" w:val="left" w:leader="none"/>
        </w:tabs>
        <w:spacing w:line="194" w:lineRule="auto" w:before="58" w:after="0"/>
        <w:ind w:left="1072" w:right="0" w:firstLine="0"/>
        <w:jc w:val="left"/>
        <w:rPr>
          <w:rFonts w:ascii="微软雅黑" w:eastAsia="微软雅黑"/>
          <w:b/>
          <w:sz w:val="21"/>
        </w:rPr>
      </w:pPr>
      <w:r>
        <w:rPr>
          <w:rFonts w:ascii="微软雅黑" w:eastAsia="微软雅黑"/>
          <w:b/>
          <w:spacing w:val="-2"/>
          <w:sz w:val="21"/>
        </w:rPr>
        <w:t>中度克雅氏</w:t>
      </w:r>
      <w:r>
        <w:rPr>
          <w:rFonts w:ascii="微软雅黑" w:eastAsia="微软雅黑"/>
          <w:b/>
          <w:spacing w:val="-10"/>
          <w:sz w:val="21"/>
        </w:rPr>
        <w:t>症</w:t>
      </w:r>
    </w:p>
    <w:p>
      <w:pPr>
        <w:pStyle w:val="BodyText"/>
        <w:spacing w:line="278" w:lineRule="auto" w:before="72"/>
        <w:ind w:left="174" w:right="355"/>
        <w:jc w:val="both"/>
      </w:pPr>
      <w:r>
        <w:rPr/>
        <w:br w:type="column"/>
      </w:r>
      <w:r>
        <w:rPr>
          <w:spacing w:val="-2"/>
        </w:rPr>
        <w:t>是一种传染性海绵状脑病，临床表现为快速进行性痴呆、肌阵挛和特征性脑电图</w:t>
      </w:r>
      <w:r>
        <w:rPr>
          <w:spacing w:val="-2"/>
        </w:rPr>
        <w:t>变化。须由本公司认可的医疗机构的专科医生根据 </w:t>
      </w:r>
      <w:r>
        <w:rPr>
          <w:rFonts w:ascii="Times New Roman" w:eastAsia="Times New Roman"/>
        </w:rPr>
        <w:t>WHO</w:t>
      </w:r>
      <w:r>
        <w:rPr>
          <w:rFonts w:ascii="Times New Roman" w:eastAsia="Times New Roman"/>
          <w:spacing w:val="2"/>
        </w:rPr>
        <w:t> </w:t>
      </w:r>
      <w:r>
        <w:rPr/>
        <w:t>诊断标准明确诊断，并</w:t>
      </w:r>
      <w:r>
        <w:rPr>
          <w:spacing w:val="-2"/>
        </w:rPr>
        <w:t>且自主生活能力完全丧失，无法独立完成六项基本日常生活活动中的两项。</w:t>
      </w:r>
    </w:p>
    <w:p>
      <w:pPr>
        <w:spacing w:after="0" w:line="278" w:lineRule="auto"/>
        <w:jc w:val="both"/>
        <w:sectPr>
          <w:type w:val="continuous"/>
          <w:pgSz w:w="11910" w:h="16840"/>
          <w:pgMar w:header="0" w:footer="458" w:top="620" w:bottom="280" w:left="800" w:right="660"/>
          <w:cols w:num="2" w:equalWidth="0">
            <w:col w:w="2486" w:space="40"/>
            <w:col w:w="792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44"/>
        </w:numPr>
        <w:tabs>
          <w:tab w:pos="1399" w:val="left" w:leader="none"/>
        </w:tabs>
        <w:spacing w:line="194" w:lineRule="auto" w:before="58" w:after="0"/>
        <w:ind w:left="1072" w:right="0" w:firstLine="0"/>
        <w:jc w:val="left"/>
        <w:rPr>
          <w:rFonts w:ascii="微软雅黑" w:eastAsia="微软雅黑"/>
          <w:b/>
          <w:sz w:val="21"/>
        </w:rPr>
      </w:pPr>
      <w:r>
        <w:rPr>
          <w:rFonts w:ascii="微软雅黑" w:eastAsia="微软雅黑"/>
          <w:b/>
          <w:spacing w:val="-2"/>
          <w:sz w:val="21"/>
        </w:rPr>
        <w:t>中度克罗恩</w:t>
      </w:r>
      <w:r>
        <w:rPr>
          <w:rFonts w:ascii="微软雅黑" w:eastAsia="微软雅黑"/>
          <w:b/>
          <w:spacing w:val="-10"/>
          <w:sz w:val="21"/>
        </w:rPr>
        <w:t>病</w:t>
      </w:r>
    </w:p>
    <w:p>
      <w:pPr>
        <w:pStyle w:val="BodyText"/>
        <w:spacing w:line="278" w:lineRule="auto" w:before="72"/>
        <w:ind w:left="174" w:right="387"/>
        <w:jc w:val="both"/>
      </w:pPr>
      <w:r>
        <w:rPr/>
        <w:br w:type="column"/>
      </w:r>
      <w:r>
        <w:rPr>
          <w:spacing w:val="-2"/>
        </w:rPr>
        <w:t>是一种慢性肉芽肿性肠炎，具有特征性的克罗恩病病理组织学变化。诊断必须由</w:t>
      </w:r>
      <w:r>
        <w:rPr>
          <w:spacing w:val="-2"/>
        </w:rPr>
        <w:t>专科医生经过病理检查结果证实，被保险人所患的克隆症须经肠胃科专科医生以</w:t>
      </w:r>
      <w:r>
        <w:rPr>
          <w:spacing w:val="-4"/>
        </w:rPr>
        <w:t>类固醇或免疫抑制剂连续治疗 </w:t>
      </w:r>
      <w:r>
        <w:rPr>
          <w:rFonts w:ascii="Times New Roman" w:hAnsi="Times New Roman" w:eastAsia="Times New Roman"/>
          <w:spacing w:val="-2"/>
        </w:rPr>
        <w:t>180</w:t>
      </w:r>
      <w:r>
        <w:rPr>
          <w:rFonts w:ascii="Times New Roman" w:hAnsi="Times New Roman" w:eastAsia="Times New Roman"/>
          <w:spacing w:val="17"/>
        </w:rPr>
        <w:t> </w:t>
      </w:r>
      <w:r>
        <w:rPr>
          <w:spacing w:val="-2"/>
        </w:rPr>
        <w:t>天以上，且未达到重度疾病“严重克罗恩病”</w:t>
      </w:r>
      <w:r>
        <w:rPr>
          <w:spacing w:val="-2"/>
        </w:rPr>
        <w:t>的给付标准。</w:t>
      </w:r>
    </w:p>
    <w:p>
      <w:pPr>
        <w:spacing w:after="0" w:line="278" w:lineRule="auto"/>
        <w:jc w:val="both"/>
        <w:sectPr>
          <w:type w:val="continuous"/>
          <w:pgSz w:w="11910" w:h="16840"/>
          <w:pgMar w:header="0" w:footer="458" w:top="620" w:bottom="280" w:left="800" w:right="660"/>
          <w:cols w:num="2" w:equalWidth="0">
            <w:col w:w="2486" w:space="40"/>
            <w:col w:w="792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44"/>
        </w:numPr>
        <w:tabs>
          <w:tab w:pos="1399" w:val="left" w:leader="none"/>
        </w:tabs>
        <w:spacing w:line="194" w:lineRule="auto" w:before="58" w:after="0"/>
        <w:ind w:left="1072" w:right="0" w:firstLine="0"/>
        <w:jc w:val="both"/>
        <w:rPr>
          <w:rFonts w:ascii="微软雅黑" w:eastAsia="微软雅黑"/>
          <w:b/>
          <w:sz w:val="21"/>
        </w:rPr>
      </w:pPr>
      <w:r>
        <w:rPr>
          <w:rFonts w:ascii="微软雅黑" w:eastAsia="微软雅黑"/>
          <w:b/>
          <w:spacing w:val="-2"/>
          <w:sz w:val="21"/>
        </w:rPr>
        <w:t>糖尿病并发</w:t>
      </w:r>
      <w:r>
        <w:rPr>
          <w:rFonts w:ascii="微软雅黑" w:eastAsia="微软雅黑"/>
          <w:b/>
          <w:spacing w:val="20"/>
          <w:sz w:val="21"/>
        </w:rPr>
        <w:t>症引致的单足</w:t>
      </w:r>
      <w:r>
        <w:rPr>
          <w:rFonts w:ascii="微软雅黑" w:eastAsia="微软雅黑"/>
          <w:b/>
          <w:spacing w:val="-6"/>
          <w:sz w:val="21"/>
        </w:rPr>
        <w:t>截除</w:t>
      </w:r>
    </w:p>
    <w:p>
      <w:pPr>
        <w:pStyle w:val="BodyText"/>
        <w:spacing w:line="278" w:lineRule="auto" w:before="72"/>
        <w:ind w:left="174" w:right="387"/>
        <w:jc w:val="both"/>
      </w:pPr>
      <w:r>
        <w:rPr/>
        <w:br w:type="column"/>
      </w:r>
      <w:r>
        <w:rPr>
          <w:spacing w:val="-2"/>
        </w:rPr>
        <w:t>因糖尿病引起的神经及血管病变累及足部，为了维持生命已经实际进行由足踝或</w:t>
      </w:r>
      <w:r>
        <w:rPr>
          <w:spacing w:val="-2"/>
        </w:rPr>
        <w:t>者以上位置的单足截除手术。手术须在本公司认可的医疗机构的专科医生认为是</w:t>
      </w:r>
      <w:r>
        <w:rPr>
          <w:spacing w:val="-2"/>
        </w:rPr>
        <w:t>医疗必须的情况下进行。</w:t>
      </w:r>
    </w:p>
    <w:p>
      <w:pPr>
        <w:spacing w:line="320" w:lineRule="exact" w:before="0"/>
        <w:ind w:left="174" w:right="0" w:firstLine="0"/>
        <w:jc w:val="left"/>
        <w:rPr>
          <w:rFonts w:ascii="微软雅黑" w:eastAsia="微软雅黑"/>
          <w:b/>
          <w:sz w:val="21"/>
        </w:rPr>
      </w:pPr>
      <w:r>
        <w:rPr>
          <w:rFonts w:ascii="微软雅黑" w:eastAsia="微软雅黑"/>
          <w:b/>
          <w:spacing w:val="-3"/>
          <w:sz w:val="21"/>
        </w:rPr>
        <w:t>切除多只脚趾或者因其他原因引起的截除术不在本保障范围内。</w:t>
      </w:r>
    </w:p>
    <w:p>
      <w:pPr>
        <w:spacing w:after="0" w:line="320"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44"/>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中度强直性</w:t>
      </w:r>
      <w:r>
        <w:rPr>
          <w:rFonts w:ascii="微软雅黑" w:eastAsia="微软雅黑"/>
          <w:b/>
          <w:spacing w:val="-4"/>
          <w:sz w:val="21"/>
        </w:rPr>
        <w:t>脊柱炎</w:t>
      </w:r>
    </w:p>
    <w:p>
      <w:pPr>
        <w:pStyle w:val="BodyText"/>
        <w:spacing w:line="278" w:lineRule="auto" w:before="72"/>
        <w:ind w:left="174" w:right="387"/>
      </w:pPr>
      <w:r>
        <w:rPr/>
        <w:br w:type="column"/>
      </w:r>
      <w:r>
        <w:rPr>
          <w:spacing w:val="-2"/>
        </w:rPr>
        <w:t>是一种慢性全身性炎性疾病，主要侵犯脊柱导致脊柱畸形。必须明确诊断并且满</w:t>
      </w:r>
      <w:r>
        <w:rPr>
          <w:spacing w:val="-2"/>
        </w:rPr>
        <w:t>足下列所有条件且未达到重度疾病“严重强直性脊柱炎”的给付标准：</w:t>
      </w:r>
    </w:p>
    <w:p>
      <w:pPr>
        <w:pStyle w:val="ListParagraph"/>
        <w:numPr>
          <w:ilvl w:val="0"/>
          <w:numId w:val="49"/>
        </w:numPr>
        <w:tabs>
          <w:tab w:pos="705" w:val="left" w:leader="none"/>
        </w:tabs>
        <w:spacing w:line="269" w:lineRule="exact" w:before="0" w:after="0"/>
        <w:ind w:left="704" w:right="0" w:hanging="531"/>
        <w:jc w:val="left"/>
        <w:rPr>
          <w:sz w:val="21"/>
        </w:rPr>
      </w:pPr>
      <w:r>
        <w:rPr>
          <w:spacing w:val="-4"/>
          <w:sz w:val="21"/>
        </w:rPr>
        <w:t>严重脊柱畸形；</w:t>
      </w:r>
    </w:p>
    <w:p>
      <w:pPr>
        <w:pStyle w:val="ListParagraph"/>
        <w:numPr>
          <w:ilvl w:val="0"/>
          <w:numId w:val="49"/>
        </w:numPr>
        <w:tabs>
          <w:tab w:pos="705" w:val="left" w:leader="none"/>
        </w:tabs>
        <w:spacing w:line="278" w:lineRule="auto" w:before="43" w:after="0"/>
        <w:ind w:left="174" w:right="353" w:firstLine="0"/>
        <w:jc w:val="left"/>
        <w:rPr>
          <w:sz w:val="21"/>
        </w:rPr>
      </w:pPr>
      <w:r>
        <w:rPr>
          <w:spacing w:val="-6"/>
          <w:w w:val="100"/>
          <w:sz w:val="21"/>
        </w:rPr>
        <w:t>自主生活能力完全丧失，无法独立完成六项基本日常生活活动中的两项或</w:t>
      </w:r>
      <w:r>
        <w:rPr>
          <w:spacing w:val="-5"/>
          <w:w w:val="100"/>
          <w:sz w:val="21"/>
        </w:rPr>
        <w:t>两项以上。</w:t>
      </w:r>
    </w:p>
    <w:p>
      <w:pPr>
        <w:spacing w:after="0" w:line="278" w:lineRule="auto"/>
        <w:jc w:val="left"/>
        <w:rPr>
          <w:sz w:val="21"/>
        </w:rPr>
        <w:sectPr>
          <w:type w:val="continuous"/>
          <w:pgSz w:w="11910" w:h="16840"/>
          <w:pgMar w:header="0" w:footer="458" w:top="620" w:bottom="280" w:left="800" w:right="660"/>
          <w:cols w:num="2" w:equalWidth="0">
            <w:col w:w="2486" w:space="40"/>
            <w:col w:w="7924"/>
          </w:cols>
        </w:sectPr>
      </w:pPr>
    </w:p>
    <w:p>
      <w:pPr>
        <w:pStyle w:val="ListParagraph"/>
        <w:numPr>
          <w:ilvl w:val="0"/>
          <w:numId w:val="44"/>
        </w:numPr>
        <w:tabs>
          <w:tab w:pos="1531" w:val="left" w:leader="none"/>
        </w:tabs>
        <w:spacing w:line="194" w:lineRule="auto" w:before="40" w:after="0"/>
        <w:ind w:left="1072" w:right="0" w:firstLine="0"/>
        <w:jc w:val="left"/>
        <w:rPr>
          <w:rFonts w:ascii="微软雅黑" w:eastAsia="微软雅黑"/>
          <w:b/>
          <w:sz w:val="21"/>
        </w:rPr>
      </w:pPr>
      <w:r>
        <w:rPr>
          <w:rFonts w:ascii="微软雅黑" w:eastAsia="微软雅黑"/>
          <w:b/>
          <w:spacing w:val="24"/>
          <w:sz w:val="21"/>
        </w:rPr>
        <w:t>中度重症</w:t>
      </w:r>
      <w:r>
        <w:rPr>
          <w:rFonts w:ascii="微软雅黑" w:eastAsia="微软雅黑"/>
          <w:b/>
          <w:spacing w:val="-4"/>
          <w:sz w:val="21"/>
        </w:rPr>
        <w:t>肌无力</w:t>
      </w:r>
    </w:p>
    <w:p>
      <w:pPr>
        <w:pStyle w:val="BodyText"/>
        <w:spacing w:line="278" w:lineRule="auto" w:before="55"/>
        <w:ind w:left="174" w:right="386"/>
        <w:jc w:val="both"/>
      </w:pPr>
      <w:r>
        <w:rPr/>
        <w:br w:type="column"/>
      </w:r>
      <w:r>
        <w:rPr>
          <w:spacing w:val="-2"/>
        </w:rPr>
        <w:t>是一种神经与肌肉接头部位传递障碍的自身免疫性疾病，临床特征是局部或全身</w:t>
      </w:r>
      <w:r>
        <w:rPr>
          <w:spacing w:val="-2"/>
        </w:rPr>
        <w:t>横纹肌于活动时易于疲劳无力，颅神经眼外肌最易累及，也可涉及呼吸肌、下肢</w:t>
      </w:r>
      <w:r>
        <w:rPr>
          <w:spacing w:val="-2"/>
        </w:rPr>
        <w:t>近端肌群以至全身肌肉。该病必须由本公司认可医院的专科医生明确诊断，且疾</w:t>
      </w:r>
      <w:r>
        <w:rPr>
          <w:spacing w:val="-8"/>
        </w:rPr>
        <w:t>病确诊 </w:t>
      </w:r>
      <w:r>
        <w:rPr>
          <w:rFonts w:ascii="Times New Roman" w:hAnsi="Times New Roman" w:eastAsia="Times New Roman"/>
          <w:spacing w:val="-2"/>
        </w:rPr>
        <w:t>180</w:t>
      </w:r>
      <w:r>
        <w:rPr>
          <w:rFonts w:ascii="Times New Roman" w:hAnsi="Times New Roman" w:eastAsia="Times New Roman"/>
          <w:spacing w:val="18"/>
        </w:rPr>
        <w:t> </w:t>
      </w:r>
      <w:r>
        <w:rPr>
          <w:spacing w:val="-2"/>
        </w:rPr>
        <w:t>天后，仍然存在自主生活能力部分丧失，经鉴定无法独立完成六项基</w:t>
      </w:r>
      <w:r>
        <w:rPr>
          <w:spacing w:val="-2"/>
        </w:rPr>
        <w:t>本日常生活活动中的二项，但未达到本合同所指重度疾病“严重全身性重症肌无</w:t>
      </w:r>
      <w:r>
        <w:rPr>
          <w:spacing w:val="-2"/>
        </w:rPr>
        <w:t>力”或“瘫痪”的标准。</w:t>
      </w:r>
    </w:p>
    <w:p>
      <w:pPr>
        <w:spacing w:after="0" w:line="278" w:lineRule="auto"/>
        <w:jc w:val="both"/>
        <w:sectPr>
          <w:pgSz w:w="11910" w:h="16840"/>
          <w:pgMar w:header="0" w:footer="458" w:top="1560" w:bottom="640" w:left="800" w:right="660"/>
          <w:cols w:num="2" w:equalWidth="0">
            <w:col w:w="2486" w:space="40"/>
            <w:col w:w="7924"/>
          </w:cols>
        </w:sectPr>
      </w:pPr>
    </w:p>
    <w:p>
      <w:pPr>
        <w:pStyle w:val="BodyText"/>
        <w:spacing w:before="0"/>
        <w:rPr>
          <w:sz w:val="20"/>
        </w:rPr>
      </w:pPr>
    </w:p>
    <w:p>
      <w:pPr>
        <w:pStyle w:val="ListParagraph"/>
        <w:numPr>
          <w:ilvl w:val="1"/>
          <w:numId w:val="5"/>
        </w:numPr>
        <w:tabs>
          <w:tab w:pos="1072" w:val="left" w:leader="none"/>
          <w:tab w:pos="1073" w:val="left" w:leader="none"/>
          <w:tab w:pos="2699" w:val="left" w:leader="none"/>
        </w:tabs>
        <w:spacing w:line="312" w:lineRule="exact" w:before="174" w:after="0"/>
        <w:ind w:left="2699" w:right="353" w:hanging="2480"/>
        <w:jc w:val="left"/>
        <w:rPr>
          <w:sz w:val="21"/>
        </w:rPr>
      </w:pPr>
      <w:r>
        <w:rPr>
          <w:rFonts w:ascii="微软雅黑" w:eastAsia="微软雅黑"/>
          <w:b/>
          <w:spacing w:val="-4"/>
          <w:position w:val="-2"/>
          <w:sz w:val="21"/>
        </w:rPr>
        <w:t>重</w:t>
      </w:r>
      <w:r>
        <w:rPr>
          <w:rFonts w:ascii="微软雅黑" w:eastAsia="微软雅黑"/>
          <w:b/>
          <w:spacing w:val="-4"/>
          <w:position w:val="-2"/>
          <w:sz w:val="21"/>
        </w:rPr>
        <w:t>度</w:t>
      </w:r>
      <w:r>
        <w:rPr>
          <w:rFonts w:ascii="微软雅黑" w:eastAsia="微软雅黑"/>
          <w:b/>
          <w:spacing w:val="-4"/>
          <w:position w:val="-2"/>
          <w:sz w:val="21"/>
        </w:rPr>
        <w:t>疾</w:t>
      </w:r>
      <w:r>
        <w:rPr>
          <w:rFonts w:ascii="微软雅黑" w:eastAsia="微软雅黑"/>
          <w:b/>
          <w:spacing w:val="-4"/>
          <w:position w:val="-2"/>
          <w:sz w:val="21"/>
        </w:rPr>
        <w:t>病</w:t>
      </w:r>
      <w:r>
        <w:rPr>
          <w:rFonts w:ascii="微软雅黑" w:eastAsia="微软雅黑"/>
          <w:b/>
          <w:position w:val="-2"/>
          <w:sz w:val="21"/>
        </w:rPr>
        <w:tab/>
      </w:r>
      <w:r>
        <w:rPr>
          <w:spacing w:val="-2"/>
          <w:sz w:val="21"/>
        </w:rPr>
        <w:t>被</w:t>
      </w:r>
      <w:r>
        <w:rPr>
          <w:spacing w:val="-2"/>
          <w:sz w:val="21"/>
        </w:rPr>
        <w:t>保</w:t>
      </w:r>
      <w:r>
        <w:rPr>
          <w:spacing w:val="-2"/>
          <w:sz w:val="21"/>
        </w:rPr>
        <w:t>险人发生符合以下疾</w:t>
      </w:r>
      <w:r>
        <w:rPr>
          <w:spacing w:val="-2"/>
          <w:sz w:val="21"/>
        </w:rPr>
        <w:t>病</w:t>
      </w:r>
      <w:r>
        <w:rPr>
          <w:spacing w:val="-2"/>
          <w:sz w:val="21"/>
        </w:rPr>
        <w:t>定</w:t>
      </w:r>
      <w:r>
        <w:rPr>
          <w:spacing w:val="-2"/>
          <w:sz w:val="21"/>
        </w:rPr>
        <w:t>义所述条件的疾病，</w:t>
      </w:r>
      <w:r>
        <w:rPr>
          <w:spacing w:val="-2"/>
          <w:sz w:val="21"/>
        </w:rPr>
        <w:t>应</w:t>
      </w:r>
      <w:r>
        <w:rPr>
          <w:spacing w:val="-2"/>
          <w:sz w:val="21"/>
        </w:rPr>
        <w:t>当</w:t>
      </w:r>
      <w:r>
        <w:rPr>
          <w:spacing w:val="-2"/>
          <w:sz w:val="21"/>
        </w:rPr>
        <w:t>由专科医生明确诊断。</w:t>
      </w:r>
      <w:r>
        <w:rPr>
          <w:spacing w:val="80"/>
          <w:sz w:val="21"/>
        </w:rPr>
        <w:t> </w:t>
      </w:r>
      <w:r>
        <w:rPr>
          <w:spacing w:val="-2"/>
          <w:sz w:val="21"/>
        </w:rPr>
        <w:t>其</w:t>
      </w:r>
      <w:r>
        <w:rPr>
          <w:spacing w:val="-2"/>
          <w:sz w:val="21"/>
        </w:rPr>
        <w:t>中</w:t>
      </w:r>
      <w:r>
        <w:rPr>
          <w:spacing w:val="-2"/>
          <w:sz w:val="21"/>
        </w:rPr>
        <w:t>，第</w:t>
      </w:r>
      <w:r>
        <w:rPr>
          <w:spacing w:val="-55"/>
          <w:sz w:val="21"/>
        </w:rPr>
        <w:t> </w:t>
      </w:r>
      <w:r>
        <w:rPr>
          <w:spacing w:val="-2"/>
          <w:sz w:val="21"/>
        </w:rPr>
        <w:t>1-28</w:t>
      </w:r>
      <w:r>
        <w:rPr>
          <w:spacing w:val="-53"/>
          <w:sz w:val="21"/>
        </w:rPr>
        <w:t> </w:t>
      </w:r>
      <w:r>
        <w:rPr>
          <w:spacing w:val="-2"/>
          <w:sz w:val="21"/>
        </w:rPr>
        <w:t>种重度疾病</w:t>
      </w:r>
      <w:r>
        <w:rPr>
          <w:spacing w:val="-2"/>
          <w:sz w:val="21"/>
        </w:rPr>
        <w:t>定</w:t>
      </w:r>
      <w:r>
        <w:rPr>
          <w:spacing w:val="-2"/>
          <w:sz w:val="21"/>
        </w:rPr>
        <w:t>义</w:t>
      </w:r>
      <w:r>
        <w:rPr>
          <w:spacing w:val="-2"/>
          <w:sz w:val="21"/>
        </w:rPr>
        <w:t>完全采用了中国保险</w:t>
      </w:r>
      <w:r>
        <w:rPr>
          <w:spacing w:val="-2"/>
          <w:sz w:val="21"/>
        </w:rPr>
        <w:t>行</w:t>
      </w:r>
      <w:r>
        <w:rPr>
          <w:spacing w:val="-2"/>
          <w:sz w:val="21"/>
        </w:rPr>
        <w:t>业</w:t>
      </w:r>
      <w:r>
        <w:rPr>
          <w:spacing w:val="-2"/>
          <w:sz w:val="21"/>
        </w:rPr>
        <w:t>协会制定的《重大疾</w:t>
      </w:r>
      <w:r>
        <w:rPr>
          <w:spacing w:val="-2"/>
          <w:sz w:val="21"/>
        </w:rPr>
        <w:t>病</w:t>
      </w:r>
      <w:r>
        <w:rPr>
          <w:spacing w:val="-2"/>
          <w:sz w:val="21"/>
        </w:rPr>
        <w:t>保</w:t>
      </w:r>
      <w:r>
        <w:rPr>
          <w:sz w:val="21"/>
        </w:rPr>
        <w:t>险的疾病定义使用规范（2020 年修订版</w:t>
      </w:r>
      <w:r>
        <w:rPr>
          <w:spacing w:val="-104"/>
          <w:sz w:val="21"/>
        </w:rPr>
        <w:t>）</w:t>
      </w:r>
      <w:r>
        <w:rPr>
          <w:sz w:val="21"/>
        </w:rPr>
        <w:t>》中的重度</w:t>
      </w:r>
      <w:r>
        <w:rPr>
          <w:sz w:val="21"/>
        </w:rPr>
        <w:t>疾病定义，其他为本公司增</w:t>
      </w:r>
      <w:r>
        <w:rPr>
          <w:spacing w:val="-2"/>
          <w:sz w:val="21"/>
        </w:rPr>
        <w:t>加</w:t>
      </w:r>
      <w:r>
        <w:rPr>
          <w:spacing w:val="-2"/>
          <w:sz w:val="21"/>
        </w:rPr>
        <w:t>的</w:t>
      </w:r>
      <w:r>
        <w:rPr>
          <w:spacing w:val="-2"/>
          <w:sz w:val="21"/>
        </w:rPr>
        <w:t>重</w:t>
      </w:r>
      <w:r>
        <w:rPr>
          <w:spacing w:val="-2"/>
          <w:sz w:val="21"/>
        </w:rPr>
        <w:t>度</w:t>
      </w:r>
      <w:r>
        <w:rPr>
          <w:spacing w:val="-2"/>
          <w:sz w:val="21"/>
        </w:rPr>
        <w:t>疾</w:t>
      </w:r>
      <w:r>
        <w:rPr>
          <w:spacing w:val="-2"/>
          <w:sz w:val="21"/>
        </w:rPr>
        <w:t>病</w:t>
      </w:r>
      <w:r>
        <w:rPr>
          <w:spacing w:val="-2"/>
          <w:sz w:val="21"/>
        </w:rPr>
        <w:t>定</w:t>
      </w:r>
      <w:r>
        <w:rPr>
          <w:spacing w:val="-2"/>
          <w:sz w:val="21"/>
        </w:rPr>
        <w:t>义</w:t>
      </w:r>
      <w:r>
        <w:rPr>
          <w:spacing w:val="-2"/>
          <w:sz w:val="21"/>
        </w:rPr>
        <w:t>。</w:t>
      </w:r>
      <w:r>
        <w:rPr>
          <w:spacing w:val="-2"/>
          <w:sz w:val="21"/>
        </w:rPr>
        <w:t>以</w:t>
      </w:r>
      <w:r>
        <w:rPr>
          <w:spacing w:val="-2"/>
          <w:sz w:val="21"/>
        </w:rPr>
        <w:t>下</w:t>
      </w:r>
      <w:r>
        <w:rPr>
          <w:spacing w:val="-2"/>
          <w:sz w:val="21"/>
        </w:rPr>
        <w:t>疾</w:t>
      </w:r>
      <w:r>
        <w:rPr>
          <w:spacing w:val="-2"/>
          <w:sz w:val="21"/>
        </w:rPr>
        <w:t>病</w:t>
      </w:r>
      <w:r>
        <w:rPr>
          <w:spacing w:val="-2"/>
          <w:sz w:val="21"/>
        </w:rPr>
        <w:t>名</w:t>
      </w:r>
      <w:r>
        <w:rPr>
          <w:spacing w:val="-2"/>
          <w:sz w:val="21"/>
        </w:rPr>
        <w:t>称</w:t>
      </w:r>
      <w:r>
        <w:rPr>
          <w:spacing w:val="-2"/>
          <w:sz w:val="21"/>
        </w:rPr>
        <w:t>仅</w:t>
      </w:r>
      <w:r>
        <w:rPr>
          <w:spacing w:val="-2"/>
          <w:sz w:val="21"/>
        </w:rPr>
        <w:t>供</w:t>
      </w:r>
      <w:r>
        <w:rPr>
          <w:spacing w:val="-2"/>
          <w:sz w:val="21"/>
        </w:rPr>
        <w:t>理</w:t>
      </w:r>
      <w:r>
        <w:rPr>
          <w:spacing w:val="-2"/>
          <w:sz w:val="21"/>
        </w:rPr>
        <w:t>解</w:t>
      </w:r>
      <w:r>
        <w:rPr>
          <w:spacing w:val="-2"/>
          <w:sz w:val="21"/>
        </w:rPr>
        <w:t>使</w:t>
      </w:r>
      <w:r>
        <w:rPr>
          <w:spacing w:val="-2"/>
          <w:sz w:val="21"/>
        </w:rPr>
        <w:t>用</w:t>
      </w:r>
      <w:r>
        <w:rPr>
          <w:spacing w:val="-2"/>
          <w:sz w:val="21"/>
        </w:rPr>
        <w:t>，</w:t>
      </w:r>
      <w:r>
        <w:rPr>
          <w:spacing w:val="-2"/>
          <w:sz w:val="21"/>
        </w:rPr>
        <w:t>具</w:t>
      </w:r>
      <w:r>
        <w:rPr>
          <w:spacing w:val="-2"/>
          <w:sz w:val="21"/>
        </w:rPr>
        <w:t>体</w:t>
      </w:r>
      <w:r>
        <w:rPr>
          <w:spacing w:val="-2"/>
          <w:sz w:val="21"/>
        </w:rPr>
        <w:t>保</w:t>
      </w:r>
      <w:r>
        <w:rPr>
          <w:spacing w:val="-2"/>
          <w:sz w:val="21"/>
        </w:rPr>
        <w:t>障</w:t>
      </w:r>
      <w:r>
        <w:rPr>
          <w:spacing w:val="-2"/>
          <w:sz w:val="21"/>
        </w:rPr>
        <w:t>范</w:t>
      </w:r>
      <w:r>
        <w:rPr>
          <w:spacing w:val="-2"/>
          <w:sz w:val="21"/>
        </w:rPr>
        <w:t>围</w:t>
      </w:r>
      <w:r>
        <w:rPr>
          <w:spacing w:val="-2"/>
          <w:sz w:val="21"/>
        </w:rPr>
        <w:t>以</w:t>
      </w:r>
      <w:r>
        <w:rPr>
          <w:spacing w:val="-2"/>
          <w:sz w:val="21"/>
        </w:rPr>
        <w:t>每</w:t>
      </w:r>
      <w:r>
        <w:rPr>
          <w:spacing w:val="-2"/>
          <w:sz w:val="21"/>
        </w:rPr>
        <w:t>项</w:t>
      </w:r>
      <w:r>
        <w:rPr>
          <w:spacing w:val="-2"/>
          <w:sz w:val="21"/>
        </w:rPr>
        <w:t>疾</w:t>
      </w:r>
      <w:r>
        <w:rPr>
          <w:spacing w:val="-2"/>
          <w:sz w:val="21"/>
        </w:rPr>
        <w:t>病</w:t>
      </w:r>
      <w:r>
        <w:rPr>
          <w:spacing w:val="-2"/>
          <w:sz w:val="21"/>
        </w:rPr>
        <w:t>具</w:t>
      </w:r>
      <w:r>
        <w:rPr>
          <w:spacing w:val="-2"/>
          <w:sz w:val="21"/>
        </w:rPr>
        <w:t>体</w:t>
      </w:r>
      <w:r>
        <w:rPr>
          <w:spacing w:val="-4"/>
          <w:sz w:val="21"/>
        </w:rPr>
        <w:t>定</w:t>
      </w:r>
      <w:r>
        <w:rPr>
          <w:spacing w:val="-4"/>
          <w:sz w:val="21"/>
        </w:rPr>
        <w:t>义</w:t>
      </w:r>
      <w:r>
        <w:rPr>
          <w:spacing w:val="-4"/>
          <w:sz w:val="21"/>
        </w:rPr>
        <w:t>为</w:t>
      </w:r>
      <w:r>
        <w:rPr>
          <w:spacing w:val="-4"/>
          <w:sz w:val="21"/>
        </w:rPr>
        <w:t>准</w:t>
      </w:r>
      <w:r>
        <w:rPr>
          <w:spacing w:val="-4"/>
          <w:sz w:val="21"/>
        </w:rPr>
        <w:t>。</w:t>
      </w:r>
    </w:p>
    <w:p>
      <w:pPr>
        <w:pStyle w:val="BodyText"/>
        <w:spacing w:before="3"/>
        <w:rPr>
          <w:sz w:val="8"/>
        </w:rPr>
      </w:pPr>
    </w:p>
    <w:p>
      <w:pPr>
        <w:spacing w:after="0"/>
        <w:rPr>
          <w:sz w:val="8"/>
        </w:rPr>
        <w:sectPr>
          <w:type w:val="continuous"/>
          <w:pgSz w:w="11910" w:h="16840"/>
          <w:pgMar w:header="0" w:footer="458" w:top="620" w:bottom="280" w:left="800" w:right="660"/>
        </w:sectPr>
      </w:pPr>
    </w:p>
    <w:p>
      <w:pPr>
        <w:pStyle w:val="ListParagraph"/>
        <w:numPr>
          <w:ilvl w:val="0"/>
          <w:numId w:val="50"/>
        </w:numPr>
        <w:tabs>
          <w:tab w:pos="1285" w:val="left" w:leader="none"/>
        </w:tabs>
        <w:spacing w:line="350" w:lineRule="exact" w:before="4" w:after="0"/>
        <w:ind w:left="1284" w:right="0" w:hanging="213"/>
        <w:jc w:val="left"/>
        <w:rPr>
          <w:rFonts w:ascii="微软雅黑" w:hAnsi="微软雅黑" w:eastAsia="微软雅黑"/>
          <w:b/>
          <w:sz w:val="21"/>
        </w:rPr>
      </w:pPr>
      <w:r>
        <w:rPr>
          <w:rFonts w:ascii="微软雅黑" w:hAnsi="微软雅黑" w:eastAsia="微软雅黑"/>
          <w:b/>
          <w:spacing w:val="-5"/>
          <w:sz w:val="21"/>
        </w:rPr>
        <w:t>恶性肿瘤—</w:t>
      </w:r>
    </w:p>
    <w:p>
      <w:pPr>
        <w:spacing w:line="350" w:lineRule="exact" w:before="0"/>
        <w:ind w:left="1072" w:right="0" w:firstLine="0"/>
        <w:jc w:val="left"/>
        <w:rPr>
          <w:rFonts w:ascii="微软雅黑" w:hAnsi="微软雅黑" w:eastAsia="微软雅黑"/>
          <w:b/>
          <w:sz w:val="21"/>
        </w:rPr>
      </w:pPr>
      <w:r>
        <w:rPr>
          <w:rFonts w:ascii="微软雅黑" w:hAnsi="微软雅黑" w:eastAsia="微软雅黑"/>
          <w:b/>
          <w:w w:val="95"/>
          <w:sz w:val="21"/>
        </w:rPr>
        <w:t>—</w:t>
      </w:r>
      <w:r>
        <w:rPr>
          <w:rFonts w:ascii="微软雅黑" w:hAnsi="微软雅黑" w:eastAsia="微软雅黑"/>
          <w:b/>
          <w:w w:val="95"/>
          <w:sz w:val="21"/>
        </w:rPr>
        <w:t>重</w:t>
      </w:r>
      <w:r>
        <w:rPr>
          <w:rFonts w:ascii="微软雅黑" w:hAnsi="微软雅黑" w:eastAsia="微软雅黑"/>
          <w:b/>
          <w:spacing w:val="-10"/>
          <w:w w:val="95"/>
          <w:sz w:val="21"/>
        </w:rPr>
        <w:t>度</w:t>
      </w:r>
    </w:p>
    <w:p>
      <w:pPr>
        <w:pStyle w:val="BodyText"/>
        <w:spacing w:line="278" w:lineRule="auto" w:before="71"/>
        <w:ind w:left="319" w:right="250"/>
      </w:pPr>
      <w:r>
        <w:rPr/>
        <w:br w:type="column"/>
      </w:r>
      <w:r>
        <w:rPr>
          <w:spacing w:val="-3"/>
          <w:w w:val="100"/>
        </w:rPr>
        <w:t>指恶性细胞不受控制的进行性增长和扩散，浸润和破坏周围正常组织，可以经血管、淋巴管和体腔扩散转移到身体其他部位，病灶经组织病理学检查（</w:t>
      </w:r>
      <w:r>
        <w:rPr>
          <w:spacing w:val="-2"/>
          <w:w w:val="100"/>
        </w:rPr>
        <w:t>涵盖骨髓</w:t>
      </w:r>
      <w:r>
        <w:rPr>
          <w:spacing w:val="-3"/>
          <w:w w:val="100"/>
        </w:rPr>
        <w:t>病理学检查</w:t>
      </w:r>
      <w:r>
        <w:rPr>
          <w:w w:val="100"/>
        </w:rPr>
        <w:t>）</w:t>
      </w:r>
      <w:r>
        <w:rPr>
          <w:spacing w:val="-3"/>
          <w:w w:val="100"/>
        </w:rPr>
        <w:t>结果明确诊断，临床诊断属于世界卫生组织</w:t>
      </w:r>
      <w:r>
        <w:rPr>
          <w:w w:val="100"/>
        </w:rPr>
        <w:t>（W</w:t>
      </w:r>
      <w:r>
        <w:rPr>
          <w:spacing w:val="-3"/>
          <w:w w:val="100"/>
        </w:rPr>
        <w:t>H</w:t>
      </w:r>
      <w:r>
        <w:rPr>
          <w:spacing w:val="-1"/>
          <w:w w:val="100"/>
        </w:rPr>
        <w:t>O</w:t>
      </w:r>
      <w:r>
        <w:rPr>
          <w:w w:val="100"/>
        </w:rPr>
        <w:t>，</w:t>
      </w:r>
      <w:r>
        <w:rPr>
          <w:spacing w:val="-3"/>
          <w:w w:val="100"/>
        </w:rPr>
        <w:t>W</w:t>
      </w:r>
      <w:r>
        <w:rPr>
          <w:w w:val="100"/>
        </w:rPr>
        <w:t>orld</w:t>
      </w:r>
      <w:r>
        <w:rPr>
          <w:spacing w:val="-2"/>
        </w:rPr>
        <w:t> </w:t>
      </w:r>
      <w:r>
        <w:rPr>
          <w:w w:val="100"/>
        </w:rPr>
        <w:t>He</w:t>
      </w:r>
      <w:r>
        <w:rPr>
          <w:spacing w:val="-3"/>
          <w:w w:val="100"/>
        </w:rPr>
        <w:t>al</w:t>
      </w:r>
      <w:r>
        <w:rPr>
          <w:w w:val="100"/>
        </w:rPr>
        <w:t>th Organ</w:t>
      </w:r>
      <w:r>
        <w:rPr>
          <w:spacing w:val="-3"/>
          <w:w w:val="100"/>
        </w:rPr>
        <w:t>i</w:t>
      </w:r>
      <w:r>
        <w:rPr>
          <w:w w:val="100"/>
        </w:rPr>
        <w:t>zat</w:t>
      </w:r>
      <w:r>
        <w:rPr>
          <w:spacing w:val="-3"/>
          <w:w w:val="100"/>
        </w:rPr>
        <w:t>i</w:t>
      </w:r>
      <w:r>
        <w:rPr>
          <w:w w:val="100"/>
        </w:rPr>
        <w:t>on</w:t>
      </w:r>
      <w:r>
        <w:rPr>
          <w:spacing w:val="-39"/>
          <w:w w:val="100"/>
        </w:rPr>
        <w:t>）</w:t>
      </w:r>
      <w:r>
        <w:rPr>
          <w:spacing w:val="-5"/>
          <w:w w:val="100"/>
        </w:rPr>
        <w:t>《疾病和有关健康问题的国际统计分类》第十次修订版</w:t>
      </w:r>
      <w:r>
        <w:rPr>
          <w:w w:val="100"/>
        </w:rPr>
        <w:t>（I</w:t>
      </w:r>
      <w:r>
        <w:rPr>
          <w:spacing w:val="-3"/>
          <w:w w:val="100"/>
        </w:rPr>
        <w:t>CD</w:t>
      </w:r>
      <w:r>
        <w:rPr>
          <w:w w:val="100"/>
        </w:rPr>
        <w:t>-10）</w:t>
      </w:r>
      <w:r>
        <w:rPr>
          <w:spacing w:val="-8"/>
          <w:w w:val="100"/>
        </w:rPr>
        <w:t>的恶性肿瘤类别及《国际疾病分类肿瘤学专辑》第三版</w:t>
      </w:r>
      <w:r>
        <w:rPr>
          <w:w w:val="100"/>
        </w:rPr>
        <w:t>（I</w:t>
      </w:r>
      <w:r>
        <w:rPr>
          <w:spacing w:val="-3"/>
          <w:w w:val="100"/>
        </w:rPr>
        <w:t>C</w:t>
      </w:r>
      <w:r>
        <w:rPr>
          <w:spacing w:val="-1"/>
          <w:w w:val="100"/>
        </w:rPr>
        <w:t>D</w:t>
      </w:r>
      <w:r>
        <w:rPr>
          <w:w w:val="100"/>
        </w:rPr>
        <w:t>-O</w:t>
      </w:r>
      <w:r>
        <w:rPr>
          <w:spacing w:val="-3"/>
          <w:w w:val="100"/>
        </w:rPr>
        <w:t>-3</w:t>
      </w:r>
      <w:r>
        <w:rPr>
          <w:spacing w:val="-17"/>
          <w:w w:val="100"/>
        </w:rPr>
        <w:t>）</w:t>
      </w:r>
      <w:r>
        <w:rPr>
          <w:spacing w:val="-3"/>
          <w:w w:val="100"/>
        </w:rPr>
        <w:t>的肿瘤形态学编码属于3</w:t>
      </w:r>
      <w:r>
        <w:rPr>
          <w:w w:val="100"/>
        </w:rPr>
        <w:t>、6</w:t>
      </w:r>
      <w:r>
        <w:rPr>
          <w:spacing w:val="-3"/>
          <w:w w:val="100"/>
        </w:rPr>
        <w:t>、</w:t>
      </w:r>
      <w:r>
        <w:rPr>
          <w:w w:val="100"/>
        </w:rPr>
        <w:t>9</w:t>
      </w:r>
      <w:r>
        <w:rPr>
          <w:spacing w:val="-3"/>
          <w:w w:val="100"/>
        </w:rPr>
        <w:t>（恶性肿瘤</w:t>
      </w:r>
      <w:r>
        <w:rPr>
          <w:w w:val="100"/>
        </w:rPr>
        <w:t>）</w:t>
      </w:r>
      <w:r>
        <w:rPr>
          <w:spacing w:val="-3"/>
          <w:w w:val="100"/>
        </w:rPr>
        <w:t>范畴的疾病。</w:t>
      </w:r>
    </w:p>
    <w:p>
      <w:pPr>
        <w:spacing w:line="282" w:lineRule="exact" w:before="0"/>
        <w:ind w:left="319" w:right="0" w:firstLine="0"/>
        <w:jc w:val="left"/>
        <w:rPr>
          <w:rFonts w:ascii="微软雅黑" w:eastAsia="微软雅黑"/>
          <w:b/>
          <w:sz w:val="21"/>
        </w:rPr>
      </w:pPr>
      <w:r>
        <w:rPr>
          <w:rFonts w:ascii="微软雅黑" w:eastAsia="微软雅黑"/>
          <w:b/>
          <w:spacing w:val="-3"/>
          <w:sz w:val="21"/>
        </w:rPr>
        <w:t>下列疾病不在本保障范围内：</w:t>
      </w:r>
    </w:p>
    <w:p>
      <w:pPr>
        <w:pStyle w:val="ListParagraph"/>
        <w:numPr>
          <w:ilvl w:val="0"/>
          <w:numId w:val="51"/>
        </w:numPr>
        <w:tabs>
          <w:tab w:pos="850" w:val="left" w:leader="none"/>
        </w:tabs>
        <w:spacing w:line="194" w:lineRule="auto" w:before="15" w:after="0"/>
        <w:ind w:left="319" w:right="464" w:firstLine="0"/>
        <w:jc w:val="left"/>
        <w:rPr>
          <w:rFonts w:ascii="微软雅黑" w:eastAsia="微软雅黑"/>
          <w:b/>
          <w:sz w:val="21"/>
        </w:rPr>
      </w:pPr>
      <w:r>
        <w:rPr>
          <w:rFonts w:ascii="微软雅黑" w:eastAsia="微软雅黑"/>
          <w:b/>
          <w:w w:val="83"/>
          <w:sz w:val="21"/>
        </w:rPr>
        <w:t>ICD</w:t>
      </w:r>
      <w:r>
        <w:rPr>
          <w:rFonts w:ascii="微软雅黑" w:eastAsia="微软雅黑"/>
          <w:b/>
          <w:w w:val="115"/>
          <w:sz w:val="21"/>
        </w:rPr>
        <w:t>-</w:t>
      </w:r>
      <w:r>
        <w:rPr>
          <w:rFonts w:ascii="微软雅黑" w:eastAsia="微软雅黑"/>
          <w:b/>
          <w:w w:val="61"/>
          <w:sz w:val="21"/>
        </w:rPr>
        <w:t>O</w:t>
      </w:r>
      <w:r>
        <w:rPr>
          <w:rFonts w:ascii="微软雅黑" w:eastAsia="微软雅黑"/>
          <w:b/>
          <w:w w:val="115"/>
          <w:sz w:val="21"/>
        </w:rPr>
        <w:t>-</w:t>
      </w:r>
      <w:r>
        <w:rPr>
          <w:rFonts w:ascii="微软雅黑" w:eastAsia="微软雅黑"/>
          <w:b/>
          <w:w w:val="81"/>
          <w:sz w:val="21"/>
        </w:rPr>
        <w:t>3</w:t>
      </w:r>
      <w:r>
        <w:rPr>
          <w:rFonts w:ascii="微软雅黑" w:eastAsia="微软雅黑"/>
          <w:b/>
          <w:w w:val="100"/>
          <w:sz w:val="21"/>
        </w:rPr>
        <w:t>肿瘤形态学编码属于</w:t>
      </w:r>
      <w:r>
        <w:rPr>
          <w:rFonts w:ascii="微软雅黑" w:eastAsia="微软雅黑"/>
          <w:b/>
          <w:w w:val="81"/>
          <w:sz w:val="21"/>
        </w:rPr>
        <w:t>0</w:t>
      </w:r>
      <w:r>
        <w:rPr>
          <w:rFonts w:ascii="微软雅黑" w:eastAsia="微软雅黑"/>
          <w:b/>
          <w:w w:val="100"/>
          <w:sz w:val="21"/>
        </w:rPr>
        <w:t>（良性肿瘤</w:t>
      </w:r>
      <w:r>
        <w:rPr>
          <w:rFonts w:ascii="微软雅黑" w:eastAsia="微软雅黑"/>
          <w:b/>
          <w:spacing w:val="-106"/>
          <w:w w:val="100"/>
          <w:sz w:val="21"/>
        </w:rPr>
        <w:t>）</w:t>
      </w:r>
      <w:r>
        <w:rPr>
          <w:rFonts w:ascii="微软雅黑" w:eastAsia="微软雅黑"/>
          <w:b/>
          <w:w w:val="100"/>
          <w:sz w:val="21"/>
        </w:rPr>
        <w:t>、</w:t>
      </w:r>
      <w:r>
        <w:rPr>
          <w:rFonts w:ascii="微软雅黑" w:eastAsia="微软雅黑"/>
          <w:b/>
          <w:spacing w:val="-3"/>
          <w:w w:val="81"/>
          <w:sz w:val="21"/>
        </w:rPr>
        <w:t>1</w:t>
      </w:r>
      <w:r>
        <w:rPr>
          <w:rFonts w:ascii="微软雅黑" w:eastAsia="微软雅黑"/>
          <w:b/>
          <w:w w:val="100"/>
          <w:sz w:val="21"/>
        </w:rPr>
        <w:t>（动态未定性肿瘤</w:t>
      </w:r>
      <w:r>
        <w:rPr>
          <w:rFonts w:ascii="微软雅黑" w:eastAsia="微软雅黑"/>
          <w:b/>
          <w:spacing w:val="-106"/>
          <w:w w:val="100"/>
          <w:sz w:val="21"/>
        </w:rPr>
        <w:t>）</w:t>
      </w:r>
      <w:r>
        <w:rPr>
          <w:rFonts w:ascii="微软雅黑" w:eastAsia="微软雅黑"/>
          <w:b/>
          <w:w w:val="100"/>
          <w:sz w:val="21"/>
        </w:rPr>
        <w:t>、</w:t>
      </w:r>
      <w:r>
        <w:rPr>
          <w:rFonts w:ascii="微软雅黑" w:eastAsia="微软雅黑"/>
          <w:b/>
          <w:w w:val="81"/>
          <w:sz w:val="21"/>
        </w:rPr>
        <w:t>2</w:t>
      </w:r>
      <w:r>
        <w:rPr>
          <w:rFonts w:ascii="微软雅黑" w:eastAsia="微软雅黑"/>
          <w:b/>
          <w:spacing w:val="-3"/>
          <w:w w:val="100"/>
          <w:sz w:val="21"/>
        </w:rPr>
        <w:t>（</w:t>
      </w:r>
      <w:r>
        <w:rPr>
          <w:rFonts w:ascii="微软雅黑" w:eastAsia="微软雅黑"/>
          <w:b/>
          <w:spacing w:val="-16"/>
          <w:w w:val="100"/>
          <w:sz w:val="21"/>
        </w:rPr>
        <w:t>原</w:t>
      </w:r>
      <w:r>
        <w:rPr>
          <w:rFonts w:ascii="微软雅黑" w:eastAsia="微软雅黑"/>
          <w:b/>
          <w:w w:val="100"/>
          <w:sz w:val="21"/>
        </w:rPr>
        <w:t>位癌和非侵袭性癌</w:t>
      </w:r>
      <w:r>
        <w:rPr>
          <w:rFonts w:ascii="微软雅黑" w:eastAsia="微软雅黑"/>
          <w:b/>
          <w:spacing w:val="-3"/>
          <w:w w:val="100"/>
          <w:sz w:val="21"/>
        </w:rPr>
        <w:t>）</w:t>
      </w:r>
      <w:r>
        <w:rPr>
          <w:rFonts w:ascii="微软雅黑" w:eastAsia="微软雅黑"/>
          <w:b/>
          <w:spacing w:val="-2"/>
          <w:w w:val="100"/>
          <w:sz w:val="21"/>
        </w:rPr>
        <w:t>范畴的疾病，如：</w:t>
      </w:r>
    </w:p>
    <w:p>
      <w:pPr>
        <w:pStyle w:val="ListParagraph"/>
        <w:numPr>
          <w:ilvl w:val="1"/>
          <w:numId w:val="51"/>
        </w:numPr>
        <w:tabs>
          <w:tab w:pos="953" w:val="left" w:leader="none"/>
        </w:tabs>
        <w:spacing w:line="194" w:lineRule="auto" w:before="0" w:after="0"/>
        <w:ind w:left="740" w:right="363" w:firstLine="0"/>
        <w:jc w:val="left"/>
        <w:rPr>
          <w:rFonts w:ascii="微软雅黑" w:eastAsia="微软雅黑"/>
          <w:b/>
          <w:sz w:val="21"/>
        </w:rPr>
      </w:pPr>
      <w:r>
        <w:rPr>
          <w:rFonts w:ascii="微软雅黑" w:eastAsia="微软雅黑"/>
          <w:b/>
          <w:spacing w:val="-2"/>
          <w:sz w:val="21"/>
        </w:rPr>
        <w:t>原位癌，癌前病变，非浸润性癌，非侵袭性癌，肿瘤细胞未侵犯基底层，</w:t>
      </w:r>
      <w:r>
        <w:rPr>
          <w:rFonts w:ascii="微软雅黑" w:eastAsia="微软雅黑"/>
          <w:b/>
          <w:spacing w:val="-2"/>
          <w:sz w:val="21"/>
        </w:rPr>
        <w:t>上皮内瘤变，细胞不典型性增生等；</w:t>
      </w:r>
    </w:p>
    <w:p>
      <w:pPr>
        <w:pStyle w:val="ListParagraph"/>
        <w:numPr>
          <w:ilvl w:val="1"/>
          <w:numId w:val="51"/>
        </w:numPr>
        <w:tabs>
          <w:tab w:pos="953" w:val="left" w:leader="none"/>
        </w:tabs>
        <w:spacing w:line="294" w:lineRule="exact" w:before="0" w:after="0"/>
        <w:ind w:left="952" w:right="0" w:hanging="213"/>
        <w:jc w:val="left"/>
        <w:rPr>
          <w:rFonts w:ascii="微软雅黑" w:eastAsia="微软雅黑"/>
          <w:b/>
          <w:sz w:val="21"/>
        </w:rPr>
      </w:pPr>
      <w:r>
        <w:rPr>
          <w:rFonts w:ascii="微软雅黑" w:eastAsia="微软雅黑"/>
          <w:b/>
          <w:spacing w:val="-3"/>
          <w:sz w:val="21"/>
        </w:rPr>
        <w:t>交界性肿瘤，交界恶性肿瘤，肿瘤低度恶性潜能，潜在低度恶性肿瘤等；</w:t>
      </w:r>
    </w:p>
    <w:p>
      <w:pPr>
        <w:pStyle w:val="ListParagraph"/>
        <w:numPr>
          <w:ilvl w:val="0"/>
          <w:numId w:val="51"/>
        </w:numPr>
        <w:tabs>
          <w:tab w:pos="850" w:val="left" w:leader="none"/>
        </w:tabs>
        <w:spacing w:line="312" w:lineRule="exact" w:before="0" w:after="0"/>
        <w:ind w:left="849" w:right="0" w:hanging="531"/>
        <w:jc w:val="left"/>
        <w:rPr>
          <w:rFonts w:ascii="微软雅黑" w:hAnsi="微软雅黑" w:eastAsia="微软雅黑"/>
          <w:b/>
          <w:sz w:val="21"/>
        </w:rPr>
      </w:pPr>
      <w:r>
        <w:rPr>
          <w:rFonts w:ascii="微软雅黑" w:hAnsi="微软雅黑" w:eastAsia="微软雅黑"/>
          <w:b/>
          <w:w w:val="90"/>
          <w:sz w:val="21"/>
        </w:rPr>
        <w:t>TNM</w:t>
      </w:r>
      <w:r>
        <w:rPr>
          <w:rFonts w:ascii="微软雅黑" w:hAnsi="微软雅黑" w:eastAsia="微软雅黑"/>
          <w:b/>
          <w:w w:val="90"/>
          <w:sz w:val="21"/>
        </w:rPr>
        <w:t>分</w:t>
      </w:r>
      <w:r>
        <w:rPr>
          <w:rFonts w:ascii="微软雅黑" w:hAnsi="微软雅黑" w:eastAsia="微软雅黑"/>
          <w:b/>
          <w:w w:val="90"/>
          <w:sz w:val="21"/>
        </w:rPr>
        <w:t>期</w:t>
      </w:r>
      <w:r>
        <w:rPr>
          <w:rFonts w:ascii="微软雅黑" w:hAnsi="微软雅黑" w:eastAsia="微软雅黑"/>
          <w:b/>
          <w:w w:val="90"/>
          <w:sz w:val="21"/>
        </w:rPr>
        <w:t>为</w:t>
      </w:r>
      <w:r>
        <w:rPr>
          <w:rFonts w:ascii="微软雅黑" w:hAnsi="微软雅黑" w:eastAsia="微软雅黑"/>
          <w:b/>
          <w:w w:val="90"/>
          <w:sz w:val="21"/>
        </w:rPr>
        <w:t>Ⅰ</w:t>
      </w:r>
      <w:r>
        <w:rPr>
          <w:rFonts w:ascii="微软雅黑" w:hAnsi="微软雅黑" w:eastAsia="微软雅黑"/>
          <w:b/>
          <w:w w:val="90"/>
          <w:sz w:val="21"/>
        </w:rPr>
        <w:t>期</w:t>
      </w:r>
      <w:r>
        <w:rPr>
          <w:rFonts w:ascii="微软雅黑" w:hAnsi="微软雅黑" w:eastAsia="微软雅黑"/>
          <w:b/>
          <w:w w:val="90"/>
          <w:sz w:val="21"/>
        </w:rPr>
        <w:t>或</w:t>
      </w:r>
      <w:r>
        <w:rPr>
          <w:rFonts w:ascii="微软雅黑" w:hAnsi="微软雅黑" w:eastAsia="微软雅黑"/>
          <w:b/>
          <w:w w:val="90"/>
          <w:sz w:val="21"/>
        </w:rPr>
        <w:t>更</w:t>
      </w:r>
      <w:r>
        <w:rPr>
          <w:rFonts w:ascii="微软雅黑" w:hAnsi="微软雅黑" w:eastAsia="微软雅黑"/>
          <w:b/>
          <w:w w:val="90"/>
          <w:sz w:val="21"/>
        </w:rPr>
        <w:t>轻</w:t>
      </w:r>
      <w:r>
        <w:rPr>
          <w:rFonts w:ascii="微软雅黑" w:hAnsi="微软雅黑" w:eastAsia="微软雅黑"/>
          <w:b/>
          <w:w w:val="90"/>
          <w:sz w:val="21"/>
        </w:rPr>
        <w:t>分</w:t>
      </w:r>
      <w:r>
        <w:rPr>
          <w:rFonts w:ascii="微软雅黑" w:hAnsi="微软雅黑" w:eastAsia="微软雅黑"/>
          <w:b/>
          <w:w w:val="90"/>
          <w:sz w:val="21"/>
        </w:rPr>
        <w:t>期</w:t>
      </w:r>
      <w:r>
        <w:rPr>
          <w:rFonts w:ascii="微软雅黑" w:hAnsi="微软雅黑" w:eastAsia="微软雅黑"/>
          <w:b/>
          <w:w w:val="90"/>
          <w:sz w:val="21"/>
        </w:rPr>
        <w:t>的</w:t>
      </w:r>
      <w:r>
        <w:rPr>
          <w:rFonts w:ascii="微软雅黑" w:hAnsi="微软雅黑" w:eastAsia="微软雅黑"/>
          <w:b/>
          <w:w w:val="90"/>
          <w:sz w:val="21"/>
        </w:rPr>
        <w:t>甲</w:t>
      </w:r>
      <w:r>
        <w:rPr>
          <w:rFonts w:ascii="微软雅黑" w:hAnsi="微软雅黑" w:eastAsia="微软雅黑"/>
          <w:b/>
          <w:w w:val="90"/>
          <w:sz w:val="21"/>
        </w:rPr>
        <w:t>状</w:t>
      </w:r>
      <w:r>
        <w:rPr>
          <w:rFonts w:ascii="微软雅黑" w:hAnsi="微软雅黑" w:eastAsia="微软雅黑"/>
          <w:b/>
          <w:w w:val="90"/>
          <w:sz w:val="21"/>
        </w:rPr>
        <w:t>腺</w:t>
      </w:r>
      <w:r>
        <w:rPr>
          <w:rFonts w:ascii="微软雅黑" w:hAnsi="微软雅黑" w:eastAsia="微软雅黑"/>
          <w:b/>
          <w:w w:val="90"/>
          <w:sz w:val="21"/>
        </w:rPr>
        <w:t>癌</w:t>
      </w:r>
      <w:r>
        <w:rPr>
          <w:rFonts w:ascii="微软雅黑" w:hAnsi="微软雅黑" w:eastAsia="微软雅黑"/>
          <w:b/>
          <w:spacing w:val="-10"/>
          <w:w w:val="90"/>
          <w:sz w:val="21"/>
        </w:rPr>
        <w:t>；</w:t>
      </w:r>
    </w:p>
    <w:p>
      <w:pPr>
        <w:pStyle w:val="ListParagraph"/>
        <w:numPr>
          <w:ilvl w:val="0"/>
          <w:numId w:val="51"/>
        </w:numPr>
        <w:tabs>
          <w:tab w:pos="850" w:val="left" w:leader="none"/>
        </w:tabs>
        <w:spacing w:line="312" w:lineRule="exact" w:before="0" w:after="0"/>
        <w:ind w:left="849" w:right="0" w:hanging="531"/>
        <w:jc w:val="left"/>
        <w:rPr>
          <w:rFonts w:ascii="微软雅黑" w:eastAsia="微软雅黑"/>
          <w:b/>
          <w:sz w:val="21"/>
        </w:rPr>
      </w:pPr>
      <w:r>
        <w:rPr>
          <w:rFonts w:ascii="微软雅黑" w:eastAsia="微软雅黑"/>
          <w:b/>
          <w:w w:val="85"/>
          <w:position w:val="1"/>
          <w:sz w:val="21"/>
        </w:rPr>
        <w:t>TNM</w:t>
      </w:r>
      <w:r>
        <w:rPr>
          <w:rFonts w:ascii="微软雅黑" w:eastAsia="微软雅黑"/>
          <w:b/>
          <w:w w:val="85"/>
          <w:position w:val="1"/>
          <w:sz w:val="21"/>
        </w:rPr>
        <w:t>分</w:t>
      </w:r>
      <w:r>
        <w:rPr>
          <w:rFonts w:ascii="微软雅黑" w:eastAsia="微软雅黑"/>
          <w:b/>
          <w:w w:val="85"/>
          <w:position w:val="1"/>
          <w:sz w:val="21"/>
        </w:rPr>
        <w:t>期</w:t>
      </w:r>
      <w:r>
        <w:rPr>
          <w:rFonts w:ascii="微软雅黑" w:eastAsia="微软雅黑"/>
          <w:b/>
          <w:w w:val="85"/>
          <w:position w:val="1"/>
          <w:sz w:val="21"/>
        </w:rPr>
        <w:t>为</w:t>
      </w:r>
      <w:r>
        <w:rPr>
          <w:rFonts w:ascii="微软雅黑" w:eastAsia="微软雅黑"/>
          <w:b/>
          <w:w w:val="85"/>
          <w:position w:val="1"/>
          <w:sz w:val="21"/>
        </w:rPr>
        <w:t>T</w:t>
      </w:r>
      <w:r>
        <w:rPr>
          <w:rFonts w:ascii="微软雅黑" w:eastAsia="微软雅黑"/>
          <w:b/>
          <w:w w:val="85"/>
          <w:sz w:val="11"/>
        </w:rPr>
        <w:t>1</w:t>
      </w:r>
      <w:r>
        <w:rPr>
          <w:rFonts w:ascii="微软雅黑" w:eastAsia="微软雅黑"/>
          <w:b/>
          <w:w w:val="85"/>
          <w:position w:val="1"/>
          <w:sz w:val="21"/>
        </w:rPr>
        <w:t>N</w:t>
      </w:r>
      <w:r>
        <w:rPr>
          <w:rFonts w:ascii="微软雅黑" w:eastAsia="微软雅黑"/>
          <w:b/>
          <w:w w:val="85"/>
          <w:sz w:val="11"/>
        </w:rPr>
        <w:t>0</w:t>
      </w:r>
      <w:r>
        <w:rPr>
          <w:rFonts w:ascii="微软雅黑" w:eastAsia="微软雅黑"/>
          <w:b/>
          <w:w w:val="85"/>
          <w:position w:val="1"/>
          <w:sz w:val="21"/>
        </w:rPr>
        <w:t>M</w:t>
      </w:r>
      <w:r>
        <w:rPr>
          <w:rFonts w:ascii="微软雅黑" w:eastAsia="微软雅黑"/>
          <w:b/>
          <w:w w:val="85"/>
          <w:sz w:val="11"/>
        </w:rPr>
        <w:t>0</w:t>
      </w:r>
      <w:r>
        <w:rPr>
          <w:rFonts w:ascii="微软雅黑" w:eastAsia="微软雅黑"/>
          <w:b/>
          <w:w w:val="85"/>
          <w:position w:val="1"/>
          <w:sz w:val="21"/>
        </w:rPr>
        <w:t>期</w:t>
      </w:r>
      <w:r>
        <w:rPr>
          <w:rFonts w:ascii="微软雅黑" w:eastAsia="微软雅黑"/>
          <w:b/>
          <w:w w:val="85"/>
          <w:position w:val="1"/>
          <w:sz w:val="21"/>
        </w:rPr>
        <w:t>或</w:t>
      </w:r>
      <w:r>
        <w:rPr>
          <w:rFonts w:ascii="微软雅黑" w:eastAsia="微软雅黑"/>
          <w:b/>
          <w:w w:val="85"/>
          <w:position w:val="1"/>
          <w:sz w:val="21"/>
        </w:rPr>
        <w:t>更</w:t>
      </w:r>
      <w:r>
        <w:rPr>
          <w:rFonts w:ascii="微软雅黑" w:eastAsia="微软雅黑"/>
          <w:b/>
          <w:w w:val="85"/>
          <w:position w:val="1"/>
          <w:sz w:val="21"/>
        </w:rPr>
        <w:t>轻</w:t>
      </w:r>
      <w:r>
        <w:rPr>
          <w:rFonts w:ascii="微软雅黑" w:eastAsia="微软雅黑"/>
          <w:b/>
          <w:w w:val="85"/>
          <w:position w:val="1"/>
          <w:sz w:val="21"/>
        </w:rPr>
        <w:t>分</w:t>
      </w:r>
      <w:r>
        <w:rPr>
          <w:rFonts w:ascii="微软雅黑" w:eastAsia="微软雅黑"/>
          <w:b/>
          <w:w w:val="85"/>
          <w:position w:val="1"/>
          <w:sz w:val="21"/>
        </w:rPr>
        <w:t>期</w:t>
      </w:r>
      <w:r>
        <w:rPr>
          <w:rFonts w:ascii="微软雅黑" w:eastAsia="微软雅黑"/>
          <w:b/>
          <w:w w:val="85"/>
          <w:position w:val="1"/>
          <w:sz w:val="21"/>
        </w:rPr>
        <w:t>的</w:t>
      </w:r>
      <w:r>
        <w:rPr>
          <w:rFonts w:ascii="微软雅黑" w:eastAsia="微软雅黑"/>
          <w:b/>
          <w:w w:val="85"/>
          <w:position w:val="1"/>
          <w:sz w:val="21"/>
        </w:rPr>
        <w:t>前</w:t>
      </w:r>
      <w:r>
        <w:rPr>
          <w:rFonts w:ascii="微软雅黑" w:eastAsia="微软雅黑"/>
          <w:b/>
          <w:w w:val="85"/>
          <w:position w:val="1"/>
          <w:sz w:val="21"/>
        </w:rPr>
        <w:t>列</w:t>
      </w:r>
      <w:r>
        <w:rPr>
          <w:rFonts w:ascii="微软雅黑" w:eastAsia="微软雅黑"/>
          <w:b/>
          <w:w w:val="85"/>
          <w:position w:val="1"/>
          <w:sz w:val="21"/>
        </w:rPr>
        <w:t>腺</w:t>
      </w:r>
      <w:r>
        <w:rPr>
          <w:rFonts w:ascii="微软雅黑" w:eastAsia="微软雅黑"/>
          <w:b/>
          <w:spacing w:val="-5"/>
          <w:w w:val="85"/>
          <w:position w:val="1"/>
          <w:sz w:val="21"/>
        </w:rPr>
        <w:t>癌；</w:t>
      </w:r>
    </w:p>
    <w:p>
      <w:pPr>
        <w:pStyle w:val="ListParagraph"/>
        <w:numPr>
          <w:ilvl w:val="0"/>
          <w:numId w:val="51"/>
        </w:numPr>
        <w:tabs>
          <w:tab w:pos="850" w:val="left" w:leader="none"/>
        </w:tabs>
        <w:spacing w:line="312" w:lineRule="exact" w:before="0" w:after="0"/>
        <w:ind w:left="849" w:right="0" w:hanging="531"/>
        <w:jc w:val="left"/>
        <w:rPr>
          <w:rFonts w:ascii="微软雅黑" w:eastAsia="微软雅黑"/>
          <w:b/>
          <w:sz w:val="21"/>
        </w:rPr>
      </w:pPr>
      <w:r>
        <w:rPr>
          <w:rFonts w:ascii="微软雅黑" w:eastAsia="微软雅黑"/>
          <w:b/>
          <w:spacing w:val="-3"/>
          <w:sz w:val="21"/>
        </w:rPr>
        <w:t>黑色素瘤以外的未发生淋巴结和远处转移的皮肤恶性肿瘤；</w:t>
      </w:r>
    </w:p>
    <w:p>
      <w:pPr>
        <w:pStyle w:val="ListParagraph"/>
        <w:numPr>
          <w:ilvl w:val="0"/>
          <w:numId w:val="51"/>
        </w:numPr>
        <w:tabs>
          <w:tab w:pos="850" w:val="left" w:leader="none"/>
        </w:tabs>
        <w:spacing w:line="312" w:lineRule="exact" w:before="0" w:after="0"/>
        <w:ind w:left="849" w:right="0" w:hanging="531"/>
        <w:jc w:val="left"/>
        <w:rPr>
          <w:rFonts w:ascii="微软雅黑" w:eastAsia="微软雅黑"/>
          <w:b/>
          <w:sz w:val="21"/>
        </w:rPr>
      </w:pPr>
      <w:r>
        <w:rPr>
          <w:rFonts w:ascii="微软雅黑" w:eastAsia="微软雅黑"/>
          <w:b/>
          <w:w w:val="95"/>
          <w:sz w:val="21"/>
        </w:rPr>
        <w:t>相</w:t>
      </w:r>
      <w:r>
        <w:rPr>
          <w:rFonts w:ascii="微软雅黑" w:eastAsia="微软雅黑"/>
          <w:b/>
          <w:w w:val="95"/>
          <w:sz w:val="21"/>
        </w:rPr>
        <w:t>当</w:t>
      </w:r>
      <w:r>
        <w:rPr>
          <w:rFonts w:ascii="微软雅黑" w:eastAsia="微软雅黑"/>
          <w:b/>
          <w:w w:val="95"/>
          <w:sz w:val="21"/>
        </w:rPr>
        <w:t>于</w:t>
      </w:r>
      <w:r>
        <w:rPr>
          <w:rFonts w:ascii="微软雅黑" w:eastAsia="微软雅黑"/>
          <w:b/>
          <w:w w:val="95"/>
          <w:sz w:val="21"/>
        </w:rPr>
        <w:t>Binet分</w:t>
      </w:r>
      <w:r>
        <w:rPr>
          <w:rFonts w:ascii="微软雅黑" w:eastAsia="微软雅黑"/>
          <w:b/>
          <w:w w:val="95"/>
          <w:sz w:val="21"/>
        </w:rPr>
        <w:t>期</w:t>
      </w:r>
      <w:r>
        <w:rPr>
          <w:rFonts w:ascii="微软雅黑" w:eastAsia="微软雅黑"/>
          <w:b/>
          <w:w w:val="95"/>
          <w:sz w:val="21"/>
        </w:rPr>
        <w:t>方案A</w:t>
      </w:r>
      <w:r>
        <w:rPr>
          <w:rFonts w:ascii="微软雅黑" w:eastAsia="微软雅黑"/>
          <w:b/>
          <w:w w:val="95"/>
          <w:sz w:val="21"/>
        </w:rPr>
        <w:t>期</w:t>
      </w:r>
      <w:r>
        <w:rPr>
          <w:rFonts w:ascii="微软雅黑" w:eastAsia="微软雅黑"/>
          <w:b/>
          <w:w w:val="95"/>
          <w:sz w:val="21"/>
        </w:rPr>
        <w:t>程</w:t>
      </w:r>
      <w:r>
        <w:rPr>
          <w:rFonts w:ascii="微软雅黑" w:eastAsia="微软雅黑"/>
          <w:b/>
          <w:w w:val="95"/>
          <w:sz w:val="21"/>
        </w:rPr>
        <w:t>度</w:t>
      </w:r>
      <w:r>
        <w:rPr>
          <w:rFonts w:ascii="微软雅黑" w:eastAsia="微软雅黑"/>
          <w:b/>
          <w:w w:val="95"/>
          <w:sz w:val="21"/>
        </w:rPr>
        <w:t>的</w:t>
      </w:r>
      <w:r>
        <w:rPr>
          <w:rFonts w:ascii="微软雅黑" w:eastAsia="微软雅黑"/>
          <w:b/>
          <w:w w:val="95"/>
          <w:sz w:val="21"/>
        </w:rPr>
        <w:t>慢</w:t>
      </w:r>
      <w:r>
        <w:rPr>
          <w:rFonts w:ascii="微软雅黑" w:eastAsia="微软雅黑"/>
          <w:b/>
          <w:w w:val="95"/>
          <w:sz w:val="21"/>
        </w:rPr>
        <w:t>性</w:t>
      </w:r>
      <w:r>
        <w:rPr>
          <w:rFonts w:ascii="微软雅黑" w:eastAsia="微软雅黑"/>
          <w:b/>
          <w:w w:val="95"/>
          <w:sz w:val="21"/>
        </w:rPr>
        <w:t>淋</w:t>
      </w:r>
      <w:r>
        <w:rPr>
          <w:rFonts w:ascii="微软雅黑" w:eastAsia="微软雅黑"/>
          <w:b/>
          <w:w w:val="95"/>
          <w:sz w:val="21"/>
        </w:rPr>
        <w:t>巴</w:t>
      </w:r>
      <w:r>
        <w:rPr>
          <w:rFonts w:ascii="微软雅黑" w:eastAsia="微软雅黑"/>
          <w:b/>
          <w:w w:val="95"/>
          <w:sz w:val="21"/>
        </w:rPr>
        <w:t>细胞</w:t>
      </w:r>
      <w:r>
        <w:rPr>
          <w:rFonts w:ascii="微软雅黑" w:eastAsia="微软雅黑"/>
          <w:b/>
          <w:w w:val="95"/>
          <w:sz w:val="21"/>
        </w:rPr>
        <w:t>白</w:t>
      </w:r>
      <w:r>
        <w:rPr>
          <w:rFonts w:ascii="微软雅黑" w:eastAsia="微软雅黑"/>
          <w:b/>
          <w:w w:val="95"/>
          <w:sz w:val="21"/>
        </w:rPr>
        <w:t>血</w:t>
      </w:r>
      <w:r>
        <w:rPr>
          <w:rFonts w:ascii="微软雅黑" w:eastAsia="微软雅黑"/>
          <w:b/>
          <w:w w:val="95"/>
          <w:sz w:val="21"/>
        </w:rPr>
        <w:t>病</w:t>
      </w:r>
      <w:r>
        <w:rPr>
          <w:rFonts w:ascii="微软雅黑" w:eastAsia="微软雅黑"/>
          <w:b/>
          <w:spacing w:val="-10"/>
          <w:w w:val="95"/>
          <w:sz w:val="21"/>
        </w:rPr>
        <w:t>；</w:t>
      </w:r>
    </w:p>
    <w:p>
      <w:pPr>
        <w:pStyle w:val="ListParagraph"/>
        <w:numPr>
          <w:ilvl w:val="0"/>
          <w:numId w:val="51"/>
        </w:numPr>
        <w:tabs>
          <w:tab w:pos="850" w:val="left" w:leader="none"/>
        </w:tabs>
        <w:spacing w:line="312" w:lineRule="exact" w:before="0" w:after="0"/>
        <w:ind w:left="849" w:right="0" w:hanging="531"/>
        <w:jc w:val="left"/>
        <w:rPr>
          <w:rFonts w:ascii="微软雅黑" w:hAnsi="微软雅黑" w:eastAsia="微软雅黑"/>
          <w:b/>
          <w:sz w:val="21"/>
        </w:rPr>
      </w:pPr>
      <w:r>
        <w:rPr>
          <w:rFonts w:ascii="微软雅黑" w:hAnsi="微软雅黑" w:eastAsia="微软雅黑"/>
          <w:b/>
          <w:w w:val="95"/>
          <w:sz w:val="21"/>
        </w:rPr>
        <w:t>相</w:t>
      </w:r>
      <w:r>
        <w:rPr>
          <w:rFonts w:ascii="微软雅黑" w:hAnsi="微软雅黑" w:eastAsia="微软雅黑"/>
          <w:b/>
          <w:w w:val="95"/>
          <w:sz w:val="21"/>
        </w:rPr>
        <w:t>当</w:t>
      </w:r>
      <w:r>
        <w:rPr>
          <w:rFonts w:ascii="微软雅黑" w:hAnsi="微软雅黑" w:eastAsia="微软雅黑"/>
          <w:b/>
          <w:w w:val="95"/>
          <w:sz w:val="21"/>
        </w:rPr>
        <w:t>于</w:t>
      </w:r>
      <w:r>
        <w:rPr>
          <w:rFonts w:ascii="微软雅黑" w:hAnsi="微软雅黑" w:eastAsia="微软雅黑"/>
          <w:b/>
          <w:w w:val="95"/>
          <w:sz w:val="21"/>
        </w:rPr>
        <w:t>Ann</w:t>
      </w:r>
      <w:r>
        <w:rPr>
          <w:rFonts w:ascii="微软雅黑" w:hAnsi="微软雅黑" w:eastAsia="微软雅黑"/>
          <w:b/>
          <w:spacing w:val="64"/>
          <w:sz w:val="21"/>
        </w:rPr>
        <w:t> </w:t>
      </w:r>
      <w:r>
        <w:rPr>
          <w:rFonts w:ascii="微软雅黑" w:hAnsi="微软雅黑" w:eastAsia="微软雅黑"/>
          <w:b/>
          <w:w w:val="95"/>
          <w:sz w:val="21"/>
        </w:rPr>
        <w:t>Arbor</w:t>
      </w:r>
      <w:r>
        <w:rPr>
          <w:rFonts w:ascii="微软雅黑" w:hAnsi="微软雅黑" w:eastAsia="微软雅黑"/>
          <w:b/>
          <w:w w:val="95"/>
          <w:sz w:val="21"/>
        </w:rPr>
        <w:t>分</w:t>
      </w:r>
      <w:r>
        <w:rPr>
          <w:rFonts w:ascii="微软雅黑" w:hAnsi="微软雅黑" w:eastAsia="微软雅黑"/>
          <w:b/>
          <w:w w:val="95"/>
          <w:sz w:val="21"/>
        </w:rPr>
        <w:t>期</w:t>
      </w:r>
      <w:r>
        <w:rPr>
          <w:rFonts w:ascii="微软雅黑" w:hAnsi="微软雅黑" w:eastAsia="微软雅黑"/>
          <w:b/>
          <w:w w:val="95"/>
          <w:sz w:val="21"/>
        </w:rPr>
        <w:t>方</w:t>
      </w:r>
      <w:r>
        <w:rPr>
          <w:rFonts w:ascii="微软雅黑" w:hAnsi="微软雅黑" w:eastAsia="微软雅黑"/>
          <w:b/>
          <w:w w:val="95"/>
          <w:sz w:val="21"/>
        </w:rPr>
        <w:t>案</w:t>
      </w:r>
      <w:r>
        <w:rPr>
          <w:rFonts w:ascii="微软雅黑" w:hAnsi="微软雅黑" w:eastAsia="微软雅黑"/>
          <w:b/>
          <w:w w:val="95"/>
          <w:sz w:val="21"/>
        </w:rPr>
        <w:t>Ⅰ</w:t>
      </w:r>
      <w:r>
        <w:rPr>
          <w:rFonts w:ascii="微软雅黑" w:hAnsi="微软雅黑" w:eastAsia="微软雅黑"/>
          <w:b/>
          <w:w w:val="95"/>
          <w:sz w:val="21"/>
        </w:rPr>
        <w:t>期</w:t>
      </w:r>
      <w:r>
        <w:rPr>
          <w:rFonts w:ascii="微软雅黑" w:hAnsi="微软雅黑" w:eastAsia="微软雅黑"/>
          <w:b/>
          <w:w w:val="95"/>
          <w:sz w:val="21"/>
        </w:rPr>
        <w:t>程</w:t>
      </w:r>
      <w:r>
        <w:rPr>
          <w:rFonts w:ascii="微软雅黑" w:hAnsi="微软雅黑" w:eastAsia="微软雅黑"/>
          <w:b/>
          <w:w w:val="95"/>
          <w:sz w:val="21"/>
        </w:rPr>
        <w:t>度</w:t>
      </w:r>
      <w:r>
        <w:rPr>
          <w:rFonts w:ascii="微软雅黑" w:hAnsi="微软雅黑" w:eastAsia="微软雅黑"/>
          <w:b/>
          <w:w w:val="95"/>
          <w:sz w:val="21"/>
        </w:rPr>
        <w:t>的</w:t>
      </w:r>
      <w:r>
        <w:rPr>
          <w:rFonts w:ascii="微软雅黑" w:hAnsi="微软雅黑" w:eastAsia="微软雅黑"/>
          <w:b/>
          <w:w w:val="95"/>
          <w:sz w:val="21"/>
        </w:rPr>
        <w:t>何杰金</w:t>
      </w:r>
      <w:r>
        <w:rPr>
          <w:rFonts w:ascii="微软雅黑" w:hAnsi="微软雅黑" w:eastAsia="微软雅黑"/>
          <w:b/>
          <w:w w:val="95"/>
          <w:sz w:val="21"/>
        </w:rPr>
        <w:t>氏</w:t>
      </w:r>
      <w:r>
        <w:rPr>
          <w:rFonts w:ascii="微软雅黑" w:hAnsi="微软雅黑" w:eastAsia="微软雅黑"/>
          <w:b/>
          <w:w w:val="95"/>
          <w:sz w:val="21"/>
        </w:rPr>
        <w:t>病</w:t>
      </w:r>
      <w:r>
        <w:rPr>
          <w:rFonts w:ascii="微软雅黑" w:hAnsi="微软雅黑" w:eastAsia="微软雅黑"/>
          <w:b/>
          <w:spacing w:val="-10"/>
          <w:w w:val="95"/>
          <w:sz w:val="21"/>
        </w:rPr>
        <w:t>；</w:t>
      </w:r>
    </w:p>
    <w:p>
      <w:pPr>
        <w:pStyle w:val="ListParagraph"/>
        <w:numPr>
          <w:ilvl w:val="0"/>
          <w:numId w:val="51"/>
        </w:numPr>
        <w:tabs>
          <w:tab w:pos="850" w:val="left" w:leader="none"/>
        </w:tabs>
        <w:spacing w:line="312" w:lineRule="exact" w:before="0" w:after="0"/>
        <w:ind w:left="849" w:right="0" w:hanging="531"/>
        <w:jc w:val="left"/>
        <w:rPr>
          <w:rFonts w:ascii="微软雅黑" w:eastAsia="微软雅黑"/>
          <w:b/>
          <w:sz w:val="21"/>
        </w:rPr>
      </w:pPr>
      <w:r>
        <w:rPr>
          <w:rFonts w:ascii="微软雅黑" w:eastAsia="微软雅黑"/>
          <w:b/>
          <w:w w:val="90"/>
          <w:sz w:val="21"/>
        </w:rPr>
        <w:t>未</w:t>
      </w:r>
      <w:r>
        <w:rPr>
          <w:rFonts w:ascii="微软雅黑" w:eastAsia="微软雅黑"/>
          <w:b/>
          <w:w w:val="90"/>
          <w:sz w:val="21"/>
        </w:rPr>
        <w:t>发</w:t>
      </w:r>
      <w:r>
        <w:rPr>
          <w:rFonts w:ascii="微软雅黑" w:eastAsia="微软雅黑"/>
          <w:b/>
          <w:w w:val="90"/>
          <w:sz w:val="21"/>
        </w:rPr>
        <w:t>生</w:t>
      </w:r>
      <w:r>
        <w:rPr>
          <w:rFonts w:ascii="微软雅黑" w:eastAsia="微软雅黑"/>
          <w:b/>
          <w:w w:val="90"/>
          <w:sz w:val="21"/>
        </w:rPr>
        <w:t>淋</w:t>
      </w:r>
      <w:r>
        <w:rPr>
          <w:rFonts w:ascii="微软雅黑" w:eastAsia="微软雅黑"/>
          <w:b/>
          <w:w w:val="90"/>
          <w:sz w:val="21"/>
        </w:rPr>
        <w:t>巴</w:t>
      </w:r>
      <w:r>
        <w:rPr>
          <w:rFonts w:ascii="微软雅黑" w:eastAsia="微软雅黑"/>
          <w:b/>
          <w:w w:val="90"/>
          <w:sz w:val="21"/>
        </w:rPr>
        <w:t>结</w:t>
      </w:r>
      <w:r>
        <w:rPr>
          <w:rFonts w:ascii="微软雅黑" w:eastAsia="微软雅黑"/>
          <w:b/>
          <w:w w:val="90"/>
          <w:sz w:val="21"/>
        </w:rPr>
        <w:t>和</w:t>
      </w:r>
      <w:r>
        <w:rPr>
          <w:rFonts w:ascii="微软雅黑" w:eastAsia="微软雅黑"/>
          <w:b/>
          <w:w w:val="90"/>
          <w:sz w:val="21"/>
        </w:rPr>
        <w:t>远</w:t>
      </w:r>
      <w:r>
        <w:rPr>
          <w:rFonts w:ascii="微软雅黑" w:eastAsia="微软雅黑"/>
          <w:b/>
          <w:w w:val="90"/>
          <w:sz w:val="21"/>
        </w:rPr>
        <w:t>处</w:t>
      </w:r>
      <w:r>
        <w:rPr>
          <w:rFonts w:ascii="微软雅黑" w:eastAsia="微软雅黑"/>
          <w:b/>
          <w:w w:val="90"/>
          <w:sz w:val="21"/>
        </w:rPr>
        <w:t>转</w:t>
      </w:r>
      <w:r>
        <w:rPr>
          <w:rFonts w:ascii="微软雅黑" w:eastAsia="微软雅黑"/>
          <w:b/>
          <w:w w:val="90"/>
          <w:sz w:val="21"/>
        </w:rPr>
        <w:t>移</w:t>
      </w:r>
      <w:r>
        <w:rPr>
          <w:rFonts w:ascii="微软雅黑" w:eastAsia="微软雅黑"/>
          <w:b/>
          <w:w w:val="90"/>
          <w:sz w:val="21"/>
        </w:rPr>
        <w:t>且</w:t>
      </w:r>
      <w:r>
        <w:rPr>
          <w:rFonts w:ascii="微软雅黑" w:eastAsia="微软雅黑"/>
          <w:b/>
          <w:w w:val="85"/>
          <w:sz w:val="21"/>
        </w:rPr>
        <w:t>WHO</w:t>
      </w:r>
      <w:r>
        <w:rPr>
          <w:rFonts w:ascii="微软雅黑" w:eastAsia="微软雅黑"/>
          <w:b/>
          <w:w w:val="90"/>
          <w:sz w:val="21"/>
        </w:rPr>
        <w:t>分</w:t>
      </w:r>
      <w:r>
        <w:rPr>
          <w:rFonts w:ascii="微软雅黑" w:eastAsia="微软雅黑"/>
          <w:b/>
          <w:w w:val="90"/>
          <w:sz w:val="21"/>
        </w:rPr>
        <w:t>级</w:t>
      </w:r>
      <w:r>
        <w:rPr>
          <w:rFonts w:ascii="微软雅黑" w:eastAsia="微软雅黑"/>
          <w:b/>
          <w:w w:val="90"/>
          <w:sz w:val="21"/>
        </w:rPr>
        <w:t>为</w:t>
      </w:r>
      <w:r>
        <w:rPr>
          <w:rFonts w:ascii="微软雅黑" w:eastAsia="微软雅黑"/>
          <w:b/>
          <w:w w:val="90"/>
          <w:sz w:val="21"/>
        </w:rPr>
        <w:t>G1</w:t>
      </w:r>
      <w:r>
        <w:rPr>
          <w:rFonts w:ascii="微软雅黑" w:eastAsia="微软雅黑"/>
          <w:b/>
          <w:spacing w:val="-41"/>
          <w:w w:val="90"/>
          <w:sz w:val="21"/>
        </w:rPr>
        <w:t>级别</w:t>
      </w:r>
      <w:r>
        <w:rPr>
          <w:rFonts w:ascii="微软雅黑" w:eastAsia="微软雅黑"/>
          <w:b/>
          <w:w w:val="90"/>
          <w:sz w:val="21"/>
        </w:rPr>
        <w:t>（</w:t>
      </w:r>
      <w:r>
        <w:rPr>
          <w:rFonts w:ascii="微软雅黑" w:eastAsia="微软雅黑"/>
          <w:b/>
          <w:w w:val="90"/>
          <w:sz w:val="21"/>
        </w:rPr>
        <w:t>核</w:t>
      </w:r>
      <w:r>
        <w:rPr>
          <w:rFonts w:ascii="微软雅黑" w:eastAsia="微软雅黑"/>
          <w:b/>
          <w:w w:val="90"/>
          <w:sz w:val="21"/>
        </w:rPr>
        <w:t>分</w:t>
      </w:r>
      <w:r>
        <w:rPr>
          <w:rFonts w:ascii="微软雅黑" w:eastAsia="微软雅黑"/>
          <w:b/>
          <w:w w:val="90"/>
          <w:sz w:val="21"/>
        </w:rPr>
        <w:t>裂</w:t>
      </w:r>
      <w:r>
        <w:rPr>
          <w:rFonts w:ascii="微软雅黑" w:eastAsia="微软雅黑"/>
          <w:b/>
          <w:w w:val="90"/>
          <w:sz w:val="21"/>
        </w:rPr>
        <w:t>像</w:t>
      </w:r>
      <w:r>
        <w:rPr>
          <w:rFonts w:ascii="微软雅黑" w:eastAsia="微软雅黑"/>
          <w:b/>
          <w:w w:val="90"/>
          <w:sz w:val="21"/>
        </w:rPr>
        <w:t>＜10/50</w:t>
      </w:r>
      <w:r>
        <w:rPr>
          <w:rFonts w:ascii="微软雅黑" w:eastAsia="微软雅黑"/>
          <w:b/>
          <w:spacing w:val="52"/>
          <w:w w:val="150"/>
          <w:sz w:val="21"/>
        </w:rPr>
        <w:t>  </w:t>
      </w:r>
      <w:r>
        <w:rPr>
          <w:rFonts w:ascii="微软雅黑" w:eastAsia="微软雅黑"/>
          <w:b/>
          <w:w w:val="90"/>
          <w:sz w:val="21"/>
        </w:rPr>
        <w:t>HPF和ki-</w:t>
      </w:r>
      <w:r>
        <w:rPr>
          <w:rFonts w:ascii="微软雅黑" w:eastAsia="微软雅黑"/>
          <w:b/>
          <w:spacing w:val="-5"/>
          <w:w w:val="90"/>
          <w:sz w:val="21"/>
        </w:rPr>
        <w:t>67</w:t>
      </w:r>
    </w:p>
    <w:p>
      <w:pPr>
        <w:spacing w:line="350" w:lineRule="exact" w:before="0"/>
        <w:ind w:left="319" w:right="0" w:firstLine="0"/>
        <w:jc w:val="left"/>
        <w:rPr>
          <w:rFonts w:ascii="微软雅黑" w:hAnsi="微软雅黑" w:eastAsia="微软雅黑"/>
          <w:b/>
          <w:sz w:val="21"/>
        </w:rPr>
      </w:pPr>
      <w:r>
        <w:rPr>
          <w:rFonts w:ascii="微软雅黑" w:hAnsi="微软雅黑" w:eastAsia="微软雅黑"/>
          <w:b/>
          <w:w w:val="95"/>
          <w:sz w:val="21"/>
        </w:rPr>
        <w:t>≤2%）</w:t>
      </w:r>
      <w:r>
        <w:rPr>
          <w:rFonts w:ascii="微软雅黑" w:hAnsi="微软雅黑" w:eastAsia="微软雅黑"/>
          <w:b/>
          <w:w w:val="95"/>
          <w:sz w:val="21"/>
        </w:rPr>
        <w:t>或</w:t>
      </w:r>
      <w:r>
        <w:rPr>
          <w:rFonts w:ascii="微软雅黑" w:hAnsi="微软雅黑" w:eastAsia="微软雅黑"/>
          <w:b/>
          <w:w w:val="95"/>
          <w:sz w:val="21"/>
        </w:rPr>
        <w:t>更</w:t>
      </w:r>
      <w:r>
        <w:rPr>
          <w:rFonts w:ascii="微软雅黑" w:hAnsi="微软雅黑" w:eastAsia="微软雅黑"/>
          <w:b/>
          <w:w w:val="95"/>
          <w:sz w:val="21"/>
        </w:rPr>
        <w:t>轻</w:t>
      </w:r>
      <w:r>
        <w:rPr>
          <w:rFonts w:ascii="微软雅黑" w:hAnsi="微软雅黑" w:eastAsia="微软雅黑"/>
          <w:b/>
          <w:w w:val="95"/>
          <w:sz w:val="21"/>
        </w:rPr>
        <w:t>分</w:t>
      </w:r>
      <w:r>
        <w:rPr>
          <w:rFonts w:ascii="微软雅黑" w:hAnsi="微软雅黑" w:eastAsia="微软雅黑"/>
          <w:b/>
          <w:w w:val="95"/>
          <w:sz w:val="21"/>
        </w:rPr>
        <w:t>级</w:t>
      </w:r>
      <w:r>
        <w:rPr>
          <w:rFonts w:ascii="微软雅黑" w:hAnsi="微软雅黑" w:eastAsia="微软雅黑"/>
          <w:b/>
          <w:w w:val="95"/>
          <w:sz w:val="21"/>
        </w:rPr>
        <w:t>的</w:t>
      </w:r>
      <w:r>
        <w:rPr>
          <w:rFonts w:ascii="微软雅黑" w:hAnsi="微软雅黑" w:eastAsia="微软雅黑"/>
          <w:b/>
          <w:w w:val="95"/>
          <w:sz w:val="21"/>
        </w:rPr>
        <w:t>神</w:t>
      </w:r>
      <w:r>
        <w:rPr>
          <w:rFonts w:ascii="微软雅黑" w:hAnsi="微软雅黑" w:eastAsia="微软雅黑"/>
          <w:b/>
          <w:w w:val="95"/>
          <w:sz w:val="21"/>
        </w:rPr>
        <w:t>经</w:t>
      </w:r>
      <w:r>
        <w:rPr>
          <w:rFonts w:ascii="微软雅黑" w:hAnsi="微软雅黑" w:eastAsia="微软雅黑"/>
          <w:b/>
          <w:w w:val="95"/>
          <w:sz w:val="21"/>
        </w:rPr>
        <w:t>内</w:t>
      </w:r>
      <w:r>
        <w:rPr>
          <w:rFonts w:ascii="微软雅黑" w:hAnsi="微软雅黑" w:eastAsia="微软雅黑"/>
          <w:b/>
          <w:w w:val="95"/>
          <w:sz w:val="21"/>
        </w:rPr>
        <w:t>分</w:t>
      </w:r>
      <w:r>
        <w:rPr>
          <w:rFonts w:ascii="微软雅黑" w:hAnsi="微软雅黑" w:eastAsia="微软雅黑"/>
          <w:b/>
          <w:w w:val="95"/>
          <w:sz w:val="21"/>
        </w:rPr>
        <w:t>泌</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spacing w:val="-10"/>
          <w:w w:val="95"/>
          <w:sz w:val="21"/>
        </w:rPr>
        <w:t>。</w:t>
      </w:r>
    </w:p>
    <w:p>
      <w:pPr>
        <w:spacing w:after="0" w:line="350" w:lineRule="exact"/>
        <w:jc w:val="left"/>
        <w:rPr>
          <w:rFonts w:ascii="微软雅黑" w:hAnsi="微软雅黑" w:eastAsia="微软雅黑"/>
          <w:sz w:val="21"/>
        </w:rPr>
        <w:sectPr>
          <w:type w:val="continuous"/>
          <w:pgSz w:w="11910" w:h="16840"/>
          <w:pgMar w:header="0" w:footer="458" w:top="620" w:bottom="280" w:left="800" w:right="660"/>
          <w:cols w:num="2" w:equalWidth="0">
            <w:col w:w="2340" w:space="40"/>
            <w:col w:w="8070"/>
          </w:cols>
        </w:sectPr>
      </w:pPr>
    </w:p>
    <w:p>
      <w:pPr>
        <w:pStyle w:val="BodyText"/>
        <w:spacing w:before="9"/>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390"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较重急性心</w:t>
      </w:r>
      <w:r>
        <w:rPr>
          <w:rFonts w:ascii="微软雅黑" w:eastAsia="微软雅黑"/>
          <w:b/>
          <w:spacing w:val="-4"/>
          <w:sz w:val="21"/>
        </w:rPr>
        <w:t>肌梗死</w:t>
      </w:r>
    </w:p>
    <w:p>
      <w:pPr>
        <w:pStyle w:val="BodyText"/>
        <w:spacing w:line="278" w:lineRule="auto" w:before="71"/>
        <w:ind w:left="214" w:right="284"/>
      </w:pPr>
      <w:r>
        <w:rPr/>
        <w:br w:type="column"/>
      </w:r>
      <w:r>
        <w:rPr>
          <w:spacing w:val="-2"/>
        </w:rPr>
        <w:t>急性心肌梗死指由于冠状动脉闭塞或梗阻引起部分心肌严重的持久性缺血造成急</w:t>
      </w:r>
      <w:r>
        <w:rPr>
          <w:spacing w:val="-2"/>
        </w:rPr>
        <w:t>性心肌坏死。急性心肌梗死的诊断必须依据国际国内诊断标准，符合（1）检测到</w:t>
      </w:r>
      <w:r>
        <w:rPr>
          <w:spacing w:val="-2"/>
        </w:rPr>
        <w:t>肌酸激酶同工酶（CK-MB）或肌钙蛋白（cTn）升高和/或降低的动态变化，至少一</w:t>
      </w:r>
      <w:r>
        <w:rPr>
          <w:spacing w:val="-2"/>
        </w:rPr>
        <w:t>次达到或超过心肌梗死的临床诊断标准；（2）同时存在下列之一的证据，包括：</w:t>
      </w:r>
      <w:r>
        <w:rPr>
          <w:spacing w:val="-2"/>
        </w:rPr>
        <w:t>缺血性胸痛症状、新发生的缺血性心电图改变、新生成的病理性Q波、影像学证据</w:t>
      </w:r>
      <w:r>
        <w:rPr>
          <w:spacing w:val="-2"/>
        </w:rPr>
        <w:t>显示有新出现的心肌活性丧失或新出现局部室壁运动异常、冠脉造影证实存在冠</w:t>
      </w:r>
      <w:r>
        <w:rPr>
          <w:spacing w:val="-2"/>
        </w:rPr>
        <w:t>状动脉血栓。</w:t>
      </w:r>
    </w:p>
    <w:p>
      <w:pPr>
        <w:pStyle w:val="BodyText"/>
        <w:spacing w:line="278" w:lineRule="auto" w:before="0"/>
        <w:ind w:left="214" w:right="387"/>
      </w:pPr>
      <w:r>
        <w:rPr>
          <w:spacing w:val="-2"/>
        </w:rPr>
        <w:t>较重急性心肌梗死指依照上述标准被明确诊断为急性心肌梗死，并且必须同时满</w:t>
      </w:r>
      <w:r>
        <w:rPr>
          <w:spacing w:val="-2"/>
        </w:rPr>
        <w:t>足下列至少一项条件：</w:t>
      </w:r>
    </w:p>
    <w:p>
      <w:pPr>
        <w:pStyle w:val="ListParagraph"/>
        <w:numPr>
          <w:ilvl w:val="0"/>
          <w:numId w:val="52"/>
        </w:numPr>
        <w:tabs>
          <w:tab w:pos="744" w:val="left" w:leader="none"/>
        </w:tabs>
        <w:spacing w:line="278" w:lineRule="auto" w:before="0" w:after="0"/>
        <w:ind w:left="214" w:right="391" w:firstLine="0"/>
        <w:jc w:val="left"/>
        <w:rPr>
          <w:sz w:val="21"/>
        </w:rPr>
      </w:pPr>
      <w:r>
        <w:rPr>
          <w:spacing w:val="-2"/>
          <w:sz w:val="21"/>
        </w:rPr>
        <w:t>心肌损伤标志物肌钙蛋白（cTn）升高，至少一次检测结果达到该检验正常</w:t>
      </w:r>
      <w:r>
        <w:rPr>
          <w:spacing w:val="-2"/>
          <w:sz w:val="21"/>
        </w:rPr>
        <w:t>参考值上限的15倍（含）以上；</w:t>
      </w:r>
    </w:p>
    <w:p>
      <w:pPr>
        <w:pStyle w:val="ListParagraph"/>
        <w:numPr>
          <w:ilvl w:val="0"/>
          <w:numId w:val="52"/>
        </w:numPr>
        <w:tabs>
          <w:tab w:pos="744" w:val="left" w:leader="none"/>
        </w:tabs>
        <w:spacing w:line="269" w:lineRule="exact" w:before="0" w:after="0"/>
        <w:ind w:left="744" w:right="0" w:hanging="530"/>
        <w:jc w:val="left"/>
        <w:rPr>
          <w:sz w:val="21"/>
        </w:rPr>
      </w:pPr>
      <w:r>
        <w:rPr>
          <w:spacing w:val="-2"/>
          <w:sz w:val="21"/>
        </w:rPr>
        <w:t>肌酸激酶同工酶（CK-MB）</w:t>
      </w:r>
      <w:r>
        <w:rPr>
          <w:spacing w:val="-3"/>
          <w:sz w:val="21"/>
        </w:rPr>
        <w:t>升高，至少一次检测结果达到该检验正常参考值</w:t>
      </w:r>
    </w:p>
    <w:p>
      <w:pPr>
        <w:spacing w:after="0" w:line="269" w:lineRule="exact"/>
        <w:jc w:val="left"/>
        <w:rPr>
          <w:sz w:val="21"/>
        </w:rPr>
        <w:sectPr>
          <w:type w:val="continuous"/>
          <w:pgSz w:w="11910" w:h="16840"/>
          <w:pgMar w:header="0" w:footer="458" w:top="620" w:bottom="280" w:left="800" w:right="660"/>
          <w:cols w:num="2" w:equalWidth="0">
            <w:col w:w="2446" w:space="40"/>
            <w:col w:w="7964"/>
          </w:cols>
        </w:sectPr>
      </w:pPr>
    </w:p>
    <w:p>
      <w:pPr>
        <w:pStyle w:val="BodyText"/>
        <w:ind w:left="2699"/>
      </w:pPr>
      <w:r>
        <w:rPr>
          <w:spacing w:val="-2"/>
        </w:rPr>
        <w:t>上限的2倍（含）</w:t>
      </w:r>
      <w:r>
        <w:rPr>
          <w:spacing w:val="-5"/>
        </w:rPr>
        <w:t>以上；</w:t>
      </w:r>
    </w:p>
    <w:p>
      <w:pPr>
        <w:pStyle w:val="ListParagraph"/>
        <w:numPr>
          <w:ilvl w:val="0"/>
          <w:numId w:val="52"/>
        </w:numPr>
        <w:tabs>
          <w:tab w:pos="3230" w:val="left" w:leader="none"/>
        </w:tabs>
        <w:spacing w:line="278" w:lineRule="auto" w:before="43" w:after="0"/>
        <w:ind w:left="2699" w:right="394" w:firstLine="0"/>
        <w:jc w:val="left"/>
        <w:rPr>
          <w:sz w:val="21"/>
        </w:rPr>
      </w:pPr>
      <w:r>
        <w:rPr>
          <w:spacing w:val="-2"/>
          <w:sz w:val="21"/>
        </w:rPr>
        <w:t>出现左心室收缩功能下降，在确诊6周以后，检测左室射血分数（LVEF）低</w:t>
      </w:r>
      <w:r>
        <w:rPr>
          <w:spacing w:val="-2"/>
          <w:sz w:val="21"/>
        </w:rPr>
        <w:t>于50%（不含）；</w:t>
      </w:r>
    </w:p>
    <w:p>
      <w:pPr>
        <w:pStyle w:val="ListParagraph"/>
        <w:numPr>
          <w:ilvl w:val="0"/>
          <w:numId w:val="52"/>
        </w:numPr>
        <w:tabs>
          <w:tab w:pos="3230" w:val="left" w:leader="none"/>
        </w:tabs>
        <w:spacing w:line="278" w:lineRule="auto" w:before="0" w:after="0"/>
        <w:ind w:left="2699" w:right="356" w:firstLine="0"/>
        <w:jc w:val="left"/>
        <w:rPr>
          <w:sz w:val="21"/>
        </w:rPr>
      </w:pPr>
      <w:r>
        <w:rPr>
          <w:spacing w:val="-4"/>
          <w:w w:val="100"/>
          <w:sz w:val="21"/>
        </w:rPr>
        <w:t>影像学检查证实存在新发的乳头肌功能失调或断裂引起的中度</w:t>
      </w:r>
      <w:r>
        <w:rPr>
          <w:w w:val="100"/>
          <w:sz w:val="21"/>
        </w:rPr>
        <w:t>（</w:t>
      </w:r>
      <w:r>
        <w:rPr>
          <w:spacing w:val="-3"/>
          <w:w w:val="100"/>
          <w:sz w:val="21"/>
        </w:rPr>
        <w:t>含</w:t>
      </w:r>
      <w:r>
        <w:rPr>
          <w:spacing w:val="-25"/>
          <w:w w:val="100"/>
          <w:sz w:val="21"/>
        </w:rPr>
        <w:t>）</w:t>
      </w:r>
      <w:r>
        <w:rPr>
          <w:spacing w:val="-2"/>
          <w:w w:val="100"/>
          <w:sz w:val="21"/>
        </w:rPr>
        <w:t>以上</w:t>
      </w:r>
      <w:r>
        <w:rPr>
          <w:spacing w:val="-3"/>
          <w:w w:val="100"/>
          <w:sz w:val="21"/>
        </w:rPr>
        <w:t>的二尖瓣反流；</w:t>
      </w:r>
    </w:p>
    <w:p>
      <w:pPr>
        <w:pStyle w:val="ListParagraph"/>
        <w:numPr>
          <w:ilvl w:val="0"/>
          <w:numId w:val="52"/>
        </w:numPr>
        <w:tabs>
          <w:tab w:pos="3230" w:val="left" w:leader="none"/>
        </w:tabs>
        <w:spacing w:line="269" w:lineRule="exact" w:before="0" w:after="0"/>
        <w:ind w:left="3229" w:right="0" w:hanging="531"/>
        <w:jc w:val="left"/>
        <w:rPr>
          <w:sz w:val="21"/>
        </w:rPr>
      </w:pPr>
      <w:r>
        <w:rPr>
          <w:spacing w:val="-3"/>
          <w:sz w:val="21"/>
        </w:rPr>
        <w:t>影像学检查证实存在新出现的室壁瘤；</w:t>
      </w:r>
    </w:p>
    <w:p>
      <w:pPr>
        <w:pStyle w:val="ListParagraph"/>
        <w:numPr>
          <w:ilvl w:val="0"/>
          <w:numId w:val="52"/>
        </w:numPr>
        <w:tabs>
          <w:tab w:pos="3230" w:val="left" w:leader="none"/>
        </w:tabs>
        <w:spacing w:line="257" w:lineRule="exact" w:before="43" w:after="0"/>
        <w:ind w:left="3229" w:right="0" w:hanging="531"/>
        <w:jc w:val="left"/>
        <w:rPr>
          <w:sz w:val="21"/>
        </w:rPr>
      </w:pPr>
      <w:r>
        <w:rPr>
          <w:spacing w:val="-3"/>
          <w:sz w:val="21"/>
        </w:rPr>
        <w:t>出现室性心动过速、心室颤动或心源性休克。</w:t>
      </w:r>
    </w:p>
    <w:p>
      <w:pPr>
        <w:spacing w:line="375" w:lineRule="exact" w:before="0"/>
        <w:ind w:left="2699" w:right="0" w:firstLine="0"/>
        <w:jc w:val="left"/>
        <w:rPr>
          <w:rFonts w:ascii="微软雅黑" w:eastAsia="微软雅黑"/>
          <w:b/>
          <w:sz w:val="21"/>
        </w:rPr>
      </w:pPr>
      <w:r>
        <w:rPr>
          <w:rFonts w:ascii="微软雅黑" w:eastAsia="微软雅黑"/>
          <w:b/>
          <w:w w:val="95"/>
          <w:sz w:val="21"/>
        </w:rPr>
        <w:t>其</w:t>
      </w:r>
      <w:r>
        <w:rPr>
          <w:rFonts w:ascii="微软雅黑" w:eastAsia="微软雅黑"/>
          <w:b/>
          <w:w w:val="95"/>
          <w:sz w:val="21"/>
        </w:rPr>
        <w:t>他</w:t>
      </w:r>
      <w:r>
        <w:rPr>
          <w:rFonts w:ascii="微软雅黑" w:eastAsia="微软雅黑"/>
          <w:b/>
          <w:w w:val="95"/>
          <w:sz w:val="21"/>
        </w:rPr>
        <w:t>非</w:t>
      </w:r>
      <w:r>
        <w:rPr>
          <w:rFonts w:ascii="微软雅黑" w:eastAsia="微软雅黑"/>
          <w:b/>
          <w:w w:val="95"/>
          <w:sz w:val="21"/>
        </w:rPr>
        <w:t>冠</w:t>
      </w:r>
      <w:r>
        <w:rPr>
          <w:rFonts w:ascii="微软雅黑" w:eastAsia="微软雅黑"/>
          <w:b/>
          <w:w w:val="95"/>
          <w:sz w:val="21"/>
        </w:rPr>
        <w:t>状</w:t>
      </w:r>
      <w:r>
        <w:rPr>
          <w:rFonts w:ascii="微软雅黑" w:eastAsia="微软雅黑"/>
          <w:b/>
          <w:w w:val="95"/>
          <w:sz w:val="21"/>
        </w:rPr>
        <w:t>动</w:t>
      </w:r>
      <w:r>
        <w:rPr>
          <w:rFonts w:ascii="微软雅黑" w:eastAsia="微软雅黑"/>
          <w:b/>
          <w:w w:val="95"/>
          <w:sz w:val="21"/>
        </w:rPr>
        <w:t>脉</w:t>
      </w:r>
      <w:r>
        <w:rPr>
          <w:rFonts w:ascii="微软雅黑" w:eastAsia="微软雅黑"/>
          <w:b/>
          <w:w w:val="95"/>
          <w:sz w:val="21"/>
        </w:rPr>
        <w:t>阻</w:t>
      </w:r>
      <w:r>
        <w:rPr>
          <w:rFonts w:ascii="微软雅黑" w:eastAsia="微软雅黑"/>
          <w:b/>
          <w:w w:val="95"/>
          <w:sz w:val="21"/>
        </w:rPr>
        <w:t>塞性疾</w:t>
      </w:r>
      <w:r>
        <w:rPr>
          <w:rFonts w:ascii="微软雅黑" w:eastAsia="微软雅黑"/>
          <w:b/>
          <w:w w:val="95"/>
          <w:sz w:val="21"/>
        </w:rPr>
        <w:t>病</w:t>
      </w:r>
      <w:r>
        <w:rPr>
          <w:rFonts w:ascii="微软雅黑" w:eastAsia="微软雅黑"/>
          <w:b/>
          <w:w w:val="95"/>
          <w:sz w:val="21"/>
        </w:rPr>
        <w:t>所</w:t>
      </w:r>
      <w:r>
        <w:rPr>
          <w:rFonts w:ascii="微软雅黑" w:eastAsia="微软雅黑"/>
          <w:b/>
          <w:w w:val="95"/>
          <w:sz w:val="21"/>
        </w:rPr>
        <w:t>引</w:t>
      </w:r>
      <w:r>
        <w:rPr>
          <w:rFonts w:ascii="微软雅黑" w:eastAsia="微软雅黑"/>
          <w:b/>
          <w:w w:val="95"/>
          <w:sz w:val="21"/>
        </w:rPr>
        <w:t>起</w:t>
      </w:r>
      <w:r>
        <w:rPr>
          <w:rFonts w:ascii="微软雅黑" w:eastAsia="微软雅黑"/>
          <w:b/>
          <w:w w:val="95"/>
          <w:sz w:val="21"/>
        </w:rPr>
        <w:t>的</w:t>
      </w:r>
      <w:r>
        <w:rPr>
          <w:rFonts w:ascii="微软雅黑" w:eastAsia="微软雅黑"/>
          <w:b/>
          <w:w w:val="95"/>
          <w:sz w:val="21"/>
        </w:rPr>
        <w:t>肌</w:t>
      </w:r>
      <w:r>
        <w:rPr>
          <w:rFonts w:ascii="微软雅黑" w:eastAsia="微软雅黑"/>
          <w:b/>
          <w:w w:val="95"/>
          <w:sz w:val="21"/>
        </w:rPr>
        <w:t>钙</w:t>
      </w:r>
      <w:r>
        <w:rPr>
          <w:rFonts w:ascii="微软雅黑" w:eastAsia="微软雅黑"/>
          <w:b/>
          <w:w w:val="95"/>
          <w:sz w:val="21"/>
        </w:rPr>
        <w:t>蛋</w:t>
      </w:r>
      <w:r>
        <w:rPr>
          <w:rFonts w:ascii="微软雅黑" w:eastAsia="微软雅黑"/>
          <w:b/>
          <w:w w:val="95"/>
          <w:sz w:val="21"/>
        </w:rPr>
        <w:t>白（cTn）</w:t>
      </w:r>
      <w:r>
        <w:rPr>
          <w:rFonts w:ascii="微软雅黑" w:eastAsia="微软雅黑"/>
          <w:b/>
          <w:w w:val="95"/>
          <w:sz w:val="21"/>
        </w:rPr>
        <w:t>升</w:t>
      </w:r>
      <w:r>
        <w:rPr>
          <w:rFonts w:ascii="微软雅黑" w:eastAsia="微软雅黑"/>
          <w:b/>
          <w:w w:val="95"/>
          <w:sz w:val="21"/>
        </w:rPr>
        <w:t>高</w:t>
      </w:r>
      <w:r>
        <w:rPr>
          <w:rFonts w:ascii="微软雅黑" w:eastAsia="微软雅黑"/>
          <w:b/>
          <w:w w:val="95"/>
          <w:sz w:val="21"/>
        </w:rPr>
        <w:t>不</w:t>
      </w:r>
      <w:r>
        <w:rPr>
          <w:rFonts w:ascii="微软雅黑" w:eastAsia="微软雅黑"/>
          <w:b/>
          <w:w w:val="95"/>
          <w:sz w:val="21"/>
        </w:rPr>
        <w:t>在</w:t>
      </w:r>
      <w:r>
        <w:rPr>
          <w:rFonts w:ascii="微软雅黑" w:eastAsia="微软雅黑"/>
          <w:b/>
          <w:w w:val="95"/>
          <w:sz w:val="21"/>
        </w:rPr>
        <w:t>保</w:t>
      </w:r>
      <w:r>
        <w:rPr>
          <w:rFonts w:ascii="微软雅黑" w:eastAsia="微软雅黑"/>
          <w:b/>
          <w:w w:val="95"/>
          <w:sz w:val="21"/>
        </w:rPr>
        <w:t>障</w:t>
      </w:r>
      <w:r>
        <w:rPr>
          <w:rFonts w:ascii="微软雅黑" w:eastAsia="微软雅黑"/>
          <w:b/>
          <w:w w:val="95"/>
          <w:sz w:val="21"/>
        </w:rPr>
        <w:t>范</w:t>
      </w:r>
      <w:r>
        <w:rPr>
          <w:rFonts w:ascii="微软雅黑" w:eastAsia="微软雅黑"/>
          <w:b/>
          <w:w w:val="95"/>
          <w:sz w:val="21"/>
        </w:rPr>
        <w:t>围</w:t>
      </w:r>
      <w:r>
        <w:rPr>
          <w:rFonts w:ascii="微软雅黑" w:eastAsia="微软雅黑"/>
          <w:b/>
          <w:w w:val="95"/>
          <w:sz w:val="21"/>
        </w:rPr>
        <w:t>内</w:t>
      </w:r>
      <w:r>
        <w:rPr>
          <w:rFonts w:ascii="微软雅黑" w:eastAsia="微软雅黑"/>
          <w:b/>
          <w:spacing w:val="-10"/>
          <w:w w:val="95"/>
          <w:sz w:val="21"/>
        </w:rPr>
        <w:t>。</w:t>
      </w:r>
    </w:p>
    <w:p>
      <w:pPr>
        <w:pStyle w:val="BodyText"/>
        <w:spacing w:before="11"/>
        <w:rPr>
          <w:rFonts w:ascii="微软雅黑"/>
          <w:b/>
          <w:sz w:val="12"/>
        </w:rPr>
      </w:pPr>
    </w:p>
    <w:p>
      <w:pPr>
        <w:spacing w:after="0"/>
        <w:rPr>
          <w:rFonts w:ascii="微软雅黑"/>
          <w:sz w:val="12"/>
        </w:rPr>
        <w:sectPr>
          <w:pgSz w:w="11910" w:h="16840"/>
          <w:pgMar w:header="0" w:footer="458" w:top="1260" w:bottom="640" w:left="800" w:right="660"/>
        </w:sectPr>
      </w:pPr>
    </w:p>
    <w:p>
      <w:pPr>
        <w:pStyle w:val="ListParagraph"/>
        <w:numPr>
          <w:ilvl w:val="0"/>
          <w:numId w:val="50"/>
        </w:numPr>
        <w:tabs>
          <w:tab w:pos="1390"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严重脑中风</w:t>
      </w:r>
      <w:r>
        <w:rPr>
          <w:rFonts w:ascii="微软雅黑" w:eastAsia="微软雅黑"/>
          <w:b/>
          <w:spacing w:val="-4"/>
          <w:sz w:val="21"/>
        </w:rPr>
        <w:t>后遗症</w:t>
      </w:r>
    </w:p>
    <w:p>
      <w:pPr>
        <w:pStyle w:val="BodyText"/>
        <w:spacing w:line="278" w:lineRule="auto" w:before="71"/>
        <w:ind w:left="271" w:right="264" w:hanging="58"/>
      </w:pPr>
      <w:r>
        <w:rPr/>
        <w:br w:type="column"/>
      </w:r>
      <w:r>
        <w:rPr>
          <w:spacing w:val="-6"/>
          <w:w w:val="100"/>
        </w:rPr>
        <w:t>指因脑血管的突发病变引起脑血管出血、栓塞或梗塞，须由头颅断层扫描</w:t>
      </w:r>
      <w:r>
        <w:rPr>
          <w:w w:val="100"/>
        </w:rPr>
        <w:t>（</w:t>
      </w:r>
      <w:r>
        <w:rPr>
          <w:spacing w:val="-3"/>
          <w:w w:val="100"/>
        </w:rPr>
        <w:t>C</w:t>
      </w:r>
      <w:r>
        <w:rPr>
          <w:w w:val="100"/>
        </w:rPr>
        <w:t>T</w:t>
      </w:r>
      <w:r>
        <w:rPr>
          <w:spacing w:val="-17"/>
          <w:w w:val="100"/>
        </w:rPr>
        <w:t>）、</w:t>
      </w:r>
      <w:r>
        <w:rPr>
          <w:spacing w:val="-2"/>
          <w:w w:val="100"/>
        </w:rPr>
        <w:t>核磁共振检查（</w:t>
      </w:r>
      <w:r>
        <w:rPr>
          <w:w w:val="100"/>
        </w:rPr>
        <w:t>MR</w:t>
      </w:r>
      <w:r>
        <w:rPr>
          <w:spacing w:val="-3"/>
          <w:w w:val="100"/>
        </w:rPr>
        <w:t>I</w:t>
      </w:r>
      <w:r>
        <w:rPr>
          <w:w w:val="100"/>
        </w:rPr>
        <w:t>）</w:t>
      </w:r>
      <w:r>
        <w:rPr>
          <w:spacing w:val="-3"/>
          <w:w w:val="100"/>
        </w:rPr>
        <w:t>等影像学检查证实，并导致神经系统永久性的功能障碍。神经系统永久性的功能障碍，指疾病确诊</w:t>
      </w:r>
      <w:r>
        <w:rPr>
          <w:w w:val="100"/>
        </w:rPr>
        <w:t>18</w:t>
      </w:r>
      <w:r>
        <w:rPr>
          <w:spacing w:val="-3"/>
          <w:w w:val="100"/>
        </w:rPr>
        <w:t>0天后，仍遗留下列至少一种障碍：</w:t>
      </w:r>
    </w:p>
    <w:p>
      <w:pPr>
        <w:pStyle w:val="ListParagraph"/>
        <w:numPr>
          <w:ilvl w:val="0"/>
          <w:numId w:val="53"/>
        </w:numPr>
        <w:tabs>
          <w:tab w:pos="744" w:val="left" w:leader="none"/>
        </w:tabs>
        <w:spacing w:line="257" w:lineRule="exact" w:before="0" w:after="0"/>
        <w:ind w:left="744" w:right="0" w:hanging="530"/>
        <w:jc w:val="left"/>
        <w:rPr>
          <w:sz w:val="21"/>
        </w:rPr>
      </w:pPr>
      <w:r>
        <w:rPr>
          <w:spacing w:val="-2"/>
          <w:sz w:val="21"/>
        </w:rPr>
        <w:t>一肢（含）以上肢体肌力2级（含）</w:t>
      </w:r>
      <w:r>
        <w:rPr>
          <w:spacing w:val="-5"/>
          <w:sz w:val="21"/>
        </w:rPr>
        <w:t>以下；</w:t>
      </w:r>
    </w:p>
    <w:p>
      <w:pPr>
        <w:pStyle w:val="ListParagraph"/>
        <w:numPr>
          <w:ilvl w:val="0"/>
          <w:numId w:val="53"/>
        </w:numPr>
        <w:tabs>
          <w:tab w:pos="744" w:val="left" w:leader="none"/>
        </w:tabs>
        <w:spacing w:line="371" w:lineRule="exact" w:before="0" w:after="0"/>
        <w:ind w:left="744" w:right="0" w:hanging="530"/>
        <w:jc w:val="left"/>
        <w:rPr>
          <w:sz w:val="21"/>
        </w:rPr>
      </w:pPr>
      <w:r>
        <w:rPr>
          <w:rFonts w:ascii="微软雅黑" w:eastAsia="微软雅黑"/>
          <w:b/>
          <w:spacing w:val="-2"/>
          <w:sz w:val="21"/>
        </w:rPr>
        <w:t>语言能力完全丧失，</w:t>
      </w:r>
      <w:r>
        <w:rPr>
          <w:spacing w:val="-2"/>
          <w:sz w:val="21"/>
        </w:rPr>
        <w:t>或</w:t>
      </w:r>
      <w:r>
        <w:rPr>
          <w:rFonts w:ascii="微软雅黑" w:eastAsia="微软雅黑"/>
          <w:b/>
          <w:spacing w:val="-2"/>
          <w:sz w:val="21"/>
        </w:rPr>
        <w:t>严重咀嚼吞咽功能障碍</w:t>
      </w:r>
      <w:r>
        <w:rPr>
          <w:spacing w:val="-10"/>
          <w:sz w:val="21"/>
        </w:rPr>
        <w:t>；</w:t>
      </w:r>
    </w:p>
    <w:p>
      <w:pPr>
        <w:pStyle w:val="ListParagraph"/>
        <w:numPr>
          <w:ilvl w:val="0"/>
          <w:numId w:val="53"/>
        </w:numPr>
        <w:tabs>
          <w:tab w:pos="744" w:val="left" w:leader="none"/>
        </w:tabs>
        <w:spacing w:line="278" w:lineRule="auto" w:before="0" w:after="0"/>
        <w:ind w:left="740" w:right="353" w:hanging="527"/>
        <w:jc w:val="left"/>
        <w:rPr>
          <w:sz w:val="21"/>
        </w:rPr>
      </w:pPr>
      <w:r>
        <w:rPr>
          <w:spacing w:val="-6"/>
          <w:w w:val="100"/>
          <w:sz w:val="21"/>
        </w:rPr>
        <w:t>自主生活能力完全丧失，无法独立完成六项基本日常生活活动中的三项或三项以上。</w:t>
      </w:r>
    </w:p>
    <w:p>
      <w:pPr>
        <w:spacing w:after="0" w:line="278" w:lineRule="auto"/>
        <w:jc w:val="left"/>
        <w:rPr>
          <w:sz w:val="21"/>
        </w:rPr>
        <w:sectPr>
          <w:type w:val="continuous"/>
          <w:pgSz w:w="11910" w:h="16840"/>
          <w:pgMar w:header="0" w:footer="458" w:top="620" w:bottom="280" w:left="800" w:right="660"/>
          <w:cols w:num="2" w:equalWidth="0">
            <w:col w:w="2446" w:space="40"/>
            <w:col w:w="7964"/>
          </w:cols>
        </w:sectPr>
      </w:pPr>
    </w:p>
    <w:p>
      <w:pPr>
        <w:pStyle w:val="BodyText"/>
        <w:spacing w:before="6"/>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285" w:val="left" w:leader="none"/>
        </w:tabs>
        <w:spacing w:line="194" w:lineRule="auto" w:before="57" w:after="0"/>
        <w:ind w:left="1072" w:right="0" w:firstLine="0"/>
        <w:jc w:val="both"/>
        <w:rPr>
          <w:rFonts w:ascii="微软雅黑" w:eastAsia="微软雅黑"/>
          <w:b/>
          <w:sz w:val="21"/>
        </w:rPr>
      </w:pPr>
      <w:r>
        <w:rPr>
          <w:rFonts w:ascii="微软雅黑" w:eastAsia="微软雅黑"/>
          <w:b/>
          <w:spacing w:val="-2"/>
          <w:sz w:val="21"/>
        </w:rPr>
        <w:t>重大器官移</w:t>
      </w:r>
      <w:r>
        <w:rPr>
          <w:rFonts w:ascii="微软雅黑" w:eastAsia="微软雅黑"/>
          <w:b/>
          <w:spacing w:val="-2"/>
          <w:sz w:val="21"/>
        </w:rPr>
        <w:t>植术或造血干</w:t>
      </w:r>
      <w:r>
        <w:rPr>
          <w:rFonts w:ascii="微软雅黑" w:eastAsia="微软雅黑"/>
          <w:b/>
          <w:spacing w:val="-2"/>
          <w:sz w:val="21"/>
        </w:rPr>
        <w:t>细胞移植术</w:t>
      </w:r>
    </w:p>
    <w:p>
      <w:pPr>
        <w:pStyle w:val="BodyText"/>
        <w:spacing w:line="278" w:lineRule="auto" w:before="72"/>
        <w:ind w:left="319" w:right="387"/>
      </w:pPr>
      <w:r>
        <w:rPr/>
        <w:br w:type="column"/>
      </w:r>
      <w:r>
        <w:rPr>
          <w:spacing w:val="-2"/>
        </w:rPr>
        <w:t>重大器官移植术，指因相应器官功能衰竭，已经实施了肾脏、肝脏、心脏、肺脏</w:t>
      </w:r>
      <w:r>
        <w:rPr>
          <w:spacing w:val="-2"/>
        </w:rPr>
        <w:t>或小肠的异体移植手术。</w:t>
      </w:r>
    </w:p>
    <w:p>
      <w:pPr>
        <w:pStyle w:val="BodyText"/>
        <w:spacing w:line="278" w:lineRule="auto" w:before="0"/>
        <w:ind w:left="319" w:right="248"/>
      </w:pPr>
      <w:r>
        <w:rPr>
          <w:spacing w:val="-3"/>
          <w:w w:val="100"/>
        </w:rPr>
        <w:t>造血干细胞移植术，指因造血功能损害或造血系统恶性肿瘤，已经实施了造血干</w:t>
      </w:r>
      <w:r>
        <w:rPr>
          <w:spacing w:val="-14"/>
          <w:w w:val="100"/>
        </w:rPr>
        <w:t>细胞</w:t>
      </w:r>
      <w:r>
        <w:rPr>
          <w:spacing w:val="-3"/>
          <w:w w:val="100"/>
        </w:rPr>
        <w:t>（</w:t>
      </w:r>
      <w:r>
        <w:rPr>
          <w:spacing w:val="-6"/>
          <w:w w:val="100"/>
        </w:rPr>
        <w:t>包括骨髓造血干细胞、外周血造血干细胞和脐血造血干细胞</w:t>
      </w:r>
      <w:r>
        <w:rPr>
          <w:spacing w:val="-25"/>
          <w:w w:val="100"/>
        </w:rPr>
        <w:t>）</w:t>
      </w:r>
      <w:r>
        <w:rPr>
          <w:spacing w:val="-3"/>
          <w:w w:val="100"/>
        </w:rPr>
        <w:t>的移植手术。</w:t>
      </w:r>
    </w:p>
    <w:p>
      <w:pPr>
        <w:spacing w:after="0" w:line="278" w:lineRule="auto"/>
        <w:sectPr>
          <w:type w:val="continuous"/>
          <w:pgSz w:w="11910" w:h="16840"/>
          <w:pgMar w:header="0" w:footer="458" w:top="620" w:bottom="280" w:left="800" w:right="660"/>
          <w:cols w:num="2" w:equalWidth="0">
            <w:col w:w="2340" w:space="40"/>
            <w:col w:w="8070"/>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285"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冠状动脉搭</w:t>
      </w:r>
      <w:r>
        <w:rPr>
          <w:rFonts w:ascii="微软雅黑" w:eastAsia="微软雅黑"/>
          <w:b/>
          <w:spacing w:val="-34"/>
          <w:sz w:val="21"/>
        </w:rPr>
        <w:t>桥术</w:t>
      </w:r>
      <w:r>
        <w:rPr>
          <w:rFonts w:ascii="微软雅黑" w:eastAsia="微软雅黑"/>
          <w:b/>
          <w:spacing w:val="-2"/>
          <w:sz w:val="21"/>
        </w:rPr>
        <w:t>（或称冠状</w:t>
      </w:r>
      <w:r>
        <w:rPr>
          <w:rFonts w:ascii="微软雅黑" w:eastAsia="微软雅黑"/>
          <w:b/>
          <w:spacing w:val="-2"/>
          <w:sz w:val="21"/>
        </w:rPr>
        <w:t>动脉旁路移植</w:t>
      </w:r>
      <w:r>
        <w:rPr>
          <w:rFonts w:ascii="微软雅黑" w:eastAsia="微软雅黑"/>
          <w:b/>
          <w:spacing w:val="-6"/>
          <w:sz w:val="21"/>
        </w:rPr>
        <w:t>术）</w:t>
      </w:r>
    </w:p>
    <w:p>
      <w:pPr>
        <w:pStyle w:val="ListParagraph"/>
        <w:numPr>
          <w:ilvl w:val="0"/>
          <w:numId w:val="50"/>
        </w:numPr>
        <w:tabs>
          <w:tab w:pos="1390" w:val="left" w:leader="none"/>
        </w:tabs>
        <w:spacing w:line="194" w:lineRule="auto" w:before="0" w:after="0"/>
        <w:ind w:left="1072" w:right="38" w:firstLine="0"/>
        <w:jc w:val="left"/>
        <w:rPr>
          <w:rFonts w:ascii="微软雅黑" w:eastAsia="微软雅黑"/>
          <w:b/>
          <w:sz w:val="21"/>
        </w:rPr>
      </w:pPr>
      <w:r>
        <w:rPr>
          <w:rFonts w:ascii="微软雅黑" w:eastAsia="微软雅黑"/>
          <w:b/>
          <w:spacing w:val="-2"/>
          <w:sz w:val="21"/>
        </w:rPr>
        <w:t>严重慢性肾</w:t>
      </w:r>
      <w:r>
        <w:rPr>
          <w:rFonts w:ascii="微软雅黑" w:eastAsia="微软雅黑"/>
          <w:b/>
          <w:spacing w:val="-6"/>
          <w:sz w:val="21"/>
        </w:rPr>
        <w:t>衰竭</w:t>
      </w:r>
    </w:p>
    <w:p>
      <w:pPr>
        <w:pStyle w:val="BodyText"/>
        <w:spacing w:line="278" w:lineRule="auto" w:before="72"/>
        <w:ind w:left="173" w:right="387"/>
      </w:pPr>
      <w:r>
        <w:rPr/>
        <w:br w:type="column"/>
      </w:r>
      <w:r>
        <w:rPr>
          <w:spacing w:val="-2"/>
        </w:rPr>
        <w:t>指为治疗严重的冠心病，已经实施了切开心包进行的冠状动脉血管旁路移植的手</w:t>
      </w:r>
      <w:r>
        <w:rPr>
          <w:spacing w:val="-6"/>
        </w:rPr>
        <w:t>术。</w:t>
      </w:r>
    </w:p>
    <w:p>
      <w:pPr>
        <w:spacing w:line="320" w:lineRule="exact" w:before="0"/>
        <w:ind w:left="173" w:right="0" w:firstLine="0"/>
        <w:jc w:val="left"/>
        <w:rPr>
          <w:rFonts w:ascii="微软雅黑" w:eastAsia="微软雅黑"/>
          <w:b/>
          <w:sz w:val="21"/>
        </w:rPr>
      </w:pPr>
      <w:r>
        <w:rPr>
          <w:rFonts w:ascii="微软雅黑" w:eastAsia="微软雅黑"/>
          <w:b/>
          <w:spacing w:val="-3"/>
          <w:sz w:val="21"/>
        </w:rPr>
        <w:t>所有未切开心包的冠状动脉介入治疗不在保障范围内。</w:t>
      </w:r>
    </w:p>
    <w:p>
      <w:pPr>
        <w:pStyle w:val="BodyText"/>
        <w:spacing w:before="9"/>
        <w:rPr>
          <w:rFonts w:ascii="微软雅黑"/>
          <w:b/>
          <w:sz w:val="16"/>
        </w:rPr>
      </w:pPr>
    </w:p>
    <w:p>
      <w:pPr>
        <w:pStyle w:val="BodyText"/>
        <w:spacing w:line="278" w:lineRule="auto" w:before="0"/>
        <w:ind w:left="173" w:right="247"/>
        <w:jc w:val="both"/>
      </w:pPr>
      <w:r>
        <w:rPr>
          <w:spacing w:val="-2"/>
        </w:rPr>
        <w:t>指双肾功能慢性不可逆性衰竭，依据肾脏病预后质量倡议（K/DOQI）制定的指南，</w:t>
      </w:r>
      <w:r>
        <w:rPr>
          <w:w w:val="95"/>
        </w:rPr>
        <w:t>分</w:t>
      </w:r>
      <w:r>
        <w:rPr>
          <w:w w:val="95"/>
        </w:rPr>
        <w:t>期</w:t>
      </w:r>
      <w:r>
        <w:rPr>
          <w:w w:val="95"/>
        </w:rPr>
        <w:t>达到慢性</w:t>
      </w:r>
      <w:r>
        <w:rPr>
          <w:w w:val="95"/>
        </w:rPr>
        <w:t>肾</w:t>
      </w:r>
      <w:r>
        <w:rPr>
          <w:w w:val="95"/>
        </w:rPr>
        <w:t>脏</w:t>
      </w:r>
      <w:r>
        <w:rPr>
          <w:w w:val="95"/>
        </w:rPr>
        <w:t>病</w:t>
      </w:r>
      <w:r>
        <w:rPr/>
        <w:t> </w:t>
      </w:r>
      <w:r>
        <w:rPr>
          <w:w w:val="95"/>
        </w:rPr>
        <w:t>5</w:t>
      </w:r>
      <w:r>
        <w:rPr/>
        <w:t> </w:t>
      </w:r>
      <w:r>
        <w:rPr>
          <w:w w:val="95"/>
        </w:rPr>
        <w:t>期，</w:t>
      </w:r>
      <w:r>
        <w:rPr>
          <w:w w:val="95"/>
        </w:rPr>
        <w:t>且</w:t>
      </w:r>
      <w:r>
        <w:rPr>
          <w:w w:val="95"/>
        </w:rPr>
        <w:t>经诊断后已经进行了</w:t>
      </w:r>
      <w:r>
        <w:rPr>
          <w:w w:val="95"/>
        </w:rPr>
        <w:t>至</w:t>
      </w:r>
      <w:r>
        <w:rPr>
          <w:w w:val="95"/>
        </w:rPr>
        <w:t>少</w:t>
      </w:r>
      <w:r>
        <w:rPr/>
        <w:t> </w:t>
      </w:r>
      <w:r>
        <w:rPr>
          <w:w w:val="95"/>
        </w:rPr>
        <w:t>90</w:t>
      </w:r>
      <w:r>
        <w:rPr/>
        <w:t> </w:t>
      </w:r>
      <w:r>
        <w:rPr>
          <w:w w:val="95"/>
        </w:rPr>
        <w:t>天的规律性透</w:t>
      </w:r>
      <w:r>
        <w:rPr>
          <w:w w:val="95"/>
        </w:rPr>
        <w:t>析</w:t>
      </w:r>
      <w:r>
        <w:rPr>
          <w:w w:val="95"/>
        </w:rPr>
        <w:t>治</w:t>
      </w:r>
      <w:r>
        <w:rPr>
          <w:w w:val="95"/>
        </w:rPr>
        <w:t>疗</w:t>
      </w:r>
      <w:r>
        <w:rPr>
          <w:w w:val="95"/>
        </w:rPr>
        <w:t>。</w:t>
      </w:r>
      <w:r>
        <w:rPr>
          <w:spacing w:val="-2"/>
        </w:rPr>
        <w:t>规律性透析是指每周进行血液透析或每天进行腹膜透析。</w:t>
      </w:r>
    </w:p>
    <w:p>
      <w:pPr>
        <w:spacing w:after="0" w:line="278" w:lineRule="auto"/>
        <w:jc w:val="both"/>
        <w:sectPr>
          <w:type w:val="continuous"/>
          <w:pgSz w:w="11910" w:h="16840"/>
          <w:pgMar w:header="0" w:footer="458" w:top="620" w:bottom="280" w:left="800" w:right="660"/>
          <w:cols w:num="2" w:equalWidth="0">
            <w:col w:w="2487" w:space="40"/>
            <w:col w:w="7923"/>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285" w:val="left" w:leader="none"/>
        </w:tabs>
        <w:spacing w:line="194" w:lineRule="auto" w:before="58" w:after="0"/>
        <w:ind w:left="1072" w:right="0" w:firstLine="0"/>
        <w:jc w:val="left"/>
        <w:rPr>
          <w:rFonts w:ascii="微软雅黑" w:eastAsia="微软雅黑"/>
          <w:b/>
          <w:sz w:val="21"/>
        </w:rPr>
      </w:pPr>
      <w:r>
        <w:rPr>
          <w:rFonts w:ascii="微软雅黑" w:eastAsia="微软雅黑"/>
          <w:b/>
          <w:spacing w:val="-2"/>
          <w:sz w:val="21"/>
        </w:rPr>
        <w:t>多个肢体缺</w:t>
      </w:r>
      <w:r>
        <w:rPr>
          <w:rFonts w:ascii="微软雅黑" w:eastAsia="微软雅黑"/>
          <w:b/>
          <w:spacing w:val="-10"/>
          <w:sz w:val="21"/>
        </w:rPr>
        <w:t>失</w:t>
      </w:r>
    </w:p>
    <w:p>
      <w:pPr>
        <w:pStyle w:val="BodyText"/>
        <w:spacing w:line="278" w:lineRule="auto" w:before="72"/>
        <w:ind w:left="319" w:right="387"/>
      </w:pPr>
      <w:r>
        <w:rPr/>
        <w:br w:type="column"/>
      </w:r>
      <w:r>
        <w:rPr>
          <w:spacing w:val="-2"/>
        </w:rPr>
        <w:t>指因疾病或意外伤害导致两个或两个以上肢体自腕关节或踝关节近端（靠近躯干</w:t>
      </w:r>
      <w:r>
        <w:rPr>
          <w:spacing w:val="-2"/>
        </w:rPr>
        <w:t>端）以上完全性断离。</w:t>
      </w:r>
    </w:p>
    <w:p>
      <w:pPr>
        <w:spacing w:after="0" w:line="278" w:lineRule="auto"/>
        <w:sectPr>
          <w:type w:val="continuous"/>
          <w:pgSz w:w="11910" w:h="16840"/>
          <w:pgMar w:header="0" w:footer="458" w:top="620" w:bottom="280" w:left="800" w:right="660"/>
          <w:cols w:num="2" w:equalWidth="0">
            <w:col w:w="2340" w:space="40"/>
            <w:col w:w="8070"/>
          </w:cols>
        </w:sectPr>
      </w:pPr>
    </w:p>
    <w:p>
      <w:pPr>
        <w:pStyle w:val="BodyText"/>
        <w:spacing w:before="10"/>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390"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急性重症肝</w:t>
      </w:r>
      <w:r>
        <w:rPr>
          <w:rFonts w:ascii="微软雅黑" w:eastAsia="微软雅黑"/>
          <w:b/>
          <w:spacing w:val="-2"/>
          <w:sz w:val="21"/>
        </w:rPr>
        <w:t>炎或亚急性重</w:t>
      </w:r>
      <w:r>
        <w:rPr>
          <w:rFonts w:ascii="微软雅黑" w:eastAsia="微软雅黑"/>
          <w:b/>
          <w:spacing w:val="-4"/>
          <w:sz w:val="21"/>
        </w:rPr>
        <w:t>症肝炎</w:t>
      </w:r>
    </w:p>
    <w:p>
      <w:pPr>
        <w:pStyle w:val="BodyText"/>
        <w:spacing w:line="278" w:lineRule="auto" w:before="71"/>
        <w:ind w:left="214" w:right="387"/>
      </w:pPr>
      <w:r>
        <w:rPr/>
        <w:br w:type="column"/>
      </w:r>
      <w:r>
        <w:rPr>
          <w:spacing w:val="-2"/>
        </w:rPr>
        <w:t>指因肝炎病毒感染引起肝脏组织弥漫性坏死，导致急性肝功能衰竭，且经血清学</w:t>
      </w:r>
      <w:r>
        <w:rPr>
          <w:spacing w:val="-2"/>
        </w:rPr>
        <w:t>或病毒学检查证实，并须满足下列全部条件：</w:t>
      </w:r>
    </w:p>
    <w:p>
      <w:pPr>
        <w:pStyle w:val="ListParagraph"/>
        <w:numPr>
          <w:ilvl w:val="0"/>
          <w:numId w:val="54"/>
        </w:numPr>
        <w:tabs>
          <w:tab w:pos="744" w:val="left" w:leader="none"/>
        </w:tabs>
        <w:spacing w:line="269" w:lineRule="exact" w:before="0" w:after="0"/>
        <w:ind w:left="744" w:right="0" w:hanging="530"/>
        <w:jc w:val="left"/>
        <w:rPr>
          <w:sz w:val="21"/>
        </w:rPr>
      </w:pPr>
      <w:r>
        <w:rPr>
          <w:spacing w:val="-3"/>
          <w:sz w:val="21"/>
        </w:rPr>
        <w:t>重度黄疸或黄疸迅速加重；</w:t>
      </w:r>
    </w:p>
    <w:p>
      <w:pPr>
        <w:pStyle w:val="ListParagraph"/>
        <w:numPr>
          <w:ilvl w:val="0"/>
          <w:numId w:val="54"/>
        </w:numPr>
        <w:tabs>
          <w:tab w:pos="744" w:val="left" w:leader="none"/>
        </w:tabs>
        <w:spacing w:line="240" w:lineRule="auto" w:before="43" w:after="0"/>
        <w:ind w:left="744" w:right="0" w:hanging="530"/>
        <w:jc w:val="left"/>
        <w:rPr>
          <w:sz w:val="21"/>
        </w:rPr>
      </w:pPr>
      <w:r>
        <w:rPr>
          <w:spacing w:val="-4"/>
          <w:sz w:val="21"/>
        </w:rPr>
        <w:t>肝性脑病；</w:t>
      </w:r>
    </w:p>
    <w:p>
      <w:pPr>
        <w:pStyle w:val="ListParagraph"/>
        <w:numPr>
          <w:ilvl w:val="0"/>
          <w:numId w:val="54"/>
        </w:numPr>
        <w:tabs>
          <w:tab w:pos="744" w:val="left" w:leader="none"/>
        </w:tabs>
        <w:spacing w:line="240" w:lineRule="auto" w:before="44" w:after="0"/>
        <w:ind w:left="744" w:right="0" w:hanging="530"/>
        <w:jc w:val="left"/>
        <w:rPr>
          <w:sz w:val="21"/>
        </w:rPr>
      </w:pPr>
      <w:r>
        <w:rPr>
          <w:spacing w:val="-2"/>
          <w:sz w:val="21"/>
        </w:rPr>
        <w:t>B</w:t>
      </w:r>
      <w:r>
        <w:rPr>
          <w:spacing w:val="-3"/>
          <w:sz w:val="21"/>
        </w:rPr>
        <w:t>超或其他影像学检查显示肝脏体积急速萎缩；</w:t>
      </w:r>
    </w:p>
    <w:p>
      <w:pPr>
        <w:pStyle w:val="ListParagraph"/>
        <w:numPr>
          <w:ilvl w:val="0"/>
          <w:numId w:val="54"/>
        </w:numPr>
        <w:tabs>
          <w:tab w:pos="744" w:val="left" w:leader="none"/>
        </w:tabs>
        <w:spacing w:line="240" w:lineRule="auto" w:before="43" w:after="0"/>
        <w:ind w:left="744" w:right="0" w:hanging="530"/>
        <w:jc w:val="left"/>
        <w:rPr>
          <w:sz w:val="21"/>
        </w:rPr>
      </w:pPr>
      <w:r>
        <w:rPr>
          <w:spacing w:val="-3"/>
          <w:sz w:val="21"/>
        </w:rPr>
        <w:t>肝功能指标进行性恶化。</w:t>
      </w:r>
    </w:p>
    <w:p>
      <w:pPr>
        <w:spacing w:after="0" w:line="240" w:lineRule="auto"/>
        <w:jc w:val="left"/>
        <w:rPr>
          <w:sz w:val="21"/>
        </w:rPr>
        <w:sectPr>
          <w:type w:val="continuous"/>
          <w:pgSz w:w="11910" w:h="16840"/>
          <w:pgMar w:header="0" w:footer="458" w:top="620" w:bottom="280" w:left="800" w:right="660"/>
          <w:cols w:num="2" w:equalWidth="0">
            <w:col w:w="2446" w:space="40"/>
            <w:col w:w="7964"/>
          </w:cols>
        </w:sectPr>
      </w:pPr>
    </w:p>
    <w:p>
      <w:pPr>
        <w:pStyle w:val="BodyText"/>
        <w:spacing w:before="1"/>
        <w:rPr>
          <w:sz w:val="22"/>
        </w:rPr>
      </w:pPr>
    </w:p>
    <w:p>
      <w:pPr>
        <w:spacing w:after="0"/>
        <w:rPr>
          <w:sz w:val="22"/>
        </w:rPr>
        <w:sectPr>
          <w:type w:val="continuous"/>
          <w:pgSz w:w="11910" w:h="16840"/>
          <w:pgMar w:header="0" w:footer="458" w:top="620" w:bottom="280" w:left="800" w:right="660"/>
        </w:sectPr>
      </w:pPr>
    </w:p>
    <w:p>
      <w:pPr>
        <w:pStyle w:val="ListParagraph"/>
        <w:numPr>
          <w:ilvl w:val="0"/>
          <w:numId w:val="50"/>
        </w:numPr>
        <w:tabs>
          <w:tab w:pos="1390"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严重非恶性</w:t>
      </w:r>
      <w:r>
        <w:rPr>
          <w:rFonts w:ascii="微软雅黑" w:eastAsia="微软雅黑"/>
          <w:b/>
          <w:spacing w:val="-4"/>
          <w:sz w:val="21"/>
        </w:rPr>
        <w:t>颅内肿瘤</w:t>
      </w:r>
    </w:p>
    <w:p>
      <w:pPr>
        <w:pStyle w:val="BodyText"/>
        <w:spacing w:line="278" w:lineRule="auto" w:before="72"/>
        <w:ind w:left="214" w:right="360"/>
        <w:jc w:val="both"/>
      </w:pPr>
      <w:r>
        <w:rPr/>
        <w:br w:type="column"/>
      </w:r>
      <w:r>
        <w:rPr>
          <w:spacing w:val="-2"/>
        </w:rPr>
        <w:t>指起源于脑、脑神经、脑被膜的非恶性肿瘤，ICD-O-3肿瘤形态学编码属于0（良</w:t>
      </w:r>
      <w:r>
        <w:rPr>
          <w:spacing w:val="-2"/>
        </w:rPr>
        <w:t>性肿瘤</w:t>
      </w:r>
      <w:r>
        <w:rPr>
          <w:spacing w:val="-106"/>
        </w:rPr>
        <w:t>）</w:t>
      </w:r>
      <w:r>
        <w:rPr>
          <w:spacing w:val="-2"/>
        </w:rPr>
        <w:t>、1（动态未定性肿瘤）范畴，并已经引起颅内压升高或神经系统功能损</w:t>
      </w:r>
      <w:r>
        <w:rPr>
          <w:spacing w:val="-2"/>
        </w:rPr>
        <w:t>害，出现视乳头水肿或视觉受损、听觉受损、面部或肢体瘫痪、癫痫等，须由头</w:t>
      </w:r>
      <w:r>
        <w:rPr>
          <w:spacing w:val="-6"/>
        </w:rPr>
        <w:t>颅断层扫描</w:t>
      </w:r>
      <w:r>
        <w:rPr>
          <w:spacing w:val="21"/>
        </w:rPr>
        <w:t>（C</w:t>
      </w:r>
      <w:r>
        <w:rPr>
          <w:spacing w:val="18"/>
        </w:rPr>
        <w:t>T</w:t>
      </w:r>
      <w:r>
        <w:rPr>
          <w:spacing w:val="-85"/>
        </w:rPr>
        <w:t>）</w:t>
      </w:r>
      <w:r>
        <w:rPr>
          <w:spacing w:val="-6"/>
        </w:rPr>
        <w:t>、核磁共振检查（MRI）或正电子发射断层扫描（PET）等影像学</w:t>
      </w:r>
      <w:r>
        <w:rPr>
          <w:spacing w:val="-2"/>
        </w:rPr>
        <w:t>检查证实，且须满足下列至少一项条件：</w:t>
      </w:r>
    </w:p>
    <w:p>
      <w:pPr>
        <w:pStyle w:val="BodyText"/>
        <w:spacing w:line="268" w:lineRule="exact" w:before="0"/>
        <w:ind w:left="214"/>
      </w:pPr>
      <w:r>
        <w:rPr>
          <w:spacing w:val="-2"/>
        </w:rPr>
        <w:t>（1）</w:t>
      </w:r>
      <w:r>
        <w:rPr>
          <w:spacing w:val="-3"/>
        </w:rPr>
        <w:t>已经实施了开颅进行的颅内肿瘤完全或部分切除手术；</w:t>
      </w:r>
    </w:p>
    <w:p>
      <w:pPr>
        <w:spacing w:after="0" w:line="268" w:lineRule="exact"/>
        <w:sectPr>
          <w:type w:val="continuous"/>
          <w:pgSz w:w="11910" w:h="16840"/>
          <w:pgMar w:header="0" w:footer="458" w:top="620" w:bottom="280" w:left="800" w:right="660"/>
          <w:cols w:num="2" w:equalWidth="0">
            <w:col w:w="2446" w:space="40"/>
            <w:col w:w="7964"/>
          </w:cols>
        </w:sectPr>
      </w:pPr>
    </w:p>
    <w:p>
      <w:pPr>
        <w:pStyle w:val="BodyText"/>
        <w:spacing w:line="257" w:lineRule="exact"/>
        <w:ind w:left="2699"/>
      </w:pPr>
      <w:r>
        <w:rPr>
          <w:spacing w:val="-2"/>
        </w:rPr>
        <w:t>（2）已经实施了针对颅内肿瘤的放射治疗，如γ</w:t>
      </w:r>
      <w:r>
        <w:rPr>
          <w:spacing w:val="-3"/>
        </w:rPr>
        <w:t>刀、质子重离子治疗等。</w:t>
      </w:r>
    </w:p>
    <w:p>
      <w:pPr>
        <w:spacing w:line="338" w:lineRule="exact" w:before="0"/>
        <w:ind w:left="2699" w:right="0" w:firstLine="0"/>
        <w:jc w:val="left"/>
        <w:rPr>
          <w:rFonts w:ascii="微软雅黑" w:eastAsia="微软雅黑"/>
          <w:b/>
          <w:sz w:val="21"/>
        </w:rPr>
      </w:pPr>
      <w:r>
        <w:rPr>
          <w:rFonts w:ascii="微软雅黑" w:eastAsia="微软雅黑"/>
          <w:b/>
          <w:spacing w:val="-3"/>
          <w:sz w:val="21"/>
        </w:rPr>
        <w:t>下列疾病不在保障范围内：</w:t>
      </w:r>
    </w:p>
    <w:p>
      <w:pPr>
        <w:pStyle w:val="ListParagraph"/>
        <w:numPr>
          <w:ilvl w:val="0"/>
          <w:numId w:val="55"/>
        </w:numPr>
        <w:tabs>
          <w:tab w:pos="3230" w:val="left" w:leader="none"/>
        </w:tabs>
        <w:spacing w:line="312" w:lineRule="exact" w:before="0" w:after="0"/>
        <w:ind w:left="3229" w:right="0" w:hanging="531"/>
        <w:jc w:val="left"/>
        <w:rPr>
          <w:rFonts w:ascii="微软雅黑" w:eastAsia="微软雅黑"/>
          <w:b/>
          <w:sz w:val="21"/>
        </w:rPr>
      </w:pPr>
      <w:r>
        <w:rPr>
          <w:rFonts w:ascii="微软雅黑" w:eastAsia="微软雅黑"/>
          <w:b/>
          <w:spacing w:val="-2"/>
          <w:sz w:val="21"/>
        </w:rPr>
        <w:t>脑垂体瘤；</w:t>
      </w:r>
    </w:p>
    <w:p>
      <w:pPr>
        <w:pStyle w:val="ListParagraph"/>
        <w:numPr>
          <w:ilvl w:val="0"/>
          <w:numId w:val="55"/>
        </w:numPr>
        <w:tabs>
          <w:tab w:pos="3230" w:val="left" w:leader="none"/>
        </w:tabs>
        <w:spacing w:line="312" w:lineRule="exact" w:before="0" w:after="0"/>
        <w:ind w:left="3229" w:right="0" w:hanging="531"/>
        <w:jc w:val="left"/>
        <w:rPr>
          <w:rFonts w:ascii="微软雅黑" w:eastAsia="微软雅黑"/>
          <w:b/>
          <w:sz w:val="21"/>
        </w:rPr>
      </w:pPr>
      <w:r>
        <w:rPr>
          <w:rFonts w:ascii="微软雅黑" w:eastAsia="微软雅黑"/>
          <w:b/>
          <w:spacing w:val="-3"/>
          <w:sz w:val="21"/>
        </w:rPr>
        <w:t>脑囊肿；</w:t>
      </w:r>
    </w:p>
    <w:p>
      <w:pPr>
        <w:pStyle w:val="ListParagraph"/>
        <w:numPr>
          <w:ilvl w:val="0"/>
          <w:numId w:val="55"/>
        </w:numPr>
        <w:tabs>
          <w:tab w:pos="3230" w:val="left" w:leader="none"/>
        </w:tabs>
        <w:spacing w:line="194" w:lineRule="auto" w:before="15" w:after="0"/>
        <w:ind w:left="2699" w:right="358" w:firstLine="0"/>
        <w:jc w:val="left"/>
        <w:rPr>
          <w:rFonts w:ascii="微软雅黑" w:eastAsia="微软雅黑"/>
          <w:b/>
          <w:sz w:val="21"/>
        </w:rPr>
      </w:pPr>
      <w:r>
        <w:rPr>
          <w:rFonts w:ascii="微软雅黑" w:eastAsia="微软雅黑"/>
          <w:b/>
          <w:spacing w:val="-2"/>
          <w:sz w:val="21"/>
        </w:rPr>
        <w:t>颅内血管性疾病（如脑动脉瘤、脑动静脉畸形、海绵状血管瘤、毛细血管</w:t>
      </w:r>
      <w:r>
        <w:rPr>
          <w:rFonts w:ascii="微软雅黑" w:eastAsia="微软雅黑"/>
          <w:b/>
          <w:spacing w:val="-2"/>
          <w:sz w:val="21"/>
        </w:rPr>
        <w:t>扩张症等</w:t>
      </w:r>
      <w:r>
        <w:rPr>
          <w:rFonts w:ascii="微软雅黑" w:eastAsia="微软雅黑"/>
          <w:b/>
          <w:spacing w:val="-106"/>
          <w:sz w:val="21"/>
        </w:rPr>
        <w:t>）</w:t>
      </w:r>
      <w:r>
        <w:rPr>
          <w:rFonts w:ascii="微软雅黑" w:eastAsia="微软雅黑"/>
          <w:b/>
          <w:spacing w:val="-2"/>
          <w:sz w:val="21"/>
        </w:rPr>
        <w:t>。</w:t>
      </w:r>
    </w:p>
    <w:p>
      <w:pPr>
        <w:pStyle w:val="BodyText"/>
        <w:spacing w:before="12"/>
        <w:rPr>
          <w:rFonts w:ascii="微软雅黑"/>
          <w:b/>
          <w:sz w:val="13"/>
        </w:rPr>
      </w:pPr>
    </w:p>
    <w:p>
      <w:pPr>
        <w:spacing w:after="0"/>
        <w:rPr>
          <w:rFonts w:ascii="微软雅黑"/>
          <w:sz w:val="13"/>
        </w:rPr>
        <w:sectPr>
          <w:pgSz w:w="11910" w:h="16840"/>
          <w:pgMar w:header="0" w:footer="458" w:top="1260" w:bottom="640" w:left="800" w:right="660"/>
        </w:sectPr>
      </w:pPr>
    </w:p>
    <w:p>
      <w:pPr>
        <w:pStyle w:val="ListParagraph"/>
        <w:numPr>
          <w:ilvl w:val="0"/>
          <w:numId w:val="50"/>
        </w:numPr>
        <w:tabs>
          <w:tab w:pos="1531" w:val="left" w:leader="none"/>
        </w:tabs>
        <w:spacing w:line="194" w:lineRule="auto" w:before="57" w:after="0"/>
        <w:ind w:left="1072" w:right="0" w:firstLine="0"/>
        <w:jc w:val="left"/>
        <w:rPr>
          <w:rFonts w:ascii="微软雅黑" w:eastAsia="微软雅黑"/>
          <w:b/>
          <w:sz w:val="21"/>
        </w:rPr>
      </w:pPr>
      <w:r>
        <w:rPr>
          <w:rFonts w:ascii="微软雅黑" w:eastAsia="微软雅黑"/>
          <w:b/>
          <w:spacing w:val="24"/>
          <w:sz w:val="21"/>
        </w:rPr>
        <w:t>严重慢性</w:t>
      </w:r>
      <w:r>
        <w:rPr>
          <w:rFonts w:ascii="微软雅黑" w:eastAsia="微软雅黑"/>
          <w:b/>
          <w:spacing w:val="-4"/>
          <w:sz w:val="21"/>
        </w:rPr>
        <w:t>肝衰竭</w:t>
      </w:r>
    </w:p>
    <w:p>
      <w:pPr>
        <w:pStyle w:val="BodyText"/>
        <w:spacing w:before="71"/>
        <w:ind w:left="174"/>
      </w:pPr>
      <w:r>
        <w:rPr/>
        <w:br w:type="column"/>
      </w:r>
      <w:r>
        <w:rPr>
          <w:spacing w:val="-3"/>
        </w:rPr>
        <w:t>指因慢性肝脏疾病导致的肝衰竭，且须满足下列全部条件：</w:t>
      </w:r>
    </w:p>
    <w:p>
      <w:pPr>
        <w:pStyle w:val="BodyText"/>
        <w:ind w:left="174"/>
      </w:pPr>
      <w:r>
        <w:rPr>
          <w:spacing w:val="-2"/>
        </w:rPr>
        <w:t>（1）</w:t>
      </w:r>
      <w:r>
        <w:rPr>
          <w:spacing w:val="-4"/>
        </w:rPr>
        <w:t>持续性黄疸；</w:t>
      </w:r>
    </w:p>
    <w:p>
      <w:pPr>
        <w:pStyle w:val="BodyText"/>
        <w:ind w:left="174"/>
      </w:pPr>
      <w:r>
        <w:rPr>
          <w:spacing w:val="-2"/>
        </w:rPr>
        <w:t>（2）</w:t>
      </w:r>
      <w:r>
        <w:rPr>
          <w:spacing w:val="-5"/>
        </w:rPr>
        <w:t>腹水；</w:t>
      </w:r>
    </w:p>
    <w:p>
      <w:pPr>
        <w:pStyle w:val="ListParagraph"/>
        <w:numPr>
          <w:ilvl w:val="0"/>
          <w:numId w:val="56"/>
        </w:numPr>
        <w:tabs>
          <w:tab w:pos="704" w:val="left" w:leader="none"/>
        </w:tabs>
        <w:spacing w:line="240" w:lineRule="auto" w:before="43" w:after="0"/>
        <w:ind w:left="703" w:right="0" w:hanging="530"/>
        <w:jc w:val="left"/>
        <w:rPr>
          <w:sz w:val="21"/>
        </w:rPr>
      </w:pPr>
      <w:r>
        <w:rPr>
          <w:spacing w:val="-4"/>
          <w:sz w:val="21"/>
        </w:rPr>
        <w:t>肝性脑病；</w:t>
      </w:r>
    </w:p>
    <w:p>
      <w:pPr>
        <w:pStyle w:val="ListParagraph"/>
        <w:numPr>
          <w:ilvl w:val="0"/>
          <w:numId w:val="56"/>
        </w:numPr>
        <w:tabs>
          <w:tab w:pos="704" w:val="left" w:leader="none"/>
        </w:tabs>
        <w:spacing w:line="257" w:lineRule="exact" w:before="43" w:after="0"/>
        <w:ind w:left="703" w:right="0" w:hanging="530"/>
        <w:jc w:val="left"/>
        <w:rPr>
          <w:sz w:val="21"/>
        </w:rPr>
      </w:pPr>
      <w:r>
        <w:rPr>
          <w:spacing w:val="-3"/>
          <w:sz w:val="21"/>
        </w:rPr>
        <w:t>充血性脾肿大伴脾功能亢进或食管胃底静脉曲张。</w:t>
      </w:r>
    </w:p>
    <w:p>
      <w:pPr>
        <w:spacing w:line="375" w:lineRule="exact" w:before="0"/>
        <w:ind w:left="174" w:right="0" w:firstLine="0"/>
        <w:jc w:val="left"/>
        <w:rPr>
          <w:rFonts w:ascii="微软雅黑" w:eastAsia="微软雅黑"/>
          <w:b/>
          <w:sz w:val="21"/>
        </w:rPr>
      </w:pPr>
      <w:r>
        <w:rPr>
          <w:rFonts w:ascii="微软雅黑" w:eastAsia="微软雅黑"/>
          <w:b/>
          <w:spacing w:val="-3"/>
          <w:sz w:val="21"/>
        </w:rPr>
        <w:t>因酗酒或药物滥用导致的肝功能衰竭不在本保障范围内。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2"/>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531" w:val="left" w:leader="none"/>
        </w:tabs>
        <w:spacing w:line="194" w:lineRule="auto" w:before="57" w:after="0"/>
        <w:ind w:left="1072" w:right="0" w:firstLine="0"/>
        <w:jc w:val="both"/>
        <w:rPr>
          <w:rFonts w:ascii="微软雅黑" w:eastAsia="微软雅黑"/>
          <w:b/>
          <w:sz w:val="21"/>
        </w:rPr>
      </w:pPr>
      <w:r>
        <w:rPr>
          <w:rFonts w:ascii="微软雅黑" w:eastAsia="微软雅黑"/>
          <w:b/>
          <w:spacing w:val="24"/>
          <w:sz w:val="21"/>
        </w:rPr>
        <w:t>严重脑炎</w:t>
      </w:r>
      <w:r>
        <w:rPr>
          <w:rFonts w:ascii="微软雅黑" w:eastAsia="微软雅黑"/>
          <w:b/>
          <w:spacing w:val="20"/>
          <w:sz w:val="21"/>
        </w:rPr>
        <w:t>后遗症或严重</w:t>
      </w:r>
      <w:r>
        <w:rPr>
          <w:rFonts w:ascii="微软雅黑" w:eastAsia="微软雅黑"/>
          <w:b/>
          <w:spacing w:val="-2"/>
          <w:sz w:val="21"/>
        </w:rPr>
        <w:t>脑膜炎后遗症</w:t>
      </w:r>
    </w:p>
    <w:p>
      <w:pPr>
        <w:pStyle w:val="BodyText"/>
        <w:spacing w:line="278" w:lineRule="auto" w:before="72"/>
        <w:ind w:left="174" w:right="387"/>
      </w:pPr>
      <w:r>
        <w:rPr/>
        <w:br w:type="column"/>
      </w:r>
      <w:r>
        <w:rPr>
          <w:spacing w:val="-2"/>
        </w:rPr>
        <w:t>指因患脑炎或脑膜炎导致的神经系统永久性的功能障碍。神经系统永久性的功能</w:t>
      </w:r>
      <w:r>
        <w:rPr>
          <w:spacing w:val="-2"/>
        </w:rPr>
        <w:t>障碍，指经相关专科医生确诊疾病180天后，仍遗留下列至少一种障碍：</w:t>
      </w:r>
    </w:p>
    <w:p>
      <w:pPr>
        <w:pStyle w:val="ListParagraph"/>
        <w:numPr>
          <w:ilvl w:val="0"/>
          <w:numId w:val="57"/>
        </w:numPr>
        <w:tabs>
          <w:tab w:pos="704" w:val="left" w:leader="none"/>
        </w:tabs>
        <w:spacing w:line="269" w:lineRule="exact" w:before="0" w:after="0"/>
        <w:ind w:left="703" w:right="0" w:hanging="530"/>
        <w:jc w:val="left"/>
        <w:rPr>
          <w:sz w:val="21"/>
        </w:rPr>
      </w:pPr>
      <w:r>
        <w:rPr>
          <w:spacing w:val="-2"/>
          <w:sz w:val="21"/>
        </w:rPr>
        <w:t>一肢（含）以上肢体肌力2级（含）</w:t>
      </w:r>
      <w:r>
        <w:rPr>
          <w:spacing w:val="-5"/>
          <w:sz w:val="21"/>
        </w:rPr>
        <w:t>以下；</w:t>
      </w:r>
    </w:p>
    <w:p>
      <w:pPr>
        <w:pStyle w:val="ListParagraph"/>
        <w:numPr>
          <w:ilvl w:val="0"/>
          <w:numId w:val="57"/>
        </w:numPr>
        <w:tabs>
          <w:tab w:pos="704" w:val="left" w:leader="none"/>
        </w:tabs>
        <w:spacing w:line="240" w:lineRule="auto" w:before="43" w:after="0"/>
        <w:ind w:left="703" w:right="0" w:hanging="530"/>
        <w:jc w:val="left"/>
        <w:rPr>
          <w:sz w:val="21"/>
        </w:rPr>
      </w:pPr>
      <w:r>
        <w:rPr>
          <w:spacing w:val="-3"/>
          <w:sz w:val="21"/>
        </w:rPr>
        <w:t>语言能力完全丧失，或严重咀嚼吞咽功能障碍；</w:t>
      </w:r>
    </w:p>
    <w:p>
      <w:pPr>
        <w:pStyle w:val="ListParagraph"/>
        <w:numPr>
          <w:ilvl w:val="0"/>
          <w:numId w:val="57"/>
        </w:numPr>
        <w:tabs>
          <w:tab w:pos="704" w:val="left" w:leader="none"/>
        </w:tabs>
        <w:spacing w:line="278" w:lineRule="auto" w:before="43" w:after="0"/>
        <w:ind w:left="174" w:right="355" w:firstLine="0"/>
        <w:jc w:val="left"/>
        <w:rPr>
          <w:sz w:val="21"/>
        </w:rPr>
      </w:pPr>
      <w:r>
        <w:rPr>
          <w:spacing w:val="-6"/>
          <w:sz w:val="21"/>
        </w:rPr>
        <w:t>由具有评估资格的专科医生根据临床痴呆评定量表</w:t>
      </w:r>
      <w:r>
        <w:rPr>
          <w:spacing w:val="-2"/>
          <w:sz w:val="21"/>
        </w:rPr>
        <w:t>（CDR，Clinical </w:t>
      </w:r>
      <w:r>
        <w:rPr>
          <w:sz w:val="21"/>
        </w:rPr>
        <w:t>Dementia Rating）评估结果为3分；</w:t>
      </w:r>
    </w:p>
    <w:p>
      <w:pPr>
        <w:pStyle w:val="ListParagraph"/>
        <w:numPr>
          <w:ilvl w:val="0"/>
          <w:numId w:val="57"/>
        </w:numPr>
        <w:tabs>
          <w:tab w:pos="704" w:val="left" w:leader="none"/>
        </w:tabs>
        <w:spacing w:line="278" w:lineRule="auto" w:before="0" w:after="0"/>
        <w:ind w:left="174" w:right="353" w:firstLine="0"/>
        <w:jc w:val="left"/>
        <w:rPr>
          <w:sz w:val="21"/>
        </w:rPr>
      </w:pPr>
      <w:r>
        <w:rPr>
          <w:spacing w:val="-6"/>
          <w:w w:val="100"/>
          <w:sz w:val="21"/>
        </w:rPr>
        <w:t>自主生活能力完全丧失，无法独立完成六项基本日常生活活动中的三项或</w:t>
      </w:r>
      <w:r>
        <w:rPr>
          <w:spacing w:val="-5"/>
          <w:w w:val="100"/>
          <w:sz w:val="21"/>
        </w:rPr>
        <w:t>三项以上。</w:t>
      </w:r>
    </w:p>
    <w:p>
      <w:pPr>
        <w:spacing w:after="0" w:line="278" w:lineRule="auto"/>
        <w:jc w:val="left"/>
        <w:rPr>
          <w:sz w:val="21"/>
        </w:rPr>
        <w:sectPr>
          <w:type w:val="continuous"/>
          <w:pgSz w:w="11910" w:h="16840"/>
          <w:pgMar w:header="0" w:footer="458" w:top="620" w:bottom="280" w:left="800" w:right="660"/>
          <w:cols w:num="2" w:equalWidth="0">
            <w:col w:w="2486" w:space="40"/>
            <w:col w:w="7924"/>
          </w:cols>
        </w:sectPr>
      </w:pPr>
    </w:p>
    <w:p>
      <w:pPr>
        <w:pStyle w:val="BodyText"/>
        <w:spacing w:before="9"/>
        <w:rPr>
          <w:sz w:val="18"/>
        </w:rPr>
      </w:pPr>
    </w:p>
    <w:p>
      <w:pPr>
        <w:pStyle w:val="ListParagraph"/>
        <w:numPr>
          <w:ilvl w:val="0"/>
          <w:numId w:val="50"/>
        </w:numPr>
        <w:tabs>
          <w:tab w:pos="1391" w:val="left" w:leader="none"/>
        </w:tabs>
        <w:spacing w:line="256" w:lineRule="auto" w:before="4" w:after="0"/>
        <w:ind w:left="2699" w:right="358" w:hanging="1628"/>
        <w:jc w:val="both"/>
        <w:rPr>
          <w:sz w:val="21"/>
        </w:rPr>
      </w:pPr>
      <w:r>
        <w:rPr>
          <w:rFonts w:ascii="微软雅黑" w:eastAsia="微软雅黑"/>
          <w:b/>
          <w:spacing w:val="80"/>
          <w:sz w:val="21"/>
        </w:rPr>
        <w:t>深度昏迷 </w:t>
      </w:r>
      <w:r>
        <w:rPr>
          <w:sz w:val="21"/>
        </w:rPr>
        <w:t>指因疾病或意外伤害导致意识丧失，对外界刺激和体内需求均无反应，昏迷程度</w:t>
      </w:r>
      <w:r>
        <w:rPr>
          <w:spacing w:val="-2"/>
          <w:sz w:val="21"/>
        </w:rPr>
        <w:t>按照格拉斯哥昏迷分级（GCS，Glasgow</w:t>
      </w:r>
      <w:r>
        <w:rPr>
          <w:spacing w:val="-7"/>
          <w:sz w:val="21"/>
        </w:rPr>
        <w:t> </w:t>
      </w:r>
      <w:r>
        <w:rPr>
          <w:spacing w:val="-2"/>
          <w:sz w:val="21"/>
        </w:rPr>
        <w:t>Coma</w:t>
      </w:r>
      <w:r>
        <w:rPr>
          <w:spacing w:val="-7"/>
          <w:sz w:val="21"/>
        </w:rPr>
        <w:t> </w:t>
      </w:r>
      <w:r>
        <w:rPr>
          <w:spacing w:val="-2"/>
          <w:sz w:val="21"/>
        </w:rPr>
        <w:t>Scale）结果为5分或5分以下，且已</w:t>
      </w:r>
      <w:r>
        <w:rPr>
          <w:spacing w:val="-2"/>
          <w:sz w:val="21"/>
        </w:rPr>
        <w:t>经持续使用呼吸机及其他生命维持系统96小时以上。</w:t>
      </w:r>
    </w:p>
    <w:p>
      <w:pPr>
        <w:spacing w:line="334" w:lineRule="exact" w:before="0"/>
        <w:ind w:left="2699" w:right="0" w:firstLine="0"/>
        <w:jc w:val="left"/>
        <w:rPr>
          <w:rFonts w:ascii="微软雅黑" w:eastAsia="微软雅黑"/>
          <w:b/>
          <w:sz w:val="21"/>
        </w:rPr>
      </w:pPr>
      <w:r>
        <w:rPr>
          <w:rFonts w:ascii="微软雅黑" w:eastAsia="微软雅黑"/>
          <w:b/>
          <w:spacing w:val="-3"/>
          <w:sz w:val="21"/>
        </w:rPr>
        <w:t>因酗酒或药物滥用导致的深度昏迷不在本保障范围内。</w:t>
      </w:r>
    </w:p>
    <w:p>
      <w:pPr>
        <w:pStyle w:val="BodyText"/>
        <w:spacing w:before="16"/>
        <w:rPr>
          <w:rFonts w:ascii="微软雅黑"/>
          <w:b/>
          <w:sz w:val="12"/>
        </w:rPr>
      </w:pPr>
    </w:p>
    <w:p>
      <w:pPr>
        <w:pStyle w:val="ListParagraph"/>
        <w:numPr>
          <w:ilvl w:val="0"/>
          <w:numId w:val="50"/>
        </w:numPr>
        <w:tabs>
          <w:tab w:pos="1391" w:val="left" w:leader="none"/>
          <w:tab w:pos="2699" w:val="left" w:leader="none"/>
        </w:tabs>
        <w:spacing w:line="383" w:lineRule="exact" w:before="0" w:after="0"/>
        <w:ind w:left="1390" w:right="0" w:hanging="319"/>
        <w:jc w:val="left"/>
        <w:rPr>
          <w:sz w:val="21"/>
        </w:rPr>
      </w:pPr>
      <w:r>
        <w:rPr>
          <w:rFonts w:ascii="微软雅黑" w:eastAsia="微软雅黑"/>
          <w:b/>
          <w:sz w:val="21"/>
        </w:rPr>
        <w:t>双耳失</w:t>
      </w:r>
      <w:r>
        <w:rPr>
          <w:rFonts w:ascii="微软雅黑" w:eastAsia="微软雅黑"/>
          <w:b/>
          <w:spacing w:val="-10"/>
          <w:sz w:val="21"/>
        </w:rPr>
        <w:t>聪</w:t>
      </w:r>
      <w:r>
        <w:rPr>
          <w:rFonts w:ascii="微软雅黑" w:eastAsia="微软雅黑"/>
          <w:b/>
          <w:sz w:val="21"/>
        </w:rPr>
        <w:tab/>
      </w:r>
      <w:r>
        <w:rPr>
          <w:spacing w:val="-2"/>
          <w:sz w:val="21"/>
        </w:rPr>
        <w:t>指</w:t>
      </w:r>
      <w:r>
        <w:rPr>
          <w:spacing w:val="-2"/>
          <w:sz w:val="21"/>
        </w:rPr>
        <w:t>因</w:t>
      </w:r>
      <w:r>
        <w:rPr>
          <w:spacing w:val="-2"/>
          <w:sz w:val="21"/>
        </w:rPr>
        <w:t>疾病或意外伤害导致</w:t>
      </w:r>
      <w:r>
        <w:rPr>
          <w:spacing w:val="-2"/>
          <w:sz w:val="21"/>
        </w:rPr>
        <w:t>双</w:t>
      </w:r>
      <w:r>
        <w:rPr>
          <w:spacing w:val="-2"/>
          <w:sz w:val="21"/>
        </w:rPr>
        <w:t>耳</w:t>
      </w:r>
      <w:r>
        <w:rPr>
          <w:spacing w:val="-2"/>
          <w:sz w:val="21"/>
        </w:rPr>
        <w:t>听力永久不可逆性丧</w:t>
      </w:r>
      <w:r>
        <w:rPr>
          <w:spacing w:val="-2"/>
          <w:sz w:val="21"/>
        </w:rPr>
        <w:t>失</w:t>
      </w:r>
      <w:r>
        <w:rPr>
          <w:spacing w:val="-2"/>
          <w:sz w:val="21"/>
        </w:rPr>
        <w:t>，在500赫兹、1000</w:t>
      </w:r>
      <w:r>
        <w:rPr>
          <w:spacing w:val="-2"/>
          <w:sz w:val="21"/>
        </w:rPr>
        <w:t>赫</w:t>
      </w:r>
      <w:r>
        <w:rPr>
          <w:spacing w:val="-2"/>
          <w:sz w:val="21"/>
        </w:rPr>
        <w:t>兹</w:t>
      </w:r>
      <w:r>
        <w:rPr>
          <w:spacing w:val="-10"/>
          <w:sz w:val="21"/>
        </w:rPr>
        <w:t>和</w:t>
      </w:r>
    </w:p>
    <w:p>
      <w:pPr>
        <w:pStyle w:val="BodyText"/>
        <w:spacing w:line="278" w:lineRule="auto" w:before="0"/>
        <w:ind w:left="2699" w:right="387"/>
      </w:pPr>
      <w:r>
        <w:rPr>
          <w:spacing w:val="-2"/>
        </w:rPr>
        <w:t>2000赫兹语音频率下，平均听阈大于等于91分贝，且经纯音听力测试、声导抗检</w:t>
      </w:r>
      <w:r>
        <w:rPr>
          <w:spacing w:val="-2"/>
        </w:rPr>
        <w:t>测或听觉诱发电位检测等证实。</w:t>
      </w:r>
    </w:p>
    <w:p>
      <w:pPr>
        <w:spacing w:line="320" w:lineRule="exact" w:before="0"/>
        <w:ind w:left="2699" w:right="0" w:firstLine="0"/>
        <w:jc w:val="left"/>
        <w:rPr>
          <w:rFonts w:ascii="微软雅黑" w:eastAsia="微软雅黑"/>
          <w:b/>
          <w:sz w:val="21"/>
        </w:rPr>
      </w:pPr>
      <w:r>
        <w:rPr>
          <w:rFonts w:ascii="微软雅黑" w:eastAsia="微软雅黑"/>
          <w:b/>
          <w:w w:val="95"/>
          <w:sz w:val="21"/>
        </w:rPr>
        <w:t>本</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仅</w:t>
      </w:r>
      <w:r>
        <w:rPr>
          <w:rFonts w:ascii="微软雅黑" w:eastAsia="微软雅黑"/>
          <w:b/>
          <w:w w:val="95"/>
          <w:sz w:val="21"/>
        </w:rPr>
        <w:t>对</w:t>
      </w:r>
      <w:r>
        <w:rPr>
          <w:rFonts w:ascii="微软雅黑" w:eastAsia="微软雅黑"/>
          <w:b/>
          <w:w w:val="95"/>
          <w:sz w:val="21"/>
        </w:rPr>
        <w:t>3</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以</w:t>
      </w:r>
      <w:r>
        <w:rPr>
          <w:rFonts w:ascii="微软雅黑" w:eastAsia="微软雅黑"/>
          <w:b/>
          <w:w w:val="95"/>
          <w:sz w:val="21"/>
        </w:rPr>
        <w:t>上</w:t>
      </w:r>
      <w:r>
        <w:rPr>
          <w:rFonts w:ascii="微软雅黑" w:eastAsia="微软雅黑"/>
          <w:b/>
          <w:w w:val="95"/>
          <w:sz w:val="21"/>
        </w:rPr>
        <w:t>的</w:t>
      </w:r>
      <w:r>
        <w:rPr>
          <w:rFonts w:ascii="微软雅黑" w:eastAsia="微软雅黑"/>
          <w:b/>
          <w:w w:val="95"/>
          <w:sz w:val="21"/>
        </w:rPr>
        <w:t>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人</w:t>
      </w:r>
      <w:r>
        <w:rPr>
          <w:rFonts w:ascii="微软雅黑" w:eastAsia="微软雅黑"/>
          <w:b/>
          <w:w w:val="95"/>
          <w:sz w:val="21"/>
        </w:rPr>
        <w:t>予</w:t>
      </w:r>
      <w:r>
        <w:rPr>
          <w:rFonts w:ascii="微软雅黑" w:eastAsia="微软雅黑"/>
          <w:b/>
          <w:w w:val="95"/>
          <w:sz w:val="21"/>
        </w:rPr>
        <w:t>以</w:t>
      </w:r>
      <w:r>
        <w:rPr>
          <w:rFonts w:ascii="微软雅黑" w:eastAsia="微软雅黑"/>
          <w:b/>
          <w:w w:val="95"/>
          <w:sz w:val="21"/>
        </w:rPr>
        <w:t>理</w:t>
      </w:r>
      <w:r>
        <w:rPr>
          <w:rFonts w:ascii="微软雅黑" w:eastAsia="微软雅黑"/>
          <w:b/>
          <w:w w:val="95"/>
          <w:sz w:val="21"/>
        </w:rPr>
        <w:t>赔</w:t>
      </w:r>
      <w:r>
        <w:rPr>
          <w:rFonts w:ascii="微软雅黑" w:eastAsia="微软雅黑"/>
          <w:b/>
          <w:spacing w:val="-10"/>
          <w:w w:val="95"/>
          <w:sz w:val="21"/>
        </w:rPr>
        <w:t>。</w:t>
      </w:r>
    </w:p>
    <w:p>
      <w:pPr>
        <w:pStyle w:val="BodyText"/>
        <w:spacing w:before="17"/>
        <w:rPr>
          <w:rFonts w:ascii="微软雅黑"/>
          <w:b/>
          <w:sz w:val="12"/>
        </w:rPr>
      </w:pPr>
    </w:p>
    <w:p>
      <w:pPr>
        <w:pStyle w:val="ListParagraph"/>
        <w:numPr>
          <w:ilvl w:val="0"/>
          <w:numId w:val="50"/>
        </w:numPr>
        <w:tabs>
          <w:tab w:pos="1391" w:val="left" w:leader="none"/>
          <w:tab w:pos="2699" w:val="left" w:leader="none"/>
        </w:tabs>
        <w:spacing w:line="235" w:lineRule="auto" w:before="0" w:after="0"/>
        <w:ind w:left="2699" w:right="387" w:hanging="1628"/>
        <w:jc w:val="left"/>
        <w:rPr>
          <w:sz w:val="21"/>
        </w:rPr>
      </w:pPr>
      <w:r>
        <w:rPr>
          <w:rFonts w:ascii="微软雅黑" w:eastAsia="微软雅黑"/>
          <w:b/>
          <w:spacing w:val="-4"/>
          <w:sz w:val="21"/>
        </w:rPr>
        <w:t>双</w:t>
      </w:r>
      <w:r>
        <w:rPr>
          <w:rFonts w:ascii="微软雅黑" w:eastAsia="微软雅黑"/>
          <w:b/>
          <w:spacing w:val="-4"/>
          <w:sz w:val="21"/>
        </w:rPr>
        <w:t>目</w:t>
      </w:r>
      <w:r>
        <w:rPr>
          <w:rFonts w:ascii="微软雅黑" w:eastAsia="微软雅黑"/>
          <w:b/>
          <w:spacing w:val="-4"/>
          <w:sz w:val="21"/>
        </w:rPr>
        <w:t>失</w:t>
      </w:r>
      <w:r>
        <w:rPr>
          <w:rFonts w:ascii="微软雅黑" w:eastAsia="微软雅黑"/>
          <w:b/>
          <w:spacing w:val="-4"/>
          <w:sz w:val="21"/>
        </w:rPr>
        <w:t>明</w:t>
      </w:r>
      <w:r>
        <w:rPr>
          <w:rFonts w:ascii="微软雅黑" w:eastAsia="微软雅黑"/>
          <w:b/>
          <w:sz w:val="21"/>
        </w:rPr>
        <w:tab/>
      </w:r>
      <w:r>
        <w:rPr>
          <w:spacing w:val="-2"/>
          <w:sz w:val="21"/>
        </w:rPr>
        <w:t>指</w:t>
      </w:r>
      <w:r>
        <w:rPr>
          <w:spacing w:val="-2"/>
          <w:sz w:val="21"/>
        </w:rPr>
        <w:t>因</w:t>
      </w:r>
      <w:r>
        <w:rPr>
          <w:spacing w:val="-2"/>
          <w:sz w:val="21"/>
        </w:rPr>
        <w:t>疾病或意外伤害导致</w:t>
      </w:r>
      <w:r>
        <w:rPr>
          <w:spacing w:val="-2"/>
          <w:sz w:val="21"/>
        </w:rPr>
        <w:t>双</w:t>
      </w:r>
      <w:r>
        <w:rPr>
          <w:spacing w:val="-2"/>
          <w:sz w:val="21"/>
        </w:rPr>
        <w:t>眼</w:t>
      </w:r>
      <w:r>
        <w:rPr>
          <w:spacing w:val="-2"/>
          <w:sz w:val="21"/>
        </w:rPr>
        <w:t>视力永久不可逆性丧</w:t>
      </w:r>
      <w:r>
        <w:rPr>
          <w:spacing w:val="-2"/>
          <w:sz w:val="21"/>
        </w:rPr>
        <w:t>失</w:t>
      </w:r>
      <w:r>
        <w:rPr>
          <w:spacing w:val="-2"/>
          <w:sz w:val="21"/>
        </w:rPr>
        <w:t>，双眼中较好眼须满足</w:t>
      </w:r>
      <w:r>
        <w:rPr>
          <w:spacing w:val="-2"/>
          <w:sz w:val="21"/>
        </w:rPr>
        <w:t>下</w:t>
      </w:r>
      <w:r>
        <w:rPr>
          <w:spacing w:val="-2"/>
          <w:sz w:val="21"/>
        </w:rPr>
        <w:t>列</w:t>
      </w:r>
      <w:r>
        <w:rPr>
          <w:spacing w:val="-2"/>
          <w:sz w:val="21"/>
        </w:rPr>
        <w:t>至</w:t>
      </w:r>
      <w:r>
        <w:rPr>
          <w:spacing w:val="-2"/>
          <w:sz w:val="21"/>
        </w:rPr>
        <w:t>少</w:t>
      </w:r>
      <w:r>
        <w:rPr>
          <w:spacing w:val="-2"/>
          <w:sz w:val="21"/>
        </w:rPr>
        <w:t>一项条</w:t>
      </w:r>
      <w:r>
        <w:rPr>
          <w:spacing w:val="-2"/>
          <w:sz w:val="21"/>
        </w:rPr>
        <w:t>件</w:t>
      </w:r>
      <w:r>
        <w:rPr>
          <w:spacing w:val="-2"/>
          <w:sz w:val="21"/>
        </w:rPr>
        <w:t>：</w:t>
      </w:r>
    </w:p>
    <w:p>
      <w:pPr>
        <w:pStyle w:val="ListParagraph"/>
        <w:numPr>
          <w:ilvl w:val="1"/>
          <w:numId w:val="50"/>
        </w:numPr>
        <w:tabs>
          <w:tab w:pos="3230" w:val="left" w:leader="none"/>
        </w:tabs>
        <w:spacing w:line="240" w:lineRule="auto" w:before="43" w:after="0"/>
        <w:ind w:left="3229" w:right="0" w:hanging="531"/>
        <w:jc w:val="left"/>
        <w:rPr>
          <w:sz w:val="21"/>
        </w:rPr>
      </w:pPr>
      <w:r>
        <w:rPr>
          <w:spacing w:val="-4"/>
          <w:sz w:val="21"/>
        </w:rPr>
        <w:t>眼球缺失或摘除；</w:t>
      </w:r>
    </w:p>
    <w:p>
      <w:pPr>
        <w:pStyle w:val="ListParagraph"/>
        <w:numPr>
          <w:ilvl w:val="1"/>
          <w:numId w:val="50"/>
        </w:numPr>
        <w:tabs>
          <w:tab w:pos="3230" w:val="left" w:leader="none"/>
        </w:tabs>
        <w:spacing w:line="240" w:lineRule="auto" w:before="43" w:after="0"/>
        <w:ind w:left="3229" w:right="0" w:hanging="531"/>
        <w:jc w:val="left"/>
        <w:rPr>
          <w:sz w:val="21"/>
        </w:rPr>
      </w:pPr>
      <w:r>
        <w:rPr>
          <w:spacing w:val="-6"/>
          <w:sz w:val="21"/>
        </w:rPr>
        <w:t>矫正视力低于0.02（</w:t>
      </w:r>
      <w:r>
        <w:rPr>
          <w:spacing w:val="-16"/>
          <w:sz w:val="21"/>
        </w:rPr>
        <w:t>采用国际标准视力表，如果使用其他视力表应进行换算</w:t>
      </w:r>
      <w:r>
        <w:rPr>
          <w:spacing w:val="-6"/>
          <w:sz w:val="21"/>
        </w:rPr>
        <w:t>）；</w:t>
      </w:r>
    </w:p>
    <w:p>
      <w:pPr>
        <w:pStyle w:val="ListParagraph"/>
        <w:numPr>
          <w:ilvl w:val="1"/>
          <w:numId w:val="50"/>
        </w:numPr>
        <w:tabs>
          <w:tab w:pos="3230" w:val="left" w:leader="none"/>
        </w:tabs>
        <w:spacing w:line="257" w:lineRule="exact" w:before="43" w:after="0"/>
        <w:ind w:left="3229" w:right="0" w:hanging="531"/>
        <w:jc w:val="left"/>
        <w:rPr>
          <w:sz w:val="21"/>
        </w:rPr>
      </w:pPr>
      <w:r>
        <w:rPr>
          <w:spacing w:val="-2"/>
          <w:sz w:val="21"/>
        </w:rPr>
        <w:t>视野半径小于5</w:t>
      </w:r>
      <w:r>
        <w:rPr>
          <w:spacing w:val="-6"/>
          <w:sz w:val="21"/>
        </w:rPr>
        <w:t>度。</w:t>
      </w:r>
    </w:p>
    <w:p>
      <w:pPr>
        <w:spacing w:line="375" w:lineRule="exact" w:before="0"/>
        <w:ind w:left="2699" w:right="0" w:firstLine="0"/>
        <w:jc w:val="left"/>
        <w:rPr>
          <w:rFonts w:ascii="微软雅黑" w:eastAsia="微软雅黑"/>
          <w:b/>
          <w:sz w:val="21"/>
        </w:rPr>
      </w:pPr>
      <w:r>
        <w:rPr>
          <w:rFonts w:ascii="微软雅黑" w:eastAsia="微软雅黑"/>
          <w:b/>
          <w:w w:val="95"/>
          <w:sz w:val="21"/>
        </w:rPr>
        <w:t>本</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仅</w:t>
      </w:r>
      <w:r>
        <w:rPr>
          <w:rFonts w:ascii="微软雅黑" w:eastAsia="微软雅黑"/>
          <w:b/>
          <w:w w:val="95"/>
          <w:sz w:val="21"/>
        </w:rPr>
        <w:t>对</w:t>
      </w:r>
      <w:r>
        <w:rPr>
          <w:rFonts w:ascii="微软雅黑" w:eastAsia="微软雅黑"/>
          <w:b/>
          <w:w w:val="95"/>
          <w:sz w:val="21"/>
        </w:rPr>
        <w:t>3</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以</w:t>
      </w:r>
      <w:r>
        <w:rPr>
          <w:rFonts w:ascii="微软雅黑" w:eastAsia="微软雅黑"/>
          <w:b/>
          <w:w w:val="95"/>
          <w:sz w:val="21"/>
        </w:rPr>
        <w:t>上</w:t>
      </w:r>
      <w:r>
        <w:rPr>
          <w:rFonts w:ascii="微软雅黑" w:eastAsia="微软雅黑"/>
          <w:b/>
          <w:w w:val="95"/>
          <w:sz w:val="21"/>
        </w:rPr>
        <w:t>的</w:t>
      </w:r>
      <w:r>
        <w:rPr>
          <w:rFonts w:ascii="微软雅黑" w:eastAsia="微软雅黑"/>
          <w:b/>
          <w:w w:val="95"/>
          <w:sz w:val="21"/>
        </w:rPr>
        <w:t>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人</w:t>
      </w:r>
      <w:r>
        <w:rPr>
          <w:rFonts w:ascii="微软雅黑" w:eastAsia="微软雅黑"/>
          <w:b/>
          <w:w w:val="95"/>
          <w:sz w:val="21"/>
        </w:rPr>
        <w:t>予</w:t>
      </w:r>
      <w:r>
        <w:rPr>
          <w:rFonts w:ascii="微软雅黑" w:eastAsia="微软雅黑"/>
          <w:b/>
          <w:w w:val="95"/>
          <w:sz w:val="21"/>
        </w:rPr>
        <w:t>以</w:t>
      </w:r>
      <w:r>
        <w:rPr>
          <w:rFonts w:ascii="微软雅黑" w:eastAsia="微软雅黑"/>
          <w:b/>
          <w:w w:val="95"/>
          <w:sz w:val="21"/>
        </w:rPr>
        <w:t>理</w:t>
      </w:r>
      <w:r>
        <w:rPr>
          <w:rFonts w:ascii="微软雅黑" w:eastAsia="微软雅黑"/>
          <w:b/>
          <w:w w:val="95"/>
          <w:sz w:val="21"/>
        </w:rPr>
        <w:t>赔</w:t>
      </w:r>
      <w:r>
        <w:rPr>
          <w:rFonts w:ascii="微软雅黑" w:eastAsia="微软雅黑"/>
          <w:b/>
          <w:spacing w:val="-10"/>
          <w:w w:val="95"/>
          <w:sz w:val="21"/>
        </w:rPr>
        <w:t>。</w:t>
      </w:r>
    </w:p>
    <w:p>
      <w:pPr>
        <w:pStyle w:val="BodyText"/>
        <w:spacing w:before="3"/>
        <w:rPr>
          <w:rFonts w:ascii="微软雅黑"/>
          <w:b/>
          <w:sz w:val="13"/>
        </w:rPr>
      </w:pPr>
    </w:p>
    <w:p>
      <w:pPr>
        <w:pStyle w:val="ListParagraph"/>
        <w:numPr>
          <w:ilvl w:val="0"/>
          <w:numId w:val="50"/>
        </w:numPr>
        <w:tabs>
          <w:tab w:pos="1391" w:val="left" w:leader="none"/>
          <w:tab w:pos="2699" w:val="left" w:leader="none"/>
        </w:tabs>
        <w:spacing w:line="235" w:lineRule="auto" w:before="0" w:after="0"/>
        <w:ind w:left="2699" w:right="353" w:hanging="1628"/>
        <w:jc w:val="left"/>
        <w:rPr>
          <w:sz w:val="21"/>
        </w:rPr>
      </w:pPr>
      <w:r>
        <w:rPr>
          <w:rFonts w:ascii="微软雅黑" w:eastAsia="微软雅黑"/>
          <w:b/>
          <w:spacing w:val="-6"/>
          <w:sz w:val="21"/>
        </w:rPr>
        <w:t>瘫</w:t>
      </w:r>
      <w:r>
        <w:rPr>
          <w:rFonts w:ascii="微软雅黑" w:eastAsia="微软雅黑"/>
          <w:b/>
          <w:spacing w:val="-6"/>
          <w:sz w:val="21"/>
        </w:rPr>
        <w:t>痪</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w:t>
      </w:r>
      <w:r>
        <w:rPr>
          <w:spacing w:val="-2"/>
          <w:sz w:val="21"/>
        </w:rPr>
        <w:t>导</w:t>
      </w:r>
      <w:r>
        <w:rPr>
          <w:spacing w:val="-2"/>
          <w:sz w:val="21"/>
        </w:rPr>
        <w:t>致</w:t>
      </w:r>
      <w:r>
        <w:rPr>
          <w:spacing w:val="-2"/>
          <w:sz w:val="21"/>
        </w:rPr>
        <w:t>两</w:t>
      </w:r>
      <w:r>
        <w:rPr>
          <w:spacing w:val="-2"/>
          <w:sz w:val="21"/>
        </w:rPr>
        <w:t>肢</w:t>
      </w:r>
      <w:r>
        <w:rPr>
          <w:spacing w:val="-2"/>
          <w:sz w:val="21"/>
        </w:rPr>
        <w:t>或</w:t>
      </w:r>
      <w:r>
        <w:rPr>
          <w:spacing w:val="-2"/>
          <w:sz w:val="21"/>
        </w:rPr>
        <w:t>两</w:t>
      </w:r>
      <w:r>
        <w:rPr>
          <w:spacing w:val="-2"/>
          <w:sz w:val="21"/>
        </w:rPr>
        <w:t>肢</w:t>
      </w:r>
      <w:r>
        <w:rPr>
          <w:spacing w:val="-2"/>
          <w:sz w:val="21"/>
        </w:rPr>
        <w:t>以</w:t>
      </w:r>
      <w:r>
        <w:rPr>
          <w:spacing w:val="-2"/>
          <w:sz w:val="21"/>
        </w:rPr>
        <w:t>上</w:t>
      </w:r>
      <w:r>
        <w:rPr>
          <w:spacing w:val="-2"/>
          <w:sz w:val="21"/>
        </w:rPr>
        <w:t>肢</w:t>
      </w:r>
      <w:r>
        <w:rPr>
          <w:spacing w:val="-2"/>
          <w:sz w:val="21"/>
        </w:rPr>
        <w:t>体</w:t>
      </w:r>
      <w:r>
        <w:rPr>
          <w:spacing w:val="-2"/>
          <w:sz w:val="21"/>
        </w:rPr>
        <w:t>随</w:t>
      </w:r>
      <w:r>
        <w:rPr>
          <w:spacing w:val="-2"/>
          <w:sz w:val="21"/>
        </w:rPr>
        <w:t>意</w:t>
      </w:r>
      <w:r>
        <w:rPr>
          <w:spacing w:val="-2"/>
          <w:sz w:val="21"/>
        </w:rPr>
        <w:t>运</w:t>
      </w:r>
      <w:r>
        <w:rPr>
          <w:spacing w:val="-2"/>
          <w:sz w:val="21"/>
        </w:rPr>
        <w:t>动</w:t>
      </w:r>
      <w:r>
        <w:rPr>
          <w:spacing w:val="-2"/>
          <w:sz w:val="21"/>
        </w:rPr>
        <w:t>功</w:t>
      </w:r>
      <w:r>
        <w:rPr>
          <w:spacing w:val="-2"/>
          <w:sz w:val="21"/>
        </w:rPr>
        <w:t>能</w:t>
      </w:r>
      <w:r>
        <w:rPr>
          <w:spacing w:val="-2"/>
          <w:sz w:val="21"/>
        </w:rPr>
        <w:t>永</w:t>
      </w:r>
      <w:r>
        <w:rPr>
          <w:spacing w:val="-2"/>
          <w:sz w:val="21"/>
        </w:rPr>
        <w:t>久</w:t>
      </w:r>
      <w:r>
        <w:rPr>
          <w:spacing w:val="-2"/>
          <w:sz w:val="21"/>
        </w:rPr>
        <w:t>完</w:t>
      </w:r>
      <w:r>
        <w:rPr>
          <w:spacing w:val="-2"/>
          <w:sz w:val="21"/>
        </w:rPr>
        <w:t>全</w:t>
      </w:r>
      <w:r>
        <w:rPr>
          <w:spacing w:val="-2"/>
          <w:sz w:val="21"/>
        </w:rPr>
        <w:t>丧</w:t>
      </w:r>
      <w:r>
        <w:rPr>
          <w:spacing w:val="-2"/>
          <w:sz w:val="21"/>
        </w:rPr>
        <w:t>失</w:t>
      </w:r>
      <w:r>
        <w:rPr>
          <w:spacing w:val="-2"/>
          <w:sz w:val="21"/>
        </w:rPr>
        <w:t>。</w:t>
      </w:r>
      <w:r>
        <w:rPr>
          <w:spacing w:val="-2"/>
          <w:sz w:val="21"/>
        </w:rPr>
        <w:t>肢</w:t>
      </w:r>
      <w:r>
        <w:rPr>
          <w:spacing w:val="-2"/>
          <w:sz w:val="21"/>
        </w:rPr>
        <w:t>体</w:t>
      </w:r>
      <w:r>
        <w:rPr>
          <w:sz w:val="21"/>
        </w:rPr>
        <w:t>随意运动功能永久完全丧</w:t>
      </w:r>
      <w:r>
        <w:rPr>
          <w:sz w:val="21"/>
        </w:rPr>
        <w:t>失，指疾病</w:t>
      </w:r>
      <w:r>
        <w:rPr>
          <w:sz w:val="21"/>
        </w:rPr>
        <w:t>确诊</w:t>
      </w:r>
      <w:r>
        <w:rPr>
          <w:spacing w:val="-45"/>
          <w:sz w:val="21"/>
        </w:rPr>
        <w:t> </w:t>
      </w:r>
      <w:r>
        <w:rPr>
          <w:sz w:val="21"/>
        </w:rPr>
        <w:t>180</w:t>
      </w:r>
      <w:r>
        <w:rPr>
          <w:spacing w:val="-46"/>
          <w:sz w:val="21"/>
        </w:rPr>
        <w:t> </w:t>
      </w:r>
      <w:r>
        <w:rPr>
          <w:sz w:val="21"/>
        </w:rPr>
        <w:t>天后</w:t>
      </w:r>
      <w:r>
        <w:rPr>
          <w:sz w:val="21"/>
        </w:rPr>
        <w:t>或意外伤害</w:t>
      </w:r>
      <w:r>
        <w:rPr>
          <w:sz w:val="21"/>
        </w:rPr>
        <w:t>发生</w:t>
      </w:r>
      <w:r>
        <w:rPr>
          <w:spacing w:val="-45"/>
          <w:sz w:val="21"/>
        </w:rPr>
        <w:t> </w:t>
      </w:r>
      <w:r>
        <w:rPr>
          <w:sz w:val="21"/>
        </w:rPr>
        <w:t>180</w:t>
      </w:r>
      <w:r>
        <w:rPr>
          <w:spacing w:val="-46"/>
          <w:sz w:val="21"/>
        </w:rPr>
        <w:t> </w:t>
      </w:r>
      <w:r>
        <w:rPr>
          <w:sz w:val="21"/>
        </w:rPr>
        <w:t>天后，每</w:t>
      </w:r>
    </w:p>
    <w:p>
      <w:pPr>
        <w:pStyle w:val="BodyText"/>
        <w:ind w:left="2699"/>
      </w:pPr>
      <w:r>
        <w:rPr>
          <w:spacing w:val="-4"/>
        </w:rPr>
        <w:t>肢三大关节中的两大关节仍然完全僵硬，或肢体肌力在 </w:t>
      </w:r>
      <w:r>
        <w:rPr>
          <w:spacing w:val="-2"/>
        </w:rPr>
        <w:t>2</w:t>
      </w:r>
      <w:r>
        <w:rPr>
          <w:spacing w:val="-22"/>
        </w:rPr>
        <w:t> 级</w:t>
      </w:r>
      <w:r>
        <w:rPr>
          <w:spacing w:val="-2"/>
        </w:rPr>
        <w:t>（含）</w:t>
      </w:r>
      <w:r>
        <w:rPr>
          <w:spacing w:val="-5"/>
        </w:rPr>
        <w:t>以下。</w:t>
      </w:r>
    </w:p>
    <w:p>
      <w:pPr>
        <w:pStyle w:val="BodyText"/>
        <w:spacing w:before="1"/>
        <w:rPr>
          <w:sz w:val="22"/>
        </w:rPr>
      </w:pPr>
    </w:p>
    <w:p>
      <w:pPr>
        <w:spacing w:after="0"/>
        <w:rPr>
          <w:sz w:val="2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心脏瓣膜手</w:t>
      </w:r>
      <w:r>
        <w:rPr>
          <w:rFonts w:ascii="微软雅黑" w:eastAsia="微软雅黑"/>
          <w:b/>
          <w:spacing w:val="-10"/>
          <w:sz w:val="21"/>
        </w:rPr>
        <w:t>术</w:t>
      </w:r>
    </w:p>
    <w:p>
      <w:pPr>
        <w:pStyle w:val="BodyText"/>
        <w:spacing w:line="257" w:lineRule="exact" w:before="72"/>
        <w:ind w:left="174"/>
      </w:pPr>
      <w:r>
        <w:rPr/>
        <w:br w:type="column"/>
      </w:r>
      <w:r>
        <w:rPr>
          <w:spacing w:val="-10"/>
        </w:rPr>
        <w:t>指为治疗心脏瓣膜疾病，已经实施了切开心脏进行的心脏瓣膜置换或修复的手术。</w:t>
      </w:r>
    </w:p>
    <w:p>
      <w:pPr>
        <w:spacing w:line="375" w:lineRule="exact" w:before="0"/>
        <w:ind w:left="174" w:right="0" w:firstLine="0"/>
        <w:jc w:val="left"/>
        <w:rPr>
          <w:rFonts w:ascii="微软雅黑" w:eastAsia="微软雅黑"/>
          <w:b/>
          <w:sz w:val="21"/>
        </w:rPr>
      </w:pPr>
      <w:r>
        <w:rPr>
          <w:rFonts w:ascii="微软雅黑" w:eastAsia="微软雅黑"/>
          <w:b/>
          <w:spacing w:val="-3"/>
          <w:sz w:val="21"/>
        </w:rPr>
        <w:t>所有未切开心脏的心脏瓣膜介入手术不在保障范围内。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ListParagraph"/>
        <w:numPr>
          <w:ilvl w:val="0"/>
          <w:numId w:val="50"/>
        </w:numPr>
        <w:tabs>
          <w:tab w:pos="1391" w:val="left" w:leader="none"/>
        </w:tabs>
        <w:spacing w:line="153" w:lineRule="auto" w:before="86" w:after="0"/>
        <w:ind w:left="1072" w:right="0" w:firstLine="0"/>
        <w:jc w:val="left"/>
        <w:rPr>
          <w:rFonts w:ascii="微软雅黑" w:eastAsia="微软雅黑"/>
          <w:b/>
          <w:sz w:val="21"/>
        </w:rPr>
      </w:pPr>
      <w:r>
        <w:rPr>
          <w:rFonts w:ascii="微软雅黑" w:eastAsia="微软雅黑"/>
          <w:b/>
          <w:spacing w:val="-2"/>
          <w:sz w:val="21"/>
        </w:rPr>
        <w:t>严重阿尔茨</w:t>
      </w:r>
      <w:r>
        <w:rPr>
          <w:rFonts w:ascii="微软雅黑" w:eastAsia="微软雅黑"/>
          <w:b/>
          <w:spacing w:val="-4"/>
          <w:sz w:val="21"/>
        </w:rPr>
        <w:t>海默病</w:t>
      </w:r>
    </w:p>
    <w:p>
      <w:pPr>
        <w:pStyle w:val="BodyText"/>
        <w:spacing w:line="278" w:lineRule="auto" w:before="75"/>
        <w:ind w:left="214" w:right="252"/>
      </w:pPr>
      <w:r>
        <w:rPr/>
        <w:br w:type="column"/>
      </w:r>
      <w:r>
        <w:rPr>
          <w:spacing w:val="-3"/>
          <w:w w:val="100"/>
        </w:rPr>
        <w:t>指因大脑进行性、不可逆性改变导致智能严重衰退或丧失，临床表现为严重的认知功能障碍、精神行为异常和社交能力减退等，其日常生活必须持续受到他人监</w:t>
      </w:r>
      <w:r>
        <w:rPr>
          <w:spacing w:val="-10"/>
          <w:w w:val="100"/>
        </w:rPr>
        <w:t>护。须由头颅断层扫描</w:t>
      </w:r>
      <w:r>
        <w:rPr>
          <w:w w:val="100"/>
        </w:rPr>
        <w:t>（</w:t>
      </w:r>
      <w:r>
        <w:rPr>
          <w:spacing w:val="-3"/>
          <w:w w:val="100"/>
        </w:rPr>
        <w:t>C</w:t>
      </w:r>
      <w:r>
        <w:rPr>
          <w:w w:val="100"/>
        </w:rPr>
        <w:t>T</w:t>
      </w:r>
      <w:r>
        <w:rPr>
          <w:spacing w:val="-106"/>
          <w:w w:val="100"/>
        </w:rPr>
        <w:t>）</w:t>
      </w:r>
      <w:r>
        <w:rPr>
          <w:spacing w:val="-11"/>
          <w:w w:val="100"/>
        </w:rPr>
        <w:t>、核磁共振检查</w:t>
      </w:r>
      <w:r>
        <w:rPr>
          <w:w w:val="100"/>
        </w:rPr>
        <w:t>（</w:t>
      </w:r>
      <w:r>
        <w:rPr>
          <w:spacing w:val="-3"/>
          <w:w w:val="100"/>
        </w:rPr>
        <w:t>M</w:t>
      </w:r>
      <w:r>
        <w:rPr>
          <w:w w:val="100"/>
        </w:rPr>
        <w:t>R</w:t>
      </w:r>
      <w:r>
        <w:rPr>
          <w:spacing w:val="-3"/>
          <w:w w:val="100"/>
        </w:rPr>
        <w:t>I</w:t>
      </w:r>
      <w:r>
        <w:rPr>
          <w:spacing w:val="-32"/>
          <w:w w:val="100"/>
        </w:rPr>
        <w:t>）</w:t>
      </w:r>
      <w:r>
        <w:rPr>
          <w:spacing w:val="-6"/>
          <w:w w:val="100"/>
        </w:rPr>
        <w:t>或正电子发射断层扫描</w:t>
      </w:r>
      <w:r>
        <w:rPr>
          <w:w w:val="100"/>
        </w:rPr>
        <w:t>（</w:t>
      </w:r>
      <w:r>
        <w:rPr>
          <w:spacing w:val="-3"/>
          <w:w w:val="100"/>
        </w:rPr>
        <w:t>P</w:t>
      </w:r>
      <w:r>
        <w:rPr>
          <w:w w:val="100"/>
        </w:rPr>
        <w:t>E</w:t>
      </w:r>
      <w:r>
        <w:rPr>
          <w:spacing w:val="-1"/>
          <w:w w:val="100"/>
        </w:rPr>
        <w:t>T</w:t>
      </w:r>
      <w:r>
        <w:rPr>
          <w:w w:val="100"/>
        </w:rPr>
        <w:t>）</w:t>
      </w:r>
      <w:r>
        <w:rPr>
          <w:spacing w:val="-3"/>
          <w:w w:val="100"/>
        </w:rPr>
        <w:t>等影像学检查证实，并经相关专科医生确诊，且须满足下列至少一项条件：</w:t>
      </w:r>
    </w:p>
    <w:p>
      <w:pPr>
        <w:pStyle w:val="ListParagraph"/>
        <w:numPr>
          <w:ilvl w:val="0"/>
          <w:numId w:val="58"/>
        </w:numPr>
        <w:tabs>
          <w:tab w:pos="744" w:val="left" w:leader="none"/>
        </w:tabs>
        <w:spacing w:line="278" w:lineRule="auto" w:before="0" w:after="0"/>
        <w:ind w:left="214" w:right="358" w:firstLine="0"/>
        <w:jc w:val="left"/>
        <w:rPr>
          <w:sz w:val="21"/>
        </w:rPr>
      </w:pPr>
      <w:r>
        <w:rPr>
          <w:spacing w:val="-6"/>
          <w:sz w:val="21"/>
        </w:rPr>
        <w:t>由具有评估资格的专科医生根据临床痴呆评定量表</w:t>
      </w:r>
      <w:r>
        <w:rPr>
          <w:spacing w:val="-2"/>
          <w:sz w:val="21"/>
        </w:rPr>
        <w:t>（CDR，Clinical </w:t>
      </w:r>
      <w:r>
        <w:rPr>
          <w:sz w:val="21"/>
        </w:rPr>
        <w:t>Dementia Rating）评估结果为3分；</w:t>
      </w:r>
    </w:p>
    <w:p>
      <w:pPr>
        <w:pStyle w:val="ListParagraph"/>
        <w:numPr>
          <w:ilvl w:val="0"/>
          <w:numId w:val="58"/>
        </w:numPr>
        <w:tabs>
          <w:tab w:pos="744" w:val="left" w:leader="none"/>
        </w:tabs>
        <w:spacing w:line="278" w:lineRule="auto" w:before="0" w:after="0"/>
        <w:ind w:left="214" w:right="355" w:firstLine="0"/>
        <w:jc w:val="left"/>
        <w:rPr>
          <w:sz w:val="21"/>
        </w:rPr>
      </w:pPr>
      <w:r>
        <w:rPr>
          <w:spacing w:val="-6"/>
          <w:w w:val="100"/>
          <w:sz w:val="21"/>
        </w:rPr>
        <w:t>自主生活能力完全丧失，无法独立完成六项基本日常生活活动中的三项或</w:t>
      </w:r>
      <w:r>
        <w:rPr>
          <w:spacing w:val="-5"/>
          <w:w w:val="100"/>
          <w:sz w:val="21"/>
        </w:rPr>
        <w:t>三项以上。</w:t>
      </w:r>
    </w:p>
    <w:p>
      <w:pPr>
        <w:spacing w:line="320" w:lineRule="exact" w:before="0"/>
        <w:ind w:left="214" w:right="0" w:firstLine="0"/>
        <w:jc w:val="left"/>
        <w:rPr>
          <w:rFonts w:ascii="微软雅黑" w:eastAsia="微软雅黑"/>
          <w:b/>
          <w:sz w:val="21"/>
        </w:rPr>
      </w:pPr>
      <w:r>
        <w:rPr>
          <w:rFonts w:ascii="微软雅黑" w:eastAsia="微软雅黑"/>
          <w:b/>
          <w:spacing w:val="-3"/>
          <w:sz w:val="21"/>
        </w:rPr>
        <w:t>阿尔茨海默病之外的其他类型痴呆不在保障范围内。</w:t>
      </w:r>
    </w:p>
    <w:p>
      <w:pPr>
        <w:spacing w:after="0" w:line="320" w:lineRule="exact"/>
        <w:jc w:val="left"/>
        <w:rPr>
          <w:rFonts w:ascii="微软雅黑" w:eastAsia="微软雅黑"/>
          <w:sz w:val="21"/>
        </w:rPr>
        <w:sectPr>
          <w:pgSz w:w="11910" w:h="16840"/>
          <w:pgMar w:header="0" w:footer="458" w:top="1540" w:bottom="640" w:left="800" w:right="660"/>
          <w:cols w:num="2" w:equalWidth="0">
            <w:col w:w="2446" w:space="40"/>
            <w:col w:w="7964"/>
          </w:cols>
        </w:sectPr>
      </w:pPr>
    </w:p>
    <w:p>
      <w:pPr>
        <w:pStyle w:val="BodyText"/>
        <w:spacing w:before="10"/>
        <w:rPr>
          <w:rFonts w:ascii="微软雅黑"/>
          <w:b/>
          <w:sz w:val="12"/>
        </w:rPr>
      </w:pPr>
    </w:p>
    <w:p>
      <w:pPr>
        <w:pStyle w:val="ListParagraph"/>
        <w:numPr>
          <w:ilvl w:val="0"/>
          <w:numId w:val="50"/>
        </w:numPr>
        <w:tabs>
          <w:tab w:pos="1391" w:val="left" w:leader="none"/>
          <w:tab w:pos="2699" w:val="left" w:leader="none"/>
        </w:tabs>
        <w:spacing w:line="256" w:lineRule="auto" w:before="5" w:after="0"/>
        <w:ind w:left="2699" w:right="250" w:hanging="1628"/>
        <w:jc w:val="left"/>
        <w:rPr>
          <w:sz w:val="21"/>
        </w:rPr>
      </w:pPr>
      <w:r>
        <w:rPr>
          <w:rFonts w:ascii="微软雅黑" w:eastAsia="微软雅黑"/>
          <w:b/>
          <w:w w:val="100"/>
          <w:sz w:val="21"/>
        </w:rPr>
        <w:t>严重脑损伤</w:t>
      </w:r>
      <w:r>
        <w:rPr>
          <w:rFonts w:ascii="微软雅黑" w:eastAsia="微软雅黑"/>
          <w:b/>
          <w:sz w:val="21"/>
        </w:rPr>
        <w:tab/>
      </w:r>
      <w:r>
        <w:rPr>
          <w:w w:val="100"/>
          <w:sz w:val="21"/>
        </w:rPr>
        <w:t>指因</w:t>
      </w:r>
      <w:r>
        <w:rPr>
          <w:spacing w:val="-3"/>
          <w:w w:val="100"/>
          <w:sz w:val="21"/>
        </w:rPr>
        <w:t>头</w:t>
      </w:r>
      <w:r>
        <w:rPr>
          <w:w w:val="100"/>
          <w:sz w:val="21"/>
        </w:rPr>
        <w:t>部</w:t>
      </w:r>
      <w:r>
        <w:rPr>
          <w:spacing w:val="-3"/>
          <w:w w:val="100"/>
          <w:sz w:val="21"/>
        </w:rPr>
        <w:t>遭</w:t>
      </w:r>
      <w:r>
        <w:rPr>
          <w:w w:val="100"/>
          <w:sz w:val="21"/>
        </w:rPr>
        <w:t>受</w:t>
      </w:r>
      <w:r>
        <w:rPr>
          <w:spacing w:val="-3"/>
          <w:w w:val="100"/>
          <w:sz w:val="21"/>
        </w:rPr>
        <w:t>机</w:t>
      </w:r>
      <w:r>
        <w:rPr>
          <w:w w:val="100"/>
          <w:sz w:val="21"/>
        </w:rPr>
        <w:t>械</w:t>
      </w:r>
      <w:r>
        <w:rPr>
          <w:spacing w:val="-3"/>
          <w:w w:val="100"/>
          <w:sz w:val="21"/>
        </w:rPr>
        <w:t>性</w:t>
      </w:r>
      <w:r>
        <w:rPr>
          <w:w w:val="100"/>
          <w:sz w:val="21"/>
        </w:rPr>
        <w:t>外</w:t>
      </w:r>
      <w:r>
        <w:rPr>
          <w:spacing w:val="-3"/>
          <w:w w:val="100"/>
          <w:sz w:val="21"/>
        </w:rPr>
        <w:t>力</w:t>
      </w:r>
      <w:r>
        <w:rPr>
          <w:w w:val="100"/>
          <w:sz w:val="21"/>
        </w:rPr>
        <w:t>，引</w:t>
      </w:r>
      <w:r>
        <w:rPr>
          <w:spacing w:val="-3"/>
          <w:w w:val="100"/>
          <w:sz w:val="21"/>
        </w:rPr>
        <w:t>起</w:t>
      </w:r>
      <w:r>
        <w:rPr>
          <w:w w:val="100"/>
          <w:sz w:val="21"/>
        </w:rPr>
        <w:t>脑</w:t>
      </w:r>
      <w:r>
        <w:rPr>
          <w:spacing w:val="-3"/>
          <w:w w:val="100"/>
          <w:sz w:val="21"/>
        </w:rPr>
        <w:t>重</w:t>
      </w:r>
      <w:r>
        <w:rPr>
          <w:w w:val="100"/>
          <w:sz w:val="21"/>
        </w:rPr>
        <w:t>要</w:t>
      </w:r>
      <w:r>
        <w:rPr>
          <w:spacing w:val="-3"/>
          <w:w w:val="100"/>
          <w:sz w:val="21"/>
        </w:rPr>
        <w:t>部</w:t>
      </w:r>
      <w:r>
        <w:rPr>
          <w:w w:val="100"/>
          <w:sz w:val="21"/>
        </w:rPr>
        <w:t>位</w:t>
      </w:r>
      <w:r>
        <w:rPr>
          <w:spacing w:val="-3"/>
          <w:w w:val="100"/>
          <w:sz w:val="21"/>
        </w:rPr>
        <w:t>损</w:t>
      </w:r>
      <w:r>
        <w:rPr>
          <w:w w:val="100"/>
          <w:sz w:val="21"/>
        </w:rPr>
        <w:t>伤</w:t>
      </w:r>
      <w:r>
        <w:rPr>
          <w:spacing w:val="-3"/>
          <w:w w:val="100"/>
          <w:sz w:val="21"/>
        </w:rPr>
        <w:t>，</w:t>
      </w:r>
      <w:r>
        <w:rPr>
          <w:w w:val="100"/>
          <w:sz w:val="21"/>
        </w:rPr>
        <w:t>导致</w:t>
      </w:r>
      <w:r>
        <w:rPr>
          <w:spacing w:val="-3"/>
          <w:w w:val="100"/>
          <w:sz w:val="21"/>
        </w:rPr>
        <w:t>神</w:t>
      </w:r>
      <w:r>
        <w:rPr>
          <w:w w:val="100"/>
          <w:sz w:val="21"/>
        </w:rPr>
        <w:t>经</w:t>
      </w:r>
      <w:r>
        <w:rPr>
          <w:spacing w:val="-3"/>
          <w:w w:val="100"/>
          <w:sz w:val="21"/>
        </w:rPr>
        <w:t>系</w:t>
      </w:r>
      <w:r>
        <w:rPr>
          <w:w w:val="100"/>
          <w:sz w:val="21"/>
        </w:rPr>
        <w:t>统</w:t>
      </w:r>
      <w:r>
        <w:rPr>
          <w:spacing w:val="-3"/>
          <w:w w:val="100"/>
          <w:sz w:val="21"/>
        </w:rPr>
        <w:t>永</w:t>
      </w:r>
      <w:r>
        <w:rPr>
          <w:w w:val="100"/>
          <w:sz w:val="21"/>
        </w:rPr>
        <w:t>久</w:t>
      </w:r>
      <w:r>
        <w:rPr>
          <w:spacing w:val="-3"/>
          <w:w w:val="100"/>
          <w:sz w:val="21"/>
        </w:rPr>
        <w:t>性</w:t>
      </w:r>
      <w:r>
        <w:rPr>
          <w:w w:val="100"/>
          <w:sz w:val="21"/>
        </w:rPr>
        <w:t>的</w:t>
      </w:r>
      <w:r>
        <w:rPr>
          <w:spacing w:val="-3"/>
          <w:w w:val="100"/>
          <w:sz w:val="21"/>
        </w:rPr>
        <w:t>功</w:t>
      </w:r>
      <w:r>
        <w:rPr>
          <w:w w:val="100"/>
          <w:sz w:val="21"/>
        </w:rPr>
        <w:t>能障碍</w:t>
      </w:r>
      <w:r>
        <w:rPr>
          <w:spacing w:val="-41"/>
          <w:w w:val="100"/>
          <w:sz w:val="21"/>
        </w:rPr>
        <w:t>。</w:t>
      </w:r>
      <w:r>
        <w:rPr>
          <w:spacing w:val="-3"/>
          <w:w w:val="100"/>
          <w:sz w:val="21"/>
        </w:rPr>
        <w:t>须</w:t>
      </w:r>
      <w:r>
        <w:rPr>
          <w:w w:val="100"/>
          <w:sz w:val="21"/>
        </w:rPr>
        <w:t>由</w:t>
      </w:r>
      <w:r>
        <w:rPr>
          <w:spacing w:val="-3"/>
          <w:w w:val="100"/>
          <w:sz w:val="21"/>
        </w:rPr>
        <w:t>头</w:t>
      </w:r>
      <w:r>
        <w:rPr>
          <w:w w:val="100"/>
          <w:sz w:val="21"/>
        </w:rPr>
        <w:t>颅</w:t>
      </w:r>
      <w:r>
        <w:rPr>
          <w:spacing w:val="-3"/>
          <w:w w:val="100"/>
          <w:sz w:val="21"/>
        </w:rPr>
        <w:t>断</w:t>
      </w:r>
      <w:r>
        <w:rPr>
          <w:w w:val="100"/>
          <w:sz w:val="21"/>
        </w:rPr>
        <w:t>层</w:t>
      </w:r>
      <w:r>
        <w:rPr>
          <w:spacing w:val="-3"/>
          <w:w w:val="100"/>
          <w:sz w:val="21"/>
        </w:rPr>
        <w:t>扫</w:t>
      </w:r>
      <w:r>
        <w:rPr>
          <w:spacing w:val="-41"/>
          <w:w w:val="100"/>
          <w:sz w:val="21"/>
        </w:rPr>
        <w:t>描</w:t>
      </w:r>
      <w:r>
        <w:rPr>
          <w:w w:val="100"/>
          <w:sz w:val="21"/>
        </w:rPr>
        <w:t>（C</w:t>
      </w:r>
      <w:r>
        <w:rPr>
          <w:spacing w:val="-3"/>
          <w:w w:val="100"/>
          <w:sz w:val="21"/>
        </w:rPr>
        <w:t>T</w:t>
      </w:r>
      <w:r>
        <w:rPr>
          <w:spacing w:val="-41"/>
          <w:w w:val="100"/>
          <w:sz w:val="21"/>
        </w:rPr>
        <w:t>）、</w:t>
      </w:r>
      <w:r>
        <w:rPr>
          <w:w w:val="100"/>
          <w:sz w:val="21"/>
        </w:rPr>
        <w:t>核</w:t>
      </w:r>
      <w:r>
        <w:rPr>
          <w:spacing w:val="-3"/>
          <w:w w:val="100"/>
          <w:sz w:val="21"/>
        </w:rPr>
        <w:t>磁</w:t>
      </w:r>
      <w:r>
        <w:rPr>
          <w:w w:val="100"/>
          <w:sz w:val="21"/>
        </w:rPr>
        <w:t>共</w:t>
      </w:r>
      <w:r>
        <w:rPr>
          <w:spacing w:val="-3"/>
          <w:w w:val="100"/>
          <w:sz w:val="21"/>
        </w:rPr>
        <w:t>振</w:t>
      </w:r>
      <w:r>
        <w:rPr>
          <w:w w:val="100"/>
          <w:sz w:val="21"/>
        </w:rPr>
        <w:t>检</w:t>
      </w:r>
      <w:r>
        <w:rPr>
          <w:spacing w:val="-44"/>
          <w:w w:val="100"/>
          <w:sz w:val="21"/>
        </w:rPr>
        <w:t>查</w:t>
      </w:r>
      <w:r>
        <w:rPr>
          <w:w w:val="100"/>
          <w:sz w:val="21"/>
        </w:rPr>
        <w:t>（MR</w:t>
      </w:r>
      <w:r>
        <w:rPr>
          <w:spacing w:val="-3"/>
          <w:w w:val="100"/>
          <w:sz w:val="21"/>
        </w:rPr>
        <w:t>I</w:t>
      </w:r>
      <w:r>
        <w:rPr>
          <w:spacing w:val="-44"/>
          <w:w w:val="100"/>
          <w:sz w:val="21"/>
        </w:rPr>
        <w:t>）</w:t>
      </w:r>
      <w:r>
        <w:rPr>
          <w:w w:val="100"/>
          <w:sz w:val="21"/>
        </w:rPr>
        <w:t>或正</w:t>
      </w:r>
      <w:r>
        <w:rPr>
          <w:spacing w:val="-3"/>
          <w:w w:val="100"/>
          <w:sz w:val="21"/>
        </w:rPr>
        <w:t>电</w:t>
      </w:r>
      <w:r>
        <w:rPr>
          <w:w w:val="100"/>
          <w:sz w:val="21"/>
        </w:rPr>
        <w:t>子</w:t>
      </w:r>
      <w:r>
        <w:rPr>
          <w:spacing w:val="-3"/>
          <w:w w:val="100"/>
          <w:sz w:val="21"/>
        </w:rPr>
        <w:t>发</w:t>
      </w:r>
      <w:r>
        <w:rPr>
          <w:w w:val="100"/>
          <w:sz w:val="21"/>
        </w:rPr>
        <w:t>射</w:t>
      </w:r>
      <w:r>
        <w:rPr>
          <w:spacing w:val="-3"/>
          <w:w w:val="100"/>
          <w:sz w:val="21"/>
        </w:rPr>
        <w:t>断</w:t>
      </w:r>
      <w:r>
        <w:rPr>
          <w:w w:val="100"/>
          <w:sz w:val="21"/>
        </w:rPr>
        <w:t>层</w:t>
      </w:r>
      <w:r>
        <w:rPr>
          <w:spacing w:val="-3"/>
          <w:w w:val="100"/>
          <w:sz w:val="21"/>
        </w:rPr>
        <w:t>扫</w:t>
      </w:r>
      <w:r>
        <w:rPr>
          <w:spacing w:val="-41"/>
          <w:w w:val="100"/>
          <w:sz w:val="21"/>
        </w:rPr>
        <w:t>描</w:t>
      </w:r>
      <w:r>
        <w:rPr>
          <w:w w:val="100"/>
          <w:sz w:val="21"/>
        </w:rPr>
        <w:t>（</w:t>
      </w:r>
      <w:r>
        <w:rPr>
          <w:spacing w:val="-3"/>
          <w:w w:val="100"/>
          <w:sz w:val="21"/>
        </w:rPr>
        <w:t>P</w:t>
      </w:r>
      <w:r>
        <w:rPr>
          <w:w w:val="100"/>
          <w:sz w:val="21"/>
        </w:rPr>
        <w:t>E</w:t>
      </w:r>
      <w:r>
        <w:rPr>
          <w:spacing w:val="-1"/>
          <w:w w:val="100"/>
          <w:sz w:val="21"/>
        </w:rPr>
        <w:t>T</w:t>
      </w:r>
      <w:r>
        <w:rPr>
          <w:w w:val="100"/>
          <w:sz w:val="21"/>
        </w:rPr>
        <w:t>）等影</w:t>
      </w:r>
      <w:r>
        <w:rPr>
          <w:spacing w:val="-3"/>
          <w:w w:val="100"/>
          <w:sz w:val="21"/>
        </w:rPr>
        <w:t>像</w:t>
      </w:r>
      <w:r>
        <w:rPr>
          <w:w w:val="100"/>
          <w:sz w:val="21"/>
        </w:rPr>
        <w:t>学</w:t>
      </w:r>
      <w:r>
        <w:rPr>
          <w:spacing w:val="-3"/>
          <w:w w:val="100"/>
          <w:sz w:val="21"/>
        </w:rPr>
        <w:t>检</w:t>
      </w:r>
      <w:r>
        <w:rPr>
          <w:w w:val="100"/>
          <w:sz w:val="21"/>
        </w:rPr>
        <w:t>查</w:t>
      </w:r>
      <w:r>
        <w:rPr>
          <w:spacing w:val="-3"/>
          <w:w w:val="100"/>
          <w:sz w:val="21"/>
        </w:rPr>
        <w:t>证</w:t>
      </w:r>
      <w:r>
        <w:rPr>
          <w:w w:val="100"/>
          <w:sz w:val="21"/>
        </w:rPr>
        <w:t>实</w:t>
      </w:r>
      <w:r>
        <w:rPr>
          <w:spacing w:val="-3"/>
          <w:w w:val="100"/>
          <w:sz w:val="21"/>
        </w:rPr>
        <w:t>。</w:t>
      </w:r>
      <w:r>
        <w:rPr>
          <w:w w:val="100"/>
          <w:sz w:val="21"/>
        </w:rPr>
        <w:t>神</w:t>
      </w:r>
      <w:r>
        <w:rPr>
          <w:spacing w:val="-3"/>
          <w:w w:val="100"/>
          <w:sz w:val="21"/>
        </w:rPr>
        <w:t>经</w:t>
      </w:r>
      <w:r>
        <w:rPr>
          <w:w w:val="100"/>
          <w:sz w:val="21"/>
        </w:rPr>
        <w:t>系统</w:t>
      </w:r>
      <w:r>
        <w:rPr>
          <w:spacing w:val="-3"/>
          <w:w w:val="100"/>
          <w:sz w:val="21"/>
        </w:rPr>
        <w:t>永</w:t>
      </w:r>
      <w:r>
        <w:rPr>
          <w:w w:val="100"/>
          <w:sz w:val="21"/>
        </w:rPr>
        <w:t>久</w:t>
      </w:r>
      <w:r>
        <w:rPr>
          <w:spacing w:val="-3"/>
          <w:w w:val="100"/>
          <w:sz w:val="21"/>
        </w:rPr>
        <w:t>性</w:t>
      </w:r>
      <w:r>
        <w:rPr>
          <w:w w:val="100"/>
          <w:sz w:val="21"/>
        </w:rPr>
        <w:t>的</w:t>
      </w:r>
      <w:r>
        <w:rPr>
          <w:spacing w:val="-3"/>
          <w:w w:val="100"/>
          <w:sz w:val="21"/>
        </w:rPr>
        <w:t>功</w:t>
      </w:r>
      <w:r>
        <w:rPr>
          <w:w w:val="100"/>
          <w:sz w:val="21"/>
        </w:rPr>
        <w:t>能</w:t>
      </w:r>
      <w:r>
        <w:rPr>
          <w:spacing w:val="-3"/>
          <w:w w:val="100"/>
          <w:sz w:val="21"/>
        </w:rPr>
        <w:t>障</w:t>
      </w:r>
      <w:r>
        <w:rPr>
          <w:w w:val="100"/>
          <w:sz w:val="21"/>
        </w:rPr>
        <w:t>碍</w:t>
      </w:r>
      <w:r>
        <w:rPr>
          <w:spacing w:val="-3"/>
          <w:w w:val="100"/>
          <w:sz w:val="21"/>
        </w:rPr>
        <w:t>，</w:t>
      </w:r>
      <w:r>
        <w:rPr>
          <w:w w:val="100"/>
          <w:sz w:val="21"/>
        </w:rPr>
        <w:t>指脑</w:t>
      </w:r>
      <w:r>
        <w:rPr>
          <w:spacing w:val="-3"/>
          <w:w w:val="100"/>
          <w:sz w:val="21"/>
        </w:rPr>
        <w:t>损</w:t>
      </w:r>
      <w:r>
        <w:rPr>
          <w:w w:val="100"/>
          <w:sz w:val="21"/>
        </w:rPr>
        <w:t>伤</w:t>
      </w:r>
      <w:r>
        <w:rPr>
          <w:spacing w:val="-52"/>
          <w:sz w:val="21"/>
        </w:rPr>
        <w:t> </w:t>
      </w:r>
      <w:r>
        <w:rPr>
          <w:spacing w:val="-3"/>
          <w:w w:val="100"/>
          <w:sz w:val="21"/>
        </w:rPr>
        <w:t>1</w:t>
      </w:r>
      <w:r>
        <w:rPr>
          <w:w w:val="100"/>
          <w:sz w:val="21"/>
        </w:rPr>
        <w:t>80</w:t>
      </w:r>
      <w:r>
        <w:rPr>
          <w:spacing w:val="-53"/>
          <w:sz w:val="21"/>
        </w:rPr>
        <w:t> </w:t>
      </w:r>
      <w:r>
        <w:rPr>
          <w:spacing w:val="-3"/>
          <w:w w:val="100"/>
          <w:sz w:val="21"/>
        </w:rPr>
        <w:t>天</w:t>
      </w:r>
      <w:r>
        <w:rPr>
          <w:w w:val="100"/>
          <w:sz w:val="21"/>
        </w:rPr>
        <w:t>后</w:t>
      </w:r>
      <w:r>
        <w:rPr>
          <w:spacing w:val="-3"/>
          <w:w w:val="100"/>
          <w:sz w:val="21"/>
        </w:rPr>
        <w:t>，</w:t>
      </w:r>
      <w:r>
        <w:rPr>
          <w:w w:val="100"/>
          <w:sz w:val="21"/>
        </w:rPr>
        <w:t>仍</w:t>
      </w:r>
      <w:r>
        <w:rPr>
          <w:spacing w:val="-3"/>
          <w:w w:val="100"/>
          <w:sz w:val="21"/>
        </w:rPr>
        <w:t>遗</w:t>
      </w:r>
      <w:r>
        <w:rPr>
          <w:w w:val="100"/>
          <w:sz w:val="21"/>
        </w:rPr>
        <w:t>留下</w:t>
      </w:r>
    </w:p>
    <w:p>
      <w:pPr>
        <w:pStyle w:val="BodyText"/>
        <w:spacing w:before="14"/>
        <w:ind w:left="2699"/>
      </w:pPr>
      <w:r>
        <w:rPr>
          <w:spacing w:val="-4"/>
        </w:rPr>
        <w:t>列至少一种障碍：</w:t>
      </w:r>
    </w:p>
    <w:p>
      <w:pPr>
        <w:pStyle w:val="ListParagraph"/>
        <w:numPr>
          <w:ilvl w:val="0"/>
          <w:numId w:val="59"/>
        </w:numPr>
        <w:tabs>
          <w:tab w:pos="3230" w:val="left" w:leader="none"/>
        </w:tabs>
        <w:spacing w:line="240" w:lineRule="auto" w:before="43" w:after="0"/>
        <w:ind w:left="3229" w:right="0" w:hanging="531"/>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59"/>
        </w:numPr>
        <w:tabs>
          <w:tab w:pos="3230" w:val="left" w:leader="none"/>
        </w:tabs>
        <w:spacing w:line="240" w:lineRule="auto" w:before="43" w:after="0"/>
        <w:ind w:left="3229" w:right="0" w:hanging="531"/>
        <w:jc w:val="left"/>
        <w:rPr>
          <w:sz w:val="21"/>
        </w:rPr>
      </w:pPr>
      <w:r>
        <w:rPr>
          <w:spacing w:val="-3"/>
          <w:sz w:val="21"/>
        </w:rPr>
        <w:t>语言能力完全丧失，或严重咀嚼吞咽功能障碍；</w:t>
      </w:r>
    </w:p>
    <w:p>
      <w:pPr>
        <w:pStyle w:val="ListParagraph"/>
        <w:numPr>
          <w:ilvl w:val="0"/>
          <w:numId w:val="59"/>
        </w:numPr>
        <w:tabs>
          <w:tab w:pos="3230" w:val="left" w:leader="none"/>
        </w:tabs>
        <w:spacing w:line="278" w:lineRule="auto" w:before="43" w:after="0"/>
        <w:ind w:left="2699" w:right="353" w:firstLine="0"/>
        <w:jc w:val="left"/>
        <w:rPr>
          <w:sz w:val="21"/>
        </w:rPr>
      </w:pPr>
      <w:r>
        <w:rPr>
          <w:spacing w:val="-6"/>
          <w:w w:val="100"/>
          <w:sz w:val="21"/>
        </w:rPr>
        <w:t>自主生活能力完全丧失，无法独立完成六项基本日常生活活动中的三项或</w:t>
      </w:r>
      <w:r>
        <w:rPr>
          <w:spacing w:val="-5"/>
          <w:w w:val="100"/>
          <w:sz w:val="21"/>
        </w:rPr>
        <w:t>三项以上。</w:t>
      </w: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495" w:val="left" w:leader="none"/>
        </w:tabs>
        <w:spacing w:line="194" w:lineRule="auto" w:before="57" w:after="0"/>
        <w:ind w:left="1072" w:right="0" w:firstLine="0"/>
        <w:jc w:val="left"/>
        <w:rPr>
          <w:rFonts w:ascii="微软雅黑" w:eastAsia="微软雅黑"/>
          <w:b/>
          <w:sz w:val="21"/>
        </w:rPr>
      </w:pPr>
      <w:r>
        <w:rPr>
          <w:rFonts w:ascii="微软雅黑" w:eastAsia="微软雅黑"/>
          <w:b/>
          <w:spacing w:val="-4"/>
          <w:sz w:val="21"/>
        </w:rPr>
        <w:t>严重原发</w:t>
      </w:r>
      <w:r>
        <w:rPr>
          <w:rFonts w:ascii="微软雅黑" w:eastAsia="微软雅黑"/>
          <w:b/>
          <w:spacing w:val="-2"/>
          <w:sz w:val="21"/>
        </w:rPr>
        <w:t>性帕金森病</w:t>
      </w:r>
    </w:p>
    <w:p>
      <w:pPr>
        <w:pStyle w:val="BodyText"/>
        <w:spacing w:line="278" w:lineRule="auto" w:before="72"/>
        <w:ind w:left="319" w:right="387"/>
        <w:jc w:val="both"/>
      </w:pPr>
      <w:r>
        <w:rPr/>
        <w:br w:type="column"/>
      </w:r>
      <w:r>
        <w:rPr>
          <w:spacing w:val="-2"/>
        </w:rPr>
        <w:t>是一种中枢神经系统的退行性疾病，临床表现为运动迟缓、静止性震颤或肌强直</w:t>
      </w:r>
      <w:r>
        <w:rPr>
          <w:spacing w:val="-2"/>
        </w:rPr>
        <w:t>等，经相关专科医生确诊，且须满足自主生活能力完全丧失，无法独立完成六项</w:t>
      </w:r>
      <w:r>
        <w:rPr>
          <w:spacing w:val="-2"/>
        </w:rPr>
        <w:t>基本日常生活活动中的三项或三项以上。</w:t>
      </w:r>
    </w:p>
    <w:p>
      <w:pPr>
        <w:spacing w:line="320" w:lineRule="exact" w:before="0"/>
        <w:ind w:left="319" w:right="0" w:firstLine="0"/>
        <w:jc w:val="left"/>
        <w:rPr>
          <w:rFonts w:ascii="微软雅黑" w:eastAsia="微软雅黑"/>
          <w:b/>
          <w:sz w:val="21"/>
        </w:rPr>
      </w:pPr>
      <w:r>
        <w:rPr>
          <w:rFonts w:ascii="微软雅黑" w:eastAsia="微软雅黑"/>
          <w:b/>
          <w:spacing w:val="-3"/>
          <w:sz w:val="21"/>
        </w:rPr>
        <w:t>继发性帕金森综合征、帕金森叠加综合征不在保障范围内。</w:t>
      </w:r>
    </w:p>
    <w:p>
      <w:pPr>
        <w:spacing w:after="0" w:line="320" w:lineRule="exact"/>
        <w:jc w:val="left"/>
        <w:rPr>
          <w:rFonts w:ascii="微软雅黑" w:eastAsia="微软雅黑"/>
          <w:sz w:val="21"/>
        </w:rPr>
        <w:sectPr>
          <w:type w:val="continuous"/>
          <w:pgSz w:w="11910" w:h="16840"/>
          <w:pgMar w:header="0" w:footer="458" w:top="620" w:bottom="280" w:left="800" w:right="660"/>
          <w:cols w:num="2" w:equalWidth="0">
            <w:col w:w="2340" w:space="40"/>
            <w:col w:w="8070"/>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391" w:val="left" w:leader="none"/>
        </w:tabs>
        <w:spacing w:line="194" w:lineRule="auto" w:before="57" w:after="0"/>
        <w:ind w:left="1072" w:right="0" w:firstLine="0"/>
        <w:jc w:val="left"/>
        <w:rPr>
          <w:rFonts w:ascii="微软雅黑" w:hAnsi="微软雅黑" w:eastAsia="微软雅黑"/>
          <w:b/>
          <w:sz w:val="21"/>
        </w:rPr>
      </w:pPr>
      <w:r>
        <w:rPr>
          <w:rFonts w:ascii="微软雅黑" w:hAnsi="微软雅黑" w:eastAsia="微软雅黑"/>
          <w:b/>
          <w:spacing w:val="-2"/>
          <w:sz w:val="21"/>
        </w:rPr>
        <w:t>严重Ⅲ度烧</w:t>
      </w:r>
      <w:r>
        <w:rPr>
          <w:rFonts w:ascii="微软雅黑" w:hAnsi="微软雅黑" w:eastAsia="微软雅黑"/>
          <w:b/>
          <w:spacing w:val="-10"/>
          <w:sz w:val="21"/>
        </w:rPr>
        <w:t>伤</w:t>
      </w:r>
    </w:p>
    <w:p>
      <w:pPr>
        <w:pStyle w:val="BodyText"/>
        <w:spacing w:line="278" w:lineRule="auto" w:before="72"/>
        <w:ind w:left="214" w:right="353"/>
      </w:pPr>
      <w:r>
        <w:rPr/>
        <w:br w:type="column"/>
      </w:r>
      <w:r>
        <w:rPr>
          <w:spacing w:val="-4"/>
        </w:rPr>
        <w:t>指烧伤程度为Ⅲ度，且Ⅲ度烧伤的面积达到全身体表面积的 </w:t>
      </w:r>
      <w:r>
        <w:rPr>
          <w:spacing w:val="-2"/>
        </w:rPr>
        <w:t>20%</w:t>
      </w:r>
      <w:r>
        <w:rPr>
          <w:spacing w:val="-29"/>
        </w:rPr>
        <w:t>或 </w:t>
      </w:r>
      <w:r>
        <w:rPr>
          <w:spacing w:val="-2"/>
        </w:rPr>
        <w:t>20%以上。体表</w:t>
      </w:r>
      <w:r>
        <w:rPr>
          <w:spacing w:val="-2"/>
        </w:rPr>
        <w:t>面积根据《中国新九分法》计算。</w:t>
      </w:r>
    </w:p>
    <w:p>
      <w:pPr>
        <w:spacing w:after="0" w:line="278" w:lineRule="auto"/>
        <w:sectPr>
          <w:type w:val="continuous"/>
          <w:pgSz w:w="11910" w:h="16840"/>
          <w:pgMar w:header="0" w:footer="458" w:top="620" w:bottom="280" w:left="800" w:right="660"/>
          <w:cols w:num="2" w:equalWidth="0">
            <w:col w:w="2446" w:space="40"/>
            <w:col w:w="796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495" w:val="left" w:leader="none"/>
        </w:tabs>
        <w:spacing w:line="194" w:lineRule="auto" w:before="58" w:after="0"/>
        <w:ind w:left="1072" w:right="0" w:firstLine="0"/>
        <w:jc w:val="left"/>
        <w:rPr>
          <w:rFonts w:ascii="微软雅黑" w:eastAsia="微软雅黑"/>
          <w:b/>
          <w:sz w:val="21"/>
        </w:rPr>
      </w:pPr>
      <w:r>
        <w:rPr>
          <w:rFonts w:ascii="微软雅黑" w:eastAsia="微软雅黑"/>
          <w:b/>
          <w:spacing w:val="-4"/>
          <w:sz w:val="21"/>
        </w:rPr>
        <w:t>严重特发</w:t>
      </w:r>
      <w:r>
        <w:rPr>
          <w:rFonts w:ascii="微软雅黑" w:eastAsia="微软雅黑"/>
          <w:b/>
          <w:spacing w:val="-2"/>
          <w:sz w:val="21"/>
        </w:rPr>
        <w:t>性肺动脉高压</w:t>
      </w:r>
    </w:p>
    <w:p>
      <w:pPr>
        <w:pStyle w:val="BodyText"/>
        <w:spacing w:line="278" w:lineRule="auto" w:before="72"/>
        <w:ind w:left="319" w:right="355"/>
        <w:jc w:val="both"/>
      </w:pPr>
      <w:r>
        <w:rPr/>
        <w:br w:type="column"/>
      </w:r>
      <w:r>
        <w:rPr>
          <w:spacing w:val="-2"/>
        </w:rPr>
        <w:t>指不明原因的肺动脉压力持续性增高，进行性发展而导致的慢性疾病，已经造成</w:t>
      </w:r>
      <w:r>
        <w:rPr/>
        <w:t>永久不可逆性的体力活动能力受限，达到美国纽约心脏病学会（New York Heart </w:t>
      </w:r>
      <w:r>
        <w:rPr>
          <w:spacing w:val="-6"/>
        </w:rPr>
        <w:t>Association，NYHA）</w:t>
      </w:r>
      <w:r>
        <w:rPr>
          <w:spacing w:val="-10"/>
        </w:rPr>
        <w:t>心功能状态分级 </w:t>
      </w:r>
      <w:r>
        <w:rPr>
          <w:spacing w:val="-6"/>
        </w:rPr>
        <w:t>IV</w:t>
      </w:r>
      <w:r>
        <w:rPr>
          <w:spacing w:val="-19"/>
        </w:rPr>
        <w:t> 级，且静息状态下肺动脉平均压在 </w:t>
      </w:r>
      <w:r>
        <w:rPr>
          <w:spacing w:val="-6"/>
        </w:rPr>
        <w:t>36mmHg</w:t>
      </w:r>
    </w:p>
    <w:p>
      <w:pPr>
        <w:pStyle w:val="BodyText"/>
        <w:spacing w:line="269" w:lineRule="exact" w:before="0"/>
        <w:ind w:left="319"/>
      </w:pPr>
      <w:r>
        <w:rPr>
          <w:spacing w:val="-2"/>
        </w:rPr>
        <w:t>（含）</w:t>
      </w:r>
      <w:r>
        <w:rPr>
          <w:spacing w:val="-5"/>
        </w:rPr>
        <w:t>以上。</w:t>
      </w:r>
    </w:p>
    <w:p>
      <w:pPr>
        <w:spacing w:after="0" w:line="269" w:lineRule="exact"/>
        <w:sectPr>
          <w:type w:val="continuous"/>
          <w:pgSz w:w="11910" w:h="16840"/>
          <w:pgMar w:header="0" w:footer="458" w:top="620" w:bottom="280" w:left="800" w:right="660"/>
          <w:cols w:num="2" w:equalWidth="0">
            <w:col w:w="2340" w:space="40"/>
            <w:col w:w="8070"/>
          </w:cols>
        </w:sectPr>
      </w:pPr>
    </w:p>
    <w:p>
      <w:pPr>
        <w:pStyle w:val="BodyText"/>
        <w:spacing w:before="2"/>
        <w:rPr>
          <w:sz w:val="22"/>
        </w:rPr>
      </w:pPr>
    </w:p>
    <w:p>
      <w:pPr>
        <w:spacing w:after="0"/>
        <w:rPr>
          <w:sz w:val="22"/>
        </w:rPr>
        <w:sectPr>
          <w:type w:val="continuous"/>
          <w:pgSz w:w="11910" w:h="16840"/>
          <w:pgMar w:header="0" w:footer="458" w:top="620" w:bottom="280" w:left="800" w:right="660"/>
        </w:sectPr>
      </w:pPr>
    </w:p>
    <w:p>
      <w:pPr>
        <w:pStyle w:val="ListParagraph"/>
        <w:numPr>
          <w:ilvl w:val="0"/>
          <w:numId w:val="50"/>
        </w:numPr>
        <w:tabs>
          <w:tab w:pos="1391"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严重运动神</w:t>
      </w:r>
      <w:r>
        <w:rPr>
          <w:rFonts w:ascii="微软雅黑" w:eastAsia="微软雅黑"/>
          <w:b/>
          <w:spacing w:val="-4"/>
          <w:sz w:val="21"/>
        </w:rPr>
        <w:t>经元病</w:t>
      </w:r>
    </w:p>
    <w:p>
      <w:pPr>
        <w:pStyle w:val="BodyText"/>
        <w:spacing w:line="278" w:lineRule="auto" w:before="71"/>
        <w:ind w:left="214" w:right="254"/>
      </w:pPr>
      <w:r>
        <w:rPr/>
        <w:br w:type="column"/>
      </w:r>
      <w:r>
        <w:rPr>
          <w:spacing w:val="-3"/>
          <w:w w:val="100"/>
        </w:rPr>
        <w:t>是一组中枢神经系统运动神经元的进行性变性疾病，包括进行性脊肌萎缩症、进</w:t>
      </w:r>
      <w:r>
        <w:rPr>
          <w:spacing w:val="-17"/>
          <w:w w:val="100"/>
        </w:rPr>
        <w:t>行性延髓麻痹症、原发性侧索硬化症、肌萎缩性侧索硬化症,经相关专科医生确诊，</w:t>
      </w:r>
      <w:r>
        <w:rPr>
          <w:spacing w:val="-7"/>
          <w:w w:val="100"/>
        </w:rPr>
        <w:t>且须满足下列至少一项条件：</w:t>
      </w:r>
    </w:p>
    <w:p>
      <w:pPr>
        <w:pStyle w:val="ListParagraph"/>
        <w:numPr>
          <w:ilvl w:val="0"/>
          <w:numId w:val="60"/>
        </w:numPr>
        <w:tabs>
          <w:tab w:pos="744" w:val="left" w:leader="none"/>
        </w:tabs>
        <w:spacing w:line="269" w:lineRule="exact" w:before="0" w:after="0"/>
        <w:ind w:left="744" w:right="0" w:hanging="530"/>
        <w:jc w:val="left"/>
        <w:rPr>
          <w:sz w:val="21"/>
        </w:rPr>
      </w:pPr>
      <w:r>
        <w:rPr>
          <w:spacing w:val="-3"/>
          <w:sz w:val="21"/>
        </w:rPr>
        <w:t>严重咀嚼吞咽功能障碍；</w:t>
      </w:r>
    </w:p>
    <w:p>
      <w:pPr>
        <w:pStyle w:val="ListParagraph"/>
        <w:numPr>
          <w:ilvl w:val="0"/>
          <w:numId w:val="60"/>
        </w:numPr>
        <w:tabs>
          <w:tab w:pos="744" w:val="left" w:leader="none"/>
        </w:tabs>
        <w:spacing w:line="240" w:lineRule="auto" w:before="44" w:after="0"/>
        <w:ind w:left="744" w:right="0" w:hanging="530"/>
        <w:jc w:val="left"/>
        <w:rPr>
          <w:sz w:val="21"/>
        </w:rPr>
      </w:pPr>
      <w:r>
        <w:rPr>
          <w:spacing w:val="-4"/>
          <w:sz w:val="21"/>
        </w:rPr>
        <w:t>呼吸肌麻痹导致严重呼吸困难，且已经持续使用呼吸机 </w:t>
      </w:r>
      <w:r>
        <w:rPr>
          <w:spacing w:val="-2"/>
          <w:sz w:val="21"/>
        </w:rPr>
        <w:t>7</w:t>
      </w:r>
      <w:r>
        <w:rPr>
          <w:spacing w:val="-24"/>
          <w:sz w:val="21"/>
        </w:rPr>
        <w:t> 天</w:t>
      </w:r>
      <w:r>
        <w:rPr>
          <w:spacing w:val="-2"/>
          <w:sz w:val="21"/>
        </w:rPr>
        <w:t>（含）</w:t>
      </w:r>
      <w:r>
        <w:rPr>
          <w:spacing w:val="-5"/>
          <w:sz w:val="21"/>
        </w:rPr>
        <w:t>以上；</w:t>
      </w:r>
    </w:p>
    <w:p>
      <w:pPr>
        <w:pStyle w:val="ListParagraph"/>
        <w:numPr>
          <w:ilvl w:val="0"/>
          <w:numId w:val="60"/>
        </w:numPr>
        <w:tabs>
          <w:tab w:pos="744" w:val="left" w:leader="none"/>
        </w:tabs>
        <w:spacing w:line="278" w:lineRule="auto" w:before="43" w:after="0"/>
        <w:ind w:left="214" w:right="353" w:firstLine="0"/>
        <w:jc w:val="left"/>
        <w:rPr>
          <w:sz w:val="21"/>
        </w:rPr>
      </w:pPr>
      <w:r>
        <w:rPr>
          <w:spacing w:val="-6"/>
          <w:w w:val="100"/>
          <w:sz w:val="21"/>
        </w:rPr>
        <w:t>自主生活能力完全丧失，无法独立完成六项基本日常生活活动中的三项或</w:t>
      </w:r>
      <w:r>
        <w:rPr>
          <w:spacing w:val="-5"/>
          <w:w w:val="100"/>
          <w:sz w:val="21"/>
        </w:rPr>
        <w:t>三项以上。</w:t>
      </w:r>
    </w:p>
    <w:p>
      <w:pPr>
        <w:spacing w:after="0" w:line="278" w:lineRule="auto"/>
        <w:jc w:val="left"/>
        <w:rPr>
          <w:sz w:val="21"/>
        </w:rPr>
        <w:sectPr>
          <w:type w:val="continuous"/>
          <w:pgSz w:w="11910" w:h="16840"/>
          <w:pgMar w:header="0" w:footer="458" w:top="620" w:bottom="280" w:left="800" w:right="660"/>
          <w:cols w:num="2" w:equalWidth="0">
            <w:col w:w="2446" w:space="40"/>
            <w:col w:w="796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391"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语言能力丧</w:t>
      </w:r>
      <w:r>
        <w:rPr>
          <w:rFonts w:ascii="微软雅黑" w:eastAsia="微软雅黑"/>
          <w:b/>
          <w:spacing w:val="-10"/>
          <w:sz w:val="21"/>
        </w:rPr>
        <w:t>失</w:t>
      </w:r>
    </w:p>
    <w:p>
      <w:pPr>
        <w:pStyle w:val="BodyText"/>
        <w:spacing w:line="278" w:lineRule="auto" w:before="72"/>
        <w:ind w:left="214" w:right="387"/>
      </w:pPr>
      <w:r>
        <w:rPr/>
        <w:br w:type="column"/>
      </w:r>
      <w:r>
        <w:rPr>
          <w:spacing w:val="-2"/>
        </w:rPr>
        <w:t>指因疾病或意外伤害导致语言能力完全丧失，经过积极治疗至少12个月（声带完</w:t>
      </w:r>
      <w:r>
        <w:rPr>
          <w:spacing w:val="-2"/>
        </w:rPr>
        <w:t>全切除不受此时间限制），仍无法通过现有医疗手段恢复。</w:t>
      </w:r>
    </w:p>
    <w:p>
      <w:pPr>
        <w:spacing w:line="282" w:lineRule="exact" w:before="0"/>
        <w:ind w:left="214" w:right="0" w:firstLine="0"/>
        <w:jc w:val="left"/>
        <w:rPr>
          <w:rFonts w:ascii="微软雅黑" w:eastAsia="微软雅黑"/>
          <w:b/>
          <w:sz w:val="21"/>
        </w:rPr>
      </w:pPr>
      <w:r>
        <w:rPr>
          <w:rFonts w:ascii="微软雅黑" w:eastAsia="微软雅黑"/>
          <w:b/>
          <w:spacing w:val="-3"/>
          <w:sz w:val="21"/>
        </w:rPr>
        <w:t>精神心理因素所致的语言能力丧失不在本保障范围内。</w:t>
      </w:r>
    </w:p>
    <w:p>
      <w:pPr>
        <w:spacing w:line="194" w:lineRule="auto" w:before="15"/>
        <w:ind w:left="214" w:right="361" w:firstLine="0"/>
        <w:jc w:val="left"/>
        <w:rPr>
          <w:rFonts w:ascii="微软雅黑" w:eastAsia="微软雅黑"/>
          <w:b/>
          <w:sz w:val="21"/>
        </w:rPr>
      </w:pPr>
      <w:r>
        <w:rPr>
          <w:rFonts w:ascii="微软雅黑" w:eastAsia="微软雅黑"/>
          <w:b/>
          <w:spacing w:val="-2"/>
          <w:sz w:val="21"/>
        </w:rPr>
        <w:t>本合同仅对3</w:t>
      </w:r>
      <w:r>
        <w:rPr>
          <w:rFonts w:ascii="微软雅黑" w:eastAsia="微软雅黑"/>
          <w:b/>
          <w:spacing w:val="-10"/>
          <w:sz w:val="21"/>
        </w:rPr>
        <w:t>周岁以上的被保险人予以理赔。先天性失聪导致的语言能力丧失不在</w:t>
      </w:r>
      <w:r>
        <w:rPr>
          <w:rFonts w:ascii="微软雅黑" w:eastAsia="微软雅黑"/>
          <w:b/>
          <w:spacing w:val="-2"/>
          <w:sz w:val="21"/>
        </w:rPr>
        <w:t>本保障范围内。</w:t>
      </w:r>
    </w:p>
    <w:p>
      <w:pPr>
        <w:spacing w:after="0" w:line="194" w:lineRule="auto"/>
        <w:jc w:val="left"/>
        <w:rPr>
          <w:rFonts w:ascii="微软雅黑" w:eastAsia="微软雅黑"/>
          <w:sz w:val="21"/>
        </w:rPr>
        <w:sectPr>
          <w:type w:val="continuous"/>
          <w:pgSz w:w="11910" w:h="16840"/>
          <w:pgMar w:header="0" w:footer="458" w:top="620" w:bottom="280" w:left="800" w:right="660"/>
          <w:cols w:num="2" w:equalWidth="0">
            <w:col w:w="2446" w:space="40"/>
            <w:col w:w="7964"/>
          </w:cols>
        </w:sectPr>
      </w:pPr>
    </w:p>
    <w:p>
      <w:pPr>
        <w:pStyle w:val="ListParagraph"/>
        <w:numPr>
          <w:ilvl w:val="0"/>
          <w:numId w:val="50"/>
        </w:numPr>
        <w:tabs>
          <w:tab w:pos="1391" w:val="left" w:leader="none"/>
        </w:tabs>
        <w:spacing w:line="194" w:lineRule="auto" w:before="40" w:after="0"/>
        <w:ind w:left="1072" w:right="0" w:firstLine="0"/>
        <w:jc w:val="left"/>
        <w:rPr>
          <w:rFonts w:ascii="微软雅黑" w:eastAsia="微软雅黑"/>
          <w:b/>
          <w:sz w:val="21"/>
        </w:rPr>
      </w:pPr>
      <w:r>
        <w:rPr>
          <w:rFonts w:ascii="微软雅黑" w:eastAsia="微软雅黑"/>
          <w:b/>
          <w:spacing w:val="-2"/>
          <w:sz w:val="21"/>
        </w:rPr>
        <w:t>重型再生障</w:t>
      </w:r>
      <w:r>
        <w:rPr>
          <w:rFonts w:ascii="微软雅黑" w:eastAsia="微软雅黑"/>
          <w:b/>
          <w:spacing w:val="-4"/>
          <w:sz w:val="21"/>
        </w:rPr>
        <w:t>碍性贫血</w:t>
      </w:r>
    </w:p>
    <w:p>
      <w:pPr>
        <w:pStyle w:val="BodyText"/>
        <w:spacing w:line="278" w:lineRule="auto" w:before="55"/>
        <w:ind w:left="214" w:right="281" w:firstLine="105"/>
      </w:pPr>
      <w:r>
        <w:rPr/>
        <w:br w:type="column"/>
      </w:r>
      <w:r>
        <w:rPr>
          <w:spacing w:val="-2"/>
        </w:rPr>
        <w:t>指因骨髓造血功能慢性持续性衰竭导致的贫血、中性粒细胞减少及血小板减少，</w:t>
      </w:r>
      <w:r>
        <w:rPr>
          <w:spacing w:val="-2"/>
        </w:rPr>
        <w:t>且须满足下列全部条件：</w:t>
      </w:r>
    </w:p>
    <w:p>
      <w:pPr>
        <w:pStyle w:val="ListParagraph"/>
        <w:numPr>
          <w:ilvl w:val="1"/>
          <w:numId w:val="60"/>
        </w:numPr>
        <w:tabs>
          <w:tab w:pos="850" w:val="left" w:leader="none"/>
        </w:tabs>
        <w:spacing w:line="278" w:lineRule="auto" w:before="0" w:after="0"/>
        <w:ind w:left="214" w:right="252" w:firstLine="105"/>
        <w:jc w:val="left"/>
        <w:rPr>
          <w:sz w:val="21"/>
        </w:rPr>
      </w:pPr>
      <w:r>
        <w:rPr>
          <w:spacing w:val="-4"/>
          <w:sz w:val="21"/>
        </w:rPr>
        <w:t>骨髓穿刺检查或骨髓活检结果支持诊断：骨髓细胞增生程度＜正常的 </w:t>
      </w:r>
      <w:r>
        <w:rPr>
          <w:spacing w:val="-2"/>
          <w:sz w:val="21"/>
        </w:rPr>
        <w:t>25%；</w:t>
      </w:r>
      <w:r>
        <w:rPr>
          <w:spacing w:val="-7"/>
          <w:sz w:val="21"/>
        </w:rPr>
        <w:t>如≥正常的 </w:t>
      </w:r>
      <w:r>
        <w:rPr>
          <w:sz w:val="21"/>
        </w:rPr>
        <w:t>25%但＜50%，则残存的造血细胞应＜30%；</w:t>
      </w:r>
    </w:p>
    <w:p>
      <w:pPr>
        <w:pStyle w:val="ListParagraph"/>
        <w:numPr>
          <w:ilvl w:val="1"/>
          <w:numId w:val="60"/>
        </w:numPr>
        <w:tabs>
          <w:tab w:pos="850" w:val="left" w:leader="none"/>
        </w:tabs>
        <w:spacing w:line="269" w:lineRule="exact" w:before="0" w:after="0"/>
        <w:ind w:left="849" w:right="0" w:hanging="531"/>
        <w:jc w:val="left"/>
        <w:rPr>
          <w:sz w:val="21"/>
        </w:rPr>
      </w:pPr>
      <w:r>
        <w:rPr>
          <w:spacing w:val="-3"/>
          <w:sz w:val="21"/>
        </w:rPr>
        <w:t>外周血象须具备以下三项条件中的两项：</w:t>
      </w:r>
    </w:p>
    <w:p>
      <w:pPr>
        <w:pStyle w:val="BodyText"/>
        <w:spacing w:before="33"/>
        <w:ind w:left="740"/>
      </w:pPr>
      <w:r>
        <w:rPr>
          <w:spacing w:val="-2"/>
        </w:rPr>
        <w:t>①中性粒细胞绝对值＜0.5×10</w:t>
      </w:r>
      <w:r>
        <w:rPr>
          <w:spacing w:val="-2"/>
          <w:position w:val="11"/>
          <w:sz w:val="11"/>
        </w:rPr>
        <w:t>9</w:t>
      </w:r>
      <w:r>
        <w:rPr>
          <w:spacing w:val="-2"/>
        </w:rPr>
        <w:t>/L；</w:t>
      </w:r>
    </w:p>
    <w:p>
      <w:pPr>
        <w:pStyle w:val="BodyText"/>
        <w:spacing w:before="33"/>
        <w:ind w:left="740"/>
      </w:pPr>
      <w:r>
        <w:rPr>
          <w:spacing w:val="-2"/>
        </w:rPr>
        <w:t>②网织红细胞计数＜20×10</w:t>
      </w:r>
      <w:r>
        <w:rPr>
          <w:spacing w:val="-2"/>
          <w:position w:val="11"/>
          <w:sz w:val="11"/>
        </w:rPr>
        <w:t>9</w:t>
      </w:r>
      <w:r>
        <w:rPr>
          <w:spacing w:val="-2"/>
        </w:rPr>
        <w:t>/L；</w:t>
      </w:r>
    </w:p>
    <w:p>
      <w:pPr>
        <w:pStyle w:val="BodyText"/>
        <w:spacing w:before="32"/>
        <w:ind w:left="740"/>
      </w:pPr>
      <w:r>
        <w:rPr>
          <w:spacing w:val="-2"/>
        </w:rPr>
        <w:t>③血小板绝对值＜20×10</w:t>
      </w:r>
      <w:r>
        <w:rPr>
          <w:spacing w:val="-2"/>
          <w:position w:val="11"/>
          <w:sz w:val="11"/>
        </w:rPr>
        <w:t>9</w:t>
      </w:r>
      <w:r>
        <w:rPr>
          <w:spacing w:val="-2"/>
        </w:rPr>
        <w:t>/L</w:t>
      </w:r>
      <w:r>
        <w:rPr>
          <w:spacing w:val="-10"/>
        </w:rPr>
        <w:t>。</w:t>
      </w:r>
    </w:p>
    <w:p>
      <w:pPr>
        <w:spacing w:after="0"/>
        <w:sectPr>
          <w:pgSz w:w="11910" w:h="16840"/>
          <w:pgMar w:header="0" w:footer="458" w:top="1560" w:bottom="640" w:left="800" w:right="660"/>
          <w:cols w:num="2" w:equalWidth="0">
            <w:col w:w="2446" w:space="40"/>
            <w:col w:w="7964"/>
          </w:cols>
        </w:sectPr>
      </w:pPr>
    </w:p>
    <w:p>
      <w:pPr>
        <w:pStyle w:val="BodyText"/>
        <w:spacing w:before="2"/>
        <w:rPr>
          <w:sz w:val="22"/>
        </w:rPr>
      </w:pPr>
    </w:p>
    <w:p>
      <w:pPr>
        <w:pStyle w:val="ListParagraph"/>
        <w:numPr>
          <w:ilvl w:val="0"/>
          <w:numId w:val="50"/>
        </w:numPr>
        <w:tabs>
          <w:tab w:pos="1391" w:val="left" w:leader="none"/>
          <w:tab w:pos="2699" w:val="left" w:leader="none"/>
        </w:tabs>
        <w:spacing w:line="256" w:lineRule="auto" w:before="4" w:after="0"/>
        <w:ind w:left="2699" w:right="251" w:hanging="1628"/>
        <w:jc w:val="left"/>
        <w:rPr>
          <w:sz w:val="21"/>
        </w:rPr>
      </w:pPr>
      <w:r>
        <w:rPr>
          <w:rFonts w:ascii="微软雅黑" w:eastAsia="微软雅黑"/>
          <w:b/>
          <w:w w:val="100"/>
          <w:sz w:val="21"/>
        </w:rPr>
        <w:t>主动脉手术</w:t>
      </w:r>
      <w:r>
        <w:rPr>
          <w:rFonts w:ascii="微软雅黑" w:eastAsia="微软雅黑"/>
          <w:b/>
          <w:sz w:val="21"/>
        </w:rPr>
        <w:tab/>
      </w:r>
      <w:r>
        <w:rPr>
          <w:w w:val="100"/>
          <w:sz w:val="21"/>
        </w:rPr>
        <w:t>指为</w:t>
      </w:r>
      <w:r>
        <w:rPr>
          <w:spacing w:val="-3"/>
          <w:w w:val="100"/>
          <w:sz w:val="21"/>
        </w:rPr>
        <w:t>治</w:t>
      </w:r>
      <w:r>
        <w:rPr>
          <w:w w:val="100"/>
          <w:sz w:val="21"/>
        </w:rPr>
        <w:t>疗</w:t>
      </w:r>
      <w:r>
        <w:rPr>
          <w:spacing w:val="-3"/>
          <w:w w:val="100"/>
          <w:sz w:val="21"/>
        </w:rPr>
        <w:t>主</w:t>
      </w:r>
      <w:r>
        <w:rPr>
          <w:w w:val="100"/>
          <w:sz w:val="21"/>
        </w:rPr>
        <w:t>动</w:t>
      </w:r>
      <w:r>
        <w:rPr>
          <w:spacing w:val="-3"/>
          <w:w w:val="100"/>
          <w:sz w:val="21"/>
        </w:rPr>
        <w:t>脉</w:t>
      </w:r>
      <w:r>
        <w:rPr>
          <w:w w:val="100"/>
          <w:sz w:val="21"/>
        </w:rPr>
        <w:t>疾</w:t>
      </w:r>
      <w:r>
        <w:rPr>
          <w:spacing w:val="-3"/>
          <w:w w:val="100"/>
          <w:sz w:val="21"/>
        </w:rPr>
        <w:t>病</w:t>
      </w:r>
      <w:r>
        <w:rPr>
          <w:w w:val="100"/>
          <w:sz w:val="21"/>
        </w:rPr>
        <w:t>或</w:t>
      </w:r>
      <w:r>
        <w:rPr>
          <w:spacing w:val="-3"/>
          <w:w w:val="100"/>
          <w:sz w:val="21"/>
        </w:rPr>
        <w:t>主</w:t>
      </w:r>
      <w:r>
        <w:rPr>
          <w:w w:val="100"/>
          <w:sz w:val="21"/>
        </w:rPr>
        <w:t>动脉</w:t>
      </w:r>
      <w:r>
        <w:rPr>
          <w:spacing w:val="-3"/>
          <w:w w:val="100"/>
          <w:sz w:val="21"/>
        </w:rPr>
        <w:t>创</w:t>
      </w:r>
      <w:r>
        <w:rPr>
          <w:w w:val="100"/>
          <w:sz w:val="21"/>
        </w:rPr>
        <w:t>伤</w:t>
      </w:r>
      <w:r>
        <w:rPr>
          <w:spacing w:val="-3"/>
          <w:w w:val="100"/>
          <w:sz w:val="21"/>
        </w:rPr>
        <w:t>，</w:t>
      </w:r>
      <w:r>
        <w:rPr>
          <w:w w:val="100"/>
          <w:sz w:val="21"/>
        </w:rPr>
        <w:t>已</w:t>
      </w:r>
      <w:r>
        <w:rPr>
          <w:spacing w:val="-3"/>
          <w:w w:val="100"/>
          <w:sz w:val="21"/>
        </w:rPr>
        <w:t>经</w:t>
      </w:r>
      <w:r>
        <w:rPr>
          <w:w w:val="100"/>
          <w:sz w:val="21"/>
        </w:rPr>
        <w:t>实</w:t>
      </w:r>
      <w:r>
        <w:rPr>
          <w:spacing w:val="-3"/>
          <w:w w:val="100"/>
          <w:sz w:val="21"/>
        </w:rPr>
        <w:t>施</w:t>
      </w:r>
      <w:r>
        <w:rPr>
          <w:w w:val="100"/>
          <w:sz w:val="21"/>
        </w:rPr>
        <w:t>了</w:t>
      </w:r>
      <w:r>
        <w:rPr>
          <w:spacing w:val="-3"/>
          <w:w w:val="100"/>
          <w:sz w:val="21"/>
        </w:rPr>
        <w:t>开</w:t>
      </w:r>
      <w:r>
        <w:rPr>
          <w:w w:val="100"/>
          <w:sz w:val="21"/>
        </w:rPr>
        <w:t>胸（</w:t>
      </w:r>
      <w:r>
        <w:rPr>
          <w:spacing w:val="-3"/>
          <w:w w:val="100"/>
          <w:sz w:val="21"/>
        </w:rPr>
        <w:t>含</w:t>
      </w:r>
      <w:r>
        <w:rPr>
          <w:w w:val="100"/>
          <w:sz w:val="21"/>
        </w:rPr>
        <w:t>胸</w:t>
      </w:r>
      <w:r>
        <w:rPr>
          <w:spacing w:val="-3"/>
          <w:w w:val="100"/>
          <w:sz w:val="21"/>
        </w:rPr>
        <w:t>腔</w:t>
      </w:r>
      <w:r>
        <w:rPr>
          <w:w w:val="100"/>
          <w:sz w:val="21"/>
        </w:rPr>
        <w:t>镜</w:t>
      </w:r>
      <w:r>
        <w:rPr>
          <w:spacing w:val="-3"/>
          <w:w w:val="100"/>
          <w:sz w:val="21"/>
        </w:rPr>
        <w:t>下</w:t>
      </w:r>
      <w:r>
        <w:rPr>
          <w:w w:val="100"/>
          <w:sz w:val="21"/>
        </w:rPr>
        <w:t>）</w:t>
      </w:r>
      <w:r>
        <w:rPr>
          <w:spacing w:val="-3"/>
          <w:w w:val="100"/>
          <w:sz w:val="21"/>
        </w:rPr>
        <w:t>或</w:t>
      </w:r>
      <w:r>
        <w:rPr>
          <w:w w:val="100"/>
          <w:sz w:val="21"/>
        </w:rPr>
        <w:t>开</w:t>
      </w:r>
      <w:r>
        <w:rPr>
          <w:spacing w:val="-3"/>
          <w:w w:val="100"/>
          <w:sz w:val="21"/>
        </w:rPr>
        <w:t>腹</w:t>
      </w:r>
      <w:r>
        <w:rPr>
          <w:w w:val="100"/>
          <w:sz w:val="21"/>
        </w:rPr>
        <w:t>（含腹腔</w:t>
      </w:r>
      <w:r>
        <w:rPr>
          <w:spacing w:val="-3"/>
          <w:w w:val="100"/>
          <w:sz w:val="21"/>
        </w:rPr>
        <w:t>镜</w:t>
      </w:r>
      <w:r>
        <w:rPr>
          <w:w w:val="100"/>
          <w:sz w:val="21"/>
        </w:rPr>
        <w:t>下</w:t>
      </w:r>
      <w:r>
        <w:rPr>
          <w:spacing w:val="-20"/>
          <w:w w:val="100"/>
          <w:sz w:val="21"/>
        </w:rPr>
        <w:t>）</w:t>
      </w:r>
      <w:r>
        <w:rPr>
          <w:spacing w:val="-3"/>
          <w:w w:val="100"/>
          <w:sz w:val="21"/>
        </w:rPr>
        <w:t>进</w:t>
      </w:r>
      <w:r>
        <w:rPr>
          <w:w w:val="100"/>
          <w:sz w:val="21"/>
        </w:rPr>
        <w:t>行</w:t>
      </w:r>
      <w:r>
        <w:rPr>
          <w:spacing w:val="-3"/>
          <w:w w:val="100"/>
          <w:sz w:val="21"/>
        </w:rPr>
        <w:t>的</w:t>
      </w:r>
      <w:r>
        <w:rPr>
          <w:w w:val="100"/>
          <w:sz w:val="21"/>
        </w:rPr>
        <w:t>切除</w:t>
      </w:r>
      <w:r>
        <w:rPr>
          <w:spacing w:val="-22"/>
          <w:w w:val="100"/>
          <w:sz w:val="21"/>
        </w:rPr>
        <w:t>、</w:t>
      </w:r>
      <w:r>
        <w:rPr>
          <w:w w:val="100"/>
          <w:sz w:val="21"/>
        </w:rPr>
        <w:t>置</w:t>
      </w:r>
      <w:r>
        <w:rPr>
          <w:spacing w:val="-3"/>
          <w:w w:val="100"/>
          <w:sz w:val="21"/>
        </w:rPr>
        <w:t>换</w:t>
      </w:r>
      <w:r>
        <w:rPr>
          <w:spacing w:val="-17"/>
          <w:w w:val="100"/>
          <w:sz w:val="21"/>
        </w:rPr>
        <w:t>、</w:t>
      </w:r>
      <w:r>
        <w:rPr>
          <w:spacing w:val="-3"/>
          <w:w w:val="100"/>
          <w:sz w:val="21"/>
        </w:rPr>
        <w:t>修</w:t>
      </w:r>
      <w:r>
        <w:rPr>
          <w:w w:val="100"/>
          <w:sz w:val="21"/>
        </w:rPr>
        <w:t>补</w:t>
      </w:r>
      <w:r>
        <w:rPr>
          <w:spacing w:val="-3"/>
          <w:w w:val="100"/>
          <w:sz w:val="21"/>
        </w:rPr>
        <w:t>病</w:t>
      </w:r>
      <w:r>
        <w:rPr>
          <w:w w:val="100"/>
          <w:sz w:val="21"/>
        </w:rPr>
        <w:t>损</w:t>
      </w:r>
      <w:r>
        <w:rPr>
          <w:spacing w:val="-3"/>
          <w:w w:val="100"/>
          <w:sz w:val="21"/>
        </w:rPr>
        <w:t>主</w:t>
      </w:r>
      <w:r>
        <w:rPr>
          <w:w w:val="100"/>
          <w:sz w:val="21"/>
        </w:rPr>
        <w:t>动</w:t>
      </w:r>
      <w:r>
        <w:rPr>
          <w:spacing w:val="-3"/>
          <w:w w:val="100"/>
          <w:sz w:val="21"/>
        </w:rPr>
        <w:t>脉血</w:t>
      </w:r>
      <w:r>
        <w:rPr>
          <w:w w:val="100"/>
          <w:sz w:val="21"/>
        </w:rPr>
        <w:t>管</w:t>
      </w:r>
      <w:r>
        <w:rPr>
          <w:spacing w:val="-20"/>
          <w:w w:val="100"/>
          <w:sz w:val="21"/>
        </w:rPr>
        <w:t>、</w:t>
      </w:r>
      <w:r>
        <w:rPr>
          <w:w w:val="100"/>
          <w:sz w:val="21"/>
        </w:rPr>
        <w:t>主</w:t>
      </w:r>
      <w:r>
        <w:rPr>
          <w:spacing w:val="-3"/>
          <w:w w:val="100"/>
          <w:sz w:val="21"/>
        </w:rPr>
        <w:t>动</w:t>
      </w:r>
      <w:r>
        <w:rPr>
          <w:w w:val="100"/>
          <w:sz w:val="21"/>
        </w:rPr>
        <w:t>脉</w:t>
      </w:r>
      <w:r>
        <w:rPr>
          <w:spacing w:val="-3"/>
          <w:w w:val="100"/>
          <w:sz w:val="21"/>
        </w:rPr>
        <w:t>创</w:t>
      </w:r>
      <w:r>
        <w:rPr>
          <w:w w:val="100"/>
          <w:sz w:val="21"/>
        </w:rPr>
        <w:t>伤</w:t>
      </w:r>
      <w:r>
        <w:rPr>
          <w:spacing w:val="-3"/>
          <w:w w:val="100"/>
          <w:sz w:val="21"/>
        </w:rPr>
        <w:t>后</w:t>
      </w:r>
      <w:r>
        <w:rPr>
          <w:w w:val="100"/>
          <w:sz w:val="21"/>
        </w:rPr>
        <w:t>修</w:t>
      </w:r>
      <w:r>
        <w:rPr>
          <w:spacing w:val="-3"/>
          <w:w w:val="100"/>
          <w:sz w:val="21"/>
        </w:rPr>
        <w:t>复的</w:t>
      </w:r>
      <w:r>
        <w:rPr>
          <w:w w:val="100"/>
          <w:sz w:val="21"/>
        </w:rPr>
        <w:t>手术。主动</w:t>
      </w:r>
      <w:r>
        <w:rPr>
          <w:spacing w:val="-3"/>
          <w:w w:val="100"/>
          <w:sz w:val="21"/>
        </w:rPr>
        <w:t>脉</w:t>
      </w:r>
      <w:r>
        <w:rPr>
          <w:w w:val="100"/>
          <w:sz w:val="21"/>
        </w:rPr>
        <w:t>指</w:t>
      </w:r>
      <w:r>
        <w:rPr>
          <w:spacing w:val="-3"/>
          <w:w w:val="100"/>
          <w:sz w:val="21"/>
        </w:rPr>
        <w:t>升</w:t>
      </w:r>
      <w:r>
        <w:rPr>
          <w:w w:val="100"/>
          <w:sz w:val="21"/>
        </w:rPr>
        <w:t>主</w:t>
      </w:r>
      <w:r>
        <w:rPr>
          <w:spacing w:val="-3"/>
          <w:w w:val="100"/>
          <w:sz w:val="21"/>
        </w:rPr>
        <w:t>动</w:t>
      </w:r>
      <w:r>
        <w:rPr>
          <w:w w:val="100"/>
          <w:sz w:val="21"/>
        </w:rPr>
        <w:t>脉</w:t>
      </w:r>
      <w:r>
        <w:rPr>
          <w:spacing w:val="-3"/>
          <w:w w:val="100"/>
          <w:sz w:val="21"/>
        </w:rPr>
        <w:t>、</w:t>
      </w:r>
      <w:r>
        <w:rPr>
          <w:w w:val="100"/>
          <w:sz w:val="21"/>
        </w:rPr>
        <w:t>主</w:t>
      </w:r>
      <w:r>
        <w:rPr>
          <w:spacing w:val="-3"/>
          <w:w w:val="100"/>
          <w:sz w:val="21"/>
        </w:rPr>
        <w:t>动</w:t>
      </w:r>
      <w:r>
        <w:rPr>
          <w:w w:val="100"/>
          <w:sz w:val="21"/>
        </w:rPr>
        <w:t>脉弓</w:t>
      </w:r>
      <w:r>
        <w:rPr>
          <w:spacing w:val="-3"/>
          <w:w w:val="100"/>
          <w:sz w:val="21"/>
        </w:rPr>
        <w:t>和</w:t>
      </w:r>
      <w:r>
        <w:rPr>
          <w:w w:val="100"/>
          <w:sz w:val="21"/>
        </w:rPr>
        <w:t>降</w:t>
      </w:r>
      <w:r>
        <w:rPr>
          <w:spacing w:val="-3"/>
          <w:w w:val="100"/>
          <w:sz w:val="21"/>
        </w:rPr>
        <w:t>主</w:t>
      </w:r>
      <w:r>
        <w:rPr>
          <w:w w:val="100"/>
          <w:sz w:val="21"/>
        </w:rPr>
        <w:t>动</w:t>
      </w:r>
      <w:r>
        <w:rPr>
          <w:spacing w:val="-3"/>
          <w:w w:val="100"/>
          <w:sz w:val="21"/>
        </w:rPr>
        <w:t>脉</w:t>
      </w:r>
      <w:r>
        <w:rPr>
          <w:w w:val="100"/>
          <w:sz w:val="21"/>
        </w:rPr>
        <w:t>（</w:t>
      </w:r>
      <w:r>
        <w:rPr>
          <w:spacing w:val="-3"/>
          <w:w w:val="100"/>
          <w:sz w:val="21"/>
        </w:rPr>
        <w:t>含</w:t>
      </w:r>
      <w:r>
        <w:rPr>
          <w:w w:val="100"/>
          <w:sz w:val="21"/>
        </w:rPr>
        <w:t>胸</w:t>
      </w:r>
      <w:r>
        <w:rPr>
          <w:spacing w:val="-3"/>
          <w:w w:val="100"/>
          <w:sz w:val="21"/>
        </w:rPr>
        <w:t>主</w:t>
      </w:r>
      <w:r>
        <w:rPr>
          <w:w w:val="100"/>
          <w:sz w:val="21"/>
        </w:rPr>
        <w:t>动脉</w:t>
      </w:r>
      <w:r>
        <w:rPr>
          <w:spacing w:val="-3"/>
          <w:w w:val="100"/>
          <w:sz w:val="21"/>
        </w:rPr>
        <w:t>和</w:t>
      </w:r>
      <w:r>
        <w:rPr>
          <w:w w:val="100"/>
          <w:sz w:val="21"/>
        </w:rPr>
        <w:t>腹</w:t>
      </w:r>
      <w:r>
        <w:rPr>
          <w:spacing w:val="-3"/>
          <w:w w:val="100"/>
          <w:sz w:val="21"/>
        </w:rPr>
        <w:t>主</w:t>
      </w:r>
      <w:r>
        <w:rPr>
          <w:w w:val="100"/>
          <w:sz w:val="21"/>
        </w:rPr>
        <w:t>动</w:t>
      </w:r>
      <w:r>
        <w:rPr>
          <w:spacing w:val="-3"/>
          <w:w w:val="100"/>
          <w:sz w:val="21"/>
        </w:rPr>
        <w:t>脉</w:t>
      </w:r>
      <w:r>
        <w:rPr>
          <w:w w:val="100"/>
          <w:sz w:val="21"/>
        </w:rPr>
        <w:t>）</w:t>
      </w:r>
      <w:r>
        <w:rPr>
          <w:spacing w:val="-3"/>
          <w:w w:val="100"/>
          <w:sz w:val="21"/>
        </w:rPr>
        <w:t>，</w:t>
      </w:r>
      <w:r>
        <w:rPr>
          <w:w w:val="100"/>
          <w:sz w:val="21"/>
        </w:rPr>
        <w:t>不</w:t>
      </w:r>
      <w:r>
        <w:rPr>
          <w:spacing w:val="-3"/>
          <w:w w:val="100"/>
          <w:sz w:val="21"/>
        </w:rPr>
        <w:t>包</w:t>
      </w:r>
      <w:r>
        <w:rPr>
          <w:w w:val="100"/>
          <w:sz w:val="21"/>
        </w:rPr>
        <w:t>括升</w:t>
      </w:r>
    </w:p>
    <w:p>
      <w:pPr>
        <w:pStyle w:val="BodyText"/>
        <w:spacing w:line="257" w:lineRule="exact" w:before="14"/>
        <w:ind w:left="2699"/>
      </w:pPr>
      <w:r>
        <w:rPr>
          <w:spacing w:val="-3"/>
        </w:rPr>
        <w:t>主动脉、主动脉弓和降主动脉的分支血管。</w:t>
      </w:r>
    </w:p>
    <w:p>
      <w:pPr>
        <w:spacing w:line="375" w:lineRule="exact" w:before="0"/>
        <w:ind w:left="2699" w:right="0" w:firstLine="0"/>
        <w:jc w:val="left"/>
        <w:rPr>
          <w:rFonts w:ascii="微软雅黑" w:eastAsia="微软雅黑"/>
          <w:b/>
          <w:sz w:val="21"/>
        </w:rPr>
      </w:pPr>
      <w:r>
        <w:rPr>
          <w:rFonts w:ascii="微软雅黑" w:eastAsia="微软雅黑"/>
          <w:b/>
          <w:spacing w:val="-3"/>
          <w:sz w:val="21"/>
        </w:rPr>
        <w:t>所有未实施开胸或开腹的动脉内介入治疗不在保障范围内。</w:t>
      </w: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495" w:val="left" w:leader="none"/>
        </w:tabs>
        <w:spacing w:line="194" w:lineRule="auto" w:before="58" w:after="0"/>
        <w:ind w:left="1072" w:right="0" w:firstLine="0"/>
        <w:jc w:val="left"/>
        <w:rPr>
          <w:rFonts w:ascii="微软雅黑" w:eastAsia="微软雅黑"/>
          <w:b/>
          <w:sz w:val="21"/>
        </w:rPr>
      </w:pPr>
      <w:r>
        <w:rPr>
          <w:rFonts w:ascii="微软雅黑" w:eastAsia="微软雅黑"/>
          <w:b/>
          <w:spacing w:val="-4"/>
          <w:sz w:val="21"/>
        </w:rPr>
        <w:t>严重慢性</w:t>
      </w:r>
      <w:r>
        <w:rPr>
          <w:rFonts w:ascii="微软雅黑" w:eastAsia="微软雅黑"/>
          <w:b/>
          <w:spacing w:val="-4"/>
          <w:sz w:val="21"/>
        </w:rPr>
        <w:t>呼吸衰竭</w:t>
      </w:r>
    </w:p>
    <w:p>
      <w:pPr>
        <w:pStyle w:val="BodyText"/>
        <w:spacing w:line="278" w:lineRule="auto" w:before="72"/>
        <w:ind w:left="319" w:right="355"/>
      </w:pPr>
      <w:r>
        <w:rPr/>
        <w:br w:type="column"/>
      </w:r>
      <w:r>
        <w:rPr>
          <w:spacing w:val="-5"/>
        </w:rPr>
        <w:t>指因慢性呼吸系统疾病导致永久不可逆性的呼吸衰竭，经过积极治疗</w:t>
      </w:r>
      <w:r>
        <w:rPr>
          <w:spacing w:val="-2"/>
        </w:rPr>
        <w:t>180天后满足</w:t>
      </w:r>
      <w:r>
        <w:rPr>
          <w:spacing w:val="-2"/>
        </w:rPr>
        <w:t>以下所有条件：</w:t>
      </w:r>
    </w:p>
    <w:p>
      <w:pPr>
        <w:pStyle w:val="ListParagraph"/>
        <w:numPr>
          <w:ilvl w:val="0"/>
          <w:numId w:val="61"/>
        </w:numPr>
        <w:tabs>
          <w:tab w:pos="850" w:val="left" w:leader="none"/>
        </w:tabs>
        <w:spacing w:line="269" w:lineRule="exact" w:before="0" w:after="0"/>
        <w:ind w:left="849" w:right="0" w:hanging="531"/>
        <w:jc w:val="left"/>
        <w:rPr>
          <w:sz w:val="21"/>
        </w:rPr>
      </w:pPr>
      <w:r>
        <w:rPr>
          <w:spacing w:val="-3"/>
          <w:sz w:val="21"/>
        </w:rPr>
        <w:t>静息时出现呼吸困难；</w:t>
      </w:r>
    </w:p>
    <w:p>
      <w:pPr>
        <w:pStyle w:val="ListParagraph"/>
        <w:numPr>
          <w:ilvl w:val="0"/>
          <w:numId w:val="61"/>
        </w:numPr>
        <w:tabs>
          <w:tab w:pos="850" w:val="left" w:leader="none"/>
        </w:tabs>
        <w:spacing w:line="240" w:lineRule="auto" w:before="43" w:after="0"/>
        <w:ind w:left="849" w:right="0" w:hanging="531"/>
        <w:jc w:val="left"/>
        <w:rPr>
          <w:sz w:val="21"/>
        </w:rPr>
      </w:pPr>
      <w:r>
        <w:rPr>
          <w:spacing w:val="-2"/>
          <w:sz w:val="21"/>
        </w:rPr>
        <w:t>肺功能第一秒用力呼气容积（FEV1）占预计值的百分比＜30%；</w:t>
      </w:r>
    </w:p>
    <w:p>
      <w:pPr>
        <w:pStyle w:val="ListParagraph"/>
        <w:numPr>
          <w:ilvl w:val="0"/>
          <w:numId w:val="61"/>
        </w:numPr>
        <w:tabs>
          <w:tab w:pos="850" w:val="left" w:leader="none"/>
        </w:tabs>
        <w:spacing w:line="240" w:lineRule="auto" w:before="43" w:after="0"/>
        <w:ind w:left="849" w:right="0" w:hanging="531"/>
        <w:jc w:val="left"/>
        <w:rPr>
          <w:sz w:val="21"/>
        </w:rPr>
      </w:pPr>
      <w:r>
        <w:rPr>
          <w:spacing w:val="-2"/>
          <w:sz w:val="21"/>
        </w:rPr>
        <w:t>在静息状态、呼吸空气条件下，动脉血氧分压（PaO2）＜50mmHg</w:t>
      </w:r>
      <w:r>
        <w:rPr>
          <w:spacing w:val="-10"/>
          <w:sz w:val="21"/>
        </w:rPr>
        <w:t>。</w:t>
      </w:r>
    </w:p>
    <w:p>
      <w:pPr>
        <w:spacing w:after="0" w:line="240" w:lineRule="auto"/>
        <w:jc w:val="left"/>
        <w:rPr>
          <w:sz w:val="21"/>
        </w:rPr>
        <w:sectPr>
          <w:type w:val="continuous"/>
          <w:pgSz w:w="11910" w:h="16840"/>
          <w:pgMar w:header="0" w:footer="458" w:top="620" w:bottom="280" w:left="800" w:right="660"/>
          <w:cols w:num="2" w:equalWidth="0">
            <w:col w:w="2340" w:space="40"/>
            <w:col w:w="8070"/>
          </w:cols>
        </w:sectPr>
      </w:pPr>
    </w:p>
    <w:p>
      <w:pPr>
        <w:pStyle w:val="BodyText"/>
        <w:spacing w:before="1"/>
        <w:rPr>
          <w:sz w:val="22"/>
        </w:rPr>
      </w:pPr>
    </w:p>
    <w:p>
      <w:pPr>
        <w:spacing w:after="0"/>
        <w:rPr>
          <w:sz w:val="22"/>
        </w:rPr>
        <w:sectPr>
          <w:type w:val="continuous"/>
          <w:pgSz w:w="11910" w:h="16840"/>
          <w:pgMar w:header="0" w:footer="458" w:top="620" w:bottom="280" w:left="800" w:right="660"/>
        </w:sectPr>
      </w:pPr>
    </w:p>
    <w:p>
      <w:pPr>
        <w:pStyle w:val="ListParagraph"/>
        <w:numPr>
          <w:ilvl w:val="0"/>
          <w:numId w:val="50"/>
        </w:numPr>
        <w:tabs>
          <w:tab w:pos="1495" w:val="left" w:leader="none"/>
        </w:tabs>
        <w:spacing w:line="194" w:lineRule="auto" w:before="57" w:after="0"/>
        <w:ind w:left="1072" w:right="0" w:firstLine="0"/>
        <w:jc w:val="left"/>
        <w:rPr>
          <w:rFonts w:ascii="微软雅黑" w:eastAsia="微软雅黑"/>
          <w:b/>
          <w:sz w:val="21"/>
        </w:rPr>
      </w:pPr>
      <w:r>
        <w:rPr>
          <w:rFonts w:ascii="微软雅黑" w:eastAsia="微软雅黑"/>
          <w:b/>
          <w:spacing w:val="-4"/>
          <w:sz w:val="21"/>
        </w:rPr>
        <w:t>严重克罗</w:t>
      </w:r>
      <w:r>
        <w:rPr>
          <w:rFonts w:ascii="微软雅黑" w:eastAsia="微软雅黑"/>
          <w:b/>
          <w:spacing w:val="-6"/>
          <w:sz w:val="21"/>
        </w:rPr>
        <w:t>恩病</w:t>
      </w:r>
    </w:p>
    <w:p>
      <w:pPr>
        <w:pStyle w:val="BodyText"/>
        <w:spacing w:line="278" w:lineRule="auto" w:before="72"/>
        <w:ind w:left="319" w:right="250"/>
      </w:pPr>
      <w:r>
        <w:rPr/>
        <w:br w:type="column"/>
      </w:r>
      <w:r>
        <w:rPr>
          <w:spacing w:val="-2"/>
        </w:rPr>
        <w:t>指一种慢性肉芽肿性肠炎，具有特征性的克罗恩病（Crohn</w:t>
      </w:r>
      <w:r>
        <w:rPr>
          <w:spacing w:val="-24"/>
        </w:rPr>
        <w:t> 病</w:t>
      </w:r>
      <w:r>
        <w:rPr>
          <w:spacing w:val="-2"/>
        </w:rPr>
        <w:t>）病理组织学变化，</w:t>
      </w:r>
      <w:r>
        <w:rPr>
          <w:spacing w:val="-2"/>
        </w:rPr>
        <w:t>须根据组织病理学特点诊断，且已经造成瘘管形成并伴有肠梗阻或肠穿孔。</w:t>
      </w:r>
    </w:p>
    <w:p>
      <w:pPr>
        <w:spacing w:after="0" w:line="278" w:lineRule="auto"/>
        <w:sectPr>
          <w:type w:val="continuous"/>
          <w:pgSz w:w="11910" w:h="16840"/>
          <w:pgMar w:header="0" w:footer="458" w:top="620" w:bottom="280" w:left="800" w:right="660"/>
          <w:cols w:num="2" w:equalWidth="0">
            <w:col w:w="2340" w:space="40"/>
            <w:col w:w="8070"/>
          </w:cols>
        </w:sectPr>
      </w:pPr>
    </w:p>
    <w:p>
      <w:pPr>
        <w:pStyle w:val="BodyText"/>
        <w:spacing w:before="10"/>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严重溃疡性</w:t>
      </w:r>
      <w:r>
        <w:rPr>
          <w:rFonts w:ascii="微软雅黑" w:eastAsia="微软雅黑"/>
          <w:b/>
          <w:spacing w:val="-4"/>
          <w:sz w:val="21"/>
        </w:rPr>
        <w:t>结肠炎</w:t>
      </w:r>
    </w:p>
    <w:p>
      <w:pPr>
        <w:pStyle w:val="BodyText"/>
        <w:spacing w:line="278" w:lineRule="auto" w:before="72"/>
        <w:ind w:left="174" w:right="359"/>
        <w:jc w:val="both"/>
      </w:pPr>
      <w:r>
        <w:rPr/>
        <w:br w:type="column"/>
      </w:r>
      <w:r>
        <w:rPr>
          <w:spacing w:val="-2"/>
        </w:rPr>
        <w:t>指伴有致命性电解质紊乱的急性暴发性溃疡性结肠炎，病变已经累及全结肠，表</w:t>
      </w:r>
      <w:r>
        <w:rPr>
          <w:spacing w:val="-2"/>
        </w:rPr>
        <w:t>现为严重的血便和系统性症状体征，须根据组织病理学特点诊断，且已经实施了</w:t>
      </w:r>
      <w:r>
        <w:rPr>
          <w:spacing w:val="-2"/>
        </w:rPr>
        <w:t>结肠切除或回肠造瘘术。</w:t>
      </w:r>
    </w:p>
    <w:p>
      <w:pPr>
        <w:spacing w:after="0" w:line="278" w:lineRule="auto"/>
        <w:jc w:val="both"/>
        <w:sectPr>
          <w:type w:val="continuous"/>
          <w:pgSz w:w="11910" w:h="16840"/>
          <w:pgMar w:header="0" w:footer="458" w:top="620" w:bottom="280" w:left="800" w:right="660"/>
          <w:cols w:num="2" w:equalWidth="0">
            <w:col w:w="2486" w:space="40"/>
            <w:col w:w="7924"/>
          </w:cols>
        </w:sectPr>
      </w:pPr>
    </w:p>
    <w:p>
      <w:pPr>
        <w:pStyle w:val="BodyText"/>
        <w:spacing w:before="9"/>
        <w:rPr>
          <w:sz w:val="18"/>
        </w:rPr>
      </w:pPr>
    </w:p>
    <w:p>
      <w:pPr>
        <w:pStyle w:val="ListParagraph"/>
        <w:numPr>
          <w:ilvl w:val="0"/>
          <w:numId w:val="50"/>
        </w:numPr>
        <w:tabs>
          <w:tab w:pos="1391" w:val="left" w:leader="none"/>
        </w:tabs>
        <w:spacing w:line="256" w:lineRule="auto" w:before="4" w:after="0"/>
        <w:ind w:left="2699" w:right="358" w:hanging="1628"/>
        <w:jc w:val="both"/>
        <w:rPr>
          <w:sz w:val="21"/>
        </w:rPr>
      </w:pPr>
      <w:r>
        <w:rPr>
          <w:rFonts w:ascii="微软雅黑" w:hAnsi="微软雅黑" w:eastAsia="微软雅黑"/>
          <w:b/>
          <w:spacing w:val="31"/>
          <w:sz w:val="21"/>
        </w:rPr>
        <w:t>严重心肌病 </w:t>
      </w:r>
      <w:r>
        <w:rPr>
          <w:sz w:val="21"/>
        </w:rPr>
        <w:t>指被保险人因心肌病导致慢性心功能损害造成永久不可逆性的心功能衰竭。心功</w:t>
      </w:r>
      <w:r>
        <w:rPr>
          <w:spacing w:val="-2"/>
          <w:sz w:val="21"/>
        </w:rPr>
        <w:t>能衰竭程度达到纽约心脏病学会的心功能分级标准之心功能Ⅳ级。被保险人永久</w:t>
      </w:r>
      <w:r>
        <w:rPr>
          <w:spacing w:val="-2"/>
          <w:sz w:val="21"/>
        </w:rPr>
        <w:t>不可逆性的体力活动能力受限，不能从事任何体力活动。</w:t>
      </w:r>
    </w:p>
    <w:p>
      <w:pPr>
        <w:pStyle w:val="BodyText"/>
        <w:spacing w:before="10"/>
        <w:rPr>
          <w:sz w:val="19"/>
        </w:rPr>
      </w:pPr>
    </w:p>
    <w:p>
      <w:pPr>
        <w:spacing w:after="0"/>
        <w:rPr>
          <w:sz w:val="19"/>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8" w:after="0"/>
        <w:ind w:left="1072" w:right="0" w:firstLine="0"/>
        <w:jc w:val="left"/>
        <w:rPr>
          <w:rFonts w:ascii="微软雅黑" w:eastAsia="微软雅黑"/>
          <w:b/>
          <w:sz w:val="21"/>
        </w:rPr>
      </w:pPr>
      <w:r>
        <w:rPr>
          <w:rFonts w:ascii="微软雅黑" w:eastAsia="微软雅黑"/>
          <w:b/>
          <w:spacing w:val="-2"/>
          <w:sz w:val="21"/>
        </w:rPr>
        <w:t>严重多发性</w:t>
      </w:r>
      <w:r>
        <w:rPr>
          <w:rFonts w:ascii="微软雅黑" w:eastAsia="微软雅黑"/>
          <w:b/>
          <w:spacing w:val="-6"/>
          <w:sz w:val="21"/>
        </w:rPr>
        <w:t>硬化</w:t>
      </w:r>
    </w:p>
    <w:p>
      <w:pPr>
        <w:pStyle w:val="BodyText"/>
        <w:spacing w:line="278" w:lineRule="auto" w:before="72"/>
        <w:ind w:left="174" w:right="359"/>
        <w:jc w:val="both"/>
      </w:pPr>
      <w:r>
        <w:rPr/>
        <w:br w:type="column"/>
      </w:r>
      <w:r>
        <w:rPr>
          <w:spacing w:val="-2"/>
        </w:rPr>
        <w:t>多发性硬化为中枢神经系统白质多灶性脱髓鞘病变，病变有时累及灰质。多发性</w:t>
      </w:r>
      <w:r>
        <w:rPr>
          <w:spacing w:val="-2"/>
        </w:rPr>
        <w:t>硬化必须明确诊断，并且已经造成永久不可逆的神经系统功能损害。永久不可逆</w:t>
      </w:r>
      <w:r>
        <w:rPr/>
        <w:t>的神经系统损害指被保险人持续 180 天无法独立完成下列基本日常生活活动之</w:t>
      </w:r>
      <w:r>
        <w:rPr>
          <w:spacing w:val="-6"/>
        </w:rPr>
        <w:t>一：</w:t>
      </w:r>
    </w:p>
    <w:p>
      <w:pPr>
        <w:pStyle w:val="ListParagraph"/>
        <w:numPr>
          <w:ilvl w:val="0"/>
          <w:numId w:val="62"/>
        </w:numPr>
        <w:tabs>
          <w:tab w:pos="705" w:val="left" w:leader="none"/>
        </w:tabs>
        <w:spacing w:line="240" w:lineRule="auto" w:before="0" w:after="0"/>
        <w:ind w:left="704" w:right="0" w:hanging="531"/>
        <w:jc w:val="left"/>
        <w:rPr>
          <w:sz w:val="21"/>
        </w:rPr>
      </w:pPr>
      <w:r>
        <w:rPr>
          <w:spacing w:val="-3"/>
          <w:sz w:val="21"/>
        </w:rPr>
        <w:t>移动：自己从一个房间到另一个房间；</w:t>
      </w:r>
    </w:p>
    <w:p>
      <w:pPr>
        <w:pStyle w:val="ListParagraph"/>
        <w:numPr>
          <w:ilvl w:val="0"/>
          <w:numId w:val="62"/>
        </w:numPr>
        <w:tabs>
          <w:tab w:pos="705" w:val="left" w:leader="none"/>
        </w:tabs>
        <w:spacing w:line="240" w:lineRule="auto" w:before="43" w:after="0"/>
        <w:ind w:left="704" w:right="0" w:hanging="531"/>
        <w:jc w:val="left"/>
        <w:rPr>
          <w:sz w:val="21"/>
        </w:rPr>
      </w:pPr>
      <w:r>
        <w:rPr>
          <w:spacing w:val="-3"/>
          <w:sz w:val="21"/>
        </w:rPr>
        <w:t>进食：自己从已准备好的碗或碟中取食物放入口中。</w:t>
      </w:r>
    </w:p>
    <w:p>
      <w:pPr>
        <w:spacing w:after="0" w:line="240" w:lineRule="auto"/>
        <w:jc w:val="left"/>
        <w:rPr>
          <w:sz w:val="21"/>
        </w:rPr>
        <w:sectPr>
          <w:type w:val="continuous"/>
          <w:pgSz w:w="11910" w:h="16840"/>
          <w:pgMar w:header="0" w:footer="458" w:top="620" w:bottom="280" w:left="800" w:right="660"/>
          <w:cols w:num="2" w:equalWidth="0">
            <w:col w:w="2486" w:space="40"/>
            <w:col w:w="7924"/>
          </w:cols>
        </w:sectPr>
      </w:pPr>
    </w:p>
    <w:p>
      <w:pPr>
        <w:pStyle w:val="BodyText"/>
        <w:spacing w:before="2"/>
        <w:rPr>
          <w:sz w:val="22"/>
        </w:rPr>
      </w:pPr>
    </w:p>
    <w:p>
      <w:pPr>
        <w:spacing w:after="0"/>
        <w:rPr>
          <w:sz w:val="22"/>
        </w:rPr>
        <w:sectPr>
          <w:type w:val="continuous"/>
          <w:pgSz w:w="11910" w:h="16840"/>
          <w:pgMar w:header="0" w:footer="458" w:top="620" w:bottom="280" w:left="800" w:right="660"/>
        </w:sectPr>
      </w:pPr>
    </w:p>
    <w:p>
      <w:pPr>
        <w:pStyle w:val="ListParagraph"/>
        <w:numPr>
          <w:ilvl w:val="0"/>
          <w:numId w:val="50"/>
        </w:numPr>
        <w:tabs>
          <w:tab w:pos="1531" w:val="left" w:leader="none"/>
        </w:tabs>
        <w:spacing w:line="194" w:lineRule="auto" w:before="57" w:after="0"/>
        <w:ind w:left="1072" w:right="0" w:firstLine="0"/>
        <w:jc w:val="both"/>
        <w:rPr>
          <w:rFonts w:ascii="微软雅黑" w:eastAsia="微软雅黑"/>
          <w:b/>
          <w:sz w:val="21"/>
        </w:rPr>
      </w:pPr>
      <w:r>
        <w:rPr>
          <w:rFonts w:ascii="微软雅黑" w:eastAsia="微软雅黑"/>
          <w:b/>
          <w:spacing w:val="24"/>
          <w:sz w:val="21"/>
        </w:rPr>
        <w:t>职业原因</w:t>
      </w:r>
      <w:r>
        <w:rPr>
          <w:rFonts w:ascii="微软雅黑" w:eastAsia="微软雅黑"/>
          <w:b/>
          <w:spacing w:val="20"/>
          <w:sz w:val="21"/>
        </w:rPr>
        <w:t>致人类免疫缺</w:t>
      </w:r>
      <w:r>
        <w:rPr>
          <w:rFonts w:ascii="微软雅黑" w:eastAsia="微软雅黑"/>
          <w:b/>
          <w:spacing w:val="-2"/>
          <w:sz w:val="21"/>
        </w:rPr>
        <w:t>陷病毒</w:t>
      </w:r>
      <w:r>
        <w:rPr>
          <w:rFonts w:ascii="微软雅黑" w:eastAsia="微软雅黑"/>
          <w:b/>
          <w:spacing w:val="-2"/>
          <w:sz w:val="21"/>
        </w:rPr>
        <w:t>（</w:t>
      </w:r>
      <w:r>
        <w:rPr>
          <w:rFonts w:ascii="Times New Roman" w:eastAsia="Times New Roman"/>
          <w:b/>
          <w:spacing w:val="-2"/>
          <w:sz w:val="21"/>
        </w:rPr>
        <w:t>HIV</w:t>
      </w:r>
      <w:r>
        <w:rPr>
          <w:rFonts w:ascii="微软雅黑" w:eastAsia="微软雅黑"/>
          <w:b/>
          <w:spacing w:val="-2"/>
          <w:sz w:val="21"/>
        </w:rPr>
        <w:t>）</w:t>
      </w:r>
      <w:r>
        <w:rPr>
          <w:rFonts w:ascii="微软雅黑" w:eastAsia="微软雅黑"/>
          <w:b/>
          <w:spacing w:val="-6"/>
          <w:sz w:val="21"/>
        </w:rPr>
        <w:t>感染</w:t>
      </w:r>
    </w:p>
    <w:p>
      <w:pPr>
        <w:pStyle w:val="BodyText"/>
        <w:spacing w:line="278" w:lineRule="auto" w:before="71"/>
        <w:ind w:left="137" w:right="355"/>
        <w:jc w:val="both"/>
      </w:pPr>
      <w:r>
        <w:rPr/>
        <w:br w:type="column"/>
      </w:r>
      <w:r>
        <w:rPr>
          <w:spacing w:val="-2"/>
        </w:rPr>
        <w:t>被保险人的职业归属于下列职业列表内的职业，在其常规职业工作过程中遭遇外</w:t>
      </w:r>
      <w:r>
        <w:rPr>
          <w:spacing w:val="-4"/>
        </w:rPr>
        <w:t>伤，或者职业需要处理血液或者其他体液时感染上人类免疫缺陷病毒</w:t>
      </w:r>
      <w:r>
        <w:rPr>
          <w:spacing w:val="15"/>
        </w:rPr>
        <w:t>（</w:t>
      </w:r>
      <w:r>
        <w:rPr>
          <w:rFonts w:ascii="Times New Roman" w:eastAsia="Times New Roman"/>
          <w:spacing w:val="18"/>
        </w:rPr>
        <w:t>H</w:t>
      </w:r>
      <w:r>
        <w:rPr>
          <w:rFonts w:ascii="Times New Roman" w:eastAsia="Times New Roman"/>
          <w:spacing w:val="14"/>
        </w:rPr>
        <w:t>I</w:t>
      </w:r>
      <w:r>
        <w:rPr>
          <w:rFonts w:ascii="Times New Roman" w:eastAsia="Times New Roman"/>
          <w:spacing w:val="19"/>
        </w:rPr>
        <w:t>V</w:t>
      </w:r>
      <w:r>
        <w:rPr>
          <w:spacing w:val="-90"/>
        </w:rPr>
        <w:t>）</w:t>
      </w:r>
      <w:r>
        <w:rPr>
          <w:spacing w:val="-4"/>
        </w:rPr>
        <w:t>。必</w:t>
      </w:r>
      <w:r>
        <w:rPr>
          <w:spacing w:val="-2"/>
        </w:rPr>
        <w:t>须满足以下所有条件：</w:t>
      </w:r>
    </w:p>
    <w:p>
      <w:pPr>
        <w:pStyle w:val="ListParagraph"/>
        <w:numPr>
          <w:ilvl w:val="0"/>
          <w:numId w:val="63"/>
        </w:numPr>
        <w:tabs>
          <w:tab w:pos="668" w:val="left" w:leader="none"/>
        </w:tabs>
        <w:spacing w:line="269" w:lineRule="exact" w:before="0" w:after="0"/>
        <w:ind w:left="667" w:right="0" w:hanging="531"/>
        <w:jc w:val="left"/>
        <w:rPr>
          <w:sz w:val="21"/>
        </w:rPr>
      </w:pPr>
      <w:r>
        <w:rPr>
          <w:spacing w:val="-3"/>
          <w:sz w:val="21"/>
        </w:rPr>
        <w:t>感染必须是在被保险人正在从事其职业工作中发生；</w:t>
      </w:r>
    </w:p>
    <w:p>
      <w:pPr>
        <w:pStyle w:val="ListParagraph"/>
        <w:numPr>
          <w:ilvl w:val="0"/>
          <w:numId w:val="63"/>
        </w:numPr>
        <w:tabs>
          <w:tab w:pos="668" w:val="left" w:leader="none"/>
        </w:tabs>
        <w:spacing w:line="240" w:lineRule="auto" w:before="43" w:after="0"/>
        <w:ind w:left="667" w:right="0" w:hanging="531"/>
        <w:jc w:val="left"/>
        <w:rPr>
          <w:sz w:val="21"/>
        </w:rPr>
      </w:pPr>
      <w:r>
        <w:rPr>
          <w:spacing w:val="-5"/>
          <w:sz w:val="21"/>
        </w:rPr>
        <w:t>血清转化必须出现在事故发生后的 </w:t>
      </w:r>
      <w:r>
        <w:rPr>
          <w:spacing w:val="-2"/>
          <w:sz w:val="21"/>
        </w:rPr>
        <w:t>6</w:t>
      </w:r>
      <w:r>
        <w:rPr>
          <w:spacing w:val="-12"/>
          <w:sz w:val="21"/>
        </w:rPr>
        <w:t> 个月以内；</w:t>
      </w:r>
    </w:p>
    <w:p>
      <w:pPr>
        <w:pStyle w:val="ListParagraph"/>
        <w:numPr>
          <w:ilvl w:val="0"/>
          <w:numId w:val="63"/>
        </w:numPr>
        <w:tabs>
          <w:tab w:pos="668" w:val="left" w:leader="none"/>
        </w:tabs>
        <w:spacing w:line="240" w:lineRule="auto" w:before="43" w:after="0"/>
        <w:ind w:left="667" w:right="0" w:hanging="531"/>
        <w:jc w:val="left"/>
        <w:rPr>
          <w:sz w:val="21"/>
        </w:rPr>
      </w:pPr>
      <w:r>
        <w:rPr>
          <w:spacing w:val="-6"/>
          <w:sz w:val="21"/>
        </w:rPr>
        <w:t>必须提供被保险人在所报事故发生后的 </w:t>
      </w:r>
      <w:r>
        <w:rPr>
          <w:spacing w:val="-4"/>
          <w:sz w:val="21"/>
        </w:rPr>
        <w:t>5</w:t>
      </w:r>
      <w:r>
        <w:rPr>
          <w:spacing w:val="-10"/>
          <w:sz w:val="21"/>
        </w:rPr>
        <w:t> 天以内进行的检查报告，该报告必</w:t>
      </w:r>
    </w:p>
    <w:p>
      <w:pPr>
        <w:spacing w:after="0" w:line="240" w:lineRule="auto"/>
        <w:jc w:val="left"/>
        <w:rPr>
          <w:sz w:val="21"/>
        </w:rPr>
        <w:sectPr>
          <w:type w:val="continuous"/>
          <w:pgSz w:w="11910" w:h="16840"/>
          <w:pgMar w:header="0" w:footer="458" w:top="620" w:bottom="280" w:left="800" w:right="660"/>
          <w:cols w:num="2" w:equalWidth="0">
            <w:col w:w="2523" w:space="40"/>
            <w:col w:w="7887"/>
          </w:cols>
        </w:sectPr>
      </w:pPr>
    </w:p>
    <w:p>
      <w:pPr>
        <w:pStyle w:val="BodyText"/>
        <w:spacing w:before="63"/>
        <w:ind w:left="2699"/>
      </w:pPr>
      <w:r>
        <w:rPr>
          <w:spacing w:val="-6"/>
        </w:rPr>
        <w:t>须显示被保险人血液 </w:t>
      </w:r>
      <w:r>
        <w:rPr>
          <w:rFonts w:ascii="Times New Roman" w:eastAsia="Times New Roman"/>
        </w:rPr>
        <w:t>HIV</w:t>
      </w:r>
      <w:r>
        <w:rPr>
          <w:rFonts w:ascii="Times New Roman" w:eastAsia="Times New Roman"/>
          <w:spacing w:val="-14"/>
        </w:rPr>
        <w:t> </w:t>
      </w:r>
      <w:r>
        <w:rPr>
          <w:spacing w:val="6"/>
        </w:rPr>
        <w:t>病毒阴性和/或</w:t>
      </w:r>
      <w:r>
        <w:rPr>
          <w:rFonts w:ascii="Times New Roman" w:eastAsia="Times New Roman"/>
        </w:rPr>
        <w:t>HIV</w:t>
      </w:r>
      <w:r>
        <w:rPr>
          <w:rFonts w:ascii="Times New Roman" w:eastAsia="Times New Roman"/>
          <w:spacing w:val="-12"/>
        </w:rPr>
        <w:t> </w:t>
      </w:r>
      <w:r>
        <w:rPr>
          <w:spacing w:val="-3"/>
        </w:rPr>
        <w:t>抗体阴性；</w:t>
      </w:r>
    </w:p>
    <w:p>
      <w:pPr>
        <w:pStyle w:val="ListParagraph"/>
        <w:numPr>
          <w:ilvl w:val="0"/>
          <w:numId w:val="63"/>
        </w:numPr>
        <w:tabs>
          <w:tab w:pos="3227" w:val="left" w:leader="none"/>
        </w:tabs>
        <w:spacing w:line="278" w:lineRule="auto" w:before="43" w:after="0"/>
        <w:ind w:left="2699" w:right="358" w:firstLine="0"/>
        <w:jc w:val="left"/>
        <w:rPr>
          <w:sz w:val="21"/>
        </w:rPr>
      </w:pPr>
      <w:r>
        <w:rPr>
          <w:spacing w:val="-2"/>
          <w:sz w:val="21"/>
        </w:rPr>
        <w:t>必须在事故发生后的 </w:t>
      </w:r>
      <w:r>
        <w:rPr>
          <w:sz w:val="21"/>
        </w:rPr>
        <w:t>12</w:t>
      </w:r>
      <w:r>
        <w:rPr>
          <w:spacing w:val="-5"/>
          <w:sz w:val="21"/>
        </w:rPr>
        <w:t> 个月内证实被保险人体内存在 </w:t>
      </w:r>
      <w:r>
        <w:rPr>
          <w:rFonts w:ascii="Times New Roman" w:eastAsia="Times New Roman"/>
          <w:sz w:val="21"/>
        </w:rPr>
        <w:t>HIV </w:t>
      </w:r>
      <w:r>
        <w:rPr>
          <w:spacing w:val="12"/>
          <w:sz w:val="21"/>
        </w:rPr>
        <w:t>病毒或者</w:t>
      </w:r>
      <w:r>
        <w:rPr>
          <w:rFonts w:ascii="Times New Roman" w:eastAsia="Times New Roman"/>
          <w:sz w:val="21"/>
        </w:rPr>
        <w:t>HIV </w:t>
      </w:r>
      <w:r>
        <w:rPr>
          <w:spacing w:val="-4"/>
          <w:sz w:val="21"/>
        </w:rPr>
        <w:t>抗体。</w:t>
      </w:r>
    </w:p>
    <w:p>
      <w:pPr>
        <w:pStyle w:val="BodyText"/>
        <w:spacing w:before="4" w:after="1"/>
        <w:rPr>
          <w:sz w:val="10"/>
        </w:rPr>
      </w:pPr>
    </w:p>
    <w:tbl>
      <w:tblPr>
        <w:tblW w:w="0" w:type="auto"/>
        <w:jc w:val="left"/>
        <w:tblInd w:w="3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31"/>
        <w:gridCol w:w="2439"/>
      </w:tblGrid>
      <w:tr>
        <w:trPr>
          <w:trHeight w:val="311" w:hRule="atLeast"/>
        </w:trPr>
        <w:tc>
          <w:tcPr>
            <w:tcW w:w="2631" w:type="dxa"/>
          </w:tcPr>
          <w:p>
            <w:pPr>
              <w:pStyle w:val="TableParagraph"/>
              <w:spacing w:before="22"/>
              <w:rPr>
                <w:sz w:val="21"/>
              </w:rPr>
            </w:pPr>
            <w:r>
              <w:rPr>
                <w:spacing w:val="-4"/>
                <w:sz w:val="21"/>
              </w:rPr>
              <w:t>职业列表：</w:t>
            </w:r>
          </w:p>
        </w:tc>
        <w:tc>
          <w:tcPr>
            <w:tcW w:w="2439" w:type="dxa"/>
          </w:tcPr>
          <w:p>
            <w:pPr>
              <w:pStyle w:val="TableParagraph"/>
              <w:ind w:left="0"/>
              <w:rPr>
                <w:rFonts w:ascii="Times New Roman"/>
                <w:sz w:val="20"/>
              </w:rPr>
            </w:pPr>
          </w:p>
        </w:tc>
      </w:tr>
      <w:tr>
        <w:trPr>
          <w:trHeight w:val="311" w:hRule="atLeast"/>
        </w:trPr>
        <w:tc>
          <w:tcPr>
            <w:tcW w:w="2631" w:type="dxa"/>
          </w:tcPr>
          <w:p>
            <w:pPr>
              <w:pStyle w:val="TableParagraph"/>
              <w:spacing w:before="22"/>
              <w:rPr>
                <w:sz w:val="21"/>
              </w:rPr>
            </w:pPr>
            <w:r>
              <w:rPr>
                <w:spacing w:val="-2"/>
                <w:sz w:val="21"/>
              </w:rPr>
              <w:t>医生（包括牙医</w:t>
            </w:r>
            <w:r>
              <w:rPr>
                <w:spacing w:val="-10"/>
                <w:sz w:val="21"/>
              </w:rPr>
              <w:t>）</w:t>
            </w:r>
          </w:p>
        </w:tc>
        <w:tc>
          <w:tcPr>
            <w:tcW w:w="2439" w:type="dxa"/>
          </w:tcPr>
          <w:p>
            <w:pPr>
              <w:pStyle w:val="TableParagraph"/>
              <w:spacing w:before="22"/>
              <w:rPr>
                <w:sz w:val="21"/>
              </w:rPr>
            </w:pPr>
            <w:r>
              <w:rPr>
                <w:spacing w:val="-5"/>
                <w:sz w:val="21"/>
              </w:rPr>
              <w:t>护士</w:t>
            </w:r>
          </w:p>
        </w:tc>
      </w:tr>
      <w:tr>
        <w:trPr>
          <w:trHeight w:val="311" w:hRule="atLeast"/>
        </w:trPr>
        <w:tc>
          <w:tcPr>
            <w:tcW w:w="2631" w:type="dxa"/>
          </w:tcPr>
          <w:p>
            <w:pPr>
              <w:pStyle w:val="TableParagraph"/>
              <w:spacing w:before="22"/>
              <w:rPr>
                <w:sz w:val="21"/>
              </w:rPr>
            </w:pPr>
            <w:r>
              <w:rPr>
                <w:spacing w:val="-3"/>
                <w:sz w:val="21"/>
              </w:rPr>
              <w:t>医院化验室工作人员</w:t>
            </w:r>
          </w:p>
        </w:tc>
        <w:tc>
          <w:tcPr>
            <w:tcW w:w="2439" w:type="dxa"/>
          </w:tcPr>
          <w:p>
            <w:pPr>
              <w:pStyle w:val="TableParagraph"/>
              <w:spacing w:before="22"/>
              <w:rPr>
                <w:sz w:val="21"/>
              </w:rPr>
            </w:pPr>
            <w:r>
              <w:rPr>
                <w:spacing w:val="-4"/>
                <w:sz w:val="21"/>
              </w:rPr>
              <w:t>医院护工</w:t>
            </w:r>
          </w:p>
        </w:tc>
      </w:tr>
      <w:tr>
        <w:trPr>
          <w:trHeight w:val="311" w:hRule="atLeast"/>
        </w:trPr>
        <w:tc>
          <w:tcPr>
            <w:tcW w:w="2631" w:type="dxa"/>
          </w:tcPr>
          <w:p>
            <w:pPr>
              <w:pStyle w:val="TableParagraph"/>
              <w:spacing w:before="22"/>
              <w:rPr>
                <w:sz w:val="21"/>
              </w:rPr>
            </w:pPr>
            <w:r>
              <w:rPr>
                <w:spacing w:val="-4"/>
                <w:sz w:val="21"/>
              </w:rPr>
              <w:t>救护车工作人员</w:t>
            </w:r>
          </w:p>
        </w:tc>
        <w:tc>
          <w:tcPr>
            <w:tcW w:w="2439" w:type="dxa"/>
          </w:tcPr>
          <w:p>
            <w:pPr>
              <w:pStyle w:val="TableParagraph"/>
              <w:spacing w:before="22"/>
              <w:rPr>
                <w:sz w:val="21"/>
              </w:rPr>
            </w:pPr>
            <w:r>
              <w:rPr>
                <w:spacing w:val="-4"/>
                <w:sz w:val="21"/>
              </w:rPr>
              <w:t>助产士</w:t>
            </w:r>
          </w:p>
        </w:tc>
      </w:tr>
      <w:tr>
        <w:trPr>
          <w:trHeight w:val="313" w:hRule="atLeast"/>
        </w:trPr>
        <w:tc>
          <w:tcPr>
            <w:tcW w:w="2631" w:type="dxa"/>
          </w:tcPr>
          <w:p>
            <w:pPr>
              <w:pStyle w:val="TableParagraph"/>
              <w:spacing w:before="25"/>
              <w:rPr>
                <w:sz w:val="21"/>
              </w:rPr>
            </w:pPr>
            <w:r>
              <w:rPr>
                <w:spacing w:val="-2"/>
                <w:sz w:val="21"/>
              </w:rPr>
              <w:t>警察（包括狱警</w:t>
            </w:r>
            <w:r>
              <w:rPr>
                <w:spacing w:val="-10"/>
                <w:sz w:val="21"/>
              </w:rPr>
              <w:t>）</w:t>
            </w:r>
          </w:p>
        </w:tc>
        <w:tc>
          <w:tcPr>
            <w:tcW w:w="2439" w:type="dxa"/>
          </w:tcPr>
          <w:p>
            <w:pPr>
              <w:pStyle w:val="TableParagraph"/>
              <w:spacing w:before="25"/>
              <w:rPr>
                <w:sz w:val="21"/>
              </w:rPr>
            </w:pPr>
            <w:r>
              <w:rPr>
                <w:spacing w:val="-4"/>
                <w:sz w:val="21"/>
              </w:rPr>
              <w:t>消防人员</w:t>
            </w:r>
          </w:p>
        </w:tc>
      </w:tr>
    </w:tbl>
    <w:p>
      <w:pPr>
        <w:spacing w:line="194" w:lineRule="auto" w:before="11"/>
        <w:ind w:left="2699" w:right="360" w:firstLine="0"/>
        <w:jc w:val="left"/>
        <w:rPr>
          <w:rFonts w:ascii="微软雅黑" w:eastAsia="微软雅黑"/>
          <w:b/>
          <w:sz w:val="21"/>
        </w:rPr>
      </w:pPr>
      <w:r>
        <w:rPr>
          <w:rFonts w:ascii="微软雅黑" w:eastAsia="微软雅黑"/>
          <w:b/>
          <w:spacing w:val="-2"/>
          <w:w w:val="95"/>
          <w:sz w:val="21"/>
        </w:rPr>
        <w:t>在</w:t>
      </w:r>
      <w:r>
        <w:rPr>
          <w:rFonts w:ascii="微软雅黑" w:eastAsia="微软雅黑"/>
          <w:b/>
          <w:spacing w:val="-2"/>
          <w:w w:val="95"/>
          <w:sz w:val="21"/>
        </w:rPr>
        <w:t>任</w:t>
      </w:r>
      <w:r>
        <w:rPr>
          <w:rFonts w:ascii="微软雅黑" w:eastAsia="微软雅黑"/>
          <w:b/>
          <w:spacing w:val="-2"/>
          <w:w w:val="95"/>
          <w:sz w:val="21"/>
        </w:rPr>
        <w:t>何</w:t>
      </w:r>
      <w:r>
        <w:rPr>
          <w:rFonts w:ascii="微软雅黑" w:eastAsia="微软雅黑"/>
          <w:b/>
          <w:spacing w:val="-2"/>
          <w:w w:val="95"/>
          <w:sz w:val="21"/>
        </w:rPr>
        <w:t>治</w:t>
      </w:r>
      <w:r>
        <w:rPr>
          <w:rFonts w:ascii="微软雅黑" w:eastAsia="微软雅黑"/>
          <w:b/>
          <w:spacing w:val="-2"/>
          <w:w w:val="95"/>
          <w:sz w:val="21"/>
        </w:rPr>
        <w:t>愈</w:t>
      </w:r>
      <w:r>
        <w:rPr>
          <w:rFonts w:ascii="微软雅黑" w:eastAsia="微软雅黑"/>
          <w:b/>
          <w:spacing w:val="-2"/>
          <w:w w:val="95"/>
          <w:sz w:val="21"/>
        </w:rPr>
        <w:t>艾</w:t>
      </w:r>
      <w:r>
        <w:rPr>
          <w:rFonts w:ascii="微软雅黑" w:eastAsia="微软雅黑"/>
          <w:b/>
          <w:spacing w:val="-2"/>
          <w:w w:val="95"/>
          <w:sz w:val="21"/>
        </w:rPr>
        <w:t>滋</w:t>
      </w:r>
      <w:r>
        <w:rPr>
          <w:rFonts w:ascii="微软雅黑" w:eastAsia="微软雅黑"/>
          <w:b/>
          <w:spacing w:val="-2"/>
          <w:w w:val="95"/>
          <w:sz w:val="21"/>
        </w:rPr>
        <w:t>病（AIDS）</w:t>
      </w:r>
      <w:r>
        <w:rPr>
          <w:rFonts w:ascii="微软雅黑" w:eastAsia="微软雅黑"/>
          <w:b/>
          <w:spacing w:val="-2"/>
          <w:w w:val="95"/>
          <w:sz w:val="21"/>
        </w:rPr>
        <w:t>或</w:t>
      </w:r>
      <w:r>
        <w:rPr>
          <w:rFonts w:ascii="微软雅黑" w:eastAsia="微软雅黑"/>
          <w:b/>
          <w:spacing w:val="-2"/>
          <w:w w:val="95"/>
          <w:sz w:val="21"/>
        </w:rPr>
        <w:t>阻</w:t>
      </w:r>
      <w:r>
        <w:rPr>
          <w:rFonts w:ascii="微软雅黑" w:eastAsia="微软雅黑"/>
          <w:b/>
          <w:spacing w:val="-2"/>
          <w:w w:val="95"/>
          <w:sz w:val="21"/>
        </w:rPr>
        <w:t>止</w:t>
      </w:r>
      <w:r>
        <w:rPr>
          <w:rFonts w:ascii="微软雅黑" w:eastAsia="微软雅黑"/>
          <w:b/>
          <w:spacing w:val="-2"/>
          <w:w w:val="95"/>
          <w:sz w:val="21"/>
        </w:rPr>
        <w:t>HIV</w:t>
      </w:r>
      <w:r>
        <w:rPr>
          <w:rFonts w:ascii="微软雅黑" w:eastAsia="微软雅黑"/>
          <w:b/>
          <w:spacing w:val="-2"/>
          <w:w w:val="95"/>
          <w:sz w:val="21"/>
        </w:rPr>
        <w:t>病</w:t>
      </w:r>
      <w:r>
        <w:rPr>
          <w:rFonts w:ascii="微软雅黑" w:eastAsia="微软雅黑"/>
          <w:b/>
          <w:spacing w:val="-2"/>
          <w:w w:val="95"/>
          <w:sz w:val="21"/>
        </w:rPr>
        <w:t>毒</w:t>
      </w:r>
      <w:r>
        <w:rPr>
          <w:rFonts w:ascii="微软雅黑" w:eastAsia="微软雅黑"/>
          <w:b/>
          <w:spacing w:val="-2"/>
          <w:w w:val="95"/>
          <w:sz w:val="21"/>
        </w:rPr>
        <w:t>作</w:t>
      </w:r>
      <w:r>
        <w:rPr>
          <w:rFonts w:ascii="微软雅黑" w:eastAsia="微软雅黑"/>
          <w:b/>
          <w:spacing w:val="-2"/>
          <w:w w:val="95"/>
          <w:sz w:val="21"/>
        </w:rPr>
        <w:t>用</w:t>
      </w:r>
      <w:r>
        <w:rPr>
          <w:rFonts w:ascii="微软雅黑" w:eastAsia="微软雅黑"/>
          <w:b/>
          <w:spacing w:val="-2"/>
          <w:w w:val="95"/>
          <w:sz w:val="21"/>
        </w:rPr>
        <w:t>的</w:t>
      </w:r>
      <w:r>
        <w:rPr>
          <w:rFonts w:ascii="微软雅黑" w:eastAsia="微软雅黑"/>
          <w:b/>
          <w:spacing w:val="-2"/>
          <w:w w:val="95"/>
          <w:sz w:val="21"/>
        </w:rPr>
        <w:t>疗</w:t>
      </w:r>
      <w:r>
        <w:rPr>
          <w:rFonts w:ascii="微软雅黑" w:eastAsia="微软雅黑"/>
          <w:b/>
          <w:spacing w:val="-2"/>
          <w:w w:val="95"/>
          <w:sz w:val="21"/>
        </w:rPr>
        <w:t>法</w:t>
      </w:r>
      <w:r>
        <w:rPr>
          <w:rFonts w:ascii="微软雅黑" w:eastAsia="微软雅黑"/>
          <w:b/>
          <w:spacing w:val="-2"/>
          <w:w w:val="95"/>
          <w:sz w:val="21"/>
        </w:rPr>
        <w:t>被</w:t>
      </w:r>
      <w:r>
        <w:rPr>
          <w:rFonts w:ascii="微软雅黑" w:eastAsia="微软雅黑"/>
          <w:b/>
          <w:spacing w:val="-2"/>
          <w:w w:val="95"/>
          <w:sz w:val="21"/>
        </w:rPr>
        <w:t>发</w:t>
      </w:r>
      <w:r>
        <w:rPr>
          <w:rFonts w:ascii="微软雅黑" w:eastAsia="微软雅黑"/>
          <w:b/>
          <w:spacing w:val="-2"/>
          <w:w w:val="95"/>
          <w:sz w:val="21"/>
        </w:rPr>
        <w:t>现</w:t>
      </w:r>
      <w:r>
        <w:rPr>
          <w:rFonts w:ascii="微软雅黑" w:eastAsia="微软雅黑"/>
          <w:b/>
          <w:spacing w:val="-2"/>
          <w:w w:val="95"/>
          <w:sz w:val="21"/>
        </w:rPr>
        <w:t>以</w:t>
      </w:r>
      <w:r>
        <w:rPr>
          <w:rFonts w:ascii="微软雅黑" w:eastAsia="微软雅黑"/>
          <w:b/>
          <w:spacing w:val="-2"/>
          <w:w w:val="95"/>
          <w:sz w:val="21"/>
        </w:rPr>
        <w:t>后</w:t>
      </w:r>
      <w:r>
        <w:rPr>
          <w:rFonts w:ascii="微软雅黑" w:eastAsia="微软雅黑"/>
          <w:b/>
          <w:spacing w:val="-2"/>
          <w:w w:val="95"/>
          <w:sz w:val="21"/>
        </w:rPr>
        <w:t>，</w:t>
      </w:r>
      <w:r>
        <w:rPr>
          <w:rFonts w:ascii="微软雅黑" w:eastAsia="微软雅黑"/>
          <w:b/>
          <w:spacing w:val="-2"/>
          <w:w w:val="95"/>
          <w:sz w:val="21"/>
        </w:rPr>
        <w:t>或</w:t>
      </w:r>
      <w:r>
        <w:rPr>
          <w:rFonts w:ascii="微软雅黑" w:eastAsia="微软雅黑"/>
          <w:b/>
          <w:spacing w:val="-2"/>
          <w:w w:val="95"/>
          <w:sz w:val="21"/>
        </w:rPr>
        <w:t>能</w:t>
      </w:r>
      <w:r>
        <w:rPr>
          <w:rFonts w:ascii="微软雅黑" w:eastAsia="微软雅黑"/>
          <w:b/>
          <w:spacing w:val="-2"/>
          <w:w w:val="95"/>
          <w:sz w:val="21"/>
        </w:rPr>
        <w:t>防</w:t>
      </w:r>
      <w:r>
        <w:rPr>
          <w:rFonts w:ascii="微软雅黑" w:eastAsia="微软雅黑"/>
          <w:b/>
          <w:spacing w:val="-2"/>
          <w:w w:val="95"/>
          <w:sz w:val="21"/>
        </w:rPr>
        <w:t>止</w:t>
      </w:r>
      <w:r>
        <w:rPr>
          <w:rFonts w:ascii="微软雅黑" w:eastAsia="微软雅黑"/>
          <w:b/>
          <w:spacing w:val="-2"/>
          <w:w w:val="95"/>
          <w:sz w:val="21"/>
        </w:rPr>
        <w:t>AIDS</w:t>
      </w:r>
      <w:r>
        <w:rPr>
          <w:rFonts w:ascii="微软雅黑" w:eastAsia="微软雅黑"/>
          <w:b/>
          <w:spacing w:val="-2"/>
          <w:sz w:val="21"/>
        </w:rPr>
        <w:t>发生的医疗方法被研究出来以后，本保障将不再予以赔付。</w:t>
      </w:r>
    </w:p>
    <w:p>
      <w:pPr>
        <w:spacing w:line="194" w:lineRule="auto" w:before="0"/>
        <w:ind w:left="2699" w:right="358" w:firstLine="0"/>
        <w:jc w:val="left"/>
        <w:rPr>
          <w:sz w:val="21"/>
        </w:rPr>
      </w:pPr>
      <w:r>
        <w:rPr>
          <w:rFonts w:ascii="微软雅黑" w:eastAsia="微软雅黑"/>
          <w:b/>
          <w:spacing w:val="-2"/>
          <w:sz w:val="21"/>
        </w:rPr>
        <w:t>任何因其他传播方式（包括：输血、性传播或静脉注射毒品）</w:t>
      </w:r>
      <w:r>
        <w:rPr>
          <w:rFonts w:ascii="微软雅黑" w:eastAsia="微软雅黑"/>
          <w:b/>
          <w:spacing w:val="-5"/>
          <w:sz w:val="21"/>
        </w:rPr>
        <w:t>导致的 </w:t>
      </w:r>
      <w:r>
        <w:rPr>
          <w:rFonts w:ascii="微软雅黑" w:eastAsia="微软雅黑"/>
          <w:b/>
          <w:spacing w:val="-2"/>
          <w:sz w:val="21"/>
        </w:rPr>
        <w:t>HIV</w:t>
      </w:r>
      <w:r>
        <w:rPr>
          <w:rFonts w:ascii="微软雅黑" w:eastAsia="微软雅黑"/>
          <w:b/>
          <w:spacing w:val="-5"/>
          <w:sz w:val="21"/>
        </w:rPr>
        <w:t> 感染不</w:t>
      </w:r>
      <w:r>
        <w:rPr>
          <w:rFonts w:ascii="微软雅黑" w:eastAsia="微软雅黑"/>
          <w:b/>
          <w:spacing w:val="-2"/>
          <w:sz w:val="21"/>
        </w:rPr>
        <w:t>在本保障范围内。</w:t>
      </w:r>
      <w:r>
        <w:rPr>
          <w:spacing w:val="-3"/>
          <w:sz w:val="21"/>
        </w:rPr>
        <w:t>本公司必须拥有获得使用被保险人的所有血液样本的权利和能</w:t>
      </w:r>
    </w:p>
    <w:p>
      <w:pPr>
        <w:pStyle w:val="BodyText"/>
        <w:spacing w:before="9"/>
        <w:ind w:left="2699"/>
      </w:pPr>
      <w:r>
        <w:rPr>
          <w:spacing w:val="-3"/>
        </w:rPr>
        <w:t>够对这些样本进行独立检验的权利。</w:t>
      </w:r>
    </w:p>
    <w:p>
      <w:pPr>
        <w:pStyle w:val="BodyText"/>
        <w:spacing w:before="1"/>
        <w:rPr>
          <w:sz w:val="22"/>
        </w:rPr>
      </w:pPr>
    </w:p>
    <w:p>
      <w:pPr>
        <w:spacing w:after="0"/>
        <w:rPr>
          <w:sz w:val="22"/>
        </w:rPr>
        <w:sectPr>
          <w:pgSz w:w="11910" w:h="16840"/>
          <w:pgMar w:header="0" w:footer="458" w:top="1240" w:bottom="640" w:left="800" w:right="660"/>
        </w:sectPr>
      </w:pPr>
    </w:p>
    <w:p>
      <w:pPr>
        <w:pStyle w:val="ListParagraph"/>
        <w:numPr>
          <w:ilvl w:val="0"/>
          <w:numId w:val="50"/>
        </w:numPr>
        <w:tabs>
          <w:tab w:pos="1531" w:val="left" w:leader="none"/>
        </w:tabs>
        <w:spacing w:line="194" w:lineRule="auto" w:before="58" w:after="0"/>
        <w:ind w:left="1072" w:right="0" w:firstLine="0"/>
        <w:jc w:val="left"/>
        <w:rPr>
          <w:rFonts w:ascii="微软雅黑" w:eastAsia="微软雅黑"/>
          <w:b/>
          <w:sz w:val="21"/>
        </w:rPr>
      </w:pPr>
      <w:r>
        <w:rPr>
          <w:rFonts w:ascii="微软雅黑" w:eastAsia="微软雅黑"/>
          <w:b/>
          <w:spacing w:val="24"/>
          <w:sz w:val="21"/>
        </w:rPr>
        <w:t>严重全身</w:t>
      </w:r>
      <w:r>
        <w:rPr>
          <w:rFonts w:ascii="微软雅黑" w:eastAsia="微软雅黑"/>
          <w:b/>
          <w:spacing w:val="-2"/>
          <w:sz w:val="21"/>
        </w:rPr>
        <w:t>性重症肌无力</w:t>
      </w:r>
    </w:p>
    <w:p>
      <w:pPr>
        <w:pStyle w:val="BodyText"/>
        <w:spacing w:before="72"/>
        <w:ind w:left="174"/>
      </w:pPr>
      <w:r>
        <w:rPr/>
        <w:br w:type="column"/>
      </w:r>
      <w:r>
        <w:rPr>
          <w:spacing w:val="-3"/>
        </w:rPr>
        <w:t>重症肌无力是一种神经肌肉接头传递障碍所致的疾病，表现为局部或全身骨骼肌</w:t>
      </w:r>
    </w:p>
    <w:p>
      <w:pPr>
        <w:pStyle w:val="BodyText"/>
        <w:spacing w:line="278" w:lineRule="auto"/>
        <w:ind w:left="174" w:right="359"/>
      </w:pPr>
      <w:r>
        <w:rPr>
          <w:spacing w:val="-2"/>
        </w:rPr>
        <w:t>（特别是眼外肌）极易疲劳。疾病可以累及呼吸肌、上肢或下肢的近端肌群或全</w:t>
      </w:r>
      <w:r>
        <w:rPr>
          <w:spacing w:val="-2"/>
        </w:rPr>
        <w:t>身肌肉，必须满足下列所有条件：</w:t>
      </w:r>
    </w:p>
    <w:p>
      <w:pPr>
        <w:pStyle w:val="ListParagraph"/>
        <w:numPr>
          <w:ilvl w:val="0"/>
          <w:numId w:val="64"/>
        </w:numPr>
        <w:tabs>
          <w:tab w:pos="704" w:val="left" w:leader="none"/>
        </w:tabs>
        <w:spacing w:line="269" w:lineRule="exact" w:before="0" w:after="0"/>
        <w:ind w:left="703" w:right="0" w:hanging="530"/>
        <w:jc w:val="left"/>
        <w:rPr>
          <w:sz w:val="21"/>
        </w:rPr>
      </w:pPr>
      <w:r>
        <w:rPr>
          <w:spacing w:val="-3"/>
          <w:sz w:val="21"/>
        </w:rPr>
        <w:t>经药物治疗和胸腺切除治疗一年以上仍无法控制病情；</w:t>
      </w:r>
    </w:p>
    <w:p>
      <w:pPr>
        <w:pStyle w:val="ListParagraph"/>
        <w:numPr>
          <w:ilvl w:val="0"/>
          <w:numId w:val="64"/>
        </w:numPr>
        <w:tabs>
          <w:tab w:pos="704" w:val="left" w:leader="none"/>
        </w:tabs>
        <w:spacing w:line="278" w:lineRule="auto" w:before="43" w:after="0"/>
        <w:ind w:left="174" w:right="353" w:firstLine="0"/>
        <w:jc w:val="left"/>
        <w:rPr>
          <w:sz w:val="21"/>
        </w:rPr>
      </w:pPr>
      <w:r>
        <w:rPr>
          <w:spacing w:val="-6"/>
          <w:w w:val="100"/>
          <w:sz w:val="21"/>
        </w:rPr>
        <w:t>自主生活能力完全丧失，无法独立完成六项基本日常生活活动中的三项或</w:t>
      </w:r>
      <w:r>
        <w:rPr>
          <w:spacing w:val="-5"/>
          <w:w w:val="100"/>
          <w:sz w:val="21"/>
        </w:rPr>
        <w:t>三项以上。</w:t>
      </w:r>
    </w:p>
    <w:p>
      <w:pPr>
        <w:spacing w:after="0" w:line="278" w:lineRule="auto"/>
        <w:jc w:val="left"/>
        <w:rPr>
          <w:sz w:val="21"/>
        </w:rPr>
        <w:sectPr>
          <w:type w:val="continuous"/>
          <w:pgSz w:w="11910" w:h="16840"/>
          <w:pgMar w:header="0" w:footer="458" w:top="620" w:bottom="280" w:left="800" w:right="660"/>
          <w:cols w:num="2" w:equalWidth="0">
            <w:col w:w="2486" w:space="40"/>
            <w:col w:w="792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8" w:after="0"/>
        <w:ind w:left="1072" w:right="0" w:firstLine="0"/>
        <w:jc w:val="left"/>
        <w:rPr>
          <w:rFonts w:ascii="微软雅黑" w:eastAsia="微软雅黑"/>
          <w:b/>
          <w:sz w:val="21"/>
        </w:rPr>
      </w:pPr>
      <w:r>
        <w:rPr>
          <w:rFonts w:ascii="微软雅黑" w:eastAsia="微软雅黑"/>
          <w:b/>
          <w:spacing w:val="-2"/>
          <w:sz w:val="21"/>
        </w:rPr>
        <w:t>严重类风湿</w:t>
      </w:r>
      <w:r>
        <w:rPr>
          <w:rFonts w:ascii="微软雅黑" w:eastAsia="微软雅黑"/>
          <w:b/>
          <w:spacing w:val="-4"/>
          <w:sz w:val="21"/>
        </w:rPr>
        <w:t>性关节炎</w:t>
      </w:r>
    </w:p>
    <w:p>
      <w:pPr>
        <w:pStyle w:val="BodyText"/>
        <w:spacing w:line="278" w:lineRule="auto" w:before="72"/>
        <w:ind w:left="174" w:right="248"/>
      </w:pPr>
      <w:r>
        <w:rPr/>
        <w:br w:type="column"/>
      </w:r>
      <w:r>
        <w:rPr>
          <w:spacing w:val="-3"/>
          <w:w w:val="100"/>
        </w:rPr>
        <w:t>类风湿性关节炎为广泛分布的慢性进行性多关节病变，表现为关节严重变形，侵</w:t>
      </w:r>
      <w:r>
        <w:rPr>
          <w:spacing w:val="-6"/>
          <w:w w:val="100"/>
        </w:rPr>
        <w:t>犯至少三个主要关节或关节组【如：双手</w:t>
      </w:r>
      <w:r>
        <w:rPr>
          <w:w w:val="100"/>
        </w:rPr>
        <w:t>（</w:t>
      </w:r>
      <w:r>
        <w:rPr>
          <w:spacing w:val="-3"/>
          <w:w w:val="100"/>
        </w:rPr>
        <w:t>多手指</w:t>
      </w:r>
      <w:r>
        <w:rPr>
          <w:spacing w:val="-10"/>
          <w:w w:val="100"/>
        </w:rPr>
        <w:t>）</w:t>
      </w:r>
      <w:r>
        <w:rPr>
          <w:spacing w:val="-7"/>
          <w:w w:val="100"/>
        </w:rPr>
        <w:t>关节、双足</w:t>
      </w:r>
      <w:r>
        <w:rPr>
          <w:spacing w:val="-3"/>
          <w:w w:val="100"/>
        </w:rPr>
        <w:t>（</w:t>
      </w:r>
      <w:r>
        <w:rPr>
          <w:spacing w:val="-2"/>
          <w:w w:val="100"/>
        </w:rPr>
        <w:t>多足趾</w:t>
      </w:r>
      <w:r>
        <w:rPr>
          <w:spacing w:val="-13"/>
          <w:w w:val="100"/>
        </w:rPr>
        <w:t>）</w:t>
      </w:r>
      <w:r>
        <w:rPr>
          <w:w w:val="100"/>
        </w:rPr>
        <w:t>关节、</w:t>
      </w:r>
      <w:r>
        <w:rPr>
          <w:spacing w:val="-16"/>
          <w:w w:val="100"/>
        </w:rPr>
        <w:t>双腕关节、双膝关节和双髋关节】。类风湿性关节炎必须明确诊断并且已经达到类</w:t>
      </w:r>
      <w:r>
        <w:rPr>
          <w:spacing w:val="-13"/>
          <w:w w:val="100"/>
        </w:rPr>
        <w:t>风湿性关节炎功能分类Ⅳ级的永久不可逆性关节功能障碍</w:t>
      </w:r>
      <w:r>
        <w:rPr>
          <w:w w:val="100"/>
        </w:rPr>
        <w:t>（</w:t>
      </w:r>
      <w:r>
        <w:rPr>
          <w:spacing w:val="-1"/>
          <w:w w:val="100"/>
        </w:rPr>
        <w:t>生活不能自理，且丧</w:t>
      </w:r>
      <w:r>
        <w:rPr>
          <w:spacing w:val="-3"/>
          <w:w w:val="100"/>
        </w:rPr>
        <w:t>失活动能力</w:t>
      </w:r>
      <w:r>
        <w:rPr>
          <w:spacing w:val="-106"/>
          <w:w w:val="100"/>
        </w:rPr>
        <w:t>）</w:t>
      </w:r>
      <w:r>
        <w:rPr>
          <w:w w:val="100"/>
        </w:rPr>
        <w:t>。</w:t>
      </w:r>
    </w:p>
    <w:p>
      <w:pPr>
        <w:pStyle w:val="BodyText"/>
        <w:spacing w:before="0"/>
        <w:ind w:left="174"/>
      </w:pPr>
      <w:r>
        <w:rPr>
          <w:spacing w:val="-3"/>
        </w:rPr>
        <w:t>美国风湿病学会类风湿性关节炎分级：</w:t>
      </w:r>
    </w:p>
    <w:p>
      <w:pPr>
        <w:pStyle w:val="BodyText"/>
        <w:ind w:left="174"/>
      </w:pPr>
      <w:r>
        <w:rPr>
          <w:spacing w:val="-3"/>
        </w:rPr>
        <w:t>Ⅰ级：关节能自由活动，能完成平常的任务而无妨碍。</w:t>
      </w:r>
    </w:p>
    <w:p>
      <w:pPr>
        <w:pStyle w:val="BodyText"/>
        <w:spacing w:line="278" w:lineRule="auto"/>
        <w:ind w:left="174" w:right="807"/>
      </w:pPr>
      <w:r>
        <w:rPr>
          <w:spacing w:val="-2"/>
        </w:rPr>
        <w:t>Ⅱ级：关节活动中度限制，一个或几个关节疼痛不适，但能料理日常生活。</w:t>
      </w:r>
      <w:r>
        <w:rPr>
          <w:spacing w:val="-2"/>
        </w:rPr>
        <w:t> Ⅲ级：关节活动显著限制，不能胜任工作，料理生活也有困难。</w:t>
      </w:r>
    </w:p>
    <w:p>
      <w:pPr>
        <w:pStyle w:val="BodyText"/>
        <w:spacing w:line="269" w:lineRule="exact" w:before="0"/>
        <w:ind w:left="174"/>
      </w:pPr>
      <w:r>
        <w:rPr>
          <w:spacing w:val="-3"/>
        </w:rPr>
        <w:t>Ⅳ级：大部分或完全失去活动能力，病人长期卧床或依赖轮椅，生活不能自理。</w:t>
      </w:r>
    </w:p>
    <w:p>
      <w:pPr>
        <w:spacing w:after="0" w:line="269" w:lineRule="exact"/>
        <w:sectPr>
          <w:type w:val="continuous"/>
          <w:pgSz w:w="11910" w:h="16840"/>
          <w:pgMar w:header="0" w:footer="458" w:top="620" w:bottom="280" w:left="800" w:right="660"/>
          <w:cols w:num="2" w:equalWidth="0">
            <w:col w:w="2486" w:space="40"/>
            <w:col w:w="7924"/>
          </w:cols>
        </w:sectPr>
      </w:pPr>
    </w:p>
    <w:p>
      <w:pPr>
        <w:pStyle w:val="BodyText"/>
        <w:spacing w:before="1"/>
        <w:rPr>
          <w:sz w:val="22"/>
        </w:rPr>
      </w:pPr>
    </w:p>
    <w:p>
      <w:pPr>
        <w:spacing w:after="0"/>
        <w:rPr>
          <w:sz w:val="2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严重脊髓灰</w:t>
      </w:r>
      <w:r>
        <w:rPr>
          <w:rFonts w:ascii="微软雅黑" w:eastAsia="微软雅黑"/>
          <w:b/>
          <w:spacing w:val="-2"/>
          <w:sz w:val="21"/>
        </w:rPr>
        <w:t>质炎后遗症</w:t>
      </w:r>
    </w:p>
    <w:p>
      <w:pPr>
        <w:pStyle w:val="BodyText"/>
        <w:spacing w:line="278" w:lineRule="auto" w:before="72"/>
        <w:ind w:left="174" w:right="353"/>
        <w:jc w:val="both"/>
      </w:pPr>
      <w:r>
        <w:rPr/>
        <w:br w:type="column"/>
      </w:r>
      <w:r>
        <w:rPr>
          <w:spacing w:val="-2"/>
        </w:rPr>
        <w:t>脊髓灰质炎是由于脊髓灰质炎病毒感染所致的瘫痪性疾病，临床表现为运动功能</w:t>
      </w:r>
      <w:r>
        <w:rPr>
          <w:spacing w:val="-2"/>
        </w:rPr>
        <w:t>损害或呼吸无力。脊髓灰质炎必须明确诊断。本合同仅对脊髓灰质炎造成的神经</w:t>
      </w:r>
      <w:r>
        <w:rPr>
          <w:spacing w:val="-2"/>
        </w:rPr>
        <w:t>系统功能损害导致被保险人一肢或一肢以上肢体机能永久完全丧失的情况予以理</w:t>
      </w:r>
      <w:r>
        <w:rPr>
          <w:spacing w:val="-3"/>
        </w:rPr>
        <w:t>赔。肢体机能永久完全丧失，指疾病确诊 </w:t>
      </w:r>
      <w:r>
        <w:rPr>
          <w:spacing w:val="-2"/>
        </w:rPr>
        <w:t>180</w:t>
      </w:r>
      <w:r>
        <w:rPr>
          <w:spacing w:val="-5"/>
        </w:rPr>
        <w:t> 天后，每肢三大关节中的两大关节</w:t>
      </w:r>
      <w:r>
        <w:rPr>
          <w:spacing w:val="-2"/>
        </w:rPr>
        <w:t>仍然完全僵硬，或不能随意识活动。</w:t>
      </w:r>
    </w:p>
    <w:p>
      <w:pPr>
        <w:spacing w:after="0" w:line="278" w:lineRule="auto"/>
        <w:jc w:val="both"/>
        <w:sectPr>
          <w:type w:val="continuous"/>
          <w:pgSz w:w="11910" w:h="16840"/>
          <w:pgMar w:header="0" w:footer="458" w:top="620" w:bottom="280" w:left="800" w:right="660"/>
          <w:cols w:num="2" w:equalWidth="0">
            <w:col w:w="2486" w:space="40"/>
            <w:col w:w="7924"/>
          </w:cols>
        </w:sectPr>
      </w:pPr>
    </w:p>
    <w:p>
      <w:pPr>
        <w:pStyle w:val="BodyText"/>
        <w:spacing w:before="3"/>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64" w:after="0"/>
        <w:ind w:left="1072" w:right="0" w:firstLine="0"/>
        <w:jc w:val="both"/>
        <w:rPr>
          <w:rFonts w:ascii="微软雅黑" w:eastAsia="微软雅黑"/>
          <w:b/>
          <w:sz w:val="21"/>
        </w:rPr>
      </w:pPr>
      <w:r>
        <w:rPr>
          <w:rFonts w:ascii="微软雅黑" w:eastAsia="微软雅黑"/>
          <w:b/>
          <w:spacing w:val="-2"/>
          <w:sz w:val="21"/>
        </w:rPr>
        <w:t>输血原因致</w:t>
      </w:r>
      <w:r>
        <w:rPr>
          <w:rFonts w:ascii="微软雅黑" w:eastAsia="微软雅黑"/>
          <w:b/>
          <w:spacing w:val="20"/>
          <w:sz w:val="21"/>
        </w:rPr>
        <w:t>人类免疫缺陷</w:t>
      </w:r>
      <w:r>
        <w:rPr>
          <w:rFonts w:ascii="微软雅黑" w:eastAsia="微软雅黑"/>
          <w:b/>
          <w:spacing w:val="-6"/>
          <w:sz w:val="21"/>
        </w:rPr>
        <w:t>病毒（</w:t>
      </w:r>
      <w:r>
        <w:rPr>
          <w:rFonts w:ascii="Times New Roman" w:eastAsia="Times New Roman"/>
          <w:b/>
          <w:spacing w:val="-6"/>
          <w:sz w:val="21"/>
        </w:rPr>
        <w:t>HIV</w:t>
      </w:r>
      <w:r>
        <w:rPr>
          <w:rFonts w:ascii="微软雅黑" w:eastAsia="微软雅黑"/>
          <w:b/>
          <w:spacing w:val="-6"/>
          <w:sz w:val="21"/>
        </w:rPr>
        <w:t>）感</w:t>
      </w:r>
      <w:r>
        <w:rPr>
          <w:rFonts w:ascii="微软雅黑" w:eastAsia="微软雅黑"/>
          <w:b/>
          <w:spacing w:val="-10"/>
          <w:sz w:val="21"/>
        </w:rPr>
        <w:t>染</w:t>
      </w:r>
    </w:p>
    <w:p>
      <w:pPr>
        <w:pStyle w:val="BodyText"/>
        <w:spacing w:before="78"/>
        <w:ind w:left="174"/>
      </w:pPr>
      <w:r>
        <w:rPr/>
        <w:br w:type="column"/>
      </w:r>
      <w:r>
        <w:rPr>
          <w:spacing w:val="-2"/>
        </w:rPr>
        <w:t>被保险人因输血感染上人类免疫缺陷病毒（</w:t>
      </w:r>
      <w:r>
        <w:rPr>
          <w:rFonts w:ascii="Times New Roman" w:eastAsia="Times New Roman"/>
          <w:spacing w:val="-2"/>
        </w:rPr>
        <w:t>HIV</w:t>
      </w:r>
      <w:r>
        <w:rPr>
          <w:spacing w:val="-2"/>
        </w:rPr>
        <w:t>）</w:t>
      </w:r>
      <w:r>
        <w:rPr>
          <w:spacing w:val="-3"/>
        </w:rPr>
        <w:t>并且满足以下所有条件：</w:t>
      </w:r>
    </w:p>
    <w:p>
      <w:pPr>
        <w:pStyle w:val="ListParagraph"/>
        <w:numPr>
          <w:ilvl w:val="0"/>
          <w:numId w:val="65"/>
        </w:numPr>
        <w:tabs>
          <w:tab w:pos="705" w:val="left" w:leader="none"/>
        </w:tabs>
        <w:spacing w:line="240" w:lineRule="auto" w:before="43" w:after="0"/>
        <w:ind w:left="704" w:right="0" w:hanging="531"/>
        <w:jc w:val="left"/>
        <w:rPr>
          <w:sz w:val="21"/>
        </w:rPr>
      </w:pPr>
      <w:r>
        <w:rPr>
          <w:spacing w:val="-4"/>
          <w:sz w:val="21"/>
        </w:rPr>
        <w:t>在保障起始日或复效日之后，被保险人因输血而感染 </w:t>
      </w:r>
      <w:r>
        <w:rPr>
          <w:rFonts w:ascii="Times New Roman" w:eastAsia="Times New Roman"/>
          <w:spacing w:val="-4"/>
          <w:sz w:val="21"/>
        </w:rPr>
        <w:t>HIV</w:t>
      </w:r>
      <w:r>
        <w:rPr>
          <w:spacing w:val="-4"/>
          <w:sz w:val="21"/>
        </w:rPr>
        <w:t>；</w:t>
      </w:r>
    </w:p>
    <w:p>
      <w:pPr>
        <w:pStyle w:val="ListParagraph"/>
        <w:numPr>
          <w:ilvl w:val="0"/>
          <w:numId w:val="65"/>
        </w:numPr>
        <w:tabs>
          <w:tab w:pos="705" w:val="left" w:leader="none"/>
        </w:tabs>
        <w:spacing w:line="278" w:lineRule="auto" w:before="43" w:after="0"/>
        <w:ind w:left="174" w:right="283" w:firstLine="0"/>
        <w:jc w:val="left"/>
        <w:rPr>
          <w:sz w:val="21"/>
        </w:rPr>
      </w:pPr>
      <w:r>
        <w:rPr>
          <w:spacing w:val="-2"/>
          <w:sz w:val="21"/>
        </w:rPr>
        <w:t>提供输血治疗的输血中心或医院出具该项输血感染属医疗责任事故的报告，</w:t>
      </w:r>
      <w:r>
        <w:rPr>
          <w:spacing w:val="-2"/>
          <w:sz w:val="21"/>
        </w:rPr>
        <w:t>或者法院终审裁定为医疗责任；</w:t>
      </w:r>
    </w:p>
    <w:p>
      <w:pPr>
        <w:pStyle w:val="ListParagraph"/>
        <w:numPr>
          <w:ilvl w:val="0"/>
          <w:numId w:val="65"/>
        </w:numPr>
        <w:tabs>
          <w:tab w:pos="705" w:val="left" w:leader="none"/>
        </w:tabs>
        <w:spacing w:line="257" w:lineRule="exact" w:before="0" w:after="0"/>
        <w:ind w:left="704" w:right="0" w:hanging="531"/>
        <w:jc w:val="left"/>
        <w:rPr>
          <w:sz w:val="21"/>
        </w:rPr>
      </w:pPr>
      <w:r>
        <w:rPr>
          <w:spacing w:val="-3"/>
          <w:sz w:val="21"/>
        </w:rPr>
        <w:t>受感染的被保险人不是血友病患者。</w:t>
      </w:r>
    </w:p>
    <w:p>
      <w:pPr>
        <w:spacing w:line="194" w:lineRule="auto" w:before="41"/>
        <w:ind w:left="174" w:right="360" w:firstLine="0"/>
        <w:jc w:val="left"/>
        <w:rPr>
          <w:rFonts w:ascii="微软雅黑" w:eastAsia="微软雅黑"/>
          <w:b/>
          <w:sz w:val="21"/>
        </w:rPr>
      </w:pPr>
      <w:r>
        <w:rPr>
          <w:rFonts w:ascii="微软雅黑" w:eastAsia="微软雅黑"/>
          <w:b/>
          <w:spacing w:val="-2"/>
          <w:w w:val="95"/>
          <w:sz w:val="21"/>
        </w:rPr>
        <w:t>在</w:t>
      </w:r>
      <w:r>
        <w:rPr>
          <w:rFonts w:ascii="微软雅黑" w:eastAsia="微软雅黑"/>
          <w:b/>
          <w:spacing w:val="-2"/>
          <w:w w:val="95"/>
          <w:sz w:val="21"/>
        </w:rPr>
        <w:t>任</w:t>
      </w:r>
      <w:r>
        <w:rPr>
          <w:rFonts w:ascii="微软雅黑" w:eastAsia="微软雅黑"/>
          <w:b/>
          <w:spacing w:val="-2"/>
          <w:w w:val="95"/>
          <w:sz w:val="21"/>
        </w:rPr>
        <w:t>何</w:t>
      </w:r>
      <w:r>
        <w:rPr>
          <w:rFonts w:ascii="微软雅黑" w:eastAsia="微软雅黑"/>
          <w:b/>
          <w:spacing w:val="-2"/>
          <w:w w:val="95"/>
          <w:sz w:val="21"/>
        </w:rPr>
        <w:t>治</w:t>
      </w:r>
      <w:r>
        <w:rPr>
          <w:rFonts w:ascii="微软雅黑" w:eastAsia="微软雅黑"/>
          <w:b/>
          <w:spacing w:val="-2"/>
          <w:w w:val="95"/>
          <w:sz w:val="21"/>
        </w:rPr>
        <w:t>愈</w:t>
      </w:r>
      <w:r>
        <w:rPr>
          <w:rFonts w:ascii="微软雅黑" w:eastAsia="微软雅黑"/>
          <w:b/>
          <w:spacing w:val="-2"/>
          <w:w w:val="95"/>
          <w:sz w:val="21"/>
        </w:rPr>
        <w:t>艾</w:t>
      </w:r>
      <w:r>
        <w:rPr>
          <w:rFonts w:ascii="微软雅黑" w:eastAsia="微软雅黑"/>
          <w:b/>
          <w:spacing w:val="-2"/>
          <w:w w:val="95"/>
          <w:sz w:val="21"/>
        </w:rPr>
        <w:t>滋</w:t>
      </w:r>
      <w:r>
        <w:rPr>
          <w:rFonts w:ascii="微软雅黑" w:eastAsia="微软雅黑"/>
          <w:b/>
          <w:spacing w:val="-2"/>
          <w:w w:val="95"/>
          <w:sz w:val="21"/>
        </w:rPr>
        <w:t>病（AIDS）</w:t>
      </w:r>
      <w:r>
        <w:rPr>
          <w:rFonts w:ascii="微软雅黑" w:eastAsia="微软雅黑"/>
          <w:b/>
          <w:spacing w:val="-2"/>
          <w:w w:val="95"/>
          <w:sz w:val="21"/>
        </w:rPr>
        <w:t>或</w:t>
      </w:r>
      <w:r>
        <w:rPr>
          <w:rFonts w:ascii="微软雅黑" w:eastAsia="微软雅黑"/>
          <w:b/>
          <w:spacing w:val="-2"/>
          <w:w w:val="95"/>
          <w:sz w:val="21"/>
        </w:rPr>
        <w:t>阻</w:t>
      </w:r>
      <w:r>
        <w:rPr>
          <w:rFonts w:ascii="微软雅黑" w:eastAsia="微软雅黑"/>
          <w:b/>
          <w:spacing w:val="-2"/>
          <w:w w:val="95"/>
          <w:sz w:val="21"/>
        </w:rPr>
        <w:t>止</w:t>
      </w:r>
      <w:r>
        <w:rPr>
          <w:rFonts w:ascii="微软雅黑" w:eastAsia="微软雅黑"/>
          <w:b/>
          <w:spacing w:val="-2"/>
          <w:w w:val="95"/>
          <w:sz w:val="21"/>
        </w:rPr>
        <w:t>HIV</w:t>
      </w:r>
      <w:r>
        <w:rPr>
          <w:rFonts w:ascii="微软雅黑" w:eastAsia="微软雅黑"/>
          <w:b/>
          <w:spacing w:val="-2"/>
          <w:w w:val="95"/>
          <w:sz w:val="21"/>
        </w:rPr>
        <w:t>病</w:t>
      </w:r>
      <w:r>
        <w:rPr>
          <w:rFonts w:ascii="微软雅黑" w:eastAsia="微软雅黑"/>
          <w:b/>
          <w:spacing w:val="-2"/>
          <w:w w:val="95"/>
          <w:sz w:val="21"/>
        </w:rPr>
        <w:t>毒</w:t>
      </w:r>
      <w:r>
        <w:rPr>
          <w:rFonts w:ascii="微软雅黑" w:eastAsia="微软雅黑"/>
          <w:b/>
          <w:spacing w:val="-2"/>
          <w:w w:val="95"/>
          <w:sz w:val="21"/>
        </w:rPr>
        <w:t>作</w:t>
      </w:r>
      <w:r>
        <w:rPr>
          <w:rFonts w:ascii="微软雅黑" w:eastAsia="微软雅黑"/>
          <w:b/>
          <w:spacing w:val="-2"/>
          <w:w w:val="95"/>
          <w:sz w:val="21"/>
        </w:rPr>
        <w:t>用</w:t>
      </w:r>
      <w:r>
        <w:rPr>
          <w:rFonts w:ascii="微软雅黑" w:eastAsia="微软雅黑"/>
          <w:b/>
          <w:spacing w:val="-2"/>
          <w:w w:val="95"/>
          <w:sz w:val="21"/>
        </w:rPr>
        <w:t>的</w:t>
      </w:r>
      <w:r>
        <w:rPr>
          <w:rFonts w:ascii="微软雅黑" w:eastAsia="微软雅黑"/>
          <w:b/>
          <w:spacing w:val="-2"/>
          <w:w w:val="95"/>
          <w:sz w:val="21"/>
        </w:rPr>
        <w:t>疗</w:t>
      </w:r>
      <w:r>
        <w:rPr>
          <w:rFonts w:ascii="微软雅黑" w:eastAsia="微软雅黑"/>
          <w:b/>
          <w:spacing w:val="-2"/>
          <w:w w:val="95"/>
          <w:sz w:val="21"/>
        </w:rPr>
        <w:t>法</w:t>
      </w:r>
      <w:r>
        <w:rPr>
          <w:rFonts w:ascii="微软雅黑" w:eastAsia="微软雅黑"/>
          <w:b/>
          <w:spacing w:val="-2"/>
          <w:w w:val="95"/>
          <w:sz w:val="21"/>
        </w:rPr>
        <w:t>被</w:t>
      </w:r>
      <w:r>
        <w:rPr>
          <w:rFonts w:ascii="微软雅黑" w:eastAsia="微软雅黑"/>
          <w:b/>
          <w:spacing w:val="-2"/>
          <w:w w:val="95"/>
          <w:sz w:val="21"/>
        </w:rPr>
        <w:t>发</w:t>
      </w:r>
      <w:r>
        <w:rPr>
          <w:rFonts w:ascii="微软雅黑" w:eastAsia="微软雅黑"/>
          <w:b/>
          <w:spacing w:val="-2"/>
          <w:w w:val="95"/>
          <w:sz w:val="21"/>
        </w:rPr>
        <w:t>现</w:t>
      </w:r>
      <w:r>
        <w:rPr>
          <w:rFonts w:ascii="微软雅黑" w:eastAsia="微软雅黑"/>
          <w:b/>
          <w:spacing w:val="-2"/>
          <w:w w:val="95"/>
          <w:sz w:val="21"/>
        </w:rPr>
        <w:t>以</w:t>
      </w:r>
      <w:r>
        <w:rPr>
          <w:rFonts w:ascii="微软雅黑" w:eastAsia="微软雅黑"/>
          <w:b/>
          <w:spacing w:val="-2"/>
          <w:w w:val="95"/>
          <w:sz w:val="21"/>
        </w:rPr>
        <w:t>后</w:t>
      </w:r>
      <w:r>
        <w:rPr>
          <w:rFonts w:ascii="微软雅黑" w:eastAsia="微软雅黑"/>
          <w:b/>
          <w:spacing w:val="-2"/>
          <w:w w:val="95"/>
          <w:sz w:val="21"/>
        </w:rPr>
        <w:t>，</w:t>
      </w:r>
      <w:r>
        <w:rPr>
          <w:rFonts w:ascii="微软雅黑" w:eastAsia="微软雅黑"/>
          <w:b/>
          <w:spacing w:val="-2"/>
          <w:w w:val="95"/>
          <w:sz w:val="21"/>
        </w:rPr>
        <w:t>或</w:t>
      </w:r>
      <w:r>
        <w:rPr>
          <w:rFonts w:ascii="微软雅黑" w:eastAsia="微软雅黑"/>
          <w:b/>
          <w:spacing w:val="-2"/>
          <w:w w:val="95"/>
          <w:sz w:val="21"/>
        </w:rPr>
        <w:t>能</w:t>
      </w:r>
      <w:r>
        <w:rPr>
          <w:rFonts w:ascii="微软雅黑" w:eastAsia="微软雅黑"/>
          <w:b/>
          <w:spacing w:val="-2"/>
          <w:w w:val="95"/>
          <w:sz w:val="21"/>
        </w:rPr>
        <w:t>防</w:t>
      </w:r>
      <w:r>
        <w:rPr>
          <w:rFonts w:ascii="微软雅黑" w:eastAsia="微软雅黑"/>
          <w:b/>
          <w:spacing w:val="-2"/>
          <w:w w:val="95"/>
          <w:sz w:val="21"/>
        </w:rPr>
        <w:t>止</w:t>
      </w:r>
      <w:r>
        <w:rPr>
          <w:rFonts w:ascii="微软雅黑" w:eastAsia="微软雅黑"/>
          <w:b/>
          <w:spacing w:val="-2"/>
          <w:w w:val="95"/>
          <w:sz w:val="21"/>
        </w:rPr>
        <w:t>AIDS</w:t>
      </w:r>
      <w:r>
        <w:rPr>
          <w:rFonts w:ascii="微软雅黑" w:eastAsia="微软雅黑"/>
          <w:b/>
          <w:spacing w:val="-2"/>
          <w:sz w:val="21"/>
        </w:rPr>
        <w:t>发生的医疗方法被研究出来以后，本保障将不再予以赔付。</w:t>
      </w:r>
    </w:p>
    <w:p>
      <w:pPr>
        <w:spacing w:line="331" w:lineRule="exact" w:before="0"/>
        <w:ind w:left="174" w:right="0" w:firstLine="0"/>
        <w:jc w:val="left"/>
        <w:rPr>
          <w:rFonts w:ascii="微软雅黑" w:eastAsia="微软雅黑"/>
          <w:b/>
          <w:sz w:val="21"/>
        </w:rPr>
      </w:pPr>
      <w:r>
        <w:rPr>
          <w:rFonts w:ascii="微软雅黑" w:eastAsia="微软雅黑"/>
          <w:b/>
          <w:w w:val="95"/>
          <w:sz w:val="21"/>
        </w:rPr>
        <w:t>任</w:t>
      </w:r>
      <w:r>
        <w:rPr>
          <w:rFonts w:ascii="微软雅黑" w:eastAsia="微软雅黑"/>
          <w:b/>
          <w:w w:val="95"/>
          <w:sz w:val="21"/>
        </w:rPr>
        <w:t>何</w:t>
      </w:r>
      <w:r>
        <w:rPr>
          <w:rFonts w:ascii="微软雅黑" w:eastAsia="微软雅黑"/>
          <w:b/>
          <w:w w:val="95"/>
          <w:sz w:val="21"/>
        </w:rPr>
        <w:t>因</w:t>
      </w:r>
      <w:r>
        <w:rPr>
          <w:rFonts w:ascii="微软雅黑" w:eastAsia="微软雅黑"/>
          <w:b/>
          <w:w w:val="95"/>
          <w:sz w:val="21"/>
        </w:rPr>
        <w:t>其</w:t>
      </w:r>
      <w:r>
        <w:rPr>
          <w:rFonts w:ascii="微软雅黑" w:eastAsia="微软雅黑"/>
          <w:b/>
          <w:w w:val="95"/>
          <w:sz w:val="21"/>
        </w:rPr>
        <w:t>他</w:t>
      </w:r>
      <w:r>
        <w:rPr>
          <w:rFonts w:ascii="微软雅黑" w:eastAsia="微软雅黑"/>
          <w:b/>
          <w:w w:val="95"/>
          <w:sz w:val="21"/>
        </w:rPr>
        <w:t>传</w:t>
      </w:r>
      <w:r>
        <w:rPr>
          <w:rFonts w:ascii="微软雅黑" w:eastAsia="微软雅黑"/>
          <w:b/>
          <w:w w:val="95"/>
          <w:sz w:val="21"/>
        </w:rPr>
        <w:t>播</w:t>
      </w:r>
      <w:r>
        <w:rPr>
          <w:rFonts w:ascii="微软雅黑" w:eastAsia="微软雅黑"/>
          <w:b/>
          <w:w w:val="95"/>
          <w:sz w:val="21"/>
        </w:rPr>
        <w:t>方</w:t>
      </w:r>
      <w:r>
        <w:rPr>
          <w:rFonts w:ascii="微软雅黑" w:eastAsia="微软雅黑"/>
          <w:b/>
          <w:w w:val="95"/>
          <w:sz w:val="21"/>
        </w:rPr>
        <w:t>式（包括：</w:t>
      </w:r>
      <w:r>
        <w:rPr>
          <w:rFonts w:ascii="微软雅黑" w:eastAsia="微软雅黑"/>
          <w:b/>
          <w:w w:val="95"/>
          <w:sz w:val="21"/>
        </w:rPr>
        <w:t>性</w:t>
      </w:r>
      <w:r>
        <w:rPr>
          <w:rFonts w:ascii="微软雅黑" w:eastAsia="微软雅黑"/>
          <w:b/>
          <w:w w:val="95"/>
          <w:sz w:val="21"/>
        </w:rPr>
        <w:t>传</w:t>
      </w:r>
      <w:r>
        <w:rPr>
          <w:rFonts w:ascii="微软雅黑" w:eastAsia="微软雅黑"/>
          <w:b/>
          <w:w w:val="95"/>
          <w:sz w:val="21"/>
        </w:rPr>
        <w:t>播</w:t>
      </w:r>
      <w:r>
        <w:rPr>
          <w:rFonts w:ascii="微软雅黑" w:eastAsia="微软雅黑"/>
          <w:b/>
          <w:w w:val="95"/>
          <w:sz w:val="21"/>
        </w:rPr>
        <w:t>或</w:t>
      </w:r>
      <w:r>
        <w:rPr>
          <w:rFonts w:ascii="微软雅黑" w:eastAsia="微软雅黑"/>
          <w:b/>
          <w:w w:val="95"/>
          <w:sz w:val="21"/>
        </w:rPr>
        <w:t>静</w:t>
      </w:r>
      <w:r>
        <w:rPr>
          <w:rFonts w:ascii="微软雅黑" w:eastAsia="微软雅黑"/>
          <w:b/>
          <w:w w:val="95"/>
          <w:sz w:val="21"/>
        </w:rPr>
        <w:t>脉</w:t>
      </w:r>
      <w:r>
        <w:rPr>
          <w:rFonts w:ascii="微软雅黑" w:eastAsia="微软雅黑"/>
          <w:b/>
          <w:w w:val="95"/>
          <w:sz w:val="21"/>
        </w:rPr>
        <w:t>注</w:t>
      </w:r>
      <w:r>
        <w:rPr>
          <w:rFonts w:ascii="微软雅黑" w:eastAsia="微软雅黑"/>
          <w:b/>
          <w:w w:val="95"/>
          <w:sz w:val="21"/>
        </w:rPr>
        <w:t>射</w:t>
      </w:r>
      <w:r>
        <w:rPr>
          <w:rFonts w:ascii="微软雅黑" w:eastAsia="微软雅黑"/>
          <w:b/>
          <w:w w:val="95"/>
          <w:sz w:val="21"/>
        </w:rPr>
        <w:t>毒品）</w:t>
      </w:r>
      <w:r>
        <w:rPr>
          <w:rFonts w:ascii="微软雅黑" w:eastAsia="微软雅黑"/>
          <w:b/>
          <w:w w:val="95"/>
          <w:sz w:val="21"/>
        </w:rPr>
        <w:t>导</w:t>
      </w:r>
      <w:r>
        <w:rPr>
          <w:rFonts w:ascii="微软雅黑" w:eastAsia="微软雅黑"/>
          <w:b/>
          <w:w w:val="95"/>
          <w:sz w:val="21"/>
        </w:rPr>
        <w:t>致</w:t>
      </w:r>
      <w:r>
        <w:rPr>
          <w:rFonts w:ascii="微软雅黑" w:eastAsia="微软雅黑"/>
          <w:b/>
          <w:w w:val="95"/>
          <w:sz w:val="21"/>
        </w:rPr>
        <w:t>的HIV</w:t>
      </w:r>
      <w:r>
        <w:rPr>
          <w:rFonts w:ascii="微软雅黑" w:eastAsia="微软雅黑"/>
          <w:b/>
          <w:w w:val="95"/>
          <w:sz w:val="21"/>
        </w:rPr>
        <w:t>感</w:t>
      </w:r>
      <w:r>
        <w:rPr>
          <w:rFonts w:ascii="微软雅黑" w:eastAsia="微软雅黑"/>
          <w:b/>
          <w:w w:val="95"/>
          <w:sz w:val="21"/>
        </w:rPr>
        <w:t>染</w:t>
      </w:r>
      <w:r>
        <w:rPr>
          <w:rFonts w:ascii="微软雅黑" w:eastAsia="微软雅黑"/>
          <w:b/>
          <w:w w:val="95"/>
          <w:sz w:val="21"/>
        </w:rPr>
        <w:t>不</w:t>
      </w:r>
      <w:r>
        <w:rPr>
          <w:rFonts w:ascii="微软雅黑" w:eastAsia="微软雅黑"/>
          <w:b/>
          <w:w w:val="95"/>
          <w:sz w:val="21"/>
        </w:rPr>
        <w:t>在</w:t>
      </w:r>
      <w:r>
        <w:rPr>
          <w:rFonts w:ascii="微软雅黑" w:eastAsia="微软雅黑"/>
          <w:b/>
          <w:w w:val="95"/>
          <w:sz w:val="21"/>
        </w:rPr>
        <w:t>本</w:t>
      </w:r>
      <w:r>
        <w:rPr>
          <w:rFonts w:ascii="微软雅黑" w:eastAsia="微软雅黑"/>
          <w:b/>
          <w:w w:val="95"/>
          <w:sz w:val="21"/>
        </w:rPr>
        <w:t>保</w:t>
      </w:r>
      <w:r>
        <w:rPr>
          <w:rFonts w:ascii="微软雅黑" w:eastAsia="微软雅黑"/>
          <w:b/>
          <w:spacing w:val="-10"/>
          <w:w w:val="95"/>
          <w:sz w:val="21"/>
        </w:rPr>
        <w:t>障</w:t>
      </w:r>
    </w:p>
    <w:p>
      <w:pPr>
        <w:spacing w:after="0" w:line="331"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line="312" w:lineRule="exact" w:before="3"/>
        <w:ind w:left="2699" w:right="384"/>
      </w:pPr>
      <w:r>
        <w:rPr>
          <w:rFonts w:ascii="微软雅黑" w:eastAsia="微软雅黑"/>
          <w:b/>
          <w:spacing w:val="-2"/>
        </w:rPr>
        <w:t>范围内。</w:t>
      </w:r>
      <w:r>
        <w:rPr>
          <w:spacing w:val="-2"/>
        </w:rPr>
        <w:t>本公司必须拥有获得使用被保险人的所有血液样本的权利和能够对这些</w:t>
      </w:r>
      <w:r>
        <w:rPr>
          <w:spacing w:val="-2"/>
        </w:rPr>
        <w:t>样本进行独立检验的权利。</w:t>
      </w:r>
    </w:p>
    <w:p>
      <w:pPr>
        <w:pStyle w:val="BodyText"/>
        <w:spacing w:before="11"/>
      </w:pPr>
    </w:p>
    <w:p>
      <w:pPr>
        <w:spacing w:after="0"/>
        <w:sectPr>
          <w:pgSz w:w="11910" w:h="16840"/>
          <w:pgMar w:header="0" w:footer="458" w:top="1260" w:bottom="64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肌营养不良</w:t>
      </w:r>
      <w:r>
        <w:rPr>
          <w:rFonts w:ascii="微软雅黑" w:eastAsia="微软雅黑"/>
          <w:b/>
          <w:spacing w:val="-10"/>
          <w:sz w:val="21"/>
        </w:rPr>
        <w:t>症</w:t>
      </w:r>
    </w:p>
    <w:p>
      <w:pPr>
        <w:pStyle w:val="BodyText"/>
        <w:spacing w:line="278" w:lineRule="auto" w:before="72"/>
        <w:ind w:left="174" w:right="359"/>
        <w:jc w:val="both"/>
      </w:pPr>
      <w:r>
        <w:rPr/>
        <w:br w:type="column"/>
      </w:r>
      <w:r>
        <w:rPr>
          <w:spacing w:val="-2"/>
        </w:rPr>
        <w:t>肌营养不良症是一组遗传性肌肉变性性病变，临床特征为与神经系统无关的肌肉</w:t>
      </w:r>
      <w:r>
        <w:rPr>
          <w:spacing w:val="-2"/>
        </w:rPr>
        <w:t>无力和肌肉萎缩。须满足自主生活能力完全丧失，无法独立完成六项基本日常生</w:t>
      </w:r>
      <w:r>
        <w:rPr>
          <w:spacing w:val="-2"/>
        </w:rPr>
        <w:t>活活动中的三项或三项以上。</w:t>
      </w:r>
    </w:p>
    <w:p>
      <w:pPr>
        <w:spacing w:after="0" w:line="278" w:lineRule="auto"/>
        <w:jc w:val="both"/>
        <w:sectPr>
          <w:type w:val="continuous"/>
          <w:pgSz w:w="11910" w:h="16840"/>
          <w:pgMar w:header="0" w:footer="458" w:top="620" w:bottom="280" w:left="800" w:right="660"/>
          <w:cols w:num="2" w:equalWidth="0">
            <w:col w:w="2486" w:space="40"/>
            <w:col w:w="792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both"/>
        <w:rPr>
          <w:rFonts w:ascii="微软雅黑" w:eastAsia="微软雅黑"/>
          <w:b/>
          <w:sz w:val="21"/>
        </w:rPr>
      </w:pPr>
      <w:r>
        <w:rPr>
          <w:rFonts w:ascii="微软雅黑" w:eastAsia="微软雅黑"/>
          <w:b/>
          <w:spacing w:val="-2"/>
          <w:sz w:val="21"/>
        </w:rPr>
        <w:t>破裂脑动脉</w:t>
      </w:r>
      <w:r>
        <w:rPr>
          <w:rFonts w:ascii="微软雅黑" w:eastAsia="微软雅黑"/>
          <w:b/>
          <w:spacing w:val="20"/>
          <w:sz w:val="21"/>
        </w:rPr>
        <w:t>瘤开颅夹闭手</w:t>
      </w:r>
      <w:r>
        <w:rPr>
          <w:rFonts w:ascii="微软雅黑" w:eastAsia="微软雅黑"/>
          <w:b/>
          <w:spacing w:val="-10"/>
          <w:sz w:val="21"/>
        </w:rPr>
        <w:t>术</w:t>
      </w:r>
    </w:p>
    <w:p>
      <w:pPr>
        <w:pStyle w:val="BodyText"/>
        <w:spacing w:line="278" w:lineRule="auto" w:before="72"/>
        <w:ind w:left="174" w:right="359"/>
      </w:pPr>
      <w:r>
        <w:rPr/>
        <w:br w:type="column"/>
      </w:r>
      <w:r>
        <w:rPr>
          <w:spacing w:val="-2"/>
        </w:rPr>
        <w:t>指因脑动脉瘤破裂造成蛛网膜下腔出血，被保险人实际接受了在全麻下进行的开</w:t>
      </w:r>
      <w:r>
        <w:rPr>
          <w:spacing w:val="-2"/>
        </w:rPr>
        <w:t>颅脑动脉瘤夹闭手术。</w:t>
      </w:r>
    </w:p>
    <w:p>
      <w:pPr>
        <w:spacing w:line="282" w:lineRule="exact" w:before="0"/>
        <w:ind w:left="174" w:right="0" w:firstLine="0"/>
        <w:jc w:val="left"/>
        <w:rPr>
          <w:rFonts w:ascii="微软雅黑" w:eastAsia="微软雅黑"/>
          <w:b/>
          <w:sz w:val="21"/>
        </w:rPr>
      </w:pPr>
      <w:r>
        <w:rPr>
          <w:rFonts w:ascii="微软雅黑" w:eastAsia="微软雅黑"/>
          <w:b/>
          <w:spacing w:val="-2"/>
          <w:sz w:val="21"/>
        </w:rPr>
        <w:t>脑动脉瘤（未破裂）</w:t>
      </w:r>
      <w:r>
        <w:rPr>
          <w:rFonts w:ascii="微软雅黑" w:eastAsia="微软雅黑"/>
          <w:b/>
          <w:spacing w:val="-3"/>
          <w:sz w:val="21"/>
        </w:rPr>
        <w:t>预防性手术、颅骨打孔手术、动脉瘤栓塞手术、血管内手术</w:t>
      </w:r>
    </w:p>
    <w:p>
      <w:pPr>
        <w:spacing w:line="350" w:lineRule="exact" w:before="0"/>
        <w:ind w:left="174" w:right="0" w:firstLine="0"/>
        <w:jc w:val="left"/>
        <w:rPr>
          <w:rFonts w:ascii="微软雅黑" w:eastAsia="微软雅黑"/>
          <w:b/>
          <w:sz w:val="21"/>
        </w:rPr>
      </w:pPr>
      <w:r>
        <w:rPr>
          <w:rFonts w:ascii="微软雅黑" w:eastAsia="微软雅黑"/>
          <w:b/>
          <w:spacing w:val="-3"/>
          <w:sz w:val="21"/>
        </w:rPr>
        <w:t>及其他颅脑手术不在本保障范围内。</w:t>
      </w:r>
    </w:p>
    <w:p>
      <w:pPr>
        <w:spacing w:after="0" w:line="350"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严重弥漫性</w:t>
      </w:r>
      <w:r>
        <w:rPr>
          <w:rFonts w:ascii="微软雅黑" w:eastAsia="微软雅黑"/>
          <w:b/>
          <w:spacing w:val="-2"/>
          <w:sz w:val="21"/>
        </w:rPr>
        <w:t>系统性硬皮病</w:t>
      </w:r>
    </w:p>
    <w:p>
      <w:pPr>
        <w:pStyle w:val="BodyText"/>
        <w:spacing w:line="278" w:lineRule="auto" w:before="72"/>
        <w:ind w:left="174" w:right="359"/>
        <w:jc w:val="both"/>
      </w:pPr>
      <w:r>
        <w:rPr/>
        <w:br w:type="column"/>
      </w:r>
      <w:r>
        <w:rPr>
          <w:spacing w:val="-2"/>
        </w:rPr>
        <w:t>一种系统性胶原血管病引起进行性的皮肤、血管和内脏器官的弥漫性纤维化。诊</w:t>
      </w:r>
      <w:r>
        <w:rPr>
          <w:spacing w:val="-2"/>
        </w:rPr>
        <w:t>断必须明确并由活检和血清学证据支持并且疾病已经影响到心脏、肺或肾脏等内</w:t>
      </w:r>
      <w:r>
        <w:rPr>
          <w:spacing w:val="-2"/>
        </w:rPr>
        <w:t>脏器官并且达到下列标准之一。</w:t>
      </w:r>
    </w:p>
    <w:p>
      <w:pPr>
        <w:pStyle w:val="ListParagraph"/>
        <w:numPr>
          <w:ilvl w:val="0"/>
          <w:numId w:val="66"/>
        </w:numPr>
        <w:tabs>
          <w:tab w:pos="705" w:val="left" w:leader="none"/>
        </w:tabs>
        <w:spacing w:line="240" w:lineRule="auto" w:before="0" w:after="0"/>
        <w:ind w:left="704" w:right="0" w:hanging="531"/>
        <w:jc w:val="left"/>
        <w:rPr>
          <w:sz w:val="21"/>
        </w:rPr>
      </w:pPr>
      <w:r>
        <w:rPr>
          <w:spacing w:val="-3"/>
          <w:sz w:val="21"/>
        </w:rPr>
        <w:t>肺纤维化，已经出现肺动脉高压、肺心病；</w:t>
      </w:r>
    </w:p>
    <w:p>
      <w:pPr>
        <w:pStyle w:val="ListParagraph"/>
        <w:numPr>
          <w:ilvl w:val="0"/>
          <w:numId w:val="66"/>
        </w:numPr>
        <w:tabs>
          <w:tab w:pos="705" w:val="left" w:leader="none"/>
        </w:tabs>
        <w:spacing w:line="278" w:lineRule="auto" w:before="43" w:after="0"/>
        <w:ind w:left="174" w:right="353" w:firstLine="0"/>
        <w:jc w:val="left"/>
        <w:rPr>
          <w:sz w:val="21"/>
        </w:rPr>
      </w:pPr>
      <w:r>
        <w:rPr>
          <w:spacing w:val="-8"/>
          <w:w w:val="100"/>
          <w:sz w:val="21"/>
        </w:rPr>
        <w:t>心脏损害，心脏功能衰竭程度达到纽约心脏病学会的心功能分级标准之心</w:t>
      </w:r>
      <w:r>
        <w:rPr>
          <w:spacing w:val="-7"/>
          <w:w w:val="100"/>
          <w:sz w:val="21"/>
        </w:rPr>
        <w:t>功能Ⅳ级；</w:t>
      </w:r>
    </w:p>
    <w:p>
      <w:pPr>
        <w:pStyle w:val="ListParagraph"/>
        <w:numPr>
          <w:ilvl w:val="0"/>
          <w:numId w:val="66"/>
        </w:numPr>
        <w:tabs>
          <w:tab w:pos="705" w:val="left" w:leader="none"/>
        </w:tabs>
        <w:spacing w:line="257" w:lineRule="exact" w:before="0" w:after="0"/>
        <w:ind w:left="704" w:right="0" w:hanging="531"/>
        <w:jc w:val="left"/>
        <w:rPr>
          <w:sz w:val="21"/>
        </w:rPr>
      </w:pPr>
      <w:r>
        <w:rPr>
          <w:spacing w:val="-3"/>
          <w:sz w:val="21"/>
        </w:rPr>
        <w:t>肾脏损害，已经出现肾功能衰竭。</w:t>
      </w:r>
    </w:p>
    <w:p>
      <w:pPr>
        <w:spacing w:line="337" w:lineRule="exact" w:before="0"/>
        <w:ind w:left="174" w:right="0" w:firstLine="0"/>
        <w:jc w:val="left"/>
        <w:rPr>
          <w:rFonts w:ascii="微软雅黑" w:eastAsia="微软雅黑"/>
          <w:b/>
          <w:sz w:val="21"/>
        </w:rPr>
      </w:pPr>
      <w:r>
        <w:rPr>
          <w:rFonts w:ascii="微软雅黑" w:eastAsia="微软雅黑"/>
          <w:b/>
          <w:spacing w:val="-3"/>
          <w:sz w:val="21"/>
        </w:rPr>
        <w:t>下列疾病不在本保障范围内：</w:t>
      </w:r>
    </w:p>
    <w:p>
      <w:pPr>
        <w:pStyle w:val="ListParagraph"/>
        <w:numPr>
          <w:ilvl w:val="0"/>
          <w:numId w:val="67"/>
        </w:numPr>
        <w:tabs>
          <w:tab w:pos="705" w:val="left" w:leader="none"/>
        </w:tabs>
        <w:spacing w:line="312" w:lineRule="exact" w:before="0" w:after="0"/>
        <w:ind w:left="704" w:right="0" w:hanging="531"/>
        <w:jc w:val="left"/>
        <w:rPr>
          <w:rFonts w:ascii="微软雅黑" w:eastAsia="微软雅黑"/>
          <w:b/>
          <w:sz w:val="21"/>
        </w:rPr>
      </w:pPr>
      <w:r>
        <w:rPr>
          <w:rFonts w:ascii="微软雅黑" w:eastAsia="微软雅黑"/>
          <w:b/>
          <w:spacing w:val="-2"/>
          <w:sz w:val="21"/>
        </w:rPr>
        <w:t>局限硬皮病；</w:t>
      </w:r>
    </w:p>
    <w:p>
      <w:pPr>
        <w:pStyle w:val="ListParagraph"/>
        <w:numPr>
          <w:ilvl w:val="0"/>
          <w:numId w:val="67"/>
        </w:numPr>
        <w:tabs>
          <w:tab w:pos="705" w:val="left" w:leader="none"/>
        </w:tabs>
        <w:spacing w:line="312" w:lineRule="exact" w:before="0" w:after="0"/>
        <w:ind w:left="704" w:right="0" w:hanging="531"/>
        <w:jc w:val="left"/>
        <w:rPr>
          <w:rFonts w:ascii="微软雅黑" w:eastAsia="微软雅黑"/>
          <w:b/>
          <w:sz w:val="21"/>
        </w:rPr>
      </w:pPr>
      <w:r>
        <w:rPr>
          <w:rFonts w:ascii="微软雅黑" w:eastAsia="微软雅黑"/>
          <w:b/>
          <w:spacing w:val="-2"/>
          <w:sz w:val="21"/>
        </w:rPr>
        <w:t>嗜酸细胞筋膜炎；</w:t>
      </w:r>
    </w:p>
    <w:p>
      <w:pPr>
        <w:pStyle w:val="ListParagraph"/>
        <w:numPr>
          <w:ilvl w:val="0"/>
          <w:numId w:val="67"/>
        </w:numPr>
        <w:tabs>
          <w:tab w:pos="705" w:val="left" w:leader="none"/>
        </w:tabs>
        <w:spacing w:line="350" w:lineRule="exact" w:before="0" w:after="0"/>
        <w:ind w:left="704" w:right="0" w:hanging="531"/>
        <w:jc w:val="left"/>
        <w:rPr>
          <w:rFonts w:ascii="微软雅黑" w:eastAsia="微软雅黑"/>
          <w:b/>
          <w:sz w:val="21"/>
        </w:rPr>
      </w:pPr>
      <w:r>
        <w:rPr>
          <w:rFonts w:ascii="微软雅黑" w:eastAsia="微软雅黑"/>
          <w:b/>
          <w:w w:val="85"/>
          <w:sz w:val="21"/>
        </w:rPr>
        <w:t>CREST</w:t>
      </w:r>
      <w:r>
        <w:rPr>
          <w:rFonts w:ascii="微软雅黑" w:eastAsia="微软雅黑"/>
          <w:b/>
          <w:w w:val="85"/>
          <w:sz w:val="21"/>
        </w:rPr>
        <w:t>综</w:t>
      </w:r>
      <w:r>
        <w:rPr>
          <w:rFonts w:ascii="微软雅黑" w:eastAsia="微软雅黑"/>
          <w:b/>
          <w:w w:val="85"/>
          <w:sz w:val="21"/>
        </w:rPr>
        <w:t>合</w:t>
      </w:r>
      <w:r>
        <w:rPr>
          <w:rFonts w:ascii="微软雅黑" w:eastAsia="微软雅黑"/>
          <w:b/>
          <w:w w:val="85"/>
          <w:sz w:val="21"/>
        </w:rPr>
        <w:t>征</w:t>
      </w:r>
      <w:r>
        <w:rPr>
          <w:rFonts w:ascii="微软雅黑" w:eastAsia="微软雅黑"/>
          <w:b/>
          <w:spacing w:val="-10"/>
          <w:w w:val="85"/>
          <w:sz w:val="21"/>
        </w:rPr>
        <w:t>。</w:t>
      </w:r>
    </w:p>
    <w:p>
      <w:pPr>
        <w:spacing w:after="0" w:line="350"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pStyle w:val="ListParagraph"/>
        <w:numPr>
          <w:ilvl w:val="0"/>
          <w:numId w:val="50"/>
        </w:numPr>
        <w:tabs>
          <w:tab w:pos="1391" w:val="left" w:leader="none"/>
        </w:tabs>
        <w:spacing w:line="256" w:lineRule="auto" w:before="5" w:after="0"/>
        <w:ind w:left="2699" w:right="355" w:hanging="1628"/>
        <w:jc w:val="both"/>
        <w:rPr>
          <w:sz w:val="21"/>
        </w:rPr>
      </w:pPr>
      <w:r>
        <w:rPr>
          <w:rFonts w:ascii="微软雅黑" w:eastAsia="微软雅黑"/>
          <w:b/>
          <w:spacing w:val="31"/>
          <w:sz w:val="21"/>
        </w:rPr>
        <w:t>严重冠心病 </w:t>
      </w:r>
      <w:r>
        <w:rPr>
          <w:sz w:val="21"/>
        </w:rPr>
        <w:t>指被保险人经由冠状动脉造影检查明确诊断为三支主要血管严重狭窄性病变（至</w:t>
      </w:r>
      <w:r>
        <w:rPr>
          <w:spacing w:val="-3"/>
          <w:sz w:val="21"/>
        </w:rPr>
        <w:t>少一支血管管腔直径减少 </w:t>
      </w:r>
      <w:r>
        <w:rPr>
          <w:spacing w:val="-2"/>
          <w:sz w:val="21"/>
        </w:rPr>
        <w:t>75%</w:t>
      </w:r>
      <w:r>
        <w:rPr>
          <w:spacing w:val="-3"/>
          <w:sz w:val="21"/>
        </w:rPr>
        <w:t>以上和其他两支血管管腔直径减少 </w:t>
      </w:r>
      <w:r>
        <w:rPr>
          <w:spacing w:val="-2"/>
          <w:sz w:val="21"/>
        </w:rPr>
        <w:t>60%以上</w:t>
      </w:r>
      <w:r>
        <w:rPr>
          <w:spacing w:val="-108"/>
          <w:sz w:val="21"/>
        </w:rPr>
        <w:t>）</w:t>
      </w:r>
      <w:r>
        <w:rPr>
          <w:spacing w:val="-2"/>
          <w:sz w:val="21"/>
        </w:rPr>
        <w:t>。冠状</w:t>
      </w:r>
      <w:r>
        <w:rPr>
          <w:spacing w:val="-2"/>
          <w:sz w:val="21"/>
        </w:rPr>
        <w:t>动脉主要血管指左冠状动脉主干、前降支、左旋支及右冠状动脉。</w:t>
      </w:r>
    </w:p>
    <w:p>
      <w:pPr>
        <w:spacing w:line="334" w:lineRule="exact" w:before="0"/>
        <w:ind w:left="2699" w:right="0" w:firstLine="0"/>
        <w:jc w:val="left"/>
        <w:rPr>
          <w:rFonts w:ascii="微软雅黑" w:eastAsia="微软雅黑"/>
          <w:b/>
          <w:sz w:val="21"/>
        </w:rPr>
      </w:pPr>
      <w:r>
        <w:rPr>
          <w:rFonts w:ascii="微软雅黑" w:eastAsia="微软雅黑"/>
          <w:b/>
          <w:spacing w:val="-3"/>
          <w:sz w:val="21"/>
        </w:rPr>
        <w:t>前降支、左旋支及右冠状动脉的分支血管的狭窄不作为本保障的衡量指标。</w:t>
      </w: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严重慢性复</w:t>
      </w:r>
      <w:r>
        <w:rPr>
          <w:rFonts w:ascii="微软雅黑" w:eastAsia="微软雅黑"/>
          <w:b/>
          <w:spacing w:val="-2"/>
          <w:sz w:val="21"/>
        </w:rPr>
        <w:t>发性胰腺炎</w:t>
      </w:r>
    </w:p>
    <w:p>
      <w:pPr>
        <w:pStyle w:val="BodyText"/>
        <w:spacing w:line="278" w:lineRule="auto" w:before="72"/>
        <w:ind w:left="174" w:right="248"/>
      </w:pPr>
      <w:r>
        <w:rPr/>
        <w:br w:type="column"/>
      </w:r>
      <w:r>
        <w:rPr>
          <w:spacing w:val="-3"/>
          <w:w w:val="100"/>
        </w:rPr>
        <w:t>指慢性反复发作的胰腺炎症导致胰腺的广泛纤维化、坏死、弥漫性钙化及假性囊</w:t>
      </w:r>
      <w:r>
        <w:rPr>
          <w:spacing w:val="-10"/>
          <w:w w:val="100"/>
        </w:rPr>
        <w:t>肿形成，造成胰腺功能障碍出现严重糖尿病和营养不良。必须满足下列所有条件：</w:t>
      </w:r>
    </w:p>
    <w:p>
      <w:pPr>
        <w:pStyle w:val="ListParagraph"/>
        <w:numPr>
          <w:ilvl w:val="0"/>
          <w:numId w:val="68"/>
        </w:numPr>
        <w:tabs>
          <w:tab w:pos="705" w:val="left" w:leader="none"/>
        </w:tabs>
        <w:spacing w:line="269" w:lineRule="exact" w:before="0" w:after="0"/>
        <w:ind w:left="704" w:right="0" w:hanging="531"/>
        <w:jc w:val="left"/>
        <w:rPr>
          <w:sz w:val="21"/>
        </w:rPr>
      </w:pPr>
      <w:r>
        <w:rPr>
          <w:spacing w:val="-3"/>
          <w:sz w:val="21"/>
        </w:rPr>
        <w:t>医疗记录证实存在慢性胰腺炎反复急性发作病史；</w:t>
      </w:r>
    </w:p>
    <w:p>
      <w:pPr>
        <w:pStyle w:val="ListParagraph"/>
        <w:numPr>
          <w:ilvl w:val="0"/>
          <w:numId w:val="68"/>
        </w:numPr>
        <w:tabs>
          <w:tab w:pos="705" w:val="left" w:leader="none"/>
        </w:tabs>
        <w:spacing w:line="278" w:lineRule="auto" w:before="43" w:after="0"/>
        <w:ind w:left="174" w:right="356" w:firstLine="0"/>
        <w:jc w:val="left"/>
        <w:rPr>
          <w:sz w:val="21"/>
        </w:rPr>
      </w:pPr>
      <w:r>
        <w:rPr>
          <w:rFonts w:ascii="Times New Roman" w:eastAsia="Times New Roman"/>
          <w:sz w:val="21"/>
        </w:rPr>
        <w:t>CT </w:t>
      </w:r>
      <w:r>
        <w:rPr>
          <w:sz w:val="21"/>
        </w:rPr>
        <w:t>显示胰腺广泛钙化或逆行胰胆管造影（</w:t>
      </w:r>
      <w:r>
        <w:rPr>
          <w:rFonts w:ascii="Times New Roman" w:eastAsia="Times New Roman"/>
          <w:sz w:val="21"/>
        </w:rPr>
        <w:t>ERCP</w:t>
      </w:r>
      <w:r>
        <w:rPr>
          <w:sz w:val="21"/>
        </w:rPr>
        <w:t>）显示胰管扭曲、扩张和</w:t>
      </w:r>
      <w:r>
        <w:rPr>
          <w:spacing w:val="-4"/>
          <w:sz w:val="21"/>
        </w:rPr>
        <w:t>狭窄；</w:t>
      </w:r>
    </w:p>
    <w:p>
      <w:pPr>
        <w:pStyle w:val="ListParagraph"/>
        <w:numPr>
          <w:ilvl w:val="0"/>
          <w:numId w:val="68"/>
        </w:numPr>
        <w:tabs>
          <w:tab w:pos="705" w:val="left" w:leader="none"/>
        </w:tabs>
        <w:spacing w:line="257" w:lineRule="exact" w:before="0" w:after="0"/>
        <w:ind w:left="704" w:right="0" w:hanging="531"/>
        <w:jc w:val="left"/>
        <w:rPr>
          <w:sz w:val="21"/>
        </w:rPr>
      </w:pPr>
      <w:r>
        <w:rPr>
          <w:spacing w:val="-5"/>
          <w:sz w:val="21"/>
        </w:rPr>
        <w:t>持续接受胰岛素替代治疗和酶替代治疗 </w:t>
      </w:r>
      <w:r>
        <w:rPr>
          <w:spacing w:val="-2"/>
          <w:sz w:val="21"/>
        </w:rPr>
        <w:t>180</w:t>
      </w:r>
      <w:r>
        <w:rPr>
          <w:spacing w:val="-14"/>
          <w:sz w:val="21"/>
        </w:rPr>
        <w:t> 天以上。</w:t>
      </w:r>
    </w:p>
    <w:p>
      <w:pPr>
        <w:spacing w:line="375" w:lineRule="exact" w:before="0"/>
        <w:ind w:left="174" w:right="0" w:firstLine="0"/>
        <w:jc w:val="left"/>
        <w:rPr>
          <w:rFonts w:ascii="微软雅黑" w:eastAsia="微软雅黑"/>
          <w:b/>
          <w:sz w:val="21"/>
        </w:rPr>
      </w:pPr>
      <w:r>
        <w:rPr>
          <w:rFonts w:ascii="微软雅黑" w:eastAsia="微软雅黑"/>
          <w:b/>
          <w:spacing w:val="-3"/>
          <w:sz w:val="21"/>
        </w:rPr>
        <w:t>酒精导致的慢性复发性胰腺炎不在本保障范围内。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pStyle w:val="ListParagraph"/>
        <w:numPr>
          <w:ilvl w:val="0"/>
          <w:numId w:val="50"/>
        </w:numPr>
        <w:tabs>
          <w:tab w:pos="1391" w:val="left" w:leader="none"/>
        </w:tabs>
        <w:spacing w:line="312" w:lineRule="exact" w:before="32" w:after="0"/>
        <w:ind w:left="2699" w:right="358" w:hanging="1628"/>
        <w:jc w:val="both"/>
        <w:rPr>
          <w:sz w:val="21"/>
        </w:rPr>
      </w:pPr>
      <w:r>
        <w:rPr>
          <w:rFonts w:ascii="微软雅黑" w:eastAsia="微软雅黑"/>
          <w:b/>
          <w:spacing w:val="11"/>
          <w:sz w:val="21"/>
        </w:rPr>
        <w:t>植物人状态  </w:t>
      </w:r>
      <w:r>
        <w:rPr>
          <w:sz w:val="21"/>
        </w:rPr>
        <w:t>植物人状态系指由于严重颅脑外伤造成大脑和/或脑干严重损害导致完全永久性</w:t>
      </w:r>
      <w:r>
        <w:rPr>
          <w:spacing w:val="-2"/>
          <w:sz w:val="21"/>
        </w:rPr>
        <w:t>的对自身和环境的意识丧失和中枢神经系统功能丧失，仅残存植物神经功能的疾</w:t>
      </w:r>
      <w:r>
        <w:rPr>
          <w:spacing w:val="-2"/>
          <w:sz w:val="21"/>
        </w:rPr>
        <w:t>病状态。诊断必须明确并且具有严重颅脑外伤和脑损害的证据。植物人状态必须</w:t>
      </w:r>
      <w:r>
        <w:rPr>
          <w:spacing w:val="-7"/>
          <w:sz w:val="21"/>
        </w:rPr>
        <w:t>持续 </w:t>
      </w:r>
      <w:r>
        <w:rPr>
          <w:sz w:val="21"/>
        </w:rPr>
        <w:t>30</w:t>
      </w:r>
      <w:r>
        <w:rPr>
          <w:spacing w:val="-5"/>
          <w:sz w:val="21"/>
        </w:rPr>
        <w:t> 天以上方可申请理赔。</w:t>
      </w:r>
    </w:p>
    <w:p>
      <w:pPr>
        <w:pStyle w:val="BodyText"/>
        <w:spacing w:before="11"/>
      </w:pPr>
    </w:p>
    <w:p>
      <w:pPr>
        <w:spacing w:after="0"/>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both"/>
        <w:rPr>
          <w:rFonts w:ascii="微软雅黑" w:eastAsia="微软雅黑"/>
          <w:b/>
          <w:sz w:val="21"/>
        </w:rPr>
      </w:pPr>
      <w:r>
        <w:rPr>
          <w:rFonts w:ascii="微软雅黑" w:eastAsia="微软雅黑"/>
          <w:b/>
          <w:spacing w:val="-2"/>
          <w:sz w:val="21"/>
        </w:rPr>
        <w:t>重症急性坏</w:t>
      </w:r>
      <w:r>
        <w:rPr>
          <w:rFonts w:ascii="微软雅黑" w:eastAsia="微软雅黑"/>
          <w:b/>
          <w:spacing w:val="20"/>
          <w:sz w:val="21"/>
        </w:rPr>
        <w:t>死性筋膜炎截</w:t>
      </w:r>
      <w:r>
        <w:rPr>
          <w:rFonts w:ascii="微软雅黑" w:eastAsia="微软雅黑"/>
          <w:b/>
          <w:spacing w:val="-10"/>
          <w:sz w:val="21"/>
        </w:rPr>
        <w:t>肢</w:t>
      </w:r>
    </w:p>
    <w:p>
      <w:pPr>
        <w:pStyle w:val="BodyText"/>
        <w:spacing w:line="278" w:lineRule="auto" w:before="72"/>
        <w:ind w:left="174" w:right="248"/>
      </w:pPr>
      <w:r>
        <w:rPr/>
        <w:br w:type="column"/>
      </w:r>
      <w:r>
        <w:rPr>
          <w:spacing w:val="-5"/>
        </w:rPr>
        <w:t>是一种由细菌侵入皮下组织和筋膜引起的急性坏死性软组织感染，可伴有毒血症、</w:t>
      </w:r>
      <w:r>
        <w:rPr>
          <w:spacing w:val="-5"/>
        </w:rPr>
        <w:t>败血症、中毒性休克、弥漫性血管内凝血及多器官衰竭。必须满足下列所有条件：</w:t>
      </w:r>
    </w:p>
    <w:p>
      <w:pPr>
        <w:pStyle w:val="ListParagraph"/>
        <w:numPr>
          <w:ilvl w:val="0"/>
          <w:numId w:val="69"/>
        </w:numPr>
        <w:tabs>
          <w:tab w:pos="705" w:val="left" w:leader="none"/>
        </w:tabs>
        <w:spacing w:line="269" w:lineRule="exact" w:before="0" w:after="0"/>
        <w:ind w:left="704" w:right="0" w:hanging="531"/>
        <w:jc w:val="left"/>
        <w:rPr>
          <w:sz w:val="21"/>
        </w:rPr>
      </w:pPr>
      <w:r>
        <w:rPr>
          <w:spacing w:val="-3"/>
          <w:sz w:val="21"/>
        </w:rPr>
        <w:t>细菌培养和临床表现符合坏死性筋膜炎诊断标准；</w:t>
      </w:r>
    </w:p>
    <w:p>
      <w:pPr>
        <w:pStyle w:val="ListParagraph"/>
        <w:numPr>
          <w:ilvl w:val="0"/>
          <w:numId w:val="69"/>
        </w:numPr>
        <w:tabs>
          <w:tab w:pos="705" w:val="left" w:leader="none"/>
        </w:tabs>
        <w:spacing w:line="240" w:lineRule="auto" w:before="43" w:after="0"/>
        <w:ind w:left="704" w:right="0" w:hanging="531"/>
        <w:jc w:val="left"/>
        <w:rPr>
          <w:sz w:val="21"/>
        </w:rPr>
      </w:pPr>
      <w:r>
        <w:rPr>
          <w:spacing w:val="-3"/>
          <w:sz w:val="21"/>
        </w:rPr>
        <w:t>病情迅速恶化，有脓毒血症表现；</w:t>
      </w:r>
    </w:p>
    <w:p>
      <w:pPr>
        <w:spacing w:after="0" w:line="240" w:lineRule="auto"/>
        <w:jc w:val="left"/>
        <w:rPr>
          <w:sz w:val="21"/>
        </w:rPr>
        <w:sectPr>
          <w:type w:val="continuous"/>
          <w:pgSz w:w="11910" w:h="16840"/>
          <w:pgMar w:header="0" w:footer="458" w:top="620" w:bottom="280" w:left="800" w:right="660"/>
          <w:cols w:num="2" w:equalWidth="0">
            <w:col w:w="2486" w:space="40"/>
            <w:col w:w="7924"/>
          </w:cols>
        </w:sectPr>
      </w:pPr>
    </w:p>
    <w:p>
      <w:pPr>
        <w:pStyle w:val="ListParagraph"/>
        <w:numPr>
          <w:ilvl w:val="0"/>
          <w:numId w:val="69"/>
        </w:numPr>
        <w:tabs>
          <w:tab w:pos="3230" w:val="left" w:leader="none"/>
        </w:tabs>
        <w:spacing w:line="240" w:lineRule="auto" w:before="43" w:after="0"/>
        <w:ind w:left="3229" w:right="0" w:hanging="531"/>
        <w:jc w:val="left"/>
        <w:rPr>
          <w:sz w:val="21"/>
        </w:rPr>
      </w:pPr>
      <w:r>
        <w:rPr>
          <w:spacing w:val="-2"/>
          <w:sz w:val="21"/>
        </w:rPr>
        <w:t>受感染肢体被截肢（自腕关节或踝关节近端</w:t>
      </w:r>
      <w:r>
        <w:rPr>
          <w:spacing w:val="-108"/>
          <w:sz w:val="21"/>
        </w:rPr>
        <w:t>）</w:t>
      </w:r>
      <w:r>
        <w:rPr>
          <w:spacing w:val="-10"/>
          <w:sz w:val="21"/>
        </w:rPr>
        <w:t>。</w:t>
      </w:r>
    </w:p>
    <w:p>
      <w:pPr>
        <w:pStyle w:val="BodyText"/>
        <w:spacing w:before="11"/>
        <w:rPr>
          <w:sz w:val="22"/>
        </w:rPr>
      </w:pPr>
    </w:p>
    <w:p>
      <w:pPr>
        <w:pStyle w:val="ListParagraph"/>
        <w:numPr>
          <w:ilvl w:val="0"/>
          <w:numId w:val="50"/>
        </w:numPr>
        <w:tabs>
          <w:tab w:pos="1391" w:val="left" w:leader="none"/>
          <w:tab w:pos="2699" w:val="left" w:leader="none"/>
        </w:tabs>
        <w:spacing w:line="235" w:lineRule="auto" w:before="0" w:after="0"/>
        <w:ind w:left="2699" w:right="359" w:hanging="1628"/>
        <w:jc w:val="left"/>
        <w:rPr>
          <w:sz w:val="21"/>
        </w:rPr>
      </w:pPr>
      <w:r>
        <w:rPr>
          <w:rFonts w:ascii="微软雅黑" w:eastAsia="微软雅黑"/>
          <w:b/>
          <w:spacing w:val="-2"/>
          <w:sz w:val="21"/>
        </w:rPr>
        <w:t>嗜</w:t>
      </w:r>
      <w:r>
        <w:rPr>
          <w:rFonts w:ascii="微软雅黑" w:eastAsia="微软雅黑"/>
          <w:b/>
          <w:spacing w:val="-2"/>
          <w:sz w:val="21"/>
        </w:rPr>
        <w:t>铬</w:t>
      </w:r>
      <w:r>
        <w:rPr>
          <w:rFonts w:ascii="微软雅黑" w:eastAsia="微软雅黑"/>
          <w:b/>
          <w:spacing w:val="-2"/>
          <w:sz w:val="21"/>
        </w:rPr>
        <w:t>细</w:t>
      </w:r>
      <w:r>
        <w:rPr>
          <w:rFonts w:ascii="微软雅黑" w:eastAsia="微软雅黑"/>
          <w:b/>
          <w:spacing w:val="-2"/>
          <w:sz w:val="21"/>
        </w:rPr>
        <w:t>胞</w:t>
      </w:r>
      <w:r>
        <w:rPr>
          <w:rFonts w:ascii="微软雅黑" w:eastAsia="微软雅黑"/>
          <w:b/>
          <w:spacing w:val="-2"/>
          <w:sz w:val="21"/>
        </w:rPr>
        <w:t>瘤</w:t>
      </w:r>
      <w:r>
        <w:rPr>
          <w:rFonts w:ascii="微软雅黑" w:eastAsia="微软雅黑"/>
          <w:b/>
          <w:sz w:val="21"/>
        </w:rPr>
        <w:tab/>
      </w:r>
      <w:r>
        <w:rPr>
          <w:spacing w:val="-2"/>
          <w:sz w:val="21"/>
        </w:rPr>
        <w:t>指</w:t>
      </w:r>
      <w:r>
        <w:rPr>
          <w:spacing w:val="-2"/>
          <w:sz w:val="21"/>
        </w:rPr>
        <w:t>发</w:t>
      </w:r>
      <w:r>
        <w:rPr>
          <w:spacing w:val="-2"/>
          <w:sz w:val="21"/>
        </w:rPr>
        <w:t>生</w:t>
      </w:r>
      <w:r>
        <w:rPr>
          <w:spacing w:val="-2"/>
          <w:sz w:val="21"/>
        </w:rPr>
        <w:t>在</w:t>
      </w:r>
      <w:r>
        <w:rPr>
          <w:spacing w:val="-2"/>
          <w:sz w:val="21"/>
        </w:rPr>
        <w:t>肾</w:t>
      </w:r>
      <w:r>
        <w:rPr>
          <w:spacing w:val="-2"/>
          <w:sz w:val="21"/>
        </w:rPr>
        <w:t>上</w:t>
      </w:r>
      <w:r>
        <w:rPr>
          <w:spacing w:val="-2"/>
          <w:sz w:val="21"/>
        </w:rPr>
        <w:t>腺</w:t>
      </w:r>
      <w:r>
        <w:rPr>
          <w:spacing w:val="-2"/>
          <w:sz w:val="21"/>
        </w:rPr>
        <w:t>或</w:t>
      </w:r>
      <w:r>
        <w:rPr>
          <w:spacing w:val="-2"/>
          <w:sz w:val="21"/>
        </w:rPr>
        <w:t>肾</w:t>
      </w:r>
      <w:r>
        <w:rPr>
          <w:spacing w:val="-2"/>
          <w:sz w:val="21"/>
        </w:rPr>
        <w:t>上</w:t>
      </w:r>
      <w:r>
        <w:rPr>
          <w:spacing w:val="-2"/>
          <w:sz w:val="21"/>
        </w:rPr>
        <w:t>腺</w:t>
      </w:r>
      <w:r>
        <w:rPr>
          <w:spacing w:val="-2"/>
          <w:sz w:val="21"/>
        </w:rPr>
        <w:t>外</w:t>
      </w:r>
      <w:r>
        <w:rPr>
          <w:spacing w:val="-2"/>
          <w:sz w:val="21"/>
        </w:rPr>
        <w:t>嗜</w:t>
      </w:r>
      <w:r>
        <w:rPr>
          <w:spacing w:val="-2"/>
          <w:sz w:val="21"/>
        </w:rPr>
        <w:t>铬</w:t>
      </w:r>
      <w:r>
        <w:rPr>
          <w:spacing w:val="-2"/>
          <w:sz w:val="21"/>
        </w:rPr>
        <w:t>组</w:t>
      </w:r>
      <w:r>
        <w:rPr>
          <w:spacing w:val="-2"/>
          <w:sz w:val="21"/>
        </w:rPr>
        <w:t>织</w:t>
      </w:r>
      <w:r>
        <w:rPr>
          <w:spacing w:val="-2"/>
          <w:sz w:val="21"/>
        </w:rPr>
        <w:t>的</w:t>
      </w:r>
      <w:r>
        <w:rPr>
          <w:spacing w:val="-2"/>
          <w:sz w:val="21"/>
        </w:rPr>
        <w:t>以</w:t>
      </w:r>
      <w:r>
        <w:rPr>
          <w:spacing w:val="-2"/>
          <w:sz w:val="21"/>
        </w:rPr>
        <w:t>分</w:t>
      </w:r>
      <w:r>
        <w:rPr>
          <w:spacing w:val="-2"/>
          <w:sz w:val="21"/>
        </w:rPr>
        <w:t>泌</w:t>
      </w:r>
      <w:r>
        <w:rPr>
          <w:spacing w:val="-2"/>
          <w:sz w:val="21"/>
        </w:rPr>
        <w:t>过</w:t>
      </w:r>
      <w:r>
        <w:rPr>
          <w:spacing w:val="-2"/>
          <w:sz w:val="21"/>
        </w:rPr>
        <w:t>多</w:t>
      </w:r>
      <w:r>
        <w:rPr>
          <w:spacing w:val="-2"/>
          <w:sz w:val="21"/>
        </w:rPr>
        <w:t>的</w:t>
      </w:r>
      <w:r>
        <w:rPr>
          <w:spacing w:val="-2"/>
          <w:sz w:val="21"/>
        </w:rPr>
        <w:t>儿</w:t>
      </w:r>
      <w:r>
        <w:rPr>
          <w:spacing w:val="-2"/>
          <w:sz w:val="21"/>
        </w:rPr>
        <w:t>茶</w:t>
      </w:r>
      <w:r>
        <w:rPr>
          <w:spacing w:val="-2"/>
          <w:sz w:val="21"/>
        </w:rPr>
        <w:t>酚</w:t>
      </w:r>
      <w:r>
        <w:rPr>
          <w:spacing w:val="-2"/>
          <w:sz w:val="21"/>
        </w:rPr>
        <w:t>胺</w:t>
      </w:r>
      <w:r>
        <w:rPr>
          <w:spacing w:val="-2"/>
          <w:sz w:val="21"/>
        </w:rPr>
        <w:t>为</w:t>
      </w:r>
      <w:r>
        <w:rPr>
          <w:spacing w:val="-2"/>
          <w:sz w:val="21"/>
        </w:rPr>
        <w:t>表</w:t>
      </w:r>
      <w:r>
        <w:rPr>
          <w:spacing w:val="-2"/>
          <w:sz w:val="21"/>
        </w:rPr>
        <w:t>现</w:t>
      </w:r>
      <w:r>
        <w:rPr>
          <w:spacing w:val="-2"/>
          <w:sz w:val="21"/>
        </w:rPr>
        <w:t>的</w:t>
      </w:r>
      <w:r>
        <w:rPr>
          <w:spacing w:val="-2"/>
          <w:sz w:val="21"/>
        </w:rPr>
        <w:t>神</w:t>
      </w:r>
      <w:r>
        <w:rPr>
          <w:spacing w:val="-2"/>
          <w:sz w:val="21"/>
        </w:rPr>
        <w:t>经内</w:t>
      </w:r>
      <w:r>
        <w:rPr>
          <w:spacing w:val="-2"/>
          <w:sz w:val="21"/>
        </w:rPr>
        <w:t>分</w:t>
      </w:r>
      <w:r>
        <w:rPr>
          <w:spacing w:val="-2"/>
          <w:sz w:val="21"/>
        </w:rPr>
        <w:t>泌</w:t>
      </w:r>
      <w:r>
        <w:rPr>
          <w:spacing w:val="-2"/>
          <w:sz w:val="21"/>
        </w:rPr>
        <w:t>肿</w:t>
      </w:r>
      <w:r>
        <w:rPr>
          <w:spacing w:val="-2"/>
          <w:sz w:val="21"/>
        </w:rPr>
        <w:t>瘤。嗜铬细胞瘤必须</w:t>
      </w:r>
      <w:r>
        <w:rPr>
          <w:spacing w:val="-2"/>
          <w:sz w:val="21"/>
        </w:rPr>
        <w:t>明</w:t>
      </w:r>
      <w:r>
        <w:rPr>
          <w:spacing w:val="-2"/>
          <w:sz w:val="21"/>
        </w:rPr>
        <w:t>确</w:t>
      </w:r>
      <w:r>
        <w:rPr>
          <w:spacing w:val="-2"/>
          <w:sz w:val="21"/>
        </w:rPr>
        <w:t>诊断，并且满足下列</w:t>
      </w:r>
      <w:r>
        <w:rPr>
          <w:spacing w:val="-2"/>
          <w:sz w:val="21"/>
        </w:rPr>
        <w:t>所</w:t>
      </w:r>
      <w:r>
        <w:rPr>
          <w:spacing w:val="-2"/>
          <w:sz w:val="21"/>
        </w:rPr>
        <w:t>有</w:t>
      </w:r>
      <w:r>
        <w:rPr>
          <w:spacing w:val="-2"/>
          <w:sz w:val="21"/>
        </w:rPr>
        <w:t>条</w:t>
      </w:r>
      <w:r>
        <w:rPr>
          <w:spacing w:val="-2"/>
          <w:sz w:val="21"/>
        </w:rPr>
        <w:t>件</w:t>
      </w:r>
      <w:r>
        <w:rPr>
          <w:spacing w:val="-2"/>
          <w:sz w:val="21"/>
        </w:rPr>
        <w:t>：</w:t>
      </w:r>
    </w:p>
    <w:p>
      <w:pPr>
        <w:pStyle w:val="ListParagraph"/>
        <w:numPr>
          <w:ilvl w:val="0"/>
          <w:numId w:val="70"/>
        </w:numPr>
        <w:tabs>
          <w:tab w:pos="3230" w:val="left" w:leader="none"/>
        </w:tabs>
        <w:spacing w:line="240" w:lineRule="auto" w:before="43" w:after="0"/>
        <w:ind w:left="3229" w:right="0" w:hanging="531"/>
        <w:jc w:val="left"/>
        <w:rPr>
          <w:sz w:val="21"/>
        </w:rPr>
      </w:pPr>
      <w:r>
        <w:rPr>
          <w:spacing w:val="-3"/>
          <w:sz w:val="21"/>
        </w:rPr>
        <w:t>临床有高血压症候群表现；</w:t>
      </w:r>
    </w:p>
    <w:p>
      <w:pPr>
        <w:pStyle w:val="ListParagraph"/>
        <w:numPr>
          <w:ilvl w:val="0"/>
          <w:numId w:val="70"/>
        </w:numPr>
        <w:tabs>
          <w:tab w:pos="3230" w:val="left" w:leader="none"/>
        </w:tabs>
        <w:spacing w:line="240" w:lineRule="auto" w:before="43" w:after="0"/>
        <w:ind w:left="3229" w:right="0" w:hanging="531"/>
        <w:jc w:val="left"/>
        <w:rPr>
          <w:sz w:val="21"/>
        </w:rPr>
      </w:pPr>
      <w:r>
        <w:rPr>
          <w:spacing w:val="-3"/>
          <w:sz w:val="21"/>
        </w:rPr>
        <w:t>已经实施了嗜铬细胞瘤切除手术。</w:t>
      </w:r>
    </w:p>
    <w:p>
      <w:pPr>
        <w:pStyle w:val="BodyText"/>
        <w:spacing w:before="1"/>
        <w:rPr>
          <w:sz w:val="22"/>
        </w:rPr>
      </w:pPr>
    </w:p>
    <w:p>
      <w:pPr>
        <w:spacing w:after="0"/>
        <w:rPr>
          <w:sz w:val="22"/>
        </w:rPr>
        <w:sectPr>
          <w:pgSz w:w="11910" w:h="16840"/>
          <w:pgMar w:header="0" w:footer="458" w:top="1260" w:bottom="64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丝虫感染所</w:t>
      </w:r>
      <w:r>
        <w:rPr>
          <w:rFonts w:ascii="微软雅黑" w:eastAsia="微软雅黑"/>
          <w:b/>
          <w:spacing w:val="-2"/>
          <w:sz w:val="21"/>
        </w:rPr>
        <w:t>致严重象皮病</w:t>
      </w:r>
    </w:p>
    <w:p>
      <w:pPr>
        <w:pStyle w:val="BodyText"/>
        <w:spacing w:line="278" w:lineRule="auto" w:before="72"/>
        <w:ind w:left="174" w:right="358"/>
        <w:jc w:val="both"/>
      </w:pPr>
      <w:r>
        <w:rPr/>
        <w:br w:type="column"/>
      </w:r>
      <w:r>
        <w:rPr>
          <w:spacing w:val="-2"/>
        </w:rPr>
        <w:t>指因丝虫感染导致淋巴循环阻塞出现严重淋巴水肿，达到国际淋巴学会淋巴肿分</w:t>
      </w:r>
      <w:r>
        <w:rPr/>
        <w:t>期第Ⅲ期，临床表现为肢体象皮肿，患肢较健肢增粗 30%以上，日常生活不能自</w:t>
      </w:r>
      <w:r>
        <w:rPr>
          <w:spacing w:val="-6"/>
        </w:rPr>
        <w:t>理。</w:t>
      </w:r>
    </w:p>
    <w:p>
      <w:pPr>
        <w:spacing w:after="0" w:line="278" w:lineRule="auto"/>
        <w:jc w:val="both"/>
        <w:sectPr>
          <w:type w:val="continuous"/>
          <w:pgSz w:w="11910" w:h="16840"/>
          <w:pgMar w:header="0" w:footer="458" w:top="620" w:bottom="280" w:left="800" w:right="660"/>
          <w:cols w:num="2" w:equalWidth="0">
            <w:col w:w="2486" w:space="40"/>
            <w:col w:w="7924"/>
          </w:cols>
        </w:sectPr>
      </w:pPr>
    </w:p>
    <w:p>
      <w:pPr>
        <w:pStyle w:val="BodyText"/>
        <w:spacing w:before="9"/>
        <w:rPr>
          <w:sz w:val="18"/>
        </w:rPr>
      </w:pPr>
    </w:p>
    <w:p>
      <w:pPr>
        <w:pStyle w:val="ListParagraph"/>
        <w:numPr>
          <w:ilvl w:val="0"/>
          <w:numId w:val="50"/>
        </w:numPr>
        <w:tabs>
          <w:tab w:pos="1391" w:val="left" w:leader="none"/>
          <w:tab w:pos="2699" w:val="left" w:leader="none"/>
        </w:tabs>
        <w:spacing w:line="235" w:lineRule="auto" w:before="10" w:after="0"/>
        <w:ind w:left="2699" w:right="359" w:hanging="1628"/>
        <w:jc w:val="left"/>
        <w:rPr>
          <w:sz w:val="21"/>
        </w:rPr>
      </w:pPr>
      <w:r>
        <w:rPr>
          <w:rFonts w:ascii="微软雅黑" w:eastAsia="微软雅黑"/>
          <w:b/>
          <w:spacing w:val="-2"/>
          <w:sz w:val="21"/>
        </w:rPr>
        <w:t>胰</w:t>
      </w:r>
      <w:r>
        <w:rPr>
          <w:rFonts w:ascii="微软雅黑" w:eastAsia="微软雅黑"/>
          <w:b/>
          <w:spacing w:val="-2"/>
          <w:sz w:val="21"/>
        </w:rPr>
        <w:t>腺</w:t>
      </w:r>
      <w:r>
        <w:rPr>
          <w:rFonts w:ascii="微软雅黑" w:eastAsia="微软雅黑"/>
          <w:b/>
          <w:spacing w:val="-2"/>
          <w:sz w:val="21"/>
        </w:rPr>
        <w:t>移</w:t>
      </w:r>
      <w:r>
        <w:rPr>
          <w:rFonts w:ascii="微软雅黑" w:eastAsia="微软雅黑"/>
          <w:b/>
          <w:spacing w:val="-2"/>
          <w:sz w:val="21"/>
        </w:rPr>
        <w:t>植</w:t>
      </w:r>
      <w:r>
        <w:rPr>
          <w:rFonts w:ascii="微软雅黑" w:eastAsia="微软雅黑"/>
          <w:b/>
          <w:spacing w:val="-2"/>
          <w:sz w:val="21"/>
        </w:rPr>
        <w:t>术</w:t>
      </w:r>
      <w:r>
        <w:rPr>
          <w:rFonts w:ascii="微软雅黑" w:eastAsia="微软雅黑"/>
          <w:b/>
          <w:sz w:val="21"/>
        </w:rPr>
        <w:tab/>
      </w:r>
      <w:r>
        <w:rPr>
          <w:spacing w:val="-2"/>
          <w:sz w:val="21"/>
        </w:rPr>
        <w:t>胰</w:t>
      </w:r>
      <w:r>
        <w:rPr>
          <w:spacing w:val="-2"/>
          <w:sz w:val="21"/>
        </w:rPr>
        <w:t>腺</w:t>
      </w:r>
      <w:r>
        <w:rPr>
          <w:spacing w:val="-2"/>
          <w:sz w:val="21"/>
        </w:rPr>
        <w:t>移</w:t>
      </w:r>
      <w:r>
        <w:rPr>
          <w:spacing w:val="-2"/>
          <w:sz w:val="21"/>
        </w:rPr>
        <w:t>植</w:t>
      </w:r>
      <w:r>
        <w:rPr>
          <w:spacing w:val="-2"/>
          <w:sz w:val="21"/>
        </w:rPr>
        <w:t>术</w:t>
      </w:r>
      <w:r>
        <w:rPr>
          <w:spacing w:val="-2"/>
          <w:sz w:val="21"/>
        </w:rPr>
        <w:t>指</w:t>
      </w:r>
      <w:r>
        <w:rPr>
          <w:spacing w:val="-2"/>
          <w:sz w:val="21"/>
        </w:rPr>
        <w:t>因</w:t>
      </w:r>
      <w:r>
        <w:rPr>
          <w:spacing w:val="-2"/>
          <w:sz w:val="21"/>
        </w:rPr>
        <w:t>胰</w:t>
      </w:r>
      <w:r>
        <w:rPr>
          <w:spacing w:val="-2"/>
          <w:sz w:val="21"/>
        </w:rPr>
        <w:t>腺</w:t>
      </w:r>
      <w:r>
        <w:rPr>
          <w:spacing w:val="-2"/>
          <w:sz w:val="21"/>
        </w:rPr>
        <w:t>功</w:t>
      </w:r>
      <w:r>
        <w:rPr>
          <w:spacing w:val="-2"/>
          <w:sz w:val="21"/>
        </w:rPr>
        <w:t>能</w:t>
      </w:r>
      <w:r>
        <w:rPr>
          <w:spacing w:val="-2"/>
          <w:sz w:val="21"/>
        </w:rPr>
        <w:t>衰</w:t>
      </w:r>
      <w:r>
        <w:rPr>
          <w:spacing w:val="-2"/>
          <w:sz w:val="21"/>
        </w:rPr>
        <w:t>竭</w:t>
      </w:r>
      <w:r>
        <w:rPr>
          <w:spacing w:val="-2"/>
          <w:sz w:val="21"/>
        </w:rPr>
        <w:t>，</w:t>
      </w:r>
      <w:r>
        <w:rPr>
          <w:spacing w:val="-2"/>
          <w:sz w:val="21"/>
        </w:rPr>
        <w:t>已</w:t>
      </w:r>
      <w:r>
        <w:rPr>
          <w:spacing w:val="-2"/>
          <w:sz w:val="21"/>
        </w:rPr>
        <w:t>经</w:t>
      </w:r>
      <w:r>
        <w:rPr>
          <w:spacing w:val="-2"/>
          <w:sz w:val="21"/>
        </w:rPr>
        <w:t>实</w:t>
      </w:r>
      <w:r>
        <w:rPr>
          <w:spacing w:val="-2"/>
          <w:sz w:val="21"/>
        </w:rPr>
        <w:t>际</w:t>
      </w:r>
      <w:r>
        <w:rPr>
          <w:spacing w:val="-2"/>
          <w:sz w:val="21"/>
        </w:rPr>
        <w:t>接</w:t>
      </w:r>
      <w:r>
        <w:rPr>
          <w:spacing w:val="-2"/>
          <w:sz w:val="21"/>
        </w:rPr>
        <w:t>受</w:t>
      </w:r>
      <w:r>
        <w:rPr>
          <w:spacing w:val="-2"/>
          <w:sz w:val="21"/>
        </w:rPr>
        <w:t>了</w:t>
      </w:r>
      <w:r>
        <w:rPr>
          <w:spacing w:val="-2"/>
          <w:sz w:val="21"/>
        </w:rPr>
        <w:t>在</w:t>
      </w:r>
      <w:r>
        <w:rPr>
          <w:spacing w:val="-2"/>
          <w:sz w:val="21"/>
        </w:rPr>
        <w:t>全</w:t>
      </w:r>
      <w:r>
        <w:rPr>
          <w:spacing w:val="-2"/>
          <w:sz w:val="21"/>
        </w:rPr>
        <w:t>麻</w:t>
      </w:r>
      <w:r>
        <w:rPr>
          <w:spacing w:val="-2"/>
          <w:sz w:val="21"/>
        </w:rPr>
        <w:t>下</w:t>
      </w:r>
      <w:r>
        <w:rPr>
          <w:spacing w:val="-2"/>
          <w:sz w:val="21"/>
        </w:rPr>
        <w:t>进</w:t>
      </w:r>
      <w:r>
        <w:rPr>
          <w:spacing w:val="-2"/>
          <w:sz w:val="21"/>
        </w:rPr>
        <w:t>行</w:t>
      </w:r>
      <w:r>
        <w:rPr>
          <w:spacing w:val="-2"/>
          <w:sz w:val="21"/>
        </w:rPr>
        <w:t>的</w:t>
      </w:r>
      <w:r>
        <w:rPr>
          <w:spacing w:val="-2"/>
          <w:sz w:val="21"/>
        </w:rPr>
        <w:t>胰</w:t>
      </w:r>
      <w:r>
        <w:rPr>
          <w:spacing w:val="-2"/>
          <w:sz w:val="21"/>
        </w:rPr>
        <w:t>腺</w:t>
      </w:r>
      <w:r>
        <w:rPr>
          <w:spacing w:val="-2"/>
          <w:sz w:val="21"/>
        </w:rPr>
        <w:t>的</w:t>
      </w:r>
      <w:r>
        <w:rPr>
          <w:spacing w:val="-2"/>
          <w:sz w:val="21"/>
        </w:rPr>
        <w:t>同</w:t>
      </w:r>
      <w:r>
        <w:rPr>
          <w:spacing w:val="-2"/>
          <w:sz w:val="21"/>
        </w:rPr>
        <w:t>种（</w:t>
      </w:r>
      <w:r>
        <w:rPr>
          <w:spacing w:val="-2"/>
          <w:sz w:val="21"/>
        </w:rPr>
        <w:t>人</w:t>
      </w:r>
      <w:r>
        <w:rPr>
          <w:spacing w:val="-2"/>
          <w:sz w:val="21"/>
        </w:rPr>
        <w:t>类</w:t>
      </w:r>
      <w:r>
        <w:rPr>
          <w:spacing w:val="-2"/>
          <w:sz w:val="21"/>
        </w:rPr>
        <w:t>）异体器官移植手</w:t>
      </w:r>
      <w:r>
        <w:rPr>
          <w:spacing w:val="-2"/>
          <w:sz w:val="21"/>
        </w:rPr>
        <w:t>术</w:t>
      </w:r>
      <w:r>
        <w:rPr>
          <w:spacing w:val="-2"/>
          <w:sz w:val="21"/>
        </w:rPr>
        <w:t>。</w:t>
      </w:r>
    </w:p>
    <w:p>
      <w:pPr>
        <w:spacing w:line="363" w:lineRule="exact" w:before="0"/>
        <w:ind w:left="2699" w:right="0" w:firstLine="0"/>
        <w:jc w:val="left"/>
        <w:rPr>
          <w:rFonts w:ascii="微软雅黑" w:eastAsia="微软雅黑"/>
          <w:b/>
          <w:sz w:val="21"/>
        </w:rPr>
      </w:pPr>
      <w:r>
        <w:rPr>
          <w:rFonts w:ascii="微软雅黑" w:eastAsia="微软雅黑"/>
          <w:b/>
          <w:spacing w:val="-3"/>
          <w:sz w:val="21"/>
        </w:rPr>
        <w:t>胰岛、组织、细胞移植不在本保障范围内。</w:t>
      </w:r>
    </w:p>
    <w:p>
      <w:pPr>
        <w:pStyle w:val="BodyText"/>
        <w:spacing w:before="12"/>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both"/>
        <w:rPr>
          <w:rFonts w:ascii="微软雅黑" w:eastAsia="微软雅黑"/>
          <w:b/>
          <w:sz w:val="21"/>
        </w:rPr>
      </w:pPr>
      <w:r>
        <w:rPr>
          <w:rFonts w:ascii="微软雅黑" w:eastAsia="微软雅黑"/>
          <w:b/>
          <w:spacing w:val="-2"/>
          <w:sz w:val="21"/>
        </w:rPr>
        <w:t>特发性慢性</w:t>
      </w:r>
      <w:r>
        <w:rPr>
          <w:rFonts w:ascii="微软雅黑" w:eastAsia="微软雅黑"/>
          <w:b/>
          <w:spacing w:val="20"/>
          <w:sz w:val="21"/>
        </w:rPr>
        <w:t>肾上腺皮质功</w:t>
      </w:r>
      <w:r>
        <w:rPr>
          <w:rFonts w:ascii="微软雅黑" w:eastAsia="微软雅黑"/>
          <w:b/>
          <w:spacing w:val="-4"/>
          <w:sz w:val="21"/>
        </w:rPr>
        <w:t>能减退</w:t>
      </w:r>
    </w:p>
    <w:p>
      <w:pPr>
        <w:pStyle w:val="BodyText"/>
        <w:spacing w:line="278" w:lineRule="auto" w:before="71"/>
        <w:ind w:left="174" w:right="358"/>
      </w:pPr>
      <w:r>
        <w:rPr/>
        <w:br w:type="column"/>
      </w:r>
      <w:r>
        <w:rPr>
          <w:spacing w:val="-2"/>
        </w:rPr>
        <w:t>指自身免疫性肾上腺炎（既往称：特发性肾上腺皮质萎缩）导致肾上腺萎缩和慢</w:t>
      </w:r>
      <w:r>
        <w:rPr>
          <w:spacing w:val="-2"/>
        </w:rPr>
        <w:t>性肾上腺皮质功能减退。必须满足下列所有条件：</w:t>
      </w:r>
    </w:p>
    <w:p>
      <w:pPr>
        <w:pStyle w:val="ListParagraph"/>
        <w:numPr>
          <w:ilvl w:val="0"/>
          <w:numId w:val="71"/>
        </w:numPr>
        <w:tabs>
          <w:tab w:pos="705" w:val="left" w:leader="none"/>
        </w:tabs>
        <w:spacing w:line="269" w:lineRule="exact" w:before="0" w:after="0"/>
        <w:ind w:left="704" w:right="0" w:hanging="531"/>
        <w:jc w:val="left"/>
        <w:rPr>
          <w:sz w:val="21"/>
        </w:rPr>
      </w:pPr>
      <w:r>
        <w:rPr>
          <w:spacing w:val="-3"/>
          <w:sz w:val="21"/>
        </w:rPr>
        <w:t>明确诊断，符合下列所有诊断标准：</w:t>
      </w:r>
    </w:p>
    <w:p>
      <w:pPr>
        <w:pStyle w:val="BodyText"/>
        <w:ind w:left="595"/>
      </w:pPr>
      <w:r>
        <w:rPr>
          <w:spacing w:val="-2"/>
        </w:rPr>
        <w:t>① 血浆促肾上腺皮质激素（</w:t>
      </w:r>
      <w:r>
        <w:rPr>
          <w:rFonts w:ascii="Times New Roman" w:hAnsi="Times New Roman" w:eastAsia="Times New Roman"/>
          <w:spacing w:val="-2"/>
        </w:rPr>
        <w:t>ACTH</w:t>
      </w:r>
      <w:r>
        <w:rPr>
          <w:spacing w:val="-2"/>
        </w:rPr>
        <w:t>）水平＞100</w:t>
      </w:r>
      <w:r>
        <w:rPr>
          <w:rFonts w:ascii="Times New Roman" w:hAnsi="Times New Roman" w:eastAsia="Times New Roman"/>
          <w:spacing w:val="-2"/>
        </w:rPr>
        <w:t>pg</w:t>
      </w:r>
      <w:r>
        <w:rPr>
          <w:spacing w:val="-2"/>
        </w:rPr>
        <w:t>/</w:t>
      </w:r>
      <w:r>
        <w:rPr>
          <w:rFonts w:ascii="Times New Roman" w:hAnsi="Times New Roman" w:eastAsia="Times New Roman"/>
          <w:spacing w:val="-2"/>
        </w:rPr>
        <w:t>mL</w:t>
      </w:r>
      <w:r>
        <w:rPr>
          <w:spacing w:val="-2"/>
        </w:rPr>
        <w:t>；</w:t>
      </w:r>
    </w:p>
    <w:p>
      <w:pPr>
        <w:pStyle w:val="BodyText"/>
        <w:spacing w:line="278" w:lineRule="auto"/>
        <w:ind w:left="595" w:right="353"/>
      </w:pPr>
      <w:r>
        <w:rPr>
          <w:spacing w:val="-11"/>
        </w:rPr>
        <w:t>② 血浆肾素活性、血管紧张素Ⅱ和醛固酮测定结果显示为原发性肾上腺皮质</w:t>
      </w:r>
      <w:r>
        <w:rPr>
          <w:spacing w:val="-2"/>
        </w:rPr>
        <w:t>功能减退症；</w:t>
      </w:r>
    </w:p>
    <w:p>
      <w:pPr>
        <w:pStyle w:val="BodyText"/>
        <w:spacing w:line="278" w:lineRule="auto" w:before="0"/>
        <w:ind w:left="595" w:right="355"/>
      </w:pPr>
      <w:r>
        <w:rPr>
          <w:spacing w:val="-6"/>
        </w:rPr>
        <w:t>③ 促肾上腺皮质激素</w:t>
      </w:r>
      <w:r>
        <w:rPr/>
        <w:t>（</w:t>
      </w:r>
      <w:r>
        <w:rPr>
          <w:rFonts w:ascii="Times New Roman" w:hAnsi="Times New Roman" w:eastAsia="Times New Roman"/>
        </w:rPr>
        <w:t>ACTH</w:t>
      </w:r>
      <w:r>
        <w:rPr/>
        <w:t>）刺激试验显示为原发性肾上腺皮质功能减退</w:t>
      </w:r>
      <w:r>
        <w:rPr>
          <w:spacing w:val="-6"/>
        </w:rPr>
        <w:t>症。</w:t>
      </w:r>
    </w:p>
    <w:p>
      <w:pPr>
        <w:pStyle w:val="ListParagraph"/>
        <w:numPr>
          <w:ilvl w:val="0"/>
          <w:numId w:val="71"/>
        </w:numPr>
        <w:tabs>
          <w:tab w:pos="705" w:val="left" w:leader="none"/>
        </w:tabs>
        <w:spacing w:line="257" w:lineRule="exact" w:before="0" w:after="0"/>
        <w:ind w:left="704" w:right="0" w:hanging="531"/>
        <w:jc w:val="left"/>
        <w:rPr>
          <w:sz w:val="21"/>
        </w:rPr>
      </w:pPr>
      <w:r>
        <w:rPr>
          <w:spacing w:val="-6"/>
          <w:sz w:val="21"/>
        </w:rPr>
        <w:t>已经采用皮质类固醇替代治疗 </w:t>
      </w:r>
      <w:r>
        <w:rPr>
          <w:spacing w:val="-2"/>
          <w:sz w:val="21"/>
        </w:rPr>
        <w:t>180</w:t>
      </w:r>
      <w:r>
        <w:rPr>
          <w:spacing w:val="-14"/>
          <w:sz w:val="21"/>
        </w:rPr>
        <w:t> 天以上。</w:t>
      </w:r>
    </w:p>
    <w:p>
      <w:pPr>
        <w:spacing w:line="194" w:lineRule="auto" w:before="40"/>
        <w:ind w:left="174" w:right="358" w:firstLine="0"/>
        <w:jc w:val="left"/>
        <w:rPr>
          <w:rFonts w:ascii="微软雅黑" w:eastAsia="微软雅黑"/>
          <w:b/>
          <w:sz w:val="21"/>
        </w:rPr>
      </w:pPr>
      <w:r>
        <w:rPr>
          <w:rFonts w:ascii="微软雅黑" w:eastAsia="微软雅黑"/>
          <w:b/>
          <w:spacing w:val="-6"/>
          <w:w w:val="100"/>
          <w:sz w:val="21"/>
        </w:rPr>
        <w:t>肾上腺结核、</w:t>
      </w:r>
      <w:r>
        <w:rPr>
          <w:rFonts w:ascii="微软雅黑" w:eastAsia="微软雅黑"/>
          <w:b/>
          <w:w w:val="80"/>
          <w:sz w:val="21"/>
        </w:rPr>
        <w:t>HIV</w:t>
      </w:r>
      <w:r>
        <w:rPr>
          <w:rFonts w:ascii="微软雅黑" w:eastAsia="微软雅黑"/>
          <w:b/>
          <w:spacing w:val="-10"/>
          <w:w w:val="100"/>
          <w:sz w:val="21"/>
        </w:rPr>
        <w:t>感染或艾滋病、感染、肿瘤所致的原发性肾上腺皮质功能减退和</w:t>
      </w:r>
      <w:r>
        <w:rPr>
          <w:rFonts w:ascii="微软雅黑" w:eastAsia="微软雅黑"/>
          <w:b/>
          <w:spacing w:val="-3"/>
          <w:w w:val="100"/>
          <w:sz w:val="21"/>
        </w:rPr>
        <w:t>继发性肾上腺皮质功能减退不在本保障范围内。</w:t>
      </w:r>
    </w:p>
    <w:p>
      <w:pPr>
        <w:spacing w:after="0" w:line="194" w:lineRule="auto"/>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3"/>
        <w:rPr>
          <w:rFonts w:ascii="微软雅黑"/>
          <w:b/>
          <w:sz w:val="13"/>
        </w:rPr>
      </w:pPr>
    </w:p>
    <w:p>
      <w:pPr>
        <w:pStyle w:val="ListParagraph"/>
        <w:numPr>
          <w:ilvl w:val="0"/>
          <w:numId w:val="50"/>
        </w:numPr>
        <w:tabs>
          <w:tab w:pos="1391" w:val="left" w:leader="none"/>
          <w:tab w:pos="2699" w:val="left" w:leader="none"/>
        </w:tabs>
        <w:spacing w:line="235" w:lineRule="auto" w:before="10" w:after="0"/>
        <w:ind w:left="2699" w:right="359" w:hanging="1628"/>
        <w:jc w:val="left"/>
        <w:rPr>
          <w:sz w:val="21"/>
        </w:rPr>
      </w:pPr>
      <w:r>
        <w:rPr>
          <w:rFonts w:ascii="微软雅黑" w:eastAsia="微软雅黑"/>
          <w:b/>
          <w:spacing w:val="-2"/>
          <w:sz w:val="21"/>
        </w:rPr>
        <w:t>严</w:t>
      </w:r>
      <w:r>
        <w:rPr>
          <w:rFonts w:ascii="微软雅黑" w:eastAsia="微软雅黑"/>
          <w:b/>
          <w:spacing w:val="-2"/>
          <w:sz w:val="21"/>
        </w:rPr>
        <w:t>重</w:t>
      </w:r>
      <w:r>
        <w:rPr>
          <w:rFonts w:ascii="微软雅黑" w:eastAsia="微软雅黑"/>
          <w:b/>
          <w:spacing w:val="-2"/>
          <w:sz w:val="21"/>
        </w:rPr>
        <w:t>心</w:t>
      </w:r>
      <w:r>
        <w:rPr>
          <w:rFonts w:ascii="微软雅黑" w:eastAsia="微软雅黑"/>
          <w:b/>
          <w:spacing w:val="-2"/>
          <w:sz w:val="21"/>
        </w:rPr>
        <w:t>肌</w:t>
      </w:r>
      <w:r>
        <w:rPr>
          <w:rFonts w:ascii="微软雅黑" w:eastAsia="微软雅黑"/>
          <w:b/>
          <w:spacing w:val="-2"/>
          <w:sz w:val="21"/>
        </w:rPr>
        <w:t>炎</w:t>
      </w:r>
      <w:r>
        <w:rPr>
          <w:rFonts w:ascii="微软雅黑" w:eastAsia="微软雅黑"/>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因</w:t>
      </w:r>
      <w:r>
        <w:rPr>
          <w:spacing w:val="-2"/>
          <w:sz w:val="21"/>
        </w:rPr>
        <w:t>严</w:t>
      </w:r>
      <w:r>
        <w:rPr>
          <w:spacing w:val="-2"/>
          <w:sz w:val="21"/>
        </w:rPr>
        <w:t>重</w:t>
      </w:r>
      <w:r>
        <w:rPr>
          <w:spacing w:val="-2"/>
          <w:sz w:val="21"/>
        </w:rPr>
        <w:t>心</w:t>
      </w:r>
      <w:r>
        <w:rPr>
          <w:spacing w:val="-2"/>
          <w:sz w:val="21"/>
        </w:rPr>
        <w:t>肌</w:t>
      </w:r>
      <w:r>
        <w:rPr>
          <w:spacing w:val="-2"/>
          <w:sz w:val="21"/>
        </w:rPr>
        <w:t>炎</w:t>
      </w:r>
      <w:r>
        <w:rPr>
          <w:spacing w:val="-2"/>
          <w:sz w:val="21"/>
        </w:rPr>
        <w:t>症</w:t>
      </w:r>
      <w:r>
        <w:rPr>
          <w:spacing w:val="-2"/>
          <w:sz w:val="21"/>
        </w:rPr>
        <w:t>性</w:t>
      </w:r>
      <w:r>
        <w:rPr>
          <w:spacing w:val="-2"/>
          <w:sz w:val="21"/>
        </w:rPr>
        <w:t>病</w:t>
      </w:r>
      <w:r>
        <w:rPr>
          <w:spacing w:val="-2"/>
          <w:sz w:val="21"/>
        </w:rPr>
        <w:t>变</w:t>
      </w:r>
      <w:r>
        <w:rPr>
          <w:spacing w:val="-2"/>
          <w:sz w:val="21"/>
        </w:rPr>
        <w:t>导</w:t>
      </w:r>
      <w:r>
        <w:rPr>
          <w:spacing w:val="-2"/>
          <w:sz w:val="21"/>
        </w:rPr>
        <w:t>致</w:t>
      </w:r>
      <w:r>
        <w:rPr>
          <w:spacing w:val="-2"/>
          <w:sz w:val="21"/>
        </w:rPr>
        <w:t>心</w:t>
      </w:r>
      <w:r>
        <w:rPr>
          <w:spacing w:val="-2"/>
          <w:sz w:val="21"/>
        </w:rPr>
        <w:t>功</w:t>
      </w:r>
      <w:r>
        <w:rPr>
          <w:spacing w:val="-2"/>
          <w:sz w:val="21"/>
        </w:rPr>
        <w:t>能</w:t>
      </w:r>
      <w:r>
        <w:rPr>
          <w:spacing w:val="-2"/>
          <w:sz w:val="21"/>
        </w:rPr>
        <w:t>损</w:t>
      </w:r>
      <w:r>
        <w:rPr>
          <w:spacing w:val="-2"/>
          <w:sz w:val="21"/>
        </w:rPr>
        <w:t>害</w:t>
      </w:r>
      <w:r>
        <w:rPr>
          <w:spacing w:val="-2"/>
          <w:sz w:val="21"/>
        </w:rPr>
        <w:t>造</w:t>
      </w:r>
      <w:r>
        <w:rPr>
          <w:spacing w:val="-2"/>
          <w:sz w:val="21"/>
        </w:rPr>
        <w:t>成</w:t>
      </w:r>
      <w:r>
        <w:rPr>
          <w:spacing w:val="-2"/>
          <w:sz w:val="21"/>
        </w:rPr>
        <w:t>持</w:t>
      </w:r>
      <w:r>
        <w:rPr>
          <w:spacing w:val="-2"/>
          <w:sz w:val="21"/>
        </w:rPr>
        <w:t>续</w:t>
      </w:r>
      <w:r>
        <w:rPr>
          <w:spacing w:val="-2"/>
          <w:sz w:val="21"/>
        </w:rPr>
        <w:t>的</w:t>
      </w:r>
      <w:r>
        <w:rPr>
          <w:spacing w:val="-2"/>
          <w:sz w:val="21"/>
        </w:rPr>
        <w:t>永</w:t>
      </w:r>
      <w:r>
        <w:rPr>
          <w:spacing w:val="-2"/>
          <w:sz w:val="21"/>
        </w:rPr>
        <w:t>久</w:t>
      </w:r>
      <w:r>
        <w:rPr>
          <w:spacing w:val="-2"/>
          <w:sz w:val="21"/>
        </w:rPr>
        <w:t>不</w:t>
      </w:r>
      <w:r>
        <w:rPr>
          <w:spacing w:val="-2"/>
          <w:sz w:val="21"/>
        </w:rPr>
        <w:t>可</w:t>
      </w:r>
      <w:r>
        <w:rPr>
          <w:spacing w:val="-2"/>
          <w:sz w:val="21"/>
        </w:rPr>
        <w:t>逆</w:t>
      </w:r>
      <w:r>
        <w:rPr>
          <w:spacing w:val="-2"/>
          <w:sz w:val="21"/>
        </w:rPr>
        <w:t>性的</w:t>
      </w:r>
      <w:r>
        <w:rPr>
          <w:spacing w:val="-2"/>
          <w:sz w:val="21"/>
        </w:rPr>
        <w:t>心</w:t>
      </w:r>
      <w:r>
        <w:rPr>
          <w:spacing w:val="-2"/>
          <w:sz w:val="21"/>
        </w:rPr>
        <w:t>功</w:t>
      </w:r>
      <w:r>
        <w:rPr>
          <w:spacing w:val="-2"/>
          <w:sz w:val="21"/>
        </w:rPr>
        <w:t>能</w:t>
      </w:r>
      <w:r>
        <w:rPr>
          <w:spacing w:val="-2"/>
          <w:sz w:val="21"/>
        </w:rPr>
        <w:t>衰竭。必须满足下列</w:t>
      </w:r>
      <w:r>
        <w:rPr>
          <w:spacing w:val="-2"/>
          <w:sz w:val="21"/>
        </w:rPr>
        <w:t>所</w:t>
      </w:r>
      <w:r>
        <w:rPr>
          <w:spacing w:val="-2"/>
          <w:sz w:val="21"/>
        </w:rPr>
        <w:t>有</w:t>
      </w:r>
      <w:r>
        <w:rPr>
          <w:spacing w:val="-2"/>
          <w:sz w:val="21"/>
        </w:rPr>
        <w:t>条</w:t>
      </w:r>
      <w:r>
        <w:rPr>
          <w:spacing w:val="-2"/>
          <w:sz w:val="21"/>
        </w:rPr>
        <w:t>件</w:t>
      </w:r>
      <w:r>
        <w:rPr>
          <w:spacing w:val="-2"/>
          <w:sz w:val="21"/>
        </w:rPr>
        <w:t>：</w:t>
      </w:r>
    </w:p>
    <w:p>
      <w:pPr>
        <w:pStyle w:val="ListParagraph"/>
        <w:numPr>
          <w:ilvl w:val="0"/>
          <w:numId w:val="72"/>
        </w:numPr>
        <w:tabs>
          <w:tab w:pos="3230" w:val="left" w:leader="none"/>
        </w:tabs>
        <w:spacing w:line="278" w:lineRule="auto" w:before="43" w:after="0"/>
        <w:ind w:left="2699" w:right="353" w:firstLine="0"/>
        <w:jc w:val="left"/>
        <w:rPr>
          <w:sz w:val="21"/>
        </w:rPr>
      </w:pPr>
      <w:r>
        <w:rPr>
          <w:spacing w:val="-5"/>
          <w:w w:val="100"/>
          <w:sz w:val="21"/>
        </w:rPr>
        <w:t>心功能衰竭程度达到纽约心脏病学会的心功能分级标准之心功能Ⅳ级，或</w:t>
      </w:r>
      <w:r>
        <w:rPr>
          <w:spacing w:val="-4"/>
          <w:w w:val="100"/>
          <w:sz w:val="21"/>
        </w:rPr>
        <w:t>左室射血分数低于</w:t>
      </w:r>
      <w:r>
        <w:rPr>
          <w:spacing w:val="-52"/>
          <w:sz w:val="21"/>
        </w:rPr>
        <w:t> </w:t>
      </w:r>
      <w:r>
        <w:rPr>
          <w:w w:val="100"/>
          <w:sz w:val="21"/>
        </w:rPr>
        <w:t>30</w:t>
      </w:r>
      <w:r>
        <w:rPr>
          <w:spacing w:val="-2"/>
          <w:w w:val="100"/>
          <w:sz w:val="21"/>
        </w:rPr>
        <w:t>%；</w:t>
      </w:r>
    </w:p>
    <w:p>
      <w:pPr>
        <w:pStyle w:val="ListParagraph"/>
        <w:numPr>
          <w:ilvl w:val="0"/>
          <w:numId w:val="72"/>
        </w:numPr>
        <w:tabs>
          <w:tab w:pos="3230" w:val="left" w:leader="none"/>
        </w:tabs>
        <w:spacing w:line="269" w:lineRule="exact" w:before="0" w:after="0"/>
        <w:ind w:left="3229" w:right="0" w:hanging="531"/>
        <w:jc w:val="left"/>
        <w:rPr>
          <w:sz w:val="21"/>
        </w:rPr>
      </w:pPr>
      <w:r>
        <w:rPr>
          <w:spacing w:val="-11"/>
          <w:sz w:val="21"/>
        </w:rPr>
        <w:t>持续不间断 </w:t>
      </w:r>
      <w:r>
        <w:rPr>
          <w:spacing w:val="-2"/>
          <w:sz w:val="21"/>
        </w:rPr>
        <w:t>180</w:t>
      </w:r>
      <w:r>
        <w:rPr>
          <w:spacing w:val="-14"/>
          <w:sz w:val="21"/>
        </w:rPr>
        <w:t> 天以上。</w:t>
      </w:r>
    </w:p>
    <w:p>
      <w:pPr>
        <w:pStyle w:val="BodyText"/>
        <w:ind w:left="2699"/>
      </w:pPr>
      <w:r>
        <w:rPr>
          <w:spacing w:val="-3"/>
        </w:rPr>
        <w:t>被保险人永久不可逆性的体力活动能力受限，不能从事任何体力活动。</w:t>
      </w:r>
    </w:p>
    <w:p>
      <w:pPr>
        <w:pStyle w:val="BodyText"/>
        <w:spacing w:before="1"/>
        <w:rPr>
          <w:sz w:val="22"/>
        </w:rPr>
      </w:pPr>
    </w:p>
    <w:p>
      <w:pPr>
        <w:spacing w:after="0"/>
        <w:rPr>
          <w:sz w:val="2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慢性肺源性</w:t>
      </w:r>
      <w:r>
        <w:rPr>
          <w:rFonts w:ascii="微软雅黑" w:eastAsia="微软雅黑"/>
          <w:b/>
          <w:spacing w:val="-4"/>
          <w:sz w:val="21"/>
        </w:rPr>
        <w:t>心脏病</w:t>
      </w:r>
    </w:p>
    <w:p>
      <w:pPr>
        <w:pStyle w:val="BodyText"/>
        <w:spacing w:line="278" w:lineRule="auto" w:before="72"/>
        <w:ind w:left="174" w:right="358"/>
        <w:jc w:val="both"/>
      </w:pPr>
      <w:r>
        <w:rPr/>
        <w:br w:type="column"/>
      </w:r>
      <w:r>
        <w:rPr>
          <w:spacing w:val="-2"/>
        </w:rPr>
        <w:t>指被保险人因慢性肺部疾病导致慢性肺源性心脏病并且引起慢性心功能损害造成</w:t>
      </w:r>
      <w:r>
        <w:rPr>
          <w:spacing w:val="-2"/>
        </w:rPr>
        <w:t>永久不可逆性的心功能衰竭。心功能衰竭程度达到纽约心脏病学会的心功能分级</w:t>
      </w:r>
      <w:r>
        <w:rPr>
          <w:spacing w:val="-2"/>
        </w:rPr>
        <w:t>标准之心功能Ⅳ级。被保险人永久不可逆性的体力活动能力受限，不能从事任何</w:t>
      </w:r>
      <w:r>
        <w:rPr>
          <w:spacing w:val="-2"/>
        </w:rPr>
        <w:t>体力活动。</w:t>
      </w:r>
    </w:p>
    <w:p>
      <w:pPr>
        <w:spacing w:after="0" w:line="278" w:lineRule="auto"/>
        <w:jc w:val="both"/>
        <w:sectPr>
          <w:type w:val="continuous"/>
          <w:pgSz w:w="11910" w:h="16840"/>
          <w:pgMar w:header="0" w:footer="458" w:top="620" w:bottom="280" w:left="800" w:right="660"/>
          <w:cols w:num="2" w:equalWidth="0">
            <w:col w:w="2486" w:space="40"/>
            <w:col w:w="792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8" w:after="0"/>
        <w:ind w:left="1072" w:right="0" w:firstLine="0"/>
        <w:jc w:val="left"/>
        <w:rPr>
          <w:rFonts w:ascii="微软雅黑" w:eastAsia="微软雅黑"/>
          <w:b/>
          <w:sz w:val="21"/>
        </w:rPr>
      </w:pPr>
      <w:r>
        <w:rPr>
          <w:rFonts w:ascii="微软雅黑" w:eastAsia="微软雅黑"/>
          <w:b/>
          <w:spacing w:val="-2"/>
          <w:sz w:val="21"/>
        </w:rPr>
        <w:t>严重原发性</w:t>
      </w:r>
      <w:r>
        <w:rPr>
          <w:rFonts w:ascii="微软雅黑" w:eastAsia="微软雅黑"/>
          <w:b/>
          <w:spacing w:val="-2"/>
          <w:sz w:val="21"/>
        </w:rPr>
        <w:t>硬化性胆管炎</w:t>
      </w:r>
    </w:p>
    <w:p>
      <w:pPr>
        <w:pStyle w:val="BodyText"/>
        <w:spacing w:line="278" w:lineRule="auto" w:before="72"/>
        <w:ind w:left="174" w:right="359"/>
      </w:pPr>
      <w:r>
        <w:rPr/>
        <w:br w:type="column"/>
      </w:r>
      <w:r>
        <w:rPr>
          <w:spacing w:val="-2"/>
        </w:rPr>
        <w:t>为一种特发型淤胆性疾病，特点为肝内及肝外胆道系统胆管壁增厚和管腔狭窄。</w:t>
      </w:r>
      <w:r>
        <w:rPr>
          <w:spacing w:val="-2"/>
        </w:rPr>
        <w:t>必须满足下列所有条件：</w:t>
      </w:r>
    </w:p>
    <w:p>
      <w:pPr>
        <w:pStyle w:val="ListParagraph"/>
        <w:numPr>
          <w:ilvl w:val="0"/>
          <w:numId w:val="73"/>
        </w:numPr>
        <w:tabs>
          <w:tab w:pos="705" w:val="left" w:leader="none"/>
        </w:tabs>
        <w:spacing w:line="269" w:lineRule="exact" w:before="0" w:after="0"/>
        <w:ind w:left="704" w:right="0" w:hanging="531"/>
        <w:jc w:val="left"/>
        <w:rPr>
          <w:sz w:val="21"/>
        </w:rPr>
      </w:pPr>
      <w:r>
        <w:rPr>
          <w:spacing w:val="-2"/>
          <w:sz w:val="21"/>
        </w:rPr>
        <w:t>诊断由逆行胰胆管造影（</w:t>
      </w:r>
      <w:r>
        <w:rPr>
          <w:rFonts w:ascii="Times New Roman" w:eastAsia="Times New Roman"/>
          <w:spacing w:val="-2"/>
          <w:sz w:val="21"/>
        </w:rPr>
        <w:t>ERCP</w:t>
      </w:r>
      <w:r>
        <w:rPr>
          <w:spacing w:val="-2"/>
          <w:sz w:val="21"/>
        </w:rPr>
        <w:t>）或经皮胆管造影（</w:t>
      </w:r>
      <w:r>
        <w:rPr>
          <w:rFonts w:ascii="Times New Roman" w:eastAsia="Times New Roman"/>
          <w:spacing w:val="-2"/>
          <w:sz w:val="21"/>
        </w:rPr>
        <w:t>PTC</w:t>
      </w:r>
      <w:r>
        <w:rPr>
          <w:spacing w:val="-2"/>
          <w:sz w:val="21"/>
        </w:rPr>
        <w:t>）</w:t>
      </w:r>
      <w:r>
        <w:rPr>
          <w:spacing w:val="-5"/>
          <w:sz w:val="21"/>
        </w:rPr>
        <w:t>确认；</w:t>
      </w:r>
    </w:p>
    <w:p>
      <w:pPr>
        <w:pStyle w:val="ListParagraph"/>
        <w:numPr>
          <w:ilvl w:val="0"/>
          <w:numId w:val="73"/>
        </w:numPr>
        <w:tabs>
          <w:tab w:pos="705" w:val="left" w:leader="none"/>
        </w:tabs>
        <w:spacing w:line="240" w:lineRule="auto" w:before="43" w:after="0"/>
        <w:ind w:left="704" w:right="0" w:hanging="531"/>
        <w:jc w:val="left"/>
        <w:rPr>
          <w:sz w:val="21"/>
        </w:rPr>
      </w:pPr>
      <w:r>
        <w:rPr>
          <w:spacing w:val="-2"/>
          <w:sz w:val="21"/>
        </w:rPr>
        <w:t>持续性黄疸伴碱性磷酸酶（</w:t>
      </w:r>
      <w:r>
        <w:rPr>
          <w:rFonts w:ascii="Times New Roman" w:eastAsia="Times New Roman"/>
          <w:spacing w:val="-2"/>
          <w:sz w:val="21"/>
        </w:rPr>
        <w:t>ALP</w:t>
      </w:r>
      <w:r>
        <w:rPr>
          <w:spacing w:val="-2"/>
          <w:sz w:val="21"/>
        </w:rPr>
        <w:t>）</w:t>
      </w:r>
      <w:r>
        <w:rPr>
          <w:spacing w:val="-4"/>
          <w:sz w:val="21"/>
        </w:rPr>
        <w:t>显著升高；</w:t>
      </w:r>
    </w:p>
    <w:p>
      <w:pPr>
        <w:pStyle w:val="ListParagraph"/>
        <w:numPr>
          <w:ilvl w:val="0"/>
          <w:numId w:val="73"/>
        </w:numPr>
        <w:tabs>
          <w:tab w:pos="705" w:val="left" w:leader="none"/>
        </w:tabs>
        <w:spacing w:line="240" w:lineRule="auto" w:before="43" w:after="0"/>
        <w:ind w:left="704" w:right="0" w:hanging="531"/>
        <w:jc w:val="left"/>
        <w:rPr>
          <w:sz w:val="21"/>
        </w:rPr>
      </w:pPr>
      <w:r>
        <w:rPr>
          <w:spacing w:val="-3"/>
          <w:sz w:val="21"/>
        </w:rPr>
        <w:t>出现继发性胆汁性肝硬化和门静脉高压。</w:t>
      </w:r>
    </w:p>
    <w:p>
      <w:pPr>
        <w:spacing w:after="0" w:line="240" w:lineRule="auto"/>
        <w:jc w:val="left"/>
        <w:rPr>
          <w:sz w:val="21"/>
        </w:rPr>
        <w:sectPr>
          <w:type w:val="continuous"/>
          <w:pgSz w:w="11910" w:h="16840"/>
          <w:pgMar w:header="0" w:footer="458" w:top="620" w:bottom="280" w:left="800" w:right="660"/>
          <w:cols w:num="2" w:equalWidth="0">
            <w:col w:w="2486" w:space="40"/>
            <w:col w:w="7924"/>
          </w:cols>
        </w:sectPr>
      </w:pPr>
    </w:p>
    <w:p>
      <w:pPr>
        <w:pStyle w:val="ListParagraph"/>
        <w:numPr>
          <w:ilvl w:val="0"/>
          <w:numId w:val="50"/>
        </w:numPr>
        <w:tabs>
          <w:tab w:pos="1399" w:val="left" w:leader="none"/>
        </w:tabs>
        <w:spacing w:line="194" w:lineRule="auto" w:before="28" w:after="0"/>
        <w:ind w:left="1072" w:right="0" w:firstLine="0"/>
        <w:jc w:val="left"/>
        <w:rPr>
          <w:rFonts w:ascii="微软雅黑" w:eastAsia="微软雅黑"/>
          <w:b/>
          <w:sz w:val="21"/>
        </w:rPr>
      </w:pPr>
      <w:r>
        <w:rPr>
          <w:rFonts w:ascii="微软雅黑" w:eastAsia="微软雅黑"/>
          <w:b/>
          <w:spacing w:val="-2"/>
          <w:sz w:val="21"/>
        </w:rPr>
        <w:t>严重慢性自</w:t>
      </w:r>
      <w:r>
        <w:rPr>
          <w:rFonts w:ascii="微软雅黑" w:eastAsia="微软雅黑"/>
          <w:b/>
          <w:spacing w:val="-2"/>
          <w:sz w:val="21"/>
        </w:rPr>
        <w:t>身免疫性肝炎</w:t>
      </w:r>
    </w:p>
    <w:p>
      <w:pPr>
        <w:pStyle w:val="BodyText"/>
        <w:spacing w:line="278" w:lineRule="auto"/>
        <w:ind w:left="174" w:right="359"/>
        <w:jc w:val="both"/>
      </w:pPr>
      <w:r>
        <w:rPr/>
        <w:br w:type="column"/>
      </w:r>
      <w:r>
        <w:rPr>
          <w:spacing w:val="-2"/>
        </w:rPr>
        <w:t>自身免疫性肝炎是一种原因不明的慢性肝脏的坏死性炎性疾病，机体免疫机制被</w:t>
      </w:r>
      <w:r>
        <w:rPr>
          <w:spacing w:val="-2"/>
        </w:rPr>
        <w:t>破坏，产生针对肝脏自身抗原的抗体导致自身免疫反应，从而破坏肝细胞造成肝</w:t>
      </w:r>
      <w:r>
        <w:rPr>
          <w:spacing w:val="-2"/>
        </w:rPr>
        <w:t>脏炎症坏死，进而发展为肝硬化。必须满足所有以下条件：</w:t>
      </w:r>
    </w:p>
    <w:p>
      <w:pPr>
        <w:pStyle w:val="ListParagraph"/>
        <w:numPr>
          <w:ilvl w:val="0"/>
          <w:numId w:val="74"/>
        </w:numPr>
        <w:tabs>
          <w:tab w:pos="705" w:val="left" w:leader="none"/>
        </w:tabs>
        <w:spacing w:line="240" w:lineRule="auto" w:before="0" w:after="0"/>
        <w:ind w:left="704" w:right="0" w:hanging="531"/>
        <w:jc w:val="left"/>
        <w:rPr>
          <w:sz w:val="21"/>
        </w:rPr>
      </w:pPr>
      <w:r>
        <w:rPr>
          <w:spacing w:val="-2"/>
          <w:sz w:val="21"/>
        </w:rPr>
        <w:t>高γ</w:t>
      </w:r>
      <w:r>
        <w:rPr>
          <w:spacing w:val="-4"/>
          <w:sz w:val="21"/>
        </w:rPr>
        <w:t>球蛋白血症；</w:t>
      </w:r>
    </w:p>
    <w:p>
      <w:pPr>
        <w:pStyle w:val="ListParagraph"/>
        <w:numPr>
          <w:ilvl w:val="0"/>
          <w:numId w:val="74"/>
        </w:numPr>
        <w:tabs>
          <w:tab w:pos="702" w:val="left" w:leader="none"/>
        </w:tabs>
        <w:spacing w:line="278" w:lineRule="auto" w:before="42" w:after="0"/>
        <w:ind w:left="174" w:right="358" w:firstLine="0"/>
        <w:jc w:val="left"/>
        <w:rPr>
          <w:sz w:val="21"/>
        </w:rPr>
      </w:pPr>
      <w:r>
        <w:rPr>
          <w:spacing w:val="-7"/>
          <w:sz w:val="21"/>
        </w:rPr>
        <w:t>血液中存在高水平的自身免疫抗体，如 </w:t>
      </w:r>
      <w:r>
        <w:rPr>
          <w:rFonts w:ascii="Times New Roman" w:eastAsia="Times New Roman"/>
          <w:spacing w:val="-4"/>
          <w:sz w:val="21"/>
        </w:rPr>
        <w:t>ANA</w:t>
      </w:r>
      <w:r>
        <w:rPr>
          <w:spacing w:val="-4"/>
          <w:sz w:val="21"/>
        </w:rPr>
        <w:t>（抗核抗体</w:t>
      </w:r>
      <w:r>
        <w:rPr>
          <w:spacing w:val="-108"/>
          <w:sz w:val="21"/>
        </w:rPr>
        <w:t>）</w:t>
      </w:r>
      <w:r>
        <w:rPr>
          <w:spacing w:val="-4"/>
          <w:sz w:val="21"/>
        </w:rPr>
        <w:t>、</w:t>
      </w:r>
      <w:r>
        <w:rPr>
          <w:rFonts w:ascii="Times New Roman" w:eastAsia="Times New Roman"/>
          <w:spacing w:val="-4"/>
          <w:sz w:val="21"/>
        </w:rPr>
        <w:t>SMA</w:t>
      </w:r>
      <w:r>
        <w:rPr>
          <w:spacing w:val="-4"/>
          <w:sz w:val="21"/>
        </w:rPr>
        <w:t>（抗平滑肌</w:t>
      </w:r>
      <w:r>
        <w:rPr>
          <w:sz w:val="21"/>
        </w:rPr>
        <w:t>抗体</w:t>
      </w:r>
      <w:r>
        <w:rPr>
          <w:spacing w:val="-108"/>
          <w:sz w:val="21"/>
        </w:rPr>
        <w:t>）</w:t>
      </w:r>
      <w:r>
        <w:rPr>
          <w:spacing w:val="-5"/>
          <w:sz w:val="21"/>
        </w:rPr>
        <w:t>、抗 </w:t>
      </w:r>
      <w:r>
        <w:rPr>
          <w:rFonts w:ascii="Times New Roman" w:eastAsia="Times New Roman"/>
          <w:sz w:val="21"/>
        </w:rPr>
        <w:t>LKM</w:t>
      </w:r>
      <w:r>
        <w:rPr>
          <w:sz w:val="21"/>
        </w:rPr>
        <w:t>1</w:t>
      </w:r>
      <w:r>
        <w:rPr>
          <w:spacing w:val="-4"/>
          <w:sz w:val="21"/>
        </w:rPr>
        <w:t> 抗体或抗-</w:t>
      </w:r>
      <w:r>
        <w:rPr>
          <w:rFonts w:ascii="Times New Roman" w:eastAsia="Times New Roman"/>
          <w:sz w:val="21"/>
        </w:rPr>
        <w:t>SLA</w:t>
      </w:r>
      <w:r>
        <w:rPr>
          <w:sz w:val="21"/>
        </w:rPr>
        <w:t>/</w:t>
      </w:r>
      <w:r>
        <w:rPr>
          <w:rFonts w:ascii="Times New Roman" w:eastAsia="Times New Roman"/>
          <w:sz w:val="21"/>
        </w:rPr>
        <w:t>LP </w:t>
      </w:r>
      <w:r>
        <w:rPr>
          <w:sz w:val="21"/>
        </w:rPr>
        <w:t>抗体；</w:t>
      </w:r>
    </w:p>
    <w:p>
      <w:pPr>
        <w:pStyle w:val="ListParagraph"/>
        <w:numPr>
          <w:ilvl w:val="0"/>
          <w:numId w:val="74"/>
        </w:numPr>
        <w:tabs>
          <w:tab w:pos="705" w:val="left" w:leader="none"/>
        </w:tabs>
        <w:spacing w:line="269" w:lineRule="exact" w:before="0" w:after="0"/>
        <w:ind w:left="704" w:right="0" w:hanging="531"/>
        <w:jc w:val="left"/>
        <w:rPr>
          <w:sz w:val="21"/>
        </w:rPr>
      </w:pPr>
      <w:r>
        <w:rPr>
          <w:spacing w:val="-3"/>
          <w:sz w:val="21"/>
        </w:rPr>
        <w:t>肝脏活检证实免疫性肝炎；</w:t>
      </w:r>
    </w:p>
    <w:p>
      <w:pPr>
        <w:pStyle w:val="ListParagraph"/>
        <w:numPr>
          <w:ilvl w:val="0"/>
          <w:numId w:val="74"/>
        </w:numPr>
        <w:tabs>
          <w:tab w:pos="705" w:val="left" w:leader="none"/>
        </w:tabs>
        <w:spacing w:line="240" w:lineRule="auto" w:before="43" w:after="0"/>
        <w:ind w:left="704" w:right="0" w:hanging="531"/>
        <w:jc w:val="left"/>
        <w:rPr>
          <w:sz w:val="21"/>
        </w:rPr>
      </w:pPr>
      <w:r>
        <w:rPr>
          <w:spacing w:val="-3"/>
          <w:sz w:val="21"/>
        </w:rPr>
        <w:t>临床已经出现腹水、食道静脉曲张和脾肿大等肝硬化表现。</w:t>
      </w:r>
    </w:p>
    <w:p>
      <w:pPr>
        <w:spacing w:after="0" w:line="240" w:lineRule="auto"/>
        <w:jc w:val="left"/>
        <w:rPr>
          <w:sz w:val="21"/>
        </w:rPr>
        <w:sectPr>
          <w:pgSz w:w="11910" w:h="16840"/>
          <w:pgMar w:header="0" w:footer="458" w:top="1260" w:bottom="640" w:left="800" w:right="660"/>
          <w:cols w:num="2" w:equalWidth="0">
            <w:col w:w="2486" w:space="40"/>
            <w:col w:w="7924"/>
          </w:cols>
        </w:sectPr>
      </w:pPr>
    </w:p>
    <w:p>
      <w:pPr>
        <w:pStyle w:val="BodyText"/>
        <w:spacing w:before="2"/>
        <w:rPr>
          <w:sz w:val="22"/>
        </w:rPr>
      </w:pPr>
    </w:p>
    <w:p>
      <w:pPr>
        <w:spacing w:after="0"/>
        <w:rPr>
          <w:sz w:val="2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原发性骨髓</w:t>
      </w:r>
      <w:r>
        <w:rPr>
          <w:rFonts w:ascii="微软雅黑" w:eastAsia="微软雅黑"/>
          <w:b/>
          <w:spacing w:val="-4"/>
          <w:sz w:val="21"/>
        </w:rPr>
        <w:t>纤维化</w:t>
      </w:r>
    </w:p>
    <w:p>
      <w:pPr>
        <w:pStyle w:val="BodyText"/>
        <w:spacing w:line="278" w:lineRule="auto" w:before="71"/>
        <w:ind w:left="174" w:right="359"/>
      </w:pPr>
      <w:r>
        <w:rPr/>
        <w:br w:type="column"/>
      </w:r>
      <w:r>
        <w:rPr>
          <w:spacing w:val="-2"/>
        </w:rPr>
        <w:t>原发性骨髓纤维化以骨髓纤维增生和髓外造血为特点，表现为进行性贫血、脾肿</w:t>
      </w:r>
      <w:r>
        <w:rPr>
          <w:spacing w:val="-2"/>
        </w:rPr>
        <w:t>大、外周血幼稚细胞等。</w:t>
      </w:r>
    </w:p>
    <w:p>
      <w:pPr>
        <w:pStyle w:val="BodyText"/>
        <w:spacing w:line="278" w:lineRule="auto" w:before="0"/>
        <w:ind w:left="174" w:right="359"/>
      </w:pPr>
      <w:r>
        <w:rPr>
          <w:spacing w:val="-2"/>
        </w:rPr>
        <w:t>被保险人须经由骨髓活检明确诊断为原发性骨髓纤维化，并满足下列所有条件且</w:t>
      </w:r>
      <w:r>
        <w:rPr>
          <w:spacing w:val="-7"/>
        </w:rPr>
        <w:t>持续 </w:t>
      </w:r>
      <w:r>
        <w:rPr/>
        <w:t>180</w:t>
      </w:r>
      <w:r>
        <w:rPr>
          <w:spacing w:val="-8"/>
        </w:rPr>
        <w:t> 天：</w:t>
      </w:r>
    </w:p>
    <w:p>
      <w:pPr>
        <w:pStyle w:val="BodyText"/>
        <w:spacing w:before="1"/>
        <w:ind w:left="174"/>
      </w:pPr>
      <w:r>
        <w:rPr>
          <w:spacing w:val="-2"/>
        </w:rPr>
        <w:t>（1）血红蛋白＜100</w:t>
      </w:r>
      <w:r>
        <w:rPr>
          <w:rFonts w:ascii="Times New Roman" w:eastAsia="Times New Roman"/>
          <w:spacing w:val="-2"/>
        </w:rPr>
        <w:t>g</w:t>
      </w:r>
      <w:r>
        <w:rPr>
          <w:spacing w:val="-2"/>
        </w:rPr>
        <w:t>/</w:t>
      </w:r>
      <w:r>
        <w:rPr>
          <w:rFonts w:ascii="Times New Roman" w:eastAsia="Times New Roman"/>
          <w:spacing w:val="-2"/>
        </w:rPr>
        <w:t>L</w:t>
      </w:r>
      <w:r>
        <w:rPr>
          <w:spacing w:val="-2"/>
        </w:rPr>
        <w:t>；</w:t>
      </w:r>
    </w:p>
    <w:p>
      <w:pPr>
        <w:pStyle w:val="BodyText"/>
        <w:ind w:left="174"/>
      </w:pPr>
      <w:r>
        <w:rPr>
          <w:spacing w:val="-2"/>
        </w:rPr>
        <w:t>（2）白细胞计数＞25×10</w:t>
      </w:r>
      <w:r>
        <w:rPr>
          <w:rFonts w:ascii="Times New Roman" w:hAnsi="Times New Roman" w:eastAsia="Times New Roman"/>
          <w:spacing w:val="-2"/>
          <w:vertAlign w:val="superscript"/>
        </w:rPr>
        <w:t>9</w:t>
      </w:r>
      <w:r>
        <w:rPr>
          <w:spacing w:val="-2"/>
          <w:vertAlign w:val="baseline"/>
        </w:rPr>
        <w:t>/L；</w:t>
      </w:r>
    </w:p>
    <w:p>
      <w:pPr>
        <w:pStyle w:val="BodyText"/>
        <w:ind w:left="174"/>
      </w:pPr>
      <w:r>
        <w:rPr>
          <w:spacing w:val="-2"/>
        </w:rPr>
        <w:t>（3）</w:t>
      </w:r>
      <w:r>
        <w:rPr>
          <w:spacing w:val="-3"/>
        </w:rPr>
        <w:t>外周血原始细胞≥</w:t>
      </w:r>
      <w:r>
        <w:rPr>
          <w:spacing w:val="-4"/>
        </w:rPr>
        <w:t>1%；</w:t>
      </w:r>
    </w:p>
    <w:p>
      <w:pPr>
        <w:pStyle w:val="BodyText"/>
        <w:spacing w:line="257" w:lineRule="exact" w:before="42"/>
        <w:ind w:left="174"/>
      </w:pPr>
      <w:r>
        <w:rPr>
          <w:w w:val="95"/>
        </w:rPr>
        <w:t>（4）血小板计数＜100×10</w:t>
      </w:r>
      <w:r>
        <w:rPr>
          <w:rFonts w:ascii="Times New Roman" w:hAnsi="Times New Roman" w:eastAsia="Times New Roman"/>
          <w:w w:val="95"/>
          <w:vertAlign w:val="superscript"/>
        </w:rPr>
        <w:t>9</w:t>
      </w:r>
      <w:r>
        <w:rPr>
          <w:w w:val="95"/>
          <w:vertAlign w:val="baseline"/>
        </w:rPr>
        <w:t>/L</w:t>
      </w:r>
      <w:r>
        <w:rPr>
          <w:spacing w:val="-10"/>
          <w:w w:val="95"/>
          <w:vertAlign w:val="baseline"/>
        </w:rPr>
        <w:t>。</w:t>
      </w:r>
    </w:p>
    <w:p>
      <w:pPr>
        <w:spacing w:line="375" w:lineRule="exact" w:before="0"/>
        <w:ind w:left="174" w:right="0" w:firstLine="0"/>
        <w:jc w:val="left"/>
        <w:rPr>
          <w:rFonts w:ascii="微软雅黑" w:eastAsia="微软雅黑"/>
          <w:b/>
          <w:sz w:val="21"/>
        </w:rPr>
      </w:pPr>
      <w:r>
        <w:rPr>
          <w:rFonts w:ascii="微软雅黑" w:eastAsia="微软雅黑"/>
          <w:b/>
          <w:spacing w:val="-3"/>
          <w:sz w:val="21"/>
        </w:rPr>
        <w:t>恶性肿瘤、中毒、放射线和感染所致的继发性骨髓纤维化不在本保障范围内。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2"/>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严重骨髓增</w:t>
      </w:r>
      <w:r>
        <w:rPr>
          <w:rFonts w:ascii="微软雅黑" w:eastAsia="微软雅黑"/>
          <w:b/>
          <w:spacing w:val="-2"/>
          <w:sz w:val="21"/>
        </w:rPr>
        <w:t>生异常综合征</w:t>
      </w:r>
    </w:p>
    <w:p>
      <w:pPr>
        <w:pStyle w:val="BodyText"/>
        <w:spacing w:line="278" w:lineRule="auto" w:before="71"/>
        <w:ind w:left="174" w:right="359"/>
      </w:pPr>
      <w:r>
        <w:rPr/>
        <w:br w:type="column"/>
      </w:r>
      <w:r>
        <w:rPr>
          <w:spacing w:val="-2"/>
        </w:rPr>
        <w:t>骨髓增生异常综合征是起源于造血干细胞的一组骨髓克隆异常的疾病，表现为无</w:t>
      </w:r>
      <w:r>
        <w:rPr>
          <w:spacing w:val="-2"/>
        </w:rPr>
        <w:t>效造血、难治性血细胞减少，有转化为急性髓系白血病的风险。</w:t>
      </w:r>
    </w:p>
    <w:p>
      <w:pPr>
        <w:pStyle w:val="BodyText"/>
        <w:spacing w:line="278" w:lineRule="auto" w:before="0"/>
        <w:ind w:left="174" w:right="359"/>
      </w:pPr>
      <w:r>
        <w:rPr>
          <w:spacing w:val="-2"/>
        </w:rPr>
        <w:t>被保险人须经由外周血和骨髓活检明确诊断为骨髓增生异常综合征，并且满足下</w:t>
      </w:r>
      <w:r>
        <w:rPr>
          <w:spacing w:val="-2"/>
        </w:rPr>
        <w:t>列所有条件：</w:t>
      </w:r>
    </w:p>
    <w:p>
      <w:pPr>
        <w:pStyle w:val="ListParagraph"/>
        <w:numPr>
          <w:ilvl w:val="0"/>
          <w:numId w:val="75"/>
        </w:numPr>
        <w:tabs>
          <w:tab w:pos="705" w:val="left" w:leader="none"/>
        </w:tabs>
        <w:spacing w:line="269" w:lineRule="exact" w:before="0" w:after="0"/>
        <w:ind w:left="704" w:right="0" w:hanging="531"/>
        <w:jc w:val="left"/>
        <w:rPr>
          <w:sz w:val="21"/>
        </w:rPr>
      </w:pPr>
      <w:r>
        <w:rPr>
          <w:spacing w:val="17"/>
          <w:sz w:val="21"/>
        </w:rPr>
        <w:t>根据</w:t>
      </w:r>
      <w:r>
        <w:rPr>
          <w:rFonts w:ascii="Times New Roman" w:eastAsia="Times New Roman"/>
          <w:sz w:val="21"/>
        </w:rPr>
        <w:t>WHO</w:t>
      </w:r>
      <w:r>
        <w:rPr>
          <w:rFonts w:ascii="Times New Roman" w:eastAsia="Times New Roman"/>
          <w:spacing w:val="-12"/>
          <w:sz w:val="21"/>
        </w:rPr>
        <w:t> </w:t>
      </w:r>
      <w:r>
        <w:rPr>
          <w:sz w:val="21"/>
        </w:rPr>
        <w:t>分型，分型为难治性贫血伴原始细胞增多</w:t>
      </w:r>
      <w:r>
        <w:rPr>
          <w:spacing w:val="26"/>
          <w:sz w:val="21"/>
        </w:rPr>
        <w:t>（</w:t>
      </w:r>
      <w:r>
        <w:rPr>
          <w:rFonts w:ascii="Times New Roman" w:eastAsia="Times New Roman"/>
          <w:spacing w:val="29"/>
          <w:sz w:val="21"/>
        </w:rPr>
        <w:t>R</w:t>
      </w:r>
      <w:r>
        <w:rPr>
          <w:rFonts w:ascii="Times New Roman" w:eastAsia="Times New Roman"/>
          <w:spacing w:val="27"/>
          <w:sz w:val="21"/>
        </w:rPr>
        <w:t>AE</w:t>
      </w:r>
      <w:r>
        <w:rPr>
          <w:rFonts w:ascii="Times New Roman" w:eastAsia="Times New Roman"/>
          <w:spacing w:val="30"/>
          <w:sz w:val="21"/>
        </w:rPr>
        <w:t>B</w:t>
      </w:r>
      <w:r>
        <w:rPr>
          <w:spacing w:val="-77"/>
          <w:sz w:val="21"/>
        </w:rPr>
        <w:t>）；</w:t>
      </w:r>
    </w:p>
    <w:p>
      <w:pPr>
        <w:pStyle w:val="ListParagraph"/>
        <w:numPr>
          <w:ilvl w:val="0"/>
          <w:numId w:val="75"/>
        </w:numPr>
        <w:tabs>
          <w:tab w:pos="705" w:val="left" w:leader="none"/>
        </w:tabs>
        <w:spacing w:line="278" w:lineRule="auto" w:before="43" w:after="0"/>
        <w:ind w:left="174" w:right="461" w:firstLine="0"/>
        <w:jc w:val="left"/>
        <w:rPr>
          <w:sz w:val="21"/>
        </w:rPr>
      </w:pPr>
      <w:r>
        <w:rPr>
          <w:spacing w:val="-4"/>
          <w:sz w:val="21"/>
        </w:rPr>
        <w:t>根据“骨髓增生异常综合征修订国际预后积分系统（</w:t>
      </w:r>
      <w:r>
        <w:rPr>
          <w:rFonts w:ascii="Times New Roman" w:hAnsi="Times New Roman" w:eastAsia="Times New Roman"/>
          <w:spacing w:val="-4"/>
          <w:sz w:val="21"/>
        </w:rPr>
        <w:t>IPSS</w:t>
      </w:r>
      <w:r>
        <w:rPr>
          <w:spacing w:val="-4"/>
          <w:sz w:val="21"/>
        </w:rPr>
        <w:t>-</w:t>
      </w:r>
      <w:r>
        <w:rPr>
          <w:rFonts w:ascii="Times New Roman" w:hAnsi="Times New Roman" w:eastAsia="Times New Roman"/>
          <w:spacing w:val="32"/>
          <w:sz w:val="21"/>
        </w:rPr>
        <w:t>R</w:t>
      </w:r>
      <w:r>
        <w:rPr>
          <w:spacing w:val="-76"/>
          <w:sz w:val="21"/>
        </w:rPr>
        <w:t>）</w:t>
      </w:r>
      <w:r>
        <w:rPr>
          <w:spacing w:val="5"/>
          <w:sz w:val="21"/>
        </w:rPr>
        <w:t>”积分≥</w:t>
      </w:r>
      <w:r>
        <w:rPr>
          <w:spacing w:val="-4"/>
          <w:sz w:val="21"/>
        </w:rPr>
        <w:t>3，</w:t>
      </w:r>
      <w:r>
        <w:rPr>
          <w:spacing w:val="-2"/>
          <w:sz w:val="21"/>
        </w:rPr>
        <w:t>属于中危及以上组。</w:t>
      </w:r>
    </w:p>
    <w:p>
      <w:pPr>
        <w:spacing w:after="0" w:line="278" w:lineRule="auto"/>
        <w:jc w:val="left"/>
        <w:rPr>
          <w:sz w:val="21"/>
        </w:rPr>
        <w:sectPr>
          <w:type w:val="continuous"/>
          <w:pgSz w:w="11910" w:h="16840"/>
          <w:pgMar w:header="0" w:footer="458" w:top="620" w:bottom="280" w:left="800" w:right="660"/>
          <w:cols w:num="2" w:equalWidth="0">
            <w:col w:w="2486" w:space="40"/>
            <w:col w:w="7924"/>
          </w:cols>
        </w:sectPr>
      </w:pPr>
    </w:p>
    <w:p>
      <w:pPr>
        <w:pStyle w:val="BodyText"/>
        <w:spacing w:before="10"/>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严重感染性</w:t>
      </w:r>
      <w:r>
        <w:rPr>
          <w:rFonts w:ascii="微软雅黑" w:eastAsia="微软雅黑"/>
          <w:b/>
          <w:spacing w:val="-4"/>
          <w:sz w:val="21"/>
        </w:rPr>
        <w:t>心内膜炎</w:t>
      </w:r>
    </w:p>
    <w:p>
      <w:pPr>
        <w:pStyle w:val="BodyText"/>
        <w:spacing w:line="278" w:lineRule="auto" w:before="72"/>
        <w:ind w:left="174" w:right="359"/>
      </w:pPr>
      <w:r>
        <w:rPr/>
        <w:br w:type="column"/>
      </w:r>
      <w:r>
        <w:rPr>
          <w:spacing w:val="-2"/>
        </w:rPr>
        <w:t>感染性心内膜炎是指因细菌或其他致病菌感染造成心脏内膜感染，瓣膜为最常受</w:t>
      </w:r>
      <w:r>
        <w:rPr>
          <w:spacing w:val="-2"/>
        </w:rPr>
        <w:t>累部位，引起心脏瓣膜关闭不全。必须满足下列至少三项条件：</w:t>
      </w:r>
    </w:p>
    <w:p>
      <w:pPr>
        <w:pStyle w:val="ListParagraph"/>
        <w:numPr>
          <w:ilvl w:val="0"/>
          <w:numId w:val="76"/>
        </w:numPr>
        <w:tabs>
          <w:tab w:pos="705" w:val="left" w:leader="none"/>
        </w:tabs>
        <w:spacing w:line="269" w:lineRule="exact" w:before="0" w:after="0"/>
        <w:ind w:left="704" w:right="0" w:hanging="531"/>
        <w:jc w:val="left"/>
        <w:rPr>
          <w:sz w:val="21"/>
        </w:rPr>
      </w:pPr>
      <w:r>
        <w:rPr>
          <w:spacing w:val="-3"/>
          <w:sz w:val="21"/>
        </w:rPr>
        <w:t>急性或亚急性感染性心内膜炎临床表现；</w:t>
      </w:r>
    </w:p>
    <w:p>
      <w:pPr>
        <w:pStyle w:val="ListParagraph"/>
        <w:numPr>
          <w:ilvl w:val="0"/>
          <w:numId w:val="76"/>
        </w:numPr>
        <w:tabs>
          <w:tab w:pos="705" w:val="left" w:leader="none"/>
        </w:tabs>
        <w:spacing w:line="240" w:lineRule="auto" w:before="43" w:after="0"/>
        <w:ind w:left="704" w:right="0" w:hanging="531"/>
        <w:jc w:val="left"/>
        <w:rPr>
          <w:sz w:val="21"/>
        </w:rPr>
      </w:pPr>
      <w:r>
        <w:rPr>
          <w:spacing w:val="-3"/>
          <w:sz w:val="21"/>
        </w:rPr>
        <w:t>血培养病原体阳性；</w:t>
      </w:r>
    </w:p>
    <w:p>
      <w:pPr>
        <w:pStyle w:val="ListParagraph"/>
        <w:numPr>
          <w:ilvl w:val="0"/>
          <w:numId w:val="76"/>
        </w:numPr>
        <w:tabs>
          <w:tab w:pos="705" w:val="left" w:leader="none"/>
        </w:tabs>
        <w:spacing w:line="240" w:lineRule="auto" w:before="42" w:after="0"/>
        <w:ind w:left="704" w:right="0" w:hanging="531"/>
        <w:jc w:val="left"/>
        <w:rPr>
          <w:sz w:val="21"/>
        </w:rPr>
      </w:pPr>
      <w:r>
        <w:rPr>
          <w:spacing w:val="-3"/>
          <w:sz w:val="21"/>
        </w:rPr>
        <w:t>心功能衰竭并实际接受了心脏瓣膜置换手术；</w:t>
      </w:r>
    </w:p>
    <w:p>
      <w:pPr>
        <w:pStyle w:val="ListParagraph"/>
        <w:numPr>
          <w:ilvl w:val="0"/>
          <w:numId w:val="76"/>
        </w:numPr>
        <w:tabs>
          <w:tab w:pos="705" w:val="left" w:leader="none"/>
        </w:tabs>
        <w:spacing w:line="257" w:lineRule="exact" w:before="43" w:after="0"/>
        <w:ind w:left="704" w:right="0" w:hanging="531"/>
        <w:jc w:val="left"/>
        <w:rPr>
          <w:sz w:val="21"/>
        </w:rPr>
      </w:pPr>
      <w:r>
        <w:rPr>
          <w:spacing w:val="-3"/>
          <w:sz w:val="21"/>
        </w:rPr>
        <w:t>并发动脉栓塞导致脑梗塞、肾梗塞或心肌梗塞。</w:t>
      </w:r>
    </w:p>
    <w:p>
      <w:pPr>
        <w:spacing w:line="375" w:lineRule="exact" w:before="0"/>
        <w:ind w:left="174" w:right="0" w:firstLine="0"/>
        <w:jc w:val="left"/>
        <w:rPr>
          <w:rFonts w:ascii="微软雅黑" w:eastAsia="微软雅黑"/>
          <w:b/>
          <w:sz w:val="21"/>
        </w:rPr>
      </w:pPr>
      <w:r>
        <w:rPr>
          <w:rFonts w:ascii="微软雅黑" w:eastAsia="微软雅黑"/>
          <w:b/>
          <w:spacing w:val="-3"/>
          <w:sz w:val="21"/>
        </w:rPr>
        <w:t>药物滥用者所患感染性心内膜炎不在本保障范围内。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2"/>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严重急性主</w:t>
      </w:r>
      <w:r>
        <w:rPr>
          <w:rFonts w:ascii="微软雅黑" w:eastAsia="微软雅黑"/>
          <w:b/>
          <w:spacing w:val="-2"/>
          <w:sz w:val="21"/>
        </w:rPr>
        <w:t>动脉夹层血肿</w:t>
      </w:r>
    </w:p>
    <w:p>
      <w:pPr>
        <w:pStyle w:val="BodyText"/>
        <w:spacing w:line="278" w:lineRule="auto" w:before="71"/>
        <w:ind w:left="174" w:right="250"/>
      </w:pPr>
      <w:r>
        <w:rPr/>
        <w:br w:type="column"/>
      </w:r>
      <w:r>
        <w:rPr>
          <w:spacing w:val="-7"/>
          <w:w w:val="100"/>
        </w:rPr>
        <w:t>指主动脉壁在受到某些病理因素破坏后，高速、高压的主动脉血流将其内膜撕裂，以致主动脉腔内的血流通过主动脉内膜的破裂口进入主动脉内壁而形成血肿。急</w:t>
      </w:r>
      <w:r>
        <w:rPr>
          <w:spacing w:val="-5"/>
          <w:w w:val="100"/>
        </w:rPr>
        <w:t>性主动脉夹层血肿必须明确诊断，并且满足下列所有条件：</w:t>
      </w:r>
    </w:p>
    <w:p>
      <w:pPr>
        <w:pStyle w:val="ListParagraph"/>
        <w:numPr>
          <w:ilvl w:val="0"/>
          <w:numId w:val="77"/>
        </w:numPr>
        <w:tabs>
          <w:tab w:pos="705" w:val="left" w:leader="none"/>
        </w:tabs>
        <w:spacing w:line="240" w:lineRule="auto" w:before="1" w:after="0"/>
        <w:ind w:left="704" w:right="0" w:hanging="531"/>
        <w:jc w:val="left"/>
        <w:rPr>
          <w:sz w:val="21"/>
        </w:rPr>
      </w:pPr>
      <w:r>
        <w:rPr>
          <w:spacing w:val="-3"/>
          <w:sz w:val="21"/>
        </w:rPr>
        <w:t>有典型的临床表现；</w:t>
      </w:r>
    </w:p>
    <w:p>
      <w:pPr>
        <w:pStyle w:val="ListParagraph"/>
        <w:numPr>
          <w:ilvl w:val="0"/>
          <w:numId w:val="77"/>
        </w:numPr>
        <w:tabs>
          <w:tab w:pos="705" w:val="left" w:leader="none"/>
        </w:tabs>
        <w:spacing w:line="278" w:lineRule="auto" w:before="43" w:after="0"/>
        <w:ind w:left="174" w:right="252" w:firstLine="0"/>
        <w:jc w:val="left"/>
        <w:rPr>
          <w:sz w:val="21"/>
        </w:rPr>
      </w:pPr>
      <w:r>
        <w:rPr>
          <w:spacing w:val="-8"/>
          <w:sz w:val="21"/>
        </w:rPr>
        <w:t>有电子计算机断层扫描</w:t>
      </w:r>
      <w:r>
        <w:rPr>
          <w:spacing w:val="19"/>
          <w:sz w:val="21"/>
        </w:rPr>
        <w:t>（</w:t>
      </w:r>
      <w:r>
        <w:rPr>
          <w:rFonts w:ascii="Times New Roman" w:eastAsia="Times New Roman"/>
          <w:spacing w:val="17"/>
          <w:sz w:val="21"/>
        </w:rPr>
        <w:t>C</w:t>
      </w:r>
      <w:r>
        <w:rPr>
          <w:rFonts w:ascii="Times New Roman" w:eastAsia="Times New Roman"/>
          <w:spacing w:val="19"/>
          <w:sz w:val="21"/>
        </w:rPr>
        <w:t>T</w:t>
      </w:r>
      <w:r>
        <w:rPr>
          <w:spacing w:val="-87"/>
          <w:sz w:val="21"/>
        </w:rPr>
        <w:t>）</w:t>
      </w:r>
      <w:r>
        <w:rPr>
          <w:spacing w:val="-8"/>
          <w:sz w:val="21"/>
        </w:rPr>
        <w:t>、磁共振扫描</w:t>
      </w:r>
      <w:r>
        <w:rPr>
          <w:spacing w:val="14"/>
          <w:sz w:val="21"/>
        </w:rPr>
        <w:t>（</w:t>
      </w:r>
      <w:r>
        <w:rPr>
          <w:rFonts w:ascii="Times New Roman" w:eastAsia="Times New Roman"/>
          <w:spacing w:val="12"/>
          <w:sz w:val="21"/>
        </w:rPr>
        <w:t>M</w:t>
      </w:r>
      <w:r>
        <w:rPr>
          <w:rFonts w:ascii="Times New Roman" w:eastAsia="Times New Roman"/>
          <w:spacing w:val="13"/>
          <w:sz w:val="21"/>
        </w:rPr>
        <w:t>R</w:t>
      </w:r>
      <w:r>
        <w:rPr>
          <w:rFonts w:ascii="Times New Roman" w:eastAsia="Times New Roman"/>
          <w:spacing w:val="11"/>
          <w:sz w:val="21"/>
        </w:rPr>
        <w:t>I</w:t>
      </w:r>
      <w:r>
        <w:rPr>
          <w:spacing w:val="-91"/>
          <w:sz w:val="21"/>
        </w:rPr>
        <w:t>）</w:t>
      </w:r>
      <w:r>
        <w:rPr>
          <w:spacing w:val="-8"/>
          <w:sz w:val="21"/>
        </w:rPr>
        <w:t>、磁共振血管造影</w:t>
      </w:r>
      <w:r>
        <w:rPr>
          <w:spacing w:val="-2"/>
          <w:sz w:val="21"/>
        </w:rPr>
        <w:t>（</w:t>
      </w:r>
      <w:r>
        <w:rPr>
          <w:rFonts w:ascii="Times New Roman" w:eastAsia="Times New Roman"/>
          <w:spacing w:val="-2"/>
          <w:sz w:val="21"/>
        </w:rPr>
        <w:t>MRA</w:t>
      </w:r>
      <w:r>
        <w:rPr>
          <w:spacing w:val="-2"/>
          <w:sz w:val="21"/>
        </w:rPr>
        <w:t>）等影像学证据支持诊断；</w:t>
      </w:r>
    </w:p>
    <w:p>
      <w:pPr>
        <w:pStyle w:val="ListParagraph"/>
        <w:numPr>
          <w:ilvl w:val="0"/>
          <w:numId w:val="77"/>
        </w:numPr>
        <w:tabs>
          <w:tab w:pos="705" w:val="left" w:leader="none"/>
        </w:tabs>
        <w:spacing w:line="257" w:lineRule="exact" w:before="0" w:after="0"/>
        <w:ind w:left="704" w:right="0" w:hanging="531"/>
        <w:jc w:val="left"/>
        <w:rPr>
          <w:sz w:val="21"/>
        </w:rPr>
      </w:pPr>
      <w:r>
        <w:rPr>
          <w:spacing w:val="-3"/>
          <w:sz w:val="21"/>
        </w:rPr>
        <w:t>被保险人实际接受了急诊条件下进行的传统或微创开胸或开腹主动脉手术。</w:t>
      </w:r>
    </w:p>
    <w:p>
      <w:pPr>
        <w:spacing w:line="375" w:lineRule="exact" w:before="0"/>
        <w:ind w:left="174" w:right="0" w:firstLine="0"/>
        <w:jc w:val="left"/>
        <w:rPr>
          <w:rFonts w:ascii="微软雅黑" w:eastAsia="微软雅黑"/>
          <w:b/>
          <w:sz w:val="21"/>
        </w:rPr>
      </w:pPr>
      <w:r>
        <w:rPr>
          <w:rFonts w:ascii="微软雅黑" w:eastAsia="微软雅黑"/>
          <w:b/>
          <w:spacing w:val="-3"/>
          <w:sz w:val="21"/>
        </w:rPr>
        <w:t>慢性期主动脉夹层择期手术、经导管主动脉内介入手术治疗不在本保障范围内。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ListParagraph"/>
        <w:numPr>
          <w:ilvl w:val="0"/>
          <w:numId w:val="50"/>
        </w:numPr>
        <w:tabs>
          <w:tab w:pos="1399" w:val="left" w:leader="none"/>
        </w:tabs>
        <w:spacing w:line="194" w:lineRule="auto" w:before="28" w:after="0"/>
        <w:ind w:left="1072" w:right="0" w:firstLine="0"/>
        <w:jc w:val="left"/>
        <w:rPr>
          <w:rFonts w:ascii="微软雅黑" w:eastAsia="微软雅黑"/>
          <w:b/>
          <w:sz w:val="21"/>
        </w:rPr>
      </w:pPr>
      <w:r>
        <w:rPr>
          <w:rFonts w:ascii="微软雅黑" w:eastAsia="微软雅黑"/>
          <w:b/>
          <w:spacing w:val="-2"/>
          <w:sz w:val="21"/>
        </w:rPr>
        <w:t>严重慢性缩</w:t>
      </w:r>
      <w:r>
        <w:rPr>
          <w:rFonts w:ascii="微软雅黑" w:eastAsia="微软雅黑"/>
          <w:b/>
          <w:spacing w:val="-2"/>
          <w:sz w:val="21"/>
        </w:rPr>
        <w:t>窄性心包炎</w:t>
      </w:r>
    </w:p>
    <w:p>
      <w:pPr>
        <w:pStyle w:val="BodyText"/>
        <w:spacing w:line="278" w:lineRule="auto"/>
        <w:ind w:left="174" w:right="250"/>
      </w:pPr>
      <w:r>
        <w:rPr/>
        <w:br w:type="column"/>
      </w:r>
      <w:r>
        <w:rPr>
          <w:spacing w:val="-7"/>
          <w:w w:val="100"/>
        </w:rPr>
        <w:t>由于慢性心包炎症导致心包脏层和壁层广泛瘢痕粘连、增厚和钙化，心包腔闭塞，形成一个纤维瘢痕外壳，使心脏和大血管根部受压，阻碍心脏的舒张。慢性缩窄</w:t>
      </w:r>
      <w:r>
        <w:rPr>
          <w:spacing w:val="-5"/>
          <w:w w:val="100"/>
        </w:rPr>
        <w:t>性心包炎必须被明确诊断并且满足下列所有条件：</w:t>
      </w:r>
    </w:p>
    <w:p>
      <w:pPr>
        <w:pStyle w:val="ListParagraph"/>
        <w:numPr>
          <w:ilvl w:val="0"/>
          <w:numId w:val="78"/>
        </w:numPr>
        <w:tabs>
          <w:tab w:pos="705" w:val="left" w:leader="none"/>
        </w:tabs>
        <w:spacing w:line="278" w:lineRule="auto" w:before="0" w:after="0"/>
        <w:ind w:left="174" w:right="353" w:firstLine="0"/>
        <w:jc w:val="left"/>
        <w:rPr>
          <w:sz w:val="21"/>
        </w:rPr>
      </w:pPr>
      <w:r>
        <w:rPr>
          <w:spacing w:val="-1"/>
          <w:sz w:val="21"/>
        </w:rPr>
        <w:t>心功能衰竭达到美国纽约心脏病学会心功能状态分级Ⅳ级，并持续 </w:t>
      </w:r>
      <w:r>
        <w:rPr>
          <w:sz w:val="21"/>
        </w:rPr>
        <w:t>180</w:t>
      </w:r>
      <w:r>
        <w:rPr>
          <w:spacing w:val="-13"/>
          <w:sz w:val="21"/>
        </w:rPr>
        <w:t> 天</w:t>
      </w:r>
      <w:r>
        <w:rPr>
          <w:spacing w:val="-4"/>
          <w:sz w:val="21"/>
        </w:rPr>
        <w:t>以上；</w:t>
      </w:r>
    </w:p>
    <w:p>
      <w:pPr>
        <w:pStyle w:val="ListParagraph"/>
        <w:numPr>
          <w:ilvl w:val="0"/>
          <w:numId w:val="78"/>
        </w:numPr>
        <w:tabs>
          <w:tab w:pos="705" w:val="left" w:leader="none"/>
        </w:tabs>
        <w:spacing w:line="278" w:lineRule="auto" w:before="0" w:after="0"/>
        <w:ind w:left="174" w:right="353" w:firstLine="0"/>
        <w:jc w:val="left"/>
        <w:rPr>
          <w:sz w:val="21"/>
        </w:rPr>
      </w:pPr>
      <w:r>
        <w:rPr>
          <w:spacing w:val="-3"/>
          <w:w w:val="100"/>
          <w:sz w:val="21"/>
        </w:rPr>
        <w:t>已经接受了经下列任何一种手术路径进行的开胸心包剥离手术或心包切除手术：</w:t>
      </w:r>
    </w:p>
    <w:p>
      <w:pPr>
        <w:pStyle w:val="BodyText"/>
        <w:spacing w:line="269" w:lineRule="exact" w:before="0"/>
        <w:ind w:left="595"/>
      </w:pPr>
      <w:r>
        <w:rPr>
          <w:spacing w:val="-4"/>
        </w:rPr>
        <w:t>① 胸骨正中切口；</w:t>
      </w:r>
    </w:p>
    <w:p>
      <w:pPr>
        <w:pStyle w:val="BodyText"/>
        <w:spacing w:before="42"/>
        <w:ind w:left="595"/>
      </w:pPr>
      <w:r>
        <w:rPr>
          <w:spacing w:val="-4"/>
        </w:rPr>
        <w:t>② 双侧前胸切口；</w:t>
      </w:r>
    </w:p>
    <w:p>
      <w:pPr>
        <w:pStyle w:val="BodyText"/>
        <w:spacing w:line="257" w:lineRule="exact"/>
        <w:ind w:left="595"/>
      </w:pPr>
      <w:r>
        <w:rPr>
          <w:spacing w:val="-5"/>
        </w:rPr>
        <w:t>③ 左前胸肋间切口。</w:t>
      </w:r>
    </w:p>
    <w:p>
      <w:pPr>
        <w:spacing w:line="375" w:lineRule="exact" w:before="0"/>
        <w:ind w:left="174" w:right="0" w:firstLine="0"/>
        <w:jc w:val="left"/>
        <w:rPr>
          <w:rFonts w:ascii="微软雅黑" w:eastAsia="微软雅黑"/>
          <w:b/>
          <w:sz w:val="21"/>
        </w:rPr>
      </w:pPr>
      <w:r>
        <w:rPr>
          <w:rFonts w:ascii="微软雅黑" w:eastAsia="微软雅黑"/>
          <w:b/>
          <w:spacing w:val="-3"/>
          <w:sz w:val="21"/>
        </w:rPr>
        <w:t>经胸腔镜、胸壁打孔进行的手术、心包粘连松解手术不在本保障范围内。</w:t>
      </w:r>
    </w:p>
    <w:p>
      <w:pPr>
        <w:spacing w:after="0" w:line="375" w:lineRule="exact"/>
        <w:jc w:val="left"/>
        <w:rPr>
          <w:rFonts w:ascii="微软雅黑" w:eastAsia="微软雅黑"/>
          <w:sz w:val="21"/>
        </w:rPr>
        <w:sectPr>
          <w:pgSz w:w="11910" w:h="16840"/>
          <w:pgMar w:header="0" w:footer="458" w:top="1260" w:bottom="640" w:left="800" w:right="660"/>
          <w:cols w:num="2" w:equalWidth="0">
            <w:col w:w="2486" w:space="40"/>
            <w:col w:w="7924"/>
          </w:cols>
        </w:sectPr>
      </w:pPr>
    </w:p>
    <w:p>
      <w:pPr>
        <w:pStyle w:val="BodyText"/>
        <w:spacing w:before="11"/>
        <w:rPr>
          <w:rFonts w:ascii="微软雅黑"/>
          <w:b/>
          <w:sz w:val="12"/>
        </w:rPr>
      </w:pPr>
    </w:p>
    <w:p>
      <w:pPr>
        <w:pStyle w:val="ListParagraph"/>
        <w:numPr>
          <w:ilvl w:val="0"/>
          <w:numId w:val="50"/>
        </w:numPr>
        <w:tabs>
          <w:tab w:pos="1391" w:val="left" w:leader="none"/>
          <w:tab w:pos="2699" w:val="left" w:leader="none"/>
        </w:tabs>
        <w:spacing w:line="350" w:lineRule="exact" w:before="5" w:after="0"/>
        <w:ind w:left="1390" w:right="0" w:hanging="319"/>
        <w:jc w:val="left"/>
        <w:rPr>
          <w:sz w:val="21"/>
        </w:rPr>
      </w:pPr>
      <w:r>
        <w:rPr>
          <w:rFonts w:ascii="微软雅黑" w:eastAsia="微软雅黑"/>
          <w:b/>
          <w:sz w:val="21"/>
        </w:rPr>
        <w:t>心脏粘液</w:t>
      </w:r>
      <w:r>
        <w:rPr>
          <w:rFonts w:ascii="微软雅黑" w:eastAsia="微软雅黑"/>
          <w:b/>
          <w:spacing w:val="-10"/>
          <w:sz w:val="21"/>
        </w:rPr>
        <w:t>瘤</w:t>
      </w:r>
      <w:r>
        <w:rPr>
          <w:rFonts w:ascii="微软雅黑" w:eastAsia="微软雅黑"/>
          <w:b/>
          <w:sz w:val="21"/>
        </w:rPr>
        <w:tab/>
      </w:r>
      <w:r>
        <w:rPr>
          <w:spacing w:val="-2"/>
          <w:sz w:val="21"/>
        </w:rPr>
        <w:t>指</w:t>
      </w:r>
      <w:r>
        <w:rPr>
          <w:spacing w:val="-2"/>
          <w:sz w:val="21"/>
        </w:rPr>
        <w:t>为</w:t>
      </w:r>
      <w:r>
        <w:rPr>
          <w:spacing w:val="-2"/>
          <w:sz w:val="21"/>
        </w:rPr>
        <w:t>了治疗心脏粘液瘤，</w:t>
      </w:r>
      <w:r>
        <w:rPr>
          <w:spacing w:val="-2"/>
          <w:sz w:val="21"/>
        </w:rPr>
        <w:t>实</w:t>
      </w:r>
      <w:r>
        <w:rPr>
          <w:spacing w:val="-2"/>
          <w:sz w:val="21"/>
        </w:rPr>
        <w:t>际</w:t>
      </w:r>
      <w:r>
        <w:rPr>
          <w:spacing w:val="-2"/>
          <w:sz w:val="21"/>
        </w:rPr>
        <w:t>实施了开胸开心心脏</w:t>
      </w:r>
      <w:r>
        <w:rPr>
          <w:spacing w:val="-2"/>
          <w:sz w:val="21"/>
        </w:rPr>
        <w:t>粘</w:t>
      </w:r>
      <w:r>
        <w:rPr>
          <w:spacing w:val="-2"/>
          <w:sz w:val="21"/>
        </w:rPr>
        <w:t>液</w:t>
      </w:r>
      <w:r>
        <w:rPr>
          <w:spacing w:val="-2"/>
          <w:sz w:val="21"/>
        </w:rPr>
        <w:t>瘤切除手术</w:t>
      </w:r>
      <w:r>
        <w:rPr>
          <w:spacing w:val="-10"/>
          <w:sz w:val="21"/>
        </w:rPr>
        <w:t>。</w:t>
      </w:r>
    </w:p>
    <w:p>
      <w:pPr>
        <w:spacing w:line="350" w:lineRule="exact" w:before="0"/>
        <w:ind w:left="2699" w:right="0" w:firstLine="0"/>
        <w:jc w:val="left"/>
        <w:rPr>
          <w:rFonts w:ascii="微软雅黑" w:eastAsia="微软雅黑"/>
          <w:b/>
          <w:sz w:val="21"/>
        </w:rPr>
      </w:pPr>
      <w:r>
        <w:rPr>
          <w:rFonts w:ascii="微软雅黑" w:eastAsia="微软雅黑"/>
          <w:b/>
          <w:spacing w:val="-3"/>
          <w:sz w:val="21"/>
        </w:rPr>
        <w:t>经导管介入手术治疗不在本保障范围内。</w:t>
      </w: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both"/>
        <w:rPr>
          <w:rFonts w:ascii="微软雅黑" w:eastAsia="微软雅黑"/>
          <w:b/>
          <w:sz w:val="21"/>
        </w:rPr>
      </w:pPr>
      <w:r>
        <w:rPr>
          <w:rFonts w:ascii="微软雅黑" w:eastAsia="微软雅黑"/>
          <w:b/>
          <w:spacing w:val="-2"/>
          <w:sz w:val="21"/>
        </w:rPr>
        <w:t>严重心脏衰</w:t>
      </w:r>
      <w:r>
        <w:rPr>
          <w:rFonts w:ascii="微软雅黑" w:eastAsia="微软雅黑"/>
          <w:b/>
          <w:spacing w:val="-8"/>
          <w:sz w:val="21"/>
        </w:rPr>
        <w:t>竭 </w:t>
      </w:r>
      <w:r>
        <w:rPr>
          <w:rFonts w:ascii="Times New Roman" w:eastAsia="Times New Roman"/>
          <w:b/>
          <w:sz w:val="21"/>
        </w:rPr>
        <w:t>CRT</w:t>
      </w:r>
      <w:r>
        <w:rPr>
          <w:rFonts w:ascii="Times New Roman" w:eastAsia="Times New Roman"/>
          <w:b/>
          <w:spacing w:val="-8"/>
          <w:sz w:val="21"/>
        </w:rPr>
        <w:t> </w:t>
      </w:r>
      <w:r>
        <w:rPr>
          <w:rFonts w:ascii="微软雅黑" w:eastAsia="微软雅黑"/>
          <w:b/>
          <w:sz w:val="21"/>
        </w:rPr>
        <w:t>心脏再</w:t>
      </w:r>
      <w:r>
        <w:rPr>
          <w:rFonts w:ascii="微软雅黑" w:eastAsia="微软雅黑"/>
          <w:b/>
          <w:spacing w:val="-4"/>
          <w:sz w:val="21"/>
        </w:rPr>
        <w:t>同步治疗</w:t>
      </w:r>
    </w:p>
    <w:p>
      <w:pPr>
        <w:pStyle w:val="BodyText"/>
        <w:spacing w:line="278" w:lineRule="auto" w:before="72"/>
        <w:ind w:left="173" w:right="353"/>
        <w:jc w:val="both"/>
      </w:pPr>
      <w:r>
        <w:rPr/>
        <w:br w:type="column"/>
      </w:r>
      <w:r>
        <w:rPr>
          <w:spacing w:val="-2"/>
        </w:rPr>
        <w:t>指因缺血性心脏病或扩张性心肌病导致慢性严重心脏衰竭，被保险人实际接受了</w:t>
      </w:r>
      <w:r>
        <w:rPr>
          <w:spacing w:val="-2"/>
        </w:rPr>
        <w:t> </w:t>
      </w:r>
      <w:r>
        <w:rPr>
          <w:rFonts w:ascii="Times New Roman" w:eastAsia="Times New Roman"/>
        </w:rPr>
        <w:t>CRT</w:t>
      </w:r>
      <w:r>
        <w:rPr>
          <w:rFonts w:ascii="Times New Roman" w:eastAsia="Times New Roman"/>
          <w:spacing w:val="-14"/>
        </w:rPr>
        <w:t> </w:t>
      </w:r>
      <w:r>
        <w:rPr/>
        <w:t>治疗，以矫正心室收缩不协调和改善心脏功能。接受治疗之前必须满足下列</w:t>
      </w:r>
      <w:r>
        <w:rPr>
          <w:spacing w:val="-2"/>
        </w:rPr>
        <w:t>所有条件：</w:t>
      </w:r>
    </w:p>
    <w:p>
      <w:pPr>
        <w:pStyle w:val="ListParagraph"/>
        <w:numPr>
          <w:ilvl w:val="0"/>
          <w:numId w:val="79"/>
        </w:numPr>
        <w:tabs>
          <w:tab w:pos="704" w:val="left" w:leader="none"/>
        </w:tabs>
        <w:spacing w:line="278" w:lineRule="auto" w:before="0" w:after="0"/>
        <w:ind w:left="173" w:right="495" w:firstLine="0"/>
        <w:jc w:val="left"/>
        <w:rPr>
          <w:sz w:val="21"/>
        </w:rPr>
      </w:pPr>
      <w:r>
        <w:rPr>
          <w:spacing w:val="-2"/>
          <w:sz w:val="21"/>
        </w:rPr>
        <w:t>心功能衰竭程度达到纽约心脏病学会的心功能分级标准之心功能Ⅲ级或Ⅳ</w:t>
      </w:r>
      <w:r>
        <w:rPr>
          <w:spacing w:val="-6"/>
          <w:sz w:val="21"/>
        </w:rPr>
        <w:t>级；</w:t>
      </w:r>
    </w:p>
    <w:p>
      <w:pPr>
        <w:pStyle w:val="ListParagraph"/>
        <w:numPr>
          <w:ilvl w:val="0"/>
          <w:numId w:val="79"/>
        </w:numPr>
        <w:tabs>
          <w:tab w:pos="704" w:val="left" w:leader="none"/>
        </w:tabs>
        <w:spacing w:line="269" w:lineRule="exact" w:before="0" w:after="0"/>
        <w:ind w:left="703" w:right="0" w:hanging="531"/>
        <w:jc w:val="left"/>
        <w:rPr>
          <w:sz w:val="21"/>
        </w:rPr>
      </w:pPr>
      <w:r>
        <w:rPr>
          <w:spacing w:val="-8"/>
          <w:sz w:val="21"/>
        </w:rPr>
        <w:t>左室射血分数低于 </w:t>
      </w:r>
      <w:r>
        <w:rPr>
          <w:spacing w:val="-4"/>
          <w:sz w:val="21"/>
        </w:rPr>
        <w:t>35%；</w:t>
      </w:r>
    </w:p>
    <w:p>
      <w:pPr>
        <w:pStyle w:val="ListParagraph"/>
        <w:numPr>
          <w:ilvl w:val="0"/>
          <w:numId w:val="79"/>
        </w:numPr>
        <w:tabs>
          <w:tab w:pos="704" w:val="left" w:leader="none"/>
        </w:tabs>
        <w:spacing w:line="240" w:lineRule="auto" w:before="42" w:after="0"/>
        <w:ind w:left="703" w:right="0" w:hanging="531"/>
        <w:jc w:val="left"/>
        <w:rPr>
          <w:sz w:val="21"/>
        </w:rPr>
      </w:pPr>
      <w:r>
        <w:rPr>
          <w:spacing w:val="-2"/>
          <w:sz w:val="21"/>
        </w:rPr>
        <w:t>左室舒张末期内径≥55</w:t>
      </w:r>
      <w:r>
        <w:rPr>
          <w:rFonts w:ascii="Times New Roman" w:hAnsi="Times New Roman" w:eastAsia="Times New Roman"/>
          <w:spacing w:val="-2"/>
          <w:sz w:val="21"/>
        </w:rPr>
        <w:t>mm</w:t>
      </w:r>
      <w:r>
        <w:rPr>
          <w:spacing w:val="-2"/>
          <w:sz w:val="21"/>
        </w:rPr>
        <w:t>；</w:t>
      </w:r>
    </w:p>
    <w:p>
      <w:pPr>
        <w:pStyle w:val="ListParagraph"/>
        <w:numPr>
          <w:ilvl w:val="0"/>
          <w:numId w:val="79"/>
        </w:numPr>
        <w:tabs>
          <w:tab w:pos="704" w:val="left" w:leader="none"/>
        </w:tabs>
        <w:spacing w:line="240" w:lineRule="auto" w:before="43" w:after="0"/>
        <w:ind w:left="703" w:right="0" w:hanging="531"/>
        <w:jc w:val="left"/>
        <w:rPr>
          <w:sz w:val="21"/>
        </w:rPr>
      </w:pPr>
      <w:r>
        <w:rPr>
          <w:rFonts w:ascii="Times New Roman" w:hAnsi="Times New Roman" w:eastAsia="Times New Roman"/>
          <w:sz w:val="21"/>
        </w:rPr>
        <w:t>QRS</w:t>
      </w:r>
      <w:r>
        <w:rPr>
          <w:rFonts w:ascii="Times New Roman" w:hAnsi="Times New Roman" w:eastAsia="Times New Roman"/>
          <w:spacing w:val="-7"/>
          <w:sz w:val="21"/>
        </w:rPr>
        <w:t> </w:t>
      </w:r>
      <w:r>
        <w:rPr>
          <w:spacing w:val="-1"/>
          <w:sz w:val="21"/>
        </w:rPr>
        <w:t>时间≥</w:t>
      </w:r>
      <w:r>
        <w:rPr>
          <w:spacing w:val="-2"/>
          <w:sz w:val="21"/>
        </w:rPr>
        <w:t>130</w:t>
      </w:r>
      <w:r>
        <w:rPr>
          <w:rFonts w:ascii="Times New Roman" w:hAnsi="Times New Roman" w:eastAsia="Times New Roman"/>
          <w:spacing w:val="-2"/>
          <w:sz w:val="21"/>
        </w:rPr>
        <w:t>msec</w:t>
      </w:r>
      <w:r>
        <w:rPr>
          <w:spacing w:val="-2"/>
          <w:sz w:val="21"/>
        </w:rPr>
        <w:t>；</w:t>
      </w:r>
    </w:p>
    <w:p>
      <w:pPr>
        <w:pStyle w:val="ListParagraph"/>
        <w:numPr>
          <w:ilvl w:val="0"/>
          <w:numId w:val="79"/>
        </w:numPr>
        <w:tabs>
          <w:tab w:pos="704" w:val="left" w:leader="none"/>
        </w:tabs>
        <w:spacing w:line="240" w:lineRule="auto" w:before="43" w:after="0"/>
        <w:ind w:left="703" w:right="0" w:hanging="531"/>
        <w:jc w:val="left"/>
        <w:rPr>
          <w:sz w:val="21"/>
        </w:rPr>
      </w:pPr>
      <w:r>
        <w:rPr>
          <w:spacing w:val="-3"/>
          <w:sz w:val="21"/>
        </w:rPr>
        <w:t>药物治疗效果不佳，仍有症状。</w:t>
      </w:r>
    </w:p>
    <w:p>
      <w:pPr>
        <w:spacing w:after="0" w:line="240" w:lineRule="auto"/>
        <w:jc w:val="left"/>
        <w:rPr>
          <w:sz w:val="21"/>
        </w:rPr>
        <w:sectPr>
          <w:type w:val="continuous"/>
          <w:pgSz w:w="11910" w:h="16840"/>
          <w:pgMar w:header="0" w:footer="458" w:top="620" w:bottom="280" w:left="800" w:right="660"/>
          <w:cols w:num="2" w:equalWidth="0">
            <w:col w:w="2487" w:space="40"/>
            <w:col w:w="7923"/>
          </w:cols>
        </w:sectPr>
      </w:pPr>
    </w:p>
    <w:p>
      <w:pPr>
        <w:pStyle w:val="BodyText"/>
        <w:spacing w:before="2"/>
        <w:rPr>
          <w:sz w:val="22"/>
        </w:rPr>
      </w:pPr>
    </w:p>
    <w:p>
      <w:pPr>
        <w:spacing w:after="0"/>
        <w:rPr>
          <w:sz w:val="2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完全性房室</w:t>
      </w:r>
      <w:r>
        <w:rPr>
          <w:rFonts w:ascii="微软雅黑" w:eastAsia="微软雅黑"/>
          <w:b/>
          <w:spacing w:val="-4"/>
          <w:sz w:val="21"/>
        </w:rPr>
        <w:t>传导阻滞</w:t>
      </w:r>
    </w:p>
    <w:p>
      <w:pPr>
        <w:pStyle w:val="BodyText"/>
        <w:spacing w:line="278" w:lineRule="auto" w:before="72"/>
        <w:ind w:left="174" w:right="359"/>
        <w:jc w:val="both"/>
      </w:pPr>
      <w:r>
        <w:rPr/>
        <w:br w:type="column"/>
      </w:r>
      <w:r>
        <w:rPr>
          <w:spacing w:val="-2"/>
        </w:rPr>
        <w:t>指因慢性心脏疾病导致完全性房室传导阻滞。完全性房室传导阻滞是心房的激动</w:t>
      </w:r>
      <w:r>
        <w:rPr>
          <w:spacing w:val="-2"/>
        </w:rPr>
        <w:t>不能正常地传导到心室，造成心室率过于缓慢，出现心力衰竭和因大脑供血不足</w:t>
      </w:r>
      <w:r>
        <w:rPr>
          <w:spacing w:val="-2"/>
        </w:rPr>
        <w:t>导致的晕厥、阿-斯综合征。必须明确诊断并且满足下列所有条件：</w:t>
      </w:r>
    </w:p>
    <w:p>
      <w:pPr>
        <w:pStyle w:val="ListParagraph"/>
        <w:numPr>
          <w:ilvl w:val="0"/>
          <w:numId w:val="80"/>
        </w:numPr>
        <w:tabs>
          <w:tab w:pos="705" w:val="left" w:leader="none"/>
        </w:tabs>
        <w:spacing w:line="269" w:lineRule="exact" w:before="0" w:after="0"/>
        <w:ind w:left="704" w:right="0" w:hanging="531"/>
        <w:jc w:val="left"/>
        <w:rPr>
          <w:sz w:val="21"/>
        </w:rPr>
      </w:pPr>
      <w:r>
        <w:rPr>
          <w:spacing w:val="-3"/>
          <w:sz w:val="21"/>
        </w:rPr>
        <w:t>患有慢性心脏疾病；</w:t>
      </w:r>
    </w:p>
    <w:p>
      <w:pPr>
        <w:pStyle w:val="ListParagraph"/>
        <w:numPr>
          <w:ilvl w:val="0"/>
          <w:numId w:val="80"/>
        </w:numPr>
        <w:tabs>
          <w:tab w:pos="705" w:val="left" w:leader="none"/>
        </w:tabs>
        <w:spacing w:line="240" w:lineRule="auto" w:before="43" w:after="0"/>
        <w:ind w:left="704" w:right="0" w:hanging="531"/>
        <w:jc w:val="left"/>
        <w:rPr>
          <w:sz w:val="21"/>
        </w:rPr>
      </w:pPr>
      <w:r>
        <w:rPr>
          <w:spacing w:val="-3"/>
          <w:sz w:val="21"/>
        </w:rPr>
        <w:t>曾经有晕厥、阿-斯综合征发作；</w:t>
      </w:r>
    </w:p>
    <w:p>
      <w:pPr>
        <w:pStyle w:val="ListParagraph"/>
        <w:numPr>
          <w:ilvl w:val="0"/>
          <w:numId w:val="80"/>
        </w:numPr>
        <w:tabs>
          <w:tab w:pos="705" w:val="left" w:leader="none"/>
        </w:tabs>
        <w:spacing w:line="240" w:lineRule="auto" w:before="43" w:after="0"/>
        <w:ind w:left="704" w:right="0" w:hanging="531"/>
        <w:jc w:val="left"/>
        <w:rPr>
          <w:sz w:val="21"/>
        </w:rPr>
      </w:pPr>
      <w:r>
        <w:rPr>
          <w:spacing w:val="-4"/>
          <w:sz w:val="21"/>
        </w:rPr>
        <w:t>心电图表现为持续室性逸搏心律，心室率持续低于 </w:t>
      </w:r>
      <w:r>
        <w:rPr>
          <w:spacing w:val="-2"/>
          <w:sz w:val="21"/>
        </w:rPr>
        <w:t>40</w:t>
      </w:r>
      <w:r>
        <w:rPr>
          <w:spacing w:val="-13"/>
          <w:sz w:val="21"/>
        </w:rPr>
        <w:t> 次/分；</w:t>
      </w:r>
    </w:p>
    <w:p>
      <w:pPr>
        <w:pStyle w:val="ListParagraph"/>
        <w:numPr>
          <w:ilvl w:val="0"/>
          <w:numId w:val="80"/>
        </w:numPr>
        <w:tabs>
          <w:tab w:pos="705" w:val="left" w:leader="none"/>
        </w:tabs>
        <w:spacing w:line="240" w:lineRule="auto" w:before="43" w:after="0"/>
        <w:ind w:left="704" w:right="0" w:hanging="531"/>
        <w:jc w:val="left"/>
        <w:rPr>
          <w:sz w:val="21"/>
        </w:rPr>
      </w:pPr>
      <w:r>
        <w:rPr>
          <w:spacing w:val="-3"/>
          <w:sz w:val="21"/>
        </w:rPr>
        <w:t>已经植入永久性心脏起搏器。</w:t>
      </w:r>
    </w:p>
    <w:p>
      <w:pPr>
        <w:spacing w:after="0" w:line="240" w:lineRule="auto"/>
        <w:jc w:val="left"/>
        <w:rPr>
          <w:sz w:val="21"/>
        </w:rPr>
        <w:sectPr>
          <w:type w:val="continuous"/>
          <w:pgSz w:w="11910" w:h="16840"/>
          <w:pgMar w:header="0" w:footer="458" w:top="620" w:bottom="280" w:left="800" w:right="660"/>
          <w:cols w:num="2" w:equalWidth="0">
            <w:col w:w="2486" w:space="40"/>
            <w:col w:w="7924"/>
          </w:cols>
        </w:sectPr>
      </w:pPr>
    </w:p>
    <w:p>
      <w:pPr>
        <w:pStyle w:val="BodyText"/>
        <w:spacing w:before="1"/>
        <w:rPr>
          <w:sz w:val="22"/>
        </w:rPr>
      </w:pPr>
    </w:p>
    <w:p>
      <w:pPr>
        <w:spacing w:after="0"/>
        <w:rPr>
          <w:sz w:val="2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风湿热导致</w:t>
      </w:r>
      <w:r>
        <w:rPr>
          <w:rFonts w:ascii="微软雅黑" w:eastAsia="微软雅黑"/>
          <w:b/>
          <w:spacing w:val="-2"/>
          <w:sz w:val="21"/>
        </w:rPr>
        <w:t>的心脏瓣膜病</w:t>
      </w:r>
    </w:p>
    <w:p>
      <w:pPr>
        <w:pStyle w:val="BodyText"/>
        <w:spacing w:line="278" w:lineRule="auto" w:before="72"/>
        <w:ind w:left="174" w:right="248"/>
      </w:pPr>
      <w:r>
        <w:rPr/>
        <w:br w:type="column"/>
      </w:r>
      <w:r>
        <w:rPr>
          <w:spacing w:val="-2"/>
        </w:rPr>
        <w:t>指风湿热反复发作并发心脏瓣膜损害，导致慢性心脏瓣膜病，引起心脏瓣膜狭窄、</w:t>
      </w:r>
      <w:r>
        <w:rPr>
          <w:spacing w:val="-2"/>
        </w:rPr>
        <w:t>关闭不全。必须满足下列所有条件：</w:t>
      </w:r>
    </w:p>
    <w:p>
      <w:pPr>
        <w:pStyle w:val="ListParagraph"/>
        <w:numPr>
          <w:ilvl w:val="0"/>
          <w:numId w:val="81"/>
        </w:numPr>
        <w:tabs>
          <w:tab w:pos="705" w:val="left" w:leader="none"/>
        </w:tabs>
        <w:spacing w:line="269" w:lineRule="exact" w:before="0" w:after="0"/>
        <w:ind w:left="704" w:right="0" w:hanging="531"/>
        <w:jc w:val="left"/>
        <w:rPr>
          <w:sz w:val="21"/>
        </w:rPr>
      </w:pPr>
      <w:r>
        <w:rPr>
          <w:spacing w:val="-4"/>
          <w:sz w:val="21"/>
        </w:rPr>
        <w:t>风湿热病史；</w:t>
      </w:r>
    </w:p>
    <w:p>
      <w:pPr>
        <w:pStyle w:val="ListParagraph"/>
        <w:numPr>
          <w:ilvl w:val="0"/>
          <w:numId w:val="81"/>
        </w:numPr>
        <w:tabs>
          <w:tab w:pos="705" w:val="left" w:leader="none"/>
        </w:tabs>
        <w:spacing w:line="240" w:lineRule="auto" w:before="43" w:after="0"/>
        <w:ind w:left="704" w:right="0" w:hanging="531"/>
        <w:jc w:val="left"/>
        <w:rPr>
          <w:sz w:val="21"/>
        </w:rPr>
      </w:pPr>
      <w:r>
        <w:rPr>
          <w:spacing w:val="-3"/>
          <w:sz w:val="21"/>
        </w:rPr>
        <w:t>慢性心脏瓣膜病病史；</w:t>
      </w:r>
    </w:p>
    <w:p>
      <w:pPr>
        <w:pStyle w:val="ListParagraph"/>
        <w:numPr>
          <w:ilvl w:val="0"/>
          <w:numId w:val="81"/>
        </w:numPr>
        <w:tabs>
          <w:tab w:pos="705" w:val="left" w:leader="none"/>
        </w:tabs>
        <w:spacing w:line="257" w:lineRule="exact" w:before="43" w:after="0"/>
        <w:ind w:left="704" w:right="0" w:hanging="531"/>
        <w:jc w:val="left"/>
        <w:rPr>
          <w:sz w:val="21"/>
        </w:rPr>
      </w:pPr>
      <w:r>
        <w:rPr>
          <w:spacing w:val="-3"/>
          <w:sz w:val="21"/>
        </w:rPr>
        <w:t>实际接受了开胸开心进行的心脏瓣膜置换手术。</w:t>
      </w:r>
    </w:p>
    <w:p>
      <w:pPr>
        <w:spacing w:line="375" w:lineRule="exact" w:before="0"/>
        <w:ind w:left="174" w:right="0" w:firstLine="0"/>
        <w:jc w:val="left"/>
        <w:rPr>
          <w:rFonts w:ascii="微软雅黑" w:eastAsia="微软雅黑"/>
          <w:b/>
          <w:sz w:val="21"/>
        </w:rPr>
      </w:pPr>
      <w:r>
        <w:rPr>
          <w:rFonts w:ascii="微软雅黑" w:eastAsia="微软雅黑"/>
          <w:b/>
          <w:spacing w:val="-3"/>
          <w:sz w:val="21"/>
        </w:rPr>
        <w:t>经导管进行的瓣膜置换手术或瓣膜成型手术不在本保障范围内。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ListParagraph"/>
        <w:numPr>
          <w:ilvl w:val="0"/>
          <w:numId w:val="50"/>
        </w:numPr>
        <w:tabs>
          <w:tab w:pos="1399" w:val="left" w:leader="none"/>
        </w:tabs>
        <w:spacing w:line="194" w:lineRule="auto" w:before="28" w:after="0"/>
        <w:ind w:left="1072" w:right="0" w:firstLine="0"/>
        <w:jc w:val="both"/>
        <w:rPr>
          <w:rFonts w:ascii="微软雅黑" w:eastAsia="微软雅黑"/>
          <w:b/>
          <w:sz w:val="21"/>
        </w:rPr>
      </w:pPr>
      <w:r>
        <w:rPr>
          <w:rFonts w:ascii="微软雅黑" w:eastAsia="微软雅黑"/>
          <w:b/>
          <w:spacing w:val="-2"/>
          <w:sz w:val="21"/>
        </w:rPr>
        <w:t>头臂动脉型</w:t>
      </w:r>
      <w:r>
        <w:rPr>
          <w:rFonts w:ascii="微软雅黑" w:eastAsia="微软雅黑"/>
          <w:b/>
          <w:spacing w:val="20"/>
          <w:sz w:val="21"/>
        </w:rPr>
        <w:t>多发性大动脉</w:t>
      </w:r>
      <w:r>
        <w:rPr>
          <w:rFonts w:ascii="微软雅黑" w:eastAsia="微软雅黑"/>
          <w:b/>
          <w:spacing w:val="20"/>
          <w:sz w:val="21"/>
        </w:rPr>
        <w:t>炎旁路移植手</w:t>
      </w:r>
      <w:r>
        <w:rPr>
          <w:rFonts w:ascii="微软雅黑" w:eastAsia="微软雅黑"/>
          <w:b/>
          <w:spacing w:val="-10"/>
          <w:sz w:val="21"/>
        </w:rPr>
        <w:t>术</w:t>
      </w:r>
    </w:p>
    <w:p>
      <w:pPr>
        <w:pStyle w:val="BodyText"/>
        <w:spacing w:line="278" w:lineRule="auto"/>
        <w:ind w:left="174" w:right="353"/>
        <w:jc w:val="both"/>
      </w:pPr>
      <w:r>
        <w:rPr/>
        <w:br w:type="column"/>
      </w:r>
      <w:r>
        <w:rPr>
          <w:spacing w:val="-2"/>
        </w:rPr>
        <w:t>多发性大动脉炎（高安氏动脉炎）是一种发生在主动脉和其主要分支的慢性炎症</w:t>
      </w:r>
      <w:r>
        <w:rPr>
          <w:spacing w:val="-2"/>
        </w:rPr>
        <w:t>性动脉疾病，表现为受累动脉狭窄或闭塞。头臂动脉型多发性大动脉炎是指多发</w:t>
      </w:r>
      <w:r>
        <w:rPr>
          <w:spacing w:val="-2"/>
        </w:rPr>
        <w:t>性大动脉炎头臂动脉型（Ⅰ型</w:t>
      </w:r>
      <w:r>
        <w:rPr>
          <w:spacing w:val="-67"/>
        </w:rPr>
        <w:t>）</w:t>
      </w:r>
      <w:r>
        <w:rPr>
          <w:spacing w:val="-11"/>
        </w:rPr>
        <w:t>，又称为无脉症。被保险人被明确诊断为头臂动脉</w:t>
      </w:r>
      <w:r>
        <w:rPr>
          <w:spacing w:val="-2"/>
        </w:rPr>
        <w:t>型多发性大动脉炎并且实际接受了经胸部切开进行的无名动脉（头臂干</w:t>
      </w:r>
      <w:r>
        <w:rPr>
          <w:spacing w:val="-108"/>
        </w:rPr>
        <w:t>）</w:t>
      </w:r>
      <w:r>
        <w:rPr>
          <w:spacing w:val="-2"/>
        </w:rPr>
        <w:t>、颈总动</w:t>
      </w:r>
      <w:r>
        <w:rPr>
          <w:spacing w:val="-2"/>
        </w:rPr>
        <w:t>脉、锁骨下动脉旁路移植手术。</w:t>
      </w:r>
    </w:p>
    <w:p>
      <w:pPr>
        <w:spacing w:line="282" w:lineRule="exact" w:before="0"/>
        <w:ind w:left="174" w:right="0" w:firstLine="0"/>
        <w:jc w:val="left"/>
        <w:rPr>
          <w:rFonts w:ascii="微软雅黑" w:eastAsia="微软雅黑"/>
          <w:b/>
          <w:sz w:val="21"/>
        </w:rPr>
      </w:pPr>
      <w:r>
        <w:rPr>
          <w:rFonts w:ascii="微软雅黑" w:eastAsia="微软雅黑"/>
          <w:b/>
          <w:spacing w:val="-3"/>
          <w:sz w:val="21"/>
        </w:rPr>
        <w:t>非开胸的血管旁路移植手术、因其他病因而进行的旁路移植手术，对其他动脉进</w:t>
      </w:r>
    </w:p>
    <w:p>
      <w:pPr>
        <w:spacing w:line="350" w:lineRule="exact" w:before="0"/>
        <w:ind w:left="174" w:right="0" w:firstLine="0"/>
        <w:jc w:val="left"/>
        <w:rPr>
          <w:rFonts w:ascii="微软雅黑" w:eastAsia="微软雅黑"/>
          <w:b/>
          <w:sz w:val="21"/>
        </w:rPr>
      </w:pPr>
      <w:r>
        <w:rPr>
          <w:rFonts w:ascii="微软雅黑" w:eastAsia="微软雅黑"/>
          <w:b/>
          <w:spacing w:val="-3"/>
          <w:sz w:val="21"/>
        </w:rPr>
        <w:t>行的旁路移植手术，经皮经导管进行的血管内手术不在本保障范围内。</w:t>
      </w:r>
    </w:p>
    <w:p>
      <w:pPr>
        <w:spacing w:after="0" w:line="350" w:lineRule="exact"/>
        <w:jc w:val="left"/>
        <w:rPr>
          <w:rFonts w:ascii="微软雅黑" w:eastAsia="微软雅黑"/>
          <w:sz w:val="21"/>
        </w:rPr>
        <w:sectPr>
          <w:pgSz w:w="11910" w:h="16840"/>
          <w:pgMar w:header="0" w:footer="458" w:top="1260" w:bottom="640" w:left="800" w:right="660"/>
          <w:cols w:num="2" w:equalWidth="0">
            <w:col w:w="2486" w:space="40"/>
            <w:col w:w="792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肺淋巴管肌</w:t>
      </w:r>
      <w:r>
        <w:rPr>
          <w:rFonts w:ascii="微软雅黑" w:eastAsia="微软雅黑"/>
          <w:b/>
          <w:spacing w:val="-10"/>
          <w:sz w:val="21"/>
        </w:rPr>
        <w:t>瘤</w:t>
      </w:r>
    </w:p>
    <w:p>
      <w:pPr>
        <w:pStyle w:val="BodyText"/>
        <w:spacing w:line="278" w:lineRule="auto" w:before="71"/>
        <w:ind w:left="174" w:right="359"/>
        <w:jc w:val="both"/>
      </w:pPr>
      <w:r>
        <w:rPr/>
        <w:br w:type="column"/>
      </w:r>
      <w:r>
        <w:rPr>
          <w:spacing w:val="-2"/>
        </w:rPr>
        <w:t>肺淋巴管肌瘤病是一种弥漫性肺部疾病，其特征性病理表现为囊性病变及不成熟</w:t>
      </w:r>
      <w:r>
        <w:rPr>
          <w:spacing w:val="-2"/>
        </w:rPr>
        <w:t>的平滑肌细胞和血管周围上皮细胞异常增生形成多发结节。必须满足下列所有条</w:t>
      </w:r>
      <w:r>
        <w:rPr>
          <w:spacing w:val="-6"/>
        </w:rPr>
        <w:t>件：</w:t>
      </w:r>
    </w:p>
    <w:p>
      <w:pPr>
        <w:pStyle w:val="ListParagraph"/>
        <w:numPr>
          <w:ilvl w:val="0"/>
          <w:numId w:val="82"/>
        </w:numPr>
        <w:tabs>
          <w:tab w:pos="705" w:val="left" w:leader="none"/>
        </w:tabs>
        <w:spacing w:line="269" w:lineRule="exact" w:before="0" w:after="0"/>
        <w:ind w:left="704" w:right="0" w:hanging="531"/>
        <w:jc w:val="left"/>
        <w:rPr>
          <w:sz w:val="21"/>
        </w:rPr>
      </w:pPr>
      <w:r>
        <w:rPr>
          <w:spacing w:val="-3"/>
          <w:sz w:val="21"/>
        </w:rPr>
        <w:t>经组织病理学检查明确诊断；</w:t>
      </w:r>
    </w:p>
    <w:p>
      <w:pPr>
        <w:pStyle w:val="ListParagraph"/>
        <w:numPr>
          <w:ilvl w:val="0"/>
          <w:numId w:val="82"/>
        </w:numPr>
        <w:tabs>
          <w:tab w:pos="705" w:val="left" w:leader="none"/>
        </w:tabs>
        <w:spacing w:line="240" w:lineRule="auto" w:before="43" w:after="0"/>
        <w:ind w:left="704" w:right="0" w:hanging="531"/>
        <w:jc w:val="left"/>
        <w:rPr>
          <w:sz w:val="21"/>
        </w:rPr>
      </w:pPr>
      <w:r>
        <w:rPr>
          <w:rFonts w:ascii="Times New Roman" w:eastAsia="Times New Roman"/>
          <w:spacing w:val="-2"/>
          <w:sz w:val="21"/>
        </w:rPr>
        <w:t>CT</w:t>
      </w:r>
      <w:r>
        <w:rPr>
          <w:rFonts w:ascii="Times New Roman" w:eastAsia="Times New Roman"/>
          <w:spacing w:val="7"/>
          <w:sz w:val="21"/>
        </w:rPr>
        <w:t> </w:t>
      </w:r>
      <w:r>
        <w:rPr>
          <w:spacing w:val="-3"/>
          <w:sz w:val="21"/>
        </w:rPr>
        <w:t>显示双肺弥漫性囊性改变；</w:t>
      </w:r>
    </w:p>
    <w:p>
      <w:pPr>
        <w:pStyle w:val="ListParagraph"/>
        <w:numPr>
          <w:ilvl w:val="0"/>
          <w:numId w:val="82"/>
        </w:numPr>
        <w:tabs>
          <w:tab w:pos="705" w:val="left" w:leader="none"/>
        </w:tabs>
        <w:spacing w:line="240" w:lineRule="auto" w:before="44" w:after="0"/>
        <w:ind w:left="704" w:right="0" w:hanging="531"/>
        <w:jc w:val="left"/>
        <w:rPr>
          <w:sz w:val="21"/>
        </w:rPr>
      </w:pPr>
      <w:r>
        <w:rPr>
          <w:spacing w:val="5"/>
          <w:sz w:val="21"/>
        </w:rPr>
        <w:t>肺功能检查显示</w:t>
      </w:r>
      <w:r>
        <w:rPr>
          <w:rFonts w:ascii="Times New Roman" w:eastAsia="Times New Roman"/>
          <w:sz w:val="21"/>
        </w:rPr>
        <w:t>FEV</w:t>
      </w:r>
      <w:r>
        <w:rPr>
          <w:sz w:val="21"/>
        </w:rPr>
        <w:t>1</w:t>
      </w:r>
      <w:r>
        <w:rPr>
          <w:spacing w:val="-7"/>
          <w:sz w:val="21"/>
        </w:rPr>
        <w:t> 和</w:t>
      </w:r>
      <w:r>
        <w:rPr>
          <w:rFonts w:ascii="Times New Roman" w:eastAsia="Times New Roman"/>
          <w:sz w:val="21"/>
        </w:rPr>
        <w:t>DLCO</w:t>
      </w:r>
      <w:r>
        <w:rPr>
          <w:sz w:val="21"/>
        </w:rPr>
        <w:t>（</w:t>
      </w:r>
      <w:r>
        <w:rPr>
          <w:rFonts w:ascii="Times New Roman" w:eastAsia="Times New Roman"/>
          <w:sz w:val="21"/>
        </w:rPr>
        <w:t>CO</w:t>
      </w:r>
      <w:r>
        <w:rPr>
          <w:rFonts w:ascii="Times New Roman" w:eastAsia="Times New Roman"/>
          <w:spacing w:val="-11"/>
          <w:sz w:val="21"/>
        </w:rPr>
        <w:t> </w:t>
      </w:r>
      <w:r>
        <w:rPr>
          <w:sz w:val="21"/>
        </w:rPr>
        <w:t>弥散功能）</w:t>
      </w:r>
      <w:r>
        <w:rPr>
          <w:spacing w:val="-4"/>
          <w:sz w:val="21"/>
        </w:rPr>
        <w:t>下降；</w:t>
      </w:r>
    </w:p>
    <w:p>
      <w:pPr>
        <w:pStyle w:val="ListParagraph"/>
        <w:numPr>
          <w:ilvl w:val="0"/>
          <w:numId w:val="82"/>
        </w:numPr>
        <w:tabs>
          <w:tab w:pos="705" w:val="left" w:leader="none"/>
        </w:tabs>
        <w:spacing w:line="257" w:lineRule="exact" w:before="43" w:after="0"/>
        <w:ind w:left="704" w:right="0" w:hanging="531"/>
        <w:jc w:val="left"/>
        <w:rPr>
          <w:sz w:val="21"/>
        </w:rPr>
      </w:pPr>
      <w:r>
        <w:rPr>
          <w:spacing w:val="-3"/>
          <w:sz w:val="21"/>
        </w:rPr>
        <w:t>动脉血气分析显示低氧血症。</w:t>
      </w:r>
    </w:p>
    <w:p>
      <w:pPr>
        <w:spacing w:line="375" w:lineRule="exact" w:before="0"/>
        <w:ind w:left="174" w:right="0" w:firstLine="0"/>
        <w:jc w:val="left"/>
        <w:rPr>
          <w:rFonts w:ascii="微软雅黑" w:eastAsia="微软雅黑"/>
          <w:b/>
          <w:sz w:val="21"/>
        </w:rPr>
      </w:pPr>
      <w:r>
        <w:rPr>
          <w:rFonts w:ascii="微软雅黑" w:eastAsia="微软雅黑"/>
          <w:b/>
          <w:spacing w:val="-3"/>
          <w:sz w:val="21"/>
        </w:rPr>
        <w:t>疑似肺淋巴管肌瘤病除外。</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严重肺结节</w:t>
      </w:r>
      <w:r>
        <w:rPr>
          <w:rFonts w:ascii="微软雅黑" w:eastAsia="微软雅黑"/>
          <w:b/>
          <w:spacing w:val="-10"/>
          <w:sz w:val="21"/>
        </w:rPr>
        <w:t>病</w:t>
      </w:r>
    </w:p>
    <w:p>
      <w:pPr>
        <w:pStyle w:val="BodyText"/>
        <w:spacing w:line="278" w:lineRule="auto" w:before="72"/>
        <w:ind w:left="174" w:right="359"/>
        <w:jc w:val="both"/>
      </w:pPr>
      <w:r>
        <w:rPr/>
        <w:br w:type="column"/>
      </w:r>
      <w:r>
        <w:rPr>
          <w:spacing w:val="-2"/>
        </w:rPr>
        <w:t>结节病是一种原因未明的慢性肉芽肿病，可侵犯全身多个器官，以肺和淋巴结受</w:t>
      </w:r>
      <w:r>
        <w:rPr>
          <w:spacing w:val="-2"/>
        </w:rPr>
        <w:t>累最为常见。严重肺结节病表现为肺的广泛纤维化导致慢性呼吸功能衰竭。必须</w:t>
      </w:r>
      <w:r>
        <w:rPr>
          <w:spacing w:val="-2"/>
        </w:rPr>
        <w:t>满足下列所有条件：</w:t>
      </w:r>
    </w:p>
    <w:p>
      <w:pPr>
        <w:pStyle w:val="ListParagraph"/>
        <w:numPr>
          <w:ilvl w:val="0"/>
          <w:numId w:val="83"/>
        </w:numPr>
        <w:tabs>
          <w:tab w:pos="705" w:val="left" w:leader="none"/>
        </w:tabs>
        <w:spacing w:line="269" w:lineRule="exact" w:before="0" w:after="0"/>
        <w:ind w:left="704" w:right="0" w:hanging="531"/>
        <w:jc w:val="both"/>
        <w:rPr>
          <w:sz w:val="21"/>
        </w:rPr>
      </w:pPr>
      <w:r>
        <w:rPr>
          <w:spacing w:val="7"/>
          <w:sz w:val="21"/>
        </w:rPr>
        <w:t>肺结节病的</w:t>
      </w:r>
      <w:r>
        <w:rPr>
          <w:rFonts w:ascii="Times New Roman" w:hAnsi="Times New Roman" w:eastAsia="Times New Roman"/>
          <w:sz w:val="21"/>
        </w:rPr>
        <w:t>X</w:t>
      </w:r>
      <w:r>
        <w:rPr>
          <w:rFonts w:ascii="Times New Roman" w:hAnsi="Times New Roman" w:eastAsia="Times New Roman"/>
          <w:spacing w:val="-14"/>
          <w:sz w:val="21"/>
        </w:rPr>
        <w:t> </w:t>
      </w:r>
      <w:r>
        <w:rPr>
          <w:spacing w:val="-1"/>
          <w:sz w:val="21"/>
        </w:rPr>
        <w:t>线分期为Ⅳ期，即广泛肺纤维化；</w:t>
      </w:r>
    </w:p>
    <w:p>
      <w:pPr>
        <w:pStyle w:val="ListParagraph"/>
        <w:numPr>
          <w:ilvl w:val="0"/>
          <w:numId w:val="83"/>
        </w:numPr>
        <w:tabs>
          <w:tab w:pos="705" w:val="left" w:leader="none"/>
        </w:tabs>
        <w:spacing w:line="240" w:lineRule="auto" w:before="43" w:after="0"/>
        <w:ind w:left="704" w:right="0" w:hanging="531"/>
        <w:jc w:val="both"/>
        <w:rPr>
          <w:sz w:val="21"/>
        </w:rPr>
      </w:pPr>
      <w:r>
        <w:rPr>
          <w:spacing w:val="-5"/>
          <w:sz w:val="21"/>
        </w:rPr>
        <w:t>永久不可逆性的慢性呼吸功能衰竭，临床持续 </w:t>
      </w:r>
      <w:r>
        <w:rPr>
          <w:spacing w:val="-2"/>
          <w:sz w:val="21"/>
        </w:rPr>
        <w:t>180</w:t>
      </w:r>
      <w:r>
        <w:rPr>
          <w:spacing w:val="-9"/>
          <w:sz w:val="21"/>
        </w:rPr>
        <w:t> 天动脉血氧分压</w:t>
      </w:r>
      <w:r>
        <w:rPr>
          <w:spacing w:val="-2"/>
          <w:sz w:val="21"/>
        </w:rPr>
        <w:t>（</w:t>
      </w:r>
      <w:r>
        <w:rPr>
          <w:rFonts w:ascii="Times New Roman" w:eastAsia="Times New Roman"/>
          <w:spacing w:val="-2"/>
          <w:sz w:val="21"/>
        </w:rPr>
        <w:t>PaO</w:t>
      </w:r>
      <w:r>
        <w:rPr>
          <w:spacing w:val="-2"/>
          <w:sz w:val="21"/>
        </w:rPr>
        <w:t>2）</w:t>
      </w:r>
    </w:p>
    <w:p>
      <w:pPr>
        <w:pStyle w:val="BodyText"/>
        <w:ind w:left="174"/>
        <w:jc w:val="both"/>
      </w:pPr>
      <w:r>
        <w:rPr>
          <w:spacing w:val="-2"/>
        </w:rPr>
        <w:t>＜50</w:t>
      </w:r>
      <w:r>
        <w:rPr>
          <w:rFonts w:ascii="Times New Roman" w:eastAsia="Times New Roman"/>
          <w:spacing w:val="-2"/>
        </w:rPr>
        <w:t>mmHg</w:t>
      </w:r>
      <w:r>
        <w:rPr>
          <w:rFonts w:ascii="Times New Roman" w:eastAsia="Times New Roman"/>
          <w:spacing w:val="19"/>
        </w:rPr>
        <w:t> </w:t>
      </w:r>
      <w:r>
        <w:rPr>
          <w:spacing w:val="-2"/>
        </w:rPr>
        <w:t>和动脉血氧饱和度（</w:t>
      </w:r>
      <w:r>
        <w:rPr>
          <w:rFonts w:ascii="Times New Roman" w:eastAsia="Times New Roman"/>
          <w:spacing w:val="-2"/>
        </w:rPr>
        <w:t>SaO</w:t>
      </w:r>
      <w:r>
        <w:rPr>
          <w:spacing w:val="-2"/>
        </w:rPr>
        <w:t>2）＜80</w:t>
      </w:r>
      <w:r>
        <w:rPr>
          <w:spacing w:val="-6"/>
        </w:rPr>
        <w:t>%。</w:t>
      </w:r>
    </w:p>
    <w:p>
      <w:pPr>
        <w:spacing w:after="0"/>
        <w:jc w:val="both"/>
        <w:sectPr>
          <w:type w:val="continuous"/>
          <w:pgSz w:w="11910" w:h="16840"/>
          <w:pgMar w:header="0" w:footer="458" w:top="620" w:bottom="280" w:left="800" w:right="660"/>
          <w:cols w:num="2" w:equalWidth="0">
            <w:col w:w="2486" w:space="40"/>
            <w:col w:w="7924"/>
          </w:cols>
        </w:sectPr>
      </w:pPr>
    </w:p>
    <w:p>
      <w:pPr>
        <w:pStyle w:val="BodyText"/>
        <w:spacing w:before="1"/>
        <w:rPr>
          <w:sz w:val="22"/>
        </w:rPr>
      </w:pPr>
    </w:p>
    <w:p>
      <w:pPr>
        <w:spacing w:after="0"/>
        <w:rPr>
          <w:sz w:val="2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both"/>
        <w:rPr>
          <w:rFonts w:ascii="微软雅黑" w:eastAsia="微软雅黑"/>
          <w:b/>
          <w:sz w:val="21"/>
        </w:rPr>
      </w:pPr>
      <w:r>
        <w:rPr>
          <w:rFonts w:ascii="微软雅黑" w:eastAsia="微软雅黑"/>
          <w:b/>
          <w:spacing w:val="-2"/>
          <w:sz w:val="21"/>
        </w:rPr>
        <w:t>非阿尔茨海</w:t>
      </w:r>
      <w:r>
        <w:rPr>
          <w:rFonts w:ascii="微软雅黑" w:eastAsia="微软雅黑"/>
          <w:b/>
          <w:spacing w:val="20"/>
          <w:sz w:val="21"/>
        </w:rPr>
        <w:t>默病至严重痴</w:t>
      </w:r>
      <w:r>
        <w:rPr>
          <w:rFonts w:ascii="微软雅黑" w:eastAsia="微软雅黑"/>
          <w:b/>
          <w:spacing w:val="-10"/>
          <w:sz w:val="21"/>
        </w:rPr>
        <w:t>呆</w:t>
      </w:r>
    </w:p>
    <w:p>
      <w:pPr>
        <w:pStyle w:val="BodyText"/>
        <w:spacing w:line="278" w:lineRule="auto" w:before="72"/>
        <w:ind w:left="174" w:right="358"/>
        <w:jc w:val="both"/>
      </w:pPr>
      <w:r>
        <w:rPr/>
        <w:br w:type="column"/>
      </w:r>
      <w:r>
        <w:rPr>
          <w:spacing w:val="-2"/>
        </w:rPr>
        <w:t>指因阿尔茨海默病以外的脑的器质性疾病造成脑功能衰竭导致永久不可逆性的严</w:t>
      </w:r>
      <w:r>
        <w:rPr>
          <w:spacing w:val="-2"/>
        </w:rPr>
        <w:t>重痴呆，临床表现为明显的认知能力障碍、行为异常和社交能力减退。被保险人</w:t>
      </w:r>
      <w:r>
        <w:rPr>
          <w:spacing w:val="-2"/>
        </w:rPr>
        <w:t>自主生活能力完全丧失，无法独立完成六项基本日常生活活动中的三项或三项以</w:t>
      </w:r>
      <w:r>
        <w:rPr>
          <w:spacing w:val="-2"/>
        </w:rPr>
        <w:t>上，日常生活必须持续受到他人监护。导致痴呆的疾病必须明确诊断，且由完整</w:t>
      </w:r>
      <w:r>
        <w:rPr>
          <w:spacing w:val="-2"/>
        </w:rPr>
        <w:t>的临床、实验室和影像学检查结果证实。</w:t>
      </w:r>
    </w:p>
    <w:p>
      <w:pPr>
        <w:spacing w:line="320" w:lineRule="exact" w:before="0"/>
        <w:ind w:left="174" w:right="0" w:firstLine="0"/>
        <w:jc w:val="left"/>
        <w:rPr>
          <w:rFonts w:ascii="微软雅黑" w:eastAsia="微软雅黑"/>
          <w:b/>
          <w:sz w:val="21"/>
        </w:rPr>
      </w:pPr>
      <w:r>
        <w:rPr>
          <w:rFonts w:ascii="微软雅黑" w:eastAsia="微软雅黑"/>
          <w:b/>
          <w:spacing w:val="-3"/>
          <w:sz w:val="21"/>
        </w:rPr>
        <w:t>神经官能症，精神疾病及酒精中毒所致脑损害不在本保障范围内。</w:t>
      </w:r>
    </w:p>
    <w:p>
      <w:pPr>
        <w:spacing w:after="0" w:line="320"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严重进行性</w:t>
      </w:r>
      <w:r>
        <w:rPr>
          <w:rFonts w:ascii="微软雅黑" w:eastAsia="微软雅黑"/>
          <w:b/>
          <w:spacing w:val="-2"/>
          <w:sz w:val="21"/>
        </w:rPr>
        <w:t>核上性麻痹</w:t>
      </w:r>
    </w:p>
    <w:p>
      <w:pPr>
        <w:pStyle w:val="BodyText"/>
        <w:spacing w:line="278" w:lineRule="auto" w:before="72"/>
        <w:ind w:left="174" w:right="359"/>
        <w:jc w:val="both"/>
      </w:pPr>
      <w:r>
        <w:rPr/>
        <w:br w:type="column"/>
      </w:r>
      <w:r>
        <w:rPr>
          <w:spacing w:val="-2"/>
        </w:rPr>
        <w:t>进行性核上性麻痹是中枢神经系统变性性疾病，临床表现为眼球运动障碍、假性</w:t>
      </w:r>
      <w:r>
        <w:rPr>
          <w:spacing w:val="-2"/>
        </w:rPr>
        <w:t>球麻痹、帕金森综合征等。被保险人自主生活能力完全丧失，无法独立完成六项</w:t>
      </w:r>
      <w:r>
        <w:rPr>
          <w:spacing w:val="-2"/>
        </w:rPr>
        <w:t>基本日常生活活动中的三项或三项以上，日常生活必须持续受到他人监护。</w:t>
      </w:r>
    </w:p>
    <w:p>
      <w:pPr>
        <w:spacing w:after="0" w:line="278" w:lineRule="auto"/>
        <w:jc w:val="both"/>
        <w:sectPr>
          <w:type w:val="continuous"/>
          <w:pgSz w:w="11910" w:h="16840"/>
          <w:pgMar w:header="0" w:footer="458" w:top="620" w:bottom="280" w:left="800" w:right="660"/>
          <w:cols w:num="2" w:equalWidth="0">
            <w:col w:w="2486" w:space="40"/>
            <w:col w:w="7924"/>
          </w:cols>
        </w:sectPr>
      </w:pPr>
    </w:p>
    <w:p>
      <w:pPr>
        <w:pStyle w:val="BodyText"/>
        <w:spacing w:before="2"/>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418" w:val="left" w:leader="none"/>
        </w:tabs>
        <w:spacing w:line="194" w:lineRule="auto" w:before="64" w:after="0"/>
        <w:ind w:left="1072" w:right="0" w:firstLine="0"/>
        <w:jc w:val="both"/>
        <w:rPr>
          <w:rFonts w:ascii="微软雅黑" w:eastAsia="微软雅黑"/>
          <w:b/>
          <w:sz w:val="21"/>
        </w:rPr>
      </w:pPr>
      <w:r>
        <w:rPr>
          <w:rFonts w:ascii="微软雅黑" w:eastAsia="微软雅黑"/>
          <w:b/>
          <w:spacing w:val="9"/>
          <w:sz w:val="21"/>
        </w:rPr>
        <w:t>严重克- 雅</w:t>
      </w:r>
      <w:r>
        <w:rPr>
          <w:rFonts w:ascii="微软雅黑" w:eastAsia="微软雅黑"/>
          <w:b/>
          <w:spacing w:val="-8"/>
          <w:sz w:val="21"/>
        </w:rPr>
        <w:t>氏病（</w:t>
      </w:r>
      <w:r>
        <w:rPr>
          <w:rFonts w:ascii="Times New Roman" w:eastAsia="Times New Roman"/>
          <w:b/>
          <w:spacing w:val="-8"/>
          <w:sz w:val="21"/>
        </w:rPr>
        <w:t>CJD</w:t>
      </w:r>
      <w:r>
        <w:rPr>
          <w:rFonts w:ascii="微软雅黑" w:eastAsia="微软雅黑"/>
          <w:b/>
          <w:spacing w:val="-8"/>
          <w:sz w:val="21"/>
        </w:rPr>
        <w:t>、人</w:t>
      </w:r>
      <w:r>
        <w:rPr>
          <w:rFonts w:ascii="微软雅黑" w:eastAsia="微软雅黑"/>
          <w:b/>
          <w:spacing w:val="-2"/>
          <w:sz w:val="21"/>
        </w:rPr>
        <w:t>类疯牛病）</w:t>
      </w:r>
    </w:p>
    <w:p>
      <w:pPr>
        <w:pStyle w:val="BodyText"/>
        <w:spacing w:line="278" w:lineRule="auto" w:before="79"/>
        <w:ind w:left="173" w:right="353"/>
        <w:jc w:val="both"/>
      </w:pPr>
      <w:r>
        <w:rPr/>
        <w:br w:type="column"/>
      </w:r>
      <w:r>
        <w:rPr>
          <w:rFonts w:ascii="Times New Roman" w:eastAsia="Times New Roman"/>
        </w:rPr>
        <w:t>CJD </w:t>
      </w:r>
      <w:r>
        <w:rPr/>
        <w:t>是一种传染性海绵状脑病，临床表现为快速进行性痴呆、肌阵挛和特征性脑</w:t>
      </w:r>
      <w:r>
        <w:rPr>
          <w:spacing w:val="-2"/>
        </w:rPr>
        <w:t>电图变化。本病须经三级医院的专科医师根据 </w:t>
      </w:r>
      <w:r>
        <w:rPr>
          <w:rFonts w:ascii="Times New Roman" w:eastAsia="Times New Roman"/>
        </w:rPr>
        <w:t>WHO</w:t>
      </w:r>
      <w:r>
        <w:rPr>
          <w:rFonts w:ascii="Times New Roman" w:eastAsia="Times New Roman"/>
          <w:spacing w:val="4"/>
        </w:rPr>
        <w:t> </w:t>
      </w:r>
      <w:r>
        <w:rPr/>
        <w:t>诊断标准明确诊断，并且被</w:t>
      </w:r>
      <w:r>
        <w:rPr>
          <w:spacing w:val="-2"/>
        </w:rPr>
        <w:t>保险人永久不可逆丧失自主生活能力，无法独立完成六项基本日常生活活动中的</w:t>
      </w:r>
      <w:r>
        <w:rPr>
          <w:spacing w:val="-2"/>
        </w:rPr>
        <w:t>三项或三项以上。</w:t>
      </w:r>
    </w:p>
    <w:p>
      <w:pPr>
        <w:spacing w:after="0" w:line="278" w:lineRule="auto"/>
        <w:jc w:val="both"/>
        <w:sectPr>
          <w:type w:val="continuous"/>
          <w:pgSz w:w="11910" w:h="16840"/>
          <w:pgMar w:header="0" w:footer="458" w:top="620" w:bottom="280" w:left="800" w:right="660"/>
          <w:cols w:num="2" w:equalWidth="0">
            <w:col w:w="2487" w:space="40"/>
            <w:col w:w="7923"/>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8" w:after="0"/>
        <w:ind w:left="1072" w:right="0" w:firstLine="0"/>
        <w:jc w:val="left"/>
        <w:rPr>
          <w:rFonts w:ascii="微软雅黑" w:eastAsia="微软雅黑"/>
          <w:b/>
          <w:sz w:val="21"/>
        </w:rPr>
      </w:pPr>
      <w:r>
        <w:rPr>
          <w:rFonts w:ascii="微软雅黑" w:eastAsia="微软雅黑"/>
          <w:b/>
          <w:spacing w:val="-2"/>
          <w:sz w:val="21"/>
        </w:rPr>
        <w:t>亚急性硬化</w:t>
      </w:r>
      <w:r>
        <w:rPr>
          <w:rFonts w:ascii="微软雅黑" w:eastAsia="微软雅黑"/>
          <w:b/>
          <w:spacing w:val="-4"/>
          <w:sz w:val="21"/>
        </w:rPr>
        <w:t>性全脑炎</w:t>
      </w:r>
    </w:p>
    <w:p>
      <w:pPr>
        <w:pStyle w:val="BodyText"/>
        <w:spacing w:line="278" w:lineRule="auto" w:before="72"/>
        <w:ind w:left="174" w:right="359"/>
      </w:pPr>
      <w:r>
        <w:rPr/>
        <w:br w:type="column"/>
      </w:r>
      <w:r>
        <w:rPr>
          <w:spacing w:val="-2"/>
        </w:rPr>
        <w:t>是麻疹或麻疹样病毒所致的一种中枢神经系统慢病毒感染。中枢神经系统呈现灰</w:t>
      </w:r>
      <w:r>
        <w:rPr>
          <w:spacing w:val="-2"/>
        </w:rPr>
        <w:t>质和白质破坏为特征的慢性和急性混合存在的炎症。必须满足下列所有条件：</w:t>
      </w:r>
    </w:p>
    <w:p>
      <w:pPr>
        <w:pStyle w:val="ListParagraph"/>
        <w:numPr>
          <w:ilvl w:val="0"/>
          <w:numId w:val="84"/>
        </w:numPr>
        <w:tabs>
          <w:tab w:pos="705" w:val="left" w:leader="none"/>
        </w:tabs>
        <w:spacing w:line="278" w:lineRule="auto" w:before="0" w:after="0"/>
        <w:ind w:left="174" w:right="384" w:firstLine="0"/>
        <w:jc w:val="left"/>
        <w:rPr>
          <w:sz w:val="21"/>
        </w:rPr>
      </w:pPr>
      <w:r>
        <w:rPr>
          <w:spacing w:val="-4"/>
          <w:sz w:val="21"/>
        </w:rPr>
        <w:t>必须由三级医院诊断，临床检查证实脑电图存在周期性复合波、脑脊液 </w:t>
      </w:r>
      <w:r>
        <w:rPr>
          <w:rFonts w:ascii="Times New Roman" w:hAnsi="Times New Roman" w:eastAsia="Times New Roman"/>
          <w:spacing w:val="-2"/>
          <w:sz w:val="21"/>
        </w:rPr>
        <w:t>Ƴ</w:t>
      </w:r>
      <w:r>
        <w:rPr>
          <w:spacing w:val="-2"/>
          <w:sz w:val="21"/>
        </w:rPr>
        <w:t>-</w:t>
      </w:r>
      <w:r>
        <w:rPr>
          <w:spacing w:val="-2"/>
          <w:sz w:val="21"/>
        </w:rPr>
        <w:t>球蛋白升高、脑脊液和血清中麻疹抗体滴定度升高；</w:t>
      </w:r>
    </w:p>
    <w:p>
      <w:pPr>
        <w:pStyle w:val="ListParagraph"/>
        <w:numPr>
          <w:ilvl w:val="0"/>
          <w:numId w:val="84"/>
        </w:numPr>
        <w:tabs>
          <w:tab w:pos="705" w:val="left" w:leader="none"/>
        </w:tabs>
        <w:spacing w:line="278" w:lineRule="auto" w:before="0" w:after="0"/>
        <w:ind w:left="174" w:right="356" w:firstLine="0"/>
        <w:jc w:val="left"/>
        <w:rPr>
          <w:sz w:val="21"/>
        </w:rPr>
      </w:pPr>
      <w:r>
        <w:rPr>
          <w:spacing w:val="-2"/>
          <w:sz w:val="21"/>
        </w:rPr>
        <w:t>被保险人出现运动障碍，永久不可逆丧失自主生活能力，无法独立完成六</w:t>
      </w:r>
      <w:r>
        <w:rPr>
          <w:spacing w:val="-2"/>
          <w:sz w:val="21"/>
        </w:rPr>
        <w:t>项基本日常生活活动中的三项或三项以上。</w:t>
      </w:r>
    </w:p>
    <w:p>
      <w:pPr>
        <w:spacing w:after="0" w:line="278" w:lineRule="auto"/>
        <w:jc w:val="left"/>
        <w:rPr>
          <w:sz w:val="21"/>
        </w:rPr>
        <w:sectPr>
          <w:type w:val="continuous"/>
          <w:pgSz w:w="11910" w:h="16840"/>
          <w:pgMar w:header="0" w:footer="458" w:top="620" w:bottom="280" w:left="800" w:right="660"/>
          <w:cols w:num="2" w:equalWidth="0">
            <w:col w:w="2486" w:space="40"/>
            <w:col w:w="7924"/>
          </w:cols>
        </w:sectPr>
      </w:pPr>
    </w:p>
    <w:p>
      <w:pPr>
        <w:pStyle w:val="ListParagraph"/>
        <w:numPr>
          <w:ilvl w:val="0"/>
          <w:numId w:val="50"/>
        </w:numPr>
        <w:tabs>
          <w:tab w:pos="1399" w:val="left" w:leader="none"/>
        </w:tabs>
        <w:spacing w:line="194" w:lineRule="auto" w:before="28" w:after="0"/>
        <w:ind w:left="1072" w:right="0" w:firstLine="0"/>
        <w:jc w:val="left"/>
        <w:rPr>
          <w:rFonts w:ascii="微软雅黑" w:eastAsia="微软雅黑"/>
          <w:b/>
          <w:sz w:val="21"/>
        </w:rPr>
      </w:pPr>
      <w:r>
        <w:rPr>
          <w:rFonts w:ascii="微软雅黑" w:eastAsia="微软雅黑"/>
          <w:b/>
          <w:spacing w:val="-2"/>
          <w:sz w:val="21"/>
        </w:rPr>
        <w:t>进行性多灶</w:t>
      </w:r>
      <w:r>
        <w:rPr>
          <w:rFonts w:ascii="微软雅黑" w:eastAsia="微软雅黑"/>
          <w:b/>
          <w:spacing w:val="-2"/>
          <w:sz w:val="21"/>
        </w:rPr>
        <w:t>性白质脑病</w:t>
      </w:r>
    </w:p>
    <w:p>
      <w:pPr>
        <w:pStyle w:val="BodyText"/>
        <w:ind w:left="174"/>
      </w:pPr>
      <w:r>
        <w:rPr/>
        <w:br w:type="column"/>
      </w:r>
      <w:r>
        <w:rPr>
          <w:spacing w:val="-3"/>
        </w:rPr>
        <w:t>是一种亚急性脱髓鞘脑病，常常发生于免疫缺陷病人。必须满足下列所有条件：</w:t>
      </w:r>
    </w:p>
    <w:p>
      <w:pPr>
        <w:pStyle w:val="ListParagraph"/>
        <w:numPr>
          <w:ilvl w:val="0"/>
          <w:numId w:val="85"/>
        </w:numPr>
        <w:tabs>
          <w:tab w:pos="705" w:val="left" w:leader="none"/>
        </w:tabs>
        <w:spacing w:line="240" w:lineRule="auto" w:before="43" w:after="0"/>
        <w:ind w:left="704" w:right="0" w:hanging="531"/>
        <w:jc w:val="left"/>
        <w:rPr>
          <w:sz w:val="21"/>
        </w:rPr>
      </w:pPr>
      <w:r>
        <w:rPr>
          <w:spacing w:val="-3"/>
          <w:sz w:val="21"/>
        </w:rPr>
        <w:t>根据脑组织活检确诊；</w:t>
      </w:r>
    </w:p>
    <w:p>
      <w:pPr>
        <w:pStyle w:val="ListParagraph"/>
        <w:numPr>
          <w:ilvl w:val="0"/>
          <w:numId w:val="85"/>
        </w:numPr>
        <w:tabs>
          <w:tab w:pos="705" w:val="left" w:leader="none"/>
        </w:tabs>
        <w:spacing w:line="278" w:lineRule="auto" w:before="43" w:after="0"/>
        <w:ind w:left="174" w:right="353" w:firstLine="0"/>
        <w:jc w:val="left"/>
        <w:rPr>
          <w:sz w:val="21"/>
        </w:rPr>
      </w:pPr>
      <w:r>
        <w:rPr>
          <w:spacing w:val="-6"/>
          <w:w w:val="100"/>
          <w:sz w:val="21"/>
        </w:rPr>
        <w:t>永久不可逆丧失自主生活能力，无法独立完成六项基本日常生活活动中的</w:t>
      </w:r>
      <w:r>
        <w:rPr>
          <w:spacing w:val="-5"/>
          <w:w w:val="100"/>
          <w:sz w:val="21"/>
        </w:rPr>
        <w:t>三项或三项以上。</w:t>
      </w:r>
    </w:p>
    <w:p>
      <w:pPr>
        <w:spacing w:after="0" w:line="278" w:lineRule="auto"/>
        <w:jc w:val="left"/>
        <w:rPr>
          <w:sz w:val="21"/>
        </w:rPr>
        <w:sectPr>
          <w:pgSz w:w="11910" w:h="16840"/>
          <w:pgMar w:header="0" w:footer="458" w:top="1260" w:bottom="640" w:left="800" w:right="660"/>
          <w:cols w:num="2" w:equalWidth="0">
            <w:col w:w="2486" w:space="40"/>
            <w:col w:w="792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丧失独立生</w:t>
      </w:r>
      <w:r>
        <w:rPr>
          <w:rFonts w:ascii="微软雅黑" w:eastAsia="微软雅黑"/>
          <w:b/>
          <w:spacing w:val="-4"/>
          <w:sz w:val="21"/>
        </w:rPr>
        <w:t>活能力</w:t>
      </w:r>
    </w:p>
    <w:p>
      <w:pPr>
        <w:pStyle w:val="BodyText"/>
        <w:spacing w:line="278" w:lineRule="auto" w:before="72"/>
        <w:ind w:left="174" w:right="359"/>
      </w:pPr>
      <w:r>
        <w:rPr/>
        <w:br w:type="column"/>
      </w:r>
      <w:r>
        <w:rPr>
          <w:spacing w:val="-2"/>
        </w:rPr>
        <w:t>指由于疾病或外伤导致被保险人永久不可逆的完全丧失独立生活能力，无法独立</w:t>
      </w:r>
      <w:r>
        <w:rPr>
          <w:spacing w:val="-2"/>
        </w:rPr>
        <w:t>完成基本日常生活活动中的四项或四项以上。</w:t>
      </w:r>
    </w:p>
    <w:p>
      <w:pPr>
        <w:spacing w:line="320" w:lineRule="exact" w:before="0"/>
        <w:ind w:left="174" w:right="0" w:firstLine="0"/>
        <w:jc w:val="left"/>
        <w:rPr>
          <w:rFonts w:ascii="微软雅黑" w:eastAsia="微软雅黑"/>
          <w:b/>
          <w:sz w:val="21"/>
        </w:rPr>
      </w:pPr>
      <w:r>
        <w:rPr>
          <w:rFonts w:ascii="微软雅黑" w:eastAsia="微软雅黑"/>
          <w:b/>
          <w:w w:val="95"/>
          <w:sz w:val="21"/>
        </w:rPr>
        <w:t>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人</w:t>
      </w:r>
      <w:r>
        <w:rPr>
          <w:rFonts w:ascii="微软雅黑" w:eastAsia="微软雅黑"/>
          <w:b/>
          <w:w w:val="95"/>
          <w:sz w:val="21"/>
        </w:rPr>
        <w:t>理</w:t>
      </w:r>
      <w:r>
        <w:rPr>
          <w:rFonts w:ascii="微软雅黑" w:eastAsia="微软雅黑"/>
          <w:b/>
          <w:w w:val="95"/>
          <w:sz w:val="21"/>
        </w:rPr>
        <w:t>赔</w:t>
      </w:r>
      <w:r>
        <w:rPr>
          <w:rFonts w:ascii="微软雅黑" w:eastAsia="微软雅黑"/>
          <w:b/>
          <w:w w:val="95"/>
          <w:sz w:val="21"/>
        </w:rPr>
        <w:t>时</w:t>
      </w:r>
      <w:r>
        <w:rPr>
          <w:rFonts w:ascii="微软雅黑" w:eastAsia="微软雅黑"/>
          <w:b/>
          <w:w w:val="95"/>
          <w:sz w:val="21"/>
        </w:rPr>
        <w:t>年</w:t>
      </w:r>
      <w:r>
        <w:rPr>
          <w:rFonts w:ascii="微软雅黑" w:eastAsia="微软雅黑"/>
          <w:b/>
          <w:w w:val="95"/>
          <w:sz w:val="21"/>
        </w:rPr>
        <w:t>龄在6周</w:t>
      </w:r>
      <w:r>
        <w:rPr>
          <w:rFonts w:ascii="微软雅黑" w:eastAsia="微软雅黑"/>
          <w:b/>
          <w:w w:val="95"/>
          <w:sz w:val="21"/>
        </w:rPr>
        <w:t>岁</w:t>
      </w:r>
      <w:r>
        <w:rPr>
          <w:rFonts w:ascii="微软雅黑" w:eastAsia="微软雅黑"/>
          <w:b/>
          <w:w w:val="95"/>
          <w:sz w:val="21"/>
        </w:rPr>
        <w:t>以</w:t>
      </w:r>
      <w:r>
        <w:rPr>
          <w:rFonts w:ascii="微软雅黑" w:eastAsia="微软雅黑"/>
          <w:b/>
          <w:w w:val="95"/>
          <w:sz w:val="21"/>
        </w:rPr>
        <w:t>上</w:t>
      </w:r>
      <w:r>
        <w:rPr>
          <w:rFonts w:ascii="微软雅黑" w:eastAsia="微软雅黑"/>
          <w:b/>
          <w:spacing w:val="-10"/>
          <w:w w:val="95"/>
          <w:sz w:val="21"/>
        </w:rPr>
        <w:t>。</w:t>
      </w:r>
    </w:p>
    <w:p>
      <w:pPr>
        <w:spacing w:after="0" w:line="320"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脊髓小脑变</w:t>
      </w:r>
      <w:r>
        <w:rPr>
          <w:rFonts w:ascii="微软雅黑" w:eastAsia="微软雅黑"/>
          <w:b/>
          <w:spacing w:val="-6"/>
          <w:sz w:val="21"/>
        </w:rPr>
        <w:t>性症</w:t>
      </w:r>
    </w:p>
    <w:p>
      <w:pPr>
        <w:pStyle w:val="BodyText"/>
        <w:spacing w:line="278" w:lineRule="auto" w:before="72"/>
        <w:ind w:left="174" w:right="359"/>
      </w:pPr>
      <w:r>
        <w:rPr/>
        <w:br w:type="column"/>
      </w:r>
      <w:r>
        <w:rPr>
          <w:spacing w:val="-2"/>
        </w:rPr>
        <w:t>脊髓小脑变性症为一组以小脑萎缩和共济失调为主要临床特点的多与遗传有关的</w:t>
      </w:r>
      <w:r>
        <w:rPr>
          <w:spacing w:val="-2"/>
        </w:rPr>
        <w:t>疾病。必须满足下列所有条件：</w:t>
      </w:r>
    </w:p>
    <w:p>
      <w:pPr>
        <w:pStyle w:val="ListParagraph"/>
        <w:numPr>
          <w:ilvl w:val="0"/>
          <w:numId w:val="86"/>
        </w:numPr>
        <w:tabs>
          <w:tab w:pos="705" w:val="left" w:leader="none"/>
        </w:tabs>
        <w:spacing w:line="269" w:lineRule="exact" w:before="0" w:after="0"/>
        <w:ind w:left="704" w:right="0" w:hanging="531"/>
        <w:jc w:val="left"/>
        <w:rPr>
          <w:sz w:val="21"/>
        </w:rPr>
      </w:pPr>
      <w:r>
        <w:rPr>
          <w:spacing w:val="-3"/>
          <w:sz w:val="21"/>
        </w:rPr>
        <w:t>脊髓小脑变性症必须由三级医院诊断，并有下列所有证据支持：</w:t>
      </w:r>
    </w:p>
    <w:p>
      <w:pPr>
        <w:pStyle w:val="BodyText"/>
        <w:ind w:left="595"/>
      </w:pPr>
      <w:r>
        <w:rPr>
          <w:spacing w:val="-6"/>
        </w:rPr>
        <w:t>① 影像学检查证实存在小脑萎缩；</w:t>
      </w:r>
    </w:p>
    <w:p>
      <w:pPr>
        <w:pStyle w:val="BodyText"/>
        <w:ind w:left="595"/>
      </w:pPr>
      <w:r>
        <w:rPr>
          <w:spacing w:val="-3"/>
        </w:rPr>
        <w:t>② 临床表现存在共济失调、语言障碍和肌张力异常；</w:t>
      </w:r>
    </w:p>
    <w:p>
      <w:pPr>
        <w:pStyle w:val="ListParagraph"/>
        <w:numPr>
          <w:ilvl w:val="0"/>
          <w:numId w:val="86"/>
        </w:numPr>
        <w:tabs>
          <w:tab w:pos="705" w:val="left" w:leader="none"/>
        </w:tabs>
        <w:spacing w:line="278" w:lineRule="auto" w:before="43" w:after="0"/>
        <w:ind w:left="174" w:right="356" w:firstLine="0"/>
        <w:jc w:val="left"/>
        <w:rPr>
          <w:sz w:val="21"/>
        </w:rPr>
      </w:pPr>
      <w:r>
        <w:rPr>
          <w:spacing w:val="-2"/>
          <w:sz w:val="21"/>
        </w:rPr>
        <w:t>被保险人运动功能严重障碍，自主生活能力完全丧失，无法独立完成六项</w:t>
      </w:r>
      <w:r>
        <w:rPr>
          <w:spacing w:val="-2"/>
          <w:sz w:val="21"/>
        </w:rPr>
        <w:t>基本日常生活活动中的三项或三项以上。</w:t>
      </w:r>
    </w:p>
    <w:p>
      <w:pPr>
        <w:spacing w:after="0" w:line="278" w:lineRule="auto"/>
        <w:jc w:val="left"/>
        <w:rPr>
          <w:sz w:val="21"/>
        </w:rPr>
        <w:sectPr>
          <w:type w:val="continuous"/>
          <w:pgSz w:w="11910" w:h="16840"/>
          <w:pgMar w:header="0" w:footer="458" w:top="620" w:bottom="280" w:left="800" w:right="660"/>
          <w:cols w:num="2" w:equalWidth="0">
            <w:col w:w="2486" w:space="40"/>
            <w:col w:w="7924"/>
          </w:cols>
        </w:sectPr>
      </w:pPr>
    </w:p>
    <w:p>
      <w:pPr>
        <w:pStyle w:val="BodyText"/>
        <w:spacing w:before="10"/>
        <w:rPr>
          <w:sz w:val="18"/>
        </w:rPr>
      </w:pPr>
    </w:p>
    <w:p>
      <w:pPr>
        <w:pStyle w:val="ListParagraph"/>
        <w:numPr>
          <w:ilvl w:val="0"/>
          <w:numId w:val="50"/>
        </w:numPr>
        <w:tabs>
          <w:tab w:pos="1391" w:val="left" w:leader="none"/>
        </w:tabs>
        <w:spacing w:line="312" w:lineRule="exact" w:before="32" w:after="0"/>
        <w:ind w:left="2699" w:right="358" w:hanging="1628"/>
        <w:jc w:val="both"/>
        <w:rPr>
          <w:sz w:val="21"/>
        </w:rPr>
      </w:pPr>
      <w:r>
        <w:rPr>
          <w:rFonts w:ascii="微软雅黑" w:eastAsia="微软雅黑"/>
          <w:b/>
          <w:spacing w:val="31"/>
          <w:sz w:val="21"/>
        </w:rPr>
        <w:t>神经白塞病 </w:t>
      </w:r>
      <w:r>
        <w:rPr>
          <w:sz w:val="21"/>
        </w:rPr>
        <w:t>白塞病是一种慢性全身性血管炎症性疾病，主要表现为复发性口腔溃疡、生殖器</w:t>
      </w:r>
      <w:r>
        <w:rPr>
          <w:spacing w:val="-2"/>
          <w:sz w:val="21"/>
        </w:rPr>
        <w:t>溃疡、眼炎及皮肤损害，并可累及大血管、神经系统、消化道、肺、肾等。累及</w:t>
      </w:r>
      <w:r>
        <w:rPr>
          <w:spacing w:val="-2"/>
          <w:sz w:val="21"/>
        </w:rPr>
        <w:t>神经系统损害的白塞病称为神经白塞病。神经白塞病必须明确诊断，并且已经造</w:t>
      </w:r>
      <w:r>
        <w:rPr>
          <w:spacing w:val="-2"/>
          <w:sz w:val="21"/>
        </w:rPr>
        <w:t>成永久不可逆的神经系统功能损害。永久不可逆的神经系统损害指被保险人持续</w:t>
      </w:r>
      <w:r>
        <w:rPr>
          <w:spacing w:val="-2"/>
          <w:sz w:val="21"/>
        </w:rPr>
        <w:t> </w:t>
      </w:r>
      <w:r>
        <w:rPr>
          <w:sz w:val="21"/>
        </w:rPr>
        <w:t>180</w:t>
      </w:r>
      <w:r>
        <w:rPr>
          <w:spacing w:val="-7"/>
          <w:sz w:val="21"/>
        </w:rPr>
        <w:t> 天无法独立完成下列基本日常生活活动之一：</w:t>
      </w:r>
    </w:p>
    <w:p>
      <w:pPr>
        <w:pStyle w:val="ListParagraph"/>
        <w:numPr>
          <w:ilvl w:val="0"/>
          <w:numId w:val="87"/>
        </w:numPr>
        <w:tabs>
          <w:tab w:pos="3230" w:val="left" w:leader="none"/>
        </w:tabs>
        <w:spacing w:line="240" w:lineRule="auto" w:before="39" w:after="0"/>
        <w:ind w:left="3229" w:right="0" w:hanging="531"/>
        <w:jc w:val="left"/>
        <w:rPr>
          <w:sz w:val="21"/>
        </w:rPr>
      </w:pPr>
      <w:r>
        <w:rPr>
          <w:spacing w:val="-3"/>
          <w:sz w:val="21"/>
        </w:rPr>
        <w:t>移动：自己从一个房间到另一个房间；</w:t>
      </w:r>
    </w:p>
    <w:p>
      <w:pPr>
        <w:pStyle w:val="ListParagraph"/>
        <w:numPr>
          <w:ilvl w:val="0"/>
          <w:numId w:val="87"/>
        </w:numPr>
        <w:tabs>
          <w:tab w:pos="3230" w:val="left" w:leader="none"/>
        </w:tabs>
        <w:spacing w:line="240" w:lineRule="auto" w:before="43" w:after="0"/>
        <w:ind w:left="3229" w:right="0" w:hanging="531"/>
        <w:jc w:val="left"/>
        <w:rPr>
          <w:sz w:val="21"/>
        </w:rPr>
      </w:pPr>
      <w:r>
        <w:rPr>
          <w:spacing w:val="-3"/>
          <w:sz w:val="21"/>
        </w:rPr>
        <w:t>进食：自己从已准备好的碗或碟中取食物放入口中。</w:t>
      </w:r>
    </w:p>
    <w:p>
      <w:pPr>
        <w:pStyle w:val="BodyText"/>
        <w:spacing w:before="6"/>
        <w:rPr>
          <w:sz w:val="22"/>
        </w:rPr>
      </w:pPr>
    </w:p>
    <w:p>
      <w:pPr>
        <w:pStyle w:val="ListParagraph"/>
        <w:numPr>
          <w:ilvl w:val="0"/>
          <w:numId w:val="50"/>
        </w:numPr>
        <w:tabs>
          <w:tab w:pos="1391" w:val="left" w:leader="none"/>
          <w:tab w:pos="1627" w:val="left" w:leader="none"/>
        </w:tabs>
        <w:spacing w:line="383" w:lineRule="exact" w:before="1" w:after="0"/>
        <w:ind w:left="1390" w:right="575" w:hanging="1391"/>
        <w:jc w:val="left"/>
        <w:rPr>
          <w:sz w:val="21"/>
        </w:rPr>
      </w:pPr>
      <w:r>
        <w:rPr>
          <w:rFonts w:ascii="微软雅黑" w:eastAsia="微软雅黑"/>
          <w:b/>
          <w:w w:val="100"/>
          <w:sz w:val="21"/>
        </w:rPr>
        <w:t>脊髓内肿瘤</w:t>
      </w:r>
      <w:r>
        <w:rPr>
          <w:rFonts w:ascii="微软雅黑" w:eastAsia="微软雅黑"/>
          <w:b/>
          <w:sz w:val="21"/>
        </w:rPr>
        <w:tab/>
      </w:r>
      <w:r>
        <w:rPr>
          <w:w w:val="100"/>
          <w:sz w:val="21"/>
        </w:rPr>
        <w:t>指脊</w:t>
      </w:r>
      <w:r>
        <w:rPr>
          <w:spacing w:val="-3"/>
          <w:w w:val="100"/>
          <w:sz w:val="21"/>
        </w:rPr>
        <w:t>髓</w:t>
      </w:r>
      <w:r>
        <w:rPr>
          <w:w w:val="100"/>
          <w:sz w:val="21"/>
        </w:rPr>
        <w:t>内</w:t>
      </w:r>
      <w:r>
        <w:rPr>
          <w:spacing w:val="-3"/>
          <w:w w:val="100"/>
          <w:sz w:val="21"/>
        </w:rPr>
        <w:t>良</w:t>
      </w:r>
      <w:r>
        <w:rPr>
          <w:w w:val="100"/>
          <w:sz w:val="21"/>
        </w:rPr>
        <w:t>性</w:t>
      </w:r>
      <w:r>
        <w:rPr>
          <w:spacing w:val="-3"/>
          <w:w w:val="100"/>
          <w:sz w:val="21"/>
        </w:rPr>
        <w:t>肿</w:t>
      </w:r>
      <w:r>
        <w:rPr>
          <w:w w:val="100"/>
          <w:sz w:val="21"/>
        </w:rPr>
        <w:t>瘤</w:t>
      </w:r>
      <w:r>
        <w:rPr>
          <w:spacing w:val="-3"/>
          <w:w w:val="100"/>
          <w:sz w:val="21"/>
        </w:rPr>
        <w:t>造</w:t>
      </w:r>
      <w:r>
        <w:rPr>
          <w:w w:val="100"/>
          <w:sz w:val="21"/>
        </w:rPr>
        <w:t>成</w:t>
      </w:r>
      <w:r>
        <w:rPr>
          <w:spacing w:val="-3"/>
          <w:w w:val="100"/>
          <w:sz w:val="21"/>
        </w:rPr>
        <w:t>脊</w:t>
      </w:r>
      <w:r>
        <w:rPr>
          <w:w w:val="100"/>
          <w:sz w:val="21"/>
        </w:rPr>
        <w:t>髓损</w:t>
      </w:r>
      <w:r>
        <w:rPr>
          <w:spacing w:val="-3"/>
          <w:w w:val="100"/>
          <w:sz w:val="21"/>
        </w:rPr>
        <w:t>害</w:t>
      </w:r>
      <w:r>
        <w:rPr>
          <w:w w:val="100"/>
          <w:sz w:val="21"/>
        </w:rPr>
        <w:t>导</w:t>
      </w:r>
      <w:r>
        <w:rPr>
          <w:spacing w:val="-3"/>
          <w:w w:val="100"/>
          <w:sz w:val="21"/>
        </w:rPr>
        <w:t>致</w:t>
      </w:r>
      <w:r>
        <w:rPr>
          <w:w w:val="100"/>
          <w:sz w:val="21"/>
        </w:rPr>
        <w:t>瘫</w:t>
      </w:r>
      <w:r>
        <w:rPr>
          <w:spacing w:val="-3"/>
          <w:w w:val="100"/>
          <w:sz w:val="21"/>
        </w:rPr>
        <w:t>痪</w:t>
      </w:r>
      <w:r>
        <w:rPr>
          <w:w w:val="100"/>
          <w:sz w:val="21"/>
        </w:rPr>
        <w:t>。</w:t>
      </w:r>
      <w:r>
        <w:rPr>
          <w:spacing w:val="-3"/>
          <w:w w:val="100"/>
          <w:sz w:val="21"/>
        </w:rPr>
        <w:t>须</w:t>
      </w:r>
      <w:r>
        <w:rPr>
          <w:w w:val="100"/>
          <w:sz w:val="21"/>
        </w:rPr>
        <w:t>满</w:t>
      </w:r>
      <w:r>
        <w:rPr>
          <w:spacing w:val="-3"/>
          <w:w w:val="100"/>
          <w:sz w:val="21"/>
        </w:rPr>
        <w:t>足</w:t>
      </w:r>
      <w:r>
        <w:rPr>
          <w:w w:val="100"/>
          <w:sz w:val="21"/>
        </w:rPr>
        <w:t>下列</w:t>
      </w:r>
      <w:r>
        <w:rPr>
          <w:spacing w:val="-3"/>
          <w:w w:val="100"/>
          <w:sz w:val="21"/>
        </w:rPr>
        <w:t>所</w:t>
      </w:r>
      <w:r>
        <w:rPr>
          <w:w w:val="100"/>
          <w:sz w:val="21"/>
        </w:rPr>
        <w:t>有</w:t>
      </w:r>
      <w:r>
        <w:rPr>
          <w:spacing w:val="-3"/>
          <w:w w:val="100"/>
          <w:sz w:val="21"/>
        </w:rPr>
        <w:t>条</w:t>
      </w:r>
      <w:r>
        <w:rPr>
          <w:w w:val="100"/>
          <w:sz w:val="21"/>
        </w:rPr>
        <w:t>件：</w:t>
      </w:r>
    </w:p>
    <w:p>
      <w:pPr>
        <w:pStyle w:val="ListParagraph"/>
        <w:numPr>
          <w:ilvl w:val="0"/>
          <w:numId w:val="88"/>
        </w:numPr>
        <w:tabs>
          <w:tab w:pos="3230" w:val="left" w:leader="none"/>
        </w:tabs>
        <w:spacing w:line="265" w:lineRule="exact" w:before="0" w:after="0"/>
        <w:ind w:left="3229" w:right="527" w:hanging="3230"/>
        <w:jc w:val="left"/>
        <w:rPr>
          <w:sz w:val="21"/>
        </w:rPr>
      </w:pPr>
      <w:r>
        <w:rPr>
          <w:spacing w:val="-3"/>
          <w:sz w:val="21"/>
        </w:rPr>
        <w:t>被保险人实际接受了肿瘤切除的手术治疗；</w:t>
      </w:r>
    </w:p>
    <w:p>
      <w:pPr>
        <w:pStyle w:val="ListParagraph"/>
        <w:numPr>
          <w:ilvl w:val="0"/>
          <w:numId w:val="88"/>
        </w:numPr>
        <w:tabs>
          <w:tab w:pos="3230" w:val="left" w:leader="none"/>
        </w:tabs>
        <w:spacing w:line="278" w:lineRule="auto" w:before="43" w:after="0"/>
        <w:ind w:left="2699" w:right="353" w:firstLine="0"/>
        <w:jc w:val="left"/>
        <w:rPr>
          <w:sz w:val="21"/>
        </w:rPr>
      </w:pPr>
      <w:r>
        <w:rPr>
          <w:spacing w:val="-8"/>
          <w:sz w:val="21"/>
        </w:rPr>
        <w:t>手术 </w:t>
      </w:r>
      <w:r>
        <w:rPr>
          <w:sz w:val="21"/>
        </w:rPr>
        <w:t>180</w:t>
      </w:r>
      <w:r>
        <w:rPr>
          <w:spacing w:val="-5"/>
          <w:sz w:val="21"/>
        </w:rPr>
        <w:t> 天后遗留下列神经系统损害，无法独立完成下列基本日常生活活</w:t>
      </w:r>
      <w:r>
        <w:rPr>
          <w:spacing w:val="-4"/>
          <w:sz w:val="21"/>
        </w:rPr>
        <w:t>动之一：</w:t>
      </w:r>
    </w:p>
    <w:p>
      <w:pPr>
        <w:pStyle w:val="BodyText"/>
        <w:spacing w:line="269" w:lineRule="exact" w:before="0"/>
        <w:ind w:left="3120"/>
      </w:pPr>
      <w:r>
        <w:rPr>
          <w:spacing w:val="-6"/>
        </w:rPr>
        <w:t>① 移动：自己从一个房间到另一个房间；</w:t>
      </w:r>
    </w:p>
    <w:p>
      <w:pPr>
        <w:pStyle w:val="BodyText"/>
        <w:spacing w:line="257" w:lineRule="exact" w:before="42"/>
        <w:ind w:left="3120"/>
      </w:pPr>
      <w:r>
        <w:rPr>
          <w:spacing w:val="-3"/>
        </w:rPr>
        <w:t>② 进食：自己从已准备好的碗或碟中取食物放入口中。</w:t>
      </w:r>
    </w:p>
    <w:p>
      <w:pPr>
        <w:spacing w:line="375" w:lineRule="exact" w:before="0"/>
        <w:ind w:left="2699" w:right="0" w:firstLine="0"/>
        <w:jc w:val="left"/>
        <w:rPr>
          <w:rFonts w:ascii="微软雅黑" w:eastAsia="微软雅黑"/>
          <w:b/>
          <w:sz w:val="21"/>
        </w:rPr>
      </w:pPr>
      <w:r>
        <w:rPr>
          <w:rFonts w:ascii="微软雅黑" w:eastAsia="微软雅黑"/>
          <w:b/>
          <w:spacing w:val="-3"/>
          <w:sz w:val="21"/>
        </w:rPr>
        <w:t>非脊髓内的其他椎管内肿瘤、脊柱肿瘤、神经纤维瘤不在本保障范围内。</w:t>
      </w:r>
    </w:p>
    <w:p>
      <w:pPr>
        <w:pStyle w:val="BodyText"/>
        <w:spacing w:before="12"/>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left"/>
        <w:rPr>
          <w:rFonts w:ascii="微软雅黑" w:eastAsia="微软雅黑"/>
          <w:b/>
          <w:sz w:val="21"/>
        </w:rPr>
      </w:pPr>
      <w:r>
        <w:rPr>
          <w:rFonts w:ascii="微软雅黑" w:eastAsia="微软雅黑"/>
          <w:b/>
          <w:spacing w:val="-2"/>
          <w:sz w:val="21"/>
        </w:rPr>
        <w:t>横贯性脊髓</w:t>
      </w:r>
      <w:r>
        <w:rPr>
          <w:rFonts w:ascii="微软雅黑" w:eastAsia="微软雅黑"/>
          <w:b/>
          <w:spacing w:val="-4"/>
          <w:sz w:val="21"/>
        </w:rPr>
        <w:t>炎后遗症</w:t>
      </w:r>
    </w:p>
    <w:p>
      <w:pPr>
        <w:pStyle w:val="BodyText"/>
        <w:spacing w:line="278" w:lineRule="auto" w:before="71"/>
        <w:ind w:left="174" w:right="358"/>
        <w:jc w:val="both"/>
      </w:pPr>
      <w:r>
        <w:rPr/>
        <w:br w:type="column"/>
      </w:r>
      <w:r>
        <w:rPr>
          <w:spacing w:val="-2"/>
        </w:rPr>
        <w:t>脊髓炎是一种炎症性脊髓疾病。横贯性脊髓炎是指炎症扩展横贯整个脊髓，表现</w:t>
      </w:r>
      <w:r>
        <w:rPr>
          <w:spacing w:val="-2"/>
        </w:rPr>
        <w:t>为运动障碍、感觉障碍和自主神经功能障碍。横贯性脊髓炎必须明确诊断，并且</w:t>
      </w:r>
      <w:r>
        <w:rPr>
          <w:spacing w:val="-2"/>
        </w:rPr>
        <w:t>已经造成永久不可逆的神经系统功能损害。永久不可逆的神经系统损害指被保险</w:t>
      </w:r>
      <w:r>
        <w:rPr>
          <w:spacing w:val="-5"/>
        </w:rPr>
        <w:t>人持续 </w:t>
      </w:r>
      <w:r>
        <w:rPr/>
        <w:t>180</w:t>
      </w:r>
      <w:r>
        <w:rPr>
          <w:spacing w:val="-5"/>
        </w:rPr>
        <w:t> 天无法独立完成下列任何一项基本日常生活活动：</w:t>
      </w:r>
    </w:p>
    <w:p>
      <w:pPr>
        <w:pStyle w:val="ListParagraph"/>
        <w:numPr>
          <w:ilvl w:val="0"/>
          <w:numId w:val="89"/>
        </w:numPr>
        <w:tabs>
          <w:tab w:pos="705" w:val="left" w:leader="none"/>
        </w:tabs>
        <w:spacing w:line="240" w:lineRule="auto" w:before="1" w:after="0"/>
        <w:ind w:left="704" w:right="0" w:hanging="531"/>
        <w:jc w:val="left"/>
        <w:rPr>
          <w:sz w:val="21"/>
        </w:rPr>
      </w:pPr>
      <w:r>
        <w:rPr>
          <w:spacing w:val="-3"/>
          <w:sz w:val="21"/>
        </w:rPr>
        <w:t>移动：自己从一个房间到另一个房间；</w:t>
      </w:r>
    </w:p>
    <w:p>
      <w:pPr>
        <w:pStyle w:val="ListParagraph"/>
        <w:numPr>
          <w:ilvl w:val="0"/>
          <w:numId w:val="89"/>
        </w:numPr>
        <w:tabs>
          <w:tab w:pos="705" w:val="left" w:leader="none"/>
        </w:tabs>
        <w:spacing w:line="240" w:lineRule="auto" w:before="42" w:after="0"/>
        <w:ind w:left="704" w:right="0" w:hanging="531"/>
        <w:jc w:val="left"/>
        <w:rPr>
          <w:sz w:val="21"/>
        </w:rPr>
      </w:pPr>
      <w:r>
        <w:rPr>
          <w:spacing w:val="-3"/>
          <w:sz w:val="21"/>
        </w:rPr>
        <w:t>进食：自己从已准备好的碗或碟中取食物放入口中。</w:t>
      </w:r>
    </w:p>
    <w:p>
      <w:pPr>
        <w:spacing w:after="0" w:line="240" w:lineRule="auto"/>
        <w:jc w:val="left"/>
        <w:rPr>
          <w:sz w:val="21"/>
        </w:rPr>
        <w:sectPr>
          <w:type w:val="continuous"/>
          <w:pgSz w:w="11910" w:h="16840"/>
          <w:pgMar w:header="0" w:footer="458" w:top="620" w:bottom="280" w:left="800" w:right="660"/>
          <w:cols w:num="2" w:equalWidth="0">
            <w:col w:w="2486" w:space="40"/>
            <w:col w:w="7924"/>
          </w:cols>
        </w:sectPr>
      </w:pPr>
    </w:p>
    <w:p>
      <w:pPr>
        <w:pStyle w:val="BodyText"/>
        <w:spacing w:before="2"/>
        <w:rPr>
          <w:sz w:val="22"/>
        </w:rPr>
      </w:pPr>
    </w:p>
    <w:p>
      <w:pPr>
        <w:pStyle w:val="ListParagraph"/>
        <w:numPr>
          <w:ilvl w:val="0"/>
          <w:numId w:val="50"/>
        </w:numPr>
        <w:tabs>
          <w:tab w:pos="1391" w:val="left" w:leader="none"/>
          <w:tab w:pos="2699" w:val="left" w:leader="none"/>
        </w:tabs>
        <w:spacing w:line="312" w:lineRule="exact" w:before="32" w:after="0"/>
        <w:ind w:left="2699" w:right="250" w:hanging="1628"/>
        <w:jc w:val="left"/>
        <w:rPr>
          <w:sz w:val="21"/>
        </w:rPr>
      </w:pPr>
      <w:r>
        <w:rPr>
          <w:rFonts w:ascii="微软雅黑" w:eastAsia="微软雅黑"/>
          <w:b/>
          <w:w w:val="100"/>
          <w:sz w:val="21"/>
        </w:rPr>
        <w:t>脊髓空洞症</w:t>
      </w:r>
      <w:r>
        <w:rPr>
          <w:rFonts w:ascii="微软雅黑" w:eastAsia="微软雅黑"/>
          <w:b/>
          <w:sz w:val="21"/>
        </w:rPr>
        <w:tab/>
      </w:r>
      <w:r>
        <w:rPr>
          <w:w w:val="100"/>
          <w:sz w:val="21"/>
        </w:rPr>
        <w:t>脊髓空洞症为慢性进行</w:t>
      </w:r>
      <w:r>
        <w:rPr>
          <w:spacing w:val="-3"/>
          <w:w w:val="100"/>
          <w:sz w:val="21"/>
        </w:rPr>
        <w:t>性</w:t>
      </w:r>
      <w:r>
        <w:rPr>
          <w:w w:val="100"/>
          <w:sz w:val="21"/>
        </w:rPr>
        <w:t>的脊髓变性性疾病，其</w:t>
      </w:r>
      <w:r>
        <w:rPr>
          <w:spacing w:val="-3"/>
          <w:w w:val="100"/>
          <w:sz w:val="21"/>
        </w:rPr>
        <w:t>特</w:t>
      </w:r>
      <w:r>
        <w:rPr>
          <w:w w:val="100"/>
          <w:sz w:val="21"/>
        </w:rPr>
        <w:t>征为脊髓内空洞形成。</w:t>
      </w:r>
      <w:r>
        <w:rPr>
          <w:spacing w:val="-3"/>
          <w:w w:val="100"/>
          <w:sz w:val="21"/>
        </w:rPr>
        <w:t>表</w:t>
      </w:r>
      <w:r>
        <w:rPr>
          <w:w w:val="100"/>
          <w:sz w:val="21"/>
        </w:rPr>
        <w:t>现为感觉异常、肌萎缩及神</w:t>
      </w:r>
      <w:r>
        <w:rPr>
          <w:spacing w:val="-3"/>
          <w:w w:val="100"/>
          <w:sz w:val="21"/>
        </w:rPr>
        <w:t>经</w:t>
      </w:r>
      <w:r>
        <w:rPr>
          <w:w w:val="100"/>
          <w:sz w:val="21"/>
        </w:rPr>
        <w:t>营养障碍。脊髓空洞症</w:t>
      </w:r>
      <w:r>
        <w:rPr>
          <w:spacing w:val="-3"/>
          <w:w w:val="100"/>
          <w:sz w:val="21"/>
        </w:rPr>
        <w:t>累</w:t>
      </w:r>
      <w:r>
        <w:rPr>
          <w:w w:val="100"/>
          <w:sz w:val="21"/>
        </w:rPr>
        <w:t>及延髓称为延髓空洞症</w:t>
      </w:r>
      <w:r>
        <w:rPr>
          <w:spacing w:val="-3"/>
          <w:w w:val="100"/>
          <w:sz w:val="21"/>
        </w:rPr>
        <w:t>，</w:t>
      </w:r>
      <w:r>
        <w:rPr>
          <w:w w:val="100"/>
          <w:sz w:val="21"/>
        </w:rPr>
        <w:t>表现为延</w:t>
      </w:r>
      <w:r>
        <w:rPr>
          <w:spacing w:val="-3"/>
          <w:w w:val="100"/>
          <w:sz w:val="21"/>
        </w:rPr>
        <w:t>髓</w:t>
      </w:r>
      <w:r>
        <w:rPr>
          <w:w w:val="100"/>
          <w:sz w:val="21"/>
        </w:rPr>
        <w:t>麻</w:t>
      </w:r>
      <w:r>
        <w:rPr>
          <w:spacing w:val="-3"/>
          <w:w w:val="100"/>
          <w:sz w:val="21"/>
        </w:rPr>
        <w:t>痹</w:t>
      </w:r>
      <w:r>
        <w:rPr>
          <w:spacing w:val="-73"/>
          <w:w w:val="100"/>
          <w:sz w:val="21"/>
        </w:rPr>
        <w:t>。</w:t>
      </w:r>
      <w:r>
        <w:rPr>
          <w:spacing w:val="-3"/>
          <w:w w:val="100"/>
          <w:sz w:val="21"/>
        </w:rPr>
        <w:t>脊</w:t>
      </w:r>
      <w:r>
        <w:rPr>
          <w:w w:val="100"/>
          <w:sz w:val="21"/>
        </w:rPr>
        <w:t>髓</w:t>
      </w:r>
      <w:r>
        <w:rPr>
          <w:spacing w:val="-3"/>
          <w:w w:val="100"/>
          <w:sz w:val="21"/>
        </w:rPr>
        <w:t>空</w:t>
      </w:r>
      <w:r>
        <w:rPr>
          <w:w w:val="100"/>
          <w:sz w:val="21"/>
        </w:rPr>
        <w:t>洞</w:t>
      </w:r>
      <w:r>
        <w:rPr>
          <w:spacing w:val="-3"/>
          <w:w w:val="100"/>
          <w:sz w:val="21"/>
        </w:rPr>
        <w:t>症必</w:t>
      </w:r>
      <w:r>
        <w:rPr>
          <w:w w:val="100"/>
          <w:sz w:val="21"/>
        </w:rPr>
        <w:t>须明</w:t>
      </w:r>
      <w:r>
        <w:rPr>
          <w:spacing w:val="-3"/>
          <w:w w:val="100"/>
          <w:sz w:val="21"/>
        </w:rPr>
        <w:t>确</w:t>
      </w:r>
      <w:r>
        <w:rPr>
          <w:w w:val="100"/>
          <w:sz w:val="21"/>
        </w:rPr>
        <w:t>诊</w:t>
      </w:r>
      <w:r>
        <w:rPr>
          <w:spacing w:val="-3"/>
          <w:w w:val="100"/>
          <w:sz w:val="21"/>
        </w:rPr>
        <w:t>断</w:t>
      </w:r>
      <w:r>
        <w:rPr>
          <w:w w:val="100"/>
          <w:sz w:val="21"/>
        </w:rPr>
        <w:t>并</w:t>
      </w:r>
      <w:r>
        <w:rPr>
          <w:spacing w:val="-3"/>
          <w:w w:val="100"/>
          <w:sz w:val="21"/>
        </w:rPr>
        <w:t>且</w:t>
      </w:r>
      <w:r>
        <w:rPr>
          <w:w w:val="100"/>
          <w:sz w:val="21"/>
        </w:rPr>
        <w:t>造</w:t>
      </w:r>
      <w:r>
        <w:rPr>
          <w:spacing w:val="-3"/>
          <w:w w:val="100"/>
          <w:sz w:val="21"/>
        </w:rPr>
        <w:t>成</w:t>
      </w:r>
      <w:r>
        <w:rPr>
          <w:w w:val="100"/>
          <w:sz w:val="21"/>
        </w:rPr>
        <w:t>永</w:t>
      </w:r>
      <w:r>
        <w:rPr>
          <w:spacing w:val="-3"/>
          <w:w w:val="100"/>
          <w:sz w:val="21"/>
        </w:rPr>
        <w:t>久</w:t>
      </w:r>
      <w:r>
        <w:rPr>
          <w:w w:val="100"/>
          <w:sz w:val="21"/>
        </w:rPr>
        <w:t>不可</w:t>
      </w:r>
      <w:r>
        <w:rPr>
          <w:spacing w:val="-3"/>
          <w:w w:val="100"/>
          <w:sz w:val="21"/>
        </w:rPr>
        <w:t>逆</w:t>
      </w:r>
      <w:r>
        <w:rPr>
          <w:w w:val="100"/>
          <w:sz w:val="21"/>
        </w:rPr>
        <w:t>的</w:t>
      </w:r>
      <w:r>
        <w:rPr>
          <w:spacing w:val="-3"/>
          <w:w w:val="100"/>
          <w:sz w:val="21"/>
        </w:rPr>
        <w:t>神</w:t>
      </w:r>
      <w:r>
        <w:rPr>
          <w:w w:val="100"/>
          <w:sz w:val="21"/>
        </w:rPr>
        <w:t>经</w:t>
      </w:r>
      <w:r>
        <w:rPr>
          <w:spacing w:val="-3"/>
          <w:w w:val="100"/>
          <w:sz w:val="21"/>
        </w:rPr>
        <w:t>系</w:t>
      </w:r>
      <w:r>
        <w:rPr>
          <w:w w:val="100"/>
          <w:sz w:val="21"/>
        </w:rPr>
        <w:t>统</w:t>
      </w:r>
      <w:r>
        <w:rPr>
          <w:spacing w:val="-3"/>
          <w:w w:val="100"/>
          <w:sz w:val="21"/>
        </w:rPr>
        <w:t>功</w:t>
      </w:r>
      <w:r>
        <w:rPr>
          <w:w w:val="100"/>
          <w:sz w:val="21"/>
        </w:rPr>
        <w:t>能</w:t>
      </w:r>
      <w:r>
        <w:rPr>
          <w:spacing w:val="-3"/>
          <w:w w:val="100"/>
          <w:sz w:val="21"/>
        </w:rPr>
        <w:t>障</w:t>
      </w:r>
      <w:r>
        <w:rPr>
          <w:w w:val="100"/>
          <w:sz w:val="21"/>
        </w:rPr>
        <w:t>碍，存在</w:t>
      </w:r>
      <w:r>
        <w:rPr>
          <w:spacing w:val="-3"/>
          <w:w w:val="100"/>
          <w:sz w:val="21"/>
        </w:rPr>
        <w:t>持</w:t>
      </w:r>
      <w:r>
        <w:rPr>
          <w:w w:val="100"/>
          <w:sz w:val="21"/>
        </w:rPr>
        <w:t>续</w:t>
      </w:r>
      <w:r>
        <w:rPr>
          <w:spacing w:val="-3"/>
          <w:w w:val="100"/>
          <w:sz w:val="21"/>
        </w:rPr>
        <w:t>至</w:t>
      </w:r>
      <w:r>
        <w:rPr>
          <w:w w:val="100"/>
          <w:sz w:val="21"/>
        </w:rPr>
        <w:t>少</w:t>
      </w:r>
      <w:r>
        <w:rPr>
          <w:spacing w:val="-52"/>
          <w:sz w:val="21"/>
        </w:rPr>
        <w:t> </w:t>
      </w:r>
      <w:r>
        <w:rPr>
          <w:spacing w:val="-3"/>
          <w:w w:val="100"/>
          <w:sz w:val="21"/>
        </w:rPr>
        <w:t>1</w:t>
      </w:r>
      <w:r>
        <w:rPr>
          <w:w w:val="100"/>
          <w:sz w:val="21"/>
        </w:rPr>
        <w:t>80</w:t>
      </w:r>
      <w:r>
        <w:rPr>
          <w:spacing w:val="-53"/>
          <w:sz w:val="21"/>
        </w:rPr>
        <w:t> </w:t>
      </w:r>
      <w:r>
        <w:rPr>
          <w:spacing w:val="-3"/>
          <w:w w:val="100"/>
          <w:sz w:val="21"/>
        </w:rPr>
        <w:t>天</w:t>
      </w:r>
      <w:r>
        <w:rPr>
          <w:w w:val="100"/>
          <w:sz w:val="21"/>
        </w:rPr>
        <w:t>以</w:t>
      </w:r>
      <w:r>
        <w:rPr>
          <w:spacing w:val="-3"/>
          <w:w w:val="100"/>
          <w:sz w:val="21"/>
        </w:rPr>
        <w:t>上</w:t>
      </w:r>
      <w:r>
        <w:rPr>
          <w:w w:val="100"/>
          <w:sz w:val="21"/>
        </w:rPr>
        <w:t>的神</w:t>
      </w:r>
      <w:r>
        <w:rPr>
          <w:spacing w:val="-3"/>
          <w:w w:val="100"/>
          <w:sz w:val="21"/>
        </w:rPr>
        <w:t>经</w:t>
      </w:r>
      <w:r>
        <w:rPr>
          <w:w w:val="100"/>
          <w:sz w:val="21"/>
        </w:rPr>
        <w:t>系</w:t>
      </w:r>
      <w:r>
        <w:rPr>
          <w:spacing w:val="-3"/>
          <w:w w:val="100"/>
          <w:sz w:val="21"/>
        </w:rPr>
        <w:t>统</w:t>
      </w:r>
      <w:r>
        <w:rPr>
          <w:w w:val="100"/>
          <w:sz w:val="21"/>
        </w:rPr>
        <w:t>功</w:t>
      </w:r>
      <w:r>
        <w:rPr>
          <w:spacing w:val="-3"/>
          <w:w w:val="100"/>
          <w:sz w:val="21"/>
        </w:rPr>
        <w:t>能</w:t>
      </w:r>
      <w:r>
        <w:rPr>
          <w:w w:val="100"/>
          <w:sz w:val="21"/>
        </w:rPr>
        <w:t>缺</w:t>
      </w:r>
      <w:r>
        <w:rPr>
          <w:spacing w:val="-3"/>
          <w:w w:val="100"/>
          <w:sz w:val="21"/>
        </w:rPr>
        <w:t>失</w:t>
      </w:r>
      <w:r>
        <w:rPr>
          <w:w w:val="100"/>
          <w:sz w:val="21"/>
        </w:rPr>
        <w:t>并</w:t>
      </w:r>
      <w:r>
        <w:rPr>
          <w:spacing w:val="-3"/>
          <w:w w:val="100"/>
          <w:sz w:val="21"/>
        </w:rPr>
        <w:t>满</w:t>
      </w:r>
      <w:r>
        <w:rPr>
          <w:w w:val="100"/>
          <w:sz w:val="21"/>
        </w:rPr>
        <w:t>足下</w:t>
      </w:r>
      <w:r>
        <w:rPr>
          <w:spacing w:val="-3"/>
          <w:w w:val="100"/>
          <w:sz w:val="21"/>
        </w:rPr>
        <w:t>列</w:t>
      </w:r>
      <w:r>
        <w:rPr>
          <w:w w:val="100"/>
          <w:sz w:val="21"/>
        </w:rPr>
        <w:t>任</w:t>
      </w:r>
      <w:r>
        <w:rPr>
          <w:spacing w:val="-3"/>
          <w:w w:val="100"/>
          <w:sz w:val="21"/>
        </w:rPr>
        <w:t>一</w:t>
      </w:r>
      <w:r>
        <w:rPr>
          <w:w w:val="100"/>
          <w:sz w:val="21"/>
        </w:rPr>
        <w:t>条</w:t>
      </w:r>
      <w:r>
        <w:rPr>
          <w:spacing w:val="-3"/>
          <w:w w:val="100"/>
          <w:sz w:val="21"/>
        </w:rPr>
        <w:t>件</w:t>
      </w:r>
      <w:r>
        <w:rPr>
          <w:w w:val="100"/>
          <w:sz w:val="21"/>
        </w:rPr>
        <w:t>：</w:t>
      </w:r>
    </w:p>
    <w:p>
      <w:pPr>
        <w:pStyle w:val="ListParagraph"/>
        <w:numPr>
          <w:ilvl w:val="0"/>
          <w:numId w:val="90"/>
        </w:numPr>
        <w:tabs>
          <w:tab w:pos="3230" w:val="left" w:leader="none"/>
        </w:tabs>
        <w:spacing w:line="240" w:lineRule="auto" w:before="39" w:after="0"/>
        <w:ind w:left="3229" w:right="0" w:hanging="531"/>
        <w:jc w:val="left"/>
        <w:rPr>
          <w:sz w:val="21"/>
        </w:rPr>
      </w:pPr>
      <w:r>
        <w:rPr>
          <w:spacing w:val="-3"/>
          <w:sz w:val="21"/>
        </w:rPr>
        <w:t>延髓麻痹呈现显著舌肌萎缩、构音困难和吞咽困难；</w:t>
      </w:r>
    </w:p>
    <w:p>
      <w:pPr>
        <w:pStyle w:val="ListParagraph"/>
        <w:numPr>
          <w:ilvl w:val="0"/>
          <w:numId w:val="90"/>
        </w:numPr>
        <w:tabs>
          <w:tab w:pos="3230" w:val="left" w:leader="none"/>
        </w:tabs>
        <w:spacing w:line="240" w:lineRule="auto" w:before="43" w:after="0"/>
        <w:ind w:left="3229" w:right="0" w:hanging="531"/>
        <w:jc w:val="left"/>
        <w:rPr>
          <w:sz w:val="21"/>
        </w:rPr>
      </w:pPr>
      <w:r>
        <w:rPr>
          <w:spacing w:val="-15"/>
          <w:sz w:val="21"/>
        </w:rPr>
        <w:t>双手萎缩呈“爪形手”，肌力 </w:t>
      </w:r>
      <w:r>
        <w:rPr>
          <w:spacing w:val="-2"/>
          <w:sz w:val="21"/>
        </w:rPr>
        <w:t>2</w:t>
      </w:r>
      <w:r>
        <w:rPr>
          <w:spacing w:val="-13"/>
          <w:sz w:val="21"/>
        </w:rPr>
        <w:t> 级或以下。</w:t>
      </w:r>
    </w:p>
    <w:p>
      <w:pPr>
        <w:spacing w:after="0" w:line="240" w:lineRule="auto"/>
        <w:jc w:val="left"/>
        <w:rPr>
          <w:sz w:val="21"/>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28" w:after="0"/>
        <w:ind w:left="1072" w:right="0" w:firstLine="0"/>
        <w:jc w:val="left"/>
        <w:rPr>
          <w:rFonts w:ascii="微软雅黑" w:eastAsia="微软雅黑"/>
          <w:b/>
          <w:sz w:val="21"/>
        </w:rPr>
      </w:pPr>
      <w:r>
        <w:rPr>
          <w:rFonts w:ascii="微软雅黑" w:eastAsia="微软雅黑"/>
          <w:b/>
          <w:spacing w:val="-2"/>
          <w:sz w:val="21"/>
        </w:rPr>
        <w:t>脊髓血管病</w:t>
      </w:r>
      <w:r>
        <w:rPr>
          <w:rFonts w:ascii="微软雅黑" w:eastAsia="微软雅黑"/>
          <w:b/>
          <w:spacing w:val="-4"/>
          <w:sz w:val="21"/>
        </w:rPr>
        <w:t>后遗症</w:t>
      </w:r>
    </w:p>
    <w:p>
      <w:pPr>
        <w:pStyle w:val="BodyText"/>
        <w:spacing w:line="278" w:lineRule="auto"/>
        <w:ind w:left="174" w:right="353"/>
        <w:jc w:val="both"/>
      </w:pPr>
      <w:r>
        <w:rPr/>
        <w:br w:type="column"/>
      </w:r>
      <w:r>
        <w:rPr>
          <w:spacing w:val="-2"/>
        </w:rPr>
        <w:t>指脊髓血管的突发病变引起脊髓梗塞或脊髓出血，导致永久性不可逆的神经系统</w:t>
      </w:r>
      <w:r>
        <w:rPr>
          <w:spacing w:val="-3"/>
        </w:rPr>
        <w:t>功能损害，表现为截瘫或四肢瘫。神经系统永久性的功能障碍指疾病确诊 </w:t>
      </w:r>
      <w:r>
        <w:rPr>
          <w:spacing w:val="-2"/>
        </w:rPr>
        <w:t>180</w:t>
      </w:r>
      <w:r>
        <w:rPr>
          <w:spacing w:val="-8"/>
        </w:rPr>
        <w:t> 天</w:t>
      </w:r>
      <w:r>
        <w:rPr>
          <w:spacing w:val="-2"/>
        </w:rPr>
        <w:t>后，仍然遗留后遗症并且无法独立完成下列基本日常生活活动之一：</w:t>
      </w:r>
    </w:p>
    <w:p>
      <w:pPr>
        <w:pStyle w:val="ListParagraph"/>
        <w:numPr>
          <w:ilvl w:val="0"/>
          <w:numId w:val="91"/>
        </w:numPr>
        <w:tabs>
          <w:tab w:pos="705" w:val="left" w:leader="none"/>
        </w:tabs>
        <w:spacing w:line="240" w:lineRule="auto" w:before="0" w:after="0"/>
        <w:ind w:left="704" w:right="0" w:hanging="531"/>
        <w:jc w:val="left"/>
        <w:rPr>
          <w:sz w:val="21"/>
        </w:rPr>
      </w:pPr>
      <w:r>
        <w:rPr>
          <w:spacing w:val="-3"/>
          <w:sz w:val="21"/>
        </w:rPr>
        <w:t>移动：自己从一个房间到另一个房间；</w:t>
      </w:r>
    </w:p>
    <w:p>
      <w:pPr>
        <w:pStyle w:val="ListParagraph"/>
        <w:numPr>
          <w:ilvl w:val="0"/>
          <w:numId w:val="91"/>
        </w:numPr>
        <w:tabs>
          <w:tab w:pos="705" w:val="left" w:leader="none"/>
        </w:tabs>
        <w:spacing w:line="240" w:lineRule="auto" w:before="42" w:after="0"/>
        <w:ind w:left="704" w:right="0" w:hanging="531"/>
        <w:jc w:val="left"/>
        <w:rPr>
          <w:sz w:val="21"/>
        </w:rPr>
      </w:pPr>
      <w:r>
        <w:rPr>
          <w:spacing w:val="-3"/>
          <w:sz w:val="21"/>
        </w:rPr>
        <w:t>进食：自己从已准备好的碗或碟中取食物放入口中。</w:t>
      </w:r>
    </w:p>
    <w:p>
      <w:pPr>
        <w:spacing w:after="0" w:line="240" w:lineRule="auto"/>
        <w:jc w:val="left"/>
        <w:rPr>
          <w:sz w:val="21"/>
        </w:rPr>
        <w:sectPr>
          <w:pgSz w:w="11910" w:h="16840"/>
          <w:pgMar w:header="0" w:footer="458" w:top="1260" w:bottom="640" w:left="800" w:right="660"/>
          <w:cols w:num="2" w:equalWidth="0">
            <w:col w:w="2486" w:space="40"/>
            <w:col w:w="7924"/>
          </w:cols>
        </w:sectPr>
      </w:pPr>
    </w:p>
    <w:p>
      <w:pPr>
        <w:pStyle w:val="BodyText"/>
        <w:spacing w:before="2"/>
        <w:rPr>
          <w:sz w:val="22"/>
        </w:rPr>
      </w:pPr>
    </w:p>
    <w:p>
      <w:pPr>
        <w:pStyle w:val="ListParagraph"/>
        <w:numPr>
          <w:ilvl w:val="0"/>
          <w:numId w:val="50"/>
        </w:numPr>
        <w:tabs>
          <w:tab w:pos="1391" w:val="left" w:leader="none"/>
          <w:tab w:pos="2699" w:val="left" w:leader="none"/>
        </w:tabs>
        <w:spacing w:line="235" w:lineRule="auto" w:before="10" w:after="0"/>
        <w:ind w:left="2699" w:right="359" w:hanging="1628"/>
        <w:jc w:val="left"/>
        <w:rPr>
          <w:sz w:val="21"/>
        </w:rPr>
      </w:pPr>
      <w:r>
        <w:rPr>
          <w:rFonts w:ascii="微软雅黑" w:eastAsia="微软雅黑"/>
          <w:b/>
          <w:spacing w:val="-4"/>
          <w:sz w:val="21"/>
        </w:rPr>
        <w:t>开</w:t>
      </w:r>
      <w:r>
        <w:rPr>
          <w:rFonts w:ascii="微软雅黑" w:eastAsia="微软雅黑"/>
          <w:b/>
          <w:spacing w:val="-4"/>
          <w:sz w:val="21"/>
        </w:rPr>
        <w:t>颅</w:t>
      </w:r>
      <w:r>
        <w:rPr>
          <w:rFonts w:ascii="微软雅黑" w:eastAsia="微软雅黑"/>
          <w:b/>
          <w:spacing w:val="-4"/>
          <w:sz w:val="21"/>
        </w:rPr>
        <w:t>手</w:t>
      </w:r>
      <w:r>
        <w:rPr>
          <w:rFonts w:ascii="微软雅黑" w:eastAsia="微软雅黑"/>
          <w:b/>
          <w:spacing w:val="-4"/>
          <w:sz w:val="21"/>
        </w:rPr>
        <w:t>术</w:t>
      </w:r>
      <w:r>
        <w:rPr>
          <w:rFonts w:ascii="微软雅黑" w:eastAsia="微软雅黑"/>
          <w:b/>
          <w:sz w:val="21"/>
        </w:rPr>
        <w:tab/>
      </w:r>
      <w:r>
        <w:rPr>
          <w:spacing w:val="-2"/>
          <w:sz w:val="21"/>
        </w:rPr>
        <w:t>指</w:t>
      </w:r>
      <w:r>
        <w:rPr>
          <w:spacing w:val="-2"/>
          <w:sz w:val="21"/>
        </w:rPr>
        <w:t>因</w:t>
      </w:r>
      <w:r>
        <w:rPr>
          <w:spacing w:val="-2"/>
          <w:sz w:val="21"/>
        </w:rPr>
        <w:t>外</w:t>
      </w:r>
      <w:r>
        <w:rPr>
          <w:spacing w:val="-2"/>
          <w:sz w:val="21"/>
        </w:rPr>
        <w:t>伤</w:t>
      </w:r>
      <w:r>
        <w:rPr>
          <w:spacing w:val="-2"/>
          <w:sz w:val="21"/>
        </w:rPr>
        <w:t>、</w:t>
      </w:r>
      <w:r>
        <w:rPr>
          <w:spacing w:val="-2"/>
          <w:sz w:val="21"/>
        </w:rPr>
        <w:t>颅</w:t>
      </w:r>
      <w:r>
        <w:rPr>
          <w:spacing w:val="-2"/>
          <w:sz w:val="21"/>
        </w:rPr>
        <w:t>内</w:t>
      </w:r>
      <w:r>
        <w:rPr>
          <w:spacing w:val="-2"/>
          <w:sz w:val="21"/>
        </w:rPr>
        <w:t>肿</w:t>
      </w:r>
      <w:r>
        <w:rPr>
          <w:spacing w:val="-2"/>
          <w:sz w:val="21"/>
        </w:rPr>
        <w:t>瘤</w:t>
      </w:r>
      <w:r>
        <w:rPr>
          <w:spacing w:val="-2"/>
          <w:sz w:val="21"/>
        </w:rPr>
        <w:t>或</w:t>
      </w:r>
      <w:r>
        <w:rPr>
          <w:spacing w:val="-2"/>
          <w:sz w:val="21"/>
        </w:rPr>
        <w:t>脑</w:t>
      </w:r>
      <w:r>
        <w:rPr>
          <w:spacing w:val="-2"/>
          <w:sz w:val="21"/>
        </w:rPr>
        <w:t>动</w:t>
      </w:r>
      <w:r>
        <w:rPr>
          <w:spacing w:val="-2"/>
          <w:sz w:val="21"/>
        </w:rPr>
        <w:t>脉</w:t>
      </w:r>
      <w:r>
        <w:rPr>
          <w:spacing w:val="-2"/>
          <w:sz w:val="21"/>
        </w:rPr>
        <w:t>瘤</w:t>
      </w:r>
      <w:r>
        <w:rPr>
          <w:spacing w:val="-2"/>
          <w:sz w:val="21"/>
        </w:rPr>
        <w:t>破</w:t>
      </w:r>
      <w:r>
        <w:rPr>
          <w:spacing w:val="-2"/>
          <w:sz w:val="21"/>
        </w:rPr>
        <w:t>裂</w:t>
      </w:r>
      <w:r>
        <w:rPr>
          <w:spacing w:val="-2"/>
          <w:sz w:val="21"/>
        </w:rPr>
        <w:t>，</w:t>
      </w:r>
      <w:r>
        <w:rPr>
          <w:spacing w:val="-2"/>
          <w:sz w:val="21"/>
        </w:rPr>
        <w:t>被</w:t>
      </w:r>
      <w:r>
        <w:rPr>
          <w:spacing w:val="-2"/>
          <w:sz w:val="21"/>
        </w:rPr>
        <w:t>保</w:t>
      </w:r>
      <w:r>
        <w:rPr>
          <w:spacing w:val="-2"/>
          <w:sz w:val="21"/>
        </w:rPr>
        <w:t>险</w:t>
      </w:r>
      <w:r>
        <w:rPr>
          <w:spacing w:val="-2"/>
          <w:sz w:val="21"/>
        </w:rPr>
        <w:t>人</w:t>
      </w:r>
      <w:r>
        <w:rPr>
          <w:spacing w:val="-2"/>
          <w:sz w:val="21"/>
        </w:rPr>
        <w:t>实</w:t>
      </w:r>
      <w:r>
        <w:rPr>
          <w:spacing w:val="-2"/>
          <w:sz w:val="21"/>
        </w:rPr>
        <w:t>际</w:t>
      </w:r>
      <w:r>
        <w:rPr>
          <w:spacing w:val="-2"/>
          <w:sz w:val="21"/>
        </w:rPr>
        <w:t>接</w:t>
      </w:r>
      <w:r>
        <w:rPr>
          <w:spacing w:val="-2"/>
          <w:sz w:val="21"/>
        </w:rPr>
        <w:t>受</w:t>
      </w:r>
      <w:r>
        <w:rPr>
          <w:spacing w:val="-2"/>
          <w:sz w:val="21"/>
        </w:rPr>
        <w:t>了</w:t>
      </w:r>
      <w:r>
        <w:rPr>
          <w:spacing w:val="-2"/>
          <w:sz w:val="21"/>
        </w:rPr>
        <w:t>在</w:t>
      </w:r>
      <w:r>
        <w:rPr>
          <w:spacing w:val="-2"/>
          <w:sz w:val="21"/>
        </w:rPr>
        <w:t>全</w:t>
      </w:r>
      <w:r>
        <w:rPr>
          <w:spacing w:val="-2"/>
          <w:sz w:val="21"/>
        </w:rPr>
        <w:t>麻</w:t>
      </w:r>
      <w:r>
        <w:rPr>
          <w:spacing w:val="-2"/>
          <w:sz w:val="21"/>
        </w:rPr>
        <w:t>下</w:t>
      </w:r>
      <w:r>
        <w:rPr>
          <w:spacing w:val="-2"/>
          <w:sz w:val="21"/>
        </w:rPr>
        <w:t>进</w:t>
      </w:r>
      <w:r>
        <w:rPr>
          <w:spacing w:val="-2"/>
          <w:sz w:val="21"/>
        </w:rPr>
        <w:t>行</w:t>
      </w:r>
      <w:r>
        <w:rPr>
          <w:spacing w:val="-2"/>
          <w:sz w:val="21"/>
        </w:rPr>
        <w:t>的颅</w:t>
      </w:r>
      <w:r>
        <w:rPr>
          <w:spacing w:val="-2"/>
          <w:sz w:val="21"/>
        </w:rPr>
        <w:t>骨</w:t>
      </w:r>
      <w:r>
        <w:rPr>
          <w:spacing w:val="-2"/>
          <w:sz w:val="21"/>
        </w:rPr>
        <w:t>切</w:t>
      </w:r>
      <w:r>
        <w:rPr>
          <w:spacing w:val="-2"/>
          <w:sz w:val="21"/>
        </w:rPr>
        <w:t>开</w:t>
      </w:r>
      <w:r>
        <w:rPr>
          <w:spacing w:val="-2"/>
          <w:sz w:val="21"/>
        </w:rPr>
        <w:t>手术，以清除脑内血</w:t>
      </w:r>
      <w:r>
        <w:rPr>
          <w:spacing w:val="-2"/>
          <w:sz w:val="21"/>
        </w:rPr>
        <w:t>肿</w:t>
      </w:r>
      <w:r>
        <w:rPr>
          <w:spacing w:val="-2"/>
          <w:sz w:val="21"/>
        </w:rPr>
        <w:t>、</w:t>
      </w:r>
      <w:r>
        <w:rPr>
          <w:spacing w:val="-2"/>
          <w:sz w:val="21"/>
        </w:rPr>
        <w:t>切除肿瘤或夹闭破裂</w:t>
      </w:r>
      <w:r>
        <w:rPr>
          <w:spacing w:val="-2"/>
          <w:sz w:val="21"/>
        </w:rPr>
        <w:t>动</w:t>
      </w:r>
      <w:r>
        <w:rPr>
          <w:spacing w:val="-2"/>
          <w:sz w:val="21"/>
        </w:rPr>
        <w:t>脉</w:t>
      </w:r>
      <w:r>
        <w:rPr>
          <w:spacing w:val="-2"/>
          <w:sz w:val="21"/>
        </w:rPr>
        <w:t>瘤的手术治</w:t>
      </w:r>
      <w:r>
        <w:rPr>
          <w:spacing w:val="-2"/>
          <w:sz w:val="21"/>
        </w:rPr>
        <w:t>疗</w:t>
      </w:r>
      <w:r>
        <w:rPr>
          <w:spacing w:val="-2"/>
          <w:sz w:val="21"/>
        </w:rPr>
        <w:t>。</w:t>
      </w:r>
    </w:p>
    <w:p>
      <w:pPr>
        <w:spacing w:line="194" w:lineRule="auto" w:before="28"/>
        <w:ind w:left="2699" w:right="255" w:firstLine="0"/>
        <w:jc w:val="left"/>
        <w:rPr>
          <w:rFonts w:ascii="微软雅黑" w:eastAsia="微软雅黑"/>
          <w:b/>
          <w:sz w:val="21"/>
        </w:rPr>
      </w:pPr>
      <w:r>
        <w:rPr>
          <w:rFonts w:ascii="微软雅黑" w:eastAsia="微软雅黑"/>
          <w:b/>
          <w:spacing w:val="-9"/>
          <w:w w:val="100"/>
          <w:sz w:val="21"/>
        </w:rPr>
        <w:t>颅骨打孔手术、硬膜下血肿清除术、未破裂动脉瘤预防性手术、动脉瘤栓塞手术、</w:t>
      </w:r>
      <w:r>
        <w:rPr>
          <w:rFonts w:ascii="微软雅黑" w:eastAsia="微软雅黑"/>
          <w:b/>
          <w:spacing w:val="-3"/>
          <w:w w:val="100"/>
          <w:sz w:val="21"/>
        </w:rPr>
        <w:t>血管内手术、颅骨切开或切除减压术、脑积水脑脊液分流手术、经蝶骨肿瘤切除术及其他原因的开颅手术不在本保障范围内。</w:t>
      </w:r>
    </w:p>
    <w:p>
      <w:pPr>
        <w:pStyle w:val="BodyText"/>
        <w:spacing w:before="11"/>
        <w:rPr>
          <w:rFonts w:ascii="微软雅黑"/>
          <w:b/>
          <w:sz w:val="13"/>
        </w:rPr>
      </w:pPr>
    </w:p>
    <w:p>
      <w:pPr>
        <w:spacing w:after="0"/>
        <w:rPr>
          <w:rFonts w:ascii="微软雅黑"/>
          <w:sz w:val="13"/>
        </w:rPr>
        <w:sectPr>
          <w:type w:val="continuous"/>
          <w:pgSz w:w="11910" w:h="16840"/>
          <w:pgMar w:header="0" w:footer="458" w:top="620" w:bottom="280" w:left="800" w:right="660"/>
        </w:sectPr>
      </w:pPr>
    </w:p>
    <w:p>
      <w:pPr>
        <w:pStyle w:val="ListParagraph"/>
        <w:numPr>
          <w:ilvl w:val="0"/>
          <w:numId w:val="50"/>
        </w:numPr>
        <w:tabs>
          <w:tab w:pos="1399" w:val="left" w:leader="none"/>
        </w:tabs>
        <w:spacing w:line="194" w:lineRule="auto" w:before="57" w:after="0"/>
        <w:ind w:left="1072" w:right="0" w:firstLine="0"/>
        <w:jc w:val="both"/>
        <w:rPr>
          <w:rFonts w:ascii="微软雅黑" w:eastAsia="微软雅黑"/>
          <w:b/>
          <w:sz w:val="21"/>
        </w:rPr>
      </w:pPr>
      <w:r>
        <w:rPr>
          <w:rFonts w:ascii="微软雅黑" w:eastAsia="微软雅黑"/>
          <w:b/>
          <w:spacing w:val="-2"/>
          <w:sz w:val="21"/>
        </w:rPr>
        <w:t>系统性红斑</w:t>
      </w:r>
      <w:r>
        <w:rPr>
          <w:rFonts w:ascii="微软雅黑" w:eastAsia="微软雅黑"/>
          <w:b/>
          <w:spacing w:val="20"/>
          <w:sz w:val="21"/>
        </w:rPr>
        <w:t>狼疮性肾炎尿</w:t>
      </w:r>
      <w:r>
        <w:rPr>
          <w:rFonts w:ascii="微软雅黑" w:eastAsia="微软雅黑"/>
          <w:b/>
          <w:spacing w:val="-6"/>
          <w:sz w:val="21"/>
        </w:rPr>
        <w:t>毒症</w:t>
      </w:r>
    </w:p>
    <w:p>
      <w:pPr>
        <w:pStyle w:val="BodyText"/>
        <w:spacing w:line="278" w:lineRule="auto" w:before="71"/>
        <w:ind w:left="174" w:right="359"/>
      </w:pPr>
      <w:r>
        <w:rPr/>
        <w:br w:type="column"/>
      </w:r>
      <w:r>
        <w:rPr>
          <w:spacing w:val="-2"/>
        </w:rPr>
        <w:t>系统性红斑狼疮是由多种因素引起，累及多系统的自身免疫性疾病。其特点是生</w:t>
      </w:r>
      <w:r>
        <w:rPr>
          <w:spacing w:val="-2"/>
        </w:rPr>
        <w:t>成自身抗体对抗多种自身抗原。多见于育龄妇女。</w:t>
      </w:r>
    </w:p>
    <w:p>
      <w:pPr>
        <w:pStyle w:val="BodyText"/>
        <w:spacing w:line="278" w:lineRule="auto" w:before="1"/>
        <w:ind w:left="174" w:right="357"/>
        <w:jc w:val="both"/>
      </w:pPr>
      <w:r>
        <w:rPr/>
        <w:t>本合同所指的系统性红斑狼疮仅限于累及肾脏（经肾脏活检确认的，符合 </w:t>
      </w:r>
      <w:r>
        <w:rPr>
          <w:rFonts w:ascii="Times New Roman" w:hAnsi="Times New Roman" w:eastAsia="Times New Roman"/>
        </w:rPr>
        <w:t>WHO</w:t>
      </w:r>
      <w:r>
        <w:rPr>
          <w:spacing w:val="-2"/>
        </w:rPr>
        <w:t>诊断标准定义Ⅲ型或Ⅲ型以上狼疮性肾炎）的系统性红斑狼疮，并且临床出现肾</w:t>
      </w:r>
      <w:r>
        <w:rPr>
          <w:spacing w:val="-2"/>
        </w:rPr>
        <w:t>功能衰竭达到尿毒症期。</w:t>
      </w:r>
    </w:p>
    <w:p>
      <w:pPr>
        <w:spacing w:line="282" w:lineRule="exact" w:before="0"/>
        <w:ind w:left="174" w:right="0" w:firstLine="0"/>
        <w:jc w:val="left"/>
        <w:rPr>
          <w:rFonts w:ascii="微软雅黑" w:eastAsia="微软雅黑"/>
          <w:b/>
          <w:sz w:val="21"/>
        </w:rPr>
      </w:pPr>
      <w:r>
        <w:rPr>
          <w:rFonts w:ascii="微软雅黑" w:eastAsia="微软雅黑"/>
          <w:b/>
          <w:spacing w:val="-3"/>
          <w:sz w:val="21"/>
        </w:rPr>
        <w:t>其他类型的红斑性狼疮，如盘状狼疮、仅累及血液及关节的狼疮不在本保障范围</w:t>
      </w:r>
    </w:p>
    <w:p>
      <w:pPr>
        <w:spacing w:line="350" w:lineRule="exact" w:before="0"/>
        <w:ind w:left="174" w:right="0" w:firstLine="0"/>
        <w:jc w:val="left"/>
        <w:rPr>
          <w:rFonts w:ascii="微软雅黑" w:eastAsia="微软雅黑"/>
          <w:b/>
          <w:sz w:val="21"/>
        </w:rPr>
      </w:pPr>
      <w:r>
        <w:rPr>
          <w:rFonts w:ascii="微软雅黑" w:eastAsia="微软雅黑"/>
          <w:b/>
          <w:spacing w:val="-5"/>
          <w:sz w:val="21"/>
        </w:rPr>
        <w:t>內。</w:t>
      </w:r>
    </w:p>
    <w:p>
      <w:pPr>
        <w:spacing w:after="0" w:line="350"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spacing w:line="194" w:lineRule="auto" w:before="57"/>
        <w:ind w:left="1072" w:right="0" w:firstLine="0"/>
        <w:jc w:val="left"/>
        <w:rPr>
          <w:rFonts w:ascii="微软雅黑" w:eastAsia="微软雅黑"/>
          <w:b/>
          <w:sz w:val="21"/>
        </w:rPr>
      </w:pPr>
      <w:r>
        <w:rPr>
          <w:rFonts w:ascii="微软雅黑" w:eastAsia="微软雅黑"/>
          <w:b/>
          <w:sz w:val="21"/>
        </w:rPr>
        <w:t>77.1</w:t>
      </w:r>
      <w:r>
        <w:rPr>
          <w:rFonts w:ascii="微软雅黑" w:eastAsia="微软雅黑"/>
          <w:b/>
          <w:spacing w:val="4"/>
          <w:sz w:val="21"/>
        </w:rPr>
        <w:t> 型糖尿病</w:t>
      </w:r>
      <w:r>
        <w:rPr>
          <w:rFonts w:ascii="微软雅黑" w:eastAsia="微软雅黑"/>
          <w:b/>
          <w:spacing w:val="-2"/>
          <w:sz w:val="21"/>
        </w:rPr>
        <w:t>严重并发症</w:t>
      </w:r>
    </w:p>
    <w:p>
      <w:pPr>
        <w:pStyle w:val="BodyText"/>
        <w:spacing w:line="278" w:lineRule="auto" w:before="72"/>
        <w:ind w:left="174" w:right="355"/>
        <w:jc w:val="both"/>
      </w:pPr>
      <w:r>
        <w:rPr/>
        <w:br w:type="column"/>
      </w:r>
      <w:r>
        <w:rPr/>
        <w:t>1 型糖尿病的特征为由于胰岛素分泌绝对不足引起严重胰岛素缺乏导致慢性血糖</w:t>
      </w:r>
      <w:r>
        <w:rPr/>
        <w:t>升高，需要依赖外源性胰岛素进行机体的葡萄糖代谢和维持生命。被保险人的 1</w:t>
      </w:r>
      <w:r>
        <w:rPr>
          <w:spacing w:val="-2"/>
        </w:rPr>
        <w:t>型糖尿病必须明确诊断，而且有血胰岛素测定及血 </w:t>
      </w:r>
      <w:r>
        <w:rPr>
          <w:rFonts w:ascii="Times New Roman" w:eastAsia="Times New Roman"/>
        </w:rPr>
        <w:t>C</w:t>
      </w:r>
      <w:r>
        <w:rPr>
          <w:rFonts w:ascii="Times New Roman" w:eastAsia="Times New Roman"/>
          <w:spacing w:val="-13"/>
        </w:rPr>
        <w:t> </w:t>
      </w:r>
      <w:r>
        <w:rPr>
          <w:spacing w:val="5"/>
        </w:rPr>
        <w:t>肽或尿</w:t>
      </w:r>
      <w:r>
        <w:rPr>
          <w:rFonts w:ascii="Times New Roman" w:eastAsia="Times New Roman"/>
        </w:rPr>
        <w:t>C</w:t>
      </w:r>
      <w:r>
        <w:rPr>
          <w:rFonts w:ascii="Times New Roman" w:eastAsia="Times New Roman"/>
          <w:spacing w:val="-13"/>
        </w:rPr>
        <w:t> </w:t>
      </w:r>
      <w:r>
        <w:rPr/>
        <w:t>肽测定结果支持诊</w:t>
      </w:r>
      <w:r>
        <w:rPr>
          <w:spacing w:val="-2"/>
        </w:rPr>
        <w:t>断，并且满足下列所有条件：</w:t>
      </w:r>
    </w:p>
    <w:p>
      <w:pPr>
        <w:pStyle w:val="ListParagraph"/>
        <w:numPr>
          <w:ilvl w:val="0"/>
          <w:numId w:val="92"/>
        </w:numPr>
        <w:tabs>
          <w:tab w:pos="704" w:val="left" w:leader="none"/>
        </w:tabs>
        <w:spacing w:line="269" w:lineRule="exact" w:before="0" w:after="0"/>
        <w:ind w:left="703" w:right="0" w:hanging="530"/>
        <w:jc w:val="left"/>
        <w:rPr>
          <w:sz w:val="21"/>
        </w:rPr>
      </w:pPr>
      <w:r>
        <w:rPr>
          <w:spacing w:val="-5"/>
          <w:sz w:val="21"/>
        </w:rPr>
        <w:t>已经持续性地接受外源性胰岛素注射治疗连续 </w:t>
      </w:r>
      <w:r>
        <w:rPr>
          <w:spacing w:val="-2"/>
          <w:sz w:val="21"/>
        </w:rPr>
        <w:t>180</w:t>
      </w:r>
      <w:r>
        <w:rPr>
          <w:spacing w:val="-13"/>
          <w:sz w:val="21"/>
        </w:rPr>
        <w:t> 天以上；</w:t>
      </w:r>
    </w:p>
    <w:p>
      <w:pPr>
        <w:pStyle w:val="ListParagraph"/>
        <w:numPr>
          <w:ilvl w:val="0"/>
          <w:numId w:val="92"/>
        </w:numPr>
        <w:tabs>
          <w:tab w:pos="704" w:val="left" w:leader="none"/>
        </w:tabs>
        <w:spacing w:line="240" w:lineRule="auto" w:before="43" w:after="0"/>
        <w:ind w:left="703" w:right="0" w:hanging="530"/>
        <w:jc w:val="left"/>
        <w:rPr>
          <w:sz w:val="21"/>
        </w:rPr>
      </w:pPr>
      <w:r>
        <w:rPr>
          <w:spacing w:val="-3"/>
          <w:sz w:val="21"/>
        </w:rPr>
        <w:t>因需要已经接受了下列治疗之一：</w:t>
      </w:r>
    </w:p>
    <w:p>
      <w:pPr>
        <w:pStyle w:val="BodyText"/>
        <w:ind w:left="594"/>
      </w:pPr>
      <w:r>
        <w:rPr>
          <w:spacing w:val="-6"/>
        </w:rPr>
        <w:t>① 因严重心律失常植入了心脏起搏器；</w:t>
      </w:r>
    </w:p>
    <w:p>
      <w:pPr>
        <w:pStyle w:val="BodyText"/>
        <w:ind w:left="594"/>
      </w:pPr>
      <w:r>
        <w:rPr>
          <w:spacing w:val="-3"/>
        </w:rPr>
        <w:t>② 因坏疽自跖趾关节或以上切除了一趾或多趾。</w:t>
      </w:r>
    </w:p>
    <w:p>
      <w:pPr>
        <w:spacing w:after="0"/>
        <w:sectPr>
          <w:type w:val="continuous"/>
          <w:pgSz w:w="11910" w:h="16840"/>
          <w:pgMar w:header="0" w:footer="458" w:top="620" w:bottom="280" w:left="800" w:right="660"/>
          <w:cols w:num="2" w:equalWidth="0">
            <w:col w:w="2486" w:space="40"/>
            <w:col w:w="7924"/>
          </w:cols>
        </w:sectPr>
      </w:pPr>
    </w:p>
    <w:p>
      <w:pPr>
        <w:pStyle w:val="BodyText"/>
        <w:spacing w:before="1"/>
        <w:rPr>
          <w:sz w:val="22"/>
        </w:rPr>
      </w:pPr>
    </w:p>
    <w:p>
      <w:pPr>
        <w:spacing w:after="0"/>
        <w:rPr>
          <w:sz w:val="22"/>
        </w:rPr>
        <w:sectPr>
          <w:type w:val="continuous"/>
          <w:pgSz w:w="11910" w:h="16840"/>
          <w:pgMar w:header="0" w:footer="458" w:top="620" w:bottom="280" w:left="800" w:right="660"/>
        </w:sectPr>
      </w:pPr>
    </w:p>
    <w:p>
      <w:pPr>
        <w:pStyle w:val="ListParagraph"/>
        <w:numPr>
          <w:ilvl w:val="0"/>
          <w:numId w:val="93"/>
        </w:numPr>
        <w:tabs>
          <w:tab w:pos="1399" w:val="left" w:leader="none"/>
        </w:tabs>
        <w:spacing w:line="194" w:lineRule="auto" w:before="57" w:after="0"/>
        <w:ind w:left="1072" w:right="0" w:firstLine="0"/>
        <w:jc w:val="left"/>
        <w:rPr>
          <w:rFonts w:ascii="微软雅黑" w:eastAsia="微软雅黑"/>
          <w:b/>
          <w:sz w:val="19"/>
        </w:rPr>
      </w:pPr>
      <w:r>
        <w:rPr>
          <w:rFonts w:ascii="微软雅黑" w:eastAsia="微软雅黑"/>
          <w:b/>
          <w:spacing w:val="-2"/>
          <w:sz w:val="21"/>
        </w:rPr>
        <w:t>席汉氏综合</w:t>
      </w:r>
      <w:r>
        <w:rPr>
          <w:rFonts w:ascii="微软雅黑" w:eastAsia="微软雅黑"/>
          <w:b/>
          <w:spacing w:val="-10"/>
          <w:sz w:val="21"/>
        </w:rPr>
        <w:t>征</w:t>
      </w:r>
    </w:p>
    <w:p>
      <w:pPr>
        <w:pStyle w:val="BodyText"/>
        <w:spacing w:line="278" w:lineRule="auto" w:before="72"/>
        <w:ind w:left="174" w:right="359"/>
        <w:jc w:val="both"/>
      </w:pPr>
      <w:r>
        <w:rPr/>
        <w:br w:type="column"/>
      </w:r>
      <w:r>
        <w:rPr>
          <w:spacing w:val="-2"/>
        </w:rPr>
        <w:t>指因产后大出血并发休克、全身循环衰竭、弥漫性血管内凝血导致脑垂体缺血坏</w:t>
      </w:r>
      <w:r>
        <w:rPr>
          <w:spacing w:val="-2"/>
        </w:rPr>
        <w:t>死和垂体分泌激素不足，造成性腺、甲状腺、肾上腺皮质功能减退。必须满足下</w:t>
      </w:r>
      <w:r>
        <w:rPr>
          <w:spacing w:val="-2"/>
        </w:rPr>
        <w:t>列所有条件：</w:t>
      </w:r>
    </w:p>
    <w:p>
      <w:pPr>
        <w:pStyle w:val="ListParagraph"/>
        <w:numPr>
          <w:ilvl w:val="0"/>
          <w:numId w:val="94"/>
        </w:numPr>
        <w:tabs>
          <w:tab w:pos="704" w:val="left" w:leader="none"/>
        </w:tabs>
        <w:spacing w:line="269" w:lineRule="exact" w:before="0" w:after="0"/>
        <w:ind w:left="703" w:right="0" w:hanging="530"/>
        <w:jc w:val="left"/>
        <w:rPr>
          <w:sz w:val="21"/>
        </w:rPr>
      </w:pPr>
      <w:r>
        <w:rPr>
          <w:spacing w:val="-3"/>
          <w:sz w:val="21"/>
        </w:rPr>
        <w:t>产后大出血休克病史；</w:t>
      </w:r>
    </w:p>
    <w:p>
      <w:pPr>
        <w:pStyle w:val="ListParagraph"/>
        <w:numPr>
          <w:ilvl w:val="0"/>
          <w:numId w:val="94"/>
        </w:numPr>
        <w:tabs>
          <w:tab w:pos="704" w:val="left" w:leader="none"/>
        </w:tabs>
        <w:spacing w:line="240" w:lineRule="auto" w:before="43" w:after="0"/>
        <w:ind w:left="703" w:right="0" w:hanging="530"/>
        <w:jc w:val="left"/>
        <w:rPr>
          <w:sz w:val="21"/>
        </w:rPr>
      </w:pPr>
      <w:r>
        <w:rPr>
          <w:spacing w:val="-3"/>
          <w:sz w:val="21"/>
        </w:rPr>
        <w:t>严重腺垂体功能破坏，破坏程度＞</w:t>
      </w:r>
      <w:r>
        <w:rPr>
          <w:spacing w:val="-4"/>
          <w:sz w:val="21"/>
        </w:rPr>
        <w:t>95%；</w:t>
      </w:r>
    </w:p>
    <w:p>
      <w:pPr>
        <w:pStyle w:val="ListParagraph"/>
        <w:numPr>
          <w:ilvl w:val="0"/>
          <w:numId w:val="94"/>
        </w:numPr>
        <w:tabs>
          <w:tab w:pos="704" w:val="left" w:leader="none"/>
        </w:tabs>
        <w:spacing w:line="240" w:lineRule="auto" w:before="43" w:after="0"/>
        <w:ind w:left="703" w:right="0" w:hanging="530"/>
        <w:jc w:val="left"/>
        <w:rPr>
          <w:sz w:val="21"/>
        </w:rPr>
      </w:pPr>
      <w:r>
        <w:rPr>
          <w:spacing w:val="-3"/>
          <w:sz w:val="21"/>
        </w:rPr>
        <w:t>影像学检查显示脑垂体严重萎缩或消失；</w:t>
      </w:r>
    </w:p>
    <w:p>
      <w:pPr>
        <w:pStyle w:val="ListParagraph"/>
        <w:numPr>
          <w:ilvl w:val="0"/>
          <w:numId w:val="94"/>
        </w:numPr>
        <w:tabs>
          <w:tab w:pos="704" w:val="left" w:leader="none"/>
        </w:tabs>
        <w:spacing w:line="240" w:lineRule="auto" w:before="43" w:after="0"/>
        <w:ind w:left="703" w:right="0" w:hanging="530"/>
        <w:jc w:val="left"/>
        <w:rPr>
          <w:sz w:val="21"/>
        </w:rPr>
      </w:pPr>
      <w:r>
        <w:rPr>
          <w:spacing w:val="-4"/>
          <w:sz w:val="21"/>
        </w:rPr>
        <w:t>实验室检查显示：</w:t>
      </w:r>
    </w:p>
    <w:p>
      <w:pPr>
        <w:pStyle w:val="BodyText"/>
        <w:spacing w:line="278" w:lineRule="auto"/>
        <w:ind w:left="594" w:right="252"/>
      </w:pPr>
      <w:r>
        <w:rPr>
          <w:spacing w:val="-11"/>
        </w:rPr>
        <w:t>① 垂体前叶激素全面低下</w:t>
      </w:r>
      <w:r>
        <w:rPr/>
        <w:t>（</w:t>
      </w:r>
      <w:r>
        <w:rPr>
          <w:spacing w:val="-12"/>
        </w:rPr>
        <w:t>包括生长激素、促甲状腺素、促肾上腺皮质激素、</w:t>
      </w:r>
      <w:r>
        <w:rPr>
          <w:spacing w:val="-2"/>
        </w:rPr>
        <w:t>卵泡刺激素和黄体生成素</w:t>
      </w:r>
      <w:r>
        <w:rPr>
          <w:spacing w:val="-108"/>
        </w:rPr>
        <w:t>）</w:t>
      </w:r>
      <w:r>
        <w:rPr/>
        <w:t>；</w:t>
      </w:r>
    </w:p>
    <w:p>
      <w:pPr>
        <w:pStyle w:val="BodyText"/>
        <w:spacing w:before="0"/>
        <w:ind w:left="594"/>
      </w:pPr>
      <w:r>
        <w:rPr>
          <w:spacing w:val="-3"/>
        </w:rPr>
        <w:t>② 性激素、甲状腺素、肾上腺皮质激素全面低下。</w:t>
      </w:r>
    </w:p>
    <w:p>
      <w:pPr>
        <w:pStyle w:val="ListParagraph"/>
        <w:numPr>
          <w:ilvl w:val="0"/>
          <w:numId w:val="94"/>
        </w:numPr>
        <w:tabs>
          <w:tab w:pos="704" w:val="left" w:leader="none"/>
        </w:tabs>
        <w:spacing w:line="257" w:lineRule="exact" w:before="43" w:after="0"/>
        <w:ind w:left="703" w:right="0" w:hanging="530"/>
        <w:jc w:val="left"/>
        <w:rPr>
          <w:sz w:val="21"/>
        </w:rPr>
      </w:pPr>
      <w:r>
        <w:rPr>
          <w:spacing w:val="-3"/>
          <w:sz w:val="21"/>
        </w:rPr>
        <w:t>需要终身激素替代治疗以维持身体功能，持续服用各种替代激素超过一年。</w:t>
      </w:r>
    </w:p>
    <w:p>
      <w:pPr>
        <w:spacing w:line="375" w:lineRule="exact" w:before="0"/>
        <w:ind w:left="174" w:right="0" w:firstLine="0"/>
        <w:jc w:val="left"/>
        <w:rPr>
          <w:rFonts w:ascii="微软雅黑" w:eastAsia="微软雅黑"/>
          <w:b/>
          <w:sz w:val="21"/>
        </w:rPr>
      </w:pPr>
      <w:r>
        <w:rPr>
          <w:rFonts w:ascii="微软雅黑" w:eastAsia="微软雅黑"/>
          <w:b/>
          <w:spacing w:val="-3"/>
          <w:sz w:val="21"/>
        </w:rPr>
        <w:t>垂体功能部分低下及其他原因所致垂体功能低下不在本保障范围之内。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ListParagraph"/>
        <w:numPr>
          <w:ilvl w:val="0"/>
          <w:numId w:val="93"/>
        </w:numPr>
        <w:tabs>
          <w:tab w:pos="1399" w:val="left" w:leader="none"/>
        </w:tabs>
        <w:spacing w:line="194" w:lineRule="auto" w:before="28" w:after="0"/>
        <w:ind w:left="1072" w:right="0" w:firstLine="0"/>
        <w:jc w:val="left"/>
        <w:rPr>
          <w:rFonts w:ascii="微软雅黑" w:eastAsia="微软雅黑"/>
          <w:b/>
          <w:sz w:val="19"/>
        </w:rPr>
      </w:pPr>
      <w:r>
        <w:rPr>
          <w:rFonts w:ascii="微软雅黑" w:eastAsia="微软雅黑"/>
          <w:b/>
          <w:spacing w:val="-2"/>
          <w:sz w:val="21"/>
        </w:rPr>
        <w:t>严重强直性</w:t>
      </w:r>
      <w:r>
        <w:rPr>
          <w:rFonts w:ascii="微软雅黑" w:eastAsia="微软雅黑"/>
          <w:b/>
          <w:spacing w:val="-4"/>
          <w:sz w:val="21"/>
        </w:rPr>
        <w:t>脊柱炎</w:t>
      </w:r>
    </w:p>
    <w:p>
      <w:pPr>
        <w:pStyle w:val="BodyText"/>
        <w:spacing w:line="278" w:lineRule="auto"/>
        <w:ind w:left="174" w:right="359"/>
      </w:pPr>
      <w:r>
        <w:rPr/>
        <w:br w:type="column"/>
      </w:r>
      <w:r>
        <w:rPr>
          <w:spacing w:val="-2"/>
        </w:rPr>
        <w:t>强直性脊柱炎是一种慢性全身性炎性疾病，主要侵犯脊柱导致脊柱畸形。强直性</w:t>
      </w:r>
      <w:r>
        <w:rPr>
          <w:spacing w:val="-2"/>
        </w:rPr>
        <w:t>脊柱炎必须明确诊断并且满足下列所有条件：</w:t>
      </w:r>
    </w:p>
    <w:p>
      <w:pPr>
        <w:pStyle w:val="ListParagraph"/>
        <w:numPr>
          <w:ilvl w:val="0"/>
          <w:numId w:val="95"/>
        </w:numPr>
        <w:tabs>
          <w:tab w:pos="705" w:val="left" w:leader="none"/>
        </w:tabs>
        <w:spacing w:line="240" w:lineRule="auto" w:before="0" w:after="0"/>
        <w:ind w:left="704" w:right="0" w:hanging="531"/>
        <w:jc w:val="left"/>
        <w:rPr>
          <w:sz w:val="21"/>
        </w:rPr>
      </w:pPr>
      <w:r>
        <w:rPr>
          <w:spacing w:val="-4"/>
          <w:sz w:val="21"/>
        </w:rPr>
        <w:t>严重脊柱畸形；</w:t>
      </w:r>
    </w:p>
    <w:p>
      <w:pPr>
        <w:pStyle w:val="ListParagraph"/>
        <w:numPr>
          <w:ilvl w:val="0"/>
          <w:numId w:val="95"/>
        </w:numPr>
        <w:tabs>
          <w:tab w:pos="705" w:val="left" w:leader="none"/>
        </w:tabs>
        <w:spacing w:line="278" w:lineRule="auto" w:before="43" w:after="0"/>
        <w:ind w:left="174" w:right="353" w:firstLine="0"/>
        <w:jc w:val="left"/>
        <w:rPr>
          <w:sz w:val="21"/>
        </w:rPr>
      </w:pPr>
      <w:r>
        <w:rPr>
          <w:spacing w:val="-6"/>
          <w:w w:val="100"/>
          <w:sz w:val="21"/>
        </w:rPr>
        <w:t>自主生活能力完全丧失，无法独立完成六项基本日常生活活动中的三项或</w:t>
      </w:r>
      <w:r>
        <w:rPr>
          <w:spacing w:val="-5"/>
          <w:w w:val="100"/>
          <w:sz w:val="21"/>
        </w:rPr>
        <w:t>三项以上。</w:t>
      </w:r>
    </w:p>
    <w:p>
      <w:pPr>
        <w:spacing w:after="0" w:line="278" w:lineRule="auto"/>
        <w:jc w:val="left"/>
        <w:rPr>
          <w:sz w:val="21"/>
        </w:rPr>
        <w:sectPr>
          <w:pgSz w:w="11910" w:h="16840"/>
          <w:pgMar w:header="0" w:footer="458" w:top="1260" w:bottom="640" w:left="800" w:right="660"/>
          <w:cols w:num="2" w:equalWidth="0">
            <w:col w:w="2486" w:space="40"/>
            <w:col w:w="792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93"/>
        </w:numPr>
        <w:tabs>
          <w:tab w:pos="1399" w:val="left" w:leader="none"/>
        </w:tabs>
        <w:spacing w:line="194" w:lineRule="auto" w:before="57" w:after="0"/>
        <w:ind w:left="1072" w:right="0" w:firstLine="0"/>
        <w:jc w:val="left"/>
        <w:rPr>
          <w:rFonts w:ascii="微软雅黑" w:eastAsia="微软雅黑"/>
          <w:b/>
          <w:sz w:val="19"/>
        </w:rPr>
      </w:pPr>
      <w:r>
        <w:rPr>
          <w:rFonts w:ascii="微软雅黑" w:eastAsia="微软雅黑"/>
          <w:b/>
          <w:spacing w:val="-2"/>
          <w:sz w:val="21"/>
        </w:rPr>
        <w:t>肾髓质囊性</w:t>
      </w:r>
      <w:r>
        <w:rPr>
          <w:rFonts w:ascii="微软雅黑" w:eastAsia="微软雅黑"/>
          <w:b/>
          <w:spacing w:val="-10"/>
          <w:sz w:val="21"/>
        </w:rPr>
        <w:t>病</w:t>
      </w:r>
    </w:p>
    <w:p>
      <w:pPr>
        <w:pStyle w:val="BodyText"/>
        <w:spacing w:line="278" w:lineRule="auto" w:before="72"/>
        <w:ind w:left="174" w:right="359"/>
      </w:pPr>
      <w:r>
        <w:rPr/>
        <w:br w:type="column"/>
      </w:r>
      <w:r>
        <w:rPr>
          <w:spacing w:val="-2"/>
        </w:rPr>
        <w:t>肾髓质囊性病，一种遗传性肾脏疾病，特点为肾髓质多发大小不等的囊肿并且伴</w:t>
      </w:r>
      <w:r>
        <w:rPr>
          <w:spacing w:val="-2"/>
        </w:rPr>
        <w:t>有小管炎症和间质性肾炎。必须满足下列所有条件：</w:t>
      </w:r>
    </w:p>
    <w:p>
      <w:pPr>
        <w:pStyle w:val="ListParagraph"/>
        <w:numPr>
          <w:ilvl w:val="0"/>
          <w:numId w:val="96"/>
        </w:numPr>
        <w:tabs>
          <w:tab w:pos="705" w:val="left" w:leader="none"/>
        </w:tabs>
        <w:spacing w:line="269" w:lineRule="exact" w:before="0" w:after="0"/>
        <w:ind w:left="704" w:right="0" w:hanging="531"/>
        <w:jc w:val="left"/>
        <w:rPr>
          <w:sz w:val="21"/>
        </w:rPr>
      </w:pPr>
      <w:r>
        <w:rPr>
          <w:spacing w:val="-3"/>
          <w:sz w:val="21"/>
        </w:rPr>
        <w:t>经肾组织活检明确诊断；</w:t>
      </w:r>
    </w:p>
    <w:p>
      <w:pPr>
        <w:pStyle w:val="ListParagraph"/>
        <w:numPr>
          <w:ilvl w:val="0"/>
          <w:numId w:val="96"/>
        </w:numPr>
        <w:tabs>
          <w:tab w:pos="705" w:val="left" w:leader="none"/>
        </w:tabs>
        <w:spacing w:line="240" w:lineRule="auto" w:before="43" w:after="0"/>
        <w:ind w:left="704" w:right="0" w:hanging="531"/>
        <w:jc w:val="left"/>
        <w:rPr>
          <w:sz w:val="21"/>
        </w:rPr>
      </w:pPr>
      <w:r>
        <w:rPr>
          <w:spacing w:val="-3"/>
          <w:sz w:val="21"/>
        </w:rPr>
        <w:t>临床有肾脏衰竭和肾小管功能障碍表现；</w:t>
      </w:r>
    </w:p>
    <w:p>
      <w:pPr>
        <w:pStyle w:val="ListParagraph"/>
        <w:numPr>
          <w:ilvl w:val="0"/>
          <w:numId w:val="96"/>
        </w:numPr>
        <w:tabs>
          <w:tab w:pos="705" w:val="left" w:leader="none"/>
        </w:tabs>
        <w:spacing w:line="257" w:lineRule="exact" w:before="43" w:after="0"/>
        <w:ind w:left="704" w:right="0" w:hanging="531"/>
        <w:jc w:val="left"/>
        <w:rPr>
          <w:sz w:val="21"/>
        </w:rPr>
      </w:pPr>
      <w:r>
        <w:rPr>
          <w:spacing w:val="-3"/>
          <w:sz w:val="21"/>
        </w:rPr>
        <w:t>影像学证据显示肾髓质多发囊肿。</w:t>
      </w:r>
    </w:p>
    <w:p>
      <w:pPr>
        <w:spacing w:line="375" w:lineRule="exact" w:before="0"/>
        <w:ind w:left="174" w:right="0" w:firstLine="0"/>
        <w:jc w:val="left"/>
        <w:rPr>
          <w:rFonts w:ascii="微软雅黑" w:eastAsia="微软雅黑"/>
          <w:b/>
          <w:sz w:val="21"/>
        </w:rPr>
      </w:pPr>
      <w:r>
        <w:rPr>
          <w:rFonts w:ascii="微软雅黑" w:eastAsia="微软雅黑"/>
          <w:b/>
          <w:spacing w:val="-3"/>
          <w:sz w:val="21"/>
        </w:rPr>
        <w:t>其他肾脏囊性病变不在本保障范围内。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93"/>
        </w:numPr>
        <w:tabs>
          <w:tab w:pos="1399" w:val="left" w:leader="none"/>
        </w:tabs>
        <w:spacing w:line="194" w:lineRule="auto" w:before="58" w:after="0"/>
        <w:ind w:left="1072" w:right="0" w:firstLine="0"/>
        <w:jc w:val="left"/>
        <w:rPr>
          <w:rFonts w:ascii="微软雅黑" w:eastAsia="微软雅黑"/>
          <w:b/>
          <w:sz w:val="19"/>
        </w:rPr>
      </w:pPr>
      <w:r>
        <w:rPr>
          <w:rFonts w:ascii="微软雅黑" w:eastAsia="微软雅黑"/>
          <w:b/>
          <w:spacing w:val="-2"/>
          <w:sz w:val="21"/>
        </w:rPr>
        <w:t>肝豆状核变</w:t>
      </w:r>
      <w:r>
        <w:rPr>
          <w:rFonts w:ascii="微软雅黑" w:eastAsia="微软雅黑"/>
          <w:b/>
          <w:spacing w:val="-10"/>
          <w:sz w:val="21"/>
        </w:rPr>
        <w:t>性</w:t>
      </w:r>
    </w:p>
    <w:p>
      <w:pPr>
        <w:pStyle w:val="BodyText"/>
        <w:spacing w:line="278" w:lineRule="auto" w:before="72"/>
        <w:ind w:left="174" w:right="248"/>
      </w:pPr>
      <w:r>
        <w:rPr/>
        <w:br w:type="column"/>
      </w:r>
      <w:r>
        <w:rPr>
          <w:spacing w:val="-7"/>
          <w:w w:val="100"/>
        </w:rPr>
        <w:t>肝豆状核变性是一种遗传性铜代谢障碍疾病。表现为体内的铜离子在肝、脑、肾、角膜等处沉积，引起进行性加重的肝硬化、锥体外系症状、精神症状、肾损害及</w:t>
      </w:r>
      <w:r>
        <w:rPr>
          <w:spacing w:val="-5"/>
          <w:w w:val="100"/>
        </w:rPr>
        <w:t>角膜色素环。肝豆状核变性必须明确诊断并且满足以下条件之一：</w:t>
      </w:r>
    </w:p>
    <w:p>
      <w:pPr>
        <w:pStyle w:val="ListParagraph"/>
        <w:numPr>
          <w:ilvl w:val="0"/>
          <w:numId w:val="97"/>
        </w:numPr>
        <w:tabs>
          <w:tab w:pos="705" w:val="left" w:leader="none"/>
        </w:tabs>
        <w:spacing w:line="278" w:lineRule="auto" w:before="0" w:after="0"/>
        <w:ind w:left="174" w:right="356" w:firstLine="0"/>
        <w:jc w:val="left"/>
        <w:rPr>
          <w:sz w:val="21"/>
        </w:rPr>
      </w:pPr>
      <w:r>
        <w:rPr>
          <w:spacing w:val="-2"/>
          <w:sz w:val="21"/>
        </w:rPr>
        <w:t>帕金森综合征或其他神经系统功能损害，自主生活能力完全丧失，无法独</w:t>
      </w:r>
      <w:r>
        <w:rPr>
          <w:spacing w:val="-2"/>
          <w:sz w:val="21"/>
        </w:rPr>
        <w:t>立完成六项基本日常生活活动中的三项或三项以上；</w:t>
      </w:r>
    </w:p>
    <w:p>
      <w:pPr>
        <w:pStyle w:val="ListParagraph"/>
        <w:numPr>
          <w:ilvl w:val="0"/>
          <w:numId w:val="97"/>
        </w:numPr>
        <w:tabs>
          <w:tab w:pos="705" w:val="left" w:leader="none"/>
        </w:tabs>
        <w:spacing w:line="269" w:lineRule="exact" w:before="0" w:after="0"/>
        <w:ind w:left="704" w:right="0" w:hanging="531"/>
        <w:jc w:val="left"/>
        <w:rPr>
          <w:sz w:val="21"/>
        </w:rPr>
      </w:pPr>
      <w:r>
        <w:rPr>
          <w:spacing w:val="-3"/>
          <w:sz w:val="21"/>
        </w:rPr>
        <w:t>失代偿性肝硬化，临床已经出现腹水、食道静脉曲张和脾肿大等表现；</w:t>
      </w:r>
    </w:p>
    <w:p>
      <w:pPr>
        <w:pStyle w:val="ListParagraph"/>
        <w:numPr>
          <w:ilvl w:val="0"/>
          <w:numId w:val="97"/>
        </w:numPr>
        <w:tabs>
          <w:tab w:pos="705" w:val="left" w:leader="none"/>
        </w:tabs>
        <w:spacing w:line="240" w:lineRule="auto" w:before="43" w:after="0"/>
        <w:ind w:left="704" w:right="0" w:hanging="531"/>
        <w:jc w:val="left"/>
        <w:rPr>
          <w:sz w:val="21"/>
        </w:rPr>
      </w:pPr>
      <w:r>
        <w:rPr>
          <w:spacing w:val="-3"/>
          <w:sz w:val="21"/>
        </w:rPr>
        <w:t>严重慢性肾衰竭，已开始肾脏透析治疗；</w:t>
      </w:r>
    </w:p>
    <w:p>
      <w:pPr>
        <w:pStyle w:val="ListParagraph"/>
        <w:numPr>
          <w:ilvl w:val="0"/>
          <w:numId w:val="97"/>
        </w:numPr>
        <w:tabs>
          <w:tab w:pos="705" w:val="left" w:leader="none"/>
        </w:tabs>
        <w:spacing w:line="240" w:lineRule="auto" w:before="43" w:after="0"/>
        <w:ind w:left="704" w:right="0" w:hanging="531"/>
        <w:jc w:val="left"/>
        <w:rPr>
          <w:sz w:val="21"/>
        </w:rPr>
      </w:pPr>
      <w:r>
        <w:rPr>
          <w:spacing w:val="-3"/>
          <w:sz w:val="21"/>
        </w:rPr>
        <w:t>接受了肝移植或肾移植手术。</w:t>
      </w:r>
    </w:p>
    <w:p>
      <w:pPr>
        <w:spacing w:after="0" w:line="240" w:lineRule="auto"/>
        <w:jc w:val="left"/>
        <w:rPr>
          <w:sz w:val="21"/>
        </w:rPr>
        <w:sectPr>
          <w:type w:val="continuous"/>
          <w:pgSz w:w="11910" w:h="16840"/>
          <w:pgMar w:header="0" w:footer="458" w:top="620" w:bottom="280" w:left="800" w:right="660"/>
          <w:cols w:num="2" w:equalWidth="0">
            <w:col w:w="2486" w:space="40"/>
            <w:col w:w="7924"/>
          </w:cols>
        </w:sectPr>
      </w:pPr>
    </w:p>
    <w:p>
      <w:pPr>
        <w:pStyle w:val="BodyText"/>
        <w:spacing w:before="1"/>
        <w:rPr>
          <w:sz w:val="22"/>
        </w:rPr>
      </w:pPr>
    </w:p>
    <w:p>
      <w:pPr>
        <w:spacing w:after="0"/>
        <w:rPr>
          <w:sz w:val="22"/>
        </w:rPr>
        <w:sectPr>
          <w:type w:val="continuous"/>
          <w:pgSz w:w="11910" w:h="16840"/>
          <w:pgMar w:header="0" w:footer="458" w:top="620" w:bottom="280" w:left="800" w:right="660"/>
        </w:sectPr>
      </w:pPr>
    </w:p>
    <w:p>
      <w:pPr>
        <w:pStyle w:val="ListParagraph"/>
        <w:numPr>
          <w:ilvl w:val="0"/>
          <w:numId w:val="93"/>
        </w:numPr>
        <w:tabs>
          <w:tab w:pos="1399" w:val="left" w:leader="none"/>
        </w:tabs>
        <w:spacing w:line="194" w:lineRule="auto" w:before="57" w:after="0"/>
        <w:ind w:left="1072" w:right="0" w:firstLine="0"/>
        <w:jc w:val="both"/>
        <w:rPr>
          <w:rFonts w:ascii="微软雅黑" w:eastAsia="微软雅黑"/>
          <w:b/>
          <w:sz w:val="19"/>
        </w:rPr>
      </w:pPr>
      <w:r>
        <w:rPr>
          <w:rFonts w:ascii="微软雅黑" w:eastAsia="微软雅黑"/>
          <w:b/>
          <w:spacing w:val="-2"/>
          <w:sz w:val="21"/>
        </w:rPr>
        <w:t>重症急性出</w:t>
      </w:r>
      <w:r>
        <w:rPr>
          <w:rFonts w:ascii="微软雅黑" w:eastAsia="微软雅黑"/>
          <w:b/>
          <w:spacing w:val="20"/>
          <w:sz w:val="21"/>
        </w:rPr>
        <w:t>血坏死性胰腺</w:t>
      </w:r>
      <w:r>
        <w:rPr>
          <w:rFonts w:ascii="微软雅黑" w:eastAsia="微软雅黑"/>
          <w:b/>
          <w:spacing w:val="-2"/>
          <w:sz w:val="21"/>
        </w:rPr>
        <w:t>炎开腹手术</w:t>
      </w:r>
    </w:p>
    <w:p>
      <w:pPr>
        <w:pStyle w:val="BodyText"/>
        <w:spacing w:line="278" w:lineRule="auto" w:before="72"/>
        <w:ind w:left="174" w:right="359"/>
      </w:pPr>
      <w:r>
        <w:rPr/>
        <w:br w:type="column"/>
      </w:r>
      <w:r>
        <w:rPr>
          <w:spacing w:val="-2"/>
        </w:rPr>
        <w:t>指被保险人被确诊为重症急性出血坏死性胰腺炎，并实际接受了外科剖腹直视手</w:t>
      </w:r>
      <w:r>
        <w:rPr>
          <w:spacing w:val="-2"/>
        </w:rPr>
        <w:t>术治疗，进行坏死组织清除、坏死病灶切除或胰腺切除。</w:t>
      </w:r>
    </w:p>
    <w:p>
      <w:pPr>
        <w:spacing w:line="320" w:lineRule="exact" w:before="0"/>
        <w:ind w:left="174" w:right="0" w:firstLine="0"/>
        <w:jc w:val="left"/>
        <w:rPr>
          <w:rFonts w:ascii="微软雅黑" w:eastAsia="微软雅黑"/>
          <w:b/>
          <w:sz w:val="21"/>
        </w:rPr>
      </w:pPr>
      <w:r>
        <w:rPr>
          <w:rFonts w:ascii="微软雅黑" w:eastAsia="微软雅黑"/>
          <w:b/>
          <w:spacing w:val="-12"/>
          <w:sz w:val="21"/>
        </w:rPr>
        <w:t>腹腔镜手术治疗、因酗酒或饮酒过量所致的急性坏死性胰腺炎不在本保障范围内。</w:t>
      </w:r>
    </w:p>
    <w:p>
      <w:pPr>
        <w:spacing w:after="0" w:line="320"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93"/>
        </w:numPr>
        <w:tabs>
          <w:tab w:pos="1399" w:val="left" w:leader="none"/>
        </w:tabs>
        <w:spacing w:line="194" w:lineRule="auto" w:before="58" w:after="0"/>
        <w:ind w:left="1072" w:right="0" w:firstLine="0"/>
        <w:jc w:val="left"/>
        <w:rPr>
          <w:rFonts w:ascii="微软雅黑" w:eastAsia="微软雅黑"/>
          <w:b/>
          <w:sz w:val="19"/>
        </w:rPr>
      </w:pPr>
      <w:r>
        <w:rPr>
          <w:rFonts w:ascii="微软雅黑" w:eastAsia="微软雅黑"/>
          <w:b/>
          <w:spacing w:val="-2"/>
          <w:sz w:val="21"/>
        </w:rPr>
        <w:t>意外导致的</w:t>
      </w:r>
      <w:r>
        <w:rPr>
          <w:rFonts w:ascii="微软雅黑" w:eastAsia="微软雅黑"/>
          <w:b/>
          <w:spacing w:val="-2"/>
          <w:sz w:val="21"/>
        </w:rPr>
        <w:t>重度面部烧伤</w:t>
      </w:r>
    </w:p>
    <w:p>
      <w:pPr>
        <w:pStyle w:val="BodyText"/>
        <w:spacing w:before="72"/>
        <w:ind w:left="174"/>
      </w:pPr>
      <w:r>
        <w:rPr/>
        <w:br w:type="column"/>
      </w:r>
      <w:r>
        <w:rPr>
          <w:spacing w:val="-5"/>
        </w:rPr>
        <w:t>指面部Ⅲ度烧伤的面积达到面部表面积的 </w:t>
      </w:r>
      <w:r>
        <w:rPr>
          <w:spacing w:val="-2"/>
        </w:rPr>
        <w:t>80</w:t>
      </w:r>
      <w:r>
        <w:rPr>
          <w:spacing w:val="-16"/>
        </w:rPr>
        <w:t>%或 </w:t>
      </w:r>
      <w:r>
        <w:rPr>
          <w:spacing w:val="-2"/>
        </w:rPr>
        <w:t>80%</w:t>
      </w:r>
      <w:r>
        <w:rPr>
          <w:spacing w:val="-6"/>
        </w:rPr>
        <w:t>以上。</w:t>
      </w:r>
    </w:p>
    <w:p>
      <w:pPr>
        <w:pStyle w:val="BodyText"/>
        <w:spacing w:line="278" w:lineRule="auto"/>
        <w:ind w:left="174" w:right="353"/>
      </w:pPr>
      <w:r>
        <w:rPr>
          <w:spacing w:val="-4"/>
        </w:rPr>
        <w:t>体表面积根据《中国新九分法》计算，面部总面积为全身体表面积的 </w:t>
      </w:r>
      <w:r>
        <w:rPr>
          <w:spacing w:val="-2"/>
        </w:rPr>
        <w:t>3%。面部面</w:t>
      </w:r>
      <w:r>
        <w:rPr>
          <w:spacing w:val="-2"/>
        </w:rPr>
        <w:t>积不包括发部和颈部。</w:t>
      </w:r>
    </w:p>
    <w:p>
      <w:pPr>
        <w:spacing w:after="0" w:line="278" w:lineRule="auto"/>
        <w:sectPr>
          <w:type w:val="continuous"/>
          <w:pgSz w:w="11910" w:h="16840"/>
          <w:pgMar w:header="0" w:footer="458" w:top="620" w:bottom="280" w:left="800" w:right="660"/>
          <w:cols w:num="2" w:equalWidth="0">
            <w:col w:w="2486" w:space="40"/>
            <w:col w:w="792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93"/>
        </w:numPr>
        <w:tabs>
          <w:tab w:pos="1399" w:val="left" w:leader="none"/>
        </w:tabs>
        <w:spacing w:line="194" w:lineRule="auto" w:before="58" w:after="0"/>
        <w:ind w:left="1072" w:right="0" w:firstLine="0"/>
        <w:jc w:val="left"/>
        <w:rPr>
          <w:rFonts w:ascii="微软雅黑" w:eastAsia="微软雅黑"/>
          <w:b/>
          <w:sz w:val="19"/>
        </w:rPr>
      </w:pPr>
      <w:r>
        <w:rPr>
          <w:rFonts w:ascii="微软雅黑" w:eastAsia="微软雅黑"/>
          <w:b/>
          <w:spacing w:val="-2"/>
          <w:sz w:val="21"/>
        </w:rPr>
        <w:t>失去一肢及</w:t>
      </w:r>
      <w:r>
        <w:rPr>
          <w:rFonts w:ascii="微软雅黑" w:eastAsia="微软雅黑"/>
          <w:b/>
          <w:spacing w:val="-6"/>
          <w:sz w:val="21"/>
        </w:rPr>
        <w:t>一眼</w:t>
      </w:r>
    </w:p>
    <w:p>
      <w:pPr>
        <w:pStyle w:val="BodyText"/>
        <w:spacing w:line="278" w:lineRule="auto" w:before="72"/>
        <w:ind w:left="174" w:right="359"/>
      </w:pPr>
      <w:r>
        <w:rPr/>
        <w:br w:type="column"/>
      </w:r>
      <w:r>
        <w:rPr>
          <w:spacing w:val="-2"/>
        </w:rPr>
        <w:t>被保险人因同一次意外伤害事件导致一肢体丧失和一眼视力丧失。必须满足下列</w:t>
      </w:r>
      <w:r>
        <w:rPr>
          <w:spacing w:val="-2"/>
        </w:rPr>
        <w:t>所有条件：</w:t>
      </w:r>
    </w:p>
    <w:p>
      <w:pPr>
        <w:pStyle w:val="ListParagraph"/>
        <w:numPr>
          <w:ilvl w:val="0"/>
          <w:numId w:val="98"/>
        </w:numPr>
        <w:tabs>
          <w:tab w:pos="705" w:val="left" w:leader="none"/>
        </w:tabs>
        <w:spacing w:line="278" w:lineRule="auto" w:before="0" w:after="0"/>
        <w:ind w:left="174" w:right="356" w:firstLine="0"/>
        <w:jc w:val="left"/>
        <w:rPr>
          <w:sz w:val="21"/>
        </w:rPr>
      </w:pPr>
      <w:r>
        <w:rPr>
          <w:spacing w:val="-5"/>
          <w:w w:val="100"/>
          <w:sz w:val="21"/>
        </w:rPr>
        <w:t>一肢体丧失指任何一肢体自腕关节或踝关节近端</w:t>
      </w:r>
      <w:r>
        <w:rPr>
          <w:w w:val="100"/>
          <w:sz w:val="21"/>
        </w:rPr>
        <w:t>（</w:t>
      </w:r>
      <w:r>
        <w:rPr>
          <w:spacing w:val="-3"/>
          <w:w w:val="100"/>
          <w:sz w:val="21"/>
        </w:rPr>
        <w:t>靠近躯干端</w:t>
      </w:r>
      <w:r>
        <w:rPr>
          <w:spacing w:val="-25"/>
          <w:w w:val="100"/>
          <w:sz w:val="21"/>
        </w:rPr>
        <w:t>）</w:t>
      </w:r>
      <w:r>
        <w:rPr>
          <w:spacing w:val="-3"/>
          <w:w w:val="100"/>
          <w:sz w:val="21"/>
        </w:rPr>
        <w:t>以上完全性断离。</w:t>
      </w:r>
    </w:p>
    <w:p>
      <w:pPr>
        <w:pStyle w:val="ListParagraph"/>
        <w:numPr>
          <w:ilvl w:val="0"/>
          <w:numId w:val="98"/>
        </w:numPr>
        <w:tabs>
          <w:tab w:pos="705" w:val="left" w:leader="none"/>
        </w:tabs>
        <w:spacing w:line="278" w:lineRule="auto" w:before="0" w:after="0"/>
        <w:ind w:left="174" w:right="353" w:firstLine="0"/>
        <w:jc w:val="left"/>
        <w:rPr>
          <w:sz w:val="21"/>
        </w:rPr>
      </w:pPr>
      <w:r>
        <w:rPr>
          <w:spacing w:val="-5"/>
          <w:w w:val="100"/>
          <w:sz w:val="21"/>
        </w:rPr>
        <w:t>一眼视力丧失指一只眼视力永久不可逆性丧失，患眼须满足下列至少一项条件：</w:t>
      </w:r>
    </w:p>
    <w:p>
      <w:pPr>
        <w:pStyle w:val="BodyText"/>
        <w:spacing w:line="269" w:lineRule="exact" w:before="0"/>
        <w:ind w:left="595"/>
      </w:pPr>
      <w:r>
        <w:rPr>
          <w:spacing w:val="-4"/>
        </w:rPr>
        <w:t>① 眼球摘除；</w:t>
      </w:r>
    </w:p>
    <w:p>
      <w:pPr>
        <w:pStyle w:val="BodyText"/>
        <w:spacing w:line="278" w:lineRule="auto"/>
        <w:ind w:left="595" w:right="439"/>
      </w:pPr>
      <w:r>
        <w:rPr>
          <w:spacing w:val="-12"/>
        </w:rPr>
        <w:t>② 矫正视力低于 </w:t>
      </w:r>
      <w:r>
        <w:rPr/>
        <w:t>0.02（采用国际标准视力表，若使用其他视力表应进行换</w:t>
      </w:r>
      <w:r>
        <w:rPr>
          <w:spacing w:val="-10"/>
        </w:rPr>
        <w:t>算</w:t>
      </w:r>
      <w:r>
        <w:rPr>
          <w:spacing w:val="-106"/>
        </w:rPr>
        <w:t>）</w:t>
      </w:r>
      <w:r>
        <w:rPr/>
        <w:t>；</w:t>
      </w:r>
    </w:p>
    <w:p>
      <w:pPr>
        <w:pStyle w:val="BodyText"/>
        <w:spacing w:line="257" w:lineRule="exact" w:before="0"/>
        <w:ind w:left="595"/>
      </w:pPr>
      <w:r>
        <w:rPr>
          <w:spacing w:val="-9"/>
        </w:rPr>
        <w:t>③ 视野半径小于 </w:t>
      </w:r>
      <w:r>
        <w:rPr/>
        <w:t>5</w:t>
      </w:r>
      <w:r>
        <w:rPr>
          <w:spacing w:val="-22"/>
        </w:rPr>
        <w:t> 度。</w:t>
      </w:r>
    </w:p>
    <w:p>
      <w:pPr>
        <w:spacing w:line="194" w:lineRule="auto" w:before="41"/>
        <w:ind w:left="174" w:right="361" w:firstLine="0"/>
        <w:jc w:val="left"/>
        <w:rPr>
          <w:rFonts w:ascii="微软雅黑" w:eastAsia="微软雅黑"/>
          <w:b/>
          <w:sz w:val="21"/>
        </w:rPr>
      </w:pPr>
      <w:r>
        <w:rPr>
          <w:rFonts w:ascii="微软雅黑" w:eastAsia="微软雅黑"/>
          <w:b/>
          <w:spacing w:val="-9"/>
          <w:sz w:val="21"/>
        </w:rPr>
        <w:t>除眼球摘除以外，被保险人申请理赔时年龄必须在</w:t>
      </w:r>
      <w:r>
        <w:rPr>
          <w:rFonts w:ascii="微软雅黑" w:eastAsia="微软雅黑"/>
          <w:b/>
          <w:spacing w:val="-2"/>
          <w:sz w:val="21"/>
        </w:rPr>
        <w:t>3</w:t>
      </w:r>
      <w:r>
        <w:rPr>
          <w:rFonts w:ascii="微软雅黑" w:eastAsia="微软雅黑"/>
          <w:b/>
          <w:spacing w:val="-9"/>
          <w:sz w:val="21"/>
        </w:rPr>
        <w:t>周岁以上，并且提供理赔当时</w:t>
      </w:r>
      <w:r>
        <w:rPr>
          <w:rFonts w:ascii="微软雅黑" w:eastAsia="微软雅黑"/>
          <w:b/>
          <w:spacing w:val="-2"/>
          <w:sz w:val="21"/>
        </w:rPr>
        <w:t>的视力丧失诊断及检查证据。</w:t>
      </w:r>
    </w:p>
    <w:p>
      <w:pPr>
        <w:spacing w:after="0" w:line="194" w:lineRule="auto"/>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ListParagraph"/>
        <w:numPr>
          <w:ilvl w:val="0"/>
          <w:numId w:val="93"/>
        </w:numPr>
        <w:tabs>
          <w:tab w:pos="1399" w:val="left" w:leader="none"/>
        </w:tabs>
        <w:spacing w:line="194" w:lineRule="auto" w:before="28" w:after="0"/>
        <w:ind w:left="1072" w:right="0" w:firstLine="0"/>
        <w:jc w:val="both"/>
        <w:rPr>
          <w:rFonts w:ascii="微软雅黑" w:eastAsia="微软雅黑"/>
          <w:b/>
          <w:sz w:val="19"/>
        </w:rPr>
      </w:pPr>
      <w:r>
        <w:rPr>
          <w:rFonts w:ascii="微软雅黑" w:eastAsia="微软雅黑"/>
          <w:b/>
          <w:spacing w:val="-2"/>
          <w:sz w:val="21"/>
        </w:rPr>
        <w:t>溶血性链球</w:t>
      </w:r>
      <w:r>
        <w:rPr>
          <w:rFonts w:ascii="微软雅黑" w:eastAsia="微软雅黑"/>
          <w:b/>
          <w:spacing w:val="20"/>
          <w:sz w:val="21"/>
        </w:rPr>
        <w:t>菌感染引起的</w:t>
      </w:r>
      <w:r>
        <w:rPr>
          <w:rFonts w:ascii="微软雅黑" w:eastAsia="微软雅黑"/>
          <w:b/>
          <w:spacing w:val="-6"/>
          <w:sz w:val="21"/>
        </w:rPr>
        <w:t>坏疽</w:t>
      </w:r>
    </w:p>
    <w:p>
      <w:pPr>
        <w:pStyle w:val="BodyText"/>
        <w:spacing w:line="278" w:lineRule="auto"/>
        <w:ind w:left="173" w:right="359"/>
      </w:pPr>
      <w:r>
        <w:rPr/>
        <w:br w:type="column"/>
      </w:r>
      <w:r>
        <w:rPr>
          <w:spacing w:val="-2"/>
        </w:rPr>
        <w:t>由于急性溶血性链球菌感染导致广泛的皮肤、皮下组织和深层组织的坏死。必须</w:t>
      </w:r>
      <w:r>
        <w:rPr>
          <w:spacing w:val="-2"/>
        </w:rPr>
        <w:t>满足以下所有条件：</w:t>
      </w:r>
    </w:p>
    <w:p>
      <w:pPr>
        <w:pStyle w:val="ListParagraph"/>
        <w:numPr>
          <w:ilvl w:val="0"/>
          <w:numId w:val="99"/>
        </w:numPr>
        <w:tabs>
          <w:tab w:pos="704" w:val="left" w:leader="none"/>
        </w:tabs>
        <w:spacing w:line="240" w:lineRule="auto" w:before="0" w:after="0"/>
        <w:ind w:left="703" w:right="0" w:hanging="531"/>
        <w:jc w:val="left"/>
        <w:rPr>
          <w:sz w:val="21"/>
        </w:rPr>
      </w:pPr>
      <w:r>
        <w:rPr>
          <w:spacing w:val="-3"/>
          <w:sz w:val="21"/>
        </w:rPr>
        <w:t>细菌培养证实致病菌为溶血性链球菌；</w:t>
      </w:r>
    </w:p>
    <w:p>
      <w:pPr>
        <w:pStyle w:val="ListParagraph"/>
        <w:numPr>
          <w:ilvl w:val="0"/>
          <w:numId w:val="99"/>
        </w:numPr>
        <w:tabs>
          <w:tab w:pos="704" w:val="left" w:leader="none"/>
        </w:tabs>
        <w:spacing w:line="240" w:lineRule="auto" w:before="43" w:after="0"/>
        <w:ind w:left="703" w:right="0" w:hanging="531"/>
        <w:jc w:val="left"/>
        <w:rPr>
          <w:sz w:val="21"/>
        </w:rPr>
      </w:pPr>
      <w:r>
        <w:rPr>
          <w:spacing w:val="-2"/>
          <w:sz w:val="21"/>
        </w:rPr>
        <w:t>受感染肢体被截肢（自腕关节或踝关节近端</w:t>
      </w:r>
      <w:r>
        <w:rPr>
          <w:spacing w:val="-108"/>
          <w:sz w:val="21"/>
        </w:rPr>
        <w:t>）</w:t>
      </w:r>
      <w:r>
        <w:rPr>
          <w:spacing w:val="-10"/>
          <w:sz w:val="21"/>
        </w:rPr>
        <w:t>。</w:t>
      </w:r>
    </w:p>
    <w:p>
      <w:pPr>
        <w:spacing w:after="0" w:line="240" w:lineRule="auto"/>
        <w:jc w:val="left"/>
        <w:rPr>
          <w:sz w:val="21"/>
        </w:rPr>
        <w:sectPr>
          <w:pgSz w:w="11910" w:h="16840"/>
          <w:pgMar w:header="0" w:footer="458" w:top="1260" w:bottom="640" w:left="800" w:right="660"/>
          <w:cols w:num="2" w:equalWidth="0">
            <w:col w:w="2487" w:space="40"/>
            <w:col w:w="7923"/>
          </w:cols>
        </w:sectPr>
      </w:pPr>
    </w:p>
    <w:p>
      <w:pPr>
        <w:pStyle w:val="BodyText"/>
        <w:spacing w:before="5"/>
        <w:rPr>
          <w:sz w:val="9"/>
        </w:rPr>
      </w:pPr>
    </w:p>
    <w:p>
      <w:pPr>
        <w:spacing w:after="0"/>
        <w:rPr>
          <w:sz w:val="9"/>
        </w:rPr>
        <w:sectPr>
          <w:type w:val="continuous"/>
          <w:pgSz w:w="11910" w:h="16840"/>
          <w:pgMar w:header="0" w:footer="458" w:top="620" w:bottom="280" w:left="800" w:right="660"/>
        </w:sectPr>
      </w:pPr>
    </w:p>
    <w:p>
      <w:pPr>
        <w:pStyle w:val="ListParagraph"/>
        <w:numPr>
          <w:ilvl w:val="0"/>
          <w:numId w:val="93"/>
        </w:numPr>
        <w:tabs>
          <w:tab w:pos="1399" w:val="left" w:leader="none"/>
        </w:tabs>
        <w:spacing w:line="194" w:lineRule="auto" w:before="64" w:after="0"/>
        <w:ind w:left="1072" w:right="0" w:firstLine="0"/>
        <w:jc w:val="both"/>
        <w:rPr>
          <w:rFonts w:ascii="微软雅黑" w:eastAsia="微软雅黑"/>
          <w:b/>
          <w:sz w:val="19"/>
        </w:rPr>
      </w:pPr>
      <w:r>
        <w:rPr>
          <w:rFonts w:ascii="微软雅黑" w:eastAsia="微软雅黑"/>
          <w:b/>
          <w:spacing w:val="-2"/>
          <w:sz w:val="21"/>
        </w:rPr>
        <w:t>器官移植致</w:t>
      </w:r>
      <w:r>
        <w:rPr>
          <w:rFonts w:ascii="微软雅黑" w:eastAsia="微软雅黑"/>
          <w:b/>
          <w:spacing w:val="20"/>
          <w:sz w:val="21"/>
        </w:rPr>
        <w:t>人类免疫缺陷</w:t>
      </w:r>
      <w:r>
        <w:rPr>
          <w:rFonts w:ascii="微软雅黑" w:eastAsia="微软雅黑"/>
          <w:b/>
          <w:spacing w:val="-6"/>
          <w:sz w:val="21"/>
        </w:rPr>
        <w:t>病毒（</w:t>
      </w:r>
      <w:r>
        <w:rPr>
          <w:rFonts w:ascii="Times New Roman" w:eastAsia="Times New Roman"/>
          <w:b/>
          <w:spacing w:val="-6"/>
          <w:sz w:val="21"/>
        </w:rPr>
        <w:t>HIV</w:t>
      </w:r>
      <w:r>
        <w:rPr>
          <w:rFonts w:ascii="微软雅黑" w:eastAsia="微软雅黑"/>
          <w:b/>
          <w:spacing w:val="-6"/>
          <w:sz w:val="21"/>
        </w:rPr>
        <w:t>）感</w:t>
      </w:r>
      <w:r>
        <w:rPr>
          <w:rFonts w:ascii="微软雅黑" w:eastAsia="微软雅黑"/>
          <w:b/>
          <w:spacing w:val="-10"/>
          <w:sz w:val="21"/>
        </w:rPr>
        <w:t>染</w:t>
      </w:r>
    </w:p>
    <w:p>
      <w:pPr>
        <w:pStyle w:val="BodyText"/>
        <w:spacing w:line="278" w:lineRule="auto" w:before="78"/>
        <w:ind w:left="174" w:right="357"/>
      </w:pPr>
      <w:r>
        <w:rPr/>
        <w:br w:type="column"/>
      </w:r>
      <w:r>
        <w:rPr>
          <w:spacing w:val="-2"/>
        </w:rPr>
        <w:t>被保险人因接受器官移植感染上人类免疫缺陷病毒（</w:t>
      </w:r>
      <w:r>
        <w:rPr>
          <w:rFonts w:ascii="Times New Roman" w:eastAsia="Times New Roman"/>
          <w:spacing w:val="-2"/>
        </w:rPr>
        <w:t>HIV</w:t>
      </w:r>
      <w:r>
        <w:rPr>
          <w:spacing w:val="-2"/>
        </w:rPr>
        <w:t>）并且满足以下所有条</w:t>
      </w:r>
      <w:r>
        <w:rPr>
          <w:spacing w:val="-6"/>
        </w:rPr>
        <w:t>件：</w:t>
      </w:r>
    </w:p>
    <w:p>
      <w:pPr>
        <w:pStyle w:val="ListParagraph"/>
        <w:numPr>
          <w:ilvl w:val="0"/>
          <w:numId w:val="100"/>
        </w:numPr>
        <w:tabs>
          <w:tab w:pos="705" w:val="left" w:leader="none"/>
        </w:tabs>
        <w:spacing w:line="269" w:lineRule="exact" w:before="0" w:after="0"/>
        <w:ind w:left="704" w:right="0" w:hanging="531"/>
        <w:jc w:val="left"/>
        <w:rPr>
          <w:sz w:val="21"/>
        </w:rPr>
      </w:pPr>
      <w:r>
        <w:rPr>
          <w:spacing w:val="-4"/>
          <w:sz w:val="21"/>
        </w:rPr>
        <w:t>在保障起始日或复效日之后，被保险人接受器官移植，并因此感染 </w:t>
      </w:r>
      <w:r>
        <w:rPr>
          <w:rFonts w:ascii="Times New Roman" w:eastAsia="Times New Roman"/>
          <w:spacing w:val="-4"/>
          <w:sz w:val="21"/>
        </w:rPr>
        <w:t>HIV</w:t>
      </w:r>
      <w:r>
        <w:rPr>
          <w:spacing w:val="-4"/>
          <w:sz w:val="21"/>
        </w:rPr>
        <w:t>；</w:t>
      </w:r>
    </w:p>
    <w:p>
      <w:pPr>
        <w:pStyle w:val="ListParagraph"/>
        <w:numPr>
          <w:ilvl w:val="0"/>
          <w:numId w:val="100"/>
        </w:numPr>
        <w:tabs>
          <w:tab w:pos="705" w:val="left" w:leader="none"/>
        </w:tabs>
        <w:spacing w:line="240" w:lineRule="auto" w:before="43" w:after="0"/>
        <w:ind w:left="704" w:right="0" w:hanging="531"/>
        <w:jc w:val="left"/>
        <w:rPr>
          <w:sz w:val="21"/>
        </w:rPr>
      </w:pPr>
      <w:r>
        <w:rPr>
          <w:spacing w:val="-3"/>
          <w:sz w:val="21"/>
        </w:rPr>
        <w:t>实施器官移植的医院为三级甲等医院；</w:t>
      </w:r>
    </w:p>
    <w:p>
      <w:pPr>
        <w:pStyle w:val="ListParagraph"/>
        <w:numPr>
          <w:ilvl w:val="0"/>
          <w:numId w:val="100"/>
        </w:numPr>
        <w:tabs>
          <w:tab w:pos="705" w:val="left" w:leader="none"/>
        </w:tabs>
        <w:spacing w:line="206" w:lineRule="auto" w:before="73" w:after="0"/>
        <w:ind w:left="174" w:right="360" w:firstLine="0"/>
        <w:jc w:val="left"/>
        <w:rPr>
          <w:rFonts w:ascii="微软雅黑" w:eastAsia="微软雅黑"/>
          <w:b/>
          <w:sz w:val="21"/>
        </w:rPr>
      </w:pPr>
      <w:r>
        <w:rPr>
          <w:spacing w:val="-1"/>
          <w:sz w:val="21"/>
        </w:rPr>
        <w:t>实施移植医院出具具有法律效力的证明确认移植器官来自 </w:t>
      </w:r>
      <w:r>
        <w:rPr>
          <w:rFonts w:ascii="Times New Roman" w:eastAsia="Times New Roman"/>
          <w:sz w:val="21"/>
        </w:rPr>
        <w:t>HIV </w:t>
      </w:r>
      <w:r>
        <w:rPr>
          <w:sz w:val="21"/>
        </w:rPr>
        <w:t>感染者。</w:t>
      </w:r>
      <w:r>
        <w:rPr>
          <w:sz w:val="21"/>
        </w:rPr>
        <w:t> </w:t>
      </w:r>
      <w:r>
        <w:rPr>
          <w:rFonts w:ascii="微软雅黑" w:eastAsia="微软雅黑"/>
          <w:b/>
          <w:spacing w:val="-2"/>
          <w:w w:val="95"/>
          <w:sz w:val="21"/>
        </w:rPr>
        <w:t>在</w:t>
      </w:r>
      <w:r>
        <w:rPr>
          <w:rFonts w:ascii="微软雅黑" w:eastAsia="微软雅黑"/>
          <w:b/>
          <w:spacing w:val="-2"/>
          <w:w w:val="95"/>
          <w:sz w:val="21"/>
        </w:rPr>
        <w:t>任</w:t>
      </w:r>
      <w:r>
        <w:rPr>
          <w:rFonts w:ascii="微软雅黑" w:eastAsia="微软雅黑"/>
          <w:b/>
          <w:spacing w:val="-2"/>
          <w:w w:val="95"/>
          <w:sz w:val="21"/>
        </w:rPr>
        <w:t>何</w:t>
      </w:r>
      <w:r>
        <w:rPr>
          <w:rFonts w:ascii="微软雅黑" w:eastAsia="微软雅黑"/>
          <w:b/>
          <w:spacing w:val="-2"/>
          <w:w w:val="95"/>
          <w:sz w:val="21"/>
        </w:rPr>
        <w:t>治</w:t>
      </w:r>
      <w:r>
        <w:rPr>
          <w:rFonts w:ascii="微软雅黑" w:eastAsia="微软雅黑"/>
          <w:b/>
          <w:spacing w:val="-2"/>
          <w:w w:val="95"/>
          <w:sz w:val="21"/>
        </w:rPr>
        <w:t>愈</w:t>
      </w:r>
      <w:r>
        <w:rPr>
          <w:rFonts w:ascii="微软雅黑" w:eastAsia="微软雅黑"/>
          <w:b/>
          <w:spacing w:val="-2"/>
          <w:w w:val="95"/>
          <w:sz w:val="21"/>
        </w:rPr>
        <w:t>艾</w:t>
      </w:r>
      <w:r>
        <w:rPr>
          <w:rFonts w:ascii="微软雅黑" w:eastAsia="微软雅黑"/>
          <w:b/>
          <w:spacing w:val="-2"/>
          <w:w w:val="95"/>
          <w:sz w:val="21"/>
        </w:rPr>
        <w:t>滋</w:t>
      </w:r>
      <w:r>
        <w:rPr>
          <w:rFonts w:ascii="微软雅黑" w:eastAsia="微软雅黑"/>
          <w:b/>
          <w:spacing w:val="-2"/>
          <w:w w:val="95"/>
          <w:sz w:val="21"/>
        </w:rPr>
        <w:t>病（AIDS）</w:t>
      </w:r>
      <w:r>
        <w:rPr>
          <w:rFonts w:ascii="微软雅黑" w:eastAsia="微软雅黑"/>
          <w:b/>
          <w:spacing w:val="-2"/>
          <w:w w:val="95"/>
          <w:sz w:val="21"/>
        </w:rPr>
        <w:t>或</w:t>
      </w:r>
      <w:r>
        <w:rPr>
          <w:rFonts w:ascii="微软雅黑" w:eastAsia="微软雅黑"/>
          <w:b/>
          <w:spacing w:val="-2"/>
          <w:w w:val="95"/>
          <w:sz w:val="21"/>
        </w:rPr>
        <w:t>阻</w:t>
      </w:r>
      <w:r>
        <w:rPr>
          <w:rFonts w:ascii="微软雅黑" w:eastAsia="微软雅黑"/>
          <w:b/>
          <w:spacing w:val="-2"/>
          <w:w w:val="95"/>
          <w:sz w:val="21"/>
        </w:rPr>
        <w:t>止</w:t>
      </w:r>
      <w:r>
        <w:rPr>
          <w:rFonts w:ascii="微软雅黑" w:eastAsia="微软雅黑"/>
          <w:b/>
          <w:spacing w:val="-2"/>
          <w:w w:val="95"/>
          <w:sz w:val="21"/>
        </w:rPr>
        <w:t>HIV</w:t>
      </w:r>
      <w:r>
        <w:rPr>
          <w:rFonts w:ascii="微软雅黑" w:eastAsia="微软雅黑"/>
          <w:b/>
          <w:spacing w:val="-2"/>
          <w:w w:val="95"/>
          <w:sz w:val="21"/>
        </w:rPr>
        <w:t>病</w:t>
      </w:r>
      <w:r>
        <w:rPr>
          <w:rFonts w:ascii="微软雅黑" w:eastAsia="微软雅黑"/>
          <w:b/>
          <w:spacing w:val="-2"/>
          <w:w w:val="95"/>
          <w:sz w:val="21"/>
        </w:rPr>
        <w:t>毒</w:t>
      </w:r>
      <w:r>
        <w:rPr>
          <w:rFonts w:ascii="微软雅黑" w:eastAsia="微软雅黑"/>
          <w:b/>
          <w:spacing w:val="-2"/>
          <w:w w:val="95"/>
          <w:sz w:val="21"/>
        </w:rPr>
        <w:t>作</w:t>
      </w:r>
      <w:r>
        <w:rPr>
          <w:rFonts w:ascii="微软雅黑" w:eastAsia="微软雅黑"/>
          <w:b/>
          <w:spacing w:val="-2"/>
          <w:w w:val="95"/>
          <w:sz w:val="21"/>
        </w:rPr>
        <w:t>用</w:t>
      </w:r>
      <w:r>
        <w:rPr>
          <w:rFonts w:ascii="微软雅黑" w:eastAsia="微软雅黑"/>
          <w:b/>
          <w:spacing w:val="-2"/>
          <w:w w:val="95"/>
          <w:sz w:val="21"/>
        </w:rPr>
        <w:t>的</w:t>
      </w:r>
      <w:r>
        <w:rPr>
          <w:rFonts w:ascii="微软雅黑" w:eastAsia="微软雅黑"/>
          <w:b/>
          <w:spacing w:val="-2"/>
          <w:w w:val="95"/>
          <w:sz w:val="21"/>
        </w:rPr>
        <w:t>疗</w:t>
      </w:r>
      <w:r>
        <w:rPr>
          <w:rFonts w:ascii="微软雅黑" w:eastAsia="微软雅黑"/>
          <w:b/>
          <w:spacing w:val="-2"/>
          <w:w w:val="95"/>
          <w:sz w:val="21"/>
        </w:rPr>
        <w:t>法</w:t>
      </w:r>
      <w:r>
        <w:rPr>
          <w:rFonts w:ascii="微软雅黑" w:eastAsia="微软雅黑"/>
          <w:b/>
          <w:spacing w:val="-2"/>
          <w:w w:val="95"/>
          <w:sz w:val="21"/>
        </w:rPr>
        <w:t>被</w:t>
      </w:r>
      <w:r>
        <w:rPr>
          <w:rFonts w:ascii="微软雅黑" w:eastAsia="微软雅黑"/>
          <w:b/>
          <w:spacing w:val="-2"/>
          <w:w w:val="95"/>
          <w:sz w:val="21"/>
        </w:rPr>
        <w:t>发</w:t>
      </w:r>
      <w:r>
        <w:rPr>
          <w:rFonts w:ascii="微软雅黑" w:eastAsia="微软雅黑"/>
          <w:b/>
          <w:spacing w:val="-2"/>
          <w:w w:val="95"/>
          <w:sz w:val="21"/>
        </w:rPr>
        <w:t>现</w:t>
      </w:r>
      <w:r>
        <w:rPr>
          <w:rFonts w:ascii="微软雅黑" w:eastAsia="微软雅黑"/>
          <w:b/>
          <w:spacing w:val="-2"/>
          <w:w w:val="95"/>
          <w:sz w:val="21"/>
        </w:rPr>
        <w:t>以</w:t>
      </w:r>
      <w:r>
        <w:rPr>
          <w:rFonts w:ascii="微软雅黑" w:eastAsia="微软雅黑"/>
          <w:b/>
          <w:spacing w:val="-2"/>
          <w:w w:val="95"/>
          <w:sz w:val="21"/>
        </w:rPr>
        <w:t>后</w:t>
      </w:r>
      <w:r>
        <w:rPr>
          <w:rFonts w:ascii="微软雅黑" w:eastAsia="微软雅黑"/>
          <w:b/>
          <w:spacing w:val="-2"/>
          <w:w w:val="95"/>
          <w:sz w:val="21"/>
        </w:rPr>
        <w:t>，</w:t>
      </w:r>
      <w:r>
        <w:rPr>
          <w:rFonts w:ascii="微软雅黑" w:eastAsia="微软雅黑"/>
          <w:b/>
          <w:spacing w:val="-2"/>
          <w:w w:val="95"/>
          <w:sz w:val="21"/>
        </w:rPr>
        <w:t>或</w:t>
      </w:r>
      <w:r>
        <w:rPr>
          <w:rFonts w:ascii="微软雅黑" w:eastAsia="微软雅黑"/>
          <w:b/>
          <w:spacing w:val="-2"/>
          <w:w w:val="95"/>
          <w:sz w:val="21"/>
        </w:rPr>
        <w:t>能</w:t>
      </w:r>
      <w:r>
        <w:rPr>
          <w:rFonts w:ascii="微软雅黑" w:eastAsia="微软雅黑"/>
          <w:b/>
          <w:spacing w:val="-2"/>
          <w:w w:val="95"/>
          <w:sz w:val="21"/>
        </w:rPr>
        <w:t>防</w:t>
      </w:r>
      <w:r>
        <w:rPr>
          <w:rFonts w:ascii="微软雅黑" w:eastAsia="微软雅黑"/>
          <w:b/>
          <w:spacing w:val="-2"/>
          <w:w w:val="95"/>
          <w:sz w:val="21"/>
        </w:rPr>
        <w:t>止</w:t>
      </w:r>
      <w:r>
        <w:rPr>
          <w:rFonts w:ascii="微软雅黑" w:eastAsia="微软雅黑"/>
          <w:b/>
          <w:spacing w:val="-2"/>
          <w:w w:val="95"/>
          <w:sz w:val="21"/>
        </w:rPr>
        <w:t>AIDS</w:t>
      </w:r>
      <w:r>
        <w:rPr>
          <w:rFonts w:ascii="微软雅黑" w:eastAsia="微软雅黑"/>
          <w:b/>
          <w:spacing w:val="-2"/>
          <w:sz w:val="21"/>
        </w:rPr>
        <w:t>发生的医疗方法被研究出来以后，本保障将不再予以赔付。</w:t>
      </w:r>
    </w:p>
    <w:p>
      <w:pPr>
        <w:spacing w:after="0" w:line="206" w:lineRule="auto"/>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0"/>
        <w:rPr>
          <w:rFonts w:ascii="微软雅黑"/>
          <w:b/>
          <w:sz w:val="13"/>
        </w:rPr>
      </w:pPr>
    </w:p>
    <w:p>
      <w:pPr>
        <w:spacing w:after="0"/>
        <w:rPr>
          <w:rFonts w:ascii="微软雅黑"/>
          <w:sz w:val="13"/>
        </w:rPr>
        <w:sectPr>
          <w:type w:val="continuous"/>
          <w:pgSz w:w="11910" w:h="16840"/>
          <w:pgMar w:header="0" w:footer="458" w:top="620" w:bottom="280" w:left="800" w:right="660"/>
        </w:sectPr>
      </w:pPr>
    </w:p>
    <w:p>
      <w:pPr>
        <w:pStyle w:val="ListParagraph"/>
        <w:numPr>
          <w:ilvl w:val="0"/>
          <w:numId w:val="93"/>
        </w:numPr>
        <w:tabs>
          <w:tab w:pos="1399" w:val="left" w:leader="none"/>
        </w:tabs>
        <w:spacing w:line="194" w:lineRule="auto" w:before="57" w:after="0"/>
        <w:ind w:left="1072" w:right="0" w:firstLine="0"/>
        <w:jc w:val="left"/>
        <w:rPr>
          <w:rFonts w:ascii="微软雅黑" w:eastAsia="微软雅黑"/>
          <w:b/>
          <w:sz w:val="19"/>
        </w:rPr>
      </w:pPr>
      <w:r>
        <w:rPr>
          <w:rFonts w:ascii="微软雅黑" w:eastAsia="微软雅黑"/>
          <w:b/>
          <w:spacing w:val="-2"/>
          <w:sz w:val="21"/>
        </w:rPr>
        <w:t>埃博拉病毒</w:t>
      </w:r>
      <w:r>
        <w:rPr>
          <w:rFonts w:ascii="微软雅黑" w:eastAsia="微软雅黑"/>
          <w:b/>
          <w:spacing w:val="-6"/>
          <w:sz w:val="21"/>
        </w:rPr>
        <w:t>感染</w:t>
      </w:r>
    </w:p>
    <w:p>
      <w:pPr>
        <w:pStyle w:val="BodyText"/>
        <w:spacing w:line="278" w:lineRule="auto" w:before="71"/>
        <w:ind w:left="174" w:right="359"/>
        <w:jc w:val="both"/>
      </w:pPr>
      <w:r>
        <w:rPr/>
        <w:br w:type="column"/>
      </w:r>
      <w:r>
        <w:rPr>
          <w:spacing w:val="-2"/>
        </w:rPr>
        <w:t>指埃博拉病毒感染导致的急性出血性传染病。埃博拉病毒病必须经国家认可的有</w:t>
      </w:r>
      <w:r>
        <w:rPr>
          <w:spacing w:val="-2"/>
        </w:rPr>
        <w:t>合法资质的传染病专家确诊并且已上报国家疾病控制中心并接受了隔离和治疗，</w:t>
      </w:r>
      <w:r>
        <w:rPr>
          <w:spacing w:val="-2"/>
        </w:rPr>
        <w:t>必须满足以下所有条件：</w:t>
      </w:r>
    </w:p>
    <w:p>
      <w:pPr>
        <w:pStyle w:val="ListParagraph"/>
        <w:numPr>
          <w:ilvl w:val="0"/>
          <w:numId w:val="101"/>
        </w:numPr>
        <w:tabs>
          <w:tab w:pos="705" w:val="left" w:leader="none"/>
        </w:tabs>
        <w:spacing w:line="240" w:lineRule="auto" w:before="1" w:after="0"/>
        <w:ind w:left="704" w:right="0" w:hanging="531"/>
        <w:jc w:val="left"/>
        <w:rPr>
          <w:sz w:val="21"/>
        </w:rPr>
      </w:pPr>
      <w:r>
        <w:rPr>
          <w:spacing w:val="-3"/>
          <w:sz w:val="21"/>
        </w:rPr>
        <w:t>实验室检查证据证实存在埃博拉病毒感染；</w:t>
      </w:r>
    </w:p>
    <w:p>
      <w:pPr>
        <w:pStyle w:val="ListParagraph"/>
        <w:numPr>
          <w:ilvl w:val="0"/>
          <w:numId w:val="101"/>
        </w:numPr>
        <w:tabs>
          <w:tab w:pos="705" w:val="left" w:leader="none"/>
        </w:tabs>
        <w:spacing w:line="257" w:lineRule="exact" w:before="43" w:after="0"/>
        <w:ind w:left="704" w:right="0" w:hanging="531"/>
        <w:jc w:val="left"/>
        <w:rPr>
          <w:sz w:val="21"/>
        </w:rPr>
      </w:pPr>
      <w:r>
        <w:rPr>
          <w:spacing w:val="-12"/>
          <w:sz w:val="21"/>
        </w:rPr>
        <w:t>存在持续 </w:t>
      </w:r>
      <w:r>
        <w:rPr>
          <w:spacing w:val="-2"/>
          <w:sz w:val="21"/>
        </w:rPr>
        <w:t>30</w:t>
      </w:r>
      <w:r>
        <w:rPr>
          <w:spacing w:val="-10"/>
          <w:sz w:val="21"/>
        </w:rPr>
        <w:t> 天以上广泛出血的临床表现。</w:t>
      </w:r>
    </w:p>
    <w:p>
      <w:pPr>
        <w:spacing w:line="375" w:lineRule="exact" w:before="0"/>
        <w:ind w:left="174" w:right="0" w:firstLine="0"/>
        <w:jc w:val="left"/>
        <w:rPr>
          <w:rFonts w:ascii="微软雅黑" w:eastAsia="微软雅黑"/>
          <w:b/>
          <w:sz w:val="21"/>
        </w:rPr>
      </w:pPr>
      <w:r>
        <w:rPr>
          <w:rFonts w:ascii="微软雅黑" w:eastAsia="微软雅黑"/>
          <w:b/>
          <w:spacing w:val="-3"/>
          <w:sz w:val="21"/>
        </w:rPr>
        <w:t>埃博拉病毒感染疑似病例，在确诊之前已经死亡的病例不在本保障范围内。</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4"/>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93"/>
        </w:numPr>
        <w:tabs>
          <w:tab w:pos="1338" w:val="left" w:leader="none"/>
        </w:tabs>
        <w:spacing w:line="194" w:lineRule="auto" w:before="64" w:after="0"/>
        <w:ind w:left="1072" w:right="0" w:firstLine="0"/>
        <w:jc w:val="left"/>
        <w:rPr>
          <w:rFonts w:ascii="Times New Roman" w:eastAsia="Times New Roman"/>
          <w:b/>
          <w:sz w:val="19"/>
        </w:rPr>
      </w:pPr>
      <w:r>
        <w:rPr>
          <w:rFonts w:ascii="Times New Roman" w:eastAsia="Times New Roman"/>
          <w:b/>
          <w:sz w:val="21"/>
        </w:rPr>
        <w:t>Brugada</w:t>
      </w:r>
      <w:r>
        <w:rPr>
          <w:rFonts w:ascii="Times New Roman" w:eastAsia="Times New Roman"/>
          <w:b/>
          <w:spacing w:val="61"/>
          <w:sz w:val="21"/>
        </w:rPr>
        <w:t> </w:t>
      </w:r>
      <w:r>
        <w:rPr>
          <w:rFonts w:ascii="微软雅黑" w:eastAsia="微软雅黑"/>
          <w:b/>
          <w:sz w:val="21"/>
        </w:rPr>
        <w:t>综</w:t>
      </w:r>
      <w:r>
        <w:rPr>
          <w:rFonts w:ascii="微软雅黑" w:eastAsia="微软雅黑"/>
          <w:b/>
          <w:spacing w:val="-6"/>
          <w:sz w:val="21"/>
        </w:rPr>
        <w:t>合征</w:t>
      </w:r>
    </w:p>
    <w:p>
      <w:pPr>
        <w:pStyle w:val="BodyText"/>
        <w:spacing w:line="278" w:lineRule="auto" w:before="78"/>
        <w:ind w:left="175" w:right="355"/>
      </w:pPr>
      <w:r>
        <w:rPr/>
        <w:br w:type="column"/>
      </w:r>
      <w:r>
        <w:rPr>
          <w:spacing w:val="-2"/>
        </w:rPr>
        <w:t>被保险人必须由三级医院心脏专科医生明确诊断为 </w:t>
      </w:r>
      <w:r>
        <w:rPr>
          <w:rFonts w:ascii="Times New Roman" w:eastAsia="Times New Roman"/>
        </w:rPr>
        <w:t>Brugada</w:t>
      </w:r>
      <w:r>
        <w:rPr>
          <w:rFonts w:ascii="Times New Roman" w:eastAsia="Times New Roman"/>
          <w:spacing w:val="3"/>
        </w:rPr>
        <w:t> </w:t>
      </w:r>
      <w:r>
        <w:rPr/>
        <w:t>综合征，并且满足下</w:t>
      </w:r>
      <w:r>
        <w:rPr>
          <w:spacing w:val="-2"/>
        </w:rPr>
        <w:t>列所有条件：</w:t>
      </w:r>
    </w:p>
    <w:p>
      <w:pPr>
        <w:pStyle w:val="ListParagraph"/>
        <w:numPr>
          <w:ilvl w:val="0"/>
          <w:numId w:val="102"/>
        </w:numPr>
        <w:tabs>
          <w:tab w:pos="706" w:val="left" w:leader="none"/>
        </w:tabs>
        <w:spacing w:line="269" w:lineRule="exact" w:before="0" w:after="0"/>
        <w:ind w:left="705" w:right="0" w:hanging="531"/>
        <w:jc w:val="left"/>
        <w:rPr>
          <w:sz w:val="21"/>
        </w:rPr>
      </w:pPr>
      <w:r>
        <w:rPr>
          <w:spacing w:val="-3"/>
          <w:sz w:val="21"/>
        </w:rPr>
        <w:t>有晕厥或心脏骤停病史，并提供完整的诊疗记录；</w:t>
      </w:r>
    </w:p>
    <w:p>
      <w:pPr>
        <w:pStyle w:val="ListParagraph"/>
        <w:numPr>
          <w:ilvl w:val="0"/>
          <w:numId w:val="102"/>
        </w:numPr>
        <w:tabs>
          <w:tab w:pos="706" w:val="left" w:leader="none"/>
        </w:tabs>
        <w:spacing w:line="240" w:lineRule="auto" w:before="43" w:after="0"/>
        <w:ind w:left="705" w:right="0" w:hanging="531"/>
        <w:jc w:val="left"/>
        <w:rPr>
          <w:sz w:val="21"/>
        </w:rPr>
      </w:pPr>
      <w:r>
        <w:rPr>
          <w:spacing w:val="-7"/>
          <w:sz w:val="21"/>
        </w:rPr>
        <w:t>心电图有典型的Ⅰ型 </w:t>
      </w:r>
      <w:r>
        <w:rPr>
          <w:rFonts w:ascii="Times New Roman" w:hAnsi="Times New Roman" w:eastAsia="Times New Roman"/>
          <w:spacing w:val="-2"/>
          <w:sz w:val="21"/>
        </w:rPr>
        <w:t>Brugada</w:t>
      </w:r>
      <w:r>
        <w:rPr>
          <w:rFonts w:ascii="Times New Roman" w:hAnsi="Times New Roman" w:eastAsia="Times New Roman"/>
          <w:spacing w:val="7"/>
          <w:sz w:val="21"/>
        </w:rPr>
        <w:t> </w:t>
      </w:r>
      <w:r>
        <w:rPr>
          <w:spacing w:val="-6"/>
          <w:sz w:val="21"/>
        </w:rPr>
        <w:t>波；</w:t>
      </w:r>
    </w:p>
    <w:p>
      <w:pPr>
        <w:pStyle w:val="ListParagraph"/>
        <w:numPr>
          <w:ilvl w:val="0"/>
          <w:numId w:val="102"/>
        </w:numPr>
        <w:tabs>
          <w:tab w:pos="706" w:val="left" w:leader="none"/>
        </w:tabs>
        <w:spacing w:line="240" w:lineRule="auto" w:before="43" w:after="0"/>
        <w:ind w:left="705" w:right="0" w:hanging="531"/>
        <w:jc w:val="left"/>
        <w:rPr>
          <w:sz w:val="21"/>
        </w:rPr>
      </w:pPr>
      <w:r>
        <w:rPr>
          <w:spacing w:val="-3"/>
          <w:sz w:val="21"/>
        </w:rPr>
        <w:t>已经安装了永久性心脏除颤器。</w:t>
      </w:r>
    </w:p>
    <w:p>
      <w:pPr>
        <w:spacing w:after="0" w:line="240" w:lineRule="auto"/>
        <w:jc w:val="left"/>
        <w:rPr>
          <w:sz w:val="21"/>
        </w:rPr>
        <w:sectPr>
          <w:type w:val="continuous"/>
          <w:pgSz w:w="11910" w:h="16840"/>
          <w:pgMar w:header="0" w:footer="458" w:top="620" w:bottom="280" w:left="800" w:right="660"/>
          <w:cols w:num="2" w:equalWidth="0">
            <w:col w:w="2484" w:space="40"/>
            <w:col w:w="7926"/>
          </w:cols>
        </w:sectPr>
      </w:pPr>
    </w:p>
    <w:p>
      <w:pPr>
        <w:pStyle w:val="BodyText"/>
        <w:spacing w:before="2"/>
        <w:rPr>
          <w:sz w:val="22"/>
        </w:rPr>
      </w:pPr>
    </w:p>
    <w:p>
      <w:pPr>
        <w:spacing w:after="0"/>
        <w:rPr>
          <w:sz w:val="22"/>
        </w:rPr>
        <w:sectPr>
          <w:type w:val="continuous"/>
          <w:pgSz w:w="11910" w:h="16840"/>
          <w:pgMar w:header="0" w:footer="458" w:top="620" w:bottom="280" w:left="800" w:right="660"/>
        </w:sectPr>
      </w:pPr>
    </w:p>
    <w:p>
      <w:pPr>
        <w:pStyle w:val="ListParagraph"/>
        <w:numPr>
          <w:ilvl w:val="0"/>
          <w:numId w:val="93"/>
        </w:numPr>
        <w:tabs>
          <w:tab w:pos="1399" w:val="left" w:leader="none"/>
        </w:tabs>
        <w:spacing w:line="194" w:lineRule="auto" w:before="57" w:after="0"/>
        <w:ind w:left="1072" w:right="0" w:firstLine="0"/>
        <w:jc w:val="left"/>
        <w:rPr>
          <w:rFonts w:ascii="微软雅黑" w:eastAsia="微软雅黑"/>
          <w:b/>
          <w:sz w:val="19"/>
        </w:rPr>
      </w:pPr>
      <w:r>
        <w:rPr>
          <w:rFonts w:ascii="微软雅黑" w:eastAsia="微软雅黑"/>
          <w:b/>
          <w:spacing w:val="-2"/>
          <w:sz w:val="21"/>
        </w:rPr>
        <w:t>川崎病冠状</w:t>
      </w:r>
      <w:r>
        <w:rPr>
          <w:rFonts w:ascii="微软雅黑" w:eastAsia="微软雅黑"/>
          <w:b/>
          <w:spacing w:val="-2"/>
          <w:sz w:val="21"/>
        </w:rPr>
        <w:t>动脉瘤手术</w:t>
      </w:r>
    </w:p>
    <w:p>
      <w:pPr>
        <w:pStyle w:val="BodyText"/>
        <w:spacing w:before="72"/>
        <w:ind w:left="174"/>
      </w:pPr>
      <w:r>
        <w:rPr/>
        <w:br w:type="column"/>
      </w:r>
      <w:r>
        <w:rPr>
          <w:spacing w:val="-3"/>
        </w:rPr>
        <w:t>川崎病为一种病因不明的系统性血管炎。</w:t>
      </w:r>
    </w:p>
    <w:p>
      <w:pPr>
        <w:pStyle w:val="BodyText"/>
        <w:spacing w:line="278" w:lineRule="auto"/>
        <w:ind w:left="174" w:right="359"/>
      </w:pPr>
      <w:r>
        <w:rPr>
          <w:spacing w:val="-2"/>
        </w:rPr>
        <w:t>本合同仅对诊断性检查证实川崎病并发冠状动脉瘤或其他心血管异常并且实际接</w:t>
      </w:r>
      <w:r>
        <w:rPr>
          <w:spacing w:val="-2"/>
        </w:rPr>
        <w:t>受了手术治疗的情况予以理赔。</w:t>
      </w:r>
    </w:p>
    <w:p>
      <w:pPr>
        <w:spacing w:after="0" w:line="278" w:lineRule="auto"/>
        <w:sectPr>
          <w:type w:val="continuous"/>
          <w:pgSz w:w="11910" w:h="16840"/>
          <w:pgMar w:header="0" w:footer="458" w:top="620" w:bottom="280" w:left="800" w:right="660"/>
          <w:cols w:num="2" w:equalWidth="0">
            <w:col w:w="2486" w:space="40"/>
            <w:col w:w="792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93"/>
        </w:numPr>
        <w:tabs>
          <w:tab w:pos="1399" w:val="left" w:leader="none"/>
        </w:tabs>
        <w:spacing w:line="194" w:lineRule="auto" w:before="57" w:after="0"/>
        <w:ind w:left="1072" w:right="0" w:firstLine="0"/>
        <w:jc w:val="left"/>
        <w:rPr>
          <w:rFonts w:ascii="微软雅黑" w:eastAsia="微软雅黑"/>
          <w:b/>
          <w:sz w:val="19"/>
        </w:rPr>
      </w:pPr>
      <w:r>
        <w:rPr>
          <w:rFonts w:ascii="微软雅黑" w:eastAsia="微软雅黑"/>
          <w:b/>
          <w:spacing w:val="-2"/>
          <w:sz w:val="21"/>
        </w:rPr>
        <w:t>严重幼年型</w:t>
      </w:r>
      <w:r>
        <w:rPr>
          <w:rFonts w:ascii="微软雅黑" w:eastAsia="微软雅黑"/>
          <w:b/>
          <w:spacing w:val="-2"/>
          <w:sz w:val="21"/>
        </w:rPr>
        <w:t>类风湿关节炎</w:t>
      </w:r>
    </w:p>
    <w:p>
      <w:pPr>
        <w:pStyle w:val="BodyText"/>
        <w:spacing w:line="278" w:lineRule="auto" w:before="72"/>
        <w:ind w:left="174" w:right="358"/>
      </w:pPr>
      <w:r>
        <w:rPr/>
        <w:br w:type="column"/>
      </w:r>
      <w:r>
        <w:rPr>
          <w:spacing w:val="-2"/>
        </w:rPr>
        <w:t>幼年型类风湿关节炎是一种儿童期发病的慢性关节炎，其特点为在高热和系统性</w:t>
      </w:r>
      <w:r>
        <w:rPr>
          <w:spacing w:val="-2"/>
        </w:rPr>
        <w:t>病征出现数月后发生关节炎。</w:t>
      </w:r>
    </w:p>
    <w:p>
      <w:pPr>
        <w:pStyle w:val="BodyText"/>
        <w:spacing w:line="278" w:lineRule="auto" w:before="0"/>
        <w:ind w:left="174" w:right="359"/>
      </w:pPr>
      <w:r>
        <w:rPr>
          <w:spacing w:val="-2"/>
        </w:rPr>
        <w:t>本合同仅对实际接受了膝关节或髋关节置换手术治疗的严重的幼年型类风湿关节</w:t>
      </w:r>
      <w:r>
        <w:rPr>
          <w:spacing w:val="-2"/>
        </w:rPr>
        <w:t>炎予以理赔。</w:t>
      </w:r>
    </w:p>
    <w:p>
      <w:pPr>
        <w:spacing w:after="0" w:line="278" w:lineRule="auto"/>
        <w:sectPr>
          <w:type w:val="continuous"/>
          <w:pgSz w:w="11910" w:h="16840"/>
          <w:pgMar w:header="0" w:footer="458" w:top="620" w:bottom="280" w:left="800" w:right="660"/>
          <w:cols w:num="2" w:equalWidth="0">
            <w:col w:w="2486" w:space="40"/>
            <w:col w:w="7924"/>
          </w:cols>
        </w:sectPr>
      </w:pPr>
    </w:p>
    <w:p>
      <w:pPr>
        <w:pStyle w:val="BodyText"/>
        <w:spacing w:before="9"/>
        <w:rPr>
          <w:sz w:val="18"/>
        </w:rPr>
      </w:pPr>
    </w:p>
    <w:p>
      <w:pPr>
        <w:spacing w:after="0"/>
        <w:rPr>
          <w:sz w:val="18"/>
        </w:rPr>
        <w:sectPr>
          <w:type w:val="continuous"/>
          <w:pgSz w:w="11910" w:h="16840"/>
          <w:pgMar w:header="0" w:footer="458" w:top="620" w:bottom="280" w:left="800" w:right="660"/>
        </w:sectPr>
      </w:pPr>
    </w:p>
    <w:p>
      <w:pPr>
        <w:pStyle w:val="ListParagraph"/>
        <w:numPr>
          <w:ilvl w:val="0"/>
          <w:numId w:val="93"/>
        </w:numPr>
        <w:tabs>
          <w:tab w:pos="1399" w:val="left" w:leader="none"/>
        </w:tabs>
        <w:spacing w:line="194" w:lineRule="auto" w:before="57" w:after="0"/>
        <w:ind w:left="1072" w:right="0" w:firstLine="0"/>
        <w:jc w:val="both"/>
        <w:rPr>
          <w:rFonts w:ascii="微软雅黑" w:eastAsia="微软雅黑"/>
          <w:b/>
          <w:sz w:val="19"/>
        </w:rPr>
      </w:pPr>
      <w:r>
        <w:rPr>
          <w:rFonts w:ascii="微软雅黑" w:eastAsia="微软雅黑"/>
          <w:b/>
          <w:spacing w:val="-2"/>
          <w:sz w:val="21"/>
        </w:rPr>
        <w:t>因疾病或外</w:t>
      </w:r>
      <w:r>
        <w:rPr>
          <w:rFonts w:ascii="微软雅黑" w:eastAsia="微软雅黑"/>
          <w:b/>
          <w:spacing w:val="20"/>
          <w:sz w:val="21"/>
        </w:rPr>
        <w:t>伤导致智力缺</w:t>
      </w:r>
      <w:r>
        <w:rPr>
          <w:rFonts w:ascii="微软雅黑" w:eastAsia="微软雅黑"/>
          <w:b/>
          <w:spacing w:val="-10"/>
          <w:sz w:val="21"/>
        </w:rPr>
        <w:t>陷</w:t>
      </w:r>
    </w:p>
    <w:p>
      <w:pPr>
        <w:pStyle w:val="BodyText"/>
        <w:spacing w:line="278" w:lineRule="auto" w:before="72"/>
        <w:ind w:left="174" w:right="250"/>
      </w:pPr>
      <w:r>
        <w:rPr/>
        <w:br w:type="column"/>
      </w:r>
      <w:r>
        <w:rPr>
          <w:spacing w:val="-1"/>
          <w:w w:val="100"/>
        </w:rPr>
        <w:t>因严重头部创伤或疾病造成被保险人智力低常</w:t>
      </w:r>
      <w:r>
        <w:rPr>
          <w:w w:val="100"/>
        </w:rPr>
        <w:t>（</w:t>
      </w:r>
      <w:r>
        <w:rPr>
          <w:spacing w:val="-2"/>
          <w:w w:val="100"/>
        </w:rPr>
        <w:t>智力低于常态</w:t>
      </w:r>
      <w:r>
        <w:rPr>
          <w:w w:val="100"/>
        </w:rPr>
        <w:t>）</w:t>
      </w:r>
      <w:r>
        <w:rPr>
          <w:spacing w:val="-1"/>
          <w:w w:val="100"/>
        </w:rPr>
        <w:t>或智力残疾。根</w:t>
      </w:r>
      <w:r>
        <w:rPr>
          <w:spacing w:val="-3"/>
          <w:w w:val="100"/>
        </w:rPr>
        <w:t>据智商</w:t>
      </w:r>
      <w:r>
        <w:rPr>
          <w:w w:val="100"/>
        </w:rPr>
        <w:t>（</w:t>
      </w:r>
      <w:r>
        <w:rPr>
          <w:rFonts w:ascii="Times New Roman" w:eastAsia="Times New Roman"/>
          <w:spacing w:val="-4"/>
          <w:w w:val="100"/>
        </w:rPr>
        <w:t>I</w:t>
      </w:r>
      <w:r>
        <w:rPr>
          <w:rFonts w:ascii="Times New Roman" w:eastAsia="Times New Roman"/>
          <w:spacing w:val="1"/>
          <w:w w:val="100"/>
        </w:rPr>
        <w:t>Q</w:t>
      </w:r>
      <w:r>
        <w:rPr>
          <w:spacing w:val="-3"/>
          <w:w w:val="100"/>
        </w:rPr>
        <w:t>）</w:t>
      </w:r>
      <w:r>
        <w:rPr>
          <w:spacing w:val="-4"/>
          <w:w w:val="100"/>
        </w:rPr>
        <w:t>智力低常分为轻度</w:t>
      </w:r>
      <w:r>
        <w:rPr>
          <w:w w:val="100"/>
        </w:rPr>
        <w:t>（</w:t>
      </w:r>
      <w:r>
        <w:rPr>
          <w:rFonts w:ascii="Times New Roman" w:eastAsia="Times New Roman"/>
          <w:spacing w:val="-4"/>
          <w:w w:val="100"/>
        </w:rPr>
        <w:t>I</w:t>
      </w:r>
      <w:r>
        <w:rPr>
          <w:rFonts w:ascii="Times New Roman" w:eastAsia="Times New Roman"/>
          <w:spacing w:val="1"/>
          <w:w w:val="100"/>
        </w:rPr>
        <w:t>Q</w:t>
      </w:r>
      <w:r>
        <w:rPr>
          <w:w w:val="100"/>
        </w:rPr>
        <w:t>50-</w:t>
      </w:r>
      <w:r>
        <w:rPr>
          <w:spacing w:val="-3"/>
          <w:w w:val="100"/>
        </w:rPr>
        <w:t>7</w:t>
      </w:r>
      <w:r>
        <w:rPr>
          <w:w w:val="100"/>
        </w:rPr>
        <w:t>0</w:t>
      </w:r>
      <w:r>
        <w:rPr>
          <w:spacing w:val="-106"/>
          <w:w w:val="100"/>
        </w:rPr>
        <w:t>）</w:t>
      </w:r>
      <w:r>
        <w:rPr>
          <w:spacing w:val="-4"/>
          <w:w w:val="100"/>
        </w:rPr>
        <w:t>；中度</w:t>
      </w:r>
      <w:r>
        <w:rPr>
          <w:w w:val="100"/>
        </w:rPr>
        <w:t>（</w:t>
      </w:r>
      <w:r>
        <w:rPr>
          <w:rFonts w:ascii="Times New Roman" w:eastAsia="Times New Roman"/>
          <w:spacing w:val="-4"/>
          <w:w w:val="100"/>
        </w:rPr>
        <w:t>I</w:t>
      </w:r>
      <w:r>
        <w:rPr>
          <w:rFonts w:ascii="Times New Roman" w:eastAsia="Times New Roman"/>
          <w:spacing w:val="1"/>
          <w:w w:val="100"/>
        </w:rPr>
        <w:t>Q</w:t>
      </w:r>
      <w:r>
        <w:rPr>
          <w:w w:val="100"/>
        </w:rPr>
        <w:t>35-50</w:t>
      </w:r>
      <w:r>
        <w:rPr>
          <w:spacing w:val="-108"/>
          <w:w w:val="100"/>
        </w:rPr>
        <w:t>）</w:t>
      </w:r>
      <w:r>
        <w:rPr>
          <w:spacing w:val="-3"/>
          <w:w w:val="100"/>
        </w:rPr>
        <w:t>；重度</w:t>
      </w:r>
      <w:r>
        <w:rPr>
          <w:spacing w:val="-1"/>
          <w:w w:val="100"/>
        </w:rPr>
        <w:t>（</w:t>
      </w:r>
      <w:r>
        <w:rPr>
          <w:rFonts w:ascii="Times New Roman" w:eastAsia="Times New Roman"/>
          <w:spacing w:val="-4"/>
          <w:w w:val="100"/>
        </w:rPr>
        <w:t>I</w:t>
      </w:r>
      <w:r>
        <w:rPr>
          <w:rFonts w:ascii="Times New Roman" w:eastAsia="Times New Roman"/>
          <w:spacing w:val="1"/>
          <w:w w:val="100"/>
        </w:rPr>
        <w:t>Q</w:t>
      </w:r>
      <w:r>
        <w:rPr>
          <w:w w:val="100"/>
        </w:rPr>
        <w:t>20</w:t>
      </w:r>
      <w:r>
        <w:rPr>
          <w:spacing w:val="-3"/>
          <w:w w:val="100"/>
        </w:rPr>
        <w:t>-</w:t>
      </w:r>
      <w:r>
        <w:rPr>
          <w:w w:val="100"/>
        </w:rPr>
        <w:t>35）</w:t>
      </w:r>
      <w:r>
        <w:rPr>
          <w:spacing w:val="-7"/>
          <w:w w:val="100"/>
        </w:rPr>
        <w:t>和极重度</w:t>
      </w:r>
      <w:r>
        <w:rPr>
          <w:w w:val="100"/>
        </w:rPr>
        <w:t>（</w:t>
      </w:r>
      <w:r>
        <w:rPr>
          <w:rFonts w:ascii="Times New Roman" w:eastAsia="Times New Roman"/>
          <w:spacing w:val="-4"/>
          <w:w w:val="100"/>
        </w:rPr>
        <w:t>I</w:t>
      </w:r>
      <w:r>
        <w:rPr>
          <w:rFonts w:ascii="Times New Roman" w:eastAsia="Times New Roman"/>
          <w:spacing w:val="1"/>
          <w:w w:val="100"/>
        </w:rPr>
        <w:t>Q</w:t>
      </w:r>
      <w:r>
        <w:rPr>
          <w:w w:val="100"/>
        </w:rPr>
        <w:t>＜</w:t>
      </w:r>
      <w:r>
        <w:rPr>
          <w:spacing w:val="-3"/>
          <w:w w:val="100"/>
        </w:rPr>
        <w:t>2</w:t>
      </w:r>
      <w:r>
        <w:rPr>
          <w:w w:val="100"/>
        </w:rPr>
        <w:t>0</w:t>
      </w:r>
      <w:r>
        <w:rPr>
          <w:spacing w:val="-106"/>
          <w:w w:val="100"/>
        </w:rPr>
        <w:t>）</w:t>
      </w:r>
      <w:r>
        <w:rPr>
          <w:spacing w:val="-9"/>
          <w:w w:val="100"/>
        </w:rPr>
        <w:t>。智商</w:t>
      </w:r>
      <w:r>
        <w:rPr>
          <w:spacing w:val="-55"/>
        </w:rPr>
        <w:t> </w:t>
      </w:r>
      <w:r>
        <w:rPr>
          <w:w w:val="100"/>
        </w:rPr>
        <w:t>70-85</w:t>
      </w:r>
      <w:r>
        <w:rPr>
          <w:spacing w:val="-55"/>
        </w:rPr>
        <w:t> </w:t>
      </w:r>
      <w:r>
        <w:rPr>
          <w:spacing w:val="-7"/>
          <w:w w:val="100"/>
        </w:rPr>
        <w:t>为智力临界低常，不在本保障范围内。智商的检测必须由本公司认可的专职心理测验工作者进行，心理测验工作者必须持有由心理测量专业委员会资格认定书。根据被保险人年龄采用对应的智力量表如韦克斯</w:t>
      </w:r>
      <w:r>
        <w:rPr>
          <w:spacing w:val="-5"/>
          <w:w w:val="100"/>
        </w:rPr>
        <w:t>勒智力量表</w:t>
      </w:r>
      <w:r>
        <w:rPr>
          <w:w w:val="100"/>
        </w:rPr>
        <w:t>（</w:t>
      </w:r>
      <w:r>
        <w:rPr>
          <w:spacing w:val="-3"/>
          <w:w w:val="100"/>
        </w:rPr>
        <w:t>儿童智力量表或成人智力量表</w:t>
      </w:r>
      <w:r>
        <w:rPr>
          <w:spacing w:val="-108"/>
          <w:w w:val="100"/>
        </w:rPr>
        <w:t>）</w:t>
      </w:r>
      <w:r>
        <w:rPr>
          <w:w w:val="100"/>
        </w:rPr>
        <w:t>。</w:t>
      </w:r>
    </w:p>
    <w:p>
      <w:pPr>
        <w:pStyle w:val="BodyText"/>
        <w:spacing w:before="0"/>
        <w:ind w:left="174"/>
      </w:pPr>
      <w:r>
        <w:rPr>
          <w:spacing w:val="-3"/>
        </w:rPr>
        <w:t>理赔时必须满足以下所有条件：</w:t>
      </w:r>
    </w:p>
    <w:p>
      <w:pPr>
        <w:pStyle w:val="ListParagraph"/>
        <w:numPr>
          <w:ilvl w:val="0"/>
          <w:numId w:val="103"/>
        </w:numPr>
        <w:tabs>
          <w:tab w:pos="705" w:val="left" w:leader="none"/>
        </w:tabs>
        <w:spacing w:line="240" w:lineRule="auto" w:before="43" w:after="0"/>
        <w:ind w:left="704" w:right="0" w:hanging="531"/>
        <w:jc w:val="left"/>
        <w:rPr>
          <w:sz w:val="21"/>
        </w:rPr>
      </w:pPr>
      <w:r>
        <w:rPr>
          <w:spacing w:val="-7"/>
          <w:sz w:val="21"/>
        </w:rPr>
        <w:t>被保险人大于或等于 </w:t>
      </w:r>
      <w:r>
        <w:rPr>
          <w:spacing w:val="-2"/>
          <w:sz w:val="21"/>
        </w:rPr>
        <w:t>6</w:t>
      </w:r>
      <w:r>
        <w:rPr>
          <w:spacing w:val="-12"/>
          <w:sz w:val="21"/>
        </w:rPr>
        <w:t> 周岁，且在做智力鉴定并确诊时小于 </w:t>
      </w:r>
      <w:r>
        <w:rPr>
          <w:spacing w:val="-2"/>
          <w:sz w:val="21"/>
        </w:rPr>
        <w:t>25</w:t>
      </w:r>
      <w:r>
        <w:rPr>
          <w:spacing w:val="-16"/>
          <w:sz w:val="21"/>
        </w:rPr>
        <w:t> 周岁；</w:t>
      </w:r>
    </w:p>
    <w:p>
      <w:pPr>
        <w:pStyle w:val="ListParagraph"/>
        <w:numPr>
          <w:ilvl w:val="0"/>
          <w:numId w:val="103"/>
        </w:numPr>
        <w:tabs>
          <w:tab w:pos="705" w:val="left" w:leader="none"/>
        </w:tabs>
        <w:spacing w:line="240" w:lineRule="auto" w:before="43" w:after="0"/>
        <w:ind w:left="704" w:right="0" w:hanging="531"/>
        <w:jc w:val="left"/>
        <w:rPr>
          <w:sz w:val="21"/>
        </w:rPr>
      </w:pPr>
      <w:r>
        <w:rPr>
          <w:spacing w:val="-3"/>
          <w:sz w:val="21"/>
        </w:rPr>
        <w:t>主任医师确诊被保险人由于严重头部创伤或疾病造成智力低下；</w:t>
      </w:r>
    </w:p>
    <w:p>
      <w:pPr>
        <w:pStyle w:val="ListParagraph"/>
        <w:numPr>
          <w:ilvl w:val="0"/>
          <w:numId w:val="103"/>
        </w:numPr>
        <w:tabs>
          <w:tab w:pos="705" w:val="left" w:leader="none"/>
        </w:tabs>
        <w:spacing w:line="278" w:lineRule="auto" w:before="42" w:after="0"/>
        <w:ind w:left="174" w:right="283" w:firstLine="0"/>
        <w:jc w:val="left"/>
        <w:rPr>
          <w:sz w:val="21"/>
        </w:rPr>
      </w:pPr>
      <w:r>
        <w:rPr>
          <w:spacing w:val="-2"/>
          <w:sz w:val="21"/>
        </w:rPr>
        <w:t>专职合格心理检测工作者适时做的心理检测证实被保险人智力低常（轻度、</w:t>
      </w:r>
      <w:r>
        <w:rPr>
          <w:spacing w:val="-2"/>
          <w:sz w:val="21"/>
        </w:rPr>
        <w:t>中度、重度或极重度</w:t>
      </w:r>
      <w:r>
        <w:rPr>
          <w:spacing w:val="-106"/>
          <w:sz w:val="21"/>
        </w:rPr>
        <w:t>）</w:t>
      </w:r>
      <w:r>
        <w:rPr>
          <w:sz w:val="21"/>
        </w:rPr>
        <w:t>；</w:t>
      </w:r>
    </w:p>
    <w:p>
      <w:pPr>
        <w:pStyle w:val="ListParagraph"/>
        <w:numPr>
          <w:ilvl w:val="0"/>
          <w:numId w:val="103"/>
        </w:numPr>
        <w:tabs>
          <w:tab w:pos="705" w:val="left" w:leader="none"/>
        </w:tabs>
        <w:spacing w:line="269" w:lineRule="exact" w:before="0" w:after="0"/>
        <w:ind w:left="704" w:right="0" w:hanging="531"/>
        <w:jc w:val="left"/>
        <w:rPr>
          <w:sz w:val="21"/>
        </w:rPr>
      </w:pPr>
      <w:r>
        <w:rPr>
          <w:spacing w:val="-5"/>
          <w:sz w:val="21"/>
        </w:rPr>
        <w:t>被保险人的智力低常自确认日起持续 </w:t>
      </w:r>
      <w:r>
        <w:rPr>
          <w:spacing w:val="-2"/>
          <w:sz w:val="21"/>
        </w:rPr>
        <w:t>180</w:t>
      </w:r>
      <w:r>
        <w:rPr>
          <w:spacing w:val="-14"/>
          <w:sz w:val="21"/>
        </w:rPr>
        <w:t> 天以上。</w:t>
      </w:r>
    </w:p>
    <w:p>
      <w:pPr>
        <w:spacing w:after="0" w:line="269" w:lineRule="exact"/>
        <w:jc w:val="left"/>
        <w:rPr>
          <w:sz w:val="21"/>
        </w:rPr>
        <w:sectPr>
          <w:type w:val="continuous"/>
          <w:pgSz w:w="11910" w:h="16840"/>
          <w:pgMar w:header="0" w:footer="458" w:top="620" w:bottom="280" w:left="800" w:right="660"/>
          <w:cols w:num="2" w:equalWidth="0">
            <w:col w:w="2486" w:space="40"/>
            <w:col w:w="7924"/>
          </w:cols>
        </w:sectPr>
      </w:pPr>
    </w:p>
    <w:p>
      <w:pPr>
        <w:pStyle w:val="BodyText"/>
        <w:spacing w:before="0"/>
        <w:rPr>
          <w:sz w:val="20"/>
        </w:rPr>
      </w:pPr>
    </w:p>
    <w:p>
      <w:pPr>
        <w:pStyle w:val="BodyText"/>
        <w:spacing w:before="0"/>
        <w:rPr>
          <w:sz w:val="20"/>
        </w:rPr>
      </w:pPr>
    </w:p>
    <w:p>
      <w:pPr>
        <w:spacing w:after="0"/>
        <w:rPr>
          <w:sz w:val="20"/>
        </w:rPr>
        <w:sectPr>
          <w:pgSz w:w="11910" w:h="16840"/>
          <w:pgMar w:header="0" w:footer="458" w:top="1580" w:bottom="640" w:left="800" w:right="660"/>
        </w:sectPr>
      </w:pPr>
    </w:p>
    <w:p>
      <w:pPr>
        <w:pStyle w:val="BodyText"/>
        <w:spacing w:before="10"/>
        <w:rPr>
          <w:sz w:val="14"/>
        </w:rPr>
      </w:pPr>
    </w:p>
    <w:p>
      <w:pPr>
        <w:pStyle w:val="ListParagraph"/>
        <w:numPr>
          <w:ilvl w:val="0"/>
          <w:numId w:val="93"/>
        </w:numPr>
        <w:tabs>
          <w:tab w:pos="1399" w:val="left" w:leader="none"/>
        </w:tabs>
        <w:spacing w:line="194" w:lineRule="auto" w:before="0" w:after="0"/>
        <w:ind w:left="1072" w:right="0" w:firstLine="0"/>
        <w:jc w:val="left"/>
        <w:rPr>
          <w:rFonts w:ascii="微软雅黑" w:eastAsia="微软雅黑"/>
          <w:b/>
          <w:sz w:val="19"/>
        </w:rPr>
      </w:pPr>
      <w:r>
        <w:rPr>
          <w:rFonts w:ascii="微软雅黑" w:eastAsia="微软雅黑"/>
          <w:b/>
          <w:spacing w:val="-2"/>
          <w:sz w:val="21"/>
        </w:rPr>
        <w:t>严重肠道疾</w:t>
      </w:r>
      <w:r>
        <w:rPr>
          <w:rFonts w:ascii="微软雅黑" w:eastAsia="微软雅黑"/>
          <w:b/>
          <w:spacing w:val="-4"/>
          <w:sz w:val="21"/>
        </w:rPr>
        <w:t>病并发症</w:t>
      </w:r>
    </w:p>
    <w:p>
      <w:pPr>
        <w:spacing w:line="240" w:lineRule="auto" w:before="1"/>
        <w:rPr>
          <w:rFonts w:ascii="微软雅黑"/>
          <w:b/>
          <w:sz w:val="11"/>
        </w:rPr>
      </w:pPr>
      <w:r>
        <w:rPr/>
        <w:br w:type="column"/>
      </w:r>
      <w:r>
        <w:rPr>
          <w:rFonts w:ascii="微软雅黑"/>
          <w:b/>
          <w:sz w:val="11"/>
        </w:rPr>
      </w:r>
    </w:p>
    <w:p>
      <w:pPr>
        <w:pStyle w:val="BodyText"/>
        <w:spacing w:before="0"/>
        <w:ind w:left="174"/>
      </w:pPr>
      <w:r>
        <w:rPr>
          <w:spacing w:val="-3"/>
        </w:rPr>
        <w:t>严重肠道疾病或外伤导致小肠损害并发症，必须满足以下所有条件：</w:t>
      </w:r>
    </w:p>
    <w:p>
      <w:pPr>
        <w:pStyle w:val="ListParagraph"/>
        <w:numPr>
          <w:ilvl w:val="0"/>
          <w:numId w:val="104"/>
        </w:numPr>
        <w:tabs>
          <w:tab w:pos="705" w:val="left" w:leader="none"/>
        </w:tabs>
        <w:spacing w:line="240" w:lineRule="auto" w:before="43" w:after="0"/>
        <w:ind w:left="704" w:right="0" w:hanging="531"/>
        <w:jc w:val="left"/>
        <w:rPr>
          <w:sz w:val="21"/>
        </w:rPr>
      </w:pPr>
      <w:r>
        <w:rPr>
          <w:spacing w:val="-3"/>
          <w:sz w:val="21"/>
        </w:rPr>
        <w:t>至少切除了三分之二小肠；</w:t>
      </w:r>
    </w:p>
    <w:p>
      <w:pPr>
        <w:pStyle w:val="ListParagraph"/>
        <w:numPr>
          <w:ilvl w:val="0"/>
          <w:numId w:val="104"/>
        </w:numPr>
        <w:tabs>
          <w:tab w:pos="705" w:val="left" w:leader="none"/>
        </w:tabs>
        <w:spacing w:line="240" w:lineRule="auto" w:before="43" w:after="0"/>
        <w:ind w:left="704" w:right="0" w:hanging="531"/>
        <w:jc w:val="left"/>
        <w:rPr>
          <w:sz w:val="21"/>
        </w:rPr>
      </w:pPr>
      <w:r>
        <w:rPr>
          <w:spacing w:val="-8"/>
          <w:sz w:val="21"/>
        </w:rPr>
        <w:t>完全肠外营养支持 </w:t>
      </w:r>
      <w:r>
        <w:rPr>
          <w:spacing w:val="-2"/>
          <w:sz w:val="21"/>
        </w:rPr>
        <w:t>3</w:t>
      </w:r>
      <w:r>
        <w:rPr>
          <w:spacing w:val="-12"/>
          <w:sz w:val="21"/>
        </w:rPr>
        <w:t> 个月以上。</w:t>
      </w:r>
    </w:p>
    <w:p>
      <w:pPr>
        <w:spacing w:after="0" w:line="240" w:lineRule="auto"/>
        <w:jc w:val="left"/>
        <w:rPr>
          <w:sz w:val="21"/>
        </w:rPr>
        <w:sectPr>
          <w:type w:val="continuous"/>
          <w:pgSz w:w="11910" w:h="16840"/>
          <w:pgMar w:header="0" w:footer="458" w:top="620" w:bottom="280" w:left="800" w:right="660"/>
          <w:cols w:num="2" w:equalWidth="0">
            <w:col w:w="2486" w:space="40"/>
            <w:col w:w="7924"/>
          </w:cols>
        </w:sectPr>
      </w:pPr>
    </w:p>
    <w:p>
      <w:pPr>
        <w:pStyle w:val="BodyText"/>
        <w:spacing w:before="5"/>
        <w:rPr>
          <w:sz w:val="9"/>
        </w:rPr>
      </w:pPr>
    </w:p>
    <w:p>
      <w:pPr>
        <w:spacing w:after="0"/>
        <w:rPr>
          <w:sz w:val="9"/>
        </w:rPr>
        <w:sectPr>
          <w:type w:val="continuous"/>
          <w:pgSz w:w="11910" w:h="16840"/>
          <w:pgMar w:header="0" w:footer="458" w:top="620" w:bottom="280" w:left="800" w:right="660"/>
        </w:sectPr>
      </w:pPr>
    </w:p>
    <w:p>
      <w:pPr>
        <w:pStyle w:val="ListParagraph"/>
        <w:numPr>
          <w:ilvl w:val="0"/>
          <w:numId w:val="93"/>
        </w:numPr>
        <w:tabs>
          <w:tab w:pos="1399" w:val="left" w:leader="none"/>
        </w:tabs>
        <w:spacing w:line="194" w:lineRule="auto" w:before="64" w:after="0"/>
        <w:ind w:left="1072" w:right="0" w:firstLine="0"/>
        <w:jc w:val="left"/>
        <w:rPr>
          <w:rFonts w:ascii="微软雅黑" w:eastAsia="微软雅黑"/>
          <w:b/>
          <w:sz w:val="19"/>
        </w:rPr>
      </w:pPr>
      <w:r>
        <w:rPr>
          <w:rFonts w:ascii="微软雅黑" w:eastAsia="微软雅黑"/>
          <w:b/>
          <w:spacing w:val="-2"/>
          <w:sz w:val="21"/>
        </w:rPr>
        <w:t>严重瑞氏综</w:t>
      </w:r>
      <w:r>
        <w:rPr>
          <w:rFonts w:ascii="微软雅黑" w:eastAsia="微软雅黑"/>
          <w:b/>
          <w:spacing w:val="-6"/>
          <w:sz w:val="21"/>
        </w:rPr>
        <w:t>合征</w:t>
      </w:r>
    </w:p>
    <w:p>
      <w:pPr>
        <w:pStyle w:val="BodyText"/>
        <w:spacing w:line="278" w:lineRule="auto" w:before="79"/>
        <w:ind w:left="174" w:right="358"/>
        <w:jc w:val="both"/>
      </w:pPr>
      <w:r>
        <w:rPr/>
        <w:br w:type="column"/>
      </w:r>
      <w:r>
        <w:rPr>
          <w:spacing w:val="-2"/>
        </w:rPr>
        <w:t>瑞氏综合征（</w:t>
      </w:r>
      <w:r>
        <w:rPr>
          <w:rFonts w:ascii="Times New Roman" w:eastAsia="Times New Roman"/>
          <w:spacing w:val="-2"/>
        </w:rPr>
        <w:t>Reye </w:t>
      </w:r>
      <w:r>
        <w:rPr>
          <w:spacing w:val="-2"/>
        </w:rPr>
        <w:t>综合征）是线粒体功能障碍性疾病。导致脂肪代谢障碍，引起</w:t>
      </w:r>
      <w:r>
        <w:rPr>
          <w:spacing w:val="-2"/>
        </w:rPr>
        <w:t>短链脂肪酸、血氨升高，造成脑水肿。主要临床表现为急性发热、反复呕吐、惊</w:t>
      </w:r>
      <w:r>
        <w:rPr>
          <w:spacing w:val="-2"/>
        </w:rPr>
        <w:t>厥及意识障碍等。肝脏活检是确诊的重要手段。瑞氏综合征需由三级医院的专科</w:t>
      </w:r>
      <w:r>
        <w:rPr>
          <w:spacing w:val="-2"/>
        </w:rPr>
        <w:t>医生确诊，并满足下列所有条件：</w:t>
      </w:r>
    </w:p>
    <w:p>
      <w:pPr>
        <w:pStyle w:val="ListParagraph"/>
        <w:numPr>
          <w:ilvl w:val="0"/>
          <w:numId w:val="105"/>
        </w:numPr>
        <w:tabs>
          <w:tab w:pos="705" w:val="left" w:leader="none"/>
        </w:tabs>
        <w:spacing w:line="269" w:lineRule="exact" w:before="0" w:after="0"/>
        <w:ind w:left="704" w:right="0" w:hanging="531"/>
        <w:jc w:val="left"/>
        <w:rPr>
          <w:sz w:val="21"/>
        </w:rPr>
      </w:pPr>
      <w:r>
        <w:rPr>
          <w:spacing w:val="-3"/>
          <w:sz w:val="21"/>
        </w:rPr>
        <w:t>有脑水肿和颅内压升高的脑脊液检查和影像学检查证据；</w:t>
      </w:r>
    </w:p>
    <w:p>
      <w:pPr>
        <w:pStyle w:val="ListParagraph"/>
        <w:numPr>
          <w:ilvl w:val="0"/>
          <w:numId w:val="105"/>
        </w:numPr>
        <w:tabs>
          <w:tab w:pos="705" w:val="left" w:leader="none"/>
        </w:tabs>
        <w:spacing w:line="240" w:lineRule="auto" w:before="43" w:after="0"/>
        <w:ind w:left="704" w:right="0" w:hanging="531"/>
        <w:jc w:val="left"/>
        <w:rPr>
          <w:sz w:val="21"/>
        </w:rPr>
      </w:pPr>
      <w:r>
        <w:rPr>
          <w:spacing w:val="-8"/>
          <w:sz w:val="21"/>
        </w:rPr>
        <w:t>血氨超过正常值的 </w:t>
      </w:r>
      <w:r>
        <w:rPr>
          <w:spacing w:val="-2"/>
          <w:sz w:val="21"/>
        </w:rPr>
        <w:t>3</w:t>
      </w:r>
      <w:r>
        <w:rPr>
          <w:spacing w:val="-21"/>
          <w:sz w:val="21"/>
        </w:rPr>
        <w:t> 倍；</w:t>
      </w:r>
    </w:p>
    <w:p>
      <w:pPr>
        <w:pStyle w:val="ListParagraph"/>
        <w:numPr>
          <w:ilvl w:val="0"/>
          <w:numId w:val="105"/>
        </w:numPr>
        <w:tabs>
          <w:tab w:pos="705" w:val="left" w:leader="none"/>
        </w:tabs>
        <w:spacing w:line="240" w:lineRule="auto" w:before="43" w:after="0"/>
        <w:ind w:left="704" w:right="0" w:hanging="531"/>
        <w:jc w:val="left"/>
        <w:rPr>
          <w:sz w:val="21"/>
        </w:rPr>
      </w:pPr>
      <w:r>
        <w:rPr>
          <w:spacing w:val="-5"/>
          <w:sz w:val="21"/>
        </w:rPr>
        <w:t>临床出现昏迷，病程至少达到疾病分期第 </w:t>
      </w:r>
      <w:r>
        <w:rPr>
          <w:spacing w:val="-2"/>
          <w:sz w:val="21"/>
        </w:rPr>
        <w:t>3</w:t>
      </w:r>
      <w:r>
        <w:rPr>
          <w:spacing w:val="-20"/>
          <w:sz w:val="21"/>
        </w:rPr>
        <w:t> 期。</w:t>
      </w:r>
    </w:p>
    <w:p>
      <w:pPr>
        <w:spacing w:after="0" w:line="240" w:lineRule="auto"/>
        <w:jc w:val="left"/>
        <w:rPr>
          <w:sz w:val="21"/>
        </w:rPr>
        <w:sectPr>
          <w:type w:val="continuous"/>
          <w:pgSz w:w="11910" w:h="16840"/>
          <w:pgMar w:header="0" w:footer="458" w:top="620" w:bottom="280" w:left="800" w:right="660"/>
          <w:cols w:num="2" w:equalWidth="0">
            <w:col w:w="2486" w:space="40"/>
            <w:col w:w="7924"/>
          </w:cols>
        </w:sectPr>
      </w:pPr>
    </w:p>
    <w:p>
      <w:pPr>
        <w:pStyle w:val="BodyText"/>
        <w:spacing w:before="2"/>
        <w:rPr>
          <w:sz w:val="22"/>
        </w:rPr>
      </w:pPr>
    </w:p>
    <w:p>
      <w:pPr>
        <w:spacing w:after="0"/>
        <w:rPr>
          <w:sz w:val="22"/>
        </w:rPr>
        <w:sectPr>
          <w:type w:val="continuous"/>
          <w:pgSz w:w="11910" w:h="16840"/>
          <w:pgMar w:header="0" w:footer="458" w:top="620" w:bottom="280" w:left="800" w:right="660"/>
        </w:sectPr>
      </w:pPr>
    </w:p>
    <w:p>
      <w:pPr>
        <w:pStyle w:val="ListParagraph"/>
        <w:numPr>
          <w:ilvl w:val="0"/>
          <w:numId w:val="93"/>
        </w:numPr>
        <w:tabs>
          <w:tab w:pos="1399" w:val="left" w:leader="none"/>
        </w:tabs>
        <w:spacing w:line="350" w:lineRule="exact" w:before="4" w:after="0"/>
        <w:ind w:left="1398" w:right="0" w:hanging="327"/>
        <w:jc w:val="left"/>
        <w:rPr>
          <w:rFonts w:ascii="微软雅黑" w:eastAsia="微软雅黑"/>
          <w:b/>
          <w:sz w:val="19"/>
        </w:rPr>
      </w:pPr>
      <w:r>
        <w:rPr>
          <w:rFonts w:ascii="微软雅黑" w:eastAsia="微软雅黑"/>
          <w:b/>
          <w:spacing w:val="-2"/>
          <w:sz w:val="21"/>
        </w:rPr>
        <w:t>急性肺损伤</w:t>
      </w:r>
    </w:p>
    <w:p>
      <w:pPr>
        <w:spacing w:line="194" w:lineRule="auto" w:before="15"/>
        <w:ind w:left="1072" w:right="0" w:firstLine="0"/>
        <w:jc w:val="both"/>
        <w:rPr>
          <w:rFonts w:ascii="微软雅黑" w:eastAsia="微软雅黑"/>
          <w:b/>
          <w:sz w:val="21"/>
        </w:rPr>
      </w:pPr>
      <w:r>
        <w:rPr>
          <w:rFonts w:ascii="微软雅黑" w:eastAsia="微软雅黑"/>
          <w:b/>
          <w:spacing w:val="-4"/>
          <w:sz w:val="21"/>
        </w:rPr>
        <w:t>（</w:t>
      </w:r>
      <w:r>
        <w:rPr>
          <w:rFonts w:ascii="Times New Roman" w:eastAsia="Times New Roman"/>
          <w:b/>
          <w:spacing w:val="-4"/>
          <w:sz w:val="21"/>
        </w:rPr>
        <w:t>ALI</w:t>
      </w:r>
      <w:r>
        <w:rPr>
          <w:rFonts w:ascii="微软雅黑" w:eastAsia="微软雅黑"/>
          <w:b/>
          <w:spacing w:val="-4"/>
          <w:sz w:val="21"/>
        </w:rPr>
        <w:t>）或急性</w:t>
      </w:r>
      <w:r>
        <w:rPr>
          <w:rFonts w:ascii="微软雅黑" w:eastAsia="微软雅黑"/>
          <w:b/>
          <w:spacing w:val="20"/>
          <w:sz w:val="21"/>
        </w:rPr>
        <w:t>呼吸窘迫综合</w:t>
      </w:r>
      <w:r>
        <w:rPr>
          <w:rFonts w:ascii="微软雅黑" w:eastAsia="微软雅黑"/>
          <w:b/>
          <w:spacing w:val="-2"/>
          <w:sz w:val="21"/>
        </w:rPr>
        <w:t>征（</w:t>
      </w:r>
      <w:r>
        <w:rPr>
          <w:rFonts w:ascii="Times New Roman" w:eastAsia="Times New Roman"/>
          <w:b/>
          <w:spacing w:val="-2"/>
          <w:sz w:val="21"/>
        </w:rPr>
        <w:t>ARDS</w:t>
      </w:r>
      <w:r>
        <w:rPr>
          <w:rFonts w:ascii="微软雅黑" w:eastAsia="微软雅黑"/>
          <w:b/>
          <w:spacing w:val="-2"/>
          <w:sz w:val="21"/>
        </w:rPr>
        <w:t>）</w:t>
      </w:r>
    </w:p>
    <w:p>
      <w:pPr>
        <w:pStyle w:val="BodyText"/>
        <w:spacing w:line="278" w:lineRule="auto" w:before="71"/>
        <w:ind w:left="173" w:right="359"/>
      </w:pPr>
      <w:r>
        <w:rPr/>
        <w:br w:type="column"/>
      </w:r>
      <w:r>
        <w:rPr>
          <w:spacing w:val="-2"/>
        </w:rPr>
        <w:t>一种表现为无心脏衰竭的肺水肿，为创伤、脓毒血症等临床多种疾病的并发症，</w:t>
      </w:r>
      <w:r>
        <w:rPr>
          <w:spacing w:val="-2"/>
        </w:rPr>
        <w:t>造成多器官衰竭，死亡率高。</w:t>
      </w:r>
    </w:p>
    <w:p>
      <w:pPr>
        <w:pStyle w:val="BodyText"/>
        <w:spacing w:line="278" w:lineRule="auto" w:before="0"/>
        <w:ind w:left="173" w:right="359"/>
      </w:pPr>
      <w:r>
        <w:rPr>
          <w:spacing w:val="-2"/>
        </w:rPr>
        <w:t>急性肺损伤或急性呼吸窘迫综合征必须由呼吸系统专科医师诊断，被保险人理赔</w:t>
      </w:r>
      <w:r>
        <w:rPr>
          <w:spacing w:val="-4"/>
        </w:rPr>
        <w:t>时年龄在 </w:t>
      </w:r>
      <w:r>
        <w:rPr/>
        <w:t>25</w:t>
      </w:r>
      <w:r>
        <w:rPr>
          <w:spacing w:val="-5"/>
        </w:rPr>
        <w:t> 周岁以下，并有所有以下临床证据支持。</w:t>
      </w:r>
    </w:p>
    <w:p>
      <w:pPr>
        <w:pStyle w:val="ListParagraph"/>
        <w:numPr>
          <w:ilvl w:val="0"/>
          <w:numId w:val="106"/>
        </w:numPr>
        <w:tabs>
          <w:tab w:pos="704" w:val="left" w:leader="none"/>
        </w:tabs>
        <w:spacing w:line="269" w:lineRule="exact" w:before="0" w:after="0"/>
        <w:ind w:left="703" w:right="0" w:hanging="531"/>
        <w:jc w:val="left"/>
        <w:rPr>
          <w:sz w:val="21"/>
        </w:rPr>
      </w:pPr>
      <w:r>
        <w:rPr>
          <w:spacing w:val="-2"/>
          <w:sz w:val="21"/>
        </w:rPr>
        <w:t>急性发作（</w:t>
      </w:r>
      <w:r>
        <w:rPr>
          <w:spacing w:val="-9"/>
          <w:sz w:val="21"/>
        </w:rPr>
        <w:t>原发疾病起病后 </w:t>
      </w:r>
      <w:r>
        <w:rPr>
          <w:spacing w:val="-2"/>
          <w:sz w:val="21"/>
        </w:rPr>
        <w:t>6</w:t>
      </w:r>
      <w:r>
        <w:rPr>
          <w:spacing w:val="-34"/>
          <w:sz w:val="21"/>
        </w:rPr>
        <w:t> 至 </w:t>
      </w:r>
      <w:r>
        <w:rPr>
          <w:spacing w:val="-2"/>
          <w:sz w:val="21"/>
        </w:rPr>
        <w:t>72</w:t>
      </w:r>
      <w:r>
        <w:rPr>
          <w:spacing w:val="-18"/>
          <w:sz w:val="21"/>
        </w:rPr>
        <w:t> 小时</w:t>
      </w:r>
      <w:r>
        <w:rPr>
          <w:spacing w:val="-113"/>
          <w:sz w:val="21"/>
        </w:rPr>
        <w:t>）</w:t>
      </w:r>
      <w:r>
        <w:rPr>
          <w:spacing w:val="-5"/>
          <w:sz w:val="21"/>
        </w:rPr>
        <w:t>；</w:t>
      </w:r>
    </w:p>
    <w:p>
      <w:pPr>
        <w:pStyle w:val="ListParagraph"/>
        <w:numPr>
          <w:ilvl w:val="0"/>
          <w:numId w:val="106"/>
        </w:numPr>
        <w:tabs>
          <w:tab w:pos="704" w:val="left" w:leader="none"/>
        </w:tabs>
        <w:spacing w:line="278" w:lineRule="auto" w:before="43" w:after="0"/>
        <w:ind w:left="173" w:right="356" w:firstLine="0"/>
        <w:jc w:val="left"/>
        <w:rPr>
          <w:sz w:val="21"/>
        </w:rPr>
      </w:pPr>
      <w:r>
        <w:rPr>
          <w:spacing w:val="-4"/>
          <w:sz w:val="21"/>
        </w:rPr>
        <w:t>急性发作的临床症状体征，包括呼吸急促、呼吸困难、心动过速、大汗、面</w:t>
      </w:r>
      <w:r>
        <w:rPr>
          <w:spacing w:val="-2"/>
          <w:sz w:val="21"/>
        </w:rPr>
        <w:t>色苍白及辅助呼吸肌活动加强（点头呼吸、提肩呼吸</w:t>
      </w:r>
      <w:r>
        <w:rPr>
          <w:spacing w:val="-106"/>
          <w:sz w:val="21"/>
        </w:rPr>
        <w:t>）</w:t>
      </w:r>
      <w:r>
        <w:rPr>
          <w:sz w:val="21"/>
        </w:rPr>
        <w:t>；</w:t>
      </w:r>
    </w:p>
    <w:p>
      <w:pPr>
        <w:pStyle w:val="ListParagraph"/>
        <w:numPr>
          <w:ilvl w:val="0"/>
          <w:numId w:val="106"/>
        </w:numPr>
        <w:tabs>
          <w:tab w:pos="704" w:val="left" w:leader="none"/>
        </w:tabs>
        <w:spacing w:line="269" w:lineRule="exact" w:before="0" w:after="0"/>
        <w:ind w:left="703" w:right="0" w:hanging="531"/>
        <w:jc w:val="left"/>
        <w:rPr>
          <w:sz w:val="21"/>
        </w:rPr>
      </w:pPr>
      <w:r>
        <w:rPr>
          <w:spacing w:val="-4"/>
          <w:sz w:val="21"/>
        </w:rPr>
        <w:t>双肺浸润影；</w:t>
      </w:r>
    </w:p>
    <w:p>
      <w:pPr>
        <w:pStyle w:val="ListParagraph"/>
        <w:numPr>
          <w:ilvl w:val="0"/>
          <w:numId w:val="106"/>
        </w:numPr>
        <w:tabs>
          <w:tab w:pos="704" w:val="left" w:leader="none"/>
        </w:tabs>
        <w:spacing w:line="240" w:lineRule="auto" w:before="43" w:after="0"/>
        <w:ind w:left="703" w:right="0" w:hanging="531"/>
        <w:jc w:val="left"/>
        <w:rPr>
          <w:sz w:val="21"/>
        </w:rPr>
      </w:pPr>
      <w:r>
        <w:rPr>
          <w:rFonts w:ascii="Times New Roman" w:eastAsia="Times New Roman"/>
          <w:spacing w:val="-2"/>
          <w:sz w:val="21"/>
        </w:rPr>
        <w:t>PaO</w:t>
      </w:r>
      <w:r>
        <w:rPr>
          <w:spacing w:val="-2"/>
          <w:sz w:val="21"/>
        </w:rPr>
        <w:t>2/</w:t>
      </w:r>
      <w:r>
        <w:rPr>
          <w:rFonts w:ascii="Times New Roman" w:eastAsia="Times New Roman"/>
          <w:spacing w:val="-2"/>
          <w:sz w:val="21"/>
        </w:rPr>
        <w:t>FiO</w:t>
      </w:r>
      <w:r>
        <w:rPr>
          <w:spacing w:val="-2"/>
          <w:sz w:val="21"/>
        </w:rPr>
        <w:t>2（动脉血压分压/吸入气氧分压）</w:t>
      </w:r>
      <w:r>
        <w:rPr>
          <w:spacing w:val="-13"/>
          <w:sz w:val="21"/>
        </w:rPr>
        <w:t>低于 </w:t>
      </w:r>
      <w:r>
        <w:rPr>
          <w:spacing w:val="-2"/>
          <w:sz w:val="21"/>
        </w:rPr>
        <w:t>200</w:t>
      </w:r>
      <w:r>
        <w:rPr>
          <w:rFonts w:ascii="Times New Roman" w:eastAsia="Times New Roman"/>
          <w:spacing w:val="-2"/>
          <w:sz w:val="21"/>
        </w:rPr>
        <w:t>mmHg</w:t>
      </w:r>
      <w:r>
        <w:rPr>
          <w:spacing w:val="-2"/>
          <w:sz w:val="21"/>
        </w:rPr>
        <w:t>；</w:t>
      </w:r>
    </w:p>
    <w:p>
      <w:pPr>
        <w:pStyle w:val="ListParagraph"/>
        <w:numPr>
          <w:ilvl w:val="0"/>
          <w:numId w:val="106"/>
        </w:numPr>
        <w:tabs>
          <w:tab w:pos="704" w:val="left" w:leader="none"/>
        </w:tabs>
        <w:spacing w:line="240" w:lineRule="auto" w:before="43" w:after="0"/>
        <w:ind w:left="703" w:right="0" w:hanging="531"/>
        <w:jc w:val="left"/>
        <w:rPr>
          <w:sz w:val="21"/>
        </w:rPr>
      </w:pPr>
      <w:r>
        <w:rPr>
          <w:spacing w:val="-8"/>
          <w:sz w:val="21"/>
        </w:rPr>
        <w:t>肺动脉嵌入压低于 </w:t>
      </w:r>
      <w:r>
        <w:rPr>
          <w:spacing w:val="-2"/>
          <w:sz w:val="21"/>
        </w:rPr>
        <w:t>18</w:t>
      </w:r>
      <w:r>
        <w:rPr>
          <w:rFonts w:ascii="Times New Roman" w:eastAsia="Times New Roman"/>
          <w:spacing w:val="-2"/>
          <w:sz w:val="21"/>
        </w:rPr>
        <w:t>mmHg</w:t>
      </w:r>
      <w:r>
        <w:rPr>
          <w:spacing w:val="-2"/>
          <w:sz w:val="21"/>
        </w:rPr>
        <w:t>；</w:t>
      </w:r>
    </w:p>
    <w:p>
      <w:pPr>
        <w:pStyle w:val="ListParagraph"/>
        <w:numPr>
          <w:ilvl w:val="0"/>
          <w:numId w:val="106"/>
        </w:numPr>
        <w:tabs>
          <w:tab w:pos="704" w:val="left" w:leader="none"/>
        </w:tabs>
        <w:spacing w:line="240" w:lineRule="auto" w:before="43" w:after="0"/>
        <w:ind w:left="703" w:right="0" w:hanging="531"/>
        <w:jc w:val="left"/>
        <w:rPr>
          <w:sz w:val="21"/>
        </w:rPr>
      </w:pPr>
      <w:r>
        <w:rPr>
          <w:spacing w:val="-3"/>
          <w:sz w:val="21"/>
        </w:rPr>
        <w:t>临床无左房高压表现。</w:t>
      </w:r>
    </w:p>
    <w:p>
      <w:pPr>
        <w:spacing w:after="0" w:line="240" w:lineRule="auto"/>
        <w:jc w:val="left"/>
        <w:rPr>
          <w:sz w:val="21"/>
        </w:rPr>
        <w:sectPr>
          <w:type w:val="continuous"/>
          <w:pgSz w:w="11910" w:h="16840"/>
          <w:pgMar w:header="0" w:footer="458" w:top="620" w:bottom="280" w:left="800" w:right="660"/>
          <w:cols w:num="2" w:equalWidth="0">
            <w:col w:w="2487" w:space="40"/>
            <w:col w:w="7923"/>
          </w:cols>
        </w:sectPr>
      </w:pPr>
    </w:p>
    <w:p>
      <w:pPr>
        <w:pStyle w:val="BodyText"/>
        <w:spacing w:before="2"/>
        <w:rPr>
          <w:sz w:val="22"/>
        </w:rPr>
      </w:pPr>
    </w:p>
    <w:p>
      <w:pPr>
        <w:spacing w:after="0"/>
        <w:rPr>
          <w:sz w:val="22"/>
        </w:rPr>
        <w:sectPr>
          <w:type w:val="continuous"/>
          <w:pgSz w:w="11910" w:h="16840"/>
          <w:pgMar w:header="0" w:footer="458" w:top="620" w:bottom="280" w:left="800" w:right="660"/>
        </w:sectPr>
      </w:pPr>
    </w:p>
    <w:p>
      <w:pPr>
        <w:pStyle w:val="ListParagraph"/>
        <w:numPr>
          <w:ilvl w:val="0"/>
          <w:numId w:val="93"/>
        </w:numPr>
        <w:tabs>
          <w:tab w:pos="1399" w:val="left" w:leader="none"/>
        </w:tabs>
        <w:spacing w:line="194" w:lineRule="auto" w:before="57" w:after="0"/>
        <w:ind w:left="1072" w:right="0" w:firstLine="0"/>
        <w:jc w:val="left"/>
        <w:rPr>
          <w:rFonts w:ascii="微软雅黑" w:eastAsia="微软雅黑"/>
          <w:b/>
          <w:sz w:val="19"/>
        </w:rPr>
      </w:pPr>
      <w:r>
        <w:rPr>
          <w:rFonts w:ascii="微软雅黑" w:eastAsia="微软雅黑"/>
          <w:b/>
          <w:spacing w:val="-2"/>
          <w:sz w:val="21"/>
        </w:rPr>
        <w:t>溶血性尿毒</w:t>
      </w:r>
      <w:r>
        <w:rPr>
          <w:rFonts w:ascii="微软雅黑" w:eastAsia="微软雅黑"/>
          <w:b/>
          <w:spacing w:val="-4"/>
          <w:sz w:val="21"/>
        </w:rPr>
        <w:t>综合征</w:t>
      </w:r>
    </w:p>
    <w:p>
      <w:pPr>
        <w:pStyle w:val="BodyText"/>
        <w:spacing w:line="278" w:lineRule="auto" w:before="71"/>
        <w:ind w:left="174" w:right="358"/>
        <w:jc w:val="both"/>
      </w:pPr>
      <w:r>
        <w:rPr/>
        <w:br w:type="column"/>
      </w:r>
      <w:r>
        <w:rPr>
          <w:spacing w:val="-2"/>
        </w:rPr>
        <w:t>一种由于感染导致的急性综合征，引起红细胞溶血，肾功能衰竭及尿毒症。溶血</w:t>
      </w:r>
      <w:r>
        <w:rPr/>
        <w:t>尿毒综合征必须由血液和肾脏专科医师诊断，被保险人理赔时年龄在 25</w:t>
      </w:r>
      <w:r>
        <w:rPr>
          <w:spacing w:val="-1"/>
        </w:rPr>
        <w:t> 周岁以</w:t>
      </w:r>
      <w:r>
        <w:rPr>
          <w:spacing w:val="-2"/>
        </w:rPr>
        <w:t>下，并且满足下列所有条件：</w:t>
      </w:r>
    </w:p>
    <w:p>
      <w:pPr>
        <w:pStyle w:val="ListParagraph"/>
        <w:numPr>
          <w:ilvl w:val="0"/>
          <w:numId w:val="107"/>
        </w:numPr>
        <w:tabs>
          <w:tab w:pos="705" w:val="left" w:leader="none"/>
        </w:tabs>
        <w:spacing w:line="269" w:lineRule="exact" w:before="0" w:after="0"/>
        <w:ind w:left="704" w:right="0" w:hanging="531"/>
        <w:jc w:val="left"/>
        <w:rPr>
          <w:sz w:val="21"/>
        </w:rPr>
      </w:pPr>
      <w:r>
        <w:rPr>
          <w:spacing w:val="-3"/>
          <w:sz w:val="21"/>
        </w:rPr>
        <w:t>实验室检查确认有溶血性贫血、血尿、尿毒症、血小板减少性紫癜；</w:t>
      </w:r>
    </w:p>
    <w:p>
      <w:pPr>
        <w:pStyle w:val="ListParagraph"/>
        <w:numPr>
          <w:ilvl w:val="0"/>
          <w:numId w:val="107"/>
        </w:numPr>
        <w:tabs>
          <w:tab w:pos="705" w:val="left" w:leader="none"/>
        </w:tabs>
        <w:spacing w:line="257" w:lineRule="exact" w:before="43" w:after="0"/>
        <w:ind w:left="704" w:right="0" w:hanging="531"/>
        <w:jc w:val="left"/>
        <w:rPr>
          <w:sz w:val="21"/>
        </w:rPr>
      </w:pPr>
      <w:r>
        <w:rPr>
          <w:spacing w:val="-3"/>
          <w:sz w:val="21"/>
        </w:rPr>
        <w:t>因肾脏功能衰竭实施了肾脏透析治疗。</w:t>
      </w:r>
    </w:p>
    <w:p>
      <w:pPr>
        <w:spacing w:line="194" w:lineRule="auto" w:before="41"/>
        <w:ind w:left="174" w:right="366" w:firstLine="0"/>
        <w:jc w:val="left"/>
        <w:rPr>
          <w:rFonts w:ascii="微软雅黑" w:eastAsia="微软雅黑"/>
          <w:b/>
          <w:sz w:val="21"/>
        </w:rPr>
      </w:pPr>
      <w:r>
        <w:rPr>
          <w:rFonts w:ascii="微软雅黑" w:eastAsia="微软雅黑"/>
          <w:b/>
          <w:spacing w:val="-2"/>
          <w:sz w:val="21"/>
        </w:rPr>
        <w:t>任何非因感染导致的溶血性贫血，如：自身免疫性溶血性贫血、与红细胞膜缺陷</w:t>
      </w:r>
      <w:r>
        <w:rPr>
          <w:rFonts w:ascii="微软雅黑" w:eastAsia="微软雅黑"/>
          <w:b/>
          <w:spacing w:val="-2"/>
          <w:sz w:val="21"/>
        </w:rPr>
        <w:t>有关的溶血性贫血、红细胞酶病、血红蛋白病等，不在本保障范围内。</w:t>
      </w:r>
    </w:p>
    <w:p>
      <w:pPr>
        <w:spacing w:after="0" w:line="194" w:lineRule="auto"/>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5"/>
        <w:rPr>
          <w:rFonts w:ascii="微软雅黑"/>
          <w:b/>
          <w:sz w:val="13"/>
        </w:rPr>
      </w:pPr>
    </w:p>
    <w:p>
      <w:pPr>
        <w:pStyle w:val="ListParagraph"/>
        <w:numPr>
          <w:ilvl w:val="0"/>
          <w:numId w:val="93"/>
        </w:numPr>
        <w:tabs>
          <w:tab w:pos="1391" w:val="left" w:leader="none"/>
        </w:tabs>
        <w:spacing w:line="235" w:lineRule="auto" w:before="17" w:after="0"/>
        <w:ind w:left="2699" w:right="355" w:hanging="1628"/>
        <w:jc w:val="both"/>
        <w:rPr>
          <w:rFonts w:ascii="微软雅黑" w:hAnsi="微软雅黑" w:eastAsia="微软雅黑"/>
          <w:b/>
          <w:sz w:val="19"/>
        </w:rPr>
      </w:pPr>
      <w:r>
        <w:rPr>
          <w:rFonts w:ascii="微软雅黑" w:hAnsi="微软雅黑" w:eastAsia="微软雅黑"/>
          <w:b/>
          <w:spacing w:val="26"/>
          <w:sz w:val="21"/>
        </w:rPr>
        <w:t>亚历山大病 </w:t>
      </w:r>
      <w:r>
        <w:rPr>
          <w:sz w:val="21"/>
        </w:rPr>
        <w:t>亚历山大病（</w:t>
      </w:r>
      <w:r>
        <w:rPr>
          <w:rFonts w:ascii="Times New Roman" w:hAnsi="Times New Roman" w:eastAsia="Times New Roman"/>
          <w:sz w:val="21"/>
        </w:rPr>
        <w:t>Alexander’s</w:t>
      </w:r>
      <w:r>
        <w:rPr>
          <w:rFonts w:ascii="Times New Roman" w:hAnsi="Times New Roman" w:eastAsia="Times New Roman"/>
          <w:spacing w:val="-8"/>
          <w:sz w:val="21"/>
        </w:rPr>
        <w:t> </w:t>
      </w:r>
      <w:r>
        <w:rPr>
          <w:rFonts w:ascii="Times New Roman" w:hAnsi="Times New Roman" w:eastAsia="Times New Roman"/>
          <w:sz w:val="21"/>
        </w:rPr>
        <w:t>Disease</w:t>
      </w:r>
      <w:r>
        <w:rPr>
          <w:sz w:val="21"/>
        </w:rPr>
        <w:t>）是一种遗传性中枢神经系统退行性病变，特点</w:t>
      </w:r>
      <w:r>
        <w:rPr>
          <w:spacing w:val="-2"/>
          <w:sz w:val="21"/>
        </w:rPr>
        <w:t>为脑白质营养不良性。临床表现为惊厥发作、智力下降、球麻痹、共济失调、痉</w:t>
      </w:r>
    </w:p>
    <w:p>
      <w:pPr>
        <w:pStyle w:val="BodyText"/>
        <w:spacing w:line="278" w:lineRule="auto"/>
        <w:ind w:left="2699" w:right="359"/>
        <w:jc w:val="both"/>
      </w:pPr>
      <w:r>
        <w:rPr>
          <w:spacing w:val="-2"/>
        </w:rPr>
        <w:t>性瘫痪。亚历山大病必须被明确诊断，并且造成永久性神经系统功能障碍。被保</w:t>
      </w:r>
      <w:r>
        <w:rPr>
          <w:spacing w:val="-2"/>
        </w:rPr>
        <w:t>险人自主生活能力完全丧失，无法独立完成六项基本日常生活活动中的三项或三</w:t>
      </w:r>
      <w:r>
        <w:rPr>
          <w:spacing w:val="-2"/>
        </w:rPr>
        <w:t>项以上，日常生活必须持续接受他人护理。</w:t>
      </w:r>
    </w:p>
    <w:p>
      <w:pPr>
        <w:spacing w:line="320" w:lineRule="exact" w:before="0"/>
        <w:ind w:left="2699" w:right="0" w:firstLine="0"/>
        <w:jc w:val="left"/>
        <w:rPr>
          <w:rFonts w:ascii="微软雅黑" w:eastAsia="微软雅黑"/>
          <w:b/>
          <w:sz w:val="21"/>
        </w:rPr>
      </w:pPr>
      <w:r>
        <w:rPr>
          <w:rFonts w:ascii="微软雅黑" w:eastAsia="微软雅黑"/>
          <w:b/>
          <w:spacing w:val="-3"/>
          <w:sz w:val="21"/>
        </w:rPr>
        <w:t>未明确诊断的疑似病例不在本保障范围内。</w:t>
      </w:r>
    </w:p>
    <w:p>
      <w:pPr>
        <w:spacing w:after="0" w:line="320" w:lineRule="exact"/>
        <w:jc w:val="left"/>
        <w:rPr>
          <w:rFonts w:ascii="微软雅黑" w:eastAsia="微软雅黑"/>
          <w:sz w:val="21"/>
        </w:rPr>
        <w:sectPr>
          <w:type w:val="continuous"/>
          <w:pgSz w:w="11910" w:h="16840"/>
          <w:pgMar w:header="0" w:footer="458" w:top="620" w:bottom="280" w:left="800" w:right="660"/>
        </w:sectPr>
      </w:pPr>
    </w:p>
    <w:p>
      <w:pPr>
        <w:pStyle w:val="ListParagraph"/>
        <w:numPr>
          <w:ilvl w:val="0"/>
          <w:numId w:val="93"/>
        </w:numPr>
        <w:tabs>
          <w:tab w:pos="1495" w:val="left" w:leader="none"/>
          <w:tab w:pos="2699" w:val="left" w:leader="none"/>
        </w:tabs>
        <w:spacing w:line="312" w:lineRule="exact" w:before="3" w:after="0"/>
        <w:ind w:left="2699" w:right="359" w:hanging="1628"/>
        <w:jc w:val="left"/>
        <w:rPr>
          <w:rFonts w:ascii="微软雅黑" w:eastAsia="微软雅黑"/>
          <w:b/>
          <w:sz w:val="21"/>
        </w:rPr>
      </w:pPr>
      <w:r>
        <w:rPr>
          <w:rFonts w:ascii="微软雅黑" w:eastAsia="微软雅黑"/>
          <w:b/>
          <w:spacing w:val="-4"/>
          <w:sz w:val="21"/>
        </w:rPr>
        <w:t>严</w:t>
      </w:r>
      <w:r>
        <w:rPr>
          <w:rFonts w:ascii="微软雅黑" w:eastAsia="微软雅黑"/>
          <w:b/>
          <w:spacing w:val="-4"/>
          <w:sz w:val="21"/>
        </w:rPr>
        <w:t>重</w:t>
      </w:r>
      <w:r>
        <w:rPr>
          <w:rFonts w:ascii="微软雅黑" w:eastAsia="微软雅黑"/>
          <w:b/>
          <w:spacing w:val="-4"/>
          <w:sz w:val="21"/>
        </w:rPr>
        <w:t>哮</w:t>
      </w:r>
      <w:r>
        <w:rPr>
          <w:rFonts w:ascii="微软雅黑" w:eastAsia="微软雅黑"/>
          <w:b/>
          <w:spacing w:val="-4"/>
          <w:sz w:val="21"/>
        </w:rPr>
        <w:t>喘</w:t>
      </w:r>
      <w:r>
        <w:rPr>
          <w:rFonts w:ascii="微软雅黑" w:eastAsia="微软雅黑"/>
          <w:b/>
          <w:sz w:val="21"/>
        </w:rPr>
        <w:tab/>
      </w:r>
      <w:r>
        <w:rPr>
          <w:spacing w:val="-2"/>
          <w:sz w:val="21"/>
        </w:rPr>
        <w:t>指</w:t>
      </w:r>
      <w:r>
        <w:rPr>
          <w:spacing w:val="-2"/>
          <w:sz w:val="21"/>
        </w:rPr>
        <w:t>一</w:t>
      </w:r>
      <w:r>
        <w:rPr>
          <w:spacing w:val="-2"/>
          <w:sz w:val="21"/>
        </w:rPr>
        <w:t>种</w:t>
      </w:r>
      <w:r>
        <w:rPr>
          <w:spacing w:val="-2"/>
          <w:sz w:val="21"/>
        </w:rPr>
        <w:t>反</w:t>
      </w:r>
      <w:r>
        <w:rPr>
          <w:spacing w:val="-2"/>
          <w:sz w:val="21"/>
        </w:rPr>
        <w:t>复</w:t>
      </w:r>
      <w:r>
        <w:rPr>
          <w:spacing w:val="-2"/>
          <w:sz w:val="21"/>
        </w:rPr>
        <w:t>发</w:t>
      </w:r>
      <w:r>
        <w:rPr>
          <w:spacing w:val="-2"/>
          <w:sz w:val="21"/>
        </w:rPr>
        <w:t>作</w:t>
      </w:r>
      <w:r>
        <w:rPr>
          <w:spacing w:val="-2"/>
          <w:sz w:val="21"/>
        </w:rPr>
        <w:t>的</w:t>
      </w:r>
      <w:r>
        <w:rPr>
          <w:spacing w:val="-2"/>
          <w:sz w:val="21"/>
        </w:rPr>
        <w:t>严</w:t>
      </w:r>
      <w:r>
        <w:rPr>
          <w:spacing w:val="-2"/>
          <w:sz w:val="21"/>
        </w:rPr>
        <w:t>重</w:t>
      </w:r>
      <w:r>
        <w:rPr>
          <w:spacing w:val="-2"/>
          <w:sz w:val="21"/>
        </w:rPr>
        <w:t>支</w:t>
      </w:r>
      <w:r>
        <w:rPr>
          <w:spacing w:val="-2"/>
          <w:sz w:val="21"/>
        </w:rPr>
        <w:t>气</w:t>
      </w:r>
      <w:r>
        <w:rPr>
          <w:spacing w:val="-2"/>
          <w:sz w:val="21"/>
        </w:rPr>
        <w:t>管</w:t>
      </w:r>
      <w:r>
        <w:rPr>
          <w:spacing w:val="-2"/>
          <w:sz w:val="21"/>
        </w:rPr>
        <w:t>阻</w:t>
      </w:r>
      <w:r>
        <w:rPr>
          <w:spacing w:val="-2"/>
          <w:sz w:val="21"/>
        </w:rPr>
        <w:t>塞</w:t>
      </w:r>
      <w:r>
        <w:rPr>
          <w:spacing w:val="-2"/>
          <w:sz w:val="21"/>
        </w:rPr>
        <w:t>性</w:t>
      </w:r>
      <w:r>
        <w:rPr>
          <w:spacing w:val="-2"/>
          <w:sz w:val="21"/>
        </w:rPr>
        <w:t>疾</w:t>
      </w:r>
      <w:r>
        <w:rPr>
          <w:spacing w:val="-2"/>
          <w:sz w:val="21"/>
        </w:rPr>
        <w:t>病</w:t>
      </w:r>
      <w:r>
        <w:rPr>
          <w:spacing w:val="-2"/>
          <w:sz w:val="21"/>
        </w:rPr>
        <w:t>，</w:t>
      </w:r>
      <w:r>
        <w:rPr>
          <w:spacing w:val="-2"/>
          <w:sz w:val="21"/>
        </w:rPr>
        <w:t>经</w:t>
      </w:r>
      <w:r>
        <w:rPr>
          <w:spacing w:val="-2"/>
          <w:sz w:val="21"/>
        </w:rPr>
        <w:t>我</w:t>
      </w:r>
      <w:r>
        <w:rPr>
          <w:spacing w:val="-2"/>
          <w:sz w:val="21"/>
        </w:rPr>
        <w:t>们</w:t>
      </w:r>
      <w:r>
        <w:rPr>
          <w:spacing w:val="-2"/>
          <w:sz w:val="21"/>
        </w:rPr>
        <w:t>认</w:t>
      </w:r>
      <w:r>
        <w:rPr>
          <w:spacing w:val="-2"/>
          <w:sz w:val="21"/>
        </w:rPr>
        <w:t>可</w:t>
      </w:r>
      <w:r>
        <w:rPr>
          <w:spacing w:val="-2"/>
          <w:sz w:val="21"/>
        </w:rPr>
        <w:t>的</w:t>
      </w:r>
      <w:r>
        <w:rPr>
          <w:spacing w:val="-2"/>
          <w:sz w:val="21"/>
        </w:rPr>
        <w:t>专</w:t>
      </w:r>
      <w:r>
        <w:rPr>
          <w:spacing w:val="-2"/>
          <w:sz w:val="21"/>
        </w:rPr>
        <w:t>科</w:t>
      </w:r>
      <w:r>
        <w:rPr>
          <w:spacing w:val="-2"/>
          <w:sz w:val="21"/>
        </w:rPr>
        <w:t>医</w:t>
      </w:r>
      <w:r>
        <w:rPr>
          <w:spacing w:val="-2"/>
          <w:sz w:val="21"/>
        </w:rPr>
        <w:t>生</w:t>
      </w:r>
      <w:r>
        <w:rPr>
          <w:spacing w:val="-2"/>
          <w:sz w:val="21"/>
        </w:rPr>
        <w:t>确</w:t>
      </w:r>
      <w:r>
        <w:rPr>
          <w:spacing w:val="-2"/>
          <w:sz w:val="21"/>
        </w:rPr>
        <w:t>诊</w:t>
      </w:r>
      <w:r>
        <w:rPr>
          <w:spacing w:val="-2"/>
          <w:sz w:val="21"/>
        </w:rPr>
        <w:t>，且必</w:t>
      </w:r>
      <w:r>
        <w:rPr>
          <w:spacing w:val="-2"/>
          <w:sz w:val="21"/>
        </w:rPr>
        <w:t>须</w:t>
      </w:r>
      <w:r>
        <w:rPr>
          <w:spacing w:val="-2"/>
          <w:sz w:val="21"/>
        </w:rPr>
        <w:t>同</w:t>
      </w:r>
      <w:r>
        <w:rPr>
          <w:spacing w:val="-2"/>
          <w:sz w:val="21"/>
        </w:rPr>
        <w:t>时</w:t>
      </w:r>
      <w:r>
        <w:rPr>
          <w:spacing w:val="-2"/>
          <w:sz w:val="21"/>
        </w:rPr>
        <w:t>符合下列标</w:t>
      </w:r>
      <w:r>
        <w:rPr>
          <w:spacing w:val="-2"/>
          <w:sz w:val="21"/>
        </w:rPr>
        <w:t>准</w:t>
      </w:r>
      <w:r>
        <w:rPr>
          <w:spacing w:val="-2"/>
          <w:sz w:val="21"/>
        </w:rPr>
        <w:t>：</w:t>
      </w:r>
    </w:p>
    <w:p>
      <w:pPr>
        <w:pStyle w:val="ListParagraph"/>
        <w:numPr>
          <w:ilvl w:val="1"/>
          <w:numId w:val="93"/>
        </w:numPr>
        <w:tabs>
          <w:tab w:pos="3230" w:val="left" w:leader="none"/>
        </w:tabs>
        <w:spacing w:line="240" w:lineRule="auto" w:before="40" w:after="0"/>
        <w:ind w:left="3229" w:right="0" w:hanging="531"/>
        <w:jc w:val="left"/>
        <w:rPr>
          <w:sz w:val="21"/>
        </w:rPr>
      </w:pPr>
      <w:r>
        <w:rPr>
          <w:spacing w:val="-3"/>
          <w:sz w:val="21"/>
        </w:rPr>
        <w:t>过去两年中曾因哮喘持续状态住院治疗，并提供完整住院记录；</w:t>
      </w:r>
    </w:p>
    <w:p>
      <w:pPr>
        <w:pStyle w:val="ListParagraph"/>
        <w:numPr>
          <w:ilvl w:val="1"/>
          <w:numId w:val="93"/>
        </w:numPr>
        <w:tabs>
          <w:tab w:pos="3230" w:val="left" w:leader="none"/>
        </w:tabs>
        <w:spacing w:line="240" w:lineRule="auto" w:before="43" w:after="0"/>
        <w:ind w:left="3229" w:right="0" w:hanging="531"/>
        <w:jc w:val="left"/>
        <w:rPr>
          <w:sz w:val="21"/>
        </w:rPr>
      </w:pPr>
      <w:r>
        <w:rPr>
          <w:spacing w:val="-3"/>
          <w:sz w:val="21"/>
        </w:rPr>
        <w:t>因慢性过度换气导致胸廓畸形；</w:t>
      </w:r>
    </w:p>
    <w:p>
      <w:pPr>
        <w:pStyle w:val="ListParagraph"/>
        <w:numPr>
          <w:ilvl w:val="1"/>
          <w:numId w:val="93"/>
        </w:numPr>
        <w:tabs>
          <w:tab w:pos="3230" w:val="left" w:leader="none"/>
        </w:tabs>
        <w:spacing w:line="240" w:lineRule="auto" w:before="43" w:after="0"/>
        <w:ind w:left="3229" w:right="0" w:hanging="531"/>
        <w:jc w:val="left"/>
        <w:rPr>
          <w:sz w:val="21"/>
        </w:rPr>
      </w:pPr>
      <w:r>
        <w:rPr>
          <w:spacing w:val="-3"/>
          <w:sz w:val="21"/>
        </w:rPr>
        <w:t>在家中需要医生处方的氧气治疗法；</w:t>
      </w:r>
    </w:p>
    <w:p>
      <w:pPr>
        <w:pStyle w:val="ListParagraph"/>
        <w:numPr>
          <w:ilvl w:val="1"/>
          <w:numId w:val="93"/>
        </w:numPr>
        <w:tabs>
          <w:tab w:pos="3230" w:val="left" w:leader="none"/>
        </w:tabs>
        <w:spacing w:line="240" w:lineRule="auto" w:before="43" w:after="0"/>
        <w:ind w:left="3229" w:right="0" w:hanging="531"/>
        <w:jc w:val="left"/>
        <w:rPr>
          <w:sz w:val="21"/>
        </w:rPr>
      </w:pPr>
      <w:r>
        <w:rPr>
          <w:spacing w:val="-3"/>
          <w:sz w:val="21"/>
        </w:rPr>
        <w:t>持续日常服用口服类固醇激素治疗持续至少六个月。</w:t>
      </w:r>
    </w:p>
    <w:p>
      <w:pPr>
        <w:pStyle w:val="BodyText"/>
        <w:spacing w:before="1"/>
        <w:rPr>
          <w:sz w:val="22"/>
        </w:rPr>
      </w:pPr>
    </w:p>
    <w:p>
      <w:pPr>
        <w:spacing w:after="0"/>
        <w:rPr>
          <w:sz w:val="22"/>
        </w:rPr>
        <w:sectPr>
          <w:pgSz w:w="11910" w:h="16840"/>
          <w:pgMar w:header="0" w:footer="458" w:top="1260" w:bottom="640" w:left="800" w:right="660"/>
        </w:sectPr>
      </w:pPr>
    </w:p>
    <w:p>
      <w:pPr>
        <w:pStyle w:val="ListParagraph"/>
        <w:numPr>
          <w:ilvl w:val="0"/>
          <w:numId w:val="93"/>
        </w:numPr>
        <w:tabs>
          <w:tab w:pos="1399" w:val="left" w:leader="none"/>
        </w:tabs>
        <w:spacing w:line="194" w:lineRule="auto" w:before="57" w:after="0"/>
        <w:ind w:left="1072" w:right="0" w:firstLine="0"/>
        <w:jc w:val="left"/>
        <w:rPr>
          <w:rFonts w:ascii="微软雅黑" w:eastAsia="微软雅黑"/>
          <w:b/>
          <w:sz w:val="19"/>
        </w:rPr>
      </w:pPr>
      <w:r>
        <w:rPr>
          <w:rFonts w:ascii="微软雅黑" w:eastAsia="微软雅黑"/>
          <w:b/>
          <w:spacing w:val="-2"/>
          <w:sz w:val="21"/>
        </w:rPr>
        <w:t>室壁瘤切除</w:t>
      </w:r>
      <w:r>
        <w:rPr>
          <w:rFonts w:ascii="微软雅黑" w:eastAsia="微软雅黑"/>
          <w:b/>
          <w:spacing w:val="-6"/>
          <w:sz w:val="21"/>
        </w:rPr>
        <w:t>手术</w:t>
      </w:r>
    </w:p>
    <w:p>
      <w:pPr>
        <w:pStyle w:val="BodyText"/>
        <w:spacing w:line="278" w:lineRule="auto" w:before="72"/>
        <w:ind w:left="174" w:right="359"/>
      </w:pPr>
      <w:r>
        <w:rPr/>
        <w:br w:type="column"/>
      </w:r>
      <w:r>
        <w:rPr>
          <w:spacing w:val="-2"/>
        </w:rPr>
        <w:t>被保险人被明确诊断为左室室壁瘤，并且实际接受了开胸开心进行的室壁瘤切除</w:t>
      </w:r>
      <w:r>
        <w:rPr>
          <w:spacing w:val="-2"/>
        </w:rPr>
        <w:t>手术治疗。</w:t>
      </w:r>
    </w:p>
    <w:p>
      <w:pPr>
        <w:spacing w:line="320" w:lineRule="exact" w:before="0"/>
        <w:ind w:left="174" w:right="0" w:firstLine="0"/>
        <w:jc w:val="left"/>
        <w:rPr>
          <w:rFonts w:ascii="微软雅黑" w:eastAsia="微软雅黑"/>
          <w:b/>
          <w:sz w:val="21"/>
        </w:rPr>
      </w:pPr>
      <w:r>
        <w:rPr>
          <w:rFonts w:ascii="微软雅黑" w:eastAsia="微软雅黑"/>
          <w:b/>
          <w:spacing w:val="-3"/>
          <w:sz w:val="21"/>
        </w:rPr>
        <w:t>经导管心室内成型手术治疗不在本保障范围内。</w:t>
      </w:r>
    </w:p>
    <w:p>
      <w:pPr>
        <w:spacing w:after="0" w:line="320"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pStyle w:val="ListParagraph"/>
        <w:numPr>
          <w:ilvl w:val="0"/>
          <w:numId w:val="93"/>
        </w:numPr>
        <w:tabs>
          <w:tab w:pos="1495" w:val="left" w:leader="none"/>
          <w:tab w:pos="2699" w:val="left" w:leader="none"/>
        </w:tabs>
        <w:spacing w:line="235" w:lineRule="auto" w:before="10" w:after="0"/>
        <w:ind w:left="2699" w:right="359" w:hanging="1628"/>
        <w:jc w:val="left"/>
        <w:rPr>
          <w:rFonts w:ascii="微软雅黑" w:eastAsia="微软雅黑"/>
          <w:b/>
          <w:sz w:val="21"/>
        </w:rPr>
      </w:pPr>
      <w:r>
        <w:rPr>
          <w:rFonts w:ascii="微软雅黑" w:eastAsia="微软雅黑"/>
          <w:b/>
          <w:spacing w:val="-4"/>
          <w:sz w:val="21"/>
        </w:rPr>
        <w:t>脑</w:t>
      </w:r>
      <w:r>
        <w:rPr>
          <w:rFonts w:ascii="微软雅黑" w:eastAsia="微软雅黑"/>
          <w:b/>
          <w:spacing w:val="-4"/>
          <w:sz w:val="21"/>
        </w:rPr>
        <w:t>型</w:t>
      </w:r>
      <w:r>
        <w:rPr>
          <w:rFonts w:ascii="微软雅黑" w:eastAsia="微软雅黑"/>
          <w:b/>
          <w:spacing w:val="-4"/>
          <w:sz w:val="21"/>
        </w:rPr>
        <w:t>疟</w:t>
      </w:r>
      <w:r>
        <w:rPr>
          <w:rFonts w:ascii="微软雅黑" w:eastAsia="微软雅黑"/>
          <w:b/>
          <w:spacing w:val="-4"/>
          <w:sz w:val="21"/>
        </w:rPr>
        <w:t>疾</w:t>
      </w:r>
      <w:r>
        <w:rPr>
          <w:rFonts w:ascii="微软雅黑" w:eastAsia="微软雅黑"/>
          <w:b/>
          <w:sz w:val="21"/>
        </w:rPr>
        <w:tab/>
      </w:r>
      <w:r>
        <w:rPr>
          <w:spacing w:val="-2"/>
          <w:sz w:val="21"/>
        </w:rPr>
        <w:t>恶</w:t>
      </w:r>
      <w:r>
        <w:rPr>
          <w:spacing w:val="-2"/>
          <w:sz w:val="21"/>
        </w:rPr>
        <w:t>性</w:t>
      </w:r>
      <w:r>
        <w:rPr>
          <w:spacing w:val="-2"/>
          <w:sz w:val="21"/>
        </w:rPr>
        <w:t>疟</w:t>
      </w:r>
      <w:r>
        <w:rPr>
          <w:spacing w:val="-2"/>
          <w:sz w:val="21"/>
        </w:rPr>
        <w:t>原</w:t>
      </w:r>
      <w:r>
        <w:rPr>
          <w:spacing w:val="-2"/>
          <w:sz w:val="21"/>
        </w:rPr>
        <w:t>虫</w:t>
      </w:r>
      <w:r>
        <w:rPr>
          <w:spacing w:val="-2"/>
          <w:sz w:val="21"/>
        </w:rPr>
        <w:t>严</w:t>
      </w:r>
      <w:r>
        <w:rPr>
          <w:spacing w:val="-2"/>
          <w:sz w:val="21"/>
        </w:rPr>
        <w:t>重</w:t>
      </w:r>
      <w:r>
        <w:rPr>
          <w:spacing w:val="-2"/>
          <w:sz w:val="21"/>
        </w:rPr>
        <w:t>感</w:t>
      </w:r>
      <w:r>
        <w:rPr>
          <w:spacing w:val="-2"/>
          <w:sz w:val="21"/>
        </w:rPr>
        <w:t>染</w:t>
      </w:r>
      <w:r>
        <w:rPr>
          <w:spacing w:val="-2"/>
          <w:sz w:val="21"/>
        </w:rPr>
        <w:t>导</w:t>
      </w:r>
      <w:r>
        <w:rPr>
          <w:spacing w:val="-2"/>
          <w:sz w:val="21"/>
        </w:rPr>
        <w:t>致</w:t>
      </w:r>
      <w:r>
        <w:rPr>
          <w:spacing w:val="-2"/>
          <w:sz w:val="21"/>
        </w:rPr>
        <w:t>的</w:t>
      </w:r>
      <w:r>
        <w:rPr>
          <w:spacing w:val="-2"/>
          <w:sz w:val="21"/>
        </w:rPr>
        <w:t>脑</w:t>
      </w:r>
      <w:r>
        <w:rPr>
          <w:spacing w:val="-2"/>
          <w:sz w:val="21"/>
        </w:rPr>
        <w:t>病</w:t>
      </w:r>
      <w:r>
        <w:rPr>
          <w:spacing w:val="-2"/>
          <w:sz w:val="21"/>
        </w:rPr>
        <w:t>或</w:t>
      </w:r>
      <w:r>
        <w:rPr>
          <w:spacing w:val="-2"/>
          <w:sz w:val="21"/>
        </w:rPr>
        <w:t>脑</w:t>
      </w:r>
      <w:r>
        <w:rPr>
          <w:spacing w:val="-2"/>
          <w:sz w:val="21"/>
        </w:rPr>
        <w:t>型</w:t>
      </w:r>
      <w:r>
        <w:rPr>
          <w:spacing w:val="-2"/>
          <w:sz w:val="21"/>
        </w:rPr>
        <w:t>疟</w:t>
      </w:r>
      <w:r>
        <w:rPr>
          <w:spacing w:val="-2"/>
          <w:sz w:val="21"/>
        </w:rPr>
        <w:t>疾</w:t>
      </w:r>
      <w:r>
        <w:rPr>
          <w:spacing w:val="-2"/>
          <w:sz w:val="21"/>
        </w:rPr>
        <w:t>，</w:t>
      </w:r>
      <w:r>
        <w:rPr>
          <w:spacing w:val="-2"/>
          <w:sz w:val="21"/>
        </w:rPr>
        <w:t>以</w:t>
      </w:r>
      <w:r>
        <w:rPr>
          <w:spacing w:val="-2"/>
          <w:sz w:val="21"/>
        </w:rPr>
        <w:t>昏</w:t>
      </w:r>
      <w:r>
        <w:rPr>
          <w:spacing w:val="-2"/>
          <w:sz w:val="21"/>
        </w:rPr>
        <w:t>迷</w:t>
      </w:r>
      <w:r>
        <w:rPr>
          <w:spacing w:val="-2"/>
          <w:sz w:val="21"/>
        </w:rPr>
        <w:t>为</w:t>
      </w:r>
      <w:r>
        <w:rPr>
          <w:spacing w:val="-2"/>
          <w:sz w:val="21"/>
        </w:rPr>
        <w:t>主</w:t>
      </w:r>
      <w:r>
        <w:rPr>
          <w:spacing w:val="-2"/>
          <w:sz w:val="21"/>
        </w:rPr>
        <w:t>要</w:t>
      </w:r>
      <w:r>
        <w:rPr>
          <w:spacing w:val="-2"/>
          <w:sz w:val="21"/>
        </w:rPr>
        <w:t>特</w:t>
      </w:r>
      <w:r>
        <w:rPr>
          <w:spacing w:val="-2"/>
          <w:sz w:val="21"/>
        </w:rPr>
        <w:t>征</w:t>
      </w:r>
      <w:r>
        <w:rPr>
          <w:spacing w:val="-2"/>
          <w:sz w:val="21"/>
        </w:rPr>
        <w:t>。</w:t>
      </w:r>
      <w:r>
        <w:rPr>
          <w:spacing w:val="-2"/>
          <w:sz w:val="21"/>
        </w:rPr>
        <w:t>脑</w:t>
      </w:r>
      <w:r>
        <w:rPr>
          <w:spacing w:val="-2"/>
          <w:sz w:val="21"/>
        </w:rPr>
        <w:t>型</w:t>
      </w:r>
      <w:r>
        <w:rPr>
          <w:spacing w:val="-2"/>
          <w:sz w:val="21"/>
        </w:rPr>
        <w:t>疟</w:t>
      </w:r>
      <w:r>
        <w:rPr>
          <w:spacing w:val="-2"/>
          <w:sz w:val="21"/>
        </w:rPr>
        <w:t>疾的</w:t>
      </w:r>
      <w:r>
        <w:rPr>
          <w:spacing w:val="-2"/>
          <w:sz w:val="21"/>
        </w:rPr>
        <w:t>诊</w:t>
      </w:r>
      <w:r>
        <w:rPr>
          <w:spacing w:val="-2"/>
          <w:sz w:val="21"/>
        </w:rPr>
        <w:t>断</w:t>
      </w:r>
      <w:r>
        <w:rPr>
          <w:spacing w:val="-2"/>
          <w:sz w:val="21"/>
        </w:rPr>
        <w:t>须</w:t>
      </w:r>
      <w:r>
        <w:rPr>
          <w:spacing w:val="-2"/>
          <w:sz w:val="21"/>
        </w:rPr>
        <w:t>由注册医生确认，且</w:t>
      </w:r>
      <w:r>
        <w:rPr>
          <w:spacing w:val="-2"/>
          <w:sz w:val="21"/>
        </w:rPr>
        <w:t>外</w:t>
      </w:r>
      <w:r>
        <w:rPr>
          <w:spacing w:val="-2"/>
          <w:sz w:val="21"/>
        </w:rPr>
        <w:t>周</w:t>
      </w:r>
      <w:r>
        <w:rPr>
          <w:spacing w:val="-2"/>
          <w:sz w:val="21"/>
        </w:rPr>
        <w:t>血涂片存在恶性疟原</w:t>
      </w:r>
      <w:r>
        <w:rPr>
          <w:spacing w:val="-2"/>
          <w:sz w:val="21"/>
        </w:rPr>
        <w:t>虫</w:t>
      </w:r>
      <w:r>
        <w:rPr>
          <w:spacing w:val="-2"/>
          <w:sz w:val="21"/>
        </w:rPr>
        <w:t>。</w:t>
      </w:r>
    </w:p>
    <w:p>
      <w:pPr>
        <w:spacing w:line="363" w:lineRule="exact" w:before="0"/>
        <w:ind w:left="2699" w:right="0" w:firstLine="0"/>
        <w:jc w:val="left"/>
        <w:rPr>
          <w:rFonts w:ascii="微软雅黑" w:eastAsia="微软雅黑"/>
          <w:b/>
          <w:sz w:val="21"/>
        </w:rPr>
      </w:pPr>
      <w:r>
        <w:rPr>
          <w:rFonts w:ascii="微软雅黑" w:eastAsia="微软雅黑"/>
          <w:b/>
          <w:spacing w:val="-3"/>
          <w:sz w:val="21"/>
        </w:rPr>
        <w:t>其他明确病因导致的脑病不在保障范围内。</w:t>
      </w:r>
    </w:p>
    <w:p>
      <w:pPr>
        <w:pStyle w:val="BodyText"/>
        <w:spacing w:before="3"/>
        <w:rPr>
          <w:rFonts w:ascii="微软雅黑"/>
          <w:b/>
          <w:sz w:val="13"/>
        </w:rPr>
      </w:pPr>
    </w:p>
    <w:p>
      <w:pPr>
        <w:pStyle w:val="ListParagraph"/>
        <w:numPr>
          <w:ilvl w:val="0"/>
          <w:numId w:val="93"/>
        </w:numPr>
        <w:tabs>
          <w:tab w:pos="1601" w:val="left" w:leader="none"/>
          <w:tab w:pos="2699" w:val="left" w:leader="none"/>
        </w:tabs>
        <w:spacing w:line="235" w:lineRule="auto" w:before="0" w:after="0"/>
        <w:ind w:left="2699" w:right="359" w:hanging="1628"/>
        <w:jc w:val="left"/>
        <w:rPr>
          <w:rFonts w:ascii="微软雅黑" w:eastAsia="微软雅黑"/>
          <w:b/>
          <w:sz w:val="21"/>
        </w:rPr>
      </w:pPr>
      <w:r>
        <w:rPr>
          <w:rFonts w:ascii="微软雅黑" w:eastAsia="微软雅黑"/>
          <w:b/>
          <w:spacing w:val="-4"/>
          <w:sz w:val="21"/>
        </w:rPr>
        <w:t>库</w:t>
      </w:r>
      <w:r>
        <w:rPr>
          <w:rFonts w:ascii="微软雅黑" w:eastAsia="微软雅黑"/>
          <w:b/>
          <w:spacing w:val="-4"/>
          <w:sz w:val="21"/>
        </w:rPr>
        <w:t>鲁</w:t>
      </w:r>
      <w:r>
        <w:rPr>
          <w:rFonts w:ascii="微软雅黑" w:eastAsia="微软雅黑"/>
          <w:b/>
          <w:spacing w:val="-4"/>
          <w:sz w:val="21"/>
        </w:rPr>
        <w:t>病</w:t>
      </w:r>
      <w:r>
        <w:rPr>
          <w:rFonts w:ascii="微软雅黑" w:eastAsia="微软雅黑"/>
          <w:b/>
          <w:sz w:val="21"/>
        </w:rPr>
        <w:tab/>
      </w:r>
      <w:r>
        <w:rPr>
          <w:spacing w:val="-2"/>
          <w:sz w:val="21"/>
        </w:rPr>
        <w:t>指</w:t>
      </w:r>
      <w:r>
        <w:rPr>
          <w:spacing w:val="-2"/>
          <w:sz w:val="21"/>
        </w:rPr>
        <w:t>一</w:t>
      </w:r>
      <w:r>
        <w:rPr>
          <w:spacing w:val="-2"/>
          <w:sz w:val="21"/>
        </w:rPr>
        <w:t>种</w:t>
      </w:r>
      <w:r>
        <w:rPr>
          <w:spacing w:val="-2"/>
          <w:sz w:val="21"/>
        </w:rPr>
        <w:t>亚</w:t>
      </w:r>
      <w:r>
        <w:rPr>
          <w:spacing w:val="-2"/>
          <w:sz w:val="21"/>
        </w:rPr>
        <w:t>急</w:t>
      </w:r>
      <w:r>
        <w:rPr>
          <w:spacing w:val="-2"/>
          <w:sz w:val="21"/>
        </w:rPr>
        <w:t>性</w:t>
      </w:r>
      <w:r>
        <w:rPr>
          <w:spacing w:val="-2"/>
          <w:sz w:val="21"/>
        </w:rPr>
        <w:t>传</w:t>
      </w:r>
      <w:r>
        <w:rPr>
          <w:spacing w:val="-2"/>
          <w:sz w:val="21"/>
        </w:rPr>
        <w:t>染</w:t>
      </w:r>
      <w:r>
        <w:rPr>
          <w:spacing w:val="-2"/>
          <w:sz w:val="21"/>
        </w:rPr>
        <w:t>性</w:t>
      </w:r>
      <w:r>
        <w:rPr>
          <w:spacing w:val="-2"/>
          <w:sz w:val="21"/>
        </w:rPr>
        <w:t>朊</w:t>
      </w:r>
      <w:r>
        <w:rPr>
          <w:spacing w:val="-2"/>
          <w:sz w:val="21"/>
        </w:rPr>
        <w:t>蛋</w:t>
      </w:r>
      <w:r>
        <w:rPr>
          <w:spacing w:val="-2"/>
          <w:sz w:val="21"/>
        </w:rPr>
        <w:t>白</w:t>
      </w:r>
      <w:r>
        <w:rPr>
          <w:spacing w:val="-2"/>
          <w:sz w:val="21"/>
        </w:rPr>
        <w:t>病</w:t>
      </w:r>
      <w:r>
        <w:rPr>
          <w:spacing w:val="-2"/>
          <w:sz w:val="21"/>
        </w:rPr>
        <w:t>。</w:t>
      </w:r>
      <w:r>
        <w:rPr>
          <w:spacing w:val="-2"/>
          <w:sz w:val="21"/>
        </w:rPr>
        <w:t>临</w:t>
      </w:r>
      <w:r>
        <w:rPr>
          <w:spacing w:val="-2"/>
          <w:sz w:val="21"/>
        </w:rPr>
        <w:t>床</w:t>
      </w:r>
      <w:r>
        <w:rPr>
          <w:spacing w:val="-2"/>
          <w:sz w:val="21"/>
        </w:rPr>
        <w:t>表</w:t>
      </w:r>
      <w:r>
        <w:rPr>
          <w:spacing w:val="-2"/>
          <w:sz w:val="21"/>
        </w:rPr>
        <w:t>现</w:t>
      </w:r>
      <w:r>
        <w:rPr>
          <w:spacing w:val="-2"/>
          <w:sz w:val="21"/>
        </w:rPr>
        <w:t>为</w:t>
      </w:r>
      <w:r>
        <w:rPr>
          <w:spacing w:val="-2"/>
          <w:sz w:val="21"/>
        </w:rPr>
        <w:t>共</w:t>
      </w:r>
      <w:r>
        <w:rPr>
          <w:spacing w:val="-2"/>
          <w:sz w:val="21"/>
        </w:rPr>
        <w:t>济</w:t>
      </w:r>
      <w:r>
        <w:rPr>
          <w:spacing w:val="-2"/>
          <w:sz w:val="21"/>
        </w:rPr>
        <w:t>失</w:t>
      </w:r>
      <w:r>
        <w:rPr>
          <w:spacing w:val="-2"/>
          <w:sz w:val="21"/>
        </w:rPr>
        <w:t>调</w:t>
      </w:r>
      <w:r>
        <w:rPr>
          <w:spacing w:val="-2"/>
          <w:sz w:val="21"/>
        </w:rPr>
        <w:t>、</w:t>
      </w:r>
      <w:r>
        <w:rPr>
          <w:spacing w:val="-2"/>
          <w:sz w:val="21"/>
        </w:rPr>
        <w:t>震</w:t>
      </w:r>
      <w:r>
        <w:rPr>
          <w:spacing w:val="-2"/>
          <w:sz w:val="21"/>
        </w:rPr>
        <w:t>颤</w:t>
      </w:r>
      <w:r>
        <w:rPr>
          <w:spacing w:val="-2"/>
          <w:sz w:val="21"/>
        </w:rPr>
        <w:t>、</w:t>
      </w:r>
      <w:r>
        <w:rPr>
          <w:spacing w:val="-2"/>
          <w:sz w:val="21"/>
        </w:rPr>
        <w:t>不</w:t>
      </w:r>
      <w:r>
        <w:rPr>
          <w:spacing w:val="-2"/>
          <w:sz w:val="21"/>
        </w:rPr>
        <w:t>自</w:t>
      </w:r>
      <w:r>
        <w:rPr>
          <w:spacing w:val="-2"/>
          <w:sz w:val="21"/>
        </w:rPr>
        <w:t>主</w:t>
      </w:r>
      <w:r>
        <w:rPr>
          <w:spacing w:val="-2"/>
          <w:sz w:val="21"/>
        </w:rPr>
        <w:t>运</w:t>
      </w:r>
      <w:r>
        <w:rPr>
          <w:spacing w:val="-2"/>
          <w:sz w:val="21"/>
        </w:rPr>
        <w:t>动</w:t>
      </w:r>
      <w:r>
        <w:rPr>
          <w:spacing w:val="-2"/>
          <w:sz w:val="21"/>
        </w:rPr>
        <w:t>，在</w:t>
      </w:r>
      <w:r>
        <w:rPr>
          <w:spacing w:val="-2"/>
          <w:sz w:val="21"/>
        </w:rPr>
        <w:t>病</w:t>
      </w:r>
      <w:r>
        <w:rPr>
          <w:spacing w:val="-2"/>
          <w:sz w:val="21"/>
        </w:rPr>
        <w:t>程</w:t>
      </w:r>
      <w:r>
        <w:rPr>
          <w:spacing w:val="-2"/>
          <w:sz w:val="21"/>
        </w:rPr>
        <w:t>晚</w:t>
      </w:r>
      <w:r>
        <w:rPr>
          <w:spacing w:val="-2"/>
          <w:sz w:val="21"/>
        </w:rPr>
        <w:t>期出现进行性加重的</w:t>
      </w:r>
      <w:r>
        <w:rPr>
          <w:spacing w:val="-2"/>
          <w:sz w:val="21"/>
        </w:rPr>
        <w:t>痴</w:t>
      </w:r>
      <w:r>
        <w:rPr>
          <w:spacing w:val="-2"/>
          <w:sz w:val="21"/>
        </w:rPr>
        <w:t>呆</w:t>
      </w:r>
      <w:r>
        <w:rPr>
          <w:spacing w:val="-2"/>
          <w:sz w:val="21"/>
        </w:rPr>
        <w:t>，神经异常。</w:t>
      </w:r>
    </w:p>
    <w:p>
      <w:pPr>
        <w:pStyle w:val="BodyText"/>
        <w:spacing w:before="42"/>
        <w:ind w:left="2699"/>
      </w:pPr>
      <w:r>
        <w:rPr>
          <w:spacing w:val="-3"/>
        </w:rPr>
        <w:t>该病必须由专科医生根据检测出的脑组织中的致病蛋白而明确诊断。</w:t>
      </w:r>
    </w:p>
    <w:p>
      <w:pPr>
        <w:pStyle w:val="BodyText"/>
        <w:spacing w:before="2"/>
        <w:rPr>
          <w:sz w:val="22"/>
        </w:rPr>
      </w:pPr>
    </w:p>
    <w:p>
      <w:pPr>
        <w:spacing w:after="0"/>
        <w:rPr>
          <w:sz w:val="22"/>
        </w:rPr>
        <w:sectPr>
          <w:type w:val="continuous"/>
          <w:pgSz w:w="11910" w:h="16840"/>
          <w:pgMar w:header="0" w:footer="458" w:top="620" w:bottom="280" w:left="800" w:right="660"/>
        </w:sectPr>
      </w:pPr>
    </w:p>
    <w:p>
      <w:pPr>
        <w:pStyle w:val="ListParagraph"/>
        <w:numPr>
          <w:ilvl w:val="0"/>
          <w:numId w:val="93"/>
        </w:numPr>
        <w:tabs>
          <w:tab w:pos="1610" w:val="left" w:leader="none"/>
        </w:tabs>
        <w:spacing w:line="194" w:lineRule="auto" w:before="57" w:after="0"/>
        <w:ind w:left="1072" w:right="0" w:firstLine="0"/>
        <w:jc w:val="left"/>
        <w:rPr>
          <w:rFonts w:ascii="微软雅黑" w:eastAsia="微软雅黑"/>
          <w:b/>
          <w:sz w:val="21"/>
        </w:rPr>
      </w:pPr>
      <w:r>
        <w:rPr>
          <w:rFonts w:ascii="微软雅黑" w:eastAsia="微软雅黑"/>
          <w:b/>
          <w:sz w:val="21"/>
        </w:rPr>
        <w:t>肺孢子菌</w:t>
      </w:r>
      <w:r>
        <w:rPr>
          <w:rFonts w:ascii="微软雅黑" w:eastAsia="微软雅黑"/>
          <w:b/>
          <w:spacing w:val="-6"/>
          <w:sz w:val="21"/>
        </w:rPr>
        <w:t>肺炎</w:t>
      </w:r>
    </w:p>
    <w:p>
      <w:pPr>
        <w:pStyle w:val="BodyText"/>
        <w:spacing w:before="72"/>
        <w:ind w:left="174"/>
      </w:pPr>
      <w:r>
        <w:rPr/>
        <w:br w:type="column"/>
      </w:r>
      <w:r>
        <w:rPr>
          <w:spacing w:val="-3"/>
        </w:rPr>
        <w:t>指由肺孢子菌引起的间质性浆细胞性肺炎，且满足下列全部条件：</w:t>
      </w:r>
    </w:p>
    <w:p>
      <w:pPr>
        <w:pStyle w:val="ListParagraph"/>
        <w:numPr>
          <w:ilvl w:val="0"/>
          <w:numId w:val="108"/>
        </w:numPr>
        <w:tabs>
          <w:tab w:pos="807" w:val="left" w:leader="none"/>
        </w:tabs>
        <w:spacing w:line="240" w:lineRule="auto" w:before="42" w:after="0"/>
        <w:ind w:left="806" w:right="0" w:hanging="633"/>
        <w:jc w:val="left"/>
        <w:rPr>
          <w:sz w:val="21"/>
        </w:rPr>
      </w:pPr>
      <w:r>
        <w:rPr>
          <w:spacing w:val="-2"/>
          <w:sz w:val="21"/>
        </w:rPr>
        <w:t>第一秒末用力呼气量（FEV1）</w:t>
      </w:r>
      <w:r>
        <w:rPr>
          <w:spacing w:val="-15"/>
          <w:sz w:val="21"/>
        </w:rPr>
        <w:t>小于 </w:t>
      </w:r>
      <w:r>
        <w:rPr>
          <w:spacing w:val="-5"/>
          <w:sz w:val="21"/>
        </w:rPr>
        <w:t>1L；</w:t>
      </w:r>
    </w:p>
    <w:p>
      <w:pPr>
        <w:pStyle w:val="ListParagraph"/>
        <w:numPr>
          <w:ilvl w:val="0"/>
          <w:numId w:val="108"/>
        </w:numPr>
        <w:tabs>
          <w:tab w:pos="807" w:val="left" w:leader="none"/>
        </w:tabs>
        <w:spacing w:line="240" w:lineRule="auto" w:before="43" w:after="0"/>
        <w:ind w:left="806" w:right="0" w:hanging="633"/>
        <w:jc w:val="left"/>
        <w:rPr>
          <w:sz w:val="21"/>
        </w:rPr>
      </w:pPr>
      <w:r>
        <w:rPr>
          <w:spacing w:val="-6"/>
          <w:sz w:val="21"/>
        </w:rPr>
        <w:t>气道内阻力增加，至少达到 </w:t>
      </w:r>
      <w:r>
        <w:rPr>
          <w:spacing w:val="-2"/>
          <w:sz w:val="21"/>
        </w:rPr>
        <w:t>0.5kPa/L/s；</w:t>
      </w:r>
    </w:p>
    <w:p>
      <w:pPr>
        <w:pStyle w:val="ListParagraph"/>
        <w:numPr>
          <w:ilvl w:val="0"/>
          <w:numId w:val="108"/>
        </w:numPr>
        <w:tabs>
          <w:tab w:pos="807" w:val="left" w:leader="none"/>
        </w:tabs>
        <w:spacing w:line="240" w:lineRule="auto" w:before="43" w:after="0"/>
        <w:ind w:left="806" w:right="0" w:hanging="633"/>
        <w:jc w:val="left"/>
        <w:rPr>
          <w:sz w:val="21"/>
        </w:rPr>
      </w:pPr>
      <w:r>
        <w:rPr>
          <w:spacing w:val="-2"/>
          <w:sz w:val="21"/>
        </w:rPr>
        <w:t>残气容积占肺总量（TLC）</w:t>
      </w:r>
      <w:r>
        <w:rPr>
          <w:spacing w:val="-20"/>
          <w:sz w:val="21"/>
        </w:rPr>
        <w:t>的 </w:t>
      </w:r>
      <w:r>
        <w:rPr>
          <w:spacing w:val="-2"/>
          <w:sz w:val="21"/>
        </w:rPr>
        <w:t>60</w:t>
      </w:r>
      <w:r>
        <w:rPr>
          <w:spacing w:val="-4"/>
          <w:sz w:val="21"/>
        </w:rPr>
        <w:t>%以上；</w:t>
      </w:r>
    </w:p>
    <w:p>
      <w:pPr>
        <w:pStyle w:val="ListParagraph"/>
        <w:numPr>
          <w:ilvl w:val="0"/>
          <w:numId w:val="108"/>
        </w:numPr>
        <w:tabs>
          <w:tab w:pos="807" w:val="left" w:leader="none"/>
        </w:tabs>
        <w:spacing w:line="240" w:lineRule="auto" w:before="43" w:after="0"/>
        <w:ind w:left="806" w:right="0" w:hanging="633"/>
        <w:jc w:val="left"/>
        <w:rPr>
          <w:sz w:val="21"/>
        </w:rPr>
      </w:pPr>
      <w:r>
        <w:rPr>
          <w:spacing w:val="-5"/>
          <w:sz w:val="21"/>
        </w:rPr>
        <w:t>胸内气体容积升高，超过基值的 </w:t>
      </w:r>
      <w:r>
        <w:rPr>
          <w:spacing w:val="-4"/>
          <w:sz w:val="21"/>
        </w:rPr>
        <w:t>170%；</w:t>
      </w:r>
    </w:p>
    <w:p>
      <w:pPr>
        <w:pStyle w:val="ListParagraph"/>
        <w:numPr>
          <w:ilvl w:val="0"/>
          <w:numId w:val="108"/>
        </w:numPr>
        <w:tabs>
          <w:tab w:pos="807" w:val="left" w:leader="none"/>
        </w:tabs>
        <w:spacing w:line="240" w:lineRule="auto" w:before="43" w:after="0"/>
        <w:ind w:left="806" w:right="0" w:hanging="633"/>
        <w:jc w:val="left"/>
        <w:rPr>
          <w:sz w:val="21"/>
        </w:rPr>
      </w:pPr>
      <w:r>
        <w:rPr>
          <w:spacing w:val="-2"/>
          <w:sz w:val="21"/>
        </w:rPr>
        <w:t>PaO2＜60mmHg，PaCO2＞50mmHg</w:t>
      </w:r>
      <w:r>
        <w:rPr>
          <w:spacing w:val="-10"/>
          <w:sz w:val="21"/>
        </w:rPr>
        <w:t>。</w:t>
      </w:r>
    </w:p>
    <w:p>
      <w:pPr>
        <w:spacing w:after="0" w:line="240" w:lineRule="auto"/>
        <w:jc w:val="left"/>
        <w:rPr>
          <w:sz w:val="21"/>
        </w:rPr>
        <w:sectPr>
          <w:type w:val="continuous"/>
          <w:pgSz w:w="11910" w:h="16840"/>
          <w:pgMar w:header="0" w:footer="458" w:top="620" w:bottom="280" w:left="800" w:right="660"/>
          <w:cols w:num="2" w:equalWidth="0">
            <w:col w:w="2486" w:space="40"/>
            <w:col w:w="7924"/>
          </w:cols>
        </w:sectPr>
      </w:pPr>
    </w:p>
    <w:p>
      <w:pPr>
        <w:pStyle w:val="BodyText"/>
        <w:spacing w:before="2"/>
        <w:rPr>
          <w:sz w:val="22"/>
        </w:rPr>
      </w:pPr>
    </w:p>
    <w:p>
      <w:pPr>
        <w:spacing w:after="0"/>
        <w:rPr>
          <w:sz w:val="22"/>
        </w:rPr>
        <w:sectPr>
          <w:type w:val="continuous"/>
          <w:pgSz w:w="11910" w:h="16840"/>
          <w:pgMar w:header="0" w:footer="458" w:top="620" w:bottom="280" w:left="800" w:right="660"/>
        </w:sectPr>
      </w:pPr>
    </w:p>
    <w:p>
      <w:pPr>
        <w:pStyle w:val="ListParagraph"/>
        <w:numPr>
          <w:ilvl w:val="0"/>
          <w:numId w:val="93"/>
        </w:numPr>
        <w:tabs>
          <w:tab w:pos="1610" w:val="left" w:leader="none"/>
        </w:tabs>
        <w:spacing w:line="194" w:lineRule="auto" w:before="57" w:after="0"/>
        <w:ind w:left="1072" w:right="0" w:firstLine="0"/>
        <w:jc w:val="left"/>
        <w:rPr>
          <w:rFonts w:ascii="微软雅黑" w:eastAsia="微软雅黑"/>
          <w:b/>
          <w:sz w:val="21"/>
        </w:rPr>
      </w:pPr>
      <w:r>
        <w:rPr>
          <w:rFonts w:ascii="微软雅黑" w:eastAsia="微软雅黑"/>
          <w:b/>
          <w:sz w:val="21"/>
        </w:rPr>
        <w:t>特发性肺</w:t>
      </w:r>
      <w:r>
        <w:rPr>
          <w:rFonts w:ascii="微软雅黑" w:eastAsia="微软雅黑"/>
          <w:b/>
          <w:spacing w:val="-4"/>
          <w:sz w:val="21"/>
        </w:rPr>
        <w:t>纤维化</w:t>
      </w:r>
    </w:p>
    <w:p>
      <w:pPr>
        <w:spacing w:line="312" w:lineRule="exact" w:before="32"/>
        <w:ind w:left="174" w:right="355" w:firstLine="0"/>
        <w:jc w:val="both"/>
        <w:rPr>
          <w:rFonts w:ascii="微软雅黑" w:eastAsia="微软雅黑"/>
          <w:b/>
          <w:sz w:val="21"/>
        </w:rPr>
      </w:pPr>
      <w:r>
        <w:rPr/>
        <w:br w:type="column"/>
      </w:r>
      <w:r>
        <w:rPr>
          <w:spacing w:val="-2"/>
          <w:sz w:val="21"/>
        </w:rPr>
        <w:t>是一种原因不明的、进行性的、局限于肺部的以纤维化伴蜂窝状改变为特征的疾</w:t>
      </w:r>
      <w:r>
        <w:rPr>
          <w:spacing w:val="-2"/>
          <w:sz w:val="21"/>
        </w:rPr>
        <w:t>病，可表现为呼吸困难、咳嗽咳痰、消瘦、乏力，终末期可出现呼吸衰竭和右心</w:t>
      </w:r>
      <w:r>
        <w:rPr>
          <w:spacing w:val="-3"/>
          <w:sz w:val="21"/>
        </w:rPr>
        <w:t>衰竭体征。诊断需经外科肺活检病理证实或高分辨率 </w:t>
      </w:r>
      <w:r>
        <w:rPr>
          <w:spacing w:val="-2"/>
          <w:sz w:val="21"/>
        </w:rPr>
        <w:t>CT（HRCT）证实为典型的普</w:t>
      </w:r>
      <w:r>
        <w:rPr>
          <w:spacing w:val="-2"/>
          <w:sz w:val="21"/>
        </w:rPr>
        <w:t>通型间质性肺炎</w:t>
      </w:r>
      <w:r>
        <w:rPr>
          <w:spacing w:val="19"/>
          <w:sz w:val="21"/>
        </w:rPr>
        <w:t>（UIP</w:t>
      </w:r>
      <w:r>
        <w:rPr>
          <w:spacing w:val="-87"/>
          <w:sz w:val="21"/>
        </w:rPr>
        <w:t>）</w:t>
      </w:r>
      <w:r>
        <w:rPr>
          <w:spacing w:val="-2"/>
          <w:sz w:val="21"/>
        </w:rPr>
        <w:t>。</w:t>
      </w:r>
      <w:r>
        <w:rPr>
          <w:rFonts w:ascii="微软雅黑" w:eastAsia="微软雅黑"/>
          <w:b/>
          <w:spacing w:val="-2"/>
          <w:sz w:val="21"/>
        </w:rPr>
        <w:t>其他已知原因（例如环境和职业暴露、结缔组织病、药</w:t>
      </w:r>
      <w:r>
        <w:rPr>
          <w:rFonts w:ascii="微软雅黑" w:eastAsia="微软雅黑"/>
          <w:b/>
          <w:spacing w:val="-2"/>
          <w:sz w:val="21"/>
        </w:rPr>
        <w:t>物毒性）导致的间质性肺疾病（ILD）不在保障范围内。</w:t>
      </w:r>
    </w:p>
    <w:p>
      <w:pPr>
        <w:spacing w:after="0" w:line="312" w:lineRule="exact"/>
        <w:jc w:val="both"/>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4"/>
        <w:rPr>
          <w:rFonts w:ascii="微软雅黑"/>
          <w:b/>
          <w:sz w:val="15"/>
        </w:rPr>
      </w:pPr>
    </w:p>
    <w:p>
      <w:pPr>
        <w:spacing w:after="0"/>
        <w:rPr>
          <w:rFonts w:ascii="微软雅黑"/>
          <w:sz w:val="15"/>
        </w:rPr>
        <w:sectPr>
          <w:type w:val="continuous"/>
          <w:pgSz w:w="11910" w:h="16840"/>
          <w:pgMar w:header="0" w:footer="458" w:top="620" w:bottom="280" w:left="800" w:right="660"/>
        </w:sectPr>
      </w:pPr>
    </w:p>
    <w:p>
      <w:pPr>
        <w:pStyle w:val="ListParagraph"/>
        <w:numPr>
          <w:ilvl w:val="0"/>
          <w:numId w:val="93"/>
        </w:numPr>
        <w:tabs>
          <w:tab w:pos="1610" w:val="left" w:leader="none"/>
        </w:tabs>
        <w:spacing w:line="194" w:lineRule="auto" w:before="57" w:after="0"/>
        <w:ind w:left="1072" w:right="0" w:firstLine="0"/>
        <w:jc w:val="left"/>
        <w:rPr>
          <w:rFonts w:ascii="微软雅黑" w:eastAsia="微软雅黑"/>
          <w:b/>
          <w:sz w:val="21"/>
        </w:rPr>
      </w:pPr>
      <w:r>
        <w:rPr>
          <w:rFonts w:ascii="微软雅黑" w:eastAsia="微软雅黑"/>
          <w:b/>
          <w:sz w:val="21"/>
        </w:rPr>
        <w:t>艾森门格</w:t>
      </w:r>
      <w:r>
        <w:rPr>
          <w:rFonts w:ascii="微软雅黑" w:eastAsia="微软雅黑"/>
          <w:b/>
          <w:spacing w:val="-4"/>
          <w:sz w:val="21"/>
        </w:rPr>
        <w:t>综合征</w:t>
      </w:r>
    </w:p>
    <w:p>
      <w:pPr>
        <w:pStyle w:val="BodyText"/>
        <w:spacing w:before="71"/>
        <w:ind w:left="174"/>
      </w:pPr>
      <w:r>
        <w:rPr/>
        <w:br w:type="column"/>
      </w:r>
      <w:r>
        <w:rPr>
          <w:spacing w:val="-3"/>
        </w:rPr>
        <w:t>因心脏病导致的严重肺动脉高血压及右向左分流。</w:t>
      </w:r>
    </w:p>
    <w:p>
      <w:pPr>
        <w:pStyle w:val="BodyText"/>
        <w:spacing w:line="278" w:lineRule="auto"/>
        <w:ind w:left="174" w:right="366"/>
      </w:pPr>
      <w:r>
        <w:rPr>
          <w:spacing w:val="3"/>
          <w:w w:val="100"/>
        </w:rPr>
        <w:t>诊断必须由心脏专科医生经超声心动图和心导管检查证实及需符合以下所有标准:</w:t>
      </w:r>
    </w:p>
    <w:p>
      <w:pPr>
        <w:pStyle w:val="ListParagraph"/>
        <w:numPr>
          <w:ilvl w:val="0"/>
          <w:numId w:val="109"/>
        </w:numPr>
        <w:tabs>
          <w:tab w:pos="704" w:val="left" w:leader="none"/>
        </w:tabs>
        <w:spacing w:line="269" w:lineRule="exact" w:before="0" w:after="0"/>
        <w:ind w:left="703" w:right="0" w:hanging="530"/>
        <w:jc w:val="left"/>
        <w:rPr>
          <w:sz w:val="21"/>
        </w:rPr>
      </w:pPr>
      <w:r>
        <w:rPr>
          <w:spacing w:val="-8"/>
          <w:sz w:val="21"/>
        </w:rPr>
        <w:t>平均肺动脉压高于 </w:t>
      </w:r>
      <w:r>
        <w:rPr>
          <w:spacing w:val="-2"/>
          <w:sz w:val="21"/>
        </w:rPr>
        <w:t>40mmHg；</w:t>
      </w:r>
    </w:p>
    <w:p>
      <w:pPr>
        <w:pStyle w:val="ListParagraph"/>
        <w:numPr>
          <w:ilvl w:val="0"/>
          <w:numId w:val="109"/>
        </w:numPr>
        <w:tabs>
          <w:tab w:pos="704" w:val="left" w:leader="none"/>
        </w:tabs>
        <w:spacing w:line="240" w:lineRule="auto" w:before="43" w:after="0"/>
        <w:ind w:left="703" w:right="0" w:hanging="530"/>
        <w:jc w:val="left"/>
        <w:rPr>
          <w:sz w:val="21"/>
        </w:rPr>
      </w:pPr>
      <w:r>
        <w:rPr>
          <w:spacing w:val="-8"/>
          <w:sz w:val="21"/>
        </w:rPr>
        <w:t>肺血管阻力高于 </w:t>
      </w:r>
      <w:r>
        <w:rPr>
          <w:spacing w:val="-2"/>
          <w:sz w:val="21"/>
        </w:rPr>
        <w:t>3mm/L/min（Wood</w:t>
      </w:r>
      <w:r>
        <w:rPr>
          <w:spacing w:val="-16"/>
          <w:sz w:val="21"/>
        </w:rPr>
        <w:t> 单位</w:t>
      </w:r>
      <w:r>
        <w:rPr>
          <w:spacing w:val="-113"/>
          <w:sz w:val="21"/>
        </w:rPr>
        <w:t>）</w:t>
      </w:r>
      <w:r>
        <w:rPr>
          <w:spacing w:val="-5"/>
          <w:sz w:val="21"/>
        </w:rPr>
        <w:t>；</w:t>
      </w:r>
    </w:p>
    <w:p>
      <w:pPr>
        <w:pStyle w:val="ListParagraph"/>
        <w:numPr>
          <w:ilvl w:val="0"/>
          <w:numId w:val="109"/>
        </w:numPr>
        <w:tabs>
          <w:tab w:pos="704" w:val="left" w:leader="none"/>
        </w:tabs>
        <w:spacing w:line="257" w:lineRule="exact" w:before="44" w:after="0"/>
        <w:ind w:left="703" w:right="0" w:hanging="530"/>
        <w:jc w:val="left"/>
        <w:rPr>
          <w:sz w:val="21"/>
        </w:rPr>
      </w:pPr>
      <w:r>
        <w:rPr>
          <w:spacing w:val="-6"/>
          <w:sz w:val="21"/>
        </w:rPr>
        <w:t>正常肺微血管楔压低于 </w:t>
      </w:r>
      <w:r>
        <w:rPr>
          <w:spacing w:val="-2"/>
          <w:sz w:val="21"/>
        </w:rPr>
        <w:t>15mmHg</w:t>
      </w:r>
      <w:r>
        <w:rPr>
          <w:spacing w:val="-10"/>
          <w:sz w:val="21"/>
        </w:rPr>
        <w:t>。</w:t>
      </w:r>
    </w:p>
    <w:p>
      <w:pPr>
        <w:spacing w:line="375" w:lineRule="exact" w:before="0"/>
        <w:ind w:left="174" w:right="0" w:firstLine="0"/>
        <w:jc w:val="left"/>
        <w:rPr>
          <w:rFonts w:ascii="微软雅黑" w:eastAsia="微软雅黑"/>
          <w:b/>
          <w:sz w:val="21"/>
        </w:rPr>
      </w:pPr>
      <w:r>
        <w:rPr>
          <w:rFonts w:ascii="微软雅黑" w:eastAsia="微软雅黑"/>
          <w:b/>
          <w:spacing w:val="-3"/>
          <w:sz w:val="21"/>
        </w:rPr>
        <w:t>先天性心脏病所致的艾森门格综合征不在本保障范围。</w:t>
      </w:r>
    </w:p>
    <w:p>
      <w:pPr>
        <w:spacing w:after="0" w:line="375" w:lineRule="exact"/>
        <w:jc w:val="left"/>
        <w:rPr>
          <w:rFonts w:ascii="微软雅黑" w:eastAsia="微软雅黑"/>
          <w:sz w:val="21"/>
        </w:rPr>
        <w:sectPr>
          <w:type w:val="continuous"/>
          <w:pgSz w:w="11910" w:h="16840"/>
          <w:pgMar w:header="0" w:footer="458" w:top="620" w:bottom="280" w:left="800" w:right="660"/>
          <w:cols w:num="2" w:equalWidth="0">
            <w:col w:w="2486" w:space="40"/>
            <w:col w:w="7924"/>
          </w:cols>
        </w:sectPr>
      </w:pPr>
    </w:p>
    <w:p>
      <w:pPr>
        <w:pStyle w:val="BodyText"/>
        <w:spacing w:before="11"/>
        <w:rPr>
          <w:rFonts w:ascii="微软雅黑"/>
          <w:b/>
          <w:sz w:val="12"/>
        </w:rPr>
      </w:pPr>
    </w:p>
    <w:p>
      <w:pPr>
        <w:spacing w:after="0"/>
        <w:rPr>
          <w:rFonts w:ascii="微软雅黑"/>
          <w:sz w:val="12"/>
        </w:rPr>
        <w:sectPr>
          <w:type w:val="continuous"/>
          <w:pgSz w:w="11910" w:h="16840"/>
          <w:pgMar w:header="0" w:footer="458" w:top="620" w:bottom="280" w:left="800" w:right="660"/>
        </w:sectPr>
      </w:pPr>
    </w:p>
    <w:p>
      <w:pPr>
        <w:pStyle w:val="ListParagraph"/>
        <w:numPr>
          <w:ilvl w:val="0"/>
          <w:numId w:val="93"/>
        </w:numPr>
        <w:tabs>
          <w:tab w:pos="1610" w:val="left" w:leader="none"/>
        </w:tabs>
        <w:spacing w:line="194" w:lineRule="auto" w:before="57" w:after="0"/>
        <w:ind w:left="1072" w:right="0" w:firstLine="0"/>
        <w:jc w:val="left"/>
        <w:rPr>
          <w:rFonts w:ascii="微软雅黑" w:eastAsia="微软雅黑"/>
          <w:b/>
          <w:sz w:val="21"/>
        </w:rPr>
      </w:pPr>
      <w:r>
        <w:rPr>
          <w:rFonts w:ascii="微软雅黑" w:eastAsia="微软雅黑"/>
          <w:b/>
          <w:sz w:val="21"/>
        </w:rPr>
        <w:t>严重巨细</w:t>
      </w:r>
      <w:r>
        <w:rPr>
          <w:rFonts w:ascii="微软雅黑" w:eastAsia="微软雅黑"/>
          <w:b/>
          <w:spacing w:val="-4"/>
          <w:sz w:val="21"/>
        </w:rPr>
        <w:t>胞动脉炎</w:t>
      </w:r>
    </w:p>
    <w:p>
      <w:pPr>
        <w:pStyle w:val="BodyText"/>
        <w:spacing w:line="278" w:lineRule="auto" w:before="71"/>
        <w:ind w:left="174" w:right="387"/>
        <w:jc w:val="both"/>
      </w:pPr>
      <w:r>
        <w:rPr/>
        <w:br w:type="column"/>
      </w:r>
      <w:r>
        <w:rPr>
          <w:spacing w:val="-2"/>
        </w:rPr>
        <w:t>巨细胞动脉炎又称颅动脉炎、颞动脉炎、肉芽肿性动脉炎，须经本公司认可医院</w:t>
      </w:r>
      <w:r>
        <w:rPr>
          <w:spacing w:val="-2"/>
        </w:rPr>
        <w:t>的专科医师明确诊断，并造成永久不可逆性的单个肢体功能障碍或单眼失明。单</w:t>
      </w:r>
      <w:r>
        <w:rPr>
          <w:spacing w:val="-2"/>
        </w:rPr>
        <w:t>眼失明指单眼视力永久不可逆性丧失，患眼须满足下列至少一项条件：</w:t>
      </w:r>
    </w:p>
    <w:p>
      <w:pPr>
        <w:pStyle w:val="ListParagraph"/>
        <w:numPr>
          <w:ilvl w:val="0"/>
          <w:numId w:val="110"/>
        </w:numPr>
        <w:tabs>
          <w:tab w:pos="704" w:val="left" w:leader="none"/>
        </w:tabs>
        <w:spacing w:line="269" w:lineRule="exact" w:before="0" w:after="0"/>
        <w:ind w:left="703" w:right="0" w:hanging="530"/>
        <w:jc w:val="left"/>
        <w:rPr>
          <w:sz w:val="21"/>
        </w:rPr>
      </w:pPr>
      <w:r>
        <w:rPr>
          <w:spacing w:val="-3"/>
          <w:sz w:val="21"/>
        </w:rPr>
        <w:t>眼球缺失或者摘除；</w:t>
      </w:r>
    </w:p>
    <w:p>
      <w:pPr>
        <w:pStyle w:val="ListParagraph"/>
        <w:numPr>
          <w:ilvl w:val="0"/>
          <w:numId w:val="110"/>
        </w:numPr>
        <w:tabs>
          <w:tab w:pos="742" w:val="left" w:leader="none"/>
        </w:tabs>
        <w:spacing w:line="278" w:lineRule="auto" w:before="43" w:after="0"/>
        <w:ind w:left="174" w:right="454" w:firstLine="0"/>
        <w:jc w:val="left"/>
        <w:rPr>
          <w:sz w:val="21"/>
        </w:rPr>
      </w:pPr>
      <w:r>
        <w:rPr>
          <w:spacing w:val="-2"/>
          <w:sz w:val="21"/>
        </w:rPr>
        <w:t>矫正视力低于0.02（采用国际标准视力表，如果使用其它视力表应进行换</w:t>
      </w:r>
      <w:r>
        <w:rPr>
          <w:spacing w:val="-10"/>
          <w:sz w:val="21"/>
        </w:rPr>
        <w:t>算</w:t>
      </w:r>
      <w:r>
        <w:rPr>
          <w:spacing w:val="-106"/>
          <w:sz w:val="21"/>
        </w:rPr>
        <w:t>）</w:t>
      </w:r>
      <w:r>
        <w:rPr>
          <w:sz w:val="21"/>
        </w:rPr>
        <w:t>；</w:t>
      </w:r>
    </w:p>
    <w:p>
      <w:pPr>
        <w:spacing w:after="0" w:line="278" w:lineRule="auto"/>
        <w:jc w:val="left"/>
        <w:rPr>
          <w:sz w:val="21"/>
        </w:rPr>
        <w:sectPr>
          <w:type w:val="continuous"/>
          <w:pgSz w:w="11910" w:h="16840"/>
          <w:pgMar w:header="0" w:footer="458" w:top="620" w:bottom="280" w:left="800" w:right="660"/>
          <w:cols w:num="2" w:equalWidth="0">
            <w:col w:w="2486" w:space="40"/>
            <w:col w:w="7924"/>
          </w:cols>
        </w:sectPr>
      </w:pPr>
    </w:p>
    <w:p>
      <w:pPr>
        <w:pStyle w:val="ListParagraph"/>
        <w:numPr>
          <w:ilvl w:val="0"/>
          <w:numId w:val="110"/>
        </w:numPr>
        <w:tabs>
          <w:tab w:pos="3230" w:val="left" w:leader="none"/>
        </w:tabs>
        <w:spacing w:line="240" w:lineRule="auto" w:before="43" w:after="0"/>
        <w:ind w:left="3229" w:right="0" w:hanging="531"/>
        <w:jc w:val="left"/>
        <w:rPr>
          <w:sz w:val="21"/>
        </w:rPr>
      </w:pPr>
      <w:r>
        <w:rPr>
          <w:spacing w:val="-2"/>
          <w:sz w:val="21"/>
        </w:rPr>
        <w:t>视野半径小于5</w:t>
      </w:r>
      <w:r>
        <w:rPr>
          <w:spacing w:val="-6"/>
          <w:sz w:val="21"/>
        </w:rPr>
        <w:t>度。</w:t>
      </w:r>
    </w:p>
    <w:p>
      <w:pPr>
        <w:pStyle w:val="BodyText"/>
        <w:spacing w:before="8"/>
        <w:rPr>
          <w:sz w:val="24"/>
        </w:rPr>
      </w:pPr>
    </w:p>
    <w:p>
      <w:pPr>
        <w:pStyle w:val="ListParagraph"/>
        <w:numPr>
          <w:ilvl w:val="0"/>
          <w:numId w:val="93"/>
        </w:numPr>
        <w:tabs>
          <w:tab w:pos="1601" w:val="left" w:leader="none"/>
        </w:tabs>
        <w:spacing w:line="312" w:lineRule="exact" w:before="0" w:after="0"/>
        <w:ind w:left="2699" w:right="358" w:hanging="1628"/>
        <w:jc w:val="both"/>
        <w:rPr>
          <w:rFonts w:ascii="微软雅黑" w:eastAsia="微软雅黑"/>
          <w:b/>
          <w:sz w:val="21"/>
        </w:rPr>
      </w:pPr>
      <w:r>
        <w:rPr>
          <w:rFonts w:ascii="微软雅黑" w:eastAsia="微软雅黑"/>
          <w:b/>
          <w:sz w:val="21"/>
        </w:rPr>
        <w:t>严重癫痫 </w:t>
      </w:r>
      <w:r>
        <w:rPr>
          <w:sz w:val="21"/>
        </w:rPr>
        <w:t>本病的诊断须由神经科或儿科专科医生根据典型临床症状和脑电图及MRI、PET、 </w:t>
      </w:r>
      <w:r>
        <w:rPr>
          <w:spacing w:val="-2"/>
          <w:sz w:val="21"/>
        </w:rPr>
        <w:t>CT</w:t>
      </w:r>
      <w:r>
        <w:rPr>
          <w:spacing w:val="-10"/>
          <w:sz w:val="21"/>
        </w:rPr>
        <w:t>等影相学检查做出。理赔时必须提供</w:t>
      </w:r>
      <w:r>
        <w:rPr>
          <w:spacing w:val="-2"/>
          <w:sz w:val="21"/>
        </w:rPr>
        <w:t>6个月以上的相关病历记录证明被保险人存</w:t>
      </w:r>
      <w:r>
        <w:rPr>
          <w:spacing w:val="-2"/>
          <w:sz w:val="21"/>
        </w:rPr>
        <w:t>在经抗癫痫药物治疗无效而反复发作的强直阵挛性发作或癫痫大发作，且已行神</w:t>
      </w:r>
      <w:r>
        <w:rPr>
          <w:spacing w:val="-2"/>
          <w:sz w:val="21"/>
        </w:rPr>
        <w:t>经外科手术以治疗反复发作的癫痫。</w:t>
      </w:r>
    </w:p>
    <w:p>
      <w:pPr>
        <w:spacing w:line="360" w:lineRule="exact" w:before="0"/>
        <w:ind w:left="2699" w:right="0" w:firstLine="0"/>
        <w:jc w:val="left"/>
        <w:rPr>
          <w:rFonts w:ascii="微软雅黑" w:eastAsia="微软雅黑"/>
          <w:b/>
          <w:sz w:val="21"/>
        </w:rPr>
      </w:pPr>
      <w:r>
        <w:rPr>
          <w:rFonts w:ascii="微软雅黑" w:eastAsia="微软雅黑"/>
          <w:b/>
          <w:spacing w:val="-2"/>
          <w:sz w:val="21"/>
        </w:rPr>
        <w:t>发热性惊厥以及没有全身性发作的失神发作（癫痫小发作）</w:t>
      </w:r>
      <w:r>
        <w:rPr>
          <w:rFonts w:ascii="微软雅黑" w:eastAsia="微软雅黑"/>
          <w:b/>
          <w:spacing w:val="-3"/>
          <w:sz w:val="21"/>
        </w:rPr>
        <w:t>不在本保障范围内。</w:t>
      </w:r>
    </w:p>
    <w:p>
      <w:pPr>
        <w:pStyle w:val="BodyText"/>
        <w:spacing w:before="0"/>
        <w:rPr>
          <w:rFonts w:ascii="微软雅黑"/>
          <w:b/>
          <w:sz w:val="10"/>
        </w:rPr>
      </w:pPr>
    </w:p>
    <w:p>
      <w:pPr>
        <w:spacing w:after="0"/>
        <w:rPr>
          <w:rFonts w:ascii="微软雅黑"/>
          <w:sz w:val="10"/>
        </w:rPr>
        <w:sectPr>
          <w:pgSz w:w="11910" w:h="16840"/>
          <w:pgMar w:header="0" w:footer="458" w:top="1260" w:bottom="640" w:left="800" w:right="660"/>
        </w:sectPr>
      </w:pPr>
    </w:p>
    <w:p>
      <w:pPr>
        <w:spacing w:line="194" w:lineRule="auto" w:before="79"/>
        <w:ind w:left="1072" w:right="0" w:firstLine="0"/>
        <w:jc w:val="both"/>
        <w:rPr>
          <w:rFonts w:ascii="微软雅黑" w:eastAsia="微软雅黑"/>
          <w:b/>
          <w:sz w:val="21"/>
        </w:rPr>
      </w:pPr>
      <w:r>
        <w:rPr>
          <w:rFonts w:ascii="微软雅黑" w:eastAsia="微软雅黑"/>
          <w:b/>
          <w:spacing w:val="-2"/>
          <w:sz w:val="21"/>
        </w:rPr>
        <w:t>疾病定义中所</w:t>
      </w:r>
      <w:r>
        <w:rPr>
          <w:rFonts w:ascii="微软雅黑" w:eastAsia="微软雅黑"/>
          <w:b/>
          <w:spacing w:val="-2"/>
          <w:sz w:val="21"/>
        </w:rPr>
        <w:t>用到的术语定</w:t>
      </w:r>
      <w:r>
        <w:rPr>
          <w:rFonts w:ascii="微软雅黑" w:eastAsia="微软雅黑"/>
          <w:b/>
          <w:spacing w:val="-6"/>
          <w:sz w:val="21"/>
        </w:rPr>
        <w:t>义：</w:t>
      </w:r>
    </w:p>
    <w:p>
      <w:pPr>
        <w:pStyle w:val="ListParagraph"/>
        <w:numPr>
          <w:ilvl w:val="0"/>
          <w:numId w:val="111"/>
        </w:numPr>
        <w:tabs>
          <w:tab w:pos="530" w:val="left" w:leader="none"/>
        </w:tabs>
        <w:spacing w:line="240" w:lineRule="auto" w:before="71" w:after="0"/>
        <w:ind w:left="529" w:right="0" w:hanging="213"/>
        <w:jc w:val="left"/>
        <w:rPr>
          <w:sz w:val="21"/>
        </w:rPr>
      </w:pPr>
      <w:r>
        <w:rPr>
          <w:sz w:val="21"/>
        </w:rPr>
        <w:br w:type="column"/>
      </w:r>
      <w:r>
        <w:rPr>
          <w:spacing w:val="-4"/>
          <w:sz w:val="21"/>
        </w:rPr>
        <w:t>专科医生</w:t>
      </w:r>
    </w:p>
    <w:p>
      <w:pPr>
        <w:pStyle w:val="BodyText"/>
        <w:spacing w:line="242" w:lineRule="auto" w:before="3"/>
        <w:ind w:left="526" w:right="356"/>
        <w:jc w:val="both"/>
      </w:pPr>
      <w:r>
        <w:rPr>
          <w:spacing w:val="-2"/>
        </w:rPr>
        <w:t>专科医生应当同时满足以下四项资格条件</w:t>
      </w:r>
      <w:r>
        <w:rPr>
          <w:spacing w:val="-164"/>
        </w:rPr>
        <w:t>：</w:t>
      </w:r>
      <w:r>
        <w:rPr>
          <w:spacing w:val="-1"/>
        </w:rPr>
        <w:t>（</w:t>
      </w:r>
      <w:r>
        <w:rPr>
          <w:spacing w:val="-3"/>
        </w:rPr>
        <w:t>1</w:t>
      </w:r>
      <w:r>
        <w:rPr>
          <w:spacing w:val="-58"/>
        </w:rPr>
        <w:t>）</w:t>
      </w:r>
      <w:r>
        <w:rPr>
          <w:spacing w:val="-7"/>
        </w:rPr>
        <w:t>具有有效的中华人民共和国《医</w:t>
      </w:r>
      <w:r>
        <w:rPr>
          <w:spacing w:val="-29"/>
        </w:rPr>
        <w:t>师资格证书》；</w:t>
      </w:r>
      <w:r>
        <w:rPr>
          <w:spacing w:val="24"/>
        </w:rPr>
        <w:t>（2）</w:t>
      </w:r>
      <w:r>
        <w:rPr>
          <w:spacing w:val="-8"/>
        </w:rPr>
        <w:t>具有有效的中华人民共和国《医师执业证书》，并按期到相</w:t>
      </w:r>
      <w:r>
        <w:rPr>
          <w:spacing w:val="-12"/>
        </w:rPr>
        <w:t>关部门登记注册；</w:t>
      </w:r>
      <w:r>
        <w:rPr>
          <w:spacing w:val="24"/>
        </w:rPr>
        <w:t>（3）</w:t>
      </w:r>
      <w:r>
        <w:rPr>
          <w:spacing w:val="-2"/>
        </w:rPr>
        <w:t>具有有效的中华人民共和国主治医师或主治医师以上职</w:t>
      </w:r>
      <w:r>
        <w:rPr>
          <w:spacing w:val="-24"/>
        </w:rPr>
        <w:t>称的《医师职称证书》；</w:t>
      </w:r>
      <w:r>
        <w:rPr>
          <w:spacing w:val="30"/>
        </w:rPr>
        <w:t>（4</w:t>
      </w:r>
      <w:r>
        <w:rPr>
          <w:spacing w:val="11"/>
        </w:rPr>
        <w:t>）</w:t>
      </w:r>
      <w:r>
        <w:rPr>
          <w:spacing w:val="-6"/>
        </w:rPr>
        <w:t>在二级或二级以上医院的相应科室从事临床工作三</w:t>
      </w:r>
      <w:r>
        <w:rPr>
          <w:spacing w:val="-4"/>
        </w:rPr>
        <w:t>年以上。</w:t>
      </w:r>
    </w:p>
    <w:p>
      <w:pPr>
        <w:pStyle w:val="ListParagraph"/>
        <w:numPr>
          <w:ilvl w:val="0"/>
          <w:numId w:val="111"/>
        </w:numPr>
        <w:tabs>
          <w:tab w:pos="530" w:val="left" w:leader="none"/>
        </w:tabs>
        <w:spacing w:line="240" w:lineRule="auto" w:before="2" w:after="0"/>
        <w:ind w:left="529" w:right="0" w:hanging="213"/>
        <w:jc w:val="left"/>
        <w:rPr>
          <w:sz w:val="21"/>
        </w:rPr>
      </w:pPr>
      <w:r>
        <w:rPr>
          <w:spacing w:val="-4"/>
          <w:sz w:val="21"/>
        </w:rPr>
        <w:t>组织病理学检查</w:t>
      </w:r>
    </w:p>
    <w:p>
      <w:pPr>
        <w:pStyle w:val="BodyText"/>
        <w:spacing w:line="242" w:lineRule="auto" w:before="5"/>
        <w:ind w:left="526" w:right="358"/>
        <w:jc w:val="both"/>
      </w:pPr>
      <w:r>
        <w:rPr>
          <w:spacing w:val="-2"/>
        </w:rPr>
        <w:t>组织病理学检查是通过局部切除、钳取、穿刺等手术方法，从患者机体采取病</w:t>
      </w:r>
      <w:r>
        <w:rPr>
          <w:spacing w:val="-2"/>
        </w:rPr>
        <w:t>变组织块，经过包埋、切片后，进行病理检查的方法。通过采集病变部位脱落</w:t>
      </w:r>
      <w:r>
        <w:rPr>
          <w:spacing w:val="-2"/>
        </w:rPr>
        <w:t>细胞、细针吸取病变部位细胞、体腔积液分离病变细胞等方式获取病变细胞，</w:t>
      </w:r>
      <w:r>
        <w:rPr>
          <w:spacing w:val="-2"/>
        </w:rPr>
        <w:t>制成涂片，进行病理检查的方法，属于细胞病理学检查，不属于组织病理学检</w:t>
      </w:r>
      <w:r>
        <w:rPr>
          <w:spacing w:val="-6"/>
        </w:rPr>
        <w:t>查。</w:t>
      </w:r>
    </w:p>
    <w:p>
      <w:pPr>
        <w:pStyle w:val="ListParagraph"/>
        <w:numPr>
          <w:ilvl w:val="0"/>
          <w:numId w:val="111"/>
        </w:numPr>
        <w:tabs>
          <w:tab w:pos="530" w:val="left" w:leader="none"/>
        </w:tabs>
        <w:spacing w:line="240" w:lineRule="auto" w:before="2" w:after="0"/>
        <w:ind w:left="529" w:right="0" w:hanging="213"/>
        <w:jc w:val="left"/>
        <w:rPr>
          <w:sz w:val="21"/>
        </w:rPr>
      </w:pPr>
      <w:r>
        <w:rPr>
          <w:spacing w:val="-2"/>
          <w:sz w:val="21"/>
        </w:rPr>
        <w:t>ICD-10</w:t>
      </w:r>
      <w:r>
        <w:rPr>
          <w:spacing w:val="-31"/>
          <w:sz w:val="21"/>
        </w:rPr>
        <w:t> 与 </w:t>
      </w:r>
      <w:r>
        <w:rPr>
          <w:spacing w:val="-2"/>
          <w:sz w:val="21"/>
        </w:rPr>
        <w:t>ICD-O-</w:t>
      </w:r>
      <w:r>
        <w:rPr>
          <w:spacing w:val="-10"/>
          <w:sz w:val="21"/>
        </w:rPr>
        <w:t>3</w:t>
      </w:r>
    </w:p>
    <w:p>
      <w:pPr>
        <w:pStyle w:val="BodyText"/>
        <w:spacing w:line="242" w:lineRule="auto" w:before="4"/>
        <w:ind w:left="526" w:right="250"/>
      </w:pPr>
      <w:r>
        <w:rPr>
          <w:spacing w:val="-6"/>
          <w:w w:val="100"/>
        </w:rPr>
        <w:t>《疾病和有关健康问题的国际统计分类》第十次修订版</w:t>
      </w:r>
      <w:r>
        <w:rPr>
          <w:w w:val="100"/>
        </w:rPr>
        <w:t>（I</w:t>
      </w:r>
      <w:r>
        <w:rPr>
          <w:spacing w:val="-3"/>
          <w:w w:val="100"/>
        </w:rPr>
        <w:t>C</w:t>
      </w:r>
      <w:r>
        <w:rPr>
          <w:spacing w:val="-1"/>
          <w:w w:val="100"/>
        </w:rPr>
        <w:t>D</w:t>
      </w:r>
      <w:r>
        <w:rPr>
          <w:w w:val="100"/>
        </w:rPr>
        <w:t>-1</w:t>
      </w:r>
      <w:r>
        <w:rPr>
          <w:spacing w:val="-3"/>
          <w:w w:val="100"/>
        </w:rPr>
        <w:t>0</w:t>
      </w:r>
      <w:r>
        <w:rPr>
          <w:spacing w:val="-108"/>
          <w:w w:val="100"/>
        </w:rPr>
        <w:t>）</w:t>
      </w:r>
      <w:r>
        <w:rPr>
          <w:spacing w:val="-6"/>
          <w:w w:val="100"/>
        </w:rPr>
        <w:t>，是世界卫生组织（WHO）</w:t>
      </w:r>
      <w:r>
        <w:rPr>
          <w:spacing w:val="-13"/>
          <w:w w:val="100"/>
        </w:rPr>
        <w:t>发布的国际通用的疾病分类方法。《国际疾病分类肿瘤学专辑》第</w:t>
      </w:r>
      <w:r>
        <w:rPr>
          <w:spacing w:val="-19"/>
          <w:w w:val="100"/>
        </w:rPr>
        <w:t>三版</w:t>
      </w:r>
      <w:r>
        <w:rPr>
          <w:w w:val="100"/>
        </w:rPr>
        <w:t>（I</w:t>
      </w:r>
      <w:r>
        <w:rPr>
          <w:spacing w:val="-3"/>
          <w:w w:val="100"/>
        </w:rPr>
        <w:t>C</w:t>
      </w:r>
      <w:r>
        <w:rPr>
          <w:spacing w:val="-1"/>
          <w:w w:val="100"/>
        </w:rPr>
        <w:t>D</w:t>
      </w:r>
      <w:r>
        <w:rPr>
          <w:w w:val="100"/>
        </w:rPr>
        <w:t>-O</w:t>
      </w:r>
      <w:r>
        <w:rPr>
          <w:spacing w:val="-3"/>
          <w:w w:val="100"/>
        </w:rPr>
        <w:t>-</w:t>
      </w:r>
      <w:r>
        <w:rPr>
          <w:w w:val="100"/>
        </w:rPr>
        <w:t>3</w:t>
      </w:r>
      <w:r>
        <w:rPr>
          <w:spacing w:val="-108"/>
          <w:w w:val="100"/>
        </w:rPr>
        <w:t>）</w:t>
      </w:r>
      <w:r>
        <w:rPr>
          <w:spacing w:val="-11"/>
          <w:w w:val="100"/>
        </w:rPr>
        <w:t>，是</w:t>
      </w:r>
      <w:r>
        <w:rPr>
          <w:spacing w:val="-55"/>
        </w:rPr>
        <w:t> </w:t>
      </w:r>
      <w:r>
        <w:rPr>
          <w:w w:val="100"/>
        </w:rPr>
        <w:t>WHO</w:t>
      </w:r>
      <w:r>
        <w:rPr>
          <w:spacing w:val="-55"/>
        </w:rPr>
        <w:t> </w:t>
      </w:r>
      <w:r>
        <w:rPr>
          <w:spacing w:val="-2"/>
          <w:w w:val="100"/>
        </w:rPr>
        <w:t>发布的针对</w:t>
      </w:r>
      <w:r>
        <w:rPr>
          <w:spacing w:val="-52"/>
        </w:rPr>
        <w:t> </w:t>
      </w:r>
      <w:r>
        <w:rPr>
          <w:w w:val="100"/>
        </w:rPr>
        <w:t>ICD</w:t>
      </w:r>
      <w:r>
        <w:rPr>
          <w:spacing w:val="-55"/>
        </w:rPr>
        <w:t> </w:t>
      </w:r>
      <w:r>
        <w:rPr>
          <w:spacing w:val="-5"/>
          <w:w w:val="100"/>
        </w:rPr>
        <w:t>中肿瘤形态学组织学细胞类型、动态、</w:t>
      </w:r>
      <w:r>
        <w:rPr>
          <w:spacing w:val="-8"/>
          <w:w w:val="100"/>
        </w:rPr>
        <w:t>分化程度的补充编码。其中形态学编码：</w:t>
      </w:r>
      <w:r>
        <w:rPr>
          <w:w w:val="100"/>
        </w:rPr>
        <w:t>0</w:t>
      </w:r>
      <w:r>
        <w:rPr>
          <w:spacing w:val="-55"/>
        </w:rPr>
        <w:t> </w:t>
      </w:r>
      <w:r>
        <w:rPr>
          <w:spacing w:val="-6"/>
          <w:w w:val="100"/>
        </w:rPr>
        <w:t>代表良性肿瘤；</w:t>
      </w:r>
      <w:r>
        <w:rPr>
          <w:w w:val="100"/>
        </w:rPr>
        <w:t>1</w:t>
      </w:r>
      <w:r>
        <w:rPr>
          <w:spacing w:val="-55"/>
        </w:rPr>
        <w:t> </w:t>
      </w:r>
      <w:r>
        <w:rPr>
          <w:spacing w:val="-3"/>
          <w:w w:val="100"/>
        </w:rPr>
        <w:t>代表动态未定性肿瘤；2</w:t>
      </w:r>
      <w:r>
        <w:rPr>
          <w:spacing w:val="-24"/>
        </w:rPr>
        <w:t> </w:t>
      </w:r>
      <w:r>
        <w:rPr>
          <w:spacing w:val="-3"/>
          <w:w w:val="100"/>
        </w:rPr>
        <w:t>代表原位癌和非侵袭性癌；</w:t>
      </w:r>
      <w:r>
        <w:rPr>
          <w:w w:val="100"/>
        </w:rPr>
        <w:t>3</w:t>
      </w:r>
      <w:r>
        <w:rPr>
          <w:spacing w:val="-24"/>
        </w:rPr>
        <w:t> </w:t>
      </w:r>
      <w:r>
        <w:rPr>
          <w:spacing w:val="-3"/>
          <w:w w:val="100"/>
        </w:rPr>
        <w:t>代表恶性肿瘤</w:t>
      </w:r>
      <w:r>
        <w:rPr>
          <w:w w:val="100"/>
        </w:rPr>
        <w:t>（</w:t>
      </w:r>
      <w:r>
        <w:rPr>
          <w:spacing w:val="-2"/>
          <w:w w:val="100"/>
        </w:rPr>
        <w:t>原发性</w:t>
      </w:r>
      <w:r>
        <w:rPr>
          <w:spacing w:val="-108"/>
          <w:w w:val="100"/>
        </w:rPr>
        <w:t>）</w:t>
      </w:r>
      <w:r>
        <w:rPr>
          <w:w w:val="100"/>
        </w:rPr>
        <w:t>；6</w:t>
      </w:r>
      <w:r>
        <w:rPr>
          <w:spacing w:val="-24"/>
        </w:rPr>
        <w:t> </w:t>
      </w:r>
      <w:r>
        <w:rPr>
          <w:spacing w:val="-3"/>
          <w:w w:val="100"/>
        </w:rPr>
        <w:t>代表恶性肿瘤</w:t>
      </w:r>
    </w:p>
    <w:p>
      <w:pPr>
        <w:pStyle w:val="BodyText"/>
        <w:spacing w:line="244" w:lineRule="auto" w:before="2"/>
        <w:ind w:left="526" w:right="358"/>
      </w:pPr>
      <w:r>
        <w:rPr/>
        <w:t>（转移性</w:t>
      </w:r>
      <w:r>
        <w:rPr>
          <w:spacing w:val="-70"/>
        </w:rPr>
        <w:t>）</w:t>
      </w:r>
      <w:r>
        <w:rPr>
          <w:spacing w:val="34"/>
        </w:rPr>
        <w:t>；9</w:t>
      </w:r>
      <w:r>
        <w:rPr>
          <w:spacing w:val="-5"/>
        </w:rPr>
        <w:t> 代表恶性肿瘤</w:t>
      </w:r>
      <w:r>
        <w:rPr/>
        <w:t>（原发性或转移性未肯定</w:t>
      </w:r>
      <w:r>
        <w:rPr>
          <w:spacing w:val="-104"/>
        </w:rPr>
        <w:t>）</w:t>
      </w:r>
      <w:r>
        <w:rPr>
          <w:spacing w:val="-5"/>
        </w:rPr>
        <w:t>。如果出现 </w:t>
      </w:r>
      <w:r>
        <w:rPr/>
        <w:t>ICD-10</w:t>
      </w:r>
      <w:r>
        <w:rPr>
          <w:spacing w:val="-14"/>
        </w:rPr>
        <w:t> 与</w:t>
      </w:r>
      <w:r>
        <w:rPr/>
        <w:t> ICD-O-3</w:t>
      </w:r>
      <w:r>
        <w:rPr>
          <w:spacing w:val="-6"/>
        </w:rPr>
        <w:t> 不一致的情况，以 </w:t>
      </w:r>
      <w:r>
        <w:rPr/>
        <w:t>ICD-O-3</w:t>
      </w:r>
      <w:r>
        <w:rPr>
          <w:spacing w:val="-6"/>
        </w:rPr>
        <w:t> 为准。</w:t>
      </w:r>
    </w:p>
    <w:p>
      <w:pPr>
        <w:pStyle w:val="ListParagraph"/>
        <w:numPr>
          <w:ilvl w:val="0"/>
          <w:numId w:val="111"/>
        </w:numPr>
        <w:tabs>
          <w:tab w:pos="530" w:val="left" w:leader="none"/>
        </w:tabs>
        <w:spacing w:line="265" w:lineRule="exact" w:before="0" w:after="0"/>
        <w:ind w:left="529" w:right="0" w:hanging="213"/>
        <w:jc w:val="left"/>
        <w:rPr>
          <w:sz w:val="21"/>
        </w:rPr>
      </w:pPr>
      <w:r>
        <w:rPr>
          <w:spacing w:val="-2"/>
          <w:sz w:val="21"/>
        </w:rPr>
        <w:t>TNM</w:t>
      </w:r>
      <w:r>
        <w:rPr>
          <w:spacing w:val="-20"/>
          <w:sz w:val="21"/>
        </w:rPr>
        <w:t> 分期</w:t>
      </w:r>
    </w:p>
    <w:p>
      <w:pPr>
        <w:pStyle w:val="BodyText"/>
        <w:spacing w:line="242" w:lineRule="auto" w:before="5"/>
        <w:ind w:left="526" w:right="252"/>
        <w:jc w:val="both"/>
      </w:pPr>
      <w:r>
        <w:rPr/>
        <w:t>TNM</w:t>
      </w:r>
      <w:r>
        <w:rPr>
          <w:spacing w:val="-11"/>
        </w:rPr>
        <w:t> 分期采用 </w:t>
      </w:r>
      <w:r>
        <w:rPr/>
        <w:t>AJCC</w:t>
      </w:r>
      <w:r>
        <w:rPr>
          <w:spacing w:val="-5"/>
        </w:rPr>
        <w:t> 癌症分期手册标准。该标准由美国癌症联合委员会与国际抗</w:t>
      </w:r>
      <w:r>
        <w:rPr/>
        <w:t>癌联合会 TNM 委员会联合制定，是目前肿瘤医学分期的国际通用标准。T 指原</w:t>
      </w:r>
      <w:r>
        <w:rPr>
          <w:spacing w:val="-13"/>
        </w:rPr>
        <w:t>发肿瘤的大小、形态等；</w:t>
      </w:r>
      <w:r>
        <w:rPr>
          <w:spacing w:val="-6"/>
        </w:rPr>
        <w:t>N</w:t>
      </w:r>
      <w:r>
        <w:rPr>
          <w:spacing w:val="-11"/>
        </w:rPr>
        <w:t> 指淋巴结的转移情况；</w:t>
      </w:r>
      <w:r>
        <w:rPr>
          <w:spacing w:val="-6"/>
        </w:rPr>
        <w:t>M</w:t>
      </w:r>
      <w:r>
        <w:rPr>
          <w:spacing w:val="-11"/>
        </w:rPr>
        <w:t> 指有无其他脏器的转移情况。</w:t>
      </w:r>
    </w:p>
    <w:p>
      <w:pPr>
        <w:pStyle w:val="ListParagraph"/>
        <w:numPr>
          <w:ilvl w:val="0"/>
          <w:numId w:val="111"/>
        </w:numPr>
        <w:tabs>
          <w:tab w:pos="530" w:val="left" w:leader="none"/>
        </w:tabs>
        <w:spacing w:line="240" w:lineRule="auto" w:before="1" w:after="0"/>
        <w:ind w:left="529" w:right="0" w:hanging="213"/>
        <w:jc w:val="both"/>
        <w:rPr>
          <w:sz w:val="21"/>
        </w:rPr>
      </w:pPr>
      <w:r>
        <w:rPr>
          <w:spacing w:val="-10"/>
          <w:sz w:val="21"/>
        </w:rPr>
        <w:t>甲状腺癌的 </w:t>
      </w:r>
      <w:r>
        <w:rPr>
          <w:spacing w:val="-2"/>
          <w:sz w:val="21"/>
        </w:rPr>
        <w:t>TNM</w:t>
      </w:r>
      <w:r>
        <w:rPr>
          <w:spacing w:val="-21"/>
          <w:sz w:val="21"/>
        </w:rPr>
        <w:t> 分期</w:t>
      </w:r>
    </w:p>
    <w:p>
      <w:pPr>
        <w:pStyle w:val="BodyText"/>
        <w:spacing w:line="242" w:lineRule="auto" w:before="2"/>
        <w:ind w:left="526" w:right="344"/>
        <w:jc w:val="both"/>
      </w:pPr>
      <w:r>
        <w:rPr>
          <w:w w:val="95"/>
        </w:rPr>
        <w:t>甲</w:t>
      </w:r>
      <w:r>
        <w:rPr>
          <w:w w:val="95"/>
        </w:rPr>
        <w:t>状</w:t>
      </w:r>
      <w:r>
        <w:rPr>
          <w:w w:val="95"/>
        </w:rPr>
        <w:t>腺</w:t>
      </w:r>
      <w:r>
        <w:rPr>
          <w:w w:val="95"/>
        </w:rPr>
        <w:t>癌</w:t>
      </w:r>
      <w:r>
        <w:rPr>
          <w:w w:val="95"/>
        </w:rPr>
        <w:t>的 TNM 分期采用</w:t>
      </w:r>
      <w:r>
        <w:rPr>
          <w:w w:val="95"/>
        </w:rPr>
        <w:t>目</w:t>
      </w:r>
      <w:r>
        <w:rPr>
          <w:w w:val="95"/>
        </w:rPr>
        <w:t>前</w:t>
      </w:r>
      <w:r>
        <w:rPr>
          <w:w w:val="95"/>
        </w:rPr>
        <w:t>现</w:t>
      </w:r>
      <w:r>
        <w:rPr>
          <w:w w:val="95"/>
        </w:rPr>
        <w:t>行</w:t>
      </w:r>
      <w:r>
        <w:rPr>
          <w:w w:val="95"/>
        </w:rPr>
        <w:t>的 AJCC 第八</w:t>
      </w:r>
      <w:r>
        <w:rPr>
          <w:w w:val="95"/>
        </w:rPr>
        <w:t>版</w:t>
      </w:r>
      <w:r>
        <w:rPr>
          <w:w w:val="95"/>
        </w:rPr>
        <w:t>定</w:t>
      </w:r>
      <w:r>
        <w:rPr>
          <w:w w:val="95"/>
        </w:rPr>
        <w:t>义</w:t>
      </w:r>
      <w:r>
        <w:rPr>
          <w:w w:val="95"/>
        </w:rPr>
        <w:t>标</w:t>
      </w:r>
      <w:r>
        <w:rPr>
          <w:spacing w:val="-11"/>
          <w:w w:val="95"/>
        </w:rPr>
        <w:t>准，我国国家卫生</w:t>
      </w:r>
      <w:r>
        <w:rPr>
          <w:w w:val="95"/>
        </w:rPr>
        <w:t>健</w:t>
      </w:r>
      <w:r>
        <w:rPr>
          <w:w w:val="95"/>
        </w:rPr>
        <w:t>康</w:t>
      </w:r>
      <w:r>
        <w:rPr>
          <w:w w:val="95"/>
        </w:rPr>
        <w:t>委</w:t>
      </w:r>
      <w:r>
        <w:rPr>
          <w:w w:val="95"/>
        </w:rPr>
        <w:t>员会</w:t>
      </w:r>
      <w:r>
        <w:rPr>
          <w:spacing w:val="40"/>
        </w:rPr>
        <w:t> </w:t>
      </w:r>
      <w:r>
        <w:rPr>
          <w:w w:val="95"/>
        </w:rPr>
        <w:t>2018</w:t>
      </w:r>
      <w:r>
        <w:rPr>
          <w:spacing w:val="40"/>
        </w:rPr>
        <w:t> </w:t>
      </w:r>
      <w:r>
        <w:rPr>
          <w:w w:val="95"/>
        </w:rPr>
        <w:t>年发布的</w:t>
      </w:r>
      <w:r>
        <w:rPr>
          <w:w w:val="95"/>
        </w:rPr>
        <w:t>《</w:t>
      </w:r>
      <w:r>
        <w:rPr>
          <w:w w:val="95"/>
        </w:rPr>
        <w:t>甲</w:t>
      </w:r>
      <w:r>
        <w:rPr>
          <w:w w:val="95"/>
        </w:rPr>
        <w:t>状</w:t>
      </w:r>
      <w:r>
        <w:rPr>
          <w:w w:val="95"/>
        </w:rPr>
        <w:t>腺</w:t>
      </w:r>
      <w:r>
        <w:rPr>
          <w:w w:val="95"/>
        </w:rPr>
        <w:t>癌诊疗规范（2018</w:t>
      </w:r>
      <w:r>
        <w:rPr/>
        <w:t> </w:t>
      </w:r>
      <w:r>
        <w:rPr>
          <w:w w:val="95"/>
        </w:rPr>
        <w:t>年版</w:t>
      </w:r>
      <w:r>
        <w:rPr>
          <w:spacing w:val="-106"/>
          <w:w w:val="95"/>
        </w:rPr>
        <w:t>）</w:t>
      </w:r>
      <w:r>
        <w:rPr>
          <w:w w:val="95"/>
        </w:rPr>
        <w:t>》也采用此定义标准，</w:t>
      </w:r>
      <w:r>
        <w:rPr>
          <w:spacing w:val="-2"/>
        </w:rPr>
        <w:t>具体见下：</w:t>
      </w:r>
    </w:p>
    <w:p>
      <w:pPr>
        <w:spacing w:line="242" w:lineRule="auto" w:before="2"/>
        <w:ind w:left="526" w:right="2362" w:firstLine="0"/>
        <w:jc w:val="left"/>
        <w:rPr>
          <w:sz w:val="18"/>
        </w:rPr>
      </w:pPr>
      <w:r>
        <w:rPr>
          <w:spacing w:val="-2"/>
          <w:sz w:val="18"/>
        </w:rPr>
        <w:t>甲状腺乳头状癌、滤泡癌、低分化癌、Hürthle</w:t>
      </w:r>
      <w:r>
        <w:rPr>
          <w:spacing w:val="-8"/>
          <w:sz w:val="18"/>
        </w:rPr>
        <w:t> 细胞癌和未分化癌</w:t>
      </w:r>
      <w:r>
        <w:rPr>
          <w:spacing w:val="-2"/>
          <w:sz w:val="18"/>
        </w:rPr>
        <w:t> pT</w:t>
      </w:r>
      <w:r>
        <w:rPr>
          <w:spacing w:val="-2"/>
          <w:sz w:val="13"/>
        </w:rPr>
        <w:t>x</w:t>
      </w:r>
      <w:r>
        <w:rPr>
          <w:spacing w:val="-2"/>
          <w:sz w:val="18"/>
        </w:rPr>
        <w:t>：原发肿瘤不能评估</w:t>
      </w:r>
    </w:p>
    <w:p>
      <w:pPr>
        <w:spacing w:line="244" w:lineRule="auto" w:before="0"/>
        <w:ind w:left="526" w:right="4319" w:firstLine="0"/>
        <w:jc w:val="left"/>
        <w:rPr>
          <w:sz w:val="18"/>
        </w:rPr>
      </w:pPr>
      <w:r>
        <w:rPr>
          <w:spacing w:val="-2"/>
          <w:sz w:val="18"/>
        </w:rPr>
        <w:t>pT</w:t>
      </w:r>
      <w:r>
        <w:rPr>
          <w:spacing w:val="-2"/>
          <w:sz w:val="13"/>
        </w:rPr>
        <w:t>0</w:t>
      </w:r>
      <w:r>
        <w:rPr>
          <w:spacing w:val="-2"/>
          <w:sz w:val="18"/>
        </w:rPr>
        <w:t>：无肿瘤证据</w:t>
      </w:r>
      <w:r>
        <w:rPr>
          <w:spacing w:val="80"/>
          <w:w w:val="150"/>
          <w:sz w:val="18"/>
        </w:rPr>
        <w:t>        </w:t>
      </w:r>
      <w:r>
        <w:rPr>
          <w:spacing w:val="-2"/>
          <w:sz w:val="18"/>
        </w:rPr>
        <w:t>pT</w:t>
      </w:r>
      <w:r>
        <w:rPr>
          <w:spacing w:val="-2"/>
          <w:sz w:val="13"/>
        </w:rPr>
        <w:t>1</w:t>
      </w:r>
      <w:r>
        <w:rPr>
          <w:spacing w:val="-2"/>
          <w:sz w:val="18"/>
        </w:rPr>
        <w:t>：肿瘤局限在甲状腺内，最大径≤2cm</w:t>
      </w:r>
    </w:p>
    <w:p>
      <w:pPr>
        <w:spacing w:line="228" w:lineRule="exact" w:before="0"/>
        <w:ind w:left="978" w:right="0" w:firstLine="0"/>
        <w:jc w:val="left"/>
        <w:rPr>
          <w:sz w:val="18"/>
        </w:rPr>
      </w:pPr>
      <w:r>
        <w:rPr>
          <w:w w:val="95"/>
          <w:sz w:val="18"/>
        </w:rPr>
        <w:t>T</w:t>
      </w:r>
      <w:r>
        <w:rPr>
          <w:w w:val="95"/>
          <w:sz w:val="13"/>
        </w:rPr>
        <w:t>1a</w:t>
      </w:r>
      <w:r>
        <w:rPr>
          <w:spacing w:val="23"/>
          <w:sz w:val="13"/>
        </w:rPr>
        <w:t> </w:t>
      </w:r>
      <w:r>
        <w:rPr>
          <w:w w:val="95"/>
          <w:sz w:val="18"/>
        </w:rPr>
        <w:t>肿</w:t>
      </w:r>
      <w:r>
        <w:rPr>
          <w:w w:val="95"/>
          <w:sz w:val="18"/>
        </w:rPr>
        <w:t>瘤</w:t>
      </w:r>
      <w:r>
        <w:rPr>
          <w:w w:val="95"/>
          <w:sz w:val="18"/>
        </w:rPr>
        <w:t>最</w:t>
      </w:r>
      <w:r>
        <w:rPr>
          <w:w w:val="95"/>
          <w:sz w:val="18"/>
        </w:rPr>
        <w:t>大</w:t>
      </w:r>
      <w:r>
        <w:rPr>
          <w:w w:val="95"/>
          <w:sz w:val="18"/>
        </w:rPr>
        <w:t>径</w:t>
      </w:r>
      <w:r>
        <w:rPr>
          <w:spacing w:val="-4"/>
          <w:w w:val="95"/>
          <w:sz w:val="18"/>
        </w:rPr>
        <w:t>≤1cm</w:t>
      </w:r>
    </w:p>
    <w:p>
      <w:pPr>
        <w:spacing w:line="244" w:lineRule="auto" w:before="2"/>
        <w:ind w:left="526" w:right="4501" w:firstLine="451"/>
        <w:jc w:val="left"/>
        <w:rPr>
          <w:sz w:val="18"/>
        </w:rPr>
      </w:pPr>
      <w:r>
        <w:rPr>
          <w:spacing w:val="-2"/>
          <w:sz w:val="18"/>
        </w:rPr>
        <w:t>T</w:t>
      </w:r>
      <w:r>
        <w:rPr>
          <w:spacing w:val="-2"/>
          <w:sz w:val="13"/>
        </w:rPr>
        <w:t>1b</w:t>
      </w:r>
      <w:r>
        <w:rPr>
          <w:spacing w:val="-32"/>
          <w:sz w:val="13"/>
        </w:rPr>
        <w:t> </w:t>
      </w:r>
      <w:r>
        <w:rPr>
          <w:spacing w:val="-2"/>
          <w:sz w:val="18"/>
        </w:rPr>
        <w:t>肿瘤最大径＞1cm，≤2cm </w:t>
      </w:r>
      <w:r>
        <w:rPr>
          <w:sz w:val="18"/>
        </w:rPr>
        <w:t>pT</w:t>
      </w:r>
      <w:r>
        <w:rPr>
          <w:sz w:val="13"/>
        </w:rPr>
        <w:t>2</w:t>
      </w:r>
      <w:r>
        <w:rPr>
          <w:spacing w:val="-12"/>
          <w:sz w:val="18"/>
        </w:rPr>
        <w:t>：肿瘤 </w:t>
      </w:r>
      <w:r>
        <w:rPr>
          <w:sz w:val="18"/>
        </w:rPr>
        <w:t>2～4cm</w:t>
      </w:r>
    </w:p>
    <w:p>
      <w:pPr>
        <w:spacing w:line="242" w:lineRule="auto" w:before="0"/>
        <w:ind w:left="526" w:right="2701" w:firstLine="0"/>
        <w:jc w:val="left"/>
        <w:rPr>
          <w:sz w:val="18"/>
        </w:rPr>
      </w:pPr>
      <w:r>
        <w:rPr>
          <w:spacing w:val="-2"/>
          <w:sz w:val="18"/>
        </w:rPr>
        <w:t>pT</w:t>
      </w:r>
      <w:r>
        <w:rPr>
          <w:spacing w:val="-2"/>
          <w:sz w:val="13"/>
        </w:rPr>
        <w:t>3</w:t>
      </w:r>
      <w:r>
        <w:rPr>
          <w:spacing w:val="-2"/>
          <w:sz w:val="18"/>
        </w:rPr>
        <w:t>：肿瘤＞4cm，局限于甲状腺内或大体侵犯甲状腺外带状肌 pT</w:t>
      </w:r>
      <w:r>
        <w:rPr>
          <w:spacing w:val="-2"/>
          <w:sz w:val="13"/>
        </w:rPr>
        <w:t>3a</w:t>
      </w:r>
      <w:r>
        <w:rPr>
          <w:spacing w:val="-2"/>
          <w:sz w:val="18"/>
        </w:rPr>
        <w:t>：肿瘤＞4cm，局限于甲状腺内</w:t>
      </w:r>
      <w:r>
        <w:rPr>
          <w:spacing w:val="80"/>
          <w:w w:val="150"/>
          <w:sz w:val="18"/>
        </w:rPr>
        <w:t>        </w:t>
      </w:r>
      <w:r>
        <w:rPr>
          <w:spacing w:val="-2"/>
          <w:sz w:val="18"/>
        </w:rPr>
        <w:t>pT</w:t>
      </w:r>
      <w:r>
        <w:rPr>
          <w:spacing w:val="-2"/>
          <w:sz w:val="13"/>
        </w:rPr>
        <w:t>3b</w:t>
      </w:r>
      <w:r>
        <w:rPr>
          <w:spacing w:val="-2"/>
          <w:sz w:val="18"/>
        </w:rPr>
        <w:t>：大体侵犯甲状腺外带状肌，无论肿瘤大小</w:t>
      </w:r>
    </w:p>
    <w:p>
      <w:pPr>
        <w:spacing w:line="242" w:lineRule="auto" w:before="0"/>
        <w:ind w:left="526" w:right="1866" w:firstLine="451"/>
        <w:jc w:val="left"/>
        <w:rPr>
          <w:sz w:val="18"/>
        </w:rPr>
      </w:pPr>
      <w:r>
        <w:rPr>
          <w:spacing w:val="-2"/>
          <w:sz w:val="18"/>
        </w:rPr>
        <w:t>带状肌包括：胸骨舌骨肌、胸骨甲状肌、甲状舌骨肌、肩胛舌骨肌 pT</w:t>
      </w:r>
      <w:r>
        <w:rPr>
          <w:spacing w:val="-2"/>
          <w:sz w:val="13"/>
        </w:rPr>
        <w:t>4</w:t>
      </w:r>
      <w:r>
        <w:rPr>
          <w:spacing w:val="-2"/>
          <w:sz w:val="18"/>
        </w:rPr>
        <w:t>：大体侵犯甲状腺外带状肌外</w:t>
      </w:r>
    </w:p>
    <w:p>
      <w:pPr>
        <w:spacing w:line="242" w:lineRule="auto" w:before="0"/>
        <w:ind w:left="526" w:right="3447" w:firstLine="0"/>
        <w:jc w:val="left"/>
        <w:rPr>
          <w:sz w:val="18"/>
        </w:rPr>
      </w:pPr>
      <w:r>
        <w:rPr>
          <w:spacing w:val="-2"/>
          <w:sz w:val="18"/>
        </w:rPr>
        <w:t>pT</w:t>
      </w:r>
      <w:r>
        <w:rPr>
          <w:spacing w:val="-2"/>
          <w:sz w:val="13"/>
        </w:rPr>
        <w:t>4a</w:t>
      </w:r>
      <w:r>
        <w:rPr>
          <w:spacing w:val="-2"/>
          <w:sz w:val="18"/>
        </w:rPr>
        <w:t>：侵犯喉、气管、食管、喉反神经及皮下软组织 pT</w:t>
      </w:r>
      <w:r>
        <w:rPr>
          <w:spacing w:val="-2"/>
          <w:sz w:val="13"/>
        </w:rPr>
        <w:t>4b</w:t>
      </w:r>
      <w:r>
        <w:rPr>
          <w:spacing w:val="-2"/>
          <w:sz w:val="18"/>
        </w:rPr>
        <w:t>：侵犯椎前筋膜，或包裹颈动脉、纵隔血管</w:t>
      </w:r>
    </w:p>
    <w:p>
      <w:pPr>
        <w:spacing w:line="242" w:lineRule="auto" w:before="2"/>
        <w:ind w:left="526" w:right="5670" w:firstLine="0"/>
        <w:jc w:val="left"/>
        <w:rPr>
          <w:sz w:val="18"/>
        </w:rPr>
      </w:pPr>
      <w:r>
        <w:rPr>
          <w:spacing w:val="-2"/>
          <w:sz w:val="18"/>
        </w:rPr>
        <w:t>甲状腺髓样癌</w:t>
      </w:r>
      <w:r>
        <w:rPr>
          <w:spacing w:val="80"/>
          <w:w w:val="150"/>
          <w:sz w:val="18"/>
        </w:rPr>
        <w:t>  </w:t>
      </w:r>
      <w:r>
        <w:rPr>
          <w:spacing w:val="-2"/>
          <w:sz w:val="18"/>
        </w:rPr>
        <w:t>pT</w:t>
      </w:r>
      <w:r>
        <w:rPr>
          <w:spacing w:val="-2"/>
          <w:sz w:val="13"/>
        </w:rPr>
        <w:t>X</w:t>
      </w:r>
      <w:r>
        <w:rPr>
          <w:spacing w:val="-2"/>
          <w:sz w:val="18"/>
        </w:rPr>
        <w:t>：原发肿瘤不能评估 pT</w:t>
      </w:r>
      <w:r>
        <w:rPr>
          <w:spacing w:val="-2"/>
          <w:sz w:val="13"/>
        </w:rPr>
        <w:t>0</w:t>
      </w:r>
      <w:r>
        <w:rPr>
          <w:spacing w:val="-2"/>
          <w:sz w:val="18"/>
        </w:rPr>
        <w:t>：无肿瘤证据</w:t>
      </w:r>
    </w:p>
    <w:p>
      <w:pPr>
        <w:spacing w:line="244" w:lineRule="auto" w:before="0"/>
        <w:ind w:left="978" w:right="4319" w:hanging="452"/>
        <w:jc w:val="left"/>
        <w:rPr>
          <w:sz w:val="18"/>
        </w:rPr>
      </w:pPr>
      <w:r>
        <w:rPr>
          <w:spacing w:val="-2"/>
          <w:sz w:val="18"/>
        </w:rPr>
        <w:t>pT</w:t>
      </w:r>
      <w:r>
        <w:rPr>
          <w:spacing w:val="-2"/>
          <w:sz w:val="13"/>
        </w:rPr>
        <w:t>1</w:t>
      </w:r>
      <w:r>
        <w:rPr>
          <w:spacing w:val="-2"/>
          <w:sz w:val="18"/>
        </w:rPr>
        <w:t>：肿瘤局限在甲状腺内，最大径≤2c</w:t>
      </w:r>
      <w:r>
        <w:rPr>
          <w:spacing w:val="-2"/>
          <w:sz w:val="18"/>
        </w:rPr>
        <w:t>m </w:t>
      </w:r>
      <w:r>
        <w:rPr>
          <w:sz w:val="18"/>
        </w:rPr>
        <w:t>T1a</w:t>
      </w:r>
      <w:r>
        <w:rPr>
          <w:spacing w:val="-7"/>
          <w:sz w:val="18"/>
        </w:rPr>
        <w:t> 肿瘤最大径≤</w:t>
      </w:r>
      <w:r>
        <w:rPr>
          <w:sz w:val="18"/>
        </w:rPr>
        <w:t>1cm</w:t>
      </w:r>
    </w:p>
    <w:p>
      <w:pPr>
        <w:spacing w:after="0" w:line="244" w:lineRule="auto"/>
        <w:jc w:val="left"/>
        <w:rPr>
          <w:sz w:val="18"/>
        </w:rPr>
        <w:sectPr>
          <w:type w:val="continuous"/>
          <w:pgSz w:w="11910" w:h="16840"/>
          <w:pgMar w:header="0" w:footer="458" w:top="620" w:bottom="280" w:left="800" w:right="660"/>
          <w:cols w:num="2" w:equalWidth="0">
            <w:col w:w="2340" w:space="40"/>
            <w:col w:w="8070"/>
          </w:cols>
        </w:sectPr>
      </w:pPr>
    </w:p>
    <w:p>
      <w:pPr>
        <w:spacing w:line="242" w:lineRule="auto" w:before="60"/>
        <w:ind w:left="2906" w:right="4452" w:firstLine="451"/>
        <w:jc w:val="left"/>
        <w:rPr>
          <w:sz w:val="18"/>
        </w:rPr>
      </w:pPr>
      <w:r>
        <w:rPr>
          <w:spacing w:val="-2"/>
          <w:sz w:val="18"/>
        </w:rPr>
        <w:t>T1b</w:t>
      </w:r>
      <w:r>
        <w:rPr>
          <w:spacing w:val="-10"/>
          <w:sz w:val="18"/>
        </w:rPr>
        <w:t> 肿瘤最大径＞</w:t>
      </w:r>
      <w:r>
        <w:rPr>
          <w:spacing w:val="-2"/>
          <w:sz w:val="18"/>
        </w:rPr>
        <w:t>1cm，≤2cm </w:t>
      </w:r>
      <w:r>
        <w:rPr>
          <w:sz w:val="18"/>
        </w:rPr>
        <w:t>pT</w:t>
      </w:r>
      <w:r>
        <w:rPr>
          <w:sz w:val="13"/>
        </w:rPr>
        <w:t>2</w:t>
      </w:r>
      <w:r>
        <w:rPr>
          <w:spacing w:val="-12"/>
          <w:sz w:val="18"/>
        </w:rPr>
        <w:t>：肿瘤 </w:t>
      </w:r>
      <w:r>
        <w:rPr>
          <w:sz w:val="18"/>
        </w:rPr>
        <w:t>2～4cm</w:t>
      </w:r>
    </w:p>
    <w:p>
      <w:pPr>
        <w:spacing w:line="242" w:lineRule="auto" w:before="0"/>
        <w:ind w:left="2906" w:right="2701" w:firstLine="0"/>
        <w:jc w:val="left"/>
        <w:rPr>
          <w:sz w:val="18"/>
        </w:rPr>
      </w:pPr>
      <w:r>
        <w:rPr>
          <w:spacing w:val="-2"/>
          <w:sz w:val="18"/>
        </w:rPr>
        <w:t>pT</w:t>
      </w:r>
      <w:r>
        <w:rPr>
          <w:spacing w:val="-2"/>
          <w:sz w:val="13"/>
        </w:rPr>
        <w:t>3</w:t>
      </w:r>
      <w:r>
        <w:rPr>
          <w:spacing w:val="-2"/>
          <w:sz w:val="18"/>
        </w:rPr>
        <w:t>：肿瘤＞4cm，局限于甲状腺内或大体侵犯甲状腺外带状肌 pT</w:t>
      </w:r>
      <w:r>
        <w:rPr>
          <w:spacing w:val="-2"/>
          <w:sz w:val="13"/>
        </w:rPr>
        <w:t>3a</w:t>
      </w:r>
      <w:r>
        <w:rPr>
          <w:spacing w:val="-2"/>
          <w:sz w:val="18"/>
        </w:rPr>
        <w:t>：肿瘤＞4cm，局限于甲状腺内</w:t>
      </w:r>
      <w:r>
        <w:rPr>
          <w:spacing w:val="80"/>
          <w:w w:val="150"/>
          <w:sz w:val="18"/>
        </w:rPr>
        <w:t>        </w:t>
      </w:r>
      <w:r>
        <w:rPr>
          <w:spacing w:val="-2"/>
          <w:sz w:val="18"/>
        </w:rPr>
        <w:t>pT</w:t>
      </w:r>
      <w:r>
        <w:rPr>
          <w:spacing w:val="-2"/>
          <w:sz w:val="13"/>
        </w:rPr>
        <w:t>3b</w:t>
      </w:r>
      <w:r>
        <w:rPr>
          <w:spacing w:val="-2"/>
          <w:sz w:val="18"/>
        </w:rPr>
        <w:t>：大体侵犯甲状腺外带状肌，无论肿瘤大小</w:t>
      </w:r>
    </w:p>
    <w:p>
      <w:pPr>
        <w:spacing w:line="242" w:lineRule="auto" w:before="2"/>
        <w:ind w:left="2906" w:right="1777" w:firstLine="540"/>
        <w:jc w:val="left"/>
        <w:rPr>
          <w:sz w:val="18"/>
        </w:rPr>
      </w:pPr>
      <w:r>
        <w:rPr>
          <w:spacing w:val="-2"/>
          <w:sz w:val="18"/>
        </w:rPr>
        <w:t>带状肌包括：胸骨舌骨肌、胸骨甲状肌、甲状舌骨肌、肩胛舌骨肌 pT</w:t>
      </w:r>
      <w:r>
        <w:rPr>
          <w:spacing w:val="-2"/>
          <w:sz w:val="13"/>
        </w:rPr>
        <w:t>4</w:t>
      </w:r>
      <w:r>
        <w:rPr>
          <w:spacing w:val="-2"/>
          <w:sz w:val="18"/>
        </w:rPr>
        <w:t>：进展期病变</w:t>
      </w:r>
    </w:p>
    <w:p>
      <w:pPr>
        <w:spacing w:line="242" w:lineRule="auto" w:before="2"/>
        <w:ind w:left="2906" w:right="360" w:firstLine="0"/>
        <w:jc w:val="left"/>
        <w:rPr>
          <w:sz w:val="18"/>
        </w:rPr>
      </w:pPr>
      <w:r>
        <w:rPr>
          <w:spacing w:val="-2"/>
          <w:sz w:val="18"/>
        </w:rPr>
        <w:t>pT</w:t>
      </w:r>
      <w:r>
        <w:rPr>
          <w:spacing w:val="-2"/>
          <w:sz w:val="13"/>
        </w:rPr>
        <w:t>4a</w:t>
      </w:r>
      <w:r>
        <w:rPr>
          <w:spacing w:val="-2"/>
          <w:sz w:val="18"/>
        </w:rPr>
        <w:t>：中度进展，任何大小的肿瘤，侵犯甲状腺外颈部周围器官和软组织，如喉、气管、食</w:t>
      </w:r>
      <w:r>
        <w:rPr>
          <w:spacing w:val="-2"/>
          <w:sz w:val="18"/>
        </w:rPr>
        <w:t>管、喉反神经及皮下软组织</w:t>
      </w:r>
    </w:p>
    <w:p>
      <w:pPr>
        <w:spacing w:line="242" w:lineRule="auto" w:before="0"/>
        <w:ind w:left="2906" w:right="362" w:firstLine="0"/>
        <w:jc w:val="left"/>
        <w:rPr>
          <w:sz w:val="18"/>
        </w:rPr>
      </w:pPr>
      <w:r>
        <w:rPr>
          <w:spacing w:val="-2"/>
          <w:sz w:val="18"/>
        </w:rPr>
        <w:t>pT</w:t>
      </w:r>
      <w:r>
        <w:rPr>
          <w:spacing w:val="-2"/>
          <w:sz w:val="13"/>
        </w:rPr>
        <w:t>4b</w:t>
      </w:r>
      <w:r>
        <w:rPr>
          <w:spacing w:val="-2"/>
          <w:sz w:val="18"/>
        </w:rPr>
        <w:t>：重度进展，任何大小的肿瘤，侵犯椎前筋膜，或包裹颈动脉、纵隔血管区域淋巴结：</w:t>
      </w:r>
      <w:r>
        <w:rPr>
          <w:spacing w:val="-2"/>
          <w:sz w:val="18"/>
        </w:rPr>
        <w:t>适用于所有甲状腺癌</w:t>
      </w:r>
    </w:p>
    <w:p>
      <w:pPr>
        <w:spacing w:line="242" w:lineRule="auto" w:before="2"/>
        <w:ind w:left="2906" w:right="3906" w:firstLine="0"/>
        <w:jc w:val="left"/>
        <w:rPr>
          <w:sz w:val="18"/>
        </w:rPr>
      </w:pPr>
      <w:r>
        <w:rPr>
          <w:spacing w:val="-2"/>
          <w:sz w:val="18"/>
        </w:rPr>
        <w:t>pN</w:t>
      </w:r>
      <w:r>
        <w:rPr>
          <w:spacing w:val="-2"/>
          <w:sz w:val="15"/>
        </w:rPr>
        <w:t>x</w:t>
      </w:r>
      <w:r>
        <w:rPr>
          <w:spacing w:val="-2"/>
          <w:sz w:val="18"/>
        </w:rPr>
        <w:t>：区域淋巴结无法评估</w:t>
      </w:r>
      <w:r>
        <w:rPr>
          <w:spacing w:val="80"/>
          <w:w w:val="150"/>
          <w:sz w:val="18"/>
        </w:rPr>
        <w:t>      </w:t>
      </w:r>
      <w:r>
        <w:rPr>
          <w:spacing w:val="-2"/>
          <w:sz w:val="18"/>
        </w:rPr>
        <w:t>pN</w:t>
      </w:r>
      <w:r>
        <w:rPr>
          <w:spacing w:val="-2"/>
          <w:sz w:val="15"/>
        </w:rPr>
        <w:t>0</w:t>
      </w:r>
      <w:r>
        <w:rPr>
          <w:spacing w:val="-6"/>
          <w:sz w:val="18"/>
        </w:rPr>
        <w:t>：无淋巴结转移证据 </w:t>
      </w:r>
      <w:r>
        <w:rPr>
          <w:spacing w:val="-2"/>
          <w:sz w:val="18"/>
        </w:rPr>
        <w:t>pN1：区域淋巴结转移</w:t>
      </w:r>
    </w:p>
    <w:p>
      <w:pPr>
        <w:spacing w:line="242" w:lineRule="auto" w:before="0"/>
        <w:ind w:left="2906" w:right="358" w:firstLine="0"/>
        <w:jc w:val="both"/>
        <w:rPr>
          <w:sz w:val="18"/>
        </w:rPr>
      </w:pPr>
      <w:r>
        <w:rPr>
          <w:sz w:val="18"/>
        </w:rPr>
        <w:t>pN</w:t>
      </w:r>
      <w:r>
        <w:rPr>
          <w:sz w:val="15"/>
        </w:rPr>
        <w:t>1a</w:t>
      </w:r>
      <w:r>
        <w:rPr>
          <w:sz w:val="18"/>
        </w:rPr>
        <w:t>：转移至Ⅵ、Ⅶ区（包括气管旁、气管前、喉前/Delphian</w:t>
      </w:r>
      <w:r>
        <w:rPr>
          <w:spacing w:val="-5"/>
          <w:sz w:val="18"/>
        </w:rPr>
        <w:t> 或上纵隔</w:t>
      </w:r>
      <w:r>
        <w:rPr>
          <w:sz w:val="18"/>
        </w:rPr>
        <w:t>）淋巴结，可以为</w:t>
      </w:r>
      <w:r>
        <w:rPr>
          <w:spacing w:val="-2"/>
          <w:sz w:val="18"/>
        </w:rPr>
        <w:t>单侧或双侧。pN</w:t>
      </w:r>
      <w:r>
        <w:rPr>
          <w:spacing w:val="-2"/>
          <w:sz w:val="15"/>
        </w:rPr>
        <w:t>1b</w:t>
      </w:r>
      <w:r>
        <w:rPr>
          <w:spacing w:val="-2"/>
          <w:sz w:val="18"/>
        </w:rPr>
        <w:t>：单侧、双侧或对侧颈淋巴结转移（包括Ⅰ、Ⅱ、Ⅲ、Ⅳ或Ⅴ区）淋巴结</w:t>
      </w:r>
      <w:r>
        <w:rPr>
          <w:spacing w:val="-2"/>
          <w:sz w:val="18"/>
        </w:rPr>
        <w:t>或咽后淋巴结转移。</w:t>
      </w:r>
    </w:p>
    <w:p>
      <w:pPr>
        <w:spacing w:line="242" w:lineRule="auto" w:before="2"/>
        <w:ind w:left="2906" w:right="5017" w:firstLine="0"/>
        <w:jc w:val="left"/>
        <w:rPr>
          <w:sz w:val="18"/>
        </w:rPr>
      </w:pPr>
      <w:r>
        <w:rPr>
          <w:spacing w:val="-2"/>
          <w:sz w:val="18"/>
        </w:rPr>
        <w:t>远处转移：适用于所有甲状腺癌 M</w:t>
      </w:r>
      <w:r>
        <w:rPr>
          <w:spacing w:val="-2"/>
          <w:sz w:val="15"/>
        </w:rPr>
        <w:t>0</w:t>
      </w:r>
      <w:r>
        <w:rPr>
          <w:spacing w:val="-2"/>
          <w:sz w:val="18"/>
        </w:rPr>
        <w:t>：无远处转移</w:t>
      </w:r>
    </w:p>
    <w:p>
      <w:pPr>
        <w:spacing w:before="2" w:after="3"/>
        <w:ind w:left="2906" w:right="0" w:firstLine="0"/>
        <w:jc w:val="left"/>
        <w:rPr>
          <w:sz w:val="18"/>
        </w:rPr>
      </w:pPr>
      <w:r>
        <w:rPr>
          <w:sz w:val="18"/>
        </w:rPr>
        <w:t>M</w:t>
      </w:r>
      <w:r>
        <w:rPr>
          <w:sz w:val="15"/>
        </w:rPr>
        <w:t>1</w:t>
      </w:r>
      <w:r>
        <w:rPr>
          <w:spacing w:val="-2"/>
          <w:sz w:val="18"/>
        </w:rPr>
        <w:t>：有远处转移</w:t>
      </w:r>
    </w:p>
    <w:tbl>
      <w:tblPr>
        <w:tblW w:w="0" w:type="auto"/>
        <w:jc w:val="left"/>
        <w:tblInd w:w="29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98"/>
        <w:gridCol w:w="1789"/>
        <w:gridCol w:w="1792"/>
        <w:gridCol w:w="1794"/>
      </w:tblGrid>
      <w:tr>
        <w:trPr>
          <w:trHeight w:val="273" w:hRule="atLeast"/>
        </w:trPr>
        <w:tc>
          <w:tcPr>
            <w:tcW w:w="7173" w:type="dxa"/>
            <w:gridSpan w:val="4"/>
          </w:tcPr>
          <w:p>
            <w:pPr>
              <w:pStyle w:val="TableParagraph"/>
              <w:spacing w:line="252" w:lineRule="exact" w:before="1"/>
              <w:ind w:left="110"/>
              <w:rPr>
                <w:sz w:val="21"/>
              </w:rPr>
            </w:pPr>
            <w:r>
              <w:rPr>
                <w:spacing w:val="-2"/>
                <w:sz w:val="21"/>
              </w:rPr>
              <w:t>乳头状或滤泡状癌（分化型</w:t>
            </w:r>
            <w:r>
              <w:rPr>
                <w:spacing w:val="-10"/>
                <w:sz w:val="21"/>
              </w:rPr>
              <w:t>）</w:t>
            </w:r>
          </w:p>
        </w:tc>
      </w:tr>
      <w:tr>
        <w:trPr>
          <w:trHeight w:val="270" w:hRule="atLeast"/>
        </w:trPr>
        <w:tc>
          <w:tcPr>
            <w:tcW w:w="7173" w:type="dxa"/>
            <w:gridSpan w:val="4"/>
          </w:tcPr>
          <w:p>
            <w:pPr>
              <w:pStyle w:val="TableParagraph"/>
              <w:spacing w:line="250" w:lineRule="exact" w:before="1"/>
              <w:ind w:left="110"/>
              <w:rPr>
                <w:sz w:val="21"/>
              </w:rPr>
            </w:pPr>
            <w:r>
              <w:rPr>
                <w:spacing w:val="-2"/>
                <w:sz w:val="21"/>
              </w:rPr>
              <w:t>年龄＜55</w:t>
            </w:r>
            <w:r>
              <w:rPr>
                <w:spacing w:val="-29"/>
                <w:sz w:val="21"/>
              </w:rPr>
              <w:t> 岁</w:t>
            </w:r>
          </w:p>
        </w:tc>
      </w:tr>
      <w:tr>
        <w:trPr>
          <w:trHeight w:val="273" w:hRule="atLeast"/>
        </w:trPr>
        <w:tc>
          <w:tcPr>
            <w:tcW w:w="1798" w:type="dxa"/>
          </w:tcPr>
          <w:p>
            <w:pPr>
              <w:pStyle w:val="TableParagraph"/>
              <w:ind w:left="0"/>
              <w:rPr>
                <w:rFonts w:ascii="Times New Roman"/>
                <w:sz w:val="18"/>
              </w:rPr>
            </w:pPr>
          </w:p>
        </w:tc>
        <w:tc>
          <w:tcPr>
            <w:tcW w:w="1789" w:type="dxa"/>
          </w:tcPr>
          <w:p>
            <w:pPr>
              <w:pStyle w:val="TableParagraph"/>
              <w:spacing w:line="252" w:lineRule="exact" w:before="1"/>
              <w:ind w:left="107"/>
              <w:rPr>
                <w:sz w:val="21"/>
              </w:rPr>
            </w:pPr>
            <w:r>
              <w:rPr>
                <w:w w:val="100"/>
                <w:sz w:val="21"/>
              </w:rPr>
              <w:t>T</w:t>
            </w:r>
          </w:p>
        </w:tc>
        <w:tc>
          <w:tcPr>
            <w:tcW w:w="1792" w:type="dxa"/>
          </w:tcPr>
          <w:p>
            <w:pPr>
              <w:pStyle w:val="TableParagraph"/>
              <w:spacing w:line="252" w:lineRule="exact" w:before="1"/>
              <w:ind w:left="106"/>
              <w:rPr>
                <w:sz w:val="21"/>
              </w:rPr>
            </w:pPr>
            <w:r>
              <w:rPr>
                <w:w w:val="100"/>
                <w:sz w:val="21"/>
              </w:rPr>
              <w:t>N</w:t>
            </w:r>
          </w:p>
        </w:tc>
        <w:tc>
          <w:tcPr>
            <w:tcW w:w="1794" w:type="dxa"/>
          </w:tcPr>
          <w:p>
            <w:pPr>
              <w:pStyle w:val="TableParagraph"/>
              <w:spacing w:line="252" w:lineRule="exact" w:before="1"/>
              <w:ind w:left="105"/>
              <w:rPr>
                <w:sz w:val="21"/>
              </w:rPr>
            </w:pPr>
            <w:r>
              <w:rPr>
                <w:w w:val="100"/>
                <w:sz w:val="21"/>
              </w:rPr>
              <w:t>M</w:t>
            </w:r>
          </w:p>
        </w:tc>
      </w:tr>
      <w:tr>
        <w:trPr>
          <w:trHeight w:val="270" w:hRule="atLeast"/>
        </w:trPr>
        <w:tc>
          <w:tcPr>
            <w:tcW w:w="1798" w:type="dxa"/>
          </w:tcPr>
          <w:p>
            <w:pPr>
              <w:pStyle w:val="TableParagraph"/>
              <w:spacing w:line="250" w:lineRule="exact" w:before="1"/>
              <w:ind w:left="110"/>
              <w:rPr>
                <w:sz w:val="21"/>
              </w:rPr>
            </w:pPr>
            <w:r>
              <w:rPr>
                <w:spacing w:val="-5"/>
                <w:sz w:val="21"/>
              </w:rPr>
              <w:t>Ⅰ期</w:t>
            </w:r>
          </w:p>
        </w:tc>
        <w:tc>
          <w:tcPr>
            <w:tcW w:w="1789" w:type="dxa"/>
          </w:tcPr>
          <w:p>
            <w:pPr>
              <w:pStyle w:val="TableParagraph"/>
              <w:spacing w:line="250" w:lineRule="exact" w:before="1"/>
              <w:ind w:left="107"/>
              <w:rPr>
                <w:sz w:val="21"/>
              </w:rPr>
            </w:pPr>
            <w:r>
              <w:rPr>
                <w:spacing w:val="-5"/>
                <w:sz w:val="21"/>
              </w:rPr>
              <w:t>任何</w:t>
            </w:r>
          </w:p>
        </w:tc>
        <w:tc>
          <w:tcPr>
            <w:tcW w:w="1792" w:type="dxa"/>
          </w:tcPr>
          <w:p>
            <w:pPr>
              <w:pStyle w:val="TableParagraph"/>
              <w:spacing w:line="250" w:lineRule="exact" w:before="1"/>
              <w:ind w:left="106"/>
              <w:rPr>
                <w:sz w:val="21"/>
              </w:rPr>
            </w:pPr>
            <w:r>
              <w:rPr>
                <w:spacing w:val="-5"/>
                <w:sz w:val="21"/>
              </w:rPr>
              <w:t>任何</w:t>
            </w:r>
          </w:p>
        </w:tc>
        <w:tc>
          <w:tcPr>
            <w:tcW w:w="1794" w:type="dxa"/>
          </w:tcPr>
          <w:p>
            <w:pPr>
              <w:pStyle w:val="TableParagraph"/>
              <w:spacing w:line="250" w:lineRule="exact" w:before="1"/>
              <w:ind w:left="105"/>
              <w:rPr>
                <w:sz w:val="21"/>
              </w:rPr>
            </w:pPr>
            <w:r>
              <w:rPr>
                <w:w w:val="100"/>
                <w:sz w:val="21"/>
              </w:rPr>
              <w:t>0</w:t>
            </w:r>
          </w:p>
        </w:tc>
      </w:tr>
      <w:tr>
        <w:trPr>
          <w:trHeight w:val="273" w:hRule="atLeast"/>
        </w:trPr>
        <w:tc>
          <w:tcPr>
            <w:tcW w:w="1798" w:type="dxa"/>
          </w:tcPr>
          <w:p>
            <w:pPr>
              <w:pStyle w:val="TableParagraph"/>
              <w:spacing w:line="250" w:lineRule="exact" w:before="3"/>
              <w:ind w:left="110"/>
              <w:rPr>
                <w:sz w:val="21"/>
              </w:rPr>
            </w:pPr>
            <w:r>
              <w:rPr>
                <w:spacing w:val="-5"/>
                <w:sz w:val="21"/>
              </w:rPr>
              <w:t>Ⅱ期</w:t>
            </w:r>
          </w:p>
        </w:tc>
        <w:tc>
          <w:tcPr>
            <w:tcW w:w="1789" w:type="dxa"/>
          </w:tcPr>
          <w:p>
            <w:pPr>
              <w:pStyle w:val="TableParagraph"/>
              <w:spacing w:line="250" w:lineRule="exact" w:before="3"/>
              <w:ind w:left="107"/>
              <w:rPr>
                <w:sz w:val="21"/>
              </w:rPr>
            </w:pPr>
            <w:r>
              <w:rPr>
                <w:spacing w:val="-5"/>
                <w:sz w:val="21"/>
              </w:rPr>
              <w:t>任何</w:t>
            </w:r>
          </w:p>
        </w:tc>
        <w:tc>
          <w:tcPr>
            <w:tcW w:w="1792" w:type="dxa"/>
          </w:tcPr>
          <w:p>
            <w:pPr>
              <w:pStyle w:val="TableParagraph"/>
              <w:spacing w:line="250" w:lineRule="exact" w:before="3"/>
              <w:ind w:left="106"/>
              <w:rPr>
                <w:sz w:val="21"/>
              </w:rPr>
            </w:pPr>
            <w:r>
              <w:rPr>
                <w:spacing w:val="-5"/>
                <w:sz w:val="21"/>
              </w:rPr>
              <w:t>任何</w:t>
            </w:r>
          </w:p>
        </w:tc>
        <w:tc>
          <w:tcPr>
            <w:tcW w:w="1794" w:type="dxa"/>
          </w:tcPr>
          <w:p>
            <w:pPr>
              <w:pStyle w:val="TableParagraph"/>
              <w:spacing w:line="250" w:lineRule="exact" w:before="3"/>
              <w:ind w:left="105"/>
              <w:rPr>
                <w:sz w:val="21"/>
              </w:rPr>
            </w:pPr>
            <w:r>
              <w:rPr>
                <w:w w:val="100"/>
                <w:sz w:val="21"/>
              </w:rPr>
              <w:t>1</w:t>
            </w:r>
          </w:p>
        </w:tc>
      </w:tr>
      <w:tr>
        <w:trPr>
          <w:trHeight w:val="273" w:hRule="atLeast"/>
        </w:trPr>
        <w:tc>
          <w:tcPr>
            <w:tcW w:w="7173" w:type="dxa"/>
            <w:gridSpan w:val="4"/>
          </w:tcPr>
          <w:p>
            <w:pPr>
              <w:pStyle w:val="TableParagraph"/>
              <w:spacing w:line="252" w:lineRule="exact" w:before="1"/>
              <w:ind w:left="110"/>
              <w:rPr>
                <w:sz w:val="21"/>
              </w:rPr>
            </w:pPr>
            <w:r>
              <w:rPr>
                <w:spacing w:val="-2"/>
                <w:sz w:val="21"/>
              </w:rPr>
              <w:t>年龄≥55</w:t>
            </w:r>
            <w:r>
              <w:rPr>
                <w:spacing w:val="-29"/>
                <w:sz w:val="21"/>
              </w:rPr>
              <w:t> 岁</w:t>
            </w:r>
          </w:p>
        </w:tc>
      </w:tr>
      <w:tr>
        <w:trPr>
          <w:trHeight w:val="270" w:hRule="atLeast"/>
        </w:trPr>
        <w:tc>
          <w:tcPr>
            <w:tcW w:w="1798" w:type="dxa"/>
            <w:vMerge w:val="restart"/>
          </w:tcPr>
          <w:p>
            <w:pPr>
              <w:pStyle w:val="TableParagraph"/>
              <w:spacing w:before="142"/>
              <w:ind w:left="110"/>
              <w:rPr>
                <w:sz w:val="21"/>
              </w:rPr>
            </w:pPr>
            <w:r>
              <w:rPr>
                <w:spacing w:val="-5"/>
                <w:sz w:val="21"/>
              </w:rPr>
              <w:t>Ⅰ期</w:t>
            </w:r>
          </w:p>
        </w:tc>
        <w:tc>
          <w:tcPr>
            <w:tcW w:w="1789" w:type="dxa"/>
          </w:tcPr>
          <w:p>
            <w:pPr>
              <w:pStyle w:val="TableParagraph"/>
              <w:spacing w:line="250" w:lineRule="exact" w:before="1"/>
              <w:ind w:left="107"/>
              <w:rPr>
                <w:sz w:val="21"/>
              </w:rPr>
            </w:pPr>
            <w:r>
              <w:rPr>
                <w:w w:val="100"/>
                <w:sz w:val="21"/>
              </w:rPr>
              <w:t>1</w:t>
            </w:r>
          </w:p>
        </w:tc>
        <w:tc>
          <w:tcPr>
            <w:tcW w:w="1792" w:type="dxa"/>
          </w:tcPr>
          <w:p>
            <w:pPr>
              <w:pStyle w:val="TableParagraph"/>
              <w:spacing w:line="250" w:lineRule="exact" w:before="1"/>
              <w:ind w:left="106"/>
              <w:rPr>
                <w:sz w:val="21"/>
              </w:rPr>
            </w:pPr>
            <w:r>
              <w:rPr>
                <w:spacing w:val="-5"/>
                <w:sz w:val="21"/>
              </w:rPr>
              <w:t>0/x</w:t>
            </w:r>
          </w:p>
        </w:tc>
        <w:tc>
          <w:tcPr>
            <w:tcW w:w="1794" w:type="dxa"/>
          </w:tcPr>
          <w:p>
            <w:pPr>
              <w:pStyle w:val="TableParagraph"/>
              <w:spacing w:line="250" w:lineRule="exact" w:before="1"/>
              <w:ind w:left="105"/>
              <w:rPr>
                <w:sz w:val="21"/>
              </w:rPr>
            </w:pPr>
            <w:r>
              <w:rPr>
                <w:w w:val="100"/>
                <w:sz w:val="21"/>
              </w:rPr>
              <w:t>0</w:t>
            </w:r>
          </w:p>
        </w:tc>
      </w:tr>
      <w:tr>
        <w:trPr>
          <w:trHeight w:val="273" w:hRule="atLeast"/>
        </w:trPr>
        <w:tc>
          <w:tcPr>
            <w:tcW w:w="1798" w:type="dxa"/>
            <w:vMerge/>
            <w:tcBorders>
              <w:top w:val="nil"/>
            </w:tcBorders>
          </w:tcPr>
          <w:p>
            <w:pPr>
              <w:rPr>
                <w:sz w:val="2"/>
                <w:szCs w:val="2"/>
              </w:rPr>
            </w:pPr>
          </w:p>
        </w:tc>
        <w:tc>
          <w:tcPr>
            <w:tcW w:w="1789" w:type="dxa"/>
          </w:tcPr>
          <w:p>
            <w:pPr>
              <w:pStyle w:val="TableParagraph"/>
              <w:spacing w:line="250" w:lineRule="exact" w:before="3"/>
              <w:ind w:left="107"/>
              <w:rPr>
                <w:sz w:val="21"/>
              </w:rPr>
            </w:pPr>
            <w:r>
              <w:rPr>
                <w:w w:val="100"/>
                <w:sz w:val="21"/>
              </w:rPr>
              <w:t>2</w:t>
            </w:r>
          </w:p>
        </w:tc>
        <w:tc>
          <w:tcPr>
            <w:tcW w:w="1792" w:type="dxa"/>
          </w:tcPr>
          <w:p>
            <w:pPr>
              <w:pStyle w:val="TableParagraph"/>
              <w:spacing w:line="250" w:lineRule="exact" w:before="3"/>
              <w:ind w:left="106"/>
              <w:rPr>
                <w:sz w:val="21"/>
              </w:rPr>
            </w:pPr>
            <w:r>
              <w:rPr>
                <w:spacing w:val="-5"/>
                <w:sz w:val="21"/>
              </w:rPr>
              <w:t>0/x</w:t>
            </w:r>
          </w:p>
        </w:tc>
        <w:tc>
          <w:tcPr>
            <w:tcW w:w="1794" w:type="dxa"/>
          </w:tcPr>
          <w:p>
            <w:pPr>
              <w:pStyle w:val="TableParagraph"/>
              <w:spacing w:line="250" w:lineRule="exact" w:before="3"/>
              <w:ind w:left="105"/>
              <w:rPr>
                <w:sz w:val="21"/>
              </w:rPr>
            </w:pPr>
            <w:r>
              <w:rPr>
                <w:w w:val="100"/>
                <w:sz w:val="21"/>
              </w:rPr>
              <w:t>0</w:t>
            </w:r>
          </w:p>
        </w:tc>
      </w:tr>
      <w:tr>
        <w:trPr>
          <w:trHeight w:val="273" w:hRule="atLeast"/>
        </w:trPr>
        <w:tc>
          <w:tcPr>
            <w:tcW w:w="1798" w:type="dxa"/>
            <w:vMerge w:val="restart"/>
          </w:tcPr>
          <w:p>
            <w:pPr>
              <w:pStyle w:val="TableParagraph"/>
              <w:spacing w:before="142"/>
              <w:ind w:left="110"/>
              <w:rPr>
                <w:sz w:val="21"/>
              </w:rPr>
            </w:pPr>
            <w:r>
              <w:rPr>
                <w:spacing w:val="-5"/>
                <w:sz w:val="21"/>
              </w:rPr>
              <w:t>Ⅱ期</w:t>
            </w:r>
          </w:p>
        </w:tc>
        <w:tc>
          <w:tcPr>
            <w:tcW w:w="1789" w:type="dxa"/>
          </w:tcPr>
          <w:p>
            <w:pPr>
              <w:pStyle w:val="TableParagraph"/>
              <w:spacing w:line="252" w:lineRule="exact" w:before="1"/>
              <w:ind w:left="107"/>
              <w:rPr>
                <w:sz w:val="21"/>
              </w:rPr>
            </w:pPr>
            <w:r>
              <w:rPr>
                <w:spacing w:val="-5"/>
                <w:sz w:val="21"/>
              </w:rPr>
              <w:t>1～2</w:t>
            </w:r>
          </w:p>
        </w:tc>
        <w:tc>
          <w:tcPr>
            <w:tcW w:w="1792" w:type="dxa"/>
          </w:tcPr>
          <w:p>
            <w:pPr>
              <w:pStyle w:val="TableParagraph"/>
              <w:spacing w:line="252" w:lineRule="exact" w:before="1"/>
              <w:ind w:left="106"/>
              <w:rPr>
                <w:sz w:val="21"/>
              </w:rPr>
            </w:pPr>
            <w:r>
              <w:rPr>
                <w:w w:val="100"/>
                <w:sz w:val="21"/>
              </w:rPr>
              <w:t>1</w:t>
            </w:r>
          </w:p>
        </w:tc>
        <w:tc>
          <w:tcPr>
            <w:tcW w:w="1794" w:type="dxa"/>
          </w:tcPr>
          <w:p>
            <w:pPr>
              <w:pStyle w:val="TableParagraph"/>
              <w:spacing w:line="252" w:lineRule="exact" w:before="1"/>
              <w:ind w:left="105"/>
              <w:rPr>
                <w:sz w:val="21"/>
              </w:rPr>
            </w:pPr>
            <w:r>
              <w:rPr>
                <w:w w:val="100"/>
                <w:sz w:val="21"/>
              </w:rPr>
              <w:t>0</w:t>
            </w:r>
          </w:p>
        </w:tc>
      </w:tr>
      <w:tr>
        <w:trPr>
          <w:trHeight w:val="270" w:hRule="atLeast"/>
        </w:trPr>
        <w:tc>
          <w:tcPr>
            <w:tcW w:w="1798" w:type="dxa"/>
            <w:vMerge/>
            <w:tcBorders>
              <w:top w:val="nil"/>
            </w:tcBorders>
          </w:tcPr>
          <w:p>
            <w:pPr>
              <w:rPr>
                <w:sz w:val="2"/>
                <w:szCs w:val="2"/>
              </w:rPr>
            </w:pPr>
          </w:p>
        </w:tc>
        <w:tc>
          <w:tcPr>
            <w:tcW w:w="1789" w:type="dxa"/>
          </w:tcPr>
          <w:p>
            <w:pPr>
              <w:pStyle w:val="TableParagraph"/>
              <w:spacing w:line="250" w:lineRule="exact" w:before="1"/>
              <w:ind w:left="107"/>
              <w:rPr>
                <w:sz w:val="21"/>
              </w:rPr>
            </w:pPr>
            <w:r>
              <w:rPr>
                <w:spacing w:val="-2"/>
                <w:sz w:val="21"/>
              </w:rPr>
              <w:t>3a～3b</w:t>
            </w:r>
          </w:p>
        </w:tc>
        <w:tc>
          <w:tcPr>
            <w:tcW w:w="1792" w:type="dxa"/>
          </w:tcPr>
          <w:p>
            <w:pPr>
              <w:pStyle w:val="TableParagraph"/>
              <w:spacing w:line="250" w:lineRule="exact" w:before="1"/>
              <w:ind w:left="106"/>
              <w:rPr>
                <w:sz w:val="21"/>
              </w:rPr>
            </w:pPr>
            <w:r>
              <w:rPr>
                <w:spacing w:val="-5"/>
                <w:sz w:val="21"/>
              </w:rPr>
              <w:t>任何</w:t>
            </w:r>
          </w:p>
        </w:tc>
        <w:tc>
          <w:tcPr>
            <w:tcW w:w="1794" w:type="dxa"/>
          </w:tcPr>
          <w:p>
            <w:pPr>
              <w:pStyle w:val="TableParagraph"/>
              <w:spacing w:line="250" w:lineRule="exact" w:before="1"/>
              <w:ind w:left="105"/>
              <w:rPr>
                <w:sz w:val="21"/>
              </w:rPr>
            </w:pPr>
            <w:r>
              <w:rPr>
                <w:w w:val="100"/>
                <w:sz w:val="21"/>
              </w:rPr>
              <w:t>0</w:t>
            </w:r>
          </w:p>
        </w:tc>
      </w:tr>
      <w:tr>
        <w:trPr>
          <w:trHeight w:val="273" w:hRule="atLeast"/>
        </w:trPr>
        <w:tc>
          <w:tcPr>
            <w:tcW w:w="1798" w:type="dxa"/>
          </w:tcPr>
          <w:p>
            <w:pPr>
              <w:pStyle w:val="TableParagraph"/>
              <w:spacing w:line="252" w:lineRule="exact" w:before="1"/>
              <w:ind w:left="110"/>
              <w:rPr>
                <w:sz w:val="21"/>
              </w:rPr>
            </w:pPr>
            <w:r>
              <w:rPr>
                <w:spacing w:val="-5"/>
                <w:sz w:val="21"/>
              </w:rPr>
              <w:t>Ⅲ期</w:t>
            </w:r>
          </w:p>
        </w:tc>
        <w:tc>
          <w:tcPr>
            <w:tcW w:w="1789" w:type="dxa"/>
          </w:tcPr>
          <w:p>
            <w:pPr>
              <w:pStyle w:val="TableParagraph"/>
              <w:spacing w:line="252" w:lineRule="exact" w:before="1"/>
              <w:ind w:left="107"/>
              <w:rPr>
                <w:sz w:val="21"/>
              </w:rPr>
            </w:pPr>
            <w:r>
              <w:rPr>
                <w:spacing w:val="-5"/>
                <w:sz w:val="21"/>
              </w:rPr>
              <w:t>4a</w:t>
            </w:r>
          </w:p>
        </w:tc>
        <w:tc>
          <w:tcPr>
            <w:tcW w:w="1792" w:type="dxa"/>
          </w:tcPr>
          <w:p>
            <w:pPr>
              <w:pStyle w:val="TableParagraph"/>
              <w:spacing w:line="252" w:lineRule="exact" w:before="1"/>
              <w:ind w:left="106"/>
              <w:rPr>
                <w:sz w:val="21"/>
              </w:rPr>
            </w:pPr>
            <w:r>
              <w:rPr>
                <w:spacing w:val="-5"/>
                <w:sz w:val="21"/>
              </w:rPr>
              <w:t>任何</w:t>
            </w:r>
          </w:p>
        </w:tc>
        <w:tc>
          <w:tcPr>
            <w:tcW w:w="1794" w:type="dxa"/>
          </w:tcPr>
          <w:p>
            <w:pPr>
              <w:pStyle w:val="TableParagraph"/>
              <w:spacing w:line="252" w:lineRule="exact" w:before="1"/>
              <w:ind w:left="105"/>
              <w:rPr>
                <w:sz w:val="21"/>
              </w:rPr>
            </w:pPr>
            <w:r>
              <w:rPr>
                <w:w w:val="100"/>
                <w:sz w:val="21"/>
              </w:rPr>
              <w:t>0</w:t>
            </w:r>
          </w:p>
        </w:tc>
      </w:tr>
      <w:tr>
        <w:trPr>
          <w:trHeight w:val="273" w:hRule="atLeast"/>
        </w:trPr>
        <w:tc>
          <w:tcPr>
            <w:tcW w:w="1798" w:type="dxa"/>
          </w:tcPr>
          <w:p>
            <w:pPr>
              <w:pStyle w:val="TableParagraph"/>
              <w:spacing w:line="252" w:lineRule="exact" w:before="1"/>
              <w:ind w:left="110"/>
              <w:rPr>
                <w:sz w:val="21"/>
              </w:rPr>
            </w:pPr>
            <w:r>
              <w:rPr>
                <w:sz w:val="21"/>
              </w:rPr>
              <w:t>ⅣA</w:t>
            </w:r>
            <w:r>
              <w:rPr>
                <w:spacing w:val="-32"/>
                <w:sz w:val="21"/>
              </w:rPr>
              <w:t> 期</w:t>
            </w:r>
          </w:p>
        </w:tc>
        <w:tc>
          <w:tcPr>
            <w:tcW w:w="1789" w:type="dxa"/>
          </w:tcPr>
          <w:p>
            <w:pPr>
              <w:pStyle w:val="TableParagraph"/>
              <w:spacing w:line="252" w:lineRule="exact" w:before="1"/>
              <w:ind w:left="107"/>
              <w:rPr>
                <w:sz w:val="21"/>
              </w:rPr>
            </w:pPr>
            <w:r>
              <w:rPr>
                <w:spacing w:val="-5"/>
                <w:sz w:val="21"/>
              </w:rPr>
              <w:t>4b</w:t>
            </w:r>
          </w:p>
        </w:tc>
        <w:tc>
          <w:tcPr>
            <w:tcW w:w="1792" w:type="dxa"/>
          </w:tcPr>
          <w:p>
            <w:pPr>
              <w:pStyle w:val="TableParagraph"/>
              <w:spacing w:line="252" w:lineRule="exact" w:before="1"/>
              <w:ind w:left="106"/>
              <w:rPr>
                <w:sz w:val="21"/>
              </w:rPr>
            </w:pPr>
            <w:r>
              <w:rPr>
                <w:spacing w:val="-5"/>
                <w:sz w:val="21"/>
              </w:rPr>
              <w:t>任何</w:t>
            </w:r>
          </w:p>
        </w:tc>
        <w:tc>
          <w:tcPr>
            <w:tcW w:w="1794" w:type="dxa"/>
          </w:tcPr>
          <w:p>
            <w:pPr>
              <w:pStyle w:val="TableParagraph"/>
              <w:spacing w:line="252" w:lineRule="exact" w:before="1"/>
              <w:ind w:left="105"/>
              <w:rPr>
                <w:sz w:val="21"/>
              </w:rPr>
            </w:pPr>
            <w:r>
              <w:rPr>
                <w:w w:val="100"/>
                <w:sz w:val="21"/>
              </w:rPr>
              <w:t>0</w:t>
            </w:r>
          </w:p>
        </w:tc>
      </w:tr>
      <w:tr>
        <w:trPr>
          <w:trHeight w:val="271" w:hRule="atLeast"/>
        </w:trPr>
        <w:tc>
          <w:tcPr>
            <w:tcW w:w="1798" w:type="dxa"/>
          </w:tcPr>
          <w:p>
            <w:pPr>
              <w:pStyle w:val="TableParagraph"/>
              <w:spacing w:line="250" w:lineRule="exact" w:before="1"/>
              <w:ind w:left="110"/>
              <w:rPr>
                <w:sz w:val="21"/>
              </w:rPr>
            </w:pPr>
            <w:r>
              <w:rPr>
                <w:sz w:val="21"/>
              </w:rPr>
              <w:t>ⅣB</w:t>
            </w:r>
            <w:r>
              <w:rPr>
                <w:spacing w:val="-32"/>
                <w:sz w:val="21"/>
              </w:rPr>
              <w:t> 期</w:t>
            </w:r>
          </w:p>
        </w:tc>
        <w:tc>
          <w:tcPr>
            <w:tcW w:w="1789" w:type="dxa"/>
          </w:tcPr>
          <w:p>
            <w:pPr>
              <w:pStyle w:val="TableParagraph"/>
              <w:spacing w:line="250" w:lineRule="exact" w:before="1"/>
              <w:ind w:left="107"/>
              <w:rPr>
                <w:sz w:val="21"/>
              </w:rPr>
            </w:pPr>
            <w:r>
              <w:rPr>
                <w:spacing w:val="-5"/>
                <w:sz w:val="21"/>
              </w:rPr>
              <w:t>任何</w:t>
            </w:r>
          </w:p>
        </w:tc>
        <w:tc>
          <w:tcPr>
            <w:tcW w:w="1792" w:type="dxa"/>
          </w:tcPr>
          <w:p>
            <w:pPr>
              <w:pStyle w:val="TableParagraph"/>
              <w:spacing w:line="250" w:lineRule="exact" w:before="1"/>
              <w:ind w:left="106"/>
              <w:rPr>
                <w:sz w:val="21"/>
              </w:rPr>
            </w:pPr>
            <w:r>
              <w:rPr>
                <w:spacing w:val="-5"/>
                <w:sz w:val="21"/>
              </w:rPr>
              <w:t>任何</w:t>
            </w:r>
          </w:p>
        </w:tc>
        <w:tc>
          <w:tcPr>
            <w:tcW w:w="1794" w:type="dxa"/>
          </w:tcPr>
          <w:p>
            <w:pPr>
              <w:pStyle w:val="TableParagraph"/>
              <w:spacing w:line="250" w:lineRule="exact" w:before="1"/>
              <w:ind w:left="105"/>
              <w:rPr>
                <w:sz w:val="21"/>
              </w:rPr>
            </w:pPr>
            <w:r>
              <w:rPr>
                <w:w w:val="100"/>
                <w:sz w:val="21"/>
              </w:rPr>
              <w:t>1</w:t>
            </w:r>
          </w:p>
        </w:tc>
      </w:tr>
      <w:tr>
        <w:trPr>
          <w:trHeight w:val="273" w:hRule="atLeast"/>
        </w:trPr>
        <w:tc>
          <w:tcPr>
            <w:tcW w:w="7173" w:type="dxa"/>
            <w:gridSpan w:val="4"/>
          </w:tcPr>
          <w:p>
            <w:pPr>
              <w:pStyle w:val="TableParagraph"/>
              <w:spacing w:line="252" w:lineRule="exact" w:before="1"/>
              <w:ind w:left="110"/>
              <w:rPr>
                <w:sz w:val="21"/>
              </w:rPr>
            </w:pPr>
            <w:r>
              <w:rPr>
                <w:spacing w:val="-2"/>
                <w:sz w:val="21"/>
              </w:rPr>
              <w:t>髓样癌（所有年龄组</w:t>
            </w:r>
            <w:r>
              <w:rPr>
                <w:spacing w:val="-10"/>
                <w:sz w:val="21"/>
              </w:rPr>
              <w:t>）</w:t>
            </w:r>
          </w:p>
        </w:tc>
      </w:tr>
      <w:tr>
        <w:trPr>
          <w:trHeight w:val="273" w:hRule="atLeast"/>
        </w:trPr>
        <w:tc>
          <w:tcPr>
            <w:tcW w:w="1798" w:type="dxa"/>
          </w:tcPr>
          <w:p>
            <w:pPr>
              <w:pStyle w:val="TableParagraph"/>
              <w:spacing w:line="252" w:lineRule="exact" w:before="1"/>
              <w:ind w:left="110"/>
              <w:rPr>
                <w:sz w:val="21"/>
              </w:rPr>
            </w:pPr>
            <w:r>
              <w:rPr>
                <w:spacing w:val="-5"/>
                <w:sz w:val="21"/>
              </w:rPr>
              <w:t>Ⅰ期</w:t>
            </w:r>
          </w:p>
        </w:tc>
        <w:tc>
          <w:tcPr>
            <w:tcW w:w="1789" w:type="dxa"/>
          </w:tcPr>
          <w:p>
            <w:pPr>
              <w:pStyle w:val="TableParagraph"/>
              <w:spacing w:line="252" w:lineRule="exact" w:before="1"/>
              <w:ind w:left="107"/>
              <w:rPr>
                <w:sz w:val="21"/>
              </w:rPr>
            </w:pPr>
            <w:r>
              <w:rPr>
                <w:w w:val="100"/>
                <w:sz w:val="21"/>
              </w:rPr>
              <w:t>1</w:t>
            </w:r>
          </w:p>
        </w:tc>
        <w:tc>
          <w:tcPr>
            <w:tcW w:w="1792" w:type="dxa"/>
          </w:tcPr>
          <w:p>
            <w:pPr>
              <w:pStyle w:val="TableParagraph"/>
              <w:spacing w:line="252" w:lineRule="exact" w:before="1"/>
              <w:ind w:left="106"/>
              <w:rPr>
                <w:sz w:val="21"/>
              </w:rPr>
            </w:pPr>
            <w:r>
              <w:rPr>
                <w:w w:val="100"/>
                <w:sz w:val="21"/>
              </w:rPr>
              <w:t>0</w:t>
            </w:r>
          </w:p>
        </w:tc>
        <w:tc>
          <w:tcPr>
            <w:tcW w:w="1794" w:type="dxa"/>
          </w:tcPr>
          <w:p>
            <w:pPr>
              <w:pStyle w:val="TableParagraph"/>
              <w:spacing w:line="252" w:lineRule="exact" w:before="1"/>
              <w:ind w:left="105"/>
              <w:rPr>
                <w:sz w:val="21"/>
              </w:rPr>
            </w:pPr>
            <w:r>
              <w:rPr>
                <w:w w:val="100"/>
                <w:sz w:val="21"/>
              </w:rPr>
              <w:t>0</w:t>
            </w:r>
          </w:p>
        </w:tc>
      </w:tr>
      <w:tr>
        <w:trPr>
          <w:trHeight w:val="270" w:hRule="atLeast"/>
        </w:trPr>
        <w:tc>
          <w:tcPr>
            <w:tcW w:w="1798" w:type="dxa"/>
          </w:tcPr>
          <w:p>
            <w:pPr>
              <w:pStyle w:val="TableParagraph"/>
              <w:spacing w:line="250" w:lineRule="exact" w:before="1"/>
              <w:ind w:left="110"/>
              <w:rPr>
                <w:sz w:val="21"/>
              </w:rPr>
            </w:pPr>
            <w:r>
              <w:rPr>
                <w:spacing w:val="-5"/>
                <w:sz w:val="21"/>
              </w:rPr>
              <w:t>Ⅱ期</w:t>
            </w:r>
          </w:p>
        </w:tc>
        <w:tc>
          <w:tcPr>
            <w:tcW w:w="1789" w:type="dxa"/>
          </w:tcPr>
          <w:p>
            <w:pPr>
              <w:pStyle w:val="TableParagraph"/>
              <w:spacing w:line="250" w:lineRule="exact" w:before="1"/>
              <w:ind w:left="107"/>
              <w:rPr>
                <w:sz w:val="21"/>
              </w:rPr>
            </w:pPr>
            <w:r>
              <w:rPr>
                <w:spacing w:val="-5"/>
                <w:sz w:val="21"/>
              </w:rPr>
              <w:t>2～3</w:t>
            </w:r>
          </w:p>
        </w:tc>
        <w:tc>
          <w:tcPr>
            <w:tcW w:w="1792" w:type="dxa"/>
          </w:tcPr>
          <w:p>
            <w:pPr>
              <w:pStyle w:val="TableParagraph"/>
              <w:spacing w:line="250" w:lineRule="exact" w:before="1"/>
              <w:ind w:left="106"/>
              <w:rPr>
                <w:sz w:val="21"/>
              </w:rPr>
            </w:pPr>
            <w:r>
              <w:rPr>
                <w:w w:val="100"/>
                <w:sz w:val="21"/>
              </w:rPr>
              <w:t>0</w:t>
            </w:r>
          </w:p>
        </w:tc>
        <w:tc>
          <w:tcPr>
            <w:tcW w:w="1794" w:type="dxa"/>
          </w:tcPr>
          <w:p>
            <w:pPr>
              <w:pStyle w:val="TableParagraph"/>
              <w:spacing w:line="250" w:lineRule="exact" w:before="1"/>
              <w:ind w:left="105"/>
              <w:rPr>
                <w:sz w:val="21"/>
              </w:rPr>
            </w:pPr>
            <w:r>
              <w:rPr>
                <w:w w:val="100"/>
                <w:sz w:val="21"/>
              </w:rPr>
              <w:t>0</w:t>
            </w:r>
          </w:p>
        </w:tc>
      </w:tr>
      <w:tr>
        <w:trPr>
          <w:trHeight w:val="273" w:hRule="atLeast"/>
        </w:trPr>
        <w:tc>
          <w:tcPr>
            <w:tcW w:w="1798" w:type="dxa"/>
          </w:tcPr>
          <w:p>
            <w:pPr>
              <w:pStyle w:val="TableParagraph"/>
              <w:spacing w:line="252" w:lineRule="exact" w:before="1"/>
              <w:ind w:left="110"/>
              <w:rPr>
                <w:sz w:val="21"/>
              </w:rPr>
            </w:pPr>
            <w:r>
              <w:rPr>
                <w:spacing w:val="-5"/>
                <w:sz w:val="21"/>
              </w:rPr>
              <w:t>Ⅲ期</w:t>
            </w:r>
          </w:p>
        </w:tc>
        <w:tc>
          <w:tcPr>
            <w:tcW w:w="1789" w:type="dxa"/>
          </w:tcPr>
          <w:p>
            <w:pPr>
              <w:pStyle w:val="TableParagraph"/>
              <w:spacing w:line="252" w:lineRule="exact" w:before="1"/>
              <w:ind w:left="107"/>
              <w:rPr>
                <w:sz w:val="21"/>
              </w:rPr>
            </w:pPr>
            <w:r>
              <w:rPr>
                <w:spacing w:val="-5"/>
                <w:sz w:val="21"/>
              </w:rPr>
              <w:t>1～3</w:t>
            </w:r>
          </w:p>
        </w:tc>
        <w:tc>
          <w:tcPr>
            <w:tcW w:w="1792" w:type="dxa"/>
          </w:tcPr>
          <w:p>
            <w:pPr>
              <w:pStyle w:val="TableParagraph"/>
              <w:spacing w:line="252" w:lineRule="exact" w:before="1"/>
              <w:ind w:left="106"/>
              <w:rPr>
                <w:sz w:val="21"/>
              </w:rPr>
            </w:pPr>
            <w:r>
              <w:rPr>
                <w:spacing w:val="-5"/>
                <w:sz w:val="21"/>
              </w:rPr>
              <w:t>1a</w:t>
            </w:r>
          </w:p>
        </w:tc>
        <w:tc>
          <w:tcPr>
            <w:tcW w:w="1794" w:type="dxa"/>
          </w:tcPr>
          <w:p>
            <w:pPr>
              <w:pStyle w:val="TableParagraph"/>
              <w:spacing w:line="252" w:lineRule="exact" w:before="1"/>
              <w:ind w:left="105"/>
              <w:rPr>
                <w:sz w:val="21"/>
              </w:rPr>
            </w:pPr>
            <w:r>
              <w:rPr>
                <w:w w:val="100"/>
                <w:sz w:val="21"/>
              </w:rPr>
              <w:t>0</w:t>
            </w:r>
          </w:p>
        </w:tc>
      </w:tr>
      <w:tr>
        <w:trPr>
          <w:trHeight w:val="270" w:hRule="atLeast"/>
        </w:trPr>
        <w:tc>
          <w:tcPr>
            <w:tcW w:w="1798" w:type="dxa"/>
            <w:vMerge w:val="restart"/>
          </w:tcPr>
          <w:p>
            <w:pPr>
              <w:pStyle w:val="TableParagraph"/>
              <w:spacing w:before="142"/>
              <w:ind w:left="110"/>
              <w:rPr>
                <w:sz w:val="21"/>
              </w:rPr>
            </w:pPr>
            <w:r>
              <w:rPr>
                <w:sz w:val="21"/>
              </w:rPr>
              <w:t>ⅣA</w:t>
            </w:r>
            <w:r>
              <w:rPr>
                <w:spacing w:val="-32"/>
                <w:sz w:val="21"/>
              </w:rPr>
              <w:t> 期</w:t>
            </w:r>
          </w:p>
        </w:tc>
        <w:tc>
          <w:tcPr>
            <w:tcW w:w="1789" w:type="dxa"/>
          </w:tcPr>
          <w:p>
            <w:pPr>
              <w:pStyle w:val="TableParagraph"/>
              <w:spacing w:line="250" w:lineRule="exact" w:before="1"/>
              <w:ind w:left="107"/>
              <w:rPr>
                <w:sz w:val="21"/>
              </w:rPr>
            </w:pPr>
            <w:r>
              <w:rPr>
                <w:spacing w:val="-5"/>
                <w:sz w:val="21"/>
              </w:rPr>
              <w:t>4a</w:t>
            </w:r>
          </w:p>
        </w:tc>
        <w:tc>
          <w:tcPr>
            <w:tcW w:w="1792" w:type="dxa"/>
          </w:tcPr>
          <w:p>
            <w:pPr>
              <w:pStyle w:val="TableParagraph"/>
              <w:spacing w:line="250" w:lineRule="exact" w:before="1"/>
              <w:ind w:left="106"/>
              <w:rPr>
                <w:sz w:val="21"/>
              </w:rPr>
            </w:pPr>
            <w:r>
              <w:rPr>
                <w:spacing w:val="-5"/>
                <w:sz w:val="21"/>
              </w:rPr>
              <w:t>任何</w:t>
            </w:r>
          </w:p>
        </w:tc>
        <w:tc>
          <w:tcPr>
            <w:tcW w:w="1794" w:type="dxa"/>
          </w:tcPr>
          <w:p>
            <w:pPr>
              <w:pStyle w:val="TableParagraph"/>
              <w:spacing w:line="250" w:lineRule="exact" w:before="1"/>
              <w:ind w:left="105"/>
              <w:rPr>
                <w:sz w:val="21"/>
              </w:rPr>
            </w:pPr>
            <w:r>
              <w:rPr>
                <w:w w:val="100"/>
                <w:sz w:val="21"/>
              </w:rPr>
              <w:t>0</w:t>
            </w:r>
          </w:p>
        </w:tc>
      </w:tr>
      <w:tr>
        <w:trPr>
          <w:trHeight w:val="273" w:hRule="atLeast"/>
        </w:trPr>
        <w:tc>
          <w:tcPr>
            <w:tcW w:w="1798" w:type="dxa"/>
            <w:vMerge/>
            <w:tcBorders>
              <w:top w:val="nil"/>
            </w:tcBorders>
          </w:tcPr>
          <w:p>
            <w:pPr>
              <w:rPr>
                <w:sz w:val="2"/>
                <w:szCs w:val="2"/>
              </w:rPr>
            </w:pPr>
          </w:p>
        </w:tc>
        <w:tc>
          <w:tcPr>
            <w:tcW w:w="1789" w:type="dxa"/>
          </w:tcPr>
          <w:p>
            <w:pPr>
              <w:pStyle w:val="TableParagraph"/>
              <w:spacing w:line="250" w:lineRule="exact" w:before="3"/>
              <w:ind w:left="107"/>
              <w:rPr>
                <w:sz w:val="21"/>
              </w:rPr>
            </w:pPr>
            <w:r>
              <w:rPr>
                <w:spacing w:val="-5"/>
                <w:sz w:val="21"/>
              </w:rPr>
              <w:t>1～3</w:t>
            </w:r>
          </w:p>
        </w:tc>
        <w:tc>
          <w:tcPr>
            <w:tcW w:w="1792" w:type="dxa"/>
          </w:tcPr>
          <w:p>
            <w:pPr>
              <w:pStyle w:val="TableParagraph"/>
              <w:spacing w:line="250" w:lineRule="exact" w:before="3"/>
              <w:ind w:left="106"/>
              <w:rPr>
                <w:sz w:val="21"/>
              </w:rPr>
            </w:pPr>
            <w:r>
              <w:rPr>
                <w:spacing w:val="-5"/>
                <w:sz w:val="21"/>
              </w:rPr>
              <w:t>1b</w:t>
            </w:r>
          </w:p>
        </w:tc>
        <w:tc>
          <w:tcPr>
            <w:tcW w:w="1794" w:type="dxa"/>
          </w:tcPr>
          <w:p>
            <w:pPr>
              <w:pStyle w:val="TableParagraph"/>
              <w:spacing w:line="250" w:lineRule="exact" w:before="3"/>
              <w:ind w:left="105"/>
              <w:rPr>
                <w:sz w:val="21"/>
              </w:rPr>
            </w:pPr>
            <w:r>
              <w:rPr>
                <w:w w:val="100"/>
                <w:sz w:val="21"/>
              </w:rPr>
              <w:t>0</w:t>
            </w:r>
          </w:p>
        </w:tc>
      </w:tr>
      <w:tr>
        <w:trPr>
          <w:trHeight w:val="273" w:hRule="atLeast"/>
        </w:trPr>
        <w:tc>
          <w:tcPr>
            <w:tcW w:w="1798" w:type="dxa"/>
          </w:tcPr>
          <w:p>
            <w:pPr>
              <w:pStyle w:val="TableParagraph"/>
              <w:spacing w:line="252" w:lineRule="exact" w:before="1"/>
              <w:ind w:left="110"/>
              <w:rPr>
                <w:sz w:val="21"/>
              </w:rPr>
            </w:pPr>
            <w:r>
              <w:rPr>
                <w:sz w:val="21"/>
              </w:rPr>
              <w:t>ⅣB</w:t>
            </w:r>
            <w:r>
              <w:rPr>
                <w:spacing w:val="-32"/>
                <w:sz w:val="21"/>
              </w:rPr>
              <w:t> 期</w:t>
            </w:r>
          </w:p>
        </w:tc>
        <w:tc>
          <w:tcPr>
            <w:tcW w:w="1789" w:type="dxa"/>
          </w:tcPr>
          <w:p>
            <w:pPr>
              <w:pStyle w:val="TableParagraph"/>
              <w:spacing w:line="252" w:lineRule="exact" w:before="1"/>
              <w:ind w:left="107"/>
              <w:rPr>
                <w:sz w:val="21"/>
              </w:rPr>
            </w:pPr>
            <w:r>
              <w:rPr>
                <w:spacing w:val="-5"/>
                <w:sz w:val="21"/>
              </w:rPr>
              <w:t>4b</w:t>
            </w:r>
          </w:p>
        </w:tc>
        <w:tc>
          <w:tcPr>
            <w:tcW w:w="1792" w:type="dxa"/>
          </w:tcPr>
          <w:p>
            <w:pPr>
              <w:pStyle w:val="TableParagraph"/>
              <w:spacing w:line="252" w:lineRule="exact" w:before="1"/>
              <w:ind w:left="106"/>
              <w:rPr>
                <w:sz w:val="21"/>
              </w:rPr>
            </w:pPr>
            <w:r>
              <w:rPr>
                <w:spacing w:val="-5"/>
                <w:sz w:val="21"/>
              </w:rPr>
              <w:t>任何</w:t>
            </w:r>
          </w:p>
        </w:tc>
        <w:tc>
          <w:tcPr>
            <w:tcW w:w="1794" w:type="dxa"/>
          </w:tcPr>
          <w:p>
            <w:pPr>
              <w:pStyle w:val="TableParagraph"/>
              <w:spacing w:line="252" w:lineRule="exact" w:before="1"/>
              <w:ind w:left="105"/>
              <w:rPr>
                <w:sz w:val="21"/>
              </w:rPr>
            </w:pPr>
            <w:r>
              <w:rPr>
                <w:w w:val="100"/>
                <w:sz w:val="21"/>
              </w:rPr>
              <w:t>0</w:t>
            </w:r>
          </w:p>
        </w:tc>
      </w:tr>
      <w:tr>
        <w:trPr>
          <w:trHeight w:val="270" w:hRule="atLeast"/>
        </w:trPr>
        <w:tc>
          <w:tcPr>
            <w:tcW w:w="1798" w:type="dxa"/>
          </w:tcPr>
          <w:p>
            <w:pPr>
              <w:pStyle w:val="TableParagraph"/>
              <w:spacing w:line="250" w:lineRule="exact" w:before="1"/>
              <w:ind w:left="110"/>
              <w:rPr>
                <w:sz w:val="21"/>
              </w:rPr>
            </w:pPr>
            <w:r>
              <w:rPr>
                <w:sz w:val="21"/>
              </w:rPr>
              <w:t>ⅣC</w:t>
            </w:r>
            <w:r>
              <w:rPr>
                <w:spacing w:val="-32"/>
                <w:sz w:val="21"/>
              </w:rPr>
              <w:t> 期</w:t>
            </w:r>
          </w:p>
        </w:tc>
        <w:tc>
          <w:tcPr>
            <w:tcW w:w="1789" w:type="dxa"/>
          </w:tcPr>
          <w:p>
            <w:pPr>
              <w:pStyle w:val="TableParagraph"/>
              <w:spacing w:line="250" w:lineRule="exact" w:before="1"/>
              <w:ind w:left="107"/>
              <w:rPr>
                <w:sz w:val="21"/>
              </w:rPr>
            </w:pPr>
            <w:r>
              <w:rPr>
                <w:spacing w:val="-5"/>
                <w:sz w:val="21"/>
              </w:rPr>
              <w:t>任何</w:t>
            </w:r>
          </w:p>
        </w:tc>
        <w:tc>
          <w:tcPr>
            <w:tcW w:w="1792" w:type="dxa"/>
          </w:tcPr>
          <w:p>
            <w:pPr>
              <w:pStyle w:val="TableParagraph"/>
              <w:spacing w:line="250" w:lineRule="exact" w:before="1"/>
              <w:ind w:left="106"/>
              <w:rPr>
                <w:sz w:val="21"/>
              </w:rPr>
            </w:pPr>
            <w:r>
              <w:rPr>
                <w:spacing w:val="-5"/>
                <w:sz w:val="21"/>
              </w:rPr>
              <w:t>任何</w:t>
            </w:r>
          </w:p>
        </w:tc>
        <w:tc>
          <w:tcPr>
            <w:tcW w:w="1794" w:type="dxa"/>
          </w:tcPr>
          <w:p>
            <w:pPr>
              <w:pStyle w:val="TableParagraph"/>
              <w:spacing w:line="250" w:lineRule="exact" w:before="1"/>
              <w:ind w:left="105"/>
              <w:rPr>
                <w:sz w:val="21"/>
              </w:rPr>
            </w:pPr>
            <w:r>
              <w:rPr>
                <w:w w:val="100"/>
                <w:sz w:val="21"/>
              </w:rPr>
              <w:t>1</w:t>
            </w:r>
          </w:p>
        </w:tc>
      </w:tr>
      <w:tr>
        <w:trPr>
          <w:trHeight w:val="273" w:hRule="atLeast"/>
        </w:trPr>
        <w:tc>
          <w:tcPr>
            <w:tcW w:w="7173" w:type="dxa"/>
            <w:gridSpan w:val="4"/>
          </w:tcPr>
          <w:p>
            <w:pPr>
              <w:pStyle w:val="TableParagraph"/>
              <w:spacing w:line="250" w:lineRule="exact" w:before="3"/>
              <w:ind w:left="110"/>
              <w:rPr>
                <w:sz w:val="21"/>
              </w:rPr>
            </w:pPr>
            <w:r>
              <w:rPr>
                <w:spacing w:val="-2"/>
                <w:sz w:val="21"/>
              </w:rPr>
              <w:t>未分化癌（所有年龄组</w:t>
            </w:r>
            <w:r>
              <w:rPr>
                <w:spacing w:val="-10"/>
                <w:sz w:val="21"/>
              </w:rPr>
              <w:t>）</w:t>
            </w:r>
          </w:p>
        </w:tc>
      </w:tr>
      <w:tr>
        <w:trPr>
          <w:trHeight w:val="273" w:hRule="atLeast"/>
        </w:trPr>
        <w:tc>
          <w:tcPr>
            <w:tcW w:w="1798" w:type="dxa"/>
          </w:tcPr>
          <w:p>
            <w:pPr>
              <w:pStyle w:val="TableParagraph"/>
              <w:spacing w:line="252" w:lineRule="exact" w:before="1"/>
              <w:ind w:left="110"/>
              <w:rPr>
                <w:sz w:val="21"/>
              </w:rPr>
            </w:pPr>
            <w:r>
              <w:rPr>
                <w:sz w:val="21"/>
              </w:rPr>
              <w:t>ⅣA</w:t>
            </w:r>
            <w:r>
              <w:rPr>
                <w:spacing w:val="-32"/>
                <w:sz w:val="21"/>
              </w:rPr>
              <w:t> 期</w:t>
            </w:r>
          </w:p>
        </w:tc>
        <w:tc>
          <w:tcPr>
            <w:tcW w:w="1789" w:type="dxa"/>
          </w:tcPr>
          <w:p>
            <w:pPr>
              <w:pStyle w:val="TableParagraph"/>
              <w:spacing w:line="252" w:lineRule="exact" w:before="1"/>
              <w:ind w:left="107"/>
              <w:rPr>
                <w:sz w:val="21"/>
              </w:rPr>
            </w:pPr>
            <w:r>
              <w:rPr>
                <w:spacing w:val="-4"/>
                <w:sz w:val="21"/>
              </w:rPr>
              <w:t>1～3a</w:t>
            </w:r>
          </w:p>
        </w:tc>
        <w:tc>
          <w:tcPr>
            <w:tcW w:w="1792" w:type="dxa"/>
          </w:tcPr>
          <w:p>
            <w:pPr>
              <w:pStyle w:val="TableParagraph"/>
              <w:spacing w:line="252" w:lineRule="exact" w:before="1"/>
              <w:ind w:left="106"/>
              <w:rPr>
                <w:sz w:val="21"/>
              </w:rPr>
            </w:pPr>
            <w:r>
              <w:rPr>
                <w:spacing w:val="-5"/>
                <w:sz w:val="21"/>
              </w:rPr>
              <w:t>0/x</w:t>
            </w:r>
          </w:p>
        </w:tc>
        <w:tc>
          <w:tcPr>
            <w:tcW w:w="1794" w:type="dxa"/>
          </w:tcPr>
          <w:p>
            <w:pPr>
              <w:pStyle w:val="TableParagraph"/>
              <w:spacing w:line="252" w:lineRule="exact" w:before="1"/>
              <w:ind w:left="105"/>
              <w:rPr>
                <w:sz w:val="21"/>
              </w:rPr>
            </w:pPr>
            <w:r>
              <w:rPr>
                <w:w w:val="100"/>
                <w:sz w:val="21"/>
              </w:rPr>
              <w:t>0</w:t>
            </w:r>
          </w:p>
        </w:tc>
      </w:tr>
      <w:tr>
        <w:trPr>
          <w:trHeight w:val="270" w:hRule="atLeast"/>
        </w:trPr>
        <w:tc>
          <w:tcPr>
            <w:tcW w:w="1798" w:type="dxa"/>
            <w:vMerge w:val="restart"/>
          </w:tcPr>
          <w:p>
            <w:pPr>
              <w:pStyle w:val="TableParagraph"/>
              <w:spacing w:before="142"/>
              <w:ind w:left="110"/>
              <w:rPr>
                <w:sz w:val="21"/>
              </w:rPr>
            </w:pPr>
            <w:r>
              <w:rPr>
                <w:sz w:val="21"/>
              </w:rPr>
              <w:t>ⅣB</w:t>
            </w:r>
            <w:r>
              <w:rPr>
                <w:spacing w:val="-32"/>
                <w:sz w:val="21"/>
              </w:rPr>
              <w:t> 期</w:t>
            </w:r>
          </w:p>
        </w:tc>
        <w:tc>
          <w:tcPr>
            <w:tcW w:w="1789" w:type="dxa"/>
          </w:tcPr>
          <w:p>
            <w:pPr>
              <w:pStyle w:val="TableParagraph"/>
              <w:spacing w:line="250" w:lineRule="exact" w:before="1"/>
              <w:ind w:left="107"/>
              <w:rPr>
                <w:sz w:val="21"/>
              </w:rPr>
            </w:pPr>
            <w:r>
              <w:rPr>
                <w:spacing w:val="-4"/>
                <w:sz w:val="21"/>
              </w:rPr>
              <w:t>1～3a</w:t>
            </w:r>
          </w:p>
        </w:tc>
        <w:tc>
          <w:tcPr>
            <w:tcW w:w="1792" w:type="dxa"/>
          </w:tcPr>
          <w:p>
            <w:pPr>
              <w:pStyle w:val="TableParagraph"/>
              <w:spacing w:line="250" w:lineRule="exact" w:before="1"/>
              <w:ind w:left="106"/>
              <w:rPr>
                <w:sz w:val="21"/>
              </w:rPr>
            </w:pPr>
            <w:r>
              <w:rPr>
                <w:w w:val="100"/>
                <w:sz w:val="21"/>
              </w:rPr>
              <w:t>1</w:t>
            </w:r>
          </w:p>
        </w:tc>
        <w:tc>
          <w:tcPr>
            <w:tcW w:w="1794" w:type="dxa"/>
          </w:tcPr>
          <w:p>
            <w:pPr>
              <w:pStyle w:val="TableParagraph"/>
              <w:spacing w:line="250" w:lineRule="exact" w:before="1"/>
              <w:ind w:left="105"/>
              <w:rPr>
                <w:sz w:val="21"/>
              </w:rPr>
            </w:pPr>
            <w:r>
              <w:rPr>
                <w:w w:val="100"/>
                <w:sz w:val="21"/>
              </w:rPr>
              <w:t>0</w:t>
            </w:r>
          </w:p>
        </w:tc>
      </w:tr>
      <w:tr>
        <w:trPr>
          <w:trHeight w:val="273" w:hRule="atLeast"/>
        </w:trPr>
        <w:tc>
          <w:tcPr>
            <w:tcW w:w="1798" w:type="dxa"/>
            <w:vMerge/>
            <w:tcBorders>
              <w:top w:val="nil"/>
            </w:tcBorders>
          </w:tcPr>
          <w:p>
            <w:pPr>
              <w:rPr>
                <w:sz w:val="2"/>
                <w:szCs w:val="2"/>
              </w:rPr>
            </w:pPr>
          </w:p>
        </w:tc>
        <w:tc>
          <w:tcPr>
            <w:tcW w:w="1789" w:type="dxa"/>
          </w:tcPr>
          <w:p>
            <w:pPr>
              <w:pStyle w:val="TableParagraph"/>
              <w:spacing w:line="252" w:lineRule="exact" w:before="1"/>
              <w:ind w:left="107"/>
              <w:rPr>
                <w:sz w:val="21"/>
              </w:rPr>
            </w:pPr>
            <w:r>
              <w:rPr>
                <w:spacing w:val="-4"/>
                <w:sz w:val="21"/>
              </w:rPr>
              <w:t>3b～4</w:t>
            </w:r>
          </w:p>
        </w:tc>
        <w:tc>
          <w:tcPr>
            <w:tcW w:w="1792" w:type="dxa"/>
          </w:tcPr>
          <w:p>
            <w:pPr>
              <w:pStyle w:val="TableParagraph"/>
              <w:spacing w:line="252" w:lineRule="exact" w:before="1"/>
              <w:ind w:left="106"/>
              <w:rPr>
                <w:sz w:val="21"/>
              </w:rPr>
            </w:pPr>
            <w:r>
              <w:rPr>
                <w:spacing w:val="-5"/>
                <w:sz w:val="21"/>
              </w:rPr>
              <w:t>任何</w:t>
            </w:r>
          </w:p>
        </w:tc>
        <w:tc>
          <w:tcPr>
            <w:tcW w:w="1794" w:type="dxa"/>
          </w:tcPr>
          <w:p>
            <w:pPr>
              <w:pStyle w:val="TableParagraph"/>
              <w:spacing w:line="252" w:lineRule="exact" w:before="1"/>
              <w:ind w:left="105"/>
              <w:rPr>
                <w:sz w:val="21"/>
              </w:rPr>
            </w:pPr>
            <w:r>
              <w:rPr>
                <w:w w:val="100"/>
                <w:sz w:val="21"/>
              </w:rPr>
              <w:t>0</w:t>
            </w:r>
          </w:p>
        </w:tc>
      </w:tr>
      <w:tr>
        <w:trPr>
          <w:trHeight w:val="273" w:hRule="atLeast"/>
        </w:trPr>
        <w:tc>
          <w:tcPr>
            <w:tcW w:w="1798" w:type="dxa"/>
          </w:tcPr>
          <w:p>
            <w:pPr>
              <w:pStyle w:val="TableParagraph"/>
              <w:spacing w:line="252" w:lineRule="exact" w:before="1"/>
              <w:ind w:left="110"/>
              <w:rPr>
                <w:sz w:val="21"/>
              </w:rPr>
            </w:pPr>
            <w:r>
              <w:rPr>
                <w:sz w:val="21"/>
              </w:rPr>
              <w:t>ⅣC</w:t>
            </w:r>
            <w:r>
              <w:rPr>
                <w:spacing w:val="-32"/>
                <w:sz w:val="21"/>
              </w:rPr>
              <w:t> 期</w:t>
            </w:r>
          </w:p>
        </w:tc>
        <w:tc>
          <w:tcPr>
            <w:tcW w:w="1789" w:type="dxa"/>
          </w:tcPr>
          <w:p>
            <w:pPr>
              <w:pStyle w:val="TableParagraph"/>
              <w:spacing w:line="252" w:lineRule="exact" w:before="1"/>
              <w:ind w:left="107"/>
              <w:rPr>
                <w:sz w:val="21"/>
              </w:rPr>
            </w:pPr>
            <w:r>
              <w:rPr>
                <w:spacing w:val="-5"/>
                <w:sz w:val="21"/>
              </w:rPr>
              <w:t>任何</w:t>
            </w:r>
          </w:p>
        </w:tc>
        <w:tc>
          <w:tcPr>
            <w:tcW w:w="1792" w:type="dxa"/>
          </w:tcPr>
          <w:p>
            <w:pPr>
              <w:pStyle w:val="TableParagraph"/>
              <w:spacing w:line="252" w:lineRule="exact" w:before="1"/>
              <w:ind w:left="106"/>
              <w:rPr>
                <w:sz w:val="21"/>
              </w:rPr>
            </w:pPr>
            <w:r>
              <w:rPr>
                <w:spacing w:val="-5"/>
                <w:sz w:val="21"/>
              </w:rPr>
              <w:t>任何</w:t>
            </w:r>
          </w:p>
        </w:tc>
        <w:tc>
          <w:tcPr>
            <w:tcW w:w="1794" w:type="dxa"/>
          </w:tcPr>
          <w:p>
            <w:pPr>
              <w:pStyle w:val="TableParagraph"/>
              <w:spacing w:line="252" w:lineRule="exact" w:before="1"/>
              <w:ind w:left="105"/>
              <w:rPr>
                <w:sz w:val="21"/>
              </w:rPr>
            </w:pPr>
            <w:r>
              <w:rPr>
                <w:w w:val="100"/>
                <w:sz w:val="21"/>
              </w:rPr>
              <w:t>1</w:t>
            </w:r>
          </w:p>
        </w:tc>
      </w:tr>
    </w:tbl>
    <w:p>
      <w:pPr>
        <w:spacing w:before="10"/>
        <w:ind w:left="2699" w:right="0" w:firstLine="0"/>
        <w:jc w:val="left"/>
        <w:rPr>
          <w:sz w:val="18"/>
        </w:rPr>
      </w:pPr>
      <w:r>
        <w:rPr>
          <w:spacing w:val="-1"/>
          <w:sz w:val="18"/>
        </w:rPr>
        <w:t>注：以上表格中“年龄”指患者病理组织标本获取日期时的年龄。</w:t>
      </w:r>
    </w:p>
    <w:p>
      <w:pPr>
        <w:pStyle w:val="ListParagraph"/>
        <w:numPr>
          <w:ilvl w:val="0"/>
          <w:numId w:val="111"/>
        </w:numPr>
        <w:tabs>
          <w:tab w:pos="2910" w:val="left" w:leader="none"/>
        </w:tabs>
        <w:spacing w:line="240" w:lineRule="auto" w:before="3" w:after="0"/>
        <w:ind w:left="2909" w:right="0" w:hanging="213"/>
        <w:jc w:val="left"/>
        <w:rPr>
          <w:sz w:val="21"/>
        </w:rPr>
      </w:pPr>
      <w:r>
        <w:rPr>
          <w:spacing w:val="-5"/>
          <w:sz w:val="21"/>
        </w:rPr>
        <w:t>肢体</w:t>
      </w:r>
    </w:p>
    <w:p>
      <w:pPr>
        <w:pStyle w:val="BodyText"/>
        <w:spacing w:line="242" w:lineRule="auto" w:before="5"/>
        <w:ind w:left="2697" w:right="2072" w:firstLine="209"/>
      </w:pPr>
      <w:r>
        <w:rPr>
          <w:spacing w:val="-2"/>
        </w:rPr>
        <w:t>肢体是指包括肩关节的整个上肢或包括髋关节的整个下肢。 </w:t>
      </w:r>
      <w:r>
        <w:rPr>
          <w:spacing w:val="-4"/>
        </w:rPr>
        <w:t>7.肌力</w:t>
      </w:r>
    </w:p>
    <w:p>
      <w:pPr>
        <w:pStyle w:val="BodyText"/>
        <w:spacing w:line="268" w:lineRule="exact" w:before="0"/>
        <w:ind w:left="2906"/>
      </w:pPr>
      <w:r>
        <w:rPr>
          <w:spacing w:val="-5"/>
        </w:rPr>
        <w:t>指肌肉收缩时的力量。肌力划分为 </w:t>
      </w:r>
      <w:r>
        <w:rPr>
          <w:spacing w:val="-2"/>
        </w:rPr>
        <w:t>0-5</w:t>
      </w:r>
      <w:r>
        <w:rPr>
          <w:spacing w:val="-11"/>
        </w:rPr>
        <w:t> 级，具体为：</w:t>
      </w:r>
    </w:p>
    <w:p>
      <w:pPr>
        <w:pStyle w:val="ListParagraph"/>
        <w:numPr>
          <w:ilvl w:val="0"/>
          <w:numId w:val="112"/>
        </w:numPr>
        <w:tabs>
          <w:tab w:pos="3065" w:val="left" w:leader="none"/>
        </w:tabs>
        <w:spacing w:line="240" w:lineRule="auto" w:before="4" w:after="0"/>
        <w:ind w:left="3065" w:right="0" w:hanging="159"/>
        <w:jc w:val="left"/>
        <w:rPr>
          <w:sz w:val="21"/>
        </w:rPr>
      </w:pPr>
      <w:r>
        <w:rPr>
          <w:spacing w:val="-3"/>
          <w:sz w:val="21"/>
        </w:rPr>
        <w:t>级：肌肉完全瘫痪，毫无收缩。</w:t>
      </w:r>
    </w:p>
    <w:p>
      <w:pPr>
        <w:pStyle w:val="ListParagraph"/>
        <w:numPr>
          <w:ilvl w:val="0"/>
          <w:numId w:val="112"/>
        </w:numPr>
        <w:tabs>
          <w:tab w:pos="3065" w:val="left" w:leader="none"/>
        </w:tabs>
        <w:spacing w:line="240" w:lineRule="auto" w:before="2" w:after="0"/>
        <w:ind w:left="3065" w:right="0" w:hanging="159"/>
        <w:jc w:val="left"/>
        <w:rPr>
          <w:sz w:val="21"/>
        </w:rPr>
      </w:pPr>
      <w:r>
        <w:rPr>
          <w:spacing w:val="-3"/>
          <w:sz w:val="21"/>
        </w:rPr>
        <w:t>级：可看到或者触及肌肉轻微收缩，但不能产生动作。</w:t>
      </w:r>
    </w:p>
    <w:p>
      <w:pPr>
        <w:pStyle w:val="ListParagraph"/>
        <w:numPr>
          <w:ilvl w:val="0"/>
          <w:numId w:val="112"/>
        </w:numPr>
        <w:tabs>
          <w:tab w:pos="3118" w:val="left" w:leader="none"/>
        </w:tabs>
        <w:spacing w:line="242" w:lineRule="auto" w:before="5" w:after="0"/>
        <w:ind w:left="2906" w:right="356" w:firstLine="0"/>
        <w:jc w:val="left"/>
        <w:rPr>
          <w:sz w:val="21"/>
        </w:rPr>
      </w:pPr>
      <w:r>
        <w:rPr>
          <w:spacing w:val="-2"/>
          <w:sz w:val="21"/>
        </w:rPr>
        <w:t>级：肌肉在不受重力影响下，可进行运动，即肢体能在床面上移动，但不能</w:t>
      </w:r>
      <w:r>
        <w:rPr>
          <w:spacing w:val="-4"/>
          <w:sz w:val="21"/>
        </w:rPr>
        <w:t>抬高。</w:t>
      </w:r>
    </w:p>
    <w:p>
      <w:pPr>
        <w:pStyle w:val="ListParagraph"/>
        <w:numPr>
          <w:ilvl w:val="0"/>
          <w:numId w:val="112"/>
        </w:numPr>
        <w:tabs>
          <w:tab w:pos="3065" w:val="left" w:leader="none"/>
        </w:tabs>
        <w:spacing w:line="240" w:lineRule="auto" w:before="1" w:after="0"/>
        <w:ind w:left="3065" w:right="0" w:hanging="159"/>
        <w:jc w:val="left"/>
        <w:rPr>
          <w:sz w:val="21"/>
        </w:rPr>
      </w:pPr>
      <w:r>
        <w:rPr>
          <w:spacing w:val="-3"/>
          <w:sz w:val="21"/>
        </w:rPr>
        <w:t>级：在和地心引力相反的方向中尚能完成其动作，但不能对抗外加阻力。</w:t>
      </w:r>
    </w:p>
    <w:p>
      <w:pPr>
        <w:spacing w:after="0" w:line="240" w:lineRule="auto"/>
        <w:jc w:val="left"/>
        <w:rPr>
          <w:sz w:val="21"/>
        </w:rPr>
        <w:sectPr>
          <w:pgSz w:w="11910" w:h="16840"/>
          <w:pgMar w:header="0" w:footer="458" w:top="1220" w:bottom="640" w:left="800" w:right="660"/>
        </w:sectPr>
      </w:pPr>
    </w:p>
    <w:p>
      <w:pPr>
        <w:pStyle w:val="ListParagraph"/>
        <w:numPr>
          <w:ilvl w:val="0"/>
          <w:numId w:val="112"/>
        </w:numPr>
        <w:tabs>
          <w:tab w:pos="3065" w:val="left" w:leader="none"/>
        </w:tabs>
        <w:spacing w:line="240" w:lineRule="auto" w:before="61" w:after="0"/>
        <w:ind w:left="3065" w:right="0" w:hanging="159"/>
        <w:jc w:val="left"/>
        <w:rPr>
          <w:sz w:val="21"/>
        </w:rPr>
      </w:pPr>
      <w:r>
        <w:rPr>
          <w:spacing w:val="-3"/>
          <w:sz w:val="21"/>
        </w:rPr>
        <w:t>级：能对抗一定的阻力，但较正常人为低。</w:t>
      </w:r>
    </w:p>
    <w:p>
      <w:pPr>
        <w:pStyle w:val="ListParagraph"/>
        <w:numPr>
          <w:ilvl w:val="0"/>
          <w:numId w:val="112"/>
        </w:numPr>
        <w:tabs>
          <w:tab w:pos="3065" w:val="left" w:leader="none"/>
        </w:tabs>
        <w:spacing w:line="240" w:lineRule="auto" w:before="2" w:after="0"/>
        <w:ind w:left="3065" w:right="0" w:hanging="159"/>
        <w:jc w:val="left"/>
        <w:rPr>
          <w:sz w:val="21"/>
        </w:rPr>
      </w:pPr>
      <w:r>
        <w:rPr>
          <w:spacing w:val="-4"/>
          <w:sz w:val="21"/>
        </w:rPr>
        <w:t>级：正常肌力。</w:t>
      </w:r>
    </w:p>
    <w:p>
      <w:pPr>
        <w:pStyle w:val="ListParagraph"/>
        <w:numPr>
          <w:ilvl w:val="0"/>
          <w:numId w:val="113"/>
        </w:numPr>
        <w:tabs>
          <w:tab w:pos="2910" w:val="left" w:leader="none"/>
        </w:tabs>
        <w:spacing w:line="240" w:lineRule="auto" w:before="5" w:after="0"/>
        <w:ind w:left="2909" w:right="0" w:hanging="213"/>
        <w:jc w:val="left"/>
        <w:rPr>
          <w:sz w:val="21"/>
        </w:rPr>
      </w:pPr>
      <w:r>
        <w:rPr>
          <w:spacing w:val="-3"/>
          <w:sz w:val="21"/>
        </w:rPr>
        <w:t>语言能力完全丧失或严重咀嚼吞咽功能障碍</w:t>
      </w:r>
    </w:p>
    <w:p>
      <w:pPr>
        <w:pStyle w:val="BodyText"/>
        <w:spacing w:line="242" w:lineRule="auto" w:before="2"/>
        <w:ind w:left="2906" w:right="249"/>
      </w:pPr>
      <w:r>
        <w:rPr>
          <w:w w:val="100"/>
        </w:rPr>
        <w:t>语言能力完全丧失，指无法发出四种语音（包括口唇音、齿舌音、口盖音和喉</w:t>
      </w:r>
      <w:r>
        <w:rPr>
          <w:spacing w:val="-2"/>
          <w:w w:val="100"/>
        </w:rPr>
        <w:t>头音</w:t>
      </w:r>
      <w:r>
        <w:rPr>
          <w:spacing w:val="-22"/>
          <w:w w:val="100"/>
        </w:rPr>
        <w:t>）</w:t>
      </w:r>
      <w:r>
        <w:rPr>
          <w:spacing w:val="-8"/>
          <w:w w:val="100"/>
        </w:rPr>
        <w:t>中的任何三种、或声带全部切除，或因大脑语言中枢受伤害而患失语症。严重咀嚼吞咽功能障碍，指因牙齿以外的原因导致器质障碍或机能障碍，以致</w:t>
      </w:r>
      <w:r>
        <w:rPr>
          <w:spacing w:val="-5"/>
          <w:w w:val="100"/>
        </w:rPr>
        <w:t>不能作咀嚼吞咽运动，除流质食物外不能摄取或吞咽的状态。</w:t>
      </w:r>
    </w:p>
    <w:p>
      <w:pPr>
        <w:pStyle w:val="ListParagraph"/>
        <w:numPr>
          <w:ilvl w:val="0"/>
          <w:numId w:val="113"/>
        </w:numPr>
        <w:tabs>
          <w:tab w:pos="2910" w:val="left" w:leader="none"/>
        </w:tabs>
        <w:spacing w:line="240" w:lineRule="auto" w:before="3" w:after="0"/>
        <w:ind w:left="2909" w:right="0" w:hanging="213"/>
        <w:jc w:val="left"/>
        <w:rPr>
          <w:sz w:val="21"/>
        </w:rPr>
      </w:pPr>
      <w:r>
        <w:rPr>
          <w:spacing w:val="-3"/>
          <w:sz w:val="21"/>
        </w:rPr>
        <w:t>六项基本日常生活活动</w:t>
      </w:r>
    </w:p>
    <w:p>
      <w:pPr>
        <w:pStyle w:val="BodyText"/>
        <w:spacing w:line="242" w:lineRule="auto" w:before="4"/>
        <w:ind w:left="2906" w:right="250"/>
        <w:jc w:val="both"/>
      </w:pPr>
      <w:r>
        <w:rPr>
          <w:spacing w:val="-8"/>
        </w:rPr>
        <w:t>六项基本日常生活活动是指：</w:t>
      </w:r>
      <w:r>
        <w:rPr>
          <w:spacing w:val="24"/>
        </w:rPr>
        <w:t>（1）</w:t>
      </w:r>
      <w:r>
        <w:rPr>
          <w:spacing w:val="-8"/>
        </w:rPr>
        <w:t>穿衣：自己能够穿衣及脱衣；</w:t>
      </w:r>
      <w:r>
        <w:rPr>
          <w:spacing w:val="24"/>
        </w:rPr>
        <w:t>（2）</w:t>
      </w:r>
      <w:r>
        <w:rPr>
          <w:spacing w:val="-2"/>
        </w:rPr>
        <w:t>移动：自</w:t>
      </w:r>
      <w:r>
        <w:rPr>
          <w:spacing w:val="-8"/>
        </w:rPr>
        <w:t>己从一个房间到另一个房间；</w:t>
      </w:r>
      <w:r>
        <w:rPr>
          <w:spacing w:val="24"/>
        </w:rPr>
        <w:t>（3）</w:t>
      </w:r>
      <w:r>
        <w:rPr>
          <w:spacing w:val="-8"/>
        </w:rPr>
        <w:t>行动：自己上下床或上下轮椅；</w:t>
      </w:r>
      <w:r>
        <w:rPr>
          <w:spacing w:val="24"/>
        </w:rPr>
        <w:t>（4）</w:t>
      </w:r>
      <w:r>
        <w:rPr>
          <w:spacing w:val="-2"/>
        </w:rPr>
        <w:t>如厕：</w:t>
      </w:r>
      <w:r>
        <w:rPr>
          <w:spacing w:val="-16"/>
        </w:rPr>
        <w:t>自己控制进行大小便；</w:t>
      </w:r>
      <w:r>
        <w:rPr>
          <w:spacing w:val="32"/>
        </w:rPr>
        <w:t>（</w:t>
      </w:r>
      <w:r>
        <w:rPr>
          <w:spacing w:val="30"/>
        </w:rPr>
        <w:t>5</w:t>
      </w:r>
      <w:r>
        <w:rPr>
          <w:spacing w:val="11"/>
        </w:rPr>
        <w:t>）</w:t>
      </w:r>
      <w:r>
        <w:rPr>
          <w:spacing w:val="-6"/>
        </w:rPr>
        <w:t>进食：自己从已准备好的碗或碟中取食物放入口中；</w:t>
      </w:r>
    </w:p>
    <w:p>
      <w:pPr>
        <w:pStyle w:val="BodyText"/>
        <w:spacing w:line="238" w:lineRule="exact" w:before="1"/>
        <w:ind w:left="2906"/>
      </w:pPr>
      <w:r>
        <w:rPr>
          <w:spacing w:val="-2"/>
        </w:rPr>
        <w:t>（6）</w:t>
      </w:r>
      <w:r>
        <w:rPr>
          <w:spacing w:val="-3"/>
        </w:rPr>
        <w:t>洗澡：自己进行淋浴或盆浴。</w:t>
      </w:r>
    </w:p>
    <w:p>
      <w:pPr>
        <w:spacing w:line="331" w:lineRule="exact" w:before="0"/>
        <w:ind w:left="2906" w:right="0" w:firstLine="0"/>
        <w:jc w:val="both"/>
        <w:rPr>
          <w:rFonts w:ascii="微软雅黑" w:eastAsia="微软雅黑"/>
          <w:b/>
          <w:sz w:val="21"/>
        </w:rPr>
      </w:pPr>
      <w:r>
        <w:rPr>
          <w:rFonts w:ascii="微软雅黑" w:eastAsia="微软雅黑"/>
          <w:b/>
          <w:w w:val="95"/>
          <w:sz w:val="21"/>
        </w:rPr>
        <w:t>六</w:t>
      </w:r>
      <w:r>
        <w:rPr>
          <w:rFonts w:ascii="微软雅黑" w:eastAsia="微软雅黑"/>
          <w:b/>
          <w:w w:val="95"/>
          <w:sz w:val="21"/>
        </w:rPr>
        <w:t>项</w:t>
      </w:r>
      <w:r>
        <w:rPr>
          <w:rFonts w:ascii="微软雅黑" w:eastAsia="微软雅黑"/>
          <w:b/>
          <w:w w:val="95"/>
          <w:sz w:val="21"/>
        </w:rPr>
        <w:t>基</w:t>
      </w:r>
      <w:r>
        <w:rPr>
          <w:rFonts w:ascii="微软雅黑" w:eastAsia="微软雅黑"/>
          <w:b/>
          <w:w w:val="95"/>
          <w:sz w:val="21"/>
        </w:rPr>
        <w:t>本</w:t>
      </w:r>
      <w:r>
        <w:rPr>
          <w:rFonts w:ascii="微软雅黑" w:eastAsia="微软雅黑"/>
          <w:b/>
          <w:w w:val="95"/>
          <w:sz w:val="21"/>
        </w:rPr>
        <w:t>日</w:t>
      </w:r>
      <w:r>
        <w:rPr>
          <w:rFonts w:ascii="微软雅黑" w:eastAsia="微软雅黑"/>
          <w:b/>
          <w:w w:val="95"/>
          <w:sz w:val="21"/>
        </w:rPr>
        <w:t>常</w:t>
      </w:r>
      <w:r>
        <w:rPr>
          <w:rFonts w:ascii="微软雅黑" w:eastAsia="微软雅黑"/>
          <w:b/>
          <w:w w:val="95"/>
          <w:sz w:val="21"/>
        </w:rPr>
        <w:t>生</w:t>
      </w:r>
      <w:r>
        <w:rPr>
          <w:rFonts w:ascii="微软雅黑" w:eastAsia="微软雅黑"/>
          <w:b/>
          <w:w w:val="95"/>
          <w:sz w:val="21"/>
        </w:rPr>
        <w:t>活</w:t>
      </w:r>
      <w:r>
        <w:rPr>
          <w:rFonts w:ascii="微软雅黑" w:eastAsia="微软雅黑"/>
          <w:b/>
          <w:w w:val="95"/>
          <w:sz w:val="21"/>
        </w:rPr>
        <w:t>活动能</w:t>
      </w:r>
      <w:r>
        <w:rPr>
          <w:rFonts w:ascii="微软雅黑" w:eastAsia="微软雅黑"/>
          <w:b/>
          <w:w w:val="95"/>
          <w:sz w:val="21"/>
        </w:rPr>
        <w:t>力</w:t>
      </w:r>
      <w:r>
        <w:rPr>
          <w:rFonts w:ascii="微软雅黑" w:eastAsia="微软雅黑"/>
          <w:b/>
          <w:w w:val="95"/>
          <w:sz w:val="21"/>
        </w:rPr>
        <w:t>的</w:t>
      </w:r>
      <w:r>
        <w:rPr>
          <w:rFonts w:ascii="微软雅黑" w:eastAsia="微软雅黑"/>
          <w:b/>
          <w:w w:val="95"/>
          <w:sz w:val="21"/>
        </w:rPr>
        <w:t>鉴</w:t>
      </w:r>
      <w:r>
        <w:rPr>
          <w:rFonts w:ascii="微软雅黑" w:eastAsia="微软雅黑"/>
          <w:b/>
          <w:w w:val="95"/>
          <w:sz w:val="21"/>
        </w:rPr>
        <w:t>定</w:t>
      </w:r>
      <w:r>
        <w:rPr>
          <w:rFonts w:ascii="微软雅黑" w:eastAsia="微软雅黑"/>
          <w:b/>
          <w:w w:val="95"/>
          <w:sz w:val="21"/>
        </w:rPr>
        <w:t>不</w:t>
      </w:r>
      <w:r>
        <w:rPr>
          <w:rFonts w:ascii="微软雅黑" w:eastAsia="微软雅黑"/>
          <w:b/>
          <w:w w:val="95"/>
          <w:sz w:val="21"/>
        </w:rPr>
        <w:t>适</w:t>
      </w:r>
      <w:r>
        <w:rPr>
          <w:rFonts w:ascii="微软雅黑" w:eastAsia="微软雅黑"/>
          <w:b/>
          <w:w w:val="95"/>
          <w:sz w:val="21"/>
        </w:rPr>
        <w:t>用</w:t>
      </w:r>
      <w:r>
        <w:rPr>
          <w:rFonts w:ascii="微软雅黑" w:eastAsia="微软雅黑"/>
          <w:b/>
          <w:w w:val="95"/>
          <w:sz w:val="21"/>
        </w:rPr>
        <w:t>于</w:t>
      </w:r>
      <w:r>
        <w:rPr>
          <w:rFonts w:ascii="微软雅黑" w:eastAsia="微软雅黑"/>
          <w:b/>
          <w:spacing w:val="66"/>
          <w:w w:val="150"/>
          <w:sz w:val="21"/>
        </w:rPr>
        <w:t> </w:t>
      </w:r>
      <w:r>
        <w:rPr>
          <w:rFonts w:ascii="微软雅黑" w:eastAsia="微软雅黑"/>
          <w:b/>
          <w:w w:val="95"/>
          <w:sz w:val="21"/>
        </w:rPr>
        <w:t>0-3</w:t>
      </w:r>
      <w:r>
        <w:rPr>
          <w:rFonts w:ascii="微软雅黑" w:eastAsia="微软雅黑"/>
          <w:b/>
          <w:spacing w:val="66"/>
          <w:w w:val="150"/>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sz w:val="21"/>
        </w:rPr>
        <w:t>幼</w:t>
      </w:r>
      <w:r>
        <w:rPr>
          <w:rFonts w:ascii="微软雅黑" w:eastAsia="微软雅黑"/>
          <w:b/>
          <w:w w:val="95"/>
          <w:sz w:val="21"/>
        </w:rPr>
        <w:t>儿</w:t>
      </w:r>
      <w:r>
        <w:rPr>
          <w:rFonts w:ascii="微软雅黑" w:eastAsia="微软雅黑"/>
          <w:b/>
          <w:spacing w:val="-10"/>
          <w:w w:val="95"/>
          <w:sz w:val="21"/>
        </w:rPr>
        <w:t>。</w:t>
      </w:r>
    </w:p>
    <w:p>
      <w:pPr>
        <w:pStyle w:val="ListParagraph"/>
        <w:numPr>
          <w:ilvl w:val="0"/>
          <w:numId w:val="113"/>
        </w:numPr>
        <w:tabs>
          <w:tab w:pos="3121" w:val="left" w:leader="none"/>
        </w:tabs>
        <w:spacing w:line="245" w:lineRule="exact" w:before="0" w:after="0"/>
        <w:ind w:left="3120" w:right="0" w:hanging="424"/>
        <w:jc w:val="left"/>
        <w:rPr>
          <w:sz w:val="21"/>
        </w:rPr>
      </w:pPr>
      <w:r>
        <w:rPr>
          <w:spacing w:val="-4"/>
          <w:sz w:val="21"/>
        </w:rPr>
        <w:t>永久不可逆</w:t>
      </w:r>
    </w:p>
    <w:p>
      <w:pPr>
        <w:pStyle w:val="BodyText"/>
        <w:spacing w:line="242" w:lineRule="auto" w:before="5"/>
        <w:ind w:left="2906" w:right="355"/>
      </w:pPr>
      <w:r>
        <w:rPr>
          <w:spacing w:val="-2"/>
        </w:rPr>
        <w:t>指自疾病确诊或意外伤害发生之日起，经过积极治疗 </w:t>
      </w:r>
      <w:r>
        <w:rPr/>
        <w:t>180</w:t>
      </w:r>
      <w:r>
        <w:rPr>
          <w:spacing w:val="-6"/>
        </w:rPr>
        <w:t> 天后，仍无法通过现</w:t>
      </w:r>
      <w:r>
        <w:rPr>
          <w:spacing w:val="-2"/>
        </w:rPr>
        <w:t>有医疗手段恢复。</w:t>
      </w:r>
    </w:p>
    <w:p>
      <w:pPr>
        <w:pStyle w:val="ListParagraph"/>
        <w:numPr>
          <w:ilvl w:val="0"/>
          <w:numId w:val="113"/>
        </w:numPr>
        <w:tabs>
          <w:tab w:pos="3121" w:val="left" w:leader="none"/>
        </w:tabs>
        <w:spacing w:line="244" w:lineRule="auto" w:before="0" w:after="0"/>
        <w:ind w:left="2906" w:right="356" w:hanging="210"/>
        <w:jc w:val="left"/>
        <w:rPr>
          <w:sz w:val="21"/>
        </w:rPr>
      </w:pPr>
      <w:r>
        <w:rPr>
          <w:sz w:val="21"/>
        </w:rPr>
        <w:t>美国纽约心脏病学会（New York Heart Association，NYHA）心功能状态分</w:t>
      </w:r>
      <w:r>
        <w:rPr>
          <w:spacing w:val="-10"/>
          <w:sz w:val="21"/>
        </w:rPr>
        <w:t>级</w:t>
      </w:r>
    </w:p>
    <w:p>
      <w:pPr>
        <w:pStyle w:val="BodyText"/>
        <w:spacing w:line="242" w:lineRule="auto" w:before="0"/>
        <w:ind w:left="2906" w:right="356"/>
      </w:pPr>
      <w:r>
        <w:rPr/>
        <w:t>美国纽约心脏病学会（New York Heart Association，NYHA）将心功能状态分</w:t>
      </w:r>
      <w:r>
        <w:rPr>
          <w:spacing w:val="-4"/>
        </w:rPr>
        <w:t>为四级：</w:t>
      </w:r>
      <w:r>
        <w:rPr>
          <w:spacing w:val="80"/>
          <w:w w:val="150"/>
        </w:rPr>
        <w:t>                           </w:t>
      </w:r>
      <w:r>
        <w:rPr>
          <w:spacing w:val="-2"/>
        </w:rPr>
        <w:t>Ⅰ级：心脏病病人日常活动量不受限制，一般活动不引起乏力、呼吸困难等心</w:t>
      </w:r>
      <w:r>
        <w:rPr>
          <w:spacing w:val="-4"/>
        </w:rPr>
        <w:t>衰症状。</w:t>
      </w:r>
      <w:r>
        <w:rPr>
          <w:spacing w:val="80"/>
          <w:w w:val="150"/>
        </w:rPr>
        <w:t>                           </w:t>
      </w:r>
      <w:r>
        <w:rPr>
          <w:spacing w:val="-2"/>
        </w:rPr>
        <w:t>Ⅱ级：心脏病病人体力活动轻度受限制，休息时无自觉症状，一般活动下可出</w:t>
      </w:r>
      <w:r>
        <w:rPr>
          <w:spacing w:val="-2"/>
        </w:rPr>
        <w:t>现心衰症状。</w:t>
      </w:r>
    </w:p>
    <w:p>
      <w:pPr>
        <w:pStyle w:val="BodyText"/>
        <w:spacing w:line="242" w:lineRule="auto" w:before="0"/>
        <w:ind w:left="2906" w:right="358"/>
      </w:pPr>
      <w:r>
        <w:rPr>
          <w:spacing w:val="-2"/>
        </w:rPr>
        <w:t>Ⅲ级：心脏病病人体力活动明显受限，低于平时一般活动即引起心衰症状。</w:t>
      </w:r>
      <w:r>
        <w:rPr>
          <w:spacing w:val="80"/>
        </w:rPr>
        <w:t> </w:t>
      </w:r>
      <w:r>
        <w:rPr>
          <w:spacing w:val="-2"/>
        </w:rPr>
        <w:t>Ⅳ级：心脏病病人不能从事任何体力活动，休息状态下也存在心衰症状，活动</w:t>
      </w:r>
      <w:r>
        <w:rPr>
          <w:spacing w:val="-4"/>
        </w:rPr>
        <w:t>后加重。</w:t>
      </w:r>
    </w:p>
    <w:p>
      <w:pPr>
        <w:pStyle w:val="ListParagraph"/>
        <w:numPr>
          <w:ilvl w:val="0"/>
          <w:numId w:val="113"/>
        </w:numPr>
        <w:tabs>
          <w:tab w:pos="3121" w:val="left" w:leader="none"/>
        </w:tabs>
        <w:spacing w:line="240" w:lineRule="auto" w:before="2" w:after="0"/>
        <w:ind w:left="3120" w:right="0" w:hanging="424"/>
        <w:jc w:val="left"/>
        <w:rPr>
          <w:sz w:val="21"/>
        </w:rPr>
      </w:pPr>
      <w:r>
        <w:rPr>
          <w:spacing w:val="-3"/>
          <w:sz w:val="21"/>
        </w:rPr>
        <w:t>语言能力或咀嚼吞咽能力完全丧失</w:t>
      </w:r>
    </w:p>
    <w:p>
      <w:pPr>
        <w:pStyle w:val="BodyText"/>
        <w:spacing w:line="242" w:lineRule="auto" w:before="2"/>
        <w:ind w:left="2906" w:right="250"/>
      </w:pPr>
      <w:r>
        <w:rPr>
          <w:w w:val="100"/>
        </w:rPr>
        <w:t>语言能力完全丧失，指无法发出四种语音（包括口唇音、齿舌音、口盖音和喉</w:t>
      </w:r>
      <w:r>
        <w:rPr>
          <w:spacing w:val="-2"/>
          <w:w w:val="100"/>
        </w:rPr>
        <w:t>头音</w:t>
      </w:r>
      <w:r>
        <w:rPr>
          <w:spacing w:val="-22"/>
          <w:w w:val="100"/>
        </w:rPr>
        <w:t>）</w:t>
      </w:r>
      <w:r>
        <w:rPr>
          <w:spacing w:val="-8"/>
          <w:w w:val="100"/>
        </w:rPr>
        <w:t>中的任何三种、或声带全部切除，或因大脑语言中枢受伤害而患失语症。咀嚼吞咽能力完全丧失，指因牙齿以外的原因导致器质障碍或机能障碍，以致</w:t>
      </w:r>
      <w:r>
        <w:rPr>
          <w:spacing w:val="-5"/>
          <w:w w:val="100"/>
        </w:rPr>
        <w:t>不能作咀嚼吞咽运动，除流质食物外不能摄取或吞咽的状态。</w:t>
      </w:r>
    </w:p>
    <w:p>
      <w:pPr>
        <w:pStyle w:val="ListParagraph"/>
        <w:numPr>
          <w:ilvl w:val="1"/>
          <w:numId w:val="5"/>
        </w:numPr>
        <w:tabs>
          <w:tab w:pos="1072" w:val="left" w:leader="none"/>
          <w:tab w:pos="1073" w:val="left" w:leader="none"/>
          <w:tab w:pos="2699" w:val="left" w:leader="none"/>
        </w:tabs>
        <w:spacing w:line="383" w:lineRule="exact" w:before="37" w:after="0"/>
        <w:ind w:left="1072" w:right="0" w:hanging="853"/>
        <w:jc w:val="left"/>
        <w:rPr>
          <w:sz w:val="21"/>
        </w:rPr>
      </w:pPr>
      <w:r>
        <w:rPr>
          <w:rFonts w:ascii="微软雅黑" w:hAnsi="微软雅黑" w:eastAsia="微软雅黑"/>
          <w:b/>
          <w:sz w:val="21"/>
        </w:rPr>
        <w:t>全</w:t>
      </w:r>
      <w:r>
        <w:rPr>
          <w:rFonts w:ascii="微软雅黑" w:hAnsi="微软雅黑" w:eastAsia="微软雅黑"/>
          <w:b/>
          <w:spacing w:val="-10"/>
          <w:sz w:val="21"/>
        </w:rPr>
        <w:t>残</w:t>
      </w:r>
      <w:r>
        <w:rPr>
          <w:rFonts w:ascii="微软雅黑" w:hAnsi="微软雅黑" w:eastAsia="微软雅黑"/>
          <w:b/>
          <w:sz w:val="21"/>
        </w:rPr>
        <w:tab/>
      </w:r>
      <w:r>
        <w:rPr>
          <w:spacing w:val="-2"/>
          <w:sz w:val="21"/>
        </w:rPr>
        <w:t>本</w:t>
      </w:r>
      <w:r>
        <w:rPr>
          <w:spacing w:val="-2"/>
          <w:sz w:val="21"/>
        </w:rPr>
        <w:t>合</w:t>
      </w:r>
      <w:r>
        <w:rPr>
          <w:spacing w:val="-2"/>
          <w:sz w:val="21"/>
        </w:rPr>
        <w:t>同所述“全残”指下</w:t>
      </w:r>
      <w:r>
        <w:rPr>
          <w:spacing w:val="-2"/>
          <w:sz w:val="21"/>
        </w:rPr>
        <w:t>列</w:t>
      </w:r>
      <w:r>
        <w:rPr>
          <w:spacing w:val="-2"/>
          <w:sz w:val="21"/>
        </w:rPr>
        <w:t>情</w:t>
      </w:r>
      <w:r>
        <w:rPr>
          <w:spacing w:val="-2"/>
          <w:sz w:val="21"/>
        </w:rPr>
        <w:t>形之一</w:t>
      </w:r>
      <w:r>
        <w:rPr>
          <w:spacing w:val="-10"/>
          <w:sz w:val="21"/>
        </w:rPr>
        <w:t>：</w:t>
      </w:r>
    </w:p>
    <w:p>
      <w:pPr>
        <w:pStyle w:val="ListParagraph"/>
        <w:numPr>
          <w:ilvl w:val="0"/>
          <w:numId w:val="114"/>
        </w:numPr>
        <w:tabs>
          <w:tab w:pos="2912" w:val="left" w:leader="none"/>
        </w:tabs>
        <w:spacing w:line="265" w:lineRule="exact" w:before="0" w:after="0"/>
        <w:ind w:left="2911" w:right="0" w:hanging="213"/>
        <w:jc w:val="left"/>
        <w:rPr>
          <w:sz w:val="21"/>
        </w:rPr>
      </w:pPr>
      <w:r>
        <w:rPr>
          <w:spacing w:val="-3"/>
          <w:sz w:val="21"/>
        </w:rPr>
        <w:t>双目永久完全失明；</w:t>
      </w:r>
    </w:p>
    <w:p>
      <w:pPr>
        <w:pStyle w:val="ListParagraph"/>
        <w:numPr>
          <w:ilvl w:val="0"/>
          <w:numId w:val="114"/>
        </w:numPr>
        <w:tabs>
          <w:tab w:pos="2912" w:val="left" w:leader="none"/>
        </w:tabs>
        <w:spacing w:line="240" w:lineRule="auto" w:before="43" w:after="0"/>
        <w:ind w:left="2911" w:right="0" w:hanging="213"/>
        <w:jc w:val="left"/>
        <w:rPr>
          <w:sz w:val="21"/>
        </w:rPr>
      </w:pPr>
      <w:r>
        <w:rPr>
          <w:spacing w:val="-3"/>
          <w:sz w:val="21"/>
        </w:rPr>
        <w:t>两上肢腕关节以上或两下肢踝关节以上缺失；</w:t>
      </w:r>
    </w:p>
    <w:p>
      <w:pPr>
        <w:pStyle w:val="ListParagraph"/>
        <w:numPr>
          <w:ilvl w:val="0"/>
          <w:numId w:val="114"/>
        </w:numPr>
        <w:tabs>
          <w:tab w:pos="2912" w:val="left" w:leader="none"/>
        </w:tabs>
        <w:spacing w:line="240" w:lineRule="auto" w:before="43" w:after="0"/>
        <w:ind w:left="2911" w:right="0" w:hanging="213"/>
        <w:jc w:val="left"/>
        <w:rPr>
          <w:sz w:val="21"/>
        </w:rPr>
      </w:pPr>
      <w:r>
        <w:rPr>
          <w:spacing w:val="-3"/>
          <w:sz w:val="21"/>
        </w:rPr>
        <w:t>一上肢腕关节以上及一下肢踝关节以上缺失；</w:t>
      </w:r>
    </w:p>
    <w:p>
      <w:pPr>
        <w:pStyle w:val="ListParagraph"/>
        <w:numPr>
          <w:ilvl w:val="0"/>
          <w:numId w:val="114"/>
        </w:numPr>
        <w:tabs>
          <w:tab w:pos="2912" w:val="left" w:leader="none"/>
        </w:tabs>
        <w:spacing w:line="240" w:lineRule="auto" w:before="43" w:after="0"/>
        <w:ind w:left="2911" w:right="0" w:hanging="213"/>
        <w:jc w:val="left"/>
        <w:rPr>
          <w:sz w:val="21"/>
        </w:rPr>
      </w:pPr>
      <w:r>
        <w:rPr>
          <w:spacing w:val="-3"/>
          <w:sz w:val="21"/>
        </w:rPr>
        <w:t>一目永久完全失明及一上肢腕关节以上缺失；</w:t>
      </w:r>
    </w:p>
    <w:p>
      <w:pPr>
        <w:pStyle w:val="ListParagraph"/>
        <w:numPr>
          <w:ilvl w:val="0"/>
          <w:numId w:val="114"/>
        </w:numPr>
        <w:tabs>
          <w:tab w:pos="2912" w:val="left" w:leader="none"/>
        </w:tabs>
        <w:spacing w:line="240" w:lineRule="auto" w:before="42" w:after="0"/>
        <w:ind w:left="2911" w:right="0" w:hanging="213"/>
        <w:jc w:val="left"/>
        <w:rPr>
          <w:sz w:val="21"/>
        </w:rPr>
      </w:pPr>
      <w:r>
        <w:rPr>
          <w:spacing w:val="-3"/>
          <w:sz w:val="21"/>
        </w:rPr>
        <w:t>一目永久完全失明及一下肢踝关节以上缺失；</w:t>
      </w:r>
    </w:p>
    <w:p>
      <w:pPr>
        <w:pStyle w:val="ListParagraph"/>
        <w:numPr>
          <w:ilvl w:val="0"/>
          <w:numId w:val="114"/>
        </w:numPr>
        <w:tabs>
          <w:tab w:pos="2912" w:val="left" w:leader="none"/>
        </w:tabs>
        <w:spacing w:line="240" w:lineRule="auto" w:before="43" w:after="0"/>
        <w:ind w:left="2911" w:right="0" w:hanging="213"/>
        <w:jc w:val="left"/>
        <w:rPr>
          <w:sz w:val="21"/>
        </w:rPr>
      </w:pPr>
      <w:r>
        <w:rPr>
          <w:spacing w:val="-3"/>
          <w:sz w:val="21"/>
        </w:rPr>
        <w:t>四肢关节机能永久完全丧失；</w:t>
      </w:r>
    </w:p>
    <w:p>
      <w:pPr>
        <w:pStyle w:val="ListParagraph"/>
        <w:numPr>
          <w:ilvl w:val="0"/>
          <w:numId w:val="114"/>
        </w:numPr>
        <w:tabs>
          <w:tab w:pos="2912" w:val="left" w:leader="none"/>
        </w:tabs>
        <w:spacing w:line="240" w:lineRule="auto" w:before="43" w:after="0"/>
        <w:ind w:left="2911" w:right="0" w:hanging="213"/>
        <w:jc w:val="left"/>
        <w:rPr>
          <w:sz w:val="21"/>
        </w:rPr>
      </w:pPr>
      <w:r>
        <w:rPr>
          <w:spacing w:val="-3"/>
          <w:sz w:val="21"/>
        </w:rPr>
        <w:t>咀嚼、吞咽机能永久完全丧失；</w:t>
      </w:r>
    </w:p>
    <w:p>
      <w:pPr>
        <w:pStyle w:val="ListParagraph"/>
        <w:numPr>
          <w:ilvl w:val="0"/>
          <w:numId w:val="114"/>
        </w:numPr>
        <w:tabs>
          <w:tab w:pos="2912" w:val="left" w:leader="none"/>
        </w:tabs>
        <w:spacing w:line="278" w:lineRule="auto" w:before="43" w:after="0"/>
        <w:ind w:left="2699" w:right="250" w:firstLine="0"/>
        <w:jc w:val="left"/>
        <w:rPr>
          <w:sz w:val="21"/>
        </w:rPr>
      </w:pPr>
      <w:r>
        <w:rPr>
          <w:spacing w:val="-4"/>
          <w:sz w:val="21"/>
        </w:rPr>
        <w:t>中枢神经系统机能或胸、腹部脏器机能极度障碍，导致终身不能从事任何工作，</w:t>
      </w:r>
      <w:r>
        <w:rPr>
          <w:spacing w:val="-2"/>
          <w:sz w:val="21"/>
        </w:rPr>
        <w:t>为维持生命必要的日常生活活动，全需他人扶助的。</w:t>
      </w:r>
    </w:p>
    <w:p>
      <w:pPr>
        <w:pStyle w:val="BodyText"/>
        <w:spacing w:line="235" w:lineRule="auto" w:before="95"/>
        <w:ind w:left="2699" w:right="355"/>
      </w:pPr>
      <w:r>
        <w:rPr>
          <w:rFonts w:ascii="微软雅黑" w:eastAsia="微软雅黑"/>
          <w:b/>
        </w:rPr>
        <w:t>永久完全：</w:t>
      </w:r>
      <w:r>
        <w:rPr>
          <w:spacing w:val="-2"/>
        </w:rPr>
        <w:t>自疾病确诊或者意外伤害发生之日起，经过积极治疗 </w:t>
      </w:r>
      <w:r>
        <w:rPr/>
        <w:t>180</w:t>
      </w:r>
      <w:r>
        <w:rPr>
          <w:spacing w:val="-8"/>
        </w:rPr>
        <w:t> 日后，机能</w:t>
      </w:r>
      <w:r>
        <w:rPr>
          <w:spacing w:val="-2"/>
        </w:rPr>
        <w:t>仍然完全丧失，但眼球摘除等明显无法复原之情况不在此限。</w:t>
      </w:r>
    </w:p>
    <w:p>
      <w:pPr>
        <w:pStyle w:val="BodyText"/>
        <w:spacing w:line="235" w:lineRule="auto" w:before="137"/>
        <w:ind w:left="2699" w:right="356"/>
      </w:pPr>
      <w:r>
        <w:rPr>
          <w:rFonts w:ascii="微软雅黑" w:eastAsia="微软雅黑"/>
          <w:b/>
          <w:spacing w:val="-2"/>
        </w:rPr>
        <w:t>失明</w:t>
      </w:r>
      <w:r>
        <w:rPr>
          <w:spacing w:val="-2"/>
        </w:rPr>
        <w:t>：包括眼球缺失或摘除、或不能辨别明暗、或仅能辨别眼前手动者，最佳矫</w:t>
      </w:r>
      <w:r>
        <w:rPr>
          <w:spacing w:val="-6"/>
        </w:rPr>
        <w:t>正视力低于国际标准视力表 </w:t>
      </w:r>
      <w:r>
        <w:rPr>
          <w:spacing w:val="-2"/>
        </w:rPr>
        <w:t>0.02</w:t>
      </w:r>
      <w:r>
        <w:rPr>
          <w:spacing w:val="-8"/>
        </w:rPr>
        <w:t>，或视野半径小于 </w:t>
      </w:r>
      <w:r>
        <w:rPr>
          <w:spacing w:val="-2"/>
        </w:rPr>
        <w:t>5</w:t>
      </w:r>
      <w:r>
        <w:rPr>
          <w:spacing w:val="-14"/>
        </w:rPr>
        <w:t> 度，且病程持续超过 </w:t>
      </w:r>
      <w:r>
        <w:rPr>
          <w:spacing w:val="-2"/>
        </w:rPr>
        <w:t>180</w:t>
      </w:r>
      <w:r>
        <w:rPr>
          <w:spacing w:val="-31"/>
        </w:rPr>
        <w:t> 天</w:t>
      </w:r>
    </w:p>
    <w:p>
      <w:pPr>
        <w:pStyle w:val="BodyText"/>
        <w:spacing w:line="278" w:lineRule="auto"/>
        <w:ind w:left="2699" w:right="353"/>
      </w:pPr>
      <w:r>
        <w:rPr>
          <w:spacing w:val="-2"/>
        </w:rPr>
        <w:t>（眼球缺失或摘除不在此限</w:t>
      </w:r>
      <w:r>
        <w:rPr>
          <w:spacing w:val="-89"/>
        </w:rPr>
        <w:t>）</w:t>
      </w:r>
      <w:r>
        <w:rPr>
          <w:spacing w:val="-12"/>
        </w:rPr>
        <w:t>，并由本公司确定的有资格的眼科医师出具医疗诊断</w:t>
      </w:r>
      <w:r>
        <w:rPr>
          <w:spacing w:val="-4"/>
        </w:rPr>
        <w:t>证明。</w:t>
      </w:r>
    </w:p>
    <w:p>
      <w:pPr>
        <w:spacing w:after="0" w:line="278" w:lineRule="auto"/>
        <w:sectPr>
          <w:pgSz w:w="11910" w:h="16840"/>
          <w:pgMar w:header="0" w:footer="458" w:top="1220" w:bottom="640" w:left="800" w:right="660"/>
        </w:sectPr>
      </w:pPr>
    </w:p>
    <w:p>
      <w:pPr>
        <w:spacing w:line="363" w:lineRule="exact" w:before="0"/>
        <w:ind w:left="2699" w:right="0" w:firstLine="0"/>
        <w:jc w:val="left"/>
        <w:rPr>
          <w:sz w:val="21"/>
        </w:rPr>
      </w:pPr>
      <w:r>
        <w:rPr>
          <w:rFonts w:ascii="微软雅黑" w:eastAsia="微软雅黑"/>
          <w:b/>
          <w:spacing w:val="-2"/>
          <w:sz w:val="21"/>
        </w:rPr>
        <w:t>关节机能的丧失</w:t>
      </w:r>
      <w:r>
        <w:rPr>
          <w:spacing w:val="-3"/>
          <w:sz w:val="21"/>
        </w:rPr>
        <w:t>：指关节永久完全僵硬、或麻痹、或关节不能随意识活动。</w:t>
      </w:r>
    </w:p>
    <w:p>
      <w:pPr>
        <w:pStyle w:val="BodyText"/>
        <w:spacing w:line="235" w:lineRule="auto" w:before="87"/>
        <w:ind w:left="2699" w:right="359"/>
      </w:pPr>
      <w:r>
        <w:rPr>
          <w:rFonts w:ascii="微软雅黑" w:eastAsia="微软雅黑"/>
          <w:b/>
          <w:spacing w:val="-2"/>
        </w:rPr>
        <w:t>咀嚼、吞咽机能的丧失</w:t>
      </w:r>
      <w:r>
        <w:rPr>
          <w:spacing w:val="-2"/>
        </w:rPr>
        <w:t>：指由于牙齿以外的原因引起器质障碍或机能障碍，以至</w:t>
      </w:r>
      <w:r>
        <w:rPr>
          <w:spacing w:val="-2"/>
        </w:rPr>
        <w:t>不能作咀嚼、吞咽运动，除流质食物外不能摄取或吞咽的状态。</w:t>
      </w:r>
    </w:p>
    <w:p>
      <w:pPr>
        <w:spacing w:line="235" w:lineRule="auto" w:before="137"/>
        <w:ind w:left="2699" w:right="356" w:firstLine="0"/>
        <w:jc w:val="left"/>
        <w:rPr>
          <w:sz w:val="21"/>
        </w:rPr>
      </w:pPr>
      <w:r>
        <w:rPr>
          <w:rFonts w:ascii="微软雅黑" w:eastAsia="微软雅黑"/>
          <w:b/>
          <w:spacing w:val="-2"/>
          <w:sz w:val="21"/>
        </w:rPr>
        <w:t>为维持生命必要之日常生活活动，全需他人扶助</w:t>
      </w:r>
      <w:r>
        <w:rPr>
          <w:spacing w:val="-2"/>
          <w:sz w:val="21"/>
        </w:rPr>
        <w:t>：指食物摄取、大小便始末、穿</w:t>
      </w:r>
      <w:r>
        <w:rPr>
          <w:spacing w:val="-2"/>
          <w:sz w:val="21"/>
        </w:rPr>
        <w:t>脱衣服、起居、步行、入浴等，皆不能自己为之，需要他人帮助。</w:t>
      </w:r>
    </w:p>
    <w:p>
      <w:pPr>
        <w:pStyle w:val="BodyText"/>
        <w:spacing w:before="11"/>
        <w:rPr>
          <w:sz w:val="16"/>
        </w:rPr>
      </w:pPr>
    </w:p>
    <w:p>
      <w:pPr>
        <w:pStyle w:val="ListParagraph"/>
        <w:numPr>
          <w:ilvl w:val="1"/>
          <w:numId w:val="5"/>
        </w:numPr>
        <w:tabs>
          <w:tab w:pos="1072" w:val="left" w:leader="none"/>
          <w:tab w:pos="1073" w:val="left" w:leader="none"/>
          <w:tab w:pos="2699" w:val="left" w:leader="none"/>
        </w:tabs>
        <w:spacing w:line="235" w:lineRule="auto" w:before="0" w:after="0"/>
        <w:ind w:left="2699" w:right="359" w:hanging="2480"/>
        <w:jc w:val="left"/>
        <w:rPr>
          <w:sz w:val="21"/>
        </w:rPr>
      </w:pPr>
      <w:r>
        <w:rPr>
          <w:rFonts w:ascii="微软雅黑" w:eastAsia="微软雅黑"/>
          <w:b/>
          <w:spacing w:val="-2"/>
          <w:sz w:val="21"/>
        </w:rPr>
        <w:t>疾</w:t>
      </w:r>
      <w:r>
        <w:rPr>
          <w:rFonts w:ascii="微软雅黑" w:eastAsia="微软雅黑"/>
          <w:b/>
          <w:spacing w:val="-2"/>
          <w:sz w:val="21"/>
        </w:rPr>
        <w:t>病</w:t>
      </w:r>
      <w:r>
        <w:rPr>
          <w:rFonts w:ascii="微软雅黑" w:eastAsia="微软雅黑"/>
          <w:b/>
          <w:spacing w:val="-2"/>
          <w:sz w:val="21"/>
        </w:rPr>
        <w:t>终</w:t>
      </w:r>
      <w:r>
        <w:rPr>
          <w:rFonts w:ascii="微软雅黑" w:eastAsia="微软雅黑"/>
          <w:b/>
          <w:spacing w:val="-2"/>
          <w:sz w:val="21"/>
        </w:rPr>
        <w:t>末</w:t>
      </w:r>
      <w:r>
        <w:rPr>
          <w:rFonts w:ascii="微软雅黑" w:eastAsia="微软雅黑"/>
          <w:b/>
          <w:spacing w:val="-2"/>
          <w:sz w:val="21"/>
        </w:rPr>
        <w:t>期</w:t>
      </w:r>
      <w:r>
        <w:rPr>
          <w:rFonts w:ascii="微软雅黑" w:eastAsia="微软雅黑"/>
          <w:b/>
          <w:sz w:val="21"/>
        </w:rPr>
        <w:tab/>
      </w:r>
      <w:r>
        <w:rPr>
          <w:spacing w:val="-2"/>
          <w:sz w:val="21"/>
        </w:rPr>
        <w:t>疾</w:t>
      </w:r>
      <w:r>
        <w:rPr>
          <w:spacing w:val="-2"/>
          <w:sz w:val="21"/>
        </w:rPr>
        <w:t>病</w:t>
      </w:r>
      <w:r>
        <w:rPr>
          <w:spacing w:val="-2"/>
          <w:sz w:val="21"/>
        </w:rPr>
        <w:t>终</w:t>
      </w:r>
      <w:r>
        <w:rPr>
          <w:spacing w:val="-2"/>
          <w:sz w:val="21"/>
        </w:rPr>
        <w:t>末</w:t>
      </w:r>
      <w:r>
        <w:rPr>
          <w:spacing w:val="-2"/>
          <w:sz w:val="21"/>
        </w:rPr>
        <w:t>期</w:t>
      </w:r>
      <w:r>
        <w:rPr>
          <w:spacing w:val="-2"/>
          <w:sz w:val="21"/>
        </w:rPr>
        <w:t>阶</w:t>
      </w:r>
      <w:r>
        <w:rPr>
          <w:spacing w:val="-2"/>
          <w:sz w:val="21"/>
        </w:rPr>
        <w:t>段</w:t>
      </w:r>
      <w:r>
        <w:rPr>
          <w:spacing w:val="-2"/>
          <w:sz w:val="21"/>
        </w:rPr>
        <w:t>需</w:t>
      </w:r>
      <w:r>
        <w:rPr>
          <w:spacing w:val="-2"/>
          <w:sz w:val="21"/>
        </w:rPr>
        <w:t>由</w:t>
      </w:r>
      <w:r>
        <w:rPr>
          <w:spacing w:val="-2"/>
          <w:sz w:val="21"/>
        </w:rPr>
        <w:t>专</w:t>
      </w:r>
      <w:r>
        <w:rPr>
          <w:spacing w:val="-2"/>
          <w:sz w:val="21"/>
        </w:rPr>
        <w:t>科</w:t>
      </w:r>
      <w:r>
        <w:rPr>
          <w:spacing w:val="-2"/>
          <w:sz w:val="21"/>
        </w:rPr>
        <w:t>医</w:t>
      </w:r>
      <w:r>
        <w:rPr>
          <w:spacing w:val="-2"/>
          <w:sz w:val="21"/>
        </w:rPr>
        <w:t>生</w:t>
      </w:r>
      <w:r>
        <w:rPr>
          <w:spacing w:val="-2"/>
          <w:sz w:val="21"/>
        </w:rPr>
        <w:t>出</w:t>
      </w:r>
      <w:r>
        <w:rPr>
          <w:spacing w:val="-2"/>
          <w:sz w:val="21"/>
        </w:rPr>
        <w:t>具</w:t>
      </w:r>
      <w:r>
        <w:rPr>
          <w:spacing w:val="-2"/>
          <w:sz w:val="21"/>
        </w:rPr>
        <w:t>诊</w:t>
      </w:r>
      <w:r>
        <w:rPr>
          <w:spacing w:val="-2"/>
          <w:sz w:val="21"/>
        </w:rPr>
        <w:t>断</w:t>
      </w:r>
      <w:r>
        <w:rPr>
          <w:spacing w:val="-2"/>
          <w:sz w:val="21"/>
        </w:rPr>
        <w:t>证</w:t>
      </w:r>
      <w:r>
        <w:rPr>
          <w:spacing w:val="-2"/>
          <w:sz w:val="21"/>
        </w:rPr>
        <w:t>明</w:t>
      </w:r>
      <w:r>
        <w:rPr>
          <w:spacing w:val="-2"/>
          <w:sz w:val="21"/>
        </w:rPr>
        <w:t>和</w:t>
      </w:r>
      <w:r>
        <w:rPr>
          <w:spacing w:val="-2"/>
          <w:sz w:val="21"/>
        </w:rPr>
        <w:t>提</w:t>
      </w:r>
      <w:r>
        <w:rPr>
          <w:spacing w:val="-2"/>
          <w:sz w:val="21"/>
        </w:rPr>
        <w:t>交</w:t>
      </w:r>
      <w:r>
        <w:rPr>
          <w:spacing w:val="-2"/>
          <w:sz w:val="21"/>
        </w:rPr>
        <w:t>临</w:t>
      </w:r>
      <w:r>
        <w:rPr>
          <w:spacing w:val="-2"/>
          <w:sz w:val="21"/>
        </w:rPr>
        <w:t>床</w:t>
      </w:r>
      <w:r>
        <w:rPr>
          <w:spacing w:val="-2"/>
          <w:sz w:val="21"/>
        </w:rPr>
        <w:t>检</w:t>
      </w:r>
      <w:r>
        <w:rPr>
          <w:spacing w:val="-2"/>
          <w:sz w:val="21"/>
        </w:rPr>
        <w:t>查</w:t>
      </w:r>
      <w:r>
        <w:rPr>
          <w:spacing w:val="-2"/>
          <w:sz w:val="21"/>
        </w:rPr>
        <w:t>证</w:t>
      </w:r>
      <w:r>
        <w:rPr>
          <w:spacing w:val="-2"/>
          <w:sz w:val="21"/>
        </w:rPr>
        <w:t>据</w:t>
      </w:r>
      <w:r>
        <w:rPr>
          <w:spacing w:val="-2"/>
          <w:sz w:val="21"/>
        </w:rPr>
        <w:t>，</w:t>
      </w:r>
      <w:r>
        <w:rPr>
          <w:spacing w:val="-2"/>
          <w:sz w:val="21"/>
        </w:rPr>
        <w:t>证</w:t>
      </w:r>
      <w:r>
        <w:rPr>
          <w:spacing w:val="-2"/>
          <w:sz w:val="21"/>
        </w:rPr>
        <w:t>明</w:t>
      </w:r>
      <w:r>
        <w:rPr>
          <w:spacing w:val="-2"/>
          <w:sz w:val="21"/>
        </w:rPr>
        <w:t>被</w:t>
      </w:r>
      <w:r>
        <w:rPr>
          <w:spacing w:val="-2"/>
          <w:sz w:val="21"/>
        </w:rPr>
        <w:t>保险</w:t>
      </w:r>
      <w:r>
        <w:rPr>
          <w:spacing w:val="-2"/>
          <w:sz w:val="21"/>
        </w:rPr>
        <w:t>人</w:t>
      </w:r>
      <w:r>
        <w:rPr>
          <w:spacing w:val="-2"/>
          <w:sz w:val="21"/>
        </w:rPr>
        <w:t>所</w:t>
      </w:r>
      <w:r>
        <w:rPr>
          <w:spacing w:val="-2"/>
          <w:sz w:val="21"/>
        </w:rPr>
        <w:t>患</w:t>
      </w:r>
      <w:r>
        <w:rPr>
          <w:spacing w:val="-2"/>
          <w:sz w:val="21"/>
        </w:rPr>
        <w:t>疾病同时满足以下两</w:t>
      </w:r>
      <w:r>
        <w:rPr>
          <w:spacing w:val="-2"/>
          <w:sz w:val="21"/>
        </w:rPr>
        <w:t>个</w:t>
      </w:r>
      <w:r>
        <w:rPr>
          <w:spacing w:val="-2"/>
          <w:sz w:val="21"/>
        </w:rPr>
        <w:t>条</w:t>
      </w:r>
      <w:r>
        <w:rPr>
          <w:spacing w:val="-2"/>
          <w:sz w:val="21"/>
        </w:rPr>
        <w:t>件：</w:t>
      </w:r>
    </w:p>
    <w:p>
      <w:pPr>
        <w:pStyle w:val="ListParagraph"/>
        <w:numPr>
          <w:ilvl w:val="0"/>
          <w:numId w:val="115"/>
        </w:numPr>
        <w:tabs>
          <w:tab w:pos="2912" w:val="left" w:leader="none"/>
        </w:tabs>
        <w:spacing w:line="240" w:lineRule="auto" w:before="42" w:after="0"/>
        <w:ind w:left="2911" w:right="0" w:hanging="213"/>
        <w:jc w:val="left"/>
        <w:rPr>
          <w:sz w:val="21"/>
        </w:rPr>
      </w:pPr>
      <w:r>
        <w:rPr>
          <w:spacing w:val="-3"/>
          <w:sz w:val="21"/>
        </w:rPr>
        <w:t>依现有医疗技术无法缓解；</w:t>
      </w:r>
    </w:p>
    <w:p>
      <w:pPr>
        <w:pStyle w:val="ListParagraph"/>
        <w:numPr>
          <w:ilvl w:val="0"/>
          <w:numId w:val="115"/>
        </w:numPr>
        <w:tabs>
          <w:tab w:pos="2912" w:val="left" w:leader="none"/>
        </w:tabs>
        <w:spacing w:line="240" w:lineRule="auto" w:before="43" w:after="0"/>
        <w:ind w:left="2911" w:right="0" w:hanging="213"/>
        <w:jc w:val="left"/>
        <w:rPr>
          <w:sz w:val="21"/>
        </w:rPr>
      </w:pPr>
      <w:r>
        <w:rPr>
          <w:spacing w:val="-3"/>
          <w:sz w:val="21"/>
        </w:rPr>
        <w:t>根据临床医学经验判断被保险人存活期低于六个月。</w:t>
      </w:r>
    </w:p>
    <w:p>
      <w:pPr>
        <w:pStyle w:val="BodyText"/>
        <w:spacing w:before="9"/>
        <w:rPr>
          <w:sz w:val="10"/>
        </w:rPr>
      </w:pPr>
    </w:p>
    <w:p>
      <w:pPr>
        <w:spacing w:after="0"/>
        <w:rPr>
          <w:sz w:val="10"/>
        </w:rPr>
        <w:sectPr>
          <w:pgSz w:w="11910" w:h="16840"/>
          <w:pgMar w:header="0" w:footer="458" w:top="1260" w:bottom="640" w:left="800" w:right="660"/>
        </w:sectPr>
      </w:pPr>
    </w:p>
    <w:p>
      <w:pPr>
        <w:pStyle w:val="ListParagraph"/>
        <w:numPr>
          <w:ilvl w:val="1"/>
          <w:numId w:val="5"/>
        </w:numPr>
        <w:tabs>
          <w:tab w:pos="1072" w:val="left" w:leader="none"/>
          <w:tab w:pos="1073" w:val="left" w:leader="none"/>
        </w:tabs>
        <w:spacing w:line="194" w:lineRule="auto" w:before="57" w:after="0"/>
        <w:ind w:left="1072" w:right="38" w:hanging="853"/>
        <w:jc w:val="left"/>
        <w:rPr>
          <w:rFonts w:ascii="微软雅黑" w:eastAsia="微软雅黑"/>
          <w:b/>
          <w:sz w:val="21"/>
        </w:rPr>
      </w:pPr>
      <w:r>
        <w:rPr>
          <w:rFonts w:ascii="微软雅黑" w:eastAsia="微软雅黑"/>
          <w:b/>
          <w:spacing w:val="-2"/>
          <w:sz w:val="21"/>
        </w:rPr>
        <w:t>累计已交保险</w:t>
      </w:r>
      <w:r>
        <w:rPr>
          <w:rFonts w:ascii="微软雅黑" w:eastAsia="微软雅黑"/>
          <w:b/>
          <w:spacing w:val="-10"/>
          <w:sz w:val="21"/>
        </w:rPr>
        <w:t>费</w:t>
      </w:r>
    </w:p>
    <w:p>
      <w:pPr>
        <w:pStyle w:val="BodyText"/>
        <w:spacing w:line="278" w:lineRule="auto" w:before="72"/>
        <w:ind w:left="220" w:right="359"/>
        <w:jc w:val="both"/>
      </w:pPr>
      <w:r>
        <w:rPr/>
        <w:br w:type="column"/>
      </w:r>
      <w:r>
        <w:rPr>
          <w:spacing w:val="-2"/>
        </w:rPr>
        <w:t>指投保人依据本合同已经向公司交付的保险费；若本合同发生过减保情形，则实</w:t>
      </w:r>
      <w:r>
        <w:rPr>
          <w:spacing w:val="-2"/>
        </w:rPr>
        <w:t>际交付的保险费为减保后基本保险金额对应的累计保险费。若本合同发生过豁免</w:t>
      </w:r>
      <w:r>
        <w:rPr>
          <w:spacing w:val="-2"/>
        </w:rPr>
        <w:t>保险费情形，被豁免的保险费视为投保人已交付。</w:t>
      </w:r>
    </w:p>
    <w:p>
      <w:pPr>
        <w:spacing w:after="0" w:line="278" w:lineRule="auto"/>
        <w:jc w:val="both"/>
        <w:sectPr>
          <w:type w:val="continuous"/>
          <w:pgSz w:w="11910" w:h="16840"/>
          <w:pgMar w:header="0" w:footer="458" w:top="620" w:bottom="280" w:left="800" w:right="660"/>
          <w:cols w:num="2" w:equalWidth="0">
            <w:col w:w="2380" w:space="99"/>
            <w:col w:w="7971"/>
          </w:cols>
        </w:sectPr>
      </w:pPr>
    </w:p>
    <w:p>
      <w:pPr>
        <w:pStyle w:val="BodyText"/>
        <w:spacing w:before="12"/>
        <w:rPr>
          <w:sz w:val="9"/>
        </w:rPr>
      </w:pPr>
    </w:p>
    <w:p>
      <w:pPr>
        <w:pStyle w:val="ListParagraph"/>
        <w:numPr>
          <w:ilvl w:val="1"/>
          <w:numId w:val="5"/>
        </w:numPr>
        <w:tabs>
          <w:tab w:pos="1073" w:val="left" w:leader="none"/>
          <w:tab w:pos="2699" w:val="left" w:leader="none"/>
        </w:tabs>
        <w:spacing w:line="312" w:lineRule="exact" w:before="32" w:after="0"/>
        <w:ind w:left="2699" w:right="355" w:hanging="2480"/>
        <w:jc w:val="both"/>
        <w:rPr>
          <w:sz w:val="21"/>
        </w:rPr>
      </w:pPr>
      <w:r>
        <w:rPr>
          <w:rFonts w:ascii="微软雅黑" w:eastAsia="微软雅黑"/>
          <w:b/>
          <w:spacing w:val="-6"/>
          <w:position w:val="-2"/>
          <w:sz w:val="21"/>
        </w:rPr>
        <w:t>医</w:t>
      </w:r>
      <w:r>
        <w:rPr>
          <w:rFonts w:ascii="微软雅黑" w:eastAsia="微软雅黑"/>
          <w:b/>
          <w:spacing w:val="-6"/>
          <w:position w:val="-2"/>
          <w:sz w:val="21"/>
        </w:rPr>
        <w:t>院</w:t>
      </w:r>
      <w:r>
        <w:rPr>
          <w:rFonts w:ascii="微软雅黑" w:eastAsia="微软雅黑"/>
          <w:b/>
          <w:position w:val="-2"/>
          <w:sz w:val="21"/>
        </w:rPr>
        <w:tab/>
      </w:r>
      <w:r>
        <w:rPr>
          <w:spacing w:val="-2"/>
          <w:sz w:val="21"/>
        </w:rPr>
        <w:t>指</w:t>
      </w:r>
      <w:r>
        <w:rPr>
          <w:spacing w:val="-2"/>
          <w:sz w:val="21"/>
        </w:rPr>
        <w:t>经</w:t>
      </w:r>
      <w:r>
        <w:rPr>
          <w:spacing w:val="-2"/>
          <w:sz w:val="21"/>
        </w:rPr>
        <w:t>国</w:t>
      </w:r>
      <w:r>
        <w:rPr>
          <w:spacing w:val="-2"/>
          <w:sz w:val="21"/>
        </w:rPr>
        <w:t>家</w:t>
      </w:r>
      <w:r>
        <w:rPr>
          <w:spacing w:val="-2"/>
          <w:sz w:val="21"/>
        </w:rPr>
        <w:t>卫</w:t>
      </w:r>
      <w:r>
        <w:rPr>
          <w:spacing w:val="-2"/>
          <w:sz w:val="21"/>
        </w:rPr>
        <w:t>生</w:t>
      </w:r>
      <w:r>
        <w:rPr>
          <w:spacing w:val="-2"/>
          <w:sz w:val="21"/>
        </w:rPr>
        <w:t>部</w:t>
      </w:r>
      <w:r>
        <w:rPr>
          <w:spacing w:val="-2"/>
          <w:sz w:val="21"/>
        </w:rPr>
        <w:t>门</w:t>
      </w:r>
      <w:r>
        <w:rPr>
          <w:spacing w:val="-2"/>
          <w:sz w:val="21"/>
        </w:rPr>
        <w:t>审</w:t>
      </w:r>
      <w:r>
        <w:rPr>
          <w:spacing w:val="-2"/>
          <w:sz w:val="21"/>
        </w:rPr>
        <w:t>核</w:t>
      </w:r>
      <w:r>
        <w:rPr>
          <w:spacing w:val="-2"/>
          <w:sz w:val="21"/>
        </w:rPr>
        <w:t>的</w:t>
      </w:r>
      <w:r>
        <w:rPr>
          <w:spacing w:val="-2"/>
          <w:sz w:val="21"/>
        </w:rPr>
        <w:t>二</w:t>
      </w:r>
      <w:r>
        <w:rPr>
          <w:spacing w:val="-2"/>
          <w:sz w:val="21"/>
        </w:rPr>
        <w:t>级</w:t>
      </w:r>
      <w:r>
        <w:rPr>
          <w:spacing w:val="-2"/>
          <w:sz w:val="21"/>
        </w:rPr>
        <w:t>或</w:t>
      </w:r>
      <w:r>
        <w:rPr>
          <w:spacing w:val="-2"/>
          <w:sz w:val="21"/>
        </w:rPr>
        <w:t>二</w:t>
      </w:r>
      <w:r>
        <w:rPr>
          <w:spacing w:val="-2"/>
          <w:sz w:val="21"/>
        </w:rPr>
        <w:t>级</w:t>
      </w:r>
      <w:r>
        <w:rPr>
          <w:spacing w:val="-2"/>
          <w:sz w:val="21"/>
        </w:rPr>
        <w:t>以</w:t>
      </w:r>
      <w:r>
        <w:rPr>
          <w:spacing w:val="-2"/>
          <w:sz w:val="21"/>
        </w:rPr>
        <w:t>上</w:t>
      </w:r>
      <w:r>
        <w:rPr>
          <w:spacing w:val="-2"/>
          <w:sz w:val="21"/>
        </w:rPr>
        <w:t>的</w:t>
      </w:r>
      <w:r>
        <w:rPr>
          <w:spacing w:val="-2"/>
          <w:sz w:val="21"/>
        </w:rPr>
        <w:t>综</w:t>
      </w:r>
      <w:r>
        <w:rPr>
          <w:spacing w:val="-2"/>
          <w:sz w:val="21"/>
        </w:rPr>
        <w:t>合</w:t>
      </w:r>
      <w:r>
        <w:rPr>
          <w:spacing w:val="-2"/>
          <w:sz w:val="21"/>
        </w:rPr>
        <w:t>性</w:t>
      </w:r>
      <w:r>
        <w:rPr>
          <w:spacing w:val="-2"/>
          <w:sz w:val="21"/>
        </w:rPr>
        <w:t>医</w:t>
      </w:r>
      <w:r>
        <w:rPr>
          <w:spacing w:val="-2"/>
          <w:sz w:val="21"/>
        </w:rPr>
        <w:t>院</w:t>
      </w:r>
      <w:r>
        <w:rPr>
          <w:spacing w:val="-2"/>
          <w:sz w:val="21"/>
        </w:rPr>
        <w:t>和</w:t>
      </w:r>
      <w:r>
        <w:rPr>
          <w:spacing w:val="-2"/>
          <w:sz w:val="21"/>
        </w:rPr>
        <w:t>专</w:t>
      </w:r>
      <w:r>
        <w:rPr>
          <w:spacing w:val="-2"/>
          <w:sz w:val="21"/>
        </w:rPr>
        <w:t>科</w:t>
      </w:r>
      <w:r>
        <w:rPr>
          <w:spacing w:val="-2"/>
          <w:sz w:val="21"/>
        </w:rPr>
        <w:t>医</w:t>
      </w:r>
      <w:r>
        <w:rPr>
          <w:spacing w:val="-2"/>
          <w:sz w:val="21"/>
        </w:rPr>
        <w:t>院</w:t>
      </w:r>
      <w:r>
        <w:rPr>
          <w:spacing w:val="-2"/>
          <w:sz w:val="21"/>
        </w:rPr>
        <w:t>，</w:t>
      </w:r>
      <w:r>
        <w:rPr>
          <w:spacing w:val="-2"/>
          <w:sz w:val="21"/>
        </w:rPr>
        <w:t>但</w:t>
      </w:r>
      <w:r>
        <w:rPr>
          <w:spacing w:val="-2"/>
          <w:sz w:val="21"/>
        </w:rPr>
        <w:t>不</w:t>
      </w:r>
      <w:r>
        <w:rPr>
          <w:spacing w:val="-2"/>
          <w:sz w:val="21"/>
        </w:rPr>
        <w:t>包括</w:t>
      </w:r>
      <w:r>
        <w:rPr>
          <w:spacing w:val="-2"/>
          <w:sz w:val="21"/>
        </w:rPr>
        <w:t>作</w:t>
      </w:r>
      <w:r>
        <w:rPr>
          <w:spacing w:val="-2"/>
          <w:sz w:val="21"/>
        </w:rPr>
        <w:t>为</w:t>
      </w:r>
      <w:r>
        <w:rPr>
          <w:spacing w:val="-2"/>
          <w:sz w:val="21"/>
        </w:rPr>
        <w:t>诊</w:t>
      </w:r>
      <w:r>
        <w:rPr>
          <w:spacing w:val="-2"/>
          <w:sz w:val="21"/>
        </w:rPr>
        <w:t>所</w:t>
      </w:r>
      <w:r>
        <w:rPr>
          <w:spacing w:val="-2"/>
          <w:sz w:val="21"/>
        </w:rPr>
        <w:t>、</w:t>
      </w:r>
      <w:r>
        <w:rPr>
          <w:spacing w:val="-2"/>
          <w:sz w:val="21"/>
        </w:rPr>
        <w:t>康</w:t>
      </w:r>
      <w:r>
        <w:rPr>
          <w:spacing w:val="-2"/>
          <w:sz w:val="21"/>
        </w:rPr>
        <w:t>复</w:t>
      </w:r>
      <w:r>
        <w:rPr>
          <w:spacing w:val="-2"/>
          <w:sz w:val="21"/>
        </w:rPr>
        <w:t>、</w:t>
      </w:r>
      <w:r>
        <w:rPr>
          <w:spacing w:val="-2"/>
          <w:sz w:val="21"/>
        </w:rPr>
        <w:t>联</w:t>
      </w:r>
      <w:r>
        <w:rPr>
          <w:spacing w:val="-2"/>
          <w:sz w:val="21"/>
        </w:rPr>
        <w:t>合</w:t>
      </w:r>
      <w:r>
        <w:rPr>
          <w:spacing w:val="-2"/>
          <w:sz w:val="21"/>
        </w:rPr>
        <w:t>病</w:t>
      </w:r>
      <w:r>
        <w:rPr>
          <w:spacing w:val="-2"/>
          <w:sz w:val="21"/>
        </w:rPr>
        <w:t>房</w:t>
      </w:r>
      <w:r>
        <w:rPr>
          <w:spacing w:val="-2"/>
          <w:sz w:val="21"/>
        </w:rPr>
        <w:t>、</w:t>
      </w:r>
      <w:r>
        <w:rPr>
          <w:spacing w:val="-2"/>
          <w:sz w:val="21"/>
        </w:rPr>
        <w:t>家</w:t>
      </w:r>
      <w:r>
        <w:rPr>
          <w:spacing w:val="-2"/>
          <w:sz w:val="21"/>
        </w:rPr>
        <w:t>庭</w:t>
      </w:r>
      <w:r>
        <w:rPr>
          <w:spacing w:val="-2"/>
          <w:sz w:val="21"/>
        </w:rPr>
        <w:t>病</w:t>
      </w:r>
      <w:r>
        <w:rPr>
          <w:spacing w:val="-2"/>
          <w:sz w:val="21"/>
        </w:rPr>
        <w:t>床</w:t>
      </w:r>
      <w:r>
        <w:rPr>
          <w:spacing w:val="-2"/>
          <w:sz w:val="21"/>
        </w:rPr>
        <w:t>、</w:t>
      </w:r>
      <w:r>
        <w:rPr>
          <w:spacing w:val="-2"/>
          <w:sz w:val="21"/>
        </w:rPr>
        <w:t>护</w:t>
      </w:r>
      <w:r>
        <w:rPr>
          <w:spacing w:val="-2"/>
          <w:sz w:val="21"/>
        </w:rPr>
        <w:t>理</w:t>
      </w:r>
      <w:r>
        <w:rPr>
          <w:spacing w:val="-2"/>
          <w:sz w:val="21"/>
        </w:rPr>
        <w:t>、</w:t>
      </w:r>
      <w:r>
        <w:rPr>
          <w:spacing w:val="-2"/>
          <w:sz w:val="21"/>
        </w:rPr>
        <w:t>修</w:t>
      </w:r>
      <w:r>
        <w:rPr>
          <w:spacing w:val="-2"/>
          <w:sz w:val="21"/>
        </w:rPr>
        <w:t>养</w:t>
      </w:r>
      <w:r>
        <w:rPr>
          <w:spacing w:val="-2"/>
          <w:sz w:val="21"/>
        </w:rPr>
        <w:t>或</w:t>
      </w:r>
      <w:r>
        <w:rPr>
          <w:spacing w:val="-2"/>
          <w:sz w:val="21"/>
        </w:rPr>
        <w:t>戒</w:t>
      </w:r>
      <w:r>
        <w:rPr>
          <w:spacing w:val="-2"/>
          <w:sz w:val="21"/>
        </w:rPr>
        <w:t>酒</w:t>
      </w:r>
      <w:r>
        <w:rPr>
          <w:spacing w:val="-2"/>
          <w:sz w:val="21"/>
        </w:rPr>
        <w:t>、</w:t>
      </w:r>
      <w:r>
        <w:rPr>
          <w:spacing w:val="-2"/>
          <w:sz w:val="21"/>
        </w:rPr>
        <w:t>戒</w:t>
      </w:r>
      <w:r>
        <w:rPr>
          <w:spacing w:val="-2"/>
          <w:sz w:val="21"/>
        </w:rPr>
        <w:t>毒</w:t>
      </w:r>
      <w:r>
        <w:rPr>
          <w:spacing w:val="-2"/>
          <w:sz w:val="21"/>
        </w:rPr>
        <w:t>等</w:t>
      </w:r>
      <w:r>
        <w:rPr>
          <w:spacing w:val="-2"/>
          <w:sz w:val="21"/>
        </w:rPr>
        <w:t>医</w:t>
      </w:r>
      <w:r>
        <w:rPr>
          <w:spacing w:val="-2"/>
          <w:sz w:val="21"/>
        </w:rPr>
        <w:t>疗</w:t>
      </w:r>
      <w:r>
        <w:rPr>
          <w:spacing w:val="-2"/>
          <w:sz w:val="21"/>
        </w:rPr>
        <w:t>机</w:t>
      </w:r>
      <w:r>
        <w:rPr>
          <w:spacing w:val="-2"/>
          <w:sz w:val="21"/>
        </w:rPr>
        <w:t>构。</w:t>
      </w:r>
      <w:r>
        <w:rPr>
          <w:spacing w:val="-2"/>
          <w:sz w:val="21"/>
        </w:rPr>
        <w:t>该</w:t>
      </w:r>
      <w:r>
        <w:rPr>
          <w:spacing w:val="-4"/>
          <w:sz w:val="21"/>
        </w:rPr>
        <w:t>医</w:t>
      </w:r>
      <w:r>
        <w:rPr>
          <w:spacing w:val="-4"/>
          <w:sz w:val="21"/>
        </w:rPr>
        <w:t>院</w:t>
      </w:r>
      <w:r>
        <w:rPr>
          <w:spacing w:val="-4"/>
          <w:sz w:val="21"/>
        </w:rPr>
        <w:t>必须具有系统的、充</w:t>
      </w:r>
      <w:r>
        <w:rPr>
          <w:spacing w:val="-4"/>
          <w:sz w:val="21"/>
        </w:rPr>
        <w:t>分</w:t>
      </w:r>
      <w:r>
        <w:rPr>
          <w:spacing w:val="-4"/>
          <w:sz w:val="21"/>
        </w:rPr>
        <w:t>的</w:t>
      </w:r>
      <w:r>
        <w:rPr>
          <w:spacing w:val="-4"/>
          <w:sz w:val="21"/>
        </w:rPr>
        <w:t>诊断设备，全套外科</w:t>
      </w:r>
      <w:r>
        <w:rPr>
          <w:spacing w:val="-4"/>
          <w:sz w:val="21"/>
        </w:rPr>
        <w:t>手</w:t>
      </w:r>
      <w:r>
        <w:rPr>
          <w:spacing w:val="-4"/>
          <w:sz w:val="21"/>
        </w:rPr>
        <w:t>术</w:t>
      </w:r>
      <w:r>
        <w:rPr>
          <w:spacing w:val="-4"/>
          <w:sz w:val="21"/>
        </w:rPr>
        <w:t>设备并提供</w:t>
      </w:r>
      <w:r>
        <w:rPr>
          <w:spacing w:val="-23"/>
          <w:sz w:val="21"/>
        </w:rPr>
        <w:t> </w:t>
      </w:r>
      <w:r>
        <w:rPr>
          <w:spacing w:val="-4"/>
          <w:sz w:val="21"/>
        </w:rPr>
        <w:t>24</w:t>
      </w:r>
      <w:r>
        <w:rPr>
          <w:spacing w:val="-22"/>
          <w:sz w:val="21"/>
        </w:rPr>
        <w:t> </w:t>
      </w:r>
      <w:r>
        <w:rPr>
          <w:spacing w:val="-4"/>
          <w:sz w:val="21"/>
        </w:rPr>
        <w:t>小时的</w:t>
      </w:r>
      <w:r>
        <w:rPr>
          <w:spacing w:val="-4"/>
          <w:sz w:val="21"/>
        </w:rPr>
        <w:t>医</w:t>
      </w:r>
      <w:r>
        <w:rPr>
          <w:spacing w:val="-4"/>
          <w:sz w:val="21"/>
        </w:rPr>
        <w:t>疗</w:t>
      </w:r>
      <w:r>
        <w:rPr>
          <w:spacing w:val="-2"/>
          <w:sz w:val="21"/>
        </w:rPr>
        <w:t>与</w:t>
      </w:r>
      <w:r>
        <w:rPr>
          <w:spacing w:val="-2"/>
          <w:sz w:val="21"/>
        </w:rPr>
        <w:t>护</w:t>
      </w:r>
      <w:r>
        <w:rPr>
          <w:spacing w:val="-2"/>
          <w:sz w:val="21"/>
        </w:rPr>
        <w:t>理服务。</w:t>
      </w:r>
    </w:p>
    <w:p>
      <w:pPr>
        <w:pStyle w:val="BodyText"/>
        <w:spacing w:before="5"/>
        <w:rPr>
          <w:sz w:val="22"/>
        </w:rPr>
      </w:pPr>
    </w:p>
    <w:p>
      <w:pPr>
        <w:pStyle w:val="ListParagraph"/>
        <w:numPr>
          <w:ilvl w:val="1"/>
          <w:numId w:val="5"/>
        </w:numPr>
        <w:tabs>
          <w:tab w:pos="1073" w:val="left" w:leader="none"/>
          <w:tab w:pos="2699" w:val="left" w:leader="none"/>
        </w:tabs>
        <w:spacing w:line="256" w:lineRule="auto" w:before="0" w:after="0"/>
        <w:ind w:left="2699" w:right="358" w:hanging="2480"/>
        <w:jc w:val="both"/>
        <w:rPr>
          <w:sz w:val="21"/>
        </w:rPr>
      </w:pPr>
      <w:r>
        <w:rPr>
          <w:rFonts w:ascii="微软雅黑" w:eastAsia="微软雅黑"/>
          <w:b/>
          <w:spacing w:val="-4"/>
          <w:sz w:val="21"/>
        </w:rPr>
        <w:t>专</w:t>
      </w:r>
      <w:r>
        <w:rPr>
          <w:rFonts w:ascii="微软雅黑" w:eastAsia="微软雅黑"/>
          <w:b/>
          <w:spacing w:val="-4"/>
          <w:sz w:val="21"/>
        </w:rPr>
        <w:t>科</w:t>
      </w:r>
      <w:r>
        <w:rPr>
          <w:rFonts w:ascii="微软雅黑" w:eastAsia="微软雅黑"/>
          <w:b/>
          <w:spacing w:val="-4"/>
          <w:sz w:val="21"/>
        </w:rPr>
        <w:t>医</w:t>
      </w:r>
      <w:r>
        <w:rPr>
          <w:rFonts w:ascii="微软雅黑" w:eastAsia="微软雅黑"/>
          <w:b/>
          <w:spacing w:val="-4"/>
          <w:sz w:val="21"/>
        </w:rPr>
        <w:t>生</w:t>
      </w:r>
      <w:r>
        <w:rPr>
          <w:rFonts w:ascii="微软雅黑" w:eastAsia="微软雅黑"/>
          <w:b/>
          <w:sz w:val="21"/>
        </w:rPr>
        <w:tab/>
      </w:r>
      <w:r>
        <w:rPr>
          <w:spacing w:val="-2"/>
          <w:sz w:val="21"/>
        </w:rPr>
        <w:t>专</w:t>
      </w:r>
      <w:r>
        <w:rPr>
          <w:spacing w:val="-2"/>
          <w:sz w:val="21"/>
        </w:rPr>
        <w:t>科</w:t>
      </w:r>
      <w:r>
        <w:rPr>
          <w:spacing w:val="-2"/>
          <w:sz w:val="21"/>
        </w:rPr>
        <w:t>医</w:t>
      </w:r>
      <w:r>
        <w:rPr>
          <w:spacing w:val="-2"/>
          <w:sz w:val="21"/>
        </w:rPr>
        <w:t>生</w:t>
      </w:r>
      <w:r>
        <w:rPr>
          <w:spacing w:val="-2"/>
          <w:sz w:val="21"/>
        </w:rPr>
        <w:t>应</w:t>
      </w:r>
      <w:r>
        <w:rPr>
          <w:spacing w:val="-2"/>
          <w:sz w:val="21"/>
        </w:rPr>
        <w:t>当</w:t>
      </w:r>
      <w:r>
        <w:rPr>
          <w:spacing w:val="-2"/>
          <w:sz w:val="21"/>
        </w:rPr>
        <w:t>同</w:t>
      </w:r>
      <w:r>
        <w:rPr>
          <w:spacing w:val="-2"/>
          <w:sz w:val="21"/>
        </w:rPr>
        <w:t>时</w:t>
      </w:r>
      <w:r>
        <w:rPr>
          <w:spacing w:val="-2"/>
          <w:sz w:val="21"/>
        </w:rPr>
        <w:t>满</w:t>
      </w:r>
      <w:r>
        <w:rPr>
          <w:spacing w:val="-2"/>
          <w:sz w:val="21"/>
        </w:rPr>
        <w:t>足</w:t>
      </w:r>
      <w:r>
        <w:rPr>
          <w:spacing w:val="-2"/>
          <w:sz w:val="21"/>
        </w:rPr>
        <w:t>以</w:t>
      </w:r>
      <w:r>
        <w:rPr>
          <w:spacing w:val="-2"/>
          <w:sz w:val="21"/>
        </w:rPr>
        <w:t>下</w:t>
      </w:r>
      <w:r>
        <w:rPr>
          <w:spacing w:val="-2"/>
          <w:sz w:val="21"/>
        </w:rPr>
        <w:t>四</w:t>
      </w:r>
      <w:r>
        <w:rPr>
          <w:spacing w:val="-2"/>
          <w:sz w:val="21"/>
        </w:rPr>
        <w:t>项</w:t>
      </w:r>
      <w:r>
        <w:rPr>
          <w:spacing w:val="-2"/>
          <w:sz w:val="21"/>
        </w:rPr>
        <w:t>资</w:t>
      </w:r>
      <w:r>
        <w:rPr>
          <w:spacing w:val="-2"/>
          <w:sz w:val="21"/>
        </w:rPr>
        <w:t>格</w:t>
      </w:r>
      <w:r>
        <w:rPr>
          <w:spacing w:val="-2"/>
          <w:sz w:val="21"/>
        </w:rPr>
        <w:t>条</w:t>
      </w:r>
      <w:r>
        <w:rPr>
          <w:spacing w:val="-2"/>
          <w:sz w:val="21"/>
        </w:rPr>
        <w:t>件</w:t>
      </w:r>
      <w:r>
        <w:rPr>
          <w:spacing w:val="-82"/>
          <w:sz w:val="21"/>
        </w:rPr>
        <w:t>：</w:t>
      </w:r>
      <w:r>
        <w:rPr>
          <w:spacing w:val="24"/>
          <w:sz w:val="21"/>
        </w:rPr>
        <w:t>（1）</w:t>
      </w:r>
      <w:r>
        <w:rPr>
          <w:spacing w:val="-2"/>
          <w:sz w:val="21"/>
        </w:rPr>
        <w:t>具</w:t>
      </w:r>
      <w:r>
        <w:rPr>
          <w:spacing w:val="-2"/>
          <w:sz w:val="21"/>
        </w:rPr>
        <w:t>有</w:t>
      </w:r>
      <w:r>
        <w:rPr>
          <w:spacing w:val="-2"/>
          <w:sz w:val="21"/>
        </w:rPr>
        <w:t>有</w:t>
      </w:r>
      <w:r>
        <w:rPr>
          <w:spacing w:val="-2"/>
          <w:sz w:val="21"/>
        </w:rPr>
        <w:t>效</w:t>
      </w:r>
      <w:r>
        <w:rPr>
          <w:spacing w:val="-2"/>
          <w:sz w:val="21"/>
        </w:rPr>
        <w:t>的</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医</w:t>
      </w:r>
      <w:r>
        <w:rPr>
          <w:spacing w:val="-4"/>
          <w:sz w:val="21"/>
        </w:rPr>
        <w:t>师</w:t>
      </w:r>
      <w:r>
        <w:rPr>
          <w:spacing w:val="-4"/>
          <w:sz w:val="21"/>
        </w:rPr>
        <w:t>资</w:t>
      </w:r>
      <w:r>
        <w:rPr>
          <w:spacing w:val="-4"/>
          <w:sz w:val="21"/>
        </w:rPr>
        <w:t>格</w:t>
      </w:r>
      <w:r>
        <w:rPr>
          <w:spacing w:val="-4"/>
          <w:sz w:val="21"/>
        </w:rPr>
        <w:t>证</w:t>
      </w:r>
      <w:r>
        <w:rPr>
          <w:spacing w:val="-4"/>
          <w:sz w:val="21"/>
        </w:rPr>
        <w:t>书</w:t>
      </w:r>
      <w:r>
        <w:rPr>
          <w:spacing w:val="-106"/>
          <w:sz w:val="21"/>
        </w:rPr>
        <w:t>》</w:t>
      </w:r>
      <w:r>
        <w:rPr>
          <w:spacing w:val="-82"/>
          <w:sz w:val="21"/>
        </w:rPr>
        <w:t>；</w:t>
      </w:r>
      <w:r>
        <w:rPr>
          <w:spacing w:val="22"/>
          <w:sz w:val="21"/>
        </w:rPr>
        <w:t>（2）</w:t>
      </w:r>
      <w:r>
        <w:rPr>
          <w:spacing w:val="-4"/>
          <w:sz w:val="21"/>
        </w:rPr>
        <w:t>具</w:t>
      </w:r>
      <w:r>
        <w:rPr>
          <w:spacing w:val="-4"/>
          <w:sz w:val="21"/>
        </w:rPr>
        <w:t>有有</w:t>
      </w:r>
      <w:r>
        <w:rPr>
          <w:spacing w:val="-4"/>
          <w:sz w:val="21"/>
        </w:rPr>
        <w:t>效</w:t>
      </w:r>
      <w:r>
        <w:rPr>
          <w:spacing w:val="-4"/>
          <w:sz w:val="21"/>
        </w:rPr>
        <w:t>的</w:t>
      </w:r>
      <w:r>
        <w:rPr>
          <w:spacing w:val="-4"/>
          <w:sz w:val="21"/>
        </w:rPr>
        <w:t>中</w:t>
      </w:r>
      <w:r>
        <w:rPr>
          <w:spacing w:val="-4"/>
          <w:sz w:val="21"/>
        </w:rPr>
        <w:t>华</w:t>
      </w:r>
      <w:r>
        <w:rPr>
          <w:spacing w:val="-4"/>
          <w:sz w:val="21"/>
        </w:rPr>
        <w:t>人</w:t>
      </w:r>
      <w:r>
        <w:rPr>
          <w:spacing w:val="-4"/>
          <w:sz w:val="21"/>
        </w:rPr>
        <w:t>民</w:t>
      </w:r>
      <w:r>
        <w:rPr>
          <w:spacing w:val="-4"/>
          <w:sz w:val="21"/>
        </w:rPr>
        <w:t>共</w:t>
      </w:r>
      <w:r>
        <w:rPr>
          <w:spacing w:val="-4"/>
          <w:sz w:val="21"/>
        </w:rPr>
        <w:t>和</w:t>
      </w:r>
      <w:r>
        <w:rPr>
          <w:spacing w:val="-4"/>
          <w:sz w:val="21"/>
        </w:rPr>
        <w:t>国</w:t>
      </w:r>
      <w:r>
        <w:rPr>
          <w:spacing w:val="-4"/>
          <w:sz w:val="21"/>
        </w:rPr>
        <w:t>《</w:t>
      </w:r>
      <w:r>
        <w:rPr>
          <w:spacing w:val="-4"/>
          <w:sz w:val="21"/>
        </w:rPr>
        <w:t>医</w:t>
      </w:r>
      <w:r>
        <w:rPr>
          <w:spacing w:val="-4"/>
          <w:sz w:val="21"/>
        </w:rPr>
        <w:t>师</w:t>
      </w:r>
      <w:r>
        <w:rPr>
          <w:spacing w:val="-4"/>
          <w:sz w:val="21"/>
        </w:rPr>
        <w:t>执</w:t>
      </w:r>
      <w:r>
        <w:rPr>
          <w:spacing w:val="-4"/>
          <w:sz w:val="21"/>
        </w:rPr>
        <w:t>业</w:t>
      </w:r>
      <w:r>
        <w:rPr>
          <w:spacing w:val="-4"/>
          <w:sz w:val="21"/>
        </w:rPr>
        <w:t>证</w:t>
      </w:r>
      <w:r>
        <w:rPr>
          <w:spacing w:val="-4"/>
          <w:sz w:val="21"/>
        </w:rPr>
        <w:t>书</w:t>
      </w:r>
      <w:r>
        <w:rPr>
          <w:spacing w:val="-104"/>
          <w:sz w:val="21"/>
        </w:rPr>
        <w:t>》</w:t>
      </w:r>
      <w:r>
        <w:rPr>
          <w:spacing w:val="-4"/>
          <w:sz w:val="21"/>
        </w:rPr>
        <w:t>，</w:t>
      </w:r>
      <w:r>
        <w:rPr>
          <w:spacing w:val="-4"/>
          <w:sz w:val="21"/>
        </w:rPr>
        <w:t>并</w:t>
      </w:r>
      <w:r>
        <w:rPr>
          <w:spacing w:val="-4"/>
          <w:sz w:val="21"/>
        </w:rPr>
        <w:t>按</w:t>
      </w:r>
      <w:r>
        <w:rPr>
          <w:spacing w:val="-4"/>
          <w:sz w:val="21"/>
        </w:rPr>
        <w:t>期</w:t>
      </w:r>
      <w:r>
        <w:rPr>
          <w:spacing w:val="-4"/>
          <w:sz w:val="21"/>
        </w:rPr>
        <w:t>到</w:t>
      </w:r>
      <w:r>
        <w:rPr>
          <w:spacing w:val="-4"/>
          <w:sz w:val="21"/>
        </w:rPr>
        <w:t>相</w:t>
      </w:r>
      <w:r>
        <w:rPr>
          <w:spacing w:val="-4"/>
          <w:sz w:val="21"/>
        </w:rPr>
        <w:t>关</w:t>
      </w:r>
      <w:r>
        <w:rPr>
          <w:spacing w:val="-2"/>
          <w:sz w:val="21"/>
        </w:rPr>
        <w:t>部</w:t>
      </w:r>
      <w:r>
        <w:rPr>
          <w:spacing w:val="-2"/>
          <w:sz w:val="21"/>
        </w:rPr>
        <w:t>门</w:t>
      </w:r>
      <w:r>
        <w:rPr>
          <w:spacing w:val="-2"/>
          <w:sz w:val="21"/>
        </w:rPr>
        <w:t>登</w:t>
      </w:r>
      <w:r>
        <w:rPr>
          <w:spacing w:val="-2"/>
          <w:sz w:val="21"/>
        </w:rPr>
        <w:t>记</w:t>
      </w:r>
      <w:r>
        <w:rPr>
          <w:spacing w:val="-2"/>
          <w:sz w:val="21"/>
        </w:rPr>
        <w:t>注</w:t>
      </w:r>
      <w:r>
        <w:rPr>
          <w:spacing w:val="-2"/>
          <w:sz w:val="21"/>
        </w:rPr>
        <w:t>册</w:t>
      </w:r>
      <w:r>
        <w:rPr>
          <w:spacing w:val="-80"/>
          <w:sz w:val="21"/>
        </w:rPr>
        <w:t>；</w:t>
      </w:r>
      <w:r>
        <w:rPr>
          <w:spacing w:val="24"/>
          <w:sz w:val="21"/>
        </w:rPr>
        <w:t>（3）</w:t>
      </w:r>
      <w:r>
        <w:rPr>
          <w:spacing w:val="-2"/>
          <w:sz w:val="21"/>
        </w:rPr>
        <w:t>具有</w:t>
      </w:r>
      <w:r>
        <w:rPr>
          <w:spacing w:val="-2"/>
          <w:sz w:val="21"/>
        </w:rPr>
        <w:t>有</w:t>
      </w:r>
      <w:r>
        <w:rPr>
          <w:spacing w:val="-2"/>
          <w:sz w:val="21"/>
        </w:rPr>
        <w:t>效</w:t>
      </w:r>
      <w:r>
        <w:rPr>
          <w:spacing w:val="-2"/>
          <w:sz w:val="21"/>
        </w:rPr>
        <w:t>的</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主</w:t>
      </w:r>
      <w:r>
        <w:rPr>
          <w:spacing w:val="-2"/>
          <w:sz w:val="21"/>
        </w:rPr>
        <w:t>治</w:t>
      </w:r>
      <w:r>
        <w:rPr>
          <w:spacing w:val="-2"/>
          <w:sz w:val="21"/>
        </w:rPr>
        <w:t>医</w:t>
      </w:r>
      <w:r>
        <w:rPr>
          <w:spacing w:val="-2"/>
          <w:sz w:val="21"/>
        </w:rPr>
        <w:t>师</w:t>
      </w:r>
      <w:r>
        <w:rPr>
          <w:spacing w:val="-2"/>
          <w:sz w:val="21"/>
        </w:rPr>
        <w:t>或</w:t>
      </w:r>
      <w:r>
        <w:rPr>
          <w:spacing w:val="-2"/>
          <w:sz w:val="21"/>
        </w:rPr>
        <w:t>主</w:t>
      </w:r>
      <w:r>
        <w:rPr>
          <w:spacing w:val="-2"/>
          <w:sz w:val="21"/>
        </w:rPr>
        <w:t>治</w:t>
      </w:r>
      <w:r>
        <w:rPr>
          <w:spacing w:val="-2"/>
          <w:sz w:val="21"/>
        </w:rPr>
        <w:t>医</w:t>
      </w:r>
      <w:r>
        <w:rPr>
          <w:spacing w:val="-2"/>
          <w:sz w:val="21"/>
        </w:rPr>
        <w:t>师</w:t>
      </w:r>
      <w:r>
        <w:rPr>
          <w:spacing w:val="-2"/>
          <w:sz w:val="21"/>
        </w:rPr>
        <w:t>以</w:t>
      </w:r>
      <w:r>
        <w:rPr>
          <w:spacing w:val="-2"/>
          <w:sz w:val="21"/>
        </w:rPr>
        <w:t>上</w:t>
      </w:r>
      <w:r>
        <w:rPr>
          <w:spacing w:val="-2"/>
          <w:sz w:val="21"/>
        </w:rPr>
        <w:t>职称</w:t>
      </w:r>
      <w:r>
        <w:rPr>
          <w:spacing w:val="-2"/>
          <w:sz w:val="21"/>
        </w:rPr>
        <w:t>的</w:t>
      </w:r>
    </w:p>
    <w:p>
      <w:pPr>
        <w:pStyle w:val="BodyText"/>
        <w:spacing w:before="13"/>
        <w:ind w:left="2699"/>
      </w:pPr>
      <w:r>
        <w:rPr>
          <w:spacing w:val="-15"/>
        </w:rPr>
        <w:t>《医师职称证书》</w:t>
      </w:r>
      <w:r>
        <w:rPr>
          <w:spacing w:val="-195"/>
        </w:rPr>
        <w:t>；</w:t>
      </w:r>
      <w:r>
        <w:rPr/>
        <w:t>（</w:t>
      </w:r>
      <w:r>
        <w:rPr>
          <w:spacing w:val="-3"/>
        </w:rPr>
        <w:t>4</w:t>
      </w:r>
      <w:r>
        <w:rPr>
          <w:spacing w:val="-89"/>
        </w:rPr>
        <w:t>）</w:t>
      </w:r>
      <w:r>
        <w:rPr>
          <w:spacing w:val="-3"/>
        </w:rPr>
        <w:t>在二级或二级以上医院的相应科室从事临床工作三年以上。</w:t>
      </w:r>
    </w:p>
    <w:p>
      <w:pPr>
        <w:pStyle w:val="BodyText"/>
        <w:spacing w:before="12"/>
        <w:rPr>
          <w:sz w:val="9"/>
        </w:rPr>
      </w:pPr>
    </w:p>
    <w:p>
      <w:pPr>
        <w:pStyle w:val="ListParagraph"/>
        <w:numPr>
          <w:ilvl w:val="1"/>
          <w:numId w:val="5"/>
        </w:numPr>
        <w:tabs>
          <w:tab w:pos="1072" w:val="left" w:leader="none"/>
          <w:tab w:pos="1073" w:val="left" w:leader="none"/>
        </w:tabs>
        <w:spacing w:line="194" w:lineRule="auto" w:before="57" w:after="0"/>
        <w:ind w:left="1072" w:right="8104" w:hanging="853"/>
        <w:jc w:val="left"/>
        <w:rPr>
          <w:rFonts w:ascii="微软雅黑" w:eastAsia="微软雅黑"/>
          <w:b/>
          <w:sz w:val="21"/>
        </w:rPr>
      </w:pPr>
      <w:r>
        <w:rPr>
          <w:rFonts w:ascii="微软雅黑" w:eastAsia="微软雅黑"/>
          <w:b/>
          <w:spacing w:val="-2"/>
          <w:sz w:val="21"/>
        </w:rPr>
        <w:t>重度疾病分组</w:t>
      </w:r>
      <w:r>
        <w:rPr>
          <w:rFonts w:ascii="微软雅黑" w:eastAsia="微软雅黑"/>
          <w:b/>
          <w:spacing w:val="-10"/>
          <w:sz w:val="21"/>
        </w:rPr>
        <w:t>表</w:t>
      </w:r>
    </w:p>
    <w:p>
      <w:pPr>
        <w:spacing w:line="332" w:lineRule="exact" w:before="0"/>
        <w:ind w:left="4841" w:right="0" w:firstLine="0"/>
        <w:jc w:val="left"/>
        <w:rPr>
          <w:rFonts w:ascii="微软雅黑" w:eastAsia="微软雅黑"/>
          <w:b/>
          <w:sz w:val="21"/>
        </w:rPr>
      </w:pPr>
      <w:r>
        <w:rPr>
          <w:rFonts w:ascii="微软雅黑" w:eastAsia="微软雅黑"/>
          <w:b/>
          <w:spacing w:val="-2"/>
          <w:sz w:val="21"/>
        </w:rPr>
        <w:t>重度疾病分组表</w:t>
      </w:r>
    </w:p>
    <w:p>
      <w:pPr>
        <w:pStyle w:val="BodyText"/>
        <w:spacing w:before="15"/>
        <w:rPr>
          <w:rFonts w:ascii="微软雅黑"/>
          <w:b/>
          <w:sz w:val="6"/>
        </w:rPr>
      </w:pPr>
    </w:p>
    <w:tbl>
      <w:tblPr>
        <w:tblW w:w="0" w:type="auto"/>
        <w:jc w:val="left"/>
        <w:tblInd w:w="1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30"/>
        <w:gridCol w:w="2230"/>
        <w:gridCol w:w="2227"/>
        <w:gridCol w:w="2230"/>
      </w:tblGrid>
      <w:tr>
        <w:trPr>
          <w:trHeight w:val="313" w:hRule="atLeast"/>
        </w:trPr>
        <w:tc>
          <w:tcPr>
            <w:tcW w:w="2230" w:type="dxa"/>
          </w:tcPr>
          <w:p>
            <w:pPr>
              <w:pStyle w:val="TableParagraph"/>
              <w:spacing w:before="25"/>
              <w:ind w:left="107"/>
              <w:rPr>
                <w:sz w:val="21"/>
              </w:rPr>
            </w:pPr>
            <w:r>
              <w:rPr>
                <w:spacing w:val="-2"/>
                <w:sz w:val="21"/>
              </w:rPr>
              <w:t>A组（32种</w:t>
            </w:r>
            <w:r>
              <w:rPr>
                <w:spacing w:val="-10"/>
                <w:sz w:val="21"/>
              </w:rPr>
              <w:t>）</w:t>
            </w:r>
          </w:p>
        </w:tc>
        <w:tc>
          <w:tcPr>
            <w:tcW w:w="2230" w:type="dxa"/>
          </w:tcPr>
          <w:p>
            <w:pPr>
              <w:pStyle w:val="TableParagraph"/>
              <w:spacing w:before="25"/>
              <w:ind w:left="107"/>
              <w:rPr>
                <w:sz w:val="21"/>
              </w:rPr>
            </w:pPr>
            <w:r>
              <w:rPr>
                <w:spacing w:val="-2"/>
                <w:sz w:val="21"/>
              </w:rPr>
              <w:t>B组（26种</w:t>
            </w:r>
            <w:r>
              <w:rPr>
                <w:spacing w:val="-10"/>
                <w:sz w:val="21"/>
              </w:rPr>
              <w:t>）</w:t>
            </w:r>
          </w:p>
        </w:tc>
        <w:tc>
          <w:tcPr>
            <w:tcW w:w="2227" w:type="dxa"/>
            <w:tcBorders>
              <w:right w:val="single" w:sz="6" w:space="0" w:color="000000"/>
            </w:tcBorders>
          </w:tcPr>
          <w:p>
            <w:pPr>
              <w:pStyle w:val="TableParagraph"/>
              <w:spacing w:before="25"/>
              <w:ind w:left="103"/>
              <w:rPr>
                <w:sz w:val="21"/>
              </w:rPr>
            </w:pPr>
            <w:r>
              <w:rPr>
                <w:spacing w:val="-2"/>
                <w:sz w:val="21"/>
              </w:rPr>
              <w:t>C组（36种</w:t>
            </w:r>
            <w:r>
              <w:rPr>
                <w:spacing w:val="-10"/>
                <w:sz w:val="21"/>
              </w:rPr>
              <w:t>）</w:t>
            </w:r>
          </w:p>
        </w:tc>
        <w:tc>
          <w:tcPr>
            <w:tcW w:w="2230" w:type="dxa"/>
            <w:tcBorders>
              <w:left w:val="single" w:sz="6" w:space="0" w:color="000000"/>
            </w:tcBorders>
          </w:tcPr>
          <w:p>
            <w:pPr>
              <w:pStyle w:val="TableParagraph"/>
              <w:spacing w:before="25"/>
              <w:ind w:left="106"/>
              <w:rPr>
                <w:sz w:val="21"/>
              </w:rPr>
            </w:pPr>
            <w:r>
              <w:rPr>
                <w:spacing w:val="-2"/>
                <w:sz w:val="21"/>
              </w:rPr>
              <w:t>D组（11种</w:t>
            </w:r>
            <w:r>
              <w:rPr>
                <w:spacing w:val="-10"/>
                <w:sz w:val="21"/>
              </w:rPr>
              <w:t>）</w:t>
            </w:r>
          </w:p>
        </w:tc>
      </w:tr>
      <w:tr>
        <w:trPr>
          <w:trHeight w:val="5294" w:hRule="atLeast"/>
        </w:trPr>
        <w:tc>
          <w:tcPr>
            <w:tcW w:w="2230" w:type="dxa"/>
          </w:tcPr>
          <w:p>
            <w:pPr>
              <w:pStyle w:val="TableParagraph"/>
              <w:numPr>
                <w:ilvl w:val="0"/>
                <w:numId w:val="116"/>
              </w:numPr>
              <w:tabs>
                <w:tab w:pos="468" w:val="left" w:leader="none"/>
              </w:tabs>
              <w:spacing w:line="278" w:lineRule="auto" w:before="22" w:after="0"/>
              <w:ind w:left="467" w:right="96" w:hanging="360"/>
              <w:jc w:val="both"/>
              <w:rPr>
                <w:sz w:val="21"/>
              </w:rPr>
            </w:pPr>
            <w:r>
              <w:rPr>
                <w:spacing w:val="16"/>
                <w:w w:val="95"/>
                <w:sz w:val="21"/>
              </w:rPr>
              <w:t>恶性肿瘤—— </w:t>
            </w:r>
            <w:r>
              <w:rPr>
                <w:w w:val="95"/>
                <w:sz w:val="21"/>
              </w:rPr>
              <w:t>重</w:t>
            </w:r>
            <w:r>
              <w:rPr>
                <w:spacing w:val="-10"/>
                <w:sz w:val="21"/>
              </w:rPr>
              <w:t>度</w:t>
            </w:r>
          </w:p>
          <w:p>
            <w:pPr>
              <w:pStyle w:val="TableParagraph"/>
              <w:numPr>
                <w:ilvl w:val="0"/>
                <w:numId w:val="116"/>
              </w:numPr>
              <w:tabs>
                <w:tab w:pos="468" w:val="left" w:leader="none"/>
              </w:tabs>
              <w:spacing w:line="278" w:lineRule="auto" w:before="0" w:after="0"/>
              <w:ind w:left="467" w:right="98" w:hanging="360"/>
              <w:jc w:val="both"/>
              <w:rPr>
                <w:sz w:val="21"/>
              </w:rPr>
            </w:pPr>
            <w:r>
              <w:rPr>
                <w:spacing w:val="21"/>
                <w:sz w:val="21"/>
              </w:rPr>
              <w:t>重大器官移植术</w:t>
            </w:r>
            <w:r>
              <w:rPr>
                <w:spacing w:val="21"/>
                <w:sz w:val="21"/>
              </w:rPr>
              <w:t>或造血干细胞移</w:t>
            </w:r>
            <w:r>
              <w:rPr>
                <w:spacing w:val="-6"/>
                <w:sz w:val="21"/>
              </w:rPr>
              <w:t>植术</w:t>
            </w:r>
          </w:p>
          <w:p>
            <w:pPr>
              <w:pStyle w:val="TableParagraph"/>
              <w:numPr>
                <w:ilvl w:val="0"/>
                <w:numId w:val="116"/>
              </w:numPr>
              <w:tabs>
                <w:tab w:pos="468" w:val="left" w:leader="none"/>
              </w:tabs>
              <w:spacing w:line="269" w:lineRule="exact" w:before="0" w:after="0"/>
              <w:ind w:left="467" w:right="0" w:hanging="361"/>
              <w:jc w:val="both"/>
              <w:rPr>
                <w:sz w:val="21"/>
              </w:rPr>
            </w:pPr>
            <w:r>
              <w:rPr>
                <w:spacing w:val="-4"/>
                <w:sz w:val="21"/>
              </w:rPr>
              <w:t>严重慢性肾衰竭</w:t>
            </w:r>
          </w:p>
          <w:p>
            <w:pPr>
              <w:pStyle w:val="TableParagraph"/>
              <w:numPr>
                <w:ilvl w:val="0"/>
                <w:numId w:val="116"/>
              </w:numPr>
              <w:tabs>
                <w:tab w:pos="468" w:val="left" w:leader="none"/>
              </w:tabs>
              <w:spacing w:line="278" w:lineRule="auto" w:before="43" w:after="0"/>
              <w:ind w:left="467" w:right="98" w:hanging="360"/>
              <w:jc w:val="both"/>
              <w:rPr>
                <w:sz w:val="21"/>
              </w:rPr>
            </w:pPr>
            <w:r>
              <w:rPr>
                <w:spacing w:val="21"/>
                <w:sz w:val="21"/>
              </w:rPr>
              <w:t>急性重症肝炎或</w:t>
            </w:r>
            <w:r>
              <w:rPr>
                <w:spacing w:val="-2"/>
                <w:sz w:val="21"/>
              </w:rPr>
              <w:t>亚急性重症肝炎</w:t>
            </w:r>
          </w:p>
          <w:p>
            <w:pPr>
              <w:pStyle w:val="TableParagraph"/>
              <w:numPr>
                <w:ilvl w:val="0"/>
                <w:numId w:val="116"/>
              </w:numPr>
              <w:tabs>
                <w:tab w:pos="468" w:val="left" w:leader="none"/>
              </w:tabs>
              <w:spacing w:line="240" w:lineRule="auto" w:before="0" w:after="0"/>
              <w:ind w:left="467" w:right="0" w:hanging="361"/>
              <w:jc w:val="both"/>
              <w:rPr>
                <w:sz w:val="21"/>
              </w:rPr>
            </w:pPr>
            <w:r>
              <w:rPr>
                <w:spacing w:val="-4"/>
                <w:sz w:val="21"/>
              </w:rPr>
              <w:t>严重慢性肝衰竭</w:t>
            </w:r>
          </w:p>
          <w:p>
            <w:pPr>
              <w:pStyle w:val="TableParagraph"/>
              <w:numPr>
                <w:ilvl w:val="0"/>
                <w:numId w:val="116"/>
              </w:numPr>
              <w:tabs>
                <w:tab w:pos="468" w:val="left" w:leader="none"/>
              </w:tabs>
              <w:spacing w:line="278" w:lineRule="auto" w:before="43" w:after="0"/>
              <w:ind w:left="467" w:right="97" w:hanging="360"/>
              <w:jc w:val="left"/>
              <w:rPr>
                <w:sz w:val="21"/>
              </w:rPr>
            </w:pPr>
            <w:r>
              <w:rPr>
                <w:spacing w:val="21"/>
                <w:sz w:val="21"/>
              </w:rPr>
              <w:t>重型再生障碍性</w:t>
            </w:r>
            <w:r>
              <w:rPr>
                <w:spacing w:val="-6"/>
                <w:sz w:val="21"/>
              </w:rPr>
              <w:t>贫血</w:t>
            </w:r>
          </w:p>
          <w:p>
            <w:pPr>
              <w:pStyle w:val="TableParagraph"/>
              <w:numPr>
                <w:ilvl w:val="0"/>
                <w:numId w:val="116"/>
              </w:numPr>
              <w:tabs>
                <w:tab w:pos="468" w:val="left" w:leader="none"/>
              </w:tabs>
              <w:spacing w:line="278" w:lineRule="auto" w:before="0" w:after="0"/>
              <w:ind w:left="467" w:right="98" w:hanging="360"/>
              <w:jc w:val="left"/>
              <w:rPr>
                <w:sz w:val="21"/>
              </w:rPr>
            </w:pPr>
            <w:r>
              <w:rPr>
                <w:spacing w:val="21"/>
                <w:sz w:val="21"/>
              </w:rPr>
              <w:t>严重慢性呼吸功</w:t>
            </w:r>
            <w:r>
              <w:rPr>
                <w:spacing w:val="-4"/>
                <w:sz w:val="21"/>
              </w:rPr>
              <w:t>能衰竭</w:t>
            </w:r>
          </w:p>
          <w:p>
            <w:pPr>
              <w:pStyle w:val="TableParagraph"/>
              <w:numPr>
                <w:ilvl w:val="0"/>
                <w:numId w:val="116"/>
              </w:numPr>
              <w:tabs>
                <w:tab w:pos="468" w:val="left" w:leader="none"/>
              </w:tabs>
              <w:spacing w:line="278" w:lineRule="auto" w:before="0" w:after="0"/>
              <w:ind w:left="467" w:right="98" w:hanging="360"/>
              <w:jc w:val="left"/>
              <w:rPr>
                <w:sz w:val="21"/>
              </w:rPr>
            </w:pPr>
            <w:r>
              <w:rPr>
                <w:spacing w:val="21"/>
                <w:sz w:val="21"/>
              </w:rPr>
              <w:t>严重溃疡性结肠</w:t>
            </w:r>
            <w:r>
              <w:rPr>
                <w:spacing w:val="-10"/>
                <w:sz w:val="21"/>
              </w:rPr>
              <w:t>炎</w:t>
            </w:r>
          </w:p>
          <w:p>
            <w:pPr>
              <w:pStyle w:val="TableParagraph"/>
              <w:numPr>
                <w:ilvl w:val="0"/>
                <w:numId w:val="116"/>
              </w:numPr>
              <w:tabs>
                <w:tab w:pos="468" w:val="left" w:leader="none"/>
              </w:tabs>
              <w:spacing w:line="269" w:lineRule="exact" w:before="0" w:after="0"/>
              <w:ind w:left="467" w:right="0" w:hanging="361"/>
              <w:jc w:val="left"/>
              <w:rPr>
                <w:sz w:val="21"/>
              </w:rPr>
            </w:pPr>
            <w:r>
              <w:rPr>
                <w:spacing w:val="-4"/>
                <w:sz w:val="21"/>
              </w:rPr>
              <w:t>严重多发性硬化</w:t>
            </w:r>
          </w:p>
          <w:p>
            <w:pPr>
              <w:pStyle w:val="TableParagraph"/>
              <w:numPr>
                <w:ilvl w:val="0"/>
                <w:numId w:val="116"/>
              </w:numPr>
              <w:tabs>
                <w:tab w:pos="468" w:val="left" w:leader="none"/>
              </w:tabs>
              <w:spacing w:line="259" w:lineRule="exact" w:before="43" w:after="0"/>
              <w:ind w:left="467" w:right="0" w:hanging="361"/>
              <w:jc w:val="left"/>
              <w:rPr>
                <w:sz w:val="21"/>
              </w:rPr>
            </w:pPr>
            <w:r>
              <w:rPr>
                <w:spacing w:val="22"/>
                <w:sz w:val="21"/>
              </w:rPr>
              <w:t>职业原因致人类</w:t>
            </w:r>
          </w:p>
        </w:tc>
        <w:tc>
          <w:tcPr>
            <w:tcW w:w="2230" w:type="dxa"/>
          </w:tcPr>
          <w:p>
            <w:pPr>
              <w:pStyle w:val="TableParagraph"/>
              <w:numPr>
                <w:ilvl w:val="0"/>
                <w:numId w:val="117"/>
              </w:numPr>
              <w:tabs>
                <w:tab w:pos="468" w:val="left" w:leader="none"/>
              </w:tabs>
              <w:spacing w:line="278" w:lineRule="auto" w:before="22" w:after="0"/>
              <w:ind w:left="467" w:right="95" w:hanging="360"/>
              <w:jc w:val="left"/>
              <w:rPr>
                <w:sz w:val="21"/>
              </w:rPr>
            </w:pPr>
            <w:r>
              <w:rPr>
                <w:spacing w:val="23"/>
                <w:sz w:val="21"/>
              </w:rPr>
              <w:t>较重急性心肌梗</w:t>
            </w:r>
            <w:r>
              <w:rPr>
                <w:spacing w:val="-10"/>
                <w:sz w:val="21"/>
              </w:rPr>
              <w:t>死</w:t>
            </w:r>
          </w:p>
          <w:p>
            <w:pPr>
              <w:pStyle w:val="TableParagraph"/>
              <w:numPr>
                <w:ilvl w:val="0"/>
                <w:numId w:val="117"/>
              </w:numPr>
              <w:tabs>
                <w:tab w:pos="468" w:val="left" w:leader="none"/>
              </w:tabs>
              <w:spacing w:line="269" w:lineRule="exact" w:before="0" w:after="0"/>
              <w:ind w:left="467" w:right="0" w:hanging="361"/>
              <w:jc w:val="left"/>
              <w:rPr>
                <w:sz w:val="21"/>
              </w:rPr>
            </w:pPr>
            <w:r>
              <w:rPr>
                <w:spacing w:val="22"/>
                <w:sz w:val="21"/>
              </w:rPr>
              <w:t>冠状动脉搭桥术</w:t>
            </w:r>
          </w:p>
          <w:p>
            <w:pPr>
              <w:pStyle w:val="TableParagraph"/>
              <w:spacing w:line="278" w:lineRule="auto" w:before="43"/>
              <w:ind w:right="95"/>
              <w:rPr>
                <w:sz w:val="21"/>
              </w:rPr>
            </w:pPr>
            <w:r>
              <w:rPr>
                <w:sz w:val="21"/>
              </w:rPr>
              <w:t>（</w:t>
            </w:r>
            <w:r>
              <w:rPr>
                <w:spacing w:val="9"/>
                <w:sz w:val="21"/>
              </w:rPr>
              <w:t> 或称冠状动脉</w:t>
            </w:r>
            <w:r>
              <w:rPr>
                <w:spacing w:val="-2"/>
                <w:sz w:val="21"/>
              </w:rPr>
              <w:t>旁路移植术）</w:t>
            </w:r>
          </w:p>
          <w:p>
            <w:pPr>
              <w:pStyle w:val="TableParagraph"/>
              <w:numPr>
                <w:ilvl w:val="0"/>
                <w:numId w:val="117"/>
              </w:numPr>
              <w:tabs>
                <w:tab w:pos="468" w:val="left" w:leader="none"/>
              </w:tabs>
              <w:spacing w:line="269" w:lineRule="exact" w:before="0" w:after="0"/>
              <w:ind w:left="467" w:right="0" w:hanging="361"/>
              <w:jc w:val="left"/>
              <w:rPr>
                <w:sz w:val="21"/>
              </w:rPr>
            </w:pPr>
            <w:r>
              <w:rPr>
                <w:spacing w:val="-4"/>
                <w:sz w:val="21"/>
              </w:rPr>
              <w:t>心脏瓣膜手术</w:t>
            </w:r>
          </w:p>
          <w:p>
            <w:pPr>
              <w:pStyle w:val="TableParagraph"/>
              <w:numPr>
                <w:ilvl w:val="0"/>
                <w:numId w:val="117"/>
              </w:numPr>
              <w:tabs>
                <w:tab w:pos="468" w:val="left" w:leader="none"/>
              </w:tabs>
              <w:spacing w:line="278" w:lineRule="auto" w:before="43" w:after="0"/>
              <w:ind w:left="467" w:right="95" w:hanging="360"/>
              <w:jc w:val="left"/>
              <w:rPr>
                <w:sz w:val="21"/>
              </w:rPr>
            </w:pPr>
            <w:r>
              <w:rPr>
                <w:spacing w:val="23"/>
                <w:sz w:val="21"/>
              </w:rPr>
              <w:t>严重特发性肺动</w:t>
            </w:r>
            <w:r>
              <w:rPr>
                <w:spacing w:val="-4"/>
                <w:sz w:val="21"/>
              </w:rPr>
              <w:t>脉高压</w:t>
            </w:r>
          </w:p>
          <w:p>
            <w:pPr>
              <w:pStyle w:val="TableParagraph"/>
              <w:numPr>
                <w:ilvl w:val="0"/>
                <w:numId w:val="117"/>
              </w:numPr>
              <w:tabs>
                <w:tab w:pos="468" w:val="left" w:leader="none"/>
              </w:tabs>
              <w:spacing w:line="240" w:lineRule="auto" w:before="1" w:after="0"/>
              <w:ind w:left="467" w:right="0" w:hanging="361"/>
              <w:jc w:val="left"/>
              <w:rPr>
                <w:sz w:val="21"/>
              </w:rPr>
            </w:pPr>
            <w:r>
              <w:rPr>
                <w:spacing w:val="-4"/>
                <w:sz w:val="21"/>
              </w:rPr>
              <w:t>主动脉手术</w:t>
            </w:r>
          </w:p>
          <w:p>
            <w:pPr>
              <w:pStyle w:val="TableParagraph"/>
              <w:numPr>
                <w:ilvl w:val="0"/>
                <w:numId w:val="117"/>
              </w:numPr>
              <w:tabs>
                <w:tab w:pos="468" w:val="left" w:leader="none"/>
              </w:tabs>
              <w:spacing w:line="240" w:lineRule="auto" w:before="42" w:after="0"/>
              <w:ind w:left="467" w:right="0" w:hanging="361"/>
              <w:jc w:val="left"/>
              <w:rPr>
                <w:sz w:val="21"/>
              </w:rPr>
            </w:pPr>
            <w:r>
              <w:rPr>
                <w:spacing w:val="-4"/>
                <w:sz w:val="21"/>
              </w:rPr>
              <w:t>严重心肌病</w:t>
            </w:r>
          </w:p>
          <w:p>
            <w:pPr>
              <w:pStyle w:val="TableParagraph"/>
              <w:numPr>
                <w:ilvl w:val="0"/>
                <w:numId w:val="117"/>
              </w:numPr>
              <w:tabs>
                <w:tab w:pos="468" w:val="left" w:leader="none"/>
              </w:tabs>
              <w:spacing w:line="278" w:lineRule="auto" w:before="43" w:after="0"/>
              <w:ind w:left="467" w:right="95" w:hanging="360"/>
              <w:jc w:val="left"/>
              <w:rPr>
                <w:sz w:val="21"/>
              </w:rPr>
            </w:pPr>
            <w:r>
              <w:rPr>
                <w:spacing w:val="23"/>
                <w:sz w:val="21"/>
              </w:rPr>
              <w:t>严重类风湿性关</w:t>
            </w:r>
            <w:r>
              <w:rPr>
                <w:spacing w:val="-6"/>
                <w:sz w:val="21"/>
              </w:rPr>
              <w:t>节炎</w:t>
            </w:r>
          </w:p>
          <w:p>
            <w:pPr>
              <w:pStyle w:val="TableParagraph"/>
              <w:numPr>
                <w:ilvl w:val="0"/>
                <w:numId w:val="117"/>
              </w:numPr>
              <w:tabs>
                <w:tab w:pos="468" w:val="left" w:leader="none"/>
              </w:tabs>
              <w:spacing w:line="278" w:lineRule="auto" w:before="0" w:after="0"/>
              <w:ind w:left="467" w:right="95" w:hanging="360"/>
              <w:jc w:val="left"/>
              <w:rPr>
                <w:sz w:val="21"/>
              </w:rPr>
            </w:pPr>
            <w:r>
              <w:rPr>
                <w:spacing w:val="23"/>
                <w:sz w:val="21"/>
              </w:rPr>
              <w:t>严重弥漫性系统</w:t>
            </w:r>
            <w:r>
              <w:rPr>
                <w:spacing w:val="-4"/>
                <w:sz w:val="21"/>
              </w:rPr>
              <w:t>性硬皮病</w:t>
            </w:r>
          </w:p>
          <w:p>
            <w:pPr>
              <w:pStyle w:val="TableParagraph"/>
              <w:numPr>
                <w:ilvl w:val="0"/>
                <w:numId w:val="117"/>
              </w:numPr>
              <w:tabs>
                <w:tab w:pos="468" w:val="left" w:leader="none"/>
              </w:tabs>
              <w:spacing w:line="269" w:lineRule="exact" w:before="0" w:after="0"/>
              <w:ind w:left="467" w:right="0" w:hanging="361"/>
              <w:jc w:val="left"/>
              <w:rPr>
                <w:sz w:val="21"/>
              </w:rPr>
            </w:pPr>
            <w:r>
              <w:rPr>
                <w:spacing w:val="-4"/>
                <w:sz w:val="21"/>
              </w:rPr>
              <w:t>严重冠心病</w:t>
            </w:r>
          </w:p>
          <w:p>
            <w:pPr>
              <w:pStyle w:val="TableParagraph"/>
              <w:numPr>
                <w:ilvl w:val="0"/>
                <w:numId w:val="117"/>
              </w:numPr>
              <w:tabs>
                <w:tab w:pos="468" w:val="left" w:leader="none"/>
              </w:tabs>
              <w:spacing w:line="240" w:lineRule="auto" w:before="43" w:after="0"/>
              <w:ind w:left="467" w:right="0" w:hanging="361"/>
              <w:jc w:val="left"/>
              <w:rPr>
                <w:sz w:val="21"/>
              </w:rPr>
            </w:pPr>
            <w:r>
              <w:rPr>
                <w:spacing w:val="-4"/>
                <w:sz w:val="21"/>
              </w:rPr>
              <w:t>嗜铬细胞瘤</w:t>
            </w:r>
          </w:p>
          <w:p>
            <w:pPr>
              <w:pStyle w:val="TableParagraph"/>
              <w:numPr>
                <w:ilvl w:val="0"/>
                <w:numId w:val="117"/>
              </w:numPr>
              <w:tabs>
                <w:tab w:pos="468" w:val="left" w:leader="none"/>
              </w:tabs>
              <w:spacing w:line="259" w:lineRule="exact" w:before="43" w:after="0"/>
              <w:ind w:left="467" w:right="0" w:hanging="361"/>
              <w:jc w:val="left"/>
              <w:rPr>
                <w:sz w:val="21"/>
              </w:rPr>
            </w:pPr>
            <w:r>
              <w:rPr>
                <w:spacing w:val="-4"/>
                <w:sz w:val="21"/>
              </w:rPr>
              <w:t>严重心肌炎</w:t>
            </w:r>
          </w:p>
        </w:tc>
        <w:tc>
          <w:tcPr>
            <w:tcW w:w="2227" w:type="dxa"/>
            <w:tcBorders>
              <w:right w:val="single" w:sz="6" w:space="0" w:color="000000"/>
            </w:tcBorders>
          </w:tcPr>
          <w:p>
            <w:pPr>
              <w:pStyle w:val="TableParagraph"/>
              <w:numPr>
                <w:ilvl w:val="0"/>
                <w:numId w:val="118"/>
              </w:numPr>
              <w:tabs>
                <w:tab w:pos="464" w:val="left" w:leader="none"/>
              </w:tabs>
              <w:spacing w:line="278" w:lineRule="auto" w:before="22" w:after="0"/>
              <w:ind w:left="463" w:right="94" w:hanging="360"/>
              <w:jc w:val="both"/>
              <w:rPr>
                <w:sz w:val="21"/>
              </w:rPr>
            </w:pPr>
            <w:r>
              <w:rPr>
                <w:spacing w:val="21"/>
                <w:sz w:val="21"/>
              </w:rPr>
              <w:t>严重脑中风后遗</w:t>
            </w:r>
            <w:r>
              <w:rPr>
                <w:spacing w:val="-10"/>
                <w:sz w:val="21"/>
              </w:rPr>
              <w:t>症</w:t>
            </w:r>
          </w:p>
          <w:p>
            <w:pPr>
              <w:pStyle w:val="TableParagraph"/>
              <w:numPr>
                <w:ilvl w:val="0"/>
                <w:numId w:val="118"/>
              </w:numPr>
              <w:tabs>
                <w:tab w:pos="464" w:val="left" w:leader="none"/>
              </w:tabs>
              <w:spacing w:line="278" w:lineRule="auto" w:before="0" w:after="0"/>
              <w:ind w:left="463" w:right="94" w:hanging="360"/>
              <w:jc w:val="both"/>
              <w:rPr>
                <w:sz w:val="21"/>
              </w:rPr>
            </w:pPr>
            <w:r>
              <w:rPr>
                <w:spacing w:val="21"/>
                <w:sz w:val="21"/>
              </w:rPr>
              <w:t>严重非恶性颅内</w:t>
            </w:r>
            <w:r>
              <w:rPr>
                <w:spacing w:val="-6"/>
                <w:sz w:val="21"/>
              </w:rPr>
              <w:t>肿瘤</w:t>
            </w:r>
          </w:p>
          <w:p>
            <w:pPr>
              <w:pStyle w:val="TableParagraph"/>
              <w:numPr>
                <w:ilvl w:val="0"/>
                <w:numId w:val="118"/>
              </w:numPr>
              <w:tabs>
                <w:tab w:pos="464" w:val="left" w:leader="none"/>
              </w:tabs>
              <w:spacing w:line="278" w:lineRule="auto" w:before="0" w:after="0"/>
              <w:ind w:left="463" w:right="94" w:hanging="360"/>
              <w:jc w:val="both"/>
              <w:rPr>
                <w:sz w:val="21"/>
              </w:rPr>
            </w:pPr>
            <w:r>
              <w:rPr>
                <w:spacing w:val="21"/>
                <w:sz w:val="21"/>
              </w:rPr>
              <w:t>严重脑炎后遗症</w:t>
            </w:r>
            <w:r>
              <w:rPr>
                <w:spacing w:val="21"/>
                <w:sz w:val="21"/>
              </w:rPr>
              <w:t>或严重脑膜炎后</w:t>
            </w:r>
            <w:r>
              <w:rPr>
                <w:spacing w:val="-6"/>
                <w:sz w:val="21"/>
              </w:rPr>
              <w:t>遗症</w:t>
            </w:r>
          </w:p>
          <w:p>
            <w:pPr>
              <w:pStyle w:val="TableParagraph"/>
              <w:numPr>
                <w:ilvl w:val="0"/>
                <w:numId w:val="118"/>
              </w:numPr>
              <w:tabs>
                <w:tab w:pos="464" w:val="left" w:leader="none"/>
              </w:tabs>
              <w:spacing w:line="269" w:lineRule="exact" w:before="0" w:after="0"/>
              <w:ind w:left="463" w:right="0" w:hanging="361"/>
              <w:jc w:val="both"/>
              <w:rPr>
                <w:sz w:val="21"/>
              </w:rPr>
            </w:pPr>
            <w:r>
              <w:rPr>
                <w:spacing w:val="-4"/>
                <w:sz w:val="21"/>
              </w:rPr>
              <w:t>深度昏迷</w:t>
            </w:r>
          </w:p>
          <w:p>
            <w:pPr>
              <w:pStyle w:val="TableParagraph"/>
              <w:numPr>
                <w:ilvl w:val="0"/>
                <w:numId w:val="118"/>
              </w:numPr>
              <w:tabs>
                <w:tab w:pos="464" w:val="left" w:leader="none"/>
              </w:tabs>
              <w:spacing w:line="240" w:lineRule="auto" w:before="43" w:after="0"/>
              <w:ind w:left="463" w:right="0" w:hanging="361"/>
              <w:jc w:val="both"/>
              <w:rPr>
                <w:sz w:val="21"/>
              </w:rPr>
            </w:pPr>
            <w:r>
              <w:rPr>
                <w:spacing w:val="-5"/>
                <w:sz w:val="21"/>
              </w:rPr>
              <w:t>瘫痪</w:t>
            </w:r>
          </w:p>
          <w:p>
            <w:pPr>
              <w:pStyle w:val="TableParagraph"/>
              <w:numPr>
                <w:ilvl w:val="0"/>
                <w:numId w:val="118"/>
              </w:numPr>
              <w:tabs>
                <w:tab w:pos="464" w:val="left" w:leader="none"/>
              </w:tabs>
              <w:spacing w:line="278" w:lineRule="auto" w:before="43" w:after="0"/>
              <w:ind w:left="463" w:right="94" w:hanging="360"/>
              <w:jc w:val="both"/>
              <w:rPr>
                <w:sz w:val="21"/>
              </w:rPr>
            </w:pPr>
            <w:r>
              <w:rPr>
                <w:spacing w:val="21"/>
                <w:sz w:val="21"/>
              </w:rPr>
              <w:t>严重阿尔茨海默</w:t>
            </w:r>
            <w:r>
              <w:rPr>
                <w:spacing w:val="-10"/>
                <w:sz w:val="21"/>
              </w:rPr>
              <w:t>病</w:t>
            </w:r>
          </w:p>
          <w:p>
            <w:pPr>
              <w:pStyle w:val="TableParagraph"/>
              <w:numPr>
                <w:ilvl w:val="0"/>
                <w:numId w:val="118"/>
              </w:numPr>
              <w:tabs>
                <w:tab w:pos="464" w:val="left" w:leader="none"/>
              </w:tabs>
              <w:spacing w:line="269" w:lineRule="exact" w:before="0" w:after="0"/>
              <w:ind w:left="463" w:right="0" w:hanging="361"/>
              <w:jc w:val="both"/>
              <w:rPr>
                <w:sz w:val="21"/>
              </w:rPr>
            </w:pPr>
            <w:r>
              <w:rPr>
                <w:spacing w:val="-4"/>
                <w:sz w:val="21"/>
              </w:rPr>
              <w:t>严重脑损伤</w:t>
            </w:r>
          </w:p>
          <w:p>
            <w:pPr>
              <w:pStyle w:val="TableParagraph"/>
              <w:numPr>
                <w:ilvl w:val="0"/>
                <w:numId w:val="118"/>
              </w:numPr>
              <w:tabs>
                <w:tab w:pos="464" w:val="left" w:leader="none"/>
              </w:tabs>
              <w:spacing w:line="278" w:lineRule="auto" w:before="43" w:after="0"/>
              <w:ind w:left="463" w:right="94" w:hanging="360"/>
              <w:jc w:val="left"/>
              <w:rPr>
                <w:sz w:val="21"/>
              </w:rPr>
            </w:pPr>
            <w:r>
              <w:rPr>
                <w:spacing w:val="21"/>
                <w:sz w:val="21"/>
              </w:rPr>
              <w:t>严重原发性帕金</w:t>
            </w:r>
            <w:r>
              <w:rPr>
                <w:spacing w:val="-6"/>
                <w:sz w:val="21"/>
              </w:rPr>
              <w:t>森病</w:t>
            </w:r>
          </w:p>
          <w:p>
            <w:pPr>
              <w:pStyle w:val="TableParagraph"/>
              <w:numPr>
                <w:ilvl w:val="0"/>
                <w:numId w:val="118"/>
              </w:numPr>
              <w:tabs>
                <w:tab w:pos="464" w:val="left" w:leader="none"/>
              </w:tabs>
              <w:spacing w:line="278" w:lineRule="auto" w:before="0" w:after="0"/>
              <w:ind w:left="463" w:right="94" w:hanging="360"/>
              <w:jc w:val="left"/>
              <w:rPr>
                <w:sz w:val="21"/>
              </w:rPr>
            </w:pPr>
            <w:r>
              <w:rPr>
                <w:spacing w:val="21"/>
                <w:sz w:val="21"/>
              </w:rPr>
              <w:t>严重运动神经元</w:t>
            </w:r>
            <w:r>
              <w:rPr>
                <w:spacing w:val="-10"/>
                <w:sz w:val="21"/>
              </w:rPr>
              <w:t>病</w:t>
            </w:r>
          </w:p>
          <w:p>
            <w:pPr>
              <w:pStyle w:val="TableParagraph"/>
              <w:numPr>
                <w:ilvl w:val="0"/>
                <w:numId w:val="118"/>
              </w:numPr>
              <w:tabs>
                <w:tab w:pos="464" w:val="left" w:leader="none"/>
              </w:tabs>
              <w:spacing w:line="259" w:lineRule="exact" w:before="0" w:after="0"/>
              <w:ind w:left="463" w:right="0" w:hanging="361"/>
              <w:jc w:val="left"/>
              <w:rPr>
                <w:sz w:val="21"/>
              </w:rPr>
            </w:pPr>
            <w:r>
              <w:rPr>
                <w:spacing w:val="-4"/>
                <w:sz w:val="21"/>
              </w:rPr>
              <w:t>语言能力丧失</w:t>
            </w:r>
          </w:p>
        </w:tc>
        <w:tc>
          <w:tcPr>
            <w:tcW w:w="2230" w:type="dxa"/>
            <w:tcBorders>
              <w:left w:val="single" w:sz="6" w:space="0" w:color="000000"/>
            </w:tcBorders>
          </w:tcPr>
          <w:p>
            <w:pPr>
              <w:pStyle w:val="TableParagraph"/>
              <w:numPr>
                <w:ilvl w:val="0"/>
                <w:numId w:val="119"/>
              </w:numPr>
              <w:tabs>
                <w:tab w:pos="467" w:val="left" w:leader="none"/>
              </w:tabs>
              <w:spacing w:line="240" w:lineRule="auto" w:before="22" w:after="0"/>
              <w:ind w:left="466" w:right="0" w:hanging="361"/>
              <w:jc w:val="left"/>
              <w:rPr>
                <w:sz w:val="21"/>
              </w:rPr>
            </w:pPr>
            <w:r>
              <w:rPr>
                <w:spacing w:val="-4"/>
                <w:sz w:val="21"/>
              </w:rPr>
              <w:t>多个肢体缺失</w:t>
            </w:r>
          </w:p>
          <w:p>
            <w:pPr>
              <w:pStyle w:val="TableParagraph"/>
              <w:numPr>
                <w:ilvl w:val="0"/>
                <w:numId w:val="119"/>
              </w:numPr>
              <w:tabs>
                <w:tab w:pos="467" w:val="left" w:leader="none"/>
              </w:tabs>
              <w:spacing w:line="240" w:lineRule="auto" w:before="43" w:after="0"/>
              <w:ind w:left="466" w:right="0" w:hanging="361"/>
              <w:jc w:val="left"/>
              <w:rPr>
                <w:sz w:val="21"/>
              </w:rPr>
            </w:pPr>
            <w:r>
              <w:rPr>
                <w:spacing w:val="-4"/>
                <w:sz w:val="21"/>
              </w:rPr>
              <w:t>双耳失聪</w:t>
            </w:r>
          </w:p>
          <w:p>
            <w:pPr>
              <w:pStyle w:val="TableParagraph"/>
              <w:numPr>
                <w:ilvl w:val="0"/>
                <w:numId w:val="119"/>
              </w:numPr>
              <w:tabs>
                <w:tab w:pos="467" w:val="left" w:leader="none"/>
              </w:tabs>
              <w:spacing w:line="240" w:lineRule="auto" w:before="43" w:after="0"/>
              <w:ind w:left="466" w:right="0" w:hanging="361"/>
              <w:jc w:val="left"/>
              <w:rPr>
                <w:sz w:val="21"/>
              </w:rPr>
            </w:pPr>
            <w:r>
              <w:rPr>
                <w:spacing w:val="-4"/>
                <w:sz w:val="21"/>
              </w:rPr>
              <w:t>双目失明</w:t>
            </w:r>
          </w:p>
          <w:p>
            <w:pPr>
              <w:pStyle w:val="TableParagraph"/>
              <w:numPr>
                <w:ilvl w:val="0"/>
                <w:numId w:val="119"/>
              </w:numPr>
              <w:tabs>
                <w:tab w:pos="467" w:val="left" w:leader="none"/>
              </w:tabs>
              <w:spacing w:line="240" w:lineRule="auto" w:before="43" w:after="0"/>
              <w:ind w:left="466" w:right="0" w:hanging="361"/>
              <w:jc w:val="left"/>
              <w:rPr>
                <w:sz w:val="21"/>
              </w:rPr>
            </w:pPr>
            <w:r>
              <w:rPr>
                <w:spacing w:val="-4"/>
                <w:sz w:val="21"/>
              </w:rPr>
              <w:t>严重Ⅲ度烧伤</w:t>
            </w:r>
          </w:p>
          <w:p>
            <w:pPr>
              <w:pStyle w:val="TableParagraph"/>
              <w:numPr>
                <w:ilvl w:val="0"/>
                <w:numId w:val="119"/>
              </w:numPr>
              <w:tabs>
                <w:tab w:pos="467" w:val="left" w:leader="none"/>
              </w:tabs>
              <w:spacing w:line="278" w:lineRule="auto" w:before="43" w:after="0"/>
              <w:ind w:left="466" w:right="92" w:hanging="360"/>
              <w:jc w:val="left"/>
              <w:rPr>
                <w:sz w:val="21"/>
              </w:rPr>
            </w:pPr>
            <w:r>
              <w:rPr>
                <w:spacing w:val="23"/>
                <w:sz w:val="21"/>
              </w:rPr>
              <w:t>重症急性坏死性</w:t>
            </w:r>
            <w:r>
              <w:rPr>
                <w:spacing w:val="-2"/>
                <w:sz w:val="21"/>
              </w:rPr>
              <w:t>筋膜炎截肢</w:t>
            </w:r>
          </w:p>
          <w:p>
            <w:pPr>
              <w:pStyle w:val="TableParagraph"/>
              <w:numPr>
                <w:ilvl w:val="0"/>
                <w:numId w:val="119"/>
              </w:numPr>
              <w:tabs>
                <w:tab w:pos="467" w:val="left" w:leader="none"/>
              </w:tabs>
              <w:spacing w:line="278" w:lineRule="auto" w:before="0" w:after="0"/>
              <w:ind w:left="466" w:right="92" w:hanging="360"/>
              <w:jc w:val="left"/>
              <w:rPr>
                <w:sz w:val="21"/>
              </w:rPr>
            </w:pPr>
            <w:r>
              <w:rPr>
                <w:spacing w:val="23"/>
                <w:sz w:val="21"/>
              </w:rPr>
              <w:t>丝虫感染所致严</w:t>
            </w:r>
            <w:r>
              <w:rPr>
                <w:spacing w:val="-4"/>
                <w:sz w:val="21"/>
              </w:rPr>
              <w:t>重象皮病</w:t>
            </w:r>
          </w:p>
          <w:p>
            <w:pPr>
              <w:pStyle w:val="TableParagraph"/>
              <w:numPr>
                <w:ilvl w:val="0"/>
                <w:numId w:val="119"/>
              </w:numPr>
              <w:tabs>
                <w:tab w:pos="467" w:val="left" w:leader="none"/>
              </w:tabs>
              <w:spacing w:line="278" w:lineRule="auto" w:before="0" w:after="0"/>
              <w:ind w:left="466" w:right="92" w:hanging="360"/>
              <w:jc w:val="left"/>
              <w:rPr>
                <w:sz w:val="21"/>
              </w:rPr>
            </w:pPr>
            <w:r>
              <w:rPr>
                <w:spacing w:val="23"/>
                <w:sz w:val="21"/>
              </w:rPr>
              <w:t>意外导致的重度</w:t>
            </w:r>
            <w:r>
              <w:rPr>
                <w:spacing w:val="-4"/>
                <w:sz w:val="21"/>
              </w:rPr>
              <w:t>面部烧伤</w:t>
            </w:r>
          </w:p>
          <w:p>
            <w:pPr>
              <w:pStyle w:val="TableParagraph"/>
              <w:numPr>
                <w:ilvl w:val="0"/>
                <w:numId w:val="119"/>
              </w:numPr>
              <w:tabs>
                <w:tab w:pos="467" w:val="left" w:leader="none"/>
              </w:tabs>
              <w:spacing w:line="269" w:lineRule="exact" w:before="0" w:after="0"/>
              <w:ind w:left="466" w:right="0" w:hanging="361"/>
              <w:jc w:val="left"/>
              <w:rPr>
                <w:sz w:val="21"/>
              </w:rPr>
            </w:pPr>
            <w:r>
              <w:rPr>
                <w:spacing w:val="-4"/>
                <w:sz w:val="21"/>
              </w:rPr>
              <w:t>失去一肢及一眼</w:t>
            </w:r>
          </w:p>
          <w:p>
            <w:pPr>
              <w:pStyle w:val="TableParagraph"/>
              <w:numPr>
                <w:ilvl w:val="0"/>
                <w:numId w:val="119"/>
              </w:numPr>
              <w:tabs>
                <w:tab w:pos="467" w:val="left" w:leader="none"/>
              </w:tabs>
              <w:spacing w:line="278" w:lineRule="auto" w:before="43" w:after="0"/>
              <w:ind w:left="466" w:right="92" w:hanging="360"/>
              <w:jc w:val="left"/>
              <w:rPr>
                <w:sz w:val="21"/>
              </w:rPr>
            </w:pPr>
            <w:r>
              <w:rPr>
                <w:spacing w:val="23"/>
                <w:sz w:val="21"/>
              </w:rPr>
              <w:t>溶血性链球菌感</w:t>
            </w:r>
            <w:r>
              <w:rPr>
                <w:spacing w:val="-2"/>
                <w:sz w:val="21"/>
              </w:rPr>
              <w:t>染引起的坏疽</w:t>
            </w:r>
          </w:p>
          <w:p>
            <w:pPr>
              <w:pStyle w:val="TableParagraph"/>
              <w:numPr>
                <w:ilvl w:val="0"/>
                <w:numId w:val="119"/>
              </w:numPr>
              <w:tabs>
                <w:tab w:pos="467" w:val="left" w:leader="none"/>
              </w:tabs>
              <w:spacing w:line="269" w:lineRule="exact" w:before="0" w:after="0"/>
              <w:ind w:left="466" w:right="0" w:hanging="361"/>
              <w:jc w:val="left"/>
              <w:rPr>
                <w:sz w:val="21"/>
              </w:rPr>
            </w:pPr>
            <w:r>
              <w:rPr>
                <w:spacing w:val="-4"/>
                <w:sz w:val="21"/>
              </w:rPr>
              <w:t>埃博拉病毒感染</w:t>
            </w:r>
          </w:p>
          <w:p>
            <w:pPr>
              <w:pStyle w:val="TableParagraph"/>
              <w:numPr>
                <w:ilvl w:val="0"/>
                <w:numId w:val="119"/>
              </w:numPr>
              <w:tabs>
                <w:tab w:pos="467" w:val="left" w:leader="none"/>
              </w:tabs>
              <w:spacing w:line="278" w:lineRule="auto" w:before="43" w:after="0"/>
              <w:ind w:left="466" w:right="92" w:hanging="360"/>
              <w:jc w:val="left"/>
              <w:rPr>
                <w:sz w:val="21"/>
              </w:rPr>
            </w:pPr>
            <w:r>
              <w:rPr>
                <w:spacing w:val="23"/>
                <w:sz w:val="21"/>
              </w:rPr>
              <w:t>严重巨细胞动脉</w:t>
            </w:r>
            <w:r>
              <w:rPr>
                <w:spacing w:val="-10"/>
                <w:sz w:val="21"/>
              </w:rPr>
              <w:t>炎</w:t>
            </w:r>
          </w:p>
        </w:tc>
      </w:tr>
    </w:tbl>
    <w:p>
      <w:pPr>
        <w:spacing w:after="0" w:line="278" w:lineRule="auto"/>
        <w:jc w:val="left"/>
        <w:rPr>
          <w:sz w:val="21"/>
        </w:rPr>
        <w:sectPr>
          <w:type w:val="continuous"/>
          <w:pgSz w:w="11910" w:h="16840"/>
          <w:pgMar w:header="0" w:footer="458" w:top="620" w:bottom="280" w:left="800" w:right="660"/>
        </w:sectPr>
      </w:pPr>
    </w:p>
    <w:tbl>
      <w:tblPr>
        <w:tblW w:w="0" w:type="auto"/>
        <w:jc w:val="left"/>
        <w:tblInd w:w="1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30"/>
        <w:gridCol w:w="2230"/>
        <w:gridCol w:w="2227"/>
        <w:gridCol w:w="2230"/>
      </w:tblGrid>
      <w:tr>
        <w:trPr>
          <w:trHeight w:val="12793" w:hRule="atLeast"/>
        </w:trPr>
        <w:tc>
          <w:tcPr>
            <w:tcW w:w="2230" w:type="dxa"/>
          </w:tcPr>
          <w:p>
            <w:pPr>
              <w:pStyle w:val="TableParagraph"/>
              <w:spacing w:before="22"/>
              <w:rPr>
                <w:sz w:val="21"/>
              </w:rPr>
            </w:pPr>
            <w:r>
              <w:rPr>
                <w:spacing w:val="-16"/>
                <w:sz w:val="21"/>
              </w:rPr>
              <w:t>免 疫 缺 陷 病 毒</w:t>
            </w:r>
          </w:p>
          <w:p>
            <w:pPr>
              <w:pStyle w:val="TableParagraph"/>
              <w:spacing w:before="44"/>
              <w:rPr>
                <w:sz w:val="21"/>
              </w:rPr>
            </w:pPr>
            <w:r>
              <w:rPr>
                <w:spacing w:val="-2"/>
                <w:sz w:val="21"/>
              </w:rPr>
              <w:t>（HIV）</w:t>
            </w:r>
            <w:r>
              <w:rPr>
                <w:spacing w:val="-6"/>
                <w:sz w:val="21"/>
              </w:rPr>
              <w:t>感染</w:t>
            </w:r>
          </w:p>
          <w:p>
            <w:pPr>
              <w:pStyle w:val="TableParagraph"/>
              <w:numPr>
                <w:ilvl w:val="0"/>
                <w:numId w:val="120"/>
              </w:numPr>
              <w:tabs>
                <w:tab w:pos="468" w:val="left" w:leader="none"/>
              </w:tabs>
              <w:spacing w:line="278" w:lineRule="auto" w:before="43" w:after="0"/>
              <w:ind w:left="467" w:right="97" w:hanging="360"/>
              <w:jc w:val="left"/>
              <w:rPr>
                <w:sz w:val="21"/>
              </w:rPr>
            </w:pPr>
            <w:r>
              <w:rPr>
                <w:spacing w:val="21"/>
                <w:sz w:val="21"/>
              </w:rPr>
              <w:t>输血原因致人类</w:t>
            </w:r>
            <w:r>
              <w:rPr>
                <w:spacing w:val="-15"/>
                <w:sz w:val="21"/>
              </w:rPr>
              <w:t>免 疫 缺 陷 病 毒</w:t>
            </w:r>
          </w:p>
          <w:p>
            <w:pPr>
              <w:pStyle w:val="TableParagraph"/>
              <w:spacing w:line="269" w:lineRule="exact"/>
              <w:rPr>
                <w:sz w:val="21"/>
              </w:rPr>
            </w:pPr>
            <w:r>
              <w:rPr>
                <w:spacing w:val="-2"/>
                <w:sz w:val="21"/>
              </w:rPr>
              <w:t>（HIV）</w:t>
            </w:r>
            <w:r>
              <w:rPr>
                <w:spacing w:val="-6"/>
                <w:sz w:val="21"/>
              </w:rPr>
              <w:t>感染</w:t>
            </w:r>
          </w:p>
          <w:p>
            <w:pPr>
              <w:pStyle w:val="TableParagraph"/>
              <w:numPr>
                <w:ilvl w:val="0"/>
                <w:numId w:val="120"/>
              </w:numPr>
              <w:tabs>
                <w:tab w:pos="468" w:val="left" w:leader="none"/>
              </w:tabs>
              <w:spacing w:line="278" w:lineRule="auto" w:before="43" w:after="0"/>
              <w:ind w:left="467" w:right="98" w:hanging="360"/>
              <w:jc w:val="left"/>
              <w:rPr>
                <w:sz w:val="21"/>
              </w:rPr>
            </w:pPr>
            <w:r>
              <w:rPr>
                <w:spacing w:val="21"/>
                <w:sz w:val="21"/>
              </w:rPr>
              <w:t>严重慢性复发性</w:t>
            </w:r>
            <w:r>
              <w:rPr>
                <w:spacing w:val="-4"/>
                <w:sz w:val="21"/>
              </w:rPr>
              <w:t>胰腺炎</w:t>
            </w:r>
          </w:p>
          <w:p>
            <w:pPr>
              <w:pStyle w:val="TableParagraph"/>
              <w:numPr>
                <w:ilvl w:val="0"/>
                <w:numId w:val="120"/>
              </w:numPr>
              <w:tabs>
                <w:tab w:pos="468" w:val="left" w:leader="none"/>
              </w:tabs>
              <w:spacing w:line="269" w:lineRule="exact" w:before="0" w:after="0"/>
              <w:ind w:left="467" w:right="0" w:hanging="361"/>
              <w:jc w:val="left"/>
              <w:rPr>
                <w:sz w:val="21"/>
              </w:rPr>
            </w:pPr>
            <w:r>
              <w:rPr>
                <w:spacing w:val="-4"/>
                <w:sz w:val="21"/>
              </w:rPr>
              <w:t>胰腺移植术</w:t>
            </w:r>
          </w:p>
          <w:p>
            <w:pPr>
              <w:pStyle w:val="TableParagraph"/>
              <w:numPr>
                <w:ilvl w:val="0"/>
                <w:numId w:val="120"/>
              </w:numPr>
              <w:tabs>
                <w:tab w:pos="468" w:val="left" w:leader="none"/>
              </w:tabs>
              <w:spacing w:line="278" w:lineRule="auto" w:before="42" w:after="0"/>
              <w:ind w:left="467" w:right="98" w:hanging="360"/>
              <w:jc w:val="left"/>
              <w:rPr>
                <w:sz w:val="21"/>
              </w:rPr>
            </w:pPr>
            <w:r>
              <w:rPr>
                <w:spacing w:val="21"/>
                <w:sz w:val="21"/>
              </w:rPr>
              <w:t>特发性慢性肾上</w:t>
            </w:r>
            <w:r>
              <w:rPr>
                <w:spacing w:val="-2"/>
                <w:sz w:val="21"/>
              </w:rPr>
              <w:t>腺皮质功能减退</w:t>
            </w:r>
          </w:p>
          <w:p>
            <w:pPr>
              <w:pStyle w:val="TableParagraph"/>
              <w:numPr>
                <w:ilvl w:val="0"/>
                <w:numId w:val="120"/>
              </w:numPr>
              <w:tabs>
                <w:tab w:pos="468" w:val="left" w:leader="none"/>
              </w:tabs>
              <w:spacing w:line="278" w:lineRule="auto" w:before="0" w:after="0"/>
              <w:ind w:left="467" w:right="98" w:hanging="360"/>
              <w:jc w:val="left"/>
              <w:rPr>
                <w:sz w:val="21"/>
              </w:rPr>
            </w:pPr>
            <w:r>
              <w:rPr>
                <w:spacing w:val="21"/>
                <w:sz w:val="21"/>
              </w:rPr>
              <w:t>严重原发性硬化</w:t>
            </w:r>
            <w:r>
              <w:rPr>
                <w:spacing w:val="-4"/>
                <w:sz w:val="21"/>
              </w:rPr>
              <w:t>性胆管炎</w:t>
            </w:r>
          </w:p>
          <w:p>
            <w:pPr>
              <w:pStyle w:val="TableParagraph"/>
              <w:numPr>
                <w:ilvl w:val="0"/>
                <w:numId w:val="120"/>
              </w:numPr>
              <w:tabs>
                <w:tab w:pos="468" w:val="left" w:leader="none"/>
              </w:tabs>
              <w:spacing w:line="278" w:lineRule="auto" w:before="0" w:after="0"/>
              <w:ind w:left="467" w:right="98" w:hanging="360"/>
              <w:jc w:val="left"/>
              <w:rPr>
                <w:sz w:val="21"/>
              </w:rPr>
            </w:pPr>
            <w:r>
              <w:rPr>
                <w:spacing w:val="21"/>
                <w:sz w:val="21"/>
              </w:rPr>
              <w:t>严重慢性自身免</w:t>
            </w:r>
            <w:r>
              <w:rPr>
                <w:spacing w:val="-4"/>
                <w:sz w:val="21"/>
              </w:rPr>
              <w:t>疫性肝炎</w:t>
            </w:r>
          </w:p>
          <w:p>
            <w:pPr>
              <w:pStyle w:val="TableParagraph"/>
              <w:numPr>
                <w:ilvl w:val="0"/>
                <w:numId w:val="120"/>
              </w:numPr>
              <w:tabs>
                <w:tab w:pos="468" w:val="left" w:leader="none"/>
              </w:tabs>
              <w:spacing w:line="278" w:lineRule="auto" w:before="0" w:after="0"/>
              <w:ind w:left="467" w:right="98" w:hanging="360"/>
              <w:jc w:val="left"/>
              <w:rPr>
                <w:sz w:val="21"/>
              </w:rPr>
            </w:pPr>
            <w:r>
              <w:rPr>
                <w:spacing w:val="21"/>
                <w:sz w:val="21"/>
              </w:rPr>
              <w:t>原发性骨髓纤维</w:t>
            </w:r>
            <w:r>
              <w:rPr>
                <w:spacing w:val="-10"/>
                <w:sz w:val="21"/>
              </w:rPr>
              <w:t>化</w:t>
            </w:r>
          </w:p>
          <w:p>
            <w:pPr>
              <w:pStyle w:val="TableParagraph"/>
              <w:numPr>
                <w:ilvl w:val="0"/>
                <w:numId w:val="120"/>
              </w:numPr>
              <w:tabs>
                <w:tab w:pos="468" w:val="left" w:leader="none"/>
              </w:tabs>
              <w:spacing w:line="278" w:lineRule="auto" w:before="0" w:after="0"/>
              <w:ind w:left="467" w:right="98" w:hanging="360"/>
              <w:jc w:val="left"/>
              <w:rPr>
                <w:sz w:val="21"/>
              </w:rPr>
            </w:pPr>
            <w:r>
              <w:rPr>
                <w:spacing w:val="21"/>
                <w:sz w:val="21"/>
              </w:rPr>
              <w:t>严重骨髓增生异</w:t>
            </w:r>
            <w:r>
              <w:rPr>
                <w:spacing w:val="-4"/>
                <w:sz w:val="21"/>
              </w:rPr>
              <w:t>常综合征</w:t>
            </w:r>
          </w:p>
          <w:p>
            <w:pPr>
              <w:pStyle w:val="TableParagraph"/>
              <w:numPr>
                <w:ilvl w:val="0"/>
                <w:numId w:val="120"/>
              </w:numPr>
              <w:tabs>
                <w:tab w:pos="468" w:val="left" w:leader="none"/>
              </w:tabs>
              <w:spacing w:line="269" w:lineRule="exact" w:before="0" w:after="0"/>
              <w:ind w:left="467" w:right="0" w:hanging="361"/>
              <w:jc w:val="left"/>
              <w:rPr>
                <w:sz w:val="21"/>
              </w:rPr>
            </w:pPr>
            <w:r>
              <w:rPr>
                <w:spacing w:val="-4"/>
                <w:sz w:val="21"/>
              </w:rPr>
              <w:t>肺淋巴管肌瘤</w:t>
            </w:r>
          </w:p>
          <w:p>
            <w:pPr>
              <w:pStyle w:val="TableParagraph"/>
              <w:numPr>
                <w:ilvl w:val="0"/>
                <w:numId w:val="120"/>
              </w:numPr>
              <w:tabs>
                <w:tab w:pos="468" w:val="left" w:leader="none"/>
              </w:tabs>
              <w:spacing w:line="240" w:lineRule="auto" w:before="43" w:after="0"/>
              <w:ind w:left="467" w:right="0" w:hanging="361"/>
              <w:jc w:val="left"/>
              <w:rPr>
                <w:sz w:val="21"/>
              </w:rPr>
            </w:pPr>
            <w:r>
              <w:rPr>
                <w:spacing w:val="-4"/>
                <w:sz w:val="21"/>
              </w:rPr>
              <w:t>严重肺结节病</w:t>
            </w:r>
          </w:p>
          <w:p>
            <w:pPr>
              <w:pStyle w:val="TableParagraph"/>
              <w:numPr>
                <w:ilvl w:val="0"/>
                <w:numId w:val="120"/>
              </w:numPr>
              <w:tabs>
                <w:tab w:pos="468" w:val="left" w:leader="none"/>
              </w:tabs>
              <w:spacing w:line="278" w:lineRule="auto" w:before="43" w:after="0"/>
              <w:ind w:left="467" w:right="98" w:hanging="360"/>
              <w:jc w:val="left"/>
              <w:rPr>
                <w:sz w:val="21"/>
              </w:rPr>
            </w:pPr>
            <w:r>
              <w:rPr>
                <w:spacing w:val="21"/>
                <w:sz w:val="21"/>
              </w:rPr>
              <w:t>系统性红斑狼疮</w:t>
            </w:r>
            <w:r>
              <w:rPr>
                <w:spacing w:val="-2"/>
                <w:sz w:val="21"/>
              </w:rPr>
              <w:t>性肾炎尿毒症</w:t>
            </w:r>
          </w:p>
          <w:p>
            <w:pPr>
              <w:pStyle w:val="TableParagraph"/>
              <w:numPr>
                <w:ilvl w:val="0"/>
                <w:numId w:val="120"/>
              </w:numPr>
              <w:tabs>
                <w:tab w:pos="468" w:val="left" w:leader="none"/>
              </w:tabs>
              <w:spacing w:line="269" w:lineRule="exact" w:before="0" w:after="0"/>
              <w:ind w:left="467" w:right="0" w:hanging="361"/>
              <w:jc w:val="left"/>
              <w:rPr>
                <w:sz w:val="21"/>
              </w:rPr>
            </w:pPr>
            <w:r>
              <w:rPr>
                <w:spacing w:val="-4"/>
                <w:sz w:val="21"/>
              </w:rPr>
              <w:t>席汉氏综合征</w:t>
            </w:r>
          </w:p>
          <w:p>
            <w:pPr>
              <w:pStyle w:val="TableParagraph"/>
              <w:numPr>
                <w:ilvl w:val="0"/>
                <w:numId w:val="120"/>
              </w:numPr>
              <w:tabs>
                <w:tab w:pos="468" w:val="left" w:leader="none"/>
              </w:tabs>
              <w:spacing w:line="240" w:lineRule="auto" w:before="43" w:after="0"/>
              <w:ind w:left="467" w:right="0" w:hanging="361"/>
              <w:jc w:val="left"/>
              <w:rPr>
                <w:sz w:val="21"/>
              </w:rPr>
            </w:pPr>
            <w:r>
              <w:rPr>
                <w:spacing w:val="-4"/>
                <w:sz w:val="21"/>
              </w:rPr>
              <w:t>肾髓质囊性病</w:t>
            </w:r>
          </w:p>
          <w:p>
            <w:pPr>
              <w:pStyle w:val="TableParagraph"/>
              <w:numPr>
                <w:ilvl w:val="0"/>
                <w:numId w:val="120"/>
              </w:numPr>
              <w:tabs>
                <w:tab w:pos="468" w:val="left" w:leader="none"/>
              </w:tabs>
              <w:spacing w:line="240" w:lineRule="auto" w:before="43" w:after="0"/>
              <w:ind w:left="467" w:right="0" w:hanging="361"/>
              <w:jc w:val="left"/>
              <w:rPr>
                <w:sz w:val="21"/>
              </w:rPr>
            </w:pPr>
            <w:r>
              <w:rPr>
                <w:spacing w:val="-4"/>
                <w:sz w:val="21"/>
              </w:rPr>
              <w:t>肝豆状核变性</w:t>
            </w:r>
          </w:p>
          <w:p>
            <w:pPr>
              <w:pStyle w:val="TableParagraph"/>
              <w:numPr>
                <w:ilvl w:val="0"/>
                <w:numId w:val="120"/>
              </w:numPr>
              <w:tabs>
                <w:tab w:pos="468" w:val="left" w:leader="none"/>
              </w:tabs>
              <w:spacing w:line="278" w:lineRule="auto" w:before="43" w:after="0"/>
              <w:ind w:left="467" w:right="98" w:hanging="360"/>
              <w:jc w:val="both"/>
              <w:rPr>
                <w:sz w:val="21"/>
              </w:rPr>
            </w:pPr>
            <w:r>
              <w:rPr>
                <w:spacing w:val="21"/>
                <w:sz w:val="21"/>
              </w:rPr>
              <w:t>重症急性出血坏</w:t>
            </w:r>
            <w:r>
              <w:rPr>
                <w:spacing w:val="21"/>
                <w:sz w:val="21"/>
              </w:rPr>
              <w:t>死性胰腺炎开腹</w:t>
            </w:r>
            <w:r>
              <w:rPr>
                <w:spacing w:val="-6"/>
                <w:sz w:val="21"/>
              </w:rPr>
              <w:t>手术</w:t>
            </w:r>
          </w:p>
          <w:p>
            <w:pPr>
              <w:pStyle w:val="TableParagraph"/>
              <w:numPr>
                <w:ilvl w:val="0"/>
                <w:numId w:val="120"/>
              </w:numPr>
              <w:tabs>
                <w:tab w:pos="468" w:val="left" w:leader="none"/>
              </w:tabs>
              <w:spacing w:line="278" w:lineRule="auto" w:before="0" w:after="0"/>
              <w:ind w:left="467" w:right="97" w:hanging="360"/>
              <w:jc w:val="both"/>
              <w:rPr>
                <w:sz w:val="21"/>
              </w:rPr>
            </w:pPr>
            <w:r>
              <w:rPr>
                <w:spacing w:val="21"/>
                <w:sz w:val="21"/>
              </w:rPr>
              <w:t>器官移植致人类</w:t>
            </w:r>
            <w:r>
              <w:rPr>
                <w:spacing w:val="-15"/>
                <w:sz w:val="21"/>
              </w:rPr>
              <w:t>免 疫 缺 陷 病 毒</w:t>
            </w:r>
          </w:p>
          <w:p>
            <w:pPr>
              <w:pStyle w:val="TableParagraph"/>
              <w:spacing w:line="269" w:lineRule="exact"/>
              <w:rPr>
                <w:sz w:val="21"/>
              </w:rPr>
            </w:pPr>
            <w:r>
              <w:rPr>
                <w:spacing w:val="-2"/>
                <w:sz w:val="21"/>
              </w:rPr>
              <w:t>（HIV）</w:t>
            </w:r>
            <w:r>
              <w:rPr>
                <w:spacing w:val="-6"/>
                <w:sz w:val="21"/>
              </w:rPr>
              <w:t>感染</w:t>
            </w:r>
          </w:p>
          <w:p>
            <w:pPr>
              <w:pStyle w:val="TableParagraph"/>
              <w:numPr>
                <w:ilvl w:val="0"/>
                <w:numId w:val="120"/>
              </w:numPr>
              <w:tabs>
                <w:tab w:pos="468" w:val="left" w:leader="none"/>
              </w:tabs>
              <w:spacing w:line="278" w:lineRule="auto" w:before="43" w:after="0"/>
              <w:ind w:left="467" w:right="98" w:hanging="360"/>
              <w:jc w:val="left"/>
              <w:rPr>
                <w:sz w:val="21"/>
              </w:rPr>
            </w:pPr>
            <w:r>
              <w:rPr>
                <w:spacing w:val="21"/>
                <w:sz w:val="21"/>
              </w:rPr>
              <w:t>严重肠道疾病并</w:t>
            </w:r>
            <w:r>
              <w:rPr>
                <w:spacing w:val="-6"/>
                <w:sz w:val="21"/>
              </w:rPr>
              <w:t>发症</w:t>
            </w:r>
          </w:p>
          <w:p>
            <w:pPr>
              <w:pStyle w:val="TableParagraph"/>
              <w:numPr>
                <w:ilvl w:val="0"/>
                <w:numId w:val="120"/>
              </w:numPr>
              <w:tabs>
                <w:tab w:pos="468" w:val="left" w:leader="none"/>
              </w:tabs>
              <w:spacing w:line="278" w:lineRule="auto" w:before="0" w:after="0"/>
              <w:ind w:left="467" w:right="-15" w:hanging="360"/>
              <w:jc w:val="left"/>
              <w:rPr>
                <w:sz w:val="21"/>
              </w:rPr>
            </w:pPr>
            <w:r>
              <w:rPr>
                <w:spacing w:val="-4"/>
                <w:sz w:val="21"/>
              </w:rPr>
              <w:t>急性肺损伤（ALI）</w:t>
            </w:r>
            <w:r>
              <w:rPr>
                <w:spacing w:val="21"/>
                <w:sz w:val="21"/>
              </w:rPr>
              <w:t>或急性呼吸窘迫</w:t>
            </w:r>
            <w:r>
              <w:rPr>
                <w:spacing w:val="-2"/>
                <w:sz w:val="21"/>
              </w:rPr>
              <w:t>综合征（ARDS）</w:t>
            </w:r>
          </w:p>
          <w:p>
            <w:pPr>
              <w:pStyle w:val="TableParagraph"/>
              <w:numPr>
                <w:ilvl w:val="0"/>
                <w:numId w:val="120"/>
              </w:numPr>
              <w:tabs>
                <w:tab w:pos="468" w:val="left" w:leader="none"/>
              </w:tabs>
              <w:spacing w:line="278" w:lineRule="auto" w:before="0" w:after="0"/>
              <w:ind w:left="467" w:right="98" w:hanging="360"/>
              <w:jc w:val="left"/>
              <w:rPr>
                <w:sz w:val="21"/>
              </w:rPr>
            </w:pPr>
            <w:r>
              <w:rPr>
                <w:spacing w:val="21"/>
                <w:sz w:val="21"/>
              </w:rPr>
              <w:t>溶血性尿毒综合</w:t>
            </w:r>
            <w:r>
              <w:rPr>
                <w:spacing w:val="-10"/>
                <w:sz w:val="21"/>
              </w:rPr>
              <w:t>征</w:t>
            </w:r>
          </w:p>
          <w:p>
            <w:pPr>
              <w:pStyle w:val="TableParagraph"/>
              <w:numPr>
                <w:ilvl w:val="0"/>
                <w:numId w:val="120"/>
              </w:numPr>
              <w:tabs>
                <w:tab w:pos="468" w:val="left" w:leader="none"/>
              </w:tabs>
              <w:spacing w:line="240" w:lineRule="auto" w:before="0" w:after="0"/>
              <w:ind w:left="467" w:right="0" w:hanging="361"/>
              <w:jc w:val="left"/>
              <w:rPr>
                <w:sz w:val="21"/>
              </w:rPr>
            </w:pPr>
            <w:r>
              <w:rPr>
                <w:spacing w:val="-4"/>
                <w:sz w:val="21"/>
              </w:rPr>
              <w:t>严重哮喘</w:t>
            </w:r>
          </w:p>
          <w:p>
            <w:pPr>
              <w:pStyle w:val="TableParagraph"/>
              <w:numPr>
                <w:ilvl w:val="0"/>
                <w:numId w:val="120"/>
              </w:numPr>
              <w:tabs>
                <w:tab w:pos="468" w:val="left" w:leader="none"/>
              </w:tabs>
              <w:spacing w:line="240" w:lineRule="auto" w:before="43" w:after="0"/>
              <w:ind w:left="467" w:right="0" w:hanging="361"/>
              <w:jc w:val="left"/>
              <w:rPr>
                <w:sz w:val="21"/>
              </w:rPr>
            </w:pPr>
            <w:r>
              <w:rPr>
                <w:spacing w:val="-4"/>
                <w:sz w:val="21"/>
              </w:rPr>
              <w:t>肺孢子菌肺炎</w:t>
            </w:r>
          </w:p>
          <w:p>
            <w:pPr>
              <w:pStyle w:val="TableParagraph"/>
              <w:numPr>
                <w:ilvl w:val="0"/>
                <w:numId w:val="120"/>
              </w:numPr>
              <w:tabs>
                <w:tab w:pos="468" w:val="left" w:leader="none"/>
              </w:tabs>
              <w:spacing w:line="240" w:lineRule="auto" w:before="43" w:after="0"/>
              <w:ind w:left="467" w:right="0" w:hanging="361"/>
              <w:jc w:val="left"/>
              <w:rPr>
                <w:sz w:val="21"/>
              </w:rPr>
            </w:pPr>
            <w:r>
              <w:rPr>
                <w:spacing w:val="-4"/>
                <w:sz w:val="21"/>
              </w:rPr>
              <w:t>特发性肺纤维化</w:t>
            </w:r>
          </w:p>
        </w:tc>
        <w:tc>
          <w:tcPr>
            <w:tcW w:w="2230" w:type="dxa"/>
          </w:tcPr>
          <w:p>
            <w:pPr>
              <w:pStyle w:val="TableParagraph"/>
              <w:numPr>
                <w:ilvl w:val="0"/>
                <w:numId w:val="121"/>
              </w:numPr>
              <w:tabs>
                <w:tab w:pos="468" w:val="left" w:leader="none"/>
              </w:tabs>
              <w:spacing w:line="278" w:lineRule="auto" w:before="22" w:after="0"/>
              <w:ind w:left="467" w:right="95" w:hanging="360"/>
              <w:jc w:val="left"/>
              <w:rPr>
                <w:sz w:val="21"/>
              </w:rPr>
            </w:pPr>
            <w:r>
              <w:rPr>
                <w:spacing w:val="23"/>
                <w:sz w:val="21"/>
              </w:rPr>
              <w:t>慢性肺源性心脏</w:t>
            </w:r>
            <w:r>
              <w:rPr>
                <w:spacing w:val="-10"/>
                <w:sz w:val="21"/>
              </w:rPr>
              <w:t>病</w:t>
            </w:r>
          </w:p>
          <w:p>
            <w:pPr>
              <w:pStyle w:val="TableParagraph"/>
              <w:numPr>
                <w:ilvl w:val="0"/>
                <w:numId w:val="121"/>
              </w:numPr>
              <w:tabs>
                <w:tab w:pos="468" w:val="left" w:leader="none"/>
              </w:tabs>
              <w:spacing w:line="278" w:lineRule="auto" w:before="0" w:after="0"/>
              <w:ind w:left="467" w:right="95" w:hanging="360"/>
              <w:jc w:val="left"/>
              <w:rPr>
                <w:sz w:val="21"/>
              </w:rPr>
            </w:pPr>
            <w:r>
              <w:rPr>
                <w:spacing w:val="23"/>
                <w:sz w:val="21"/>
              </w:rPr>
              <w:t>严重感染性心内</w:t>
            </w:r>
            <w:r>
              <w:rPr>
                <w:spacing w:val="-6"/>
                <w:sz w:val="21"/>
              </w:rPr>
              <w:t>膜炎</w:t>
            </w:r>
          </w:p>
          <w:p>
            <w:pPr>
              <w:pStyle w:val="TableParagraph"/>
              <w:numPr>
                <w:ilvl w:val="0"/>
                <w:numId w:val="121"/>
              </w:numPr>
              <w:tabs>
                <w:tab w:pos="468" w:val="left" w:leader="none"/>
              </w:tabs>
              <w:spacing w:line="278" w:lineRule="auto" w:before="0" w:after="0"/>
              <w:ind w:left="467" w:right="95" w:hanging="360"/>
              <w:jc w:val="left"/>
              <w:rPr>
                <w:sz w:val="21"/>
              </w:rPr>
            </w:pPr>
            <w:r>
              <w:rPr>
                <w:spacing w:val="23"/>
                <w:sz w:val="21"/>
              </w:rPr>
              <w:t>严重急性主动脉</w:t>
            </w:r>
            <w:r>
              <w:rPr>
                <w:spacing w:val="-4"/>
                <w:sz w:val="21"/>
              </w:rPr>
              <w:t>夹层血肿</w:t>
            </w:r>
          </w:p>
          <w:p>
            <w:pPr>
              <w:pStyle w:val="TableParagraph"/>
              <w:numPr>
                <w:ilvl w:val="0"/>
                <w:numId w:val="121"/>
              </w:numPr>
              <w:tabs>
                <w:tab w:pos="468" w:val="left" w:leader="none"/>
              </w:tabs>
              <w:spacing w:line="278" w:lineRule="auto" w:before="0" w:after="0"/>
              <w:ind w:left="467" w:right="95" w:hanging="360"/>
              <w:jc w:val="left"/>
              <w:rPr>
                <w:sz w:val="21"/>
              </w:rPr>
            </w:pPr>
            <w:r>
              <w:rPr>
                <w:spacing w:val="23"/>
                <w:sz w:val="21"/>
              </w:rPr>
              <w:t>严重慢性缩窄性</w:t>
            </w:r>
            <w:r>
              <w:rPr>
                <w:spacing w:val="-4"/>
                <w:sz w:val="21"/>
              </w:rPr>
              <w:t>心包炎</w:t>
            </w:r>
          </w:p>
          <w:p>
            <w:pPr>
              <w:pStyle w:val="TableParagraph"/>
              <w:numPr>
                <w:ilvl w:val="0"/>
                <w:numId w:val="121"/>
              </w:numPr>
              <w:tabs>
                <w:tab w:pos="468" w:val="left" w:leader="none"/>
              </w:tabs>
              <w:spacing w:line="269" w:lineRule="exact" w:before="0" w:after="0"/>
              <w:ind w:left="467" w:right="0" w:hanging="361"/>
              <w:jc w:val="left"/>
              <w:rPr>
                <w:sz w:val="21"/>
              </w:rPr>
            </w:pPr>
            <w:r>
              <w:rPr>
                <w:spacing w:val="-4"/>
                <w:sz w:val="21"/>
              </w:rPr>
              <w:t>心脏粘液瘤</w:t>
            </w:r>
          </w:p>
          <w:p>
            <w:pPr>
              <w:pStyle w:val="TableParagraph"/>
              <w:numPr>
                <w:ilvl w:val="0"/>
                <w:numId w:val="121"/>
              </w:numPr>
              <w:tabs>
                <w:tab w:pos="468" w:val="left" w:leader="none"/>
              </w:tabs>
              <w:spacing w:line="278" w:lineRule="auto" w:before="43" w:after="0"/>
              <w:ind w:left="467" w:right="94" w:hanging="360"/>
              <w:jc w:val="both"/>
              <w:rPr>
                <w:sz w:val="21"/>
              </w:rPr>
            </w:pPr>
            <w:r>
              <w:rPr>
                <w:spacing w:val="10"/>
                <w:sz w:val="21"/>
              </w:rPr>
              <w:t>严重心脏衰竭</w:t>
            </w:r>
            <w:r>
              <w:rPr>
                <w:sz w:val="21"/>
              </w:rPr>
              <w:t>CRT</w:t>
            </w:r>
            <w:r>
              <w:rPr>
                <w:spacing w:val="-2"/>
                <w:sz w:val="21"/>
              </w:rPr>
              <w:t>心脏再同步治疗</w:t>
            </w:r>
          </w:p>
          <w:p>
            <w:pPr>
              <w:pStyle w:val="TableParagraph"/>
              <w:numPr>
                <w:ilvl w:val="0"/>
                <w:numId w:val="121"/>
              </w:numPr>
              <w:tabs>
                <w:tab w:pos="468" w:val="left" w:leader="none"/>
              </w:tabs>
              <w:spacing w:line="278" w:lineRule="auto" w:before="0" w:after="0"/>
              <w:ind w:left="467" w:right="95" w:hanging="360"/>
              <w:jc w:val="both"/>
              <w:rPr>
                <w:sz w:val="21"/>
              </w:rPr>
            </w:pPr>
            <w:r>
              <w:rPr>
                <w:spacing w:val="23"/>
                <w:sz w:val="21"/>
              </w:rPr>
              <w:t>完全性房室传导</w:t>
            </w:r>
            <w:r>
              <w:rPr>
                <w:spacing w:val="-6"/>
                <w:sz w:val="21"/>
              </w:rPr>
              <w:t>阻滞</w:t>
            </w:r>
          </w:p>
          <w:p>
            <w:pPr>
              <w:pStyle w:val="TableParagraph"/>
              <w:numPr>
                <w:ilvl w:val="0"/>
                <w:numId w:val="121"/>
              </w:numPr>
              <w:tabs>
                <w:tab w:pos="468" w:val="left" w:leader="none"/>
              </w:tabs>
              <w:spacing w:line="278" w:lineRule="auto" w:before="0" w:after="0"/>
              <w:ind w:left="467" w:right="95" w:hanging="360"/>
              <w:jc w:val="both"/>
              <w:rPr>
                <w:sz w:val="21"/>
              </w:rPr>
            </w:pPr>
            <w:r>
              <w:rPr>
                <w:spacing w:val="23"/>
                <w:sz w:val="21"/>
              </w:rPr>
              <w:t>风湿热导致的心</w:t>
            </w:r>
            <w:r>
              <w:rPr>
                <w:spacing w:val="-4"/>
                <w:sz w:val="21"/>
              </w:rPr>
              <w:t>脏瓣膜病</w:t>
            </w:r>
          </w:p>
          <w:p>
            <w:pPr>
              <w:pStyle w:val="TableParagraph"/>
              <w:numPr>
                <w:ilvl w:val="0"/>
                <w:numId w:val="121"/>
              </w:numPr>
              <w:tabs>
                <w:tab w:pos="468" w:val="left" w:leader="none"/>
              </w:tabs>
              <w:spacing w:line="278" w:lineRule="auto" w:before="0" w:after="0"/>
              <w:ind w:left="467" w:right="95" w:hanging="360"/>
              <w:jc w:val="both"/>
              <w:rPr>
                <w:sz w:val="21"/>
              </w:rPr>
            </w:pPr>
            <w:r>
              <w:rPr>
                <w:spacing w:val="23"/>
                <w:sz w:val="21"/>
              </w:rPr>
              <w:t>头臂动脉型多发</w:t>
            </w:r>
            <w:r>
              <w:rPr>
                <w:spacing w:val="23"/>
                <w:sz w:val="21"/>
              </w:rPr>
              <w:t>性大动脉炎旁路</w:t>
            </w:r>
            <w:r>
              <w:rPr>
                <w:spacing w:val="-4"/>
                <w:sz w:val="21"/>
              </w:rPr>
              <w:t>移植手术</w:t>
            </w:r>
          </w:p>
          <w:p>
            <w:pPr>
              <w:pStyle w:val="TableParagraph"/>
              <w:numPr>
                <w:ilvl w:val="0"/>
                <w:numId w:val="121"/>
              </w:numPr>
              <w:tabs>
                <w:tab w:pos="468" w:val="left" w:leader="none"/>
              </w:tabs>
              <w:spacing w:line="278" w:lineRule="auto" w:before="0" w:after="0"/>
              <w:ind w:left="467" w:right="95" w:hanging="360"/>
              <w:jc w:val="both"/>
              <w:rPr>
                <w:sz w:val="21"/>
              </w:rPr>
            </w:pPr>
            <w:r>
              <w:rPr>
                <w:spacing w:val="6"/>
                <w:sz w:val="21"/>
              </w:rPr>
              <w:t>1</w:t>
            </w:r>
            <w:r>
              <w:rPr>
                <w:sz w:val="21"/>
              </w:rPr>
              <w:t>型糖尿病严重并</w:t>
            </w:r>
            <w:r>
              <w:rPr>
                <w:spacing w:val="-6"/>
                <w:sz w:val="21"/>
              </w:rPr>
              <w:t>发症</w:t>
            </w:r>
          </w:p>
          <w:p>
            <w:pPr>
              <w:pStyle w:val="TableParagraph"/>
              <w:numPr>
                <w:ilvl w:val="0"/>
                <w:numId w:val="121"/>
              </w:numPr>
              <w:tabs>
                <w:tab w:pos="468" w:val="left" w:leader="none"/>
              </w:tabs>
              <w:spacing w:line="269" w:lineRule="exact" w:before="0" w:after="0"/>
              <w:ind w:left="467" w:right="0" w:hanging="361"/>
              <w:jc w:val="both"/>
              <w:rPr>
                <w:sz w:val="21"/>
              </w:rPr>
            </w:pPr>
            <w:r>
              <w:rPr>
                <w:spacing w:val="-2"/>
                <w:sz w:val="21"/>
              </w:rPr>
              <w:t>Brugada</w:t>
            </w:r>
            <w:r>
              <w:rPr>
                <w:spacing w:val="-5"/>
                <w:sz w:val="21"/>
              </w:rPr>
              <w:t>综合征</w:t>
            </w:r>
          </w:p>
          <w:p>
            <w:pPr>
              <w:pStyle w:val="TableParagraph"/>
              <w:numPr>
                <w:ilvl w:val="0"/>
                <w:numId w:val="121"/>
              </w:numPr>
              <w:tabs>
                <w:tab w:pos="468" w:val="left" w:leader="none"/>
              </w:tabs>
              <w:spacing w:line="278" w:lineRule="auto" w:before="42" w:after="0"/>
              <w:ind w:left="467" w:right="95" w:hanging="360"/>
              <w:jc w:val="left"/>
              <w:rPr>
                <w:sz w:val="21"/>
              </w:rPr>
            </w:pPr>
            <w:r>
              <w:rPr>
                <w:spacing w:val="23"/>
                <w:sz w:val="21"/>
              </w:rPr>
              <w:t>川崎病冠状动脉</w:t>
            </w:r>
            <w:r>
              <w:rPr>
                <w:spacing w:val="-4"/>
                <w:sz w:val="21"/>
              </w:rPr>
              <w:t>瘤手术</w:t>
            </w:r>
          </w:p>
          <w:p>
            <w:pPr>
              <w:pStyle w:val="TableParagraph"/>
              <w:numPr>
                <w:ilvl w:val="0"/>
                <w:numId w:val="121"/>
              </w:numPr>
              <w:tabs>
                <w:tab w:pos="468" w:val="left" w:leader="none"/>
              </w:tabs>
              <w:spacing w:line="278" w:lineRule="auto" w:before="0" w:after="0"/>
              <w:ind w:left="467" w:right="95" w:hanging="360"/>
              <w:jc w:val="left"/>
              <w:rPr>
                <w:sz w:val="21"/>
              </w:rPr>
            </w:pPr>
            <w:r>
              <w:rPr>
                <w:spacing w:val="23"/>
                <w:sz w:val="21"/>
              </w:rPr>
              <w:t>严重幼年型类风</w:t>
            </w:r>
            <w:r>
              <w:rPr>
                <w:spacing w:val="-4"/>
                <w:sz w:val="21"/>
              </w:rPr>
              <w:t>湿关节炎</w:t>
            </w:r>
          </w:p>
          <w:p>
            <w:pPr>
              <w:pStyle w:val="TableParagraph"/>
              <w:numPr>
                <w:ilvl w:val="0"/>
                <w:numId w:val="121"/>
              </w:numPr>
              <w:tabs>
                <w:tab w:pos="468" w:val="left" w:leader="none"/>
              </w:tabs>
              <w:spacing w:line="240" w:lineRule="auto" w:before="0" w:after="0"/>
              <w:ind w:left="467" w:right="0" w:hanging="361"/>
              <w:jc w:val="left"/>
              <w:rPr>
                <w:sz w:val="21"/>
              </w:rPr>
            </w:pPr>
            <w:r>
              <w:rPr>
                <w:spacing w:val="-4"/>
                <w:sz w:val="21"/>
              </w:rPr>
              <w:t>室壁瘤切除手术</w:t>
            </w:r>
          </w:p>
          <w:p>
            <w:pPr>
              <w:pStyle w:val="TableParagraph"/>
              <w:numPr>
                <w:ilvl w:val="0"/>
                <w:numId w:val="121"/>
              </w:numPr>
              <w:tabs>
                <w:tab w:pos="468" w:val="left" w:leader="none"/>
              </w:tabs>
              <w:spacing w:line="240" w:lineRule="auto" w:before="43" w:after="0"/>
              <w:ind w:left="467" w:right="0" w:hanging="361"/>
              <w:jc w:val="left"/>
              <w:rPr>
                <w:sz w:val="21"/>
              </w:rPr>
            </w:pPr>
            <w:r>
              <w:rPr>
                <w:spacing w:val="-4"/>
                <w:sz w:val="21"/>
              </w:rPr>
              <w:t>艾森门格综合征</w:t>
            </w:r>
          </w:p>
        </w:tc>
        <w:tc>
          <w:tcPr>
            <w:tcW w:w="2227" w:type="dxa"/>
            <w:tcBorders>
              <w:right w:val="single" w:sz="6" w:space="0" w:color="000000"/>
            </w:tcBorders>
          </w:tcPr>
          <w:p>
            <w:pPr>
              <w:pStyle w:val="TableParagraph"/>
              <w:numPr>
                <w:ilvl w:val="0"/>
                <w:numId w:val="122"/>
              </w:numPr>
              <w:tabs>
                <w:tab w:pos="464" w:val="left" w:leader="none"/>
              </w:tabs>
              <w:spacing w:line="240" w:lineRule="auto" w:before="22" w:after="0"/>
              <w:ind w:left="463" w:right="0" w:hanging="361"/>
              <w:jc w:val="left"/>
              <w:rPr>
                <w:sz w:val="21"/>
              </w:rPr>
            </w:pPr>
            <w:r>
              <w:rPr>
                <w:spacing w:val="-4"/>
                <w:sz w:val="21"/>
              </w:rPr>
              <w:t>严重克罗恩病</w:t>
            </w:r>
          </w:p>
          <w:p>
            <w:pPr>
              <w:pStyle w:val="TableParagraph"/>
              <w:numPr>
                <w:ilvl w:val="0"/>
                <w:numId w:val="122"/>
              </w:numPr>
              <w:tabs>
                <w:tab w:pos="464" w:val="left" w:leader="none"/>
              </w:tabs>
              <w:spacing w:line="278" w:lineRule="auto" w:before="44" w:after="0"/>
              <w:ind w:left="463" w:right="94" w:hanging="360"/>
              <w:jc w:val="left"/>
              <w:rPr>
                <w:sz w:val="21"/>
              </w:rPr>
            </w:pPr>
            <w:r>
              <w:rPr>
                <w:spacing w:val="21"/>
                <w:sz w:val="21"/>
              </w:rPr>
              <w:t>严重全身性重症</w:t>
            </w:r>
            <w:r>
              <w:rPr>
                <w:spacing w:val="-4"/>
                <w:sz w:val="21"/>
              </w:rPr>
              <w:t>肌无力</w:t>
            </w:r>
          </w:p>
          <w:p>
            <w:pPr>
              <w:pStyle w:val="TableParagraph"/>
              <w:numPr>
                <w:ilvl w:val="0"/>
                <w:numId w:val="122"/>
              </w:numPr>
              <w:tabs>
                <w:tab w:pos="464" w:val="left" w:leader="none"/>
              </w:tabs>
              <w:spacing w:line="278" w:lineRule="auto" w:before="0" w:after="0"/>
              <w:ind w:left="463" w:right="94" w:hanging="360"/>
              <w:jc w:val="left"/>
              <w:rPr>
                <w:sz w:val="21"/>
              </w:rPr>
            </w:pPr>
            <w:r>
              <w:rPr>
                <w:spacing w:val="21"/>
                <w:sz w:val="21"/>
              </w:rPr>
              <w:t>严重脊髓灰质炎</w:t>
            </w:r>
            <w:r>
              <w:rPr>
                <w:spacing w:val="-4"/>
                <w:sz w:val="21"/>
              </w:rPr>
              <w:t>后遗症</w:t>
            </w:r>
          </w:p>
          <w:p>
            <w:pPr>
              <w:pStyle w:val="TableParagraph"/>
              <w:numPr>
                <w:ilvl w:val="0"/>
                <w:numId w:val="122"/>
              </w:numPr>
              <w:tabs>
                <w:tab w:pos="464" w:val="left" w:leader="none"/>
              </w:tabs>
              <w:spacing w:line="269" w:lineRule="exact" w:before="0" w:after="0"/>
              <w:ind w:left="463" w:right="0" w:hanging="361"/>
              <w:jc w:val="left"/>
              <w:rPr>
                <w:sz w:val="21"/>
              </w:rPr>
            </w:pPr>
            <w:r>
              <w:rPr>
                <w:spacing w:val="-4"/>
                <w:sz w:val="21"/>
              </w:rPr>
              <w:t>肌营养不良症</w:t>
            </w:r>
          </w:p>
          <w:p>
            <w:pPr>
              <w:pStyle w:val="TableParagraph"/>
              <w:numPr>
                <w:ilvl w:val="0"/>
                <w:numId w:val="122"/>
              </w:numPr>
              <w:tabs>
                <w:tab w:pos="464" w:val="left" w:leader="none"/>
              </w:tabs>
              <w:spacing w:line="278" w:lineRule="auto" w:before="42" w:after="0"/>
              <w:ind w:left="463" w:right="94" w:hanging="360"/>
              <w:jc w:val="left"/>
              <w:rPr>
                <w:sz w:val="21"/>
              </w:rPr>
            </w:pPr>
            <w:r>
              <w:rPr>
                <w:spacing w:val="21"/>
                <w:sz w:val="21"/>
              </w:rPr>
              <w:t>破裂脑动脉瘤开</w:t>
            </w:r>
            <w:r>
              <w:rPr>
                <w:spacing w:val="-2"/>
                <w:sz w:val="21"/>
              </w:rPr>
              <w:t>颅夹闭手术</w:t>
            </w:r>
          </w:p>
          <w:p>
            <w:pPr>
              <w:pStyle w:val="TableParagraph"/>
              <w:numPr>
                <w:ilvl w:val="0"/>
                <w:numId w:val="122"/>
              </w:numPr>
              <w:tabs>
                <w:tab w:pos="464" w:val="left" w:leader="none"/>
              </w:tabs>
              <w:spacing w:line="269" w:lineRule="exact" w:before="0" w:after="0"/>
              <w:ind w:left="463" w:right="0" w:hanging="361"/>
              <w:jc w:val="left"/>
              <w:rPr>
                <w:sz w:val="21"/>
              </w:rPr>
            </w:pPr>
            <w:r>
              <w:rPr>
                <w:spacing w:val="-4"/>
                <w:sz w:val="21"/>
              </w:rPr>
              <w:t>植物人状态</w:t>
            </w:r>
          </w:p>
          <w:p>
            <w:pPr>
              <w:pStyle w:val="TableParagraph"/>
              <w:numPr>
                <w:ilvl w:val="0"/>
                <w:numId w:val="122"/>
              </w:numPr>
              <w:tabs>
                <w:tab w:pos="464" w:val="left" w:leader="none"/>
              </w:tabs>
              <w:spacing w:line="278" w:lineRule="auto" w:before="43" w:after="0"/>
              <w:ind w:left="463" w:right="94" w:hanging="360"/>
              <w:jc w:val="left"/>
              <w:rPr>
                <w:sz w:val="21"/>
              </w:rPr>
            </w:pPr>
            <w:r>
              <w:rPr>
                <w:spacing w:val="21"/>
                <w:sz w:val="21"/>
              </w:rPr>
              <w:t>非阿尔茨海默病</w:t>
            </w:r>
            <w:r>
              <w:rPr>
                <w:spacing w:val="-2"/>
                <w:sz w:val="21"/>
              </w:rPr>
              <w:t>至严重痴呆</w:t>
            </w:r>
          </w:p>
          <w:p>
            <w:pPr>
              <w:pStyle w:val="TableParagraph"/>
              <w:numPr>
                <w:ilvl w:val="0"/>
                <w:numId w:val="122"/>
              </w:numPr>
              <w:tabs>
                <w:tab w:pos="464" w:val="left" w:leader="none"/>
              </w:tabs>
              <w:spacing w:line="278" w:lineRule="auto" w:before="0" w:after="0"/>
              <w:ind w:left="463" w:right="94" w:hanging="360"/>
              <w:jc w:val="left"/>
              <w:rPr>
                <w:sz w:val="21"/>
              </w:rPr>
            </w:pPr>
            <w:r>
              <w:rPr>
                <w:spacing w:val="21"/>
                <w:sz w:val="21"/>
              </w:rPr>
              <w:t>进行性核上性麻</w:t>
            </w:r>
            <w:r>
              <w:rPr>
                <w:spacing w:val="-10"/>
                <w:sz w:val="21"/>
              </w:rPr>
              <w:t>痹</w:t>
            </w:r>
          </w:p>
          <w:p>
            <w:pPr>
              <w:pStyle w:val="TableParagraph"/>
              <w:numPr>
                <w:ilvl w:val="0"/>
                <w:numId w:val="122"/>
              </w:numPr>
              <w:tabs>
                <w:tab w:pos="464" w:val="left" w:leader="none"/>
              </w:tabs>
              <w:spacing w:line="278" w:lineRule="auto" w:before="0" w:after="0"/>
              <w:ind w:left="463" w:right="64" w:hanging="360"/>
              <w:jc w:val="left"/>
              <w:rPr>
                <w:sz w:val="21"/>
              </w:rPr>
            </w:pPr>
            <w:r>
              <w:rPr>
                <w:spacing w:val="-2"/>
                <w:sz w:val="21"/>
              </w:rPr>
              <w:t>克-雅氏病（CJD</w:t>
            </w:r>
            <w:r>
              <w:rPr>
                <w:spacing w:val="-2"/>
                <w:sz w:val="21"/>
              </w:rPr>
              <w:t>、</w:t>
            </w:r>
            <w:r>
              <w:rPr>
                <w:spacing w:val="-2"/>
                <w:sz w:val="21"/>
              </w:rPr>
              <w:t>人类疯牛病）</w:t>
            </w:r>
          </w:p>
          <w:p>
            <w:pPr>
              <w:pStyle w:val="TableParagraph"/>
              <w:numPr>
                <w:ilvl w:val="0"/>
                <w:numId w:val="122"/>
              </w:numPr>
              <w:tabs>
                <w:tab w:pos="464" w:val="left" w:leader="none"/>
              </w:tabs>
              <w:spacing w:line="278" w:lineRule="auto" w:before="0" w:after="0"/>
              <w:ind w:left="463" w:right="94" w:hanging="360"/>
              <w:jc w:val="left"/>
              <w:rPr>
                <w:sz w:val="21"/>
              </w:rPr>
            </w:pPr>
            <w:r>
              <w:rPr>
                <w:spacing w:val="21"/>
                <w:sz w:val="21"/>
              </w:rPr>
              <w:t>亚急性硬化性全</w:t>
            </w:r>
            <w:r>
              <w:rPr>
                <w:spacing w:val="-6"/>
                <w:sz w:val="21"/>
              </w:rPr>
              <w:t>脑炎</w:t>
            </w:r>
          </w:p>
          <w:p>
            <w:pPr>
              <w:pStyle w:val="TableParagraph"/>
              <w:numPr>
                <w:ilvl w:val="0"/>
                <w:numId w:val="122"/>
              </w:numPr>
              <w:tabs>
                <w:tab w:pos="464" w:val="left" w:leader="none"/>
              </w:tabs>
              <w:spacing w:line="278" w:lineRule="auto" w:before="0" w:after="0"/>
              <w:ind w:left="463" w:right="64" w:hanging="360"/>
              <w:jc w:val="left"/>
              <w:rPr>
                <w:sz w:val="21"/>
              </w:rPr>
            </w:pPr>
            <w:r>
              <w:rPr>
                <w:spacing w:val="23"/>
                <w:sz w:val="21"/>
              </w:rPr>
              <w:t>进行性多灶性白</w:t>
            </w:r>
            <w:r>
              <w:rPr>
                <w:spacing w:val="-4"/>
                <w:sz w:val="21"/>
              </w:rPr>
              <w:t>质脑病</w:t>
            </w:r>
          </w:p>
          <w:p>
            <w:pPr>
              <w:pStyle w:val="TableParagraph"/>
              <w:numPr>
                <w:ilvl w:val="0"/>
                <w:numId w:val="122"/>
              </w:numPr>
              <w:tabs>
                <w:tab w:pos="464" w:val="left" w:leader="none"/>
              </w:tabs>
              <w:spacing w:line="278" w:lineRule="auto" w:before="0" w:after="0"/>
              <w:ind w:left="463" w:right="94" w:hanging="360"/>
              <w:jc w:val="left"/>
              <w:rPr>
                <w:sz w:val="21"/>
              </w:rPr>
            </w:pPr>
            <w:r>
              <w:rPr>
                <w:spacing w:val="21"/>
                <w:sz w:val="21"/>
              </w:rPr>
              <w:t>丧失独立生活能</w:t>
            </w:r>
            <w:r>
              <w:rPr>
                <w:spacing w:val="-10"/>
                <w:sz w:val="21"/>
              </w:rPr>
              <w:t>力</w:t>
            </w:r>
          </w:p>
          <w:p>
            <w:pPr>
              <w:pStyle w:val="TableParagraph"/>
              <w:numPr>
                <w:ilvl w:val="0"/>
                <w:numId w:val="122"/>
              </w:numPr>
              <w:tabs>
                <w:tab w:pos="464" w:val="left" w:leader="none"/>
              </w:tabs>
              <w:spacing w:line="269" w:lineRule="exact" w:before="0" w:after="0"/>
              <w:ind w:left="463" w:right="0" w:hanging="361"/>
              <w:jc w:val="left"/>
              <w:rPr>
                <w:sz w:val="21"/>
              </w:rPr>
            </w:pPr>
            <w:r>
              <w:rPr>
                <w:spacing w:val="-4"/>
                <w:sz w:val="21"/>
              </w:rPr>
              <w:t>脊髓小脑变性症</w:t>
            </w:r>
          </w:p>
          <w:p>
            <w:pPr>
              <w:pStyle w:val="TableParagraph"/>
              <w:numPr>
                <w:ilvl w:val="0"/>
                <w:numId w:val="122"/>
              </w:numPr>
              <w:tabs>
                <w:tab w:pos="464" w:val="left" w:leader="none"/>
              </w:tabs>
              <w:spacing w:line="240" w:lineRule="auto" w:before="43" w:after="0"/>
              <w:ind w:left="463" w:right="0" w:hanging="361"/>
              <w:jc w:val="left"/>
              <w:rPr>
                <w:sz w:val="21"/>
              </w:rPr>
            </w:pPr>
            <w:r>
              <w:rPr>
                <w:spacing w:val="-4"/>
                <w:sz w:val="21"/>
              </w:rPr>
              <w:t>神经白塞病</w:t>
            </w:r>
          </w:p>
          <w:p>
            <w:pPr>
              <w:pStyle w:val="TableParagraph"/>
              <w:numPr>
                <w:ilvl w:val="0"/>
                <w:numId w:val="122"/>
              </w:numPr>
              <w:tabs>
                <w:tab w:pos="464" w:val="left" w:leader="none"/>
              </w:tabs>
              <w:spacing w:line="240" w:lineRule="auto" w:before="43" w:after="0"/>
              <w:ind w:left="463" w:right="0" w:hanging="361"/>
              <w:jc w:val="left"/>
              <w:rPr>
                <w:sz w:val="21"/>
              </w:rPr>
            </w:pPr>
            <w:r>
              <w:rPr>
                <w:spacing w:val="-4"/>
                <w:sz w:val="21"/>
              </w:rPr>
              <w:t>脊髓内肿瘤</w:t>
            </w:r>
          </w:p>
          <w:p>
            <w:pPr>
              <w:pStyle w:val="TableParagraph"/>
              <w:numPr>
                <w:ilvl w:val="0"/>
                <w:numId w:val="122"/>
              </w:numPr>
              <w:tabs>
                <w:tab w:pos="464" w:val="left" w:leader="none"/>
              </w:tabs>
              <w:spacing w:line="278" w:lineRule="auto" w:before="43" w:after="0"/>
              <w:ind w:left="463" w:right="94" w:hanging="360"/>
              <w:jc w:val="left"/>
              <w:rPr>
                <w:sz w:val="21"/>
              </w:rPr>
            </w:pPr>
            <w:r>
              <w:rPr>
                <w:spacing w:val="21"/>
                <w:sz w:val="21"/>
              </w:rPr>
              <w:t>横贯性脊髓炎后</w:t>
            </w:r>
            <w:r>
              <w:rPr>
                <w:spacing w:val="-6"/>
                <w:sz w:val="21"/>
              </w:rPr>
              <w:t>遗症</w:t>
            </w:r>
          </w:p>
          <w:p>
            <w:pPr>
              <w:pStyle w:val="TableParagraph"/>
              <w:numPr>
                <w:ilvl w:val="0"/>
                <w:numId w:val="122"/>
              </w:numPr>
              <w:tabs>
                <w:tab w:pos="464" w:val="left" w:leader="none"/>
              </w:tabs>
              <w:spacing w:line="240" w:lineRule="auto" w:before="0" w:after="0"/>
              <w:ind w:left="463" w:right="0" w:hanging="361"/>
              <w:jc w:val="left"/>
              <w:rPr>
                <w:sz w:val="21"/>
              </w:rPr>
            </w:pPr>
            <w:r>
              <w:rPr>
                <w:spacing w:val="-4"/>
                <w:sz w:val="21"/>
              </w:rPr>
              <w:t>脊髓空洞症</w:t>
            </w:r>
          </w:p>
          <w:p>
            <w:pPr>
              <w:pStyle w:val="TableParagraph"/>
              <w:numPr>
                <w:ilvl w:val="0"/>
                <w:numId w:val="122"/>
              </w:numPr>
              <w:tabs>
                <w:tab w:pos="464" w:val="left" w:leader="none"/>
              </w:tabs>
              <w:spacing w:line="278" w:lineRule="auto" w:before="43" w:after="0"/>
              <w:ind w:left="463" w:right="94" w:hanging="360"/>
              <w:jc w:val="left"/>
              <w:rPr>
                <w:sz w:val="21"/>
              </w:rPr>
            </w:pPr>
            <w:r>
              <w:rPr>
                <w:spacing w:val="21"/>
                <w:sz w:val="21"/>
              </w:rPr>
              <w:t>脊髓血管病后遗</w:t>
            </w:r>
            <w:r>
              <w:rPr>
                <w:spacing w:val="-10"/>
                <w:sz w:val="21"/>
              </w:rPr>
              <w:t>症</w:t>
            </w:r>
          </w:p>
          <w:p>
            <w:pPr>
              <w:pStyle w:val="TableParagraph"/>
              <w:numPr>
                <w:ilvl w:val="0"/>
                <w:numId w:val="122"/>
              </w:numPr>
              <w:tabs>
                <w:tab w:pos="464" w:val="left" w:leader="none"/>
              </w:tabs>
              <w:spacing w:line="269" w:lineRule="exact" w:before="0" w:after="0"/>
              <w:ind w:left="463" w:right="0" w:hanging="361"/>
              <w:jc w:val="left"/>
              <w:rPr>
                <w:sz w:val="21"/>
              </w:rPr>
            </w:pPr>
            <w:r>
              <w:rPr>
                <w:spacing w:val="-4"/>
                <w:sz w:val="21"/>
              </w:rPr>
              <w:t>开颅手术</w:t>
            </w:r>
          </w:p>
          <w:p>
            <w:pPr>
              <w:pStyle w:val="TableParagraph"/>
              <w:numPr>
                <w:ilvl w:val="0"/>
                <w:numId w:val="122"/>
              </w:numPr>
              <w:tabs>
                <w:tab w:pos="464" w:val="left" w:leader="none"/>
              </w:tabs>
              <w:spacing w:line="278" w:lineRule="auto" w:before="43" w:after="0"/>
              <w:ind w:left="463" w:right="94" w:hanging="360"/>
              <w:jc w:val="left"/>
              <w:rPr>
                <w:sz w:val="21"/>
              </w:rPr>
            </w:pPr>
            <w:r>
              <w:rPr>
                <w:spacing w:val="21"/>
                <w:sz w:val="21"/>
              </w:rPr>
              <w:t>严重强直性脊柱</w:t>
            </w:r>
            <w:r>
              <w:rPr>
                <w:spacing w:val="-10"/>
                <w:sz w:val="21"/>
              </w:rPr>
              <w:t>炎</w:t>
            </w:r>
          </w:p>
          <w:p>
            <w:pPr>
              <w:pStyle w:val="TableParagraph"/>
              <w:numPr>
                <w:ilvl w:val="0"/>
                <w:numId w:val="122"/>
              </w:numPr>
              <w:tabs>
                <w:tab w:pos="464" w:val="left" w:leader="none"/>
              </w:tabs>
              <w:spacing w:line="278" w:lineRule="auto" w:before="0" w:after="0"/>
              <w:ind w:left="463" w:right="94" w:hanging="360"/>
              <w:jc w:val="left"/>
              <w:rPr>
                <w:sz w:val="21"/>
              </w:rPr>
            </w:pPr>
            <w:r>
              <w:rPr>
                <w:spacing w:val="21"/>
                <w:sz w:val="21"/>
              </w:rPr>
              <w:t>因疾病或外伤导</w:t>
            </w:r>
            <w:r>
              <w:rPr>
                <w:spacing w:val="-2"/>
                <w:sz w:val="21"/>
              </w:rPr>
              <w:t>致智力缺陷</w:t>
            </w:r>
          </w:p>
          <w:p>
            <w:pPr>
              <w:pStyle w:val="TableParagraph"/>
              <w:numPr>
                <w:ilvl w:val="0"/>
                <w:numId w:val="122"/>
              </w:numPr>
              <w:tabs>
                <w:tab w:pos="464" w:val="left" w:leader="none"/>
              </w:tabs>
              <w:spacing w:line="269" w:lineRule="exact" w:before="0" w:after="0"/>
              <w:ind w:left="463" w:right="0" w:hanging="361"/>
              <w:jc w:val="left"/>
              <w:rPr>
                <w:sz w:val="21"/>
              </w:rPr>
            </w:pPr>
            <w:r>
              <w:rPr>
                <w:spacing w:val="-4"/>
                <w:sz w:val="21"/>
              </w:rPr>
              <w:t>严重瑞氏综合征</w:t>
            </w:r>
          </w:p>
          <w:p>
            <w:pPr>
              <w:pStyle w:val="TableParagraph"/>
              <w:numPr>
                <w:ilvl w:val="0"/>
                <w:numId w:val="122"/>
              </w:numPr>
              <w:tabs>
                <w:tab w:pos="464" w:val="left" w:leader="none"/>
              </w:tabs>
              <w:spacing w:line="240" w:lineRule="auto" w:before="42" w:after="0"/>
              <w:ind w:left="463" w:right="0" w:hanging="361"/>
              <w:jc w:val="left"/>
              <w:rPr>
                <w:sz w:val="21"/>
              </w:rPr>
            </w:pPr>
            <w:r>
              <w:rPr>
                <w:spacing w:val="-4"/>
                <w:sz w:val="21"/>
              </w:rPr>
              <w:t>亚历山大病</w:t>
            </w:r>
          </w:p>
          <w:p>
            <w:pPr>
              <w:pStyle w:val="TableParagraph"/>
              <w:numPr>
                <w:ilvl w:val="0"/>
                <w:numId w:val="122"/>
              </w:numPr>
              <w:tabs>
                <w:tab w:pos="464" w:val="left" w:leader="none"/>
              </w:tabs>
              <w:spacing w:line="240" w:lineRule="auto" w:before="43" w:after="0"/>
              <w:ind w:left="463" w:right="0" w:hanging="361"/>
              <w:jc w:val="left"/>
              <w:rPr>
                <w:sz w:val="21"/>
              </w:rPr>
            </w:pPr>
            <w:r>
              <w:rPr>
                <w:spacing w:val="-4"/>
                <w:sz w:val="21"/>
              </w:rPr>
              <w:t>脑型疟疾</w:t>
            </w:r>
          </w:p>
          <w:p>
            <w:pPr>
              <w:pStyle w:val="TableParagraph"/>
              <w:numPr>
                <w:ilvl w:val="0"/>
                <w:numId w:val="122"/>
              </w:numPr>
              <w:tabs>
                <w:tab w:pos="464" w:val="left" w:leader="none"/>
              </w:tabs>
              <w:spacing w:line="240" w:lineRule="auto" w:before="44" w:after="0"/>
              <w:ind w:left="463" w:right="0" w:hanging="361"/>
              <w:jc w:val="left"/>
              <w:rPr>
                <w:sz w:val="21"/>
              </w:rPr>
            </w:pPr>
            <w:r>
              <w:rPr>
                <w:spacing w:val="-4"/>
                <w:sz w:val="21"/>
              </w:rPr>
              <w:t>库鲁病</w:t>
            </w:r>
          </w:p>
          <w:p>
            <w:pPr>
              <w:pStyle w:val="TableParagraph"/>
              <w:numPr>
                <w:ilvl w:val="0"/>
                <w:numId w:val="122"/>
              </w:numPr>
              <w:tabs>
                <w:tab w:pos="464" w:val="left" w:leader="none"/>
              </w:tabs>
              <w:spacing w:line="240" w:lineRule="auto" w:before="43" w:after="0"/>
              <w:ind w:left="463" w:right="0" w:hanging="361"/>
              <w:jc w:val="left"/>
              <w:rPr>
                <w:sz w:val="21"/>
              </w:rPr>
            </w:pPr>
            <w:r>
              <w:rPr>
                <w:spacing w:val="-4"/>
                <w:sz w:val="21"/>
              </w:rPr>
              <w:t>严重癫痫</w:t>
            </w:r>
          </w:p>
        </w:tc>
        <w:tc>
          <w:tcPr>
            <w:tcW w:w="2230" w:type="dxa"/>
            <w:tcBorders>
              <w:left w:val="single" w:sz="6" w:space="0" w:color="000000"/>
            </w:tcBorders>
          </w:tcPr>
          <w:p>
            <w:pPr>
              <w:pStyle w:val="TableParagraph"/>
              <w:ind w:left="0"/>
              <w:rPr>
                <w:rFonts w:ascii="Times New Roman"/>
                <w:sz w:val="20"/>
              </w:rPr>
            </w:pPr>
          </w:p>
        </w:tc>
      </w:tr>
    </w:tbl>
    <w:p>
      <w:pPr>
        <w:pStyle w:val="BodyText"/>
        <w:spacing w:before="1"/>
        <w:rPr>
          <w:rFonts w:ascii="微软雅黑"/>
          <w:b/>
          <w:sz w:val="6"/>
        </w:rPr>
      </w:pPr>
    </w:p>
    <w:p>
      <w:pPr>
        <w:pStyle w:val="ListParagraph"/>
        <w:numPr>
          <w:ilvl w:val="1"/>
          <w:numId w:val="5"/>
        </w:numPr>
        <w:tabs>
          <w:tab w:pos="1073" w:val="left" w:leader="none"/>
          <w:tab w:pos="2699" w:val="left" w:leader="none"/>
        </w:tabs>
        <w:spacing w:line="240" w:lineRule="auto" w:before="5" w:after="0"/>
        <w:ind w:left="1072" w:right="0" w:hanging="853"/>
        <w:jc w:val="both"/>
        <w:rPr>
          <w:sz w:val="21"/>
        </w:rPr>
      </w:pPr>
      <w:r>
        <w:rPr>
          <w:rFonts w:ascii="微软雅黑" w:eastAsia="微软雅黑"/>
          <w:b/>
          <w:sz w:val="21"/>
        </w:rPr>
        <w:t>保险事</w:t>
      </w:r>
      <w:r>
        <w:rPr>
          <w:rFonts w:ascii="微软雅黑" w:eastAsia="微软雅黑"/>
          <w:b/>
          <w:spacing w:val="-10"/>
          <w:sz w:val="21"/>
        </w:rPr>
        <w:t>故</w:t>
      </w:r>
      <w:r>
        <w:rPr>
          <w:rFonts w:ascii="微软雅黑" w:eastAsia="微软雅黑"/>
          <w:b/>
          <w:sz w:val="21"/>
        </w:rPr>
        <w:tab/>
      </w:r>
      <w:r>
        <w:rPr>
          <w:spacing w:val="-2"/>
          <w:sz w:val="21"/>
        </w:rPr>
        <w:t>指</w:t>
      </w:r>
      <w:r>
        <w:rPr>
          <w:spacing w:val="-2"/>
          <w:sz w:val="21"/>
        </w:rPr>
        <w:t>本</w:t>
      </w:r>
      <w:r>
        <w:rPr>
          <w:spacing w:val="-2"/>
          <w:sz w:val="21"/>
        </w:rPr>
        <w:t>合同约定的保险责任</w:t>
      </w:r>
      <w:r>
        <w:rPr>
          <w:spacing w:val="-2"/>
          <w:sz w:val="21"/>
        </w:rPr>
        <w:t>范</w:t>
      </w:r>
      <w:r>
        <w:rPr>
          <w:spacing w:val="-2"/>
          <w:sz w:val="21"/>
        </w:rPr>
        <w:t>围</w:t>
      </w:r>
      <w:r>
        <w:rPr>
          <w:spacing w:val="-2"/>
          <w:sz w:val="21"/>
        </w:rPr>
        <w:t>内的事</w:t>
      </w:r>
      <w:r>
        <w:rPr>
          <w:spacing w:val="-2"/>
          <w:sz w:val="21"/>
        </w:rPr>
        <w:t>故</w:t>
      </w:r>
      <w:r>
        <w:rPr>
          <w:spacing w:val="-10"/>
          <w:sz w:val="21"/>
        </w:rPr>
        <w:t>。</w:t>
      </w:r>
    </w:p>
    <w:p>
      <w:pPr>
        <w:pStyle w:val="ListParagraph"/>
        <w:numPr>
          <w:ilvl w:val="1"/>
          <w:numId w:val="5"/>
        </w:numPr>
        <w:tabs>
          <w:tab w:pos="1073" w:val="left" w:leader="none"/>
          <w:tab w:pos="2699" w:val="left" w:leader="none"/>
        </w:tabs>
        <w:spacing w:line="256" w:lineRule="auto" w:before="83" w:after="0"/>
        <w:ind w:left="2699" w:right="354" w:hanging="2480"/>
        <w:jc w:val="both"/>
        <w:rPr>
          <w:sz w:val="21"/>
        </w:rPr>
      </w:pPr>
      <w:r>
        <w:rPr>
          <w:rFonts w:ascii="微软雅黑" w:eastAsia="微软雅黑"/>
          <w:b/>
          <w:spacing w:val="-6"/>
          <w:sz w:val="21"/>
        </w:rPr>
        <w:t>毒</w:t>
      </w:r>
      <w:r>
        <w:rPr>
          <w:rFonts w:ascii="微软雅黑" w:eastAsia="微软雅黑"/>
          <w:b/>
          <w:spacing w:val="-6"/>
          <w:sz w:val="21"/>
        </w:rPr>
        <w:t>品</w:t>
      </w:r>
      <w:r>
        <w:rPr>
          <w:rFonts w:ascii="微软雅黑" w:eastAsia="微软雅黑"/>
          <w:b/>
          <w:sz w:val="21"/>
        </w:rPr>
        <w:tab/>
      </w:r>
      <w:r>
        <w:rPr>
          <w:spacing w:val="-2"/>
          <w:sz w:val="21"/>
        </w:rPr>
        <w:t>指</w:t>
      </w:r>
      <w:r>
        <w:rPr>
          <w:spacing w:val="-2"/>
          <w:sz w:val="21"/>
        </w:rPr>
        <w:t>鸦</w:t>
      </w:r>
      <w:r>
        <w:rPr>
          <w:spacing w:val="-2"/>
          <w:sz w:val="21"/>
        </w:rPr>
        <w:t>片、海洛因、甲基苯丙胺（冰毒</w:t>
      </w:r>
      <w:r>
        <w:rPr>
          <w:spacing w:val="-106"/>
          <w:sz w:val="21"/>
        </w:rPr>
        <w:t>）</w:t>
      </w:r>
      <w:r>
        <w:rPr>
          <w:spacing w:val="-2"/>
          <w:sz w:val="21"/>
        </w:rPr>
        <w:t>、</w:t>
      </w:r>
      <w:r>
        <w:rPr>
          <w:spacing w:val="-2"/>
          <w:sz w:val="21"/>
        </w:rPr>
        <w:t>吗</w:t>
      </w:r>
      <w:r>
        <w:rPr>
          <w:spacing w:val="-2"/>
          <w:sz w:val="21"/>
        </w:rPr>
        <w:t>啡</w:t>
      </w:r>
      <w:r>
        <w:rPr>
          <w:spacing w:val="-2"/>
          <w:sz w:val="21"/>
        </w:rPr>
        <w:t>、大麻、可卡因以及索赔当时政</w:t>
      </w:r>
      <w:r>
        <w:rPr>
          <w:spacing w:val="-2"/>
          <w:sz w:val="21"/>
        </w:rPr>
        <w:t>府</w:t>
      </w:r>
      <w:r>
        <w:rPr>
          <w:spacing w:val="-2"/>
          <w:sz w:val="21"/>
        </w:rPr>
        <w:t>规</w:t>
      </w:r>
      <w:r>
        <w:rPr>
          <w:spacing w:val="-2"/>
          <w:sz w:val="21"/>
        </w:rPr>
        <w:t>定</w:t>
      </w:r>
      <w:r>
        <w:rPr>
          <w:spacing w:val="-2"/>
          <w:sz w:val="21"/>
        </w:rPr>
        <w:t>管</w:t>
      </w:r>
      <w:r>
        <w:rPr>
          <w:spacing w:val="-2"/>
          <w:sz w:val="21"/>
        </w:rPr>
        <w:t>制</w:t>
      </w:r>
      <w:r>
        <w:rPr>
          <w:spacing w:val="-2"/>
          <w:sz w:val="21"/>
        </w:rPr>
        <w:t>的</w:t>
      </w:r>
      <w:r>
        <w:rPr>
          <w:spacing w:val="-2"/>
          <w:sz w:val="21"/>
        </w:rPr>
        <w:t>其</w:t>
      </w:r>
      <w:r>
        <w:rPr>
          <w:spacing w:val="-2"/>
          <w:sz w:val="21"/>
        </w:rPr>
        <w:t>他</w:t>
      </w:r>
      <w:r>
        <w:rPr>
          <w:spacing w:val="-2"/>
          <w:sz w:val="21"/>
        </w:rPr>
        <w:t>能</w:t>
      </w:r>
      <w:r>
        <w:rPr>
          <w:spacing w:val="-2"/>
          <w:sz w:val="21"/>
        </w:rPr>
        <w:t>够</w:t>
      </w:r>
      <w:r>
        <w:rPr>
          <w:spacing w:val="-2"/>
          <w:sz w:val="21"/>
        </w:rPr>
        <w:t>使</w:t>
      </w:r>
      <w:r>
        <w:rPr>
          <w:spacing w:val="-2"/>
          <w:sz w:val="21"/>
        </w:rPr>
        <w:t>人</w:t>
      </w:r>
      <w:r>
        <w:rPr>
          <w:spacing w:val="-2"/>
          <w:sz w:val="21"/>
        </w:rPr>
        <w:t>形</w:t>
      </w:r>
      <w:r>
        <w:rPr>
          <w:spacing w:val="-2"/>
          <w:sz w:val="21"/>
        </w:rPr>
        <w:t>成</w:t>
      </w:r>
      <w:r>
        <w:rPr>
          <w:spacing w:val="-2"/>
          <w:sz w:val="21"/>
        </w:rPr>
        <w:t>瘾</w:t>
      </w:r>
      <w:r>
        <w:rPr>
          <w:spacing w:val="-2"/>
          <w:sz w:val="21"/>
        </w:rPr>
        <w:t>癖</w:t>
      </w:r>
      <w:r>
        <w:rPr>
          <w:spacing w:val="-2"/>
          <w:sz w:val="21"/>
        </w:rPr>
        <w:t>的</w:t>
      </w:r>
      <w:r>
        <w:rPr>
          <w:spacing w:val="-2"/>
          <w:sz w:val="21"/>
        </w:rPr>
        <w:t>麻</w:t>
      </w:r>
      <w:r>
        <w:rPr>
          <w:spacing w:val="-2"/>
          <w:sz w:val="21"/>
        </w:rPr>
        <w:t>醉</w:t>
      </w:r>
      <w:r>
        <w:rPr>
          <w:spacing w:val="-2"/>
          <w:sz w:val="21"/>
        </w:rPr>
        <w:t>药</w:t>
      </w:r>
      <w:r>
        <w:rPr>
          <w:spacing w:val="-2"/>
          <w:sz w:val="21"/>
        </w:rPr>
        <w:t>品</w:t>
      </w:r>
      <w:r>
        <w:rPr>
          <w:spacing w:val="-2"/>
          <w:sz w:val="21"/>
        </w:rPr>
        <w:t>和</w:t>
      </w:r>
      <w:r>
        <w:rPr>
          <w:spacing w:val="-2"/>
          <w:sz w:val="21"/>
        </w:rPr>
        <w:t>精</w:t>
      </w:r>
      <w:r>
        <w:rPr>
          <w:spacing w:val="-2"/>
          <w:sz w:val="21"/>
        </w:rPr>
        <w:t>神</w:t>
      </w:r>
      <w:r>
        <w:rPr>
          <w:spacing w:val="-2"/>
          <w:sz w:val="21"/>
        </w:rPr>
        <w:t>药</w:t>
      </w:r>
      <w:r>
        <w:rPr>
          <w:spacing w:val="-2"/>
          <w:sz w:val="21"/>
        </w:rPr>
        <w:t>品</w:t>
      </w:r>
      <w:r>
        <w:rPr>
          <w:spacing w:val="-2"/>
          <w:sz w:val="21"/>
        </w:rPr>
        <w:t>，</w:t>
      </w:r>
      <w:r>
        <w:rPr>
          <w:spacing w:val="-2"/>
          <w:sz w:val="21"/>
        </w:rPr>
        <w:t>但</w:t>
      </w:r>
      <w:r>
        <w:rPr>
          <w:spacing w:val="-2"/>
          <w:sz w:val="21"/>
        </w:rPr>
        <w:t>不</w:t>
      </w:r>
      <w:r>
        <w:rPr>
          <w:spacing w:val="-2"/>
          <w:sz w:val="21"/>
        </w:rPr>
        <w:t>包</w:t>
      </w:r>
      <w:r>
        <w:rPr>
          <w:spacing w:val="-2"/>
          <w:sz w:val="21"/>
        </w:rPr>
        <w:t>括</w:t>
      </w:r>
      <w:r>
        <w:rPr>
          <w:spacing w:val="-2"/>
          <w:sz w:val="21"/>
        </w:rPr>
        <w:t>由</w:t>
      </w:r>
      <w:r>
        <w:rPr>
          <w:spacing w:val="-2"/>
          <w:sz w:val="21"/>
        </w:rPr>
        <w:t>医</w:t>
      </w:r>
      <w:r>
        <w:rPr>
          <w:spacing w:val="-2"/>
          <w:sz w:val="21"/>
        </w:rPr>
        <w:t>生</w:t>
      </w:r>
      <w:r>
        <w:rPr>
          <w:spacing w:val="-2"/>
          <w:sz w:val="21"/>
        </w:rPr>
        <w:t>开</w:t>
      </w:r>
      <w:r>
        <w:rPr>
          <w:spacing w:val="-2"/>
          <w:sz w:val="21"/>
        </w:rPr>
        <w:t>具</w:t>
      </w:r>
      <w:r>
        <w:rPr>
          <w:spacing w:val="-2"/>
          <w:sz w:val="21"/>
        </w:rPr>
        <w:t>并</w:t>
      </w:r>
      <w:r>
        <w:rPr>
          <w:spacing w:val="-2"/>
          <w:sz w:val="21"/>
        </w:rPr>
        <w:t>遵</w:t>
      </w:r>
      <w:r>
        <w:rPr>
          <w:spacing w:val="-2"/>
          <w:sz w:val="21"/>
        </w:rPr>
        <w:t>医</w:t>
      </w:r>
      <w:r>
        <w:rPr>
          <w:spacing w:val="-2"/>
          <w:sz w:val="21"/>
        </w:rPr>
        <w:t>嘱使用的用于治疗疾</w:t>
      </w:r>
      <w:r>
        <w:rPr>
          <w:spacing w:val="-2"/>
          <w:sz w:val="21"/>
        </w:rPr>
        <w:t>病</w:t>
      </w:r>
      <w:r>
        <w:rPr>
          <w:spacing w:val="-2"/>
          <w:sz w:val="21"/>
        </w:rPr>
        <w:t>但</w:t>
      </w:r>
      <w:r>
        <w:rPr>
          <w:spacing w:val="-2"/>
          <w:sz w:val="21"/>
        </w:rPr>
        <w:t>含有毒品成分的处方</w:t>
      </w:r>
      <w:r>
        <w:rPr>
          <w:spacing w:val="-2"/>
          <w:sz w:val="21"/>
        </w:rPr>
        <w:t>药</w:t>
      </w:r>
      <w:r>
        <w:rPr>
          <w:spacing w:val="-2"/>
          <w:sz w:val="21"/>
        </w:rPr>
        <w:t>品</w:t>
      </w:r>
      <w:r>
        <w:rPr>
          <w:spacing w:val="-2"/>
          <w:sz w:val="21"/>
        </w:rPr>
        <w:t>。</w:t>
      </w:r>
    </w:p>
    <w:p>
      <w:pPr>
        <w:spacing w:after="0" w:line="256" w:lineRule="auto"/>
        <w:jc w:val="both"/>
        <w:rPr>
          <w:sz w:val="21"/>
        </w:rPr>
        <w:sectPr>
          <w:type w:val="continuous"/>
          <w:pgSz w:w="11910" w:h="16840"/>
          <w:pgMar w:header="0" w:footer="458" w:top="1280" w:bottom="640" w:left="800" w:right="660"/>
        </w:sectPr>
      </w:pPr>
    </w:p>
    <w:p>
      <w:pPr>
        <w:pStyle w:val="ListParagraph"/>
        <w:numPr>
          <w:ilvl w:val="1"/>
          <w:numId w:val="5"/>
        </w:numPr>
        <w:tabs>
          <w:tab w:pos="1072" w:val="left" w:leader="none"/>
          <w:tab w:pos="1073" w:val="left" w:leader="none"/>
          <w:tab w:pos="2699" w:val="left" w:leader="none"/>
        </w:tabs>
        <w:spacing w:line="359" w:lineRule="exact" w:before="0" w:after="0"/>
        <w:ind w:left="2699" w:right="0" w:hanging="2480"/>
        <w:jc w:val="left"/>
        <w:rPr>
          <w:sz w:val="21"/>
        </w:rPr>
      </w:pPr>
      <w:r>
        <w:rPr>
          <w:rFonts w:ascii="微软雅黑" w:eastAsia="微软雅黑"/>
          <w:b/>
          <w:sz w:val="21"/>
        </w:rPr>
        <w:t>酒后驾</w:t>
      </w:r>
      <w:r>
        <w:rPr>
          <w:rFonts w:ascii="微软雅黑" w:eastAsia="微软雅黑"/>
          <w:b/>
          <w:spacing w:val="-10"/>
          <w:sz w:val="21"/>
        </w:rPr>
        <w:t>驶</w:t>
      </w:r>
      <w:r>
        <w:rPr>
          <w:rFonts w:ascii="微软雅黑" w:eastAsia="微软雅黑"/>
          <w:b/>
          <w:sz w:val="21"/>
        </w:rPr>
        <w:tab/>
      </w:r>
      <w:r>
        <w:rPr>
          <w:spacing w:val="-2"/>
          <w:sz w:val="21"/>
        </w:rPr>
        <w:t>指</w:t>
      </w:r>
      <w:r>
        <w:rPr>
          <w:spacing w:val="-2"/>
          <w:sz w:val="21"/>
        </w:rPr>
        <w:t>经</w:t>
      </w:r>
      <w:r>
        <w:rPr>
          <w:spacing w:val="-2"/>
          <w:sz w:val="21"/>
        </w:rPr>
        <w:t>检</w:t>
      </w:r>
      <w:r>
        <w:rPr>
          <w:spacing w:val="-2"/>
          <w:sz w:val="21"/>
        </w:rPr>
        <w:t>测</w:t>
      </w:r>
      <w:r>
        <w:rPr>
          <w:spacing w:val="-2"/>
          <w:sz w:val="21"/>
        </w:rPr>
        <w:t>或</w:t>
      </w:r>
      <w:r>
        <w:rPr>
          <w:spacing w:val="-2"/>
          <w:sz w:val="21"/>
        </w:rPr>
        <w:t>者</w:t>
      </w:r>
      <w:r>
        <w:rPr>
          <w:spacing w:val="-2"/>
          <w:sz w:val="21"/>
        </w:rPr>
        <w:t>鉴</w:t>
      </w:r>
      <w:r>
        <w:rPr>
          <w:spacing w:val="-2"/>
          <w:sz w:val="21"/>
        </w:rPr>
        <w:t>定</w:t>
      </w:r>
      <w:r>
        <w:rPr>
          <w:spacing w:val="-2"/>
          <w:sz w:val="21"/>
        </w:rPr>
        <w:t>，</w:t>
      </w:r>
      <w:r>
        <w:rPr>
          <w:spacing w:val="-2"/>
          <w:sz w:val="21"/>
        </w:rPr>
        <w:t>发</w:t>
      </w:r>
      <w:r>
        <w:rPr>
          <w:spacing w:val="-2"/>
          <w:sz w:val="21"/>
        </w:rPr>
        <w:t>生</w:t>
      </w:r>
      <w:r>
        <w:rPr>
          <w:spacing w:val="-2"/>
          <w:sz w:val="21"/>
        </w:rPr>
        <w:t>事</w:t>
      </w:r>
      <w:r>
        <w:rPr>
          <w:spacing w:val="-2"/>
          <w:sz w:val="21"/>
        </w:rPr>
        <w:t>故</w:t>
      </w:r>
      <w:r>
        <w:rPr>
          <w:spacing w:val="-2"/>
          <w:sz w:val="21"/>
        </w:rPr>
        <w:t>时</w:t>
      </w:r>
      <w:r>
        <w:rPr>
          <w:spacing w:val="-2"/>
          <w:sz w:val="21"/>
        </w:rPr>
        <w:t>车</w:t>
      </w:r>
      <w:r>
        <w:rPr>
          <w:spacing w:val="-2"/>
          <w:sz w:val="21"/>
        </w:rPr>
        <w:t>辆</w:t>
      </w:r>
      <w:r>
        <w:rPr>
          <w:spacing w:val="-2"/>
          <w:sz w:val="21"/>
        </w:rPr>
        <w:t>驾</w:t>
      </w:r>
      <w:r>
        <w:rPr>
          <w:spacing w:val="-2"/>
          <w:sz w:val="21"/>
        </w:rPr>
        <w:t>驶</w:t>
      </w:r>
      <w:r>
        <w:rPr>
          <w:spacing w:val="-2"/>
          <w:sz w:val="21"/>
        </w:rPr>
        <w:t>人</w:t>
      </w:r>
      <w:r>
        <w:rPr>
          <w:spacing w:val="-2"/>
          <w:sz w:val="21"/>
        </w:rPr>
        <w:t>员</w:t>
      </w:r>
      <w:r>
        <w:rPr>
          <w:spacing w:val="-2"/>
          <w:sz w:val="21"/>
        </w:rPr>
        <w:t>每</w:t>
      </w:r>
      <w:r>
        <w:rPr>
          <w:spacing w:val="-2"/>
          <w:sz w:val="21"/>
        </w:rPr>
        <w:t>百</w:t>
      </w:r>
      <w:r>
        <w:rPr>
          <w:spacing w:val="-2"/>
          <w:sz w:val="21"/>
        </w:rPr>
        <w:t>毫</w:t>
      </w:r>
      <w:r>
        <w:rPr>
          <w:spacing w:val="-2"/>
          <w:sz w:val="21"/>
        </w:rPr>
        <w:t>升</w:t>
      </w:r>
      <w:r>
        <w:rPr>
          <w:spacing w:val="-2"/>
          <w:sz w:val="21"/>
        </w:rPr>
        <w:t>血</w:t>
      </w:r>
      <w:r>
        <w:rPr>
          <w:spacing w:val="-2"/>
          <w:sz w:val="21"/>
        </w:rPr>
        <w:t>液</w:t>
      </w:r>
      <w:r>
        <w:rPr>
          <w:spacing w:val="-2"/>
          <w:sz w:val="21"/>
        </w:rPr>
        <w:t>中</w:t>
      </w:r>
      <w:r>
        <w:rPr>
          <w:spacing w:val="-2"/>
          <w:sz w:val="21"/>
        </w:rPr>
        <w:t>的</w:t>
      </w:r>
      <w:r>
        <w:rPr>
          <w:spacing w:val="-2"/>
          <w:sz w:val="21"/>
        </w:rPr>
        <w:t>酒</w:t>
      </w:r>
      <w:r>
        <w:rPr>
          <w:spacing w:val="-2"/>
          <w:sz w:val="21"/>
        </w:rPr>
        <w:t>精</w:t>
      </w:r>
      <w:r>
        <w:rPr>
          <w:spacing w:val="-2"/>
          <w:sz w:val="21"/>
        </w:rPr>
        <w:t>含</w:t>
      </w:r>
      <w:r>
        <w:rPr>
          <w:spacing w:val="-2"/>
          <w:sz w:val="21"/>
        </w:rPr>
        <w:t>量</w:t>
      </w:r>
      <w:r>
        <w:rPr>
          <w:spacing w:val="-2"/>
          <w:sz w:val="21"/>
        </w:rPr>
        <w:t>达</w:t>
      </w:r>
      <w:r>
        <w:rPr>
          <w:spacing w:val="-2"/>
          <w:sz w:val="21"/>
        </w:rPr>
        <w:t>到</w:t>
      </w:r>
      <w:r>
        <w:rPr>
          <w:spacing w:val="-10"/>
          <w:sz w:val="21"/>
        </w:rPr>
        <w:t>或</w:t>
      </w:r>
    </w:p>
    <w:p>
      <w:pPr>
        <w:pStyle w:val="BodyText"/>
        <w:spacing w:line="278" w:lineRule="auto" w:before="0"/>
        <w:ind w:left="2699" w:right="359"/>
      </w:pPr>
      <w:r>
        <w:rPr>
          <w:spacing w:val="-2"/>
        </w:rPr>
        <w:t>者超过一定的标准，公安机关交通管理部门依据《中华人民共和国道路交通安全</w:t>
      </w:r>
      <w:r>
        <w:rPr>
          <w:spacing w:val="-2"/>
        </w:rPr>
        <w:t>法》的规定认定为饮酒后驾驶或者醉酒后驾驶。</w:t>
      </w:r>
    </w:p>
    <w:p>
      <w:pPr>
        <w:pStyle w:val="BodyText"/>
        <w:spacing w:before="5"/>
        <w:rPr>
          <w:sz w:val="10"/>
        </w:rPr>
      </w:pPr>
    </w:p>
    <w:p>
      <w:pPr>
        <w:spacing w:after="0"/>
        <w:rPr>
          <w:sz w:val="10"/>
        </w:rPr>
        <w:sectPr>
          <w:pgSz w:w="11910" w:h="16840"/>
          <w:pgMar w:header="0" w:footer="458" w:top="1260" w:bottom="640" w:left="800" w:right="660"/>
        </w:sectPr>
      </w:pPr>
    </w:p>
    <w:p>
      <w:pPr>
        <w:pStyle w:val="ListParagraph"/>
        <w:numPr>
          <w:ilvl w:val="1"/>
          <w:numId w:val="5"/>
        </w:numPr>
        <w:tabs>
          <w:tab w:pos="1072" w:val="left" w:leader="none"/>
          <w:tab w:pos="1073" w:val="left" w:leader="none"/>
        </w:tabs>
        <w:spacing w:line="194" w:lineRule="auto" w:before="57" w:after="0"/>
        <w:ind w:left="1072" w:right="38" w:hanging="853"/>
        <w:jc w:val="left"/>
        <w:rPr>
          <w:rFonts w:ascii="微软雅黑" w:eastAsia="微软雅黑"/>
          <w:b/>
          <w:sz w:val="21"/>
        </w:rPr>
      </w:pPr>
      <w:r>
        <w:rPr>
          <w:rFonts w:ascii="微软雅黑" w:eastAsia="微软雅黑"/>
          <w:b/>
          <w:spacing w:val="-2"/>
          <w:sz w:val="21"/>
        </w:rPr>
        <w:t>无合法有效驾</w:t>
      </w:r>
      <w:r>
        <w:rPr>
          <w:rFonts w:ascii="微软雅黑" w:eastAsia="微软雅黑"/>
          <w:b/>
          <w:spacing w:val="-4"/>
          <w:sz w:val="21"/>
        </w:rPr>
        <w:t>驶证驾驶</w:t>
      </w:r>
    </w:p>
    <w:p>
      <w:pPr>
        <w:pStyle w:val="BodyText"/>
        <w:spacing w:before="71"/>
        <w:ind w:left="220"/>
      </w:pPr>
      <w:r>
        <w:rPr/>
        <w:br w:type="column"/>
      </w:r>
      <w:r>
        <w:rPr>
          <w:spacing w:val="-4"/>
        </w:rPr>
        <w:t>指下列情形之一：</w:t>
      </w:r>
    </w:p>
    <w:p>
      <w:pPr>
        <w:pStyle w:val="ListParagraph"/>
        <w:numPr>
          <w:ilvl w:val="0"/>
          <w:numId w:val="123"/>
        </w:numPr>
        <w:tabs>
          <w:tab w:pos="787" w:val="left" w:leader="none"/>
        </w:tabs>
        <w:spacing w:line="240" w:lineRule="auto" w:before="43" w:after="0"/>
        <w:ind w:left="787" w:right="0" w:hanging="567"/>
        <w:jc w:val="left"/>
        <w:rPr>
          <w:sz w:val="21"/>
        </w:rPr>
      </w:pPr>
      <w:r>
        <w:rPr>
          <w:spacing w:val="-4"/>
          <w:sz w:val="21"/>
        </w:rPr>
        <w:t>没有驾驶证驾驶；</w:t>
      </w:r>
    </w:p>
    <w:p>
      <w:pPr>
        <w:pStyle w:val="ListParagraph"/>
        <w:numPr>
          <w:ilvl w:val="0"/>
          <w:numId w:val="123"/>
        </w:numPr>
        <w:tabs>
          <w:tab w:pos="787" w:val="left" w:leader="none"/>
        </w:tabs>
        <w:spacing w:line="240" w:lineRule="auto" w:before="43" w:after="0"/>
        <w:ind w:left="787" w:right="0" w:hanging="567"/>
        <w:jc w:val="left"/>
        <w:rPr>
          <w:sz w:val="21"/>
        </w:rPr>
      </w:pPr>
      <w:r>
        <w:rPr>
          <w:spacing w:val="-3"/>
          <w:sz w:val="21"/>
        </w:rPr>
        <w:t>驾驶与驾驶证准驾车型不相符合的车辆；</w:t>
      </w:r>
    </w:p>
    <w:p>
      <w:pPr>
        <w:pStyle w:val="ListParagraph"/>
        <w:numPr>
          <w:ilvl w:val="0"/>
          <w:numId w:val="123"/>
        </w:numPr>
        <w:tabs>
          <w:tab w:pos="787" w:val="left" w:leader="none"/>
        </w:tabs>
        <w:spacing w:line="240" w:lineRule="auto" w:before="43" w:after="0"/>
        <w:ind w:left="787" w:right="0" w:hanging="567"/>
        <w:jc w:val="left"/>
        <w:rPr>
          <w:sz w:val="21"/>
        </w:rPr>
      </w:pPr>
      <w:r>
        <w:rPr>
          <w:spacing w:val="-3"/>
          <w:sz w:val="21"/>
        </w:rPr>
        <w:t>驾驶员持审验不合格的驾驶证驾驶；</w:t>
      </w:r>
    </w:p>
    <w:p>
      <w:pPr>
        <w:pStyle w:val="ListParagraph"/>
        <w:numPr>
          <w:ilvl w:val="0"/>
          <w:numId w:val="123"/>
        </w:numPr>
        <w:tabs>
          <w:tab w:pos="787" w:val="left" w:leader="none"/>
        </w:tabs>
        <w:spacing w:line="240" w:lineRule="auto" w:before="43" w:after="0"/>
        <w:ind w:left="787" w:right="0" w:hanging="567"/>
        <w:jc w:val="left"/>
        <w:rPr>
          <w:sz w:val="21"/>
        </w:rPr>
      </w:pPr>
      <w:r>
        <w:rPr>
          <w:spacing w:val="-3"/>
          <w:sz w:val="21"/>
        </w:rPr>
        <w:t>未经公安交通管理部门同意，持未审验的驾驶证驾驶；</w:t>
      </w:r>
    </w:p>
    <w:p>
      <w:pPr>
        <w:pStyle w:val="ListParagraph"/>
        <w:numPr>
          <w:ilvl w:val="0"/>
          <w:numId w:val="123"/>
        </w:numPr>
        <w:tabs>
          <w:tab w:pos="787" w:val="left" w:leader="none"/>
        </w:tabs>
        <w:spacing w:line="278" w:lineRule="auto" w:before="43" w:after="0"/>
        <w:ind w:left="787" w:right="364" w:hanging="567"/>
        <w:jc w:val="left"/>
        <w:rPr>
          <w:sz w:val="21"/>
        </w:rPr>
      </w:pPr>
      <w:r>
        <w:rPr>
          <w:spacing w:val="-2"/>
          <w:sz w:val="21"/>
        </w:rPr>
        <w:t>持学习驾驶证学习驾车时，无教练员随车指导，或不按指定时间、路线学</w:t>
      </w:r>
      <w:r>
        <w:rPr>
          <w:spacing w:val="-4"/>
          <w:sz w:val="21"/>
        </w:rPr>
        <w:t>习驾车；</w:t>
      </w:r>
    </w:p>
    <w:p>
      <w:pPr>
        <w:pStyle w:val="ListParagraph"/>
        <w:numPr>
          <w:ilvl w:val="0"/>
          <w:numId w:val="123"/>
        </w:numPr>
        <w:tabs>
          <w:tab w:pos="787" w:val="left" w:leader="none"/>
        </w:tabs>
        <w:spacing w:line="269" w:lineRule="exact" w:before="0" w:after="0"/>
        <w:ind w:left="787" w:right="0" w:hanging="567"/>
        <w:jc w:val="left"/>
        <w:rPr>
          <w:sz w:val="21"/>
        </w:rPr>
      </w:pPr>
      <w:r>
        <w:rPr>
          <w:spacing w:val="-3"/>
          <w:sz w:val="21"/>
        </w:rPr>
        <w:t>公安交通管理部门规定的其他无有效驾驶证驾驶的情况。</w:t>
      </w:r>
    </w:p>
    <w:p>
      <w:pPr>
        <w:spacing w:after="0" w:line="269" w:lineRule="exact"/>
        <w:jc w:val="left"/>
        <w:rPr>
          <w:sz w:val="21"/>
        </w:rPr>
        <w:sectPr>
          <w:type w:val="continuous"/>
          <w:pgSz w:w="11910" w:h="16840"/>
          <w:pgMar w:header="0" w:footer="458" w:top="620" w:bottom="280" w:left="800" w:right="660"/>
          <w:cols w:num="2" w:equalWidth="0">
            <w:col w:w="2380" w:space="99"/>
            <w:col w:w="7971"/>
          </w:cols>
        </w:sectPr>
      </w:pPr>
    </w:p>
    <w:p>
      <w:pPr>
        <w:pStyle w:val="BodyText"/>
        <w:spacing w:before="4"/>
        <w:rPr>
          <w:sz w:val="10"/>
        </w:rPr>
      </w:pPr>
    </w:p>
    <w:p>
      <w:pPr>
        <w:pStyle w:val="ListParagraph"/>
        <w:numPr>
          <w:ilvl w:val="1"/>
          <w:numId w:val="5"/>
        </w:numPr>
        <w:tabs>
          <w:tab w:pos="1072" w:val="left" w:leader="none"/>
          <w:tab w:pos="1073" w:val="left" w:leader="none"/>
          <w:tab w:pos="2699" w:val="left" w:leader="none"/>
        </w:tabs>
        <w:spacing w:line="383" w:lineRule="exact" w:before="5" w:after="0"/>
        <w:ind w:left="1072" w:right="0" w:hanging="853"/>
        <w:jc w:val="left"/>
        <w:rPr>
          <w:sz w:val="21"/>
        </w:rPr>
      </w:pPr>
      <w:r>
        <w:rPr>
          <w:rFonts w:ascii="微软雅黑" w:eastAsia="微软雅黑"/>
          <w:b/>
          <w:sz w:val="21"/>
        </w:rPr>
        <w:t>无有效行驶</w:t>
      </w:r>
      <w:r>
        <w:rPr>
          <w:rFonts w:ascii="微软雅黑" w:eastAsia="微软雅黑"/>
          <w:b/>
          <w:spacing w:val="-10"/>
          <w:sz w:val="21"/>
        </w:rPr>
        <w:t>证</w:t>
      </w:r>
      <w:r>
        <w:rPr>
          <w:rFonts w:ascii="微软雅黑" w:eastAsia="微软雅黑"/>
          <w:b/>
          <w:sz w:val="21"/>
        </w:rPr>
        <w:tab/>
      </w:r>
      <w:r>
        <w:rPr>
          <w:spacing w:val="-2"/>
          <w:sz w:val="21"/>
        </w:rPr>
        <w:t>指</w:t>
      </w:r>
      <w:r>
        <w:rPr>
          <w:spacing w:val="-2"/>
          <w:sz w:val="21"/>
        </w:rPr>
        <w:t>下</w:t>
      </w:r>
      <w:r>
        <w:rPr>
          <w:spacing w:val="-2"/>
          <w:sz w:val="21"/>
        </w:rPr>
        <w:t>列情形之一</w:t>
      </w:r>
      <w:r>
        <w:rPr>
          <w:spacing w:val="-10"/>
          <w:sz w:val="21"/>
        </w:rPr>
        <w:t>：</w:t>
      </w:r>
    </w:p>
    <w:p>
      <w:pPr>
        <w:pStyle w:val="ListParagraph"/>
        <w:numPr>
          <w:ilvl w:val="0"/>
          <w:numId w:val="124"/>
        </w:numPr>
        <w:tabs>
          <w:tab w:pos="3267" w:val="left" w:leader="none"/>
        </w:tabs>
        <w:spacing w:line="265" w:lineRule="exact" w:before="0" w:after="0"/>
        <w:ind w:left="3266" w:right="0" w:hanging="568"/>
        <w:jc w:val="left"/>
        <w:rPr>
          <w:sz w:val="21"/>
        </w:rPr>
      </w:pPr>
      <w:r>
        <w:rPr>
          <w:spacing w:val="-3"/>
          <w:sz w:val="21"/>
        </w:rPr>
        <w:t>没有机动车行驶证；</w:t>
      </w:r>
    </w:p>
    <w:p>
      <w:pPr>
        <w:pStyle w:val="ListParagraph"/>
        <w:numPr>
          <w:ilvl w:val="0"/>
          <w:numId w:val="124"/>
        </w:numPr>
        <w:tabs>
          <w:tab w:pos="3267" w:val="left" w:leader="none"/>
        </w:tabs>
        <w:spacing w:line="240" w:lineRule="auto" w:before="42" w:after="0"/>
        <w:ind w:left="3266" w:right="0" w:hanging="568"/>
        <w:jc w:val="left"/>
        <w:rPr>
          <w:sz w:val="21"/>
        </w:rPr>
      </w:pPr>
      <w:r>
        <w:rPr>
          <w:spacing w:val="-3"/>
          <w:sz w:val="21"/>
        </w:rPr>
        <w:t>未在法律规定期限内按时进行或通过安全技术检验。</w:t>
      </w:r>
    </w:p>
    <w:p>
      <w:pPr>
        <w:pStyle w:val="ListParagraph"/>
        <w:numPr>
          <w:ilvl w:val="1"/>
          <w:numId w:val="5"/>
        </w:numPr>
        <w:tabs>
          <w:tab w:pos="1072" w:val="left" w:leader="none"/>
          <w:tab w:pos="1073" w:val="left" w:leader="none"/>
          <w:tab w:pos="2699" w:val="left" w:leader="none"/>
        </w:tabs>
        <w:spacing w:line="235" w:lineRule="auto" w:before="143" w:after="0"/>
        <w:ind w:left="2699" w:right="359" w:hanging="2480"/>
        <w:jc w:val="left"/>
        <w:rPr>
          <w:sz w:val="21"/>
        </w:rPr>
      </w:pPr>
      <w:r>
        <w:rPr>
          <w:rFonts w:ascii="微软雅黑" w:eastAsia="微软雅黑"/>
          <w:b/>
          <w:spacing w:val="-4"/>
          <w:sz w:val="21"/>
        </w:rPr>
        <w:t>机</w:t>
      </w:r>
      <w:r>
        <w:rPr>
          <w:rFonts w:ascii="微软雅黑" w:eastAsia="微软雅黑"/>
          <w:b/>
          <w:spacing w:val="-4"/>
          <w:sz w:val="21"/>
        </w:rPr>
        <w:t>动</w:t>
      </w:r>
      <w:r>
        <w:rPr>
          <w:rFonts w:ascii="微软雅黑" w:eastAsia="微软雅黑"/>
          <w:b/>
          <w:spacing w:val="-4"/>
          <w:sz w:val="21"/>
        </w:rPr>
        <w:t>车</w:t>
      </w:r>
      <w:r>
        <w:rPr>
          <w:rFonts w:ascii="微软雅黑" w:eastAsia="微软雅黑"/>
          <w:b/>
          <w:sz w:val="21"/>
        </w:rPr>
        <w:tab/>
      </w:r>
      <w:r>
        <w:rPr>
          <w:spacing w:val="-2"/>
          <w:sz w:val="21"/>
        </w:rPr>
        <w:t>指</w:t>
      </w:r>
      <w:r>
        <w:rPr>
          <w:spacing w:val="-2"/>
          <w:sz w:val="21"/>
        </w:rPr>
        <w:t>以</w:t>
      </w:r>
      <w:r>
        <w:rPr>
          <w:spacing w:val="-2"/>
          <w:sz w:val="21"/>
        </w:rPr>
        <w:t>动</w:t>
      </w:r>
      <w:r>
        <w:rPr>
          <w:spacing w:val="-2"/>
          <w:sz w:val="21"/>
        </w:rPr>
        <w:t>力</w:t>
      </w:r>
      <w:r>
        <w:rPr>
          <w:spacing w:val="-2"/>
          <w:sz w:val="21"/>
        </w:rPr>
        <w:t>装</w:t>
      </w:r>
      <w:r>
        <w:rPr>
          <w:spacing w:val="-2"/>
          <w:sz w:val="21"/>
        </w:rPr>
        <w:t>置</w:t>
      </w:r>
      <w:r>
        <w:rPr>
          <w:spacing w:val="-2"/>
          <w:sz w:val="21"/>
        </w:rPr>
        <w:t>驱</w:t>
      </w:r>
      <w:r>
        <w:rPr>
          <w:spacing w:val="-2"/>
          <w:sz w:val="21"/>
        </w:rPr>
        <w:t>动</w:t>
      </w:r>
      <w:r>
        <w:rPr>
          <w:spacing w:val="-2"/>
          <w:sz w:val="21"/>
        </w:rPr>
        <w:t>或</w:t>
      </w:r>
      <w:r>
        <w:rPr>
          <w:spacing w:val="-2"/>
          <w:sz w:val="21"/>
        </w:rPr>
        <w:t>者</w:t>
      </w:r>
      <w:r>
        <w:rPr>
          <w:spacing w:val="-2"/>
          <w:sz w:val="21"/>
        </w:rPr>
        <w:t>牵</w:t>
      </w:r>
      <w:r>
        <w:rPr>
          <w:spacing w:val="-2"/>
          <w:sz w:val="21"/>
        </w:rPr>
        <w:t>引</w:t>
      </w:r>
      <w:r>
        <w:rPr>
          <w:spacing w:val="-2"/>
          <w:sz w:val="21"/>
        </w:rPr>
        <w:t>，</w:t>
      </w:r>
      <w:r>
        <w:rPr>
          <w:spacing w:val="-2"/>
          <w:sz w:val="21"/>
        </w:rPr>
        <w:t>上</w:t>
      </w:r>
      <w:r>
        <w:rPr>
          <w:spacing w:val="-2"/>
          <w:sz w:val="21"/>
        </w:rPr>
        <w:t>道</w:t>
      </w:r>
      <w:r>
        <w:rPr>
          <w:spacing w:val="-2"/>
          <w:sz w:val="21"/>
        </w:rPr>
        <w:t>路</w:t>
      </w:r>
      <w:r>
        <w:rPr>
          <w:spacing w:val="-2"/>
          <w:sz w:val="21"/>
        </w:rPr>
        <w:t>行</w:t>
      </w:r>
      <w:r>
        <w:rPr>
          <w:spacing w:val="-2"/>
          <w:sz w:val="21"/>
        </w:rPr>
        <w:t>驶</w:t>
      </w:r>
      <w:r>
        <w:rPr>
          <w:spacing w:val="-2"/>
          <w:sz w:val="21"/>
        </w:rPr>
        <w:t>的</w:t>
      </w:r>
      <w:r>
        <w:rPr>
          <w:spacing w:val="-2"/>
          <w:sz w:val="21"/>
        </w:rPr>
        <w:t>供</w:t>
      </w:r>
      <w:r>
        <w:rPr>
          <w:spacing w:val="-2"/>
          <w:sz w:val="21"/>
        </w:rPr>
        <w:t>人</w:t>
      </w:r>
      <w:r>
        <w:rPr>
          <w:spacing w:val="-2"/>
          <w:sz w:val="21"/>
        </w:rPr>
        <w:t>员</w:t>
      </w:r>
      <w:r>
        <w:rPr>
          <w:spacing w:val="-2"/>
          <w:sz w:val="21"/>
        </w:rPr>
        <w:t>乘</w:t>
      </w:r>
      <w:r>
        <w:rPr>
          <w:spacing w:val="-2"/>
          <w:sz w:val="21"/>
        </w:rPr>
        <w:t>用</w:t>
      </w:r>
      <w:r>
        <w:rPr>
          <w:spacing w:val="-2"/>
          <w:sz w:val="21"/>
        </w:rPr>
        <w:t>或</w:t>
      </w:r>
      <w:r>
        <w:rPr>
          <w:spacing w:val="-2"/>
          <w:sz w:val="21"/>
        </w:rPr>
        <w:t>用</w:t>
      </w:r>
      <w:r>
        <w:rPr>
          <w:spacing w:val="-2"/>
          <w:sz w:val="21"/>
        </w:rPr>
        <w:t>于</w:t>
      </w:r>
      <w:r>
        <w:rPr>
          <w:spacing w:val="-2"/>
          <w:sz w:val="21"/>
        </w:rPr>
        <w:t>运</w:t>
      </w:r>
      <w:r>
        <w:rPr>
          <w:spacing w:val="-2"/>
          <w:sz w:val="21"/>
        </w:rPr>
        <w:t>送</w:t>
      </w:r>
      <w:r>
        <w:rPr>
          <w:spacing w:val="-2"/>
          <w:sz w:val="21"/>
        </w:rPr>
        <w:t>物</w:t>
      </w:r>
      <w:r>
        <w:rPr>
          <w:spacing w:val="-2"/>
          <w:sz w:val="21"/>
        </w:rPr>
        <w:t>品</w:t>
      </w:r>
      <w:r>
        <w:rPr>
          <w:spacing w:val="-2"/>
          <w:sz w:val="21"/>
        </w:rPr>
        <w:t>以</w:t>
      </w:r>
      <w:r>
        <w:rPr>
          <w:spacing w:val="-2"/>
          <w:sz w:val="21"/>
        </w:rPr>
        <w:t>及进</w:t>
      </w:r>
      <w:r>
        <w:rPr>
          <w:spacing w:val="-2"/>
          <w:sz w:val="21"/>
        </w:rPr>
        <w:t>行</w:t>
      </w:r>
      <w:r>
        <w:rPr>
          <w:spacing w:val="-2"/>
          <w:sz w:val="21"/>
        </w:rPr>
        <w:t>工</w:t>
      </w:r>
      <w:r>
        <w:rPr>
          <w:spacing w:val="-2"/>
          <w:sz w:val="21"/>
        </w:rPr>
        <w:t>程</w:t>
      </w:r>
      <w:r>
        <w:rPr>
          <w:spacing w:val="-2"/>
          <w:sz w:val="21"/>
        </w:rPr>
        <w:t>专项作业的轮式车辆。</w:t>
      </w:r>
    </w:p>
    <w:p>
      <w:pPr>
        <w:pStyle w:val="BodyText"/>
        <w:spacing w:before="3"/>
        <w:rPr>
          <w:sz w:val="10"/>
        </w:rPr>
      </w:pPr>
    </w:p>
    <w:p>
      <w:pPr>
        <w:spacing w:after="0"/>
        <w:rPr>
          <w:sz w:val="10"/>
        </w:rPr>
        <w:sectPr>
          <w:type w:val="continuous"/>
          <w:pgSz w:w="11910" w:h="16840"/>
          <w:pgMar w:header="0" w:footer="458" w:top="620" w:bottom="280" w:left="800" w:right="660"/>
        </w:sectPr>
      </w:pPr>
    </w:p>
    <w:p>
      <w:pPr>
        <w:pStyle w:val="ListParagraph"/>
        <w:numPr>
          <w:ilvl w:val="1"/>
          <w:numId w:val="5"/>
        </w:numPr>
        <w:tabs>
          <w:tab w:pos="1072" w:val="left" w:leader="none"/>
          <w:tab w:pos="1073" w:val="left" w:leader="none"/>
        </w:tabs>
        <w:spacing w:line="194" w:lineRule="auto" w:before="57" w:after="0"/>
        <w:ind w:left="1072" w:right="38" w:hanging="853"/>
        <w:jc w:val="left"/>
        <w:rPr>
          <w:rFonts w:ascii="微软雅黑" w:eastAsia="微软雅黑"/>
          <w:b/>
          <w:sz w:val="21"/>
        </w:rPr>
      </w:pPr>
      <w:r>
        <w:rPr>
          <w:rFonts w:ascii="微软雅黑" w:eastAsia="微软雅黑"/>
          <w:b/>
          <w:spacing w:val="-2"/>
          <w:sz w:val="21"/>
        </w:rPr>
        <w:t>感染艾滋病病</w:t>
      </w:r>
      <w:r>
        <w:rPr>
          <w:rFonts w:ascii="微软雅黑" w:eastAsia="微软雅黑"/>
          <w:b/>
          <w:spacing w:val="-2"/>
          <w:sz w:val="21"/>
        </w:rPr>
        <w:t>毒或患艾滋病</w:t>
      </w:r>
    </w:p>
    <w:p>
      <w:pPr>
        <w:pStyle w:val="BodyText"/>
        <w:spacing w:line="278" w:lineRule="auto" w:before="72"/>
        <w:ind w:left="220" w:right="248"/>
      </w:pPr>
      <w:r>
        <w:rPr/>
        <w:br w:type="column"/>
      </w:r>
      <w:r>
        <w:rPr/>
        <w:t>艾滋病病毒指人类免疫缺陷病毒，英文缩写为 HIV。艾滋病指人类免疫缺陷病毒</w:t>
      </w:r>
      <w:r>
        <w:rPr>
          <w:spacing w:val="-2"/>
        </w:rPr>
        <w:t>引起的获得性免疫缺陷综合征，英文缩写为 </w:t>
      </w:r>
      <w:r>
        <w:rPr/>
        <w:t>AIDS。在人体血液或其他样本中检测</w:t>
      </w:r>
      <w:r>
        <w:rPr>
          <w:spacing w:val="-2"/>
        </w:rPr>
        <w:t>到艾滋病病毒或其抗体呈阳性，没有出现临床症状或体征的，为感染艾滋病病毒；</w:t>
      </w:r>
      <w:r>
        <w:rPr>
          <w:spacing w:val="-2"/>
        </w:rPr>
        <w:t>若同时出现了明显临床症状或体征的，为患艾滋病。</w:t>
      </w:r>
    </w:p>
    <w:p>
      <w:pPr>
        <w:spacing w:after="0" w:line="278" w:lineRule="auto"/>
        <w:sectPr>
          <w:type w:val="continuous"/>
          <w:pgSz w:w="11910" w:h="16840"/>
          <w:pgMar w:header="0" w:footer="458" w:top="620" w:bottom="280" w:left="800" w:right="660"/>
          <w:cols w:num="2" w:equalWidth="0">
            <w:col w:w="2380" w:space="99"/>
            <w:col w:w="7971"/>
          </w:cols>
        </w:sectPr>
      </w:pPr>
    </w:p>
    <w:p>
      <w:pPr>
        <w:pStyle w:val="ListParagraph"/>
        <w:numPr>
          <w:ilvl w:val="1"/>
          <w:numId w:val="5"/>
        </w:numPr>
        <w:tabs>
          <w:tab w:pos="1072" w:val="left" w:leader="none"/>
          <w:tab w:pos="1073" w:val="left" w:leader="none"/>
          <w:tab w:pos="2699" w:val="left" w:leader="none"/>
        </w:tabs>
        <w:spacing w:line="235" w:lineRule="auto" w:before="96" w:after="0"/>
        <w:ind w:left="2699" w:right="359" w:hanging="2480"/>
        <w:jc w:val="left"/>
        <w:rPr>
          <w:sz w:val="21"/>
        </w:rPr>
      </w:pPr>
      <w:r>
        <w:rPr>
          <w:rFonts w:ascii="微软雅黑" w:eastAsia="微软雅黑"/>
          <w:b/>
          <w:spacing w:val="-2"/>
          <w:sz w:val="21"/>
        </w:rPr>
        <w:t>遗</w:t>
      </w:r>
      <w:r>
        <w:rPr>
          <w:rFonts w:ascii="微软雅黑" w:eastAsia="微软雅黑"/>
          <w:b/>
          <w:spacing w:val="-2"/>
          <w:sz w:val="21"/>
        </w:rPr>
        <w:t>传</w:t>
      </w:r>
      <w:r>
        <w:rPr>
          <w:rFonts w:ascii="微软雅黑" w:eastAsia="微软雅黑"/>
          <w:b/>
          <w:spacing w:val="-2"/>
          <w:sz w:val="21"/>
        </w:rPr>
        <w:t>性</w:t>
      </w:r>
      <w:r>
        <w:rPr>
          <w:rFonts w:ascii="微软雅黑" w:eastAsia="微软雅黑"/>
          <w:b/>
          <w:spacing w:val="-2"/>
          <w:sz w:val="21"/>
        </w:rPr>
        <w:t>疾</w:t>
      </w:r>
      <w:r>
        <w:rPr>
          <w:rFonts w:ascii="微软雅黑" w:eastAsia="微软雅黑"/>
          <w:b/>
          <w:spacing w:val="-2"/>
          <w:sz w:val="21"/>
        </w:rPr>
        <w:t>病</w:t>
      </w:r>
      <w:r>
        <w:rPr>
          <w:rFonts w:ascii="微软雅黑" w:eastAsia="微软雅黑"/>
          <w:b/>
          <w:sz w:val="21"/>
        </w:rPr>
        <w:tab/>
      </w:r>
      <w:r>
        <w:rPr>
          <w:spacing w:val="-2"/>
          <w:sz w:val="21"/>
        </w:rPr>
        <w:t>指</w:t>
      </w:r>
      <w:r>
        <w:rPr>
          <w:spacing w:val="-2"/>
          <w:sz w:val="21"/>
        </w:rPr>
        <w:t>生</w:t>
      </w:r>
      <w:r>
        <w:rPr>
          <w:spacing w:val="-2"/>
          <w:sz w:val="21"/>
        </w:rPr>
        <w:t>殖</w:t>
      </w:r>
      <w:r>
        <w:rPr>
          <w:spacing w:val="-2"/>
          <w:sz w:val="21"/>
        </w:rPr>
        <w:t>细</w:t>
      </w:r>
      <w:r>
        <w:rPr>
          <w:spacing w:val="-2"/>
          <w:sz w:val="21"/>
        </w:rPr>
        <w:t>胞</w:t>
      </w:r>
      <w:r>
        <w:rPr>
          <w:spacing w:val="-2"/>
          <w:sz w:val="21"/>
        </w:rPr>
        <w:t>或</w:t>
      </w:r>
      <w:r>
        <w:rPr>
          <w:spacing w:val="-2"/>
          <w:sz w:val="21"/>
        </w:rPr>
        <w:t>受</w:t>
      </w:r>
      <w:r>
        <w:rPr>
          <w:spacing w:val="-2"/>
          <w:sz w:val="21"/>
        </w:rPr>
        <w:t>精</w:t>
      </w:r>
      <w:r>
        <w:rPr>
          <w:spacing w:val="-2"/>
          <w:sz w:val="21"/>
        </w:rPr>
        <w:t>卵</w:t>
      </w:r>
      <w:r>
        <w:rPr>
          <w:spacing w:val="-2"/>
          <w:sz w:val="21"/>
        </w:rPr>
        <w:t>的</w:t>
      </w:r>
      <w:r>
        <w:rPr>
          <w:spacing w:val="-2"/>
          <w:sz w:val="21"/>
        </w:rPr>
        <w:t>遗</w:t>
      </w:r>
      <w:r>
        <w:rPr>
          <w:spacing w:val="-2"/>
          <w:sz w:val="21"/>
        </w:rPr>
        <w:t>传</w:t>
      </w:r>
      <w:r>
        <w:rPr>
          <w:spacing w:val="-2"/>
          <w:sz w:val="21"/>
        </w:rPr>
        <w:t>物</w:t>
      </w:r>
      <w:r>
        <w:rPr>
          <w:spacing w:val="-2"/>
          <w:sz w:val="21"/>
        </w:rPr>
        <w:t>质</w:t>
      </w:r>
      <w:r>
        <w:rPr>
          <w:spacing w:val="-2"/>
          <w:sz w:val="21"/>
        </w:rPr>
        <w:t>（</w:t>
      </w:r>
      <w:r>
        <w:rPr>
          <w:spacing w:val="-2"/>
          <w:sz w:val="21"/>
        </w:rPr>
        <w:t>染</w:t>
      </w:r>
      <w:r>
        <w:rPr>
          <w:spacing w:val="-2"/>
          <w:sz w:val="21"/>
        </w:rPr>
        <w:t>色</w:t>
      </w:r>
      <w:r>
        <w:rPr>
          <w:spacing w:val="-2"/>
          <w:sz w:val="21"/>
        </w:rPr>
        <w:t>体</w:t>
      </w:r>
      <w:r>
        <w:rPr>
          <w:spacing w:val="-2"/>
          <w:sz w:val="21"/>
        </w:rPr>
        <w:t>和</w:t>
      </w:r>
      <w:r>
        <w:rPr>
          <w:spacing w:val="-2"/>
          <w:sz w:val="21"/>
        </w:rPr>
        <w:t>基</w:t>
      </w:r>
      <w:r>
        <w:rPr>
          <w:spacing w:val="-2"/>
          <w:sz w:val="21"/>
        </w:rPr>
        <w:t>因</w:t>
      </w:r>
      <w:r>
        <w:rPr>
          <w:spacing w:val="-2"/>
          <w:sz w:val="21"/>
        </w:rPr>
        <w:t>）</w:t>
      </w:r>
      <w:r>
        <w:rPr>
          <w:spacing w:val="-2"/>
          <w:sz w:val="21"/>
        </w:rPr>
        <w:t>发</w:t>
      </w:r>
      <w:r>
        <w:rPr>
          <w:spacing w:val="-2"/>
          <w:sz w:val="21"/>
        </w:rPr>
        <w:t>生</w:t>
      </w:r>
      <w:r>
        <w:rPr>
          <w:spacing w:val="-2"/>
          <w:sz w:val="21"/>
        </w:rPr>
        <w:t>突</w:t>
      </w:r>
      <w:r>
        <w:rPr>
          <w:spacing w:val="-2"/>
          <w:sz w:val="21"/>
        </w:rPr>
        <w:t>变</w:t>
      </w:r>
      <w:r>
        <w:rPr>
          <w:spacing w:val="-2"/>
          <w:sz w:val="21"/>
        </w:rPr>
        <w:t>（</w:t>
      </w:r>
      <w:r>
        <w:rPr>
          <w:spacing w:val="-2"/>
          <w:sz w:val="21"/>
        </w:rPr>
        <w:t>或</w:t>
      </w:r>
      <w:r>
        <w:rPr>
          <w:spacing w:val="-2"/>
          <w:sz w:val="21"/>
        </w:rPr>
        <w:t>畸</w:t>
      </w:r>
      <w:r>
        <w:rPr>
          <w:spacing w:val="-2"/>
          <w:sz w:val="21"/>
        </w:rPr>
        <w:t>变</w:t>
      </w:r>
      <w:r>
        <w:rPr>
          <w:spacing w:val="-2"/>
          <w:sz w:val="21"/>
        </w:rPr>
        <w:t>）</w:t>
      </w:r>
      <w:r>
        <w:rPr>
          <w:spacing w:val="-2"/>
          <w:sz w:val="21"/>
        </w:rPr>
        <w:t>所</w:t>
      </w:r>
      <w:r>
        <w:rPr>
          <w:spacing w:val="-2"/>
          <w:sz w:val="21"/>
        </w:rPr>
        <w:t>引起</w:t>
      </w:r>
      <w:r>
        <w:rPr>
          <w:spacing w:val="-2"/>
          <w:sz w:val="21"/>
        </w:rPr>
        <w:t>的</w:t>
      </w:r>
      <w:r>
        <w:rPr>
          <w:spacing w:val="-2"/>
          <w:sz w:val="21"/>
        </w:rPr>
        <w:t>疾</w:t>
      </w:r>
      <w:r>
        <w:rPr>
          <w:spacing w:val="-2"/>
          <w:sz w:val="21"/>
        </w:rPr>
        <w:t>病</w:t>
      </w:r>
      <w:r>
        <w:rPr>
          <w:spacing w:val="-2"/>
          <w:sz w:val="21"/>
        </w:rPr>
        <w:t>，通常具有由亲代传</w:t>
      </w:r>
      <w:r>
        <w:rPr>
          <w:spacing w:val="-2"/>
          <w:sz w:val="21"/>
        </w:rPr>
        <w:t>至</w:t>
      </w:r>
      <w:r>
        <w:rPr>
          <w:spacing w:val="-2"/>
          <w:sz w:val="21"/>
        </w:rPr>
        <w:t>后</w:t>
      </w:r>
      <w:r>
        <w:rPr>
          <w:spacing w:val="-2"/>
          <w:sz w:val="21"/>
        </w:rPr>
        <w:t>代的垂直传递的特征。</w:t>
      </w:r>
    </w:p>
    <w:p>
      <w:pPr>
        <w:pStyle w:val="BodyText"/>
        <w:spacing w:before="12"/>
        <w:rPr>
          <w:sz w:val="9"/>
        </w:rPr>
      </w:pPr>
    </w:p>
    <w:p>
      <w:pPr>
        <w:spacing w:after="0"/>
        <w:rPr>
          <w:sz w:val="9"/>
        </w:rPr>
        <w:sectPr>
          <w:type w:val="continuous"/>
          <w:pgSz w:w="11910" w:h="16840"/>
          <w:pgMar w:header="0" w:footer="458" w:top="620" w:bottom="280" w:left="800" w:right="660"/>
        </w:sectPr>
      </w:pPr>
    </w:p>
    <w:p>
      <w:pPr>
        <w:pStyle w:val="ListParagraph"/>
        <w:numPr>
          <w:ilvl w:val="1"/>
          <w:numId w:val="5"/>
        </w:numPr>
        <w:tabs>
          <w:tab w:pos="1072" w:val="left" w:leader="none"/>
          <w:tab w:pos="1073" w:val="left" w:leader="none"/>
        </w:tabs>
        <w:spacing w:line="350" w:lineRule="exact" w:before="5" w:after="0"/>
        <w:ind w:left="1072" w:right="0" w:hanging="853"/>
        <w:jc w:val="left"/>
        <w:rPr>
          <w:rFonts w:ascii="微软雅黑" w:eastAsia="微软雅黑"/>
          <w:b/>
          <w:sz w:val="21"/>
        </w:rPr>
      </w:pPr>
      <w:r>
        <w:rPr>
          <w:rFonts w:ascii="微软雅黑" w:eastAsia="微软雅黑"/>
          <w:b/>
          <w:spacing w:val="-11"/>
          <w:sz w:val="21"/>
        </w:rPr>
        <w:t>先天性畸形、变</w:t>
      </w:r>
    </w:p>
    <w:p>
      <w:pPr>
        <w:spacing w:line="194" w:lineRule="auto" w:before="15"/>
        <w:ind w:left="1072" w:right="144" w:firstLine="0"/>
        <w:jc w:val="left"/>
        <w:rPr>
          <w:rFonts w:ascii="微软雅黑" w:eastAsia="微软雅黑"/>
          <w:b/>
          <w:sz w:val="21"/>
        </w:rPr>
      </w:pPr>
      <w:r>
        <w:rPr>
          <w:rFonts w:ascii="微软雅黑" w:eastAsia="微软雅黑"/>
          <w:b/>
          <w:spacing w:val="-2"/>
          <w:sz w:val="21"/>
        </w:rPr>
        <w:t>形或染色体异</w:t>
      </w:r>
      <w:r>
        <w:rPr>
          <w:rFonts w:ascii="微软雅黑" w:eastAsia="微软雅黑"/>
          <w:b/>
          <w:spacing w:val="-10"/>
          <w:sz w:val="21"/>
        </w:rPr>
        <w:t>常</w:t>
      </w:r>
    </w:p>
    <w:p>
      <w:pPr>
        <w:spacing w:line="240" w:lineRule="auto" w:before="6"/>
        <w:rPr>
          <w:rFonts w:ascii="微软雅黑"/>
          <w:b/>
          <w:sz w:val="12"/>
        </w:rPr>
      </w:pPr>
      <w:r>
        <w:rPr/>
        <w:br w:type="column"/>
      </w:r>
      <w:r>
        <w:rPr>
          <w:rFonts w:ascii="微软雅黑"/>
          <w:b/>
          <w:sz w:val="12"/>
        </w:rPr>
      </w:r>
    </w:p>
    <w:p>
      <w:pPr>
        <w:pStyle w:val="BodyText"/>
        <w:spacing w:line="278" w:lineRule="auto" w:before="1"/>
        <w:ind w:left="173" w:right="250"/>
      </w:pPr>
      <w:r>
        <w:rPr>
          <w:spacing w:val="-3"/>
          <w:w w:val="100"/>
        </w:rPr>
        <w:t>指被保险人出生时就具有的畸形、变形或染色体异常。先天性畸形、变形和染色</w:t>
      </w:r>
      <w:r>
        <w:rPr>
          <w:spacing w:val="-9"/>
          <w:w w:val="100"/>
        </w:rPr>
        <w:t>体异常依照世界卫生组织《疾病和有关健康问题的国际统计分类</w:t>
      </w:r>
      <w:r>
        <w:rPr>
          <w:spacing w:val="-166"/>
          <w:w w:val="100"/>
        </w:rPr>
        <w:t>》</w:t>
      </w:r>
      <w:r>
        <w:rPr>
          <w:w w:val="100"/>
        </w:rPr>
        <w:t>（</w:t>
      </w:r>
      <w:r>
        <w:rPr>
          <w:spacing w:val="-3"/>
          <w:w w:val="100"/>
        </w:rPr>
        <w:t>I</w:t>
      </w:r>
      <w:r>
        <w:rPr>
          <w:w w:val="100"/>
        </w:rPr>
        <w:t>C</w:t>
      </w:r>
      <w:r>
        <w:rPr>
          <w:spacing w:val="-1"/>
          <w:w w:val="100"/>
        </w:rPr>
        <w:t>D</w:t>
      </w:r>
      <w:r>
        <w:rPr>
          <w:w w:val="100"/>
        </w:rPr>
        <w:t>-</w:t>
      </w:r>
      <w:r>
        <w:rPr>
          <w:spacing w:val="-3"/>
          <w:w w:val="100"/>
        </w:rPr>
        <w:t>10</w:t>
      </w:r>
      <w:r>
        <w:rPr>
          <w:spacing w:val="-60"/>
          <w:w w:val="100"/>
        </w:rPr>
        <w:t>）</w:t>
      </w:r>
      <w:r>
        <w:rPr>
          <w:w w:val="100"/>
        </w:rPr>
        <w:t>确定。</w:t>
      </w:r>
    </w:p>
    <w:p>
      <w:pPr>
        <w:spacing w:after="0" w:line="278" w:lineRule="auto"/>
        <w:sectPr>
          <w:type w:val="continuous"/>
          <w:pgSz w:w="11910" w:h="16840"/>
          <w:pgMar w:header="0" w:footer="458" w:top="620" w:bottom="280" w:left="800" w:right="660"/>
          <w:cols w:num="2" w:equalWidth="0">
            <w:col w:w="2487" w:space="40"/>
            <w:col w:w="7923"/>
          </w:cols>
        </w:sectPr>
      </w:pPr>
    </w:p>
    <w:p>
      <w:pPr>
        <w:pStyle w:val="BodyText"/>
        <w:spacing w:before="11"/>
        <w:rPr>
          <w:sz w:val="7"/>
        </w:rPr>
      </w:pPr>
    </w:p>
    <w:p>
      <w:pPr>
        <w:pStyle w:val="ListParagraph"/>
        <w:numPr>
          <w:ilvl w:val="1"/>
          <w:numId w:val="5"/>
        </w:numPr>
        <w:tabs>
          <w:tab w:pos="1072" w:val="left" w:leader="none"/>
          <w:tab w:pos="1073" w:val="left" w:leader="none"/>
          <w:tab w:pos="2699" w:val="left" w:leader="none"/>
        </w:tabs>
        <w:spacing w:line="240" w:lineRule="auto" w:before="4" w:after="0"/>
        <w:ind w:left="1072" w:right="0" w:hanging="853"/>
        <w:jc w:val="left"/>
        <w:rPr>
          <w:sz w:val="21"/>
        </w:rPr>
      </w:pPr>
      <w:r>
        <w:rPr>
          <w:rFonts w:ascii="微软雅黑" w:eastAsia="微软雅黑"/>
          <w:b/>
          <w:sz w:val="21"/>
        </w:rPr>
        <w:t>其他权利</w:t>
      </w:r>
      <w:r>
        <w:rPr>
          <w:rFonts w:ascii="微软雅黑" w:eastAsia="微软雅黑"/>
          <w:b/>
          <w:spacing w:val="-10"/>
          <w:sz w:val="21"/>
        </w:rPr>
        <w:t>人</w:t>
      </w:r>
      <w:r>
        <w:rPr>
          <w:rFonts w:ascii="微软雅黑" w:eastAsia="微软雅黑"/>
          <w:b/>
          <w:sz w:val="21"/>
        </w:rPr>
        <w:tab/>
      </w:r>
      <w:r>
        <w:rPr>
          <w:spacing w:val="-2"/>
          <w:sz w:val="21"/>
        </w:rPr>
        <w:t>其</w:t>
      </w:r>
      <w:r>
        <w:rPr>
          <w:spacing w:val="-2"/>
          <w:sz w:val="21"/>
        </w:rPr>
        <w:t>他</w:t>
      </w:r>
      <w:r>
        <w:rPr>
          <w:spacing w:val="-2"/>
          <w:sz w:val="21"/>
        </w:rPr>
        <w:t>权利人按照被保险人</w:t>
      </w:r>
      <w:r>
        <w:rPr>
          <w:spacing w:val="-2"/>
          <w:sz w:val="21"/>
        </w:rPr>
        <w:t>、</w:t>
      </w:r>
      <w:r>
        <w:rPr>
          <w:spacing w:val="-2"/>
          <w:sz w:val="21"/>
        </w:rPr>
        <w:t>被</w:t>
      </w:r>
      <w:r>
        <w:rPr>
          <w:spacing w:val="-2"/>
          <w:sz w:val="21"/>
        </w:rPr>
        <w:t>保险人的继承人的顺</w:t>
      </w:r>
      <w:r>
        <w:rPr>
          <w:spacing w:val="-2"/>
          <w:sz w:val="21"/>
        </w:rPr>
        <w:t>序</w:t>
      </w:r>
      <w:r>
        <w:rPr>
          <w:spacing w:val="-2"/>
          <w:sz w:val="21"/>
        </w:rPr>
        <w:t>确</w:t>
      </w:r>
      <w:r>
        <w:rPr>
          <w:spacing w:val="-2"/>
          <w:sz w:val="21"/>
        </w:rPr>
        <w:t>定</w:t>
      </w:r>
      <w:r>
        <w:rPr>
          <w:spacing w:val="-10"/>
          <w:sz w:val="21"/>
        </w:rPr>
        <w:t>。</w:t>
      </w:r>
    </w:p>
    <w:p>
      <w:pPr>
        <w:pStyle w:val="BodyText"/>
        <w:spacing w:before="8"/>
        <w:rPr>
          <w:sz w:val="16"/>
        </w:rPr>
      </w:pPr>
    </w:p>
    <w:p>
      <w:pPr>
        <w:pStyle w:val="ListParagraph"/>
        <w:numPr>
          <w:ilvl w:val="1"/>
          <w:numId w:val="5"/>
        </w:numPr>
        <w:tabs>
          <w:tab w:pos="1072" w:val="left" w:leader="none"/>
          <w:tab w:pos="1073" w:val="left" w:leader="none"/>
          <w:tab w:pos="2699" w:val="left" w:leader="none"/>
        </w:tabs>
        <w:spacing w:line="240" w:lineRule="auto" w:before="0" w:after="0"/>
        <w:ind w:left="1072" w:right="0" w:hanging="853"/>
        <w:jc w:val="left"/>
        <w:rPr>
          <w:sz w:val="21"/>
        </w:rPr>
      </w:pPr>
      <w:r>
        <w:rPr>
          <w:rFonts w:ascii="微软雅黑" w:eastAsia="微软雅黑"/>
          <w:b/>
          <w:sz w:val="21"/>
        </w:rPr>
        <w:t>不可抗</w:t>
      </w:r>
      <w:r>
        <w:rPr>
          <w:rFonts w:ascii="微软雅黑" w:eastAsia="微软雅黑"/>
          <w:b/>
          <w:spacing w:val="-10"/>
          <w:sz w:val="21"/>
        </w:rPr>
        <w:t>力</w:t>
      </w:r>
      <w:r>
        <w:rPr>
          <w:rFonts w:ascii="微软雅黑" w:eastAsia="微软雅黑"/>
          <w:b/>
          <w:sz w:val="21"/>
        </w:rPr>
        <w:tab/>
      </w:r>
      <w:r>
        <w:rPr>
          <w:spacing w:val="-2"/>
          <w:sz w:val="21"/>
        </w:rPr>
        <w:t>指</w:t>
      </w:r>
      <w:r>
        <w:rPr>
          <w:spacing w:val="-2"/>
          <w:sz w:val="21"/>
        </w:rPr>
        <w:t>不</w:t>
      </w:r>
      <w:r>
        <w:rPr>
          <w:spacing w:val="-2"/>
          <w:sz w:val="21"/>
        </w:rPr>
        <w:t>能预见、不能避免、</w:t>
      </w:r>
      <w:r>
        <w:rPr>
          <w:spacing w:val="-2"/>
          <w:sz w:val="21"/>
        </w:rPr>
        <w:t>不</w:t>
      </w:r>
      <w:r>
        <w:rPr>
          <w:spacing w:val="-2"/>
          <w:sz w:val="21"/>
        </w:rPr>
        <w:t>能</w:t>
      </w:r>
      <w:r>
        <w:rPr>
          <w:spacing w:val="-2"/>
          <w:sz w:val="21"/>
        </w:rPr>
        <w:t>克服的客观情况</w:t>
      </w:r>
      <w:r>
        <w:rPr>
          <w:spacing w:val="-10"/>
          <w:sz w:val="21"/>
        </w:rPr>
        <w:t>。</w:t>
      </w:r>
    </w:p>
    <w:p>
      <w:pPr>
        <w:pStyle w:val="ListParagraph"/>
        <w:numPr>
          <w:ilvl w:val="1"/>
          <w:numId w:val="5"/>
        </w:numPr>
        <w:tabs>
          <w:tab w:pos="1072" w:val="left" w:leader="none"/>
          <w:tab w:pos="1073" w:val="left" w:leader="none"/>
          <w:tab w:pos="2699" w:val="left" w:leader="none"/>
        </w:tabs>
        <w:spacing w:line="235" w:lineRule="auto" w:before="89" w:after="0"/>
        <w:ind w:left="2699" w:right="248" w:hanging="2480"/>
        <w:jc w:val="left"/>
        <w:rPr>
          <w:sz w:val="21"/>
        </w:rPr>
      </w:pPr>
      <w:r>
        <w:rPr>
          <w:rFonts w:ascii="微软雅黑" w:eastAsia="微软雅黑"/>
          <w:b/>
          <w:spacing w:val="-2"/>
          <w:sz w:val="21"/>
        </w:rPr>
        <w:t>法</w:t>
      </w:r>
      <w:r>
        <w:rPr>
          <w:rFonts w:ascii="微软雅黑" w:eastAsia="微软雅黑"/>
          <w:b/>
          <w:spacing w:val="-2"/>
          <w:sz w:val="21"/>
        </w:rPr>
        <w:t>定</w:t>
      </w:r>
      <w:r>
        <w:rPr>
          <w:rFonts w:ascii="微软雅黑" w:eastAsia="微软雅黑"/>
          <w:b/>
          <w:spacing w:val="-2"/>
          <w:sz w:val="21"/>
        </w:rPr>
        <w:t>身</w:t>
      </w:r>
      <w:r>
        <w:rPr>
          <w:rFonts w:ascii="微软雅黑" w:eastAsia="微软雅黑"/>
          <w:b/>
          <w:spacing w:val="-2"/>
          <w:sz w:val="21"/>
        </w:rPr>
        <w:t>份</w:t>
      </w:r>
      <w:r>
        <w:rPr>
          <w:rFonts w:ascii="微软雅黑" w:eastAsia="微软雅黑"/>
          <w:b/>
          <w:spacing w:val="-2"/>
          <w:sz w:val="21"/>
        </w:rPr>
        <w:t>证</w:t>
      </w:r>
      <w:r>
        <w:rPr>
          <w:rFonts w:ascii="微软雅黑" w:eastAsia="微软雅黑"/>
          <w:b/>
          <w:spacing w:val="-2"/>
          <w:sz w:val="21"/>
        </w:rPr>
        <w:t>明</w:t>
      </w:r>
      <w:r>
        <w:rPr>
          <w:rFonts w:ascii="微软雅黑" w:eastAsia="微软雅黑"/>
          <w:b/>
          <w:sz w:val="21"/>
        </w:rPr>
        <w:tab/>
      </w:r>
      <w:r>
        <w:rPr>
          <w:spacing w:val="-2"/>
          <w:sz w:val="21"/>
        </w:rPr>
        <w:t>指</w:t>
      </w:r>
      <w:r>
        <w:rPr>
          <w:spacing w:val="-2"/>
          <w:sz w:val="21"/>
        </w:rPr>
        <w:t>依</w:t>
      </w:r>
      <w:r>
        <w:rPr>
          <w:spacing w:val="-2"/>
          <w:sz w:val="21"/>
        </w:rPr>
        <w:t>据法律规定，由有权</w:t>
      </w:r>
      <w:r>
        <w:rPr>
          <w:spacing w:val="-2"/>
          <w:sz w:val="21"/>
        </w:rPr>
        <w:t>机</w:t>
      </w:r>
      <w:r>
        <w:rPr>
          <w:spacing w:val="-2"/>
          <w:sz w:val="21"/>
        </w:rPr>
        <w:t>构</w:t>
      </w:r>
      <w:r>
        <w:rPr>
          <w:spacing w:val="-2"/>
          <w:sz w:val="21"/>
        </w:rPr>
        <w:t>制作颁发的且有效的</w:t>
      </w:r>
      <w:r>
        <w:rPr>
          <w:spacing w:val="-2"/>
          <w:sz w:val="21"/>
        </w:rPr>
        <w:t>证</w:t>
      </w:r>
      <w:r>
        <w:rPr>
          <w:spacing w:val="-2"/>
          <w:sz w:val="21"/>
        </w:rPr>
        <w:t>明</w:t>
      </w:r>
      <w:r>
        <w:rPr>
          <w:spacing w:val="-2"/>
          <w:sz w:val="21"/>
        </w:rPr>
        <w:t>身份的证件、文件等，</w:t>
      </w:r>
      <w:r>
        <w:rPr>
          <w:spacing w:val="-2"/>
          <w:sz w:val="21"/>
        </w:rPr>
        <w:t>如</w:t>
      </w:r>
      <w:r>
        <w:rPr>
          <w:spacing w:val="-2"/>
          <w:sz w:val="21"/>
        </w:rPr>
        <w:t>：</w:t>
      </w:r>
      <w:r>
        <w:rPr>
          <w:spacing w:val="-2"/>
          <w:sz w:val="21"/>
        </w:rPr>
        <w:t>居</w:t>
      </w:r>
      <w:r>
        <w:rPr>
          <w:spacing w:val="-2"/>
          <w:sz w:val="21"/>
        </w:rPr>
        <w:t>民</w:t>
      </w:r>
      <w:r>
        <w:rPr>
          <w:spacing w:val="-2"/>
          <w:sz w:val="21"/>
        </w:rPr>
        <w:t>身份证、户口簿、护</w:t>
      </w:r>
      <w:r>
        <w:rPr>
          <w:spacing w:val="-2"/>
          <w:sz w:val="21"/>
        </w:rPr>
        <w:t>照</w:t>
      </w:r>
      <w:r>
        <w:rPr>
          <w:spacing w:val="-2"/>
          <w:sz w:val="21"/>
        </w:rPr>
        <w:t>、</w:t>
      </w:r>
      <w:r>
        <w:rPr>
          <w:spacing w:val="-2"/>
          <w:sz w:val="21"/>
        </w:rPr>
        <w:t>军人证</w:t>
      </w:r>
      <w:r>
        <w:rPr>
          <w:spacing w:val="-2"/>
          <w:sz w:val="21"/>
        </w:rPr>
        <w:t>等</w:t>
      </w:r>
      <w:r>
        <w:rPr>
          <w:spacing w:val="-2"/>
          <w:sz w:val="21"/>
        </w:rPr>
        <w:t>。</w:t>
      </w:r>
    </w:p>
    <w:p>
      <w:pPr>
        <w:pStyle w:val="ListParagraph"/>
        <w:numPr>
          <w:ilvl w:val="1"/>
          <w:numId w:val="5"/>
        </w:numPr>
        <w:tabs>
          <w:tab w:pos="1072" w:val="left" w:leader="none"/>
          <w:tab w:pos="1073" w:val="left" w:leader="none"/>
          <w:tab w:pos="2699" w:val="left" w:leader="none"/>
        </w:tabs>
        <w:spacing w:line="235" w:lineRule="auto" w:before="178" w:after="0"/>
        <w:ind w:left="2699" w:right="358" w:hanging="2480"/>
        <w:jc w:val="left"/>
        <w:rPr>
          <w:sz w:val="21"/>
        </w:rPr>
      </w:pPr>
      <w:r>
        <w:rPr>
          <w:rFonts w:ascii="微软雅黑" w:eastAsia="微软雅黑"/>
          <w:b/>
          <w:spacing w:val="-4"/>
          <w:sz w:val="21"/>
        </w:rPr>
        <w:t>约</w:t>
      </w:r>
      <w:r>
        <w:rPr>
          <w:rFonts w:ascii="微软雅黑" w:eastAsia="微软雅黑"/>
          <w:b/>
          <w:spacing w:val="-4"/>
          <w:sz w:val="21"/>
        </w:rPr>
        <w:t>定</w:t>
      </w:r>
      <w:r>
        <w:rPr>
          <w:rFonts w:ascii="微软雅黑" w:eastAsia="微软雅黑"/>
          <w:b/>
          <w:spacing w:val="-4"/>
          <w:sz w:val="21"/>
        </w:rPr>
        <w:t>利</w:t>
      </w:r>
      <w:r>
        <w:rPr>
          <w:rFonts w:ascii="微软雅黑" w:eastAsia="微软雅黑"/>
          <w:b/>
          <w:spacing w:val="-4"/>
          <w:sz w:val="21"/>
        </w:rPr>
        <w:t>率</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所</w:t>
      </w:r>
      <w:r>
        <w:rPr>
          <w:spacing w:val="-2"/>
          <w:sz w:val="21"/>
        </w:rPr>
        <w:t>列</w:t>
      </w:r>
      <w:r>
        <w:rPr>
          <w:spacing w:val="-2"/>
          <w:sz w:val="21"/>
        </w:rPr>
        <w:t>明</w:t>
      </w:r>
      <w:r>
        <w:rPr>
          <w:spacing w:val="-2"/>
          <w:sz w:val="21"/>
        </w:rPr>
        <w:t>的</w:t>
      </w:r>
      <w:r>
        <w:rPr>
          <w:spacing w:val="-2"/>
          <w:sz w:val="21"/>
        </w:rPr>
        <w:t>利</w:t>
      </w:r>
      <w:r>
        <w:rPr>
          <w:spacing w:val="-2"/>
          <w:sz w:val="21"/>
        </w:rPr>
        <w:t>率</w:t>
      </w:r>
      <w:r>
        <w:rPr>
          <w:spacing w:val="-2"/>
          <w:sz w:val="21"/>
        </w:rPr>
        <w:t>参</w:t>
      </w:r>
      <w:r>
        <w:rPr>
          <w:spacing w:val="-2"/>
          <w:sz w:val="21"/>
        </w:rPr>
        <w:t>照</w:t>
      </w:r>
      <w:r>
        <w:rPr>
          <w:spacing w:val="-2"/>
          <w:sz w:val="21"/>
        </w:rPr>
        <w:t>同</w:t>
      </w:r>
      <w:r>
        <w:rPr>
          <w:spacing w:val="-2"/>
          <w:sz w:val="21"/>
        </w:rPr>
        <w:t>期</w:t>
      </w:r>
      <w:r>
        <w:rPr>
          <w:spacing w:val="-2"/>
          <w:sz w:val="21"/>
        </w:rPr>
        <w:t>中</w:t>
      </w:r>
      <w:r>
        <w:rPr>
          <w:spacing w:val="-2"/>
          <w:sz w:val="21"/>
        </w:rPr>
        <w:t>国</w:t>
      </w:r>
      <w:r>
        <w:rPr>
          <w:spacing w:val="-2"/>
          <w:sz w:val="21"/>
        </w:rPr>
        <w:t>人</w:t>
      </w:r>
      <w:r>
        <w:rPr>
          <w:spacing w:val="-2"/>
          <w:sz w:val="21"/>
        </w:rPr>
        <w:t>民</w:t>
      </w:r>
      <w:r>
        <w:rPr>
          <w:spacing w:val="-2"/>
          <w:sz w:val="21"/>
        </w:rPr>
        <w:t>银</w:t>
      </w:r>
      <w:r>
        <w:rPr>
          <w:spacing w:val="-2"/>
          <w:sz w:val="21"/>
        </w:rPr>
        <w:t>行</w:t>
      </w:r>
      <w:r>
        <w:rPr>
          <w:spacing w:val="-2"/>
          <w:sz w:val="21"/>
        </w:rPr>
        <w:t>六</w:t>
      </w:r>
      <w:r>
        <w:rPr>
          <w:spacing w:val="-2"/>
          <w:sz w:val="21"/>
        </w:rPr>
        <w:t>个</w:t>
      </w:r>
      <w:r>
        <w:rPr>
          <w:spacing w:val="-2"/>
          <w:sz w:val="21"/>
        </w:rPr>
        <w:t>月</w:t>
      </w:r>
      <w:r>
        <w:rPr>
          <w:spacing w:val="-2"/>
          <w:sz w:val="21"/>
        </w:rPr>
        <w:t>期</w:t>
      </w:r>
      <w:r>
        <w:rPr>
          <w:spacing w:val="-2"/>
          <w:sz w:val="21"/>
        </w:rPr>
        <w:t>贷</w:t>
      </w:r>
      <w:r>
        <w:rPr>
          <w:spacing w:val="-2"/>
          <w:sz w:val="21"/>
        </w:rPr>
        <w:t>款</w:t>
      </w:r>
      <w:r>
        <w:rPr>
          <w:spacing w:val="-2"/>
          <w:sz w:val="21"/>
        </w:rPr>
        <w:t>利</w:t>
      </w:r>
      <w:r>
        <w:rPr>
          <w:spacing w:val="-2"/>
          <w:sz w:val="21"/>
        </w:rPr>
        <w:t>率</w:t>
      </w:r>
      <w:r>
        <w:rPr>
          <w:spacing w:val="-2"/>
          <w:sz w:val="21"/>
        </w:rPr>
        <w:t>并</w:t>
      </w:r>
      <w:r>
        <w:rPr>
          <w:spacing w:val="-2"/>
          <w:sz w:val="21"/>
        </w:rPr>
        <w:t>结</w:t>
      </w:r>
      <w:r>
        <w:rPr>
          <w:spacing w:val="-2"/>
          <w:sz w:val="21"/>
        </w:rPr>
        <w:t>合</w:t>
      </w:r>
      <w:r>
        <w:rPr>
          <w:spacing w:val="-2"/>
          <w:sz w:val="21"/>
        </w:rPr>
        <w:t>本</w:t>
      </w:r>
      <w:r>
        <w:rPr>
          <w:spacing w:val="-2"/>
          <w:sz w:val="21"/>
        </w:rPr>
        <w:t>公</w:t>
      </w:r>
      <w:r>
        <w:rPr>
          <w:spacing w:val="-2"/>
          <w:sz w:val="21"/>
        </w:rPr>
        <w:t>司自</w:t>
      </w:r>
      <w:r>
        <w:rPr>
          <w:spacing w:val="-2"/>
          <w:sz w:val="21"/>
        </w:rPr>
        <w:t>身</w:t>
      </w:r>
      <w:r>
        <w:rPr>
          <w:spacing w:val="-2"/>
          <w:sz w:val="21"/>
        </w:rPr>
        <w:t>资</w:t>
      </w:r>
      <w:r>
        <w:rPr>
          <w:spacing w:val="-2"/>
          <w:sz w:val="21"/>
        </w:rPr>
        <w:t>金</w:t>
      </w:r>
      <w:r>
        <w:rPr>
          <w:spacing w:val="-2"/>
          <w:sz w:val="21"/>
        </w:rPr>
        <w:t>成本及风险管控能力</w:t>
      </w:r>
      <w:r>
        <w:rPr>
          <w:spacing w:val="-2"/>
          <w:sz w:val="21"/>
        </w:rPr>
        <w:t>确</w:t>
      </w:r>
      <w:r>
        <w:rPr>
          <w:spacing w:val="-2"/>
          <w:sz w:val="21"/>
        </w:rPr>
        <w:t>定</w:t>
      </w:r>
      <w:r>
        <w:rPr>
          <w:spacing w:val="-2"/>
          <w:sz w:val="21"/>
        </w:rPr>
        <w:t>。</w:t>
      </w:r>
    </w:p>
    <w:p>
      <w:pPr>
        <w:pStyle w:val="ListParagraph"/>
        <w:numPr>
          <w:ilvl w:val="1"/>
          <w:numId w:val="5"/>
        </w:numPr>
        <w:tabs>
          <w:tab w:pos="1072" w:val="left" w:leader="none"/>
          <w:tab w:pos="1073" w:val="left" w:leader="none"/>
          <w:tab w:pos="2699" w:val="left" w:leader="none"/>
        </w:tabs>
        <w:spacing w:line="235" w:lineRule="auto" w:before="173" w:after="0"/>
        <w:ind w:left="2699" w:right="359" w:hanging="2480"/>
        <w:jc w:val="left"/>
        <w:rPr>
          <w:sz w:val="21"/>
        </w:rPr>
      </w:pPr>
      <w:r>
        <w:rPr>
          <w:rFonts w:ascii="微软雅黑" w:eastAsia="微软雅黑"/>
          <w:b/>
          <w:spacing w:val="-2"/>
          <w:sz w:val="21"/>
        </w:rPr>
        <w:t>现</w:t>
      </w:r>
      <w:r>
        <w:rPr>
          <w:rFonts w:ascii="微软雅黑" w:eastAsia="微软雅黑"/>
          <w:b/>
          <w:spacing w:val="-2"/>
          <w:sz w:val="21"/>
        </w:rPr>
        <w:t>金</w:t>
      </w:r>
      <w:r>
        <w:rPr>
          <w:rFonts w:ascii="微软雅黑" w:eastAsia="微软雅黑"/>
          <w:b/>
          <w:spacing w:val="-2"/>
          <w:sz w:val="21"/>
        </w:rPr>
        <w:t>价</w:t>
      </w:r>
      <w:r>
        <w:rPr>
          <w:rFonts w:ascii="微软雅黑" w:eastAsia="微软雅黑"/>
          <w:b/>
          <w:spacing w:val="-2"/>
          <w:sz w:val="21"/>
        </w:rPr>
        <w:t>值</w:t>
      </w:r>
      <w:r>
        <w:rPr>
          <w:rFonts w:ascii="微软雅黑" w:eastAsia="微软雅黑"/>
          <w:b/>
          <w:spacing w:val="-2"/>
          <w:sz w:val="21"/>
        </w:rPr>
        <w:t>净</w:t>
      </w:r>
      <w:r>
        <w:rPr>
          <w:rFonts w:ascii="微软雅黑" w:eastAsia="微软雅黑"/>
          <w:b/>
          <w:spacing w:val="-2"/>
          <w:sz w:val="21"/>
        </w:rPr>
        <w:t>额</w:t>
      </w:r>
      <w:r>
        <w:rPr>
          <w:rFonts w:ascii="微软雅黑" w:eastAsia="微软雅黑"/>
          <w:b/>
          <w:sz w:val="21"/>
        </w:rPr>
        <w:tab/>
      </w:r>
      <w:r>
        <w:rPr>
          <w:spacing w:val="-2"/>
          <w:sz w:val="21"/>
        </w:rPr>
        <w:t>指</w:t>
      </w:r>
      <w:r>
        <w:rPr>
          <w:spacing w:val="-2"/>
          <w:sz w:val="21"/>
        </w:rPr>
        <w:t>现</w:t>
      </w:r>
      <w:r>
        <w:rPr>
          <w:spacing w:val="-2"/>
          <w:sz w:val="21"/>
        </w:rPr>
        <w:t>金</w:t>
      </w:r>
      <w:r>
        <w:rPr>
          <w:spacing w:val="-2"/>
          <w:sz w:val="21"/>
        </w:rPr>
        <w:t>价</w:t>
      </w:r>
      <w:r>
        <w:rPr>
          <w:spacing w:val="-2"/>
          <w:sz w:val="21"/>
        </w:rPr>
        <w:t>值</w:t>
      </w:r>
      <w:r>
        <w:rPr>
          <w:spacing w:val="-2"/>
          <w:sz w:val="21"/>
        </w:rPr>
        <w:t>在</w:t>
      </w:r>
      <w:r>
        <w:rPr>
          <w:spacing w:val="-2"/>
          <w:sz w:val="21"/>
        </w:rPr>
        <w:t>扣</w:t>
      </w:r>
      <w:r>
        <w:rPr>
          <w:spacing w:val="-2"/>
          <w:sz w:val="21"/>
        </w:rPr>
        <w:t>除</w:t>
      </w:r>
      <w:r>
        <w:rPr>
          <w:spacing w:val="-2"/>
          <w:sz w:val="21"/>
        </w:rPr>
        <w:t>尚</w:t>
      </w:r>
      <w:r>
        <w:rPr>
          <w:spacing w:val="-2"/>
          <w:sz w:val="21"/>
        </w:rPr>
        <w:t>未</w:t>
      </w:r>
      <w:r>
        <w:rPr>
          <w:spacing w:val="-2"/>
          <w:sz w:val="21"/>
        </w:rPr>
        <w:t>偿</w:t>
      </w:r>
      <w:r>
        <w:rPr>
          <w:spacing w:val="-2"/>
          <w:sz w:val="21"/>
        </w:rPr>
        <w:t>还</w:t>
      </w:r>
      <w:r>
        <w:rPr>
          <w:spacing w:val="-2"/>
          <w:sz w:val="21"/>
        </w:rPr>
        <w:t>的</w:t>
      </w:r>
      <w:r>
        <w:rPr>
          <w:spacing w:val="-2"/>
          <w:sz w:val="21"/>
        </w:rPr>
        <w:t>保</w:t>
      </w:r>
      <w:r>
        <w:rPr>
          <w:spacing w:val="-2"/>
          <w:sz w:val="21"/>
        </w:rPr>
        <w:t>单</w:t>
      </w:r>
      <w:r>
        <w:rPr>
          <w:spacing w:val="-2"/>
          <w:sz w:val="21"/>
        </w:rPr>
        <w:t>贷</w:t>
      </w:r>
      <w:r>
        <w:rPr>
          <w:spacing w:val="-2"/>
          <w:sz w:val="21"/>
        </w:rPr>
        <w:t>款</w:t>
      </w:r>
      <w:r>
        <w:rPr>
          <w:spacing w:val="-2"/>
          <w:sz w:val="21"/>
        </w:rPr>
        <w:t>、</w:t>
      </w:r>
      <w:r>
        <w:rPr>
          <w:spacing w:val="-2"/>
          <w:sz w:val="21"/>
        </w:rPr>
        <w:t>欠</w:t>
      </w:r>
      <w:r>
        <w:rPr>
          <w:spacing w:val="-2"/>
          <w:sz w:val="21"/>
        </w:rPr>
        <w:t>交</w:t>
      </w:r>
      <w:r>
        <w:rPr>
          <w:spacing w:val="-2"/>
          <w:sz w:val="21"/>
        </w:rPr>
        <w:t>的</w:t>
      </w:r>
      <w:r>
        <w:rPr>
          <w:spacing w:val="-2"/>
          <w:sz w:val="21"/>
        </w:rPr>
        <w:t>保</w:t>
      </w:r>
      <w:r>
        <w:rPr>
          <w:spacing w:val="-2"/>
          <w:sz w:val="21"/>
        </w:rPr>
        <w:t>险</w:t>
      </w:r>
      <w:r>
        <w:rPr>
          <w:spacing w:val="-2"/>
          <w:sz w:val="21"/>
        </w:rPr>
        <w:t>费</w:t>
      </w:r>
      <w:r>
        <w:rPr>
          <w:spacing w:val="-2"/>
          <w:sz w:val="21"/>
        </w:rPr>
        <w:t>、</w:t>
      </w:r>
      <w:r>
        <w:rPr>
          <w:spacing w:val="-2"/>
          <w:sz w:val="21"/>
        </w:rPr>
        <w:t>累</w:t>
      </w:r>
      <w:r>
        <w:rPr>
          <w:spacing w:val="-2"/>
          <w:sz w:val="21"/>
        </w:rPr>
        <w:t>积</w:t>
      </w:r>
      <w:r>
        <w:rPr>
          <w:spacing w:val="-2"/>
          <w:sz w:val="21"/>
        </w:rPr>
        <w:t>利</w:t>
      </w:r>
      <w:r>
        <w:rPr>
          <w:spacing w:val="-2"/>
          <w:sz w:val="21"/>
        </w:rPr>
        <w:t>息</w:t>
      </w:r>
      <w:r>
        <w:rPr>
          <w:spacing w:val="-2"/>
          <w:sz w:val="21"/>
        </w:rPr>
        <w:t>和</w:t>
      </w:r>
      <w:r>
        <w:rPr>
          <w:spacing w:val="-2"/>
          <w:sz w:val="21"/>
        </w:rPr>
        <w:t>其</w:t>
      </w:r>
      <w:r>
        <w:rPr>
          <w:spacing w:val="-2"/>
          <w:sz w:val="21"/>
        </w:rPr>
        <w:t>他</w:t>
      </w:r>
      <w:r>
        <w:rPr>
          <w:spacing w:val="-2"/>
          <w:sz w:val="21"/>
        </w:rPr>
        <w:t>未还</w:t>
      </w:r>
      <w:r>
        <w:rPr>
          <w:spacing w:val="-2"/>
          <w:sz w:val="21"/>
        </w:rPr>
        <w:t>款</w:t>
      </w:r>
      <w:r>
        <w:rPr>
          <w:spacing w:val="-2"/>
          <w:sz w:val="21"/>
        </w:rPr>
        <w:t>项</w:t>
      </w:r>
      <w:r>
        <w:rPr>
          <w:spacing w:val="-2"/>
          <w:sz w:val="21"/>
        </w:rPr>
        <w:t>后</w:t>
      </w:r>
      <w:r>
        <w:rPr>
          <w:spacing w:val="-2"/>
          <w:sz w:val="21"/>
        </w:rPr>
        <w:t>的余额。</w:t>
      </w:r>
    </w:p>
    <w:sectPr>
      <w:type w:val="continuous"/>
      <w:pgSz w:w="11910" w:h="16840"/>
      <w:pgMar w:header="0" w:footer="458" w:top="620" w:bottom="280" w:left="800" w:right="6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微软雅黑">
    <w:altName w:val="微软雅黑"/>
    <w:charset w:val="86"/>
    <w:family w:val="swiss"/>
    <w:pitch w:val="variable"/>
  </w:font>
  <w:font w:name="Wingdings 2">
    <w:altName w:val="Wingdings 2"/>
    <w:charset w:val="2"/>
    <w:family w:val="roman"/>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rPr>
        <w:sz w:val="20"/>
      </w:rPr>
    </w:pPr>
    <w:r>
      <w:rPr/>
      <w:pict>
        <v:shape style="position:absolute;margin-left:48pt;margin-top:808.03595pt;width:16.1500pt;height:12pt;mso-position-horizontal-relative:page;mso-position-vertical-relative:page;z-index:-17160192" type="#_x0000_t202" id="docshape2"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1">
    <w:multiLevelType w:val="hybridMultilevel"/>
    <w:lvl w:ilvl="0">
      <w:start w:val="0"/>
      <w:numFmt w:val="decimal"/>
      <w:lvlText w:val="%1"/>
      <w:lvlJc w:val="left"/>
      <w:pPr>
        <w:ind w:left="3065" w:hanging="15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798" w:hanging="159"/>
      </w:pPr>
      <w:rPr>
        <w:rFonts w:hint="default"/>
        <w:lang w:val="en-US" w:eastAsia="zh-CN" w:bidi="ar-SA"/>
      </w:rPr>
    </w:lvl>
    <w:lvl w:ilvl="2">
      <w:start w:val="0"/>
      <w:numFmt w:val="bullet"/>
      <w:lvlText w:val="•"/>
      <w:lvlJc w:val="left"/>
      <w:pPr>
        <w:ind w:left="4537" w:hanging="159"/>
      </w:pPr>
      <w:rPr>
        <w:rFonts w:hint="default"/>
        <w:lang w:val="en-US" w:eastAsia="zh-CN" w:bidi="ar-SA"/>
      </w:rPr>
    </w:lvl>
    <w:lvl w:ilvl="3">
      <w:start w:val="0"/>
      <w:numFmt w:val="bullet"/>
      <w:lvlText w:val="•"/>
      <w:lvlJc w:val="left"/>
      <w:pPr>
        <w:ind w:left="5275" w:hanging="159"/>
      </w:pPr>
      <w:rPr>
        <w:rFonts w:hint="default"/>
        <w:lang w:val="en-US" w:eastAsia="zh-CN" w:bidi="ar-SA"/>
      </w:rPr>
    </w:lvl>
    <w:lvl w:ilvl="4">
      <w:start w:val="0"/>
      <w:numFmt w:val="bullet"/>
      <w:lvlText w:val="•"/>
      <w:lvlJc w:val="left"/>
      <w:pPr>
        <w:ind w:left="6014" w:hanging="159"/>
      </w:pPr>
      <w:rPr>
        <w:rFonts w:hint="default"/>
        <w:lang w:val="en-US" w:eastAsia="zh-CN" w:bidi="ar-SA"/>
      </w:rPr>
    </w:lvl>
    <w:lvl w:ilvl="5">
      <w:start w:val="0"/>
      <w:numFmt w:val="bullet"/>
      <w:lvlText w:val="•"/>
      <w:lvlJc w:val="left"/>
      <w:pPr>
        <w:ind w:left="6753" w:hanging="159"/>
      </w:pPr>
      <w:rPr>
        <w:rFonts w:hint="default"/>
        <w:lang w:val="en-US" w:eastAsia="zh-CN" w:bidi="ar-SA"/>
      </w:rPr>
    </w:lvl>
    <w:lvl w:ilvl="6">
      <w:start w:val="0"/>
      <w:numFmt w:val="bullet"/>
      <w:lvlText w:val="•"/>
      <w:lvlJc w:val="left"/>
      <w:pPr>
        <w:ind w:left="7491" w:hanging="159"/>
      </w:pPr>
      <w:rPr>
        <w:rFonts w:hint="default"/>
        <w:lang w:val="en-US" w:eastAsia="zh-CN" w:bidi="ar-SA"/>
      </w:rPr>
    </w:lvl>
    <w:lvl w:ilvl="7">
      <w:start w:val="0"/>
      <w:numFmt w:val="bullet"/>
      <w:lvlText w:val="•"/>
      <w:lvlJc w:val="left"/>
      <w:pPr>
        <w:ind w:left="8230" w:hanging="159"/>
      </w:pPr>
      <w:rPr>
        <w:rFonts w:hint="default"/>
        <w:lang w:val="en-US" w:eastAsia="zh-CN" w:bidi="ar-SA"/>
      </w:rPr>
    </w:lvl>
    <w:lvl w:ilvl="8">
      <w:start w:val="0"/>
      <w:numFmt w:val="bullet"/>
      <w:lvlText w:val="•"/>
      <w:lvlJc w:val="left"/>
      <w:pPr>
        <w:ind w:left="8969" w:hanging="159"/>
      </w:pPr>
      <w:rPr>
        <w:rFonts w:hint="default"/>
        <w:lang w:val="en-US" w:eastAsia="zh-CN" w:bidi="ar-SA"/>
      </w:rPr>
    </w:lvl>
  </w:abstractNum>
  <w:abstractNum w:abstractNumId="123">
    <w:multiLevelType w:val="hybridMultilevel"/>
    <w:lvl w:ilvl="0">
      <w:start w:val="1"/>
      <w:numFmt w:val="decimal"/>
      <w:lvlText w:val="（%1）"/>
      <w:lvlJc w:val="left"/>
      <w:pPr>
        <w:ind w:left="3266"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567"/>
      </w:pPr>
      <w:rPr>
        <w:rFonts w:hint="default"/>
        <w:lang w:val="en-US" w:eastAsia="zh-CN" w:bidi="ar-SA"/>
      </w:rPr>
    </w:lvl>
    <w:lvl w:ilvl="2">
      <w:start w:val="0"/>
      <w:numFmt w:val="bullet"/>
      <w:lvlText w:val="•"/>
      <w:lvlJc w:val="left"/>
      <w:pPr>
        <w:ind w:left="4697" w:hanging="567"/>
      </w:pPr>
      <w:rPr>
        <w:rFonts w:hint="default"/>
        <w:lang w:val="en-US" w:eastAsia="zh-CN" w:bidi="ar-SA"/>
      </w:rPr>
    </w:lvl>
    <w:lvl w:ilvl="3">
      <w:start w:val="0"/>
      <w:numFmt w:val="bullet"/>
      <w:lvlText w:val="•"/>
      <w:lvlJc w:val="left"/>
      <w:pPr>
        <w:ind w:left="5415" w:hanging="567"/>
      </w:pPr>
      <w:rPr>
        <w:rFonts w:hint="default"/>
        <w:lang w:val="en-US" w:eastAsia="zh-CN" w:bidi="ar-SA"/>
      </w:rPr>
    </w:lvl>
    <w:lvl w:ilvl="4">
      <w:start w:val="0"/>
      <w:numFmt w:val="bullet"/>
      <w:lvlText w:val="•"/>
      <w:lvlJc w:val="left"/>
      <w:pPr>
        <w:ind w:left="6134" w:hanging="567"/>
      </w:pPr>
      <w:rPr>
        <w:rFonts w:hint="default"/>
        <w:lang w:val="en-US" w:eastAsia="zh-CN" w:bidi="ar-SA"/>
      </w:rPr>
    </w:lvl>
    <w:lvl w:ilvl="5">
      <w:start w:val="0"/>
      <w:numFmt w:val="bullet"/>
      <w:lvlText w:val="•"/>
      <w:lvlJc w:val="left"/>
      <w:pPr>
        <w:ind w:left="6853" w:hanging="567"/>
      </w:pPr>
      <w:rPr>
        <w:rFonts w:hint="default"/>
        <w:lang w:val="en-US" w:eastAsia="zh-CN" w:bidi="ar-SA"/>
      </w:rPr>
    </w:lvl>
    <w:lvl w:ilvl="6">
      <w:start w:val="0"/>
      <w:numFmt w:val="bullet"/>
      <w:lvlText w:val="•"/>
      <w:lvlJc w:val="left"/>
      <w:pPr>
        <w:ind w:left="7571" w:hanging="567"/>
      </w:pPr>
      <w:rPr>
        <w:rFonts w:hint="default"/>
        <w:lang w:val="en-US" w:eastAsia="zh-CN" w:bidi="ar-SA"/>
      </w:rPr>
    </w:lvl>
    <w:lvl w:ilvl="7">
      <w:start w:val="0"/>
      <w:numFmt w:val="bullet"/>
      <w:lvlText w:val="•"/>
      <w:lvlJc w:val="left"/>
      <w:pPr>
        <w:ind w:left="8290" w:hanging="567"/>
      </w:pPr>
      <w:rPr>
        <w:rFonts w:hint="default"/>
        <w:lang w:val="en-US" w:eastAsia="zh-CN" w:bidi="ar-SA"/>
      </w:rPr>
    </w:lvl>
    <w:lvl w:ilvl="8">
      <w:start w:val="0"/>
      <w:numFmt w:val="bullet"/>
      <w:lvlText w:val="•"/>
      <w:lvlJc w:val="left"/>
      <w:pPr>
        <w:ind w:left="9009" w:hanging="567"/>
      </w:pPr>
      <w:rPr>
        <w:rFonts w:hint="default"/>
        <w:lang w:val="en-US" w:eastAsia="zh-CN" w:bidi="ar-SA"/>
      </w:rPr>
    </w:lvl>
  </w:abstractNum>
  <w:abstractNum w:abstractNumId="122">
    <w:multiLevelType w:val="hybridMultilevel"/>
    <w:lvl w:ilvl="0">
      <w:start w:val="1"/>
      <w:numFmt w:val="decimal"/>
      <w:lvlText w:val="（%1）"/>
      <w:lvlJc w:val="left"/>
      <w:pPr>
        <w:ind w:left="787"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498" w:hanging="567"/>
      </w:pPr>
      <w:rPr>
        <w:rFonts w:hint="default"/>
        <w:lang w:val="en-US" w:eastAsia="zh-CN" w:bidi="ar-SA"/>
      </w:rPr>
    </w:lvl>
    <w:lvl w:ilvl="2">
      <w:start w:val="0"/>
      <w:numFmt w:val="bullet"/>
      <w:lvlText w:val="•"/>
      <w:lvlJc w:val="left"/>
      <w:pPr>
        <w:ind w:left="2217" w:hanging="567"/>
      </w:pPr>
      <w:rPr>
        <w:rFonts w:hint="default"/>
        <w:lang w:val="en-US" w:eastAsia="zh-CN" w:bidi="ar-SA"/>
      </w:rPr>
    </w:lvl>
    <w:lvl w:ilvl="3">
      <w:start w:val="0"/>
      <w:numFmt w:val="bullet"/>
      <w:lvlText w:val="•"/>
      <w:lvlJc w:val="left"/>
      <w:pPr>
        <w:ind w:left="2936" w:hanging="567"/>
      </w:pPr>
      <w:rPr>
        <w:rFonts w:hint="default"/>
        <w:lang w:val="en-US" w:eastAsia="zh-CN" w:bidi="ar-SA"/>
      </w:rPr>
    </w:lvl>
    <w:lvl w:ilvl="4">
      <w:start w:val="0"/>
      <w:numFmt w:val="bullet"/>
      <w:lvlText w:val="•"/>
      <w:lvlJc w:val="left"/>
      <w:pPr>
        <w:ind w:left="3654" w:hanging="567"/>
      </w:pPr>
      <w:rPr>
        <w:rFonts w:hint="default"/>
        <w:lang w:val="en-US" w:eastAsia="zh-CN" w:bidi="ar-SA"/>
      </w:rPr>
    </w:lvl>
    <w:lvl w:ilvl="5">
      <w:start w:val="0"/>
      <w:numFmt w:val="bullet"/>
      <w:lvlText w:val="•"/>
      <w:lvlJc w:val="left"/>
      <w:pPr>
        <w:ind w:left="4373" w:hanging="567"/>
      </w:pPr>
      <w:rPr>
        <w:rFonts w:hint="default"/>
        <w:lang w:val="en-US" w:eastAsia="zh-CN" w:bidi="ar-SA"/>
      </w:rPr>
    </w:lvl>
    <w:lvl w:ilvl="6">
      <w:start w:val="0"/>
      <w:numFmt w:val="bullet"/>
      <w:lvlText w:val="•"/>
      <w:lvlJc w:val="left"/>
      <w:pPr>
        <w:ind w:left="5092" w:hanging="567"/>
      </w:pPr>
      <w:rPr>
        <w:rFonts w:hint="default"/>
        <w:lang w:val="en-US" w:eastAsia="zh-CN" w:bidi="ar-SA"/>
      </w:rPr>
    </w:lvl>
    <w:lvl w:ilvl="7">
      <w:start w:val="0"/>
      <w:numFmt w:val="bullet"/>
      <w:lvlText w:val="•"/>
      <w:lvlJc w:val="left"/>
      <w:pPr>
        <w:ind w:left="5810" w:hanging="567"/>
      </w:pPr>
      <w:rPr>
        <w:rFonts w:hint="default"/>
        <w:lang w:val="en-US" w:eastAsia="zh-CN" w:bidi="ar-SA"/>
      </w:rPr>
    </w:lvl>
    <w:lvl w:ilvl="8">
      <w:start w:val="0"/>
      <w:numFmt w:val="bullet"/>
      <w:lvlText w:val="•"/>
      <w:lvlJc w:val="left"/>
      <w:pPr>
        <w:ind w:left="6529" w:hanging="567"/>
      </w:pPr>
      <w:rPr>
        <w:rFonts w:hint="default"/>
        <w:lang w:val="en-US" w:eastAsia="zh-CN" w:bidi="ar-SA"/>
      </w:rPr>
    </w:lvl>
  </w:abstractNum>
  <w:abstractNum w:abstractNumId="121">
    <w:multiLevelType w:val="hybridMultilevel"/>
    <w:lvl w:ilvl="0">
      <w:start w:val="11"/>
      <w:numFmt w:val="decimal"/>
      <w:lvlText w:val="%1."/>
      <w:lvlJc w:val="left"/>
      <w:pPr>
        <w:ind w:left="463" w:hanging="36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635" w:hanging="360"/>
      </w:pPr>
      <w:rPr>
        <w:rFonts w:hint="default"/>
        <w:lang w:val="en-US" w:eastAsia="zh-CN" w:bidi="ar-SA"/>
      </w:rPr>
    </w:lvl>
    <w:lvl w:ilvl="2">
      <w:start w:val="0"/>
      <w:numFmt w:val="bullet"/>
      <w:lvlText w:val="•"/>
      <w:lvlJc w:val="left"/>
      <w:pPr>
        <w:ind w:left="810" w:hanging="360"/>
      </w:pPr>
      <w:rPr>
        <w:rFonts w:hint="default"/>
        <w:lang w:val="en-US" w:eastAsia="zh-CN" w:bidi="ar-SA"/>
      </w:rPr>
    </w:lvl>
    <w:lvl w:ilvl="3">
      <w:start w:val="0"/>
      <w:numFmt w:val="bullet"/>
      <w:lvlText w:val="•"/>
      <w:lvlJc w:val="left"/>
      <w:pPr>
        <w:ind w:left="985" w:hanging="360"/>
      </w:pPr>
      <w:rPr>
        <w:rFonts w:hint="default"/>
        <w:lang w:val="en-US" w:eastAsia="zh-CN" w:bidi="ar-SA"/>
      </w:rPr>
    </w:lvl>
    <w:lvl w:ilvl="4">
      <w:start w:val="0"/>
      <w:numFmt w:val="bullet"/>
      <w:lvlText w:val="•"/>
      <w:lvlJc w:val="left"/>
      <w:pPr>
        <w:ind w:left="1160" w:hanging="360"/>
      </w:pPr>
      <w:rPr>
        <w:rFonts w:hint="default"/>
        <w:lang w:val="en-US" w:eastAsia="zh-CN" w:bidi="ar-SA"/>
      </w:rPr>
    </w:lvl>
    <w:lvl w:ilvl="5">
      <w:start w:val="0"/>
      <w:numFmt w:val="bullet"/>
      <w:lvlText w:val="•"/>
      <w:lvlJc w:val="left"/>
      <w:pPr>
        <w:ind w:left="1336" w:hanging="360"/>
      </w:pPr>
      <w:rPr>
        <w:rFonts w:hint="default"/>
        <w:lang w:val="en-US" w:eastAsia="zh-CN" w:bidi="ar-SA"/>
      </w:rPr>
    </w:lvl>
    <w:lvl w:ilvl="6">
      <w:start w:val="0"/>
      <w:numFmt w:val="bullet"/>
      <w:lvlText w:val="•"/>
      <w:lvlJc w:val="left"/>
      <w:pPr>
        <w:ind w:left="1511" w:hanging="360"/>
      </w:pPr>
      <w:rPr>
        <w:rFonts w:hint="default"/>
        <w:lang w:val="en-US" w:eastAsia="zh-CN" w:bidi="ar-SA"/>
      </w:rPr>
    </w:lvl>
    <w:lvl w:ilvl="7">
      <w:start w:val="0"/>
      <w:numFmt w:val="bullet"/>
      <w:lvlText w:val="•"/>
      <w:lvlJc w:val="left"/>
      <w:pPr>
        <w:ind w:left="1686" w:hanging="360"/>
      </w:pPr>
      <w:rPr>
        <w:rFonts w:hint="default"/>
        <w:lang w:val="en-US" w:eastAsia="zh-CN" w:bidi="ar-SA"/>
      </w:rPr>
    </w:lvl>
    <w:lvl w:ilvl="8">
      <w:start w:val="0"/>
      <w:numFmt w:val="bullet"/>
      <w:lvlText w:val="•"/>
      <w:lvlJc w:val="left"/>
      <w:pPr>
        <w:ind w:left="1861" w:hanging="360"/>
      </w:pPr>
      <w:rPr>
        <w:rFonts w:hint="default"/>
        <w:lang w:val="en-US" w:eastAsia="zh-CN" w:bidi="ar-SA"/>
      </w:rPr>
    </w:lvl>
  </w:abstractNum>
  <w:abstractNum w:abstractNumId="120">
    <w:multiLevelType w:val="hybridMultilevel"/>
    <w:lvl w:ilvl="0">
      <w:start w:val="12"/>
      <w:numFmt w:val="decimal"/>
      <w:lvlText w:val="%1."/>
      <w:lvlJc w:val="left"/>
      <w:pPr>
        <w:ind w:left="467" w:hanging="36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636" w:hanging="360"/>
      </w:pPr>
      <w:rPr>
        <w:rFonts w:hint="default"/>
        <w:lang w:val="en-US" w:eastAsia="zh-CN" w:bidi="ar-SA"/>
      </w:rPr>
    </w:lvl>
    <w:lvl w:ilvl="2">
      <w:start w:val="0"/>
      <w:numFmt w:val="bullet"/>
      <w:lvlText w:val="•"/>
      <w:lvlJc w:val="left"/>
      <w:pPr>
        <w:ind w:left="812" w:hanging="360"/>
      </w:pPr>
      <w:rPr>
        <w:rFonts w:hint="default"/>
        <w:lang w:val="en-US" w:eastAsia="zh-CN" w:bidi="ar-SA"/>
      </w:rPr>
    </w:lvl>
    <w:lvl w:ilvl="3">
      <w:start w:val="0"/>
      <w:numFmt w:val="bullet"/>
      <w:lvlText w:val="•"/>
      <w:lvlJc w:val="left"/>
      <w:pPr>
        <w:ind w:left="988" w:hanging="360"/>
      </w:pPr>
      <w:rPr>
        <w:rFonts w:hint="default"/>
        <w:lang w:val="en-US" w:eastAsia="zh-CN" w:bidi="ar-SA"/>
      </w:rPr>
    </w:lvl>
    <w:lvl w:ilvl="4">
      <w:start w:val="0"/>
      <w:numFmt w:val="bullet"/>
      <w:lvlText w:val="•"/>
      <w:lvlJc w:val="left"/>
      <w:pPr>
        <w:ind w:left="1164" w:hanging="360"/>
      </w:pPr>
      <w:rPr>
        <w:rFonts w:hint="default"/>
        <w:lang w:val="en-US" w:eastAsia="zh-CN" w:bidi="ar-SA"/>
      </w:rPr>
    </w:lvl>
    <w:lvl w:ilvl="5">
      <w:start w:val="0"/>
      <w:numFmt w:val="bullet"/>
      <w:lvlText w:val="•"/>
      <w:lvlJc w:val="left"/>
      <w:pPr>
        <w:ind w:left="1340" w:hanging="360"/>
      </w:pPr>
      <w:rPr>
        <w:rFonts w:hint="default"/>
        <w:lang w:val="en-US" w:eastAsia="zh-CN" w:bidi="ar-SA"/>
      </w:rPr>
    </w:lvl>
    <w:lvl w:ilvl="6">
      <w:start w:val="0"/>
      <w:numFmt w:val="bullet"/>
      <w:lvlText w:val="•"/>
      <w:lvlJc w:val="left"/>
      <w:pPr>
        <w:ind w:left="1516" w:hanging="360"/>
      </w:pPr>
      <w:rPr>
        <w:rFonts w:hint="default"/>
        <w:lang w:val="en-US" w:eastAsia="zh-CN" w:bidi="ar-SA"/>
      </w:rPr>
    </w:lvl>
    <w:lvl w:ilvl="7">
      <w:start w:val="0"/>
      <w:numFmt w:val="bullet"/>
      <w:lvlText w:val="•"/>
      <w:lvlJc w:val="left"/>
      <w:pPr>
        <w:ind w:left="1692" w:hanging="360"/>
      </w:pPr>
      <w:rPr>
        <w:rFonts w:hint="default"/>
        <w:lang w:val="en-US" w:eastAsia="zh-CN" w:bidi="ar-SA"/>
      </w:rPr>
    </w:lvl>
    <w:lvl w:ilvl="8">
      <w:start w:val="0"/>
      <w:numFmt w:val="bullet"/>
      <w:lvlText w:val="•"/>
      <w:lvlJc w:val="left"/>
      <w:pPr>
        <w:ind w:left="1868" w:hanging="360"/>
      </w:pPr>
      <w:rPr>
        <w:rFonts w:hint="default"/>
        <w:lang w:val="en-US" w:eastAsia="zh-CN" w:bidi="ar-SA"/>
      </w:rPr>
    </w:lvl>
  </w:abstractNum>
  <w:abstractNum w:abstractNumId="119">
    <w:multiLevelType w:val="hybridMultilevel"/>
    <w:lvl w:ilvl="0">
      <w:start w:val="11"/>
      <w:numFmt w:val="decimal"/>
      <w:lvlText w:val="%1."/>
      <w:lvlJc w:val="left"/>
      <w:pPr>
        <w:ind w:left="467" w:hanging="36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636" w:hanging="360"/>
      </w:pPr>
      <w:rPr>
        <w:rFonts w:hint="default"/>
        <w:lang w:val="en-US" w:eastAsia="zh-CN" w:bidi="ar-SA"/>
      </w:rPr>
    </w:lvl>
    <w:lvl w:ilvl="2">
      <w:start w:val="0"/>
      <w:numFmt w:val="bullet"/>
      <w:lvlText w:val="•"/>
      <w:lvlJc w:val="left"/>
      <w:pPr>
        <w:ind w:left="812" w:hanging="360"/>
      </w:pPr>
      <w:rPr>
        <w:rFonts w:hint="default"/>
        <w:lang w:val="en-US" w:eastAsia="zh-CN" w:bidi="ar-SA"/>
      </w:rPr>
    </w:lvl>
    <w:lvl w:ilvl="3">
      <w:start w:val="0"/>
      <w:numFmt w:val="bullet"/>
      <w:lvlText w:val="•"/>
      <w:lvlJc w:val="left"/>
      <w:pPr>
        <w:ind w:left="988" w:hanging="360"/>
      </w:pPr>
      <w:rPr>
        <w:rFonts w:hint="default"/>
        <w:lang w:val="en-US" w:eastAsia="zh-CN" w:bidi="ar-SA"/>
      </w:rPr>
    </w:lvl>
    <w:lvl w:ilvl="4">
      <w:start w:val="0"/>
      <w:numFmt w:val="bullet"/>
      <w:lvlText w:val="•"/>
      <w:lvlJc w:val="left"/>
      <w:pPr>
        <w:ind w:left="1164" w:hanging="360"/>
      </w:pPr>
      <w:rPr>
        <w:rFonts w:hint="default"/>
        <w:lang w:val="en-US" w:eastAsia="zh-CN" w:bidi="ar-SA"/>
      </w:rPr>
    </w:lvl>
    <w:lvl w:ilvl="5">
      <w:start w:val="0"/>
      <w:numFmt w:val="bullet"/>
      <w:lvlText w:val="•"/>
      <w:lvlJc w:val="left"/>
      <w:pPr>
        <w:ind w:left="1340" w:hanging="360"/>
      </w:pPr>
      <w:rPr>
        <w:rFonts w:hint="default"/>
        <w:lang w:val="en-US" w:eastAsia="zh-CN" w:bidi="ar-SA"/>
      </w:rPr>
    </w:lvl>
    <w:lvl w:ilvl="6">
      <w:start w:val="0"/>
      <w:numFmt w:val="bullet"/>
      <w:lvlText w:val="•"/>
      <w:lvlJc w:val="left"/>
      <w:pPr>
        <w:ind w:left="1516" w:hanging="360"/>
      </w:pPr>
      <w:rPr>
        <w:rFonts w:hint="default"/>
        <w:lang w:val="en-US" w:eastAsia="zh-CN" w:bidi="ar-SA"/>
      </w:rPr>
    </w:lvl>
    <w:lvl w:ilvl="7">
      <w:start w:val="0"/>
      <w:numFmt w:val="bullet"/>
      <w:lvlText w:val="•"/>
      <w:lvlJc w:val="left"/>
      <w:pPr>
        <w:ind w:left="1692" w:hanging="360"/>
      </w:pPr>
      <w:rPr>
        <w:rFonts w:hint="default"/>
        <w:lang w:val="en-US" w:eastAsia="zh-CN" w:bidi="ar-SA"/>
      </w:rPr>
    </w:lvl>
    <w:lvl w:ilvl="8">
      <w:start w:val="0"/>
      <w:numFmt w:val="bullet"/>
      <w:lvlText w:val="•"/>
      <w:lvlJc w:val="left"/>
      <w:pPr>
        <w:ind w:left="1868" w:hanging="360"/>
      </w:pPr>
      <w:rPr>
        <w:rFonts w:hint="default"/>
        <w:lang w:val="en-US" w:eastAsia="zh-CN" w:bidi="ar-SA"/>
      </w:rPr>
    </w:lvl>
  </w:abstractNum>
  <w:abstractNum w:abstractNumId="118">
    <w:multiLevelType w:val="hybridMultilevel"/>
    <w:lvl w:ilvl="0">
      <w:start w:val="1"/>
      <w:numFmt w:val="decimal"/>
      <w:lvlText w:val="%1."/>
      <w:lvlJc w:val="left"/>
      <w:pPr>
        <w:ind w:left="466" w:hanging="36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635" w:hanging="360"/>
      </w:pPr>
      <w:rPr>
        <w:rFonts w:hint="default"/>
        <w:lang w:val="en-US" w:eastAsia="zh-CN" w:bidi="ar-SA"/>
      </w:rPr>
    </w:lvl>
    <w:lvl w:ilvl="2">
      <w:start w:val="0"/>
      <w:numFmt w:val="bullet"/>
      <w:lvlText w:val="•"/>
      <w:lvlJc w:val="left"/>
      <w:pPr>
        <w:ind w:left="811" w:hanging="360"/>
      </w:pPr>
      <w:rPr>
        <w:rFonts w:hint="default"/>
        <w:lang w:val="en-US" w:eastAsia="zh-CN" w:bidi="ar-SA"/>
      </w:rPr>
    </w:lvl>
    <w:lvl w:ilvl="3">
      <w:start w:val="0"/>
      <w:numFmt w:val="bullet"/>
      <w:lvlText w:val="•"/>
      <w:lvlJc w:val="left"/>
      <w:pPr>
        <w:ind w:left="986" w:hanging="360"/>
      </w:pPr>
      <w:rPr>
        <w:rFonts w:hint="default"/>
        <w:lang w:val="en-US" w:eastAsia="zh-CN" w:bidi="ar-SA"/>
      </w:rPr>
    </w:lvl>
    <w:lvl w:ilvl="4">
      <w:start w:val="0"/>
      <w:numFmt w:val="bullet"/>
      <w:lvlText w:val="•"/>
      <w:lvlJc w:val="left"/>
      <w:pPr>
        <w:ind w:left="1162" w:hanging="360"/>
      </w:pPr>
      <w:rPr>
        <w:rFonts w:hint="default"/>
        <w:lang w:val="en-US" w:eastAsia="zh-CN" w:bidi="ar-SA"/>
      </w:rPr>
    </w:lvl>
    <w:lvl w:ilvl="5">
      <w:start w:val="0"/>
      <w:numFmt w:val="bullet"/>
      <w:lvlText w:val="•"/>
      <w:lvlJc w:val="left"/>
      <w:pPr>
        <w:ind w:left="1337" w:hanging="360"/>
      </w:pPr>
      <w:rPr>
        <w:rFonts w:hint="default"/>
        <w:lang w:val="en-US" w:eastAsia="zh-CN" w:bidi="ar-SA"/>
      </w:rPr>
    </w:lvl>
    <w:lvl w:ilvl="6">
      <w:start w:val="0"/>
      <w:numFmt w:val="bullet"/>
      <w:lvlText w:val="•"/>
      <w:lvlJc w:val="left"/>
      <w:pPr>
        <w:ind w:left="1513" w:hanging="360"/>
      </w:pPr>
      <w:rPr>
        <w:rFonts w:hint="default"/>
        <w:lang w:val="en-US" w:eastAsia="zh-CN" w:bidi="ar-SA"/>
      </w:rPr>
    </w:lvl>
    <w:lvl w:ilvl="7">
      <w:start w:val="0"/>
      <w:numFmt w:val="bullet"/>
      <w:lvlText w:val="•"/>
      <w:lvlJc w:val="left"/>
      <w:pPr>
        <w:ind w:left="1688" w:hanging="360"/>
      </w:pPr>
      <w:rPr>
        <w:rFonts w:hint="default"/>
        <w:lang w:val="en-US" w:eastAsia="zh-CN" w:bidi="ar-SA"/>
      </w:rPr>
    </w:lvl>
    <w:lvl w:ilvl="8">
      <w:start w:val="0"/>
      <w:numFmt w:val="bullet"/>
      <w:lvlText w:val="•"/>
      <w:lvlJc w:val="left"/>
      <w:pPr>
        <w:ind w:left="1864" w:hanging="360"/>
      </w:pPr>
      <w:rPr>
        <w:rFonts w:hint="default"/>
        <w:lang w:val="en-US" w:eastAsia="zh-CN" w:bidi="ar-SA"/>
      </w:rPr>
    </w:lvl>
  </w:abstractNum>
  <w:abstractNum w:abstractNumId="117">
    <w:multiLevelType w:val="hybridMultilevel"/>
    <w:lvl w:ilvl="0">
      <w:start w:val="1"/>
      <w:numFmt w:val="decimal"/>
      <w:lvlText w:val="%1."/>
      <w:lvlJc w:val="left"/>
      <w:pPr>
        <w:ind w:left="463" w:hanging="36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635" w:hanging="360"/>
      </w:pPr>
      <w:rPr>
        <w:rFonts w:hint="default"/>
        <w:lang w:val="en-US" w:eastAsia="zh-CN" w:bidi="ar-SA"/>
      </w:rPr>
    </w:lvl>
    <w:lvl w:ilvl="2">
      <w:start w:val="0"/>
      <w:numFmt w:val="bullet"/>
      <w:lvlText w:val="•"/>
      <w:lvlJc w:val="left"/>
      <w:pPr>
        <w:ind w:left="810" w:hanging="360"/>
      </w:pPr>
      <w:rPr>
        <w:rFonts w:hint="default"/>
        <w:lang w:val="en-US" w:eastAsia="zh-CN" w:bidi="ar-SA"/>
      </w:rPr>
    </w:lvl>
    <w:lvl w:ilvl="3">
      <w:start w:val="0"/>
      <w:numFmt w:val="bullet"/>
      <w:lvlText w:val="•"/>
      <w:lvlJc w:val="left"/>
      <w:pPr>
        <w:ind w:left="985" w:hanging="360"/>
      </w:pPr>
      <w:rPr>
        <w:rFonts w:hint="default"/>
        <w:lang w:val="en-US" w:eastAsia="zh-CN" w:bidi="ar-SA"/>
      </w:rPr>
    </w:lvl>
    <w:lvl w:ilvl="4">
      <w:start w:val="0"/>
      <w:numFmt w:val="bullet"/>
      <w:lvlText w:val="•"/>
      <w:lvlJc w:val="left"/>
      <w:pPr>
        <w:ind w:left="1160" w:hanging="360"/>
      </w:pPr>
      <w:rPr>
        <w:rFonts w:hint="default"/>
        <w:lang w:val="en-US" w:eastAsia="zh-CN" w:bidi="ar-SA"/>
      </w:rPr>
    </w:lvl>
    <w:lvl w:ilvl="5">
      <w:start w:val="0"/>
      <w:numFmt w:val="bullet"/>
      <w:lvlText w:val="•"/>
      <w:lvlJc w:val="left"/>
      <w:pPr>
        <w:ind w:left="1336" w:hanging="360"/>
      </w:pPr>
      <w:rPr>
        <w:rFonts w:hint="default"/>
        <w:lang w:val="en-US" w:eastAsia="zh-CN" w:bidi="ar-SA"/>
      </w:rPr>
    </w:lvl>
    <w:lvl w:ilvl="6">
      <w:start w:val="0"/>
      <w:numFmt w:val="bullet"/>
      <w:lvlText w:val="•"/>
      <w:lvlJc w:val="left"/>
      <w:pPr>
        <w:ind w:left="1511" w:hanging="360"/>
      </w:pPr>
      <w:rPr>
        <w:rFonts w:hint="default"/>
        <w:lang w:val="en-US" w:eastAsia="zh-CN" w:bidi="ar-SA"/>
      </w:rPr>
    </w:lvl>
    <w:lvl w:ilvl="7">
      <w:start w:val="0"/>
      <w:numFmt w:val="bullet"/>
      <w:lvlText w:val="•"/>
      <w:lvlJc w:val="left"/>
      <w:pPr>
        <w:ind w:left="1686" w:hanging="360"/>
      </w:pPr>
      <w:rPr>
        <w:rFonts w:hint="default"/>
        <w:lang w:val="en-US" w:eastAsia="zh-CN" w:bidi="ar-SA"/>
      </w:rPr>
    </w:lvl>
    <w:lvl w:ilvl="8">
      <w:start w:val="0"/>
      <w:numFmt w:val="bullet"/>
      <w:lvlText w:val="•"/>
      <w:lvlJc w:val="left"/>
      <w:pPr>
        <w:ind w:left="1861" w:hanging="360"/>
      </w:pPr>
      <w:rPr>
        <w:rFonts w:hint="default"/>
        <w:lang w:val="en-US" w:eastAsia="zh-CN" w:bidi="ar-SA"/>
      </w:rPr>
    </w:lvl>
  </w:abstractNum>
  <w:abstractNum w:abstractNumId="116">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636" w:hanging="360"/>
      </w:pPr>
      <w:rPr>
        <w:rFonts w:hint="default"/>
        <w:lang w:val="en-US" w:eastAsia="zh-CN" w:bidi="ar-SA"/>
      </w:rPr>
    </w:lvl>
    <w:lvl w:ilvl="2">
      <w:start w:val="0"/>
      <w:numFmt w:val="bullet"/>
      <w:lvlText w:val="•"/>
      <w:lvlJc w:val="left"/>
      <w:pPr>
        <w:ind w:left="812" w:hanging="360"/>
      </w:pPr>
      <w:rPr>
        <w:rFonts w:hint="default"/>
        <w:lang w:val="en-US" w:eastAsia="zh-CN" w:bidi="ar-SA"/>
      </w:rPr>
    </w:lvl>
    <w:lvl w:ilvl="3">
      <w:start w:val="0"/>
      <w:numFmt w:val="bullet"/>
      <w:lvlText w:val="•"/>
      <w:lvlJc w:val="left"/>
      <w:pPr>
        <w:ind w:left="988" w:hanging="360"/>
      </w:pPr>
      <w:rPr>
        <w:rFonts w:hint="default"/>
        <w:lang w:val="en-US" w:eastAsia="zh-CN" w:bidi="ar-SA"/>
      </w:rPr>
    </w:lvl>
    <w:lvl w:ilvl="4">
      <w:start w:val="0"/>
      <w:numFmt w:val="bullet"/>
      <w:lvlText w:val="•"/>
      <w:lvlJc w:val="left"/>
      <w:pPr>
        <w:ind w:left="1164" w:hanging="360"/>
      </w:pPr>
      <w:rPr>
        <w:rFonts w:hint="default"/>
        <w:lang w:val="en-US" w:eastAsia="zh-CN" w:bidi="ar-SA"/>
      </w:rPr>
    </w:lvl>
    <w:lvl w:ilvl="5">
      <w:start w:val="0"/>
      <w:numFmt w:val="bullet"/>
      <w:lvlText w:val="•"/>
      <w:lvlJc w:val="left"/>
      <w:pPr>
        <w:ind w:left="1340" w:hanging="360"/>
      </w:pPr>
      <w:rPr>
        <w:rFonts w:hint="default"/>
        <w:lang w:val="en-US" w:eastAsia="zh-CN" w:bidi="ar-SA"/>
      </w:rPr>
    </w:lvl>
    <w:lvl w:ilvl="6">
      <w:start w:val="0"/>
      <w:numFmt w:val="bullet"/>
      <w:lvlText w:val="•"/>
      <w:lvlJc w:val="left"/>
      <w:pPr>
        <w:ind w:left="1516" w:hanging="360"/>
      </w:pPr>
      <w:rPr>
        <w:rFonts w:hint="default"/>
        <w:lang w:val="en-US" w:eastAsia="zh-CN" w:bidi="ar-SA"/>
      </w:rPr>
    </w:lvl>
    <w:lvl w:ilvl="7">
      <w:start w:val="0"/>
      <w:numFmt w:val="bullet"/>
      <w:lvlText w:val="•"/>
      <w:lvlJc w:val="left"/>
      <w:pPr>
        <w:ind w:left="1692" w:hanging="360"/>
      </w:pPr>
      <w:rPr>
        <w:rFonts w:hint="default"/>
        <w:lang w:val="en-US" w:eastAsia="zh-CN" w:bidi="ar-SA"/>
      </w:rPr>
    </w:lvl>
    <w:lvl w:ilvl="8">
      <w:start w:val="0"/>
      <w:numFmt w:val="bullet"/>
      <w:lvlText w:val="•"/>
      <w:lvlJc w:val="left"/>
      <w:pPr>
        <w:ind w:left="1868" w:hanging="360"/>
      </w:pPr>
      <w:rPr>
        <w:rFonts w:hint="default"/>
        <w:lang w:val="en-US" w:eastAsia="zh-CN" w:bidi="ar-SA"/>
      </w:rPr>
    </w:lvl>
  </w:abstractNum>
  <w:abstractNum w:abstractNumId="115">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636" w:hanging="360"/>
      </w:pPr>
      <w:rPr>
        <w:rFonts w:hint="default"/>
        <w:lang w:val="en-US" w:eastAsia="zh-CN" w:bidi="ar-SA"/>
      </w:rPr>
    </w:lvl>
    <w:lvl w:ilvl="2">
      <w:start w:val="0"/>
      <w:numFmt w:val="bullet"/>
      <w:lvlText w:val="•"/>
      <w:lvlJc w:val="left"/>
      <w:pPr>
        <w:ind w:left="812" w:hanging="360"/>
      </w:pPr>
      <w:rPr>
        <w:rFonts w:hint="default"/>
        <w:lang w:val="en-US" w:eastAsia="zh-CN" w:bidi="ar-SA"/>
      </w:rPr>
    </w:lvl>
    <w:lvl w:ilvl="3">
      <w:start w:val="0"/>
      <w:numFmt w:val="bullet"/>
      <w:lvlText w:val="•"/>
      <w:lvlJc w:val="left"/>
      <w:pPr>
        <w:ind w:left="988" w:hanging="360"/>
      </w:pPr>
      <w:rPr>
        <w:rFonts w:hint="default"/>
        <w:lang w:val="en-US" w:eastAsia="zh-CN" w:bidi="ar-SA"/>
      </w:rPr>
    </w:lvl>
    <w:lvl w:ilvl="4">
      <w:start w:val="0"/>
      <w:numFmt w:val="bullet"/>
      <w:lvlText w:val="•"/>
      <w:lvlJc w:val="left"/>
      <w:pPr>
        <w:ind w:left="1164" w:hanging="360"/>
      </w:pPr>
      <w:rPr>
        <w:rFonts w:hint="default"/>
        <w:lang w:val="en-US" w:eastAsia="zh-CN" w:bidi="ar-SA"/>
      </w:rPr>
    </w:lvl>
    <w:lvl w:ilvl="5">
      <w:start w:val="0"/>
      <w:numFmt w:val="bullet"/>
      <w:lvlText w:val="•"/>
      <w:lvlJc w:val="left"/>
      <w:pPr>
        <w:ind w:left="1340" w:hanging="360"/>
      </w:pPr>
      <w:rPr>
        <w:rFonts w:hint="default"/>
        <w:lang w:val="en-US" w:eastAsia="zh-CN" w:bidi="ar-SA"/>
      </w:rPr>
    </w:lvl>
    <w:lvl w:ilvl="6">
      <w:start w:val="0"/>
      <w:numFmt w:val="bullet"/>
      <w:lvlText w:val="•"/>
      <w:lvlJc w:val="left"/>
      <w:pPr>
        <w:ind w:left="1516" w:hanging="360"/>
      </w:pPr>
      <w:rPr>
        <w:rFonts w:hint="default"/>
        <w:lang w:val="en-US" w:eastAsia="zh-CN" w:bidi="ar-SA"/>
      </w:rPr>
    </w:lvl>
    <w:lvl w:ilvl="7">
      <w:start w:val="0"/>
      <w:numFmt w:val="bullet"/>
      <w:lvlText w:val="•"/>
      <w:lvlJc w:val="left"/>
      <w:pPr>
        <w:ind w:left="1692" w:hanging="360"/>
      </w:pPr>
      <w:rPr>
        <w:rFonts w:hint="default"/>
        <w:lang w:val="en-US" w:eastAsia="zh-CN" w:bidi="ar-SA"/>
      </w:rPr>
    </w:lvl>
    <w:lvl w:ilvl="8">
      <w:start w:val="0"/>
      <w:numFmt w:val="bullet"/>
      <w:lvlText w:val="•"/>
      <w:lvlJc w:val="left"/>
      <w:pPr>
        <w:ind w:left="1868" w:hanging="360"/>
      </w:pPr>
      <w:rPr>
        <w:rFonts w:hint="default"/>
        <w:lang w:val="en-US" w:eastAsia="zh-CN" w:bidi="ar-SA"/>
      </w:rPr>
    </w:lvl>
  </w:abstractNum>
  <w:abstractNum w:abstractNumId="114">
    <w:multiLevelType w:val="hybridMultilevel"/>
    <w:lvl w:ilvl="0">
      <w:start w:val="1"/>
      <w:numFmt w:val="decimal"/>
      <w:lvlText w:val="%1."/>
      <w:lvlJc w:val="left"/>
      <w:pPr>
        <w:ind w:left="2911"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672" w:hanging="213"/>
      </w:pPr>
      <w:rPr>
        <w:rFonts w:hint="default"/>
        <w:lang w:val="en-US" w:eastAsia="zh-CN" w:bidi="ar-SA"/>
      </w:rPr>
    </w:lvl>
    <w:lvl w:ilvl="2">
      <w:start w:val="0"/>
      <w:numFmt w:val="bullet"/>
      <w:lvlText w:val="•"/>
      <w:lvlJc w:val="left"/>
      <w:pPr>
        <w:ind w:left="4425" w:hanging="213"/>
      </w:pPr>
      <w:rPr>
        <w:rFonts w:hint="default"/>
        <w:lang w:val="en-US" w:eastAsia="zh-CN" w:bidi="ar-SA"/>
      </w:rPr>
    </w:lvl>
    <w:lvl w:ilvl="3">
      <w:start w:val="0"/>
      <w:numFmt w:val="bullet"/>
      <w:lvlText w:val="•"/>
      <w:lvlJc w:val="left"/>
      <w:pPr>
        <w:ind w:left="5177" w:hanging="213"/>
      </w:pPr>
      <w:rPr>
        <w:rFonts w:hint="default"/>
        <w:lang w:val="en-US" w:eastAsia="zh-CN" w:bidi="ar-SA"/>
      </w:rPr>
    </w:lvl>
    <w:lvl w:ilvl="4">
      <w:start w:val="0"/>
      <w:numFmt w:val="bullet"/>
      <w:lvlText w:val="•"/>
      <w:lvlJc w:val="left"/>
      <w:pPr>
        <w:ind w:left="5930" w:hanging="213"/>
      </w:pPr>
      <w:rPr>
        <w:rFonts w:hint="default"/>
        <w:lang w:val="en-US" w:eastAsia="zh-CN" w:bidi="ar-SA"/>
      </w:rPr>
    </w:lvl>
    <w:lvl w:ilvl="5">
      <w:start w:val="0"/>
      <w:numFmt w:val="bullet"/>
      <w:lvlText w:val="•"/>
      <w:lvlJc w:val="left"/>
      <w:pPr>
        <w:ind w:left="6683" w:hanging="213"/>
      </w:pPr>
      <w:rPr>
        <w:rFonts w:hint="default"/>
        <w:lang w:val="en-US" w:eastAsia="zh-CN" w:bidi="ar-SA"/>
      </w:rPr>
    </w:lvl>
    <w:lvl w:ilvl="6">
      <w:start w:val="0"/>
      <w:numFmt w:val="bullet"/>
      <w:lvlText w:val="•"/>
      <w:lvlJc w:val="left"/>
      <w:pPr>
        <w:ind w:left="7435" w:hanging="213"/>
      </w:pPr>
      <w:rPr>
        <w:rFonts w:hint="default"/>
        <w:lang w:val="en-US" w:eastAsia="zh-CN" w:bidi="ar-SA"/>
      </w:rPr>
    </w:lvl>
    <w:lvl w:ilvl="7">
      <w:start w:val="0"/>
      <w:numFmt w:val="bullet"/>
      <w:lvlText w:val="•"/>
      <w:lvlJc w:val="left"/>
      <w:pPr>
        <w:ind w:left="8188" w:hanging="213"/>
      </w:pPr>
      <w:rPr>
        <w:rFonts w:hint="default"/>
        <w:lang w:val="en-US" w:eastAsia="zh-CN" w:bidi="ar-SA"/>
      </w:rPr>
    </w:lvl>
    <w:lvl w:ilvl="8">
      <w:start w:val="0"/>
      <w:numFmt w:val="bullet"/>
      <w:lvlText w:val="•"/>
      <w:lvlJc w:val="left"/>
      <w:pPr>
        <w:ind w:left="8941" w:hanging="213"/>
      </w:pPr>
      <w:rPr>
        <w:rFonts w:hint="default"/>
        <w:lang w:val="en-US" w:eastAsia="zh-CN" w:bidi="ar-SA"/>
      </w:rPr>
    </w:lvl>
  </w:abstractNum>
  <w:abstractNum w:abstractNumId="113">
    <w:multiLevelType w:val="hybridMultilevel"/>
    <w:lvl w:ilvl="0">
      <w:start w:val="1"/>
      <w:numFmt w:val="decimal"/>
      <w:lvlText w:val="%1."/>
      <w:lvlJc w:val="left"/>
      <w:pPr>
        <w:ind w:left="2911"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672" w:hanging="213"/>
      </w:pPr>
      <w:rPr>
        <w:rFonts w:hint="default"/>
        <w:lang w:val="en-US" w:eastAsia="zh-CN" w:bidi="ar-SA"/>
      </w:rPr>
    </w:lvl>
    <w:lvl w:ilvl="2">
      <w:start w:val="0"/>
      <w:numFmt w:val="bullet"/>
      <w:lvlText w:val="•"/>
      <w:lvlJc w:val="left"/>
      <w:pPr>
        <w:ind w:left="4425" w:hanging="213"/>
      </w:pPr>
      <w:rPr>
        <w:rFonts w:hint="default"/>
        <w:lang w:val="en-US" w:eastAsia="zh-CN" w:bidi="ar-SA"/>
      </w:rPr>
    </w:lvl>
    <w:lvl w:ilvl="3">
      <w:start w:val="0"/>
      <w:numFmt w:val="bullet"/>
      <w:lvlText w:val="•"/>
      <w:lvlJc w:val="left"/>
      <w:pPr>
        <w:ind w:left="5177" w:hanging="213"/>
      </w:pPr>
      <w:rPr>
        <w:rFonts w:hint="default"/>
        <w:lang w:val="en-US" w:eastAsia="zh-CN" w:bidi="ar-SA"/>
      </w:rPr>
    </w:lvl>
    <w:lvl w:ilvl="4">
      <w:start w:val="0"/>
      <w:numFmt w:val="bullet"/>
      <w:lvlText w:val="•"/>
      <w:lvlJc w:val="left"/>
      <w:pPr>
        <w:ind w:left="5930" w:hanging="213"/>
      </w:pPr>
      <w:rPr>
        <w:rFonts w:hint="default"/>
        <w:lang w:val="en-US" w:eastAsia="zh-CN" w:bidi="ar-SA"/>
      </w:rPr>
    </w:lvl>
    <w:lvl w:ilvl="5">
      <w:start w:val="0"/>
      <w:numFmt w:val="bullet"/>
      <w:lvlText w:val="•"/>
      <w:lvlJc w:val="left"/>
      <w:pPr>
        <w:ind w:left="6683" w:hanging="213"/>
      </w:pPr>
      <w:rPr>
        <w:rFonts w:hint="default"/>
        <w:lang w:val="en-US" w:eastAsia="zh-CN" w:bidi="ar-SA"/>
      </w:rPr>
    </w:lvl>
    <w:lvl w:ilvl="6">
      <w:start w:val="0"/>
      <w:numFmt w:val="bullet"/>
      <w:lvlText w:val="•"/>
      <w:lvlJc w:val="left"/>
      <w:pPr>
        <w:ind w:left="7435" w:hanging="213"/>
      </w:pPr>
      <w:rPr>
        <w:rFonts w:hint="default"/>
        <w:lang w:val="en-US" w:eastAsia="zh-CN" w:bidi="ar-SA"/>
      </w:rPr>
    </w:lvl>
    <w:lvl w:ilvl="7">
      <w:start w:val="0"/>
      <w:numFmt w:val="bullet"/>
      <w:lvlText w:val="•"/>
      <w:lvlJc w:val="left"/>
      <w:pPr>
        <w:ind w:left="8188" w:hanging="213"/>
      </w:pPr>
      <w:rPr>
        <w:rFonts w:hint="default"/>
        <w:lang w:val="en-US" w:eastAsia="zh-CN" w:bidi="ar-SA"/>
      </w:rPr>
    </w:lvl>
    <w:lvl w:ilvl="8">
      <w:start w:val="0"/>
      <w:numFmt w:val="bullet"/>
      <w:lvlText w:val="•"/>
      <w:lvlJc w:val="left"/>
      <w:pPr>
        <w:ind w:left="8941" w:hanging="213"/>
      </w:pPr>
      <w:rPr>
        <w:rFonts w:hint="default"/>
        <w:lang w:val="en-US" w:eastAsia="zh-CN" w:bidi="ar-SA"/>
      </w:rPr>
    </w:lvl>
  </w:abstractNum>
  <w:abstractNum w:abstractNumId="112">
    <w:multiLevelType w:val="hybridMultilevel"/>
    <w:lvl w:ilvl="0">
      <w:start w:val="8"/>
      <w:numFmt w:val="decimal"/>
      <w:lvlText w:val="%1."/>
      <w:lvlJc w:val="left"/>
      <w:pPr>
        <w:ind w:left="2909"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654" w:hanging="213"/>
      </w:pPr>
      <w:rPr>
        <w:rFonts w:hint="default"/>
        <w:lang w:val="en-US" w:eastAsia="zh-CN" w:bidi="ar-SA"/>
      </w:rPr>
    </w:lvl>
    <w:lvl w:ilvl="2">
      <w:start w:val="0"/>
      <w:numFmt w:val="bullet"/>
      <w:lvlText w:val="•"/>
      <w:lvlJc w:val="left"/>
      <w:pPr>
        <w:ind w:left="4409" w:hanging="213"/>
      </w:pPr>
      <w:rPr>
        <w:rFonts w:hint="default"/>
        <w:lang w:val="en-US" w:eastAsia="zh-CN" w:bidi="ar-SA"/>
      </w:rPr>
    </w:lvl>
    <w:lvl w:ilvl="3">
      <w:start w:val="0"/>
      <w:numFmt w:val="bullet"/>
      <w:lvlText w:val="•"/>
      <w:lvlJc w:val="left"/>
      <w:pPr>
        <w:ind w:left="5163" w:hanging="213"/>
      </w:pPr>
      <w:rPr>
        <w:rFonts w:hint="default"/>
        <w:lang w:val="en-US" w:eastAsia="zh-CN" w:bidi="ar-SA"/>
      </w:rPr>
    </w:lvl>
    <w:lvl w:ilvl="4">
      <w:start w:val="0"/>
      <w:numFmt w:val="bullet"/>
      <w:lvlText w:val="•"/>
      <w:lvlJc w:val="left"/>
      <w:pPr>
        <w:ind w:left="5918" w:hanging="213"/>
      </w:pPr>
      <w:rPr>
        <w:rFonts w:hint="default"/>
        <w:lang w:val="en-US" w:eastAsia="zh-CN" w:bidi="ar-SA"/>
      </w:rPr>
    </w:lvl>
    <w:lvl w:ilvl="5">
      <w:start w:val="0"/>
      <w:numFmt w:val="bullet"/>
      <w:lvlText w:val="•"/>
      <w:lvlJc w:val="left"/>
      <w:pPr>
        <w:ind w:left="6673" w:hanging="213"/>
      </w:pPr>
      <w:rPr>
        <w:rFonts w:hint="default"/>
        <w:lang w:val="en-US" w:eastAsia="zh-CN" w:bidi="ar-SA"/>
      </w:rPr>
    </w:lvl>
    <w:lvl w:ilvl="6">
      <w:start w:val="0"/>
      <w:numFmt w:val="bullet"/>
      <w:lvlText w:val="•"/>
      <w:lvlJc w:val="left"/>
      <w:pPr>
        <w:ind w:left="7427" w:hanging="213"/>
      </w:pPr>
      <w:rPr>
        <w:rFonts w:hint="default"/>
        <w:lang w:val="en-US" w:eastAsia="zh-CN" w:bidi="ar-SA"/>
      </w:rPr>
    </w:lvl>
    <w:lvl w:ilvl="7">
      <w:start w:val="0"/>
      <w:numFmt w:val="bullet"/>
      <w:lvlText w:val="•"/>
      <w:lvlJc w:val="left"/>
      <w:pPr>
        <w:ind w:left="8182" w:hanging="213"/>
      </w:pPr>
      <w:rPr>
        <w:rFonts w:hint="default"/>
        <w:lang w:val="en-US" w:eastAsia="zh-CN" w:bidi="ar-SA"/>
      </w:rPr>
    </w:lvl>
    <w:lvl w:ilvl="8">
      <w:start w:val="0"/>
      <w:numFmt w:val="bullet"/>
      <w:lvlText w:val="•"/>
      <w:lvlJc w:val="left"/>
      <w:pPr>
        <w:ind w:left="8937" w:hanging="213"/>
      </w:pPr>
      <w:rPr>
        <w:rFonts w:hint="default"/>
        <w:lang w:val="en-US" w:eastAsia="zh-CN" w:bidi="ar-SA"/>
      </w:rPr>
    </w:lvl>
  </w:abstractNum>
  <w:abstractNum w:abstractNumId="110">
    <w:multiLevelType w:val="hybridMultilevel"/>
    <w:lvl w:ilvl="0">
      <w:start w:val="1"/>
      <w:numFmt w:val="decimal"/>
      <w:lvlText w:val="%1."/>
      <w:lvlJc w:val="left"/>
      <w:pPr>
        <w:ind w:left="529" w:hanging="213"/>
        <w:jc w:val="righ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213"/>
      </w:pPr>
      <w:rPr>
        <w:rFonts w:hint="default"/>
        <w:lang w:val="en-US" w:eastAsia="zh-CN" w:bidi="ar-SA"/>
      </w:rPr>
    </w:lvl>
    <w:lvl w:ilvl="2">
      <w:start w:val="0"/>
      <w:numFmt w:val="bullet"/>
      <w:lvlText w:val="•"/>
      <w:lvlJc w:val="left"/>
      <w:pPr>
        <w:ind w:left="2029" w:hanging="213"/>
      </w:pPr>
      <w:rPr>
        <w:rFonts w:hint="default"/>
        <w:lang w:val="en-US" w:eastAsia="zh-CN" w:bidi="ar-SA"/>
      </w:rPr>
    </w:lvl>
    <w:lvl w:ilvl="3">
      <w:start w:val="0"/>
      <w:numFmt w:val="bullet"/>
      <w:lvlText w:val="•"/>
      <w:lvlJc w:val="left"/>
      <w:pPr>
        <w:ind w:left="2784" w:hanging="213"/>
      </w:pPr>
      <w:rPr>
        <w:rFonts w:hint="default"/>
        <w:lang w:val="en-US" w:eastAsia="zh-CN" w:bidi="ar-SA"/>
      </w:rPr>
    </w:lvl>
    <w:lvl w:ilvl="4">
      <w:start w:val="0"/>
      <w:numFmt w:val="bullet"/>
      <w:lvlText w:val="•"/>
      <w:lvlJc w:val="left"/>
      <w:pPr>
        <w:ind w:left="3538" w:hanging="213"/>
      </w:pPr>
      <w:rPr>
        <w:rFonts w:hint="default"/>
        <w:lang w:val="en-US" w:eastAsia="zh-CN" w:bidi="ar-SA"/>
      </w:rPr>
    </w:lvl>
    <w:lvl w:ilvl="5">
      <w:start w:val="0"/>
      <w:numFmt w:val="bullet"/>
      <w:lvlText w:val="•"/>
      <w:lvlJc w:val="left"/>
      <w:pPr>
        <w:ind w:left="4293" w:hanging="213"/>
      </w:pPr>
      <w:rPr>
        <w:rFonts w:hint="default"/>
        <w:lang w:val="en-US" w:eastAsia="zh-CN" w:bidi="ar-SA"/>
      </w:rPr>
    </w:lvl>
    <w:lvl w:ilvl="6">
      <w:start w:val="0"/>
      <w:numFmt w:val="bullet"/>
      <w:lvlText w:val="•"/>
      <w:lvlJc w:val="left"/>
      <w:pPr>
        <w:ind w:left="5048" w:hanging="213"/>
      </w:pPr>
      <w:rPr>
        <w:rFonts w:hint="default"/>
        <w:lang w:val="en-US" w:eastAsia="zh-CN" w:bidi="ar-SA"/>
      </w:rPr>
    </w:lvl>
    <w:lvl w:ilvl="7">
      <w:start w:val="0"/>
      <w:numFmt w:val="bullet"/>
      <w:lvlText w:val="•"/>
      <w:lvlJc w:val="left"/>
      <w:pPr>
        <w:ind w:left="5802" w:hanging="213"/>
      </w:pPr>
      <w:rPr>
        <w:rFonts w:hint="default"/>
        <w:lang w:val="en-US" w:eastAsia="zh-CN" w:bidi="ar-SA"/>
      </w:rPr>
    </w:lvl>
    <w:lvl w:ilvl="8">
      <w:start w:val="0"/>
      <w:numFmt w:val="bullet"/>
      <w:lvlText w:val="•"/>
      <w:lvlJc w:val="left"/>
      <w:pPr>
        <w:ind w:left="6557" w:hanging="213"/>
      </w:pPr>
      <w:rPr>
        <w:rFonts w:hint="default"/>
        <w:lang w:val="en-US" w:eastAsia="zh-CN" w:bidi="ar-SA"/>
      </w:rPr>
    </w:lvl>
  </w:abstractNum>
  <w:abstractNum w:abstractNumId="109">
    <w:multiLevelType w:val="hybridMultilevel"/>
    <w:lvl w:ilvl="0">
      <w:start w:val="1"/>
      <w:numFmt w:val="decimal"/>
      <w:lvlText w:val="（%1）"/>
      <w:lvlJc w:val="left"/>
      <w:pPr>
        <w:ind w:left="703" w:hanging="530"/>
        <w:jc w:val="righ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440" w:hanging="530"/>
      </w:pPr>
      <w:rPr>
        <w:rFonts w:hint="default"/>
        <w:lang w:val="en-US" w:eastAsia="zh-CN" w:bidi="ar-SA"/>
      </w:rPr>
    </w:lvl>
    <w:lvl w:ilvl="2">
      <w:start w:val="0"/>
      <w:numFmt w:val="bullet"/>
      <w:lvlText w:val="•"/>
      <w:lvlJc w:val="left"/>
      <w:pPr>
        <w:ind w:left="3937" w:hanging="530"/>
      </w:pPr>
      <w:rPr>
        <w:rFonts w:hint="default"/>
        <w:lang w:val="en-US" w:eastAsia="zh-CN" w:bidi="ar-SA"/>
      </w:rPr>
    </w:lvl>
    <w:lvl w:ilvl="3">
      <w:start w:val="0"/>
      <w:numFmt w:val="bullet"/>
      <w:lvlText w:val="•"/>
      <w:lvlJc w:val="left"/>
      <w:pPr>
        <w:ind w:left="4435" w:hanging="530"/>
      </w:pPr>
      <w:rPr>
        <w:rFonts w:hint="default"/>
        <w:lang w:val="en-US" w:eastAsia="zh-CN" w:bidi="ar-SA"/>
      </w:rPr>
    </w:lvl>
    <w:lvl w:ilvl="4">
      <w:start w:val="0"/>
      <w:numFmt w:val="bullet"/>
      <w:lvlText w:val="•"/>
      <w:lvlJc w:val="left"/>
      <w:pPr>
        <w:ind w:left="4933" w:hanging="530"/>
      </w:pPr>
      <w:rPr>
        <w:rFonts w:hint="default"/>
        <w:lang w:val="en-US" w:eastAsia="zh-CN" w:bidi="ar-SA"/>
      </w:rPr>
    </w:lvl>
    <w:lvl w:ilvl="5">
      <w:start w:val="0"/>
      <w:numFmt w:val="bullet"/>
      <w:lvlText w:val="•"/>
      <w:lvlJc w:val="left"/>
      <w:pPr>
        <w:ind w:left="5431" w:hanging="530"/>
      </w:pPr>
      <w:rPr>
        <w:rFonts w:hint="default"/>
        <w:lang w:val="en-US" w:eastAsia="zh-CN" w:bidi="ar-SA"/>
      </w:rPr>
    </w:lvl>
    <w:lvl w:ilvl="6">
      <w:start w:val="0"/>
      <w:numFmt w:val="bullet"/>
      <w:lvlText w:val="•"/>
      <w:lvlJc w:val="left"/>
      <w:pPr>
        <w:ind w:left="5929" w:hanging="530"/>
      </w:pPr>
      <w:rPr>
        <w:rFonts w:hint="default"/>
        <w:lang w:val="en-US" w:eastAsia="zh-CN" w:bidi="ar-SA"/>
      </w:rPr>
    </w:lvl>
    <w:lvl w:ilvl="7">
      <w:start w:val="0"/>
      <w:numFmt w:val="bullet"/>
      <w:lvlText w:val="•"/>
      <w:lvlJc w:val="left"/>
      <w:pPr>
        <w:ind w:left="6427" w:hanging="530"/>
      </w:pPr>
      <w:rPr>
        <w:rFonts w:hint="default"/>
        <w:lang w:val="en-US" w:eastAsia="zh-CN" w:bidi="ar-SA"/>
      </w:rPr>
    </w:lvl>
    <w:lvl w:ilvl="8">
      <w:start w:val="0"/>
      <w:numFmt w:val="bullet"/>
      <w:lvlText w:val="•"/>
      <w:lvlJc w:val="left"/>
      <w:pPr>
        <w:ind w:left="6925" w:hanging="530"/>
      </w:pPr>
      <w:rPr>
        <w:rFonts w:hint="default"/>
        <w:lang w:val="en-US" w:eastAsia="zh-CN" w:bidi="ar-SA"/>
      </w:rPr>
    </w:lvl>
  </w:abstractNum>
  <w:abstractNum w:abstractNumId="108">
    <w:multiLevelType w:val="hybridMultilevel"/>
    <w:lvl w:ilvl="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6" w:hanging="530"/>
      </w:pPr>
      <w:rPr>
        <w:rFonts w:hint="default"/>
        <w:lang w:val="en-US" w:eastAsia="zh-CN" w:bidi="ar-SA"/>
      </w:rPr>
    </w:lvl>
  </w:abstractNum>
  <w:abstractNum w:abstractNumId="107">
    <w:multiLevelType w:val="hybridMultilevel"/>
    <w:lvl w:ilvl="0">
      <w:start w:val="1"/>
      <w:numFmt w:val="decimal"/>
      <w:lvlText w:val="（%1）"/>
      <w:lvlJc w:val="left"/>
      <w:pPr>
        <w:ind w:left="80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12" w:hanging="632"/>
      </w:pPr>
      <w:rPr>
        <w:rFonts w:hint="default"/>
        <w:lang w:val="en-US" w:eastAsia="zh-CN" w:bidi="ar-SA"/>
      </w:rPr>
    </w:lvl>
    <w:lvl w:ilvl="2">
      <w:start w:val="0"/>
      <w:numFmt w:val="bullet"/>
      <w:lvlText w:val="•"/>
      <w:lvlJc w:val="left"/>
      <w:pPr>
        <w:ind w:left="2224" w:hanging="632"/>
      </w:pPr>
      <w:rPr>
        <w:rFonts w:hint="default"/>
        <w:lang w:val="en-US" w:eastAsia="zh-CN" w:bidi="ar-SA"/>
      </w:rPr>
    </w:lvl>
    <w:lvl w:ilvl="3">
      <w:start w:val="0"/>
      <w:numFmt w:val="bullet"/>
      <w:lvlText w:val="•"/>
      <w:lvlJc w:val="left"/>
      <w:pPr>
        <w:ind w:left="2936" w:hanging="632"/>
      </w:pPr>
      <w:rPr>
        <w:rFonts w:hint="default"/>
        <w:lang w:val="en-US" w:eastAsia="zh-CN" w:bidi="ar-SA"/>
      </w:rPr>
    </w:lvl>
    <w:lvl w:ilvl="4">
      <w:start w:val="0"/>
      <w:numFmt w:val="bullet"/>
      <w:lvlText w:val="•"/>
      <w:lvlJc w:val="left"/>
      <w:pPr>
        <w:ind w:left="3648" w:hanging="632"/>
      </w:pPr>
      <w:rPr>
        <w:rFonts w:hint="default"/>
        <w:lang w:val="en-US" w:eastAsia="zh-CN" w:bidi="ar-SA"/>
      </w:rPr>
    </w:lvl>
    <w:lvl w:ilvl="5">
      <w:start w:val="0"/>
      <w:numFmt w:val="bullet"/>
      <w:lvlText w:val="•"/>
      <w:lvlJc w:val="left"/>
      <w:pPr>
        <w:ind w:left="4360" w:hanging="632"/>
      </w:pPr>
      <w:rPr>
        <w:rFonts w:hint="default"/>
        <w:lang w:val="en-US" w:eastAsia="zh-CN" w:bidi="ar-SA"/>
      </w:rPr>
    </w:lvl>
    <w:lvl w:ilvl="6">
      <w:start w:val="0"/>
      <w:numFmt w:val="bullet"/>
      <w:lvlText w:val="•"/>
      <w:lvlJc w:val="left"/>
      <w:pPr>
        <w:ind w:left="5072" w:hanging="632"/>
      </w:pPr>
      <w:rPr>
        <w:rFonts w:hint="default"/>
        <w:lang w:val="en-US" w:eastAsia="zh-CN" w:bidi="ar-SA"/>
      </w:rPr>
    </w:lvl>
    <w:lvl w:ilvl="7">
      <w:start w:val="0"/>
      <w:numFmt w:val="bullet"/>
      <w:lvlText w:val="•"/>
      <w:lvlJc w:val="left"/>
      <w:pPr>
        <w:ind w:left="5784" w:hanging="632"/>
      </w:pPr>
      <w:rPr>
        <w:rFonts w:hint="default"/>
        <w:lang w:val="en-US" w:eastAsia="zh-CN" w:bidi="ar-SA"/>
      </w:rPr>
    </w:lvl>
    <w:lvl w:ilvl="8">
      <w:start w:val="0"/>
      <w:numFmt w:val="bullet"/>
      <w:lvlText w:val="•"/>
      <w:lvlJc w:val="left"/>
      <w:pPr>
        <w:ind w:left="6496" w:hanging="632"/>
      </w:pPr>
      <w:rPr>
        <w:rFonts w:hint="default"/>
        <w:lang w:val="en-US" w:eastAsia="zh-CN" w:bidi="ar-SA"/>
      </w:rPr>
    </w:lvl>
  </w:abstractNum>
  <w:abstractNum w:abstractNumId="106">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105">
    <w:multiLevelType w:val="hybridMultilevel"/>
    <w:lvl w:ilvl="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6" w:hanging="530"/>
      </w:pPr>
      <w:rPr>
        <w:rFonts w:hint="default"/>
        <w:lang w:val="en-US" w:eastAsia="zh-CN" w:bidi="ar-SA"/>
      </w:rPr>
    </w:lvl>
  </w:abstractNum>
  <w:abstractNum w:abstractNumId="104">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103">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102">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101">
    <w:multiLevelType w:val="hybridMultilevel"/>
    <w:lvl w:ilvl="0">
      <w:start w:val="1"/>
      <w:numFmt w:val="decimal"/>
      <w:lvlText w:val="（%1）"/>
      <w:lvlJc w:val="left"/>
      <w:pPr>
        <w:ind w:left="70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9" w:hanging="530"/>
      </w:pPr>
      <w:rPr>
        <w:rFonts w:hint="default"/>
        <w:lang w:val="en-US" w:eastAsia="zh-CN" w:bidi="ar-SA"/>
      </w:rPr>
    </w:lvl>
    <w:lvl w:ilvl="5">
      <w:start w:val="0"/>
      <w:numFmt w:val="bullet"/>
      <w:lvlText w:val="•"/>
      <w:lvlJc w:val="left"/>
      <w:pPr>
        <w:ind w:left="4311" w:hanging="530"/>
      </w:pPr>
      <w:rPr>
        <w:rFonts w:hint="default"/>
        <w:lang w:val="en-US" w:eastAsia="zh-CN" w:bidi="ar-SA"/>
      </w:rPr>
    </w:lvl>
    <w:lvl w:ilvl="6">
      <w:start w:val="0"/>
      <w:numFmt w:val="bullet"/>
      <w:lvlText w:val="•"/>
      <w:lvlJc w:val="left"/>
      <w:pPr>
        <w:ind w:left="5033" w:hanging="530"/>
      </w:pPr>
      <w:rPr>
        <w:rFonts w:hint="default"/>
        <w:lang w:val="en-US" w:eastAsia="zh-CN" w:bidi="ar-SA"/>
      </w:rPr>
    </w:lvl>
    <w:lvl w:ilvl="7">
      <w:start w:val="0"/>
      <w:numFmt w:val="bullet"/>
      <w:lvlText w:val="•"/>
      <w:lvlJc w:val="left"/>
      <w:pPr>
        <w:ind w:left="5755" w:hanging="530"/>
      </w:pPr>
      <w:rPr>
        <w:rFonts w:hint="default"/>
        <w:lang w:val="en-US" w:eastAsia="zh-CN" w:bidi="ar-SA"/>
      </w:rPr>
    </w:lvl>
    <w:lvl w:ilvl="8">
      <w:start w:val="0"/>
      <w:numFmt w:val="bullet"/>
      <w:lvlText w:val="•"/>
      <w:lvlJc w:val="left"/>
      <w:pPr>
        <w:ind w:left="6478" w:hanging="530"/>
      </w:pPr>
      <w:rPr>
        <w:rFonts w:hint="default"/>
        <w:lang w:val="en-US" w:eastAsia="zh-CN" w:bidi="ar-SA"/>
      </w:rPr>
    </w:lvl>
  </w:abstractNum>
  <w:abstractNum w:abstractNumId="100">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99">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98">
    <w:multiLevelType w:val="hybridMultilevel"/>
    <w:lvl w:ilvl="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6" w:hanging="530"/>
      </w:pPr>
      <w:rPr>
        <w:rFonts w:hint="default"/>
        <w:lang w:val="en-US" w:eastAsia="zh-CN" w:bidi="ar-SA"/>
      </w:rPr>
    </w:lvl>
  </w:abstractNum>
  <w:abstractNum w:abstractNumId="97">
    <w:multiLevelType w:val="hybridMultilevel"/>
    <w:lvl w:ilvl="0">
      <w:start w:val="1"/>
      <w:numFmt w:val="decimal"/>
      <w:lvlText w:val="（%1）"/>
      <w:lvlJc w:val="left"/>
      <w:pPr>
        <w:ind w:left="174" w:hanging="530"/>
        <w:jc w:val="left"/>
      </w:pPr>
      <w:rPr>
        <w:rFonts w:hint="default" w:ascii="宋体" w:hAnsi="宋体" w:eastAsia="宋体" w:cs="宋体"/>
        <w:b w:val="0"/>
        <w:bCs w:val="0"/>
        <w:i w:val="0"/>
        <w:iCs w:val="0"/>
        <w:spacing w:val="-27"/>
        <w:w w:val="100"/>
        <w:sz w:val="19"/>
        <w:szCs w:val="19"/>
        <w:lang w:val="en-US" w:eastAsia="zh-CN" w:bidi="ar-SA"/>
      </w:rPr>
    </w:lvl>
    <w:lvl w:ilvl="1">
      <w:start w:val="0"/>
      <w:numFmt w:val="bullet"/>
      <w:lvlText w:val="•"/>
      <w:lvlJc w:val="left"/>
      <w:pPr>
        <w:ind w:left="954" w:hanging="530"/>
      </w:pPr>
      <w:rPr>
        <w:rFonts w:hint="default"/>
        <w:lang w:val="en-US" w:eastAsia="zh-CN" w:bidi="ar-SA"/>
      </w:rPr>
    </w:lvl>
    <w:lvl w:ilvl="2">
      <w:start w:val="0"/>
      <w:numFmt w:val="bullet"/>
      <w:lvlText w:val="•"/>
      <w:lvlJc w:val="left"/>
      <w:pPr>
        <w:ind w:left="1728" w:hanging="530"/>
      </w:pPr>
      <w:rPr>
        <w:rFonts w:hint="default"/>
        <w:lang w:val="en-US" w:eastAsia="zh-CN" w:bidi="ar-SA"/>
      </w:rPr>
    </w:lvl>
    <w:lvl w:ilvl="3">
      <w:start w:val="0"/>
      <w:numFmt w:val="bullet"/>
      <w:lvlText w:val="•"/>
      <w:lvlJc w:val="left"/>
      <w:pPr>
        <w:ind w:left="2502" w:hanging="530"/>
      </w:pPr>
      <w:rPr>
        <w:rFonts w:hint="default"/>
        <w:lang w:val="en-US" w:eastAsia="zh-CN" w:bidi="ar-SA"/>
      </w:rPr>
    </w:lvl>
    <w:lvl w:ilvl="4">
      <w:start w:val="0"/>
      <w:numFmt w:val="bullet"/>
      <w:lvlText w:val="•"/>
      <w:lvlJc w:val="left"/>
      <w:pPr>
        <w:ind w:left="3276" w:hanging="530"/>
      </w:pPr>
      <w:rPr>
        <w:rFonts w:hint="default"/>
        <w:lang w:val="en-US" w:eastAsia="zh-CN" w:bidi="ar-SA"/>
      </w:rPr>
    </w:lvl>
    <w:lvl w:ilvl="5">
      <w:start w:val="0"/>
      <w:numFmt w:val="bullet"/>
      <w:lvlText w:val="•"/>
      <w:lvlJc w:val="left"/>
      <w:pPr>
        <w:ind w:left="4050" w:hanging="530"/>
      </w:pPr>
      <w:rPr>
        <w:rFonts w:hint="default"/>
        <w:lang w:val="en-US" w:eastAsia="zh-CN" w:bidi="ar-SA"/>
      </w:rPr>
    </w:lvl>
    <w:lvl w:ilvl="6">
      <w:start w:val="0"/>
      <w:numFmt w:val="bullet"/>
      <w:lvlText w:val="•"/>
      <w:lvlJc w:val="left"/>
      <w:pPr>
        <w:ind w:left="4824" w:hanging="530"/>
      </w:pPr>
      <w:rPr>
        <w:rFonts w:hint="default"/>
        <w:lang w:val="en-US" w:eastAsia="zh-CN" w:bidi="ar-SA"/>
      </w:rPr>
    </w:lvl>
    <w:lvl w:ilvl="7">
      <w:start w:val="0"/>
      <w:numFmt w:val="bullet"/>
      <w:lvlText w:val="•"/>
      <w:lvlJc w:val="left"/>
      <w:pPr>
        <w:ind w:left="5598" w:hanging="530"/>
      </w:pPr>
      <w:rPr>
        <w:rFonts w:hint="default"/>
        <w:lang w:val="en-US" w:eastAsia="zh-CN" w:bidi="ar-SA"/>
      </w:rPr>
    </w:lvl>
    <w:lvl w:ilvl="8">
      <w:start w:val="0"/>
      <w:numFmt w:val="bullet"/>
      <w:lvlText w:val="•"/>
      <w:lvlJc w:val="left"/>
      <w:pPr>
        <w:ind w:left="6373" w:hanging="530"/>
      </w:pPr>
      <w:rPr>
        <w:rFonts w:hint="default"/>
        <w:lang w:val="en-US" w:eastAsia="zh-CN" w:bidi="ar-SA"/>
      </w:rPr>
    </w:lvl>
  </w:abstractNum>
  <w:abstractNum w:abstractNumId="96">
    <w:multiLevelType w:val="hybridMultilevel"/>
    <w:lvl w:ilvl="0">
      <w:start w:val="1"/>
      <w:numFmt w:val="decimal"/>
      <w:lvlText w:val="（%1）"/>
      <w:lvlJc w:val="left"/>
      <w:pPr>
        <w:ind w:left="174" w:hanging="530"/>
        <w:jc w:val="left"/>
      </w:pPr>
      <w:rPr>
        <w:rFonts w:hint="default" w:ascii="宋体" w:hAnsi="宋体" w:eastAsia="宋体" w:cs="宋体"/>
        <w:b w:val="0"/>
        <w:bCs w:val="0"/>
        <w:i w:val="0"/>
        <w:iCs w:val="0"/>
        <w:spacing w:val="-27"/>
        <w:w w:val="100"/>
        <w:sz w:val="19"/>
        <w:szCs w:val="19"/>
        <w:lang w:val="en-US" w:eastAsia="zh-CN" w:bidi="ar-SA"/>
      </w:rPr>
    </w:lvl>
    <w:lvl w:ilvl="1">
      <w:start w:val="0"/>
      <w:numFmt w:val="bullet"/>
      <w:lvlText w:val="•"/>
      <w:lvlJc w:val="left"/>
      <w:pPr>
        <w:ind w:left="954" w:hanging="530"/>
      </w:pPr>
      <w:rPr>
        <w:rFonts w:hint="default"/>
        <w:lang w:val="en-US" w:eastAsia="zh-CN" w:bidi="ar-SA"/>
      </w:rPr>
    </w:lvl>
    <w:lvl w:ilvl="2">
      <w:start w:val="0"/>
      <w:numFmt w:val="bullet"/>
      <w:lvlText w:val="•"/>
      <w:lvlJc w:val="left"/>
      <w:pPr>
        <w:ind w:left="1728" w:hanging="530"/>
      </w:pPr>
      <w:rPr>
        <w:rFonts w:hint="default"/>
        <w:lang w:val="en-US" w:eastAsia="zh-CN" w:bidi="ar-SA"/>
      </w:rPr>
    </w:lvl>
    <w:lvl w:ilvl="3">
      <w:start w:val="0"/>
      <w:numFmt w:val="bullet"/>
      <w:lvlText w:val="•"/>
      <w:lvlJc w:val="left"/>
      <w:pPr>
        <w:ind w:left="2502" w:hanging="530"/>
      </w:pPr>
      <w:rPr>
        <w:rFonts w:hint="default"/>
        <w:lang w:val="en-US" w:eastAsia="zh-CN" w:bidi="ar-SA"/>
      </w:rPr>
    </w:lvl>
    <w:lvl w:ilvl="4">
      <w:start w:val="0"/>
      <w:numFmt w:val="bullet"/>
      <w:lvlText w:val="•"/>
      <w:lvlJc w:val="left"/>
      <w:pPr>
        <w:ind w:left="3276" w:hanging="530"/>
      </w:pPr>
      <w:rPr>
        <w:rFonts w:hint="default"/>
        <w:lang w:val="en-US" w:eastAsia="zh-CN" w:bidi="ar-SA"/>
      </w:rPr>
    </w:lvl>
    <w:lvl w:ilvl="5">
      <w:start w:val="0"/>
      <w:numFmt w:val="bullet"/>
      <w:lvlText w:val="•"/>
      <w:lvlJc w:val="left"/>
      <w:pPr>
        <w:ind w:left="4050" w:hanging="530"/>
      </w:pPr>
      <w:rPr>
        <w:rFonts w:hint="default"/>
        <w:lang w:val="en-US" w:eastAsia="zh-CN" w:bidi="ar-SA"/>
      </w:rPr>
    </w:lvl>
    <w:lvl w:ilvl="6">
      <w:start w:val="0"/>
      <w:numFmt w:val="bullet"/>
      <w:lvlText w:val="•"/>
      <w:lvlJc w:val="left"/>
      <w:pPr>
        <w:ind w:left="4824" w:hanging="530"/>
      </w:pPr>
      <w:rPr>
        <w:rFonts w:hint="default"/>
        <w:lang w:val="en-US" w:eastAsia="zh-CN" w:bidi="ar-SA"/>
      </w:rPr>
    </w:lvl>
    <w:lvl w:ilvl="7">
      <w:start w:val="0"/>
      <w:numFmt w:val="bullet"/>
      <w:lvlText w:val="•"/>
      <w:lvlJc w:val="left"/>
      <w:pPr>
        <w:ind w:left="5598" w:hanging="530"/>
      </w:pPr>
      <w:rPr>
        <w:rFonts w:hint="default"/>
        <w:lang w:val="en-US" w:eastAsia="zh-CN" w:bidi="ar-SA"/>
      </w:rPr>
    </w:lvl>
    <w:lvl w:ilvl="8">
      <w:start w:val="0"/>
      <w:numFmt w:val="bullet"/>
      <w:lvlText w:val="•"/>
      <w:lvlJc w:val="left"/>
      <w:pPr>
        <w:ind w:left="6373" w:hanging="530"/>
      </w:pPr>
      <w:rPr>
        <w:rFonts w:hint="default"/>
        <w:lang w:val="en-US" w:eastAsia="zh-CN" w:bidi="ar-SA"/>
      </w:rPr>
    </w:lvl>
  </w:abstractNum>
  <w:abstractNum w:abstractNumId="95">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94">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93">
    <w:multiLevelType w:val="hybridMultilevel"/>
    <w:lvl w:ilvl="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6" w:hanging="530"/>
      </w:pPr>
      <w:rPr>
        <w:rFonts w:hint="default"/>
        <w:lang w:val="en-US" w:eastAsia="zh-CN" w:bidi="ar-SA"/>
      </w:rPr>
    </w:lvl>
  </w:abstractNum>
  <w:abstractNum w:abstractNumId="92">
    <w:multiLevelType w:val="hybridMultilevel"/>
    <w:lvl w:ilvl="0">
      <w:start w:val="78"/>
      <w:numFmt w:val="decimal"/>
      <w:lvlText w:val="%1."/>
      <w:lvlJc w:val="left"/>
      <w:pPr>
        <w:ind w:left="1072" w:hanging="327"/>
        <w:jc w:val="left"/>
      </w:pPr>
      <w:rPr>
        <w:rFonts w:hint="default"/>
        <w:w w:val="81"/>
        <w:lang w:val="en-US" w:eastAsia="zh-CN" w:bidi="ar-SA"/>
      </w:rPr>
    </w:lvl>
    <w:lvl w:ilvl="1">
      <w:start w:val="1"/>
      <w:numFmt w:val="decimal"/>
      <w:lvlText w:val="（%2）"/>
      <w:lvlJc w:val="left"/>
      <w:pPr>
        <w:ind w:left="3229" w:hanging="530"/>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138" w:hanging="530"/>
      </w:pPr>
      <w:rPr>
        <w:rFonts w:hint="default"/>
        <w:lang w:val="en-US" w:eastAsia="zh-CN" w:bidi="ar-SA"/>
      </w:rPr>
    </w:lvl>
    <w:lvl w:ilvl="3">
      <w:start w:val="0"/>
      <w:numFmt w:val="bullet"/>
      <w:lvlText w:val="•"/>
      <w:lvlJc w:val="left"/>
      <w:pPr>
        <w:ind w:left="3056" w:hanging="530"/>
      </w:pPr>
      <w:rPr>
        <w:rFonts w:hint="default"/>
        <w:lang w:val="en-US" w:eastAsia="zh-CN" w:bidi="ar-SA"/>
      </w:rPr>
    </w:lvl>
    <w:lvl w:ilvl="4">
      <w:start w:val="0"/>
      <w:numFmt w:val="bullet"/>
      <w:lvlText w:val="•"/>
      <w:lvlJc w:val="left"/>
      <w:pPr>
        <w:ind w:left="2975" w:hanging="530"/>
      </w:pPr>
      <w:rPr>
        <w:rFonts w:hint="default"/>
        <w:lang w:val="en-US" w:eastAsia="zh-CN" w:bidi="ar-SA"/>
      </w:rPr>
    </w:lvl>
    <w:lvl w:ilvl="5">
      <w:start w:val="0"/>
      <w:numFmt w:val="bullet"/>
      <w:lvlText w:val="•"/>
      <w:lvlJc w:val="left"/>
      <w:pPr>
        <w:ind w:left="2893" w:hanging="530"/>
      </w:pPr>
      <w:rPr>
        <w:rFonts w:hint="default"/>
        <w:lang w:val="en-US" w:eastAsia="zh-CN" w:bidi="ar-SA"/>
      </w:rPr>
    </w:lvl>
    <w:lvl w:ilvl="6">
      <w:start w:val="0"/>
      <w:numFmt w:val="bullet"/>
      <w:lvlText w:val="•"/>
      <w:lvlJc w:val="left"/>
      <w:pPr>
        <w:ind w:left="2811" w:hanging="530"/>
      </w:pPr>
      <w:rPr>
        <w:rFonts w:hint="default"/>
        <w:lang w:val="en-US" w:eastAsia="zh-CN" w:bidi="ar-SA"/>
      </w:rPr>
    </w:lvl>
    <w:lvl w:ilvl="7">
      <w:start w:val="0"/>
      <w:numFmt w:val="bullet"/>
      <w:lvlText w:val="•"/>
      <w:lvlJc w:val="left"/>
      <w:pPr>
        <w:ind w:left="2730" w:hanging="530"/>
      </w:pPr>
      <w:rPr>
        <w:rFonts w:hint="default"/>
        <w:lang w:val="en-US" w:eastAsia="zh-CN" w:bidi="ar-SA"/>
      </w:rPr>
    </w:lvl>
    <w:lvl w:ilvl="8">
      <w:start w:val="0"/>
      <w:numFmt w:val="bullet"/>
      <w:lvlText w:val="•"/>
      <w:lvlJc w:val="left"/>
      <w:pPr>
        <w:ind w:left="2648" w:hanging="530"/>
      </w:pPr>
      <w:rPr>
        <w:rFonts w:hint="default"/>
        <w:lang w:val="en-US" w:eastAsia="zh-CN" w:bidi="ar-SA"/>
      </w:rPr>
    </w:lvl>
  </w:abstractNum>
  <w:abstractNum w:abstractNumId="91">
    <w:multiLevelType w:val="hybridMultilevel"/>
    <w:lvl w:ilvl="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6" w:hanging="530"/>
      </w:pPr>
      <w:rPr>
        <w:rFonts w:hint="default"/>
        <w:lang w:val="en-US" w:eastAsia="zh-CN" w:bidi="ar-SA"/>
      </w:rPr>
    </w:lvl>
  </w:abstractNum>
  <w:abstractNum w:abstractNumId="90">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89">
    <w:multiLevelType w:val="hybridMultilevel"/>
    <w:lvl w:ilvl="0">
      <w:start w:val="1"/>
      <w:numFmt w:val="decimal"/>
      <w:lvlText w:val="（%1）"/>
      <w:lvlJc w:val="left"/>
      <w:pPr>
        <w:ind w:left="322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42" w:hanging="530"/>
      </w:pPr>
      <w:rPr>
        <w:rFonts w:hint="default"/>
        <w:lang w:val="en-US" w:eastAsia="zh-CN" w:bidi="ar-SA"/>
      </w:rPr>
    </w:lvl>
    <w:lvl w:ilvl="2">
      <w:start w:val="0"/>
      <w:numFmt w:val="bullet"/>
      <w:lvlText w:val="•"/>
      <w:lvlJc w:val="left"/>
      <w:pPr>
        <w:ind w:left="4665" w:hanging="530"/>
      </w:pPr>
      <w:rPr>
        <w:rFonts w:hint="default"/>
        <w:lang w:val="en-US" w:eastAsia="zh-CN" w:bidi="ar-SA"/>
      </w:rPr>
    </w:lvl>
    <w:lvl w:ilvl="3">
      <w:start w:val="0"/>
      <w:numFmt w:val="bullet"/>
      <w:lvlText w:val="•"/>
      <w:lvlJc w:val="left"/>
      <w:pPr>
        <w:ind w:left="5387" w:hanging="530"/>
      </w:pPr>
      <w:rPr>
        <w:rFonts w:hint="default"/>
        <w:lang w:val="en-US" w:eastAsia="zh-CN" w:bidi="ar-SA"/>
      </w:rPr>
    </w:lvl>
    <w:lvl w:ilvl="4">
      <w:start w:val="0"/>
      <w:numFmt w:val="bullet"/>
      <w:lvlText w:val="•"/>
      <w:lvlJc w:val="left"/>
      <w:pPr>
        <w:ind w:left="6110" w:hanging="530"/>
      </w:pPr>
      <w:rPr>
        <w:rFonts w:hint="default"/>
        <w:lang w:val="en-US" w:eastAsia="zh-CN" w:bidi="ar-SA"/>
      </w:rPr>
    </w:lvl>
    <w:lvl w:ilvl="5">
      <w:start w:val="0"/>
      <w:numFmt w:val="bullet"/>
      <w:lvlText w:val="•"/>
      <w:lvlJc w:val="left"/>
      <w:pPr>
        <w:ind w:left="6833" w:hanging="530"/>
      </w:pPr>
      <w:rPr>
        <w:rFonts w:hint="default"/>
        <w:lang w:val="en-US" w:eastAsia="zh-CN" w:bidi="ar-SA"/>
      </w:rPr>
    </w:lvl>
    <w:lvl w:ilvl="6">
      <w:start w:val="0"/>
      <w:numFmt w:val="bullet"/>
      <w:lvlText w:val="•"/>
      <w:lvlJc w:val="left"/>
      <w:pPr>
        <w:ind w:left="7555" w:hanging="530"/>
      </w:pPr>
      <w:rPr>
        <w:rFonts w:hint="default"/>
        <w:lang w:val="en-US" w:eastAsia="zh-CN" w:bidi="ar-SA"/>
      </w:rPr>
    </w:lvl>
    <w:lvl w:ilvl="7">
      <w:start w:val="0"/>
      <w:numFmt w:val="bullet"/>
      <w:lvlText w:val="•"/>
      <w:lvlJc w:val="left"/>
      <w:pPr>
        <w:ind w:left="8278" w:hanging="530"/>
      </w:pPr>
      <w:rPr>
        <w:rFonts w:hint="default"/>
        <w:lang w:val="en-US" w:eastAsia="zh-CN" w:bidi="ar-SA"/>
      </w:rPr>
    </w:lvl>
    <w:lvl w:ilvl="8">
      <w:start w:val="0"/>
      <w:numFmt w:val="bullet"/>
      <w:lvlText w:val="•"/>
      <w:lvlJc w:val="left"/>
      <w:pPr>
        <w:ind w:left="9001" w:hanging="530"/>
      </w:pPr>
      <w:rPr>
        <w:rFonts w:hint="default"/>
        <w:lang w:val="en-US" w:eastAsia="zh-CN" w:bidi="ar-SA"/>
      </w:rPr>
    </w:lvl>
  </w:abstractNum>
  <w:abstractNum w:abstractNumId="88">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87">
    <w:multiLevelType w:val="hybridMultilevel"/>
    <w:lvl w:ilvl="0">
      <w:start w:val="1"/>
      <w:numFmt w:val="decimal"/>
      <w:lvlText w:val="（%1）"/>
      <w:lvlJc w:val="left"/>
      <w:pPr>
        <w:ind w:left="322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42" w:hanging="530"/>
      </w:pPr>
      <w:rPr>
        <w:rFonts w:hint="default"/>
        <w:lang w:val="en-US" w:eastAsia="zh-CN" w:bidi="ar-SA"/>
      </w:rPr>
    </w:lvl>
    <w:lvl w:ilvl="2">
      <w:start w:val="0"/>
      <w:numFmt w:val="bullet"/>
      <w:lvlText w:val="•"/>
      <w:lvlJc w:val="left"/>
      <w:pPr>
        <w:ind w:left="4665" w:hanging="530"/>
      </w:pPr>
      <w:rPr>
        <w:rFonts w:hint="default"/>
        <w:lang w:val="en-US" w:eastAsia="zh-CN" w:bidi="ar-SA"/>
      </w:rPr>
    </w:lvl>
    <w:lvl w:ilvl="3">
      <w:start w:val="0"/>
      <w:numFmt w:val="bullet"/>
      <w:lvlText w:val="•"/>
      <w:lvlJc w:val="left"/>
      <w:pPr>
        <w:ind w:left="5387" w:hanging="530"/>
      </w:pPr>
      <w:rPr>
        <w:rFonts w:hint="default"/>
        <w:lang w:val="en-US" w:eastAsia="zh-CN" w:bidi="ar-SA"/>
      </w:rPr>
    </w:lvl>
    <w:lvl w:ilvl="4">
      <w:start w:val="0"/>
      <w:numFmt w:val="bullet"/>
      <w:lvlText w:val="•"/>
      <w:lvlJc w:val="left"/>
      <w:pPr>
        <w:ind w:left="6110" w:hanging="530"/>
      </w:pPr>
      <w:rPr>
        <w:rFonts w:hint="default"/>
        <w:lang w:val="en-US" w:eastAsia="zh-CN" w:bidi="ar-SA"/>
      </w:rPr>
    </w:lvl>
    <w:lvl w:ilvl="5">
      <w:start w:val="0"/>
      <w:numFmt w:val="bullet"/>
      <w:lvlText w:val="•"/>
      <w:lvlJc w:val="left"/>
      <w:pPr>
        <w:ind w:left="6833" w:hanging="530"/>
      </w:pPr>
      <w:rPr>
        <w:rFonts w:hint="default"/>
        <w:lang w:val="en-US" w:eastAsia="zh-CN" w:bidi="ar-SA"/>
      </w:rPr>
    </w:lvl>
    <w:lvl w:ilvl="6">
      <w:start w:val="0"/>
      <w:numFmt w:val="bullet"/>
      <w:lvlText w:val="•"/>
      <w:lvlJc w:val="left"/>
      <w:pPr>
        <w:ind w:left="7555" w:hanging="530"/>
      </w:pPr>
      <w:rPr>
        <w:rFonts w:hint="default"/>
        <w:lang w:val="en-US" w:eastAsia="zh-CN" w:bidi="ar-SA"/>
      </w:rPr>
    </w:lvl>
    <w:lvl w:ilvl="7">
      <w:start w:val="0"/>
      <w:numFmt w:val="bullet"/>
      <w:lvlText w:val="•"/>
      <w:lvlJc w:val="left"/>
      <w:pPr>
        <w:ind w:left="8278" w:hanging="530"/>
      </w:pPr>
      <w:rPr>
        <w:rFonts w:hint="default"/>
        <w:lang w:val="en-US" w:eastAsia="zh-CN" w:bidi="ar-SA"/>
      </w:rPr>
    </w:lvl>
    <w:lvl w:ilvl="8">
      <w:start w:val="0"/>
      <w:numFmt w:val="bullet"/>
      <w:lvlText w:val="•"/>
      <w:lvlJc w:val="left"/>
      <w:pPr>
        <w:ind w:left="9001" w:hanging="530"/>
      </w:pPr>
      <w:rPr>
        <w:rFonts w:hint="default"/>
        <w:lang w:val="en-US" w:eastAsia="zh-CN" w:bidi="ar-SA"/>
      </w:rPr>
    </w:lvl>
  </w:abstractNum>
  <w:abstractNum w:abstractNumId="86">
    <w:multiLevelType w:val="hybridMultilevel"/>
    <w:lvl w:ilvl="0">
      <w:start w:val="1"/>
      <w:numFmt w:val="decimal"/>
      <w:lvlText w:val="（%1）"/>
      <w:lvlJc w:val="left"/>
      <w:pPr>
        <w:ind w:left="322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42" w:hanging="530"/>
      </w:pPr>
      <w:rPr>
        <w:rFonts w:hint="default"/>
        <w:lang w:val="en-US" w:eastAsia="zh-CN" w:bidi="ar-SA"/>
      </w:rPr>
    </w:lvl>
    <w:lvl w:ilvl="2">
      <w:start w:val="0"/>
      <w:numFmt w:val="bullet"/>
      <w:lvlText w:val="•"/>
      <w:lvlJc w:val="left"/>
      <w:pPr>
        <w:ind w:left="4665" w:hanging="530"/>
      </w:pPr>
      <w:rPr>
        <w:rFonts w:hint="default"/>
        <w:lang w:val="en-US" w:eastAsia="zh-CN" w:bidi="ar-SA"/>
      </w:rPr>
    </w:lvl>
    <w:lvl w:ilvl="3">
      <w:start w:val="0"/>
      <w:numFmt w:val="bullet"/>
      <w:lvlText w:val="•"/>
      <w:lvlJc w:val="left"/>
      <w:pPr>
        <w:ind w:left="5387" w:hanging="530"/>
      </w:pPr>
      <w:rPr>
        <w:rFonts w:hint="default"/>
        <w:lang w:val="en-US" w:eastAsia="zh-CN" w:bidi="ar-SA"/>
      </w:rPr>
    </w:lvl>
    <w:lvl w:ilvl="4">
      <w:start w:val="0"/>
      <w:numFmt w:val="bullet"/>
      <w:lvlText w:val="•"/>
      <w:lvlJc w:val="left"/>
      <w:pPr>
        <w:ind w:left="6110" w:hanging="530"/>
      </w:pPr>
      <w:rPr>
        <w:rFonts w:hint="default"/>
        <w:lang w:val="en-US" w:eastAsia="zh-CN" w:bidi="ar-SA"/>
      </w:rPr>
    </w:lvl>
    <w:lvl w:ilvl="5">
      <w:start w:val="0"/>
      <w:numFmt w:val="bullet"/>
      <w:lvlText w:val="•"/>
      <w:lvlJc w:val="left"/>
      <w:pPr>
        <w:ind w:left="6833" w:hanging="530"/>
      </w:pPr>
      <w:rPr>
        <w:rFonts w:hint="default"/>
        <w:lang w:val="en-US" w:eastAsia="zh-CN" w:bidi="ar-SA"/>
      </w:rPr>
    </w:lvl>
    <w:lvl w:ilvl="6">
      <w:start w:val="0"/>
      <w:numFmt w:val="bullet"/>
      <w:lvlText w:val="•"/>
      <w:lvlJc w:val="left"/>
      <w:pPr>
        <w:ind w:left="7555" w:hanging="530"/>
      </w:pPr>
      <w:rPr>
        <w:rFonts w:hint="default"/>
        <w:lang w:val="en-US" w:eastAsia="zh-CN" w:bidi="ar-SA"/>
      </w:rPr>
    </w:lvl>
    <w:lvl w:ilvl="7">
      <w:start w:val="0"/>
      <w:numFmt w:val="bullet"/>
      <w:lvlText w:val="•"/>
      <w:lvlJc w:val="left"/>
      <w:pPr>
        <w:ind w:left="8278" w:hanging="530"/>
      </w:pPr>
      <w:rPr>
        <w:rFonts w:hint="default"/>
        <w:lang w:val="en-US" w:eastAsia="zh-CN" w:bidi="ar-SA"/>
      </w:rPr>
    </w:lvl>
    <w:lvl w:ilvl="8">
      <w:start w:val="0"/>
      <w:numFmt w:val="bullet"/>
      <w:lvlText w:val="•"/>
      <w:lvlJc w:val="left"/>
      <w:pPr>
        <w:ind w:left="9001" w:hanging="530"/>
      </w:pPr>
      <w:rPr>
        <w:rFonts w:hint="default"/>
        <w:lang w:val="en-US" w:eastAsia="zh-CN" w:bidi="ar-SA"/>
      </w:rPr>
    </w:lvl>
  </w:abstractNum>
  <w:abstractNum w:abstractNumId="85">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84">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83">
    <w:multiLevelType w:val="hybridMultilevel"/>
    <w:lvl w:ilvl="0">
      <w:start w:val="1"/>
      <w:numFmt w:val="decimal"/>
      <w:lvlText w:val="（%1）"/>
      <w:lvlJc w:val="left"/>
      <w:pPr>
        <w:ind w:left="17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954" w:hanging="530"/>
      </w:pPr>
      <w:rPr>
        <w:rFonts w:hint="default"/>
        <w:lang w:val="en-US" w:eastAsia="zh-CN" w:bidi="ar-SA"/>
      </w:rPr>
    </w:lvl>
    <w:lvl w:ilvl="2">
      <w:start w:val="0"/>
      <w:numFmt w:val="bullet"/>
      <w:lvlText w:val="•"/>
      <w:lvlJc w:val="left"/>
      <w:pPr>
        <w:ind w:left="1728" w:hanging="530"/>
      </w:pPr>
      <w:rPr>
        <w:rFonts w:hint="default"/>
        <w:lang w:val="en-US" w:eastAsia="zh-CN" w:bidi="ar-SA"/>
      </w:rPr>
    </w:lvl>
    <w:lvl w:ilvl="3">
      <w:start w:val="0"/>
      <w:numFmt w:val="bullet"/>
      <w:lvlText w:val="•"/>
      <w:lvlJc w:val="left"/>
      <w:pPr>
        <w:ind w:left="2502" w:hanging="530"/>
      </w:pPr>
      <w:rPr>
        <w:rFonts w:hint="default"/>
        <w:lang w:val="en-US" w:eastAsia="zh-CN" w:bidi="ar-SA"/>
      </w:rPr>
    </w:lvl>
    <w:lvl w:ilvl="4">
      <w:start w:val="0"/>
      <w:numFmt w:val="bullet"/>
      <w:lvlText w:val="•"/>
      <w:lvlJc w:val="left"/>
      <w:pPr>
        <w:ind w:left="3276" w:hanging="530"/>
      </w:pPr>
      <w:rPr>
        <w:rFonts w:hint="default"/>
        <w:lang w:val="en-US" w:eastAsia="zh-CN" w:bidi="ar-SA"/>
      </w:rPr>
    </w:lvl>
    <w:lvl w:ilvl="5">
      <w:start w:val="0"/>
      <w:numFmt w:val="bullet"/>
      <w:lvlText w:val="•"/>
      <w:lvlJc w:val="left"/>
      <w:pPr>
        <w:ind w:left="4050" w:hanging="530"/>
      </w:pPr>
      <w:rPr>
        <w:rFonts w:hint="default"/>
        <w:lang w:val="en-US" w:eastAsia="zh-CN" w:bidi="ar-SA"/>
      </w:rPr>
    </w:lvl>
    <w:lvl w:ilvl="6">
      <w:start w:val="0"/>
      <w:numFmt w:val="bullet"/>
      <w:lvlText w:val="•"/>
      <w:lvlJc w:val="left"/>
      <w:pPr>
        <w:ind w:left="4824" w:hanging="530"/>
      </w:pPr>
      <w:rPr>
        <w:rFonts w:hint="default"/>
        <w:lang w:val="en-US" w:eastAsia="zh-CN" w:bidi="ar-SA"/>
      </w:rPr>
    </w:lvl>
    <w:lvl w:ilvl="7">
      <w:start w:val="0"/>
      <w:numFmt w:val="bullet"/>
      <w:lvlText w:val="•"/>
      <w:lvlJc w:val="left"/>
      <w:pPr>
        <w:ind w:left="5598" w:hanging="530"/>
      </w:pPr>
      <w:rPr>
        <w:rFonts w:hint="default"/>
        <w:lang w:val="en-US" w:eastAsia="zh-CN" w:bidi="ar-SA"/>
      </w:rPr>
    </w:lvl>
    <w:lvl w:ilvl="8">
      <w:start w:val="0"/>
      <w:numFmt w:val="bullet"/>
      <w:lvlText w:val="•"/>
      <w:lvlJc w:val="left"/>
      <w:pPr>
        <w:ind w:left="6373" w:hanging="530"/>
      </w:pPr>
      <w:rPr>
        <w:rFonts w:hint="default"/>
        <w:lang w:val="en-US" w:eastAsia="zh-CN" w:bidi="ar-SA"/>
      </w:rPr>
    </w:lvl>
  </w:abstractNum>
  <w:abstractNum w:abstractNumId="82">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81">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80">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79">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78">
    <w:multiLevelType w:val="hybridMultilevel"/>
    <w:lvl w:ilvl="0">
      <w:start w:val="1"/>
      <w:numFmt w:val="decimal"/>
      <w:lvlText w:val="（%1）"/>
      <w:lvlJc w:val="left"/>
      <w:pPr>
        <w:ind w:left="17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954" w:hanging="530"/>
      </w:pPr>
      <w:rPr>
        <w:rFonts w:hint="default"/>
        <w:lang w:val="en-US" w:eastAsia="zh-CN" w:bidi="ar-SA"/>
      </w:rPr>
    </w:lvl>
    <w:lvl w:ilvl="2">
      <w:start w:val="0"/>
      <w:numFmt w:val="bullet"/>
      <w:lvlText w:val="•"/>
      <w:lvlJc w:val="left"/>
      <w:pPr>
        <w:ind w:left="1728" w:hanging="530"/>
      </w:pPr>
      <w:rPr>
        <w:rFonts w:hint="default"/>
        <w:lang w:val="en-US" w:eastAsia="zh-CN" w:bidi="ar-SA"/>
      </w:rPr>
    </w:lvl>
    <w:lvl w:ilvl="3">
      <w:start w:val="0"/>
      <w:numFmt w:val="bullet"/>
      <w:lvlText w:val="•"/>
      <w:lvlJc w:val="left"/>
      <w:pPr>
        <w:ind w:left="2502" w:hanging="530"/>
      </w:pPr>
      <w:rPr>
        <w:rFonts w:hint="default"/>
        <w:lang w:val="en-US" w:eastAsia="zh-CN" w:bidi="ar-SA"/>
      </w:rPr>
    </w:lvl>
    <w:lvl w:ilvl="4">
      <w:start w:val="0"/>
      <w:numFmt w:val="bullet"/>
      <w:lvlText w:val="•"/>
      <w:lvlJc w:val="left"/>
      <w:pPr>
        <w:ind w:left="3276" w:hanging="530"/>
      </w:pPr>
      <w:rPr>
        <w:rFonts w:hint="default"/>
        <w:lang w:val="en-US" w:eastAsia="zh-CN" w:bidi="ar-SA"/>
      </w:rPr>
    </w:lvl>
    <w:lvl w:ilvl="5">
      <w:start w:val="0"/>
      <w:numFmt w:val="bullet"/>
      <w:lvlText w:val="•"/>
      <w:lvlJc w:val="left"/>
      <w:pPr>
        <w:ind w:left="4050" w:hanging="530"/>
      </w:pPr>
      <w:rPr>
        <w:rFonts w:hint="default"/>
        <w:lang w:val="en-US" w:eastAsia="zh-CN" w:bidi="ar-SA"/>
      </w:rPr>
    </w:lvl>
    <w:lvl w:ilvl="6">
      <w:start w:val="0"/>
      <w:numFmt w:val="bullet"/>
      <w:lvlText w:val="•"/>
      <w:lvlJc w:val="left"/>
      <w:pPr>
        <w:ind w:left="4824" w:hanging="530"/>
      </w:pPr>
      <w:rPr>
        <w:rFonts w:hint="default"/>
        <w:lang w:val="en-US" w:eastAsia="zh-CN" w:bidi="ar-SA"/>
      </w:rPr>
    </w:lvl>
    <w:lvl w:ilvl="7">
      <w:start w:val="0"/>
      <w:numFmt w:val="bullet"/>
      <w:lvlText w:val="•"/>
      <w:lvlJc w:val="left"/>
      <w:pPr>
        <w:ind w:left="5598" w:hanging="530"/>
      </w:pPr>
      <w:rPr>
        <w:rFonts w:hint="default"/>
        <w:lang w:val="en-US" w:eastAsia="zh-CN" w:bidi="ar-SA"/>
      </w:rPr>
    </w:lvl>
    <w:lvl w:ilvl="8">
      <w:start w:val="0"/>
      <w:numFmt w:val="bullet"/>
      <w:lvlText w:val="•"/>
      <w:lvlJc w:val="left"/>
      <w:pPr>
        <w:ind w:left="6372" w:hanging="530"/>
      </w:pPr>
      <w:rPr>
        <w:rFonts w:hint="default"/>
        <w:lang w:val="en-US" w:eastAsia="zh-CN" w:bidi="ar-SA"/>
      </w:rPr>
    </w:lvl>
  </w:abstractNum>
  <w:abstractNum w:abstractNumId="77">
    <w:multiLevelType w:val="hybridMultilevel"/>
    <w:lvl w:ilvl="0">
      <w:start w:val="1"/>
      <w:numFmt w:val="decimal"/>
      <w:lvlText w:val="（%1）"/>
      <w:lvlJc w:val="left"/>
      <w:pPr>
        <w:ind w:left="174" w:hanging="530"/>
        <w:jc w:val="left"/>
      </w:pPr>
      <w:rPr>
        <w:rFonts w:hint="default" w:ascii="宋体" w:hAnsi="宋体" w:eastAsia="宋体" w:cs="宋体"/>
        <w:b w:val="0"/>
        <w:bCs w:val="0"/>
        <w:i w:val="0"/>
        <w:iCs w:val="0"/>
        <w:spacing w:val="-39"/>
        <w:w w:val="100"/>
        <w:sz w:val="19"/>
        <w:szCs w:val="19"/>
        <w:lang w:val="en-US" w:eastAsia="zh-CN" w:bidi="ar-SA"/>
      </w:rPr>
    </w:lvl>
    <w:lvl w:ilvl="1">
      <w:start w:val="0"/>
      <w:numFmt w:val="bullet"/>
      <w:lvlText w:val="•"/>
      <w:lvlJc w:val="left"/>
      <w:pPr>
        <w:ind w:left="954" w:hanging="530"/>
      </w:pPr>
      <w:rPr>
        <w:rFonts w:hint="default"/>
        <w:lang w:val="en-US" w:eastAsia="zh-CN" w:bidi="ar-SA"/>
      </w:rPr>
    </w:lvl>
    <w:lvl w:ilvl="2">
      <w:start w:val="0"/>
      <w:numFmt w:val="bullet"/>
      <w:lvlText w:val="•"/>
      <w:lvlJc w:val="left"/>
      <w:pPr>
        <w:ind w:left="1728" w:hanging="530"/>
      </w:pPr>
      <w:rPr>
        <w:rFonts w:hint="default"/>
        <w:lang w:val="en-US" w:eastAsia="zh-CN" w:bidi="ar-SA"/>
      </w:rPr>
    </w:lvl>
    <w:lvl w:ilvl="3">
      <w:start w:val="0"/>
      <w:numFmt w:val="bullet"/>
      <w:lvlText w:val="•"/>
      <w:lvlJc w:val="left"/>
      <w:pPr>
        <w:ind w:left="2502" w:hanging="530"/>
      </w:pPr>
      <w:rPr>
        <w:rFonts w:hint="default"/>
        <w:lang w:val="en-US" w:eastAsia="zh-CN" w:bidi="ar-SA"/>
      </w:rPr>
    </w:lvl>
    <w:lvl w:ilvl="4">
      <w:start w:val="0"/>
      <w:numFmt w:val="bullet"/>
      <w:lvlText w:val="•"/>
      <w:lvlJc w:val="left"/>
      <w:pPr>
        <w:ind w:left="3276" w:hanging="530"/>
      </w:pPr>
      <w:rPr>
        <w:rFonts w:hint="default"/>
        <w:lang w:val="en-US" w:eastAsia="zh-CN" w:bidi="ar-SA"/>
      </w:rPr>
    </w:lvl>
    <w:lvl w:ilvl="5">
      <w:start w:val="0"/>
      <w:numFmt w:val="bullet"/>
      <w:lvlText w:val="•"/>
      <w:lvlJc w:val="left"/>
      <w:pPr>
        <w:ind w:left="4050" w:hanging="530"/>
      </w:pPr>
      <w:rPr>
        <w:rFonts w:hint="default"/>
        <w:lang w:val="en-US" w:eastAsia="zh-CN" w:bidi="ar-SA"/>
      </w:rPr>
    </w:lvl>
    <w:lvl w:ilvl="6">
      <w:start w:val="0"/>
      <w:numFmt w:val="bullet"/>
      <w:lvlText w:val="•"/>
      <w:lvlJc w:val="left"/>
      <w:pPr>
        <w:ind w:left="4824" w:hanging="530"/>
      </w:pPr>
      <w:rPr>
        <w:rFonts w:hint="default"/>
        <w:lang w:val="en-US" w:eastAsia="zh-CN" w:bidi="ar-SA"/>
      </w:rPr>
    </w:lvl>
    <w:lvl w:ilvl="7">
      <w:start w:val="0"/>
      <w:numFmt w:val="bullet"/>
      <w:lvlText w:val="•"/>
      <w:lvlJc w:val="left"/>
      <w:pPr>
        <w:ind w:left="5598" w:hanging="530"/>
      </w:pPr>
      <w:rPr>
        <w:rFonts w:hint="default"/>
        <w:lang w:val="en-US" w:eastAsia="zh-CN" w:bidi="ar-SA"/>
      </w:rPr>
    </w:lvl>
    <w:lvl w:ilvl="8">
      <w:start w:val="0"/>
      <w:numFmt w:val="bullet"/>
      <w:lvlText w:val="•"/>
      <w:lvlJc w:val="left"/>
      <w:pPr>
        <w:ind w:left="6373" w:hanging="530"/>
      </w:pPr>
      <w:rPr>
        <w:rFonts w:hint="default"/>
        <w:lang w:val="en-US" w:eastAsia="zh-CN" w:bidi="ar-SA"/>
      </w:rPr>
    </w:lvl>
  </w:abstractNum>
  <w:abstractNum w:abstractNumId="76">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75">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74">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73">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72">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71">
    <w:multiLevelType w:val="hybridMultilevel"/>
    <w:lvl w:ilvl="0">
      <w:start w:val="1"/>
      <w:numFmt w:val="decimal"/>
      <w:lvlText w:val="（%1）"/>
      <w:lvlJc w:val="left"/>
      <w:pPr>
        <w:ind w:left="2699" w:hanging="530"/>
        <w:jc w:val="left"/>
      </w:pPr>
      <w:rPr>
        <w:rFonts w:hint="default" w:ascii="宋体" w:hAnsi="宋体" w:eastAsia="宋体" w:cs="宋体"/>
        <w:b w:val="0"/>
        <w:bCs w:val="0"/>
        <w:i w:val="0"/>
        <w:iCs w:val="0"/>
        <w:spacing w:val="-39"/>
        <w:w w:val="100"/>
        <w:sz w:val="19"/>
        <w:szCs w:val="19"/>
        <w:lang w:val="en-US" w:eastAsia="zh-CN" w:bidi="ar-SA"/>
      </w:rPr>
    </w:lvl>
    <w:lvl w:ilvl="1">
      <w:start w:val="0"/>
      <w:numFmt w:val="bullet"/>
      <w:lvlText w:val="•"/>
      <w:lvlJc w:val="left"/>
      <w:pPr>
        <w:ind w:left="3474" w:hanging="530"/>
      </w:pPr>
      <w:rPr>
        <w:rFonts w:hint="default"/>
        <w:lang w:val="en-US" w:eastAsia="zh-CN" w:bidi="ar-SA"/>
      </w:rPr>
    </w:lvl>
    <w:lvl w:ilvl="2">
      <w:start w:val="0"/>
      <w:numFmt w:val="bullet"/>
      <w:lvlText w:val="•"/>
      <w:lvlJc w:val="left"/>
      <w:pPr>
        <w:ind w:left="4249" w:hanging="530"/>
      </w:pPr>
      <w:rPr>
        <w:rFonts w:hint="default"/>
        <w:lang w:val="en-US" w:eastAsia="zh-CN" w:bidi="ar-SA"/>
      </w:rPr>
    </w:lvl>
    <w:lvl w:ilvl="3">
      <w:start w:val="0"/>
      <w:numFmt w:val="bullet"/>
      <w:lvlText w:val="•"/>
      <w:lvlJc w:val="left"/>
      <w:pPr>
        <w:ind w:left="5023" w:hanging="530"/>
      </w:pPr>
      <w:rPr>
        <w:rFonts w:hint="default"/>
        <w:lang w:val="en-US" w:eastAsia="zh-CN" w:bidi="ar-SA"/>
      </w:rPr>
    </w:lvl>
    <w:lvl w:ilvl="4">
      <w:start w:val="0"/>
      <w:numFmt w:val="bullet"/>
      <w:lvlText w:val="•"/>
      <w:lvlJc w:val="left"/>
      <w:pPr>
        <w:ind w:left="5798" w:hanging="530"/>
      </w:pPr>
      <w:rPr>
        <w:rFonts w:hint="default"/>
        <w:lang w:val="en-US" w:eastAsia="zh-CN" w:bidi="ar-SA"/>
      </w:rPr>
    </w:lvl>
    <w:lvl w:ilvl="5">
      <w:start w:val="0"/>
      <w:numFmt w:val="bullet"/>
      <w:lvlText w:val="•"/>
      <w:lvlJc w:val="left"/>
      <w:pPr>
        <w:ind w:left="6573" w:hanging="530"/>
      </w:pPr>
      <w:rPr>
        <w:rFonts w:hint="default"/>
        <w:lang w:val="en-US" w:eastAsia="zh-CN" w:bidi="ar-SA"/>
      </w:rPr>
    </w:lvl>
    <w:lvl w:ilvl="6">
      <w:start w:val="0"/>
      <w:numFmt w:val="bullet"/>
      <w:lvlText w:val="•"/>
      <w:lvlJc w:val="left"/>
      <w:pPr>
        <w:ind w:left="7347" w:hanging="530"/>
      </w:pPr>
      <w:rPr>
        <w:rFonts w:hint="default"/>
        <w:lang w:val="en-US" w:eastAsia="zh-CN" w:bidi="ar-SA"/>
      </w:rPr>
    </w:lvl>
    <w:lvl w:ilvl="7">
      <w:start w:val="0"/>
      <w:numFmt w:val="bullet"/>
      <w:lvlText w:val="•"/>
      <w:lvlJc w:val="left"/>
      <w:pPr>
        <w:ind w:left="8122" w:hanging="530"/>
      </w:pPr>
      <w:rPr>
        <w:rFonts w:hint="default"/>
        <w:lang w:val="en-US" w:eastAsia="zh-CN" w:bidi="ar-SA"/>
      </w:rPr>
    </w:lvl>
    <w:lvl w:ilvl="8">
      <w:start w:val="0"/>
      <w:numFmt w:val="bullet"/>
      <w:lvlText w:val="•"/>
      <w:lvlJc w:val="left"/>
      <w:pPr>
        <w:ind w:left="8897" w:hanging="530"/>
      </w:pPr>
      <w:rPr>
        <w:rFonts w:hint="default"/>
        <w:lang w:val="en-US" w:eastAsia="zh-CN" w:bidi="ar-SA"/>
      </w:rPr>
    </w:lvl>
  </w:abstractNum>
  <w:abstractNum w:abstractNumId="70">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69">
    <w:multiLevelType w:val="hybridMultilevel"/>
    <w:lvl w:ilvl="0">
      <w:start w:val="1"/>
      <w:numFmt w:val="decimal"/>
      <w:lvlText w:val="（%1）"/>
      <w:lvlJc w:val="left"/>
      <w:pPr>
        <w:ind w:left="322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42" w:hanging="530"/>
      </w:pPr>
      <w:rPr>
        <w:rFonts w:hint="default"/>
        <w:lang w:val="en-US" w:eastAsia="zh-CN" w:bidi="ar-SA"/>
      </w:rPr>
    </w:lvl>
    <w:lvl w:ilvl="2">
      <w:start w:val="0"/>
      <w:numFmt w:val="bullet"/>
      <w:lvlText w:val="•"/>
      <w:lvlJc w:val="left"/>
      <w:pPr>
        <w:ind w:left="4665" w:hanging="530"/>
      </w:pPr>
      <w:rPr>
        <w:rFonts w:hint="default"/>
        <w:lang w:val="en-US" w:eastAsia="zh-CN" w:bidi="ar-SA"/>
      </w:rPr>
    </w:lvl>
    <w:lvl w:ilvl="3">
      <w:start w:val="0"/>
      <w:numFmt w:val="bullet"/>
      <w:lvlText w:val="•"/>
      <w:lvlJc w:val="left"/>
      <w:pPr>
        <w:ind w:left="5387" w:hanging="530"/>
      </w:pPr>
      <w:rPr>
        <w:rFonts w:hint="default"/>
        <w:lang w:val="en-US" w:eastAsia="zh-CN" w:bidi="ar-SA"/>
      </w:rPr>
    </w:lvl>
    <w:lvl w:ilvl="4">
      <w:start w:val="0"/>
      <w:numFmt w:val="bullet"/>
      <w:lvlText w:val="•"/>
      <w:lvlJc w:val="left"/>
      <w:pPr>
        <w:ind w:left="6110" w:hanging="530"/>
      </w:pPr>
      <w:rPr>
        <w:rFonts w:hint="default"/>
        <w:lang w:val="en-US" w:eastAsia="zh-CN" w:bidi="ar-SA"/>
      </w:rPr>
    </w:lvl>
    <w:lvl w:ilvl="5">
      <w:start w:val="0"/>
      <w:numFmt w:val="bullet"/>
      <w:lvlText w:val="•"/>
      <w:lvlJc w:val="left"/>
      <w:pPr>
        <w:ind w:left="6833" w:hanging="530"/>
      </w:pPr>
      <w:rPr>
        <w:rFonts w:hint="default"/>
        <w:lang w:val="en-US" w:eastAsia="zh-CN" w:bidi="ar-SA"/>
      </w:rPr>
    </w:lvl>
    <w:lvl w:ilvl="6">
      <w:start w:val="0"/>
      <w:numFmt w:val="bullet"/>
      <w:lvlText w:val="•"/>
      <w:lvlJc w:val="left"/>
      <w:pPr>
        <w:ind w:left="7555" w:hanging="530"/>
      </w:pPr>
      <w:rPr>
        <w:rFonts w:hint="default"/>
        <w:lang w:val="en-US" w:eastAsia="zh-CN" w:bidi="ar-SA"/>
      </w:rPr>
    </w:lvl>
    <w:lvl w:ilvl="7">
      <w:start w:val="0"/>
      <w:numFmt w:val="bullet"/>
      <w:lvlText w:val="•"/>
      <w:lvlJc w:val="left"/>
      <w:pPr>
        <w:ind w:left="8278" w:hanging="530"/>
      </w:pPr>
      <w:rPr>
        <w:rFonts w:hint="default"/>
        <w:lang w:val="en-US" w:eastAsia="zh-CN" w:bidi="ar-SA"/>
      </w:rPr>
    </w:lvl>
    <w:lvl w:ilvl="8">
      <w:start w:val="0"/>
      <w:numFmt w:val="bullet"/>
      <w:lvlText w:val="•"/>
      <w:lvlJc w:val="left"/>
      <w:pPr>
        <w:ind w:left="9001" w:hanging="530"/>
      </w:pPr>
      <w:rPr>
        <w:rFonts w:hint="default"/>
        <w:lang w:val="en-US" w:eastAsia="zh-CN" w:bidi="ar-SA"/>
      </w:rPr>
    </w:lvl>
  </w:abstractNum>
  <w:abstractNum w:abstractNumId="68">
    <w:multiLevelType w:val="hybridMultilevel"/>
    <w:lvl w:ilvl="0">
      <w:start w:val="1"/>
      <w:numFmt w:val="decimal"/>
      <w:lvlText w:val="（%1）"/>
      <w:lvlJc w:val="left"/>
      <w:pPr>
        <w:ind w:left="704" w:hanging="530"/>
        <w:jc w:val="righ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67">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66">
    <w:multiLevelType w:val="hybridMultilevel"/>
    <w:lvl w:ilvl="0">
      <w:start w:val="1"/>
      <w:numFmt w:val="decimal"/>
      <w:lvlText w:val="（%1）"/>
      <w:lvlJc w:val="left"/>
      <w:pPr>
        <w:ind w:left="704" w:hanging="530"/>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65">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64">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63">
    <w:multiLevelType w:val="hybridMultilevel"/>
    <w:lvl w:ilvl="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6" w:hanging="530"/>
      </w:pPr>
      <w:rPr>
        <w:rFonts w:hint="default"/>
        <w:lang w:val="en-US" w:eastAsia="zh-CN" w:bidi="ar-SA"/>
      </w:rPr>
    </w:lvl>
  </w:abstractNum>
  <w:abstractNum w:abstractNumId="62">
    <w:multiLevelType w:val="hybridMultilevel"/>
    <w:lvl w:ilvl="0">
      <w:start w:val="1"/>
      <w:numFmt w:val="decimal"/>
      <w:lvlText w:val="（%1）"/>
      <w:lvlJc w:val="left"/>
      <w:pPr>
        <w:ind w:left="667" w:hanging="530"/>
        <w:jc w:val="righ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2" w:hanging="530"/>
      </w:pPr>
      <w:rPr>
        <w:rFonts w:hint="default"/>
        <w:lang w:val="en-US" w:eastAsia="zh-CN" w:bidi="ar-SA"/>
      </w:rPr>
    </w:lvl>
    <w:lvl w:ilvl="2">
      <w:start w:val="0"/>
      <w:numFmt w:val="bullet"/>
      <w:lvlText w:val="•"/>
      <w:lvlJc w:val="left"/>
      <w:pPr>
        <w:ind w:left="2104" w:hanging="530"/>
      </w:pPr>
      <w:rPr>
        <w:rFonts w:hint="default"/>
        <w:lang w:val="en-US" w:eastAsia="zh-CN" w:bidi="ar-SA"/>
      </w:rPr>
    </w:lvl>
    <w:lvl w:ilvl="3">
      <w:start w:val="0"/>
      <w:numFmt w:val="bullet"/>
      <w:lvlText w:val="•"/>
      <w:lvlJc w:val="left"/>
      <w:pPr>
        <w:ind w:left="2827" w:hanging="530"/>
      </w:pPr>
      <w:rPr>
        <w:rFonts w:hint="default"/>
        <w:lang w:val="en-US" w:eastAsia="zh-CN" w:bidi="ar-SA"/>
      </w:rPr>
    </w:lvl>
    <w:lvl w:ilvl="4">
      <w:start w:val="0"/>
      <w:numFmt w:val="bullet"/>
      <w:lvlText w:val="•"/>
      <w:lvlJc w:val="left"/>
      <w:pPr>
        <w:ind w:left="3549" w:hanging="530"/>
      </w:pPr>
      <w:rPr>
        <w:rFonts w:hint="default"/>
        <w:lang w:val="en-US" w:eastAsia="zh-CN" w:bidi="ar-SA"/>
      </w:rPr>
    </w:lvl>
    <w:lvl w:ilvl="5">
      <w:start w:val="0"/>
      <w:numFmt w:val="bullet"/>
      <w:lvlText w:val="•"/>
      <w:lvlJc w:val="left"/>
      <w:pPr>
        <w:ind w:left="4272" w:hanging="530"/>
      </w:pPr>
      <w:rPr>
        <w:rFonts w:hint="default"/>
        <w:lang w:val="en-US" w:eastAsia="zh-CN" w:bidi="ar-SA"/>
      </w:rPr>
    </w:lvl>
    <w:lvl w:ilvl="6">
      <w:start w:val="0"/>
      <w:numFmt w:val="bullet"/>
      <w:lvlText w:val="•"/>
      <w:lvlJc w:val="left"/>
      <w:pPr>
        <w:ind w:left="4994" w:hanging="530"/>
      </w:pPr>
      <w:rPr>
        <w:rFonts w:hint="default"/>
        <w:lang w:val="en-US" w:eastAsia="zh-CN" w:bidi="ar-SA"/>
      </w:rPr>
    </w:lvl>
    <w:lvl w:ilvl="7">
      <w:start w:val="0"/>
      <w:numFmt w:val="bullet"/>
      <w:lvlText w:val="•"/>
      <w:lvlJc w:val="left"/>
      <w:pPr>
        <w:ind w:left="5717" w:hanging="530"/>
      </w:pPr>
      <w:rPr>
        <w:rFonts w:hint="default"/>
        <w:lang w:val="en-US" w:eastAsia="zh-CN" w:bidi="ar-SA"/>
      </w:rPr>
    </w:lvl>
    <w:lvl w:ilvl="8">
      <w:start w:val="0"/>
      <w:numFmt w:val="bullet"/>
      <w:lvlText w:val="•"/>
      <w:lvlJc w:val="left"/>
      <w:pPr>
        <w:ind w:left="6439" w:hanging="530"/>
      </w:pPr>
      <w:rPr>
        <w:rFonts w:hint="default"/>
        <w:lang w:val="en-US" w:eastAsia="zh-CN" w:bidi="ar-SA"/>
      </w:rPr>
    </w:lvl>
  </w:abstractNum>
  <w:abstractNum w:abstractNumId="61">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60">
    <w:multiLevelType w:val="hybridMultilevel"/>
    <w:lvl w:ilvl="0">
      <w:start w:val="1"/>
      <w:numFmt w:val="decimal"/>
      <w:lvlText w:val="（%1）"/>
      <w:lvlJc w:val="left"/>
      <w:pPr>
        <w:ind w:left="84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62" w:hanging="530"/>
      </w:pPr>
      <w:rPr>
        <w:rFonts w:hint="default"/>
        <w:lang w:val="en-US" w:eastAsia="zh-CN" w:bidi="ar-SA"/>
      </w:rPr>
    </w:lvl>
    <w:lvl w:ilvl="2">
      <w:start w:val="0"/>
      <w:numFmt w:val="bullet"/>
      <w:lvlText w:val="•"/>
      <w:lvlJc w:val="left"/>
      <w:pPr>
        <w:ind w:left="2285" w:hanging="530"/>
      </w:pPr>
      <w:rPr>
        <w:rFonts w:hint="default"/>
        <w:lang w:val="en-US" w:eastAsia="zh-CN" w:bidi="ar-SA"/>
      </w:rPr>
    </w:lvl>
    <w:lvl w:ilvl="3">
      <w:start w:val="0"/>
      <w:numFmt w:val="bullet"/>
      <w:lvlText w:val="•"/>
      <w:lvlJc w:val="left"/>
      <w:pPr>
        <w:ind w:left="3008" w:hanging="530"/>
      </w:pPr>
      <w:rPr>
        <w:rFonts w:hint="default"/>
        <w:lang w:val="en-US" w:eastAsia="zh-CN" w:bidi="ar-SA"/>
      </w:rPr>
    </w:lvl>
    <w:lvl w:ilvl="4">
      <w:start w:val="0"/>
      <w:numFmt w:val="bullet"/>
      <w:lvlText w:val="•"/>
      <w:lvlJc w:val="left"/>
      <w:pPr>
        <w:ind w:left="3730" w:hanging="530"/>
      </w:pPr>
      <w:rPr>
        <w:rFonts w:hint="default"/>
        <w:lang w:val="en-US" w:eastAsia="zh-CN" w:bidi="ar-SA"/>
      </w:rPr>
    </w:lvl>
    <w:lvl w:ilvl="5">
      <w:start w:val="0"/>
      <w:numFmt w:val="bullet"/>
      <w:lvlText w:val="•"/>
      <w:lvlJc w:val="left"/>
      <w:pPr>
        <w:ind w:left="4453" w:hanging="530"/>
      </w:pPr>
      <w:rPr>
        <w:rFonts w:hint="default"/>
        <w:lang w:val="en-US" w:eastAsia="zh-CN" w:bidi="ar-SA"/>
      </w:rPr>
    </w:lvl>
    <w:lvl w:ilvl="6">
      <w:start w:val="0"/>
      <w:numFmt w:val="bullet"/>
      <w:lvlText w:val="•"/>
      <w:lvlJc w:val="left"/>
      <w:pPr>
        <w:ind w:left="5176" w:hanging="530"/>
      </w:pPr>
      <w:rPr>
        <w:rFonts w:hint="default"/>
        <w:lang w:val="en-US" w:eastAsia="zh-CN" w:bidi="ar-SA"/>
      </w:rPr>
    </w:lvl>
    <w:lvl w:ilvl="7">
      <w:start w:val="0"/>
      <w:numFmt w:val="bullet"/>
      <w:lvlText w:val="•"/>
      <w:lvlJc w:val="left"/>
      <w:pPr>
        <w:ind w:left="5898" w:hanging="530"/>
      </w:pPr>
      <w:rPr>
        <w:rFonts w:hint="default"/>
        <w:lang w:val="en-US" w:eastAsia="zh-CN" w:bidi="ar-SA"/>
      </w:rPr>
    </w:lvl>
    <w:lvl w:ilvl="8">
      <w:start w:val="0"/>
      <w:numFmt w:val="bullet"/>
      <w:lvlText w:val="•"/>
      <w:lvlJc w:val="left"/>
      <w:pPr>
        <w:ind w:left="6621" w:hanging="530"/>
      </w:pPr>
      <w:rPr>
        <w:rFonts w:hint="default"/>
        <w:lang w:val="en-US" w:eastAsia="zh-CN" w:bidi="ar-SA"/>
      </w:rPr>
    </w:lvl>
  </w:abstractNum>
  <w:abstractNum w:abstractNumId="59">
    <w:multiLevelType w:val="hybridMultilevel"/>
    <w:lvl w:ilvl="0">
      <w:start w:val="1"/>
      <w:numFmt w:val="decimal"/>
      <w:lvlText w:val="（%1）"/>
      <w:lvlJc w:val="left"/>
      <w:pPr>
        <w:ind w:left="744" w:hanging="530"/>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214" w:hanging="530"/>
        <w:jc w:val="left"/>
      </w:pPr>
      <w:rPr>
        <w:rFonts w:hint="default" w:ascii="宋体" w:hAnsi="宋体" w:eastAsia="宋体" w:cs="宋体"/>
        <w:b w:val="0"/>
        <w:bCs w:val="0"/>
        <w:i w:val="0"/>
        <w:iCs w:val="0"/>
        <w:spacing w:val="-13"/>
        <w:w w:val="100"/>
        <w:sz w:val="19"/>
        <w:szCs w:val="19"/>
        <w:lang w:val="en-US" w:eastAsia="zh-CN" w:bidi="ar-SA"/>
      </w:rPr>
    </w:lvl>
    <w:lvl w:ilvl="2">
      <w:start w:val="0"/>
      <w:numFmt w:val="bullet"/>
      <w:lvlText w:val="•"/>
      <w:lvlJc w:val="left"/>
      <w:pPr>
        <w:ind w:left="1542" w:hanging="530"/>
      </w:pPr>
      <w:rPr>
        <w:rFonts w:hint="default"/>
        <w:lang w:val="en-US" w:eastAsia="zh-CN" w:bidi="ar-SA"/>
      </w:rPr>
    </w:lvl>
    <w:lvl w:ilvl="3">
      <w:start w:val="0"/>
      <w:numFmt w:val="bullet"/>
      <w:lvlText w:val="•"/>
      <w:lvlJc w:val="left"/>
      <w:pPr>
        <w:ind w:left="2344" w:hanging="530"/>
      </w:pPr>
      <w:rPr>
        <w:rFonts w:hint="default"/>
        <w:lang w:val="en-US" w:eastAsia="zh-CN" w:bidi="ar-SA"/>
      </w:rPr>
    </w:lvl>
    <w:lvl w:ilvl="4">
      <w:start w:val="0"/>
      <w:numFmt w:val="bullet"/>
      <w:lvlText w:val="•"/>
      <w:lvlJc w:val="left"/>
      <w:pPr>
        <w:ind w:left="3147" w:hanging="530"/>
      </w:pPr>
      <w:rPr>
        <w:rFonts w:hint="default"/>
        <w:lang w:val="en-US" w:eastAsia="zh-CN" w:bidi="ar-SA"/>
      </w:rPr>
    </w:lvl>
    <w:lvl w:ilvl="5">
      <w:start w:val="0"/>
      <w:numFmt w:val="bullet"/>
      <w:lvlText w:val="•"/>
      <w:lvlJc w:val="left"/>
      <w:pPr>
        <w:ind w:left="3949" w:hanging="530"/>
      </w:pPr>
      <w:rPr>
        <w:rFonts w:hint="default"/>
        <w:lang w:val="en-US" w:eastAsia="zh-CN" w:bidi="ar-SA"/>
      </w:rPr>
    </w:lvl>
    <w:lvl w:ilvl="6">
      <w:start w:val="0"/>
      <w:numFmt w:val="bullet"/>
      <w:lvlText w:val="•"/>
      <w:lvlJc w:val="left"/>
      <w:pPr>
        <w:ind w:left="4751" w:hanging="530"/>
      </w:pPr>
      <w:rPr>
        <w:rFonts w:hint="default"/>
        <w:lang w:val="en-US" w:eastAsia="zh-CN" w:bidi="ar-SA"/>
      </w:rPr>
    </w:lvl>
    <w:lvl w:ilvl="7">
      <w:start w:val="0"/>
      <w:numFmt w:val="bullet"/>
      <w:lvlText w:val="•"/>
      <w:lvlJc w:val="left"/>
      <w:pPr>
        <w:ind w:left="5554" w:hanging="530"/>
      </w:pPr>
      <w:rPr>
        <w:rFonts w:hint="default"/>
        <w:lang w:val="en-US" w:eastAsia="zh-CN" w:bidi="ar-SA"/>
      </w:rPr>
    </w:lvl>
    <w:lvl w:ilvl="8">
      <w:start w:val="0"/>
      <w:numFmt w:val="bullet"/>
      <w:lvlText w:val="•"/>
      <w:lvlJc w:val="left"/>
      <w:pPr>
        <w:ind w:left="6356" w:hanging="530"/>
      </w:pPr>
      <w:rPr>
        <w:rFonts w:hint="default"/>
        <w:lang w:val="en-US" w:eastAsia="zh-CN" w:bidi="ar-SA"/>
      </w:rPr>
    </w:lvl>
  </w:abstractNum>
  <w:abstractNum w:abstractNumId="58">
    <w:multiLevelType w:val="hybridMultilevel"/>
    <w:lvl w:ilvl="0">
      <w:start w:val="1"/>
      <w:numFmt w:val="decimal"/>
      <w:lvlText w:val="（%1）"/>
      <w:lvlJc w:val="left"/>
      <w:pPr>
        <w:ind w:left="322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42" w:hanging="530"/>
      </w:pPr>
      <w:rPr>
        <w:rFonts w:hint="default"/>
        <w:lang w:val="en-US" w:eastAsia="zh-CN" w:bidi="ar-SA"/>
      </w:rPr>
    </w:lvl>
    <w:lvl w:ilvl="2">
      <w:start w:val="0"/>
      <w:numFmt w:val="bullet"/>
      <w:lvlText w:val="•"/>
      <w:lvlJc w:val="left"/>
      <w:pPr>
        <w:ind w:left="4665" w:hanging="530"/>
      </w:pPr>
      <w:rPr>
        <w:rFonts w:hint="default"/>
        <w:lang w:val="en-US" w:eastAsia="zh-CN" w:bidi="ar-SA"/>
      </w:rPr>
    </w:lvl>
    <w:lvl w:ilvl="3">
      <w:start w:val="0"/>
      <w:numFmt w:val="bullet"/>
      <w:lvlText w:val="•"/>
      <w:lvlJc w:val="left"/>
      <w:pPr>
        <w:ind w:left="5387" w:hanging="530"/>
      </w:pPr>
      <w:rPr>
        <w:rFonts w:hint="default"/>
        <w:lang w:val="en-US" w:eastAsia="zh-CN" w:bidi="ar-SA"/>
      </w:rPr>
    </w:lvl>
    <w:lvl w:ilvl="4">
      <w:start w:val="0"/>
      <w:numFmt w:val="bullet"/>
      <w:lvlText w:val="•"/>
      <w:lvlJc w:val="left"/>
      <w:pPr>
        <w:ind w:left="6110" w:hanging="530"/>
      </w:pPr>
      <w:rPr>
        <w:rFonts w:hint="default"/>
        <w:lang w:val="en-US" w:eastAsia="zh-CN" w:bidi="ar-SA"/>
      </w:rPr>
    </w:lvl>
    <w:lvl w:ilvl="5">
      <w:start w:val="0"/>
      <w:numFmt w:val="bullet"/>
      <w:lvlText w:val="•"/>
      <w:lvlJc w:val="left"/>
      <w:pPr>
        <w:ind w:left="6833" w:hanging="530"/>
      </w:pPr>
      <w:rPr>
        <w:rFonts w:hint="default"/>
        <w:lang w:val="en-US" w:eastAsia="zh-CN" w:bidi="ar-SA"/>
      </w:rPr>
    </w:lvl>
    <w:lvl w:ilvl="6">
      <w:start w:val="0"/>
      <w:numFmt w:val="bullet"/>
      <w:lvlText w:val="•"/>
      <w:lvlJc w:val="left"/>
      <w:pPr>
        <w:ind w:left="7555" w:hanging="530"/>
      </w:pPr>
      <w:rPr>
        <w:rFonts w:hint="default"/>
        <w:lang w:val="en-US" w:eastAsia="zh-CN" w:bidi="ar-SA"/>
      </w:rPr>
    </w:lvl>
    <w:lvl w:ilvl="7">
      <w:start w:val="0"/>
      <w:numFmt w:val="bullet"/>
      <w:lvlText w:val="•"/>
      <w:lvlJc w:val="left"/>
      <w:pPr>
        <w:ind w:left="8278" w:hanging="530"/>
      </w:pPr>
      <w:rPr>
        <w:rFonts w:hint="default"/>
        <w:lang w:val="en-US" w:eastAsia="zh-CN" w:bidi="ar-SA"/>
      </w:rPr>
    </w:lvl>
    <w:lvl w:ilvl="8">
      <w:start w:val="0"/>
      <w:numFmt w:val="bullet"/>
      <w:lvlText w:val="•"/>
      <w:lvlJc w:val="left"/>
      <w:pPr>
        <w:ind w:left="9001" w:hanging="530"/>
      </w:pPr>
      <w:rPr>
        <w:rFonts w:hint="default"/>
        <w:lang w:val="en-US" w:eastAsia="zh-CN" w:bidi="ar-SA"/>
      </w:rPr>
    </w:lvl>
  </w:abstractNum>
  <w:abstractNum w:abstractNumId="57">
    <w:multiLevelType w:val="hybridMultilevel"/>
    <w:lvl w:ilvl="0">
      <w:start w:val="1"/>
      <w:numFmt w:val="decimal"/>
      <w:lvlText w:val="（%1）"/>
      <w:lvlJc w:val="left"/>
      <w:pPr>
        <w:ind w:left="214" w:hanging="530"/>
        <w:jc w:val="left"/>
      </w:pPr>
      <w:rPr>
        <w:rFonts w:hint="default" w:ascii="宋体" w:hAnsi="宋体" w:eastAsia="宋体" w:cs="宋体"/>
        <w:b w:val="0"/>
        <w:bCs w:val="0"/>
        <w:i w:val="0"/>
        <w:iCs w:val="0"/>
        <w:spacing w:val="-80"/>
        <w:w w:val="100"/>
        <w:sz w:val="19"/>
        <w:szCs w:val="19"/>
        <w:lang w:val="en-US" w:eastAsia="zh-CN" w:bidi="ar-SA"/>
      </w:rPr>
    </w:lvl>
    <w:lvl w:ilvl="1">
      <w:start w:val="0"/>
      <w:numFmt w:val="bullet"/>
      <w:lvlText w:val="•"/>
      <w:lvlJc w:val="left"/>
      <w:pPr>
        <w:ind w:left="994" w:hanging="530"/>
      </w:pPr>
      <w:rPr>
        <w:rFonts w:hint="default"/>
        <w:lang w:val="en-US" w:eastAsia="zh-CN" w:bidi="ar-SA"/>
      </w:rPr>
    </w:lvl>
    <w:lvl w:ilvl="2">
      <w:start w:val="0"/>
      <w:numFmt w:val="bullet"/>
      <w:lvlText w:val="•"/>
      <w:lvlJc w:val="left"/>
      <w:pPr>
        <w:ind w:left="176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316" w:hanging="530"/>
      </w:pPr>
      <w:rPr>
        <w:rFonts w:hint="default"/>
        <w:lang w:val="en-US" w:eastAsia="zh-CN" w:bidi="ar-SA"/>
      </w:rPr>
    </w:lvl>
    <w:lvl w:ilvl="5">
      <w:start w:val="0"/>
      <w:numFmt w:val="bullet"/>
      <w:lvlText w:val="•"/>
      <w:lvlJc w:val="left"/>
      <w:pPr>
        <w:ind w:left="4090" w:hanging="530"/>
      </w:pPr>
      <w:rPr>
        <w:rFonts w:hint="default"/>
        <w:lang w:val="en-US" w:eastAsia="zh-CN" w:bidi="ar-SA"/>
      </w:rPr>
    </w:lvl>
    <w:lvl w:ilvl="6">
      <w:start w:val="0"/>
      <w:numFmt w:val="bullet"/>
      <w:lvlText w:val="•"/>
      <w:lvlJc w:val="left"/>
      <w:pPr>
        <w:ind w:left="4864" w:hanging="530"/>
      </w:pPr>
      <w:rPr>
        <w:rFonts w:hint="default"/>
        <w:lang w:val="en-US" w:eastAsia="zh-CN" w:bidi="ar-SA"/>
      </w:rPr>
    </w:lvl>
    <w:lvl w:ilvl="7">
      <w:start w:val="0"/>
      <w:numFmt w:val="bullet"/>
      <w:lvlText w:val="•"/>
      <w:lvlJc w:val="left"/>
      <w:pPr>
        <w:ind w:left="5638" w:hanging="530"/>
      </w:pPr>
      <w:rPr>
        <w:rFonts w:hint="default"/>
        <w:lang w:val="en-US" w:eastAsia="zh-CN" w:bidi="ar-SA"/>
      </w:rPr>
    </w:lvl>
    <w:lvl w:ilvl="8">
      <w:start w:val="0"/>
      <w:numFmt w:val="bullet"/>
      <w:lvlText w:val="•"/>
      <w:lvlJc w:val="left"/>
      <w:pPr>
        <w:ind w:left="6412" w:hanging="530"/>
      </w:pPr>
      <w:rPr>
        <w:rFonts w:hint="default"/>
        <w:lang w:val="en-US" w:eastAsia="zh-CN" w:bidi="ar-SA"/>
      </w:rPr>
    </w:lvl>
  </w:abstractNum>
  <w:abstractNum w:abstractNumId="56">
    <w:multiLevelType w:val="hybridMultilevel"/>
    <w:lvl w:ilvl="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6" w:hanging="530"/>
      </w:pPr>
      <w:rPr>
        <w:rFonts w:hint="default"/>
        <w:lang w:val="en-US" w:eastAsia="zh-CN" w:bidi="ar-SA"/>
      </w:rPr>
    </w:lvl>
  </w:abstractNum>
  <w:abstractNum w:abstractNumId="55">
    <w:multiLevelType w:val="hybridMultilevel"/>
    <w:lvl w:ilvl="0">
      <w:start w:val="3"/>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6" w:hanging="530"/>
      </w:pPr>
      <w:rPr>
        <w:rFonts w:hint="default"/>
        <w:lang w:val="en-US" w:eastAsia="zh-CN" w:bidi="ar-SA"/>
      </w:rPr>
    </w:lvl>
  </w:abstractNum>
  <w:abstractNum w:abstractNumId="54">
    <w:multiLevelType w:val="hybridMultilevel"/>
    <w:lvl w:ilvl="0">
      <w:start w:val="1"/>
      <w:numFmt w:val="decimal"/>
      <w:lvlText w:val="（%1）"/>
      <w:lvlJc w:val="left"/>
      <w:pPr>
        <w:ind w:left="3229" w:hanging="530"/>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3942" w:hanging="530"/>
      </w:pPr>
      <w:rPr>
        <w:rFonts w:hint="default"/>
        <w:lang w:val="en-US" w:eastAsia="zh-CN" w:bidi="ar-SA"/>
      </w:rPr>
    </w:lvl>
    <w:lvl w:ilvl="2">
      <w:start w:val="0"/>
      <w:numFmt w:val="bullet"/>
      <w:lvlText w:val="•"/>
      <w:lvlJc w:val="left"/>
      <w:pPr>
        <w:ind w:left="4665" w:hanging="530"/>
      </w:pPr>
      <w:rPr>
        <w:rFonts w:hint="default"/>
        <w:lang w:val="en-US" w:eastAsia="zh-CN" w:bidi="ar-SA"/>
      </w:rPr>
    </w:lvl>
    <w:lvl w:ilvl="3">
      <w:start w:val="0"/>
      <w:numFmt w:val="bullet"/>
      <w:lvlText w:val="•"/>
      <w:lvlJc w:val="left"/>
      <w:pPr>
        <w:ind w:left="5387" w:hanging="530"/>
      </w:pPr>
      <w:rPr>
        <w:rFonts w:hint="default"/>
        <w:lang w:val="en-US" w:eastAsia="zh-CN" w:bidi="ar-SA"/>
      </w:rPr>
    </w:lvl>
    <w:lvl w:ilvl="4">
      <w:start w:val="0"/>
      <w:numFmt w:val="bullet"/>
      <w:lvlText w:val="•"/>
      <w:lvlJc w:val="left"/>
      <w:pPr>
        <w:ind w:left="6110" w:hanging="530"/>
      </w:pPr>
      <w:rPr>
        <w:rFonts w:hint="default"/>
        <w:lang w:val="en-US" w:eastAsia="zh-CN" w:bidi="ar-SA"/>
      </w:rPr>
    </w:lvl>
    <w:lvl w:ilvl="5">
      <w:start w:val="0"/>
      <w:numFmt w:val="bullet"/>
      <w:lvlText w:val="•"/>
      <w:lvlJc w:val="left"/>
      <w:pPr>
        <w:ind w:left="6833" w:hanging="530"/>
      </w:pPr>
      <w:rPr>
        <w:rFonts w:hint="default"/>
        <w:lang w:val="en-US" w:eastAsia="zh-CN" w:bidi="ar-SA"/>
      </w:rPr>
    </w:lvl>
    <w:lvl w:ilvl="6">
      <w:start w:val="0"/>
      <w:numFmt w:val="bullet"/>
      <w:lvlText w:val="•"/>
      <w:lvlJc w:val="left"/>
      <w:pPr>
        <w:ind w:left="7555" w:hanging="530"/>
      </w:pPr>
      <w:rPr>
        <w:rFonts w:hint="default"/>
        <w:lang w:val="en-US" w:eastAsia="zh-CN" w:bidi="ar-SA"/>
      </w:rPr>
    </w:lvl>
    <w:lvl w:ilvl="7">
      <w:start w:val="0"/>
      <w:numFmt w:val="bullet"/>
      <w:lvlText w:val="•"/>
      <w:lvlJc w:val="left"/>
      <w:pPr>
        <w:ind w:left="8278" w:hanging="530"/>
      </w:pPr>
      <w:rPr>
        <w:rFonts w:hint="default"/>
        <w:lang w:val="en-US" w:eastAsia="zh-CN" w:bidi="ar-SA"/>
      </w:rPr>
    </w:lvl>
    <w:lvl w:ilvl="8">
      <w:start w:val="0"/>
      <w:numFmt w:val="bullet"/>
      <w:lvlText w:val="•"/>
      <w:lvlJc w:val="left"/>
      <w:pPr>
        <w:ind w:left="9001" w:hanging="530"/>
      </w:pPr>
      <w:rPr>
        <w:rFonts w:hint="default"/>
        <w:lang w:val="en-US" w:eastAsia="zh-CN" w:bidi="ar-SA"/>
      </w:rPr>
    </w:lvl>
  </w:abstractNum>
  <w:abstractNum w:abstractNumId="53">
    <w:multiLevelType w:val="hybridMultilevel"/>
    <w:lvl w:ilvl="0">
      <w:start w:val="1"/>
      <w:numFmt w:val="decimal"/>
      <w:lvlText w:val="（%1）"/>
      <w:lvlJc w:val="left"/>
      <w:pPr>
        <w:ind w:left="74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62" w:hanging="530"/>
      </w:pPr>
      <w:rPr>
        <w:rFonts w:hint="default"/>
        <w:lang w:val="en-US" w:eastAsia="zh-CN" w:bidi="ar-SA"/>
      </w:rPr>
    </w:lvl>
    <w:lvl w:ilvl="2">
      <w:start w:val="0"/>
      <w:numFmt w:val="bullet"/>
      <w:lvlText w:val="•"/>
      <w:lvlJc w:val="left"/>
      <w:pPr>
        <w:ind w:left="2184" w:hanging="530"/>
      </w:pPr>
      <w:rPr>
        <w:rFonts w:hint="default"/>
        <w:lang w:val="en-US" w:eastAsia="zh-CN" w:bidi="ar-SA"/>
      </w:rPr>
    </w:lvl>
    <w:lvl w:ilvl="3">
      <w:start w:val="0"/>
      <w:numFmt w:val="bullet"/>
      <w:lvlText w:val="•"/>
      <w:lvlJc w:val="left"/>
      <w:pPr>
        <w:ind w:left="2906" w:hanging="530"/>
      </w:pPr>
      <w:rPr>
        <w:rFonts w:hint="default"/>
        <w:lang w:val="en-US" w:eastAsia="zh-CN" w:bidi="ar-SA"/>
      </w:rPr>
    </w:lvl>
    <w:lvl w:ilvl="4">
      <w:start w:val="0"/>
      <w:numFmt w:val="bullet"/>
      <w:lvlText w:val="•"/>
      <w:lvlJc w:val="left"/>
      <w:pPr>
        <w:ind w:left="3628" w:hanging="530"/>
      </w:pPr>
      <w:rPr>
        <w:rFonts w:hint="default"/>
        <w:lang w:val="en-US" w:eastAsia="zh-CN" w:bidi="ar-SA"/>
      </w:rPr>
    </w:lvl>
    <w:lvl w:ilvl="5">
      <w:start w:val="0"/>
      <w:numFmt w:val="bullet"/>
      <w:lvlText w:val="•"/>
      <w:lvlJc w:val="left"/>
      <w:pPr>
        <w:ind w:left="4350" w:hanging="530"/>
      </w:pPr>
      <w:rPr>
        <w:rFonts w:hint="default"/>
        <w:lang w:val="en-US" w:eastAsia="zh-CN" w:bidi="ar-SA"/>
      </w:rPr>
    </w:lvl>
    <w:lvl w:ilvl="6">
      <w:start w:val="0"/>
      <w:numFmt w:val="bullet"/>
      <w:lvlText w:val="•"/>
      <w:lvlJc w:val="left"/>
      <w:pPr>
        <w:ind w:left="5072" w:hanging="530"/>
      </w:pPr>
      <w:rPr>
        <w:rFonts w:hint="default"/>
        <w:lang w:val="en-US" w:eastAsia="zh-CN" w:bidi="ar-SA"/>
      </w:rPr>
    </w:lvl>
    <w:lvl w:ilvl="7">
      <w:start w:val="0"/>
      <w:numFmt w:val="bullet"/>
      <w:lvlText w:val="•"/>
      <w:lvlJc w:val="left"/>
      <w:pPr>
        <w:ind w:left="5794" w:hanging="530"/>
      </w:pPr>
      <w:rPr>
        <w:rFonts w:hint="default"/>
        <w:lang w:val="en-US" w:eastAsia="zh-CN" w:bidi="ar-SA"/>
      </w:rPr>
    </w:lvl>
    <w:lvl w:ilvl="8">
      <w:start w:val="0"/>
      <w:numFmt w:val="bullet"/>
      <w:lvlText w:val="•"/>
      <w:lvlJc w:val="left"/>
      <w:pPr>
        <w:ind w:left="6516" w:hanging="530"/>
      </w:pPr>
      <w:rPr>
        <w:rFonts w:hint="default"/>
        <w:lang w:val="en-US" w:eastAsia="zh-CN" w:bidi="ar-SA"/>
      </w:rPr>
    </w:lvl>
  </w:abstractNum>
  <w:abstractNum w:abstractNumId="52">
    <w:multiLevelType w:val="hybridMultilevel"/>
    <w:lvl w:ilvl="0">
      <w:start w:val="1"/>
      <w:numFmt w:val="decimal"/>
      <w:lvlText w:val="（%1）"/>
      <w:lvlJc w:val="left"/>
      <w:pPr>
        <w:ind w:left="74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62" w:hanging="530"/>
      </w:pPr>
      <w:rPr>
        <w:rFonts w:hint="default"/>
        <w:lang w:val="en-US" w:eastAsia="zh-CN" w:bidi="ar-SA"/>
      </w:rPr>
    </w:lvl>
    <w:lvl w:ilvl="2">
      <w:start w:val="0"/>
      <w:numFmt w:val="bullet"/>
      <w:lvlText w:val="•"/>
      <w:lvlJc w:val="left"/>
      <w:pPr>
        <w:ind w:left="2184" w:hanging="530"/>
      </w:pPr>
      <w:rPr>
        <w:rFonts w:hint="default"/>
        <w:lang w:val="en-US" w:eastAsia="zh-CN" w:bidi="ar-SA"/>
      </w:rPr>
    </w:lvl>
    <w:lvl w:ilvl="3">
      <w:start w:val="0"/>
      <w:numFmt w:val="bullet"/>
      <w:lvlText w:val="•"/>
      <w:lvlJc w:val="left"/>
      <w:pPr>
        <w:ind w:left="2906" w:hanging="530"/>
      </w:pPr>
      <w:rPr>
        <w:rFonts w:hint="default"/>
        <w:lang w:val="en-US" w:eastAsia="zh-CN" w:bidi="ar-SA"/>
      </w:rPr>
    </w:lvl>
    <w:lvl w:ilvl="4">
      <w:start w:val="0"/>
      <w:numFmt w:val="bullet"/>
      <w:lvlText w:val="•"/>
      <w:lvlJc w:val="left"/>
      <w:pPr>
        <w:ind w:left="3628" w:hanging="530"/>
      </w:pPr>
      <w:rPr>
        <w:rFonts w:hint="default"/>
        <w:lang w:val="en-US" w:eastAsia="zh-CN" w:bidi="ar-SA"/>
      </w:rPr>
    </w:lvl>
    <w:lvl w:ilvl="5">
      <w:start w:val="0"/>
      <w:numFmt w:val="bullet"/>
      <w:lvlText w:val="•"/>
      <w:lvlJc w:val="left"/>
      <w:pPr>
        <w:ind w:left="4350" w:hanging="530"/>
      </w:pPr>
      <w:rPr>
        <w:rFonts w:hint="default"/>
        <w:lang w:val="en-US" w:eastAsia="zh-CN" w:bidi="ar-SA"/>
      </w:rPr>
    </w:lvl>
    <w:lvl w:ilvl="6">
      <w:start w:val="0"/>
      <w:numFmt w:val="bullet"/>
      <w:lvlText w:val="•"/>
      <w:lvlJc w:val="left"/>
      <w:pPr>
        <w:ind w:left="5072" w:hanging="530"/>
      </w:pPr>
      <w:rPr>
        <w:rFonts w:hint="default"/>
        <w:lang w:val="en-US" w:eastAsia="zh-CN" w:bidi="ar-SA"/>
      </w:rPr>
    </w:lvl>
    <w:lvl w:ilvl="7">
      <w:start w:val="0"/>
      <w:numFmt w:val="bullet"/>
      <w:lvlText w:val="•"/>
      <w:lvlJc w:val="left"/>
      <w:pPr>
        <w:ind w:left="5794" w:hanging="530"/>
      </w:pPr>
      <w:rPr>
        <w:rFonts w:hint="default"/>
        <w:lang w:val="en-US" w:eastAsia="zh-CN" w:bidi="ar-SA"/>
      </w:rPr>
    </w:lvl>
    <w:lvl w:ilvl="8">
      <w:start w:val="0"/>
      <w:numFmt w:val="bullet"/>
      <w:lvlText w:val="•"/>
      <w:lvlJc w:val="left"/>
      <w:pPr>
        <w:ind w:left="6516" w:hanging="530"/>
      </w:pPr>
      <w:rPr>
        <w:rFonts w:hint="default"/>
        <w:lang w:val="en-US" w:eastAsia="zh-CN" w:bidi="ar-SA"/>
      </w:rPr>
    </w:lvl>
  </w:abstractNum>
  <w:abstractNum w:abstractNumId="51">
    <w:multiLevelType w:val="hybridMultilevel"/>
    <w:lvl w:ilvl="0">
      <w:start w:val="1"/>
      <w:numFmt w:val="decimal"/>
      <w:lvlText w:val="（%1）"/>
      <w:lvlJc w:val="left"/>
      <w:pPr>
        <w:ind w:left="214" w:hanging="530"/>
        <w:jc w:val="righ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994" w:hanging="530"/>
      </w:pPr>
      <w:rPr>
        <w:rFonts w:hint="default"/>
        <w:lang w:val="en-US" w:eastAsia="zh-CN" w:bidi="ar-SA"/>
      </w:rPr>
    </w:lvl>
    <w:lvl w:ilvl="2">
      <w:start w:val="0"/>
      <w:numFmt w:val="bullet"/>
      <w:lvlText w:val="•"/>
      <w:lvlJc w:val="left"/>
      <w:pPr>
        <w:ind w:left="176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316" w:hanging="530"/>
      </w:pPr>
      <w:rPr>
        <w:rFonts w:hint="default"/>
        <w:lang w:val="en-US" w:eastAsia="zh-CN" w:bidi="ar-SA"/>
      </w:rPr>
    </w:lvl>
    <w:lvl w:ilvl="5">
      <w:start w:val="0"/>
      <w:numFmt w:val="bullet"/>
      <w:lvlText w:val="•"/>
      <w:lvlJc w:val="left"/>
      <w:pPr>
        <w:ind w:left="4090" w:hanging="530"/>
      </w:pPr>
      <w:rPr>
        <w:rFonts w:hint="default"/>
        <w:lang w:val="en-US" w:eastAsia="zh-CN" w:bidi="ar-SA"/>
      </w:rPr>
    </w:lvl>
    <w:lvl w:ilvl="6">
      <w:start w:val="0"/>
      <w:numFmt w:val="bullet"/>
      <w:lvlText w:val="•"/>
      <w:lvlJc w:val="left"/>
      <w:pPr>
        <w:ind w:left="4864" w:hanging="530"/>
      </w:pPr>
      <w:rPr>
        <w:rFonts w:hint="default"/>
        <w:lang w:val="en-US" w:eastAsia="zh-CN" w:bidi="ar-SA"/>
      </w:rPr>
    </w:lvl>
    <w:lvl w:ilvl="7">
      <w:start w:val="0"/>
      <w:numFmt w:val="bullet"/>
      <w:lvlText w:val="•"/>
      <w:lvlJc w:val="left"/>
      <w:pPr>
        <w:ind w:left="5638" w:hanging="530"/>
      </w:pPr>
      <w:rPr>
        <w:rFonts w:hint="default"/>
        <w:lang w:val="en-US" w:eastAsia="zh-CN" w:bidi="ar-SA"/>
      </w:rPr>
    </w:lvl>
    <w:lvl w:ilvl="8">
      <w:start w:val="0"/>
      <w:numFmt w:val="bullet"/>
      <w:lvlText w:val="•"/>
      <w:lvlJc w:val="left"/>
      <w:pPr>
        <w:ind w:left="6412" w:hanging="530"/>
      </w:pPr>
      <w:rPr>
        <w:rFonts w:hint="default"/>
        <w:lang w:val="en-US" w:eastAsia="zh-CN" w:bidi="ar-SA"/>
      </w:rPr>
    </w:lvl>
  </w:abstractNum>
  <w:abstractNum w:abstractNumId="50">
    <w:multiLevelType w:val="hybridMultilevel"/>
    <w:lvl w:ilvl="0">
      <w:start w:val="1"/>
      <w:numFmt w:val="decimal"/>
      <w:lvlText w:val="（%1）"/>
      <w:lvlJc w:val="left"/>
      <w:pPr>
        <w:ind w:left="320" w:hanging="530"/>
        <w:jc w:val="left"/>
      </w:pPr>
      <w:rPr>
        <w:rFonts w:hint="default" w:ascii="微软雅黑" w:hAnsi="微软雅黑" w:eastAsia="微软雅黑" w:cs="微软雅黑"/>
        <w:b/>
        <w:bCs/>
        <w:i w:val="0"/>
        <w:iCs w:val="0"/>
        <w:w w:val="81"/>
        <w:sz w:val="19"/>
        <w:szCs w:val="19"/>
        <w:lang w:val="en-US" w:eastAsia="zh-CN" w:bidi="ar-SA"/>
      </w:rPr>
    </w:lvl>
    <w:lvl w:ilvl="1">
      <w:start w:val="1"/>
      <w:numFmt w:val="lowerLetter"/>
      <w:lvlText w:val="%2."/>
      <w:lvlJc w:val="left"/>
      <w:pPr>
        <w:ind w:left="740" w:hanging="213"/>
        <w:jc w:val="left"/>
      </w:pPr>
      <w:rPr>
        <w:rFonts w:hint="default" w:ascii="微软雅黑" w:hAnsi="微软雅黑" w:eastAsia="微软雅黑" w:cs="微软雅黑"/>
        <w:b/>
        <w:bCs/>
        <w:i w:val="0"/>
        <w:iCs w:val="0"/>
        <w:w w:val="116"/>
        <w:sz w:val="19"/>
        <w:szCs w:val="19"/>
        <w:lang w:val="en-US" w:eastAsia="zh-CN" w:bidi="ar-SA"/>
      </w:rPr>
    </w:lvl>
    <w:lvl w:ilvl="2">
      <w:start w:val="0"/>
      <w:numFmt w:val="bullet"/>
      <w:lvlText w:val="•"/>
      <w:lvlJc w:val="left"/>
      <w:pPr>
        <w:ind w:left="1554" w:hanging="213"/>
      </w:pPr>
      <w:rPr>
        <w:rFonts w:hint="default"/>
        <w:lang w:val="en-US" w:eastAsia="zh-CN" w:bidi="ar-SA"/>
      </w:rPr>
    </w:lvl>
    <w:lvl w:ilvl="3">
      <w:start w:val="0"/>
      <w:numFmt w:val="bullet"/>
      <w:lvlText w:val="•"/>
      <w:lvlJc w:val="left"/>
      <w:pPr>
        <w:ind w:left="2368" w:hanging="213"/>
      </w:pPr>
      <w:rPr>
        <w:rFonts w:hint="default"/>
        <w:lang w:val="en-US" w:eastAsia="zh-CN" w:bidi="ar-SA"/>
      </w:rPr>
    </w:lvl>
    <w:lvl w:ilvl="4">
      <w:start w:val="0"/>
      <w:numFmt w:val="bullet"/>
      <w:lvlText w:val="•"/>
      <w:lvlJc w:val="left"/>
      <w:pPr>
        <w:ind w:left="3182" w:hanging="213"/>
      </w:pPr>
      <w:rPr>
        <w:rFonts w:hint="default"/>
        <w:lang w:val="en-US" w:eastAsia="zh-CN" w:bidi="ar-SA"/>
      </w:rPr>
    </w:lvl>
    <w:lvl w:ilvl="5">
      <w:start w:val="0"/>
      <w:numFmt w:val="bullet"/>
      <w:lvlText w:val="•"/>
      <w:lvlJc w:val="left"/>
      <w:pPr>
        <w:ind w:left="3996" w:hanging="213"/>
      </w:pPr>
      <w:rPr>
        <w:rFonts w:hint="default"/>
        <w:lang w:val="en-US" w:eastAsia="zh-CN" w:bidi="ar-SA"/>
      </w:rPr>
    </w:lvl>
    <w:lvl w:ilvl="6">
      <w:start w:val="0"/>
      <w:numFmt w:val="bullet"/>
      <w:lvlText w:val="•"/>
      <w:lvlJc w:val="left"/>
      <w:pPr>
        <w:ind w:left="4810" w:hanging="213"/>
      </w:pPr>
      <w:rPr>
        <w:rFonts w:hint="default"/>
        <w:lang w:val="en-US" w:eastAsia="zh-CN" w:bidi="ar-SA"/>
      </w:rPr>
    </w:lvl>
    <w:lvl w:ilvl="7">
      <w:start w:val="0"/>
      <w:numFmt w:val="bullet"/>
      <w:lvlText w:val="•"/>
      <w:lvlJc w:val="left"/>
      <w:pPr>
        <w:ind w:left="5624" w:hanging="213"/>
      </w:pPr>
      <w:rPr>
        <w:rFonts w:hint="default"/>
        <w:lang w:val="en-US" w:eastAsia="zh-CN" w:bidi="ar-SA"/>
      </w:rPr>
    </w:lvl>
    <w:lvl w:ilvl="8">
      <w:start w:val="0"/>
      <w:numFmt w:val="bullet"/>
      <w:lvlText w:val="•"/>
      <w:lvlJc w:val="left"/>
      <w:pPr>
        <w:ind w:left="6438" w:hanging="213"/>
      </w:pPr>
      <w:rPr>
        <w:rFonts w:hint="default"/>
        <w:lang w:val="en-US" w:eastAsia="zh-CN" w:bidi="ar-SA"/>
      </w:rPr>
    </w:lvl>
  </w:abstractNum>
  <w:abstractNum w:abstractNumId="49">
    <w:multiLevelType w:val="hybridMultilevel"/>
    <w:lvl w:ilvl="0">
      <w:start w:val="1"/>
      <w:numFmt w:val="decimal"/>
      <w:lvlText w:val="%1."/>
      <w:lvlJc w:val="left"/>
      <w:pPr>
        <w:ind w:left="1284" w:hanging="213"/>
        <w:jc w:val="left"/>
      </w:pPr>
      <w:rPr>
        <w:rFonts w:hint="default" w:ascii="微软雅黑" w:hAnsi="微软雅黑" w:eastAsia="微软雅黑" w:cs="微软雅黑"/>
        <w:b/>
        <w:bCs/>
        <w:i w:val="0"/>
        <w:iCs w:val="0"/>
        <w:spacing w:val="-1"/>
        <w:w w:val="110"/>
        <w:sz w:val="19"/>
        <w:szCs w:val="19"/>
        <w:lang w:val="en-US" w:eastAsia="zh-CN" w:bidi="ar-SA"/>
      </w:rPr>
    </w:lvl>
    <w:lvl w:ilvl="1">
      <w:start w:val="1"/>
      <w:numFmt w:val="decimal"/>
      <w:lvlText w:val="（%2）"/>
      <w:lvlJc w:val="left"/>
      <w:pPr>
        <w:ind w:left="3229" w:hanging="530"/>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122" w:hanging="530"/>
      </w:pPr>
      <w:rPr>
        <w:rFonts w:hint="default"/>
        <w:lang w:val="en-US" w:eastAsia="zh-CN" w:bidi="ar-SA"/>
      </w:rPr>
    </w:lvl>
    <w:lvl w:ilvl="3">
      <w:start w:val="0"/>
      <w:numFmt w:val="bullet"/>
      <w:lvlText w:val="•"/>
      <w:lvlJc w:val="left"/>
      <w:pPr>
        <w:ind w:left="3024" w:hanging="530"/>
      </w:pPr>
      <w:rPr>
        <w:rFonts w:hint="default"/>
        <w:lang w:val="en-US" w:eastAsia="zh-CN" w:bidi="ar-SA"/>
      </w:rPr>
    </w:lvl>
    <w:lvl w:ilvl="4">
      <w:start w:val="0"/>
      <w:numFmt w:val="bullet"/>
      <w:lvlText w:val="•"/>
      <w:lvlJc w:val="left"/>
      <w:pPr>
        <w:ind w:left="2926" w:hanging="530"/>
      </w:pPr>
      <w:rPr>
        <w:rFonts w:hint="default"/>
        <w:lang w:val="en-US" w:eastAsia="zh-CN" w:bidi="ar-SA"/>
      </w:rPr>
    </w:lvl>
    <w:lvl w:ilvl="5">
      <w:start w:val="0"/>
      <w:numFmt w:val="bullet"/>
      <w:lvlText w:val="•"/>
      <w:lvlJc w:val="left"/>
      <w:pPr>
        <w:ind w:left="2828" w:hanging="530"/>
      </w:pPr>
      <w:rPr>
        <w:rFonts w:hint="default"/>
        <w:lang w:val="en-US" w:eastAsia="zh-CN" w:bidi="ar-SA"/>
      </w:rPr>
    </w:lvl>
    <w:lvl w:ilvl="6">
      <w:start w:val="0"/>
      <w:numFmt w:val="bullet"/>
      <w:lvlText w:val="•"/>
      <w:lvlJc w:val="left"/>
      <w:pPr>
        <w:ind w:left="2730" w:hanging="530"/>
      </w:pPr>
      <w:rPr>
        <w:rFonts w:hint="default"/>
        <w:lang w:val="en-US" w:eastAsia="zh-CN" w:bidi="ar-SA"/>
      </w:rPr>
    </w:lvl>
    <w:lvl w:ilvl="7">
      <w:start w:val="0"/>
      <w:numFmt w:val="bullet"/>
      <w:lvlText w:val="•"/>
      <w:lvlJc w:val="left"/>
      <w:pPr>
        <w:ind w:left="2633" w:hanging="530"/>
      </w:pPr>
      <w:rPr>
        <w:rFonts w:hint="default"/>
        <w:lang w:val="en-US" w:eastAsia="zh-CN" w:bidi="ar-SA"/>
      </w:rPr>
    </w:lvl>
    <w:lvl w:ilvl="8">
      <w:start w:val="0"/>
      <w:numFmt w:val="bullet"/>
      <w:lvlText w:val="•"/>
      <w:lvlJc w:val="left"/>
      <w:pPr>
        <w:ind w:left="2535" w:hanging="530"/>
      </w:pPr>
      <w:rPr>
        <w:rFonts w:hint="default"/>
        <w:lang w:val="en-US" w:eastAsia="zh-CN" w:bidi="ar-SA"/>
      </w:rPr>
    </w:lvl>
  </w:abstractNum>
  <w:abstractNum w:abstractNumId="48">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47">
    <w:multiLevelType w:val="hybridMultilevel"/>
    <w:lvl w:ilvl="0">
      <w:start w:val="1"/>
      <w:numFmt w:val="decimal"/>
      <w:lvlText w:val="（%1）"/>
      <w:lvlJc w:val="left"/>
      <w:pPr>
        <w:ind w:left="174" w:hanging="530"/>
        <w:jc w:val="left"/>
      </w:pPr>
      <w:rPr>
        <w:rFonts w:hint="default" w:ascii="宋体" w:hAnsi="宋体" w:eastAsia="宋体" w:cs="宋体"/>
        <w:b w:val="0"/>
        <w:bCs w:val="0"/>
        <w:i w:val="0"/>
        <w:iCs w:val="0"/>
        <w:spacing w:val="-39"/>
        <w:w w:val="100"/>
        <w:sz w:val="19"/>
        <w:szCs w:val="19"/>
        <w:lang w:val="en-US" w:eastAsia="zh-CN" w:bidi="ar-SA"/>
      </w:rPr>
    </w:lvl>
    <w:lvl w:ilvl="1">
      <w:start w:val="0"/>
      <w:numFmt w:val="bullet"/>
      <w:lvlText w:val="•"/>
      <w:lvlJc w:val="left"/>
      <w:pPr>
        <w:ind w:left="954" w:hanging="530"/>
      </w:pPr>
      <w:rPr>
        <w:rFonts w:hint="default"/>
        <w:lang w:val="en-US" w:eastAsia="zh-CN" w:bidi="ar-SA"/>
      </w:rPr>
    </w:lvl>
    <w:lvl w:ilvl="2">
      <w:start w:val="0"/>
      <w:numFmt w:val="bullet"/>
      <w:lvlText w:val="•"/>
      <w:lvlJc w:val="left"/>
      <w:pPr>
        <w:ind w:left="1728" w:hanging="530"/>
      </w:pPr>
      <w:rPr>
        <w:rFonts w:hint="default"/>
        <w:lang w:val="en-US" w:eastAsia="zh-CN" w:bidi="ar-SA"/>
      </w:rPr>
    </w:lvl>
    <w:lvl w:ilvl="3">
      <w:start w:val="0"/>
      <w:numFmt w:val="bullet"/>
      <w:lvlText w:val="•"/>
      <w:lvlJc w:val="left"/>
      <w:pPr>
        <w:ind w:left="2502" w:hanging="530"/>
      </w:pPr>
      <w:rPr>
        <w:rFonts w:hint="default"/>
        <w:lang w:val="en-US" w:eastAsia="zh-CN" w:bidi="ar-SA"/>
      </w:rPr>
    </w:lvl>
    <w:lvl w:ilvl="4">
      <w:start w:val="0"/>
      <w:numFmt w:val="bullet"/>
      <w:lvlText w:val="•"/>
      <w:lvlJc w:val="left"/>
      <w:pPr>
        <w:ind w:left="3276" w:hanging="530"/>
      </w:pPr>
      <w:rPr>
        <w:rFonts w:hint="default"/>
        <w:lang w:val="en-US" w:eastAsia="zh-CN" w:bidi="ar-SA"/>
      </w:rPr>
    </w:lvl>
    <w:lvl w:ilvl="5">
      <w:start w:val="0"/>
      <w:numFmt w:val="bullet"/>
      <w:lvlText w:val="•"/>
      <w:lvlJc w:val="left"/>
      <w:pPr>
        <w:ind w:left="4050" w:hanging="530"/>
      </w:pPr>
      <w:rPr>
        <w:rFonts w:hint="default"/>
        <w:lang w:val="en-US" w:eastAsia="zh-CN" w:bidi="ar-SA"/>
      </w:rPr>
    </w:lvl>
    <w:lvl w:ilvl="6">
      <w:start w:val="0"/>
      <w:numFmt w:val="bullet"/>
      <w:lvlText w:val="•"/>
      <w:lvlJc w:val="left"/>
      <w:pPr>
        <w:ind w:left="4824" w:hanging="530"/>
      </w:pPr>
      <w:rPr>
        <w:rFonts w:hint="default"/>
        <w:lang w:val="en-US" w:eastAsia="zh-CN" w:bidi="ar-SA"/>
      </w:rPr>
    </w:lvl>
    <w:lvl w:ilvl="7">
      <w:start w:val="0"/>
      <w:numFmt w:val="bullet"/>
      <w:lvlText w:val="•"/>
      <w:lvlJc w:val="left"/>
      <w:pPr>
        <w:ind w:left="5598" w:hanging="530"/>
      </w:pPr>
      <w:rPr>
        <w:rFonts w:hint="default"/>
        <w:lang w:val="en-US" w:eastAsia="zh-CN" w:bidi="ar-SA"/>
      </w:rPr>
    </w:lvl>
    <w:lvl w:ilvl="8">
      <w:start w:val="0"/>
      <w:numFmt w:val="bullet"/>
      <w:lvlText w:val="•"/>
      <w:lvlJc w:val="left"/>
      <w:pPr>
        <w:ind w:left="6373" w:hanging="530"/>
      </w:pPr>
      <w:rPr>
        <w:rFonts w:hint="default"/>
        <w:lang w:val="en-US" w:eastAsia="zh-CN" w:bidi="ar-SA"/>
      </w:rPr>
    </w:lvl>
  </w:abstractNum>
  <w:abstractNum w:abstractNumId="46">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45">
    <w:multiLevelType w:val="hybridMultilevel"/>
    <w:lvl w:ilvl="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6" w:hanging="530"/>
      </w:pPr>
      <w:rPr>
        <w:rFonts w:hint="default"/>
        <w:lang w:val="en-US" w:eastAsia="zh-CN" w:bidi="ar-SA"/>
      </w:rPr>
    </w:lvl>
  </w:abstractNum>
  <w:abstractNum w:abstractNumId="44">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5"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43">
    <w:multiLevelType w:val="hybridMultilevel"/>
    <w:lvl w:ilvl="0">
      <w:start w:val="1"/>
      <w:numFmt w:val="decimal"/>
      <w:lvlText w:val="%1."/>
      <w:lvlJc w:val="left"/>
      <w:pPr>
        <w:ind w:left="1072" w:hanging="240"/>
        <w:jc w:val="left"/>
      </w:pPr>
      <w:rPr>
        <w:rFonts w:hint="default" w:ascii="微软雅黑" w:hAnsi="微软雅黑" w:eastAsia="微软雅黑" w:cs="微软雅黑"/>
        <w:b/>
        <w:bCs/>
        <w:i w:val="0"/>
        <w:iCs w:val="0"/>
        <w:w w:val="101"/>
        <w:sz w:val="21"/>
        <w:szCs w:val="21"/>
        <w:lang w:val="en-US" w:eastAsia="zh-CN" w:bidi="ar-SA"/>
      </w:rPr>
    </w:lvl>
    <w:lvl w:ilvl="1">
      <w:start w:val="0"/>
      <w:numFmt w:val="bullet"/>
      <w:lvlText w:val="•"/>
      <w:lvlJc w:val="left"/>
      <w:pPr>
        <w:ind w:left="1220" w:hanging="240"/>
      </w:pPr>
      <w:rPr>
        <w:rFonts w:hint="default"/>
        <w:lang w:val="en-US" w:eastAsia="zh-CN" w:bidi="ar-SA"/>
      </w:rPr>
    </w:lvl>
    <w:lvl w:ilvl="2">
      <w:start w:val="0"/>
      <w:numFmt w:val="bullet"/>
      <w:lvlText w:val="•"/>
      <w:lvlJc w:val="left"/>
      <w:pPr>
        <w:ind w:left="1361" w:hanging="240"/>
      </w:pPr>
      <w:rPr>
        <w:rFonts w:hint="default"/>
        <w:lang w:val="en-US" w:eastAsia="zh-CN" w:bidi="ar-SA"/>
      </w:rPr>
    </w:lvl>
    <w:lvl w:ilvl="3">
      <w:start w:val="0"/>
      <w:numFmt w:val="bullet"/>
      <w:lvlText w:val="•"/>
      <w:lvlJc w:val="left"/>
      <w:pPr>
        <w:ind w:left="1501" w:hanging="240"/>
      </w:pPr>
      <w:rPr>
        <w:rFonts w:hint="default"/>
        <w:lang w:val="en-US" w:eastAsia="zh-CN" w:bidi="ar-SA"/>
      </w:rPr>
    </w:lvl>
    <w:lvl w:ilvl="4">
      <w:start w:val="0"/>
      <w:numFmt w:val="bullet"/>
      <w:lvlText w:val="•"/>
      <w:lvlJc w:val="left"/>
      <w:pPr>
        <w:ind w:left="1642" w:hanging="240"/>
      </w:pPr>
      <w:rPr>
        <w:rFonts w:hint="default"/>
        <w:lang w:val="en-US" w:eastAsia="zh-CN" w:bidi="ar-SA"/>
      </w:rPr>
    </w:lvl>
    <w:lvl w:ilvl="5">
      <w:start w:val="0"/>
      <w:numFmt w:val="bullet"/>
      <w:lvlText w:val="•"/>
      <w:lvlJc w:val="left"/>
      <w:pPr>
        <w:ind w:left="1782" w:hanging="240"/>
      </w:pPr>
      <w:rPr>
        <w:rFonts w:hint="default"/>
        <w:lang w:val="en-US" w:eastAsia="zh-CN" w:bidi="ar-SA"/>
      </w:rPr>
    </w:lvl>
    <w:lvl w:ilvl="6">
      <w:start w:val="0"/>
      <w:numFmt w:val="bullet"/>
      <w:lvlText w:val="•"/>
      <w:lvlJc w:val="left"/>
      <w:pPr>
        <w:ind w:left="1922" w:hanging="240"/>
      </w:pPr>
      <w:rPr>
        <w:rFonts w:hint="default"/>
        <w:lang w:val="en-US" w:eastAsia="zh-CN" w:bidi="ar-SA"/>
      </w:rPr>
    </w:lvl>
    <w:lvl w:ilvl="7">
      <w:start w:val="0"/>
      <w:numFmt w:val="bullet"/>
      <w:lvlText w:val="•"/>
      <w:lvlJc w:val="left"/>
      <w:pPr>
        <w:ind w:left="2063" w:hanging="240"/>
      </w:pPr>
      <w:rPr>
        <w:rFonts w:hint="default"/>
        <w:lang w:val="en-US" w:eastAsia="zh-CN" w:bidi="ar-SA"/>
      </w:rPr>
    </w:lvl>
    <w:lvl w:ilvl="8">
      <w:start w:val="0"/>
      <w:numFmt w:val="bullet"/>
      <w:lvlText w:val="•"/>
      <w:lvlJc w:val="left"/>
      <w:pPr>
        <w:ind w:left="2203" w:hanging="240"/>
      </w:pPr>
      <w:rPr>
        <w:rFonts w:hint="default"/>
        <w:lang w:val="en-US" w:eastAsia="zh-CN" w:bidi="ar-SA"/>
      </w:rPr>
    </w:lvl>
  </w:abstractNum>
  <w:abstractNum w:abstractNumId="42">
    <w:multiLevelType w:val="hybridMultilevel"/>
    <w:lvl w:ilvl="0">
      <w:start w:val="1"/>
      <w:numFmt w:val="decimal"/>
      <w:lvlText w:val="（%1）"/>
      <w:lvlJc w:val="left"/>
      <w:pPr>
        <w:ind w:left="80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12" w:hanging="632"/>
      </w:pPr>
      <w:rPr>
        <w:rFonts w:hint="default"/>
        <w:lang w:val="en-US" w:eastAsia="zh-CN" w:bidi="ar-SA"/>
      </w:rPr>
    </w:lvl>
    <w:lvl w:ilvl="2">
      <w:start w:val="0"/>
      <w:numFmt w:val="bullet"/>
      <w:lvlText w:val="•"/>
      <w:lvlJc w:val="left"/>
      <w:pPr>
        <w:ind w:left="2224" w:hanging="632"/>
      </w:pPr>
      <w:rPr>
        <w:rFonts w:hint="default"/>
        <w:lang w:val="en-US" w:eastAsia="zh-CN" w:bidi="ar-SA"/>
      </w:rPr>
    </w:lvl>
    <w:lvl w:ilvl="3">
      <w:start w:val="0"/>
      <w:numFmt w:val="bullet"/>
      <w:lvlText w:val="•"/>
      <w:lvlJc w:val="left"/>
      <w:pPr>
        <w:ind w:left="2936" w:hanging="632"/>
      </w:pPr>
      <w:rPr>
        <w:rFonts w:hint="default"/>
        <w:lang w:val="en-US" w:eastAsia="zh-CN" w:bidi="ar-SA"/>
      </w:rPr>
    </w:lvl>
    <w:lvl w:ilvl="4">
      <w:start w:val="0"/>
      <w:numFmt w:val="bullet"/>
      <w:lvlText w:val="•"/>
      <w:lvlJc w:val="left"/>
      <w:pPr>
        <w:ind w:left="3648" w:hanging="632"/>
      </w:pPr>
      <w:rPr>
        <w:rFonts w:hint="default"/>
        <w:lang w:val="en-US" w:eastAsia="zh-CN" w:bidi="ar-SA"/>
      </w:rPr>
    </w:lvl>
    <w:lvl w:ilvl="5">
      <w:start w:val="0"/>
      <w:numFmt w:val="bullet"/>
      <w:lvlText w:val="•"/>
      <w:lvlJc w:val="left"/>
      <w:pPr>
        <w:ind w:left="4360" w:hanging="632"/>
      </w:pPr>
      <w:rPr>
        <w:rFonts w:hint="default"/>
        <w:lang w:val="en-US" w:eastAsia="zh-CN" w:bidi="ar-SA"/>
      </w:rPr>
    </w:lvl>
    <w:lvl w:ilvl="6">
      <w:start w:val="0"/>
      <w:numFmt w:val="bullet"/>
      <w:lvlText w:val="•"/>
      <w:lvlJc w:val="left"/>
      <w:pPr>
        <w:ind w:left="5072" w:hanging="632"/>
      </w:pPr>
      <w:rPr>
        <w:rFonts w:hint="default"/>
        <w:lang w:val="en-US" w:eastAsia="zh-CN" w:bidi="ar-SA"/>
      </w:rPr>
    </w:lvl>
    <w:lvl w:ilvl="7">
      <w:start w:val="0"/>
      <w:numFmt w:val="bullet"/>
      <w:lvlText w:val="•"/>
      <w:lvlJc w:val="left"/>
      <w:pPr>
        <w:ind w:left="5784" w:hanging="632"/>
      </w:pPr>
      <w:rPr>
        <w:rFonts w:hint="default"/>
        <w:lang w:val="en-US" w:eastAsia="zh-CN" w:bidi="ar-SA"/>
      </w:rPr>
    </w:lvl>
    <w:lvl w:ilvl="8">
      <w:start w:val="0"/>
      <w:numFmt w:val="bullet"/>
      <w:lvlText w:val="•"/>
      <w:lvlJc w:val="left"/>
      <w:pPr>
        <w:ind w:left="6496" w:hanging="632"/>
      </w:pPr>
      <w:rPr>
        <w:rFonts w:hint="default"/>
        <w:lang w:val="en-US" w:eastAsia="zh-CN" w:bidi="ar-SA"/>
      </w:rPr>
    </w:lvl>
  </w:abstractNum>
  <w:abstractNum w:abstractNumId="41">
    <w:multiLevelType w:val="hybridMultilevel"/>
    <w:lvl w:ilvl="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6" w:hanging="530"/>
      </w:pPr>
      <w:rPr>
        <w:rFonts w:hint="default"/>
        <w:lang w:val="en-US" w:eastAsia="zh-CN" w:bidi="ar-SA"/>
      </w:rPr>
    </w:lvl>
  </w:abstractNum>
  <w:abstractNum w:abstractNumId="40">
    <w:multiLevelType w:val="hybridMultilevel"/>
    <w:lvl w:ilvl="0">
      <w:start w:val="1"/>
      <w:numFmt w:val="decimal"/>
      <w:lvlText w:val="（%1）"/>
      <w:lvlJc w:val="left"/>
      <w:pPr>
        <w:ind w:left="703" w:hanging="530"/>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6" w:hanging="530"/>
      </w:pPr>
      <w:rPr>
        <w:rFonts w:hint="default"/>
        <w:lang w:val="en-US" w:eastAsia="zh-CN" w:bidi="ar-SA"/>
      </w:rPr>
    </w:lvl>
  </w:abstractNum>
  <w:abstractNum w:abstractNumId="39">
    <w:multiLevelType w:val="hybridMultilevel"/>
    <w:lvl w:ilvl="0">
      <w:start w:val="1"/>
      <w:numFmt w:val="decimal"/>
      <w:lvlText w:val="（%1）"/>
      <w:lvlJc w:val="left"/>
      <w:pPr>
        <w:ind w:left="17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954" w:hanging="530"/>
      </w:pPr>
      <w:rPr>
        <w:rFonts w:hint="default"/>
        <w:lang w:val="en-US" w:eastAsia="zh-CN" w:bidi="ar-SA"/>
      </w:rPr>
    </w:lvl>
    <w:lvl w:ilvl="2">
      <w:start w:val="0"/>
      <w:numFmt w:val="bullet"/>
      <w:lvlText w:val="•"/>
      <w:lvlJc w:val="left"/>
      <w:pPr>
        <w:ind w:left="1728" w:hanging="530"/>
      </w:pPr>
      <w:rPr>
        <w:rFonts w:hint="default"/>
        <w:lang w:val="en-US" w:eastAsia="zh-CN" w:bidi="ar-SA"/>
      </w:rPr>
    </w:lvl>
    <w:lvl w:ilvl="3">
      <w:start w:val="0"/>
      <w:numFmt w:val="bullet"/>
      <w:lvlText w:val="•"/>
      <w:lvlJc w:val="left"/>
      <w:pPr>
        <w:ind w:left="2502" w:hanging="530"/>
      </w:pPr>
      <w:rPr>
        <w:rFonts w:hint="default"/>
        <w:lang w:val="en-US" w:eastAsia="zh-CN" w:bidi="ar-SA"/>
      </w:rPr>
    </w:lvl>
    <w:lvl w:ilvl="4">
      <w:start w:val="0"/>
      <w:numFmt w:val="bullet"/>
      <w:lvlText w:val="•"/>
      <w:lvlJc w:val="left"/>
      <w:pPr>
        <w:ind w:left="3276" w:hanging="530"/>
      </w:pPr>
      <w:rPr>
        <w:rFonts w:hint="default"/>
        <w:lang w:val="en-US" w:eastAsia="zh-CN" w:bidi="ar-SA"/>
      </w:rPr>
    </w:lvl>
    <w:lvl w:ilvl="5">
      <w:start w:val="0"/>
      <w:numFmt w:val="bullet"/>
      <w:lvlText w:val="•"/>
      <w:lvlJc w:val="left"/>
      <w:pPr>
        <w:ind w:left="4050" w:hanging="530"/>
      </w:pPr>
      <w:rPr>
        <w:rFonts w:hint="default"/>
        <w:lang w:val="en-US" w:eastAsia="zh-CN" w:bidi="ar-SA"/>
      </w:rPr>
    </w:lvl>
    <w:lvl w:ilvl="6">
      <w:start w:val="0"/>
      <w:numFmt w:val="bullet"/>
      <w:lvlText w:val="•"/>
      <w:lvlJc w:val="left"/>
      <w:pPr>
        <w:ind w:left="4824" w:hanging="530"/>
      </w:pPr>
      <w:rPr>
        <w:rFonts w:hint="default"/>
        <w:lang w:val="en-US" w:eastAsia="zh-CN" w:bidi="ar-SA"/>
      </w:rPr>
    </w:lvl>
    <w:lvl w:ilvl="7">
      <w:start w:val="0"/>
      <w:numFmt w:val="bullet"/>
      <w:lvlText w:val="•"/>
      <w:lvlJc w:val="left"/>
      <w:pPr>
        <w:ind w:left="5598" w:hanging="530"/>
      </w:pPr>
      <w:rPr>
        <w:rFonts w:hint="default"/>
        <w:lang w:val="en-US" w:eastAsia="zh-CN" w:bidi="ar-SA"/>
      </w:rPr>
    </w:lvl>
    <w:lvl w:ilvl="8">
      <w:start w:val="0"/>
      <w:numFmt w:val="bullet"/>
      <w:lvlText w:val="•"/>
      <w:lvlJc w:val="left"/>
      <w:pPr>
        <w:ind w:left="6372" w:hanging="530"/>
      </w:pPr>
      <w:rPr>
        <w:rFonts w:hint="default"/>
        <w:lang w:val="en-US" w:eastAsia="zh-CN" w:bidi="ar-SA"/>
      </w:rPr>
    </w:lvl>
  </w:abstractNum>
  <w:abstractNum w:abstractNumId="38">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37">
    <w:multiLevelType w:val="hybridMultilevel"/>
    <w:lvl w:ilvl="0">
      <w:start w:val="1"/>
      <w:numFmt w:val="decimal"/>
      <w:lvlText w:val="（%1）"/>
      <w:lvlJc w:val="left"/>
      <w:pPr>
        <w:ind w:left="744" w:hanging="530"/>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462" w:hanging="530"/>
      </w:pPr>
      <w:rPr>
        <w:rFonts w:hint="default"/>
        <w:lang w:val="en-US" w:eastAsia="zh-CN" w:bidi="ar-SA"/>
      </w:rPr>
    </w:lvl>
    <w:lvl w:ilvl="2">
      <w:start w:val="0"/>
      <w:numFmt w:val="bullet"/>
      <w:lvlText w:val="•"/>
      <w:lvlJc w:val="left"/>
      <w:pPr>
        <w:ind w:left="2184" w:hanging="530"/>
      </w:pPr>
      <w:rPr>
        <w:rFonts w:hint="default"/>
        <w:lang w:val="en-US" w:eastAsia="zh-CN" w:bidi="ar-SA"/>
      </w:rPr>
    </w:lvl>
    <w:lvl w:ilvl="3">
      <w:start w:val="0"/>
      <w:numFmt w:val="bullet"/>
      <w:lvlText w:val="•"/>
      <w:lvlJc w:val="left"/>
      <w:pPr>
        <w:ind w:left="2906" w:hanging="530"/>
      </w:pPr>
      <w:rPr>
        <w:rFonts w:hint="default"/>
        <w:lang w:val="en-US" w:eastAsia="zh-CN" w:bidi="ar-SA"/>
      </w:rPr>
    </w:lvl>
    <w:lvl w:ilvl="4">
      <w:start w:val="0"/>
      <w:numFmt w:val="bullet"/>
      <w:lvlText w:val="•"/>
      <w:lvlJc w:val="left"/>
      <w:pPr>
        <w:ind w:left="3628" w:hanging="530"/>
      </w:pPr>
      <w:rPr>
        <w:rFonts w:hint="default"/>
        <w:lang w:val="en-US" w:eastAsia="zh-CN" w:bidi="ar-SA"/>
      </w:rPr>
    </w:lvl>
    <w:lvl w:ilvl="5">
      <w:start w:val="0"/>
      <w:numFmt w:val="bullet"/>
      <w:lvlText w:val="•"/>
      <w:lvlJc w:val="left"/>
      <w:pPr>
        <w:ind w:left="4350" w:hanging="530"/>
      </w:pPr>
      <w:rPr>
        <w:rFonts w:hint="default"/>
        <w:lang w:val="en-US" w:eastAsia="zh-CN" w:bidi="ar-SA"/>
      </w:rPr>
    </w:lvl>
    <w:lvl w:ilvl="6">
      <w:start w:val="0"/>
      <w:numFmt w:val="bullet"/>
      <w:lvlText w:val="•"/>
      <w:lvlJc w:val="left"/>
      <w:pPr>
        <w:ind w:left="5072" w:hanging="530"/>
      </w:pPr>
      <w:rPr>
        <w:rFonts w:hint="default"/>
        <w:lang w:val="en-US" w:eastAsia="zh-CN" w:bidi="ar-SA"/>
      </w:rPr>
    </w:lvl>
    <w:lvl w:ilvl="7">
      <w:start w:val="0"/>
      <w:numFmt w:val="bullet"/>
      <w:lvlText w:val="•"/>
      <w:lvlJc w:val="left"/>
      <w:pPr>
        <w:ind w:left="5794" w:hanging="530"/>
      </w:pPr>
      <w:rPr>
        <w:rFonts w:hint="default"/>
        <w:lang w:val="en-US" w:eastAsia="zh-CN" w:bidi="ar-SA"/>
      </w:rPr>
    </w:lvl>
    <w:lvl w:ilvl="8">
      <w:start w:val="0"/>
      <w:numFmt w:val="bullet"/>
      <w:lvlText w:val="•"/>
      <w:lvlJc w:val="left"/>
      <w:pPr>
        <w:ind w:left="6516" w:hanging="530"/>
      </w:pPr>
      <w:rPr>
        <w:rFonts w:hint="default"/>
        <w:lang w:val="en-US" w:eastAsia="zh-CN" w:bidi="ar-SA"/>
      </w:rPr>
    </w:lvl>
  </w:abstractNum>
  <w:abstractNum w:abstractNumId="36">
    <w:multiLevelType w:val="hybridMultilevel"/>
    <w:lvl w:ilvl="0">
      <w:start w:val="1"/>
      <w:numFmt w:val="decimal"/>
      <w:lvlText w:val="（%1）"/>
      <w:lvlJc w:val="left"/>
      <w:pPr>
        <w:ind w:left="744" w:hanging="530"/>
        <w:jc w:val="left"/>
      </w:pPr>
      <w:rPr>
        <w:rFonts w:hint="default" w:ascii="微软雅黑" w:hAnsi="微软雅黑" w:eastAsia="微软雅黑" w:cs="微软雅黑"/>
        <w:b/>
        <w:bCs/>
        <w:i w:val="0"/>
        <w:iCs w:val="0"/>
        <w:w w:val="81"/>
        <w:sz w:val="19"/>
        <w:szCs w:val="19"/>
        <w:lang w:val="en-US" w:eastAsia="zh-CN" w:bidi="ar-SA"/>
      </w:rPr>
    </w:lvl>
    <w:lvl w:ilvl="1">
      <w:start w:val="0"/>
      <w:numFmt w:val="bullet"/>
      <w:lvlText w:val="•"/>
      <w:lvlJc w:val="left"/>
      <w:pPr>
        <w:ind w:left="1462" w:hanging="530"/>
      </w:pPr>
      <w:rPr>
        <w:rFonts w:hint="default"/>
        <w:lang w:val="en-US" w:eastAsia="zh-CN" w:bidi="ar-SA"/>
      </w:rPr>
    </w:lvl>
    <w:lvl w:ilvl="2">
      <w:start w:val="0"/>
      <w:numFmt w:val="bullet"/>
      <w:lvlText w:val="•"/>
      <w:lvlJc w:val="left"/>
      <w:pPr>
        <w:ind w:left="2184" w:hanging="530"/>
      </w:pPr>
      <w:rPr>
        <w:rFonts w:hint="default"/>
        <w:lang w:val="en-US" w:eastAsia="zh-CN" w:bidi="ar-SA"/>
      </w:rPr>
    </w:lvl>
    <w:lvl w:ilvl="3">
      <w:start w:val="0"/>
      <w:numFmt w:val="bullet"/>
      <w:lvlText w:val="•"/>
      <w:lvlJc w:val="left"/>
      <w:pPr>
        <w:ind w:left="2906" w:hanging="530"/>
      </w:pPr>
      <w:rPr>
        <w:rFonts w:hint="default"/>
        <w:lang w:val="en-US" w:eastAsia="zh-CN" w:bidi="ar-SA"/>
      </w:rPr>
    </w:lvl>
    <w:lvl w:ilvl="4">
      <w:start w:val="0"/>
      <w:numFmt w:val="bullet"/>
      <w:lvlText w:val="•"/>
      <w:lvlJc w:val="left"/>
      <w:pPr>
        <w:ind w:left="3628" w:hanging="530"/>
      </w:pPr>
      <w:rPr>
        <w:rFonts w:hint="default"/>
        <w:lang w:val="en-US" w:eastAsia="zh-CN" w:bidi="ar-SA"/>
      </w:rPr>
    </w:lvl>
    <w:lvl w:ilvl="5">
      <w:start w:val="0"/>
      <w:numFmt w:val="bullet"/>
      <w:lvlText w:val="•"/>
      <w:lvlJc w:val="left"/>
      <w:pPr>
        <w:ind w:left="4350" w:hanging="530"/>
      </w:pPr>
      <w:rPr>
        <w:rFonts w:hint="default"/>
        <w:lang w:val="en-US" w:eastAsia="zh-CN" w:bidi="ar-SA"/>
      </w:rPr>
    </w:lvl>
    <w:lvl w:ilvl="6">
      <w:start w:val="0"/>
      <w:numFmt w:val="bullet"/>
      <w:lvlText w:val="•"/>
      <w:lvlJc w:val="left"/>
      <w:pPr>
        <w:ind w:left="5072" w:hanging="530"/>
      </w:pPr>
      <w:rPr>
        <w:rFonts w:hint="default"/>
        <w:lang w:val="en-US" w:eastAsia="zh-CN" w:bidi="ar-SA"/>
      </w:rPr>
    </w:lvl>
    <w:lvl w:ilvl="7">
      <w:start w:val="0"/>
      <w:numFmt w:val="bullet"/>
      <w:lvlText w:val="•"/>
      <w:lvlJc w:val="left"/>
      <w:pPr>
        <w:ind w:left="5794" w:hanging="530"/>
      </w:pPr>
      <w:rPr>
        <w:rFonts w:hint="default"/>
        <w:lang w:val="en-US" w:eastAsia="zh-CN" w:bidi="ar-SA"/>
      </w:rPr>
    </w:lvl>
    <w:lvl w:ilvl="8">
      <w:start w:val="0"/>
      <w:numFmt w:val="bullet"/>
      <w:lvlText w:val="•"/>
      <w:lvlJc w:val="left"/>
      <w:pPr>
        <w:ind w:left="6516" w:hanging="530"/>
      </w:pPr>
      <w:rPr>
        <w:rFonts w:hint="default"/>
        <w:lang w:val="en-US" w:eastAsia="zh-CN" w:bidi="ar-SA"/>
      </w:rPr>
    </w:lvl>
  </w:abstractNum>
  <w:abstractNum w:abstractNumId="35">
    <w:multiLevelType w:val="hybridMultilevel"/>
    <w:lvl w:ilvl="0">
      <w:start w:val="1"/>
      <w:numFmt w:val="decimal"/>
      <w:lvlText w:val="（%1）"/>
      <w:lvlJc w:val="left"/>
      <w:pPr>
        <w:ind w:left="174" w:hanging="530"/>
        <w:jc w:val="left"/>
      </w:pPr>
      <w:rPr>
        <w:rFonts w:hint="default" w:ascii="宋体" w:hAnsi="宋体" w:eastAsia="宋体" w:cs="宋体"/>
        <w:b w:val="0"/>
        <w:bCs w:val="0"/>
        <w:i w:val="0"/>
        <w:iCs w:val="0"/>
        <w:spacing w:val="-39"/>
        <w:w w:val="100"/>
        <w:sz w:val="19"/>
        <w:szCs w:val="19"/>
        <w:lang w:val="en-US" w:eastAsia="zh-CN" w:bidi="ar-SA"/>
      </w:rPr>
    </w:lvl>
    <w:lvl w:ilvl="1">
      <w:start w:val="0"/>
      <w:numFmt w:val="bullet"/>
      <w:lvlText w:val="•"/>
      <w:lvlJc w:val="left"/>
      <w:pPr>
        <w:ind w:left="954" w:hanging="530"/>
      </w:pPr>
      <w:rPr>
        <w:rFonts w:hint="default"/>
        <w:lang w:val="en-US" w:eastAsia="zh-CN" w:bidi="ar-SA"/>
      </w:rPr>
    </w:lvl>
    <w:lvl w:ilvl="2">
      <w:start w:val="0"/>
      <w:numFmt w:val="bullet"/>
      <w:lvlText w:val="•"/>
      <w:lvlJc w:val="left"/>
      <w:pPr>
        <w:ind w:left="1728" w:hanging="530"/>
      </w:pPr>
      <w:rPr>
        <w:rFonts w:hint="default"/>
        <w:lang w:val="en-US" w:eastAsia="zh-CN" w:bidi="ar-SA"/>
      </w:rPr>
    </w:lvl>
    <w:lvl w:ilvl="3">
      <w:start w:val="0"/>
      <w:numFmt w:val="bullet"/>
      <w:lvlText w:val="•"/>
      <w:lvlJc w:val="left"/>
      <w:pPr>
        <w:ind w:left="2502" w:hanging="530"/>
      </w:pPr>
      <w:rPr>
        <w:rFonts w:hint="default"/>
        <w:lang w:val="en-US" w:eastAsia="zh-CN" w:bidi="ar-SA"/>
      </w:rPr>
    </w:lvl>
    <w:lvl w:ilvl="4">
      <w:start w:val="0"/>
      <w:numFmt w:val="bullet"/>
      <w:lvlText w:val="•"/>
      <w:lvlJc w:val="left"/>
      <w:pPr>
        <w:ind w:left="3276" w:hanging="530"/>
      </w:pPr>
      <w:rPr>
        <w:rFonts w:hint="default"/>
        <w:lang w:val="en-US" w:eastAsia="zh-CN" w:bidi="ar-SA"/>
      </w:rPr>
    </w:lvl>
    <w:lvl w:ilvl="5">
      <w:start w:val="0"/>
      <w:numFmt w:val="bullet"/>
      <w:lvlText w:val="•"/>
      <w:lvlJc w:val="left"/>
      <w:pPr>
        <w:ind w:left="4050" w:hanging="530"/>
      </w:pPr>
      <w:rPr>
        <w:rFonts w:hint="default"/>
        <w:lang w:val="en-US" w:eastAsia="zh-CN" w:bidi="ar-SA"/>
      </w:rPr>
    </w:lvl>
    <w:lvl w:ilvl="6">
      <w:start w:val="0"/>
      <w:numFmt w:val="bullet"/>
      <w:lvlText w:val="•"/>
      <w:lvlJc w:val="left"/>
      <w:pPr>
        <w:ind w:left="4824" w:hanging="530"/>
      </w:pPr>
      <w:rPr>
        <w:rFonts w:hint="default"/>
        <w:lang w:val="en-US" w:eastAsia="zh-CN" w:bidi="ar-SA"/>
      </w:rPr>
    </w:lvl>
    <w:lvl w:ilvl="7">
      <w:start w:val="0"/>
      <w:numFmt w:val="bullet"/>
      <w:lvlText w:val="•"/>
      <w:lvlJc w:val="left"/>
      <w:pPr>
        <w:ind w:left="5598" w:hanging="530"/>
      </w:pPr>
      <w:rPr>
        <w:rFonts w:hint="default"/>
        <w:lang w:val="en-US" w:eastAsia="zh-CN" w:bidi="ar-SA"/>
      </w:rPr>
    </w:lvl>
    <w:lvl w:ilvl="8">
      <w:start w:val="0"/>
      <w:numFmt w:val="bullet"/>
      <w:lvlText w:val="•"/>
      <w:lvlJc w:val="left"/>
      <w:pPr>
        <w:ind w:left="6373" w:hanging="530"/>
      </w:pPr>
      <w:rPr>
        <w:rFonts w:hint="default"/>
        <w:lang w:val="en-US" w:eastAsia="zh-CN" w:bidi="ar-SA"/>
      </w:rPr>
    </w:lvl>
  </w:abstractNum>
  <w:abstractNum w:abstractNumId="34">
    <w:multiLevelType w:val="hybridMultilevel"/>
    <w:lvl w:ilvl="0">
      <w:start w:val="1"/>
      <w:numFmt w:val="decimal"/>
      <w:lvlText w:val="（%1）"/>
      <w:lvlJc w:val="left"/>
      <w:pPr>
        <w:ind w:left="74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62" w:hanging="530"/>
      </w:pPr>
      <w:rPr>
        <w:rFonts w:hint="default"/>
        <w:lang w:val="en-US" w:eastAsia="zh-CN" w:bidi="ar-SA"/>
      </w:rPr>
    </w:lvl>
    <w:lvl w:ilvl="2">
      <w:start w:val="0"/>
      <w:numFmt w:val="bullet"/>
      <w:lvlText w:val="•"/>
      <w:lvlJc w:val="left"/>
      <w:pPr>
        <w:ind w:left="2184" w:hanging="530"/>
      </w:pPr>
      <w:rPr>
        <w:rFonts w:hint="default"/>
        <w:lang w:val="en-US" w:eastAsia="zh-CN" w:bidi="ar-SA"/>
      </w:rPr>
    </w:lvl>
    <w:lvl w:ilvl="3">
      <w:start w:val="0"/>
      <w:numFmt w:val="bullet"/>
      <w:lvlText w:val="•"/>
      <w:lvlJc w:val="left"/>
      <w:pPr>
        <w:ind w:left="2906" w:hanging="530"/>
      </w:pPr>
      <w:rPr>
        <w:rFonts w:hint="default"/>
        <w:lang w:val="en-US" w:eastAsia="zh-CN" w:bidi="ar-SA"/>
      </w:rPr>
    </w:lvl>
    <w:lvl w:ilvl="4">
      <w:start w:val="0"/>
      <w:numFmt w:val="bullet"/>
      <w:lvlText w:val="•"/>
      <w:lvlJc w:val="left"/>
      <w:pPr>
        <w:ind w:left="3628" w:hanging="530"/>
      </w:pPr>
      <w:rPr>
        <w:rFonts w:hint="default"/>
        <w:lang w:val="en-US" w:eastAsia="zh-CN" w:bidi="ar-SA"/>
      </w:rPr>
    </w:lvl>
    <w:lvl w:ilvl="5">
      <w:start w:val="0"/>
      <w:numFmt w:val="bullet"/>
      <w:lvlText w:val="•"/>
      <w:lvlJc w:val="left"/>
      <w:pPr>
        <w:ind w:left="4350" w:hanging="530"/>
      </w:pPr>
      <w:rPr>
        <w:rFonts w:hint="default"/>
        <w:lang w:val="en-US" w:eastAsia="zh-CN" w:bidi="ar-SA"/>
      </w:rPr>
    </w:lvl>
    <w:lvl w:ilvl="6">
      <w:start w:val="0"/>
      <w:numFmt w:val="bullet"/>
      <w:lvlText w:val="•"/>
      <w:lvlJc w:val="left"/>
      <w:pPr>
        <w:ind w:left="5072" w:hanging="530"/>
      </w:pPr>
      <w:rPr>
        <w:rFonts w:hint="default"/>
        <w:lang w:val="en-US" w:eastAsia="zh-CN" w:bidi="ar-SA"/>
      </w:rPr>
    </w:lvl>
    <w:lvl w:ilvl="7">
      <w:start w:val="0"/>
      <w:numFmt w:val="bullet"/>
      <w:lvlText w:val="•"/>
      <w:lvlJc w:val="left"/>
      <w:pPr>
        <w:ind w:left="5794" w:hanging="530"/>
      </w:pPr>
      <w:rPr>
        <w:rFonts w:hint="default"/>
        <w:lang w:val="en-US" w:eastAsia="zh-CN" w:bidi="ar-SA"/>
      </w:rPr>
    </w:lvl>
    <w:lvl w:ilvl="8">
      <w:start w:val="0"/>
      <w:numFmt w:val="bullet"/>
      <w:lvlText w:val="•"/>
      <w:lvlJc w:val="left"/>
      <w:pPr>
        <w:ind w:left="6516" w:hanging="530"/>
      </w:pPr>
      <w:rPr>
        <w:rFonts w:hint="default"/>
        <w:lang w:val="en-US" w:eastAsia="zh-CN" w:bidi="ar-SA"/>
      </w:rPr>
    </w:lvl>
  </w:abstractNum>
  <w:abstractNum w:abstractNumId="33">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32">
    <w:multiLevelType w:val="hybridMultilevel"/>
    <w:lvl w:ilvl="0">
      <w:start w:val="1"/>
      <w:numFmt w:val="decimal"/>
      <w:lvlText w:val="（%1）"/>
      <w:lvlJc w:val="left"/>
      <w:pPr>
        <w:ind w:left="322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42" w:hanging="530"/>
      </w:pPr>
      <w:rPr>
        <w:rFonts w:hint="default"/>
        <w:lang w:val="en-US" w:eastAsia="zh-CN" w:bidi="ar-SA"/>
      </w:rPr>
    </w:lvl>
    <w:lvl w:ilvl="2">
      <w:start w:val="0"/>
      <w:numFmt w:val="bullet"/>
      <w:lvlText w:val="•"/>
      <w:lvlJc w:val="left"/>
      <w:pPr>
        <w:ind w:left="4665" w:hanging="530"/>
      </w:pPr>
      <w:rPr>
        <w:rFonts w:hint="default"/>
        <w:lang w:val="en-US" w:eastAsia="zh-CN" w:bidi="ar-SA"/>
      </w:rPr>
    </w:lvl>
    <w:lvl w:ilvl="3">
      <w:start w:val="0"/>
      <w:numFmt w:val="bullet"/>
      <w:lvlText w:val="•"/>
      <w:lvlJc w:val="left"/>
      <w:pPr>
        <w:ind w:left="5387" w:hanging="530"/>
      </w:pPr>
      <w:rPr>
        <w:rFonts w:hint="default"/>
        <w:lang w:val="en-US" w:eastAsia="zh-CN" w:bidi="ar-SA"/>
      </w:rPr>
    </w:lvl>
    <w:lvl w:ilvl="4">
      <w:start w:val="0"/>
      <w:numFmt w:val="bullet"/>
      <w:lvlText w:val="•"/>
      <w:lvlJc w:val="left"/>
      <w:pPr>
        <w:ind w:left="6110" w:hanging="530"/>
      </w:pPr>
      <w:rPr>
        <w:rFonts w:hint="default"/>
        <w:lang w:val="en-US" w:eastAsia="zh-CN" w:bidi="ar-SA"/>
      </w:rPr>
    </w:lvl>
    <w:lvl w:ilvl="5">
      <w:start w:val="0"/>
      <w:numFmt w:val="bullet"/>
      <w:lvlText w:val="•"/>
      <w:lvlJc w:val="left"/>
      <w:pPr>
        <w:ind w:left="6833" w:hanging="530"/>
      </w:pPr>
      <w:rPr>
        <w:rFonts w:hint="default"/>
        <w:lang w:val="en-US" w:eastAsia="zh-CN" w:bidi="ar-SA"/>
      </w:rPr>
    </w:lvl>
    <w:lvl w:ilvl="6">
      <w:start w:val="0"/>
      <w:numFmt w:val="bullet"/>
      <w:lvlText w:val="•"/>
      <w:lvlJc w:val="left"/>
      <w:pPr>
        <w:ind w:left="7555" w:hanging="530"/>
      </w:pPr>
      <w:rPr>
        <w:rFonts w:hint="default"/>
        <w:lang w:val="en-US" w:eastAsia="zh-CN" w:bidi="ar-SA"/>
      </w:rPr>
    </w:lvl>
    <w:lvl w:ilvl="7">
      <w:start w:val="0"/>
      <w:numFmt w:val="bullet"/>
      <w:lvlText w:val="•"/>
      <w:lvlJc w:val="left"/>
      <w:pPr>
        <w:ind w:left="8278" w:hanging="530"/>
      </w:pPr>
      <w:rPr>
        <w:rFonts w:hint="default"/>
        <w:lang w:val="en-US" w:eastAsia="zh-CN" w:bidi="ar-SA"/>
      </w:rPr>
    </w:lvl>
    <w:lvl w:ilvl="8">
      <w:start w:val="0"/>
      <w:numFmt w:val="bullet"/>
      <w:lvlText w:val="•"/>
      <w:lvlJc w:val="left"/>
      <w:pPr>
        <w:ind w:left="9001" w:hanging="530"/>
      </w:pPr>
      <w:rPr>
        <w:rFonts w:hint="default"/>
        <w:lang w:val="en-US" w:eastAsia="zh-CN" w:bidi="ar-SA"/>
      </w:rPr>
    </w:lvl>
  </w:abstractNum>
  <w:abstractNum w:abstractNumId="31">
    <w:multiLevelType w:val="hybridMultilevel"/>
    <w:lvl w:ilvl="0">
      <w:start w:val="1"/>
      <w:numFmt w:val="decimal"/>
      <w:lvlText w:val="（%1）"/>
      <w:lvlJc w:val="left"/>
      <w:pPr>
        <w:ind w:left="214" w:hanging="530"/>
        <w:jc w:val="left"/>
      </w:pPr>
      <w:rPr>
        <w:rFonts w:hint="default" w:ascii="宋体" w:hAnsi="宋体" w:eastAsia="宋体" w:cs="宋体"/>
        <w:b w:val="0"/>
        <w:bCs w:val="0"/>
        <w:i w:val="0"/>
        <w:iCs w:val="0"/>
        <w:spacing w:val="-8"/>
        <w:w w:val="100"/>
        <w:sz w:val="19"/>
        <w:szCs w:val="19"/>
        <w:lang w:val="en-US" w:eastAsia="zh-CN" w:bidi="ar-SA"/>
      </w:rPr>
    </w:lvl>
    <w:lvl w:ilvl="1">
      <w:start w:val="0"/>
      <w:numFmt w:val="bullet"/>
      <w:lvlText w:val="•"/>
      <w:lvlJc w:val="left"/>
      <w:pPr>
        <w:ind w:left="994" w:hanging="530"/>
      </w:pPr>
      <w:rPr>
        <w:rFonts w:hint="default"/>
        <w:lang w:val="en-US" w:eastAsia="zh-CN" w:bidi="ar-SA"/>
      </w:rPr>
    </w:lvl>
    <w:lvl w:ilvl="2">
      <w:start w:val="0"/>
      <w:numFmt w:val="bullet"/>
      <w:lvlText w:val="•"/>
      <w:lvlJc w:val="left"/>
      <w:pPr>
        <w:ind w:left="176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316" w:hanging="530"/>
      </w:pPr>
      <w:rPr>
        <w:rFonts w:hint="default"/>
        <w:lang w:val="en-US" w:eastAsia="zh-CN" w:bidi="ar-SA"/>
      </w:rPr>
    </w:lvl>
    <w:lvl w:ilvl="5">
      <w:start w:val="0"/>
      <w:numFmt w:val="bullet"/>
      <w:lvlText w:val="•"/>
      <w:lvlJc w:val="left"/>
      <w:pPr>
        <w:ind w:left="4090" w:hanging="530"/>
      </w:pPr>
      <w:rPr>
        <w:rFonts w:hint="default"/>
        <w:lang w:val="en-US" w:eastAsia="zh-CN" w:bidi="ar-SA"/>
      </w:rPr>
    </w:lvl>
    <w:lvl w:ilvl="6">
      <w:start w:val="0"/>
      <w:numFmt w:val="bullet"/>
      <w:lvlText w:val="•"/>
      <w:lvlJc w:val="left"/>
      <w:pPr>
        <w:ind w:left="4864" w:hanging="530"/>
      </w:pPr>
      <w:rPr>
        <w:rFonts w:hint="default"/>
        <w:lang w:val="en-US" w:eastAsia="zh-CN" w:bidi="ar-SA"/>
      </w:rPr>
    </w:lvl>
    <w:lvl w:ilvl="7">
      <w:start w:val="0"/>
      <w:numFmt w:val="bullet"/>
      <w:lvlText w:val="•"/>
      <w:lvlJc w:val="left"/>
      <w:pPr>
        <w:ind w:left="5638" w:hanging="530"/>
      </w:pPr>
      <w:rPr>
        <w:rFonts w:hint="default"/>
        <w:lang w:val="en-US" w:eastAsia="zh-CN" w:bidi="ar-SA"/>
      </w:rPr>
    </w:lvl>
    <w:lvl w:ilvl="8">
      <w:start w:val="0"/>
      <w:numFmt w:val="bullet"/>
      <w:lvlText w:val="•"/>
      <w:lvlJc w:val="left"/>
      <w:pPr>
        <w:ind w:left="6412" w:hanging="530"/>
      </w:pPr>
      <w:rPr>
        <w:rFonts w:hint="default"/>
        <w:lang w:val="en-US" w:eastAsia="zh-CN" w:bidi="ar-SA"/>
      </w:rPr>
    </w:lvl>
  </w:abstractNum>
  <w:abstractNum w:abstractNumId="30">
    <w:multiLevelType w:val="hybridMultilevel"/>
    <w:lvl w:ilvl="0">
      <w:start w:val="1"/>
      <w:numFmt w:val="decimal"/>
      <w:lvlText w:val="（%1）"/>
      <w:lvlJc w:val="left"/>
      <w:pPr>
        <w:ind w:left="74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62" w:hanging="530"/>
      </w:pPr>
      <w:rPr>
        <w:rFonts w:hint="default"/>
        <w:lang w:val="en-US" w:eastAsia="zh-CN" w:bidi="ar-SA"/>
      </w:rPr>
    </w:lvl>
    <w:lvl w:ilvl="2">
      <w:start w:val="0"/>
      <w:numFmt w:val="bullet"/>
      <w:lvlText w:val="•"/>
      <w:lvlJc w:val="left"/>
      <w:pPr>
        <w:ind w:left="2184" w:hanging="530"/>
      </w:pPr>
      <w:rPr>
        <w:rFonts w:hint="default"/>
        <w:lang w:val="en-US" w:eastAsia="zh-CN" w:bidi="ar-SA"/>
      </w:rPr>
    </w:lvl>
    <w:lvl w:ilvl="3">
      <w:start w:val="0"/>
      <w:numFmt w:val="bullet"/>
      <w:lvlText w:val="•"/>
      <w:lvlJc w:val="left"/>
      <w:pPr>
        <w:ind w:left="2906" w:hanging="530"/>
      </w:pPr>
      <w:rPr>
        <w:rFonts w:hint="default"/>
        <w:lang w:val="en-US" w:eastAsia="zh-CN" w:bidi="ar-SA"/>
      </w:rPr>
    </w:lvl>
    <w:lvl w:ilvl="4">
      <w:start w:val="0"/>
      <w:numFmt w:val="bullet"/>
      <w:lvlText w:val="•"/>
      <w:lvlJc w:val="left"/>
      <w:pPr>
        <w:ind w:left="3628" w:hanging="530"/>
      </w:pPr>
      <w:rPr>
        <w:rFonts w:hint="default"/>
        <w:lang w:val="en-US" w:eastAsia="zh-CN" w:bidi="ar-SA"/>
      </w:rPr>
    </w:lvl>
    <w:lvl w:ilvl="5">
      <w:start w:val="0"/>
      <w:numFmt w:val="bullet"/>
      <w:lvlText w:val="•"/>
      <w:lvlJc w:val="left"/>
      <w:pPr>
        <w:ind w:left="4350" w:hanging="530"/>
      </w:pPr>
      <w:rPr>
        <w:rFonts w:hint="default"/>
        <w:lang w:val="en-US" w:eastAsia="zh-CN" w:bidi="ar-SA"/>
      </w:rPr>
    </w:lvl>
    <w:lvl w:ilvl="6">
      <w:start w:val="0"/>
      <w:numFmt w:val="bullet"/>
      <w:lvlText w:val="•"/>
      <w:lvlJc w:val="left"/>
      <w:pPr>
        <w:ind w:left="5072" w:hanging="530"/>
      </w:pPr>
      <w:rPr>
        <w:rFonts w:hint="default"/>
        <w:lang w:val="en-US" w:eastAsia="zh-CN" w:bidi="ar-SA"/>
      </w:rPr>
    </w:lvl>
    <w:lvl w:ilvl="7">
      <w:start w:val="0"/>
      <w:numFmt w:val="bullet"/>
      <w:lvlText w:val="•"/>
      <w:lvlJc w:val="left"/>
      <w:pPr>
        <w:ind w:left="5794" w:hanging="530"/>
      </w:pPr>
      <w:rPr>
        <w:rFonts w:hint="default"/>
        <w:lang w:val="en-US" w:eastAsia="zh-CN" w:bidi="ar-SA"/>
      </w:rPr>
    </w:lvl>
    <w:lvl w:ilvl="8">
      <w:start w:val="0"/>
      <w:numFmt w:val="bullet"/>
      <w:lvlText w:val="•"/>
      <w:lvlJc w:val="left"/>
      <w:pPr>
        <w:ind w:left="6516" w:hanging="530"/>
      </w:pPr>
      <w:rPr>
        <w:rFonts w:hint="default"/>
        <w:lang w:val="en-US" w:eastAsia="zh-CN" w:bidi="ar-SA"/>
      </w:rPr>
    </w:lvl>
  </w:abstractNum>
  <w:abstractNum w:abstractNumId="29">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7" w:hanging="530"/>
      </w:pPr>
      <w:rPr>
        <w:rFonts w:hint="default"/>
        <w:lang w:val="en-US" w:eastAsia="zh-CN" w:bidi="ar-SA"/>
      </w:rPr>
    </w:lvl>
  </w:abstractNum>
  <w:abstractNum w:abstractNumId="28">
    <w:multiLevelType w:val="hybridMultilevel"/>
    <w:lvl w:ilvl="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6" w:hanging="530"/>
      </w:pPr>
      <w:rPr>
        <w:rFonts w:hint="default"/>
        <w:lang w:val="en-US" w:eastAsia="zh-CN" w:bidi="ar-SA"/>
      </w:rPr>
    </w:lvl>
  </w:abstractNum>
  <w:abstractNum w:abstractNumId="27">
    <w:multiLevelType w:val="hybridMultilevel"/>
    <w:lvl w:ilvl="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30"/>
      </w:pPr>
      <w:rPr>
        <w:rFonts w:hint="default"/>
        <w:lang w:val="en-US" w:eastAsia="zh-CN" w:bidi="ar-SA"/>
      </w:rPr>
    </w:lvl>
    <w:lvl w:ilvl="2">
      <w:start w:val="0"/>
      <w:numFmt w:val="bullet"/>
      <w:lvlText w:val="•"/>
      <w:lvlJc w:val="left"/>
      <w:pPr>
        <w:ind w:left="2144" w:hanging="530"/>
      </w:pPr>
      <w:rPr>
        <w:rFonts w:hint="default"/>
        <w:lang w:val="en-US" w:eastAsia="zh-CN" w:bidi="ar-SA"/>
      </w:rPr>
    </w:lvl>
    <w:lvl w:ilvl="3">
      <w:start w:val="0"/>
      <w:numFmt w:val="bullet"/>
      <w:lvlText w:val="•"/>
      <w:lvlJc w:val="left"/>
      <w:pPr>
        <w:ind w:left="2866" w:hanging="530"/>
      </w:pPr>
      <w:rPr>
        <w:rFonts w:hint="default"/>
        <w:lang w:val="en-US" w:eastAsia="zh-CN" w:bidi="ar-SA"/>
      </w:rPr>
    </w:lvl>
    <w:lvl w:ilvl="4">
      <w:start w:val="0"/>
      <w:numFmt w:val="bullet"/>
      <w:lvlText w:val="•"/>
      <w:lvlJc w:val="left"/>
      <w:pPr>
        <w:ind w:left="3588" w:hanging="530"/>
      </w:pPr>
      <w:rPr>
        <w:rFonts w:hint="default"/>
        <w:lang w:val="en-US" w:eastAsia="zh-CN" w:bidi="ar-SA"/>
      </w:rPr>
    </w:lvl>
    <w:lvl w:ilvl="5">
      <w:start w:val="0"/>
      <w:numFmt w:val="bullet"/>
      <w:lvlText w:val="•"/>
      <w:lvlJc w:val="left"/>
      <w:pPr>
        <w:ind w:left="4310" w:hanging="530"/>
      </w:pPr>
      <w:rPr>
        <w:rFonts w:hint="default"/>
        <w:lang w:val="en-US" w:eastAsia="zh-CN" w:bidi="ar-SA"/>
      </w:rPr>
    </w:lvl>
    <w:lvl w:ilvl="6">
      <w:start w:val="0"/>
      <w:numFmt w:val="bullet"/>
      <w:lvlText w:val="•"/>
      <w:lvlJc w:val="left"/>
      <w:pPr>
        <w:ind w:left="5032" w:hanging="530"/>
      </w:pPr>
      <w:rPr>
        <w:rFonts w:hint="default"/>
        <w:lang w:val="en-US" w:eastAsia="zh-CN" w:bidi="ar-SA"/>
      </w:rPr>
    </w:lvl>
    <w:lvl w:ilvl="7">
      <w:start w:val="0"/>
      <w:numFmt w:val="bullet"/>
      <w:lvlText w:val="•"/>
      <w:lvlJc w:val="left"/>
      <w:pPr>
        <w:ind w:left="5754" w:hanging="530"/>
      </w:pPr>
      <w:rPr>
        <w:rFonts w:hint="default"/>
        <w:lang w:val="en-US" w:eastAsia="zh-CN" w:bidi="ar-SA"/>
      </w:rPr>
    </w:lvl>
    <w:lvl w:ilvl="8">
      <w:start w:val="0"/>
      <w:numFmt w:val="bullet"/>
      <w:lvlText w:val="•"/>
      <w:lvlJc w:val="left"/>
      <w:pPr>
        <w:ind w:left="6476" w:hanging="530"/>
      </w:pPr>
      <w:rPr>
        <w:rFonts w:hint="default"/>
        <w:lang w:val="en-US" w:eastAsia="zh-CN" w:bidi="ar-SA"/>
      </w:rPr>
    </w:lvl>
  </w:abstractNum>
  <w:abstractNum w:abstractNumId="26">
    <w:multiLevelType w:val="hybridMultilevel"/>
    <w:lvl w:ilvl="0">
      <w:start w:val="1"/>
      <w:numFmt w:val="lowerLetter"/>
      <w:lvlText w:val="%1."/>
      <w:lvlJc w:val="left"/>
      <w:pPr>
        <w:ind w:left="2699" w:hanging="213"/>
        <w:jc w:val="left"/>
      </w:pPr>
      <w:rPr>
        <w:rFonts w:hint="default" w:ascii="微软雅黑" w:hAnsi="微软雅黑" w:eastAsia="微软雅黑" w:cs="微软雅黑"/>
        <w:b/>
        <w:bCs/>
        <w:i w:val="0"/>
        <w:iCs w:val="0"/>
        <w:w w:val="116"/>
        <w:sz w:val="19"/>
        <w:szCs w:val="19"/>
        <w:lang w:val="en-US" w:eastAsia="zh-CN" w:bidi="ar-SA"/>
      </w:rPr>
    </w:lvl>
    <w:lvl w:ilvl="1">
      <w:start w:val="0"/>
      <w:numFmt w:val="bullet"/>
      <w:lvlText w:val="•"/>
      <w:lvlJc w:val="left"/>
      <w:pPr>
        <w:ind w:left="3474" w:hanging="213"/>
      </w:pPr>
      <w:rPr>
        <w:rFonts w:hint="default"/>
        <w:lang w:val="en-US" w:eastAsia="zh-CN" w:bidi="ar-SA"/>
      </w:rPr>
    </w:lvl>
    <w:lvl w:ilvl="2">
      <w:start w:val="0"/>
      <w:numFmt w:val="bullet"/>
      <w:lvlText w:val="•"/>
      <w:lvlJc w:val="left"/>
      <w:pPr>
        <w:ind w:left="4249" w:hanging="213"/>
      </w:pPr>
      <w:rPr>
        <w:rFonts w:hint="default"/>
        <w:lang w:val="en-US" w:eastAsia="zh-CN" w:bidi="ar-SA"/>
      </w:rPr>
    </w:lvl>
    <w:lvl w:ilvl="3">
      <w:start w:val="0"/>
      <w:numFmt w:val="bullet"/>
      <w:lvlText w:val="•"/>
      <w:lvlJc w:val="left"/>
      <w:pPr>
        <w:ind w:left="5023" w:hanging="213"/>
      </w:pPr>
      <w:rPr>
        <w:rFonts w:hint="default"/>
        <w:lang w:val="en-US" w:eastAsia="zh-CN" w:bidi="ar-SA"/>
      </w:rPr>
    </w:lvl>
    <w:lvl w:ilvl="4">
      <w:start w:val="0"/>
      <w:numFmt w:val="bullet"/>
      <w:lvlText w:val="•"/>
      <w:lvlJc w:val="left"/>
      <w:pPr>
        <w:ind w:left="5798" w:hanging="213"/>
      </w:pPr>
      <w:rPr>
        <w:rFonts w:hint="default"/>
        <w:lang w:val="en-US" w:eastAsia="zh-CN" w:bidi="ar-SA"/>
      </w:rPr>
    </w:lvl>
    <w:lvl w:ilvl="5">
      <w:start w:val="0"/>
      <w:numFmt w:val="bullet"/>
      <w:lvlText w:val="•"/>
      <w:lvlJc w:val="left"/>
      <w:pPr>
        <w:ind w:left="6573" w:hanging="213"/>
      </w:pPr>
      <w:rPr>
        <w:rFonts w:hint="default"/>
        <w:lang w:val="en-US" w:eastAsia="zh-CN" w:bidi="ar-SA"/>
      </w:rPr>
    </w:lvl>
    <w:lvl w:ilvl="6">
      <w:start w:val="0"/>
      <w:numFmt w:val="bullet"/>
      <w:lvlText w:val="•"/>
      <w:lvlJc w:val="left"/>
      <w:pPr>
        <w:ind w:left="7347" w:hanging="213"/>
      </w:pPr>
      <w:rPr>
        <w:rFonts w:hint="default"/>
        <w:lang w:val="en-US" w:eastAsia="zh-CN" w:bidi="ar-SA"/>
      </w:rPr>
    </w:lvl>
    <w:lvl w:ilvl="7">
      <w:start w:val="0"/>
      <w:numFmt w:val="bullet"/>
      <w:lvlText w:val="•"/>
      <w:lvlJc w:val="left"/>
      <w:pPr>
        <w:ind w:left="8122" w:hanging="213"/>
      </w:pPr>
      <w:rPr>
        <w:rFonts w:hint="default"/>
        <w:lang w:val="en-US" w:eastAsia="zh-CN" w:bidi="ar-SA"/>
      </w:rPr>
    </w:lvl>
    <w:lvl w:ilvl="8">
      <w:start w:val="0"/>
      <w:numFmt w:val="bullet"/>
      <w:lvlText w:val="•"/>
      <w:lvlJc w:val="left"/>
      <w:pPr>
        <w:ind w:left="8897" w:hanging="213"/>
      </w:pPr>
      <w:rPr>
        <w:rFonts w:hint="default"/>
        <w:lang w:val="en-US" w:eastAsia="zh-CN" w:bidi="ar-SA"/>
      </w:rPr>
    </w:lvl>
  </w:abstractNum>
  <w:abstractNum w:abstractNumId="25">
    <w:multiLevelType w:val="hybridMultilevel"/>
    <w:lvl w:ilvl="0">
      <w:start w:val="1"/>
      <w:numFmt w:val="decimal"/>
      <w:lvlText w:val="%1."/>
      <w:lvlJc w:val="left"/>
      <w:pPr>
        <w:ind w:left="1398" w:hanging="327"/>
        <w:jc w:val="left"/>
      </w:pPr>
      <w:rPr>
        <w:rFonts w:hint="default" w:ascii="微软雅黑" w:hAnsi="微软雅黑" w:eastAsia="微软雅黑" w:cs="微软雅黑"/>
        <w:b/>
        <w:bCs/>
        <w:i w:val="0"/>
        <w:iCs w:val="0"/>
        <w:w w:val="99"/>
        <w:sz w:val="21"/>
        <w:szCs w:val="21"/>
        <w:lang w:val="en-US" w:eastAsia="zh-CN" w:bidi="ar-SA"/>
      </w:rPr>
    </w:lvl>
    <w:lvl w:ilvl="1">
      <w:start w:val="1"/>
      <w:numFmt w:val="decimal"/>
      <w:lvlText w:val="（%2）"/>
      <w:lvlJc w:val="left"/>
      <w:pPr>
        <w:ind w:left="3229" w:hanging="530"/>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138" w:hanging="530"/>
      </w:pPr>
      <w:rPr>
        <w:rFonts w:hint="default"/>
        <w:lang w:val="en-US" w:eastAsia="zh-CN" w:bidi="ar-SA"/>
      </w:rPr>
    </w:lvl>
    <w:lvl w:ilvl="3">
      <w:start w:val="0"/>
      <w:numFmt w:val="bullet"/>
      <w:lvlText w:val="•"/>
      <w:lvlJc w:val="left"/>
      <w:pPr>
        <w:ind w:left="3056" w:hanging="530"/>
      </w:pPr>
      <w:rPr>
        <w:rFonts w:hint="default"/>
        <w:lang w:val="en-US" w:eastAsia="zh-CN" w:bidi="ar-SA"/>
      </w:rPr>
    </w:lvl>
    <w:lvl w:ilvl="4">
      <w:start w:val="0"/>
      <w:numFmt w:val="bullet"/>
      <w:lvlText w:val="•"/>
      <w:lvlJc w:val="left"/>
      <w:pPr>
        <w:ind w:left="2975" w:hanging="530"/>
      </w:pPr>
      <w:rPr>
        <w:rFonts w:hint="default"/>
        <w:lang w:val="en-US" w:eastAsia="zh-CN" w:bidi="ar-SA"/>
      </w:rPr>
    </w:lvl>
    <w:lvl w:ilvl="5">
      <w:start w:val="0"/>
      <w:numFmt w:val="bullet"/>
      <w:lvlText w:val="•"/>
      <w:lvlJc w:val="left"/>
      <w:pPr>
        <w:ind w:left="2893" w:hanging="530"/>
      </w:pPr>
      <w:rPr>
        <w:rFonts w:hint="default"/>
        <w:lang w:val="en-US" w:eastAsia="zh-CN" w:bidi="ar-SA"/>
      </w:rPr>
    </w:lvl>
    <w:lvl w:ilvl="6">
      <w:start w:val="0"/>
      <w:numFmt w:val="bullet"/>
      <w:lvlText w:val="•"/>
      <w:lvlJc w:val="left"/>
      <w:pPr>
        <w:ind w:left="2812" w:hanging="530"/>
      </w:pPr>
      <w:rPr>
        <w:rFonts w:hint="default"/>
        <w:lang w:val="en-US" w:eastAsia="zh-CN" w:bidi="ar-SA"/>
      </w:rPr>
    </w:lvl>
    <w:lvl w:ilvl="7">
      <w:start w:val="0"/>
      <w:numFmt w:val="bullet"/>
      <w:lvlText w:val="•"/>
      <w:lvlJc w:val="left"/>
      <w:pPr>
        <w:ind w:left="2730" w:hanging="530"/>
      </w:pPr>
      <w:rPr>
        <w:rFonts w:hint="default"/>
        <w:lang w:val="en-US" w:eastAsia="zh-CN" w:bidi="ar-SA"/>
      </w:rPr>
    </w:lvl>
    <w:lvl w:ilvl="8">
      <w:start w:val="0"/>
      <w:numFmt w:val="bullet"/>
      <w:lvlText w:val="•"/>
      <w:lvlJc w:val="left"/>
      <w:pPr>
        <w:ind w:left="2649" w:hanging="530"/>
      </w:pPr>
      <w:rPr>
        <w:rFonts w:hint="default"/>
        <w:lang w:val="en-US" w:eastAsia="zh-CN" w:bidi="ar-SA"/>
      </w:rPr>
    </w:lvl>
  </w:abstractNum>
  <w:abstractNum w:abstractNumId="24">
    <w:multiLevelType w:val="hybridMultilevel"/>
    <w:lvl w:ilvl="0">
      <w:start w:val="1"/>
      <w:numFmt w:val="decimal"/>
      <w:lvlText w:val="（%1）"/>
      <w:lvlJc w:val="left"/>
      <w:pPr>
        <w:ind w:left="844" w:hanging="625"/>
        <w:jc w:val="righ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52" w:hanging="625"/>
      </w:pPr>
      <w:rPr>
        <w:rFonts w:hint="default"/>
        <w:lang w:val="en-US" w:eastAsia="zh-CN" w:bidi="ar-SA"/>
      </w:rPr>
    </w:lvl>
    <w:lvl w:ilvl="2">
      <w:start w:val="0"/>
      <w:numFmt w:val="bullet"/>
      <w:lvlText w:val="•"/>
      <w:lvlJc w:val="left"/>
      <w:pPr>
        <w:ind w:left="2265" w:hanging="625"/>
      </w:pPr>
      <w:rPr>
        <w:rFonts w:hint="default"/>
        <w:lang w:val="en-US" w:eastAsia="zh-CN" w:bidi="ar-SA"/>
      </w:rPr>
    </w:lvl>
    <w:lvl w:ilvl="3">
      <w:start w:val="0"/>
      <w:numFmt w:val="bullet"/>
      <w:lvlText w:val="•"/>
      <w:lvlJc w:val="left"/>
      <w:pPr>
        <w:ind w:left="2978" w:hanging="625"/>
      </w:pPr>
      <w:rPr>
        <w:rFonts w:hint="default"/>
        <w:lang w:val="en-US" w:eastAsia="zh-CN" w:bidi="ar-SA"/>
      </w:rPr>
    </w:lvl>
    <w:lvl w:ilvl="4">
      <w:start w:val="0"/>
      <w:numFmt w:val="bullet"/>
      <w:lvlText w:val="•"/>
      <w:lvlJc w:val="left"/>
      <w:pPr>
        <w:ind w:left="3690" w:hanging="625"/>
      </w:pPr>
      <w:rPr>
        <w:rFonts w:hint="default"/>
        <w:lang w:val="en-US" w:eastAsia="zh-CN" w:bidi="ar-SA"/>
      </w:rPr>
    </w:lvl>
    <w:lvl w:ilvl="5">
      <w:start w:val="0"/>
      <w:numFmt w:val="bullet"/>
      <w:lvlText w:val="•"/>
      <w:lvlJc w:val="left"/>
      <w:pPr>
        <w:ind w:left="4403" w:hanging="625"/>
      </w:pPr>
      <w:rPr>
        <w:rFonts w:hint="default"/>
        <w:lang w:val="en-US" w:eastAsia="zh-CN" w:bidi="ar-SA"/>
      </w:rPr>
    </w:lvl>
    <w:lvl w:ilvl="6">
      <w:start w:val="0"/>
      <w:numFmt w:val="bullet"/>
      <w:lvlText w:val="•"/>
      <w:lvlJc w:val="left"/>
      <w:pPr>
        <w:ind w:left="5116" w:hanging="625"/>
      </w:pPr>
      <w:rPr>
        <w:rFonts w:hint="default"/>
        <w:lang w:val="en-US" w:eastAsia="zh-CN" w:bidi="ar-SA"/>
      </w:rPr>
    </w:lvl>
    <w:lvl w:ilvl="7">
      <w:start w:val="0"/>
      <w:numFmt w:val="bullet"/>
      <w:lvlText w:val="•"/>
      <w:lvlJc w:val="left"/>
      <w:pPr>
        <w:ind w:left="5828" w:hanging="625"/>
      </w:pPr>
      <w:rPr>
        <w:rFonts w:hint="default"/>
        <w:lang w:val="en-US" w:eastAsia="zh-CN" w:bidi="ar-SA"/>
      </w:rPr>
    </w:lvl>
    <w:lvl w:ilvl="8">
      <w:start w:val="0"/>
      <w:numFmt w:val="bullet"/>
      <w:lvlText w:val="•"/>
      <w:lvlJc w:val="left"/>
      <w:pPr>
        <w:ind w:left="6541" w:hanging="625"/>
      </w:pPr>
      <w:rPr>
        <w:rFonts w:hint="default"/>
        <w:lang w:val="en-US" w:eastAsia="zh-CN" w:bidi="ar-SA"/>
      </w:rPr>
    </w:lvl>
  </w:abstractNum>
  <w:abstractNum w:abstractNumId="23">
    <w:multiLevelType w:val="hybridMultilevel"/>
    <w:lvl w:ilvl="0">
      <w:start w:val="7"/>
      <w:numFmt w:val="decimal"/>
      <w:lvlText w:val="%1"/>
      <w:lvlJc w:val="left"/>
      <w:pPr>
        <w:ind w:left="2699" w:hanging="853"/>
        <w:jc w:val="left"/>
      </w:pPr>
      <w:rPr>
        <w:rFonts w:hint="default"/>
        <w:lang w:val="en-US" w:eastAsia="zh-CN" w:bidi="ar-SA"/>
      </w:rPr>
    </w:lvl>
    <w:lvl w:ilvl="1">
      <w:start w:val="1"/>
      <w:numFmt w:val="decimal"/>
      <w:lvlText w:val="%1.%2"/>
      <w:lvlJc w:val="left"/>
      <w:pPr>
        <w:ind w:left="2699" w:hanging="853"/>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276" w:hanging="577"/>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4872" w:hanging="577"/>
      </w:pPr>
      <w:rPr>
        <w:rFonts w:hint="default"/>
        <w:lang w:val="en-US" w:eastAsia="zh-CN" w:bidi="ar-SA"/>
      </w:rPr>
    </w:lvl>
    <w:lvl w:ilvl="4">
      <w:start w:val="0"/>
      <w:numFmt w:val="bullet"/>
      <w:lvlText w:val="•"/>
      <w:lvlJc w:val="left"/>
      <w:pPr>
        <w:ind w:left="5668" w:hanging="577"/>
      </w:pPr>
      <w:rPr>
        <w:rFonts w:hint="default"/>
        <w:lang w:val="en-US" w:eastAsia="zh-CN" w:bidi="ar-SA"/>
      </w:rPr>
    </w:lvl>
    <w:lvl w:ilvl="5">
      <w:start w:val="0"/>
      <w:numFmt w:val="bullet"/>
      <w:lvlText w:val="•"/>
      <w:lvlJc w:val="left"/>
      <w:pPr>
        <w:ind w:left="6465" w:hanging="577"/>
      </w:pPr>
      <w:rPr>
        <w:rFonts w:hint="default"/>
        <w:lang w:val="en-US" w:eastAsia="zh-CN" w:bidi="ar-SA"/>
      </w:rPr>
    </w:lvl>
    <w:lvl w:ilvl="6">
      <w:start w:val="0"/>
      <w:numFmt w:val="bullet"/>
      <w:lvlText w:val="•"/>
      <w:lvlJc w:val="left"/>
      <w:pPr>
        <w:ind w:left="7261" w:hanging="577"/>
      </w:pPr>
      <w:rPr>
        <w:rFonts w:hint="default"/>
        <w:lang w:val="en-US" w:eastAsia="zh-CN" w:bidi="ar-SA"/>
      </w:rPr>
    </w:lvl>
    <w:lvl w:ilvl="7">
      <w:start w:val="0"/>
      <w:numFmt w:val="bullet"/>
      <w:lvlText w:val="•"/>
      <w:lvlJc w:val="left"/>
      <w:pPr>
        <w:ind w:left="8057" w:hanging="577"/>
      </w:pPr>
      <w:rPr>
        <w:rFonts w:hint="default"/>
        <w:lang w:val="en-US" w:eastAsia="zh-CN" w:bidi="ar-SA"/>
      </w:rPr>
    </w:lvl>
    <w:lvl w:ilvl="8">
      <w:start w:val="0"/>
      <w:numFmt w:val="bullet"/>
      <w:lvlText w:val="•"/>
      <w:lvlJc w:val="left"/>
      <w:pPr>
        <w:ind w:left="8853" w:hanging="577"/>
      </w:pPr>
      <w:rPr>
        <w:rFonts w:hint="default"/>
        <w:lang w:val="en-US" w:eastAsia="zh-CN" w:bidi="ar-SA"/>
      </w:rPr>
    </w:lvl>
  </w:abstractNum>
  <w:abstractNum w:abstractNumId="22">
    <w:multiLevelType w:val="hybridMultilevel"/>
    <w:lvl w:ilvl="0">
      <w:start w:val="6"/>
      <w:numFmt w:val="decimal"/>
      <w:lvlText w:val="%1"/>
      <w:lvlJc w:val="left"/>
      <w:pPr>
        <w:ind w:left="1072" w:hanging="853"/>
        <w:jc w:val="left"/>
      </w:pPr>
      <w:rPr>
        <w:rFonts w:hint="default"/>
        <w:lang w:val="en-US" w:eastAsia="zh-CN" w:bidi="ar-SA"/>
      </w:rPr>
    </w:lvl>
    <w:lvl w:ilvl="1">
      <w:start w:val="1"/>
      <w:numFmt w:val="decimal"/>
      <w:lvlText w:val="%1.%2"/>
      <w:lvlJc w:val="left"/>
      <w:pPr>
        <w:ind w:left="1072" w:hanging="853"/>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2953" w:hanging="853"/>
      </w:pPr>
      <w:rPr>
        <w:rFonts w:hint="default"/>
        <w:lang w:val="en-US" w:eastAsia="zh-CN" w:bidi="ar-SA"/>
      </w:rPr>
    </w:lvl>
    <w:lvl w:ilvl="3">
      <w:start w:val="0"/>
      <w:numFmt w:val="bullet"/>
      <w:lvlText w:val="•"/>
      <w:lvlJc w:val="left"/>
      <w:pPr>
        <w:ind w:left="3889" w:hanging="853"/>
      </w:pPr>
      <w:rPr>
        <w:rFonts w:hint="default"/>
        <w:lang w:val="en-US" w:eastAsia="zh-CN" w:bidi="ar-SA"/>
      </w:rPr>
    </w:lvl>
    <w:lvl w:ilvl="4">
      <w:start w:val="0"/>
      <w:numFmt w:val="bullet"/>
      <w:lvlText w:val="•"/>
      <w:lvlJc w:val="left"/>
      <w:pPr>
        <w:ind w:left="4826" w:hanging="853"/>
      </w:pPr>
      <w:rPr>
        <w:rFonts w:hint="default"/>
        <w:lang w:val="en-US" w:eastAsia="zh-CN" w:bidi="ar-SA"/>
      </w:rPr>
    </w:lvl>
    <w:lvl w:ilvl="5">
      <w:start w:val="0"/>
      <w:numFmt w:val="bullet"/>
      <w:lvlText w:val="•"/>
      <w:lvlJc w:val="left"/>
      <w:pPr>
        <w:ind w:left="5763" w:hanging="853"/>
      </w:pPr>
      <w:rPr>
        <w:rFonts w:hint="default"/>
        <w:lang w:val="en-US" w:eastAsia="zh-CN" w:bidi="ar-SA"/>
      </w:rPr>
    </w:lvl>
    <w:lvl w:ilvl="6">
      <w:start w:val="0"/>
      <w:numFmt w:val="bullet"/>
      <w:lvlText w:val="•"/>
      <w:lvlJc w:val="left"/>
      <w:pPr>
        <w:ind w:left="6699" w:hanging="853"/>
      </w:pPr>
      <w:rPr>
        <w:rFonts w:hint="default"/>
        <w:lang w:val="en-US" w:eastAsia="zh-CN" w:bidi="ar-SA"/>
      </w:rPr>
    </w:lvl>
    <w:lvl w:ilvl="7">
      <w:start w:val="0"/>
      <w:numFmt w:val="bullet"/>
      <w:lvlText w:val="•"/>
      <w:lvlJc w:val="left"/>
      <w:pPr>
        <w:ind w:left="7636" w:hanging="853"/>
      </w:pPr>
      <w:rPr>
        <w:rFonts w:hint="default"/>
        <w:lang w:val="en-US" w:eastAsia="zh-CN" w:bidi="ar-SA"/>
      </w:rPr>
    </w:lvl>
    <w:lvl w:ilvl="8">
      <w:start w:val="0"/>
      <w:numFmt w:val="bullet"/>
      <w:lvlText w:val="•"/>
      <w:lvlJc w:val="left"/>
      <w:pPr>
        <w:ind w:left="8573" w:hanging="853"/>
      </w:pPr>
      <w:rPr>
        <w:rFonts w:hint="default"/>
        <w:lang w:val="en-US" w:eastAsia="zh-CN" w:bidi="ar-SA"/>
      </w:rPr>
    </w:lvl>
  </w:abstractNum>
  <w:abstractNum w:abstractNumId="21">
    <w:multiLevelType w:val="hybridMultilevel"/>
    <w:lvl w:ilvl="0">
      <w:start w:val="5"/>
      <w:numFmt w:val="decimal"/>
      <w:lvlText w:val="%1"/>
      <w:lvlJc w:val="left"/>
      <w:pPr>
        <w:ind w:left="2699" w:hanging="853"/>
        <w:jc w:val="left"/>
      </w:pPr>
      <w:rPr>
        <w:rFonts w:hint="default"/>
        <w:lang w:val="en-US" w:eastAsia="zh-CN" w:bidi="ar-SA"/>
      </w:rPr>
    </w:lvl>
    <w:lvl w:ilvl="1">
      <w:start w:val="1"/>
      <w:numFmt w:val="decimal"/>
      <w:lvlText w:val="%1.%2"/>
      <w:lvlJc w:val="left"/>
      <w:pPr>
        <w:ind w:left="2699" w:hanging="853"/>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249" w:hanging="853"/>
      </w:pPr>
      <w:rPr>
        <w:rFonts w:hint="default"/>
        <w:lang w:val="en-US" w:eastAsia="zh-CN" w:bidi="ar-SA"/>
      </w:rPr>
    </w:lvl>
    <w:lvl w:ilvl="3">
      <w:start w:val="0"/>
      <w:numFmt w:val="bullet"/>
      <w:lvlText w:val="•"/>
      <w:lvlJc w:val="left"/>
      <w:pPr>
        <w:ind w:left="5023" w:hanging="853"/>
      </w:pPr>
      <w:rPr>
        <w:rFonts w:hint="default"/>
        <w:lang w:val="en-US" w:eastAsia="zh-CN" w:bidi="ar-SA"/>
      </w:rPr>
    </w:lvl>
    <w:lvl w:ilvl="4">
      <w:start w:val="0"/>
      <w:numFmt w:val="bullet"/>
      <w:lvlText w:val="•"/>
      <w:lvlJc w:val="left"/>
      <w:pPr>
        <w:ind w:left="5798" w:hanging="853"/>
      </w:pPr>
      <w:rPr>
        <w:rFonts w:hint="default"/>
        <w:lang w:val="en-US" w:eastAsia="zh-CN" w:bidi="ar-SA"/>
      </w:rPr>
    </w:lvl>
    <w:lvl w:ilvl="5">
      <w:start w:val="0"/>
      <w:numFmt w:val="bullet"/>
      <w:lvlText w:val="•"/>
      <w:lvlJc w:val="left"/>
      <w:pPr>
        <w:ind w:left="6573" w:hanging="853"/>
      </w:pPr>
      <w:rPr>
        <w:rFonts w:hint="default"/>
        <w:lang w:val="en-US" w:eastAsia="zh-CN" w:bidi="ar-SA"/>
      </w:rPr>
    </w:lvl>
    <w:lvl w:ilvl="6">
      <w:start w:val="0"/>
      <w:numFmt w:val="bullet"/>
      <w:lvlText w:val="•"/>
      <w:lvlJc w:val="left"/>
      <w:pPr>
        <w:ind w:left="7347" w:hanging="853"/>
      </w:pPr>
      <w:rPr>
        <w:rFonts w:hint="default"/>
        <w:lang w:val="en-US" w:eastAsia="zh-CN" w:bidi="ar-SA"/>
      </w:rPr>
    </w:lvl>
    <w:lvl w:ilvl="7">
      <w:start w:val="0"/>
      <w:numFmt w:val="bullet"/>
      <w:lvlText w:val="•"/>
      <w:lvlJc w:val="left"/>
      <w:pPr>
        <w:ind w:left="8122" w:hanging="853"/>
      </w:pPr>
      <w:rPr>
        <w:rFonts w:hint="default"/>
        <w:lang w:val="en-US" w:eastAsia="zh-CN" w:bidi="ar-SA"/>
      </w:rPr>
    </w:lvl>
    <w:lvl w:ilvl="8">
      <w:start w:val="0"/>
      <w:numFmt w:val="bullet"/>
      <w:lvlText w:val="•"/>
      <w:lvlJc w:val="left"/>
      <w:pPr>
        <w:ind w:left="8897" w:hanging="853"/>
      </w:pPr>
      <w:rPr>
        <w:rFonts w:hint="default"/>
        <w:lang w:val="en-US" w:eastAsia="zh-CN" w:bidi="ar-SA"/>
      </w:rPr>
    </w:lvl>
  </w:abstractNum>
  <w:abstractNum w:abstractNumId="20">
    <w:multiLevelType w:val="hybridMultilevel"/>
    <w:lvl w:ilvl="0">
      <w:start w:val="4"/>
      <w:numFmt w:val="decimal"/>
      <w:lvlText w:val="%1"/>
      <w:lvlJc w:val="left"/>
      <w:pPr>
        <w:ind w:left="2699" w:hanging="853"/>
        <w:jc w:val="left"/>
      </w:pPr>
      <w:rPr>
        <w:rFonts w:hint="default"/>
        <w:lang w:val="en-US" w:eastAsia="zh-CN" w:bidi="ar-SA"/>
      </w:rPr>
    </w:lvl>
    <w:lvl w:ilvl="1">
      <w:start w:val="1"/>
      <w:numFmt w:val="decimal"/>
      <w:lvlText w:val="%1.%2"/>
      <w:lvlJc w:val="left"/>
      <w:pPr>
        <w:ind w:left="2699" w:hanging="853"/>
        <w:jc w:val="left"/>
      </w:pPr>
      <w:rPr>
        <w:rFonts w:hint="default" w:ascii="微软雅黑" w:hAnsi="微软雅黑" w:eastAsia="微软雅黑" w:cs="微软雅黑"/>
        <w:b/>
        <w:bCs/>
        <w:i w:val="0"/>
        <w:iCs w:val="0"/>
        <w:w w:val="99"/>
        <w:position w:val="-2"/>
        <w:sz w:val="21"/>
        <w:szCs w:val="21"/>
        <w:lang w:val="en-US" w:eastAsia="zh-CN" w:bidi="ar-SA"/>
      </w:rPr>
    </w:lvl>
    <w:lvl w:ilvl="2">
      <w:start w:val="0"/>
      <w:numFmt w:val="bullet"/>
      <w:lvlText w:val="•"/>
      <w:lvlJc w:val="left"/>
      <w:pPr>
        <w:ind w:left="4249" w:hanging="853"/>
      </w:pPr>
      <w:rPr>
        <w:rFonts w:hint="default"/>
        <w:lang w:val="en-US" w:eastAsia="zh-CN" w:bidi="ar-SA"/>
      </w:rPr>
    </w:lvl>
    <w:lvl w:ilvl="3">
      <w:start w:val="0"/>
      <w:numFmt w:val="bullet"/>
      <w:lvlText w:val="•"/>
      <w:lvlJc w:val="left"/>
      <w:pPr>
        <w:ind w:left="5023" w:hanging="853"/>
      </w:pPr>
      <w:rPr>
        <w:rFonts w:hint="default"/>
        <w:lang w:val="en-US" w:eastAsia="zh-CN" w:bidi="ar-SA"/>
      </w:rPr>
    </w:lvl>
    <w:lvl w:ilvl="4">
      <w:start w:val="0"/>
      <w:numFmt w:val="bullet"/>
      <w:lvlText w:val="•"/>
      <w:lvlJc w:val="left"/>
      <w:pPr>
        <w:ind w:left="5798" w:hanging="853"/>
      </w:pPr>
      <w:rPr>
        <w:rFonts w:hint="default"/>
        <w:lang w:val="en-US" w:eastAsia="zh-CN" w:bidi="ar-SA"/>
      </w:rPr>
    </w:lvl>
    <w:lvl w:ilvl="5">
      <w:start w:val="0"/>
      <w:numFmt w:val="bullet"/>
      <w:lvlText w:val="•"/>
      <w:lvlJc w:val="left"/>
      <w:pPr>
        <w:ind w:left="6573" w:hanging="853"/>
      </w:pPr>
      <w:rPr>
        <w:rFonts w:hint="default"/>
        <w:lang w:val="en-US" w:eastAsia="zh-CN" w:bidi="ar-SA"/>
      </w:rPr>
    </w:lvl>
    <w:lvl w:ilvl="6">
      <w:start w:val="0"/>
      <w:numFmt w:val="bullet"/>
      <w:lvlText w:val="•"/>
      <w:lvlJc w:val="left"/>
      <w:pPr>
        <w:ind w:left="7347" w:hanging="853"/>
      </w:pPr>
      <w:rPr>
        <w:rFonts w:hint="default"/>
        <w:lang w:val="en-US" w:eastAsia="zh-CN" w:bidi="ar-SA"/>
      </w:rPr>
    </w:lvl>
    <w:lvl w:ilvl="7">
      <w:start w:val="0"/>
      <w:numFmt w:val="bullet"/>
      <w:lvlText w:val="•"/>
      <w:lvlJc w:val="left"/>
      <w:pPr>
        <w:ind w:left="8122" w:hanging="853"/>
      </w:pPr>
      <w:rPr>
        <w:rFonts w:hint="default"/>
        <w:lang w:val="en-US" w:eastAsia="zh-CN" w:bidi="ar-SA"/>
      </w:rPr>
    </w:lvl>
    <w:lvl w:ilvl="8">
      <w:start w:val="0"/>
      <w:numFmt w:val="bullet"/>
      <w:lvlText w:val="•"/>
      <w:lvlJc w:val="left"/>
      <w:pPr>
        <w:ind w:left="8897" w:hanging="853"/>
      </w:pPr>
      <w:rPr>
        <w:rFonts w:hint="default"/>
        <w:lang w:val="en-US" w:eastAsia="zh-CN" w:bidi="ar-SA"/>
      </w:rPr>
    </w:lvl>
  </w:abstractNum>
  <w:abstractNum w:abstractNumId="19">
    <w:multiLevelType w:val="hybridMultilevel"/>
    <w:lvl w:ilvl="0">
      <w:start w:val="1"/>
      <w:numFmt w:val="decimal"/>
      <w:lvlText w:val="（%1）"/>
      <w:lvlJc w:val="left"/>
      <w:pPr>
        <w:ind w:left="1040"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42" w:hanging="721"/>
      </w:pPr>
      <w:rPr>
        <w:rFonts w:hint="default"/>
        <w:lang w:val="en-US" w:eastAsia="zh-CN" w:bidi="ar-SA"/>
      </w:rPr>
    </w:lvl>
    <w:lvl w:ilvl="2">
      <w:start w:val="0"/>
      <w:numFmt w:val="bullet"/>
      <w:lvlText w:val="•"/>
      <w:lvlJc w:val="left"/>
      <w:pPr>
        <w:ind w:left="2445" w:hanging="721"/>
      </w:pPr>
      <w:rPr>
        <w:rFonts w:hint="default"/>
        <w:lang w:val="en-US" w:eastAsia="zh-CN" w:bidi="ar-SA"/>
      </w:rPr>
    </w:lvl>
    <w:lvl w:ilvl="3">
      <w:start w:val="0"/>
      <w:numFmt w:val="bullet"/>
      <w:lvlText w:val="•"/>
      <w:lvlJc w:val="left"/>
      <w:pPr>
        <w:ind w:left="3148" w:hanging="721"/>
      </w:pPr>
      <w:rPr>
        <w:rFonts w:hint="default"/>
        <w:lang w:val="en-US" w:eastAsia="zh-CN" w:bidi="ar-SA"/>
      </w:rPr>
    </w:lvl>
    <w:lvl w:ilvl="4">
      <w:start w:val="0"/>
      <w:numFmt w:val="bullet"/>
      <w:lvlText w:val="•"/>
      <w:lvlJc w:val="left"/>
      <w:pPr>
        <w:ind w:left="3850" w:hanging="721"/>
      </w:pPr>
      <w:rPr>
        <w:rFonts w:hint="default"/>
        <w:lang w:val="en-US" w:eastAsia="zh-CN" w:bidi="ar-SA"/>
      </w:rPr>
    </w:lvl>
    <w:lvl w:ilvl="5">
      <w:start w:val="0"/>
      <w:numFmt w:val="bullet"/>
      <w:lvlText w:val="•"/>
      <w:lvlJc w:val="left"/>
      <w:pPr>
        <w:ind w:left="4553" w:hanging="721"/>
      </w:pPr>
      <w:rPr>
        <w:rFonts w:hint="default"/>
        <w:lang w:val="en-US" w:eastAsia="zh-CN" w:bidi="ar-SA"/>
      </w:rPr>
    </w:lvl>
    <w:lvl w:ilvl="6">
      <w:start w:val="0"/>
      <w:numFmt w:val="bullet"/>
      <w:lvlText w:val="•"/>
      <w:lvlJc w:val="left"/>
      <w:pPr>
        <w:ind w:left="5256" w:hanging="721"/>
      </w:pPr>
      <w:rPr>
        <w:rFonts w:hint="default"/>
        <w:lang w:val="en-US" w:eastAsia="zh-CN" w:bidi="ar-SA"/>
      </w:rPr>
    </w:lvl>
    <w:lvl w:ilvl="7">
      <w:start w:val="0"/>
      <w:numFmt w:val="bullet"/>
      <w:lvlText w:val="•"/>
      <w:lvlJc w:val="left"/>
      <w:pPr>
        <w:ind w:left="5958" w:hanging="721"/>
      </w:pPr>
      <w:rPr>
        <w:rFonts w:hint="default"/>
        <w:lang w:val="en-US" w:eastAsia="zh-CN" w:bidi="ar-SA"/>
      </w:rPr>
    </w:lvl>
    <w:lvl w:ilvl="8">
      <w:start w:val="0"/>
      <w:numFmt w:val="bullet"/>
      <w:lvlText w:val="•"/>
      <w:lvlJc w:val="left"/>
      <w:pPr>
        <w:ind w:left="6661" w:hanging="721"/>
      </w:pPr>
      <w:rPr>
        <w:rFonts w:hint="default"/>
        <w:lang w:val="en-US" w:eastAsia="zh-CN" w:bidi="ar-SA"/>
      </w:rPr>
    </w:lvl>
  </w:abstractNum>
  <w:abstractNum w:abstractNumId="18">
    <w:multiLevelType w:val="hybridMultilevel"/>
    <w:lvl w:ilvl="0">
      <w:start w:val="1"/>
      <w:numFmt w:val="decimal"/>
      <w:lvlText w:val="（%1）"/>
      <w:lvlJc w:val="left"/>
      <w:pPr>
        <w:ind w:left="894" w:hanging="721"/>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1040" w:hanging="721"/>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804" w:hanging="721"/>
      </w:pPr>
      <w:rPr>
        <w:rFonts w:hint="default"/>
        <w:lang w:val="en-US" w:eastAsia="zh-CN" w:bidi="ar-SA"/>
      </w:rPr>
    </w:lvl>
    <w:lvl w:ilvl="3">
      <w:start w:val="0"/>
      <w:numFmt w:val="bullet"/>
      <w:lvlText w:val="•"/>
      <w:lvlJc w:val="left"/>
      <w:pPr>
        <w:ind w:left="2568" w:hanging="721"/>
      </w:pPr>
      <w:rPr>
        <w:rFonts w:hint="default"/>
        <w:lang w:val="en-US" w:eastAsia="zh-CN" w:bidi="ar-SA"/>
      </w:rPr>
    </w:lvl>
    <w:lvl w:ilvl="4">
      <w:start w:val="0"/>
      <w:numFmt w:val="bullet"/>
      <w:lvlText w:val="•"/>
      <w:lvlJc w:val="left"/>
      <w:pPr>
        <w:ind w:left="3333" w:hanging="721"/>
      </w:pPr>
      <w:rPr>
        <w:rFonts w:hint="default"/>
        <w:lang w:val="en-US" w:eastAsia="zh-CN" w:bidi="ar-SA"/>
      </w:rPr>
    </w:lvl>
    <w:lvl w:ilvl="5">
      <w:start w:val="0"/>
      <w:numFmt w:val="bullet"/>
      <w:lvlText w:val="•"/>
      <w:lvlJc w:val="left"/>
      <w:pPr>
        <w:ind w:left="4097" w:hanging="721"/>
      </w:pPr>
      <w:rPr>
        <w:rFonts w:hint="default"/>
        <w:lang w:val="en-US" w:eastAsia="zh-CN" w:bidi="ar-SA"/>
      </w:rPr>
    </w:lvl>
    <w:lvl w:ilvl="6">
      <w:start w:val="0"/>
      <w:numFmt w:val="bullet"/>
      <w:lvlText w:val="•"/>
      <w:lvlJc w:val="left"/>
      <w:pPr>
        <w:ind w:left="4862" w:hanging="721"/>
      </w:pPr>
      <w:rPr>
        <w:rFonts w:hint="default"/>
        <w:lang w:val="en-US" w:eastAsia="zh-CN" w:bidi="ar-SA"/>
      </w:rPr>
    </w:lvl>
    <w:lvl w:ilvl="7">
      <w:start w:val="0"/>
      <w:numFmt w:val="bullet"/>
      <w:lvlText w:val="•"/>
      <w:lvlJc w:val="left"/>
      <w:pPr>
        <w:ind w:left="5626" w:hanging="721"/>
      </w:pPr>
      <w:rPr>
        <w:rFonts w:hint="default"/>
        <w:lang w:val="en-US" w:eastAsia="zh-CN" w:bidi="ar-SA"/>
      </w:rPr>
    </w:lvl>
    <w:lvl w:ilvl="8">
      <w:start w:val="0"/>
      <w:numFmt w:val="bullet"/>
      <w:lvlText w:val="•"/>
      <w:lvlJc w:val="left"/>
      <w:pPr>
        <w:ind w:left="6391" w:hanging="721"/>
      </w:pPr>
      <w:rPr>
        <w:rFonts w:hint="default"/>
        <w:lang w:val="en-US" w:eastAsia="zh-CN" w:bidi="ar-SA"/>
      </w:rPr>
    </w:lvl>
  </w:abstractNum>
  <w:abstractNum w:abstractNumId="17">
    <w:multiLevelType w:val="hybridMultilevel"/>
    <w:lvl w:ilvl="0">
      <w:start w:val="1"/>
      <w:numFmt w:val="decimal"/>
      <w:lvlText w:val="（%1）"/>
      <w:lvlJc w:val="left"/>
      <w:pPr>
        <w:ind w:left="1040"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42" w:hanging="721"/>
      </w:pPr>
      <w:rPr>
        <w:rFonts w:hint="default"/>
        <w:lang w:val="en-US" w:eastAsia="zh-CN" w:bidi="ar-SA"/>
      </w:rPr>
    </w:lvl>
    <w:lvl w:ilvl="2">
      <w:start w:val="0"/>
      <w:numFmt w:val="bullet"/>
      <w:lvlText w:val="•"/>
      <w:lvlJc w:val="left"/>
      <w:pPr>
        <w:ind w:left="2445" w:hanging="721"/>
      </w:pPr>
      <w:rPr>
        <w:rFonts w:hint="default"/>
        <w:lang w:val="en-US" w:eastAsia="zh-CN" w:bidi="ar-SA"/>
      </w:rPr>
    </w:lvl>
    <w:lvl w:ilvl="3">
      <w:start w:val="0"/>
      <w:numFmt w:val="bullet"/>
      <w:lvlText w:val="•"/>
      <w:lvlJc w:val="left"/>
      <w:pPr>
        <w:ind w:left="3148" w:hanging="721"/>
      </w:pPr>
      <w:rPr>
        <w:rFonts w:hint="default"/>
        <w:lang w:val="en-US" w:eastAsia="zh-CN" w:bidi="ar-SA"/>
      </w:rPr>
    </w:lvl>
    <w:lvl w:ilvl="4">
      <w:start w:val="0"/>
      <w:numFmt w:val="bullet"/>
      <w:lvlText w:val="•"/>
      <w:lvlJc w:val="left"/>
      <w:pPr>
        <w:ind w:left="3850" w:hanging="721"/>
      </w:pPr>
      <w:rPr>
        <w:rFonts w:hint="default"/>
        <w:lang w:val="en-US" w:eastAsia="zh-CN" w:bidi="ar-SA"/>
      </w:rPr>
    </w:lvl>
    <w:lvl w:ilvl="5">
      <w:start w:val="0"/>
      <w:numFmt w:val="bullet"/>
      <w:lvlText w:val="•"/>
      <w:lvlJc w:val="left"/>
      <w:pPr>
        <w:ind w:left="4553" w:hanging="721"/>
      </w:pPr>
      <w:rPr>
        <w:rFonts w:hint="default"/>
        <w:lang w:val="en-US" w:eastAsia="zh-CN" w:bidi="ar-SA"/>
      </w:rPr>
    </w:lvl>
    <w:lvl w:ilvl="6">
      <w:start w:val="0"/>
      <w:numFmt w:val="bullet"/>
      <w:lvlText w:val="•"/>
      <w:lvlJc w:val="left"/>
      <w:pPr>
        <w:ind w:left="5256" w:hanging="721"/>
      </w:pPr>
      <w:rPr>
        <w:rFonts w:hint="default"/>
        <w:lang w:val="en-US" w:eastAsia="zh-CN" w:bidi="ar-SA"/>
      </w:rPr>
    </w:lvl>
    <w:lvl w:ilvl="7">
      <w:start w:val="0"/>
      <w:numFmt w:val="bullet"/>
      <w:lvlText w:val="•"/>
      <w:lvlJc w:val="left"/>
      <w:pPr>
        <w:ind w:left="5958" w:hanging="721"/>
      </w:pPr>
      <w:rPr>
        <w:rFonts w:hint="default"/>
        <w:lang w:val="en-US" w:eastAsia="zh-CN" w:bidi="ar-SA"/>
      </w:rPr>
    </w:lvl>
    <w:lvl w:ilvl="8">
      <w:start w:val="0"/>
      <w:numFmt w:val="bullet"/>
      <w:lvlText w:val="•"/>
      <w:lvlJc w:val="left"/>
      <w:pPr>
        <w:ind w:left="6661" w:hanging="721"/>
      </w:pPr>
      <w:rPr>
        <w:rFonts w:hint="default"/>
        <w:lang w:val="en-US" w:eastAsia="zh-CN" w:bidi="ar-SA"/>
      </w:rPr>
    </w:lvl>
  </w:abstractNum>
  <w:abstractNum w:abstractNumId="16">
    <w:multiLevelType w:val="hybridMultilevel"/>
    <w:lvl w:ilvl="0">
      <w:start w:val="1"/>
      <w:numFmt w:val="decimal"/>
      <w:lvlText w:val="（%1）"/>
      <w:lvlJc w:val="left"/>
      <w:pPr>
        <w:ind w:left="1040"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42" w:hanging="721"/>
      </w:pPr>
      <w:rPr>
        <w:rFonts w:hint="default"/>
        <w:lang w:val="en-US" w:eastAsia="zh-CN" w:bidi="ar-SA"/>
      </w:rPr>
    </w:lvl>
    <w:lvl w:ilvl="2">
      <w:start w:val="0"/>
      <w:numFmt w:val="bullet"/>
      <w:lvlText w:val="•"/>
      <w:lvlJc w:val="left"/>
      <w:pPr>
        <w:ind w:left="2445" w:hanging="721"/>
      </w:pPr>
      <w:rPr>
        <w:rFonts w:hint="default"/>
        <w:lang w:val="en-US" w:eastAsia="zh-CN" w:bidi="ar-SA"/>
      </w:rPr>
    </w:lvl>
    <w:lvl w:ilvl="3">
      <w:start w:val="0"/>
      <w:numFmt w:val="bullet"/>
      <w:lvlText w:val="•"/>
      <w:lvlJc w:val="left"/>
      <w:pPr>
        <w:ind w:left="3148" w:hanging="721"/>
      </w:pPr>
      <w:rPr>
        <w:rFonts w:hint="default"/>
        <w:lang w:val="en-US" w:eastAsia="zh-CN" w:bidi="ar-SA"/>
      </w:rPr>
    </w:lvl>
    <w:lvl w:ilvl="4">
      <w:start w:val="0"/>
      <w:numFmt w:val="bullet"/>
      <w:lvlText w:val="•"/>
      <w:lvlJc w:val="left"/>
      <w:pPr>
        <w:ind w:left="3850" w:hanging="721"/>
      </w:pPr>
      <w:rPr>
        <w:rFonts w:hint="default"/>
        <w:lang w:val="en-US" w:eastAsia="zh-CN" w:bidi="ar-SA"/>
      </w:rPr>
    </w:lvl>
    <w:lvl w:ilvl="5">
      <w:start w:val="0"/>
      <w:numFmt w:val="bullet"/>
      <w:lvlText w:val="•"/>
      <w:lvlJc w:val="left"/>
      <w:pPr>
        <w:ind w:left="4553" w:hanging="721"/>
      </w:pPr>
      <w:rPr>
        <w:rFonts w:hint="default"/>
        <w:lang w:val="en-US" w:eastAsia="zh-CN" w:bidi="ar-SA"/>
      </w:rPr>
    </w:lvl>
    <w:lvl w:ilvl="6">
      <w:start w:val="0"/>
      <w:numFmt w:val="bullet"/>
      <w:lvlText w:val="•"/>
      <w:lvlJc w:val="left"/>
      <w:pPr>
        <w:ind w:left="5256" w:hanging="721"/>
      </w:pPr>
      <w:rPr>
        <w:rFonts w:hint="default"/>
        <w:lang w:val="en-US" w:eastAsia="zh-CN" w:bidi="ar-SA"/>
      </w:rPr>
    </w:lvl>
    <w:lvl w:ilvl="7">
      <w:start w:val="0"/>
      <w:numFmt w:val="bullet"/>
      <w:lvlText w:val="•"/>
      <w:lvlJc w:val="left"/>
      <w:pPr>
        <w:ind w:left="5958" w:hanging="721"/>
      </w:pPr>
      <w:rPr>
        <w:rFonts w:hint="default"/>
        <w:lang w:val="en-US" w:eastAsia="zh-CN" w:bidi="ar-SA"/>
      </w:rPr>
    </w:lvl>
    <w:lvl w:ilvl="8">
      <w:start w:val="0"/>
      <w:numFmt w:val="bullet"/>
      <w:lvlText w:val="•"/>
      <w:lvlJc w:val="left"/>
      <w:pPr>
        <w:ind w:left="6661" w:hanging="721"/>
      </w:pPr>
      <w:rPr>
        <w:rFonts w:hint="default"/>
        <w:lang w:val="en-US" w:eastAsia="zh-CN" w:bidi="ar-SA"/>
      </w:rPr>
    </w:lvl>
  </w:abstractNum>
  <w:abstractNum w:abstractNumId="15">
    <w:multiLevelType w:val="hybridMultilevel"/>
    <w:lvl w:ilvl="0">
      <w:start w:val="1"/>
      <w:numFmt w:val="decimal"/>
      <w:lvlText w:val="（%1）"/>
      <w:lvlJc w:val="left"/>
      <w:pPr>
        <w:ind w:left="894" w:hanging="721"/>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1040" w:hanging="721"/>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804" w:hanging="721"/>
      </w:pPr>
      <w:rPr>
        <w:rFonts w:hint="default"/>
        <w:lang w:val="en-US" w:eastAsia="zh-CN" w:bidi="ar-SA"/>
      </w:rPr>
    </w:lvl>
    <w:lvl w:ilvl="3">
      <w:start w:val="0"/>
      <w:numFmt w:val="bullet"/>
      <w:lvlText w:val="•"/>
      <w:lvlJc w:val="left"/>
      <w:pPr>
        <w:ind w:left="2568" w:hanging="721"/>
      </w:pPr>
      <w:rPr>
        <w:rFonts w:hint="default"/>
        <w:lang w:val="en-US" w:eastAsia="zh-CN" w:bidi="ar-SA"/>
      </w:rPr>
    </w:lvl>
    <w:lvl w:ilvl="4">
      <w:start w:val="0"/>
      <w:numFmt w:val="bullet"/>
      <w:lvlText w:val="•"/>
      <w:lvlJc w:val="left"/>
      <w:pPr>
        <w:ind w:left="3333" w:hanging="721"/>
      </w:pPr>
      <w:rPr>
        <w:rFonts w:hint="default"/>
        <w:lang w:val="en-US" w:eastAsia="zh-CN" w:bidi="ar-SA"/>
      </w:rPr>
    </w:lvl>
    <w:lvl w:ilvl="5">
      <w:start w:val="0"/>
      <w:numFmt w:val="bullet"/>
      <w:lvlText w:val="•"/>
      <w:lvlJc w:val="left"/>
      <w:pPr>
        <w:ind w:left="4097" w:hanging="721"/>
      </w:pPr>
      <w:rPr>
        <w:rFonts w:hint="default"/>
        <w:lang w:val="en-US" w:eastAsia="zh-CN" w:bidi="ar-SA"/>
      </w:rPr>
    </w:lvl>
    <w:lvl w:ilvl="6">
      <w:start w:val="0"/>
      <w:numFmt w:val="bullet"/>
      <w:lvlText w:val="•"/>
      <w:lvlJc w:val="left"/>
      <w:pPr>
        <w:ind w:left="4862" w:hanging="721"/>
      </w:pPr>
      <w:rPr>
        <w:rFonts w:hint="default"/>
        <w:lang w:val="en-US" w:eastAsia="zh-CN" w:bidi="ar-SA"/>
      </w:rPr>
    </w:lvl>
    <w:lvl w:ilvl="7">
      <w:start w:val="0"/>
      <w:numFmt w:val="bullet"/>
      <w:lvlText w:val="•"/>
      <w:lvlJc w:val="left"/>
      <w:pPr>
        <w:ind w:left="5626" w:hanging="721"/>
      </w:pPr>
      <w:rPr>
        <w:rFonts w:hint="default"/>
        <w:lang w:val="en-US" w:eastAsia="zh-CN" w:bidi="ar-SA"/>
      </w:rPr>
    </w:lvl>
    <w:lvl w:ilvl="8">
      <w:start w:val="0"/>
      <w:numFmt w:val="bullet"/>
      <w:lvlText w:val="•"/>
      <w:lvlJc w:val="left"/>
      <w:pPr>
        <w:ind w:left="6391" w:hanging="721"/>
      </w:pPr>
      <w:rPr>
        <w:rFonts w:hint="default"/>
        <w:lang w:val="en-US" w:eastAsia="zh-CN" w:bidi="ar-SA"/>
      </w:rPr>
    </w:lvl>
  </w:abstractNum>
  <w:abstractNum w:abstractNumId="14">
    <w:multiLevelType w:val="hybridMultilevel"/>
    <w:lvl w:ilvl="0">
      <w:start w:val="3"/>
      <w:numFmt w:val="decimal"/>
      <w:lvlText w:val="%1"/>
      <w:lvlJc w:val="left"/>
      <w:pPr>
        <w:ind w:left="2699" w:hanging="853"/>
        <w:jc w:val="left"/>
      </w:pPr>
      <w:rPr>
        <w:rFonts w:hint="default"/>
        <w:lang w:val="en-US" w:eastAsia="zh-CN" w:bidi="ar-SA"/>
      </w:rPr>
    </w:lvl>
    <w:lvl w:ilvl="1">
      <w:start w:val="1"/>
      <w:numFmt w:val="decimal"/>
      <w:lvlText w:val="%1.%2"/>
      <w:lvlJc w:val="left"/>
      <w:pPr>
        <w:ind w:left="2699" w:hanging="853"/>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331" w:hanging="632"/>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4919" w:hanging="632"/>
      </w:pPr>
      <w:rPr>
        <w:rFonts w:hint="default"/>
        <w:lang w:val="en-US" w:eastAsia="zh-CN" w:bidi="ar-SA"/>
      </w:rPr>
    </w:lvl>
    <w:lvl w:ilvl="4">
      <w:start w:val="0"/>
      <w:numFmt w:val="bullet"/>
      <w:lvlText w:val="•"/>
      <w:lvlJc w:val="left"/>
      <w:pPr>
        <w:ind w:left="5708" w:hanging="632"/>
      </w:pPr>
      <w:rPr>
        <w:rFonts w:hint="default"/>
        <w:lang w:val="en-US" w:eastAsia="zh-CN" w:bidi="ar-SA"/>
      </w:rPr>
    </w:lvl>
    <w:lvl w:ilvl="5">
      <w:start w:val="0"/>
      <w:numFmt w:val="bullet"/>
      <w:lvlText w:val="•"/>
      <w:lvlJc w:val="left"/>
      <w:pPr>
        <w:ind w:left="6498" w:hanging="632"/>
      </w:pPr>
      <w:rPr>
        <w:rFonts w:hint="default"/>
        <w:lang w:val="en-US" w:eastAsia="zh-CN" w:bidi="ar-SA"/>
      </w:rPr>
    </w:lvl>
    <w:lvl w:ilvl="6">
      <w:start w:val="0"/>
      <w:numFmt w:val="bullet"/>
      <w:lvlText w:val="•"/>
      <w:lvlJc w:val="left"/>
      <w:pPr>
        <w:ind w:left="7288" w:hanging="632"/>
      </w:pPr>
      <w:rPr>
        <w:rFonts w:hint="default"/>
        <w:lang w:val="en-US" w:eastAsia="zh-CN" w:bidi="ar-SA"/>
      </w:rPr>
    </w:lvl>
    <w:lvl w:ilvl="7">
      <w:start w:val="0"/>
      <w:numFmt w:val="bullet"/>
      <w:lvlText w:val="•"/>
      <w:lvlJc w:val="left"/>
      <w:pPr>
        <w:ind w:left="8077" w:hanging="632"/>
      </w:pPr>
      <w:rPr>
        <w:rFonts w:hint="default"/>
        <w:lang w:val="en-US" w:eastAsia="zh-CN" w:bidi="ar-SA"/>
      </w:rPr>
    </w:lvl>
    <w:lvl w:ilvl="8">
      <w:start w:val="0"/>
      <w:numFmt w:val="bullet"/>
      <w:lvlText w:val="•"/>
      <w:lvlJc w:val="left"/>
      <w:pPr>
        <w:ind w:left="8867" w:hanging="632"/>
      </w:pPr>
      <w:rPr>
        <w:rFonts w:hint="default"/>
        <w:lang w:val="en-US" w:eastAsia="zh-CN" w:bidi="ar-SA"/>
      </w:rPr>
    </w:lvl>
  </w:abstractNum>
  <w:abstractNum w:abstractNumId="13">
    <w:multiLevelType w:val="hybridMultilevel"/>
    <w:lvl w:ilvl="0">
      <w:start w:val="1"/>
      <w:numFmt w:val="decimal"/>
      <w:lvlText w:val="（%1）"/>
      <w:lvlJc w:val="left"/>
      <w:pPr>
        <w:ind w:left="322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42" w:hanging="530"/>
      </w:pPr>
      <w:rPr>
        <w:rFonts w:hint="default"/>
        <w:lang w:val="en-US" w:eastAsia="zh-CN" w:bidi="ar-SA"/>
      </w:rPr>
    </w:lvl>
    <w:lvl w:ilvl="2">
      <w:start w:val="0"/>
      <w:numFmt w:val="bullet"/>
      <w:lvlText w:val="•"/>
      <w:lvlJc w:val="left"/>
      <w:pPr>
        <w:ind w:left="4665" w:hanging="530"/>
      </w:pPr>
      <w:rPr>
        <w:rFonts w:hint="default"/>
        <w:lang w:val="en-US" w:eastAsia="zh-CN" w:bidi="ar-SA"/>
      </w:rPr>
    </w:lvl>
    <w:lvl w:ilvl="3">
      <w:start w:val="0"/>
      <w:numFmt w:val="bullet"/>
      <w:lvlText w:val="•"/>
      <w:lvlJc w:val="left"/>
      <w:pPr>
        <w:ind w:left="5387" w:hanging="530"/>
      </w:pPr>
      <w:rPr>
        <w:rFonts w:hint="default"/>
        <w:lang w:val="en-US" w:eastAsia="zh-CN" w:bidi="ar-SA"/>
      </w:rPr>
    </w:lvl>
    <w:lvl w:ilvl="4">
      <w:start w:val="0"/>
      <w:numFmt w:val="bullet"/>
      <w:lvlText w:val="•"/>
      <w:lvlJc w:val="left"/>
      <w:pPr>
        <w:ind w:left="6110" w:hanging="530"/>
      </w:pPr>
      <w:rPr>
        <w:rFonts w:hint="default"/>
        <w:lang w:val="en-US" w:eastAsia="zh-CN" w:bidi="ar-SA"/>
      </w:rPr>
    </w:lvl>
    <w:lvl w:ilvl="5">
      <w:start w:val="0"/>
      <w:numFmt w:val="bullet"/>
      <w:lvlText w:val="•"/>
      <w:lvlJc w:val="left"/>
      <w:pPr>
        <w:ind w:left="6833" w:hanging="530"/>
      </w:pPr>
      <w:rPr>
        <w:rFonts w:hint="default"/>
        <w:lang w:val="en-US" w:eastAsia="zh-CN" w:bidi="ar-SA"/>
      </w:rPr>
    </w:lvl>
    <w:lvl w:ilvl="6">
      <w:start w:val="0"/>
      <w:numFmt w:val="bullet"/>
      <w:lvlText w:val="•"/>
      <w:lvlJc w:val="left"/>
      <w:pPr>
        <w:ind w:left="7555" w:hanging="530"/>
      </w:pPr>
      <w:rPr>
        <w:rFonts w:hint="default"/>
        <w:lang w:val="en-US" w:eastAsia="zh-CN" w:bidi="ar-SA"/>
      </w:rPr>
    </w:lvl>
    <w:lvl w:ilvl="7">
      <w:start w:val="0"/>
      <w:numFmt w:val="bullet"/>
      <w:lvlText w:val="•"/>
      <w:lvlJc w:val="left"/>
      <w:pPr>
        <w:ind w:left="8278" w:hanging="530"/>
      </w:pPr>
      <w:rPr>
        <w:rFonts w:hint="default"/>
        <w:lang w:val="en-US" w:eastAsia="zh-CN" w:bidi="ar-SA"/>
      </w:rPr>
    </w:lvl>
    <w:lvl w:ilvl="8">
      <w:start w:val="0"/>
      <w:numFmt w:val="bullet"/>
      <w:lvlText w:val="•"/>
      <w:lvlJc w:val="left"/>
      <w:pPr>
        <w:ind w:left="9001" w:hanging="530"/>
      </w:pPr>
      <w:rPr>
        <w:rFonts w:hint="default"/>
        <w:lang w:val="en-US" w:eastAsia="zh-CN" w:bidi="ar-SA"/>
      </w:rPr>
    </w:lvl>
  </w:abstractNum>
  <w:abstractNum w:abstractNumId="12">
    <w:multiLevelType w:val="hybridMultilevel"/>
    <w:lvl w:ilvl="0">
      <w:start w:val="1"/>
      <w:numFmt w:val="decimal"/>
      <w:lvlText w:val="%1."/>
      <w:lvlJc w:val="left"/>
      <w:pPr>
        <w:ind w:left="3367"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068" w:hanging="213"/>
      </w:pPr>
      <w:rPr>
        <w:rFonts w:hint="default"/>
        <w:lang w:val="en-US" w:eastAsia="zh-CN" w:bidi="ar-SA"/>
      </w:rPr>
    </w:lvl>
    <w:lvl w:ilvl="2">
      <w:start w:val="0"/>
      <w:numFmt w:val="bullet"/>
      <w:lvlText w:val="•"/>
      <w:lvlJc w:val="left"/>
      <w:pPr>
        <w:ind w:left="4777" w:hanging="213"/>
      </w:pPr>
      <w:rPr>
        <w:rFonts w:hint="default"/>
        <w:lang w:val="en-US" w:eastAsia="zh-CN" w:bidi="ar-SA"/>
      </w:rPr>
    </w:lvl>
    <w:lvl w:ilvl="3">
      <w:start w:val="0"/>
      <w:numFmt w:val="bullet"/>
      <w:lvlText w:val="•"/>
      <w:lvlJc w:val="left"/>
      <w:pPr>
        <w:ind w:left="5485" w:hanging="213"/>
      </w:pPr>
      <w:rPr>
        <w:rFonts w:hint="default"/>
        <w:lang w:val="en-US" w:eastAsia="zh-CN" w:bidi="ar-SA"/>
      </w:rPr>
    </w:lvl>
    <w:lvl w:ilvl="4">
      <w:start w:val="0"/>
      <w:numFmt w:val="bullet"/>
      <w:lvlText w:val="•"/>
      <w:lvlJc w:val="left"/>
      <w:pPr>
        <w:ind w:left="6194" w:hanging="213"/>
      </w:pPr>
      <w:rPr>
        <w:rFonts w:hint="default"/>
        <w:lang w:val="en-US" w:eastAsia="zh-CN" w:bidi="ar-SA"/>
      </w:rPr>
    </w:lvl>
    <w:lvl w:ilvl="5">
      <w:start w:val="0"/>
      <w:numFmt w:val="bullet"/>
      <w:lvlText w:val="•"/>
      <w:lvlJc w:val="left"/>
      <w:pPr>
        <w:ind w:left="6903" w:hanging="213"/>
      </w:pPr>
      <w:rPr>
        <w:rFonts w:hint="default"/>
        <w:lang w:val="en-US" w:eastAsia="zh-CN" w:bidi="ar-SA"/>
      </w:rPr>
    </w:lvl>
    <w:lvl w:ilvl="6">
      <w:start w:val="0"/>
      <w:numFmt w:val="bullet"/>
      <w:lvlText w:val="•"/>
      <w:lvlJc w:val="left"/>
      <w:pPr>
        <w:ind w:left="7611" w:hanging="213"/>
      </w:pPr>
      <w:rPr>
        <w:rFonts w:hint="default"/>
        <w:lang w:val="en-US" w:eastAsia="zh-CN" w:bidi="ar-SA"/>
      </w:rPr>
    </w:lvl>
    <w:lvl w:ilvl="7">
      <w:start w:val="0"/>
      <w:numFmt w:val="bullet"/>
      <w:lvlText w:val="•"/>
      <w:lvlJc w:val="left"/>
      <w:pPr>
        <w:ind w:left="8320" w:hanging="213"/>
      </w:pPr>
      <w:rPr>
        <w:rFonts w:hint="default"/>
        <w:lang w:val="en-US" w:eastAsia="zh-CN" w:bidi="ar-SA"/>
      </w:rPr>
    </w:lvl>
    <w:lvl w:ilvl="8">
      <w:start w:val="0"/>
      <w:numFmt w:val="bullet"/>
      <w:lvlText w:val="•"/>
      <w:lvlJc w:val="left"/>
      <w:pPr>
        <w:ind w:left="9029" w:hanging="213"/>
      </w:pPr>
      <w:rPr>
        <w:rFonts w:hint="default"/>
        <w:lang w:val="en-US" w:eastAsia="zh-CN" w:bidi="ar-SA"/>
      </w:rPr>
    </w:lvl>
  </w:abstractNum>
  <w:abstractNum w:abstractNumId="11">
    <w:multiLevelType w:val="hybridMultilevel"/>
    <w:lvl w:ilvl="0">
      <w:start w:val="1"/>
      <w:numFmt w:val="decimal"/>
      <w:lvlText w:val="%1."/>
      <w:lvlJc w:val="left"/>
      <w:pPr>
        <w:ind w:left="3332"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050" w:hanging="213"/>
      </w:pPr>
      <w:rPr>
        <w:rFonts w:hint="default"/>
        <w:lang w:val="en-US" w:eastAsia="zh-CN" w:bidi="ar-SA"/>
      </w:rPr>
    </w:lvl>
    <w:lvl w:ilvl="2">
      <w:start w:val="0"/>
      <w:numFmt w:val="bullet"/>
      <w:lvlText w:val="•"/>
      <w:lvlJc w:val="left"/>
      <w:pPr>
        <w:ind w:left="4761" w:hanging="213"/>
      </w:pPr>
      <w:rPr>
        <w:rFonts w:hint="default"/>
        <w:lang w:val="en-US" w:eastAsia="zh-CN" w:bidi="ar-SA"/>
      </w:rPr>
    </w:lvl>
    <w:lvl w:ilvl="3">
      <w:start w:val="0"/>
      <w:numFmt w:val="bullet"/>
      <w:lvlText w:val="•"/>
      <w:lvlJc w:val="left"/>
      <w:pPr>
        <w:ind w:left="5471" w:hanging="213"/>
      </w:pPr>
      <w:rPr>
        <w:rFonts w:hint="default"/>
        <w:lang w:val="en-US" w:eastAsia="zh-CN" w:bidi="ar-SA"/>
      </w:rPr>
    </w:lvl>
    <w:lvl w:ilvl="4">
      <w:start w:val="0"/>
      <w:numFmt w:val="bullet"/>
      <w:lvlText w:val="•"/>
      <w:lvlJc w:val="left"/>
      <w:pPr>
        <w:ind w:left="6182" w:hanging="213"/>
      </w:pPr>
      <w:rPr>
        <w:rFonts w:hint="default"/>
        <w:lang w:val="en-US" w:eastAsia="zh-CN" w:bidi="ar-SA"/>
      </w:rPr>
    </w:lvl>
    <w:lvl w:ilvl="5">
      <w:start w:val="0"/>
      <w:numFmt w:val="bullet"/>
      <w:lvlText w:val="•"/>
      <w:lvlJc w:val="left"/>
      <w:pPr>
        <w:ind w:left="6893" w:hanging="213"/>
      </w:pPr>
      <w:rPr>
        <w:rFonts w:hint="default"/>
        <w:lang w:val="en-US" w:eastAsia="zh-CN" w:bidi="ar-SA"/>
      </w:rPr>
    </w:lvl>
    <w:lvl w:ilvl="6">
      <w:start w:val="0"/>
      <w:numFmt w:val="bullet"/>
      <w:lvlText w:val="•"/>
      <w:lvlJc w:val="left"/>
      <w:pPr>
        <w:ind w:left="7603" w:hanging="213"/>
      </w:pPr>
      <w:rPr>
        <w:rFonts w:hint="default"/>
        <w:lang w:val="en-US" w:eastAsia="zh-CN" w:bidi="ar-SA"/>
      </w:rPr>
    </w:lvl>
    <w:lvl w:ilvl="7">
      <w:start w:val="0"/>
      <w:numFmt w:val="bullet"/>
      <w:lvlText w:val="•"/>
      <w:lvlJc w:val="left"/>
      <w:pPr>
        <w:ind w:left="8314" w:hanging="213"/>
      </w:pPr>
      <w:rPr>
        <w:rFonts w:hint="default"/>
        <w:lang w:val="en-US" w:eastAsia="zh-CN" w:bidi="ar-SA"/>
      </w:rPr>
    </w:lvl>
    <w:lvl w:ilvl="8">
      <w:start w:val="0"/>
      <w:numFmt w:val="bullet"/>
      <w:lvlText w:val="•"/>
      <w:lvlJc w:val="left"/>
      <w:pPr>
        <w:ind w:left="9025" w:hanging="213"/>
      </w:pPr>
      <w:rPr>
        <w:rFonts w:hint="default"/>
        <w:lang w:val="en-US" w:eastAsia="zh-CN" w:bidi="ar-SA"/>
      </w:rPr>
    </w:lvl>
  </w:abstractNum>
  <w:abstractNum w:abstractNumId="10">
    <w:multiLevelType w:val="hybridMultilevel"/>
    <w:lvl w:ilvl="0">
      <w:start w:val="1"/>
      <w:numFmt w:val="decimal"/>
      <w:lvlText w:val="%1."/>
      <w:lvlJc w:val="left"/>
      <w:pPr>
        <w:ind w:left="3332"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050" w:hanging="213"/>
      </w:pPr>
      <w:rPr>
        <w:rFonts w:hint="default"/>
        <w:lang w:val="en-US" w:eastAsia="zh-CN" w:bidi="ar-SA"/>
      </w:rPr>
    </w:lvl>
    <w:lvl w:ilvl="2">
      <w:start w:val="0"/>
      <w:numFmt w:val="bullet"/>
      <w:lvlText w:val="•"/>
      <w:lvlJc w:val="left"/>
      <w:pPr>
        <w:ind w:left="4761" w:hanging="213"/>
      </w:pPr>
      <w:rPr>
        <w:rFonts w:hint="default"/>
        <w:lang w:val="en-US" w:eastAsia="zh-CN" w:bidi="ar-SA"/>
      </w:rPr>
    </w:lvl>
    <w:lvl w:ilvl="3">
      <w:start w:val="0"/>
      <w:numFmt w:val="bullet"/>
      <w:lvlText w:val="•"/>
      <w:lvlJc w:val="left"/>
      <w:pPr>
        <w:ind w:left="5471" w:hanging="213"/>
      </w:pPr>
      <w:rPr>
        <w:rFonts w:hint="default"/>
        <w:lang w:val="en-US" w:eastAsia="zh-CN" w:bidi="ar-SA"/>
      </w:rPr>
    </w:lvl>
    <w:lvl w:ilvl="4">
      <w:start w:val="0"/>
      <w:numFmt w:val="bullet"/>
      <w:lvlText w:val="•"/>
      <w:lvlJc w:val="left"/>
      <w:pPr>
        <w:ind w:left="6182" w:hanging="213"/>
      </w:pPr>
      <w:rPr>
        <w:rFonts w:hint="default"/>
        <w:lang w:val="en-US" w:eastAsia="zh-CN" w:bidi="ar-SA"/>
      </w:rPr>
    </w:lvl>
    <w:lvl w:ilvl="5">
      <w:start w:val="0"/>
      <w:numFmt w:val="bullet"/>
      <w:lvlText w:val="•"/>
      <w:lvlJc w:val="left"/>
      <w:pPr>
        <w:ind w:left="6893" w:hanging="213"/>
      </w:pPr>
      <w:rPr>
        <w:rFonts w:hint="default"/>
        <w:lang w:val="en-US" w:eastAsia="zh-CN" w:bidi="ar-SA"/>
      </w:rPr>
    </w:lvl>
    <w:lvl w:ilvl="6">
      <w:start w:val="0"/>
      <w:numFmt w:val="bullet"/>
      <w:lvlText w:val="•"/>
      <w:lvlJc w:val="left"/>
      <w:pPr>
        <w:ind w:left="7603" w:hanging="213"/>
      </w:pPr>
      <w:rPr>
        <w:rFonts w:hint="default"/>
        <w:lang w:val="en-US" w:eastAsia="zh-CN" w:bidi="ar-SA"/>
      </w:rPr>
    </w:lvl>
    <w:lvl w:ilvl="7">
      <w:start w:val="0"/>
      <w:numFmt w:val="bullet"/>
      <w:lvlText w:val="•"/>
      <w:lvlJc w:val="left"/>
      <w:pPr>
        <w:ind w:left="8314" w:hanging="213"/>
      </w:pPr>
      <w:rPr>
        <w:rFonts w:hint="default"/>
        <w:lang w:val="en-US" w:eastAsia="zh-CN" w:bidi="ar-SA"/>
      </w:rPr>
    </w:lvl>
    <w:lvl w:ilvl="8">
      <w:start w:val="0"/>
      <w:numFmt w:val="bullet"/>
      <w:lvlText w:val="•"/>
      <w:lvlJc w:val="left"/>
      <w:pPr>
        <w:ind w:left="9025" w:hanging="213"/>
      </w:pPr>
      <w:rPr>
        <w:rFonts w:hint="default"/>
        <w:lang w:val="en-US" w:eastAsia="zh-CN" w:bidi="ar-SA"/>
      </w:rPr>
    </w:lvl>
  </w:abstractNum>
  <w:abstractNum w:abstractNumId="9">
    <w:multiLevelType w:val="hybridMultilevel"/>
    <w:lvl w:ilvl="0">
      <w:start w:val="1"/>
      <w:numFmt w:val="decimal"/>
      <w:lvlText w:val="%1."/>
      <w:lvlJc w:val="left"/>
      <w:pPr>
        <w:ind w:left="3480" w:hanging="360"/>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4305" w:hanging="7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982" w:hanging="720"/>
      </w:pPr>
      <w:rPr>
        <w:rFonts w:hint="default"/>
        <w:lang w:val="en-US" w:eastAsia="zh-CN" w:bidi="ar-SA"/>
      </w:rPr>
    </w:lvl>
    <w:lvl w:ilvl="3">
      <w:start w:val="0"/>
      <w:numFmt w:val="bullet"/>
      <w:lvlText w:val="•"/>
      <w:lvlJc w:val="left"/>
      <w:pPr>
        <w:ind w:left="5665" w:hanging="720"/>
      </w:pPr>
      <w:rPr>
        <w:rFonts w:hint="default"/>
        <w:lang w:val="en-US" w:eastAsia="zh-CN" w:bidi="ar-SA"/>
      </w:rPr>
    </w:lvl>
    <w:lvl w:ilvl="4">
      <w:start w:val="0"/>
      <w:numFmt w:val="bullet"/>
      <w:lvlText w:val="•"/>
      <w:lvlJc w:val="left"/>
      <w:pPr>
        <w:ind w:left="6348" w:hanging="720"/>
      </w:pPr>
      <w:rPr>
        <w:rFonts w:hint="default"/>
        <w:lang w:val="en-US" w:eastAsia="zh-CN" w:bidi="ar-SA"/>
      </w:rPr>
    </w:lvl>
    <w:lvl w:ilvl="5">
      <w:start w:val="0"/>
      <w:numFmt w:val="bullet"/>
      <w:lvlText w:val="•"/>
      <w:lvlJc w:val="left"/>
      <w:pPr>
        <w:ind w:left="7031" w:hanging="720"/>
      </w:pPr>
      <w:rPr>
        <w:rFonts w:hint="default"/>
        <w:lang w:val="en-US" w:eastAsia="zh-CN" w:bidi="ar-SA"/>
      </w:rPr>
    </w:lvl>
    <w:lvl w:ilvl="6">
      <w:start w:val="0"/>
      <w:numFmt w:val="bullet"/>
      <w:lvlText w:val="•"/>
      <w:lvlJc w:val="left"/>
      <w:pPr>
        <w:ind w:left="7714" w:hanging="720"/>
      </w:pPr>
      <w:rPr>
        <w:rFonts w:hint="default"/>
        <w:lang w:val="en-US" w:eastAsia="zh-CN" w:bidi="ar-SA"/>
      </w:rPr>
    </w:lvl>
    <w:lvl w:ilvl="7">
      <w:start w:val="0"/>
      <w:numFmt w:val="bullet"/>
      <w:lvlText w:val="•"/>
      <w:lvlJc w:val="left"/>
      <w:pPr>
        <w:ind w:left="8397" w:hanging="720"/>
      </w:pPr>
      <w:rPr>
        <w:rFonts w:hint="default"/>
        <w:lang w:val="en-US" w:eastAsia="zh-CN" w:bidi="ar-SA"/>
      </w:rPr>
    </w:lvl>
    <w:lvl w:ilvl="8">
      <w:start w:val="0"/>
      <w:numFmt w:val="bullet"/>
      <w:lvlText w:val="•"/>
      <w:lvlJc w:val="left"/>
      <w:pPr>
        <w:ind w:left="9080" w:hanging="720"/>
      </w:pPr>
      <w:rPr>
        <w:rFonts w:hint="default"/>
        <w:lang w:val="en-US" w:eastAsia="zh-CN" w:bidi="ar-SA"/>
      </w:rPr>
    </w:lvl>
  </w:abstractNum>
  <w:abstractNum w:abstractNumId="8">
    <w:multiLevelType w:val="hybridMultilevel"/>
    <w:lvl w:ilvl="0">
      <w:start w:val="1"/>
      <w:numFmt w:val="decimal"/>
      <w:lvlText w:val="%1."/>
      <w:lvlJc w:val="left"/>
      <w:pPr>
        <w:ind w:left="3480" w:hanging="360"/>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4173"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876" w:hanging="526"/>
      </w:pPr>
      <w:rPr>
        <w:rFonts w:hint="default"/>
        <w:lang w:val="en-US" w:eastAsia="zh-CN" w:bidi="ar-SA"/>
      </w:rPr>
    </w:lvl>
    <w:lvl w:ilvl="3">
      <w:start w:val="0"/>
      <w:numFmt w:val="bullet"/>
      <w:lvlText w:val="•"/>
      <w:lvlJc w:val="left"/>
      <w:pPr>
        <w:ind w:left="5572" w:hanging="526"/>
      </w:pPr>
      <w:rPr>
        <w:rFonts w:hint="default"/>
        <w:lang w:val="en-US" w:eastAsia="zh-CN" w:bidi="ar-SA"/>
      </w:rPr>
    </w:lvl>
    <w:lvl w:ilvl="4">
      <w:start w:val="0"/>
      <w:numFmt w:val="bullet"/>
      <w:lvlText w:val="•"/>
      <w:lvlJc w:val="left"/>
      <w:pPr>
        <w:ind w:left="6268" w:hanging="526"/>
      </w:pPr>
      <w:rPr>
        <w:rFonts w:hint="default"/>
        <w:lang w:val="en-US" w:eastAsia="zh-CN" w:bidi="ar-SA"/>
      </w:rPr>
    </w:lvl>
    <w:lvl w:ilvl="5">
      <w:start w:val="0"/>
      <w:numFmt w:val="bullet"/>
      <w:lvlText w:val="•"/>
      <w:lvlJc w:val="left"/>
      <w:pPr>
        <w:ind w:left="6965" w:hanging="526"/>
      </w:pPr>
      <w:rPr>
        <w:rFonts w:hint="default"/>
        <w:lang w:val="en-US" w:eastAsia="zh-CN" w:bidi="ar-SA"/>
      </w:rPr>
    </w:lvl>
    <w:lvl w:ilvl="6">
      <w:start w:val="0"/>
      <w:numFmt w:val="bullet"/>
      <w:lvlText w:val="•"/>
      <w:lvlJc w:val="left"/>
      <w:pPr>
        <w:ind w:left="7661" w:hanging="526"/>
      </w:pPr>
      <w:rPr>
        <w:rFonts w:hint="default"/>
        <w:lang w:val="en-US" w:eastAsia="zh-CN" w:bidi="ar-SA"/>
      </w:rPr>
    </w:lvl>
    <w:lvl w:ilvl="7">
      <w:start w:val="0"/>
      <w:numFmt w:val="bullet"/>
      <w:lvlText w:val="•"/>
      <w:lvlJc w:val="left"/>
      <w:pPr>
        <w:ind w:left="8357" w:hanging="526"/>
      </w:pPr>
      <w:rPr>
        <w:rFonts w:hint="default"/>
        <w:lang w:val="en-US" w:eastAsia="zh-CN" w:bidi="ar-SA"/>
      </w:rPr>
    </w:lvl>
    <w:lvl w:ilvl="8">
      <w:start w:val="0"/>
      <w:numFmt w:val="bullet"/>
      <w:lvlText w:val="•"/>
      <w:lvlJc w:val="left"/>
      <w:pPr>
        <w:ind w:left="9053" w:hanging="526"/>
      </w:pPr>
      <w:rPr>
        <w:rFonts w:hint="default"/>
        <w:lang w:val="en-US" w:eastAsia="zh-CN" w:bidi="ar-SA"/>
      </w:rPr>
    </w:lvl>
  </w:abstractNum>
  <w:abstractNum w:abstractNumId="7">
    <w:multiLevelType w:val="hybridMultilevel"/>
    <w:lvl w:ilvl="0">
      <w:start w:val="1"/>
      <w:numFmt w:val="decimal"/>
      <w:lvlText w:val="%1."/>
      <w:lvlJc w:val="left"/>
      <w:pPr>
        <w:ind w:left="3583" w:hanging="420"/>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4305" w:hanging="7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982" w:hanging="720"/>
      </w:pPr>
      <w:rPr>
        <w:rFonts w:hint="default"/>
        <w:lang w:val="en-US" w:eastAsia="zh-CN" w:bidi="ar-SA"/>
      </w:rPr>
    </w:lvl>
    <w:lvl w:ilvl="3">
      <w:start w:val="0"/>
      <w:numFmt w:val="bullet"/>
      <w:lvlText w:val="•"/>
      <w:lvlJc w:val="left"/>
      <w:pPr>
        <w:ind w:left="5665" w:hanging="720"/>
      </w:pPr>
      <w:rPr>
        <w:rFonts w:hint="default"/>
        <w:lang w:val="en-US" w:eastAsia="zh-CN" w:bidi="ar-SA"/>
      </w:rPr>
    </w:lvl>
    <w:lvl w:ilvl="4">
      <w:start w:val="0"/>
      <w:numFmt w:val="bullet"/>
      <w:lvlText w:val="•"/>
      <w:lvlJc w:val="left"/>
      <w:pPr>
        <w:ind w:left="6348" w:hanging="720"/>
      </w:pPr>
      <w:rPr>
        <w:rFonts w:hint="default"/>
        <w:lang w:val="en-US" w:eastAsia="zh-CN" w:bidi="ar-SA"/>
      </w:rPr>
    </w:lvl>
    <w:lvl w:ilvl="5">
      <w:start w:val="0"/>
      <w:numFmt w:val="bullet"/>
      <w:lvlText w:val="•"/>
      <w:lvlJc w:val="left"/>
      <w:pPr>
        <w:ind w:left="7031" w:hanging="720"/>
      </w:pPr>
      <w:rPr>
        <w:rFonts w:hint="default"/>
        <w:lang w:val="en-US" w:eastAsia="zh-CN" w:bidi="ar-SA"/>
      </w:rPr>
    </w:lvl>
    <w:lvl w:ilvl="6">
      <w:start w:val="0"/>
      <w:numFmt w:val="bullet"/>
      <w:lvlText w:val="•"/>
      <w:lvlJc w:val="left"/>
      <w:pPr>
        <w:ind w:left="7714" w:hanging="720"/>
      </w:pPr>
      <w:rPr>
        <w:rFonts w:hint="default"/>
        <w:lang w:val="en-US" w:eastAsia="zh-CN" w:bidi="ar-SA"/>
      </w:rPr>
    </w:lvl>
    <w:lvl w:ilvl="7">
      <w:start w:val="0"/>
      <w:numFmt w:val="bullet"/>
      <w:lvlText w:val="•"/>
      <w:lvlJc w:val="left"/>
      <w:pPr>
        <w:ind w:left="8397" w:hanging="720"/>
      </w:pPr>
      <w:rPr>
        <w:rFonts w:hint="default"/>
        <w:lang w:val="en-US" w:eastAsia="zh-CN" w:bidi="ar-SA"/>
      </w:rPr>
    </w:lvl>
    <w:lvl w:ilvl="8">
      <w:start w:val="0"/>
      <w:numFmt w:val="bullet"/>
      <w:lvlText w:val="•"/>
      <w:lvlJc w:val="left"/>
      <w:pPr>
        <w:ind w:left="9080" w:hanging="720"/>
      </w:pPr>
      <w:rPr>
        <w:rFonts w:hint="default"/>
        <w:lang w:val="en-US" w:eastAsia="zh-CN" w:bidi="ar-SA"/>
      </w:rPr>
    </w:lvl>
  </w:abstractNum>
  <w:abstractNum w:abstractNumId="6">
    <w:multiLevelType w:val="hybridMultilevel"/>
    <w:lvl w:ilvl="0">
      <w:start w:val="2"/>
      <w:numFmt w:val="decimal"/>
      <w:lvlText w:val="%1"/>
      <w:lvlJc w:val="left"/>
      <w:pPr>
        <w:ind w:left="1072" w:hanging="853"/>
        <w:jc w:val="left"/>
      </w:pPr>
      <w:rPr>
        <w:rFonts w:hint="default"/>
        <w:lang w:val="en-US" w:eastAsia="zh-CN" w:bidi="ar-SA"/>
      </w:rPr>
    </w:lvl>
    <w:lvl w:ilvl="1">
      <w:start w:val="1"/>
      <w:numFmt w:val="decimal"/>
      <w:lvlText w:val="%1.%2"/>
      <w:lvlJc w:val="left"/>
      <w:pPr>
        <w:ind w:left="1072" w:hanging="853"/>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480" w:hanging="360"/>
        <w:jc w:val="left"/>
      </w:pPr>
      <w:rPr>
        <w:rFonts w:hint="default" w:ascii="宋体" w:hAnsi="宋体" w:eastAsia="宋体" w:cs="宋体"/>
        <w:b w:val="0"/>
        <w:bCs w:val="0"/>
        <w:i w:val="0"/>
        <w:iCs w:val="0"/>
        <w:w w:val="100"/>
        <w:sz w:val="21"/>
        <w:szCs w:val="21"/>
        <w:lang w:val="en-US" w:eastAsia="zh-CN" w:bidi="ar-SA"/>
      </w:rPr>
    </w:lvl>
    <w:lvl w:ilvl="3">
      <w:start w:val="1"/>
      <w:numFmt w:val="decimal"/>
      <w:lvlText w:val="（%4）"/>
      <w:lvlJc w:val="left"/>
      <w:pPr>
        <w:ind w:left="4202" w:hanging="720"/>
        <w:jc w:val="left"/>
      </w:pPr>
      <w:rPr>
        <w:rFonts w:hint="default" w:ascii="宋体" w:hAnsi="宋体" w:eastAsia="宋体" w:cs="宋体"/>
        <w:b w:val="0"/>
        <w:bCs w:val="0"/>
        <w:i w:val="0"/>
        <w:iCs w:val="0"/>
        <w:w w:val="100"/>
        <w:sz w:val="21"/>
        <w:szCs w:val="21"/>
        <w:lang w:val="en-US" w:eastAsia="zh-CN" w:bidi="ar-SA"/>
      </w:rPr>
    </w:lvl>
    <w:lvl w:ilvl="4">
      <w:start w:val="0"/>
      <w:numFmt w:val="bullet"/>
      <w:lvlText w:val="•"/>
      <w:lvlJc w:val="left"/>
      <w:pPr>
        <w:ind w:left="5761" w:hanging="720"/>
      </w:pPr>
      <w:rPr>
        <w:rFonts w:hint="default"/>
        <w:lang w:val="en-US" w:eastAsia="zh-CN" w:bidi="ar-SA"/>
      </w:rPr>
    </w:lvl>
    <w:lvl w:ilvl="5">
      <w:start w:val="0"/>
      <w:numFmt w:val="bullet"/>
      <w:lvlText w:val="•"/>
      <w:lvlJc w:val="left"/>
      <w:pPr>
        <w:ind w:left="6542" w:hanging="720"/>
      </w:pPr>
      <w:rPr>
        <w:rFonts w:hint="default"/>
        <w:lang w:val="en-US" w:eastAsia="zh-CN" w:bidi="ar-SA"/>
      </w:rPr>
    </w:lvl>
    <w:lvl w:ilvl="6">
      <w:start w:val="0"/>
      <w:numFmt w:val="bullet"/>
      <w:lvlText w:val="•"/>
      <w:lvlJc w:val="left"/>
      <w:pPr>
        <w:ind w:left="7323" w:hanging="720"/>
      </w:pPr>
      <w:rPr>
        <w:rFonts w:hint="default"/>
        <w:lang w:val="en-US" w:eastAsia="zh-CN" w:bidi="ar-SA"/>
      </w:rPr>
    </w:lvl>
    <w:lvl w:ilvl="7">
      <w:start w:val="0"/>
      <w:numFmt w:val="bullet"/>
      <w:lvlText w:val="•"/>
      <w:lvlJc w:val="left"/>
      <w:pPr>
        <w:ind w:left="8104" w:hanging="720"/>
      </w:pPr>
      <w:rPr>
        <w:rFonts w:hint="default"/>
        <w:lang w:val="en-US" w:eastAsia="zh-CN" w:bidi="ar-SA"/>
      </w:rPr>
    </w:lvl>
    <w:lvl w:ilvl="8">
      <w:start w:val="0"/>
      <w:numFmt w:val="bullet"/>
      <w:lvlText w:val="•"/>
      <w:lvlJc w:val="left"/>
      <w:pPr>
        <w:ind w:left="8884" w:hanging="720"/>
      </w:pPr>
      <w:rPr>
        <w:rFonts w:hint="default"/>
        <w:lang w:val="en-US" w:eastAsia="zh-CN" w:bidi="ar-SA"/>
      </w:rPr>
    </w:lvl>
  </w:abstractNum>
  <w:abstractNum w:abstractNumId="5">
    <w:multiLevelType w:val="hybridMultilevel"/>
    <w:lvl w:ilvl="0">
      <w:start w:val="1"/>
      <w:numFmt w:val="decimal"/>
      <w:lvlText w:val="%1"/>
      <w:lvlJc w:val="left"/>
      <w:pPr>
        <w:ind w:left="2699" w:hanging="853"/>
        <w:jc w:val="left"/>
      </w:pPr>
      <w:rPr>
        <w:rFonts w:hint="default"/>
        <w:lang w:val="en-US" w:eastAsia="zh-CN" w:bidi="ar-SA"/>
      </w:rPr>
    </w:lvl>
    <w:lvl w:ilvl="1">
      <w:start w:val="1"/>
      <w:numFmt w:val="decimal"/>
      <w:lvlText w:val="%1.%2"/>
      <w:lvlJc w:val="left"/>
      <w:pPr>
        <w:ind w:left="2699" w:hanging="853"/>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249" w:hanging="853"/>
      </w:pPr>
      <w:rPr>
        <w:rFonts w:hint="default"/>
        <w:lang w:val="en-US" w:eastAsia="zh-CN" w:bidi="ar-SA"/>
      </w:rPr>
    </w:lvl>
    <w:lvl w:ilvl="3">
      <w:start w:val="0"/>
      <w:numFmt w:val="bullet"/>
      <w:lvlText w:val="•"/>
      <w:lvlJc w:val="left"/>
      <w:pPr>
        <w:ind w:left="5023" w:hanging="853"/>
      </w:pPr>
      <w:rPr>
        <w:rFonts w:hint="default"/>
        <w:lang w:val="en-US" w:eastAsia="zh-CN" w:bidi="ar-SA"/>
      </w:rPr>
    </w:lvl>
    <w:lvl w:ilvl="4">
      <w:start w:val="0"/>
      <w:numFmt w:val="bullet"/>
      <w:lvlText w:val="•"/>
      <w:lvlJc w:val="left"/>
      <w:pPr>
        <w:ind w:left="5798" w:hanging="853"/>
      </w:pPr>
      <w:rPr>
        <w:rFonts w:hint="default"/>
        <w:lang w:val="en-US" w:eastAsia="zh-CN" w:bidi="ar-SA"/>
      </w:rPr>
    </w:lvl>
    <w:lvl w:ilvl="5">
      <w:start w:val="0"/>
      <w:numFmt w:val="bullet"/>
      <w:lvlText w:val="•"/>
      <w:lvlJc w:val="left"/>
      <w:pPr>
        <w:ind w:left="6573" w:hanging="853"/>
      </w:pPr>
      <w:rPr>
        <w:rFonts w:hint="default"/>
        <w:lang w:val="en-US" w:eastAsia="zh-CN" w:bidi="ar-SA"/>
      </w:rPr>
    </w:lvl>
    <w:lvl w:ilvl="6">
      <w:start w:val="0"/>
      <w:numFmt w:val="bullet"/>
      <w:lvlText w:val="•"/>
      <w:lvlJc w:val="left"/>
      <w:pPr>
        <w:ind w:left="7347" w:hanging="853"/>
      </w:pPr>
      <w:rPr>
        <w:rFonts w:hint="default"/>
        <w:lang w:val="en-US" w:eastAsia="zh-CN" w:bidi="ar-SA"/>
      </w:rPr>
    </w:lvl>
    <w:lvl w:ilvl="7">
      <w:start w:val="0"/>
      <w:numFmt w:val="bullet"/>
      <w:lvlText w:val="•"/>
      <w:lvlJc w:val="left"/>
      <w:pPr>
        <w:ind w:left="8122" w:hanging="853"/>
      </w:pPr>
      <w:rPr>
        <w:rFonts w:hint="default"/>
        <w:lang w:val="en-US" w:eastAsia="zh-CN" w:bidi="ar-SA"/>
      </w:rPr>
    </w:lvl>
    <w:lvl w:ilvl="8">
      <w:start w:val="0"/>
      <w:numFmt w:val="bullet"/>
      <w:lvlText w:val="•"/>
      <w:lvlJc w:val="left"/>
      <w:pPr>
        <w:ind w:left="8897" w:hanging="853"/>
      </w:pPr>
      <w:rPr>
        <w:rFonts w:hint="default"/>
        <w:lang w:val="en-US" w:eastAsia="zh-CN" w:bidi="ar-SA"/>
      </w:rPr>
    </w:lvl>
  </w:abstractNum>
  <w:abstractNum w:abstractNumId="4">
    <w:multiLevelType w:val="hybridMultilevel"/>
    <w:lvl w:ilvl="0">
      <w:start w:val="1"/>
      <w:numFmt w:val="decimal"/>
      <w:lvlText w:val="%1"/>
      <w:lvlJc w:val="left"/>
      <w:pPr>
        <w:ind w:left="1072" w:hanging="745"/>
        <w:jc w:val="left"/>
      </w:pPr>
      <w:rPr>
        <w:rFonts w:hint="default" w:ascii="微软雅黑" w:hAnsi="微软雅黑" w:eastAsia="微软雅黑" w:cs="微软雅黑"/>
        <w:b/>
        <w:bCs/>
        <w:i w:val="0"/>
        <w:iCs w:val="0"/>
        <w:w w:val="80"/>
        <w:position w:val="-2"/>
        <w:sz w:val="32"/>
        <w:szCs w:val="32"/>
        <w:lang w:val="en-US" w:eastAsia="zh-CN" w:bidi="ar-SA"/>
      </w:rPr>
    </w:lvl>
    <w:lvl w:ilvl="1">
      <w:start w:val="1"/>
      <w:numFmt w:val="decimal"/>
      <w:lvlText w:val="%1.%2"/>
      <w:lvlJc w:val="left"/>
      <w:pPr>
        <w:ind w:left="1072" w:hanging="853"/>
        <w:jc w:val="left"/>
      </w:pPr>
      <w:rPr>
        <w:rFonts w:hint="default" w:ascii="微软雅黑" w:hAnsi="微软雅黑" w:eastAsia="微软雅黑" w:cs="微软雅黑"/>
        <w:b/>
        <w:bCs/>
        <w:i w:val="0"/>
        <w:iCs w:val="0"/>
        <w:w w:val="81"/>
        <w:sz w:val="21"/>
        <w:szCs w:val="21"/>
        <w:lang w:val="en-US" w:eastAsia="zh-CN" w:bidi="ar-SA"/>
      </w:rPr>
    </w:lvl>
    <w:lvl w:ilvl="2">
      <w:start w:val="1"/>
      <w:numFmt w:val="decimal"/>
      <w:lvlText w:val="（%3）"/>
      <w:lvlJc w:val="left"/>
      <w:pPr>
        <w:ind w:left="3420" w:hanging="721"/>
        <w:jc w:val="left"/>
      </w:pPr>
      <w:rPr>
        <w:rFonts w:hint="default"/>
        <w:w w:val="100"/>
        <w:lang w:val="en-US" w:eastAsia="zh-CN" w:bidi="ar-SA"/>
      </w:rPr>
    </w:lvl>
    <w:lvl w:ilvl="3">
      <w:start w:val="0"/>
      <w:numFmt w:val="bullet"/>
      <w:lvlText w:val="•"/>
      <w:lvlJc w:val="left"/>
      <w:pPr>
        <w:ind w:left="3188" w:hanging="721"/>
      </w:pPr>
      <w:rPr>
        <w:rFonts w:hint="default"/>
        <w:lang w:val="en-US" w:eastAsia="zh-CN" w:bidi="ar-SA"/>
      </w:rPr>
    </w:lvl>
    <w:lvl w:ilvl="4">
      <w:start w:val="0"/>
      <w:numFmt w:val="bullet"/>
      <w:lvlText w:val="•"/>
      <w:lvlJc w:val="left"/>
      <w:pPr>
        <w:ind w:left="3073" w:hanging="721"/>
      </w:pPr>
      <w:rPr>
        <w:rFonts w:hint="default"/>
        <w:lang w:val="en-US" w:eastAsia="zh-CN" w:bidi="ar-SA"/>
      </w:rPr>
    </w:lvl>
    <w:lvl w:ilvl="5">
      <w:start w:val="0"/>
      <w:numFmt w:val="bullet"/>
      <w:lvlText w:val="•"/>
      <w:lvlJc w:val="left"/>
      <w:pPr>
        <w:ind w:left="2957" w:hanging="721"/>
      </w:pPr>
      <w:rPr>
        <w:rFonts w:hint="default"/>
        <w:lang w:val="en-US" w:eastAsia="zh-CN" w:bidi="ar-SA"/>
      </w:rPr>
    </w:lvl>
    <w:lvl w:ilvl="6">
      <w:start w:val="0"/>
      <w:numFmt w:val="bullet"/>
      <w:lvlText w:val="•"/>
      <w:lvlJc w:val="left"/>
      <w:pPr>
        <w:ind w:left="2842" w:hanging="721"/>
      </w:pPr>
      <w:rPr>
        <w:rFonts w:hint="default"/>
        <w:lang w:val="en-US" w:eastAsia="zh-CN" w:bidi="ar-SA"/>
      </w:rPr>
    </w:lvl>
    <w:lvl w:ilvl="7">
      <w:start w:val="0"/>
      <w:numFmt w:val="bullet"/>
      <w:lvlText w:val="•"/>
      <w:lvlJc w:val="left"/>
      <w:pPr>
        <w:ind w:left="2726" w:hanging="721"/>
      </w:pPr>
      <w:rPr>
        <w:rFonts w:hint="default"/>
        <w:lang w:val="en-US" w:eastAsia="zh-CN" w:bidi="ar-SA"/>
      </w:rPr>
    </w:lvl>
    <w:lvl w:ilvl="8">
      <w:start w:val="0"/>
      <w:numFmt w:val="bullet"/>
      <w:lvlText w:val="•"/>
      <w:lvlJc w:val="left"/>
      <w:pPr>
        <w:ind w:left="2610" w:hanging="721"/>
      </w:pPr>
      <w:rPr>
        <w:rFonts w:hint="default"/>
        <w:lang w:val="en-US" w:eastAsia="zh-CN" w:bidi="ar-SA"/>
      </w:rPr>
    </w:lvl>
  </w:abstractNum>
  <w:abstractNum w:abstractNumId="3">
    <w:multiLevelType w:val="hybridMultilevel"/>
    <w:lvl w:ilvl="0">
      <w:start w:val="9"/>
      <w:numFmt w:val="decimal"/>
      <w:lvlText w:val="%1"/>
      <w:lvlJc w:val="left"/>
      <w:pPr>
        <w:ind w:left="1218" w:hanging="527"/>
        <w:jc w:val="left"/>
      </w:pPr>
      <w:rPr>
        <w:rFonts w:hint="default"/>
        <w:lang w:val="en-US" w:eastAsia="zh-CN" w:bidi="ar-SA"/>
      </w:rPr>
    </w:lvl>
    <w:lvl w:ilvl="1">
      <w:start w:val="11"/>
      <w:numFmt w:val="decimal"/>
      <w:lvlText w:val="%1.%2"/>
      <w:lvlJc w:val="left"/>
      <w:pPr>
        <w:ind w:left="1218" w:hanging="527"/>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86" w:hanging="527"/>
      </w:pPr>
      <w:rPr>
        <w:rFonts w:hint="default"/>
        <w:lang w:val="en-US" w:eastAsia="zh-CN" w:bidi="ar-SA"/>
      </w:rPr>
    </w:lvl>
    <w:lvl w:ilvl="3">
      <w:start w:val="0"/>
      <w:numFmt w:val="bullet"/>
      <w:lvlText w:val="•"/>
      <w:lvlJc w:val="left"/>
      <w:pPr>
        <w:ind w:left="1919" w:hanging="527"/>
      </w:pPr>
      <w:rPr>
        <w:rFonts w:hint="default"/>
        <w:lang w:val="en-US" w:eastAsia="zh-CN" w:bidi="ar-SA"/>
      </w:rPr>
    </w:lvl>
    <w:lvl w:ilvl="4">
      <w:start w:val="0"/>
      <w:numFmt w:val="bullet"/>
      <w:lvlText w:val="•"/>
      <w:lvlJc w:val="left"/>
      <w:pPr>
        <w:ind w:left="2152" w:hanging="527"/>
      </w:pPr>
      <w:rPr>
        <w:rFonts w:hint="default"/>
        <w:lang w:val="en-US" w:eastAsia="zh-CN" w:bidi="ar-SA"/>
      </w:rPr>
    </w:lvl>
    <w:lvl w:ilvl="5">
      <w:start w:val="0"/>
      <w:numFmt w:val="bullet"/>
      <w:lvlText w:val="•"/>
      <w:lvlJc w:val="left"/>
      <w:pPr>
        <w:ind w:left="2385" w:hanging="527"/>
      </w:pPr>
      <w:rPr>
        <w:rFonts w:hint="default"/>
        <w:lang w:val="en-US" w:eastAsia="zh-CN" w:bidi="ar-SA"/>
      </w:rPr>
    </w:lvl>
    <w:lvl w:ilvl="6">
      <w:start w:val="0"/>
      <w:numFmt w:val="bullet"/>
      <w:lvlText w:val="•"/>
      <w:lvlJc w:val="left"/>
      <w:pPr>
        <w:ind w:left="2618" w:hanging="527"/>
      </w:pPr>
      <w:rPr>
        <w:rFonts w:hint="default"/>
        <w:lang w:val="en-US" w:eastAsia="zh-CN" w:bidi="ar-SA"/>
      </w:rPr>
    </w:lvl>
    <w:lvl w:ilvl="7">
      <w:start w:val="0"/>
      <w:numFmt w:val="bullet"/>
      <w:lvlText w:val="•"/>
      <w:lvlJc w:val="left"/>
      <w:pPr>
        <w:ind w:left="2851" w:hanging="527"/>
      </w:pPr>
      <w:rPr>
        <w:rFonts w:hint="default"/>
        <w:lang w:val="en-US" w:eastAsia="zh-CN" w:bidi="ar-SA"/>
      </w:rPr>
    </w:lvl>
    <w:lvl w:ilvl="8">
      <w:start w:val="0"/>
      <w:numFmt w:val="bullet"/>
      <w:lvlText w:val="•"/>
      <w:lvlJc w:val="left"/>
      <w:pPr>
        <w:ind w:left="3085" w:hanging="527"/>
      </w:pPr>
      <w:rPr>
        <w:rFonts w:hint="default"/>
        <w:lang w:val="en-US" w:eastAsia="zh-CN" w:bidi="ar-SA"/>
      </w:rPr>
    </w:lvl>
  </w:abstractNum>
  <w:abstractNum w:abstractNumId="2">
    <w:multiLevelType w:val="hybridMultilevel"/>
    <w:lvl w:ilvl="0">
      <w:start w:val="6"/>
      <w:numFmt w:val="decimal"/>
      <w:lvlText w:val="%1."/>
      <w:lvlJc w:val="left"/>
      <w:pPr>
        <w:ind w:left="901" w:hanging="318"/>
        <w:jc w:val="left"/>
      </w:pPr>
      <w:rPr>
        <w:rFonts w:hint="default" w:ascii="微软雅黑" w:hAnsi="微软雅黑" w:eastAsia="微软雅黑" w:cs="微软雅黑"/>
        <w:b/>
        <w:bCs/>
        <w:i w:val="0"/>
        <w:iCs w:val="0"/>
        <w:w w:val="81"/>
        <w:sz w:val="19"/>
        <w:szCs w:val="19"/>
        <w:lang w:val="en-US" w:eastAsia="zh-CN" w:bidi="ar-SA"/>
      </w:rPr>
    </w:lvl>
    <w:lvl w:ilvl="1">
      <w:start w:val="1"/>
      <w:numFmt w:val="decimal"/>
      <w:lvlText w:val="%1.%2"/>
      <w:lvlJc w:val="left"/>
      <w:pPr>
        <w:ind w:left="121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29" w:hanging="423"/>
      </w:pPr>
      <w:rPr>
        <w:rFonts w:hint="default"/>
        <w:lang w:val="en-US" w:eastAsia="zh-CN" w:bidi="ar-SA"/>
      </w:rPr>
    </w:lvl>
    <w:lvl w:ilvl="3">
      <w:start w:val="0"/>
      <w:numFmt w:val="bullet"/>
      <w:lvlText w:val="•"/>
      <w:lvlJc w:val="left"/>
      <w:pPr>
        <w:ind w:left="1639" w:hanging="423"/>
      </w:pPr>
      <w:rPr>
        <w:rFonts w:hint="default"/>
        <w:lang w:val="en-US" w:eastAsia="zh-CN" w:bidi="ar-SA"/>
      </w:rPr>
    </w:lvl>
    <w:lvl w:ilvl="4">
      <w:start w:val="0"/>
      <w:numFmt w:val="bullet"/>
      <w:lvlText w:val="•"/>
      <w:lvlJc w:val="left"/>
      <w:pPr>
        <w:ind w:left="1849" w:hanging="423"/>
      </w:pPr>
      <w:rPr>
        <w:rFonts w:hint="default"/>
        <w:lang w:val="en-US" w:eastAsia="zh-CN" w:bidi="ar-SA"/>
      </w:rPr>
    </w:lvl>
    <w:lvl w:ilvl="5">
      <w:start w:val="0"/>
      <w:numFmt w:val="bullet"/>
      <w:lvlText w:val="•"/>
      <w:lvlJc w:val="left"/>
      <w:pPr>
        <w:ind w:left="2059" w:hanging="423"/>
      </w:pPr>
      <w:rPr>
        <w:rFonts w:hint="default"/>
        <w:lang w:val="en-US" w:eastAsia="zh-CN" w:bidi="ar-SA"/>
      </w:rPr>
    </w:lvl>
    <w:lvl w:ilvl="6">
      <w:start w:val="0"/>
      <w:numFmt w:val="bullet"/>
      <w:lvlText w:val="•"/>
      <w:lvlJc w:val="left"/>
      <w:pPr>
        <w:ind w:left="2269" w:hanging="423"/>
      </w:pPr>
      <w:rPr>
        <w:rFonts w:hint="default"/>
        <w:lang w:val="en-US" w:eastAsia="zh-CN" w:bidi="ar-SA"/>
      </w:rPr>
    </w:lvl>
    <w:lvl w:ilvl="7">
      <w:start w:val="0"/>
      <w:numFmt w:val="bullet"/>
      <w:lvlText w:val="•"/>
      <w:lvlJc w:val="left"/>
      <w:pPr>
        <w:ind w:left="2479" w:hanging="423"/>
      </w:pPr>
      <w:rPr>
        <w:rFonts w:hint="default"/>
        <w:lang w:val="en-US" w:eastAsia="zh-CN" w:bidi="ar-SA"/>
      </w:rPr>
    </w:lvl>
    <w:lvl w:ilvl="8">
      <w:start w:val="0"/>
      <w:numFmt w:val="bullet"/>
      <w:lvlText w:val="•"/>
      <w:lvlJc w:val="left"/>
      <w:pPr>
        <w:ind w:left="2689" w:hanging="423"/>
      </w:pPr>
      <w:rPr>
        <w:rFonts w:hint="default"/>
        <w:lang w:val="en-US" w:eastAsia="zh-CN" w:bidi="ar-SA"/>
      </w:rPr>
    </w:lvl>
  </w:abstractNum>
  <w:abstractNum w:abstractNumId="1">
    <w:multiLevelType w:val="hybridMultilevel"/>
    <w:lvl w:ilvl="0">
      <w:start w:val="1"/>
      <w:numFmt w:val="decimal"/>
      <w:lvlText w:val="%1."/>
      <w:lvlJc w:val="left"/>
      <w:pPr>
        <w:ind w:left="1498" w:hanging="318"/>
        <w:jc w:val="left"/>
      </w:pPr>
      <w:rPr>
        <w:rFonts w:hint="default" w:ascii="微软雅黑" w:hAnsi="微软雅黑" w:eastAsia="微软雅黑" w:cs="微软雅黑"/>
        <w:b/>
        <w:bCs/>
        <w:i w:val="0"/>
        <w:iCs w:val="0"/>
        <w:spacing w:val="-1"/>
        <w:w w:val="81"/>
        <w:sz w:val="19"/>
        <w:szCs w:val="19"/>
        <w:lang w:val="en-US" w:eastAsia="zh-CN" w:bidi="ar-SA"/>
      </w:rPr>
    </w:lvl>
    <w:lvl w:ilvl="1">
      <w:start w:val="1"/>
      <w:numFmt w:val="decimal"/>
      <w:lvlText w:val="%1.%2"/>
      <w:lvlJc w:val="left"/>
      <w:pPr>
        <w:ind w:left="1814"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029" w:hanging="423"/>
      </w:pPr>
      <w:rPr>
        <w:rFonts w:hint="default"/>
        <w:lang w:val="en-US" w:eastAsia="zh-CN" w:bidi="ar-SA"/>
      </w:rPr>
    </w:lvl>
    <w:lvl w:ilvl="3">
      <w:start w:val="0"/>
      <w:numFmt w:val="bullet"/>
      <w:lvlText w:val="•"/>
      <w:lvlJc w:val="left"/>
      <w:pPr>
        <w:ind w:left="2239" w:hanging="423"/>
      </w:pPr>
      <w:rPr>
        <w:rFonts w:hint="default"/>
        <w:lang w:val="en-US" w:eastAsia="zh-CN" w:bidi="ar-SA"/>
      </w:rPr>
    </w:lvl>
    <w:lvl w:ilvl="4">
      <w:start w:val="0"/>
      <w:numFmt w:val="bullet"/>
      <w:lvlText w:val="•"/>
      <w:lvlJc w:val="left"/>
      <w:pPr>
        <w:ind w:left="2448" w:hanging="423"/>
      </w:pPr>
      <w:rPr>
        <w:rFonts w:hint="default"/>
        <w:lang w:val="en-US" w:eastAsia="zh-CN" w:bidi="ar-SA"/>
      </w:rPr>
    </w:lvl>
    <w:lvl w:ilvl="5">
      <w:start w:val="0"/>
      <w:numFmt w:val="bullet"/>
      <w:lvlText w:val="•"/>
      <w:lvlJc w:val="left"/>
      <w:pPr>
        <w:ind w:left="2658" w:hanging="423"/>
      </w:pPr>
      <w:rPr>
        <w:rFonts w:hint="default"/>
        <w:lang w:val="en-US" w:eastAsia="zh-CN" w:bidi="ar-SA"/>
      </w:rPr>
    </w:lvl>
    <w:lvl w:ilvl="6">
      <w:start w:val="0"/>
      <w:numFmt w:val="bullet"/>
      <w:lvlText w:val="•"/>
      <w:lvlJc w:val="left"/>
      <w:pPr>
        <w:ind w:left="2867" w:hanging="423"/>
      </w:pPr>
      <w:rPr>
        <w:rFonts w:hint="default"/>
        <w:lang w:val="en-US" w:eastAsia="zh-CN" w:bidi="ar-SA"/>
      </w:rPr>
    </w:lvl>
    <w:lvl w:ilvl="7">
      <w:start w:val="0"/>
      <w:numFmt w:val="bullet"/>
      <w:lvlText w:val="•"/>
      <w:lvlJc w:val="left"/>
      <w:pPr>
        <w:ind w:left="3077" w:hanging="423"/>
      </w:pPr>
      <w:rPr>
        <w:rFonts w:hint="default"/>
        <w:lang w:val="en-US" w:eastAsia="zh-CN" w:bidi="ar-SA"/>
      </w:rPr>
    </w:lvl>
    <w:lvl w:ilvl="8">
      <w:start w:val="0"/>
      <w:numFmt w:val="bullet"/>
      <w:lvlText w:val="•"/>
      <w:lvlJc w:val="left"/>
      <w:pPr>
        <w:ind w:left="3286" w:hanging="423"/>
      </w:pPr>
      <w:rPr>
        <w:rFonts w:hint="default"/>
        <w:lang w:val="en-US" w:eastAsia="zh-CN" w:bidi="ar-SA"/>
      </w:rPr>
    </w:lvl>
  </w:abstractNum>
  <w:abstractNum w:abstractNumId="0">
    <w:multiLevelType w:val="hybridMultilevel"/>
    <w:lvl w:ilvl="0">
      <w:start w:val="0"/>
      <w:numFmt w:val="bullet"/>
      <w:lvlText w:val=""/>
      <w:lvlJc w:val="left"/>
      <w:pPr>
        <w:ind w:left="1612"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502" w:hanging="420"/>
      </w:pPr>
      <w:rPr>
        <w:rFonts w:hint="default"/>
        <w:lang w:val="en-US" w:eastAsia="zh-CN" w:bidi="ar-SA"/>
      </w:rPr>
    </w:lvl>
    <w:lvl w:ilvl="2">
      <w:start w:val="0"/>
      <w:numFmt w:val="bullet"/>
      <w:lvlText w:val="•"/>
      <w:lvlJc w:val="left"/>
      <w:pPr>
        <w:ind w:left="3385" w:hanging="420"/>
      </w:pPr>
      <w:rPr>
        <w:rFonts w:hint="default"/>
        <w:lang w:val="en-US" w:eastAsia="zh-CN" w:bidi="ar-SA"/>
      </w:rPr>
    </w:lvl>
    <w:lvl w:ilvl="3">
      <w:start w:val="0"/>
      <w:numFmt w:val="bullet"/>
      <w:lvlText w:val="•"/>
      <w:lvlJc w:val="left"/>
      <w:pPr>
        <w:ind w:left="4267" w:hanging="420"/>
      </w:pPr>
      <w:rPr>
        <w:rFonts w:hint="default"/>
        <w:lang w:val="en-US" w:eastAsia="zh-CN" w:bidi="ar-SA"/>
      </w:rPr>
    </w:lvl>
    <w:lvl w:ilvl="4">
      <w:start w:val="0"/>
      <w:numFmt w:val="bullet"/>
      <w:lvlText w:val="•"/>
      <w:lvlJc w:val="left"/>
      <w:pPr>
        <w:ind w:left="5150" w:hanging="420"/>
      </w:pPr>
      <w:rPr>
        <w:rFonts w:hint="default"/>
        <w:lang w:val="en-US" w:eastAsia="zh-CN" w:bidi="ar-SA"/>
      </w:rPr>
    </w:lvl>
    <w:lvl w:ilvl="5">
      <w:start w:val="0"/>
      <w:numFmt w:val="bullet"/>
      <w:lvlText w:val="•"/>
      <w:lvlJc w:val="left"/>
      <w:pPr>
        <w:ind w:left="6033" w:hanging="420"/>
      </w:pPr>
      <w:rPr>
        <w:rFonts w:hint="default"/>
        <w:lang w:val="en-US" w:eastAsia="zh-CN" w:bidi="ar-SA"/>
      </w:rPr>
    </w:lvl>
    <w:lvl w:ilvl="6">
      <w:start w:val="0"/>
      <w:numFmt w:val="bullet"/>
      <w:lvlText w:val="•"/>
      <w:lvlJc w:val="left"/>
      <w:pPr>
        <w:ind w:left="6915" w:hanging="420"/>
      </w:pPr>
      <w:rPr>
        <w:rFonts w:hint="default"/>
        <w:lang w:val="en-US" w:eastAsia="zh-CN" w:bidi="ar-SA"/>
      </w:rPr>
    </w:lvl>
    <w:lvl w:ilvl="7">
      <w:start w:val="0"/>
      <w:numFmt w:val="bullet"/>
      <w:lvlText w:val="•"/>
      <w:lvlJc w:val="left"/>
      <w:pPr>
        <w:ind w:left="7798" w:hanging="420"/>
      </w:pPr>
      <w:rPr>
        <w:rFonts w:hint="default"/>
        <w:lang w:val="en-US" w:eastAsia="zh-CN" w:bidi="ar-SA"/>
      </w:rPr>
    </w:lvl>
    <w:lvl w:ilvl="8">
      <w:start w:val="0"/>
      <w:numFmt w:val="bullet"/>
      <w:lvlText w:val="•"/>
      <w:lvlJc w:val="left"/>
      <w:pPr>
        <w:ind w:left="8681" w:hanging="420"/>
      </w:pPr>
      <w:rPr>
        <w:rFonts w:hint="default"/>
        <w:lang w:val="en-US" w:eastAsia="zh-CN" w:bidi="ar-SA"/>
      </w:rPr>
    </w:lvl>
  </w:abstractNum>
  <w:num w:numId="112">
    <w:abstractNumId w:val="111"/>
  </w:num>
  <w:num w:numId="124">
    <w:abstractNumId w:val="123"/>
  </w:num>
  <w:num w:numId="123">
    <w:abstractNumId w:val="122"/>
  </w:num>
  <w:num w:numId="122">
    <w:abstractNumId w:val="121"/>
  </w:num>
  <w:num w:numId="121">
    <w:abstractNumId w:val="120"/>
  </w:num>
  <w:num w:numId="120">
    <w:abstractNumId w:val="119"/>
  </w: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spacing w:before="43"/>
    </w:pPr>
    <w:rPr>
      <w:rFonts w:ascii="宋体" w:hAnsi="宋体" w:eastAsia="宋体" w:cs="宋体"/>
      <w:sz w:val="21"/>
      <w:szCs w:val="21"/>
      <w:lang w:val="en-US" w:eastAsia="zh-CN" w:bidi="ar-SA"/>
    </w:rPr>
  </w:style>
  <w:style w:styleId="Heading1" w:type="paragraph">
    <w:name w:val="Heading 1"/>
    <w:basedOn w:val="Normal"/>
    <w:uiPriority w:val="1"/>
    <w:qFormat/>
    <w:pPr>
      <w:ind w:left="1072" w:hanging="745"/>
      <w:outlineLvl w:val="1"/>
    </w:pPr>
    <w:rPr>
      <w:rFonts w:ascii="微软雅黑" w:hAnsi="微软雅黑" w:eastAsia="微软雅黑" w:cs="微软雅黑"/>
      <w:b/>
      <w:bCs/>
      <w:sz w:val="24"/>
      <w:szCs w:val="24"/>
      <w:lang w:val="en-US" w:eastAsia="zh-CN" w:bidi="ar-SA"/>
    </w:rPr>
  </w:style>
  <w:style w:styleId="ListParagraph" w:type="paragraph">
    <w:name w:val="List Paragraph"/>
    <w:basedOn w:val="Normal"/>
    <w:uiPriority w:val="1"/>
    <w:qFormat/>
    <w:pPr>
      <w:ind w:left="1072"/>
    </w:pPr>
    <w:rPr>
      <w:rFonts w:ascii="宋体" w:hAnsi="宋体" w:eastAsia="宋体" w:cs="宋体"/>
      <w:lang w:val="en-US" w:eastAsia="zh-CN" w:bidi="ar-SA"/>
    </w:rPr>
  </w:style>
  <w:style w:styleId="TableParagraph" w:type="paragraph">
    <w:name w:val="Table Paragraph"/>
    <w:basedOn w:val="Normal"/>
    <w:uiPriority w:val="1"/>
    <w:qFormat/>
    <w:pPr>
      <w:ind w:left="467"/>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2023-06-02T05:56:58Z</dcterms:created>
  <dcterms:modified xsi:type="dcterms:W3CDTF">2023-06-02T05:56:58Z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